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A86BE0" w14:textId="77777777" w:rsidR="00741AE2" w:rsidRPr="000E2377" w:rsidRDefault="00741AE2" w:rsidP="00741AE2">
      <w:pPr>
        <w:jc w:val="center"/>
        <w:rPr>
          <w:rFonts w:asciiTheme="minorHAnsi" w:hAnsiTheme="minorHAnsi"/>
          <w:b w:val="0"/>
          <w:sz w:val="22"/>
          <w:lang w:val="en-GB"/>
        </w:rPr>
      </w:pPr>
      <w:bookmarkStart w:id="0" w:name="_Hlk517961152"/>
      <w:bookmarkEnd w:id="0"/>
      <w:r w:rsidRPr="000E2377">
        <w:rPr>
          <w:rFonts w:asciiTheme="minorHAnsi" w:hAnsiTheme="minorHAnsi"/>
          <w:b w:val="0"/>
          <w:noProof/>
          <w:sz w:val="22"/>
          <w:lang w:eastAsia="en-MY"/>
        </w:rPr>
        <w:drawing>
          <wp:inline distT="0" distB="0" distL="0" distR="0" wp14:anchorId="64040B38" wp14:editId="0A2F5769">
            <wp:extent cx="4178808" cy="1463040"/>
            <wp:effectExtent l="0" t="0" r="0" b="381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oslogo_key_cmyk_hi.jpg"/>
                    <pic:cNvPicPr/>
                  </pic:nvPicPr>
                  <pic:blipFill rotWithShape="1">
                    <a:blip r:embed="rId8" cstate="print">
                      <a:extLst>
                        <a:ext uri="{BEBA8EAE-BF5A-486C-A8C5-ECC9F3942E4B}">
                          <a14:imgProps xmlns:a14="http://schemas.microsoft.com/office/drawing/2010/main">
                            <a14:imgLayer r:embed="rId9">
                              <a14:imgEffect>
                                <a14:colorTemperature colorTemp="4700"/>
                              </a14:imgEffect>
                              <a14:imgEffect>
                                <a14:brightnessContrast bright="20000" contrast="-40000"/>
                              </a14:imgEffect>
                            </a14:imgLayer>
                          </a14:imgProps>
                        </a:ext>
                        <a:ext uri="{28A0092B-C50C-407E-A947-70E740481C1C}">
                          <a14:useLocalDpi xmlns:a14="http://schemas.microsoft.com/office/drawing/2010/main" val="0"/>
                        </a:ext>
                      </a:extLst>
                    </a:blip>
                    <a:srcRect l="1599" t="8000" r="3449" b="8799"/>
                    <a:stretch/>
                  </pic:blipFill>
                  <pic:spPr bwMode="auto">
                    <a:xfrm>
                      <a:off x="0" y="0"/>
                      <a:ext cx="4178808" cy="1463040"/>
                    </a:xfrm>
                    <a:prstGeom prst="rect">
                      <a:avLst/>
                    </a:prstGeom>
                    <a:ln>
                      <a:noFill/>
                    </a:ln>
                    <a:extLst>
                      <a:ext uri="{53640926-AAD7-44D8-BBD7-CCE9431645EC}">
                        <a14:shadowObscured xmlns:a14="http://schemas.microsoft.com/office/drawing/2010/main"/>
                      </a:ext>
                    </a:extLst>
                  </pic:spPr>
                </pic:pic>
              </a:graphicData>
            </a:graphic>
          </wp:inline>
        </w:drawing>
      </w:r>
    </w:p>
    <w:p w14:paraId="313F3C81" w14:textId="77777777" w:rsidR="00741AE2" w:rsidRPr="000E2377" w:rsidRDefault="00741AE2" w:rsidP="00741AE2">
      <w:pPr>
        <w:rPr>
          <w:rFonts w:asciiTheme="minorHAnsi" w:hAnsiTheme="minorHAnsi"/>
          <w:b w:val="0"/>
          <w:sz w:val="22"/>
          <w:lang w:val="en-GB"/>
        </w:rPr>
      </w:pPr>
    </w:p>
    <w:p w14:paraId="6200E951" w14:textId="7994A532" w:rsidR="00741AE2" w:rsidRPr="000E2377" w:rsidRDefault="00F355D0" w:rsidP="00741AE2">
      <w:pPr>
        <w:jc w:val="center"/>
        <w:rPr>
          <w:rFonts w:cs="Times New Roman"/>
          <w:sz w:val="48"/>
          <w:szCs w:val="48"/>
          <w:lang w:val="en-GB"/>
        </w:rPr>
      </w:pPr>
      <w:proofErr w:type="spellStart"/>
      <w:r w:rsidRPr="000E2377">
        <w:rPr>
          <w:rFonts w:cs="Times New Roman"/>
          <w:sz w:val="48"/>
          <w:szCs w:val="48"/>
          <w:lang w:val="en-GB"/>
        </w:rPr>
        <w:t>Boroaluminosilicate</w:t>
      </w:r>
      <w:proofErr w:type="spellEnd"/>
      <w:r w:rsidRPr="000E2377">
        <w:rPr>
          <w:rFonts w:cs="Times New Roman"/>
          <w:sz w:val="48"/>
          <w:szCs w:val="48"/>
          <w:lang w:val="en-GB"/>
        </w:rPr>
        <w:t xml:space="preserve"> glasses – Effect of composition on mechanical properties </w:t>
      </w:r>
    </w:p>
    <w:p w14:paraId="5803BB11" w14:textId="77777777" w:rsidR="00741AE2" w:rsidRPr="000E2377" w:rsidRDefault="00741AE2" w:rsidP="00741AE2">
      <w:pPr>
        <w:rPr>
          <w:rFonts w:asciiTheme="minorHAnsi" w:hAnsiTheme="minorHAnsi"/>
          <w:b w:val="0"/>
          <w:sz w:val="22"/>
          <w:lang w:val="en-GB"/>
        </w:rPr>
      </w:pPr>
    </w:p>
    <w:p w14:paraId="1F1C94D4" w14:textId="77777777" w:rsidR="000E6FCC" w:rsidRDefault="000E6FCC" w:rsidP="00741AE2">
      <w:pPr>
        <w:jc w:val="center"/>
        <w:rPr>
          <w:rFonts w:cs="Times New Roman"/>
          <w:sz w:val="48"/>
          <w:szCs w:val="48"/>
          <w:lang w:val="en-GB"/>
        </w:rPr>
      </w:pPr>
    </w:p>
    <w:p w14:paraId="16BC3A0C" w14:textId="33AD6C32" w:rsidR="00741AE2" w:rsidRPr="000E2377" w:rsidRDefault="00741AE2" w:rsidP="00741AE2">
      <w:pPr>
        <w:jc w:val="center"/>
        <w:rPr>
          <w:rFonts w:asciiTheme="minorHAnsi" w:hAnsiTheme="minorHAnsi"/>
          <w:b w:val="0"/>
          <w:sz w:val="22"/>
          <w:lang w:val="en-GB"/>
        </w:rPr>
      </w:pPr>
      <w:bookmarkStart w:id="1" w:name="_GoBack"/>
      <w:bookmarkEnd w:id="1"/>
      <w:proofErr w:type="spellStart"/>
      <w:r w:rsidRPr="000E2377">
        <w:rPr>
          <w:rFonts w:cs="Times New Roman"/>
          <w:sz w:val="48"/>
          <w:szCs w:val="48"/>
          <w:lang w:val="en-GB"/>
        </w:rPr>
        <w:t>Norfadhilah</w:t>
      </w:r>
      <w:proofErr w:type="spellEnd"/>
      <w:r w:rsidRPr="000E2377">
        <w:rPr>
          <w:rFonts w:cs="Times New Roman"/>
          <w:sz w:val="48"/>
          <w:szCs w:val="48"/>
          <w:lang w:val="en-GB"/>
        </w:rPr>
        <w:t xml:space="preserve"> </w:t>
      </w:r>
      <w:r w:rsidR="00F355D0" w:rsidRPr="000E2377">
        <w:rPr>
          <w:rFonts w:cs="Times New Roman"/>
          <w:sz w:val="48"/>
          <w:szCs w:val="48"/>
          <w:lang w:val="en-GB"/>
        </w:rPr>
        <w:t xml:space="preserve">Binti </w:t>
      </w:r>
      <w:r w:rsidRPr="000E2377">
        <w:rPr>
          <w:rFonts w:cs="Times New Roman"/>
          <w:sz w:val="48"/>
          <w:szCs w:val="48"/>
          <w:lang w:val="en-GB"/>
        </w:rPr>
        <w:t xml:space="preserve">Ibrahim </w:t>
      </w:r>
    </w:p>
    <w:p w14:paraId="4E0B9B5A" w14:textId="77777777" w:rsidR="00741AE2" w:rsidRPr="00546C12" w:rsidRDefault="00741AE2" w:rsidP="00741AE2">
      <w:pPr>
        <w:jc w:val="center"/>
        <w:rPr>
          <w:rFonts w:asciiTheme="minorHAnsi" w:hAnsiTheme="minorHAnsi"/>
          <w:b w:val="0"/>
          <w:bCs/>
          <w:sz w:val="22"/>
          <w:lang w:val="en-GB"/>
        </w:rPr>
      </w:pPr>
    </w:p>
    <w:p w14:paraId="7D02D6C0" w14:textId="77777777" w:rsidR="00546C12" w:rsidRPr="00546C12" w:rsidRDefault="00546C12" w:rsidP="00546C12">
      <w:pPr>
        <w:jc w:val="center"/>
        <w:rPr>
          <w:rFonts w:cs="Times New Roman"/>
          <w:b w:val="0"/>
          <w:bCs/>
          <w:sz w:val="40"/>
          <w:szCs w:val="40"/>
        </w:rPr>
      </w:pPr>
      <w:r w:rsidRPr="00546C12">
        <w:rPr>
          <w:rFonts w:cs="Times New Roman"/>
          <w:b w:val="0"/>
          <w:bCs/>
          <w:sz w:val="40"/>
          <w:szCs w:val="40"/>
        </w:rPr>
        <w:t>A thesis submitted for the degree of Doctor of Philosophy</w:t>
      </w:r>
    </w:p>
    <w:p w14:paraId="592D9403" w14:textId="77777777" w:rsidR="00741AE2" w:rsidRPr="000E2377" w:rsidRDefault="00741AE2" w:rsidP="00741AE2">
      <w:pPr>
        <w:rPr>
          <w:rFonts w:asciiTheme="minorHAnsi" w:hAnsiTheme="minorHAnsi"/>
          <w:sz w:val="22"/>
          <w:lang w:val="en-GB"/>
        </w:rPr>
      </w:pPr>
    </w:p>
    <w:p w14:paraId="44940E88" w14:textId="77777777" w:rsidR="00741AE2" w:rsidRPr="000E2377" w:rsidRDefault="00741AE2" w:rsidP="00741AE2">
      <w:pPr>
        <w:tabs>
          <w:tab w:val="left" w:pos="3277"/>
        </w:tabs>
        <w:spacing w:after="0"/>
        <w:jc w:val="center"/>
        <w:rPr>
          <w:rFonts w:cs="Times New Roman"/>
          <w:b w:val="0"/>
          <w:sz w:val="32"/>
          <w:szCs w:val="32"/>
          <w:lang w:val="en-GB"/>
        </w:rPr>
      </w:pPr>
      <w:r w:rsidRPr="000E2377">
        <w:rPr>
          <w:rFonts w:cs="Times New Roman"/>
          <w:b w:val="0"/>
          <w:sz w:val="32"/>
          <w:szCs w:val="32"/>
          <w:lang w:val="en-GB"/>
        </w:rPr>
        <w:t>The University of Sheffield</w:t>
      </w:r>
    </w:p>
    <w:p w14:paraId="7EFE5045" w14:textId="77777777" w:rsidR="00741AE2" w:rsidRPr="000E2377" w:rsidRDefault="00741AE2" w:rsidP="00741AE2">
      <w:pPr>
        <w:tabs>
          <w:tab w:val="left" w:pos="3277"/>
        </w:tabs>
        <w:spacing w:after="0"/>
        <w:jc w:val="center"/>
        <w:rPr>
          <w:rFonts w:cs="Times New Roman"/>
          <w:b w:val="0"/>
          <w:sz w:val="32"/>
          <w:szCs w:val="32"/>
          <w:lang w:val="en-GB"/>
        </w:rPr>
      </w:pPr>
      <w:r w:rsidRPr="000E2377">
        <w:rPr>
          <w:rFonts w:cs="Times New Roman"/>
          <w:b w:val="0"/>
          <w:sz w:val="32"/>
          <w:szCs w:val="32"/>
          <w:lang w:val="en-GB"/>
        </w:rPr>
        <w:t>Faculty of Engineering</w:t>
      </w:r>
    </w:p>
    <w:p w14:paraId="7D5A513D" w14:textId="77777777" w:rsidR="00741AE2" w:rsidRPr="000E2377" w:rsidRDefault="00741AE2" w:rsidP="00741AE2">
      <w:pPr>
        <w:tabs>
          <w:tab w:val="left" w:pos="3277"/>
        </w:tabs>
        <w:spacing w:after="0"/>
        <w:jc w:val="center"/>
        <w:rPr>
          <w:rFonts w:cs="Times New Roman"/>
          <w:b w:val="0"/>
          <w:sz w:val="32"/>
          <w:szCs w:val="32"/>
          <w:lang w:val="en-GB"/>
        </w:rPr>
      </w:pPr>
      <w:r w:rsidRPr="000E2377">
        <w:rPr>
          <w:rFonts w:cs="Times New Roman"/>
          <w:b w:val="0"/>
          <w:sz w:val="32"/>
          <w:szCs w:val="32"/>
          <w:lang w:val="en-GB"/>
        </w:rPr>
        <w:t>Department of Materials Science and Engineering</w:t>
      </w:r>
    </w:p>
    <w:p w14:paraId="0CEB79D7" w14:textId="77777777" w:rsidR="00741AE2" w:rsidRPr="000E2377" w:rsidRDefault="00741AE2" w:rsidP="00741AE2">
      <w:pPr>
        <w:tabs>
          <w:tab w:val="left" w:pos="3277"/>
        </w:tabs>
        <w:spacing w:after="0"/>
        <w:jc w:val="center"/>
        <w:rPr>
          <w:rFonts w:cs="Times New Roman"/>
          <w:sz w:val="32"/>
          <w:szCs w:val="32"/>
          <w:lang w:val="en-GB"/>
        </w:rPr>
      </w:pPr>
    </w:p>
    <w:p w14:paraId="40ADD724" w14:textId="77777777" w:rsidR="00741AE2" w:rsidRPr="000E2377" w:rsidRDefault="00741AE2" w:rsidP="00741AE2">
      <w:pPr>
        <w:tabs>
          <w:tab w:val="left" w:pos="3277"/>
        </w:tabs>
        <w:spacing w:after="0"/>
        <w:jc w:val="center"/>
        <w:rPr>
          <w:rFonts w:cs="Times New Roman"/>
          <w:sz w:val="32"/>
          <w:szCs w:val="32"/>
          <w:lang w:val="en-GB"/>
        </w:rPr>
      </w:pPr>
    </w:p>
    <w:p w14:paraId="68235618" w14:textId="7BAF25D1" w:rsidR="00741AE2" w:rsidRPr="00BC011E" w:rsidRDefault="00BC011E" w:rsidP="00052607">
      <w:pPr>
        <w:tabs>
          <w:tab w:val="left" w:pos="3277"/>
        </w:tabs>
        <w:spacing w:after="0"/>
        <w:jc w:val="center"/>
        <w:rPr>
          <w:rFonts w:cs="Times New Roman"/>
          <w:sz w:val="32"/>
          <w:szCs w:val="32"/>
          <w:lang w:val="en-GB"/>
        </w:rPr>
      </w:pPr>
      <w:r w:rsidRPr="00BC011E">
        <w:rPr>
          <w:rFonts w:cs="Times New Roman"/>
          <w:sz w:val="32"/>
          <w:szCs w:val="32"/>
          <w:lang w:val="en-GB"/>
        </w:rPr>
        <w:t>AUGUST</w:t>
      </w:r>
      <w:r w:rsidR="00087AA2" w:rsidRPr="00BC011E">
        <w:rPr>
          <w:rFonts w:cs="Times New Roman"/>
          <w:sz w:val="32"/>
          <w:szCs w:val="32"/>
          <w:lang w:val="en-GB"/>
        </w:rPr>
        <w:t xml:space="preserve"> </w:t>
      </w:r>
      <w:r w:rsidR="00741AE2" w:rsidRPr="00BC011E">
        <w:rPr>
          <w:rFonts w:cs="Times New Roman"/>
          <w:sz w:val="32"/>
          <w:szCs w:val="32"/>
          <w:lang w:val="en-GB"/>
        </w:rPr>
        <w:t>201</w:t>
      </w:r>
      <w:r w:rsidR="00087AA2" w:rsidRPr="00BC011E">
        <w:rPr>
          <w:rFonts w:cs="Times New Roman"/>
          <w:sz w:val="32"/>
          <w:szCs w:val="32"/>
          <w:lang w:val="en-GB"/>
        </w:rPr>
        <w:t>9</w:t>
      </w:r>
    </w:p>
    <w:p w14:paraId="2EAAC4A4" w14:textId="1FF1DF70" w:rsidR="00741AE2" w:rsidRPr="000E2377" w:rsidRDefault="00B66097" w:rsidP="00741AE2">
      <w:pPr>
        <w:rPr>
          <w:rFonts w:cs="Times New Roman"/>
          <w:sz w:val="32"/>
          <w:szCs w:val="32"/>
          <w:lang w:val="en-GB"/>
        </w:rPr>
      </w:pPr>
      <w:r>
        <w:rPr>
          <w:rFonts w:cs="Times New Roman"/>
          <w:noProof/>
          <w:sz w:val="44"/>
          <w:szCs w:val="44"/>
          <w:lang w:eastAsia="en-MY"/>
        </w:rPr>
        <mc:AlternateContent>
          <mc:Choice Requires="wps">
            <w:drawing>
              <wp:anchor distT="0" distB="0" distL="114300" distR="114300" simplePos="0" relativeHeight="252066816" behindDoc="0" locked="0" layoutInCell="1" allowOverlap="1" wp14:anchorId="1D1596C5" wp14:editId="6FE2F37F">
                <wp:simplePos x="0" y="0"/>
                <wp:positionH relativeFrom="column">
                  <wp:posOffset>2763078</wp:posOffset>
                </wp:positionH>
                <wp:positionV relativeFrom="paragraph">
                  <wp:posOffset>1529991</wp:posOffset>
                </wp:positionV>
                <wp:extent cx="357808" cy="298174"/>
                <wp:effectExtent l="0" t="0" r="4445" b="6985"/>
                <wp:wrapNone/>
                <wp:docPr id="1801" name="Text Box 1801"/>
                <wp:cNvGraphicFramePr/>
                <a:graphic xmlns:a="http://schemas.openxmlformats.org/drawingml/2006/main">
                  <a:graphicData uri="http://schemas.microsoft.com/office/word/2010/wordprocessingShape">
                    <wps:wsp>
                      <wps:cNvSpPr txBox="1"/>
                      <wps:spPr>
                        <a:xfrm>
                          <a:off x="0" y="0"/>
                          <a:ext cx="357808" cy="298174"/>
                        </a:xfrm>
                        <a:prstGeom prst="rect">
                          <a:avLst/>
                        </a:prstGeom>
                        <a:solidFill>
                          <a:sysClr val="window" lastClr="FFFFFF"/>
                        </a:solidFill>
                        <a:ln w="6350">
                          <a:noFill/>
                        </a:ln>
                      </wps:spPr>
                      <wps:txbx>
                        <w:txbxContent>
                          <w:p w14:paraId="624390A9" w14:textId="77777777" w:rsidR="00230AB9" w:rsidRDefault="00230AB9" w:rsidP="00B660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D1596C5" id="_x0000_t202" coordsize="21600,21600" o:spt="202" path="m,l,21600r21600,l21600,xe">
                <v:stroke joinstyle="miter"/>
                <v:path gradientshapeok="t" o:connecttype="rect"/>
              </v:shapetype>
              <v:shape id="Text Box 1801" o:spid="_x0000_s1026" type="#_x0000_t202" style="position:absolute;margin-left:217.55pt;margin-top:120.45pt;width:28.15pt;height:23.5pt;z-index:25206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" fillcolor="window" stroked="f" strokeweight=".5pt">
                <v:textbox>
                  <w:txbxContent>
                    <w:p w14:paraId="624390A9" w14:textId="77777777" w:rsidR="00230AB9" w:rsidRDefault="00230AB9" w:rsidP="00B66097"/>
                  </w:txbxContent>
                </v:textbox>
              </v:shape>
            </w:pict>
          </mc:Fallback>
        </mc:AlternateContent>
      </w:r>
      <w:r w:rsidR="00741AE2" w:rsidRPr="000E2377">
        <w:rPr>
          <w:rFonts w:cs="Times New Roman"/>
          <w:sz w:val="32"/>
          <w:szCs w:val="32"/>
          <w:lang w:val="en-GB"/>
        </w:rPr>
        <w:br w:type="page"/>
      </w:r>
    </w:p>
    <w:p w14:paraId="68468CF6" w14:textId="77777777" w:rsidR="00741AE2" w:rsidRPr="000E2377" w:rsidRDefault="00741AE2" w:rsidP="00741AE2">
      <w:pPr>
        <w:tabs>
          <w:tab w:val="left" w:pos="3277"/>
        </w:tabs>
        <w:spacing w:after="0"/>
        <w:jc w:val="center"/>
        <w:rPr>
          <w:rFonts w:cs="Times New Roman"/>
          <w:sz w:val="32"/>
          <w:szCs w:val="32"/>
          <w:lang w:val="en-GB"/>
        </w:rPr>
      </w:pPr>
    </w:p>
    <w:p w14:paraId="759A9AD9" w14:textId="77777777" w:rsidR="00741AE2" w:rsidRPr="000E2377" w:rsidRDefault="00741AE2" w:rsidP="00741AE2">
      <w:pPr>
        <w:tabs>
          <w:tab w:val="left" w:pos="5694"/>
        </w:tabs>
        <w:jc w:val="center"/>
        <w:rPr>
          <w:rFonts w:asciiTheme="minorHAnsi" w:hAnsiTheme="minorHAnsi"/>
          <w:b w:val="0"/>
          <w:sz w:val="22"/>
          <w:lang w:val="en-GB"/>
        </w:rPr>
      </w:pPr>
    </w:p>
    <w:p w14:paraId="47335CBC" w14:textId="77777777" w:rsidR="00741AE2" w:rsidRPr="000E2377" w:rsidRDefault="00741AE2" w:rsidP="00741AE2">
      <w:pPr>
        <w:keepNext/>
        <w:keepLines/>
        <w:spacing w:before="480" w:after="0"/>
        <w:jc w:val="center"/>
        <w:outlineLvl w:val="0"/>
        <w:rPr>
          <w:rFonts w:asciiTheme="majorHAnsi" w:eastAsiaTheme="majorEastAsia" w:hAnsiTheme="majorHAnsi" w:cstheme="majorBidi"/>
          <w:bCs/>
          <w:sz w:val="28"/>
          <w:szCs w:val="28"/>
          <w:lang w:val="tr-TR"/>
        </w:rPr>
      </w:pPr>
    </w:p>
    <w:p w14:paraId="18797356" w14:textId="77777777" w:rsidR="00741AE2" w:rsidRPr="000E2377" w:rsidRDefault="00741AE2" w:rsidP="00741AE2">
      <w:pPr>
        <w:jc w:val="center"/>
        <w:rPr>
          <w:rFonts w:cs="Times New Roman"/>
          <w:sz w:val="44"/>
          <w:szCs w:val="44"/>
          <w:lang w:val="tr-TR"/>
        </w:rPr>
      </w:pPr>
    </w:p>
    <w:p w14:paraId="064A7852" w14:textId="77777777" w:rsidR="00741AE2" w:rsidRPr="000E2377" w:rsidRDefault="00741AE2" w:rsidP="00741AE2">
      <w:pPr>
        <w:jc w:val="center"/>
        <w:rPr>
          <w:rFonts w:cs="Times New Roman"/>
          <w:sz w:val="44"/>
          <w:szCs w:val="44"/>
          <w:lang w:val="tr-TR"/>
        </w:rPr>
      </w:pPr>
    </w:p>
    <w:p w14:paraId="71F69F9A" w14:textId="77777777" w:rsidR="00741AE2" w:rsidRPr="000E2377" w:rsidRDefault="00741AE2" w:rsidP="00741AE2">
      <w:pPr>
        <w:jc w:val="center"/>
        <w:rPr>
          <w:rFonts w:cs="Times New Roman"/>
          <w:sz w:val="44"/>
          <w:szCs w:val="44"/>
          <w:lang w:val="tr-TR"/>
        </w:rPr>
      </w:pPr>
    </w:p>
    <w:p w14:paraId="1D55D188" w14:textId="77777777" w:rsidR="00741AE2" w:rsidRPr="000E2377" w:rsidRDefault="00741AE2" w:rsidP="00741AE2">
      <w:pPr>
        <w:jc w:val="center"/>
        <w:rPr>
          <w:rFonts w:cs="Times New Roman"/>
          <w:sz w:val="44"/>
          <w:szCs w:val="44"/>
          <w:lang w:val="tr-TR"/>
        </w:rPr>
      </w:pPr>
    </w:p>
    <w:p w14:paraId="0054082E" w14:textId="77777777" w:rsidR="00741AE2" w:rsidRPr="000E2377" w:rsidRDefault="00741AE2" w:rsidP="00741AE2">
      <w:pPr>
        <w:jc w:val="center"/>
        <w:rPr>
          <w:rFonts w:cs="Times New Roman"/>
          <w:sz w:val="44"/>
          <w:szCs w:val="44"/>
          <w:lang w:val="tr-TR"/>
        </w:rPr>
      </w:pPr>
    </w:p>
    <w:p w14:paraId="32CA81E9" w14:textId="77777777" w:rsidR="00741AE2" w:rsidRPr="000E2377" w:rsidRDefault="00741AE2" w:rsidP="00741AE2">
      <w:pPr>
        <w:jc w:val="center"/>
        <w:rPr>
          <w:rFonts w:cs="Times New Roman"/>
          <w:sz w:val="44"/>
          <w:szCs w:val="44"/>
          <w:lang w:val="tr-TR"/>
        </w:rPr>
      </w:pPr>
    </w:p>
    <w:p w14:paraId="339A346F" w14:textId="6245D297" w:rsidR="00741AE2" w:rsidRPr="000E2377" w:rsidRDefault="00741AE2" w:rsidP="00741AE2">
      <w:pPr>
        <w:rPr>
          <w:rFonts w:cs="Times New Roman"/>
          <w:i/>
          <w:sz w:val="44"/>
          <w:szCs w:val="44"/>
          <w:lang w:val="tr-TR"/>
        </w:rPr>
      </w:pPr>
      <w:r w:rsidRPr="000E2377">
        <w:rPr>
          <w:rFonts w:cs="Times New Roman"/>
          <w:sz w:val="44"/>
          <w:szCs w:val="44"/>
          <w:lang w:val="tr-TR"/>
        </w:rPr>
        <w:t xml:space="preserve">              </w:t>
      </w:r>
      <w:r w:rsidRPr="000E2377">
        <w:rPr>
          <w:rFonts w:cs="Times New Roman"/>
          <w:i/>
          <w:sz w:val="44"/>
          <w:szCs w:val="44"/>
          <w:lang w:val="tr-TR"/>
        </w:rPr>
        <w:t>Dedicated to my parents and family</w:t>
      </w:r>
    </w:p>
    <w:p w14:paraId="3DDA585F" w14:textId="77777777" w:rsidR="00741AE2" w:rsidRPr="000E2377" w:rsidRDefault="00741AE2" w:rsidP="00741AE2">
      <w:pPr>
        <w:jc w:val="center"/>
        <w:rPr>
          <w:rFonts w:cs="Times New Roman"/>
          <w:sz w:val="44"/>
          <w:szCs w:val="44"/>
          <w:lang w:val="tr-TR"/>
        </w:rPr>
      </w:pPr>
    </w:p>
    <w:p w14:paraId="7C7D0A60" w14:textId="07178372" w:rsidR="00741AE2" w:rsidRPr="000E2377" w:rsidRDefault="00741AE2" w:rsidP="00741AE2">
      <w:pPr>
        <w:rPr>
          <w:rFonts w:cs="Times New Roman"/>
          <w:sz w:val="44"/>
          <w:szCs w:val="44"/>
          <w:lang w:val="tr-TR"/>
        </w:rPr>
      </w:pPr>
    </w:p>
    <w:p w14:paraId="2C1A6C2E" w14:textId="02AD07BE" w:rsidR="00741AE2" w:rsidRPr="000E2377" w:rsidRDefault="00741AE2" w:rsidP="00741AE2">
      <w:pPr>
        <w:rPr>
          <w:rFonts w:cs="Times New Roman"/>
          <w:sz w:val="44"/>
          <w:szCs w:val="44"/>
          <w:lang w:val="tr-TR"/>
        </w:rPr>
      </w:pPr>
    </w:p>
    <w:p w14:paraId="430EBED8" w14:textId="256A8175" w:rsidR="00741AE2" w:rsidRPr="000E2377" w:rsidRDefault="00741AE2" w:rsidP="00741AE2">
      <w:pPr>
        <w:rPr>
          <w:rFonts w:cs="Times New Roman"/>
          <w:sz w:val="44"/>
          <w:szCs w:val="44"/>
          <w:lang w:val="tr-TR"/>
        </w:rPr>
      </w:pPr>
    </w:p>
    <w:p w14:paraId="01F5330F" w14:textId="4B549A70" w:rsidR="00887FAB" w:rsidRPr="000E2377" w:rsidRDefault="00B66097" w:rsidP="00887FAB">
      <w:pPr>
        <w:tabs>
          <w:tab w:val="left" w:pos="2540"/>
        </w:tabs>
        <w:rPr>
          <w:rFonts w:cs="Times New Roman"/>
          <w:sz w:val="44"/>
          <w:szCs w:val="44"/>
          <w:lang w:val="tr-TR"/>
        </w:rPr>
      </w:pPr>
      <w:r>
        <w:rPr>
          <w:rFonts w:cs="Times New Roman"/>
          <w:noProof/>
          <w:sz w:val="44"/>
          <w:szCs w:val="44"/>
          <w:lang w:eastAsia="en-MY"/>
        </w:rPr>
        <mc:AlternateContent>
          <mc:Choice Requires="wps">
            <w:drawing>
              <wp:anchor distT="0" distB="0" distL="114300" distR="114300" simplePos="0" relativeHeight="252064768" behindDoc="0" locked="0" layoutInCell="1" allowOverlap="1" wp14:anchorId="07B59D12" wp14:editId="3FF74B60">
                <wp:simplePos x="0" y="0"/>
                <wp:positionH relativeFrom="column">
                  <wp:posOffset>2713383</wp:posOffset>
                </wp:positionH>
                <wp:positionV relativeFrom="paragraph">
                  <wp:posOffset>2454689</wp:posOffset>
                </wp:positionV>
                <wp:extent cx="357808" cy="298174"/>
                <wp:effectExtent l="0" t="0" r="4445" b="6985"/>
                <wp:wrapNone/>
                <wp:docPr id="1800" name="Text Box 1800"/>
                <wp:cNvGraphicFramePr/>
                <a:graphic xmlns:a="http://schemas.openxmlformats.org/drawingml/2006/main">
                  <a:graphicData uri="http://schemas.microsoft.com/office/word/2010/wordprocessingShape">
                    <wps:wsp>
                      <wps:cNvSpPr txBox="1"/>
                      <wps:spPr>
                        <a:xfrm>
                          <a:off x="0" y="0"/>
                          <a:ext cx="357808" cy="298174"/>
                        </a:xfrm>
                        <a:prstGeom prst="rect">
                          <a:avLst/>
                        </a:prstGeom>
                        <a:solidFill>
                          <a:schemeClr val="bg1"/>
                        </a:solidFill>
                        <a:ln w="6350">
                          <a:noFill/>
                        </a:ln>
                      </wps:spPr>
                      <wps:txbx>
                        <w:txbxContent>
                          <w:p w14:paraId="1003515B" w14:textId="77777777" w:rsidR="00230AB9" w:rsidRDefault="00230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B59D12" id="Text Box 1800" o:spid="_x0000_s1027" type="#_x0000_t202" style="position:absolute;margin-left:213.65pt;margin-top:193.3pt;width:28.15pt;height:23.5pt;z-index:25206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" fillcolor="white [3212]" stroked="f" strokeweight=".5pt">
                <v:textbox>
                  <w:txbxContent>
                    <w:p w14:paraId="1003515B" w14:textId="77777777" w:rsidR="00230AB9" w:rsidRDefault="00230AB9"/>
                  </w:txbxContent>
                </v:textbox>
              </v:shape>
            </w:pict>
          </mc:Fallback>
        </mc:AlternateContent>
      </w:r>
      <w:r w:rsidR="00887FAB" w:rsidRPr="000E2377">
        <w:rPr>
          <w:rFonts w:cs="Times New Roman"/>
          <w:sz w:val="44"/>
          <w:szCs w:val="44"/>
          <w:lang w:val="tr-TR"/>
        </w:rPr>
        <w:tab/>
      </w:r>
      <w:r w:rsidR="00887FAB" w:rsidRPr="000E2377">
        <w:rPr>
          <w:rFonts w:cs="Times New Roman"/>
          <w:sz w:val="44"/>
          <w:szCs w:val="44"/>
          <w:lang w:val="tr-TR"/>
        </w:rPr>
        <w:br w:type="page"/>
      </w:r>
    </w:p>
    <w:p w14:paraId="4261010E" w14:textId="77777777" w:rsidR="002B535A" w:rsidRPr="000E2377" w:rsidRDefault="002B535A" w:rsidP="00741AE2">
      <w:pPr>
        <w:rPr>
          <w:rFonts w:cs="Times New Roman"/>
          <w:sz w:val="44"/>
          <w:szCs w:val="44"/>
          <w:lang w:val="tr-TR"/>
        </w:rPr>
        <w:sectPr w:rsidR="002B535A" w:rsidRPr="000E2377" w:rsidSect="00451031">
          <w:footerReference w:type="default" r:id="rId10"/>
          <w:pgSz w:w="11906" w:h="16838"/>
          <w:pgMar w:top="1440" w:right="1440" w:bottom="1440" w:left="1440" w:header="708" w:footer="708" w:gutter="0"/>
          <w:pgNumType w:fmt="lowerRoman" w:start="1"/>
          <w:cols w:space="708"/>
          <w:docGrid w:linePitch="360"/>
        </w:sectPr>
      </w:pPr>
    </w:p>
    <w:p w14:paraId="60C03D9D" w14:textId="5B8BEF6E" w:rsidR="00451031" w:rsidRPr="000E2377" w:rsidRDefault="00451031" w:rsidP="00451031">
      <w:pPr>
        <w:keepNext/>
        <w:keepLines/>
        <w:spacing w:before="480" w:after="0"/>
        <w:jc w:val="center"/>
        <w:outlineLvl w:val="0"/>
        <w:rPr>
          <w:rFonts w:eastAsiaTheme="majorEastAsia" w:cs="Times New Roman"/>
          <w:bCs/>
          <w:sz w:val="44"/>
          <w:szCs w:val="44"/>
          <w:lang w:val="tr-TR"/>
        </w:rPr>
      </w:pPr>
      <w:bookmarkStart w:id="2" w:name="_Toc453770700"/>
      <w:bookmarkStart w:id="3" w:name="_Toc515398695"/>
      <w:bookmarkStart w:id="4" w:name="_Toc523402860"/>
      <w:bookmarkStart w:id="5" w:name="_Toc525526371"/>
      <w:bookmarkStart w:id="6" w:name="_Toc525707789"/>
      <w:bookmarkStart w:id="7" w:name="_Toc525742453"/>
      <w:bookmarkStart w:id="8" w:name="_Toc12994931"/>
      <w:bookmarkStart w:id="9" w:name="_Toc453770701"/>
      <w:bookmarkStart w:id="10" w:name="_Toc515398696"/>
      <w:bookmarkStart w:id="11" w:name="_Toc523402861"/>
      <w:r w:rsidRPr="000E2377">
        <w:rPr>
          <w:rFonts w:eastAsiaTheme="majorEastAsia" w:cs="Times New Roman"/>
          <w:bCs/>
          <w:sz w:val="44"/>
          <w:szCs w:val="44"/>
          <w:lang w:val="tr-TR"/>
        </w:rPr>
        <w:lastRenderedPageBreak/>
        <w:t>Acknowledgements</w:t>
      </w:r>
      <w:bookmarkEnd w:id="2"/>
      <w:bookmarkEnd w:id="3"/>
      <w:bookmarkEnd w:id="4"/>
      <w:bookmarkEnd w:id="5"/>
      <w:bookmarkEnd w:id="6"/>
      <w:bookmarkEnd w:id="7"/>
      <w:bookmarkEnd w:id="8"/>
    </w:p>
    <w:p w14:paraId="4A0892F1" w14:textId="77777777" w:rsidR="00451031" w:rsidRPr="000E2377" w:rsidRDefault="00451031" w:rsidP="00451031">
      <w:pPr>
        <w:rPr>
          <w:rFonts w:cs="Times New Roman"/>
          <w:sz w:val="44"/>
          <w:szCs w:val="44"/>
          <w:lang w:val="tr-TR"/>
        </w:rPr>
      </w:pPr>
    </w:p>
    <w:p w14:paraId="45F9F866" w14:textId="39808E73" w:rsidR="00451031" w:rsidRPr="000E2377" w:rsidRDefault="00451031" w:rsidP="00451031">
      <w:pPr>
        <w:spacing w:line="360" w:lineRule="auto"/>
        <w:jc w:val="both"/>
        <w:rPr>
          <w:rFonts w:cs="Times New Roman"/>
          <w:b w:val="0"/>
          <w:szCs w:val="24"/>
          <w:lang w:val="tr-TR"/>
        </w:rPr>
      </w:pPr>
      <w:r w:rsidRPr="000E2377">
        <w:rPr>
          <w:rFonts w:cs="Times New Roman"/>
          <w:b w:val="0"/>
          <w:szCs w:val="24"/>
          <w:lang w:val="tr-TR"/>
        </w:rPr>
        <w:t xml:space="preserve">First and foremost I would like to take this opportunity to thank Universiti Malaysia Kelantan and Malaysian Government for providing me </w:t>
      </w:r>
      <w:r w:rsidR="003B2A1C">
        <w:rPr>
          <w:rFonts w:cs="Times New Roman"/>
          <w:b w:val="0"/>
          <w:szCs w:val="24"/>
          <w:lang w:val="tr-TR"/>
        </w:rPr>
        <w:t xml:space="preserve">with </w:t>
      </w:r>
      <w:r w:rsidRPr="000E2377">
        <w:rPr>
          <w:rFonts w:cs="Times New Roman"/>
          <w:b w:val="0"/>
          <w:szCs w:val="24"/>
          <w:lang w:val="tr-TR"/>
        </w:rPr>
        <w:t xml:space="preserve">a scholarship for undertaking this studies. </w:t>
      </w:r>
    </w:p>
    <w:p w14:paraId="21BB3A85" w14:textId="68792AEA" w:rsidR="00451031" w:rsidRPr="000E2377" w:rsidRDefault="00451031" w:rsidP="00451031">
      <w:pPr>
        <w:spacing w:line="360" w:lineRule="auto"/>
        <w:jc w:val="both"/>
        <w:rPr>
          <w:rFonts w:cs="Times New Roman"/>
          <w:b w:val="0"/>
          <w:szCs w:val="24"/>
        </w:rPr>
      </w:pPr>
      <w:r w:rsidRPr="000E2377">
        <w:rPr>
          <w:rFonts w:cs="Times New Roman"/>
          <w:b w:val="0"/>
          <w:szCs w:val="24"/>
          <w:lang w:val="tr-TR"/>
        </w:rPr>
        <w:t xml:space="preserve">Special thanks to my supervisor </w:t>
      </w:r>
      <w:r w:rsidRPr="000E2377">
        <w:rPr>
          <w:rFonts w:cs="Times New Roman"/>
          <w:b w:val="0"/>
          <w:szCs w:val="24"/>
        </w:rPr>
        <w:t xml:space="preserve">Prof Russell J. Hand for his guidance, assistance, advice, encouragement in my project and also help me especially in my writing stage. This thesis would never been completed without his guidance. </w:t>
      </w:r>
      <w:r w:rsidRPr="000E2377">
        <w:rPr>
          <w:rFonts w:cs="Times New Roman"/>
          <w:b w:val="0"/>
          <w:szCs w:val="24"/>
          <w:lang w:val="tr-TR"/>
        </w:rPr>
        <w:t xml:space="preserve">His constant enthusiasm and insightfulness will be a model for my career. Moreover, I like to thank </w:t>
      </w:r>
      <w:r w:rsidRPr="000E2377">
        <w:rPr>
          <w:rFonts w:cs="Times New Roman"/>
          <w:b w:val="0"/>
          <w:szCs w:val="24"/>
        </w:rPr>
        <w:t>Dr Lisa Hollands for her help during glass melting and also thanks to all technicians in the micro preparation, characterisation and XRD labs for their help.</w:t>
      </w:r>
    </w:p>
    <w:p w14:paraId="26C0D583" w14:textId="75417F83" w:rsidR="00451031" w:rsidRPr="000E2377" w:rsidRDefault="00451031" w:rsidP="00451031">
      <w:pPr>
        <w:spacing w:line="360" w:lineRule="auto"/>
        <w:jc w:val="both"/>
        <w:rPr>
          <w:rFonts w:cs="Times New Roman"/>
          <w:b w:val="0"/>
          <w:szCs w:val="24"/>
        </w:rPr>
      </w:pPr>
      <w:r w:rsidRPr="000E2377">
        <w:rPr>
          <w:rFonts w:cs="Times New Roman"/>
          <w:b w:val="0"/>
          <w:szCs w:val="24"/>
          <w:lang w:val="tr-TR"/>
        </w:rPr>
        <w:t xml:space="preserve">My gratitude </w:t>
      </w:r>
      <w:r w:rsidR="003B2A1C" w:rsidRPr="000E2377">
        <w:rPr>
          <w:rFonts w:cs="Times New Roman"/>
          <w:b w:val="0"/>
          <w:szCs w:val="24"/>
          <w:lang w:val="tr-TR"/>
        </w:rPr>
        <w:t>exten</w:t>
      </w:r>
      <w:r w:rsidR="003B2A1C">
        <w:rPr>
          <w:rFonts w:cs="Times New Roman"/>
          <w:b w:val="0"/>
          <w:szCs w:val="24"/>
          <w:lang w:val="tr-TR"/>
        </w:rPr>
        <w:t>ds</w:t>
      </w:r>
      <w:r w:rsidR="003B2A1C" w:rsidRPr="000E2377">
        <w:rPr>
          <w:rFonts w:cs="Times New Roman"/>
          <w:b w:val="0"/>
          <w:szCs w:val="24"/>
          <w:lang w:val="tr-TR"/>
        </w:rPr>
        <w:t xml:space="preserve"> </w:t>
      </w:r>
      <w:r w:rsidRPr="000E2377">
        <w:rPr>
          <w:rFonts w:cs="Times New Roman"/>
          <w:b w:val="0"/>
          <w:szCs w:val="24"/>
          <w:lang w:val="tr-TR"/>
        </w:rPr>
        <w:t>to Dr Clive T Bridgen for helping me in XRF sample preparation and measurement and also Dr Erhan Kilinc for kindly guiding and helping me in my early PhD.</w:t>
      </w:r>
    </w:p>
    <w:p w14:paraId="4ECBCA39" w14:textId="263A80B5" w:rsidR="00451031" w:rsidRPr="000E2377" w:rsidRDefault="00451031" w:rsidP="00451031">
      <w:pPr>
        <w:spacing w:line="360" w:lineRule="auto"/>
        <w:jc w:val="both"/>
        <w:rPr>
          <w:rFonts w:cs="Times New Roman"/>
          <w:b w:val="0"/>
          <w:szCs w:val="24"/>
        </w:rPr>
      </w:pPr>
      <w:r w:rsidRPr="000E2377">
        <w:rPr>
          <w:rFonts w:cs="Times New Roman"/>
          <w:b w:val="0"/>
          <w:szCs w:val="24"/>
        </w:rPr>
        <w:t xml:space="preserve">I also would like to thank my friends; </w:t>
      </w:r>
      <w:proofErr w:type="spellStart"/>
      <w:r w:rsidRPr="000E2377">
        <w:rPr>
          <w:rFonts w:cs="Times New Roman"/>
          <w:b w:val="0"/>
          <w:szCs w:val="24"/>
        </w:rPr>
        <w:t>Aina</w:t>
      </w:r>
      <w:proofErr w:type="spellEnd"/>
      <w:r w:rsidRPr="000E2377">
        <w:rPr>
          <w:rFonts w:cs="Times New Roman"/>
          <w:b w:val="0"/>
          <w:szCs w:val="24"/>
        </w:rPr>
        <w:t xml:space="preserve"> Nur </w:t>
      </w:r>
      <w:proofErr w:type="spellStart"/>
      <w:r w:rsidRPr="000E2377">
        <w:rPr>
          <w:rFonts w:cs="Times New Roman"/>
          <w:b w:val="0"/>
          <w:szCs w:val="24"/>
        </w:rPr>
        <w:t>Aalia</w:t>
      </w:r>
      <w:proofErr w:type="spellEnd"/>
      <w:r w:rsidRPr="000E2377">
        <w:rPr>
          <w:rFonts w:cs="Times New Roman"/>
          <w:b w:val="0"/>
          <w:szCs w:val="24"/>
        </w:rPr>
        <w:t xml:space="preserve"> </w:t>
      </w:r>
      <w:proofErr w:type="spellStart"/>
      <w:r w:rsidRPr="000E2377">
        <w:rPr>
          <w:rFonts w:cs="Times New Roman"/>
          <w:b w:val="0"/>
          <w:szCs w:val="24"/>
        </w:rPr>
        <w:t>Puteri</w:t>
      </w:r>
      <w:proofErr w:type="spellEnd"/>
      <w:r w:rsidRPr="000E2377">
        <w:rPr>
          <w:rFonts w:cs="Times New Roman"/>
          <w:b w:val="0"/>
          <w:szCs w:val="24"/>
        </w:rPr>
        <w:t xml:space="preserve">, Nur </w:t>
      </w:r>
      <w:proofErr w:type="spellStart"/>
      <w:r w:rsidRPr="000E2377">
        <w:rPr>
          <w:rFonts w:cs="Times New Roman"/>
          <w:b w:val="0"/>
          <w:szCs w:val="24"/>
        </w:rPr>
        <w:t>Atiqah</w:t>
      </w:r>
      <w:proofErr w:type="spellEnd"/>
      <w:r w:rsidRPr="000E2377">
        <w:rPr>
          <w:rFonts w:cs="Times New Roman"/>
          <w:b w:val="0"/>
          <w:szCs w:val="24"/>
        </w:rPr>
        <w:t xml:space="preserve">, Norhuda </w:t>
      </w:r>
      <w:proofErr w:type="spellStart"/>
      <w:r w:rsidRPr="000E2377">
        <w:rPr>
          <w:rFonts w:cs="Times New Roman"/>
          <w:b w:val="0"/>
          <w:szCs w:val="24"/>
        </w:rPr>
        <w:t>Hidayah</w:t>
      </w:r>
      <w:proofErr w:type="spellEnd"/>
      <w:r w:rsidRPr="000E2377">
        <w:rPr>
          <w:rFonts w:cs="Times New Roman"/>
          <w:b w:val="0"/>
          <w:szCs w:val="24"/>
        </w:rPr>
        <w:t xml:space="preserve">, </w:t>
      </w:r>
      <w:proofErr w:type="spellStart"/>
      <w:r w:rsidRPr="000E2377">
        <w:rPr>
          <w:rFonts w:cs="Times New Roman"/>
          <w:b w:val="0"/>
          <w:szCs w:val="24"/>
        </w:rPr>
        <w:t>Lawan</w:t>
      </w:r>
      <w:proofErr w:type="spellEnd"/>
      <w:r w:rsidRPr="000E2377">
        <w:rPr>
          <w:rFonts w:cs="Times New Roman"/>
          <w:b w:val="0"/>
          <w:szCs w:val="24"/>
        </w:rPr>
        <w:t xml:space="preserve"> </w:t>
      </w:r>
      <w:proofErr w:type="spellStart"/>
      <w:r w:rsidRPr="000E2377">
        <w:rPr>
          <w:rFonts w:cs="Times New Roman"/>
          <w:b w:val="0"/>
          <w:szCs w:val="24"/>
        </w:rPr>
        <w:t>Grema</w:t>
      </w:r>
      <w:proofErr w:type="spellEnd"/>
      <w:r w:rsidRPr="000E2377">
        <w:rPr>
          <w:rFonts w:cs="Times New Roman"/>
          <w:b w:val="0"/>
          <w:szCs w:val="24"/>
        </w:rPr>
        <w:t xml:space="preserve"> and </w:t>
      </w:r>
      <w:proofErr w:type="spellStart"/>
      <w:r w:rsidRPr="000E2377">
        <w:rPr>
          <w:rFonts w:cs="Times New Roman"/>
          <w:b w:val="0"/>
          <w:szCs w:val="24"/>
        </w:rPr>
        <w:t>Hande</w:t>
      </w:r>
      <w:proofErr w:type="spellEnd"/>
      <w:r w:rsidRPr="000E2377">
        <w:rPr>
          <w:rFonts w:cs="Times New Roman"/>
          <w:b w:val="0"/>
          <w:szCs w:val="24"/>
        </w:rPr>
        <w:t xml:space="preserve"> Grover for the great times that I had in Sheffield. </w:t>
      </w:r>
      <w:r w:rsidRPr="000E2377">
        <w:rPr>
          <w:rFonts w:cs="Times New Roman"/>
          <w:b w:val="0"/>
          <w:szCs w:val="24"/>
          <w:lang w:val="tr-TR"/>
        </w:rPr>
        <w:t xml:space="preserve">Besides, I would like to thanks to my </w:t>
      </w:r>
      <w:r w:rsidRPr="000E2377">
        <w:rPr>
          <w:rFonts w:cs="Times New Roman"/>
          <w:b w:val="0"/>
          <w:szCs w:val="24"/>
        </w:rPr>
        <w:t xml:space="preserve">GET group, </w:t>
      </w:r>
      <w:proofErr w:type="spellStart"/>
      <w:r w:rsidRPr="000E2377">
        <w:rPr>
          <w:rFonts w:cs="Times New Roman"/>
          <w:b w:val="0"/>
          <w:szCs w:val="24"/>
        </w:rPr>
        <w:t>Hasifah</w:t>
      </w:r>
      <w:proofErr w:type="spellEnd"/>
      <w:r w:rsidRPr="000E2377">
        <w:rPr>
          <w:rFonts w:cs="Times New Roman"/>
          <w:b w:val="0"/>
          <w:szCs w:val="24"/>
        </w:rPr>
        <w:t xml:space="preserve">, Siti </w:t>
      </w:r>
      <w:proofErr w:type="spellStart"/>
      <w:r w:rsidRPr="000E2377">
        <w:rPr>
          <w:rFonts w:cs="Times New Roman"/>
          <w:b w:val="0"/>
          <w:szCs w:val="24"/>
        </w:rPr>
        <w:t>Aisyah</w:t>
      </w:r>
      <w:proofErr w:type="spellEnd"/>
      <w:r w:rsidRPr="000E2377">
        <w:rPr>
          <w:rFonts w:cs="Times New Roman"/>
          <w:b w:val="0"/>
          <w:szCs w:val="24"/>
        </w:rPr>
        <w:t xml:space="preserve">, Amal </w:t>
      </w:r>
      <w:proofErr w:type="spellStart"/>
      <w:r w:rsidRPr="000E2377">
        <w:rPr>
          <w:rFonts w:cs="Times New Roman"/>
          <w:b w:val="0"/>
          <w:szCs w:val="24"/>
        </w:rPr>
        <w:t>Najihah</w:t>
      </w:r>
      <w:proofErr w:type="spellEnd"/>
      <w:r w:rsidRPr="000E2377">
        <w:rPr>
          <w:rFonts w:cs="Times New Roman"/>
          <w:b w:val="0"/>
          <w:szCs w:val="24"/>
        </w:rPr>
        <w:t xml:space="preserve"> and </w:t>
      </w:r>
      <w:proofErr w:type="spellStart"/>
      <w:r w:rsidRPr="000E2377">
        <w:rPr>
          <w:rFonts w:cs="Times New Roman"/>
          <w:b w:val="0"/>
          <w:szCs w:val="24"/>
        </w:rPr>
        <w:t>Rohazaini</w:t>
      </w:r>
      <w:proofErr w:type="spellEnd"/>
      <w:r w:rsidRPr="000E2377">
        <w:rPr>
          <w:rFonts w:cs="Times New Roman"/>
          <w:b w:val="0"/>
          <w:szCs w:val="24"/>
        </w:rPr>
        <w:t xml:space="preserve"> for always being around and supportive in my journey of studies.</w:t>
      </w:r>
    </w:p>
    <w:p w14:paraId="7B19B90E" w14:textId="2D6859E6" w:rsidR="00451031" w:rsidRPr="000E2377" w:rsidRDefault="00451031" w:rsidP="00451031">
      <w:pPr>
        <w:spacing w:line="360" w:lineRule="auto"/>
        <w:jc w:val="both"/>
        <w:rPr>
          <w:rFonts w:cs="Times New Roman"/>
          <w:b w:val="0"/>
          <w:szCs w:val="24"/>
          <w:lang w:val="tr-TR"/>
        </w:rPr>
        <w:sectPr w:rsidR="00451031" w:rsidRPr="000E2377" w:rsidSect="00451031">
          <w:footerReference w:type="default" r:id="rId11"/>
          <w:pgSz w:w="11906" w:h="16838"/>
          <w:pgMar w:top="1440" w:right="1440" w:bottom="1440" w:left="1440" w:header="708" w:footer="708" w:gutter="0"/>
          <w:pgNumType w:fmt="lowerRoman" w:start="1"/>
          <w:cols w:space="708"/>
          <w:docGrid w:linePitch="360"/>
        </w:sectPr>
      </w:pPr>
      <w:r w:rsidRPr="000E2377">
        <w:rPr>
          <w:rFonts w:cs="Times New Roman"/>
          <w:b w:val="0"/>
          <w:szCs w:val="24"/>
          <w:lang w:val="tr-TR"/>
        </w:rPr>
        <w:t xml:space="preserve">Lastly, my special and deepest appreciation and thanks go to my beloved parents, Ibrahim Ismail and Nor’Aini Hamzah. Their constant support and encouragement </w:t>
      </w:r>
      <w:r w:rsidR="00806961" w:rsidRPr="000E2377">
        <w:rPr>
          <w:rFonts w:cs="Times New Roman"/>
          <w:b w:val="0"/>
          <w:szCs w:val="24"/>
          <w:lang w:val="tr-TR"/>
        </w:rPr>
        <w:t>give</w:t>
      </w:r>
      <w:r w:rsidR="00806961">
        <w:rPr>
          <w:rFonts w:cs="Times New Roman"/>
          <w:b w:val="0"/>
          <w:szCs w:val="24"/>
          <w:lang w:val="tr-TR"/>
        </w:rPr>
        <w:t>-</w:t>
      </w:r>
      <w:r w:rsidR="00806961" w:rsidRPr="000E2377">
        <w:rPr>
          <w:rFonts w:cs="Times New Roman"/>
          <w:b w:val="0"/>
          <w:szCs w:val="24"/>
          <w:lang w:val="tr-TR"/>
        </w:rPr>
        <w:t xml:space="preserve"> </w:t>
      </w:r>
      <w:r w:rsidRPr="000E2377">
        <w:rPr>
          <w:rFonts w:cs="Times New Roman"/>
          <w:b w:val="0"/>
          <w:szCs w:val="24"/>
          <w:lang w:val="tr-TR"/>
        </w:rPr>
        <w:t>the warmth and strength to me. They are always there, ever present to share my success as well as during my sad and down times. Their inspiration, understanding, patience and support help me to complete this thesis. For my siblings; Muhammad Fakhri, Muhammad Syafiq, Muhammad Syahmi, Nur Fatinah, Muhammad Zharif and Muhammad Syakir, I love you all so much and you have inspired me to successfully completed my PhD.</w:t>
      </w:r>
    </w:p>
    <w:p w14:paraId="3D2EC39D" w14:textId="35C0C513" w:rsidR="00741AE2" w:rsidRPr="000E2377" w:rsidRDefault="00741AE2" w:rsidP="00741AE2">
      <w:pPr>
        <w:keepNext/>
        <w:keepLines/>
        <w:spacing w:before="480" w:after="0"/>
        <w:jc w:val="center"/>
        <w:outlineLvl w:val="0"/>
        <w:rPr>
          <w:rFonts w:eastAsiaTheme="majorEastAsia" w:cs="Times New Roman"/>
          <w:bCs/>
          <w:sz w:val="44"/>
          <w:szCs w:val="44"/>
          <w:lang w:val="en-GB"/>
        </w:rPr>
      </w:pPr>
      <w:bookmarkStart w:id="12" w:name="_Toc525526372"/>
      <w:bookmarkStart w:id="13" w:name="_Toc525707790"/>
      <w:bookmarkStart w:id="14" w:name="_Toc525742454"/>
      <w:bookmarkStart w:id="15" w:name="_Toc12994932"/>
      <w:r w:rsidRPr="000E2377">
        <w:rPr>
          <w:rFonts w:eastAsiaTheme="majorEastAsia" w:cs="Times New Roman"/>
          <w:bCs/>
          <w:sz w:val="44"/>
          <w:szCs w:val="44"/>
          <w:lang w:val="en-GB"/>
        </w:rPr>
        <w:lastRenderedPageBreak/>
        <w:t>Abstract</w:t>
      </w:r>
      <w:bookmarkEnd w:id="9"/>
      <w:bookmarkEnd w:id="10"/>
      <w:bookmarkEnd w:id="11"/>
      <w:bookmarkEnd w:id="12"/>
      <w:bookmarkEnd w:id="13"/>
      <w:bookmarkEnd w:id="14"/>
      <w:bookmarkEnd w:id="15"/>
    </w:p>
    <w:p w14:paraId="2922EA04" w14:textId="77777777" w:rsidR="003F1C80" w:rsidRPr="000E2377" w:rsidRDefault="003F1C80" w:rsidP="00E22405">
      <w:pPr>
        <w:spacing w:line="360" w:lineRule="auto"/>
        <w:jc w:val="both"/>
        <w:rPr>
          <w:rFonts w:asciiTheme="majorBidi" w:hAnsiTheme="majorBidi"/>
          <w:b w:val="0"/>
        </w:rPr>
      </w:pPr>
    </w:p>
    <w:p w14:paraId="489CD13A" w14:textId="7296111D" w:rsidR="00A40A45" w:rsidRDefault="00D71DBB" w:rsidP="00A40A45">
      <w:pPr>
        <w:spacing w:line="360" w:lineRule="auto"/>
        <w:jc w:val="both"/>
        <w:rPr>
          <w:rFonts w:asciiTheme="majorBidi" w:hAnsiTheme="majorBidi" w:cstheme="majorBidi"/>
          <w:b w:val="0"/>
          <w:szCs w:val="24"/>
        </w:rPr>
      </w:pPr>
      <w:r w:rsidRPr="00D71DBB">
        <w:rPr>
          <w:rFonts w:asciiTheme="majorBidi" w:hAnsiTheme="majorBidi" w:cstheme="majorBidi"/>
          <w:b w:val="0"/>
          <w:szCs w:val="24"/>
        </w:rPr>
        <w:t xml:space="preserve">Boroaluminosilicate glasses are of significant interest for a variety of applications. More generally these glasses are interesting because both boron and alumina are in competition for charge compensating modifiers that allow them to adopt tetrahedral coordination within the glass network, which can be expected to </w:t>
      </w:r>
      <w:r w:rsidR="00806961">
        <w:rPr>
          <w:rFonts w:asciiTheme="majorBidi" w:hAnsiTheme="majorBidi" w:cstheme="majorBidi"/>
          <w:b w:val="0"/>
          <w:szCs w:val="24"/>
        </w:rPr>
        <w:t>a</w:t>
      </w:r>
      <w:r w:rsidR="00806961" w:rsidRPr="00D71DBB">
        <w:rPr>
          <w:rFonts w:asciiTheme="majorBidi" w:hAnsiTheme="majorBidi" w:cstheme="majorBidi"/>
          <w:b w:val="0"/>
          <w:szCs w:val="24"/>
        </w:rPr>
        <w:t xml:space="preserve">ffect </w:t>
      </w:r>
      <w:r w:rsidRPr="00D71DBB">
        <w:rPr>
          <w:rFonts w:asciiTheme="majorBidi" w:hAnsiTheme="majorBidi" w:cstheme="majorBidi"/>
          <w:b w:val="0"/>
          <w:szCs w:val="24"/>
        </w:rPr>
        <w:t>overall glass properties</w:t>
      </w:r>
      <w:r w:rsidRPr="000E2377">
        <w:rPr>
          <w:rFonts w:asciiTheme="majorBidi" w:hAnsiTheme="majorBidi"/>
          <w:b w:val="0"/>
        </w:rPr>
        <w:t xml:space="preserve"> </w:t>
      </w:r>
      <w:r w:rsidR="0002674E" w:rsidRPr="000E2377">
        <w:rPr>
          <w:rFonts w:asciiTheme="majorBidi" w:hAnsiTheme="majorBidi"/>
          <w:b w:val="0"/>
        </w:rPr>
        <w:t>Understanding</w:t>
      </w:r>
      <w:r w:rsidR="007A592D">
        <w:rPr>
          <w:rFonts w:asciiTheme="majorBidi" w:hAnsiTheme="majorBidi"/>
          <w:b w:val="0"/>
        </w:rPr>
        <w:t xml:space="preserve"> </w:t>
      </w:r>
      <w:r w:rsidR="0002674E" w:rsidRPr="000E2377">
        <w:rPr>
          <w:rFonts w:asciiTheme="majorBidi" w:hAnsiTheme="majorBidi"/>
          <w:b w:val="0"/>
        </w:rPr>
        <w:t>composition-structure-</w:t>
      </w:r>
      <w:r w:rsidR="00E26E93" w:rsidRPr="000E2377">
        <w:rPr>
          <w:rFonts w:asciiTheme="majorBidi" w:hAnsiTheme="majorBidi"/>
          <w:b w:val="0"/>
        </w:rPr>
        <w:t>propert</w:t>
      </w:r>
      <w:r w:rsidR="00E26E93">
        <w:rPr>
          <w:rFonts w:asciiTheme="majorBidi" w:hAnsiTheme="majorBidi"/>
          <w:b w:val="0"/>
        </w:rPr>
        <w:t>y relationships in</w:t>
      </w:r>
      <w:r w:rsidR="0002674E" w:rsidRPr="000E2377">
        <w:rPr>
          <w:rFonts w:asciiTheme="majorBidi" w:hAnsiTheme="majorBidi"/>
          <w:b w:val="0"/>
        </w:rPr>
        <w:t xml:space="preserve"> boroaluminosilicate glass </w:t>
      </w:r>
      <w:r w:rsidR="00E26E93">
        <w:rPr>
          <w:rFonts w:asciiTheme="majorBidi" w:hAnsiTheme="majorBidi"/>
          <w:b w:val="0"/>
        </w:rPr>
        <w:t xml:space="preserve">is </w:t>
      </w:r>
      <w:r w:rsidR="0002674E" w:rsidRPr="000E2377">
        <w:rPr>
          <w:rFonts w:asciiTheme="majorBidi" w:hAnsiTheme="majorBidi"/>
          <w:b w:val="0"/>
        </w:rPr>
        <w:t xml:space="preserve">important </w:t>
      </w:r>
      <w:r w:rsidR="0022516B">
        <w:rPr>
          <w:rFonts w:asciiTheme="majorBidi" w:hAnsiTheme="majorBidi"/>
          <w:b w:val="0"/>
        </w:rPr>
        <w:t xml:space="preserve">to </w:t>
      </w:r>
      <w:r w:rsidR="005D1A70">
        <w:rPr>
          <w:rFonts w:asciiTheme="majorBidi" w:hAnsiTheme="majorBidi"/>
          <w:b w:val="0"/>
        </w:rPr>
        <w:t>enabling</w:t>
      </w:r>
      <w:r w:rsidR="005D1A70" w:rsidRPr="000E2377">
        <w:rPr>
          <w:rFonts w:asciiTheme="majorBidi" w:hAnsiTheme="majorBidi"/>
          <w:b w:val="0"/>
        </w:rPr>
        <w:t xml:space="preserve"> </w:t>
      </w:r>
      <w:r w:rsidR="000D0006">
        <w:rPr>
          <w:rFonts w:asciiTheme="majorBidi" w:hAnsiTheme="majorBidi"/>
          <w:b w:val="0"/>
        </w:rPr>
        <w:t xml:space="preserve">property </w:t>
      </w:r>
      <w:r w:rsidR="0002674E" w:rsidRPr="000E2377">
        <w:rPr>
          <w:rFonts w:asciiTheme="majorBidi" w:hAnsiTheme="majorBidi"/>
          <w:b w:val="0"/>
        </w:rPr>
        <w:t>optimis</w:t>
      </w:r>
      <w:r w:rsidR="0022516B">
        <w:rPr>
          <w:rFonts w:asciiTheme="majorBidi" w:hAnsiTheme="majorBidi"/>
          <w:b w:val="0"/>
        </w:rPr>
        <w:t xml:space="preserve">ation </w:t>
      </w:r>
      <w:r w:rsidR="000D0006">
        <w:rPr>
          <w:rFonts w:asciiTheme="majorBidi" w:hAnsiTheme="majorBidi"/>
          <w:b w:val="0"/>
        </w:rPr>
        <w:t>as a function of</w:t>
      </w:r>
      <w:r w:rsidR="0002674E" w:rsidRPr="000E2377">
        <w:rPr>
          <w:rFonts w:asciiTheme="majorBidi" w:hAnsiTheme="majorBidi"/>
          <w:b w:val="0"/>
        </w:rPr>
        <w:t xml:space="preserve"> composition design.  </w:t>
      </w:r>
      <w:r w:rsidR="00B813A5" w:rsidRPr="000E2377">
        <w:rPr>
          <w:rFonts w:asciiTheme="majorBidi" w:hAnsiTheme="majorBidi" w:cstheme="majorBidi"/>
          <w:b w:val="0"/>
          <w:szCs w:val="24"/>
        </w:rPr>
        <w:t xml:space="preserve">This project is </w:t>
      </w:r>
      <w:r w:rsidR="000D0006">
        <w:rPr>
          <w:rFonts w:asciiTheme="majorBidi" w:hAnsiTheme="majorBidi" w:cstheme="majorBidi"/>
          <w:b w:val="0"/>
          <w:szCs w:val="24"/>
        </w:rPr>
        <w:t>aimed at increasing</w:t>
      </w:r>
      <w:r w:rsidR="00B813A5" w:rsidRPr="000E2377">
        <w:rPr>
          <w:rFonts w:asciiTheme="majorBidi" w:hAnsiTheme="majorBidi" w:cstheme="majorBidi"/>
          <w:b w:val="0"/>
          <w:szCs w:val="24"/>
        </w:rPr>
        <w:t xml:space="preserve"> understand</w:t>
      </w:r>
      <w:r w:rsidR="000D0006">
        <w:rPr>
          <w:rFonts w:asciiTheme="majorBidi" w:hAnsiTheme="majorBidi" w:cstheme="majorBidi"/>
          <w:b w:val="0"/>
          <w:szCs w:val="24"/>
        </w:rPr>
        <w:t>ing of</w:t>
      </w:r>
      <w:r w:rsidR="00B813A5" w:rsidRPr="000E2377">
        <w:rPr>
          <w:rFonts w:asciiTheme="majorBidi" w:hAnsiTheme="majorBidi" w:cstheme="majorBidi"/>
          <w:b w:val="0"/>
          <w:szCs w:val="24"/>
        </w:rPr>
        <w:t xml:space="preserve"> how composition affects the mechanical properties of boroaluminosilicate glasses </w:t>
      </w:r>
      <w:r w:rsidR="00B813A5" w:rsidRPr="000E2377">
        <w:rPr>
          <w:rFonts w:asciiTheme="majorBidi" w:eastAsiaTheme="minorEastAsia" w:hAnsiTheme="majorBidi" w:cstheme="majorBidi"/>
          <w:b w:val="0"/>
          <w:color w:val="000000" w:themeColor="text1"/>
          <w:kern w:val="24"/>
          <w:szCs w:val="24"/>
          <w:lang w:eastAsia="en-MY"/>
        </w:rPr>
        <w:t xml:space="preserve">with varying amounts of the </w:t>
      </w:r>
      <w:r w:rsidR="006A6CDA" w:rsidRPr="000E2377">
        <w:rPr>
          <w:rFonts w:asciiTheme="majorBidi" w:eastAsiaTheme="minorEastAsia" w:hAnsiTheme="majorBidi" w:cstheme="majorBidi"/>
          <w:b w:val="0"/>
          <w:color w:val="000000" w:themeColor="text1"/>
          <w:kern w:val="24"/>
          <w:szCs w:val="24"/>
          <w:lang w:eastAsia="en-MY"/>
        </w:rPr>
        <w:t>three</w:t>
      </w:r>
      <w:r w:rsidR="00B813A5" w:rsidRPr="000E2377">
        <w:rPr>
          <w:rFonts w:asciiTheme="majorBidi" w:eastAsiaTheme="minorEastAsia" w:hAnsiTheme="majorBidi" w:cstheme="majorBidi"/>
          <w:b w:val="0"/>
          <w:color w:val="000000" w:themeColor="text1"/>
          <w:kern w:val="24"/>
          <w:szCs w:val="24"/>
          <w:lang w:eastAsia="en-MY"/>
        </w:rPr>
        <w:t xml:space="preserve"> glass formers (SiO</w:t>
      </w:r>
      <w:r w:rsidR="00B813A5" w:rsidRPr="000E2377">
        <w:rPr>
          <w:rFonts w:asciiTheme="majorBidi" w:eastAsiaTheme="minorEastAsia" w:hAnsiTheme="majorBidi" w:cstheme="majorBidi"/>
          <w:b w:val="0"/>
          <w:color w:val="000000" w:themeColor="text1"/>
          <w:kern w:val="24"/>
          <w:szCs w:val="24"/>
          <w:vertAlign w:val="subscript"/>
          <w:lang w:eastAsia="en-MY"/>
        </w:rPr>
        <w:t>2</w:t>
      </w:r>
      <w:r w:rsidR="00B813A5" w:rsidRPr="000E2377">
        <w:rPr>
          <w:rFonts w:asciiTheme="majorBidi" w:eastAsiaTheme="minorEastAsia" w:hAnsiTheme="majorBidi" w:cstheme="majorBidi"/>
          <w:b w:val="0"/>
          <w:color w:val="000000" w:themeColor="text1"/>
          <w:kern w:val="24"/>
          <w:szCs w:val="24"/>
          <w:lang w:eastAsia="en-MY"/>
        </w:rPr>
        <w:t>, Al</w:t>
      </w:r>
      <w:r w:rsidR="00B813A5" w:rsidRPr="000E2377">
        <w:rPr>
          <w:rFonts w:asciiTheme="majorBidi" w:eastAsiaTheme="minorEastAsia" w:hAnsiTheme="majorBidi" w:cstheme="majorBidi"/>
          <w:b w:val="0"/>
          <w:color w:val="000000" w:themeColor="text1"/>
          <w:kern w:val="24"/>
          <w:szCs w:val="24"/>
          <w:vertAlign w:val="subscript"/>
          <w:lang w:eastAsia="en-MY"/>
        </w:rPr>
        <w:t>2</w:t>
      </w:r>
      <w:r w:rsidR="00B813A5" w:rsidRPr="000E2377">
        <w:rPr>
          <w:rFonts w:asciiTheme="majorBidi" w:eastAsiaTheme="minorEastAsia" w:hAnsiTheme="majorBidi" w:cstheme="majorBidi"/>
          <w:b w:val="0"/>
          <w:color w:val="000000" w:themeColor="text1"/>
          <w:kern w:val="24"/>
          <w:szCs w:val="24"/>
          <w:lang w:eastAsia="en-MY"/>
        </w:rPr>
        <w:t>O</w:t>
      </w:r>
      <w:r w:rsidR="00B813A5" w:rsidRPr="000E2377">
        <w:rPr>
          <w:rFonts w:asciiTheme="majorBidi" w:eastAsiaTheme="minorEastAsia" w:hAnsiTheme="majorBidi" w:cstheme="majorBidi"/>
          <w:b w:val="0"/>
          <w:color w:val="000000" w:themeColor="text1"/>
          <w:kern w:val="24"/>
          <w:szCs w:val="24"/>
          <w:vertAlign w:val="subscript"/>
          <w:lang w:eastAsia="en-MY"/>
        </w:rPr>
        <w:t>3</w:t>
      </w:r>
      <w:r w:rsidR="00B813A5" w:rsidRPr="000E2377">
        <w:rPr>
          <w:rFonts w:asciiTheme="majorBidi" w:eastAsiaTheme="minorEastAsia" w:hAnsiTheme="majorBidi" w:cstheme="majorBidi"/>
          <w:b w:val="0"/>
          <w:color w:val="000000" w:themeColor="text1"/>
          <w:kern w:val="24"/>
          <w:szCs w:val="24"/>
          <w:lang w:eastAsia="en-MY"/>
        </w:rPr>
        <w:t xml:space="preserve"> and B</w:t>
      </w:r>
      <w:r w:rsidR="00B813A5" w:rsidRPr="000E2377">
        <w:rPr>
          <w:rFonts w:asciiTheme="majorBidi" w:eastAsiaTheme="minorEastAsia" w:hAnsiTheme="majorBidi" w:cstheme="majorBidi"/>
          <w:b w:val="0"/>
          <w:color w:val="000000" w:themeColor="text1"/>
          <w:kern w:val="24"/>
          <w:szCs w:val="24"/>
          <w:vertAlign w:val="subscript"/>
          <w:lang w:eastAsia="en-MY"/>
        </w:rPr>
        <w:t>2</w:t>
      </w:r>
      <w:r w:rsidR="00B813A5" w:rsidRPr="000E2377">
        <w:rPr>
          <w:rFonts w:asciiTheme="majorBidi" w:eastAsiaTheme="minorEastAsia" w:hAnsiTheme="majorBidi" w:cstheme="majorBidi"/>
          <w:b w:val="0"/>
          <w:color w:val="000000" w:themeColor="text1"/>
          <w:kern w:val="24"/>
          <w:szCs w:val="24"/>
          <w:lang w:eastAsia="en-MY"/>
        </w:rPr>
        <w:t>O</w:t>
      </w:r>
      <w:r w:rsidR="00B813A5" w:rsidRPr="000E2377">
        <w:rPr>
          <w:rFonts w:asciiTheme="majorBidi" w:eastAsiaTheme="minorEastAsia" w:hAnsiTheme="majorBidi" w:cstheme="majorBidi"/>
          <w:b w:val="0"/>
          <w:color w:val="000000" w:themeColor="text1"/>
          <w:kern w:val="24"/>
          <w:szCs w:val="24"/>
          <w:vertAlign w:val="subscript"/>
          <w:lang w:eastAsia="en-MY"/>
        </w:rPr>
        <w:t>3</w:t>
      </w:r>
      <w:r w:rsidR="00B813A5" w:rsidRPr="000E2377">
        <w:rPr>
          <w:rFonts w:asciiTheme="majorBidi" w:eastAsiaTheme="minorEastAsia" w:hAnsiTheme="majorBidi" w:cstheme="majorBidi"/>
          <w:b w:val="0"/>
          <w:color w:val="000000" w:themeColor="text1"/>
          <w:kern w:val="24"/>
          <w:szCs w:val="24"/>
          <w:lang w:eastAsia="en-MY"/>
        </w:rPr>
        <w:t>)</w:t>
      </w:r>
      <w:r w:rsidR="00B813A5" w:rsidRPr="000E2377">
        <w:rPr>
          <w:rFonts w:asciiTheme="majorBidi" w:hAnsiTheme="majorBidi" w:cstheme="majorBidi"/>
          <w:b w:val="0"/>
          <w:szCs w:val="24"/>
        </w:rPr>
        <w:t xml:space="preserve"> and different alkaline earth modifiers.</w:t>
      </w:r>
      <w:r w:rsidR="00C70A05">
        <w:rPr>
          <w:rFonts w:asciiTheme="majorBidi" w:hAnsiTheme="majorBidi" w:cstheme="majorBidi"/>
          <w:b w:val="0"/>
          <w:szCs w:val="24"/>
        </w:rPr>
        <w:t xml:space="preserve"> </w:t>
      </w:r>
      <w:r w:rsidR="00B813A5" w:rsidRPr="000E2377">
        <w:rPr>
          <w:rFonts w:asciiTheme="majorBidi" w:hAnsiTheme="majorBidi" w:cstheme="majorBidi"/>
          <w:b w:val="0"/>
          <w:szCs w:val="24"/>
        </w:rPr>
        <w:t xml:space="preserve"> Particular attention is focussed on the structural role of sodium as a charge compensator on the composition-structure-properties relationships in boroaluminosilicate glass. </w:t>
      </w:r>
      <w:r w:rsidR="000D0006">
        <w:rPr>
          <w:rFonts w:asciiTheme="majorBidi" w:hAnsiTheme="majorBidi" w:cstheme="majorBidi"/>
          <w:b w:val="0"/>
          <w:szCs w:val="24"/>
        </w:rPr>
        <w:t>Essentially the</w:t>
      </w:r>
      <w:r w:rsidR="00A40A45">
        <w:rPr>
          <w:rFonts w:asciiTheme="majorBidi" w:hAnsiTheme="majorBidi" w:cstheme="majorBidi"/>
          <w:b w:val="0"/>
          <w:szCs w:val="24"/>
        </w:rPr>
        <w:t xml:space="preserve"> network </w:t>
      </w:r>
      <w:r w:rsidR="000D0006">
        <w:rPr>
          <w:rFonts w:asciiTheme="majorBidi" w:hAnsiTheme="majorBidi" w:cstheme="majorBidi"/>
          <w:b w:val="0"/>
          <w:szCs w:val="24"/>
        </w:rPr>
        <w:t xml:space="preserve">modifiers can be associated with </w:t>
      </w:r>
      <w:r w:rsidR="000D0006" w:rsidRPr="000E2377">
        <w:rPr>
          <w:rFonts w:asciiTheme="majorBidi" w:eastAsiaTheme="minorEastAsia" w:hAnsiTheme="majorBidi" w:cstheme="majorBidi"/>
          <w:b w:val="0"/>
          <w:color w:val="000000" w:themeColor="text1"/>
          <w:kern w:val="24"/>
          <w:szCs w:val="24"/>
          <w:lang w:eastAsia="en-MY"/>
        </w:rPr>
        <w:t>SiO</w:t>
      </w:r>
      <w:r w:rsidR="000D0006" w:rsidRPr="000E2377">
        <w:rPr>
          <w:rFonts w:asciiTheme="majorBidi" w:eastAsiaTheme="minorEastAsia" w:hAnsiTheme="majorBidi" w:cstheme="majorBidi"/>
          <w:b w:val="0"/>
          <w:color w:val="000000" w:themeColor="text1"/>
          <w:kern w:val="24"/>
          <w:szCs w:val="24"/>
          <w:vertAlign w:val="subscript"/>
          <w:lang w:eastAsia="en-MY"/>
        </w:rPr>
        <w:t>2</w:t>
      </w:r>
      <w:r w:rsidR="000D0006" w:rsidRPr="000E2377">
        <w:rPr>
          <w:rFonts w:asciiTheme="majorBidi" w:eastAsiaTheme="minorEastAsia" w:hAnsiTheme="majorBidi" w:cstheme="majorBidi"/>
          <w:b w:val="0"/>
          <w:color w:val="000000" w:themeColor="text1"/>
          <w:kern w:val="24"/>
          <w:szCs w:val="24"/>
          <w:lang w:eastAsia="en-MY"/>
        </w:rPr>
        <w:t>, Al</w:t>
      </w:r>
      <w:r w:rsidR="000D0006" w:rsidRPr="000E2377">
        <w:rPr>
          <w:rFonts w:asciiTheme="majorBidi" w:eastAsiaTheme="minorEastAsia" w:hAnsiTheme="majorBidi" w:cstheme="majorBidi"/>
          <w:b w:val="0"/>
          <w:color w:val="000000" w:themeColor="text1"/>
          <w:kern w:val="24"/>
          <w:szCs w:val="24"/>
          <w:vertAlign w:val="subscript"/>
          <w:lang w:eastAsia="en-MY"/>
        </w:rPr>
        <w:t>2</w:t>
      </w:r>
      <w:r w:rsidR="000D0006" w:rsidRPr="000E2377">
        <w:rPr>
          <w:rFonts w:asciiTheme="majorBidi" w:eastAsiaTheme="minorEastAsia" w:hAnsiTheme="majorBidi" w:cstheme="majorBidi"/>
          <w:b w:val="0"/>
          <w:color w:val="000000" w:themeColor="text1"/>
          <w:kern w:val="24"/>
          <w:szCs w:val="24"/>
          <w:lang w:eastAsia="en-MY"/>
        </w:rPr>
        <w:t>O</w:t>
      </w:r>
      <w:r w:rsidR="000D0006" w:rsidRPr="000E2377">
        <w:rPr>
          <w:rFonts w:asciiTheme="majorBidi" w:eastAsiaTheme="minorEastAsia" w:hAnsiTheme="majorBidi" w:cstheme="majorBidi"/>
          <w:b w:val="0"/>
          <w:color w:val="000000" w:themeColor="text1"/>
          <w:kern w:val="24"/>
          <w:szCs w:val="24"/>
          <w:vertAlign w:val="subscript"/>
          <w:lang w:eastAsia="en-MY"/>
        </w:rPr>
        <w:t>3</w:t>
      </w:r>
      <w:r w:rsidR="000D0006" w:rsidRPr="000E2377">
        <w:rPr>
          <w:rFonts w:asciiTheme="majorBidi" w:eastAsiaTheme="minorEastAsia" w:hAnsiTheme="majorBidi" w:cstheme="majorBidi"/>
          <w:b w:val="0"/>
          <w:color w:val="000000" w:themeColor="text1"/>
          <w:kern w:val="24"/>
          <w:szCs w:val="24"/>
          <w:lang w:eastAsia="en-MY"/>
        </w:rPr>
        <w:t xml:space="preserve"> and B</w:t>
      </w:r>
      <w:r w:rsidR="000D0006" w:rsidRPr="000E2377">
        <w:rPr>
          <w:rFonts w:asciiTheme="majorBidi" w:eastAsiaTheme="minorEastAsia" w:hAnsiTheme="majorBidi" w:cstheme="majorBidi"/>
          <w:b w:val="0"/>
          <w:color w:val="000000" w:themeColor="text1"/>
          <w:kern w:val="24"/>
          <w:szCs w:val="24"/>
          <w:vertAlign w:val="subscript"/>
          <w:lang w:eastAsia="en-MY"/>
        </w:rPr>
        <w:t>2</w:t>
      </w:r>
      <w:r w:rsidR="000D0006" w:rsidRPr="000E2377">
        <w:rPr>
          <w:rFonts w:asciiTheme="majorBidi" w:eastAsiaTheme="minorEastAsia" w:hAnsiTheme="majorBidi" w:cstheme="majorBidi"/>
          <w:b w:val="0"/>
          <w:color w:val="000000" w:themeColor="text1"/>
          <w:kern w:val="24"/>
          <w:szCs w:val="24"/>
          <w:lang w:eastAsia="en-MY"/>
        </w:rPr>
        <w:t>O</w:t>
      </w:r>
      <w:r w:rsidR="000D0006" w:rsidRPr="000E2377">
        <w:rPr>
          <w:rFonts w:asciiTheme="majorBidi" w:eastAsiaTheme="minorEastAsia" w:hAnsiTheme="majorBidi" w:cstheme="majorBidi"/>
          <w:b w:val="0"/>
          <w:color w:val="000000" w:themeColor="text1"/>
          <w:kern w:val="24"/>
          <w:szCs w:val="24"/>
          <w:vertAlign w:val="subscript"/>
          <w:lang w:eastAsia="en-MY"/>
        </w:rPr>
        <w:t>3</w:t>
      </w:r>
      <w:r w:rsidR="000D0006">
        <w:rPr>
          <w:rFonts w:asciiTheme="majorBidi" w:hAnsiTheme="majorBidi" w:cstheme="majorBidi"/>
          <w:b w:val="0"/>
          <w:szCs w:val="24"/>
        </w:rPr>
        <w:t xml:space="preserve"> in different ways making it difficult to predict</w:t>
      </w:r>
      <w:r w:rsidR="00A40A45">
        <w:rPr>
          <w:rFonts w:asciiTheme="majorBidi" w:hAnsiTheme="majorBidi" w:cstheme="majorBidi"/>
          <w:b w:val="0"/>
          <w:szCs w:val="24"/>
        </w:rPr>
        <w:t xml:space="preserve"> the mechanical properties </w:t>
      </w:r>
      <w:r w:rsidR="000D0006">
        <w:rPr>
          <w:rFonts w:asciiTheme="majorBidi" w:hAnsiTheme="majorBidi" w:cstheme="majorBidi"/>
          <w:b w:val="0"/>
          <w:szCs w:val="24"/>
        </w:rPr>
        <w:t>of such glasses</w:t>
      </w:r>
      <w:r w:rsidR="00A40A45">
        <w:rPr>
          <w:rFonts w:asciiTheme="majorBidi" w:hAnsiTheme="majorBidi" w:cstheme="majorBidi"/>
          <w:b w:val="0"/>
          <w:szCs w:val="24"/>
        </w:rPr>
        <w:t xml:space="preserve">.  </w:t>
      </w:r>
    </w:p>
    <w:p w14:paraId="32C94D96" w14:textId="52860E13" w:rsidR="00B13B01" w:rsidRPr="00C47EA8" w:rsidRDefault="00382C27" w:rsidP="00C25708">
      <w:pPr>
        <w:pStyle w:val="ListParagraph"/>
        <w:spacing w:line="360" w:lineRule="auto"/>
        <w:ind w:left="0"/>
        <w:jc w:val="both"/>
        <w:rPr>
          <w:rFonts w:asciiTheme="majorBidi" w:hAnsiTheme="majorBidi" w:cstheme="majorBidi"/>
          <w:b w:val="0"/>
          <w:szCs w:val="24"/>
        </w:rPr>
      </w:pPr>
      <w:r w:rsidRPr="000E2377">
        <w:rPr>
          <w:rFonts w:asciiTheme="majorBidi" w:hAnsiTheme="majorBidi" w:cstheme="majorBidi"/>
          <w:b w:val="0"/>
          <w:szCs w:val="24"/>
        </w:rPr>
        <w:t>In this research, 10</w:t>
      </w:r>
      <w:r w:rsidR="00B813A5" w:rsidRPr="000E2377">
        <w:rPr>
          <w:rFonts w:asciiTheme="majorBidi" w:hAnsiTheme="majorBidi" w:cstheme="majorBidi"/>
          <w:b w:val="0"/>
          <w:szCs w:val="24"/>
        </w:rPr>
        <w:t xml:space="preserve"> </w:t>
      </w:r>
      <w:r w:rsidRPr="000E2377">
        <w:rPr>
          <w:rFonts w:asciiTheme="majorBidi" w:hAnsiTheme="majorBidi" w:cstheme="majorBidi"/>
          <w:b w:val="0"/>
          <w:szCs w:val="24"/>
        </w:rPr>
        <w:t xml:space="preserve">different </w:t>
      </w:r>
      <w:r w:rsidR="00B813A5" w:rsidRPr="000E2377">
        <w:rPr>
          <w:rFonts w:asciiTheme="majorBidi" w:hAnsiTheme="majorBidi" w:cstheme="majorBidi"/>
          <w:b w:val="0"/>
          <w:szCs w:val="24"/>
        </w:rPr>
        <w:t xml:space="preserve">series of glasses have been synthesized. </w:t>
      </w:r>
      <w:r w:rsidRPr="000E2377">
        <w:rPr>
          <w:rFonts w:asciiTheme="majorBidi" w:hAnsiTheme="majorBidi" w:cstheme="majorBidi"/>
          <w:b w:val="0"/>
          <w:szCs w:val="24"/>
        </w:rPr>
        <w:t xml:space="preserve">The series </w:t>
      </w:r>
      <w:r w:rsidR="0022516B">
        <w:rPr>
          <w:rFonts w:asciiTheme="majorBidi" w:hAnsiTheme="majorBidi" w:cstheme="majorBidi"/>
          <w:b w:val="0"/>
          <w:szCs w:val="24"/>
        </w:rPr>
        <w:t>had varying</w:t>
      </w:r>
      <w:r w:rsidRPr="000E2377">
        <w:rPr>
          <w:rFonts w:asciiTheme="majorBidi" w:hAnsiTheme="majorBidi" w:cstheme="majorBidi"/>
          <w:b w:val="0"/>
          <w:szCs w:val="24"/>
        </w:rPr>
        <w:t xml:space="preserve"> silica/alumina</w:t>
      </w:r>
      <w:r w:rsidR="0022516B">
        <w:rPr>
          <w:rFonts w:asciiTheme="majorBidi" w:hAnsiTheme="majorBidi" w:cstheme="majorBidi"/>
          <w:b w:val="0"/>
          <w:szCs w:val="24"/>
        </w:rPr>
        <w:t xml:space="preserve"> ratios</w:t>
      </w:r>
      <w:r w:rsidRPr="000E2377">
        <w:rPr>
          <w:rFonts w:asciiTheme="majorBidi" w:hAnsiTheme="majorBidi" w:cstheme="majorBidi"/>
          <w:b w:val="0"/>
          <w:szCs w:val="24"/>
        </w:rPr>
        <w:t>, boron/alumina</w:t>
      </w:r>
      <w:r w:rsidR="0022516B">
        <w:rPr>
          <w:rFonts w:asciiTheme="majorBidi" w:hAnsiTheme="majorBidi" w:cstheme="majorBidi"/>
          <w:b w:val="0"/>
          <w:szCs w:val="24"/>
        </w:rPr>
        <w:t xml:space="preserve"> ratios</w:t>
      </w:r>
      <w:r w:rsidR="00D01630" w:rsidRPr="000E2377">
        <w:rPr>
          <w:rFonts w:asciiTheme="majorBidi" w:hAnsiTheme="majorBidi" w:cstheme="majorBidi"/>
          <w:b w:val="0"/>
          <w:szCs w:val="24"/>
        </w:rPr>
        <w:t>,</w:t>
      </w:r>
      <w:r w:rsidRPr="000E2377">
        <w:rPr>
          <w:rFonts w:asciiTheme="majorBidi" w:hAnsiTheme="majorBidi" w:cstheme="majorBidi"/>
          <w:b w:val="0"/>
          <w:szCs w:val="24"/>
        </w:rPr>
        <w:t xml:space="preserve"> alkaline earth/alumina ratio</w:t>
      </w:r>
      <w:r w:rsidR="0022516B">
        <w:rPr>
          <w:rFonts w:asciiTheme="majorBidi" w:hAnsiTheme="majorBidi" w:cstheme="majorBidi"/>
          <w:b w:val="0"/>
          <w:szCs w:val="24"/>
        </w:rPr>
        <w:t>s</w:t>
      </w:r>
      <w:r w:rsidR="00D01630" w:rsidRPr="000E2377">
        <w:rPr>
          <w:rFonts w:eastAsia="Times New Roman" w:cs="Times New Roman"/>
          <w:b w:val="0"/>
          <w:color w:val="000000"/>
          <w:szCs w:val="24"/>
          <w:lang w:eastAsia="en-MY"/>
        </w:rPr>
        <w:t xml:space="preserve">, </w:t>
      </w:r>
      <w:r w:rsidR="00291D68">
        <w:rPr>
          <w:rFonts w:eastAsia="Times New Roman" w:cs="Times New Roman"/>
          <w:b w:val="0"/>
          <w:color w:val="000000"/>
          <w:szCs w:val="24"/>
          <w:lang w:eastAsia="en-MY"/>
        </w:rPr>
        <w:t>alkaline earth</w:t>
      </w:r>
      <w:r w:rsidR="00D01630" w:rsidRPr="000E2377">
        <w:rPr>
          <w:rFonts w:eastAsia="Times New Roman" w:cs="Times New Roman"/>
          <w:b w:val="0"/>
          <w:color w:val="000000"/>
          <w:szCs w:val="24"/>
          <w:lang w:eastAsia="en-MY"/>
        </w:rPr>
        <w:t>/silica ratio</w:t>
      </w:r>
      <w:r w:rsidR="0022516B">
        <w:rPr>
          <w:rFonts w:eastAsia="Times New Roman" w:cs="Times New Roman"/>
          <w:b w:val="0"/>
          <w:color w:val="000000"/>
          <w:szCs w:val="24"/>
          <w:lang w:eastAsia="en-MY"/>
        </w:rPr>
        <w:t>s</w:t>
      </w:r>
      <w:r w:rsidR="00D01630" w:rsidRPr="000E2377">
        <w:rPr>
          <w:rFonts w:eastAsia="Times New Roman" w:cs="Times New Roman"/>
          <w:b w:val="0"/>
          <w:color w:val="000000"/>
          <w:szCs w:val="24"/>
          <w:lang w:eastAsia="en-MY"/>
        </w:rPr>
        <w:t xml:space="preserve"> </w:t>
      </w:r>
      <w:r w:rsidR="00A1322B">
        <w:rPr>
          <w:rFonts w:asciiTheme="majorBidi" w:hAnsiTheme="majorBidi" w:cstheme="majorBidi"/>
          <w:b w:val="0"/>
          <w:szCs w:val="24"/>
        </w:rPr>
        <w:t>or</w:t>
      </w:r>
      <w:r w:rsidR="00A1322B" w:rsidRPr="000E2377">
        <w:rPr>
          <w:rFonts w:asciiTheme="majorBidi" w:hAnsiTheme="majorBidi" w:cstheme="majorBidi"/>
          <w:b w:val="0"/>
          <w:szCs w:val="24"/>
        </w:rPr>
        <w:t xml:space="preserve"> </w:t>
      </w:r>
      <w:r w:rsidR="00196C78">
        <w:rPr>
          <w:rFonts w:asciiTheme="majorBidi" w:hAnsiTheme="majorBidi" w:cstheme="majorBidi"/>
          <w:b w:val="0"/>
          <w:szCs w:val="24"/>
        </w:rPr>
        <w:t>alkaline earth</w:t>
      </w:r>
      <w:r w:rsidR="00D01630" w:rsidRPr="000E2377">
        <w:rPr>
          <w:rFonts w:asciiTheme="majorBidi" w:hAnsiTheme="majorBidi" w:cstheme="majorBidi"/>
          <w:b w:val="0"/>
          <w:szCs w:val="24"/>
        </w:rPr>
        <w:t xml:space="preserve"> + alumina/silica </w:t>
      </w:r>
      <w:r w:rsidR="0022516B" w:rsidRPr="000E2377">
        <w:rPr>
          <w:rFonts w:asciiTheme="majorBidi" w:hAnsiTheme="majorBidi" w:cstheme="majorBidi"/>
          <w:b w:val="0"/>
          <w:szCs w:val="24"/>
        </w:rPr>
        <w:t>ratio</w:t>
      </w:r>
      <w:r w:rsidR="0022516B">
        <w:rPr>
          <w:rFonts w:asciiTheme="majorBidi" w:hAnsiTheme="majorBidi" w:cstheme="majorBidi"/>
          <w:b w:val="0"/>
          <w:szCs w:val="24"/>
        </w:rPr>
        <w:t>s</w:t>
      </w:r>
      <w:r w:rsidR="00A1322B">
        <w:rPr>
          <w:rFonts w:asciiTheme="majorBidi" w:hAnsiTheme="majorBidi" w:cstheme="majorBidi"/>
          <w:b w:val="0"/>
          <w:szCs w:val="24"/>
        </w:rPr>
        <w:t>. The</w:t>
      </w:r>
      <w:r w:rsidR="00196C78">
        <w:rPr>
          <w:rFonts w:asciiTheme="majorBidi" w:hAnsiTheme="majorBidi" w:cstheme="majorBidi"/>
          <w:b w:val="0"/>
          <w:szCs w:val="24"/>
        </w:rPr>
        <w:t xml:space="preserve"> alkaline </w:t>
      </w:r>
      <w:r w:rsidR="00A1322B">
        <w:rPr>
          <w:rFonts w:asciiTheme="majorBidi" w:hAnsiTheme="majorBidi" w:cstheme="majorBidi"/>
          <w:b w:val="0"/>
          <w:szCs w:val="24"/>
        </w:rPr>
        <w:t xml:space="preserve">earths </w:t>
      </w:r>
      <w:r w:rsidR="00196C78">
        <w:rPr>
          <w:rFonts w:asciiTheme="majorBidi" w:hAnsiTheme="majorBidi" w:cstheme="majorBidi"/>
          <w:b w:val="0"/>
          <w:szCs w:val="24"/>
        </w:rPr>
        <w:t xml:space="preserve">used were </w:t>
      </w:r>
      <w:proofErr w:type="spellStart"/>
      <w:r w:rsidR="00196C78">
        <w:rPr>
          <w:rFonts w:asciiTheme="majorBidi" w:hAnsiTheme="majorBidi" w:cstheme="majorBidi"/>
          <w:b w:val="0"/>
          <w:szCs w:val="24"/>
        </w:rPr>
        <w:t>CaO</w:t>
      </w:r>
      <w:proofErr w:type="spellEnd"/>
      <w:r w:rsidR="00196C78">
        <w:rPr>
          <w:rFonts w:asciiTheme="majorBidi" w:hAnsiTheme="majorBidi" w:cstheme="majorBidi"/>
          <w:b w:val="0"/>
          <w:szCs w:val="24"/>
        </w:rPr>
        <w:t xml:space="preserve"> or </w:t>
      </w:r>
      <w:proofErr w:type="spellStart"/>
      <w:r w:rsidR="00196C78">
        <w:rPr>
          <w:rFonts w:asciiTheme="majorBidi" w:hAnsiTheme="majorBidi" w:cstheme="majorBidi"/>
          <w:b w:val="0"/>
          <w:szCs w:val="24"/>
        </w:rPr>
        <w:t>BaO</w:t>
      </w:r>
      <w:proofErr w:type="spellEnd"/>
      <w:r w:rsidR="00D01630" w:rsidRPr="000E2377">
        <w:rPr>
          <w:rFonts w:asciiTheme="majorBidi" w:hAnsiTheme="majorBidi" w:cstheme="majorBidi"/>
          <w:b w:val="0"/>
          <w:szCs w:val="24"/>
        </w:rPr>
        <w:t>.</w:t>
      </w:r>
      <w:r w:rsidR="006A6CDA" w:rsidRPr="000E2377">
        <w:rPr>
          <w:rFonts w:asciiTheme="majorBidi" w:hAnsiTheme="majorBidi" w:cstheme="majorBidi"/>
          <w:b w:val="0"/>
          <w:szCs w:val="24"/>
        </w:rPr>
        <w:t xml:space="preserve"> </w:t>
      </w:r>
      <w:r w:rsidR="004F6B4E" w:rsidRPr="000E2377">
        <w:rPr>
          <w:rFonts w:asciiTheme="majorBidi" w:hAnsiTheme="majorBidi" w:cstheme="majorBidi"/>
          <w:b w:val="0"/>
          <w:szCs w:val="24"/>
        </w:rPr>
        <w:t>Variation</w:t>
      </w:r>
      <w:r w:rsidR="003214C4">
        <w:rPr>
          <w:rFonts w:asciiTheme="majorBidi" w:hAnsiTheme="majorBidi" w:cstheme="majorBidi"/>
          <w:b w:val="0"/>
          <w:szCs w:val="24"/>
        </w:rPr>
        <w:t>s</w:t>
      </w:r>
      <w:r w:rsidR="004F6B4E" w:rsidRPr="000E2377">
        <w:rPr>
          <w:rFonts w:asciiTheme="majorBidi" w:hAnsiTheme="majorBidi" w:cstheme="majorBidi"/>
          <w:b w:val="0"/>
          <w:szCs w:val="24"/>
        </w:rPr>
        <w:t xml:space="preserve"> </w:t>
      </w:r>
      <w:r w:rsidR="00A1322B">
        <w:rPr>
          <w:rFonts w:asciiTheme="majorBidi" w:hAnsiTheme="majorBidi" w:cstheme="majorBidi"/>
          <w:b w:val="0"/>
          <w:szCs w:val="24"/>
        </w:rPr>
        <w:t xml:space="preserve">in the </w:t>
      </w:r>
      <w:r w:rsidR="009711ED" w:rsidRPr="000E2377">
        <w:rPr>
          <w:rFonts w:asciiTheme="majorBidi" w:hAnsiTheme="majorBidi" w:cstheme="majorBidi"/>
          <w:b w:val="0"/>
          <w:szCs w:val="24"/>
        </w:rPr>
        <w:t>hardness</w:t>
      </w:r>
      <w:r w:rsidR="002666DE" w:rsidRPr="000E2377">
        <w:rPr>
          <w:rFonts w:asciiTheme="majorBidi" w:hAnsiTheme="majorBidi" w:cstheme="majorBidi"/>
          <w:b w:val="0"/>
          <w:szCs w:val="24"/>
        </w:rPr>
        <w:t xml:space="preserve"> and</w:t>
      </w:r>
      <w:r w:rsidR="009711ED" w:rsidRPr="000E2377">
        <w:rPr>
          <w:rFonts w:asciiTheme="majorBidi" w:hAnsiTheme="majorBidi" w:cstheme="majorBidi"/>
          <w:b w:val="0"/>
          <w:szCs w:val="24"/>
        </w:rPr>
        <w:t xml:space="preserve"> fracture toughness </w:t>
      </w:r>
      <w:r w:rsidR="00A1322B">
        <w:rPr>
          <w:rFonts w:asciiTheme="majorBidi" w:hAnsiTheme="majorBidi" w:cstheme="majorBidi"/>
          <w:b w:val="0"/>
          <w:szCs w:val="24"/>
        </w:rPr>
        <w:t xml:space="preserve">of the glasses </w:t>
      </w:r>
      <w:r w:rsidR="002666DE" w:rsidRPr="000E2377">
        <w:rPr>
          <w:rFonts w:asciiTheme="majorBidi" w:hAnsiTheme="majorBidi" w:cstheme="majorBidi"/>
          <w:b w:val="0"/>
          <w:szCs w:val="24"/>
        </w:rPr>
        <w:t>were measured using</w:t>
      </w:r>
      <w:r w:rsidR="0022516B">
        <w:rPr>
          <w:rFonts w:asciiTheme="majorBidi" w:hAnsiTheme="majorBidi" w:cstheme="majorBidi"/>
          <w:b w:val="0"/>
          <w:szCs w:val="24"/>
        </w:rPr>
        <w:t xml:space="preserve"> the</w:t>
      </w:r>
      <w:r w:rsidR="002666DE" w:rsidRPr="000E2377">
        <w:rPr>
          <w:rFonts w:asciiTheme="majorBidi" w:hAnsiTheme="majorBidi" w:cstheme="majorBidi"/>
          <w:b w:val="0"/>
          <w:szCs w:val="24"/>
        </w:rPr>
        <w:t xml:space="preserve"> indentation method</w:t>
      </w:r>
      <w:r w:rsidR="006521B1">
        <w:rPr>
          <w:rFonts w:asciiTheme="majorBidi" w:hAnsiTheme="majorBidi" w:cstheme="majorBidi"/>
          <w:b w:val="0"/>
          <w:szCs w:val="24"/>
        </w:rPr>
        <w:t xml:space="preserve"> and acoustic measurements were used to find their moduli</w:t>
      </w:r>
      <w:r w:rsidR="000569D1" w:rsidRPr="000E2377">
        <w:rPr>
          <w:rFonts w:asciiTheme="majorBidi" w:hAnsiTheme="majorBidi" w:cstheme="majorBidi"/>
          <w:b w:val="0"/>
          <w:szCs w:val="24"/>
        </w:rPr>
        <w:t>. Differential thermal analysis w</w:t>
      </w:r>
      <w:r w:rsidR="00196C78">
        <w:rPr>
          <w:rFonts w:asciiTheme="majorBidi" w:hAnsiTheme="majorBidi" w:cstheme="majorBidi"/>
          <w:b w:val="0"/>
          <w:szCs w:val="24"/>
        </w:rPr>
        <w:t>as</w:t>
      </w:r>
      <w:r w:rsidR="000569D1" w:rsidRPr="000E2377">
        <w:rPr>
          <w:rFonts w:asciiTheme="majorBidi" w:hAnsiTheme="majorBidi" w:cstheme="majorBidi"/>
          <w:b w:val="0"/>
          <w:szCs w:val="24"/>
        </w:rPr>
        <w:t xml:space="preserve"> used to </w:t>
      </w:r>
      <w:r w:rsidR="003214C4" w:rsidRPr="000E2377">
        <w:rPr>
          <w:rFonts w:asciiTheme="majorBidi" w:hAnsiTheme="majorBidi" w:cstheme="majorBidi"/>
          <w:b w:val="0"/>
          <w:szCs w:val="24"/>
        </w:rPr>
        <w:t>measure</w:t>
      </w:r>
      <w:r w:rsidR="003214C4">
        <w:rPr>
          <w:rFonts w:asciiTheme="majorBidi" w:hAnsiTheme="majorBidi" w:cstheme="majorBidi"/>
          <w:b w:val="0"/>
          <w:szCs w:val="24"/>
        </w:rPr>
        <w:t xml:space="preserve"> the</w:t>
      </w:r>
      <w:r w:rsidR="003214C4" w:rsidRPr="000E2377">
        <w:rPr>
          <w:rFonts w:asciiTheme="majorBidi" w:hAnsiTheme="majorBidi" w:cstheme="majorBidi"/>
          <w:b w:val="0"/>
          <w:szCs w:val="24"/>
        </w:rPr>
        <w:t xml:space="preserve"> </w:t>
      </w:r>
      <w:r w:rsidR="000569D1" w:rsidRPr="000E2377">
        <w:rPr>
          <w:rFonts w:asciiTheme="majorBidi" w:hAnsiTheme="majorBidi" w:cstheme="majorBidi"/>
          <w:b w:val="0"/>
          <w:szCs w:val="24"/>
        </w:rPr>
        <w:t xml:space="preserve">glass transition temperature. </w:t>
      </w:r>
      <w:r w:rsidR="00B813A5" w:rsidRPr="000E2377">
        <w:rPr>
          <w:rFonts w:asciiTheme="majorBidi" w:hAnsiTheme="majorBidi" w:cstheme="majorBidi"/>
          <w:b w:val="0"/>
          <w:szCs w:val="24"/>
        </w:rPr>
        <w:t xml:space="preserve">Fourier Transform Infra-red </w:t>
      </w:r>
      <w:r w:rsidR="00196C78">
        <w:rPr>
          <w:rFonts w:asciiTheme="majorBidi" w:hAnsiTheme="majorBidi" w:cstheme="majorBidi"/>
          <w:b w:val="0"/>
          <w:szCs w:val="24"/>
        </w:rPr>
        <w:t xml:space="preserve">spectroscopy </w:t>
      </w:r>
      <w:r w:rsidR="00B813A5" w:rsidRPr="000E2377">
        <w:rPr>
          <w:rFonts w:asciiTheme="majorBidi" w:hAnsiTheme="majorBidi" w:cstheme="majorBidi"/>
          <w:b w:val="0"/>
          <w:szCs w:val="24"/>
        </w:rPr>
        <w:t>(FTIR)</w:t>
      </w:r>
      <w:r w:rsidR="00DF648A" w:rsidRPr="000E2377">
        <w:rPr>
          <w:rFonts w:asciiTheme="majorBidi" w:hAnsiTheme="majorBidi" w:cstheme="majorBidi"/>
          <w:b w:val="0"/>
          <w:szCs w:val="24"/>
        </w:rPr>
        <w:t>,</w:t>
      </w:r>
      <w:r w:rsidR="000569D1" w:rsidRPr="000E2377">
        <w:rPr>
          <w:rFonts w:asciiTheme="majorBidi" w:hAnsiTheme="majorBidi" w:cstheme="majorBidi"/>
          <w:b w:val="0"/>
          <w:szCs w:val="24"/>
        </w:rPr>
        <w:t xml:space="preserve"> Raman</w:t>
      </w:r>
      <w:r w:rsidR="00DF648A" w:rsidRPr="000E2377">
        <w:rPr>
          <w:rFonts w:asciiTheme="majorBidi" w:hAnsiTheme="majorBidi" w:cstheme="majorBidi"/>
          <w:b w:val="0"/>
          <w:szCs w:val="24"/>
        </w:rPr>
        <w:t xml:space="preserve"> and </w:t>
      </w:r>
      <w:r w:rsidR="00196C78">
        <w:rPr>
          <w:rFonts w:asciiTheme="majorBidi" w:hAnsiTheme="majorBidi" w:cstheme="majorBidi"/>
          <w:b w:val="0"/>
          <w:szCs w:val="24"/>
        </w:rPr>
        <w:t>Nuclear Magnetic Resonance (</w:t>
      </w:r>
      <w:r w:rsidR="00DF648A" w:rsidRPr="000E2377">
        <w:rPr>
          <w:rFonts w:asciiTheme="majorBidi" w:hAnsiTheme="majorBidi" w:cstheme="majorBidi"/>
          <w:b w:val="0"/>
          <w:szCs w:val="24"/>
        </w:rPr>
        <w:t>NMR</w:t>
      </w:r>
      <w:r w:rsidR="00196C78">
        <w:rPr>
          <w:rFonts w:asciiTheme="majorBidi" w:hAnsiTheme="majorBidi" w:cstheme="majorBidi"/>
          <w:b w:val="0"/>
          <w:szCs w:val="24"/>
        </w:rPr>
        <w:t>)</w:t>
      </w:r>
      <w:r w:rsidR="000569D1" w:rsidRPr="000E2377">
        <w:rPr>
          <w:rFonts w:asciiTheme="majorBidi" w:hAnsiTheme="majorBidi" w:cstheme="majorBidi"/>
          <w:b w:val="0"/>
          <w:szCs w:val="24"/>
        </w:rPr>
        <w:t xml:space="preserve"> </w:t>
      </w:r>
      <w:r w:rsidR="00B813A5" w:rsidRPr="000E2377">
        <w:rPr>
          <w:rFonts w:asciiTheme="majorBidi" w:hAnsiTheme="majorBidi" w:cstheme="majorBidi"/>
          <w:b w:val="0"/>
          <w:szCs w:val="24"/>
        </w:rPr>
        <w:t xml:space="preserve">were used to investigate the base glass structure and the structural effects of adding different </w:t>
      </w:r>
      <w:r w:rsidR="003214C4">
        <w:rPr>
          <w:rFonts w:asciiTheme="majorBidi" w:hAnsiTheme="majorBidi" w:cstheme="majorBidi"/>
          <w:b w:val="0"/>
          <w:szCs w:val="24"/>
        </w:rPr>
        <w:t xml:space="preserve">alkaline </w:t>
      </w:r>
      <w:r w:rsidR="00B813A5" w:rsidRPr="000E2377">
        <w:rPr>
          <w:rFonts w:asciiTheme="majorBidi" w:hAnsiTheme="majorBidi" w:cstheme="majorBidi"/>
          <w:b w:val="0"/>
          <w:szCs w:val="24"/>
        </w:rPr>
        <w:t xml:space="preserve">earth elements. </w:t>
      </w:r>
      <w:r w:rsidR="006446CD">
        <w:rPr>
          <w:rFonts w:asciiTheme="majorBidi" w:hAnsiTheme="majorBidi" w:cstheme="majorBidi"/>
          <w:b w:val="0"/>
          <w:szCs w:val="24"/>
        </w:rPr>
        <w:t xml:space="preserve">It </w:t>
      </w:r>
      <w:r w:rsidR="003214C4">
        <w:rPr>
          <w:rFonts w:asciiTheme="majorBidi" w:hAnsiTheme="majorBidi" w:cstheme="majorBidi"/>
          <w:b w:val="0"/>
          <w:szCs w:val="24"/>
        </w:rPr>
        <w:t xml:space="preserve">was </w:t>
      </w:r>
      <w:r w:rsidR="006446CD">
        <w:rPr>
          <w:rFonts w:asciiTheme="majorBidi" w:hAnsiTheme="majorBidi" w:cstheme="majorBidi"/>
          <w:b w:val="0"/>
          <w:szCs w:val="24"/>
        </w:rPr>
        <w:t xml:space="preserve">found that </w:t>
      </w:r>
      <w:r w:rsidR="00D74152">
        <w:rPr>
          <w:rFonts w:asciiTheme="majorBidi" w:hAnsiTheme="majorBidi" w:cstheme="majorBidi"/>
          <w:b w:val="0"/>
          <w:szCs w:val="24"/>
        </w:rPr>
        <w:t>the a</w:t>
      </w:r>
      <w:r w:rsidR="00D74152" w:rsidRPr="000E2377">
        <w:rPr>
          <w:rFonts w:asciiTheme="majorBidi" w:hAnsiTheme="majorBidi" w:cstheme="majorBidi"/>
          <w:b w:val="0"/>
          <w:szCs w:val="24"/>
        </w:rPr>
        <w:t>mount of Al</w:t>
      </w:r>
      <w:r w:rsidR="00D74152" w:rsidRPr="000E2377">
        <w:rPr>
          <w:rFonts w:asciiTheme="majorBidi" w:hAnsiTheme="majorBidi" w:cstheme="majorBidi"/>
          <w:b w:val="0"/>
          <w:szCs w:val="24"/>
          <w:vertAlign w:val="subscript"/>
        </w:rPr>
        <w:t>2</w:t>
      </w:r>
      <w:r w:rsidR="00D74152" w:rsidRPr="000E2377">
        <w:rPr>
          <w:rFonts w:asciiTheme="majorBidi" w:hAnsiTheme="majorBidi" w:cstheme="majorBidi"/>
          <w:b w:val="0"/>
          <w:szCs w:val="24"/>
        </w:rPr>
        <w:t>O</w:t>
      </w:r>
      <w:r w:rsidR="00D74152" w:rsidRPr="000E2377">
        <w:rPr>
          <w:rFonts w:asciiTheme="majorBidi" w:hAnsiTheme="majorBidi" w:cstheme="majorBidi"/>
          <w:b w:val="0"/>
          <w:szCs w:val="24"/>
          <w:vertAlign w:val="subscript"/>
        </w:rPr>
        <w:t>3</w:t>
      </w:r>
      <w:r w:rsidR="00D74152" w:rsidRPr="000E2377">
        <w:rPr>
          <w:rFonts w:asciiTheme="majorBidi" w:hAnsiTheme="majorBidi" w:cstheme="majorBidi"/>
          <w:b w:val="0"/>
          <w:szCs w:val="24"/>
        </w:rPr>
        <w:t xml:space="preserve"> used in the boroaluminosilicate glass significantly affect</w:t>
      </w:r>
      <w:r w:rsidR="00D74152">
        <w:rPr>
          <w:rFonts w:asciiTheme="majorBidi" w:hAnsiTheme="majorBidi" w:cstheme="majorBidi"/>
          <w:b w:val="0"/>
          <w:szCs w:val="24"/>
        </w:rPr>
        <w:t>s</w:t>
      </w:r>
      <w:r w:rsidR="00D74152" w:rsidRPr="000E2377">
        <w:rPr>
          <w:rFonts w:asciiTheme="majorBidi" w:hAnsiTheme="majorBidi" w:cstheme="majorBidi"/>
          <w:b w:val="0"/>
          <w:szCs w:val="24"/>
        </w:rPr>
        <w:t xml:space="preserve"> the properties</w:t>
      </w:r>
      <w:r w:rsidR="003214C4">
        <w:rPr>
          <w:rFonts w:asciiTheme="majorBidi" w:hAnsiTheme="majorBidi" w:cstheme="majorBidi"/>
          <w:b w:val="0"/>
          <w:szCs w:val="24"/>
        </w:rPr>
        <w:t>: t</w:t>
      </w:r>
      <w:r w:rsidR="00D74152" w:rsidRPr="000E2377">
        <w:rPr>
          <w:rFonts w:asciiTheme="majorBidi" w:hAnsiTheme="majorBidi" w:cstheme="majorBidi"/>
          <w:b w:val="0"/>
          <w:szCs w:val="24"/>
        </w:rPr>
        <w:t>he glass transition temperature (</w:t>
      </w:r>
      <w:proofErr w:type="spellStart"/>
      <w:r w:rsidR="00D74152" w:rsidRPr="000E2377">
        <w:rPr>
          <w:rFonts w:asciiTheme="majorBidi" w:hAnsiTheme="majorBidi" w:cstheme="majorBidi"/>
          <w:b w:val="0"/>
          <w:szCs w:val="24"/>
        </w:rPr>
        <w:t>T</w:t>
      </w:r>
      <w:r w:rsidR="00D74152" w:rsidRPr="00782C67">
        <w:rPr>
          <w:rFonts w:asciiTheme="majorBidi" w:hAnsiTheme="majorBidi" w:cstheme="majorBidi"/>
          <w:b w:val="0"/>
          <w:i/>
          <w:iCs/>
          <w:szCs w:val="24"/>
          <w:vertAlign w:val="subscript"/>
        </w:rPr>
        <w:t>g</w:t>
      </w:r>
      <w:proofErr w:type="spellEnd"/>
      <w:r w:rsidR="00D74152" w:rsidRPr="000E2377">
        <w:rPr>
          <w:rFonts w:asciiTheme="majorBidi" w:hAnsiTheme="majorBidi" w:cstheme="majorBidi"/>
          <w:b w:val="0"/>
          <w:szCs w:val="24"/>
        </w:rPr>
        <w:t xml:space="preserve">) </w:t>
      </w:r>
      <w:r w:rsidR="00D74152">
        <w:rPr>
          <w:rFonts w:asciiTheme="majorBidi" w:hAnsiTheme="majorBidi" w:cstheme="majorBidi"/>
          <w:b w:val="0"/>
          <w:szCs w:val="24"/>
        </w:rPr>
        <w:t xml:space="preserve">and molar volume </w:t>
      </w:r>
      <w:r w:rsidR="00D74152" w:rsidRPr="000E2377">
        <w:rPr>
          <w:rFonts w:asciiTheme="majorBidi" w:hAnsiTheme="majorBidi" w:cstheme="majorBidi"/>
          <w:b w:val="0"/>
          <w:szCs w:val="24"/>
        </w:rPr>
        <w:t xml:space="preserve">increased </w:t>
      </w:r>
      <w:r w:rsidR="00D74152">
        <w:rPr>
          <w:rFonts w:asciiTheme="majorBidi" w:hAnsiTheme="majorBidi" w:cstheme="majorBidi"/>
          <w:b w:val="0"/>
          <w:szCs w:val="24"/>
        </w:rPr>
        <w:t>with</w:t>
      </w:r>
      <w:r w:rsidR="00D74152" w:rsidRPr="000E2377">
        <w:rPr>
          <w:rFonts w:asciiTheme="majorBidi" w:hAnsiTheme="majorBidi" w:cstheme="majorBidi"/>
          <w:b w:val="0"/>
          <w:szCs w:val="24"/>
        </w:rPr>
        <w:t xml:space="preserve"> increasing Al</w:t>
      </w:r>
      <w:r w:rsidR="00D74152" w:rsidRPr="000E2377">
        <w:rPr>
          <w:rFonts w:asciiTheme="majorBidi" w:hAnsiTheme="majorBidi" w:cstheme="majorBidi"/>
          <w:b w:val="0"/>
          <w:szCs w:val="24"/>
          <w:vertAlign w:val="subscript"/>
        </w:rPr>
        <w:t>2</w:t>
      </w:r>
      <w:r w:rsidR="00D74152" w:rsidRPr="000E2377">
        <w:rPr>
          <w:rFonts w:asciiTheme="majorBidi" w:hAnsiTheme="majorBidi" w:cstheme="majorBidi"/>
          <w:b w:val="0"/>
          <w:szCs w:val="24"/>
        </w:rPr>
        <w:t>O</w:t>
      </w:r>
      <w:r w:rsidR="00D74152" w:rsidRPr="000E2377">
        <w:rPr>
          <w:rFonts w:asciiTheme="majorBidi" w:hAnsiTheme="majorBidi" w:cstheme="majorBidi"/>
          <w:b w:val="0"/>
          <w:szCs w:val="24"/>
          <w:vertAlign w:val="subscript"/>
        </w:rPr>
        <w:t>3</w:t>
      </w:r>
      <w:r w:rsidR="00D74152" w:rsidRPr="000E2377">
        <w:rPr>
          <w:rFonts w:asciiTheme="majorBidi" w:hAnsiTheme="majorBidi" w:cstheme="majorBidi"/>
          <w:b w:val="0"/>
          <w:szCs w:val="24"/>
        </w:rPr>
        <w:t xml:space="preserve"> </w:t>
      </w:r>
      <w:r w:rsidR="00D74152">
        <w:rPr>
          <w:rFonts w:asciiTheme="majorBidi" w:hAnsiTheme="majorBidi" w:cstheme="majorBidi"/>
          <w:b w:val="0"/>
          <w:szCs w:val="24"/>
        </w:rPr>
        <w:t>content</w:t>
      </w:r>
      <w:r w:rsidR="00B13B01" w:rsidRPr="00C47EA8">
        <w:rPr>
          <w:rFonts w:asciiTheme="majorBidi" w:hAnsiTheme="majorBidi" w:cstheme="majorBidi"/>
          <w:b w:val="0"/>
          <w:szCs w:val="24"/>
        </w:rPr>
        <w:t xml:space="preserve"> in the series </w:t>
      </w:r>
      <w:r w:rsidR="00B13B01">
        <w:rPr>
          <w:rFonts w:asciiTheme="majorBidi" w:hAnsiTheme="majorBidi" w:cstheme="majorBidi"/>
          <w:b w:val="0"/>
          <w:szCs w:val="24"/>
        </w:rPr>
        <w:t>N</w:t>
      </w:r>
      <w:r w:rsidR="00B13B01" w:rsidRPr="00C47EA8">
        <w:rPr>
          <w:rFonts w:asciiTheme="majorBidi" w:hAnsiTheme="majorBidi" w:cstheme="majorBidi"/>
          <w:b w:val="0"/>
          <w:szCs w:val="24"/>
          <w:vertAlign w:val="subscript"/>
        </w:rPr>
        <w:t>7.6</w:t>
      </w:r>
      <w:r w:rsidR="00B13B01">
        <w:rPr>
          <w:rFonts w:asciiTheme="majorBidi" w:hAnsiTheme="majorBidi" w:cstheme="majorBidi"/>
          <w:b w:val="0"/>
          <w:szCs w:val="24"/>
        </w:rPr>
        <w:t>M</w:t>
      </w:r>
      <w:r w:rsidR="00B13B01" w:rsidRPr="00C47EA8">
        <w:rPr>
          <w:rFonts w:asciiTheme="majorBidi" w:hAnsiTheme="majorBidi" w:cstheme="majorBidi"/>
          <w:b w:val="0"/>
          <w:szCs w:val="24"/>
          <w:vertAlign w:val="subscript"/>
        </w:rPr>
        <w:t>1.1</w:t>
      </w:r>
      <w:r w:rsidR="00B13B01">
        <w:rPr>
          <w:rFonts w:asciiTheme="majorBidi" w:hAnsiTheme="majorBidi" w:cstheme="majorBidi"/>
          <w:b w:val="0"/>
          <w:szCs w:val="24"/>
        </w:rPr>
        <w:t>C</w:t>
      </w:r>
      <w:r w:rsidR="00B13B01" w:rsidRPr="00C47EA8">
        <w:rPr>
          <w:rFonts w:asciiTheme="majorBidi" w:hAnsiTheme="majorBidi" w:cstheme="majorBidi"/>
          <w:b w:val="0"/>
          <w:szCs w:val="24"/>
          <w:vertAlign w:val="subscript"/>
        </w:rPr>
        <w:t>3</w:t>
      </w:r>
      <w:r w:rsidR="00B13B01">
        <w:rPr>
          <w:rFonts w:asciiTheme="majorBidi" w:hAnsiTheme="majorBidi" w:cstheme="majorBidi"/>
          <w:b w:val="0"/>
          <w:szCs w:val="24"/>
        </w:rPr>
        <w:t>A</w:t>
      </w:r>
      <w:r w:rsidR="00B13B01" w:rsidRPr="00C47EA8">
        <w:rPr>
          <w:rFonts w:asciiTheme="majorBidi" w:hAnsiTheme="majorBidi" w:cstheme="majorBidi"/>
          <w:b w:val="0"/>
          <w:szCs w:val="24"/>
          <w:vertAlign w:val="subscript"/>
        </w:rPr>
        <w:t>X</w:t>
      </w:r>
      <w:r w:rsidR="00B13B01">
        <w:rPr>
          <w:rFonts w:asciiTheme="majorBidi" w:hAnsiTheme="majorBidi" w:cstheme="majorBidi"/>
          <w:b w:val="0"/>
          <w:szCs w:val="24"/>
        </w:rPr>
        <w:t>B</w:t>
      </w:r>
      <w:r w:rsidR="00B13B01" w:rsidRPr="00C47EA8">
        <w:rPr>
          <w:rFonts w:asciiTheme="majorBidi" w:hAnsiTheme="majorBidi" w:cstheme="majorBidi"/>
          <w:b w:val="0"/>
          <w:szCs w:val="24"/>
          <w:vertAlign w:val="subscript"/>
        </w:rPr>
        <w:t>7.6</w:t>
      </w:r>
      <w:r w:rsidR="00B13B01">
        <w:rPr>
          <w:rFonts w:asciiTheme="majorBidi" w:hAnsiTheme="majorBidi" w:cstheme="majorBidi"/>
          <w:b w:val="0"/>
          <w:szCs w:val="24"/>
        </w:rPr>
        <w:t>S</w:t>
      </w:r>
      <w:r w:rsidR="00B13B01" w:rsidRPr="00C47EA8">
        <w:rPr>
          <w:rFonts w:asciiTheme="majorBidi" w:hAnsiTheme="majorBidi" w:cstheme="majorBidi"/>
          <w:b w:val="0"/>
          <w:szCs w:val="24"/>
          <w:vertAlign w:val="subscript"/>
        </w:rPr>
        <w:t>80.7</w:t>
      </w:r>
      <w:r w:rsidR="00B13B01">
        <w:rPr>
          <w:rFonts w:asciiTheme="majorBidi" w:hAnsiTheme="majorBidi" w:cstheme="majorBidi"/>
          <w:b w:val="0"/>
          <w:szCs w:val="24"/>
          <w:vertAlign w:val="subscript"/>
        </w:rPr>
        <w:t>-X</w:t>
      </w:r>
      <w:r w:rsidR="00B13B01" w:rsidRPr="00C47EA8">
        <w:rPr>
          <w:rFonts w:asciiTheme="majorBidi" w:hAnsiTheme="majorBidi" w:cstheme="majorBidi"/>
          <w:b w:val="0"/>
          <w:szCs w:val="24"/>
          <w:vertAlign w:val="subscript"/>
        </w:rPr>
        <w:t xml:space="preserve"> </w:t>
      </w:r>
      <w:r w:rsidR="00B13B01" w:rsidRPr="00C47EA8">
        <w:rPr>
          <w:rFonts w:asciiTheme="majorBidi" w:hAnsiTheme="majorBidi" w:cstheme="majorBidi"/>
          <w:b w:val="0"/>
          <w:szCs w:val="24"/>
        </w:rPr>
        <w:t xml:space="preserve">glasses. </w:t>
      </w:r>
      <w:r w:rsidR="00B13B01">
        <w:rPr>
          <w:rFonts w:asciiTheme="majorBidi" w:hAnsiTheme="majorBidi" w:cstheme="majorBidi"/>
          <w:b w:val="0"/>
          <w:szCs w:val="24"/>
        </w:rPr>
        <w:t>Meanwhile</w:t>
      </w:r>
      <w:r w:rsidR="005D1A70">
        <w:rPr>
          <w:rFonts w:asciiTheme="majorBidi" w:hAnsiTheme="majorBidi" w:cstheme="majorBidi"/>
          <w:b w:val="0"/>
          <w:szCs w:val="24"/>
        </w:rPr>
        <w:t>,</w:t>
      </w:r>
      <w:r w:rsidR="00B13B01">
        <w:rPr>
          <w:rFonts w:asciiTheme="majorBidi" w:hAnsiTheme="majorBidi" w:cstheme="majorBidi"/>
          <w:b w:val="0"/>
          <w:szCs w:val="24"/>
        </w:rPr>
        <w:t xml:space="preserve"> observation for </w:t>
      </w:r>
      <w:proofErr w:type="spellStart"/>
      <w:r w:rsidR="00B13B01">
        <w:rPr>
          <w:rFonts w:asciiTheme="majorBidi" w:hAnsiTheme="majorBidi" w:cstheme="majorBidi"/>
          <w:b w:val="0"/>
          <w:szCs w:val="24"/>
        </w:rPr>
        <w:t>T</w:t>
      </w:r>
      <w:r w:rsidR="00B13B01" w:rsidRPr="00C47EA8">
        <w:rPr>
          <w:rFonts w:asciiTheme="majorBidi" w:hAnsiTheme="majorBidi" w:cstheme="majorBidi"/>
          <w:b w:val="0"/>
          <w:i/>
          <w:szCs w:val="24"/>
          <w:vertAlign w:val="subscript"/>
        </w:rPr>
        <w:t>g</w:t>
      </w:r>
      <w:proofErr w:type="spellEnd"/>
      <w:r w:rsidR="00B13B01">
        <w:rPr>
          <w:rFonts w:asciiTheme="majorBidi" w:hAnsiTheme="majorBidi" w:cstheme="majorBidi"/>
          <w:b w:val="0"/>
          <w:szCs w:val="24"/>
        </w:rPr>
        <w:t xml:space="preserve"> to network charge balance for specific composition were notably in range of error bars when the network charge balance are &gt; 0. However, </w:t>
      </w:r>
      <w:proofErr w:type="spellStart"/>
      <w:r w:rsidR="00B13B01">
        <w:rPr>
          <w:rFonts w:asciiTheme="majorBidi" w:hAnsiTheme="majorBidi" w:cstheme="majorBidi"/>
          <w:b w:val="0"/>
          <w:szCs w:val="24"/>
        </w:rPr>
        <w:t>T</w:t>
      </w:r>
      <w:r w:rsidR="00B13B01" w:rsidRPr="00C47EA8">
        <w:rPr>
          <w:rFonts w:asciiTheme="majorBidi" w:hAnsiTheme="majorBidi" w:cstheme="majorBidi"/>
          <w:b w:val="0"/>
          <w:i/>
          <w:szCs w:val="24"/>
          <w:vertAlign w:val="subscript"/>
        </w:rPr>
        <w:t>g</w:t>
      </w:r>
      <w:proofErr w:type="spellEnd"/>
      <w:r w:rsidR="00B13B01">
        <w:rPr>
          <w:rFonts w:asciiTheme="majorBidi" w:hAnsiTheme="majorBidi" w:cstheme="majorBidi"/>
          <w:b w:val="0"/>
          <w:szCs w:val="24"/>
        </w:rPr>
        <w:t xml:space="preserve"> notably shows huge decreases when netw</w:t>
      </w:r>
      <w:r w:rsidR="006521B1">
        <w:rPr>
          <w:rFonts w:asciiTheme="majorBidi" w:hAnsiTheme="majorBidi" w:cstheme="majorBidi"/>
          <w:b w:val="0"/>
          <w:szCs w:val="24"/>
        </w:rPr>
        <w:t>or</w:t>
      </w:r>
      <w:r w:rsidR="00B13B01">
        <w:rPr>
          <w:rFonts w:asciiTheme="majorBidi" w:hAnsiTheme="majorBidi" w:cstheme="majorBidi"/>
          <w:b w:val="0"/>
          <w:szCs w:val="24"/>
        </w:rPr>
        <w:t>k charge balance between -21 to 0.  T</w:t>
      </w:r>
      <w:r w:rsidR="00B13B01" w:rsidRPr="00C47EA8">
        <w:rPr>
          <w:rFonts w:asciiTheme="majorBidi" w:hAnsiTheme="majorBidi" w:cstheme="majorBidi"/>
          <w:b w:val="0"/>
          <w:szCs w:val="24"/>
        </w:rPr>
        <w:t>he Raman peak at ~ 1000 cm</w:t>
      </w:r>
      <w:r w:rsidR="00B13B01" w:rsidRPr="00C47EA8">
        <w:rPr>
          <w:rFonts w:asciiTheme="majorBidi" w:hAnsiTheme="majorBidi" w:cstheme="majorBidi"/>
          <w:b w:val="0"/>
          <w:szCs w:val="24"/>
          <w:vertAlign w:val="superscript"/>
        </w:rPr>
        <w:t>–1</w:t>
      </w:r>
      <w:r w:rsidR="00B13B01" w:rsidRPr="00C47EA8">
        <w:rPr>
          <w:rFonts w:asciiTheme="majorBidi" w:hAnsiTheme="majorBidi" w:cstheme="majorBidi"/>
          <w:b w:val="0"/>
          <w:szCs w:val="24"/>
        </w:rPr>
        <w:t xml:space="preserve"> changes shape significantly for </w:t>
      </w:r>
      <w:r w:rsidR="00B13B01">
        <w:rPr>
          <w:rFonts w:asciiTheme="majorBidi" w:hAnsiTheme="majorBidi" w:cstheme="majorBidi"/>
          <w:b w:val="0"/>
          <w:szCs w:val="24"/>
        </w:rPr>
        <w:t>most of</w:t>
      </w:r>
      <w:r w:rsidR="00B13B01" w:rsidRPr="00C47EA8">
        <w:rPr>
          <w:rFonts w:asciiTheme="majorBidi" w:hAnsiTheme="majorBidi" w:cstheme="majorBidi"/>
          <w:b w:val="0"/>
          <w:szCs w:val="24"/>
        </w:rPr>
        <w:t xml:space="preserve"> </w:t>
      </w:r>
      <w:r w:rsidR="005D1A70">
        <w:rPr>
          <w:rFonts w:asciiTheme="majorBidi" w:hAnsiTheme="majorBidi" w:cstheme="majorBidi"/>
          <w:b w:val="0"/>
          <w:szCs w:val="24"/>
        </w:rPr>
        <w:t xml:space="preserve">the </w:t>
      </w:r>
      <w:r w:rsidR="00B13B01" w:rsidRPr="00C47EA8">
        <w:rPr>
          <w:rFonts w:asciiTheme="majorBidi" w:hAnsiTheme="majorBidi" w:cstheme="majorBidi"/>
          <w:b w:val="0"/>
          <w:szCs w:val="24"/>
        </w:rPr>
        <w:t>glass series indicative of notable changes in the detailed structure of the glass including silica connectivity with composition</w:t>
      </w:r>
      <w:r w:rsidR="00B13B01">
        <w:rPr>
          <w:rFonts w:asciiTheme="majorBidi" w:hAnsiTheme="majorBidi" w:cstheme="majorBidi"/>
          <w:b w:val="0"/>
          <w:szCs w:val="24"/>
        </w:rPr>
        <w:t xml:space="preserve">. </w:t>
      </w:r>
      <w:r w:rsidR="00B13B01" w:rsidRPr="000E2377">
        <w:rPr>
          <w:rFonts w:asciiTheme="majorBidi" w:hAnsiTheme="majorBidi" w:cstheme="majorBidi"/>
          <w:b w:val="0"/>
          <w:szCs w:val="24"/>
        </w:rPr>
        <w:t xml:space="preserve">FTIR </w:t>
      </w:r>
      <w:r w:rsidR="00B13B01">
        <w:rPr>
          <w:rFonts w:asciiTheme="majorBidi" w:hAnsiTheme="majorBidi" w:cstheme="majorBidi"/>
          <w:b w:val="0"/>
          <w:szCs w:val="24"/>
        </w:rPr>
        <w:t>showed</w:t>
      </w:r>
      <w:r w:rsidR="00B13B01" w:rsidRPr="000E2377">
        <w:rPr>
          <w:rFonts w:asciiTheme="majorBidi" w:hAnsiTheme="majorBidi" w:cstheme="majorBidi"/>
          <w:b w:val="0"/>
          <w:szCs w:val="24"/>
        </w:rPr>
        <w:t xml:space="preserve"> that the maximum peak </w:t>
      </w:r>
      <w:r w:rsidR="00B13B01">
        <w:rPr>
          <w:rFonts w:asciiTheme="majorBidi" w:hAnsiTheme="majorBidi" w:cstheme="majorBidi"/>
          <w:b w:val="0"/>
          <w:szCs w:val="24"/>
        </w:rPr>
        <w:t>shifted</w:t>
      </w:r>
      <w:r w:rsidR="00B13B01" w:rsidRPr="000E2377">
        <w:rPr>
          <w:rFonts w:asciiTheme="majorBidi" w:hAnsiTheme="majorBidi" w:cstheme="majorBidi"/>
          <w:b w:val="0"/>
          <w:szCs w:val="24"/>
        </w:rPr>
        <w:t xml:space="preserve"> to lower wavenumber</w:t>
      </w:r>
      <w:r w:rsidR="00B13B01">
        <w:rPr>
          <w:rFonts w:asciiTheme="majorBidi" w:hAnsiTheme="majorBidi" w:cstheme="majorBidi"/>
          <w:b w:val="0"/>
          <w:szCs w:val="24"/>
        </w:rPr>
        <w:t>s</w:t>
      </w:r>
      <w:r w:rsidR="00B13B01" w:rsidRPr="000E2377">
        <w:rPr>
          <w:rFonts w:asciiTheme="majorBidi" w:hAnsiTheme="majorBidi" w:cstheme="majorBidi"/>
          <w:b w:val="0"/>
          <w:szCs w:val="24"/>
        </w:rPr>
        <w:t xml:space="preserve"> </w:t>
      </w:r>
      <w:r w:rsidR="006521B1">
        <w:rPr>
          <w:rFonts w:asciiTheme="majorBidi" w:hAnsiTheme="majorBidi" w:cstheme="majorBidi"/>
          <w:b w:val="0"/>
          <w:szCs w:val="24"/>
        </w:rPr>
        <w:t>(from 1047 to 1018</w:t>
      </w:r>
      <w:r w:rsidR="006747CD">
        <w:rPr>
          <w:rFonts w:asciiTheme="majorBidi" w:hAnsiTheme="majorBidi" w:cstheme="majorBidi"/>
          <w:b w:val="0"/>
          <w:szCs w:val="24"/>
        </w:rPr>
        <w:t xml:space="preserve"> cm</w:t>
      </w:r>
      <w:r w:rsidR="006747CD" w:rsidRPr="006747CD">
        <w:rPr>
          <w:rFonts w:asciiTheme="majorBidi" w:hAnsiTheme="majorBidi" w:cstheme="majorBidi"/>
          <w:b w:val="0"/>
          <w:szCs w:val="24"/>
          <w:vertAlign w:val="superscript"/>
        </w:rPr>
        <w:t>-1</w:t>
      </w:r>
      <w:r w:rsidR="006521B1">
        <w:rPr>
          <w:rFonts w:asciiTheme="majorBidi" w:hAnsiTheme="majorBidi" w:cstheme="majorBidi"/>
          <w:b w:val="0"/>
          <w:szCs w:val="24"/>
        </w:rPr>
        <w:t>)</w:t>
      </w:r>
      <w:r w:rsidR="006747CD">
        <w:rPr>
          <w:rFonts w:asciiTheme="majorBidi" w:hAnsiTheme="majorBidi" w:cstheme="majorBidi"/>
          <w:b w:val="0"/>
          <w:szCs w:val="24"/>
        </w:rPr>
        <w:t xml:space="preserve"> </w:t>
      </w:r>
      <w:r w:rsidR="00B13B01" w:rsidRPr="000E2377">
        <w:rPr>
          <w:rFonts w:asciiTheme="majorBidi" w:hAnsiTheme="majorBidi" w:cstheme="majorBidi"/>
          <w:b w:val="0"/>
          <w:szCs w:val="24"/>
        </w:rPr>
        <w:t xml:space="preserve">with </w:t>
      </w:r>
      <w:r w:rsidR="00B13B01" w:rsidRPr="000E2377">
        <w:rPr>
          <w:rFonts w:asciiTheme="majorBidi" w:hAnsiTheme="majorBidi" w:cstheme="majorBidi"/>
          <w:b w:val="0"/>
          <w:szCs w:val="24"/>
        </w:rPr>
        <w:lastRenderedPageBreak/>
        <w:t>increasing amount</w:t>
      </w:r>
      <w:r w:rsidR="00B13B01">
        <w:rPr>
          <w:rFonts w:asciiTheme="majorBidi" w:hAnsiTheme="majorBidi" w:cstheme="majorBidi"/>
          <w:b w:val="0"/>
          <w:szCs w:val="24"/>
        </w:rPr>
        <w:t>s</w:t>
      </w:r>
      <w:r w:rsidR="00B13B01" w:rsidRPr="000E2377">
        <w:rPr>
          <w:rFonts w:asciiTheme="majorBidi" w:hAnsiTheme="majorBidi" w:cstheme="majorBidi"/>
          <w:b w:val="0"/>
          <w:szCs w:val="24"/>
        </w:rPr>
        <w:t xml:space="preserve"> of Al</w:t>
      </w:r>
      <w:r w:rsidR="00B13B01" w:rsidRPr="000E2377">
        <w:rPr>
          <w:rFonts w:asciiTheme="majorBidi" w:hAnsiTheme="majorBidi" w:cstheme="majorBidi"/>
          <w:b w:val="0"/>
          <w:szCs w:val="24"/>
          <w:vertAlign w:val="subscript"/>
        </w:rPr>
        <w:t>2</w:t>
      </w:r>
      <w:r w:rsidR="00B13B01" w:rsidRPr="000E2377">
        <w:rPr>
          <w:rFonts w:asciiTheme="majorBidi" w:hAnsiTheme="majorBidi" w:cstheme="majorBidi"/>
          <w:b w:val="0"/>
          <w:szCs w:val="24"/>
        </w:rPr>
        <w:t>O</w:t>
      </w:r>
      <w:r w:rsidR="00B13B01" w:rsidRPr="000E2377">
        <w:rPr>
          <w:rFonts w:asciiTheme="majorBidi" w:hAnsiTheme="majorBidi" w:cstheme="majorBidi"/>
          <w:b w:val="0"/>
          <w:szCs w:val="24"/>
          <w:vertAlign w:val="subscript"/>
        </w:rPr>
        <w:t>3</w:t>
      </w:r>
      <w:r w:rsidR="00B13B01" w:rsidRPr="000E2377">
        <w:rPr>
          <w:rFonts w:asciiTheme="majorBidi" w:hAnsiTheme="majorBidi" w:cstheme="majorBidi"/>
          <w:b w:val="0"/>
          <w:szCs w:val="24"/>
        </w:rPr>
        <w:t xml:space="preserve"> and the intensity (absorption of IR) reduced</w:t>
      </w:r>
      <w:r w:rsidR="00B13B01">
        <w:rPr>
          <w:rFonts w:asciiTheme="majorBidi" w:hAnsiTheme="majorBidi" w:cstheme="majorBidi"/>
          <w:b w:val="0"/>
          <w:szCs w:val="24"/>
        </w:rPr>
        <w:t xml:space="preserve"> which indicated that the polymerisation of glass is increased</w:t>
      </w:r>
      <w:r w:rsidR="00B13B01" w:rsidRPr="00B13B01">
        <w:rPr>
          <w:rFonts w:asciiTheme="majorBidi" w:hAnsiTheme="majorBidi" w:cstheme="majorBidi"/>
          <w:b w:val="0"/>
          <w:szCs w:val="24"/>
        </w:rPr>
        <w:t xml:space="preserve">. </w:t>
      </w:r>
      <w:r w:rsidR="00D74152" w:rsidRPr="00B13B01">
        <w:rPr>
          <w:b w:val="0"/>
        </w:rPr>
        <w:t xml:space="preserve">Raman spectra were used to calculate a value of polymerisation index, specifically to see the connectivity of the glass structure in the boroaluminosilicate glass system. It was found that glasses that contain </w:t>
      </w:r>
      <w:proofErr w:type="spellStart"/>
      <w:r w:rsidR="00D74152" w:rsidRPr="00B13B01">
        <w:rPr>
          <w:b w:val="0"/>
        </w:rPr>
        <w:t>CaO</w:t>
      </w:r>
      <w:proofErr w:type="spellEnd"/>
      <w:r w:rsidR="00D74152" w:rsidRPr="00B13B01">
        <w:rPr>
          <w:b w:val="0"/>
        </w:rPr>
        <w:t xml:space="preserve"> had a higher polymerisation index compared to those that contained </w:t>
      </w:r>
      <w:proofErr w:type="spellStart"/>
      <w:r w:rsidR="00D74152" w:rsidRPr="00B13B01">
        <w:rPr>
          <w:b w:val="0"/>
        </w:rPr>
        <w:t>BaO</w:t>
      </w:r>
      <w:proofErr w:type="spellEnd"/>
      <w:r w:rsidR="00D74152" w:rsidRPr="00B13B01">
        <w:rPr>
          <w:b w:val="0"/>
        </w:rPr>
        <w:t xml:space="preserve"> and that higher Al</w:t>
      </w:r>
      <w:r w:rsidR="00D74152" w:rsidRPr="00B13B01">
        <w:rPr>
          <w:b w:val="0"/>
          <w:vertAlign w:val="subscript"/>
        </w:rPr>
        <w:t>2</w:t>
      </w:r>
      <w:r w:rsidR="00D74152" w:rsidRPr="00B13B01">
        <w:rPr>
          <w:b w:val="0"/>
        </w:rPr>
        <w:t>O</w:t>
      </w:r>
      <w:r w:rsidR="00D74152" w:rsidRPr="00B13B01">
        <w:rPr>
          <w:b w:val="0"/>
          <w:vertAlign w:val="subscript"/>
        </w:rPr>
        <w:t>3</w:t>
      </w:r>
      <w:r w:rsidR="00D74152" w:rsidRPr="00B13B01">
        <w:rPr>
          <w:b w:val="0"/>
        </w:rPr>
        <w:t xml:space="preserve"> contents gave higher polymerisation indices. This was also borne out by NMR  studies on some of the glasses investigated</w:t>
      </w:r>
      <w:r w:rsidR="00D74152">
        <w:t>.</w:t>
      </w:r>
      <w:r w:rsidR="00D74152" w:rsidRPr="000E2377">
        <w:t xml:space="preserve"> </w:t>
      </w:r>
    </w:p>
    <w:p w14:paraId="1856D3BE" w14:textId="27FF1014" w:rsidR="00D74152" w:rsidRPr="00D74152" w:rsidRDefault="00D74152" w:rsidP="00D74152">
      <w:pPr>
        <w:spacing w:line="360" w:lineRule="auto"/>
        <w:jc w:val="both"/>
        <w:rPr>
          <w:rFonts w:asciiTheme="majorBidi" w:hAnsiTheme="majorBidi" w:cstheme="majorBidi"/>
          <w:b w:val="0"/>
          <w:szCs w:val="24"/>
        </w:rPr>
      </w:pPr>
      <w:r w:rsidRPr="000E2377">
        <w:rPr>
          <w:rFonts w:asciiTheme="majorBidi" w:hAnsiTheme="majorBidi" w:cstheme="majorBidi"/>
          <w:b w:val="0"/>
          <w:szCs w:val="24"/>
        </w:rPr>
        <w:t xml:space="preserve">In </w:t>
      </w:r>
      <w:r w:rsidR="006208BB">
        <w:rPr>
          <w:rFonts w:asciiTheme="majorBidi" w:hAnsiTheme="majorBidi" w:cstheme="majorBidi"/>
          <w:b w:val="0"/>
          <w:szCs w:val="24"/>
        </w:rPr>
        <w:t xml:space="preserve">a </w:t>
      </w:r>
      <w:r w:rsidRPr="000E2377">
        <w:rPr>
          <w:rFonts w:asciiTheme="majorBidi" w:hAnsiTheme="majorBidi" w:cstheme="majorBidi"/>
          <w:b w:val="0"/>
          <w:szCs w:val="24"/>
        </w:rPr>
        <w:t xml:space="preserve">composition-structure-properties relationship, from the overview </w:t>
      </w:r>
      <w:r w:rsidRPr="000E2377">
        <w:rPr>
          <w:rFonts w:cs="Times New Roman"/>
          <w:b w:val="0"/>
          <w:szCs w:val="24"/>
        </w:rPr>
        <w:t>of the correlations between the properties investigated, the network modifiers, formers and intermediates show there is</w:t>
      </w:r>
      <w:r w:rsidR="005D1A70">
        <w:rPr>
          <w:rFonts w:cs="Times New Roman"/>
          <w:b w:val="0"/>
          <w:szCs w:val="24"/>
        </w:rPr>
        <w:t xml:space="preserve"> a</w:t>
      </w:r>
      <w:r w:rsidRPr="000E2377">
        <w:rPr>
          <w:rFonts w:cs="Times New Roman"/>
          <w:b w:val="0"/>
          <w:szCs w:val="24"/>
        </w:rPr>
        <w:t xml:space="preserve"> connection between most of </w:t>
      </w:r>
      <w:r w:rsidR="005D1A70">
        <w:rPr>
          <w:rFonts w:cs="Times New Roman"/>
          <w:b w:val="0"/>
          <w:szCs w:val="24"/>
        </w:rPr>
        <w:t xml:space="preserve">the </w:t>
      </w:r>
      <w:r w:rsidRPr="000E2377">
        <w:rPr>
          <w:rFonts w:cs="Times New Roman"/>
          <w:b w:val="0"/>
          <w:szCs w:val="24"/>
        </w:rPr>
        <w:t>composition as shown in ternary diagram</w:t>
      </w:r>
      <w:r w:rsidR="003214C4">
        <w:rPr>
          <w:rFonts w:cs="Times New Roman"/>
          <w:b w:val="0"/>
          <w:szCs w:val="24"/>
        </w:rPr>
        <w:t>s</w:t>
      </w:r>
      <w:r w:rsidRPr="000E2377">
        <w:rPr>
          <w:rFonts w:cs="Times New Roman"/>
          <w:b w:val="0"/>
          <w:szCs w:val="24"/>
        </w:rPr>
        <w:t xml:space="preserve"> and 3-D correlation</w:t>
      </w:r>
      <w:r w:rsidR="003214C4">
        <w:rPr>
          <w:rFonts w:cs="Times New Roman"/>
          <w:b w:val="0"/>
          <w:szCs w:val="24"/>
        </w:rPr>
        <w:t>s</w:t>
      </w:r>
      <w:r w:rsidRPr="000E2377">
        <w:rPr>
          <w:rFonts w:cs="Times New Roman"/>
          <w:b w:val="0"/>
          <w:szCs w:val="24"/>
        </w:rPr>
        <w:t>. When the glass transition temperature increases the molar volume increases and the shear modulus decreases. Meanwhile</w:t>
      </w:r>
      <w:r w:rsidR="005D1A70">
        <w:rPr>
          <w:rFonts w:cs="Times New Roman"/>
          <w:b w:val="0"/>
          <w:szCs w:val="24"/>
        </w:rPr>
        <w:t>,</w:t>
      </w:r>
      <w:r w:rsidRPr="000E2377">
        <w:rPr>
          <w:rFonts w:cs="Times New Roman"/>
          <w:b w:val="0"/>
          <w:szCs w:val="24"/>
        </w:rPr>
        <w:t xml:space="preserve"> when </w:t>
      </w:r>
      <w:r w:rsidR="003214C4" w:rsidRPr="000E2377">
        <w:rPr>
          <w:rFonts w:cs="Times New Roman"/>
          <w:b w:val="0"/>
          <w:szCs w:val="24"/>
        </w:rPr>
        <w:t>correlat</w:t>
      </w:r>
      <w:r w:rsidR="003214C4">
        <w:rPr>
          <w:rFonts w:cs="Times New Roman"/>
          <w:b w:val="0"/>
          <w:szCs w:val="24"/>
        </w:rPr>
        <w:t>ing</w:t>
      </w:r>
      <w:r w:rsidRPr="000E2377">
        <w:rPr>
          <w:rFonts w:cs="Times New Roman"/>
          <w:b w:val="0"/>
          <w:szCs w:val="24"/>
        </w:rPr>
        <w:t xml:space="preserve"> hardness, glass transition temperature and network former, </w:t>
      </w:r>
      <w:r w:rsidR="003214C4">
        <w:rPr>
          <w:rFonts w:cs="Times New Roman"/>
          <w:b w:val="0"/>
          <w:szCs w:val="24"/>
        </w:rPr>
        <w:t xml:space="preserve">it was found that </w:t>
      </w:r>
      <w:r w:rsidRPr="000E2377">
        <w:rPr>
          <w:rFonts w:cs="Times New Roman"/>
          <w:b w:val="0"/>
          <w:szCs w:val="24"/>
        </w:rPr>
        <w:t xml:space="preserve">increasing </w:t>
      </w:r>
      <w:r w:rsidR="003214C4">
        <w:rPr>
          <w:rFonts w:cs="Times New Roman"/>
          <w:b w:val="0"/>
          <w:szCs w:val="24"/>
        </w:rPr>
        <w:t>the</w:t>
      </w:r>
      <w:r w:rsidR="003214C4" w:rsidRPr="000E2377">
        <w:rPr>
          <w:rFonts w:cs="Times New Roman"/>
          <w:b w:val="0"/>
          <w:szCs w:val="24"/>
        </w:rPr>
        <w:t xml:space="preserve"> </w:t>
      </w:r>
      <w:r w:rsidRPr="000E2377">
        <w:rPr>
          <w:rFonts w:cs="Times New Roman"/>
          <w:b w:val="0"/>
          <w:szCs w:val="24"/>
        </w:rPr>
        <w:t xml:space="preserve">network charge balance </w:t>
      </w:r>
      <w:r w:rsidR="003214C4" w:rsidRPr="000E2377">
        <w:rPr>
          <w:rFonts w:cs="Times New Roman"/>
          <w:b w:val="0"/>
          <w:szCs w:val="24"/>
        </w:rPr>
        <w:t>result</w:t>
      </w:r>
      <w:r w:rsidR="003214C4">
        <w:rPr>
          <w:rFonts w:cs="Times New Roman"/>
          <w:b w:val="0"/>
          <w:szCs w:val="24"/>
        </w:rPr>
        <w:t>ed</w:t>
      </w:r>
      <w:r w:rsidR="003214C4" w:rsidRPr="000E2377">
        <w:rPr>
          <w:rFonts w:cs="Times New Roman"/>
          <w:b w:val="0"/>
          <w:szCs w:val="24"/>
        </w:rPr>
        <w:t xml:space="preserve"> </w:t>
      </w:r>
      <w:r w:rsidRPr="000E2377">
        <w:rPr>
          <w:rFonts w:cs="Times New Roman"/>
          <w:b w:val="0"/>
          <w:szCs w:val="24"/>
        </w:rPr>
        <w:t>in decreasing glass transition temperatures and increased hardness values.</w:t>
      </w:r>
      <w:r>
        <w:rPr>
          <w:rFonts w:asciiTheme="majorBidi" w:hAnsiTheme="majorBidi" w:cstheme="majorBidi"/>
          <w:b w:val="0"/>
          <w:szCs w:val="24"/>
        </w:rPr>
        <w:t xml:space="preserve"> </w:t>
      </w:r>
      <w:r w:rsidRPr="000E2377">
        <w:rPr>
          <w:b w:val="0"/>
          <w:szCs w:val="24"/>
        </w:rPr>
        <w:t xml:space="preserve">Overall it can be seen that increasing of network charge balance, the mechanical </w:t>
      </w:r>
      <w:r>
        <w:rPr>
          <w:b w:val="0"/>
          <w:szCs w:val="24"/>
        </w:rPr>
        <w:t xml:space="preserve">properties </w:t>
      </w:r>
      <w:r w:rsidRPr="000E2377">
        <w:rPr>
          <w:b w:val="0"/>
          <w:szCs w:val="24"/>
        </w:rPr>
        <w:t xml:space="preserve">such as Young’s modulus, shear modulus, bulk modulus, Poisson’s ratio and hardness are increased and polymerisation index are decreased if the total </w:t>
      </w:r>
      <w:r>
        <w:rPr>
          <w:b w:val="0"/>
          <w:szCs w:val="24"/>
        </w:rPr>
        <w:t xml:space="preserve">network </w:t>
      </w:r>
      <w:r w:rsidRPr="000E2377">
        <w:rPr>
          <w:b w:val="0"/>
          <w:szCs w:val="24"/>
        </w:rPr>
        <w:t>charge balance is &gt; 0.</w:t>
      </w:r>
      <w:r w:rsidRPr="000E2377">
        <w:rPr>
          <w:rFonts w:cs="Times New Roman"/>
          <w:b w:val="0"/>
          <w:szCs w:val="24"/>
          <w:lang w:val="tr-TR"/>
        </w:rPr>
        <w:t xml:space="preserve"> </w:t>
      </w:r>
      <w:r w:rsidR="00C25708" w:rsidRPr="000E2377">
        <w:rPr>
          <w:rFonts w:eastAsia="Calibri" w:cs="Times New Roman"/>
          <w:b w:val="0"/>
          <w:szCs w:val="24"/>
        </w:rPr>
        <w:t>Meanwhile</w:t>
      </w:r>
      <w:r w:rsidR="005D1A70">
        <w:rPr>
          <w:rFonts w:eastAsia="Calibri" w:cs="Times New Roman"/>
          <w:b w:val="0"/>
          <w:szCs w:val="24"/>
        </w:rPr>
        <w:t>,</w:t>
      </w:r>
      <w:r w:rsidR="00C25708" w:rsidRPr="000E2377">
        <w:rPr>
          <w:rFonts w:eastAsia="Calibri" w:cs="Times New Roman"/>
          <w:b w:val="0"/>
          <w:szCs w:val="24"/>
        </w:rPr>
        <w:t xml:space="preserve"> the value of Poisson’s ratio is ~0.24 for most of the compositions studied</w:t>
      </w:r>
      <w:r w:rsidR="00C25708">
        <w:rPr>
          <w:rFonts w:eastAsia="Calibri" w:cs="Times New Roman"/>
          <w:b w:val="0"/>
          <w:szCs w:val="24"/>
        </w:rPr>
        <w:t xml:space="preserve">, </w:t>
      </w:r>
      <w:r w:rsidR="00C25708" w:rsidRPr="000E2377">
        <w:rPr>
          <w:rFonts w:eastAsia="Calibri" w:cs="Times New Roman"/>
          <w:b w:val="0"/>
          <w:szCs w:val="24"/>
        </w:rPr>
        <w:t>and the hardness exhibited similar behaviour to Young’s modulus which increased with increasing network modifier</w:t>
      </w:r>
      <w:r w:rsidR="006521B1">
        <w:rPr>
          <w:rFonts w:eastAsia="Calibri" w:cs="Times New Roman"/>
          <w:b w:val="0"/>
          <w:szCs w:val="24"/>
        </w:rPr>
        <w:t xml:space="preserve">. </w:t>
      </w:r>
      <w:r w:rsidRPr="000E2377">
        <w:rPr>
          <w:b w:val="0"/>
        </w:rPr>
        <w:t>The</w:t>
      </w:r>
      <w:r w:rsidRPr="000E2377">
        <w:rPr>
          <w:rFonts w:cs="Times New Roman"/>
          <w:b w:val="0"/>
          <w:szCs w:val="24"/>
          <w:lang w:val="tr-TR"/>
        </w:rPr>
        <w:t xml:space="preserve"> composition-structure-mechanical properties can be controlled and designed from the various mixing ratio of different networks. However, the mixed network former in the composition leads to the non-linear </w:t>
      </w:r>
      <w:r w:rsidR="003214C4">
        <w:rPr>
          <w:rFonts w:cs="Times New Roman"/>
          <w:b w:val="0"/>
          <w:szCs w:val="24"/>
          <w:lang w:val="tr-TR"/>
        </w:rPr>
        <w:t>trends</w:t>
      </w:r>
      <w:r w:rsidR="003214C4" w:rsidRPr="000E2377">
        <w:rPr>
          <w:rFonts w:cs="Times New Roman"/>
          <w:b w:val="0"/>
          <w:szCs w:val="24"/>
          <w:lang w:val="tr-TR"/>
        </w:rPr>
        <w:t xml:space="preserve"> </w:t>
      </w:r>
      <w:r w:rsidRPr="000E2377">
        <w:rPr>
          <w:rFonts w:cs="Times New Roman"/>
          <w:b w:val="0"/>
          <w:szCs w:val="24"/>
          <w:lang w:val="tr-TR"/>
        </w:rPr>
        <w:t xml:space="preserve">in macroscopic properties </w:t>
      </w:r>
      <w:r w:rsidR="003214C4">
        <w:rPr>
          <w:rFonts w:cs="Times New Roman"/>
          <w:b w:val="0"/>
          <w:szCs w:val="24"/>
          <w:lang w:val="tr-TR"/>
        </w:rPr>
        <w:t>as a function of</w:t>
      </w:r>
      <w:r w:rsidRPr="000E2377">
        <w:rPr>
          <w:rFonts w:cs="Times New Roman"/>
          <w:b w:val="0"/>
          <w:szCs w:val="24"/>
          <w:lang w:val="tr-TR"/>
        </w:rPr>
        <w:t xml:space="preserve"> composition design. </w:t>
      </w:r>
    </w:p>
    <w:p w14:paraId="2ACF842F" w14:textId="77777777" w:rsidR="00C25708" w:rsidRDefault="00C25708" w:rsidP="00C25708">
      <w:pPr>
        <w:rPr>
          <w:rFonts w:asciiTheme="majorBidi" w:hAnsiTheme="majorBidi" w:cstheme="majorBidi"/>
          <w:b w:val="0"/>
          <w:szCs w:val="24"/>
        </w:rPr>
      </w:pPr>
    </w:p>
    <w:p w14:paraId="65356651" w14:textId="4E2CE163" w:rsidR="00C25708" w:rsidRPr="006521B1" w:rsidRDefault="00C25708" w:rsidP="006521B1">
      <w:pPr>
        <w:rPr>
          <w:rFonts w:cs="Times New Roman"/>
          <w:szCs w:val="24"/>
          <w:lang w:val="tr-TR"/>
        </w:rPr>
        <w:sectPr w:rsidR="00C25708" w:rsidRPr="006521B1" w:rsidSect="00451031">
          <w:pgSz w:w="11906" w:h="16838"/>
          <w:pgMar w:top="1440" w:right="1440" w:bottom="1440" w:left="1440" w:header="708" w:footer="708" w:gutter="0"/>
          <w:pgNumType w:fmt="lowerRoman" w:start="2"/>
          <w:cols w:space="708"/>
          <w:docGrid w:linePitch="360"/>
        </w:sectPr>
      </w:pPr>
    </w:p>
    <w:p w14:paraId="46F2EE93" w14:textId="25F499A1" w:rsidR="00374633" w:rsidRPr="000E2377" w:rsidRDefault="00374633" w:rsidP="00142EF4">
      <w:pPr>
        <w:jc w:val="center"/>
        <w:rPr>
          <w:rFonts w:cs="Times New Roman"/>
          <w:sz w:val="44"/>
          <w:szCs w:val="44"/>
          <w:lang w:val="tr-TR"/>
        </w:rPr>
      </w:pPr>
      <w:r w:rsidRPr="000E2377">
        <w:rPr>
          <w:rFonts w:cs="Times New Roman"/>
          <w:sz w:val="44"/>
          <w:szCs w:val="44"/>
          <w:lang w:val="tr-TR"/>
        </w:rPr>
        <w:lastRenderedPageBreak/>
        <w:t>Table of Contents</w:t>
      </w:r>
    </w:p>
    <w:bookmarkStart w:id="16" w:name="_Hlk525801971" w:displacedByCustomXml="next"/>
    <w:sdt>
      <w:sdtPr>
        <w:rPr>
          <w:rFonts w:ascii="Times New Roman" w:eastAsiaTheme="minorHAnsi" w:hAnsi="Times New Roman" w:cstheme="minorBidi"/>
          <w:bCs w:val="0"/>
          <w:color w:val="auto"/>
          <w:sz w:val="24"/>
          <w:szCs w:val="22"/>
          <w:lang w:val="en-MY" w:eastAsia="en-US"/>
        </w:rPr>
        <w:id w:val="-1501654333"/>
        <w:docPartObj>
          <w:docPartGallery w:val="Table of Contents"/>
          <w:docPartUnique/>
        </w:docPartObj>
      </w:sdtPr>
      <w:sdtEndPr>
        <w:rPr>
          <w:noProof/>
        </w:rPr>
      </w:sdtEndPr>
      <w:sdtContent>
        <w:p w14:paraId="000BD9A2" w14:textId="0FB29275" w:rsidR="008D41D7" w:rsidRDefault="008D41D7">
          <w:pPr>
            <w:pStyle w:val="TOCHeading"/>
          </w:pPr>
        </w:p>
        <w:p w14:paraId="6D51D7BA" w14:textId="50884086" w:rsidR="007E52E5" w:rsidRPr="007E52E5" w:rsidRDefault="008D41D7">
          <w:pPr>
            <w:pStyle w:val="TOC1"/>
            <w:tabs>
              <w:tab w:val="right" w:leader="dot" w:pos="9016"/>
            </w:tabs>
            <w:rPr>
              <w:rFonts w:asciiTheme="minorHAnsi" w:eastAsiaTheme="minorEastAsia" w:hAnsiTheme="minorHAnsi"/>
              <w:b w:val="0"/>
              <w:noProof/>
              <w:sz w:val="22"/>
              <w:lang w:eastAsia="en-MY"/>
            </w:rPr>
          </w:pPr>
          <w:r>
            <w:rPr>
              <w:bCs/>
              <w:noProof/>
            </w:rPr>
            <w:fldChar w:fldCharType="begin"/>
          </w:r>
          <w:r>
            <w:rPr>
              <w:bCs/>
              <w:noProof/>
            </w:rPr>
            <w:instrText xml:space="preserve"> TOC \o "1-3" \h \z \u </w:instrText>
          </w:r>
          <w:r>
            <w:rPr>
              <w:bCs/>
              <w:noProof/>
            </w:rPr>
            <w:fldChar w:fldCharType="separate"/>
          </w:r>
          <w:hyperlink w:anchor="_Toc12994931" w:history="1">
            <w:r w:rsidR="007E52E5" w:rsidRPr="007E52E5">
              <w:rPr>
                <w:rStyle w:val="Hyperlink"/>
                <w:rFonts w:eastAsiaTheme="majorEastAsia" w:cs="Times New Roman"/>
                <w:b w:val="0"/>
                <w:bCs/>
                <w:noProof/>
                <w:lang w:val="tr-TR"/>
              </w:rPr>
              <w:t>Acknowledgements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_Toc12994931 \h </w:instrText>
            </w:r>
            <w:r w:rsidR="007E52E5" w:rsidRPr="007E52E5">
              <w:rPr>
                <w:b w:val="0"/>
                <w:noProof/>
                <w:webHidden/>
              </w:rPr>
            </w:r>
            <w:r w:rsidR="007E52E5" w:rsidRPr="007E52E5">
              <w:rPr>
                <w:b w:val="0"/>
                <w:noProof/>
                <w:webHidden/>
              </w:rPr>
              <w:fldChar w:fldCharType="separate"/>
            </w:r>
            <w:r w:rsidR="00C827AE">
              <w:rPr>
                <w:b w:val="0"/>
                <w:noProof/>
                <w:webHidden/>
              </w:rPr>
              <w:t>i</w:t>
            </w:r>
            <w:r w:rsidR="007E52E5" w:rsidRPr="007E52E5">
              <w:rPr>
                <w:b w:val="0"/>
                <w:noProof/>
                <w:webHidden/>
              </w:rPr>
              <w:fldChar w:fldCharType="end"/>
            </w:r>
          </w:hyperlink>
        </w:p>
        <w:p w14:paraId="77CDE378" w14:textId="65A59582" w:rsidR="007E52E5" w:rsidRPr="007E52E5" w:rsidRDefault="0094684C">
          <w:pPr>
            <w:pStyle w:val="TOC1"/>
            <w:tabs>
              <w:tab w:val="right" w:leader="dot" w:pos="9016"/>
            </w:tabs>
            <w:rPr>
              <w:rFonts w:asciiTheme="minorHAnsi" w:eastAsiaTheme="minorEastAsia" w:hAnsiTheme="minorHAnsi"/>
              <w:b w:val="0"/>
              <w:noProof/>
              <w:sz w:val="22"/>
              <w:lang w:eastAsia="en-MY"/>
            </w:rPr>
          </w:pPr>
          <w:hyperlink w:anchor="_Toc12994932" w:history="1">
            <w:r w:rsidR="007E52E5" w:rsidRPr="007E52E5">
              <w:rPr>
                <w:rStyle w:val="Hyperlink"/>
                <w:rFonts w:eastAsiaTheme="majorEastAsia" w:cs="Times New Roman"/>
                <w:b w:val="0"/>
                <w:bCs/>
                <w:noProof/>
                <w:lang w:val="en-GB"/>
              </w:rPr>
              <w:t>Abstract</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_Toc12994932 \h </w:instrText>
            </w:r>
            <w:r w:rsidR="007E52E5" w:rsidRPr="007E52E5">
              <w:rPr>
                <w:b w:val="0"/>
                <w:noProof/>
                <w:webHidden/>
              </w:rPr>
            </w:r>
            <w:r w:rsidR="007E52E5" w:rsidRPr="007E52E5">
              <w:rPr>
                <w:b w:val="0"/>
                <w:noProof/>
                <w:webHidden/>
              </w:rPr>
              <w:fldChar w:fldCharType="separate"/>
            </w:r>
            <w:r w:rsidR="00C827AE">
              <w:rPr>
                <w:b w:val="0"/>
                <w:noProof/>
                <w:webHidden/>
              </w:rPr>
              <w:t>ii</w:t>
            </w:r>
            <w:r w:rsidR="007E52E5" w:rsidRPr="007E52E5">
              <w:rPr>
                <w:b w:val="0"/>
                <w:noProof/>
                <w:webHidden/>
              </w:rPr>
              <w:fldChar w:fldCharType="end"/>
            </w:r>
          </w:hyperlink>
        </w:p>
        <w:p w14:paraId="309C57D3" w14:textId="011DBA6A" w:rsidR="007E52E5" w:rsidRPr="007E52E5" w:rsidRDefault="0094684C">
          <w:pPr>
            <w:pStyle w:val="TOC1"/>
            <w:tabs>
              <w:tab w:val="right" w:leader="dot" w:pos="9016"/>
            </w:tabs>
            <w:rPr>
              <w:rFonts w:asciiTheme="minorHAnsi" w:eastAsiaTheme="minorEastAsia" w:hAnsiTheme="minorHAnsi"/>
              <w:b w:val="0"/>
              <w:noProof/>
              <w:sz w:val="22"/>
              <w:lang w:eastAsia="en-MY"/>
            </w:rPr>
          </w:pPr>
          <w:hyperlink w:anchor="_Toc12994933" w:history="1">
            <w:r w:rsidR="007E52E5" w:rsidRPr="007E52E5">
              <w:rPr>
                <w:rStyle w:val="Hyperlink"/>
                <w:b w:val="0"/>
                <w:noProof/>
              </w:rPr>
              <w:t>CHAPTER 1</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_Toc12994933 \h </w:instrText>
            </w:r>
            <w:r w:rsidR="007E52E5" w:rsidRPr="007E52E5">
              <w:rPr>
                <w:b w:val="0"/>
                <w:noProof/>
                <w:webHidden/>
              </w:rPr>
            </w:r>
            <w:r w:rsidR="007E52E5" w:rsidRPr="007E52E5">
              <w:rPr>
                <w:b w:val="0"/>
                <w:noProof/>
                <w:webHidden/>
              </w:rPr>
              <w:fldChar w:fldCharType="separate"/>
            </w:r>
            <w:r w:rsidR="00C827AE">
              <w:rPr>
                <w:b w:val="0"/>
                <w:noProof/>
                <w:webHidden/>
              </w:rPr>
              <w:t>1</w:t>
            </w:r>
            <w:r w:rsidR="007E52E5" w:rsidRPr="007E52E5">
              <w:rPr>
                <w:b w:val="0"/>
                <w:noProof/>
                <w:webHidden/>
              </w:rPr>
              <w:fldChar w:fldCharType="end"/>
            </w:r>
          </w:hyperlink>
        </w:p>
        <w:p w14:paraId="78E1FC69" w14:textId="493F5888" w:rsidR="007E52E5" w:rsidRPr="007E52E5" w:rsidRDefault="0094684C">
          <w:pPr>
            <w:pStyle w:val="TOC2"/>
            <w:tabs>
              <w:tab w:val="right" w:leader="dot" w:pos="9016"/>
            </w:tabs>
            <w:rPr>
              <w:rFonts w:asciiTheme="minorHAnsi" w:eastAsiaTheme="minorEastAsia" w:hAnsiTheme="minorHAnsi"/>
              <w:b w:val="0"/>
              <w:noProof/>
              <w:sz w:val="22"/>
              <w:lang w:eastAsia="en-MY"/>
            </w:rPr>
          </w:pPr>
          <w:hyperlink w:anchor="_Toc12994934" w:history="1">
            <w:r w:rsidR="007E52E5" w:rsidRPr="007E52E5">
              <w:rPr>
                <w:rStyle w:val="Hyperlink"/>
                <w:b w:val="0"/>
                <w:noProof/>
              </w:rPr>
              <w:t>Introduction</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_Toc12994934 \h </w:instrText>
            </w:r>
            <w:r w:rsidR="007E52E5" w:rsidRPr="007E52E5">
              <w:rPr>
                <w:b w:val="0"/>
                <w:noProof/>
                <w:webHidden/>
              </w:rPr>
            </w:r>
            <w:r w:rsidR="007E52E5" w:rsidRPr="007E52E5">
              <w:rPr>
                <w:b w:val="0"/>
                <w:noProof/>
                <w:webHidden/>
              </w:rPr>
              <w:fldChar w:fldCharType="separate"/>
            </w:r>
            <w:r w:rsidR="00C827AE">
              <w:rPr>
                <w:b w:val="0"/>
                <w:noProof/>
                <w:webHidden/>
              </w:rPr>
              <w:t>1</w:t>
            </w:r>
            <w:r w:rsidR="007E52E5" w:rsidRPr="007E52E5">
              <w:rPr>
                <w:b w:val="0"/>
                <w:noProof/>
                <w:webHidden/>
              </w:rPr>
              <w:fldChar w:fldCharType="end"/>
            </w:r>
          </w:hyperlink>
        </w:p>
        <w:p w14:paraId="109D4248" w14:textId="5667A97C" w:rsidR="007E52E5" w:rsidRPr="007E52E5" w:rsidRDefault="0094684C">
          <w:pPr>
            <w:pStyle w:val="TOC1"/>
            <w:tabs>
              <w:tab w:val="right" w:leader="dot" w:pos="9016"/>
            </w:tabs>
            <w:rPr>
              <w:rFonts w:asciiTheme="minorHAnsi" w:eastAsiaTheme="minorEastAsia" w:hAnsiTheme="minorHAnsi"/>
              <w:b w:val="0"/>
              <w:noProof/>
              <w:sz w:val="22"/>
              <w:lang w:eastAsia="en-MY"/>
            </w:rPr>
          </w:pPr>
          <w:hyperlink w:anchor="_Toc12994935" w:history="1">
            <w:r w:rsidR="007E52E5" w:rsidRPr="007E52E5">
              <w:rPr>
                <w:rStyle w:val="Hyperlink"/>
                <w:b w:val="0"/>
                <w:noProof/>
              </w:rPr>
              <w:t>CHAPTER 2</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_Toc12994935 \h </w:instrText>
            </w:r>
            <w:r w:rsidR="007E52E5" w:rsidRPr="007E52E5">
              <w:rPr>
                <w:b w:val="0"/>
                <w:noProof/>
                <w:webHidden/>
              </w:rPr>
            </w:r>
            <w:r w:rsidR="007E52E5" w:rsidRPr="007E52E5">
              <w:rPr>
                <w:b w:val="0"/>
                <w:noProof/>
                <w:webHidden/>
              </w:rPr>
              <w:fldChar w:fldCharType="separate"/>
            </w:r>
            <w:r w:rsidR="00C827AE">
              <w:rPr>
                <w:b w:val="0"/>
                <w:noProof/>
                <w:webHidden/>
              </w:rPr>
              <w:t>5</w:t>
            </w:r>
            <w:r w:rsidR="007E52E5" w:rsidRPr="007E52E5">
              <w:rPr>
                <w:b w:val="0"/>
                <w:noProof/>
                <w:webHidden/>
              </w:rPr>
              <w:fldChar w:fldCharType="end"/>
            </w:r>
          </w:hyperlink>
        </w:p>
        <w:p w14:paraId="7C047AA0" w14:textId="1816261F" w:rsidR="007E52E5" w:rsidRPr="007E52E5" w:rsidRDefault="0094684C">
          <w:pPr>
            <w:pStyle w:val="TOC2"/>
            <w:tabs>
              <w:tab w:val="right" w:leader="dot" w:pos="9016"/>
            </w:tabs>
            <w:rPr>
              <w:rFonts w:asciiTheme="minorHAnsi" w:eastAsiaTheme="minorEastAsia" w:hAnsiTheme="minorHAnsi"/>
              <w:b w:val="0"/>
              <w:noProof/>
              <w:sz w:val="22"/>
              <w:lang w:eastAsia="en-MY"/>
            </w:rPr>
          </w:pPr>
          <w:hyperlink w:anchor="_Toc12994936" w:history="1">
            <w:r w:rsidR="007E52E5" w:rsidRPr="007E52E5">
              <w:rPr>
                <w:rStyle w:val="Hyperlink"/>
                <w:rFonts w:eastAsia="Calibri" w:cs="Times New Roman"/>
                <w:b w:val="0"/>
                <w:caps/>
                <w:noProof/>
              </w:rPr>
              <w:t>Literature review</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_Toc12994936 \h </w:instrText>
            </w:r>
            <w:r w:rsidR="007E52E5" w:rsidRPr="007E52E5">
              <w:rPr>
                <w:b w:val="0"/>
                <w:noProof/>
                <w:webHidden/>
              </w:rPr>
            </w:r>
            <w:r w:rsidR="007E52E5" w:rsidRPr="007E52E5">
              <w:rPr>
                <w:b w:val="0"/>
                <w:noProof/>
                <w:webHidden/>
              </w:rPr>
              <w:fldChar w:fldCharType="separate"/>
            </w:r>
            <w:r w:rsidR="00C827AE">
              <w:rPr>
                <w:b w:val="0"/>
                <w:noProof/>
                <w:webHidden/>
              </w:rPr>
              <w:t>5</w:t>
            </w:r>
            <w:r w:rsidR="007E52E5" w:rsidRPr="007E52E5">
              <w:rPr>
                <w:b w:val="0"/>
                <w:noProof/>
                <w:webHidden/>
              </w:rPr>
              <w:fldChar w:fldCharType="end"/>
            </w:r>
          </w:hyperlink>
        </w:p>
        <w:p w14:paraId="52E14E59" w14:textId="20347B21"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37" w:history="1">
            <w:r w:rsidR="007E52E5" w:rsidRPr="007E52E5">
              <w:rPr>
                <w:rStyle w:val="Hyperlink"/>
                <w:b w:val="0"/>
                <w:noProof/>
              </w:rPr>
              <w:t>2.1 Introduction</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_Toc12994937 \h </w:instrText>
            </w:r>
            <w:r w:rsidR="007E52E5" w:rsidRPr="007E52E5">
              <w:rPr>
                <w:b w:val="0"/>
                <w:noProof/>
                <w:webHidden/>
              </w:rPr>
            </w:r>
            <w:r w:rsidR="007E52E5" w:rsidRPr="007E52E5">
              <w:rPr>
                <w:b w:val="0"/>
                <w:noProof/>
                <w:webHidden/>
              </w:rPr>
              <w:fldChar w:fldCharType="separate"/>
            </w:r>
            <w:r w:rsidR="00C827AE">
              <w:rPr>
                <w:b w:val="0"/>
                <w:noProof/>
                <w:webHidden/>
              </w:rPr>
              <w:t>5</w:t>
            </w:r>
            <w:r w:rsidR="007E52E5" w:rsidRPr="007E52E5">
              <w:rPr>
                <w:b w:val="0"/>
                <w:noProof/>
                <w:webHidden/>
              </w:rPr>
              <w:fldChar w:fldCharType="end"/>
            </w:r>
          </w:hyperlink>
        </w:p>
        <w:p w14:paraId="2887A0D9" w14:textId="5DB85780"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38" w:history="1">
            <w:r w:rsidR="007E52E5" w:rsidRPr="007E52E5">
              <w:rPr>
                <w:rStyle w:val="Hyperlink"/>
                <w:rFonts w:eastAsiaTheme="majorEastAsia" w:cstheme="majorBidi"/>
                <w:b w:val="0"/>
                <w:noProof/>
              </w:rPr>
              <w:t>2.2 What is a glass?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_Toc12994938 \h </w:instrText>
            </w:r>
            <w:r w:rsidR="007E52E5" w:rsidRPr="007E52E5">
              <w:rPr>
                <w:b w:val="0"/>
                <w:noProof/>
                <w:webHidden/>
              </w:rPr>
            </w:r>
            <w:r w:rsidR="007E52E5" w:rsidRPr="007E52E5">
              <w:rPr>
                <w:b w:val="0"/>
                <w:noProof/>
                <w:webHidden/>
              </w:rPr>
              <w:fldChar w:fldCharType="separate"/>
            </w:r>
            <w:r w:rsidR="00C827AE">
              <w:rPr>
                <w:b w:val="0"/>
                <w:noProof/>
                <w:webHidden/>
              </w:rPr>
              <w:t>5</w:t>
            </w:r>
            <w:r w:rsidR="007E52E5" w:rsidRPr="007E52E5">
              <w:rPr>
                <w:b w:val="0"/>
                <w:noProof/>
                <w:webHidden/>
              </w:rPr>
              <w:fldChar w:fldCharType="end"/>
            </w:r>
          </w:hyperlink>
        </w:p>
        <w:p w14:paraId="7632699D" w14:textId="52EBD857"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39" w:history="1">
            <w:r w:rsidR="007E52E5" w:rsidRPr="007E52E5">
              <w:rPr>
                <w:rStyle w:val="Hyperlink"/>
                <w:rFonts w:eastAsia="Calibri"/>
                <w:b w:val="0"/>
                <w:noProof/>
                <w:lang w:eastAsia="tr-TR"/>
              </w:rPr>
              <w:t>2.3 Modifiers and Q species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_Toc12994939 \h </w:instrText>
            </w:r>
            <w:r w:rsidR="007E52E5" w:rsidRPr="007E52E5">
              <w:rPr>
                <w:b w:val="0"/>
                <w:noProof/>
                <w:webHidden/>
              </w:rPr>
            </w:r>
            <w:r w:rsidR="007E52E5" w:rsidRPr="007E52E5">
              <w:rPr>
                <w:b w:val="0"/>
                <w:noProof/>
                <w:webHidden/>
              </w:rPr>
              <w:fldChar w:fldCharType="separate"/>
            </w:r>
            <w:r w:rsidR="00C827AE">
              <w:rPr>
                <w:b w:val="0"/>
                <w:noProof/>
                <w:webHidden/>
              </w:rPr>
              <w:t>9</w:t>
            </w:r>
            <w:r w:rsidR="007E52E5" w:rsidRPr="007E52E5">
              <w:rPr>
                <w:b w:val="0"/>
                <w:noProof/>
                <w:webHidden/>
              </w:rPr>
              <w:fldChar w:fldCharType="end"/>
            </w:r>
          </w:hyperlink>
        </w:p>
        <w:p w14:paraId="070AA280" w14:textId="2C12BF24"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40" w:history="1">
            <w:r w:rsidR="007E52E5" w:rsidRPr="007E52E5">
              <w:rPr>
                <w:rStyle w:val="Hyperlink"/>
                <w:rFonts w:eastAsia="Calibri" w:cstheme="majorBidi"/>
                <w:b w:val="0"/>
                <w:noProof/>
                <w:lang w:eastAsia="tr-TR"/>
              </w:rPr>
              <w:t>2.4 Intermediates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_Toc12994940 \h </w:instrText>
            </w:r>
            <w:r w:rsidR="007E52E5" w:rsidRPr="007E52E5">
              <w:rPr>
                <w:b w:val="0"/>
                <w:noProof/>
                <w:webHidden/>
              </w:rPr>
            </w:r>
            <w:r w:rsidR="007E52E5" w:rsidRPr="007E52E5">
              <w:rPr>
                <w:b w:val="0"/>
                <w:noProof/>
                <w:webHidden/>
              </w:rPr>
              <w:fldChar w:fldCharType="separate"/>
            </w:r>
            <w:r w:rsidR="00C827AE">
              <w:rPr>
                <w:b w:val="0"/>
                <w:noProof/>
                <w:webHidden/>
              </w:rPr>
              <w:t>12</w:t>
            </w:r>
            <w:r w:rsidR="007E52E5" w:rsidRPr="007E52E5">
              <w:rPr>
                <w:b w:val="0"/>
                <w:noProof/>
                <w:webHidden/>
              </w:rPr>
              <w:fldChar w:fldCharType="end"/>
            </w:r>
          </w:hyperlink>
        </w:p>
        <w:p w14:paraId="3E08C2B8" w14:textId="15EB26A3"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41" w:history="1">
            <w:r w:rsidR="007E52E5" w:rsidRPr="007E52E5">
              <w:rPr>
                <w:rStyle w:val="Hyperlink"/>
                <w:rFonts w:eastAsiaTheme="majorEastAsia" w:cstheme="majorBidi"/>
                <w:b w:val="0"/>
                <w:noProof/>
              </w:rPr>
              <w:t>2.5 Boron as a network former</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_Toc12994941 \h </w:instrText>
            </w:r>
            <w:r w:rsidR="007E52E5" w:rsidRPr="007E52E5">
              <w:rPr>
                <w:b w:val="0"/>
                <w:noProof/>
                <w:webHidden/>
              </w:rPr>
            </w:r>
            <w:r w:rsidR="007E52E5" w:rsidRPr="007E52E5">
              <w:rPr>
                <w:b w:val="0"/>
                <w:noProof/>
                <w:webHidden/>
              </w:rPr>
              <w:fldChar w:fldCharType="separate"/>
            </w:r>
            <w:r w:rsidR="00C827AE">
              <w:rPr>
                <w:b w:val="0"/>
                <w:noProof/>
                <w:webHidden/>
              </w:rPr>
              <w:t>15</w:t>
            </w:r>
            <w:r w:rsidR="007E52E5" w:rsidRPr="007E52E5">
              <w:rPr>
                <w:b w:val="0"/>
                <w:noProof/>
                <w:webHidden/>
              </w:rPr>
              <w:fldChar w:fldCharType="end"/>
            </w:r>
          </w:hyperlink>
        </w:p>
        <w:p w14:paraId="7122EBDA" w14:textId="25690A18"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42" w:history="1">
            <w:r w:rsidR="007E52E5" w:rsidRPr="007E52E5">
              <w:rPr>
                <w:rStyle w:val="Hyperlink"/>
                <w:b w:val="0"/>
                <w:noProof/>
              </w:rPr>
              <w:t>2.6 Aluminoborates and boroaluminosilicates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_Toc12994942 \h </w:instrText>
            </w:r>
            <w:r w:rsidR="007E52E5" w:rsidRPr="007E52E5">
              <w:rPr>
                <w:b w:val="0"/>
                <w:noProof/>
                <w:webHidden/>
              </w:rPr>
            </w:r>
            <w:r w:rsidR="007E52E5" w:rsidRPr="007E52E5">
              <w:rPr>
                <w:b w:val="0"/>
                <w:noProof/>
                <w:webHidden/>
              </w:rPr>
              <w:fldChar w:fldCharType="separate"/>
            </w:r>
            <w:r w:rsidR="00C827AE">
              <w:rPr>
                <w:b w:val="0"/>
                <w:noProof/>
                <w:webHidden/>
              </w:rPr>
              <w:t>16</w:t>
            </w:r>
            <w:r w:rsidR="007E52E5" w:rsidRPr="007E52E5">
              <w:rPr>
                <w:b w:val="0"/>
                <w:noProof/>
                <w:webHidden/>
              </w:rPr>
              <w:fldChar w:fldCharType="end"/>
            </w:r>
          </w:hyperlink>
        </w:p>
        <w:p w14:paraId="63BEF052" w14:textId="41899324" w:rsidR="007E52E5" w:rsidRDefault="0094684C">
          <w:pPr>
            <w:pStyle w:val="TOC3"/>
            <w:tabs>
              <w:tab w:val="right" w:leader="dot" w:pos="9016"/>
            </w:tabs>
            <w:rPr>
              <w:b w:val="0"/>
              <w:noProof/>
            </w:rPr>
          </w:pPr>
          <w:hyperlink w:anchor="_Toc12994943" w:history="1">
            <w:r w:rsidR="007E52E5" w:rsidRPr="007E52E5">
              <w:rPr>
                <w:rStyle w:val="Hyperlink"/>
                <w:rFonts w:eastAsiaTheme="majorEastAsia" w:cstheme="majorBidi"/>
                <w:b w:val="0"/>
                <w:noProof/>
              </w:rPr>
              <w:t>2.7 Mixed alkali and alkaline earth effect</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_Toc12994943 \h </w:instrText>
            </w:r>
            <w:r w:rsidR="007E52E5" w:rsidRPr="007E52E5">
              <w:rPr>
                <w:b w:val="0"/>
                <w:noProof/>
                <w:webHidden/>
              </w:rPr>
            </w:r>
            <w:r w:rsidR="007E52E5" w:rsidRPr="007E52E5">
              <w:rPr>
                <w:b w:val="0"/>
                <w:noProof/>
                <w:webHidden/>
              </w:rPr>
              <w:fldChar w:fldCharType="separate"/>
            </w:r>
            <w:r w:rsidR="00C827AE">
              <w:rPr>
                <w:b w:val="0"/>
                <w:noProof/>
                <w:webHidden/>
              </w:rPr>
              <w:t>17</w:t>
            </w:r>
            <w:r w:rsidR="007E52E5" w:rsidRPr="007E52E5">
              <w:rPr>
                <w:b w:val="0"/>
                <w:noProof/>
                <w:webHidden/>
              </w:rPr>
              <w:fldChar w:fldCharType="end"/>
            </w:r>
          </w:hyperlink>
        </w:p>
        <w:p w14:paraId="624389D9" w14:textId="6986746F" w:rsidR="00D81E82" w:rsidRPr="00D81E82" w:rsidRDefault="00D81E82" w:rsidP="000001C3">
          <w:pPr>
            <w:spacing w:after="0" w:line="360" w:lineRule="auto"/>
            <w:rPr>
              <w:b w:val="0"/>
              <w:bCs/>
            </w:rPr>
          </w:pPr>
          <w:r>
            <w:t xml:space="preserve">        </w:t>
          </w:r>
          <w:r w:rsidRPr="00D81E82">
            <w:rPr>
              <w:b w:val="0"/>
              <w:bCs/>
            </w:rPr>
            <w:t>2.8</w:t>
          </w:r>
          <w:r>
            <w:rPr>
              <w:b w:val="0"/>
              <w:bCs/>
            </w:rPr>
            <w:t xml:space="preserve"> </w:t>
          </w:r>
          <w:r w:rsidRPr="00D81E82">
            <w:rPr>
              <w:rFonts w:asciiTheme="majorBidi" w:hAnsiTheme="majorBidi" w:cstheme="majorBidi"/>
              <w:b w:val="0"/>
              <w:bCs/>
              <w:szCs w:val="24"/>
            </w:rPr>
            <w:t>Effect of different modifier cations</w:t>
          </w:r>
          <w:r>
            <w:rPr>
              <w:rFonts w:asciiTheme="majorBidi" w:hAnsiTheme="majorBidi" w:cstheme="majorBidi"/>
              <w:b w:val="0"/>
              <w:bCs/>
              <w:szCs w:val="24"/>
            </w:rPr>
            <w:t>…………………………………………………19</w:t>
          </w:r>
        </w:p>
        <w:p w14:paraId="2F1669CF" w14:textId="58DDC20F"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44" w:history="1">
            <w:r w:rsidR="007E52E5" w:rsidRPr="007E52E5">
              <w:rPr>
                <w:rStyle w:val="Hyperlink"/>
                <w:b w:val="0"/>
                <w:noProof/>
              </w:rPr>
              <w:t>2.9 Effect of polymerisation on properties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_Toc12994944 \h </w:instrText>
            </w:r>
            <w:r w:rsidR="007E52E5" w:rsidRPr="007E52E5">
              <w:rPr>
                <w:b w:val="0"/>
                <w:noProof/>
                <w:webHidden/>
              </w:rPr>
            </w:r>
            <w:r w:rsidR="007E52E5" w:rsidRPr="007E52E5">
              <w:rPr>
                <w:b w:val="0"/>
                <w:noProof/>
                <w:webHidden/>
              </w:rPr>
              <w:fldChar w:fldCharType="separate"/>
            </w:r>
            <w:r w:rsidR="00C827AE">
              <w:rPr>
                <w:b w:val="0"/>
                <w:noProof/>
                <w:webHidden/>
              </w:rPr>
              <w:t>20</w:t>
            </w:r>
            <w:r w:rsidR="007E52E5" w:rsidRPr="007E52E5">
              <w:rPr>
                <w:b w:val="0"/>
                <w:noProof/>
                <w:webHidden/>
              </w:rPr>
              <w:fldChar w:fldCharType="end"/>
            </w:r>
          </w:hyperlink>
        </w:p>
        <w:p w14:paraId="09E5F2E2" w14:textId="6D5BA49E"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45" w:history="1">
            <w:r w:rsidR="007E52E5" w:rsidRPr="007E52E5">
              <w:rPr>
                <w:rStyle w:val="Hyperlink"/>
                <w:b w:val="0"/>
                <w:noProof/>
                <w:lang w:val="en-GB"/>
              </w:rPr>
              <w:t>2.10 Connectivity</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_Toc12994945 \h </w:instrText>
            </w:r>
            <w:r w:rsidR="007E52E5" w:rsidRPr="007E52E5">
              <w:rPr>
                <w:b w:val="0"/>
                <w:noProof/>
                <w:webHidden/>
              </w:rPr>
            </w:r>
            <w:r w:rsidR="007E52E5" w:rsidRPr="007E52E5">
              <w:rPr>
                <w:b w:val="0"/>
                <w:noProof/>
                <w:webHidden/>
              </w:rPr>
              <w:fldChar w:fldCharType="separate"/>
            </w:r>
            <w:r w:rsidR="00C827AE">
              <w:rPr>
                <w:b w:val="0"/>
                <w:noProof/>
                <w:webHidden/>
              </w:rPr>
              <w:t>20</w:t>
            </w:r>
            <w:r w:rsidR="007E52E5" w:rsidRPr="007E52E5">
              <w:rPr>
                <w:b w:val="0"/>
                <w:noProof/>
                <w:webHidden/>
              </w:rPr>
              <w:fldChar w:fldCharType="end"/>
            </w:r>
          </w:hyperlink>
        </w:p>
        <w:p w14:paraId="7CE261C3" w14:textId="4649EF70" w:rsidR="007E52E5" w:rsidRPr="007E52E5" w:rsidRDefault="0094684C" w:rsidP="007E52E5">
          <w:pPr>
            <w:pStyle w:val="TOC3"/>
            <w:tabs>
              <w:tab w:val="right" w:leader="dot" w:pos="9016"/>
            </w:tabs>
            <w:rPr>
              <w:rFonts w:asciiTheme="minorHAnsi" w:eastAsiaTheme="minorEastAsia" w:hAnsiTheme="minorHAnsi"/>
              <w:b w:val="0"/>
              <w:noProof/>
              <w:sz w:val="22"/>
              <w:lang w:eastAsia="en-MY"/>
            </w:rPr>
          </w:pPr>
          <w:hyperlink w:anchor="_Toc12994946" w:history="1">
            <w:r w:rsidR="007E52E5" w:rsidRPr="007E52E5">
              <w:rPr>
                <w:rStyle w:val="Hyperlink"/>
                <w:rFonts w:eastAsia="Calibri"/>
                <w:b w:val="0"/>
                <w:noProof/>
                <w:lang w:eastAsia="tr-TR"/>
              </w:rPr>
              <w:t>2.11 Moduli / Hardness / Toughness / Brittleness of glasses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_Toc12994946 \h </w:instrText>
            </w:r>
            <w:r w:rsidR="007E52E5" w:rsidRPr="007E52E5">
              <w:rPr>
                <w:b w:val="0"/>
                <w:noProof/>
                <w:webHidden/>
              </w:rPr>
            </w:r>
            <w:r w:rsidR="007E52E5" w:rsidRPr="007E52E5">
              <w:rPr>
                <w:b w:val="0"/>
                <w:noProof/>
                <w:webHidden/>
              </w:rPr>
              <w:fldChar w:fldCharType="separate"/>
            </w:r>
            <w:r w:rsidR="00C827AE">
              <w:rPr>
                <w:b w:val="0"/>
                <w:noProof/>
                <w:webHidden/>
              </w:rPr>
              <w:t>21</w:t>
            </w:r>
            <w:r w:rsidR="007E52E5" w:rsidRPr="007E52E5">
              <w:rPr>
                <w:b w:val="0"/>
                <w:noProof/>
                <w:webHidden/>
              </w:rPr>
              <w:fldChar w:fldCharType="end"/>
            </w:r>
          </w:hyperlink>
          <w:r w:rsidR="00A52387" w:rsidRPr="007E52E5">
            <w:rPr>
              <w:rFonts w:asciiTheme="minorHAnsi" w:eastAsiaTheme="minorEastAsia" w:hAnsiTheme="minorHAnsi"/>
              <w:b w:val="0"/>
              <w:noProof/>
              <w:sz w:val="22"/>
              <w:lang w:eastAsia="en-MY"/>
            </w:rPr>
            <w:t xml:space="preserve"> </w:t>
          </w:r>
        </w:p>
        <w:p w14:paraId="13CD615D" w14:textId="7364B736"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48" w:history="1">
            <w:r w:rsidR="007E52E5" w:rsidRPr="007E52E5">
              <w:rPr>
                <w:rStyle w:val="Hyperlink"/>
                <w:b w:val="0"/>
                <w:noProof/>
              </w:rPr>
              <w:t>2.12 Summary of literature</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_Toc12994948 \h </w:instrText>
            </w:r>
            <w:r w:rsidR="007E52E5" w:rsidRPr="007E52E5">
              <w:rPr>
                <w:b w:val="0"/>
                <w:noProof/>
                <w:webHidden/>
              </w:rPr>
            </w:r>
            <w:r w:rsidR="007E52E5" w:rsidRPr="007E52E5">
              <w:rPr>
                <w:b w:val="0"/>
                <w:noProof/>
                <w:webHidden/>
              </w:rPr>
              <w:fldChar w:fldCharType="separate"/>
            </w:r>
            <w:r w:rsidR="00C827AE">
              <w:rPr>
                <w:b w:val="0"/>
                <w:noProof/>
                <w:webHidden/>
              </w:rPr>
              <w:t>32</w:t>
            </w:r>
            <w:r w:rsidR="007E52E5" w:rsidRPr="007E52E5">
              <w:rPr>
                <w:b w:val="0"/>
                <w:noProof/>
                <w:webHidden/>
              </w:rPr>
              <w:fldChar w:fldCharType="end"/>
            </w:r>
          </w:hyperlink>
        </w:p>
        <w:p w14:paraId="491CF970" w14:textId="0D638299" w:rsidR="007E52E5" w:rsidRPr="007E52E5" w:rsidRDefault="0094684C">
          <w:pPr>
            <w:pStyle w:val="TOC1"/>
            <w:tabs>
              <w:tab w:val="right" w:leader="dot" w:pos="9016"/>
            </w:tabs>
            <w:rPr>
              <w:rFonts w:asciiTheme="minorHAnsi" w:eastAsiaTheme="minorEastAsia" w:hAnsiTheme="minorHAnsi"/>
              <w:b w:val="0"/>
              <w:noProof/>
              <w:sz w:val="22"/>
              <w:lang w:eastAsia="en-MY"/>
            </w:rPr>
          </w:pPr>
          <w:hyperlink w:anchor="_Toc12994949" w:history="1">
            <w:r w:rsidR="007E52E5" w:rsidRPr="007E52E5">
              <w:rPr>
                <w:rStyle w:val="Hyperlink"/>
                <w:b w:val="0"/>
                <w:noProof/>
              </w:rPr>
              <w:t>CHAPTER 3</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_Toc12994949 \h </w:instrText>
            </w:r>
            <w:r w:rsidR="007E52E5" w:rsidRPr="007E52E5">
              <w:rPr>
                <w:b w:val="0"/>
                <w:noProof/>
                <w:webHidden/>
              </w:rPr>
            </w:r>
            <w:r w:rsidR="007E52E5" w:rsidRPr="007E52E5">
              <w:rPr>
                <w:b w:val="0"/>
                <w:noProof/>
                <w:webHidden/>
              </w:rPr>
              <w:fldChar w:fldCharType="separate"/>
            </w:r>
            <w:r w:rsidR="00C827AE">
              <w:rPr>
                <w:b w:val="0"/>
                <w:noProof/>
                <w:webHidden/>
              </w:rPr>
              <w:t>33</w:t>
            </w:r>
            <w:r w:rsidR="007E52E5" w:rsidRPr="007E52E5">
              <w:rPr>
                <w:b w:val="0"/>
                <w:noProof/>
                <w:webHidden/>
              </w:rPr>
              <w:fldChar w:fldCharType="end"/>
            </w:r>
          </w:hyperlink>
        </w:p>
        <w:p w14:paraId="779A108E" w14:textId="381BAA78" w:rsidR="007E52E5" w:rsidRPr="007E52E5" w:rsidRDefault="0094684C">
          <w:pPr>
            <w:pStyle w:val="TOC2"/>
            <w:tabs>
              <w:tab w:val="right" w:leader="dot" w:pos="9016"/>
            </w:tabs>
            <w:rPr>
              <w:rFonts w:asciiTheme="minorHAnsi" w:eastAsiaTheme="minorEastAsia" w:hAnsiTheme="minorHAnsi"/>
              <w:b w:val="0"/>
              <w:noProof/>
              <w:sz w:val="22"/>
              <w:lang w:eastAsia="en-MY"/>
            </w:rPr>
          </w:pPr>
          <w:hyperlink w:anchor="_Toc12994950" w:history="1">
            <w:r w:rsidR="007E52E5" w:rsidRPr="007E52E5">
              <w:rPr>
                <w:rStyle w:val="Hyperlink"/>
                <w:rFonts w:eastAsia="Calibri" w:cs="Times New Roman"/>
                <w:b w:val="0"/>
                <w:caps/>
                <w:noProof/>
              </w:rPr>
              <w:t>Methodology</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_Toc12994950 \h </w:instrText>
            </w:r>
            <w:r w:rsidR="007E52E5" w:rsidRPr="007E52E5">
              <w:rPr>
                <w:b w:val="0"/>
                <w:noProof/>
                <w:webHidden/>
              </w:rPr>
            </w:r>
            <w:r w:rsidR="007E52E5" w:rsidRPr="007E52E5">
              <w:rPr>
                <w:b w:val="0"/>
                <w:noProof/>
                <w:webHidden/>
              </w:rPr>
              <w:fldChar w:fldCharType="separate"/>
            </w:r>
            <w:r w:rsidR="00C827AE">
              <w:rPr>
                <w:b w:val="0"/>
                <w:noProof/>
                <w:webHidden/>
              </w:rPr>
              <w:t>33</w:t>
            </w:r>
            <w:r w:rsidR="007E52E5" w:rsidRPr="007E52E5">
              <w:rPr>
                <w:b w:val="0"/>
                <w:noProof/>
                <w:webHidden/>
              </w:rPr>
              <w:fldChar w:fldCharType="end"/>
            </w:r>
          </w:hyperlink>
        </w:p>
        <w:p w14:paraId="6C7A13BD" w14:textId="56C22AAC"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51" w:history="1">
            <w:r w:rsidR="007E52E5" w:rsidRPr="007E52E5">
              <w:rPr>
                <w:rStyle w:val="Hyperlink"/>
                <w:rFonts w:eastAsia="Calibri" w:cstheme="majorBidi"/>
                <w:b w:val="0"/>
                <w:iCs/>
                <w:noProof/>
                <w:lang w:eastAsia="tr-TR"/>
              </w:rPr>
              <w:t>3.1 Glass composition and design</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_Toc12994951 \h </w:instrText>
            </w:r>
            <w:r w:rsidR="007E52E5" w:rsidRPr="007E52E5">
              <w:rPr>
                <w:b w:val="0"/>
                <w:noProof/>
                <w:webHidden/>
              </w:rPr>
            </w:r>
            <w:r w:rsidR="007E52E5" w:rsidRPr="007E52E5">
              <w:rPr>
                <w:b w:val="0"/>
                <w:noProof/>
                <w:webHidden/>
              </w:rPr>
              <w:fldChar w:fldCharType="separate"/>
            </w:r>
            <w:r w:rsidR="00C827AE">
              <w:rPr>
                <w:b w:val="0"/>
                <w:noProof/>
                <w:webHidden/>
              </w:rPr>
              <w:t>33</w:t>
            </w:r>
            <w:r w:rsidR="007E52E5" w:rsidRPr="007E52E5">
              <w:rPr>
                <w:b w:val="0"/>
                <w:noProof/>
                <w:webHidden/>
              </w:rPr>
              <w:fldChar w:fldCharType="end"/>
            </w:r>
          </w:hyperlink>
        </w:p>
        <w:p w14:paraId="2254391E" w14:textId="0133DD61"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52" w:history="1">
            <w:r w:rsidR="007E52E5" w:rsidRPr="007E52E5">
              <w:rPr>
                <w:rStyle w:val="Hyperlink"/>
                <w:rFonts w:eastAsia="Calibri" w:cstheme="majorBidi"/>
                <w:b w:val="0"/>
                <w:iCs/>
                <w:noProof/>
                <w:lang w:eastAsia="tr-TR"/>
              </w:rPr>
              <w:t>3.2 Glass batching and melting</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_Toc12994952 \h </w:instrText>
            </w:r>
            <w:r w:rsidR="007E52E5" w:rsidRPr="007E52E5">
              <w:rPr>
                <w:b w:val="0"/>
                <w:noProof/>
                <w:webHidden/>
              </w:rPr>
            </w:r>
            <w:r w:rsidR="007E52E5" w:rsidRPr="007E52E5">
              <w:rPr>
                <w:b w:val="0"/>
                <w:noProof/>
                <w:webHidden/>
              </w:rPr>
              <w:fldChar w:fldCharType="separate"/>
            </w:r>
            <w:r w:rsidR="00C827AE">
              <w:rPr>
                <w:b w:val="0"/>
                <w:noProof/>
                <w:webHidden/>
              </w:rPr>
              <w:t>34</w:t>
            </w:r>
            <w:r w:rsidR="007E52E5" w:rsidRPr="007E52E5">
              <w:rPr>
                <w:b w:val="0"/>
                <w:noProof/>
                <w:webHidden/>
              </w:rPr>
              <w:fldChar w:fldCharType="end"/>
            </w:r>
          </w:hyperlink>
        </w:p>
        <w:p w14:paraId="26D3E15C" w14:textId="1F747C88"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54" w:history="1">
            <w:r w:rsidR="007E52E5" w:rsidRPr="007E52E5">
              <w:rPr>
                <w:rStyle w:val="Hyperlink"/>
                <w:rFonts w:eastAsiaTheme="majorEastAsia" w:cstheme="majorBidi"/>
                <w:b w:val="0"/>
                <w:noProof/>
              </w:rPr>
              <w:t>3.3 Sample preparation</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_Toc12994954 \h </w:instrText>
            </w:r>
            <w:r w:rsidR="007E52E5" w:rsidRPr="007E52E5">
              <w:rPr>
                <w:b w:val="0"/>
                <w:noProof/>
                <w:webHidden/>
              </w:rPr>
            </w:r>
            <w:r w:rsidR="007E52E5" w:rsidRPr="007E52E5">
              <w:rPr>
                <w:b w:val="0"/>
                <w:noProof/>
                <w:webHidden/>
              </w:rPr>
              <w:fldChar w:fldCharType="separate"/>
            </w:r>
            <w:r w:rsidR="00C827AE">
              <w:rPr>
                <w:b w:val="0"/>
                <w:noProof/>
                <w:webHidden/>
              </w:rPr>
              <w:t>36</w:t>
            </w:r>
            <w:r w:rsidR="007E52E5" w:rsidRPr="007E52E5">
              <w:rPr>
                <w:b w:val="0"/>
                <w:noProof/>
                <w:webHidden/>
              </w:rPr>
              <w:fldChar w:fldCharType="end"/>
            </w:r>
          </w:hyperlink>
        </w:p>
        <w:p w14:paraId="2D835DA3" w14:textId="19E0B997"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56" w:history="1">
            <w:r w:rsidR="007E52E5" w:rsidRPr="007E52E5">
              <w:rPr>
                <w:rStyle w:val="Hyperlink"/>
                <w:rFonts w:eastAsiaTheme="majorEastAsia" w:cstheme="majorBidi"/>
                <w:b w:val="0"/>
                <w:noProof/>
              </w:rPr>
              <w:t>3.4 Chemical and physical measurement</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_Toc12994956 \h </w:instrText>
            </w:r>
            <w:r w:rsidR="007E52E5" w:rsidRPr="007E52E5">
              <w:rPr>
                <w:b w:val="0"/>
                <w:noProof/>
                <w:webHidden/>
              </w:rPr>
            </w:r>
            <w:r w:rsidR="007E52E5" w:rsidRPr="007E52E5">
              <w:rPr>
                <w:b w:val="0"/>
                <w:noProof/>
                <w:webHidden/>
              </w:rPr>
              <w:fldChar w:fldCharType="separate"/>
            </w:r>
            <w:r w:rsidR="00C827AE">
              <w:rPr>
                <w:b w:val="0"/>
                <w:noProof/>
                <w:webHidden/>
              </w:rPr>
              <w:t>37</w:t>
            </w:r>
            <w:r w:rsidR="007E52E5" w:rsidRPr="007E52E5">
              <w:rPr>
                <w:b w:val="0"/>
                <w:noProof/>
                <w:webHidden/>
              </w:rPr>
              <w:fldChar w:fldCharType="end"/>
            </w:r>
          </w:hyperlink>
        </w:p>
        <w:p w14:paraId="1A780031" w14:textId="764DB4F8"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58" w:history="1">
            <w:r w:rsidR="007E52E5" w:rsidRPr="007E52E5">
              <w:rPr>
                <w:rStyle w:val="Hyperlink"/>
                <w:rFonts w:eastAsiaTheme="majorEastAsia" w:cstheme="majorBidi"/>
                <w:b w:val="0"/>
                <w:noProof/>
              </w:rPr>
              <w:t>3.5 Chemical and structural analysis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_Toc12994958 \h </w:instrText>
            </w:r>
            <w:r w:rsidR="007E52E5" w:rsidRPr="007E52E5">
              <w:rPr>
                <w:b w:val="0"/>
                <w:noProof/>
                <w:webHidden/>
              </w:rPr>
            </w:r>
            <w:r w:rsidR="007E52E5" w:rsidRPr="007E52E5">
              <w:rPr>
                <w:b w:val="0"/>
                <w:noProof/>
                <w:webHidden/>
              </w:rPr>
              <w:fldChar w:fldCharType="separate"/>
            </w:r>
            <w:r w:rsidR="00C827AE">
              <w:rPr>
                <w:b w:val="0"/>
                <w:noProof/>
                <w:webHidden/>
              </w:rPr>
              <w:t>39</w:t>
            </w:r>
            <w:r w:rsidR="007E52E5" w:rsidRPr="007E52E5">
              <w:rPr>
                <w:b w:val="0"/>
                <w:noProof/>
                <w:webHidden/>
              </w:rPr>
              <w:fldChar w:fldCharType="end"/>
            </w:r>
          </w:hyperlink>
        </w:p>
        <w:p w14:paraId="562E1FE5" w14:textId="7C6DE02D"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62" w:history="1">
            <w:r w:rsidR="007E52E5" w:rsidRPr="007E52E5">
              <w:rPr>
                <w:rStyle w:val="Hyperlink"/>
                <w:rFonts w:eastAsiaTheme="majorEastAsia" w:cstheme="majorBidi"/>
                <w:b w:val="0"/>
                <w:noProof/>
              </w:rPr>
              <w:t>3.6 Mechanical properties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_Toc12994962 \h </w:instrText>
            </w:r>
            <w:r w:rsidR="007E52E5" w:rsidRPr="007E52E5">
              <w:rPr>
                <w:b w:val="0"/>
                <w:noProof/>
                <w:webHidden/>
              </w:rPr>
            </w:r>
            <w:r w:rsidR="007E52E5" w:rsidRPr="007E52E5">
              <w:rPr>
                <w:b w:val="0"/>
                <w:noProof/>
                <w:webHidden/>
              </w:rPr>
              <w:fldChar w:fldCharType="separate"/>
            </w:r>
            <w:r w:rsidR="00C827AE">
              <w:rPr>
                <w:b w:val="0"/>
                <w:noProof/>
                <w:webHidden/>
              </w:rPr>
              <w:t>50</w:t>
            </w:r>
            <w:r w:rsidR="007E52E5" w:rsidRPr="007E52E5">
              <w:rPr>
                <w:b w:val="0"/>
                <w:noProof/>
                <w:webHidden/>
              </w:rPr>
              <w:fldChar w:fldCharType="end"/>
            </w:r>
          </w:hyperlink>
        </w:p>
        <w:p w14:paraId="526CF9B8" w14:textId="502F78A8" w:rsidR="007E52E5" w:rsidRPr="007E52E5" w:rsidRDefault="0094684C">
          <w:pPr>
            <w:pStyle w:val="TOC1"/>
            <w:tabs>
              <w:tab w:val="right" w:leader="dot" w:pos="9016"/>
            </w:tabs>
            <w:rPr>
              <w:rFonts w:asciiTheme="minorHAnsi" w:eastAsiaTheme="minorEastAsia" w:hAnsiTheme="minorHAnsi"/>
              <w:b w:val="0"/>
              <w:noProof/>
              <w:sz w:val="22"/>
              <w:lang w:eastAsia="en-MY"/>
            </w:rPr>
          </w:pPr>
          <w:hyperlink w:anchor="_Toc12994965" w:history="1">
            <w:r w:rsidR="007E52E5" w:rsidRPr="007E52E5">
              <w:rPr>
                <w:rStyle w:val="Hyperlink"/>
                <w:b w:val="0"/>
                <w:noProof/>
              </w:rPr>
              <w:t>CHAPTER 4</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_Toc12994965 \h </w:instrText>
            </w:r>
            <w:r w:rsidR="007E52E5" w:rsidRPr="007E52E5">
              <w:rPr>
                <w:b w:val="0"/>
                <w:noProof/>
                <w:webHidden/>
              </w:rPr>
            </w:r>
            <w:r w:rsidR="007E52E5" w:rsidRPr="007E52E5">
              <w:rPr>
                <w:b w:val="0"/>
                <w:noProof/>
                <w:webHidden/>
              </w:rPr>
              <w:fldChar w:fldCharType="separate"/>
            </w:r>
            <w:r w:rsidR="00C827AE">
              <w:rPr>
                <w:b w:val="0"/>
                <w:noProof/>
                <w:webHidden/>
              </w:rPr>
              <w:t>54</w:t>
            </w:r>
            <w:r w:rsidR="007E52E5" w:rsidRPr="007E52E5">
              <w:rPr>
                <w:b w:val="0"/>
                <w:noProof/>
                <w:webHidden/>
              </w:rPr>
              <w:fldChar w:fldCharType="end"/>
            </w:r>
          </w:hyperlink>
        </w:p>
        <w:p w14:paraId="39B4EF8C" w14:textId="25EAC0BF" w:rsidR="007E52E5" w:rsidRPr="007E52E5" w:rsidRDefault="0094684C">
          <w:pPr>
            <w:pStyle w:val="TOC2"/>
            <w:tabs>
              <w:tab w:val="right" w:leader="dot" w:pos="9016"/>
            </w:tabs>
            <w:rPr>
              <w:rFonts w:asciiTheme="minorHAnsi" w:eastAsiaTheme="minorEastAsia" w:hAnsiTheme="minorHAnsi"/>
              <w:b w:val="0"/>
              <w:noProof/>
              <w:sz w:val="22"/>
              <w:lang w:eastAsia="en-MY"/>
            </w:rPr>
          </w:pPr>
          <w:hyperlink w:anchor="_Toc12994966" w:history="1">
            <w:r w:rsidR="007E52E5" w:rsidRPr="007E52E5">
              <w:rPr>
                <w:rStyle w:val="Hyperlink"/>
                <w:rFonts w:eastAsiaTheme="majorEastAsia" w:cstheme="majorBidi"/>
                <w:b w:val="0"/>
                <w:caps/>
                <w:noProof/>
              </w:rPr>
              <w:t>Results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_Toc12994966 \h </w:instrText>
            </w:r>
            <w:r w:rsidR="007E52E5" w:rsidRPr="007E52E5">
              <w:rPr>
                <w:b w:val="0"/>
                <w:noProof/>
                <w:webHidden/>
              </w:rPr>
            </w:r>
            <w:r w:rsidR="007E52E5" w:rsidRPr="007E52E5">
              <w:rPr>
                <w:b w:val="0"/>
                <w:noProof/>
                <w:webHidden/>
              </w:rPr>
              <w:fldChar w:fldCharType="separate"/>
            </w:r>
            <w:r w:rsidR="00C827AE">
              <w:rPr>
                <w:b w:val="0"/>
                <w:noProof/>
                <w:webHidden/>
              </w:rPr>
              <w:t>54</w:t>
            </w:r>
            <w:r w:rsidR="007E52E5" w:rsidRPr="007E52E5">
              <w:rPr>
                <w:b w:val="0"/>
                <w:noProof/>
                <w:webHidden/>
              </w:rPr>
              <w:fldChar w:fldCharType="end"/>
            </w:r>
          </w:hyperlink>
        </w:p>
        <w:p w14:paraId="6D569051" w14:textId="729840FF"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67" w:history="1">
            <w:r w:rsidR="007E52E5" w:rsidRPr="007E52E5">
              <w:rPr>
                <w:rStyle w:val="Hyperlink"/>
                <w:rFonts w:eastAsiaTheme="majorEastAsia" w:cstheme="majorBidi"/>
                <w:b w:val="0"/>
                <w:noProof/>
              </w:rPr>
              <w:t>4.1 Introduction</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_Toc12994967 \h </w:instrText>
            </w:r>
            <w:r w:rsidR="007E52E5" w:rsidRPr="007E52E5">
              <w:rPr>
                <w:b w:val="0"/>
                <w:noProof/>
                <w:webHidden/>
              </w:rPr>
            </w:r>
            <w:r w:rsidR="007E52E5" w:rsidRPr="007E52E5">
              <w:rPr>
                <w:b w:val="0"/>
                <w:noProof/>
                <w:webHidden/>
              </w:rPr>
              <w:fldChar w:fldCharType="separate"/>
            </w:r>
            <w:r w:rsidR="00C827AE">
              <w:rPr>
                <w:b w:val="0"/>
                <w:noProof/>
                <w:webHidden/>
              </w:rPr>
              <w:t>54</w:t>
            </w:r>
            <w:r w:rsidR="007E52E5" w:rsidRPr="007E52E5">
              <w:rPr>
                <w:b w:val="0"/>
                <w:noProof/>
                <w:webHidden/>
              </w:rPr>
              <w:fldChar w:fldCharType="end"/>
            </w:r>
          </w:hyperlink>
        </w:p>
        <w:p w14:paraId="2CEB780D" w14:textId="334EB934"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68" w:history="1">
            <w:r w:rsidR="007E52E5" w:rsidRPr="007E52E5">
              <w:rPr>
                <w:rStyle w:val="Hyperlink"/>
                <w:rFonts w:eastAsiaTheme="majorEastAsia" w:cstheme="majorBidi"/>
                <w:b w:val="0"/>
                <w:noProof/>
              </w:rPr>
              <w:t>4.2 Chemical analysis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_Toc12994968 \h </w:instrText>
            </w:r>
            <w:r w:rsidR="007E52E5" w:rsidRPr="007E52E5">
              <w:rPr>
                <w:b w:val="0"/>
                <w:noProof/>
                <w:webHidden/>
              </w:rPr>
            </w:r>
            <w:r w:rsidR="007E52E5" w:rsidRPr="007E52E5">
              <w:rPr>
                <w:b w:val="0"/>
                <w:noProof/>
                <w:webHidden/>
              </w:rPr>
              <w:fldChar w:fldCharType="separate"/>
            </w:r>
            <w:r w:rsidR="00C827AE">
              <w:rPr>
                <w:b w:val="0"/>
                <w:noProof/>
                <w:webHidden/>
              </w:rPr>
              <w:t>55</w:t>
            </w:r>
            <w:r w:rsidR="007E52E5" w:rsidRPr="007E52E5">
              <w:rPr>
                <w:b w:val="0"/>
                <w:noProof/>
                <w:webHidden/>
              </w:rPr>
              <w:fldChar w:fldCharType="end"/>
            </w:r>
          </w:hyperlink>
        </w:p>
        <w:p w14:paraId="606951AE" w14:textId="6C3FFC53"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69" w:history="1">
            <w:r w:rsidR="007E52E5" w:rsidRPr="007E52E5">
              <w:rPr>
                <w:rStyle w:val="Hyperlink"/>
                <w:b w:val="0"/>
                <w:noProof/>
              </w:rPr>
              <w:t>4.3 Physical and thermal properties.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_Toc12994969 \h </w:instrText>
            </w:r>
            <w:r w:rsidR="007E52E5" w:rsidRPr="007E52E5">
              <w:rPr>
                <w:b w:val="0"/>
                <w:noProof/>
                <w:webHidden/>
              </w:rPr>
            </w:r>
            <w:r w:rsidR="007E52E5" w:rsidRPr="007E52E5">
              <w:rPr>
                <w:b w:val="0"/>
                <w:noProof/>
                <w:webHidden/>
              </w:rPr>
              <w:fldChar w:fldCharType="separate"/>
            </w:r>
            <w:r w:rsidR="00C827AE">
              <w:rPr>
                <w:b w:val="0"/>
                <w:noProof/>
                <w:webHidden/>
              </w:rPr>
              <w:t>62</w:t>
            </w:r>
            <w:r w:rsidR="007E52E5" w:rsidRPr="007E52E5">
              <w:rPr>
                <w:b w:val="0"/>
                <w:noProof/>
                <w:webHidden/>
              </w:rPr>
              <w:fldChar w:fldCharType="end"/>
            </w:r>
          </w:hyperlink>
        </w:p>
        <w:p w14:paraId="436F5A93" w14:textId="771ED960"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70" w:history="1">
            <w:r w:rsidR="007E52E5" w:rsidRPr="007E52E5">
              <w:rPr>
                <w:rStyle w:val="Hyperlink"/>
                <w:rFonts w:eastAsiaTheme="majorEastAsia" w:cstheme="majorBidi"/>
                <w:b w:val="0"/>
                <w:noProof/>
              </w:rPr>
              <w:t>4.4 Structural properties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_Toc12994970 \h </w:instrText>
            </w:r>
            <w:r w:rsidR="007E52E5" w:rsidRPr="007E52E5">
              <w:rPr>
                <w:b w:val="0"/>
                <w:noProof/>
                <w:webHidden/>
              </w:rPr>
            </w:r>
            <w:r w:rsidR="007E52E5" w:rsidRPr="007E52E5">
              <w:rPr>
                <w:b w:val="0"/>
                <w:noProof/>
                <w:webHidden/>
              </w:rPr>
              <w:fldChar w:fldCharType="separate"/>
            </w:r>
            <w:r w:rsidR="00C827AE">
              <w:rPr>
                <w:b w:val="0"/>
                <w:noProof/>
                <w:webHidden/>
              </w:rPr>
              <w:t>69</w:t>
            </w:r>
            <w:r w:rsidR="007E52E5" w:rsidRPr="007E52E5">
              <w:rPr>
                <w:b w:val="0"/>
                <w:noProof/>
                <w:webHidden/>
              </w:rPr>
              <w:fldChar w:fldCharType="end"/>
            </w:r>
          </w:hyperlink>
        </w:p>
        <w:p w14:paraId="21F2957E" w14:textId="36BB04B0"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71" w:history="1">
            <w:r w:rsidR="007E52E5" w:rsidRPr="007E52E5">
              <w:rPr>
                <w:rStyle w:val="Hyperlink"/>
                <w:rFonts w:eastAsiaTheme="majorEastAsia" w:cstheme="majorBidi"/>
                <w:b w:val="0"/>
                <w:noProof/>
              </w:rPr>
              <w:t xml:space="preserve">4.5 Mechanical </w:t>
            </w:r>
            <w:r w:rsidR="00782C67">
              <w:rPr>
                <w:rStyle w:val="Hyperlink"/>
                <w:rFonts w:eastAsiaTheme="majorEastAsia" w:cstheme="majorBidi"/>
                <w:b w:val="0"/>
                <w:noProof/>
              </w:rPr>
              <w:t>p</w:t>
            </w:r>
            <w:r w:rsidR="007E52E5" w:rsidRPr="007E52E5">
              <w:rPr>
                <w:rStyle w:val="Hyperlink"/>
                <w:rFonts w:eastAsiaTheme="majorEastAsia" w:cstheme="majorBidi"/>
                <w:b w:val="0"/>
                <w:noProof/>
              </w:rPr>
              <w:t>roperties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_Toc12994971 \h </w:instrText>
            </w:r>
            <w:r w:rsidR="007E52E5" w:rsidRPr="007E52E5">
              <w:rPr>
                <w:b w:val="0"/>
                <w:noProof/>
                <w:webHidden/>
              </w:rPr>
            </w:r>
            <w:r w:rsidR="007E52E5" w:rsidRPr="007E52E5">
              <w:rPr>
                <w:b w:val="0"/>
                <w:noProof/>
                <w:webHidden/>
              </w:rPr>
              <w:fldChar w:fldCharType="separate"/>
            </w:r>
            <w:r w:rsidR="00C827AE">
              <w:rPr>
                <w:b w:val="0"/>
                <w:noProof/>
                <w:webHidden/>
              </w:rPr>
              <w:t>98</w:t>
            </w:r>
            <w:r w:rsidR="007E52E5" w:rsidRPr="007E52E5">
              <w:rPr>
                <w:b w:val="0"/>
                <w:noProof/>
                <w:webHidden/>
              </w:rPr>
              <w:fldChar w:fldCharType="end"/>
            </w:r>
          </w:hyperlink>
        </w:p>
        <w:p w14:paraId="725DBF50" w14:textId="5296325C"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72" w:history="1">
            <w:r w:rsidR="007E52E5" w:rsidRPr="007E52E5">
              <w:rPr>
                <w:rStyle w:val="Hyperlink"/>
                <w:b w:val="0"/>
                <w:noProof/>
              </w:rPr>
              <w:t>4.6 Overall mechanical property trends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_Toc12994972 \h </w:instrText>
            </w:r>
            <w:r w:rsidR="007E52E5" w:rsidRPr="007E52E5">
              <w:rPr>
                <w:b w:val="0"/>
                <w:noProof/>
                <w:webHidden/>
              </w:rPr>
            </w:r>
            <w:r w:rsidR="007E52E5" w:rsidRPr="007E52E5">
              <w:rPr>
                <w:b w:val="0"/>
                <w:noProof/>
                <w:webHidden/>
              </w:rPr>
              <w:fldChar w:fldCharType="separate"/>
            </w:r>
            <w:r w:rsidR="00C827AE">
              <w:rPr>
                <w:b w:val="0"/>
                <w:noProof/>
                <w:webHidden/>
              </w:rPr>
              <w:t>107</w:t>
            </w:r>
            <w:r w:rsidR="007E52E5" w:rsidRPr="007E52E5">
              <w:rPr>
                <w:b w:val="0"/>
                <w:noProof/>
                <w:webHidden/>
              </w:rPr>
              <w:fldChar w:fldCharType="end"/>
            </w:r>
          </w:hyperlink>
        </w:p>
        <w:p w14:paraId="11815747" w14:textId="71D5C91C" w:rsidR="007E52E5" w:rsidRPr="007E52E5" w:rsidRDefault="0094684C">
          <w:pPr>
            <w:pStyle w:val="TOC1"/>
            <w:tabs>
              <w:tab w:val="right" w:leader="dot" w:pos="9016"/>
            </w:tabs>
            <w:rPr>
              <w:rFonts w:asciiTheme="minorHAnsi" w:eastAsiaTheme="minorEastAsia" w:hAnsiTheme="minorHAnsi"/>
              <w:b w:val="0"/>
              <w:noProof/>
              <w:sz w:val="22"/>
              <w:lang w:eastAsia="en-MY"/>
            </w:rPr>
          </w:pPr>
          <w:hyperlink w:anchor="_Toc12994973" w:history="1">
            <w:r w:rsidR="007E52E5" w:rsidRPr="007E52E5">
              <w:rPr>
                <w:rStyle w:val="Hyperlink"/>
                <w:b w:val="0"/>
                <w:noProof/>
              </w:rPr>
              <w:t>CHAPTER 5</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_Toc12994973 \h </w:instrText>
            </w:r>
            <w:r w:rsidR="007E52E5" w:rsidRPr="007E52E5">
              <w:rPr>
                <w:b w:val="0"/>
                <w:noProof/>
                <w:webHidden/>
              </w:rPr>
            </w:r>
            <w:r w:rsidR="007E52E5" w:rsidRPr="007E52E5">
              <w:rPr>
                <w:b w:val="0"/>
                <w:noProof/>
                <w:webHidden/>
              </w:rPr>
              <w:fldChar w:fldCharType="separate"/>
            </w:r>
            <w:r w:rsidR="00C827AE">
              <w:rPr>
                <w:b w:val="0"/>
                <w:noProof/>
                <w:webHidden/>
              </w:rPr>
              <w:t>113</w:t>
            </w:r>
            <w:r w:rsidR="007E52E5" w:rsidRPr="007E52E5">
              <w:rPr>
                <w:b w:val="0"/>
                <w:noProof/>
                <w:webHidden/>
              </w:rPr>
              <w:fldChar w:fldCharType="end"/>
            </w:r>
          </w:hyperlink>
        </w:p>
        <w:p w14:paraId="29FDF1F8" w14:textId="2BA168A4" w:rsidR="007E52E5" w:rsidRPr="007E52E5" w:rsidRDefault="0094684C">
          <w:pPr>
            <w:pStyle w:val="TOC2"/>
            <w:tabs>
              <w:tab w:val="right" w:leader="dot" w:pos="9016"/>
            </w:tabs>
            <w:rPr>
              <w:rFonts w:asciiTheme="minorHAnsi" w:eastAsiaTheme="minorEastAsia" w:hAnsiTheme="minorHAnsi"/>
              <w:b w:val="0"/>
              <w:noProof/>
              <w:sz w:val="22"/>
              <w:lang w:eastAsia="en-MY"/>
            </w:rPr>
          </w:pPr>
          <w:hyperlink w:anchor="_Toc12994974" w:history="1">
            <w:r w:rsidR="007E52E5" w:rsidRPr="007E52E5">
              <w:rPr>
                <w:rStyle w:val="Hyperlink"/>
                <w:rFonts w:eastAsia="Calibri" w:cs="Times New Roman"/>
                <w:b w:val="0"/>
                <w:caps/>
                <w:noProof/>
              </w:rPr>
              <w:t>DISCUSSION</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_Toc12994974 \h </w:instrText>
            </w:r>
            <w:r w:rsidR="007E52E5" w:rsidRPr="007E52E5">
              <w:rPr>
                <w:b w:val="0"/>
                <w:noProof/>
                <w:webHidden/>
              </w:rPr>
            </w:r>
            <w:r w:rsidR="007E52E5" w:rsidRPr="007E52E5">
              <w:rPr>
                <w:b w:val="0"/>
                <w:noProof/>
                <w:webHidden/>
              </w:rPr>
              <w:fldChar w:fldCharType="separate"/>
            </w:r>
            <w:r w:rsidR="00C827AE">
              <w:rPr>
                <w:b w:val="0"/>
                <w:noProof/>
                <w:webHidden/>
              </w:rPr>
              <w:t>113</w:t>
            </w:r>
            <w:r w:rsidR="007E52E5" w:rsidRPr="007E52E5">
              <w:rPr>
                <w:b w:val="0"/>
                <w:noProof/>
                <w:webHidden/>
              </w:rPr>
              <w:fldChar w:fldCharType="end"/>
            </w:r>
          </w:hyperlink>
        </w:p>
        <w:p w14:paraId="0E389342" w14:textId="05C5A552"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75" w:history="1">
            <w:r w:rsidR="007E52E5" w:rsidRPr="007E52E5">
              <w:rPr>
                <w:rStyle w:val="Hyperlink"/>
                <w:rFonts w:eastAsiaTheme="majorEastAsia" w:cstheme="majorBidi"/>
                <w:b w:val="0"/>
                <w:noProof/>
              </w:rPr>
              <w:t>5.1  Correlation between composition and properties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_Toc12994975 \h </w:instrText>
            </w:r>
            <w:r w:rsidR="007E52E5" w:rsidRPr="007E52E5">
              <w:rPr>
                <w:b w:val="0"/>
                <w:noProof/>
                <w:webHidden/>
              </w:rPr>
            </w:r>
            <w:r w:rsidR="007E52E5" w:rsidRPr="007E52E5">
              <w:rPr>
                <w:b w:val="0"/>
                <w:noProof/>
                <w:webHidden/>
              </w:rPr>
              <w:fldChar w:fldCharType="separate"/>
            </w:r>
            <w:r w:rsidR="00C827AE">
              <w:rPr>
                <w:b w:val="0"/>
                <w:noProof/>
                <w:webHidden/>
              </w:rPr>
              <w:t>113</w:t>
            </w:r>
            <w:r w:rsidR="007E52E5" w:rsidRPr="007E52E5">
              <w:rPr>
                <w:b w:val="0"/>
                <w:noProof/>
                <w:webHidden/>
              </w:rPr>
              <w:fldChar w:fldCharType="end"/>
            </w:r>
          </w:hyperlink>
        </w:p>
        <w:p w14:paraId="2B760E7D" w14:textId="34E9AD33"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76" w:history="1">
            <w:r w:rsidR="007E52E5" w:rsidRPr="007E52E5">
              <w:rPr>
                <w:rStyle w:val="Hyperlink"/>
                <w:rFonts w:eastAsiaTheme="majorEastAsia" w:cstheme="majorBidi"/>
                <w:b w:val="0"/>
                <w:noProof/>
              </w:rPr>
              <w:t>5.2 3-D correlation of properties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_Toc12994976 \h </w:instrText>
            </w:r>
            <w:r w:rsidR="007E52E5" w:rsidRPr="007E52E5">
              <w:rPr>
                <w:b w:val="0"/>
                <w:noProof/>
                <w:webHidden/>
              </w:rPr>
            </w:r>
            <w:r w:rsidR="007E52E5" w:rsidRPr="007E52E5">
              <w:rPr>
                <w:b w:val="0"/>
                <w:noProof/>
                <w:webHidden/>
              </w:rPr>
              <w:fldChar w:fldCharType="separate"/>
            </w:r>
            <w:r w:rsidR="00C827AE">
              <w:rPr>
                <w:b w:val="0"/>
                <w:noProof/>
                <w:webHidden/>
              </w:rPr>
              <w:t>122</w:t>
            </w:r>
            <w:r w:rsidR="007E52E5" w:rsidRPr="007E52E5">
              <w:rPr>
                <w:b w:val="0"/>
                <w:noProof/>
                <w:webHidden/>
              </w:rPr>
              <w:fldChar w:fldCharType="end"/>
            </w:r>
          </w:hyperlink>
        </w:p>
        <w:p w14:paraId="6B169E22" w14:textId="1B539249"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77" w:history="1">
            <w:r w:rsidR="007E52E5" w:rsidRPr="007E52E5">
              <w:rPr>
                <w:rStyle w:val="Hyperlink"/>
                <w:rFonts w:eastAsia="Calibri" w:cstheme="majorBidi"/>
                <w:b w:val="0"/>
                <w:iCs/>
                <w:noProof/>
                <w:lang w:eastAsia="tr-TR"/>
              </w:rPr>
              <w:t>5.</w:t>
            </w:r>
            <w:r w:rsidR="00D81E82">
              <w:rPr>
                <w:rStyle w:val="Hyperlink"/>
                <w:rFonts w:eastAsia="Calibri" w:cstheme="majorBidi"/>
                <w:b w:val="0"/>
                <w:iCs/>
                <w:noProof/>
                <w:lang w:eastAsia="tr-TR"/>
              </w:rPr>
              <w:t>3</w:t>
            </w:r>
            <w:r w:rsidR="007E52E5" w:rsidRPr="007E52E5">
              <w:rPr>
                <w:rStyle w:val="Hyperlink"/>
                <w:rFonts w:eastAsia="Calibri" w:cstheme="majorBidi"/>
                <w:b w:val="0"/>
                <w:iCs/>
                <w:noProof/>
                <w:lang w:eastAsia="tr-TR"/>
              </w:rPr>
              <w:t xml:space="preserve"> The effect of the </w:t>
            </w:r>
            <w:r w:rsidR="007E52E5" w:rsidRPr="007E52E5">
              <w:rPr>
                <w:rStyle w:val="Hyperlink"/>
                <w:rFonts w:eastAsia="Calibri" w:cstheme="majorBidi"/>
                <w:b w:val="0"/>
                <w:bCs/>
                <w:iCs/>
                <w:noProof/>
                <w:lang w:eastAsia="tr-TR"/>
              </w:rPr>
              <w:t>Al</w:t>
            </w:r>
            <w:r w:rsidR="007E52E5" w:rsidRPr="007E52E5">
              <w:rPr>
                <w:rStyle w:val="Hyperlink"/>
                <w:rFonts w:eastAsia="Calibri" w:cstheme="majorBidi"/>
                <w:b w:val="0"/>
                <w:bCs/>
                <w:iCs/>
                <w:noProof/>
                <w:vertAlign w:val="subscript"/>
                <w:lang w:eastAsia="tr-TR"/>
              </w:rPr>
              <w:t>2</w:t>
            </w:r>
            <w:r w:rsidR="007E52E5" w:rsidRPr="007E52E5">
              <w:rPr>
                <w:rStyle w:val="Hyperlink"/>
                <w:rFonts w:eastAsia="Calibri" w:cstheme="majorBidi"/>
                <w:b w:val="0"/>
                <w:bCs/>
                <w:iCs/>
                <w:noProof/>
                <w:lang w:eastAsia="tr-TR"/>
              </w:rPr>
              <w:t>O</w:t>
            </w:r>
            <w:r w:rsidR="007E52E5" w:rsidRPr="007E52E5">
              <w:rPr>
                <w:rStyle w:val="Hyperlink"/>
                <w:rFonts w:eastAsia="Calibri" w:cstheme="majorBidi"/>
                <w:b w:val="0"/>
                <w:bCs/>
                <w:iCs/>
                <w:noProof/>
                <w:vertAlign w:val="subscript"/>
                <w:lang w:eastAsia="tr-TR"/>
              </w:rPr>
              <w:t>3</w:t>
            </w:r>
            <w:r w:rsidR="007E52E5" w:rsidRPr="007E52E5">
              <w:rPr>
                <w:rStyle w:val="Hyperlink"/>
                <w:rFonts w:eastAsia="Calibri" w:cstheme="majorBidi"/>
                <w:b w:val="0"/>
                <w:bCs/>
                <w:iCs/>
                <w:noProof/>
                <w:lang w:eastAsia="tr-TR"/>
              </w:rPr>
              <w:t xml:space="preserve">  </w:t>
            </w:r>
            <w:r w:rsidR="007E52E5" w:rsidRPr="007E52E5">
              <w:rPr>
                <w:rStyle w:val="Hyperlink"/>
                <w:rFonts w:eastAsia="Calibri" w:cstheme="majorBidi"/>
                <w:b w:val="0"/>
                <w:iCs/>
                <w:noProof/>
                <w:lang w:eastAsia="tr-TR"/>
              </w:rPr>
              <w:t>/ (</w:t>
            </w:r>
            <w:r w:rsidR="007E52E5" w:rsidRPr="007E52E5">
              <w:rPr>
                <w:rStyle w:val="Hyperlink"/>
                <w:rFonts w:eastAsia="Calibri" w:cstheme="majorBidi"/>
                <w:b w:val="0"/>
                <w:bCs/>
                <w:iCs/>
                <w:noProof/>
                <w:lang w:eastAsia="tr-TR"/>
              </w:rPr>
              <w:t>Al</w:t>
            </w:r>
            <w:r w:rsidR="007E52E5" w:rsidRPr="007E52E5">
              <w:rPr>
                <w:rStyle w:val="Hyperlink"/>
                <w:rFonts w:eastAsia="Calibri" w:cstheme="majorBidi"/>
                <w:b w:val="0"/>
                <w:bCs/>
                <w:iCs/>
                <w:noProof/>
                <w:vertAlign w:val="subscript"/>
                <w:lang w:eastAsia="tr-TR"/>
              </w:rPr>
              <w:t>2</w:t>
            </w:r>
            <w:r w:rsidR="007E52E5" w:rsidRPr="007E52E5">
              <w:rPr>
                <w:rStyle w:val="Hyperlink"/>
                <w:rFonts w:eastAsia="Calibri" w:cstheme="majorBidi"/>
                <w:b w:val="0"/>
                <w:bCs/>
                <w:iCs/>
                <w:noProof/>
                <w:lang w:eastAsia="tr-TR"/>
              </w:rPr>
              <w:t>O</w:t>
            </w:r>
            <w:r w:rsidR="007E52E5" w:rsidRPr="007E52E5">
              <w:rPr>
                <w:rStyle w:val="Hyperlink"/>
                <w:rFonts w:eastAsia="Calibri" w:cstheme="majorBidi"/>
                <w:b w:val="0"/>
                <w:bCs/>
                <w:iCs/>
                <w:noProof/>
                <w:vertAlign w:val="subscript"/>
                <w:lang w:eastAsia="tr-TR"/>
              </w:rPr>
              <w:t>3</w:t>
            </w:r>
            <w:r w:rsidR="007E52E5" w:rsidRPr="007E52E5">
              <w:rPr>
                <w:rStyle w:val="Hyperlink"/>
                <w:rFonts w:eastAsia="Calibri" w:cstheme="majorBidi"/>
                <w:b w:val="0"/>
                <w:bCs/>
                <w:iCs/>
                <w:noProof/>
                <w:lang w:eastAsia="tr-TR"/>
              </w:rPr>
              <w:t>+SiO</w:t>
            </w:r>
            <w:r w:rsidR="007E52E5" w:rsidRPr="007E52E5">
              <w:rPr>
                <w:rStyle w:val="Hyperlink"/>
                <w:rFonts w:eastAsia="Calibri" w:cstheme="majorBidi"/>
                <w:b w:val="0"/>
                <w:bCs/>
                <w:iCs/>
                <w:noProof/>
                <w:vertAlign w:val="subscript"/>
                <w:lang w:eastAsia="tr-TR"/>
              </w:rPr>
              <w:t>2</w:t>
            </w:r>
            <w:r w:rsidR="007E52E5" w:rsidRPr="007E52E5">
              <w:rPr>
                <w:rStyle w:val="Hyperlink"/>
                <w:rFonts w:eastAsia="Calibri" w:cstheme="majorBidi"/>
                <w:b w:val="0"/>
                <w:bCs/>
                <w:iCs/>
                <w:noProof/>
                <w:lang w:eastAsia="tr-TR"/>
              </w:rPr>
              <w:t>+B</w:t>
            </w:r>
            <w:r w:rsidR="007E52E5" w:rsidRPr="007E52E5">
              <w:rPr>
                <w:rStyle w:val="Hyperlink"/>
                <w:rFonts w:eastAsia="Calibri" w:cstheme="majorBidi"/>
                <w:b w:val="0"/>
                <w:bCs/>
                <w:iCs/>
                <w:noProof/>
                <w:vertAlign w:val="subscript"/>
                <w:lang w:eastAsia="tr-TR"/>
              </w:rPr>
              <w:t>2</w:t>
            </w:r>
            <w:r w:rsidR="007E52E5" w:rsidRPr="007E52E5">
              <w:rPr>
                <w:rStyle w:val="Hyperlink"/>
                <w:rFonts w:eastAsia="Calibri" w:cstheme="majorBidi"/>
                <w:b w:val="0"/>
                <w:bCs/>
                <w:iCs/>
                <w:noProof/>
                <w:lang w:eastAsia="tr-TR"/>
              </w:rPr>
              <w:t>O</w:t>
            </w:r>
            <w:r w:rsidR="007E52E5" w:rsidRPr="007E52E5">
              <w:rPr>
                <w:rStyle w:val="Hyperlink"/>
                <w:rFonts w:eastAsia="Calibri" w:cstheme="majorBidi"/>
                <w:b w:val="0"/>
                <w:bCs/>
                <w:iCs/>
                <w:noProof/>
                <w:vertAlign w:val="subscript"/>
                <w:lang w:eastAsia="tr-TR"/>
              </w:rPr>
              <w:t>3</w:t>
            </w:r>
            <w:r w:rsidR="007E52E5" w:rsidRPr="007E52E5">
              <w:rPr>
                <w:rStyle w:val="Hyperlink"/>
                <w:rFonts w:eastAsia="Calibri" w:cstheme="majorBidi"/>
                <w:b w:val="0"/>
                <w:bCs/>
                <w:iCs/>
                <w:noProof/>
                <w:lang w:eastAsia="tr-TR"/>
              </w:rPr>
              <w:t>) ratio.</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_Toc12994977 \h </w:instrText>
            </w:r>
            <w:r w:rsidR="007E52E5" w:rsidRPr="007E52E5">
              <w:rPr>
                <w:b w:val="0"/>
                <w:noProof/>
                <w:webHidden/>
              </w:rPr>
            </w:r>
            <w:r w:rsidR="007E52E5" w:rsidRPr="007E52E5">
              <w:rPr>
                <w:b w:val="0"/>
                <w:noProof/>
                <w:webHidden/>
              </w:rPr>
              <w:fldChar w:fldCharType="separate"/>
            </w:r>
            <w:r w:rsidR="00C827AE">
              <w:rPr>
                <w:b w:val="0"/>
                <w:noProof/>
                <w:webHidden/>
              </w:rPr>
              <w:t>129</w:t>
            </w:r>
            <w:r w:rsidR="007E52E5" w:rsidRPr="007E52E5">
              <w:rPr>
                <w:b w:val="0"/>
                <w:noProof/>
                <w:webHidden/>
              </w:rPr>
              <w:fldChar w:fldCharType="end"/>
            </w:r>
          </w:hyperlink>
        </w:p>
        <w:p w14:paraId="5DBD7E8D" w14:textId="0CC16606"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78" w:history="1">
            <w:r w:rsidR="007E52E5" w:rsidRPr="007E52E5">
              <w:rPr>
                <w:rStyle w:val="Hyperlink"/>
                <w:rFonts w:eastAsia="Calibri" w:cstheme="majorBidi"/>
                <w:b w:val="0"/>
                <w:iCs/>
                <w:noProof/>
                <w:lang w:eastAsia="tr-TR"/>
              </w:rPr>
              <w:t>5.4 Effect of different alkaline earths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_Toc12994978 \h </w:instrText>
            </w:r>
            <w:r w:rsidR="007E52E5" w:rsidRPr="007E52E5">
              <w:rPr>
                <w:b w:val="0"/>
                <w:noProof/>
                <w:webHidden/>
              </w:rPr>
            </w:r>
            <w:r w:rsidR="007E52E5" w:rsidRPr="007E52E5">
              <w:rPr>
                <w:b w:val="0"/>
                <w:noProof/>
                <w:webHidden/>
              </w:rPr>
              <w:fldChar w:fldCharType="separate"/>
            </w:r>
            <w:r w:rsidR="00C827AE">
              <w:rPr>
                <w:b w:val="0"/>
                <w:noProof/>
                <w:webHidden/>
              </w:rPr>
              <w:t>131</w:t>
            </w:r>
            <w:r w:rsidR="007E52E5" w:rsidRPr="007E52E5">
              <w:rPr>
                <w:b w:val="0"/>
                <w:noProof/>
                <w:webHidden/>
              </w:rPr>
              <w:fldChar w:fldCharType="end"/>
            </w:r>
          </w:hyperlink>
        </w:p>
        <w:p w14:paraId="49ACDF55" w14:textId="5BD0D43C"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79" w:history="1">
            <w:r w:rsidR="007E52E5" w:rsidRPr="007E52E5">
              <w:rPr>
                <w:rStyle w:val="Hyperlink"/>
                <w:b w:val="0"/>
                <w:noProof/>
                <w:lang w:val="en-GB"/>
              </w:rPr>
              <w:t>5.5 Degree of connectivity and fracture toughness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_Toc12994979 \h </w:instrText>
            </w:r>
            <w:r w:rsidR="007E52E5" w:rsidRPr="007E52E5">
              <w:rPr>
                <w:b w:val="0"/>
                <w:noProof/>
                <w:webHidden/>
              </w:rPr>
            </w:r>
            <w:r w:rsidR="007E52E5" w:rsidRPr="007E52E5">
              <w:rPr>
                <w:b w:val="0"/>
                <w:noProof/>
                <w:webHidden/>
              </w:rPr>
              <w:fldChar w:fldCharType="separate"/>
            </w:r>
            <w:r w:rsidR="00C827AE">
              <w:rPr>
                <w:b w:val="0"/>
                <w:noProof/>
                <w:webHidden/>
              </w:rPr>
              <w:t>132</w:t>
            </w:r>
            <w:r w:rsidR="007E52E5" w:rsidRPr="007E52E5">
              <w:rPr>
                <w:b w:val="0"/>
                <w:noProof/>
                <w:webHidden/>
              </w:rPr>
              <w:fldChar w:fldCharType="end"/>
            </w:r>
          </w:hyperlink>
        </w:p>
        <w:p w14:paraId="0800A03E" w14:textId="205EC38B"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80" w:history="1">
            <w:r w:rsidR="007E52E5" w:rsidRPr="007E52E5">
              <w:rPr>
                <w:rStyle w:val="Hyperlink"/>
                <w:b w:val="0"/>
                <w:noProof/>
              </w:rPr>
              <w:t>5.6 Variation of fracture toughness with Poisson’s ratio and modulus</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_Toc12994980 \h </w:instrText>
            </w:r>
            <w:r w:rsidR="007E52E5" w:rsidRPr="007E52E5">
              <w:rPr>
                <w:b w:val="0"/>
                <w:noProof/>
                <w:webHidden/>
              </w:rPr>
            </w:r>
            <w:r w:rsidR="007E52E5" w:rsidRPr="007E52E5">
              <w:rPr>
                <w:b w:val="0"/>
                <w:noProof/>
                <w:webHidden/>
              </w:rPr>
              <w:fldChar w:fldCharType="separate"/>
            </w:r>
            <w:r w:rsidR="00C827AE">
              <w:rPr>
                <w:b w:val="0"/>
                <w:noProof/>
                <w:webHidden/>
              </w:rPr>
              <w:t>133</w:t>
            </w:r>
            <w:r w:rsidR="007E52E5" w:rsidRPr="007E52E5">
              <w:rPr>
                <w:b w:val="0"/>
                <w:noProof/>
                <w:webHidden/>
              </w:rPr>
              <w:fldChar w:fldCharType="end"/>
            </w:r>
          </w:hyperlink>
        </w:p>
        <w:p w14:paraId="1B100E44" w14:textId="5012ADBF" w:rsidR="007E52E5" w:rsidRPr="007E52E5" w:rsidRDefault="0094684C">
          <w:pPr>
            <w:pStyle w:val="TOC3"/>
            <w:tabs>
              <w:tab w:val="right" w:leader="dot" w:pos="9016"/>
            </w:tabs>
            <w:rPr>
              <w:rFonts w:asciiTheme="minorHAnsi" w:eastAsiaTheme="minorEastAsia" w:hAnsiTheme="minorHAnsi"/>
              <w:b w:val="0"/>
              <w:noProof/>
              <w:sz w:val="22"/>
              <w:lang w:eastAsia="en-MY"/>
            </w:rPr>
          </w:pPr>
          <w:hyperlink w:anchor="_Toc12994981" w:history="1">
            <w:r w:rsidR="007E52E5" w:rsidRPr="007E52E5">
              <w:rPr>
                <w:rStyle w:val="Hyperlink"/>
                <w:b w:val="0"/>
                <w:noProof/>
              </w:rPr>
              <w:t>5.7 Connection between Poisson’s ratio, network connectivity and atomic packing density.</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_Toc12994981 \h </w:instrText>
            </w:r>
            <w:r w:rsidR="007E52E5" w:rsidRPr="007E52E5">
              <w:rPr>
                <w:b w:val="0"/>
                <w:noProof/>
                <w:webHidden/>
              </w:rPr>
            </w:r>
            <w:r w:rsidR="007E52E5" w:rsidRPr="007E52E5">
              <w:rPr>
                <w:b w:val="0"/>
                <w:noProof/>
                <w:webHidden/>
              </w:rPr>
              <w:fldChar w:fldCharType="separate"/>
            </w:r>
            <w:r w:rsidR="00C827AE">
              <w:rPr>
                <w:b w:val="0"/>
                <w:noProof/>
                <w:webHidden/>
              </w:rPr>
              <w:t>135</w:t>
            </w:r>
            <w:r w:rsidR="007E52E5" w:rsidRPr="007E52E5">
              <w:rPr>
                <w:b w:val="0"/>
                <w:noProof/>
                <w:webHidden/>
              </w:rPr>
              <w:fldChar w:fldCharType="end"/>
            </w:r>
          </w:hyperlink>
        </w:p>
        <w:p w14:paraId="520012D4" w14:textId="5CF24791" w:rsidR="007E52E5" w:rsidRDefault="0094684C">
          <w:pPr>
            <w:pStyle w:val="TOC3"/>
            <w:tabs>
              <w:tab w:val="right" w:leader="dot" w:pos="9016"/>
            </w:tabs>
            <w:rPr>
              <w:b w:val="0"/>
              <w:noProof/>
            </w:rPr>
          </w:pPr>
          <w:hyperlink w:anchor="_Toc12994982" w:history="1">
            <w:r w:rsidR="007E52E5" w:rsidRPr="007E52E5">
              <w:rPr>
                <w:rStyle w:val="Hyperlink"/>
                <w:b w:val="0"/>
                <w:noProof/>
                <w:lang w:val="en-GB"/>
              </w:rPr>
              <w:t>5.8 Relationship between E/Hv and Poisson’s ratio.</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_Toc12994982 \h </w:instrText>
            </w:r>
            <w:r w:rsidR="007E52E5" w:rsidRPr="007E52E5">
              <w:rPr>
                <w:b w:val="0"/>
                <w:noProof/>
                <w:webHidden/>
              </w:rPr>
            </w:r>
            <w:r w:rsidR="007E52E5" w:rsidRPr="007E52E5">
              <w:rPr>
                <w:b w:val="0"/>
                <w:noProof/>
                <w:webHidden/>
              </w:rPr>
              <w:fldChar w:fldCharType="separate"/>
            </w:r>
            <w:r w:rsidR="00C827AE">
              <w:rPr>
                <w:b w:val="0"/>
                <w:noProof/>
                <w:webHidden/>
              </w:rPr>
              <w:t>137</w:t>
            </w:r>
            <w:r w:rsidR="007E52E5" w:rsidRPr="007E52E5">
              <w:rPr>
                <w:b w:val="0"/>
                <w:noProof/>
                <w:webHidden/>
              </w:rPr>
              <w:fldChar w:fldCharType="end"/>
            </w:r>
          </w:hyperlink>
        </w:p>
        <w:p w14:paraId="18FF0E2E" w14:textId="4AEDF2E7" w:rsidR="00D81E82" w:rsidRPr="00D81E82" w:rsidRDefault="00D81E82" w:rsidP="00D81E82">
          <w:pPr>
            <w:rPr>
              <w:b w:val="0"/>
              <w:bCs/>
            </w:rPr>
          </w:pPr>
          <w:r>
            <w:t xml:space="preserve">        </w:t>
          </w:r>
          <w:r w:rsidRPr="00D81E82">
            <w:rPr>
              <w:b w:val="0"/>
              <w:bCs/>
            </w:rPr>
            <w:t>5.9 Summary………………………………………………………………………….</w:t>
          </w:r>
          <w:r>
            <w:rPr>
              <w:b w:val="0"/>
              <w:bCs/>
            </w:rPr>
            <w:t>.</w:t>
          </w:r>
          <w:r w:rsidRPr="00D81E82">
            <w:rPr>
              <w:b w:val="0"/>
              <w:bCs/>
            </w:rPr>
            <w:t>138</w:t>
          </w:r>
        </w:p>
        <w:p w14:paraId="67DF3DD5" w14:textId="6E4C6E95" w:rsidR="007E52E5" w:rsidRPr="007E52E5" w:rsidRDefault="0094684C">
          <w:pPr>
            <w:pStyle w:val="TOC1"/>
            <w:tabs>
              <w:tab w:val="right" w:leader="dot" w:pos="9016"/>
            </w:tabs>
            <w:rPr>
              <w:rFonts w:asciiTheme="minorHAnsi" w:eastAsiaTheme="minorEastAsia" w:hAnsiTheme="minorHAnsi"/>
              <w:b w:val="0"/>
              <w:noProof/>
              <w:sz w:val="22"/>
              <w:lang w:eastAsia="en-MY"/>
            </w:rPr>
          </w:pPr>
          <w:hyperlink w:anchor="_Toc12994983" w:history="1">
            <w:r w:rsidR="007E52E5" w:rsidRPr="007E52E5">
              <w:rPr>
                <w:rStyle w:val="Hyperlink"/>
                <w:b w:val="0"/>
                <w:noProof/>
              </w:rPr>
              <w:t>Chapter 6</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_Toc12994983 \h </w:instrText>
            </w:r>
            <w:r w:rsidR="007E52E5" w:rsidRPr="007E52E5">
              <w:rPr>
                <w:b w:val="0"/>
                <w:noProof/>
                <w:webHidden/>
              </w:rPr>
            </w:r>
            <w:r w:rsidR="007E52E5" w:rsidRPr="007E52E5">
              <w:rPr>
                <w:b w:val="0"/>
                <w:noProof/>
                <w:webHidden/>
              </w:rPr>
              <w:fldChar w:fldCharType="separate"/>
            </w:r>
            <w:r w:rsidR="00C827AE">
              <w:rPr>
                <w:b w:val="0"/>
                <w:noProof/>
                <w:webHidden/>
              </w:rPr>
              <w:t>139</w:t>
            </w:r>
            <w:r w:rsidR="007E52E5" w:rsidRPr="007E52E5">
              <w:rPr>
                <w:b w:val="0"/>
                <w:noProof/>
                <w:webHidden/>
              </w:rPr>
              <w:fldChar w:fldCharType="end"/>
            </w:r>
          </w:hyperlink>
        </w:p>
        <w:p w14:paraId="7A540704" w14:textId="4D29C170" w:rsidR="007E52E5" w:rsidRPr="007E52E5" w:rsidRDefault="0094684C">
          <w:pPr>
            <w:pStyle w:val="TOC1"/>
            <w:tabs>
              <w:tab w:val="right" w:leader="dot" w:pos="9016"/>
            </w:tabs>
            <w:rPr>
              <w:rFonts w:asciiTheme="minorHAnsi" w:eastAsiaTheme="minorEastAsia" w:hAnsiTheme="minorHAnsi"/>
              <w:b w:val="0"/>
              <w:noProof/>
              <w:sz w:val="22"/>
              <w:lang w:eastAsia="en-MY"/>
            </w:rPr>
          </w:pPr>
          <w:hyperlink w:anchor="_Toc12994984" w:history="1">
            <w:r w:rsidR="007E52E5" w:rsidRPr="007E52E5">
              <w:rPr>
                <w:rStyle w:val="Hyperlink"/>
                <w:b w:val="0"/>
                <w:noProof/>
              </w:rPr>
              <w:t>Conclusions and Suggestions for further work</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_Toc12994984 \h </w:instrText>
            </w:r>
            <w:r w:rsidR="007E52E5" w:rsidRPr="007E52E5">
              <w:rPr>
                <w:b w:val="0"/>
                <w:noProof/>
                <w:webHidden/>
              </w:rPr>
            </w:r>
            <w:r w:rsidR="007E52E5" w:rsidRPr="007E52E5">
              <w:rPr>
                <w:b w:val="0"/>
                <w:noProof/>
                <w:webHidden/>
              </w:rPr>
              <w:fldChar w:fldCharType="separate"/>
            </w:r>
            <w:r w:rsidR="00C827AE">
              <w:rPr>
                <w:b w:val="0"/>
                <w:noProof/>
                <w:webHidden/>
              </w:rPr>
              <w:t>139</w:t>
            </w:r>
            <w:r w:rsidR="007E52E5" w:rsidRPr="007E52E5">
              <w:rPr>
                <w:b w:val="0"/>
                <w:noProof/>
                <w:webHidden/>
              </w:rPr>
              <w:fldChar w:fldCharType="end"/>
            </w:r>
          </w:hyperlink>
        </w:p>
        <w:p w14:paraId="049E2136" w14:textId="43FCC6CB" w:rsidR="007E52E5" w:rsidRPr="007E52E5" w:rsidRDefault="0094684C">
          <w:pPr>
            <w:pStyle w:val="TOC2"/>
            <w:tabs>
              <w:tab w:val="right" w:leader="dot" w:pos="9016"/>
            </w:tabs>
            <w:rPr>
              <w:rFonts w:asciiTheme="minorHAnsi" w:eastAsiaTheme="minorEastAsia" w:hAnsiTheme="minorHAnsi"/>
              <w:b w:val="0"/>
              <w:noProof/>
              <w:sz w:val="22"/>
              <w:lang w:eastAsia="en-MY"/>
            </w:rPr>
          </w:pPr>
          <w:hyperlink w:anchor="_Toc12994985" w:history="1">
            <w:r w:rsidR="007E52E5" w:rsidRPr="007E52E5">
              <w:rPr>
                <w:rStyle w:val="Hyperlink"/>
                <w:b w:val="0"/>
                <w:noProof/>
              </w:rPr>
              <w:t>6.1 Conclusion</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_Toc12994985 \h </w:instrText>
            </w:r>
            <w:r w:rsidR="007E52E5" w:rsidRPr="007E52E5">
              <w:rPr>
                <w:b w:val="0"/>
                <w:noProof/>
                <w:webHidden/>
              </w:rPr>
            </w:r>
            <w:r w:rsidR="007E52E5" w:rsidRPr="007E52E5">
              <w:rPr>
                <w:b w:val="0"/>
                <w:noProof/>
                <w:webHidden/>
              </w:rPr>
              <w:fldChar w:fldCharType="separate"/>
            </w:r>
            <w:r w:rsidR="00C827AE">
              <w:rPr>
                <w:b w:val="0"/>
                <w:noProof/>
                <w:webHidden/>
              </w:rPr>
              <w:t>139</w:t>
            </w:r>
            <w:r w:rsidR="007E52E5" w:rsidRPr="007E52E5">
              <w:rPr>
                <w:b w:val="0"/>
                <w:noProof/>
                <w:webHidden/>
              </w:rPr>
              <w:fldChar w:fldCharType="end"/>
            </w:r>
          </w:hyperlink>
        </w:p>
        <w:p w14:paraId="5D201635" w14:textId="1D4F0F3B" w:rsidR="007E52E5" w:rsidRDefault="0094684C">
          <w:pPr>
            <w:pStyle w:val="TOC2"/>
            <w:tabs>
              <w:tab w:val="right" w:leader="dot" w:pos="9016"/>
            </w:tabs>
            <w:rPr>
              <w:b w:val="0"/>
              <w:noProof/>
            </w:rPr>
          </w:pPr>
          <w:hyperlink w:anchor="_Toc12994990" w:history="1">
            <w:r w:rsidR="007E52E5" w:rsidRPr="007E52E5">
              <w:rPr>
                <w:rStyle w:val="Hyperlink"/>
                <w:b w:val="0"/>
                <w:noProof/>
              </w:rPr>
              <w:t>6.2 Suggestions for further work</w:t>
            </w:r>
            <w:r w:rsidR="007E52E5" w:rsidRPr="007E52E5">
              <w:rPr>
                <w:b w:val="0"/>
                <w:noProof/>
                <w:webHidden/>
              </w:rPr>
              <w:tab/>
            </w:r>
            <w:r w:rsidR="007E52E5" w:rsidRPr="007E52E5">
              <w:rPr>
                <w:b w:val="0"/>
                <w:noProof/>
                <w:webHidden/>
              </w:rPr>
              <w:fldChar w:fldCharType="begin"/>
            </w:r>
            <w:r w:rsidR="007E52E5" w:rsidRPr="007E52E5">
              <w:rPr>
                <w:b w:val="0"/>
                <w:noProof/>
                <w:webHidden/>
              </w:rPr>
              <w:instrText xml:space="preserve"> PAGEREF _Toc12994990 \h </w:instrText>
            </w:r>
            <w:r w:rsidR="007E52E5" w:rsidRPr="007E52E5">
              <w:rPr>
                <w:b w:val="0"/>
                <w:noProof/>
                <w:webHidden/>
              </w:rPr>
            </w:r>
            <w:r w:rsidR="007E52E5" w:rsidRPr="007E52E5">
              <w:rPr>
                <w:b w:val="0"/>
                <w:noProof/>
                <w:webHidden/>
              </w:rPr>
              <w:fldChar w:fldCharType="separate"/>
            </w:r>
            <w:r w:rsidR="00C827AE">
              <w:rPr>
                <w:b w:val="0"/>
                <w:noProof/>
                <w:webHidden/>
              </w:rPr>
              <w:t>141</w:t>
            </w:r>
            <w:r w:rsidR="007E52E5" w:rsidRPr="007E52E5">
              <w:rPr>
                <w:b w:val="0"/>
                <w:noProof/>
                <w:webHidden/>
              </w:rPr>
              <w:fldChar w:fldCharType="end"/>
            </w:r>
          </w:hyperlink>
        </w:p>
        <w:p w14:paraId="764A26F4" w14:textId="01D9A0C4" w:rsidR="000001C3" w:rsidRPr="000001C3" w:rsidRDefault="000001C3" w:rsidP="000001C3">
          <w:pPr>
            <w:spacing w:after="0" w:line="360" w:lineRule="auto"/>
            <w:rPr>
              <w:b w:val="0"/>
              <w:bCs/>
            </w:rPr>
          </w:pPr>
          <w:r w:rsidRPr="000001C3">
            <w:rPr>
              <w:b w:val="0"/>
              <w:bCs/>
            </w:rPr>
            <w:t>References………………………………………………………………………………….</w:t>
          </w:r>
          <w:r>
            <w:rPr>
              <w:b w:val="0"/>
              <w:bCs/>
            </w:rPr>
            <w:t>.143</w:t>
          </w:r>
        </w:p>
        <w:p w14:paraId="4B4988F5" w14:textId="1CE92556" w:rsidR="007E52E5" w:rsidRPr="007E52E5" w:rsidRDefault="0094684C">
          <w:pPr>
            <w:pStyle w:val="TOC1"/>
            <w:tabs>
              <w:tab w:val="right" w:leader="dot" w:pos="9016"/>
            </w:tabs>
            <w:rPr>
              <w:rFonts w:asciiTheme="minorHAnsi" w:eastAsiaTheme="minorEastAsia" w:hAnsiTheme="minorHAnsi"/>
              <w:b w:val="0"/>
              <w:noProof/>
              <w:sz w:val="22"/>
              <w:lang w:eastAsia="en-MY"/>
            </w:rPr>
          </w:pPr>
          <w:hyperlink w:anchor="_Toc12994995" w:history="1">
            <w:r w:rsidR="007E52E5" w:rsidRPr="007E52E5">
              <w:rPr>
                <w:rStyle w:val="Hyperlink"/>
                <w:b w:val="0"/>
                <w:noProof/>
                <w:lang w:val="en-GB"/>
              </w:rPr>
              <w:t>Appendices</w:t>
            </w:r>
            <w:r w:rsidR="007E52E5" w:rsidRPr="007E52E5">
              <w:rPr>
                <w:b w:val="0"/>
                <w:noProof/>
                <w:webHidden/>
              </w:rPr>
              <w:tab/>
            </w:r>
            <w:r w:rsidR="000001C3">
              <w:rPr>
                <w:b w:val="0"/>
                <w:noProof/>
                <w:webHidden/>
              </w:rPr>
              <w:t>154</w:t>
            </w:r>
          </w:hyperlink>
        </w:p>
        <w:p w14:paraId="61A8DA6A" w14:textId="1D80B2A3" w:rsidR="008D41D7" w:rsidRDefault="008D41D7">
          <w:r>
            <w:rPr>
              <w:bCs/>
              <w:noProof/>
            </w:rPr>
            <w:fldChar w:fldCharType="end"/>
          </w:r>
        </w:p>
      </w:sdtContent>
    </w:sdt>
    <w:bookmarkEnd w:id="16"/>
    <w:p w14:paraId="736B9CD3" w14:textId="67AFEC84" w:rsidR="007E52E5" w:rsidRDefault="007E52E5" w:rsidP="006D4658">
      <w:pPr>
        <w:spacing w:line="360" w:lineRule="auto"/>
        <w:jc w:val="center"/>
        <w:rPr>
          <w:sz w:val="44"/>
          <w:szCs w:val="44"/>
        </w:rPr>
      </w:pPr>
    </w:p>
    <w:p w14:paraId="631183B4" w14:textId="6796B55E" w:rsidR="00A52387" w:rsidRDefault="00A52387" w:rsidP="006D4658">
      <w:pPr>
        <w:spacing w:line="360" w:lineRule="auto"/>
        <w:jc w:val="center"/>
        <w:rPr>
          <w:sz w:val="44"/>
          <w:szCs w:val="44"/>
        </w:rPr>
      </w:pPr>
    </w:p>
    <w:p w14:paraId="1BB8B2CA" w14:textId="36BCDD69" w:rsidR="00BB3C14" w:rsidRDefault="00BB3C14" w:rsidP="006D4658">
      <w:pPr>
        <w:spacing w:line="360" w:lineRule="auto"/>
        <w:jc w:val="center"/>
        <w:rPr>
          <w:sz w:val="44"/>
          <w:szCs w:val="44"/>
        </w:rPr>
      </w:pPr>
    </w:p>
    <w:p w14:paraId="0686C91C" w14:textId="77777777" w:rsidR="00BB3C14" w:rsidRDefault="00BB3C14" w:rsidP="006D4658">
      <w:pPr>
        <w:spacing w:line="360" w:lineRule="auto"/>
        <w:jc w:val="center"/>
        <w:rPr>
          <w:sz w:val="44"/>
          <w:szCs w:val="44"/>
        </w:rPr>
      </w:pPr>
    </w:p>
    <w:p w14:paraId="099B781C" w14:textId="31DFD7EE" w:rsidR="006D4658" w:rsidRDefault="008D41D7" w:rsidP="006D4658">
      <w:pPr>
        <w:spacing w:line="360" w:lineRule="auto"/>
        <w:jc w:val="center"/>
        <w:rPr>
          <w:sz w:val="44"/>
          <w:szCs w:val="44"/>
        </w:rPr>
      </w:pPr>
      <w:r>
        <w:rPr>
          <w:sz w:val="44"/>
          <w:szCs w:val="44"/>
        </w:rPr>
        <w:lastRenderedPageBreak/>
        <w:t>L</w:t>
      </w:r>
      <w:r w:rsidR="006D4658" w:rsidRPr="006D4658">
        <w:rPr>
          <w:sz w:val="44"/>
          <w:szCs w:val="44"/>
        </w:rPr>
        <w:t>ist of  Figures</w:t>
      </w:r>
    </w:p>
    <w:p w14:paraId="00529E7B" w14:textId="7AB2ACAB"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2.1: 2D schematics of the structures of a crystalline solid and a glassy solid.</w:t>
      </w:r>
      <w:r w:rsidRPr="008F6082">
        <w:rPr>
          <w:noProof/>
          <w:webHidden/>
        </w:rPr>
        <w:tab/>
      </w:r>
      <w:r w:rsidR="00370649">
        <w:rPr>
          <w:noProof/>
          <w:webHidden/>
        </w:rPr>
        <w:t>6</w:t>
      </w:r>
    </w:p>
    <w:p w14:paraId="7C968130" w14:textId="43494CDE"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2.2: Temperature – enthalpy diagram for glass formation.</w:t>
      </w:r>
      <w:r w:rsidRPr="008F6082">
        <w:rPr>
          <w:noProof/>
          <w:webHidden/>
        </w:rPr>
        <w:tab/>
      </w:r>
      <w:r w:rsidR="00F13F07">
        <w:rPr>
          <w:noProof/>
          <w:webHidden/>
        </w:rPr>
        <w:t>7</w:t>
      </w:r>
    </w:p>
    <w:p w14:paraId="34E70A99" w14:textId="7BBB816A"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2.3</w:t>
      </w:r>
      <w:r w:rsidRPr="008F6082">
        <w:rPr>
          <w:rStyle w:val="Hyperlink"/>
          <w:rFonts w:asciiTheme="majorBidi" w:hAnsiTheme="majorBidi" w:cstheme="majorBidi"/>
          <w:noProof/>
          <w:color w:val="auto"/>
          <w:u w:val="none"/>
        </w:rPr>
        <w:t>: Q</w:t>
      </w:r>
      <w:r w:rsidRPr="008F6082">
        <w:rPr>
          <w:rStyle w:val="Hyperlink"/>
          <w:rFonts w:asciiTheme="majorBidi" w:hAnsiTheme="majorBidi" w:cstheme="majorBidi"/>
          <w:noProof/>
          <w:color w:val="auto"/>
          <w:u w:val="none"/>
          <w:vertAlign w:val="superscript"/>
        </w:rPr>
        <w:t>n</w:t>
      </w:r>
      <w:r w:rsidRPr="008F6082">
        <w:rPr>
          <w:rStyle w:val="Hyperlink"/>
          <w:rFonts w:asciiTheme="majorBidi" w:hAnsiTheme="majorBidi" w:cstheme="majorBidi"/>
          <w:noProof/>
          <w:color w:val="auto"/>
          <w:u w:val="none"/>
        </w:rPr>
        <w:t xml:space="preserve"> species in silicate glass network.</w:t>
      </w:r>
      <w:r w:rsidRPr="008F6082">
        <w:rPr>
          <w:noProof/>
          <w:webHidden/>
        </w:rPr>
        <w:tab/>
      </w:r>
      <w:r w:rsidR="00370649">
        <w:rPr>
          <w:noProof/>
          <w:webHidden/>
        </w:rPr>
        <w:t>9</w:t>
      </w:r>
    </w:p>
    <w:p w14:paraId="1E8E50B2" w14:textId="030DCFFE"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2.4: Schematic diagram of the structure of a soda-lime-silica glass</w:t>
      </w:r>
      <w:r w:rsidRPr="008F6082">
        <w:rPr>
          <w:noProof/>
          <w:webHidden/>
        </w:rPr>
        <w:tab/>
      </w:r>
      <w:r w:rsidR="00370649">
        <w:rPr>
          <w:noProof/>
          <w:webHidden/>
        </w:rPr>
        <w:t>11</w:t>
      </w:r>
    </w:p>
    <w:p w14:paraId="54BA9095" w14:textId="78C1B2E0"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 xml:space="preserve">Figure 2.5: Schematic of aluminosilicate glass. Alumina structure with </w:t>
      </w:r>
      <w:r w:rsidR="009F3339">
        <w:rPr>
          <w:rStyle w:val="Hyperlink"/>
          <w:noProof/>
          <w:color w:val="auto"/>
          <w:u w:val="none"/>
        </w:rPr>
        <w:t xml:space="preserve">the </w:t>
      </w:r>
      <w:r w:rsidRPr="008F6082">
        <w:rPr>
          <w:rStyle w:val="Hyperlink"/>
          <w:noProof/>
          <w:color w:val="auto"/>
          <w:u w:val="none"/>
        </w:rPr>
        <w:t>addition of sodium for tricluster formation (</w:t>
      </w:r>
      <w:r w:rsidRPr="008F6082">
        <w:rPr>
          <w:rStyle w:val="Hyperlink"/>
          <w:i/>
          <w:noProof/>
          <w:color w:val="auto"/>
          <w:u w:val="none"/>
        </w:rPr>
        <w:t>I</w:t>
      </w:r>
      <w:r w:rsidRPr="008F6082">
        <w:rPr>
          <w:rStyle w:val="Hyperlink"/>
          <w:noProof/>
          <w:color w:val="auto"/>
          <w:u w:val="none"/>
        </w:rPr>
        <w:t>) compensation of sodium cations for tetrahedron of aluminium-oxygen tetrahedra (</w:t>
      </w:r>
      <w:r w:rsidRPr="008F6082">
        <w:rPr>
          <w:rStyle w:val="Hyperlink"/>
          <w:i/>
          <w:noProof/>
          <w:color w:val="auto"/>
          <w:u w:val="none"/>
        </w:rPr>
        <w:t>II</w:t>
      </w:r>
      <w:r w:rsidRPr="008F6082">
        <w:rPr>
          <w:rStyle w:val="Hyperlink"/>
          <w:noProof/>
          <w:color w:val="auto"/>
          <w:u w:val="none"/>
        </w:rPr>
        <w:t>) intermediate state with three-fold coordination of aluminium cation (III) the tricluster.</w:t>
      </w:r>
      <w:r w:rsidRPr="008F6082">
        <w:rPr>
          <w:noProof/>
          <w:webHidden/>
        </w:rPr>
        <w:tab/>
      </w:r>
      <w:r w:rsidR="00370649">
        <w:rPr>
          <w:noProof/>
          <w:webHidden/>
        </w:rPr>
        <w:t>13</w:t>
      </w:r>
    </w:p>
    <w:p w14:paraId="14498EC1" w14:textId="39F83C1A" w:rsidR="00651073" w:rsidRPr="008F6082" w:rsidRDefault="00651073" w:rsidP="00651073">
      <w:pPr>
        <w:pStyle w:val="TableofFigures"/>
        <w:tabs>
          <w:tab w:val="right" w:leader="dot" w:pos="9016"/>
        </w:tabs>
        <w:spacing w:line="360" w:lineRule="auto"/>
        <w:rPr>
          <w:rStyle w:val="Hyperlink"/>
          <w:noProof/>
          <w:color w:val="auto"/>
          <w:u w:val="none"/>
        </w:rPr>
      </w:pPr>
      <w:r w:rsidRPr="008F6082">
        <w:rPr>
          <w:rStyle w:val="Hyperlink"/>
          <w:noProof/>
          <w:color w:val="auto"/>
          <w:u w:val="none"/>
        </w:rPr>
        <w:t>Figure 2.6</w:t>
      </w:r>
      <w:r w:rsidRPr="008F6082">
        <w:rPr>
          <w:rStyle w:val="Hyperlink"/>
          <w:rFonts w:asciiTheme="majorBidi" w:hAnsiTheme="majorBidi" w:cstheme="majorBidi"/>
          <w:noProof/>
          <w:color w:val="auto"/>
          <w:u w:val="none"/>
        </w:rPr>
        <w:t>: Fraction of tetrahedral boron (N</w:t>
      </w:r>
      <w:r w:rsidRPr="008F6082">
        <w:rPr>
          <w:rStyle w:val="Hyperlink"/>
          <w:rFonts w:asciiTheme="majorBidi" w:hAnsiTheme="majorBidi" w:cstheme="majorBidi"/>
          <w:noProof/>
          <w:color w:val="auto"/>
          <w:u w:val="none"/>
          <w:vertAlign w:val="subscript"/>
        </w:rPr>
        <w:t>4</w:t>
      </w:r>
      <w:r w:rsidRPr="008F6082">
        <w:rPr>
          <w:rStyle w:val="Hyperlink"/>
          <w:rFonts w:asciiTheme="majorBidi" w:hAnsiTheme="majorBidi" w:cstheme="majorBidi"/>
          <w:noProof/>
          <w:color w:val="auto"/>
          <w:u w:val="none"/>
        </w:rPr>
        <w:t>) with mole fraction of alkaline earth used in boroaluminate glass, xMO. yB</w:t>
      </w:r>
      <w:r w:rsidRPr="008F6082">
        <w:rPr>
          <w:rStyle w:val="Hyperlink"/>
          <w:rFonts w:asciiTheme="majorBidi" w:hAnsiTheme="majorBidi" w:cstheme="majorBidi"/>
          <w:noProof/>
          <w:color w:val="auto"/>
          <w:u w:val="none"/>
          <w:vertAlign w:val="subscript"/>
        </w:rPr>
        <w:t>2</w:t>
      </w:r>
      <w:r w:rsidRPr="008F6082">
        <w:rPr>
          <w:rStyle w:val="Hyperlink"/>
          <w:rFonts w:asciiTheme="majorBidi" w:hAnsiTheme="majorBidi" w:cstheme="majorBidi"/>
          <w:noProof/>
          <w:color w:val="auto"/>
          <w:u w:val="none"/>
        </w:rPr>
        <w:t>O</w:t>
      </w:r>
      <w:r w:rsidRPr="008F6082">
        <w:rPr>
          <w:rStyle w:val="Hyperlink"/>
          <w:rFonts w:asciiTheme="majorBidi" w:hAnsiTheme="majorBidi" w:cstheme="majorBidi"/>
          <w:noProof/>
          <w:color w:val="auto"/>
          <w:u w:val="none"/>
          <w:vertAlign w:val="subscript"/>
        </w:rPr>
        <w:t>3</w:t>
      </w:r>
      <w:r w:rsidRPr="008F6082">
        <w:rPr>
          <w:rStyle w:val="Hyperlink"/>
          <w:rFonts w:asciiTheme="majorBidi" w:hAnsiTheme="majorBidi" w:cstheme="majorBidi"/>
          <w:noProof/>
          <w:color w:val="auto"/>
          <w:u w:val="none"/>
        </w:rPr>
        <w:t>. 10Al</w:t>
      </w:r>
      <w:r w:rsidRPr="008F6082">
        <w:rPr>
          <w:rStyle w:val="Hyperlink"/>
          <w:rFonts w:asciiTheme="majorBidi" w:hAnsiTheme="majorBidi" w:cstheme="majorBidi"/>
          <w:noProof/>
          <w:color w:val="auto"/>
          <w:u w:val="none"/>
          <w:vertAlign w:val="subscript"/>
        </w:rPr>
        <w:t>2</w:t>
      </w:r>
      <w:r w:rsidRPr="008F6082">
        <w:rPr>
          <w:rStyle w:val="Hyperlink"/>
          <w:rFonts w:asciiTheme="majorBidi" w:hAnsiTheme="majorBidi" w:cstheme="majorBidi"/>
          <w:noProof/>
          <w:color w:val="auto"/>
          <w:u w:val="none"/>
        </w:rPr>
        <w:t>O</w:t>
      </w:r>
      <w:r w:rsidRPr="008F6082">
        <w:rPr>
          <w:rStyle w:val="Hyperlink"/>
          <w:rFonts w:asciiTheme="majorBidi" w:hAnsiTheme="majorBidi" w:cstheme="majorBidi"/>
          <w:noProof/>
          <w:color w:val="auto"/>
          <w:u w:val="none"/>
          <w:vertAlign w:val="subscript"/>
        </w:rPr>
        <w:t>3</w:t>
      </w:r>
      <w:r w:rsidRPr="008F6082">
        <w:rPr>
          <w:rStyle w:val="Hyperlink"/>
          <w:rFonts w:asciiTheme="majorBidi" w:hAnsiTheme="majorBidi" w:cstheme="majorBidi"/>
          <w:noProof/>
          <w:color w:val="auto"/>
          <w:u w:val="none"/>
        </w:rPr>
        <w:t xml:space="preserve"> with </w:t>
      </w:r>
      <w:r w:rsidR="009F3339">
        <w:rPr>
          <w:rStyle w:val="Hyperlink"/>
          <w:rFonts w:asciiTheme="majorBidi" w:hAnsiTheme="majorBidi" w:cstheme="majorBidi"/>
          <w:noProof/>
          <w:color w:val="auto"/>
          <w:u w:val="none"/>
        </w:rPr>
        <w:t xml:space="preserve">the </w:t>
      </w:r>
      <w:r w:rsidRPr="008F6082">
        <w:rPr>
          <w:rStyle w:val="Hyperlink"/>
          <w:rFonts w:asciiTheme="majorBidi" w:hAnsiTheme="majorBidi" w:cstheme="majorBidi"/>
          <w:noProof/>
          <w:color w:val="auto"/>
          <w:u w:val="none"/>
        </w:rPr>
        <w:t>variation of x and y.</w:t>
      </w:r>
      <w:r w:rsidRPr="008F6082">
        <w:rPr>
          <w:noProof/>
          <w:webHidden/>
        </w:rPr>
        <w:tab/>
      </w:r>
      <w:r w:rsidR="00F45197" w:rsidRPr="008F6082">
        <w:rPr>
          <w:noProof/>
          <w:webHidden/>
        </w:rPr>
        <w:t>1</w:t>
      </w:r>
      <w:r w:rsidR="00370649">
        <w:rPr>
          <w:noProof/>
          <w:webHidden/>
        </w:rPr>
        <w:t>7</w:t>
      </w:r>
    </w:p>
    <w:p w14:paraId="5BC3CE26" w14:textId="773F9320" w:rsidR="00651073" w:rsidRPr="008F6082" w:rsidRDefault="00651073" w:rsidP="0054679B">
      <w:pPr>
        <w:pStyle w:val="Caption"/>
        <w:jc w:val="left"/>
        <w:rPr>
          <w:b w:val="0"/>
          <w:szCs w:val="24"/>
        </w:rPr>
      </w:pPr>
      <w:r w:rsidRPr="008F6082">
        <w:rPr>
          <w:b w:val="0"/>
        </w:rPr>
        <w:t xml:space="preserve">Figure 2.7: </w:t>
      </w:r>
      <w:r w:rsidRPr="008F6082">
        <w:rPr>
          <w:b w:val="0"/>
          <w:szCs w:val="24"/>
        </w:rPr>
        <w:t xml:space="preserve">Poisson’s ratio as a function of packing density.                                                   </w:t>
      </w:r>
      <w:r w:rsidR="00370649">
        <w:rPr>
          <w:b w:val="0"/>
          <w:szCs w:val="24"/>
        </w:rPr>
        <w:t>2</w:t>
      </w:r>
      <w:r w:rsidR="00F13F07">
        <w:rPr>
          <w:b w:val="0"/>
          <w:szCs w:val="24"/>
        </w:rPr>
        <w:t>3</w:t>
      </w:r>
    </w:p>
    <w:p w14:paraId="01C87CB2" w14:textId="7404DADB" w:rsidR="00651073" w:rsidRPr="008F6082" w:rsidRDefault="00651073" w:rsidP="0054679B">
      <w:pPr>
        <w:spacing w:line="240" w:lineRule="auto"/>
        <w:rPr>
          <w:b w:val="0"/>
          <w:szCs w:val="24"/>
        </w:rPr>
      </w:pPr>
      <w:r w:rsidRPr="008F6082">
        <w:rPr>
          <w:b w:val="0"/>
        </w:rPr>
        <w:t>Figure</w:t>
      </w:r>
      <w:r w:rsidR="0033481D" w:rsidRPr="008F6082">
        <w:rPr>
          <w:b w:val="0"/>
        </w:rPr>
        <w:t xml:space="preserve"> 2</w:t>
      </w:r>
      <w:r w:rsidRPr="008F6082">
        <w:rPr>
          <w:b w:val="0"/>
        </w:rPr>
        <w:t xml:space="preserve">.8: </w:t>
      </w:r>
      <w:r w:rsidRPr="008F6082">
        <w:rPr>
          <w:b w:val="0"/>
          <w:szCs w:val="24"/>
        </w:rPr>
        <w:t>Hardness versus Young’s modulus of various types of glasses</w:t>
      </w:r>
      <w:r w:rsidR="00370649">
        <w:rPr>
          <w:b w:val="0"/>
          <w:szCs w:val="24"/>
        </w:rPr>
        <w:t xml:space="preserve"> and composition</w:t>
      </w:r>
      <w:r w:rsidRPr="008F6082">
        <w:rPr>
          <w:b w:val="0"/>
          <w:szCs w:val="24"/>
        </w:rPr>
        <w:t>.</w:t>
      </w:r>
      <w:r w:rsidR="00370649">
        <w:rPr>
          <w:b w:val="0"/>
          <w:szCs w:val="24"/>
        </w:rPr>
        <w:t>25</w:t>
      </w:r>
      <w:r w:rsidRPr="008F6082">
        <w:rPr>
          <w:b w:val="0"/>
          <w:szCs w:val="24"/>
        </w:rPr>
        <w:t xml:space="preserve">            </w:t>
      </w:r>
    </w:p>
    <w:p w14:paraId="036479EE" w14:textId="1A2BC673" w:rsidR="00651073" w:rsidRPr="008F6082" w:rsidRDefault="00651073" w:rsidP="0054679B">
      <w:pPr>
        <w:spacing w:line="240" w:lineRule="auto"/>
        <w:rPr>
          <w:b w:val="0"/>
          <w:lang w:val="en-GB"/>
        </w:rPr>
      </w:pPr>
      <w:r w:rsidRPr="008F6082">
        <w:rPr>
          <w:b w:val="0"/>
        </w:rPr>
        <w:t xml:space="preserve">Figure 2.9: </w:t>
      </w:r>
      <w:r w:rsidRPr="008F6082">
        <w:rPr>
          <w:b w:val="0"/>
          <w:szCs w:val="24"/>
        </w:rPr>
        <w:t>Hardness versus glass transition temperature for various types of glasses</w:t>
      </w:r>
      <w:r w:rsidR="00370649">
        <w:rPr>
          <w:b w:val="0"/>
          <w:szCs w:val="24"/>
        </w:rPr>
        <w:t xml:space="preserve"> and composition</w:t>
      </w:r>
      <w:r w:rsidRPr="008F6082">
        <w:rPr>
          <w:b w:val="0"/>
          <w:szCs w:val="24"/>
        </w:rPr>
        <w:t xml:space="preserve">.           </w:t>
      </w:r>
      <w:r w:rsidR="00370649">
        <w:rPr>
          <w:b w:val="0"/>
          <w:szCs w:val="24"/>
        </w:rPr>
        <w:tab/>
      </w:r>
      <w:r w:rsidR="00370649">
        <w:rPr>
          <w:b w:val="0"/>
          <w:szCs w:val="24"/>
        </w:rPr>
        <w:tab/>
      </w:r>
      <w:r w:rsidR="00370649">
        <w:rPr>
          <w:b w:val="0"/>
          <w:szCs w:val="24"/>
        </w:rPr>
        <w:tab/>
      </w:r>
      <w:r w:rsidR="00370649">
        <w:rPr>
          <w:b w:val="0"/>
          <w:szCs w:val="24"/>
        </w:rPr>
        <w:tab/>
      </w:r>
      <w:r w:rsidR="00370649">
        <w:rPr>
          <w:b w:val="0"/>
          <w:szCs w:val="24"/>
        </w:rPr>
        <w:tab/>
      </w:r>
      <w:r w:rsidR="00370649">
        <w:rPr>
          <w:b w:val="0"/>
          <w:szCs w:val="24"/>
        </w:rPr>
        <w:tab/>
      </w:r>
      <w:r w:rsidR="00370649">
        <w:rPr>
          <w:b w:val="0"/>
          <w:szCs w:val="24"/>
        </w:rPr>
        <w:tab/>
      </w:r>
      <w:r w:rsidR="00370649">
        <w:rPr>
          <w:b w:val="0"/>
          <w:szCs w:val="24"/>
        </w:rPr>
        <w:tab/>
      </w:r>
      <w:r w:rsidR="00370649">
        <w:rPr>
          <w:b w:val="0"/>
          <w:szCs w:val="24"/>
        </w:rPr>
        <w:tab/>
      </w:r>
      <w:r w:rsidR="00370649">
        <w:rPr>
          <w:b w:val="0"/>
          <w:szCs w:val="24"/>
        </w:rPr>
        <w:tab/>
        <w:t xml:space="preserve">  26</w:t>
      </w:r>
    </w:p>
    <w:p w14:paraId="64F647CB" w14:textId="5025D88F"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2.10: Young’s modulus versus glass transition temperature for various types of glasses and composition (Si, Silicate; Na, Sodium; B; Boron; Mg, Magnesium and Ca, Calcium.</w:t>
      </w:r>
      <w:r w:rsidRPr="008F6082">
        <w:rPr>
          <w:noProof/>
          <w:webHidden/>
        </w:rPr>
        <w:tab/>
      </w:r>
      <w:r w:rsidR="00370649">
        <w:rPr>
          <w:noProof/>
          <w:webHidden/>
        </w:rPr>
        <w:t>2</w:t>
      </w:r>
      <w:r w:rsidR="00F13F07">
        <w:rPr>
          <w:noProof/>
          <w:webHidden/>
        </w:rPr>
        <w:t>6</w:t>
      </w:r>
    </w:p>
    <w:p w14:paraId="572D341A" w14:textId="3D264DA0"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2.11: Young’s modulus versus brittleness of various types of glasses and composition (Si, silicate; Na, Sodium; B; Boron; M, Magnesium and Ca, Calcium).</w:t>
      </w:r>
      <w:r w:rsidRPr="008F6082">
        <w:rPr>
          <w:noProof/>
          <w:webHidden/>
        </w:rPr>
        <w:tab/>
      </w:r>
      <w:r w:rsidR="00F45197" w:rsidRPr="008F6082">
        <w:rPr>
          <w:noProof/>
          <w:webHidden/>
        </w:rPr>
        <w:t>2</w:t>
      </w:r>
      <w:r w:rsidR="00370649">
        <w:rPr>
          <w:noProof/>
          <w:webHidden/>
        </w:rPr>
        <w:t>8</w:t>
      </w:r>
    </w:p>
    <w:p w14:paraId="7C349EDC" w14:textId="12F89E53"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2.12: Brittleness versus density for various types of glasses and composition (Si, Silicate; Na, Sodium; B; Boron; M, Magnesium and Ca, Calcium).</w:t>
      </w:r>
      <w:r w:rsidRPr="008F6082">
        <w:rPr>
          <w:noProof/>
          <w:webHidden/>
        </w:rPr>
        <w:tab/>
      </w:r>
      <w:r w:rsidR="00F45197" w:rsidRPr="008F6082">
        <w:rPr>
          <w:noProof/>
          <w:webHidden/>
        </w:rPr>
        <w:t>2</w:t>
      </w:r>
      <w:r w:rsidR="00F13F07">
        <w:rPr>
          <w:noProof/>
          <w:webHidden/>
        </w:rPr>
        <w:t>8</w:t>
      </w:r>
    </w:p>
    <w:p w14:paraId="09BF60D3" w14:textId="53604A85"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2.13: Poisson’s ratio versus brittleness of various types of glasses and composition (Si, Silicate; Na, Sodium; B; Boron; M, Magnesium and Ca, Calcium).</w:t>
      </w:r>
      <w:r w:rsidRPr="008F6082">
        <w:rPr>
          <w:noProof/>
          <w:webHidden/>
        </w:rPr>
        <w:tab/>
      </w:r>
      <w:r w:rsidR="00F45197" w:rsidRPr="008F6082">
        <w:rPr>
          <w:noProof/>
          <w:webHidden/>
        </w:rPr>
        <w:t>2</w:t>
      </w:r>
      <w:r w:rsidR="00370649">
        <w:rPr>
          <w:noProof/>
          <w:webHidden/>
        </w:rPr>
        <w:t>9</w:t>
      </w:r>
    </w:p>
    <w:p w14:paraId="0DF23EB8" w14:textId="25617FB9"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2.14: Composition-structure-properties of boroaluminosilicate glass (Na</w:t>
      </w:r>
      <w:r w:rsidRPr="008F6082">
        <w:rPr>
          <w:rStyle w:val="Hyperlink"/>
          <w:noProof/>
          <w:color w:val="auto"/>
          <w:u w:val="none"/>
          <w:vertAlign w:val="subscript"/>
        </w:rPr>
        <w:t>2</w:t>
      </w:r>
      <w:r w:rsidRPr="008F6082">
        <w:rPr>
          <w:rStyle w:val="Hyperlink"/>
          <w:noProof/>
          <w:color w:val="auto"/>
          <w:u w:val="none"/>
        </w:rPr>
        <w:t>O-Al</w:t>
      </w:r>
      <w:r w:rsidRPr="008F6082">
        <w:rPr>
          <w:rStyle w:val="Hyperlink"/>
          <w:noProof/>
          <w:color w:val="auto"/>
          <w:u w:val="none"/>
          <w:vertAlign w:val="subscript"/>
        </w:rPr>
        <w:t>2</w:t>
      </w:r>
      <w:r w:rsidRPr="008F6082">
        <w:rPr>
          <w:rStyle w:val="Hyperlink"/>
          <w:noProof/>
          <w:color w:val="auto"/>
          <w:u w:val="none"/>
        </w:rPr>
        <w:t>O</w:t>
      </w:r>
      <w:r w:rsidRPr="008F6082">
        <w:rPr>
          <w:rStyle w:val="Hyperlink"/>
          <w:noProof/>
          <w:color w:val="auto"/>
          <w:u w:val="none"/>
          <w:vertAlign w:val="subscript"/>
        </w:rPr>
        <w:t>3</w:t>
      </w:r>
      <w:r w:rsidRPr="008F6082">
        <w:rPr>
          <w:rStyle w:val="Hyperlink"/>
          <w:noProof/>
          <w:color w:val="auto"/>
          <w:u w:val="none"/>
        </w:rPr>
        <w:t>-B</w:t>
      </w:r>
      <w:r w:rsidRPr="008F6082">
        <w:rPr>
          <w:rStyle w:val="Hyperlink"/>
          <w:noProof/>
          <w:color w:val="auto"/>
          <w:u w:val="none"/>
          <w:vertAlign w:val="subscript"/>
        </w:rPr>
        <w:t>2</w:t>
      </w:r>
      <w:r w:rsidRPr="008F6082">
        <w:rPr>
          <w:rStyle w:val="Hyperlink"/>
          <w:noProof/>
          <w:color w:val="auto"/>
          <w:u w:val="none"/>
        </w:rPr>
        <w:t>O</w:t>
      </w:r>
      <w:r w:rsidRPr="008F6082">
        <w:rPr>
          <w:rStyle w:val="Hyperlink"/>
          <w:noProof/>
          <w:color w:val="auto"/>
          <w:u w:val="none"/>
          <w:vertAlign w:val="subscript"/>
        </w:rPr>
        <w:t>3</w:t>
      </w:r>
      <w:r w:rsidRPr="008F6082">
        <w:rPr>
          <w:rStyle w:val="Hyperlink"/>
          <w:noProof/>
          <w:color w:val="auto"/>
          <w:u w:val="none"/>
        </w:rPr>
        <w:t>-SiO</w:t>
      </w:r>
      <w:r w:rsidRPr="008F6082">
        <w:rPr>
          <w:rStyle w:val="Hyperlink"/>
          <w:noProof/>
          <w:color w:val="auto"/>
          <w:u w:val="none"/>
          <w:vertAlign w:val="subscript"/>
        </w:rPr>
        <w:t>2</w:t>
      </w:r>
      <w:r w:rsidRPr="008F6082">
        <w:rPr>
          <w:rStyle w:val="Hyperlink"/>
          <w:noProof/>
          <w:color w:val="auto"/>
          <w:u w:val="none"/>
        </w:rPr>
        <w:t>)</w:t>
      </w:r>
      <w:r w:rsidRPr="008F6082">
        <w:rPr>
          <w:noProof/>
          <w:webHidden/>
        </w:rPr>
        <w:tab/>
      </w:r>
      <w:r w:rsidR="00370649">
        <w:rPr>
          <w:noProof/>
          <w:webHidden/>
        </w:rPr>
        <w:t>30</w:t>
      </w:r>
    </w:p>
    <w:p w14:paraId="215CD7F0" w14:textId="056373DC"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2.15: Compositional dependence of bulk modulus of sodium boroaluminosilicate glasses (76−x)SiO</w:t>
      </w:r>
      <w:r w:rsidRPr="008F6082">
        <w:rPr>
          <w:rStyle w:val="Hyperlink"/>
          <w:noProof/>
          <w:color w:val="auto"/>
          <w:u w:val="none"/>
          <w:vertAlign w:val="subscript"/>
        </w:rPr>
        <w:t>2</w:t>
      </w:r>
      <w:r w:rsidRPr="008F6082">
        <w:rPr>
          <w:rStyle w:val="Hyperlink"/>
          <w:noProof/>
          <w:color w:val="auto"/>
          <w:u w:val="none"/>
        </w:rPr>
        <w:t>.xAl</w:t>
      </w:r>
      <w:r w:rsidRPr="008F6082">
        <w:rPr>
          <w:rStyle w:val="Hyperlink"/>
          <w:noProof/>
          <w:color w:val="auto"/>
          <w:u w:val="none"/>
          <w:vertAlign w:val="subscript"/>
        </w:rPr>
        <w:t>2</w:t>
      </w:r>
      <w:r w:rsidRPr="008F6082">
        <w:rPr>
          <w:rStyle w:val="Hyperlink"/>
          <w:noProof/>
          <w:color w:val="auto"/>
          <w:u w:val="none"/>
        </w:rPr>
        <w:t>O</w:t>
      </w:r>
      <w:r w:rsidRPr="008F6082">
        <w:rPr>
          <w:rStyle w:val="Hyperlink"/>
          <w:noProof/>
          <w:color w:val="auto"/>
          <w:u w:val="none"/>
          <w:vertAlign w:val="subscript"/>
        </w:rPr>
        <w:t>3</w:t>
      </w:r>
      <w:r w:rsidRPr="008F6082">
        <w:rPr>
          <w:rStyle w:val="Hyperlink"/>
          <w:noProof/>
          <w:color w:val="auto"/>
          <w:u w:val="none"/>
        </w:rPr>
        <w:t>.6B</w:t>
      </w:r>
      <w:r w:rsidRPr="008F6082">
        <w:rPr>
          <w:rStyle w:val="Hyperlink"/>
          <w:noProof/>
          <w:color w:val="auto"/>
          <w:u w:val="none"/>
          <w:vertAlign w:val="subscript"/>
        </w:rPr>
        <w:t>2</w:t>
      </w:r>
      <w:r w:rsidRPr="008F6082">
        <w:rPr>
          <w:rStyle w:val="Hyperlink"/>
          <w:noProof/>
          <w:color w:val="auto"/>
          <w:u w:val="none"/>
        </w:rPr>
        <w:t>O</w:t>
      </w:r>
      <w:r w:rsidRPr="008F6082">
        <w:rPr>
          <w:rStyle w:val="Hyperlink"/>
          <w:noProof/>
          <w:color w:val="auto"/>
          <w:u w:val="none"/>
          <w:vertAlign w:val="subscript"/>
        </w:rPr>
        <w:t>3</w:t>
      </w:r>
      <w:r w:rsidRPr="008F6082">
        <w:rPr>
          <w:rStyle w:val="Hyperlink"/>
          <w:noProof/>
          <w:color w:val="auto"/>
          <w:u w:val="none"/>
        </w:rPr>
        <w:t>.12Na</w:t>
      </w:r>
      <w:r w:rsidRPr="008F6082">
        <w:rPr>
          <w:rStyle w:val="Hyperlink"/>
          <w:noProof/>
          <w:color w:val="auto"/>
          <w:u w:val="none"/>
          <w:vertAlign w:val="subscript"/>
        </w:rPr>
        <w:t>2</w:t>
      </w:r>
      <w:r w:rsidRPr="008F6082">
        <w:rPr>
          <w:rStyle w:val="Hyperlink"/>
          <w:noProof/>
          <w:color w:val="auto"/>
          <w:u w:val="none"/>
        </w:rPr>
        <w:t>O.6RO with x=0, 3, 6, 9, 12, 15, 18, 21, and 24 for R=Mg, Ca, Sr, and Ba.</w:t>
      </w:r>
      <w:r w:rsidRPr="008F6082">
        <w:rPr>
          <w:noProof/>
          <w:webHidden/>
        </w:rPr>
        <w:tab/>
      </w:r>
      <w:r w:rsidR="00370649">
        <w:rPr>
          <w:noProof/>
          <w:webHidden/>
        </w:rPr>
        <w:t>3</w:t>
      </w:r>
      <w:r w:rsidR="00F13F07">
        <w:rPr>
          <w:noProof/>
          <w:webHidden/>
        </w:rPr>
        <w:t>1</w:t>
      </w:r>
    </w:p>
    <w:p w14:paraId="01D4C36B" w14:textId="34203B1A"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 xml:space="preserve">Figure 3.1: </w:t>
      </w:r>
      <w:r w:rsidRPr="008F6082">
        <w:rPr>
          <w:rStyle w:val="Hyperlink"/>
          <w:rFonts w:eastAsiaTheme="majorEastAsia"/>
          <w:noProof/>
          <w:color w:val="auto"/>
          <w:u w:val="none"/>
        </w:rPr>
        <w:t>Heating profile (a) melting process and (b) annealing process.</w:t>
      </w:r>
      <w:r w:rsidRPr="008F6082">
        <w:rPr>
          <w:noProof/>
          <w:webHidden/>
        </w:rPr>
        <w:tab/>
      </w:r>
      <w:r w:rsidR="00370649">
        <w:rPr>
          <w:noProof/>
          <w:webHidden/>
        </w:rPr>
        <w:t>3</w:t>
      </w:r>
      <w:r w:rsidR="00F13F07">
        <w:rPr>
          <w:noProof/>
          <w:webHidden/>
        </w:rPr>
        <w:t>5</w:t>
      </w:r>
    </w:p>
    <w:p w14:paraId="5A59A04F" w14:textId="502E2AD1"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3.2: Casting glass into a preheated stainless steel mould</w:t>
      </w:r>
      <w:r w:rsidRPr="008F6082">
        <w:rPr>
          <w:noProof/>
          <w:webHidden/>
        </w:rPr>
        <w:tab/>
      </w:r>
      <w:r w:rsidR="00370649">
        <w:rPr>
          <w:noProof/>
          <w:webHidden/>
        </w:rPr>
        <w:t>3</w:t>
      </w:r>
      <w:r w:rsidR="00F13F07">
        <w:rPr>
          <w:noProof/>
          <w:webHidden/>
        </w:rPr>
        <w:t>6</w:t>
      </w:r>
    </w:p>
    <w:p w14:paraId="3B67D8A2" w14:textId="1BE18E9F"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3.3: Operation principle of Micromeritics AccuPyc 1340.</w:t>
      </w:r>
      <w:r w:rsidRPr="008F6082">
        <w:rPr>
          <w:noProof/>
          <w:webHidden/>
        </w:rPr>
        <w:tab/>
      </w:r>
      <w:r w:rsidR="00370649">
        <w:rPr>
          <w:noProof/>
          <w:webHidden/>
        </w:rPr>
        <w:t>3</w:t>
      </w:r>
      <w:r w:rsidR="00F13F07">
        <w:rPr>
          <w:noProof/>
          <w:webHidden/>
        </w:rPr>
        <w:t>7</w:t>
      </w:r>
    </w:p>
    <w:p w14:paraId="19EE98D8" w14:textId="74A5E29B"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lastRenderedPageBreak/>
        <w:t xml:space="preserve">Figure 3.4: DTA analysis of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5</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0</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70</w:t>
      </w:r>
      <w:r w:rsidRPr="008F6082">
        <w:rPr>
          <w:rStyle w:val="Hyperlink"/>
          <w:noProof/>
          <w:color w:val="auto"/>
          <w:u w:val="none"/>
        </w:rPr>
        <w:t xml:space="preserve"> glass. Original and differentiated DTA curves</w:t>
      </w:r>
      <w:r w:rsidRPr="008F6082">
        <w:rPr>
          <w:rStyle w:val="Hyperlink"/>
          <w:rFonts w:eastAsia="Times New Roman"/>
          <w:noProof/>
          <w:color w:val="auto"/>
          <w:u w:val="none"/>
        </w:rPr>
        <w:t xml:space="preserve"> in Sigma Plot software.</w:t>
      </w:r>
      <w:r w:rsidRPr="008F6082">
        <w:rPr>
          <w:noProof/>
          <w:webHidden/>
        </w:rPr>
        <w:tab/>
      </w:r>
      <w:r w:rsidR="00F45197" w:rsidRPr="008F6082">
        <w:rPr>
          <w:noProof/>
          <w:webHidden/>
        </w:rPr>
        <w:t>3</w:t>
      </w:r>
      <w:r w:rsidR="00F13F07">
        <w:rPr>
          <w:noProof/>
          <w:webHidden/>
        </w:rPr>
        <w:t>8</w:t>
      </w:r>
    </w:p>
    <w:p w14:paraId="716A4FB6" w14:textId="66E77B8C"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3.5: The transition of electron shell.</w:t>
      </w:r>
      <w:r w:rsidRPr="008F6082">
        <w:rPr>
          <w:noProof/>
          <w:webHidden/>
        </w:rPr>
        <w:tab/>
      </w:r>
      <w:r w:rsidR="00F13F07">
        <w:rPr>
          <w:noProof/>
          <w:webHidden/>
        </w:rPr>
        <w:t>39</w:t>
      </w:r>
    </w:p>
    <w:p w14:paraId="1680F0A1" w14:textId="04D86D83"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 xml:space="preserve">Figure 3.6: </w:t>
      </w:r>
      <w:r w:rsidRPr="008F6082">
        <w:rPr>
          <w:rStyle w:val="Hyperlink"/>
          <w:rFonts w:asciiTheme="majorBidi" w:hAnsiTheme="majorBidi" w:cstheme="majorBidi"/>
          <w:noProof/>
          <w:color w:val="auto"/>
          <w:u w:val="none"/>
        </w:rPr>
        <w:t>Schematic diagram for the principle of XRD.</w:t>
      </w:r>
      <w:r w:rsidRPr="008F6082">
        <w:rPr>
          <w:noProof/>
          <w:webHidden/>
        </w:rPr>
        <w:tab/>
      </w:r>
      <w:r w:rsidR="00370649">
        <w:rPr>
          <w:noProof/>
          <w:webHidden/>
        </w:rPr>
        <w:t>4</w:t>
      </w:r>
      <w:r w:rsidR="00F13F07">
        <w:rPr>
          <w:noProof/>
          <w:webHidden/>
        </w:rPr>
        <w:t>0</w:t>
      </w:r>
    </w:p>
    <w:p w14:paraId="6B9C1F89" w14:textId="2BDB7376" w:rsidR="00651073" w:rsidRPr="008F6082" w:rsidRDefault="00651073" w:rsidP="00651073">
      <w:pPr>
        <w:pStyle w:val="TableofFigures"/>
        <w:tabs>
          <w:tab w:val="right" w:leader="dot" w:pos="9016"/>
        </w:tabs>
        <w:spacing w:line="360" w:lineRule="auto"/>
        <w:rPr>
          <w:noProof/>
        </w:rPr>
      </w:pPr>
      <w:r w:rsidRPr="008F6082">
        <w:rPr>
          <w:rStyle w:val="Hyperlink"/>
          <w:noProof/>
          <w:color w:val="auto"/>
          <w:u w:val="none"/>
        </w:rPr>
        <w:t xml:space="preserve">Figure 3.7: </w:t>
      </w:r>
      <w:r w:rsidRPr="008F6082">
        <w:rPr>
          <w:rStyle w:val="Hyperlink"/>
          <w:rFonts w:asciiTheme="majorBidi" w:hAnsiTheme="majorBidi" w:cstheme="majorBidi"/>
          <w:noProof/>
          <w:color w:val="auto"/>
          <w:u w:val="none"/>
        </w:rPr>
        <w:t>Schematic of the basic FTIR configuration.</w:t>
      </w:r>
      <w:r w:rsidRPr="008F6082">
        <w:rPr>
          <w:noProof/>
          <w:webHidden/>
        </w:rPr>
        <w:tab/>
      </w:r>
      <w:r w:rsidR="00370649">
        <w:rPr>
          <w:noProof/>
          <w:webHidden/>
        </w:rPr>
        <w:t>4</w:t>
      </w:r>
      <w:r w:rsidR="00F13F07">
        <w:rPr>
          <w:noProof/>
          <w:webHidden/>
        </w:rPr>
        <w:t>1</w:t>
      </w:r>
    </w:p>
    <w:p w14:paraId="1C5F95DB" w14:textId="3BBAFA69" w:rsidR="0065130D" w:rsidRPr="008F6082" w:rsidRDefault="0065130D" w:rsidP="0065130D">
      <w:pPr>
        <w:spacing w:after="0" w:line="360" w:lineRule="auto"/>
        <w:rPr>
          <w:rFonts w:cs="Times New Roman"/>
          <w:b w:val="0"/>
          <w:noProof/>
          <w:szCs w:val="24"/>
          <w:lang w:eastAsia="en-MY"/>
        </w:rPr>
      </w:pPr>
      <w:r w:rsidRPr="008F6082">
        <w:rPr>
          <w:rFonts w:cs="Times New Roman"/>
          <w:b w:val="0"/>
          <w:noProof/>
          <w:szCs w:val="24"/>
          <w:lang w:eastAsia="en-MY"/>
        </w:rPr>
        <w:t xml:space="preserve">Figure 3.8: Frequency different of light scattering; Rayleigh scattering, same photon energy, Stokes Raman scattering where the incident photon has more energy than scattered electron and anti-Stokes Raman where the scattered photon has more energy than incident photon.   </w:t>
      </w:r>
      <w:r w:rsidR="00370649">
        <w:rPr>
          <w:rFonts w:cs="Times New Roman"/>
          <w:b w:val="0"/>
          <w:noProof/>
          <w:szCs w:val="24"/>
          <w:lang w:eastAsia="en-MY"/>
        </w:rPr>
        <w:t>4</w:t>
      </w:r>
      <w:r w:rsidR="00F13F07">
        <w:rPr>
          <w:rFonts w:cs="Times New Roman"/>
          <w:b w:val="0"/>
          <w:noProof/>
          <w:szCs w:val="24"/>
          <w:lang w:eastAsia="en-MY"/>
        </w:rPr>
        <w:t>3</w:t>
      </w:r>
    </w:p>
    <w:p w14:paraId="5F72BCCF" w14:textId="2A82EFAB"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 xml:space="preserve">Figure 3.9: </w:t>
      </w:r>
      <w:r w:rsidRPr="008F6082">
        <w:rPr>
          <w:rStyle w:val="Hyperlink"/>
          <w:rFonts w:asciiTheme="majorBidi" w:hAnsiTheme="majorBidi" w:cstheme="majorBidi"/>
          <w:noProof/>
          <w:color w:val="auto"/>
          <w:u w:val="none"/>
        </w:rPr>
        <w:t xml:space="preserve">Raman spectra for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7.6</w:t>
      </w:r>
      <w:r w:rsidRPr="008F6082">
        <w:rPr>
          <w:rStyle w:val="Hyperlink"/>
          <w:rFonts w:eastAsia="Times New Roman"/>
          <w:noProof/>
          <w:color w:val="auto"/>
          <w:u w:val="none"/>
          <w:lang w:eastAsia="en-MY"/>
        </w:rPr>
        <w:t>M</w:t>
      </w:r>
      <w:r w:rsidRPr="008F6082">
        <w:rPr>
          <w:rStyle w:val="Hyperlink"/>
          <w:rFonts w:eastAsia="Times New Roman"/>
          <w:noProof/>
          <w:color w:val="auto"/>
          <w:u w:val="none"/>
          <w:vertAlign w:val="subscript"/>
          <w:lang w:eastAsia="en-MY"/>
        </w:rPr>
        <w:t>1.1</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3</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1</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7.6</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79.7</w:t>
      </w:r>
      <w:r w:rsidRPr="008F6082">
        <w:rPr>
          <w:rStyle w:val="Hyperlink"/>
          <w:rFonts w:asciiTheme="majorBidi" w:hAnsiTheme="majorBidi" w:cstheme="majorBidi"/>
          <w:noProof/>
          <w:color w:val="auto"/>
          <w:u w:val="none"/>
        </w:rPr>
        <w:t xml:space="preserve"> glass.</w:t>
      </w:r>
      <w:r w:rsidRPr="008F6082">
        <w:rPr>
          <w:noProof/>
          <w:webHidden/>
        </w:rPr>
        <w:tab/>
      </w:r>
      <w:r w:rsidR="00370649">
        <w:rPr>
          <w:noProof/>
          <w:webHidden/>
        </w:rPr>
        <w:t>4</w:t>
      </w:r>
      <w:r w:rsidR="00F13F07">
        <w:rPr>
          <w:noProof/>
          <w:webHidden/>
        </w:rPr>
        <w:t>5</w:t>
      </w:r>
    </w:p>
    <w:p w14:paraId="4FC23CB8" w14:textId="06013D7B"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 xml:space="preserve">Figure 3.10: </w:t>
      </w:r>
      <w:r w:rsidRPr="008F6082">
        <w:rPr>
          <w:rStyle w:val="Hyperlink"/>
          <w:rFonts w:asciiTheme="majorBidi" w:hAnsiTheme="majorBidi"/>
          <w:noProof/>
          <w:color w:val="auto"/>
          <w:u w:val="none"/>
        </w:rPr>
        <w:t>Deconvolution of boroaluminosilicate glass using Gaussian peaks.</w:t>
      </w:r>
      <w:r w:rsidRPr="008F6082">
        <w:rPr>
          <w:noProof/>
          <w:webHidden/>
        </w:rPr>
        <w:tab/>
      </w:r>
      <w:r w:rsidR="00370649">
        <w:rPr>
          <w:noProof/>
          <w:webHidden/>
        </w:rPr>
        <w:t>4</w:t>
      </w:r>
      <w:r w:rsidR="00F13F07">
        <w:rPr>
          <w:noProof/>
          <w:webHidden/>
        </w:rPr>
        <w:t>7</w:t>
      </w:r>
    </w:p>
    <w:p w14:paraId="69A051C8" w14:textId="37C3BD54"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3.11: a) Example baseline subtraction of Raman spectrum of A</w:t>
      </w:r>
      <w:r w:rsidRPr="008F6082">
        <w:rPr>
          <w:rStyle w:val="Hyperlink"/>
          <w:noProof/>
          <w:color w:val="auto"/>
          <w:u w:val="none"/>
          <w:vertAlign w:val="subscript"/>
        </w:rPr>
        <w:t>2.5</w:t>
      </w:r>
      <w:r w:rsidRPr="008F6082">
        <w:rPr>
          <w:rStyle w:val="Hyperlink"/>
          <w:noProof/>
          <w:color w:val="auto"/>
          <w:u w:val="none"/>
        </w:rPr>
        <w:t xml:space="preserve"> glass in WiRE 3.4 software b) Peaks after background subtraction and region for polymerisation index.</w:t>
      </w:r>
      <w:r w:rsidRPr="008F6082">
        <w:rPr>
          <w:noProof/>
          <w:webHidden/>
        </w:rPr>
        <w:tab/>
      </w:r>
      <w:r w:rsidR="00370649">
        <w:rPr>
          <w:noProof/>
          <w:webHidden/>
        </w:rPr>
        <w:t>4</w:t>
      </w:r>
      <w:r w:rsidR="00F13F07">
        <w:rPr>
          <w:noProof/>
          <w:webHidden/>
        </w:rPr>
        <w:t>8</w:t>
      </w:r>
    </w:p>
    <w:p w14:paraId="466E57EC" w14:textId="79CA2880"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 xml:space="preserve">Figure 3.12: Deconvolution of </w:t>
      </w:r>
      <w:r w:rsidRPr="008F6082">
        <w:rPr>
          <w:rStyle w:val="Hyperlink"/>
          <w:noProof/>
          <w:color w:val="auto"/>
          <w:u w:val="none"/>
          <w:vertAlign w:val="superscript"/>
        </w:rPr>
        <w:t>29</w:t>
      </w:r>
      <w:r w:rsidRPr="008F6082">
        <w:rPr>
          <w:rStyle w:val="Hyperlink"/>
          <w:noProof/>
          <w:color w:val="auto"/>
          <w:u w:val="none"/>
        </w:rPr>
        <w:t>Si NMR</w:t>
      </w:r>
      <w:r w:rsidRPr="008F6082">
        <w:rPr>
          <w:noProof/>
          <w:webHidden/>
        </w:rPr>
        <w:tab/>
      </w:r>
      <w:r w:rsidR="00F13F07">
        <w:rPr>
          <w:noProof/>
          <w:webHidden/>
        </w:rPr>
        <w:t>49</w:t>
      </w:r>
    </w:p>
    <w:p w14:paraId="122FD2A7" w14:textId="702AF462"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3.13: Schematic for acoustic measurement.</w:t>
      </w:r>
      <w:r w:rsidRPr="008F6082">
        <w:rPr>
          <w:noProof/>
          <w:webHidden/>
        </w:rPr>
        <w:tab/>
      </w:r>
      <w:r w:rsidR="00370649">
        <w:rPr>
          <w:noProof/>
          <w:webHidden/>
        </w:rPr>
        <w:t>5</w:t>
      </w:r>
      <w:r w:rsidR="00F13F07">
        <w:rPr>
          <w:noProof/>
          <w:webHidden/>
        </w:rPr>
        <w:t>0</w:t>
      </w:r>
    </w:p>
    <w:p w14:paraId="4FB102F2" w14:textId="63EC7956"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3.14: The diagonal length measurement from Vickers indentation of a glass sample</w:t>
      </w:r>
      <w:r w:rsidRPr="008F6082">
        <w:rPr>
          <w:noProof/>
          <w:webHidden/>
        </w:rPr>
        <w:tab/>
      </w:r>
      <w:r w:rsidR="00370649">
        <w:rPr>
          <w:noProof/>
          <w:webHidden/>
        </w:rPr>
        <w:t>5</w:t>
      </w:r>
      <w:r w:rsidR="00F13F07">
        <w:rPr>
          <w:noProof/>
          <w:webHidden/>
        </w:rPr>
        <w:t>2</w:t>
      </w:r>
    </w:p>
    <w:p w14:paraId="54CAD32E" w14:textId="1AC48FC6"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3.15: Schematic of indentation for toughness measurement</w:t>
      </w:r>
      <w:r w:rsidRPr="008F6082">
        <w:rPr>
          <w:noProof/>
          <w:webHidden/>
        </w:rPr>
        <w:tab/>
      </w:r>
      <w:r w:rsidR="00370649">
        <w:rPr>
          <w:noProof/>
          <w:webHidden/>
        </w:rPr>
        <w:t>5</w:t>
      </w:r>
      <w:r w:rsidR="00F13F07">
        <w:rPr>
          <w:noProof/>
          <w:webHidden/>
        </w:rPr>
        <w:t>2</w:t>
      </w:r>
    </w:p>
    <w:p w14:paraId="041480AE" w14:textId="03268DB0"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4.1: Ternary diagram of all compositions examined. Due to the simplified ternary presentation used</w:t>
      </w:r>
      <w:r w:rsidR="009F3339">
        <w:rPr>
          <w:rStyle w:val="Hyperlink"/>
          <w:noProof/>
          <w:color w:val="auto"/>
          <w:u w:val="none"/>
        </w:rPr>
        <w:t>,</w:t>
      </w:r>
      <w:r w:rsidRPr="008F6082">
        <w:rPr>
          <w:rStyle w:val="Hyperlink"/>
          <w:noProof/>
          <w:color w:val="auto"/>
          <w:u w:val="none"/>
        </w:rPr>
        <w:t xml:space="preserve"> some data points lie on top of one another despite representing different glasses.</w:t>
      </w:r>
      <w:r w:rsidRPr="008F6082">
        <w:rPr>
          <w:noProof/>
          <w:webHidden/>
        </w:rPr>
        <w:tab/>
      </w:r>
      <w:r w:rsidR="00370649">
        <w:rPr>
          <w:noProof/>
          <w:webHidden/>
        </w:rPr>
        <w:t>5</w:t>
      </w:r>
      <w:r w:rsidR="00F13F07">
        <w:rPr>
          <w:noProof/>
          <w:webHidden/>
        </w:rPr>
        <w:t>4</w:t>
      </w:r>
    </w:p>
    <w:p w14:paraId="21993515" w14:textId="05286B0E"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 xml:space="preserve">Figure 4.2: Density, molar volume and glass transition of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7.6</w:t>
      </w:r>
      <w:r w:rsidRPr="008F6082">
        <w:rPr>
          <w:rStyle w:val="Hyperlink"/>
          <w:rFonts w:eastAsia="Times New Roman"/>
          <w:noProof/>
          <w:color w:val="auto"/>
          <w:u w:val="none"/>
          <w:lang w:eastAsia="en-MY"/>
        </w:rPr>
        <w:t>M</w:t>
      </w:r>
      <w:r w:rsidRPr="008F6082">
        <w:rPr>
          <w:rStyle w:val="Hyperlink"/>
          <w:rFonts w:eastAsia="Times New Roman"/>
          <w:noProof/>
          <w:color w:val="auto"/>
          <w:u w:val="none"/>
          <w:vertAlign w:val="subscript"/>
          <w:lang w:eastAsia="en-MY"/>
        </w:rPr>
        <w:t>1.1</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3</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7.6</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80.7-x</w:t>
      </w:r>
      <w:r w:rsidRPr="008F6082">
        <w:rPr>
          <w:rStyle w:val="Hyperlink"/>
          <w:noProof/>
          <w:color w:val="auto"/>
          <w:u w:val="none"/>
        </w:rPr>
        <w:t xml:space="preserve"> glass series as a function of network charge balance</w:t>
      </w:r>
      <w:r w:rsidRPr="008F6082">
        <w:rPr>
          <w:noProof/>
          <w:webHidden/>
        </w:rPr>
        <w:tab/>
      </w:r>
      <w:r w:rsidR="00370649">
        <w:rPr>
          <w:noProof/>
          <w:webHidden/>
        </w:rPr>
        <w:t>6</w:t>
      </w:r>
      <w:r w:rsidR="00F13F07">
        <w:rPr>
          <w:noProof/>
          <w:webHidden/>
        </w:rPr>
        <w:t>2</w:t>
      </w:r>
    </w:p>
    <w:p w14:paraId="0D961E01" w14:textId="587D3C64"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 xml:space="preserve">Figure 4.3: Density, molar volume and glass transition of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15-x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15-x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and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60 </w:t>
      </w:r>
      <w:r w:rsidRPr="008F6082">
        <w:rPr>
          <w:rStyle w:val="Hyperlink"/>
          <w:rFonts w:eastAsia="Times New Roman"/>
          <w:noProof/>
          <w:color w:val="auto"/>
          <w:u w:val="none"/>
          <w:lang w:eastAsia="en-MY"/>
        </w:rPr>
        <w:t>glass series.</w:t>
      </w:r>
      <w:r w:rsidRPr="008F6082">
        <w:rPr>
          <w:noProof/>
          <w:webHidden/>
        </w:rPr>
        <w:tab/>
      </w:r>
      <w:r w:rsidR="00370649">
        <w:rPr>
          <w:noProof/>
          <w:webHidden/>
        </w:rPr>
        <w:t>6</w:t>
      </w:r>
      <w:r w:rsidR="00F13F07">
        <w:rPr>
          <w:noProof/>
          <w:webHidden/>
        </w:rPr>
        <w:t>3</w:t>
      </w:r>
    </w:p>
    <w:p w14:paraId="5309C8C1" w14:textId="4C124095"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 xml:space="preserve">Figure 4.4: Density, molar volume and glass transition temperature of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78-x</w:t>
      </w:r>
      <w:r w:rsidRPr="008F6082">
        <w:rPr>
          <w:rStyle w:val="Hyperlink"/>
          <w:noProof/>
          <w:color w:val="auto"/>
          <w:u w:val="none"/>
        </w:rPr>
        <w:t xml:space="preserve"> and</w:t>
      </w:r>
      <w:r w:rsidRPr="008F6082">
        <w:rPr>
          <w:rStyle w:val="Hyperlink"/>
          <w:rFonts w:eastAsia="Times New Roman"/>
          <w:noProof/>
          <w:color w:val="auto"/>
          <w:u w:val="none"/>
          <w:lang w:eastAsia="en-MY"/>
        </w:rPr>
        <w:t xml:space="preserve"> 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73-x</w:t>
      </w:r>
      <w:r w:rsidRPr="008F6082">
        <w:rPr>
          <w:rStyle w:val="Hyperlink"/>
          <w:noProof/>
          <w:color w:val="auto"/>
          <w:u w:val="none"/>
        </w:rPr>
        <w:t xml:space="preserve">, </w:t>
      </w:r>
      <w:r w:rsidRPr="008F6082">
        <w:rPr>
          <w:rStyle w:val="Hyperlink"/>
          <w:rFonts w:eastAsia="Times New Roman"/>
          <w:noProof/>
          <w:color w:val="auto"/>
          <w:u w:val="none"/>
          <w:lang w:eastAsia="en-MY"/>
        </w:rPr>
        <w:t>glass series.</w:t>
      </w:r>
      <w:r w:rsidRPr="008F6082">
        <w:rPr>
          <w:noProof/>
          <w:webHidden/>
        </w:rPr>
        <w:tab/>
      </w:r>
      <w:r w:rsidR="00B53D79">
        <w:rPr>
          <w:noProof/>
          <w:webHidden/>
        </w:rPr>
        <w:t>6</w:t>
      </w:r>
      <w:r w:rsidR="00F13F07">
        <w:rPr>
          <w:noProof/>
          <w:webHidden/>
        </w:rPr>
        <w:t>5</w:t>
      </w:r>
    </w:p>
    <w:p w14:paraId="39677D63" w14:textId="240A8B75"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4.5: a) Density and b) molar volume of glasses studied versus total charge balance.</w:t>
      </w:r>
      <w:r w:rsidRPr="008F6082">
        <w:rPr>
          <w:noProof/>
          <w:webHidden/>
        </w:rPr>
        <w:tab/>
      </w:r>
      <w:r w:rsidR="00B53D79">
        <w:rPr>
          <w:noProof/>
          <w:webHidden/>
        </w:rPr>
        <w:t>6</w:t>
      </w:r>
      <w:r w:rsidR="00F13F07">
        <w:rPr>
          <w:noProof/>
          <w:webHidden/>
        </w:rPr>
        <w:t>7</w:t>
      </w:r>
    </w:p>
    <w:p w14:paraId="524220AC" w14:textId="3D516FC9" w:rsidR="00651073" w:rsidRDefault="00651073" w:rsidP="00651073">
      <w:pPr>
        <w:pStyle w:val="TableofFigures"/>
        <w:tabs>
          <w:tab w:val="right" w:leader="dot" w:pos="9016"/>
        </w:tabs>
        <w:spacing w:line="360" w:lineRule="auto"/>
        <w:rPr>
          <w:noProof/>
          <w:webHidden/>
        </w:rPr>
      </w:pPr>
      <w:r w:rsidRPr="008F6082">
        <w:rPr>
          <w:rStyle w:val="Hyperlink"/>
          <w:noProof/>
          <w:color w:val="auto"/>
          <w:u w:val="none"/>
        </w:rPr>
        <w:t>Figure 4.6: Glass transition temperature of glasses studied versus total charge balance.</w:t>
      </w:r>
      <w:r w:rsidRPr="008F6082">
        <w:rPr>
          <w:noProof/>
          <w:webHidden/>
        </w:rPr>
        <w:tab/>
      </w:r>
      <w:r w:rsidR="00715426">
        <w:rPr>
          <w:noProof/>
          <w:webHidden/>
        </w:rPr>
        <w:t>6</w:t>
      </w:r>
      <w:r w:rsidR="00F13F07">
        <w:rPr>
          <w:noProof/>
          <w:webHidden/>
        </w:rPr>
        <w:t>8</w:t>
      </w:r>
    </w:p>
    <w:p w14:paraId="086291C4" w14:textId="6E635544" w:rsidR="000E761A" w:rsidRPr="008F6082" w:rsidRDefault="000E761A" w:rsidP="000E761A">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w:t>
      </w:r>
      <w:r>
        <w:rPr>
          <w:rStyle w:val="Hyperlink"/>
          <w:noProof/>
          <w:color w:val="auto"/>
          <w:u w:val="none"/>
        </w:rPr>
        <w:t>7</w:t>
      </w:r>
      <w:r w:rsidRPr="008F6082">
        <w:rPr>
          <w:rStyle w:val="Hyperlink"/>
          <w:noProof/>
          <w:color w:val="auto"/>
          <w:u w:val="none"/>
        </w:rPr>
        <w:t xml:space="preserve">: </w:t>
      </w:r>
      <w:r w:rsidRPr="000E2377">
        <w:t>Normalise</w:t>
      </w:r>
      <w:r>
        <w:t>d</w:t>
      </w:r>
      <w:r w:rsidRPr="000E2377">
        <w:t xml:space="preserve"> </w:t>
      </w:r>
      <w:r w:rsidRPr="000E2377">
        <w:rPr>
          <w:szCs w:val="24"/>
          <w:vertAlign w:val="superscript"/>
        </w:rPr>
        <w:t>29</w:t>
      </w:r>
      <w:r w:rsidRPr="000E2377">
        <w:rPr>
          <w:szCs w:val="24"/>
        </w:rPr>
        <w:t>Si NMR spectra.</w:t>
      </w:r>
      <w:r w:rsidRPr="008F6082">
        <w:rPr>
          <w:noProof/>
          <w:webHidden/>
        </w:rPr>
        <w:tab/>
      </w:r>
      <w:r w:rsidR="00F13F07">
        <w:rPr>
          <w:noProof/>
          <w:webHidden/>
        </w:rPr>
        <w:t>70</w:t>
      </w:r>
    </w:p>
    <w:p w14:paraId="487EB6E9" w14:textId="61FB0871" w:rsidR="000E761A" w:rsidRPr="008F6082" w:rsidRDefault="000E761A" w:rsidP="000E761A">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w:t>
      </w:r>
      <w:r>
        <w:rPr>
          <w:rStyle w:val="Hyperlink"/>
          <w:noProof/>
          <w:color w:val="auto"/>
          <w:u w:val="none"/>
        </w:rPr>
        <w:t>8</w:t>
      </w:r>
      <w:r w:rsidRPr="008F6082">
        <w:rPr>
          <w:rStyle w:val="Hyperlink"/>
          <w:noProof/>
          <w:color w:val="auto"/>
          <w:u w:val="none"/>
        </w:rPr>
        <w:t xml:space="preserve">: </w:t>
      </w:r>
      <w:r>
        <w:rPr>
          <w:rStyle w:val="Hyperlink"/>
          <w:noProof/>
          <w:color w:val="auto"/>
          <w:u w:val="none"/>
        </w:rPr>
        <w:t xml:space="preserve">a) </w:t>
      </w:r>
      <w:r w:rsidRPr="008F6082">
        <w:rPr>
          <w:rStyle w:val="Hyperlink"/>
          <w:noProof/>
          <w:color w:val="auto"/>
          <w:u w:val="none"/>
        </w:rPr>
        <w:t xml:space="preserve">Normalised </w:t>
      </w:r>
      <w:r w:rsidRPr="008F6082">
        <w:rPr>
          <w:rStyle w:val="Hyperlink"/>
          <w:noProof/>
          <w:color w:val="auto"/>
          <w:u w:val="none"/>
          <w:vertAlign w:val="superscript"/>
        </w:rPr>
        <w:t>27</w:t>
      </w:r>
      <w:r w:rsidRPr="008F6082">
        <w:rPr>
          <w:rStyle w:val="Hyperlink"/>
          <w:noProof/>
          <w:color w:val="auto"/>
          <w:u w:val="none"/>
        </w:rPr>
        <w:t xml:space="preserve">Al NMR spectra </w:t>
      </w:r>
      <w:r>
        <w:rPr>
          <w:szCs w:val="24"/>
        </w:rPr>
        <w:t xml:space="preserve">b) deconvolution of </w:t>
      </w:r>
      <w:r w:rsidR="00F13F07" w:rsidRPr="008F6082">
        <w:rPr>
          <w:rStyle w:val="Hyperlink"/>
          <w:noProof/>
          <w:color w:val="auto"/>
          <w:u w:val="none"/>
          <w:vertAlign w:val="superscript"/>
        </w:rPr>
        <w:t>27</w:t>
      </w:r>
      <w:r w:rsidR="00F13F07" w:rsidRPr="008F6082">
        <w:rPr>
          <w:rStyle w:val="Hyperlink"/>
          <w:noProof/>
          <w:color w:val="auto"/>
          <w:u w:val="none"/>
        </w:rPr>
        <w:t>Al</w:t>
      </w:r>
      <w:r>
        <w:rPr>
          <w:szCs w:val="24"/>
        </w:rPr>
        <w:t xml:space="preserve"> NMR </w:t>
      </w:r>
      <w:r w:rsidRPr="000E2377">
        <w:rPr>
          <w:szCs w:val="24"/>
        </w:rPr>
        <w:t>for selected glasses</w:t>
      </w:r>
      <w:r w:rsidRPr="008F6082">
        <w:rPr>
          <w:noProof/>
          <w:webHidden/>
        </w:rPr>
        <w:tab/>
      </w:r>
      <w:r w:rsidR="00F13F07">
        <w:rPr>
          <w:noProof/>
          <w:webHidden/>
        </w:rPr>
        <w:t>71</w:t>
      </w:r>
    </w:p>
    <w:p w14:paraId="403BF704" w14:textId="6CC5AC97" w:rsidR="000E761A" w:rsidRPr="008F6082" w:rsidRDefault="000E761A" w:rsidP="000E761A">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w:t>
      </w:r>
      <w:r>
        <w:rPr>
          <w:rStyle w:val="Hyperlink"/>
          <w:noProof/>
          <w:color w:val="auto"/>
          <w:u w:val="none"/>
        </w:rPr>
        <w:t>9</w:t>
      </w:r>
      <w:r w:rsidRPr="008F6082">
        <w:rPr>
          <w:rStyle w:val="Hyperlink"/>
          <w:noProof/>
          <w:color w:val="auto"/>
          <w:u w:val="none"/>
        </w:rPr>
        <w:t>:</w:t>
      </w:r>
      <w:r w:rsidR="003B2A1C">
        <w:rPr>
          <w:rStyle w:val="Hyperlink"/>
          <w:noProof/>
          <w:color w:val="auto"/>
          <w:u w:val="none"/>
        </w:rPr>
        <w:t xml:space="preserve"> </w:t>
      </w:r>
      <w:r>
        <w:rPr>
          <w:szCs w:val="24"/>
        </w:rPr>
        <w:t xml:space="preserve">a) </w:t>
      </w:r>
      <w:r w:rsidRPr="000E2377">
        <w:rPr>
          <w:szCs w:val="24"/>
        </w:rPr>
        <w:t>Normalise</w:t>
      </w:r>
      <w:r>
        <w:rPr>
          <w:szCs w:val="24"/>
        </w:rPr>
        <w:t>d</w:t>
      </w:r>
      <w:r w:rsidRPr="000E2377">
        <w:t xml:space="preserve"> </w:t>
      </w:r>
      <w:r w:rsidRPr="000E2377">
        <w:rPr>
          <w:szCs w:val="24"/>
          <w:vertAlign w:val="superscript"/>
        </w:rPr>
        <w:t>11</w:t>
      </w:r>
      <w:r w:rsidRPr="000E2377">
        <w:rPr>
          <w:szCs w:val="24"/>
        </w:rPr>
        <w:t xml:space="preserve">B NMR spectra </w:t>
      </w:r>
      <w:r>
        <w:rPr>
          <w:szCs w:val="24"/>
        </w:rPr>
        <w:t xml:space="preserve">and b) deconvolution of </w:t>
      </w:r>
      <w:r w:rsidR="00F13F07" w:rsidRPr="000E2377">
        <w:rPr>
          <w:szCs w:val="24"/>
          <w:vertAlign w:val="superscript"/>
        </w:rPr>
        <w:t>11</w:t>
      </w:r>
      <w:r w:rsidR="00F13F07" w:rsidRPr="000E2377">
        <w:rPr>
          <w:szCs w:val="24"/>
        </w:rPr>
        <w:t>B</w:t>
      </w:r>
      <w:r>
        <w:rPr>
          <w:szCs w:val="24"/>
        </w:rPr>
        <w:t xml:space="preserve"> NMR </w:t>
      </w:r>
      <w:r w:rsidRPr="000E2377">
        <w:rPr>
          <w:szCs w:val="24"/>
        </w:rPr>
        <w:t>for selected glasses</w:t>
      </w:r>
      <w:r w:rsidRPr="008F6082">
        <w:rPr>
          <w:noProof/>
          <w:webHidden/>
        </w:rPr>
        <w:tab/>
      </w:r>
      <w:r w:rsidR="00F13F07">
        <w:rPr>
          <w:noProof/>
          <w:webHidden/>
        </w:rPr>
        <w:t>73</w:t>
      </w:r>
    </w:p>
    <w:p w14:paraId="467E2BF0" w14:textId="77777777" w:rsidR="00B11F5F" w:rsidRPr="00B11F5F" w:rsidRDefault="00B11F5F" w:rsidP="00B11F5F"/>
    <w:p w14:paraId="4DEC3AEE" w14:textId="1F1045B4" w:rsidR="00651073" w:rsidRPr="008F6082" w:rsidRDefault="0054679B"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lastRenderedPageBreak/>
        <w:t>Figure 4.</w:t>
      </w:r>
      <w:r w:rsidR="000E761A">
        <w:rPr>
          <w:rStyle w:val="Hyperlink"/>
          <w:noProof/>
          <w:color w:val="auto"/>
          <w:u w:val="none"/>
        </w:rPr>
        <w:t>10</w:t>
      </w:r>
      <w:r w:rsidRPr="008F6082">
        <w:rPr>
          <w:rStyle w:val="Hyperlink"/>
          <w:noProof/>
          <w:color w:val="auto"/>
          <w:u w:val="none"/>
        </w:rPr>
        <w:t xml:space="preserve">: </w:t>
      </w:r>
      <w:r w:rsidR="00651073" w:rsidRPr="008F6082">
        <w:rPr>
          <w:rStyle w:val="Hyperlink"/>
          <w:noProof/>
          <w:color w:val="auto"/>
          <w:u w:val="none"/>
        </w:rPr>
        <w:t xml:space="preserve">Normalised Raman spectra of a) </w:t>
      </w:r>
      <w:r w:rsidR="00651073" w:rsidRPr="008F6082">
        <w:rPr>
          <w:rStyle w:val="Hyperlink"/>
          <w:rFonts w:eastAsia="Times New Roman"/>
          <w:noProof/>
          <w:color w:val="auto"/>
          <w:u w:val="none"/>
          <w:lang w:eastAsia="en-MY"/>
        </w:rPr>
        <w:t>N</w:t>
      </w:r>
      <w:r w:rsidR="00651073" w:rsidRPr="008F6082">
        <w:rPr>
          <w:rStyle w:val="Hyperlink"/>
          <w:rFonts w:eastAsia="Times New Roman"/>
          <w:noProof/>
          <w:color w:val="auto"/>
          <w:u w:val="none"/>
          <w:vertAlign w:val="subscript"/>
          <w:lang w:eastAsia="en-MY"/>
        </w:rPr>
        <w:t>7.6</w:t>
      </w:r>
      <w:r w:rsidR="00651073" w:rsidRPr="008F6082">
        <w:rPr>
          <w:rStyle w:val="Hyperlink"/>
          <w:rFonts w:eastAsia="Times New Roman"/>
          <w:noProof/>
          <w:color w:val="auto"/>
          <w:u w:val="none"/>
          <w:lang w:eastAsia="en-MY"/>
        </w:rPr>
        <w:t>M</w:t>
      </w:r>
      <w:r w:rsidR="00651073" w:rsidRPr="008F6082">
        <w:rPr>
          <w:rStyle w:val="Hyperlink"/>
          <w:rFonts w:eastAsia="Times New Roman"/>
          <w:noProof/>
          <w:color w:val="auto"/>
          <w:u w:val="none"/>
          <w:vertAlign w:val="subscript"/>
          <w:lang w:eastAsia="en-MY"/>
        </w:rPr>
        <w:t>1.1</w:t>
      </w:r>
      <w:r w:rsidR="00651073" w:rsidRPr="008F6082">
        <w:rPr>
          <w:rStyle w:val="Hyperlink"/>
          <w:rFonts w:eastAsia="Times New Roman"/>
          <w:noProof/>
          <w:color w:val="auto"/>
          <w:u w:val="none"/>
          <w:lang w:eastAsia="en-MY"/>
        </w:rPr>
        <w:t>C</w:t>
      </w:r>
      <w:r w:rsidR="00651073" w:rsidRPr="008F6082">
        <w:rPr>
          <w:rStyle w:val="Hyperlink"/>
          <w:rFonts w:eastAsia="Times New Roman"/>
          <w:noProof/>
          <w:color w:val="auto"/>
          <w:u w:val="none"/>
          <w:vertAlign w:val="subscript"/>
          <w:lang w:eastAsia="en-MY"/>
        </w:rPr>
        <w:t>3</w:t>
      </w:r>
      <w:r w:rsidR="00651073" w:rsidRPr="008F6082">
        <w:rPr>
          <w:rStyle w:val="Hyperlink"/>
          <w:rFonts w:eastAsia="Times New Roman"/>
          <w:noProof/>
          <w:color w:val="auto"/>
          <w:u w:val="none"/>
          <w:lang w:eastAsia="en-MY"/>
        </w:rPr>
        <w:t>A</w:t>
      </w:r>
      <w:r w:rsidR="00651073" w:rsidRPr="008F6082">
        <w:rPr>
          <w:rStyle w:val="Hyperlink"/>
          <w:rFonts w:eastAsia="Times New Roman"/>
          <w:noProof/>
          <w:color w:val="auto"/>
          <w:u w:val="none"/>
          <w:vertAlign w:val="subscript"/>
          <w:lang w:eastAsia="en-MY"/>
        </w:rPr>
        <w:t>x</w:t>
      </w:r>
      <w:r w:rsidR="00651073" w:rsidRPr="008F6082">
        <w:rPr>
          <w:rStyle w:val="Hyperlink"/>
          <w:rFonts w:eastAsia="Times New Roman"/>
          <w:noProof/>
          <w:color w:val="auto"/>
          <w:u w:val="none"/>
          <w:lang w:eastAsia="en-MY"/>
        </w:rPr>
        <w:t>B</w:t>
      </w:r>
      <w:r w:rsidR="00651073" w:rsidRPr="008F6082">
        <w:rPr>
          <w:rStyle w:val="Hyperlink"/>
          <w:rFonts w:eastAsia="Times New Roman"/>
          <w:noProof/>
          <w:color w:val="auto"/>
          <w:u w:val="none"/>
          <w:vertAlign w:val="subscript"/>
          <w:lang w:eastAsia="en-MY"/>
        </w:rPr>
        <w:t>7.6</w:t>
      </w:r>
      <w:r w:rsidR="00651073" w:rsidRPr="008F6082">
        <w:rPr>
          <w:rStyle w:val="Hyperlink"/>
          <w:rFonts w:eastAsia="Times New Roman"/>
          <w:noProof/>
          <w:color w:val="auto"/>
          <w:u w:val="none"/>
          <w:lang w:eastAsia="en-MY"/>
        </w:rPr>
        <w:t>S</w:t>
      </w:r>
      <w:r w:rsidR="00651073" w:rsidRPr="008F6082">
        <w:rPr>
          <w:rStyle w:val="Hyperlink"/>
          <w:rFonts w:eastAsia="Times New Roman"/>
          <w:noProof/>
          <w:color w:val="auto"/>
          <w:u w:val="none"/>
          <w:vertAlign w:val="subscript"/>
          <w:lang w:eastAsia="en-MY"/>
        </w:rPr>
        <w:t>80.7-x</w:t>
      </w:r>
      <w:r w:rsidR="00651073" w:rsidRPr="008F6082">
        <w:rPr>
          <w:rStyle w:val="Hyperlink"/>
          <w:rFonts w:eastAsia="Times New Roman"/>
          <w:noProof/>
          <w:color w:val="auto"/>
          <w:u w:val="none"/>
          <w:lang w:eastAsia="en-MY"/>
        </w:rPr>
        <w:t xml:space="preserve"> </w:t>
      </w:r>
      <w:r w:rsidR="00651073" w:rsidRPr="008F6082">
        <w:rPr>
          <w:rStyle w:val="Hyperlink"/>
          <w:noProof/>
          <w:color w:val="auto"/>
          <w:u w:val="none"/>
        </w:rPr>
        <w:t xml:space="preserve">and b) </w:t>
      </w:r>
      <w:r w:rsidR="00651073" w:rsidRPr="008F6082">
        <w:rPr>
          <w:rStyle w:val="Hyperlink"/>
          <w:rFonts w:eastAsia="Times New Roman"/>
          <w:noProof/>
          <w:color w:val="auto"/>
          <w:u w:val="none"/>
          <w:lang w:eastAsia="en-MY"/>
        </w:rPr>
        <w:t>N</w:t>
      </w:r>
      <w:r w:rsidR="00651073" w:rsidRPr="008F6082">
        <w:rPr>
          <w:rStyle w:val="Hyperlink"/>
          <w:rFonts w:eastAsia="Times New Roman"/>
          <w:noProof/>
          <w:color w:val="auto"/>
          <w:u w:val="none"/>
          <w:vertAlign w:val="subscript"/>
          <w:lang w:eastAsia="en-MY"/>
        </w:rPr>
        <w:t>15</w:t>
      </w:r>
      <w:r w:rsidR="00651073" w:rsidRPr="008F6082">
        <w:rPr>
          <w:rStyle w:val="Hyperlink"/>
          <w:rFonts w:eastAsia="Times New Roman"/>
          <w:noProof/>
          <w:color w:val="auto"/>
          <w:u w:val="none"/>
          <w:lang w:eastAsia="en-MY"/>
        </w:rPr>
        <w:t>C</w:t>
      </w:r>
      <w:r w:rsidR="00651073" w:rsidRPr="008F6082">
        <w:rPr>
          <w:rStyle w:val="Hyperlink"/>
          <w:rFonts w:eastAsia="Times New Roman"/>
          <w:noProof/>
          <w:color w:val="auto"/>
          <w:u w:val="none"/>
          <w:vertAlign w:val="subscript"/>
          <w:lang w:eastAsia="en-MY"/>
        </w:rPr>
        <w:t>5</w:t>
      </w:r>
      <w:r w:rsidR="00651073" w:rsidRPr="008F6082">
        <w:rPr>
          <w:rStyle w:val="Hyperlink"/>
          <w:rFonts w:eastAsia="Times New Roman"/>
          <w:noProof/>
          <w:color w:val="auto"/>
          <w:u w:val="none"/>
          <w:lang w:eastAsia="en-MY"/>
        </w:rPr>
        <w:t>A</w:t>
      </w:r>
      <w:r w:rsidR="00651073" w:rsidRPr="008F6082">
        <w:rPr>
          <w:rStyle w:val="Hyperlink"/>
          <w:rFonts w:eastAsia="Times New Roman"/>
          <w:noProof/>
          <w:color w:val="auto"/>
          <w:u w:val="none"/>
          <w:vertAlign w:val="subscript"/>
          <w:lang w:eastAsia="en-MY"/>
        </w:rPr>
        <w:t>x</w:t>
      </w:r>
      <w:r w:rsidR="00651073" w:rsidRPr="008F6082">
        <w:rPr>
          <w:rStyle w:val="Hyperlink"/>
          <w:rFonts w:eastAsia="Times New Roman"/>
          <w:noProof/>
          <w:color w:val="auto"/>
          <w:u w:val="none"/>
          <w:lang w:eastAsia="en-MY"/>
        </w:rPr>
        <w:t>B</w:t>
      </w:r>
      <w:r w:rsidR="00651073" w:rsidRPr="008F6082">
        <w:rPr>
          <w:rStyle w:val="Hyperlink"/>
          <w:rFonts w:eastAsia="Times New Roman"/>
          <w:noProof/>
          <w:color w:val="auto"/>
          <w:u w:val="none"/>
          <w:vertAlign w:val="subscript"/>
          <w:lang w:eastAsia="en-MY"/>
        </w:rPr>
        <w:t>10-x</w:t>
      </w:r>
      <w:r w:rsidR="00651073" w:rsidRPr="008F6082">
        <w:rPr>
          <w:rStyle w:val="Hyperlink"/>
          <w:rFonts w:eastAsia="Times New Roman"/>
          <w:noProof/>
          <w:color w:val="auto"/>
          <w:u w:val="none"/>
          <w:lang w:eastAsia="en-MY"/>
        </w:rPr>
        <w:t>S</w:t>
      </w:r>
      <w:r w:rsidR="00651073" w:rsidRPr="008F6082">
        <w:rPr>
          <w:rStyle w:val="Hyperlink"/>
          <w:rFonts w:eastAsia="Times New Roman"/>
          <w:noProof/>
          <w:color w:val="auto"/>
          <w:u w:val="none"/>
          <w:vertAlign w:val="subscript"/>
          <w:lang w:eastAsia="en-MY"/>
        </w:rPr>
        <w:t>70</w:t>
      </w:r>
      <w:r w:rsidR="00651073" w:rsidRPr="008F6082">
        <w:rPr>
          <w:rStyle w:val="Hyperlink"/>
          <w:noProof/>
          <w:color w:val="auto"/>
          <w:u w:val="none"/>
        </w:rPr>
        <w:t xml:space="preserve">, </w:t>
      </w:r>
      <w:r w:rsidR="00651073" w:rsidRPr="008F6082">
        <w:rPr>
          <w:rStyle w:val="Hyperlink"/>
          <w:rFonts w:eastAsia="Times New Roman"/>
          <w:noProof/>
          <w:color w:val="auto"/>
          <w:u w:val="none"/>
          <w:lang w:eastAsia="en-MY"/>
        </w:rPr>
        <w:t>N</w:t>
      </w:r>
      <w:r w:rsidR="00651073" w:rsidRPr="008F6082">
        <w:rPr>
          <w:rStyle w:val="Hyperlink"/>
          <w:rFonts w:eastAsia="Times New Roman"/>
          <w:noProof/>
          <w:color w:val="auto"/>
          <w:u w:val="none"/>
          <w:vertAlign w:val="subscript"/>
          <w:lang w:eastAsia="en-MY"/>
        </w:rPr>
        <w:t>15</w:t>
      </w:r>
      <w:r w:rsidR="00651073" w:rsidRPr="008F6082">
        <w:rPr>
          <w:rStyle w:val="Hyperlink"/>
          <w:rFonts w:eastAsia="Times New Roman"/>
          <w:noProof/>
          <w:color w:val="auto"/>
          <w:u w:val="none"/>
          <w:lang w:eastAsia="en-MY"/>
        </w:rPr>
        <w:t>C</w:t>
      </w:r>
      <w:r w:rsidR="00651073" w:rsidRPr="008F6082">
        <w:rPr>
          <w:rStyle w:val="Hyperlink"/>
          <w:rFonts w:eastAsia="Times New Roman"/>
          <w:noProof/>
          <w:color w:val="auto"/>
          <w:u w:val="none"/>
          <w:vertAlign w:val="subscript"/>
          <w:lang w:eastAsia="en-MY"/>
        </w:rPr>
        <w:t>5</w:t>
      </w:r>
      <w:r w:rsidR="00651073" w:rsidRPr="008F6082">
        <w:rPr>
          <w:rStyle w:val="Hyperlink"/>
          <w:rFonts w:eastAsia="Times New Roman"/>
          <w:noProof/>
          <w:color w:val="auto"/>
          <w:u w:val="none"/>
          <w:lang w:eastAsia="en-MY"/>
        </w:rPr>
        <w:t>A</w:t>
      </w:r>
      <w:r w:rsidR="00651073" w:rsidRPr="008F6082">
        <w:rPr>
          <w:rStyle w:val="Hyperlink"/>
          <w:rFonts w:eastAsia="Times New Roman"/>
          <w:noProof/>
          <w:color w:val="auto"/>
          <w:u w:val="none"/>
          <w:vertAlign w:val="subscript"/>
          <w:lang w:eastAsia="en-MY"/>
        </w:rPr>
        <w:t>x</w:t>
      </w:r>
      <w:r w:rsidR="00651073" w:rsidRPr="008F6082">
        <w:rPr>
          <w:rStyle w:val="Hyperlink"/>
          <w:rFonts w:eastAsia="Times New Roman"/>
          <w:noProof/>
          <w:color w:val="auto"/>
          <w:u w:val="none"/>
          <w:lang w:eastAsia="en-MY"/>
        </w:rPr>
        <w:t>B</w:t>
      </w:r>
      <w:r w:rsidR="00651073" w:rsidRPr="008F6082">
        <w:rPr>
          <w:rStyle w:val="Hyperlink"/>
          <w:rFonts w:eastAsia="Times New Roman"/>
          <w:noProof/>
          <w:color w:val="auto"/>
          <w:u w:val="none"/>
          <w:vertAlign w:val="subscript"/>
          <w:lang w:eastAsia="en-MY"/>
        </w:rPr>
        <w:t>20-x</w:t>
      </w:r>
      <w:r w:rsidR="00651073" w:rsidRPr="008F6082">
        <w:rPr>
          <w:rStyle w:val="Hyperlink"/>
          <w:rFonts w:eastAsia="Times New Roman"/>
          <w:noProof/>
          <w:color w:val="auto"/>
          <w:u w:val="none"/>
          <w:lang w:eastAsia="en-MY"/>
        </w:rPr>
        <w:t>S</w:t>
      </w:r>
      <w:r w:rsidR="00651073" w:rsidRPr="008F6082">
        <w:rPr>
          <w:rStyle w:val="Hyperlink"/>
          <w:rFonts w:eastAsia="Times New Roman"/>
          <w:noProof/>
          <w:color w:val="auto"/>
          <w:u w:val="none"/>
          <w:vertAlign w:val="subscript"/>
          <w:lang w:eastAsia="en-MY"/>
        </w:rPr>
        <w:t xml:space="preserve">60 </w:t>
      </w:r>
      <w:r w:rsidR="00651073" w:rsidRPr="008F6082">
        <w:rPr>
          <w:rStyle w:val="Hyperlink"/>
          <w:noProof/>
          <w:color w:val="auto"/>
          <w:u w:val="none"/>
        </w:rPr>
        <w:t xml:space="preserve"> glass series.</w:t>
      </w:r>
      <w:r w:rsidR="00651073" w:rsidRPr="008F6082">
        <w:rPr>
          <w:noProof/>
          <w:webHidden/>
        </w:rPr>
        <w:tab/>
      </w:r>
      <w:r w:rsidR="00F13F07">
        <w:rPr>
          <w:noProof/>
          <w:webHidden/>
        </w:rPr>
        <w:t>76</w:t>
      </w:r>
    </w:p>
    <w:p w14:paraId="7A9D8B22" w14:textId="423D8CA0"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w:t>
      </w:r>
      <w:r w:rsidR="000E761A">
        <w:rPr>
          <w:rStyle w:val="Hyperlink"/>
          <w:noProof/>
          <w:color w:val="auto"/>
          <w:u w:val="none"/>
        </w:rPr>
        <w:t>11</w:t>
      </w:r>
      <w:r w:rsidRPr="008F6082">
        <w:rPr>
          <w:rStyle w:val="Hyperlink"/>
          <w:noProof/>
          <w:color w:val="auto"/>
          <w:u w:val="none"/>
        </w:rPr>
        <w:t>: Normalised Raman spectra of the glass series in 850-1250 cm</w:t>
      </w:r>
      <w:r w:rsidRPr="008F6082">
        <w:rPr>
          <w:rStyle w:val="Hyperlink"/>
          <w:noProof/>
          <w:color w:val="auto"/>
          <w:u w:val="none"/>
          <w:vertAlign w:val="superscript"/>
        </w:rPr>
        <w:t>-1</w:t>
      </w:r>
      <w:r w:rsidRPr="008F6082">
        <w:rPr>
          <w:rStyle w:val="Hyperlink"/>
          <w:noProof/>
          <w:color w:val="auto"/>
          <w:u w:val="none"/>
        </w:rPr>
        <w:t xml:space="preserve"> region a)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7.6</w:t>
      </w:r>
      <w:r w:rsidRPr="008F6082">
        <w:rPr>
          <w:rStyle w:val="Hyperlink"/>
          <w:rFonts w:eastAsia="Times New Roman"/>
          <w:noProof/>
          <w:color w:val="auto"/>
          <w:u w:val="none"/>
          <w:lang w:eastAsia="en-MY"/>
        </w:rPr>
        <w:t>M</w:t>
      </w:r>
      <w:r w:rsidRPr="008F6082">
        <w:rPr>
          <w:rStyle w:val="Hyperlink"/>
          <w:rFonts w:eastAsia="Times New Roman"/>
          <w:noProof/>
          <w:color w:val="auto"/>
          <w:u w:val="none"/>
          <w:vertAlign w:val="subscript"/>
          <w:lang w:eastAsia="en-MY"/>
        </w:rPr>
        <w:t>1.1</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3</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7.6</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80.7-x</w:t>
      </w:r>
      <w:r w:rsidRPr="008F6082">
        <w:rPr>
          <w:rStyle w:val="Hyperlink"/>
          <w:rFonts w:eastAsia="Times New Roman"/>
          <w:noProof/>
          <w:color w:val="auto"/>
          <w:u w:val="none"/>
          <w:lang w:eastAsia="en-MY"/>
        </w:rPr>
        <w:t xml:space="preserve"> </w:t>
      </w:r>
      <w:r w:rsidRPr="008F6082">
        <w:rPr>
          <w:rStyle w:val="Hyperlink"/>
          <w:noProof/>
          <w:color w:val="auto"/>
          <w:u w:val="none"/>
        </w:rPr>
        <w:t xml:space="preserve"> b)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5</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10-x</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5</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60 </w:t>
      </w:r>
      <w:r w:rsidRPr="008F6082">
        <w:rPr>
          <w:rStyle w:val="Hyperlink"/>
          <w:noProof/>
          <w:color w:val="auto"/>
          <w:u w:val="none"/>
        </w:rPr>
        <w:t>glasses; peaks normalised to the peak area between 850-1250 cm</w:t>
      </w:r>
      <w:r w:rsidRPr="008F6082">
        <w:rPr>
          <w:rStyle w:val="Hyperlink"/>
          <w:noProof/>
          <w:color w:val="auto"/>
          <w:u w:val="none"/>
          <w:vertAlign w:val="superscript"/>
        </w:rPr>
        <w:t>-1</w:t>
      </w:r>
      <w:r w:rsidRPr="008F6082">
        <w:rPr>
          <w:rStyle w:val="Hyperlink"/>
          <w:noProof/>
          <w:color w:val="auto"/>
          <w:u w:val="none"/>
        </w:rPr>
        <w:t>.</w:t>
      </w:r>
      <w:r w:rsidRPr="008F6082">
        <w:rPr>
          <w:noProof/>
          <w:webHidden/>
        </w:rPr>
        <w:tab/>
      </w:r>
      <w:r w:rsidR="00F13F07">
        <w:rPr>
          <w:noProof/>
          <w:webHidden/>
        </w:rPr>
        <w:t>77</w:t>
      </w:r>
    </w:p>
    <w:p w14:paraId="08EF8CEB" w14:textId="54E1306B"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w:t>
      </w:r>
      <w:r w:rsidR="000E761A">
        <w:rPr>
          <w:rStyle w:val="Hyperlink"/>
          <w:noProof/>
          <w:color w:val="auto"/>
          <w:u w:val="none"/>
        </w:rPr>
        <w:t>12</w:t>
      </w:r>
      <w:r w:rsidRPr="008F6082">
        <w:rPr>
          <w:rStyle w:val="Hyperlink"/>
          <w:noProof/>
          <w:color w:val="auto"/>
          <w:u w:val="none"/>
        </w:rPr>
        <w:t>: Deconvolution of the 850–1300 cm</w:t>
      </w:r>
      <w:r w:rsidRPr="008F6082">
        <w:rPr>
          <w:rStyle w:val="Hyperlink"/>
          <w:noProof/>
          <w:color w:val="auto"/>
          <w:u w:val="none"/>
          <w:vertAlign w:val="superscript"/>
        </w:rPr>
        <w:t>-1</w:t>
      </w:r>
      <w:r w:rsidRPr="008F6082">
        <w:rPr>
          <w:rStyle w:val="Hyperlink"/>
          <w:noProof/>
          <w:color w:val="auto"/>
          <w:u w:val="none"/>
        </w:rPr>
        <w:t xml:space="preserve"> peak in the Raman spectra for the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7.6</w:t>
      </w:r>
      <w:r w:rsidRPr="008F6082">
        <w:rPr>
          <w:rStyle w:val="Hyperlink"/>
          <w:rFonts w:eastAsia="Times New Roman"/>
          <w:noProof/>
          <w:color w:val="auto"/>
          <w:u w:val="none"/>
          <w:lang w:eastAsia="en-MY"/>
        </w:rPr>
        <w:t>M</w:t>
      </w:r>
      <w:r w:rsidRPr="008F6082">
        <w:rPr>
          <w:rStyle w:val="Hyperlink"/>
          <w:rFonts w:eastAsia="Times New Roman"/>
          <w:noProof/>
          <w:color w:val="auto"/>
          <w:u w:val="none"/>
          <w:vertAlign w:val="subscript"/>
          <w:lang w:eastAsia="en-MY"/>
        </w:rPr>
        <w:t>1.1</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3</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7.6</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80.7-x</w:t>
      </w:r>
      <w:r w:rsidRPr="008F6082">
        <w:rPr>
          <w:rStyle w:val="Hyperlink"/>
          <w:rFonts w:eastAsia="Times New Roman"/>
          <w:noProof/>
          <w:color w:val="auto"/>
          <w:u w:val="none"/>
          <w:lang w:eastAsia="en-MY"/>
        </w:rPr>
        <w:t xml:space="preserve"> </w:t>
      </w:r>
      <w:r w:rsidRPr="008F6082">
        <w:rPr>
          <w:rStyle w:val="Hyperlink"/>
          <w:noProof/>
          <w:color w:val="auto"/>
          <w:u w:val="none"/>
        </w:rPr>
        <w:t xml:space="preserve"> glasses.</w:t>
      </w:r>
      <w:r w:rsidRPr="008F6082">
        <w:rPr>
          <w:noProof/>
          <w:webHidden/>
        </w:rPr>
        <w:tab/>
      </w:r>
      <w:r w:rsidR="00F13F07">
        <w:rPr>
          <w:noProof/>
          <w:webHidden/>
        </w:rPr>
        <w:t>78</w:t>
      </w:r>
    </w:p>
    <w:p w14:paraId="68FDC6B2" w14:textId="772B36DA"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4.1</w:t>
      </w:r>
      <w:r w:rsidR="000E761A">
        <w:rPr>
          <w:rStyle w:val="Hyperlink"/>
          <w:noProof/>
          <w:color w:val="auto"/>
          <w:u w:val="none"/>
        </w:rPr>
        <w:t>3</w:t>
      </w:r>
      <w:r w:rsidRPr="008F6082">
        <w:rPr>
          <w:rStyle w:val="Hyperlink"/>
          <w:noProof/>
          <w:color w:val="auto"/>
          <w:u w:val="none"/>
        </w:rPr>
        <w:t>: Deconvolution of the 850–1300 cm</w:t>
      </w:r>
      <w:r w:rsidRPr="008F6082">
        <w:rPr>
          <w:rStyle w:val="Hyperlink"/>
          <w:noProof/>
          <w:color w:val="auto"/>
          <w:u w:val="none"/>
          <w:vertAlign w:val="superscript"/>
        </w:rPr>
        <w:t>-1</w:t>
      </w:r>
      <w:r w:rsidRPr="008F6082">
        <w:rPr>
          <w:rStyle w:val="Hyperlink"/>
          <w:noProof/>
          <w:color w:val="auto"/>
          <w:u w:val="none"/>
        </w:rPr>
        <w:t xml:space="preserve"> peak in the Raman spectra for the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5</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10-x</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70 </w:t>
      </w:r>
      <w:r w:rsidRPr="008F6082">
        <w:rPr>
          <w:rStyle w:val="Hyperlink"/>
          <w:rFonts w:eastAsia="Times New Roman"/>
          <w:noProof/>
          <w:color w:val="auto"/>
          <w:u w:val="none"/>
          <w:lang w:eastAsia="en-MY"/>
        </w:rPr>
        <w:t>and</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5</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60 </w:t>
      </w:r>
      <w:r w:rsidRPr="008F6082">
        <w:rPr>
          <w:rStyle w:val="Hyperlink"/>
          <w:rFonts w:eastAsia="Times New Roman"/>
          <w:noProof/>
          <w:color w:val="auto"/>
          <w:u w:val="none"/>
          <w:lang w:eastAsia="en-MY"/>
        </w:rPr>
        <w:t>glasses</w:t>
      </w:r>
      <w:r w:rsidRPr="008F6082">
        <w:rPr>
          <w:rStyle w:val="Hyperlink"/>
          <w:noProof/>
          <w:color w:val="auto"/>
          <w:u w:val="none"/>
        </w:rPr>
        <w:t>.</w:t>
      </w:r>
      <w:r w:rsidRPr="008F6082">
        <w:rPr>
          <w:noProof/>
          <w:webHidden/>
        </w:rPr>
        <w:tab/>
      </w:r>
      <w:r w:rsidR="00F13F07">
        <w:rPr>
          <w:noProof/>
          <w:webHidden/>
        </w:rPr>
        <w:t>79</w:t>
      </w:r>
    </w:p>
    <w:p w14:paraId="6ABC84C3" w14:textId="7FFE0C8B"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4.1</w:t>
      </w:r>
      <w:r w:rsidR="000E761A">
        <w:rPr>
          <w:rStyle w:val="Hyperlink"/>
          <w:noProof/>
          <w:color w:val="auto"/>
          <w:u w:val="none"/>
        </w:rPr>
        <w:t>4</w:t>
      </w:r>
      <w:r w:rsidRPr="008F6082">
        <w:rPr>
          <w:rStyle w:val="Hyperlink"/>
          <w:noProof/>
          <w:color w:val="auto"/>
          <w:u w:val="none"/>
        </w:rPr>
        <w:t xml:space="preserve">: </w:t>
      </w:r>
      <w:r w:rsidRPr="008F6082">
        <w:rPr>
          <w:rStyle w:val="Hyperlink"/>
          <w:rFonts w:asciiTheme="majorBidi" w:hAnsiTheme="majorBidi" w:cstheme="majorBidi"/>
          <w:noProof/>
          <w:color w:val="auto"/>
          <w:u w:val="none"/>
        </w:rPr>
        <w:t xml:space="preserve">FTIR spectra for glass series </w:t>
      </w:r>
      <w:r w:rsidRPr="008F6082">
        <w:rPr>
          <w:rStyle w:val="Hyperlink"/>
          <w:noProof/>
          <w:color w:val="auto"/>
          <w:u w:val="none"/>
        </w:rPr>
        <w:t xml:space="preserve">a)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7.6</w:t>
      </w:r>
      <w:r w:rsidRPr="008F6082">
        <w:rPr>
          <w:rStyle w:val="Hyperlink"/>
          <w:rFonts w:eastAsia="Times New Roman"/>
          <w:noProof/>
          <w:color w:val="auto"/>
          <w:u w:val="none"/>
          <w:lang w:eastAsia="en-MY"/>
        </w:rPr>
        <w:t>M</w:t>
      </w:r>
      <w:r w:rsidRPr="008F6082">
        <w:rPr>
          <w:rStyle w:val="Hyperlink"/>
          <w:rFonts w:eastAsia="Times New Roman"/>
          <w:noProof/>
          <w:color w:val="auto"/>
          <w:u w:val="none"/>
          <w:vertAlign w:val="subscript"/>
          <w:lang w:eastAsia="en-MY"/>
        </w:rPr>
        <w:t>1.1</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3</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7.6</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80.7-x</w:t>
      </w:r>
      <w:r w:rsidRPr="008F6082">
        <w:rPr>
          <w:rStyle w:val="Hyperlink"/>
          <w:rFonts w:eastAsia="Times New Roman"/>
          <w:noProof/>
          <w:color w:val="auto"/>
          <w:u w:val="none"/>
          <w:lang w:eastAsia="en-MY"/>
        </w:rPr>
        <w:t xml:space="preserve"> </w:t>
      </w:r>
      <w:r w:rsidRPr="008F6082">
        <w:rPr>
          <w:rStyle w:val="Hyperlink"/>
          <w:noProof/>
          <w:color w:val="auto"/>
          <w:u w:val="none"/>
        </w:rPr>
        <w:t xml:space="preserve"> b)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5</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10-x</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70</w:t>
      </w:r>
      <w:r w:rsidRPr="008F6082">
        <w:rPr>
          <w:rStyle w:val="Hyperlink"/>
          <w:noProof/>
          <w:color w:val="auto"/>
          <w:u w:val="none"/>
        </w:rPr>
        <w:t xml:space="preserve"> and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5</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60 </w:t>
      </w:r>
      <w:r w:rsidRPr="008F6082">
        <w:rPr>
          <w:rStyle w:val="Hyperlink"/>
          <w:noProof/>
          <w:color w:val="auto"/>
          <w:u w:val="none"/>
        </w:rPr>
        <w:t>.</w:t>
      </w:r>
      <w:r w:rsidRPr="008F6082">
        <w:rPr>
          <w:noProof/>
          <w:webHidden/>
        </w:rPr>
        <w:tab/>
      </w:r>
      <w:r w:rsidR="00F13F07">
        <w:rPr>
          <w:noProof/>
          <w:webHidden/>
        </w:rPr>
        <w:t>81</w:t>
      </w:r>
    </w:p>
    <w:p w14:paraId="5D3E0E78" w14:textId="7F2E5E53"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4.1</w:t>
      </w:r>
      <w:r w:rsidR="000E761A">
        <w:rPr>
          <w:rStyle w:val="Hyperlink"/>
          <w:noProof/>
          <w:color w:val="auto"/>
          <w:u w:val="none"/>
        </w:rPr>
        <w:t>5</w:t>
      </w:r>
      <w:r w:rsidRPr="008F6082">
        <w:rPr>
          <w:rStyle w:val="Hyperlink"/>
          <w:noProof/>
          <w:color w:val="auto"/>
          <w:u w:val="none"/>
        </w:rPr>
        <w:t xml:space="preserve">: Normalised Raman spectra for series a)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15-x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15-x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60 </w:t>
      </w:r>
      <w:r w:rsidRPr="008F6082">
        <w:rPr>
          <w:rStyle w:val="Hyperlink"/>
          <w:rFonts w:eastAsia="Times New Roman"/>
          <w:noProof/>
          <w:color w:val="auto"/>
          <w:u w:val="none"/>
          <w:lang w:eastAsia="en-MY"/>
        </w:rPr>
        <w:t>and b) 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and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60 </w:t>
      </w:r>
      <w:r w:rsidRPr="008F6082">
        <w:rPr>
          <w:rStyle w:val="Hyperlink"/>
          <w:rFonts w:eastAsia="Times New Roman"/>
          <w:noProof/>
          <w:color w:val="auto"/>
          <w:u w:val="none"/>
          <w:lang w:eastAsia="en-MY"/>
        </w:rPr>
        <w:t>glasses.</w:t>
      </w:r>
      <w:r w:rsidRPr="008F6082">
        <w:rPr>
          <w:noProof/>
          <w:webHidden/>
        </w:rPr>
        <w:tab/>
      </w:r>
      <w:r w:rsidR="00F13F07">
        <w:rPr>
          <w:noProof/>
          <w:webHidden/>
        </w:rPr>
        <w:t>82</w:t>
      </w:r>
    </w:p>
    <w:p w14:paraId="30BE056F" w14:textId="6F593A52"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4.1</w:t>
      </w:r>
      <w:r w:rsidR="000E761A">
        <w:rPr>
          <w:rStyle w:val="Hyperlink"/>
          <w:noProof/>
          <w:color w:val="auto"/>
          <w:u w:val="none"/>
        </w:rPr>
        <w:t>6</w:t>
      </w:r>
      <w:r w:rsidRPr="008F6082">
        <w:rPr>
          <w:rStyle w:val="Hyperlink"/>
          <w:noProof/>
          <w:color w:val="auto"/>
          <w:u w:val="none"/>
        </w:rPr>
        <w:t>: Normalised Raman spectra in the 850-1250 cm</w:t>
      </w:r>
      <w:r w:rsidRPr="008F6082">
        <w:rPr>
          <w:rStyle w:val="Hyperlink"/>
          <w:noProof/>
          <w:color w:val="auto"/>
          <w:u w:val="none"/>
          <w:vertAlign w:val="superscript"/>
        </w:rPr>
        <w:t>-1</w:t>
      </w:r>
      <w:r w:rsidRPr="008F6082">
        <w:rPr>
          <w:rStyle w:val="Hyperlink"/>
          <w:noProof/>
          <w:color w:val="auto"/>
          <w:u w:val="none"/>
        </w:rPr>
        <w:t xml:space="preserve"> region a)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15-x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15-x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60 </w:t>
      </w:r>
      <w:r w:rsidRPr="008F6082">
        <w:rPr>
          <w:rStyle w:val="Hyperlink"/>
          <w:rFonts w:eastAsia="Times New Roman"/>
          <w:noProof/>
          <w:color w:val="auto"/>
          <w:u w:val="none"/>
          <w:lang w:eastAsia="en-MY"/>
        </w:rPr>
        <w:t>and b) 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60 </w:t>
      </w:r>
      <w:r w:rsidRPr="008F6082">
        <w:rPr>
          <w:rStyle w:val="Hyperlink"/>
          <w:noProof/>
          <w:color w:val="auto"/>
          <w:u w:val="none"/>
        </w:rPr>
        <w:t>glasses. Peaks normalised to the peak area between 850-1250 cm</w:t>
      </w:r>
      <w:r w:rsidRPr="008F6082">
        <w:rPr>
          <w:rStyle w:val="Hyperlink"/>
          <w:noProof/>
          <w:color w:val="auto"/>
          <w:u w:val="none"/>
          <w:vertAlign w:val="superscript"/>
        </w:rPr>
        <w:t>-1</w:t>
      </w:r>
      <w:r w:rsidRPr="008F6082">
        <w:rPr>
          <w:rStyle w:val="Hyperlink"/>
          <w:noProof/>
          <w:color w:val="auto"/>
          <w:u w:val="none"/>
        </w:rPr>
        <w:t>.</w:t>
      </w:r>
      <w:r w:rsidRPr="008F6082">
        <w:rPr>
          <w:noProof/>
          <w:webHidden/>
        </w:rPr>
        <w:tab/>
      </w:r>
      <w:r w:rsidR="00F13F07">
        <w:rPr>
          <w:noProof/>
          <w:webHidden/>
        </w:rPr>
        <w:t>83</w:t>
      </w:r>
    </w:p>
    <w:p w14:paraId="04E34620" w14:textId="47C28977"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4.1</w:t>
      </w:r>
      <w:r w:rsidR="000E761A">
        <w:rPr>
          <w:rStyle w:val="Hyperlink"/>
          <w:noProof/>
          <w:color w:val="auto"/>
          <w:u w:val="none"/>
        </w:rPr>
        <w:t>7</w:t>
      </w:r>
      <w:r w:rsidRPr="008F6082">
        <w:rPr>
          <w:rStyle w:val="Hyperlink"/>
          <w:noProof/>
          <w:color w:val="auto"/>
          <w:u w:val="none"/>
        </w:rPr>
        <w:t xml:space="preserve">: </w:t>
      </w:r>
      <w:r w:rsidRPr="008F6082">
        <w:rPr>
          <w:rStyle w:val="Hyperlink"/>
          <w:rFonts w:asciiTheme="majorBidi" w:hAnsiTheme="majorBidi" w:cstheme="majorBidi"/>
          <w:noProof/>
          <w:color w:val="auto"/>
          <w:u w:val="none"/>
        </w:rPr>
        <w:t xml:space="preserve">FTIR spectra for </w:t>
      </w:r>
      <w:r w:rsidRPr="008F6082">
        <w:rPr>
          <w:rStyle w:val="Hyperlink"/>
          <w:noProof/>
          <w:color w:val="auto"/>
          <w:u w:val="none"/>
        </w:rPr>
        <w:t xml:space="preserve">a)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15-x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15-x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60 </w:t>
      </w:r>
      <w:r w:rsidRPr="008F6082">
        <w:rPr>
          <w:rStyle w:val="Hyperlink"/>
          <w:rFonts w:eastAsia="Times New Roman"/>
          <w:noProof/>
          <w:color w:val="auto"/>
          <w:u w:val="none"/>
          <w:lang w:eastAsia="en-MY"/>
        </w:rPr>
        <w:t>and b) 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60 </w:t>
      </w:r>
      <w:r w:rsidRPr="008F6082">
        <w:rPr>
          <w:rStyle w:val="Hyperlink"/>
          <w:rFonts w:eastAsia="Times New Roman"/>
          <w:noProof/>
          <w:color w:val="auto"/>
          <w:u w:val="none"/>
          <w:lang w:eastAsia="en-MY"/>
        </w:rPr>
        <w:t>glasses.</w:t>
      </w:r>
      <w:r w:rsidRPr="008F6082">
        <w:rPr>
          <w:noProof/>
          <w:webHidden/>
        </w:rPr>
        <w:tab/>
      </w:r>
      <w:r w:rsidR="00F13F07">
        <w:rPr>
          <w:noProof/>
          <w:webHidden/>
        </w:rPr>
        <w:t>84</w:t>
      </w:r>
    </w:p>
    <w:p w14:paraId="1E05E217" w14:textId="3125C74F"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4.1</w:t>
      </w:r>
      <w:r w:rsidR="000E761A">
        <w:rPr>
          <w:rStyle w:val="Hyperlink"/>
          <w:noProof/>
          <w:color w:val="auto"/>
          <w:u w:val="none"/>
        </w:rPr>
        <w:t>8</w:t>
      </w:r>
      <w:r w:rsidRPr="008F6082">
        <w:rPr>
          <w:rStyle w:val="Hyperlink"/>
          <w:noProof/>
          <w:color w:val="auto"/>
          <w:u w:val="none"/>
        </w:rPr>
        <w:t xml:space="preserve">: Variation of the </w:t>
      </w:r>
      <w:r w:rsidRPr="008F6082">
        <w:rPr>
          <w:rStyle w:val="Hyperlink"/>
          <w:rFonts w:asciiTheme="majorBidi" w:hAnsiTheme="majorBidi" w:cstheme="majorBidi"/>
          <w:noProof/>
          <w:color w:val="auto"/>
          <w:u w:val="none"/>
        </w:rPr>
        <w:t>FTIR major peak position with alumina to modifier ratio</w:t>
      </w:r>
      <w:r w:rsidRPr="008F6082">
        <w:rPr>
          <w:rStyle w:val="Hyperlink"/>
          <w:rFonts w:eastAsia="Times New Roman"/>
          <w:noProof/>
          <w:color w:val="auto"/>
          <w:u w:val="none"/>
          <w:lang w:eastAsia="en-MY"/>
        </w:rPr>
        <w:t xml:space="preserve"> </w:t>
      </w:r>
      <w:r w:rsidRPr="008F6082">
        <w:rPr>
          <w:rStyle w:val="Hyperlink"/>
          <w:rFonts w:asciiTheme="majorBidi" w:hAnsiTheme="majorBidi" w:cstheme="majorBidi"/>
          <w:noProof/>
          <w:color w:val="auto"/>
          <w:u w:val="none"/>
        </w:rPr>
        <w:t xml:space="preserve">for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15-x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15-x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rFonts w:eastAsia="Times New Roman"/>
          <w:noProof/>
          <w:color w:val="auto"/>
          <w:u w:val="none"/>
          <w:lang w:eastAsia="en-MY"/>
        </w:rPr>
        <w:t>, 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and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60 </w:t>
      </w:r>
      <w:r w:rsidRPr="008F6082">
        <w:rPr>
          <w:rStyle w:val="Hyperlink"/>
          <w:rFonts w:eastAsia="Times New Roman"/>
          <w:noProof/>
          <w:color w:val="auto"/>
          <w:u w:val="none"/>
          <w:lang w:eastAsia="en-MY"/>
        </w:rPr>
        <w:t>glass series.</w:t>
      </w:r>
      <w:r w:rsidRPr="008F6082">
        <w:rPr>
          <w:noProof/>
          <w:webHidden/>
        </w:rPr>
        <w:tab/>
      </w:r>
      <w:r w:rsidR="00F13F07">
        <w:rPr>
          <w:noProof/>
          <w:webHidden/>
        </w:rPr>
        <w:t>85</w:t>
      </w:r>
    </w:p>
    <w:p w14:paraId="62BF4320" w14:textId="0C69C160"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4.1</w:t>
      </w:r>
      <w:r w:rsidR="000E761A">
        <w:rPr>
          <w:rStyle w:val="Hyperlink"/>
          <w:noProof/>
          <w:color w:val="auto"/>
          <w:u w:val="none"/>
        </w:rPr>
        <w:t>9</w:t>
      </w:r>
      <w:r w:rsidRPr="008F6082">
        <w:rPr>
          <w:rStyle w:val="Hyperlink"/>
          <w:noProof/>
          <w:color w:val="auto"/>
          <w:u w:val="none"/>
        </w:rPr>
        <w:t xml:space="preserve">: Normalised Raman spectra for a)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78-x</w:t>
      </w:r>
      <w:r w:rsidRPr="008F6082">
        <w:rPr>
          <w:rStyle w:val="Hyperlink"/>
          <w:noProof/>
          <w:color w:val="auto"/>
          <w:u w:val="none"/>
        </w:rPr>
        <w:t>,</w:t>
      </w:r>
      <w:r w:rsidRPr="008F6082">
        <w:rPr>
          <w:rStyle w:val="Hyperlink"/>
          <w:rFonts w:eastAsia="Times New Roman"/>
          <w:noProof/>
          <w:color w:val="auto"/>
          <w:u w:val="none"/>
          <w:lang w:eastAsia="en-MY"/>
        </w:rPr>
        <w:t xml:space="preserve"> 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73-x</w:t>
      </w:r>
      <w:r w:rsidRPr="008F6082">
        <w:rPr>
          <w:rStyle w:val="Hyperlink"/>
          <w:rFonts w:eastAsia="Times New Roman"/>
          <w:noProof/>
          <w:color w:val="auto"/>
          <w:u w:val="none"/>
          <w:lang w:eastAsia="en-MY"/>
        </w:rPr>
        <w:t xml:space="preserve"> and b) 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y</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78-x-y</w:t>
      </w:r>
      <w:r w:rsidRPr="008F6082">
        <w:rPr>
          <w:rStyle w:val="Hyperlink"/>
          <w:rFonts w:eastAsia="Times New Roman"/>
          <w:noProof/>
          <w:color w:val="auto"/>
          <w:u w:val="none"/>
          <w:lang w:eastAsia="en-MY"/>
        </w:rPr>
        <w:t xml:space="preserve"> glasses.</w:t>
      </w:r>
      <w:r w:rsidRPr="008F6082">
        <w:rPr>
          <w:noProof/>
          <w:webHidden/>
        </w:rPr>
        <w:tab/>
      </w:r>
      <w:r w:rsidR="00F13F07">
        <w:rPr>
          <w:noProof/>
          <w:webHidden/>
        </w:rPr>
        <w:t>86</w:t>
      </w:r>
    </w:p>
    <w:p w14:paraId="5E7F1A5C" w14:textId="4AAC7603"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w:t>
      </w:r>
      <w:r w:rsidR="000E761A">
        <w:rPr>
          <w:rStyle w:val="Hyperlink"/>
          <w:noProof/>
          <w:color w:val="auto"/>
          <w:u w:val="none"/>
        </w:rPr>
        <w:t>20</w:t>
      </w:r>
      <w:r w:rsidRPr="008F6082">
        <w:rPr>
          <w:rStyle w:val="Hyperlink"/>
          <w:noProof/>
          <w:color w:val="auto"/>
          <w:u w:val="none"/>
        </w:rPr>
        <w:t>: Normalised Raman spectra of the glass series in 850-1250 cm</w:t>
      </w:r>
      <w:r w:rsidRPr="008F6082">
        <w:rPr>
          <w:rStyle w:val="Hyperlink"/>
          <w:noProof/>
          <w:color w:val="auto"/>
          <w:u w:val="none"/>
          <w:vertAlign w:val="superscript"/>
        </w:rPr>
        <w:t>-1</w:t>
      </w:r>
      <w:r w:rsidRPr="008F6082">
        <w:rPr>
          <w:rStyle w:val="Hyperlink"/>
          <w:noProof/>
          <w:color w:val="auto"/>
          <w:u w:val="none"/>
        </w:rPr>
        <w:t xml:space="preserve"> region a)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78-x</w:t>
      </w:r>
      <w:r w:rsidRPr="008F6082">
        <w:rPr>
          <w:rStyle w:val="Hyperlink"/>
          <w:noProof/>
          <w:color w:val="auto"/>
          <w:u w:val="none"/>
        </w:rPr>
        <w:t>,</w:t>
      </w:r>
      <w:r w:rsidRPr="008F6082">
        <w:rPr>
          <w:rStyle w:val="Hyperlink"/>
          <w:rFonts w:eastAsia="Times New Roman"/>
          <w:noProof/>
          <w:color w:val="auto"/>
          <w:u w:val="none"/>
          <w:lang w:eastAsia="en-MY"/>
        </w:rPr>
        <w:t xml:space="preserve"> 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73-x</w:t>
      </w:r>
      <w:r w:rsidRPr="008F6082">
        <w:rPr>
          <w:rStyle w:val="Hyperlink"/>
          <w:rFonts w:eastAsia="Times New Roman"/>
          <w:noProof/>
          <w:color w:val="auto"/>
          <w:u w:val="none"/>
          <w:lang w:eastAsia="en-MY"/>
        </w:rPr>
        <w:t xml:space="preserve"> and b) 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y</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78-x-y</w:t>
      </w:r>
      <w:r w:rsidRPr="008F6082">
        <w:rPr>
          <w:rStyle w:val="Hyperlink"/>
          <w:rFonts w:eastAsia="Times New Roman"/>
          <w:noProof/>
          <w:color w:val="auto"/>
          <w:u w:val="none"/>
          <w:lang w:eastAsia="en-MY"/>
        </w:rPr>
        <w:t xml:space="preserve"> glasses.</w:t>
      </w:r>
      <w:r w:rsidRPr="008F6082">
        <w:rPr>
          <w:noProof/>
          <w:webHidden/>
        </w:rPr>
        <w:tab/>
      </w:r>
      <w:r w:rsidR="00F13F07">
        <w:rPr>
          <w:noProof/>
          <w:webHidden/>
        </w:rPr>
        <w:t>87</w:t>
      </w:r>
    </w:p>
    <w:p w14:paraId="4D231F4D" w14:textId="0366699A"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w:t>
      </w:r>
      <w:r w:rsidR="000E761A">
        <w:rPr>
          <w:rStyle w:val="Hyperlink"/>
          <w:noProof/>
          <w:color w:val="auto"/>
          <w:u w:val="none"/>
        </w:rPr>
        <w:t>21</w:t>
      </w:r>
      <w:r w:rsidRPr="008F6082">
        <w:rPr>
          <w:rStyle w:val="Hyperlink"/>
          <w:noProof/>
          <w:color w:val="auto"/>
          <w:u w:val="none"/>
        </w:rPr>
        <w:t xml:space="preserve">: </w:t>
      </w:r>
      <w:r w:rsidRPr="008F6082">
        <w:rPr>
          <w:rStyle w:val="Hyperlink"/>
          <w:rFonts w:asciiTheme="majorBidi" w:hAnsiTheme="majorBidi" w:cstheme="majorBidi"/>
          <w:noProof/>
          <w:color w:val="auto"/>
          <w:u w:val="none"/>
        </w:rPr>
        <w:t xml:space="preserve">FTIR spectra for </w:t>
      </w:r>
      <w:r w:rsidRPr="008F6082">
        <w:rPr>
          <w:rStyle w:val="Hyperlink"/>
          <w:noProof/>
          <w:color w:val="auto"/>
          <w:u w:val="none"/>
        </w:rPr>
        <w:t xml:space="preserve">a)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78-x</w:t>
      </w:r>
      <w:r w:rsidRPr="008F6082">
        <w:rPr>
          <w:rStyle w:val="Hyperlink"/>
          <w:noProof/>
          <w:color w:val="auto"/>
          <w:u w:val="none"/>
        </w:rPr>
        <w:t>,</w:t>
      </w:r>
      <w:r w:rsidRPr="008F6082">
        <w:rPr>
          <w:rStyle w:val="Hyperlink"/>
          <w:rFonts w:eastAsia="Times New Roman"/>
          <w:noProof/>
          <w:color w:val="auto"/>
          <w:u w:val="none"/>
          <w:lang w:eastAsia="en-MY"/>
        </w:rPr>
        <w:t xml:space="preserve"> 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73-x</w:t>
      </w:r>
      <w:r w:rsidRPr="008F6082">
        <w:rPr>
          <w:rStyle w:val="Hyperlink"/>
          <w:rFonts w:eastAsia="Times New Roman"/>
          <w:noProof/>
          <w:color w:val="auto"/>
          <w:u w:val="none"/>
          <w:lang w:eastAsia="en-MY"/>
        </w:rPr>
        <w:t xml:space="preserve"> and b) 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y</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78-x-y</w:t>
      </w:r>
      <w:r w:rsidRPr="008F6082">
        <w:rPr>
          <w:rStyle w:val="Hyperlink"/>
          <w:noProof/>
          <w:color w:val="auto"/>
          <w:u w:val="none"/>
        </w:rPr>
        <w:t xml:space="preserve"> </w:t>
      </w:r>
      <w:r w:rsidRPr="008F6082">
        <w:rPr>
          <w:rStyle w:val="Hyperlink"/>
          <w:rFonts w:eastAsia="Times New Roman"/>
          <w:noProof/>
          <w:color w:val="auto"/>
          <w:u w:val="none"/>
          <w:lang w:eastAsia="en-MY"/>
        </w:rPr>
        <w:t>glasses</w:t>
      </w:r>
      <w:r w:rsidRPr="008F6082">
        <w:rPr>
          <w:noProof/>
          <w:webHidden/>
        </w:rPr>
        <w:tab/>
      </w:r>
      <w:r w:rsidR="00DF2B5F">
        <w:rPr>
          <w:noProof/>
          <w:webHidden/>
        </w:rPr>
        <w:t>88</w:t>
      </w:r>
    </w:p>
    <w:p w14:paraId="5774ABAE" w14:textId="664E68FD"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w:t>
      </w:r>
      <w:r w:rsidR="000E761A">
        <w:rPr>
          <w:rStyle w:val="Hyperlink"/>
          <w:noProof/>
          <w:color w:val="auto"/>
          <w:u w:val="none"/>
        </w:rPr>
        <w:t>22</w:t>
      </w:r>
      <w:r w:rsidRPr="008F6082">
        <w:rPr>
          <w:rStyle w:val="Hyperlink"/>
          <w:noProof/>
          <w:color w:val="auto"/>
          <w:u w:val="none"/>
        </w:rPr>
        <w:t xml:space="preserve">: Variation of the </w:t>
      </w:r>
      <w:r w:rsidRPr="008F6082">
        <w:rPr>
          <w:rStyle w:val="Hyperlink"/>
          <w:rFonts w:asciiTheme="majorBidi" w:hAnsiTheme="majorBidi" w:cstheme="majorBidi"/>
          <w:noProof/>
          <w:color w:val="auto"/>
          <w:u w:val="none"/>
        </w:rPr>
        <w:t xml:space="preserve">FTIR major peak position with alumina to modifier ratio for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78-x</w:t>
      </w:r>
      <w:r w:rsidRPr="008F6082">
        <w:rPr>
          <w:rStyle w:val="Hyperlink"/>
          <w:noProof/>
          <w:color w:val="auto"/>
          <w:u w:val="none"/>
        </w:rPr>
        <w:t>,</w:t>
      </w:r>
      <w:r w:rsidRPr="008F6082">
        <w:rPr>
          <w:rStyle w:val="Hyperlink"/>
          <w:rFonts w:eastAsia="Times New Roman"/>
          <w:noProof/>
          <w:color w:val="auto"/>
          <w:u w:val="none"/>
          <w:lang w:eastAsia="en-MY"/>
        </w:rPr>
        <w:t xml:space="preserve"> 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73-x</w:t>
      </w:r>
      <w:r w:rsidRPr="008F6082">
        <w:rPr>
          <w:rStyle w:val="Hyperlink"/>
          <w:rFonts w:eastAsia="Times New Roman"/>
          <w:noProof/>
          <w:color w:val="auto"/>
          <w:u w:val="none"/>
          <w:lang w:eastAsia="en-MY"/>
        </w:rPr>
        <w:t xml:space="preserve"> and 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y</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78-x-y</w:t>
      </w:r>
      <w:r w:rsidRPr="008F6082">
        <w:rPr>
          <w:rStyle w:val="Hyperlink"/>
          <w:noProof/>
          <w:color w:val="auto"/>
          <w:u w:val="none"/>
        </w:rPr>
        <w:t xml:space="preserve"> </w:t>
      </w:r>
      <w:r w:rsidRPr="008F6082">
        <w:rPr>
          <w:rStyle w:val="Hyperlink"/>
          <w:rFonts w:eastAsia="Times New Roman"/>
          <w:noProof/>
          <w:color w:val="auto"/>
          <w:u w:val="none"/>
          <w:lang w:eastAsia="en-MY"/>
        </w:rPr>
        <w:t>glass series.</w:t>
      </w:r>
      <w:r w:rsidRPr="008F6082">
        <w:rPr>
          <w:noProof/>
          <w:webHidden/>
        </w:rPr>
        <w:tab/>
      </w:r>
      <w:r w:rsidR="00DF2B5F">
        <w:rPr>
          <w:noProof/>
          <w:webHidden/>
        </w:rPr>
        <w:t>88</w:t>
      </w:r>
    </w:p>
    <w:p w14:paraId="31EB22D4" w14:textId="567378EF"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4.2</w:t>
      </w:r>
      <w:r w:rsidR="000E761A">
        <w:rPr>
          <w:rStyle w:val="Hyperlink"/>
          <w:noProof/>
          <w:color w:val="auto"/>
          <w:u w:val="none"/>
        </w:rPr>
        <w:t>3</w:t>
      </w:r>
      <w:r w:rsidRPr="008F6082">
        <w:rPr>
          <w:rStyle w:val="Hyperlink"/>
          <w:noProof/>
          <w:color w:val="auto"/>
          <w:u w:val="none"/>
        </w:rPr>
        <w:t>: Peak position for the Raman a) low, b) medium, c) high frequency Si-O band and d) high frequency B-O band versus total charge balance.</w:t>
      </w:r>
      <w:r w:rsidRPr="008F6082">
        <w:rPr>
          <w:noProof/>
          <w:webHidden/>
        </w:rPr>
        <w:tab/>
      </w:r>
      <w:r w:rsidR="00DF2B5F">
        <w:rPr>
          <w:noProof/>
          <w:webHidden/>
        </w:rPr>
        <w:t>89</w:t>
      </w:r>
    </w:p>
    <w:p w14:paraId="24A3F915" w14:textId="2E107A69"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4.2</w:t>
      </w:r>
      <w:r w:rsidR="000E761A">
        <w:rPr>
          <w:rStyle w:val="Hyperlink"/>
          <w:noProof/>
          <w:color w:val="auto"/>
          <w:u w:val="none"/>
        </w:rPr>
        <w:t>4</w:t>
      </w:r>
      <w:r w:rsidRPr="008F6082">
        <w:rPr>
          <w:rStyle w:val="Hyperlink"/>
          <w:noProof/>
          <w:color w:val="auto"/>
          <w:u w:val="none"/>
        </w:rPr>
        <w:t xml:space="preserve">: </w:t>
      </w:r>
      <w:r w:rsidRPr="008F6082">
        <w:rPr>
          <w:rStyle w:val="Hyperlink"/>
          <w:rFonts w:eastAsia="Times New Roman"/>
          <w:noProof/>
          <w:color w:val="auto"/>
          <w:u w:val="none"/>
          <w:lang w:eastAsia="en-MY"/>
        </w:rPr>
        <w:t>Deconvolution results of 850-1200 cm</w:t>
      </w:r>
      <w:r w:rsidRPr="008F6082">
        <w:rPr>
          <w:rStyle w:val="Hyperlink"/>
          <w:rFonts w:eastAsia="Times New Roman"/>
          <w:noProof/>
          <w:color w:val="auto"/>
          <w:u w:val="none"/>
          <w:vertAlign w:val="superscript"/>
          <w:lang w:eastAsia="en-MY"/>
        </w:rPr>
        <w:t>-1</w:t>
      </w:r>
      <w:r w:rsidRPr="008F6082">
        <w:rPr>
          <w:rStyle w:val="Hyperlink"/>
          <w:rFonts w:eastAsia="Times New Roman"/>
          <w:noProof/>
          <w:color w:val="auto"/>
          <w:u w:val="none"/>
          <w:lang w:eastAsia="en-MY"/>
        </w:rPr>
        <w:t xml:space="preserve"> band region with total amount of charge balance in </w:t>
      </w:r>
      <w:r w:rsidR="009F3339">
        <w:rPr>
          <w:rStyle w:val="Hyperlink"/>
          <w:rFonts w:eastAsia="Times New Roman"/>
          <w:noProof/>
          <w:color w:val="auto"/>
          <w:u w:val="none"/>
          <w:lang w:eastAsia="en-MY"/>
        </w:rPr>
        <w:t xml:space="preserve">the </w:t>
      </w:r>
      <w:r w:rsidRPr="008F6082">
        <w:rPr>
          <w:rStyle w:val="Hyperlink"/>
          <w:rFonts w:eastAsia="Times New Roman"/>
          <w:noProof/>
          <w:color w:val="auto"/>
          <w:u w:val="none"/>
          <w:lang w:eastAsia="en-MY"/>
        </w:rPr>
        <w:t xml:space="preserve">composition of all series  </w:t>
      </w:r>
      <w:r w:rsidRPr="008F6082">
        <w:rPr>
          <w:rStyle w:val="Hyperlink"/>
          <w:noProof/>
          <w:color w:val="auto"/>
          <w:u w:val="none"/>
        </w:rPr>
        <w:t>a) Q</w:t>
      </w:r>
      <w:r w:rsidRPr="008F6082">
        <w:rPr>
          <w:rStyle w:val="Hyperlink"/>
          <w:noProof/>
          <w:color w:val="auto"/>
          <w:u w:val="none"/>
          <w:vertAlign w:val="superscript"/>
        </w:rPr>
        <w:t>2</w:t>
      </w:r>
      <w:r w:rsidRPr="008F6082">
        <w:rPr>
          <w:rStyle w:val="Hyperlink"/>
          <w:noProof/>
          <w:color w:val="auto"/>
          <w:u w:val="none"/>
          <w:vertAlign w:val="subscript"/>
        </w:rPr>
        <w:t xml:space="preserve"> </w:t>
      </w:r>
      <w:r w:rsidRPr="008F6082">
        <w:rPr>
          <w:rStyle w:val="Hyperlink"/>
          <w:noProof/>
          <w:color w:val="auto"/>
          <w:u w:val="none"/>
        </w:rPr>
        <w:t>b) Q</w:t>
      </w:r>
      <w:r w:rsidRPr="008F6082">
        <w:rPr>
          <w:rStyle w:val="Hyperlink"/>
          <w:noProof/>
          <w:color w:val="auto"/>
          <w:u w:val="none"/>
          <w:vertAlign w:val="superscript"/>
        </w:rPr>
        <w:t>3</w:t>
      </w:r>
      <w:r w:rsidRPr="008F6082">
        <w:rPr>
          <w:rStyle w:val="Hyperlink"/>
          <w:noProof/>
          <w:color w:val="auto"/>
          <w:u w:val="none"/>
        </w:rPr>
        <w:t xml:space="preserve"> and c) Q</w:t>
      </w:r>
      <w:r w:rsidRPr="008F6082">
        <w:rPr>
          <w:rStyle w:val="Hyperlink"/>
          <w:noProof/>
          <w:color w:val="auto"/>
          <w:u w:val="none"/>
          <w:vertAlign w:val="superscript"/>
        </w:rPr>
        <w:t>4</w:t>
      </w:r>
      <w:r w:rsidRPr="008F6082">
        <w:rPr>
          <w:rStyle w:val="Hyperlink"/>
          <w:noProof/>
          <w:color w:val="auto"/>
          <w:u w:val="none"/>
        </w:rPr>
        <w:t>.</w:t>
      </w:r>
      <w:r w:rsidRPr="008F6082">
        <w:rPr>
          <w:noProof/>
          <w:webHidden/>
        </w:rPr>
        <w:tab/>
      </w:r>
      <w:r w:rsidR="00DF2B5F">
        <w:rPr>
          <w:noProof/>
          <w:webHidden/>
        </w:rPr>
        <w:t>9</w:t>
      </w:r>
      <w:r w:rsidR="003969B2">
        <w:rPr>
          <w:noProof/>
          <w:webHidden/>
        </w:rPr>
        <w:t>2</w:t>
      </w:r>
    </w:p>
    <w:p w14:paraId="41975AD8" w14:textId="54D7EC6C"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4.2</w:t>
      </w:r>
      <w:r w:rsidR="000E761A">
        <w:rPr>
          <w:rStyle w:val="Hyperlink"/>
          <w:noProof/>
          <w:color w:val="auto"/>
          <w:u w:val="none"/>
        </w:rPr>
        <w:t>5</w:t>
      </w:r>
      <w:r w:rsidRPr="008F6082">
        <w:rPr>
          <w:rStyle w:val="Hyperlink"/>
          <w:noProof/>
          <w:color w:val="auto"/>
          <w:u w:val="none"/>
        </w:rPr>
        <w:t>: Raman polymerisation index versus total charge balance in all glass series.</w:t>
      </w:r>
      <w:r w:rsidRPr="008F6082">
        <w:rPr>
          <w:noProof/>
          <w:webHidden/>
        </w:rPr>
        <w:tab/>
      </w:r>
      <w:r w:rsidR="00DF2B5F">
        <w:rPr>
          <w:noProof/>
          <w:webHidden/>
        </w:rPr>
        <w:t>94</w:t>
      </w:r>
    </w:p>
    <w:p w14:paraId="4CF6F478" w14:textId="608DA65D"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lastRenderedPageBreak/>
        <w:t>Figure 4.26: Connectivity calculated from NMR data for glass studies and from soda lime silicate glass series; data from Kilinc and Hand, 2015.</w:t>
      </w:r>
      <w:r w:rsidRPr="008F6082">
        <w:rPr>
          <w:noProof/>
          <w:webHidden/>
        </w:rPr>
        <w:tab/>
      </w:r>
      <w:r w:rsidR="00995380">
        <w:rPr>
          <w:noProof/>
          <w:webHidden/>
        </w:rPr>
        <w:t>9</w:t>
      </w:r>
      <w:r w:rsidR="00DF2B5F">
        <w:rPr>
          <w:noProof/>
          <w:webHidden/>
        </w:rPr>
        <w:t>5</w:t>
      </w:r>
    </w:p>
    <w:p w14:paraId="390D8619" w14:textId="6DF81DF2"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 xml:space="preserve">Figure 4.27: Young’s modulus, shear modulus, bulk modulus and Poisson’s ratio of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7.6</w:t>
      </w:r>
      <w:r w:rsidRPr="008F6082">
        <w:rPr>
          <w:rStyle w:val="Hyperlink"/>
          <w:rFonts w:eastAsia="Times New Roman"/>
          <w:noProof/>
          <w:color w:val="auto"/>
          <w:u w:val="none"/>
          <w:lang w:eastAsia="en-MY"/>
        </w:rPr>
        <w:t>M</w:t>
      </w:r>
      <w:r w:rsidRPr="008F6082">
        <w:rPr>
          <w:rStyle w:val="Hyperlink"/>
          <w:rFonts w:eastAsia="Times New Roman"/>
          <w:noProof/>
          <w:color w:val="auto"/>
          <w:u w:val="none"/>
          <w:vertAlign w:val="subscript"/>
          <w:lang w:eastAsia="en-MY"/>
        </w:rPr>
        <w:t>1.1</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3</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7.6</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80.7-x</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5</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10-x</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5</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60 </w:t>
      </w:r>
      <w:r w:rsidRPr="008F6082">
        <w:rPr>
          <w:rStyle w:val="Hyperlink"/>
          <w:noProof/>
          <w:color w:val="auto"/>
          <w:u w:val="none"/>
        </w:rPr>
        <w:t>glass series versus total network charge balance.</w:t>
      </w:r>
      <w:r w:rsidRPr="008F6082">
        <w:rPr>
          <w:noProof/>
          <w:webHidden/>
        </w:rPr>
        <w:tab/>
      </w:r>
      <w:r w:rsidR="00995380">
        <w:rPr>
          <w:noProof/>
          <w:webHidden/>
        </w:rPr>
        <w:t>98</w:t>
      </w:r>
    </w:p>
    <w:p w14:paraId="56DE3324" w14:textId="27CA185C"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 xml:space="preserve">Figure 4.28: Hardness, toughness and brittleness of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7.6</w:t>
      </w:r>
      <w:r w:rsidRPr="008F6082">
        <w:rPr>
          <w:rStyle w:val="Hyperlink"/>
          <w:rFonts w:eastAsia="Times New Roman"/>
          <w:noProof/>
          <w:color w:val="auto"/>
          <w:u w:val="none"/>
          <w:lang w:eastAsia="en-MY"/>
        </w:rPr>
        <w:t>M</w:t>
      </w:r>
      <w:r w:rsidRPr="008F6082">
        <w:rPr>
          <w:rStyle w:val="Hyperlink"/>
          <w:rFonts w:eastAsia="Times New Roman"/>
          <w:noProof/>
          <w:color w:val="auto"/>
          <w:u w:val="none"/>
          <w:vertAlign w:val="subscript"/>
          <w:lang w:eastAsia="en-MY"/>
        </w:rPr>
        <w:t>1.1</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3</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7.6</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80.7-x</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5</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10-x</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5</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60 </w:t>
      </w:r>
      <w:r w:rsidRPr="008F6082">
        <w:rPr>
          <w:rStyle w:val="Hyperlink"/>
          <w:noProof/>
          <w:color w:val="auto"/>
          <w:u w:val="none"/>
        </w:rPr>
        <w:t xml:space="preserve">glass series versus </w:t>
      </w:r>
      <w:r w:rsidR="009F3339">
        <w:rPr>
          <w:rStyle w:val="Hyperlink"/>
          <w:noProof/>
          <w:color w:val="auto"/>
          <w:u w:val="none"/>
        </w:rPr>
        <w:t xml:space="preserve">the </w:t>
      </w:r>
      <w:r w:rsidRPr="008F6082">
        <w:rPr>
          <w:rStyle w:val="Hyperlink"/>
          <w:noProof/>
          <w:color w:val="auto"/>
          <w:u w:val="none"/>
        </w:rPr>
        <w:t>ratio of alumina to alumina + network former.</w:t>
      </w:r>
      <w:r w:rsidRPr="008F6082">
        <w:rPr>
          <w:noProof/>
          <w:webHidden/>
        </w:rPr>
        <w:tab/>
      </w:r>
      <w:r w:rsidR="00DF2B5F">
        <w:rPr>
          <w:noProof/>
          <w:webHidden/>
        </w:rPr>
        <w:t>100</w:t>
      </w:r>
    </w:p>
    <w:p w14:paraId="255CBF8D" w14:textId="175B296A"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 xml:space="preserve">Figure 4.29: Young’s modulus, shear modulus, bulk modulus and Poisson’s ratio of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15-x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15-x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60 </w:t>
      </w:r>
      <w:r w:rsidRPr="008F6082">
        <w:rPr>
          <w:rStyle w:val="Hyperlink"/>
          <w:rFonts w:eastAsia="Times New Roman"/>
          <w:noProof/>
          <w:color w:val="auto"/>
          <w:u w:val="none"/>
          <w:lang w:eastAsia="en-MY"/>
        </w:rPr>
        <w:t>glass series versus total network charge balance.</w:t>
      </w:r>
      <w:r w:rsidRPr="008F6082">
        <w:rPr>
          <w:noProof/>
          <w:webHidden/>
        </w:rPr>
        <w:tab/>
      </w:r>
      <w:r w:rsidR="00995380">
        <w:rPr>
          <w:noProof/>
          <w:webHidden/>
        </w:rPr>
        <w:t>101</w:t>
      </w:r>
    </w:p>
    <w:p w14:paraId="722D4508" w14:textId="728BD123"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 xml:space="preserve">Figure 4.30: Hardness, toughness and brittleness of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15-x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15-x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60</w:t>
      </w:r>
      <w:r w:rsidRPr="008F6082">
        <w:rPr>
          <w:rStyle w:val="Hyperlink"/>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60 </w:t>
      </w:r>
      <w:r w:rsidRPr="008F6082">
        <w:rPr>
          <w:rStyle w:val="Hyperlink"/>
          <w:rFonts w:eastAsia="Times New Roman"/>
          <w:noProof/>
          <w:color w:val="auto"/>
          <w:u w:val="none"/>
          <w:lang w:eastAsia="en-MY"/>
        </w:rPr>
        <w:t>glass series versus total network charge balance.</w:t>
      </w:r>
      <w:r w:rsidRPr="008F6082">
        <w:rPr>
          <w:noProof/>
          <w:webHidden/>
        </w:rPr>
        <w:tab/>
      </w:r>
      <w:r w:rsidR="00995380">
        <w:rPr>
          <w:noProof/>
          <w:webHidden/>
        </w:rPr>
        <w:t>103</w:t>
      </w:r>
    </w:p>
    <w:p w14:paraId="4DBE48AE" w14:textId="2BB5BEC5"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4.31: Young’s modulus, shear modulus, bulk modulus and Poisson’s ratio of</w:t>
      </w:r>
      <w:r w:rsidRPr="008F6082">
        <w:rPr>
          <w:rStyle w:val="Hyperlink"/>
          <w:rFonts w:eastAsia="Times New Roman"/>
          <w:noProof/>
          <w:color w:val="auto"/>
          <w:u w:val="none"/>
          <w:lang w:eastAsia="en-MY"/>
        </w:rPr>
        <w:t xml:space="preserve"> 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78-x</w:t>
      </w:r>
      <w:r w:rsidRPr="008F6082">
        <w:rPr>
          <w:rStyle w:val="Hyperlink"/>
          <w:noProof/>
          <w:color w:val="auto"/>
          <w:u w:val="none"/>
        </w:rPr>
        <w:t>,</w:t>
      </w:r>
      <w:r w:rsidRPr="008F6082">
        <w:rPr>
          <w:rStyle w:val="Hyperlink"/>
          <w:rFonts w:eastAsia="Times New Roman"/>
          <w:noProof/>
          <w:color w:val="auto"/>
          <w:u w:val="none"/>
          <w:lang w:eastAsia="en-MY"/>
        </w:rPr>
        <w:t xml:space="preserve"> 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73-x</w:t>
      </w:r>
      <w:r w:rsidRPr="008F6082">
        <w:rPr>
          <w:rStyle w:val="Hyperlink"/>
          <w:noProof/>
          <w:color w:val="auto"/>
          <w:u w:val="none"/>
        </w:rPr>
        <w:t xml:space="preserve">, and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y</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78-x-y </w:t>
      </w:r>
      <w:r w:rsidRPr="008F6082">
        <w:rPr>
          <w:rStyle w:val="Hyperlink"/>
          <w:rFonts w:eastAsia="Times New Roman"/>
          <w:noProof/>
          <w:color w:val="auto"/>
          <w:u w:val="none"/>
          <w:lang w:eastAsia="en-MY"/>
        </w:rPr>
        <w:t>glass series and ternary diagram of 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y</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78-x-y </w:t>
      </w:r>
      <w:r w:rsidRPr="008F6082">
        <w:rPr>
          <w:rStyle w:val="Hyperlink"/>
          <w:rFonts w:eastAsia="Times New Roman"/>
          <w:noProof/>
          <w:color w:val="auto"/>
          <w:u w:val="none"/>
          <w:lang w:eastAsia="en-MY"/>
        </w:rPr>
        <w:t>series</w:t>
      </w:r>
      <w:r w:rsidRPr="008F6082">
        <w:rPr>
          <w:rStyle w:val="Hyperlink"/>
          <w:noProof/>
          <w:color w:val="auto"/>
          <w:u w:val="none"/>
        </w:rPr>
        <w:t>.</w:t>
      </w:r>
      <w:r w:rsidRPr="008F6082">
        <w:rPr>
          <w:noProof/>
          <w:webHidden/>
        </w:rPr>
        <w:tab/>
      </w:r>
      <w:r w:rsidR="00995380">
        <w:rPr>
          <w:noProof/>
          <w:webHidden/>
        </w:rPr>
        <w:t>105</w:t>
      </w:r>
    </w:p>
    <w:p w14:paraId="7C2BEE2F" w14:textId="3C02A892"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 xml:space="preserve">Figure 4.32: Hardness, toughness and brittleness of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78-x</w:t>
      </w:r>
      <w:r w:rsidRPr="008F6082">
        <w:rPr>
          <w:rStyle w:val="Hyperlink"/>
          <w:noProof/>
          <w:color w:val="auto"/>
          <w:u w:val="none"/>
        </w:rPr>
        <w:t>,</w:t>
      </w:r>
      <w:r w:rsidRPr="008F6082">
        <w:rPr>
          <w:rStyle w:val="Hyperlink"/>
          <w:rFonts w:eastAsia="Times New Roman"/>
          <w:noProof/>
          <w:color w:val="auto"/>
          <w:u w:val="none"/>
          <w:lang w:eastAsia="en-MY"/>
        </w:rPr>
        <w:t xml:space="preserve"> 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73-x</w:t>
      </w:r>
      <w:r w:rsidRPr="008F6082">
        <w:rPr>
          <w:rStyle w:val="Hyperlink"/>
          <w:noProof/>
          <w:color w:val="auto"/>
          <w:u w:val="none"/>
        </w:rPr>
        <w:t xml:space="preserve">, and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Ba</w:t>
      </w:r>
      <w:r w:rsidRPr="008F6082">
        <w:rPr>
          <w:rStyle w:val="Hyperlink"/>
          <w:rFonts w:eastAsia="Times New Roman"/>
          <w:noProof/>
          <w:color w:val="auto"/>
          <w:u w:val="none"/>
          <w:vertAlign w:val="subscript"/>
          <w:lang w:eastAsia="en-MY"/>
        </w:rPr>
        <w:t>2</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y</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78-x-y </w:t>
      </w:r>
      <w:r w:rsidRPr="008F6082">
        <w:rPr>
          <w:rStyle w:val="Hyperlink"/>
          <w:rFonts w:eastAsia="Times New Roman"/>
          <w:noProof/>
          <w:color w:val="auto"/>
          <w:u w:val="none"/>
          <w:lang w:eastAsia="en-MY"/>
        </w:rPr>
        <w:t>glass series</w:t>
      </w:r>
      <w:r w:rsidRPr="008F6082">
        <w:rPr>
          <w:rStyle w:val="Hyperlink"/>
          <w:noProof/>
          <w:color w:val="auto"/>
          <w:u w:val="none"/>
        </w:rPr>
        <w:t>.</w:t>
      </w:r>
      <w:r w:rsidRPr="008F6082">
        <w:rPr>
          <w:noProof/>
          <w:webHidden/>
        </w:rPr>
        <w:tab/>
      </w:r>
      <w:r w:rsidR="00995380">
        <w:rPr>
          <w:noProof/>
          <w:webHidden/>
        </w:rPr>
        <w:t>106</w:t>
      </w:r>
    </w:p>
    <w:p w14:paraId="6BE47F23" w14:textId="51D2A1B1"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4.33: Young’s modulus, shear modulus and bulk modulus of current work versus total charge balance a) current work and b) (76 -x)SiO</w:t>
      </w:r>
      <w:r w:rsidRPr="008F6082">
        <w:rPr>
          <w:rStyle w:val="Hyperlink"/>
          <w:noProof/>
          <w:color w:val="auto"/>
          <w:u w:val="none"/>
          <w:vertAlign w:val="subscript"/>
        </w:rPr>
        <w:t>2</w:t>
      </w:r>
      <w:r w:rsidRPr="008F6082">
        <w:rPr>
          <w:rStyle w:val="Hyperlink"/>
          <w:noProof/>
          <w:color w:val="auto"/>
          <w:u w:val="none"/>
        </w:rPr>
        <w:t xml:space="preserve"> . x Al</w:t>
      </w:r>
      <w:r w:rsidRPr="008F6082">
        <w:rPr>
          <w:rStyle w:val="Hyperlink"/>
          <w:noProof/>
          <w:color w:val="auto"/>
          <w:u w:val="none"/>
          <w:vertAlign w:val="subscript"/>
        </w:rPr>
        <w:t>2</w:t>
      </w:r>
      <w:r w:rsidRPr="008F6082">
        <w:rPr>
          <w:rStyle w:val="Hyperlink"/>
          <w:noProof/>
          <w:color w:val="auto"/>
          <w:u w:val="none"/>
        </w:rPr>
        <w:t>O</w:t>
      </w:r>
      <w:r w:rsidRPr="008F6082">
        <w:rPr>
          <w:rStyle w:val="Hyperlink"/>
          <w:noProof/>
          <w:color w:val="auto"/>
          <w:u w:val="none"/>
          <w:vertAlign w:val="subscript"/>
        </w:rPr>
        <w:t>3</w:t>
      </w:r>
      <w:r w:rsidRPr="008F6082">
        <w:rPr>
          <w:rStyle w:val="Hyperlink"/>
          <w:noProof/>
          <w:color w:val="auto"/>
          <w:u w:val="none"/>
        </w:rPr>
        <w:t xml:space="preserve"> . 6 B</w:t>
      </w:r>
      <w:r w:rsidRPr="008F6082">
        <w:rPr>
          <w:rStyle w:val="Hyperlink"/>
          <w:noProof/>
          <w:color w:val="auto"/>
          <w:u w:val="none"/>
          <w:vertAlign w:val="subscript"/>
        </w:rPr>
        <w:t>2</w:t>
      </w:r>
      <w:r w:rsidRPr="008F6082">
        <w:rPr>
          <w:rStyle w:val="Hyperlink"/>
          <w:noProof/>
          <w:color w:val="auto"/>
          <w:u w:val="none"/>
        </w:rPr>
        <w:t>O</w:t>
      </w:r>
      <w:r w:rsidRPr="008F6082">
        <w:rPr>
          <w:rStyle w:val="Hyperlink"/>
          <w:noProof/>
          <w:color w:val="auto"/>
          <w:u w:val="none"/>
          <w:vertAlign w:val="subscript"/>
        </w:rPr>
        <w:t>3</w:t>
      </w:r>
      <w:r w:rsidRPr="008F6082">
        <w:rPr>
          <w:rStyle w:val="Hyperlink"/>
          <w:noProof/>
          <w:color w:val="auto"/>
          <w:u w:val="none"/>
        </w:rPr>
        <w:t xml:space="preserve"> . 12 Na</w:t>
      </w:r>
      <w:r w:rsidRPr="008F6082">
        <w:rPr>
          <w:rStyle w:val="Hyperlink"/>
          <w:noProof/>
          <w:color w:val="auto"/>
          <w:u w:val="none"/>
          <w:vertAlign w:val="subscript"/>
        </w:rPr>
        <w:t>2</w:t>
      </w:r>
      <w:r w:rsidRPr="008F6082">
        <w:rPr>
          <w:rStyle w:val="Hyperlink"/>
          <w:noProof/>
          <w:color w:val="auto"/>
          <w:u w:val="none"/>
        </w:rPr>
        <w:t>O . 6 RO with x = 0, 3, 6, 9, 12, 15, 18, 21, and 24 for R = Mg, Ca, Sr, and Ba.</w:t>
      </w:r>
      <w:r w:rsidRPr="008F6082">
        <w:rPr>
          <w:noProof/>
          <w:webHidden/>
        </w:rPr>
        <w:tab/>
      </w:r>
      <w:r w:rsidR="00995380">
        <w:rPr>
          <w:noProof/>
          <w:webHidden/>
        </w:rPr>
        <w:t>108</w:t>
      </w:r>
    </w:p>
    <w:p w14:paraId="37EE6417" w14:textId="07BD8A73"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4.34: a) Poisson’s ratio and b) indentation hardness versus total charge balance.</w:t>
      </w:r>
      <w:r w:rsidRPr="008F6082">
        <w:rPr>
          <w:noProof/>
          <w:webHidden/>
        </w:rPr>
        <w:tab/>
      </w:r>
      <w:r w:rsidR="00995380">
        <w:rPr>
          <w:noProof/>
          <w:webHidden/>
        </w:rPr>
        <w:t>111</w:t>
      </w:r>
    </w:p>
    <w:p w14:paraId="4F82A24B" w14:textId="75BFEBB6"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5.1: Contour plots of a) density and b) molar volume plotted on a compositional ternary based on network formers, modifiers and intermediates meanwhile glass transition temperature plotted based on Al</w:t>
      </w:r>
      <w:r w:rsidRPr="008F6082">
        <w:rPr>
          <w:rStyle w:val="Hyperlink"/>
          <w:noProof/>
          <w:color w:val="auto"/>
          <w:u w:val="none"/>
          <w:vertAlign w:val="subscript"/>
        </w:rPr>
        <w:t>2</w:t>
      </w:r>
      <w:r w:rsidRPr="008F6082">
        <w:rPr>
          <w:rStyle w:val="Hyperlink"/>
          <w:noProof/>
          <w:color w:val="auto"/>
          <w:u w:val="none"/>
        </w:rPr>
        <w:t>O</w:t>
      </w:r>
      <w:r w:rsidRPr="008F6082">
        <w:rPr>
          <w:rStyle w:val="Hyperlink"/>
          <w:noProof/>
          <w:color w:val="auto"/>
          <w:u w:val="none"/>
          <w:vertAlign w:val="subscript"/>
        </w:rPr>
        <w:t>3</w:t>
      </w:r>
      <w:r w:rsidRPr="008F6082">
        <w:rPr>
          <w:rStyle w:val="Hyperlink"/>
          <w:noProof/>
          <w:color w:val="auto"/>
          <w:u w:val="none"/>
        </w:rPr>
        <w:t xml:space="preserve"> + B</w:t>
      </w:r>
      <w:r w:rsidRPr="008F6082">
        <w:rPr>
          <w:rStyle w:val="Hyperlink"/>
          <w:noProof/>
          <w:color w:val="auto"/>
          <w:u w:val="none"/>
          <w:vertAlign w:val="subscript"/>
        </w:rPr>
        <w:t>2</w:t>
      </w:r>
      <w:r w:rsidRPr="008F6082">
        <w:rPr>
          <w:rStyle w:val="Hyperlink"/>
          <w:noProof/>
          <w:color w:val="auto"/>
          <w:u w:val="none"/>
        </w:rPr>
        <w:t>O</w:t>
      </w:r>
      <w:r w:rsidRPr="008F6082">
        <w:rPr>
          <w:rStyle w:val="Hyperlink"/>
          <w:noProof/>
          <w:color w:val="auto"/>
          <w:u w:val="none"/>
          <w:vertAlign w:val="subscript"/>
        </w:rPr>
        <w:t>3</w:t>
      </w:r>
      <w:r w:rsidRPr="008F6082">
        <w:rPr>
          <w:rStyle w:val="Hyperlink"/>
          <w:noProof/>
          <w:color w:val="auto"/>
          <w:u w:val="none"/>
        </w:rPr>
        <w:t>, SiO</w:t>
      </w:r>
      <w:r w:rsidRPr="008F6082">
        <w:rPr>
          <w:rStyle w:val="Hyperlink"/>
          <w:noProof/>
          <w:color w:val="auto"/>
          <w:u w:val="none"/>
          <w:vertAlign w:val="subscript"/>
        </w:rPr>
        <w:t>2</w:t>
      </w:r>
      <w:r w:rsidRPr="008F6082">
        <w:rPr>
          <w:rStyle w:val="Hyperlink"/>
          <w:noProof/>
          <w:color w:val="auto"/>
          <w:u w:val="none"/>
        </w:rPr>
        <w:t xml:space="preserve"> and network modifier.</w:t>
      </w:r>
      <w:r w:rsidRPr="008F6082">
        <w:rPr>
          <w:noProof/>
          <w:webHidden/>
        </w:rPr>
        <w:tab/>
      </w:r>
      <w:r w:rsidR="00995380">
        <w:rPr>
          <w:noProof/>
          <w:webHidden/>
        </w:rPr>
        <w:t>113</w:t>
      </w:r>
    </w:p>
    <w:p w14:paraId="6198EC37" w14:textId="057ABA12"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5.2: Contour plots of hardness, indentation toughness and brittleness plotted on a compositional ternary based on network formers, modifiers and intermediates.</w:t>
      </w:r>
      <w:r w:rsidRPr="008F6082">
        <w:rPr>
          <w:noProof/>
          <w:webHidden/>
        </w:rPr>
        <w:tab/>
      </w:r>
      <w:r w:rsidR="00B331AF">
        <w:rPr>
          <w:noProof/>
          <w:webHidden/>
        </w:rPr>
        <w:t>11</w:t>
      </w:r>
      <w:r w:rsidR="0034044A">
        <w:rPr>
          <w:noProof/>
          <w:webHidden/>
        </w:rPr>
        <w:t>6</w:t>
      </w:r>
    </w:p>
    <w:p w14:paraId="42AAD312" w14:textId="5B9CDFDF"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5.3: Contour plots of hardness, indentation toughness and brittleness plotted on a compositional ternary based on SiO</w:t>
      </w:r>
      <w:r w:rsidRPr="008F6082">
        <w:rPr>
          <w:rStyle w:val="Hyperlink"/>
          <w:noProof/>
          <w:color w:val="auto"/>
          <w:u w:val="none"/>
          <w:vertAlign w:val="subscript"/>
        </w:rPr>
        <w:t>2</w:t>
      </w:r>
      <w:r w:rsidRPr="008F6082">
        <w:rPr>
          <w:rStyle w:val="Hyperlink"/>
          <w:noProof/>
          <w:color w:val="auto"/>
          <w:u w:val="none"/>
        </w:rPr>
        <w:t>, Al</w:t>
      </w:r>
      <w:r w:rsidRPr="008F6082">
        <w:rPr>
          <w:rStyle w:val="Hyperlink"/>
          <w:noProof/>
          <w:color w:val="auto"/>
          <w:u w:val="none"/>
          <w:vertAlign w:val="subscript"/>
        </w:rPr>
        <w:t>2</w:t>
      </w:r>
      <w:r w:rsidRPr="008F6082">
        <w:rPr>
          <w:rStyle w:val="Hyperlink"/>
          <w:noProof/>
          <w:color w:val="auto"/>
          <w:u w:val="none"/>
        </w:rPr>
        <w:t>O</w:t>
      </w:r>
      <w:r w:rsidRPr="008F6082">
        <w:rPr>
          <w:rStyle w:val="Hyperlink"/>
          <w:noProof/>
          <w:color w:val="auto"/>
          <w:u w:val="none"/>
          <w:vertAlign w:val="subscript"/>
        </w:rPr>
        <w:t>3</w:t>
      </w:r>
      <w:r w:rsidRPr="008F6082">
        <w:rPr>
          <w:rStyle w:val="Hyperlink"/>
          <w:noProof/>
          <w:color w:val="auto"/>
          <w:u w:val="none"/>
        </w:rPr>
        <w:t>+B</w:t>
      </w:r>
      <w:r w:rsidRPr="008F6082">
        <w:rPr>
          <w:rStyle w:val="Hyperlink"/>
          <w:noProof/>
          <w:color w:val="auto"/>
          <w:u w:val="none"/>
          <w:vertAlign w:val="subscript"/>
        </w:rPr>
        <w:t>2</w:t>
      </w:r>
      <w:r w:rsidRPr="008F6082">
        <w:rPr>
          <w:rStyle w:val="Hyperlink"/>
          <w:noProof/>
          <w:color w:val="auto"/>
          <w:u w:val="none"/>
        </w:rPr>
        <w:t>O</w:t>
      </w:r>
      <w:r w:rsidRPr="008F6082">
        <w:rPr>
          <w:rStyle w:val="Hyperlink"/>
          <w:noProof/>
          <w:color w:val="auto"/>
          <w:u w:val="none"/>
          <w:vertAlign w:val="subscript"/>
        </w:rPr>
        <w:t>3</w:t>
      </w:r>
      <w:r w:rsidRPr="008F6082">
        <w:rPr>
          <w:rStyle w:val="Hyperlink"/>
          <w:noProof/>
          <w:color w:val="auto"/>
          <w:u w:val="none"/>
        </w:rPr>
        <w:t xml:space="preserve"> and intermediates.</w:t>
      </w:r>
      <w:r w:rsidRPr="008F6082">
        <w:rPr>
          <w:noProof/>
          <w:webHidden/>
        </w:rPr>
        <w:tab/>
      </w:r>
      <w:r w:rsidR="00B331AF">
        <w:rPr>
          <w:noProof/>
          <w:webHidden/>
        </w:rPr>
        <w:t>11</w:t>
      </w:r>
      <w:r w:rsidR="005C1F08">
        <w:rPr>
          <w:noProof/>
          <w:webHidden/>
        </w:rPr>
        <w:t>8</w:t>
      </w:r>
    </w:p>
    <w:p w14:paraId="2E703241" w14:textId="17637246"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5.4: Contour plots of bulk modulus, shear modulus, Young’s modulus and Poisson’s ratio plotted on a compositional ternary based on network formers, modifiers and intermediates.</w:t>
      </w:r>
      <w:r w:rsidRPr="008F6082">
        <w:rPr>
          <w:noProof/>
          <w:webHidden/>
        </w:rPr>
        <w:tab/>
      </w:r>
      <w:r w:rsidR="00B331AF">
        <w:rPr>
          <w:noProof/>
          <w:webHidden/>
        </w:rPr>
        <w:t>1</w:t>
      </w:r>
      <w:r w:rsidR="005C1F08">
        <w:rPr>
          <w:noProof/>
          <w:webHidden/>
        </w:rPr>
        <w:t>19</w:t>
      </w:r>
    </w:p>
    <w:p w14:paraId="2144C3DA" w14:textId="4A9877E6"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5.5: 3-D correlation between composition and properties.</w:t>
      </w:r>
      <w:r w:rsidRPr="008F6082">
        <w:rPr>
          <w:noProof/>
          <w:webHidden/>
        </w:rPr>
        <w:tab/>
      </w:r>
      <w:r w:rsidR="00B331AF">
        <w:rPr>
          <w:noProof/>
          <w:webHidden/>
        </w:rPr>
        <w:t>122</w:t>
      </w:r>
    </w:p>
    <w:p w14:paraId="661A4CAC" w14:textId="3B998078"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5.6: Indentation fracture toughness versus total charge balance</w:t>
      </w:r>
      <w:r w:rsidRPr="008F6082">
        <w:rPr>
          <w:noProof/>
          <w:webHidden/>
        </w:rPr>
        <w:tab/>
      </w:r>
      <w:r w:rsidR="00B331AF">
        <w:rPr>
          <w:noProof/>
          <w:webHidden/>
        </w:rPr>
        <w:t>123</w:t>
      </w:r>
    </w:p>
    <w:p w14:paraId="19FC5175" w14:textId="16F6B094"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lastRenderedPageBreak/>
        <w:t>Figure 5.7: a) Brittleness versus total charge balance b) Variation of brittleness with density of produced glass</w:t>
      </w:r>
      <w:r w:rsidRPr="008F6082">
        <w:rPr>
          <w:noProof/>
          <w:webHidden/>
        </w:rPr>
        <w:tab/>
      </w:r>
      <w:r w:rsidR="00B331AF">
        <w:rPr>
          <w:noProof/>
          <w:webHidden/>
        </w:rPr>
        <w:t>124</w:t>
      </w:r>
    </w:p>
    <w:p w14:paraId="7FCDA95A" w14:textId="0F1527E6"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5.8: Density versus molar volume</w:t>
      </w:r>
      <w:r w:rsidRPr="008F6082">
        <w:rPr>
          <w:noProof/>
          <w:webHidden/>
        </w:rPr>
        <w:tab/>
      </w:r>
      <w:r w:rsidR="00B331AF">
        <w:rPr>
          <w:noProof/>
          <w:webHidden/>
        </w:rPr>
        <w:t>125</w:t>
      </w:r>
    </w:p>
    <w:p w14:paraId="0FE6D636" w14:textId="24361881"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 xml:space="preserve">Figure 5.9: Various relationships for selected mechanical properties; a) Hardness versus modulus; b) Young’s modulus versus Raman Polymerisation index; c) Vickers’s indentation hardness versus Raman polymerisation index; d) Young’s modulus versus packing density of produced glasses. </w:t>
      </w:r>
      <w:r w:rsidRPr="008F6082">
        <w:rPr>
          <w:noProof/>
          <w:webHidden/>
        </w:rPr>
        <w:tab/>
      </w:r>
      <w:r w:rsidR="00B331AF">
        <w:rPr>
          <w:noProof/>
          <w:webHidden/>
        </w:rPr>
        <w:t>12</w:t>
      </w:r>
      <w:r w:rsidR="004C4D25">
        <w:rPr>
          <w:noProof/>
          <w:webHidden/>
        </w:rPr>
        <w:t>6</w:t>
      </w:r>
    </w:p>
    <w:p w14:paraId="25B49A7A" w14:textId="13C63CB9"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 xml:space="preserve">Figure 5.10: </w:t>
      </w:r>
      <w:r w:rsidRPr="008F6082">
        <w:rPr>
          <w:rStyle w:val="Hyperlink"/>
          <w:rFonts w:asciiTheme="majorBidi" w:hAnsiTheme="majorBidi"/>
          <w:noProof/>
          <w:color w:val="auto"/>
          <w:u w:val="none"/>
        </w:rPr>
        <w:t xml:space="preserve">Various properties of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7.6</w:t>
      </w:r>
      <w:r w:rsidRPr="008F6082">
        <w:rPr>
          <w:rStyle w:val="Hyperlink"/>
          <w:rFonts w:eastAsia="Times New Roman"/>
          <w:noProof/>
          <w:color w:val="auto"/>
          <w:u w:val="none"/>
          <w:lang w:eastAsia="en-MY"/>
        </w:rPr>
        <w:t>M</w:t>
      </w:r>
      <w:r w:rsidRPr="008F6082">
        <w:rPr>
          <w:rStyle w:val="Hyperlink"/>
          <w:rFonts w:eastAsia="Times New Roman"/>
          <w:noProof/>
          <w:color w:val="auto"/>
          <w:u w:val="none"/>
          <w:vertAlign w:val="subscript"/>
          <w:lang w:eastAsia="en-MY"/>
        </w:rPr>
        <w:t>1.1</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3</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7.6</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80.7-x</w:t>
      </w:r>
      <w:r w:rsidRPr="008F6082">
        <w:rPr>
          <w:rStyle w:val="Hyperlink"/>
          <w:rFonts w:asciiTheme="majorBidi" w:hAnsiTheme="majorBidi"/>
          <w:noProof/>
          <w:color w:val="auto"/>
          <w:u w:val="none"/>
        </w:rPr>
        <w:t xml:space="preserve">,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5</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10-x</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70 </w:t>
      </w:r>
      <w:r w:rsidRPr="008F6082">
        <w:rPr>
          <w:rStyle w:val="Hyperlink"/>
          <w:rFonts w:asciiTheme="majorBidi" w:hAnsiTheme="majorBidi"/>
          <w:noProof/>
          <w:color w:val="auto"/>
          <w:u w:val="none"/>
        </w:rPr>
        <w:t xml:space="preserve">and </w:t>
      </w:r>
      <w:r w:rsidRPr="008F6082">
        <w:rPr>
          <w:rStyle w:val="Hyperlink"/>
          <w:rFonts w:eastAsia="Times New Roman"/>
          <w:noProof/>
          <w:color w:val="auto"/>
          <w:u w:val="none"/>
          <w:lang w:eastAsia="en-MY"/>
        </w:rPr>
        <w:t>N</w:t>
      </w:r>
      <w:r w:rsidRPr="008F6082">
        <w:rPr>
          <w:rStyle w:val="Hyperlink"/>
          <w:rFonts w:eastAsia="Times New Roman"/>
          <w:noProof/>
          <w:color w:val="auto"/>
          <w:u w:val="none"/>
          <w:vertAlign w:val="subscript"/>
          <w:lang w:eastAsia="en-MY"/>
        </w:rPr>
        <w:t>15</w:t>
      </w:r>
      <w:r w:rsidRPr="008F6082">
        <w:rPr>
          <w:rStyle w:val="Hyperlink"/>
          <w:rFonts w:eastAsia="Times New Roman"/>
          <w:noProof/>
          <w:color w:val="auto"/>
          <w:u w:val="none"/>
          <w:lang w:eastAsia="en-MY"/>
        </w:rPr>
        <w:t>C</w:t>
      </w:r>
      <w:r w:rsidRPr="008F6082">
        <w:rPr>
          <w:rStyle w:val="Hyperlink"/>
          <w:rFonts w:eastAsia="Times New Roman"/>
          <w:noProof/>
          <w:color w:val="auto"/>
          <w:u w:val="none"/>
          <w:vertAlign w:val="subscript"/>
          <w:lang w:eastAsia="en-MY"/>
        </w:rPr>
        <w:t>5</w:t>
      </w:r>
      <w:r w:rsidRPr="008F6082">
        <w:rPr>
          <w:rStyle w:val="Hyperlink"/>
          <w:rFonts w:eastAsia="Times New Roman"/>
          <w:noProof/>
          <w:color w:val="auto"/>
          <w:u w:val="none"/>
          <w:lang w:eastAsia="en-MY"/>
        </w:rPr>
        <w:t>A</w:t>
      </w:r>
      <w:r w:rsidRPr="008F6082">
        <w:rPr>
          <w:rStyle w:val="Hyperlink"/>
          <w:rFonts w:eastAsia="Times New Roman"/>
          <w:noProof/>
          <w:color w:val="auto"/>
          <w:u w:val="none"/>
          <w:vertAlign w:val="subscript"/>
          <w:lang w:eastAsia="en-MY"/>
        </w:rPr>
        <w:t>x</w:t>
      </w:r>
      <w:r w:rsidRPr="008F6082">
        <w:rPr>
          <w:rStyle w:val="Hyperlink"/>
          <w:rFonts w:eastAsia="Times New Roman"/>
          <w:noProof/>
          <w:color w:val="auto"/>
          <w:u w:val="none"/>
          <w:lang w:eastAsia="en-MY"/>
        </w:rPr>
        <w:t>B</w:t>
      </w:r>
      <w:r w:rsidRPr="008F6082">
        <w:rPr>
          <w:rStyle w:val="Hyperlink"/>
          <w:rFonts w:eastAsia="Times New Roman"/>
          <w:noProof/>
          <w:color w:val="auto"/>
          <w:u w:val="none"/>
          <w:vertAlign w:val="subscript"/>
          <w:lang w:eastAsia="en-MY"/>
        </w:rPr>
        <w:t>20-x</w:t>
      </w:r>
      <w:r w:rsidRPr="008F6082">
        <w:rPr>
          <w:rStyle w:val="Hyperlink"/>
          <w:rFonts w:eastAsia="Times New Roman"/>
          <w:noProof/>
          <w:color w:val="auto"/>
          <w:u w:val="none"/>
          <w:lang w:eastAsia="en-MY"/>
        </w:rPr>
        <w:t>S</w:t>
      </w:r>
      <w:r w:rsidRPr="008F6082">
        <w:rPr>
          <w:rStyle w:val="Hyperlink"/>
          <w:rFonts w:eastAsia="Times New Roman"/>
          <w:noProof/>
          <w:color w:val="auto"/>
          <w:u w:val="none"/>
          <w:vertAlign w:val="subscript"/>
          <w:lang w:eastAsia="en-MY"/>
        </w:rPr>
        <w:t xml:space="preserve">60 </w:t>
      </w:r>
      <w:r w:rsidRPr="008F6082">
        <w:rPr>
          <w:rStyle w:val="Hyperlink"/>
          <w:rFonts w:asciiTheme="majorBidi" w:hAnsiTheme="majorBidi"/>
          <w:noProof/>
          <w:color w:val="auto"/>
          <w:u w:val="none"/>
        </w:rPr>
        <w:t xml:space="preserve">glass series versus </w:t>
      </w:r>
      <w:r w:rsidRPr="008F6082">
        <w:rPr>
          <w:rStyle w:val="Hyperlink"/>
          <w:rFonts w:asciiTheme="majorBidi" w:hAnsiTheme="majorBidi"/>
          <w:iCs/>
          <w:noProof/>
          <w:color w:val="auto"/>
          <w:u w:val="none"/>
        </w:rPr>
        <w:t>Al</w:t>
      </w:r>
      <w:r w:rsidRPr="008F6082">
        <w:rPr>
          <w:rStyle w:val="Hyperlink"/>
          <w:rFonts w:asciiTheme="majorBidi" w:hAnsiTheme="majorBidi"/>
          <w:iCs/>
          <w:noProof/>
          <w:color w:val="auto"/>
          <w:u w:val="none"/>
          <w:vertAlign w:val="subscript"/>
        </w:rPr>
        <w:t>2</w:t>
      </w:r>
      <w:r w:rsidRPr="008F6082">
        <w:rPr>
          <w:rStyle w:val="Hyperlink"/>
          <w:rFonts w:asciiTheme="majorBidi" w:hAnsiTheme="majorBidi"/>
          <w:iCs/>
          <w:noProof/>
          <w:color w:val="auto"/>
          <w:u w:val="none"/>
        </w:rPr>
        <w:t>O</w:t>
      </w:r>
      <w:r w:rsidRPr="008F6082">
        <w:rPr>
          <w:rStyle w:val="Hyperlink"/>
          <w:rFonts w:asciiTheme="majorBidi" w:hAnsiTheme="majorBidi"/>
          <w:iCs/>
          <w:noProof/>
          <w:color w:val="auto"/>
          <w:u w:val="none"/>
          <w:vertAlign w:val="subscript"/>
        </w:rPr>
        <w:t>3</w:t>
      </w:r>
      <w:r w:rsidRPr="008F6082">
        <w:rPr>
          <w:rStyle w:val="Hyperlink"/>
          <w:rFonts w:asciiTheme="majorBidi" w:hAnsiTheme="majorBidi"/>
          <w:iCs/>
          <w:noProof/>
          <w:color w:val="auto"/>
          <w:u w:val="none"/>
        </w:rPr>
        <w:t>/Al</w:t>
      </w:r>
      <w:r w:rsidRPr="008F6082">
        <w:rPr>
          <w:rStyle w:val="Hyperlink"/>
          <w:rFonts w:asciiTheme="majorBidi" w:hAnsiTheme="majorBidi"/>
          <w:iCs/>
          <w:noProof/>
          <w:color w:val="auto"/>
          <w:u w:val="none"/>
          <w:vertAlign w:val="subscript"/>
        </w:rPr>
        <w:t>2</w:t>
      </w:r>
      <w:r w:rsidRPr="008F6082">
        <w:rPr>
          <w:rStyle w:val="Hyperlink"/>
          <w:rFonts w:asciiTheme="majorBidi" w:hAnsiTheme="majorBidi"/>
          <w:iCs/>
          <w:noProof/>
          <w:color w:val="auto"/>
          <w:u w:val="none"/>
        </w:rPr>
        <w:t>O</w:t>
      </w:r>
      <w:r w:rsidRPr="008F6082">
        <w:rPr>
          <w:rStyle w:val="Hyperlink"/>
          <w:rFonts w:asciiTheme="majorBidi" w:hAnsiTheme="majorBidi"/>
          <w:iCs/>
          <w:noProof/>
          <w:color w:val="auto"/>
          <w:u w:val="none"/>
          <w:vertAlign w:val="subscript"/>
        </w:rPr>
        <w:t>3</w:t>
      </w:r>
      <w:r w:rsidRPr="008F6082">
        <w:rPr>
          <w:rStyle w:val="Hyperlink"/>
          <w:rFonts w:asciiTheme="majorBidi" w:hAnsiTheme="majorBidi"/>
          <w:iCs/>
          <w:noProof/>
          <w:color w:val="auto"/>
          <w:u w:val="none"/>
        </w:rPr>
        <w:t>+SiO</w:t>
      </w:r>
      <w:r w:rsidRPr="008F6082">
        <w:rPr>
          <w:rStyle w:val="Hyperlink"/>
          <w:rFonts w:asciiTheme="majorBidi" w:hAnsiTheme="majorBidi"/>
          <w:iCs/>
          <w:noProof/>
          <w:color w:val="auto"/>
          <w:u w:val="none"/>
          <w:vertAlign w:val="subscript"/>
        </w:rPr>
        <w:t>2</w:t>
      </w:r>
      <w:r w:rsidRPr="008F6082">
        <w:rPr>
          <w:rStyle w:val="Hyperlink"/>
          <w:rFonts w:asciiTheme="majorBidi" w:hAnsiTheme="majorBidi"/>
          <w:iCs/>
          <w:noProof/>
          <w:color w:val="auto"/>
          <w:u w:val="none"/>
        </w:rPr>
        <w:t>+B</w:t>
      </w:r>
      <w:r w:rsidRPr="008F6082">
        <w:rPr>
          <w:rStyle w:val="Hyperlink"/>
          <w:rFonts w:asciiTheme="majorBidi" w:hAnsiTheme="majorBidi"/>
          <w:iCs/>
          <w:noProof/>
          <w:color w:val="auto"/>
          <w:u w:val="none"/>
          <w:vertAlign w:val="subscript"/>
        </w:rPr>
        <w:t>2</w:t>
      </w:r>
      <w:r w:rsidRPr="008F6082">
        <w:rPr>
          <w:rStyle w:val="Hyperlink"/>
          <w:rFonts w:asciiTheme="majorBidi" w:hAnsiTheme="majorBidi"/>
          <w:iCs/>
          <w:noProof/>
          <w:color w:val="auto"/>
          <w:u w:val="none"/>
        </w:rPr>
        <w:t>O</w:t>
      </w:r>
      <w:r w:rsidRPr="008F6082">
        <w:rPr>
          <w:rStyle w:val="Hyperlink"/>
          <w:rFonts w:asciiTheme="majorBidi" w:hAnsiTheme="majorBidi"/>
          <w:iCs/>
          <w:noProof/>
          <w:color w:val="auto"/>
          <w:u w:val="none"/>
          <w:vertAlign w:val="subscript"/>
        </w:rPr>
        <w:t xml:space="preserve">3 </w:t>
      </w:r>
      <w:r w:rsidRPr="008F6082">
        <w:rPr>
          <w:rStyle w:val="Hyperlink"/>
          <w:rFonts w:asciiTheme="majorBidi" w:hAnsiTheme="majorBidi"/>
          <w:iCs/>
          <w:noProof/>
          <w:color w:val="auto"/>
          <w:u w:val="none"/>
        </w:rPr>
        <w:t>a) density b) molar volume c) glass transition temperature d) bulk modulus e) polymerisation index f) hardness.</w:t>
      </w:r>
      <w:r w:rsidRPr="008F6082">
        <w:rPr>
          <w:noProof/>
          <w:webHidden/>
        </w:rPr>
        <w:tab/>
      </w:r>
      <w:r w:rsidR="00B331AF">
        <w:rPr>
          <w:noProof/>
          <w:webHidden/>
        </w:rPr>
        <w:t>129</w:t>
      </w:r>
    </w:p>
    <w:p w14:paraId="1C971164" w14:textId="7EE0E6F8"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5.11: Indentation toughness versus polymerisation index.</w:t>
      </w:r>
      <w:r w:rsidRPr="008F6082">
        <w:rPr>
          <w:noProof/>
          <w:webHidden/>
        </w:rPr>
        <w:tab/>
      </w:r>
      <w:r w:rsidR="00B331AF">
        <w:rPr>
          <w:noProof/>
          <w:webHidden/>
        </w:rPr>
        <w:t>13</w:t>
      </w:r>
      <w:r w:rsidR="004C4D25">
        <w:rPr>
          <w:noProof/>
          <w:webHidden/>
        </w:rPr>
        <w:t>2</w:t>
      </w:r>
    </w:p>
    <w:p w14:paraId="6A82DF59" w14:textId="31A52549"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5.12: Poisson’s ratio and Young’s modulus versus indentation toughness.</w:t>
      </w:r>
      <w:r w:rsidRPr="008F6082">
        <w:rPr>
          <w:noProof/>
          <w:webHidden/>
        </w:rPr>
        <w:tab/>
      </w:r>
      <w:r w:rsidR="00F45197" w:rsidRPr="008F6082">
        <w:rPr>
          <w:noProof/>
          <w:webHidden/>
        </w:rPr>
        <w:t>1</w:t>
      </w:r>
      <w:r w:rsidR="00B331AF">
        <w:rPr>
          <w:noProof/>
          <w:webHidden/>
        </w:rPr>
        <w:t>3</w:t>
      </w:r>
      <w:r w:rsidR="004C4D25">
        <w:rPr>
          <w:noProof/>
          <w:webHidden/>
        </w:rPr>
        <w:t>3</w:t>
      </w:r>
    </w:p>
    <w:p w14:paraId="39BF581D" w14:textId="7A51C5A3"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5.13: Poisson’s ratio as a function of atomic packing density.</w:t>
      </w:r>
      <w:r w:rsidRPr="008F6082">
        <w:rPr>
          <w:noProof/>
          <w:webHidden/>
        </w:rPr>
        <w:tab/>
      </w:r>
      <w:r w:rsidR="00F45197" w:rsidRPr="008F6082">
        <w:rPr>
          <w:noProof/>
          <w:webHidden/>
        </w:rPr>
        <w:t>1</w:t>
      </w:r>
      <w:r w:rsidR="00B331AF">
        <w:rPr>
          <w:noProof/>
          <w:webHidden/>
        </w:rPr>
        <w:t>3</w:t>
      </w:r>
      <w:r w:rsidR="004C4D25">
        <w:rPr>
          <w:noProof/>
          <w:webHidden/>
        </w:rPr>
        <w:t>5</w:t>
      </w:r>
    </w:p>
    <w:p w14:paraId="7CA410E5" w14:textId="68C78935"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5.14: a) Poisson’s ratio as a function of polymerisation index and b) atomic packing density as a function of charge balance.</w:t>
      </w:r>
      <w:r w:rsidRPr="008F6082">
        <w:rPr>
          <w:noProof/>
          <w:webHidden/>
        </w:rPr>
        <w:tab/>
      </w:r>
      <w:r w:rsidR="00F45197" w:rsidRPr="008F6082">
        <w:rPr>
          <w:noProof/>
          <w:webHidden/>
        </w:rPr>
        <w:t>1</w:t>
      </w:r>
      <w:r w:rsidR="00B331AF">
        <w:rPr>
          <w:noProof/>
          <w:webHidden/>
        </w:rPr>
        <w:t>3</w:t>
      </w:r>
      <w:r w:rsidR="004C4D25">
        <w:rPr>
          <w:noProof/>
          <w:webHidden/>
        </w:rPr>
        <w:t>6</w:t>
      </w:r>
    </w:p>
    <w:p w14:paraId="3D292285" w14:textId="54A0CE1B" w:rsidR="00651073" w:rsidRPr="008F6082" w:rsidRDefault="00651073" w:rsidP="00651073">
      <w:pPr>
        <w:pStyle w:val="TableofFigures"/>
        <w:tabs>
          <w:tab w:val="right" w:leader="dot" w:pos="9016"/>
        </w:tabs>
        <w:spacing w:line="360" w:lineRule="auto"/>
        <w:rPr>
          <w:rFonts w:asciiTheme="minorHAnsi" w:eastAsiaTheme="minorEastAsia" w:hAnsiTheme="minorHAnsi"/>
          <w:noProof/>
          <w:sz w:val="22"/>
          <w:lang w:eastAsia="en-MY"/>
        </w:rPr>
      </w:pPr>
      <w:r w:rsidRPr="008F6082">
        <w:rPr>
          <w:rStyle w:val="Hyperlink"/>
          <w:noProof/>
          <w:color w:val="auto"/>
          <w:u w:val="none"/>
        </w:rPr>
        <w:t>Figure 5.15: Correlation between E/H</w:t>
      </w:r>
      <w:r w:rsidRPr="008F6082">
        <w:rPr>
          <w:rStyle w:val="Hyperlink"/>
          <w:noProof/>
          <w:color w:val="auto"/>
          <w:u w:val="none"/>
          <w:vertAlign w:val="subscript"/>
        </w:rPr>
        <w:t xml:space="preserve">v </w:t>
      </w:r>
      <w:r w:rsidRPr="008F6082">
        <w:rPr>
          <w:rStyle w:val="Hyperlink"/>
          <w:noProof/>
          <w:color w:val="auto"/>
          <w:u w:val="none"/>
        </w:rPr>
        <w:t xml:space="preserve">and Poisson’s ratio of glass produced and literature glass. </w:t>
      </w:r>
      <w:r w:rsidRPr="008F6082">
        <w:rPr>
          <w:rStyle w:val="Hyperlink"/>
          <w:noProof/>
          <w:color w:val="auto"/>
          <w:u w:val="none"/>
          <w:lang w:val="en-GB"/>
        </w:rPr>
        <w:t>Three regions of map: compressive stress (-), tensile (+) and zero stress (0)</w:t>
      </w:r>
      <w:r w:rsidRPr="008F6082">
        <w:rPr>
          <w:rStyle w:val="Hyperlink"/>
          <w:noProof/>
          <w:color w:val="auto"/>
          <w:u w:val="none"/>
        </w:rPr>
        <w:t>.</w:t>
      </w:r>
      <w:r w:rsidRPr="008F6082">
        <w:rPr>
          <w:noProof/>
          <w:webHidden/>
        </w:rPr>
        <w:tab/>
      </w:r>
      <w:r w:rsidR="00F45197" w:rsidRPr="008F6082">
        <w:rPr>
          <w:noProof/>
          <w:webHidden/>
        </w:rPr>
        <w:t>1</w:t>
      </w:r>
      <w:r w:rsidR="00B331AF">
        <w:rPr>
          <w:noProof/>
          <w:webHidden/>
        </w:rPr>
        <w:t>3</w:t>
      </w:r>
      <w:r w:rsidR="004C4D25">
        <w:rPr>
          <w:noProof/>
          <w:webHidden/>
        </w:rPr>
        <w:t>7</w:t>
      </w:r>
    </w:p>
    <w:p w14:paraId="2AE0D156" w14:textId="751C33D2" w:rsidR="00651073" w:rsidRPr="008F6082" w:rsidRDefault="00651073" w:rsidP="00651073">
      <w:pPr>
        <w:spacing w:line="360" w:lineRule="auto"/>
        <w:jc w:val="center"/>
        <w:rPr>
          <w:sz w:val="44"/>
          <w:szCs w:val="44"/>
        </w:rPr>
      </w:pPr>
    </w:p>
    <w:p w14:paraId="183395B4" w14:textId="0E02CB8C" w:rsidR="00651073" w:rsidRPr="008F6082" w:rsidRDefault="00651073" w:rsidP="00651073">
      <w:pPr>
        <w:spacing w:line="360" w:lineRule="auto"/>
        <w:jc w:val="center"/>
        <w:rPr>
          <w:sz w:val="44"/>
          <w:szCs w:val="44"/>
        </w:rPr>
      </w:pPr>
    </w:p>
    <w:p w14:paraId="1C477355" w14:textId="7C204391" w:rsidR="00651073" w:rsidRPr="008F6082" w:rsidRDefault="00651073" w:rsidP="00651073">
      <w:pPr>
        <w:spacing w:line="360" w:lineRule="auto"/>
        <w:jc w:val="center"/>
        <w:rPr>
          <w:sz w:val="44"/>
          <w:szCs w:val="44"/>
        </w:rPr>
      </w:pPr>
    </w:p>
    <w:p w14:paraId="7CCCFAA6" w14:textId="5EB89E93" w:rsidR="00651073" w:rsidRPr="008F6082" w:rsidRDefault="00651073" w:rsidP="00651073">
      <w:pPr>
        <w:spacing w:line="360" w:lineRule="auto"/>
        <w:jc w:val="center"/>
        <w:rPr>
          <w:sz w:val="44"/>
          <w:szCs w:val="44"/>
        </w:rPr>
      </w:pPr>
    </w:p>
    <w:p w14:paraId="6BA8595F" w14:textId="347987E6" w:rsidR="00651073" w:rsidRPr="008F6082" w:rsidRDefault="00651073" w:rsidP="00651073">
      <w:pPr>
        <w:spacing w:line="360" w:lineRule="auto"/>
        <w:jc w:val="center"/>
        <w:rPr>
          <w:sz w:val="44"/>
          <w:szCs w:val="44"/>
        </w:rPr>
      </w:pPr>
    </w:p>
    <w:p w14:paraId="355F5C18" w14:textId="265CE0E2" w:rsidR="00651073" w:rsidRPr="008F6082" w:rsidRDefault="00651073" w:rsidP="00651073">
      <w:pPr>
        <w:spacing w:line="360" w:lineRule="auto"/>
        <w:jc w:val="center"/>
        <w:rPr>
          <w:sz w:val="44"/>
          <w:szCs w:val="44"/>
        </w:rPr>
      </w:pPr>
    </w:p>
    <w:p w14:paraId="542C019C" w14:textId="026C42EB" w:rsidR="00651073" w:rsidRDefault="00651073" w:rsidP="00651073">
      <w:pPr>
        <w:spacing w:line="360" w:lineRule="auto"/>
        <w:jc w:val="center"/>
        <w:rPr>
          <w:sz w:val="44"/>
          <w:szCs w:val="44"/>
        </w:rPr>
      </w:pPr>
    </w:p>
    <w:p w14:paraId="22304CF8" w14:textId="21A91F95" w:rsidR="00142EF4" w:rsidRPr="008F6082" w:rsidRDefault="00142EF4" w:rsidP="00651073">
      <w:pPr>
        <w:spacing w:line="360" w:lineRule="auto"/>
        <w:jc w:val="center"/>
        <w:rPr>
          <w:rFonts w:cs="Times New Roman"/>
          <w:sz w:val="44"/>
          <w:szCs w:val="44"/>
          <w:lang w:val="tr-TR"/>
        </w:rPr>
      </w:pPr>
      <w:r w:rsidRPr="008F6082">
        <w:rPr>
          <w:rFonts w:cs="Times New Roman"/>
          <w:sz w:val="44"/>
          <w:szCs w:val="44"/>
          <w:lang w:val="tr-TR"/>
        </w:rPr>
        <w:lastRenderedPageBreak/>
        <w:t>List of Tables</w:t>
      </w:r>
    </w:p>
    <w:p w14:paraId="5C56BBF8" w14:textId="0675F004" w:rsidR="00374633" w:rsidRPr="008F6082" w:rsidRDefault="00374633" w:rsidP="00651073">
      <w:pPr>
        <w:spacing w:line="360" w:lineRule="auto"/>
        <w:rPr>
          <w:rFonts w:cs="Times New Roman"/>
          <w:sz w:val="44"/>
          <w:szCs w:val="44"/>
          <w:lang w:val="tr-TR"/>
        </w:rPr>
      </w:pPr>
    </w:p>
    <w:p w14:paraId="354748AE" w14:textId="63249DC1" w:rsidR="00300946" w:rsidRPr="00300946" w:rsidRDefault="00300946" w:rsidP="00300946">
      <w:pPr>
        <w:spacing w:after="0" w:line="360" w:lineRule="auto"/>
        <w:jc w:val="both"/>
        <w:rPr>
          <w:rFonts w:asciiTheme="majorBidi" w:hAnsiTheme="majorBidi" w:cstheme="majorBidi"/>
          <w:b w:val="0"/>
          <w:color w:val="000000" w:themeColor="text1"/>
          <w:szCs w:val="24"/>
        </w:rPr>
      </w:pPr>
      <w:r w:rsidRPr="00300946">
        <w:rPr>
          <w:rFonts w:asciiTheme="majorBidi" w:hAnsiTheme="majorBidi" w:cstheme="majorBidi"/>
          <w:b w:val="0"/>
          <w:color w:val="000000" w:themeColor="text1"/>
          <w:szCs w:val="24"/>
        </w:rPr>
        <w:t xml:space="preserve">Table 2.1: Field strength of various ions. </w:t>
      </w:r>
      <w:r w:rsidRPr="00300946">
        <w:rPr>
          <w:rFonts w:asciiTheme="majorBidi" w:hAnsiTheme="majorBidi" w:cstheme="majorBidi"/>
          <w:b w:val="0"/>
          <w:color w:val="000000" w:themeColor="text1"/>
          <w:szCs w:val="24"/>
        </w:rPr>
        <w:tab/>
      </w:r>
      <w:r>
        <w:rPr>
          <w:rFonts w:asciiTheme="majorBidi" w:hAnsiTheme="majorBidi" w:cstheme="majorBidi"/>
          <w:b w:val="0"/>
          <w:color w:val="000000" w:themeColor="text1"/>
          <w:szCs w:val="24"/>
        </w:rPr>
        <w:tab/>
      </w:r>
      <w:r>
        <w:rPr>
          <w:rFonts w:asciiTheme="majorBidi" w:hAnsiTheme="majorBidi" w:cstheme="majorBidi"/>
          <w:b w:val="0"/>
          <w:color w:val="000000" w:themeColor="text1"/>
          <w:szCs w:val="24"/>
        </w:rPr>
        <w:tab/>
      </w:r>
      <w:r>
        <w:rPr>
          <w:rFonts w:asciiTheme="majorBidi" w:hAnsiTheme="majorBidi" w:cstheme="majorBidi"/>
          <w:b w:val="0"/>
          <w:color w:val="000000" w:themeColor="text1"/>
          <w:szCs w:val="24"/>
        </w:rPr>
        <w:tab/>
      </w:r>
      <w:r>
        <w:rPr>
          <w:rFonts w:asciiTheme="majorBidi" w:hAnsiTheme="majorBidi" w:cstheme="majorBidi"/>
          <w:b w:val="0"/>
          <w:color w:val="000000" w:themeColor="text1"/>
          <w:szCs w:val="24"/>
        </w:rPr>
        <w:tab/>
      </w:r>
      <w:r>
        <w:rPr>
          <w:rFonts w:asciiTheme="majorBidi" w:hAnsiTheme="majorBidi" w:cstheme="majorBidi"/>
          <w:b w:val="0"/>
          <w:color w:val="000000" w:themeColor="text1"/>
          <w:szCs w:val="24"/>
        </w:rPr>
        <w:tab/>
      </w:r>
      <w:r>
        <w:rPr>
          <w:rFonts w:asciiTheme="majorBidi" w:hAnsiTheme="majorBidi" w:cstheme="majorBidi"/>
          <w:b w:val="0"/>
          <w:color w:val="000000" w:themeColor="text1"/>
          <w:szCs w:val="24"/>
        </w:rPr>
        <w:tab/>
      </w:r>
      <w:r w:rsidRPr="00300946">
        <w:rPr>
          <w:rFonts w:asciiTheme="majorBidi" w:hAnsiTheme="majorBidi" w:cstheme="majorBidi"/>
          <w:b w:val="0"/>
          <w:color w:val="000000" w:themeColor="text1"/>
          <w:szCs w:val="24"/>
        </w:rPr>
        <w:t>10</w:t>
      </w:r>
    </w:p>
    <w:p w14:paraId="0ABBF8F5" w14:textId="0EC4EDE7" w:rsidR="00300946" w:rsidRPr="00300946" w:rsidRDefault="00300946" w:rsidP="00300946">
      <w:pPr>
        <w:pStyle w:val="Caption"/>
        <w:jc w:val="left"/>
        <w:rPr>
          <w:b w:val="0"/>
        </w:rPr>
      </w:pPr>
      <w:r w:rsidRPr="00300946">
        <w:rPr>
          <w:b w:val="0"/>
        </w:rPr>
        <w:t>Table 2.2: Borate structural units</w:t>
      </w:r>
      <w:r w:rsidRPr="00300946">
        <w:rPr>
          <w:b w:val="0"/>
        </w:rPr>
        <w:tab/>
      </w:r>
      <w:r w:rsidRPr="00300946">
        <w:rPr>
          <w:b w:val="0"/>
        </w:rPr>
        <w:tab/>
      </w:r>
      <w:r w:rsidRPr="00300946">
        <w:rPr>
          <w:b w:val="0"/>
        </w:rPr>
        <w:tab/>
      </w:r>
      <w:r>
        <w:rPr>
          <w:b w:val="0"/>
        </w:rPr>
        <w:tab/>
      </w:r>
      <w:r>
        <w:rPr>
          <w:b w:val="0"/>
        </w:rPr>
        <w:tab/>
      </w:r>
      <w:r w:rsidRPr="00300946">
        <w:rPr>
          <w:b w:val="0"/>
        </w:rPr>
        <w:tab/>
      </w:r>
      <w:r w:rsidRPr="00300946">
        <w:rPr>
          <w:b w:val="0"/>
        </w:rPr>
        <w:tab/>
      </w:r>
      <w:r>
        <w:rPr>
          <w:b w:val="0"/>
        </w:rPr>
        <w:tab/>
      </w:r>
      <w:r w:rsidRPr="00300946">
        <w:rPr>
          <w:b w:val="0"/>
        </w:rPr>
        <w:t>16</w:t>
      </w:r>
    </w:p>
    <w:p w14:paraId="684A75E4" w14:textId="33E762E7" w:rsidR="00300946" w:rsidRPr="00300946" w:rsidRDefault="00300946" w:rsidP="00300946">
      <w:pPr>
        <w:rPr>
          <w:rFonts w:asciiTheme="majorBidi" w:hAnsiTheme="majorBidi" w:cstheme="majorBidi"/>
          <w:b w:val="0"/>
          <w:color w:val="000000" w:themeColor="text1"/>
          <w:szCs w:val="24"/>
        </w:rPr>
      </w:pPr>
      <w:r w:rsidRPr="00300946">
        <w:rPr>
          <w:b w:val="0"/>
        </w:rPr>
        <w:t>Table 2.3</w:t>
      </w:r>
      <w:r w:rsidRPr="00300946">
        <w:rPr>
          <w:rFonts w:asciiTheme="majorBidi" w:hAnsiTheme="majorBidi" w:cstheme="majorBidi"/>
          <w:b w:val="0"/>
          <w:color w:val="000000" w:themeColor="text1"/>
          <w:szCs w:val="24"/>
        </w:rPr>
        <w:t xml:space="preserve">: Summary of the mechanical properties of different types of glass </w:t>
      </w:r>
      <w:r w:rsidRPr="00300946">
        <w:rPr>
          <w:rFonts w:asciiTheme="majorBidi" w:hAnsiTheme="majorBidi" w:cstheme="majorBidi"/>
          <w:b w:val="0"/>
          <w:color w:val="000000" w:themeColor="text1"/>
          <w:szCs w:val="24"/>
        </w:rPr>
        <w:tab/>
      </w:r>
      <w:r>
        <w:rPr>
          <w:rFonts w:asciiTheme="majorBidi" w:hAnsiTheme="majorBidi" w:cstheme="majorBidi"/>
          <w:b w:val="0"/>
          <w:color w:val="000000" w:themeColor="text1"/>
          <w:szCs w:val="24"/>
        </w:rPr>
        <w:tab/>
      </w:r>
      <w:r w:rsidRPr="00300946">
        <w:rPr>
          <w:rFonts w:asciiTheme="majorBidi" w:hAnsiTheme="majorBidi" w:cstheme="majorBidi"/>
          <w:b w:val="0"/>
          <w:color w:val="000000" w:themeColor="text1"/>
          <w:szCs w:val="24"/>
        </w:rPr>
        <w:t>21</w:t>
      </w:r>
    </w:p>
    <w:p w14:paraId="0B999016" w14:textId="0E0CDBAF" w:rsidR="00300946" w:rsidRPr="00300946" w:rsidRDefault="00300946" w:rsidP="00300946">
      <w:pPr>
        <w:rPr>
          <w:b w:val="0"/>
          <w:szCs w:val="24"/>
        </w:rPr>
      </w:pPr>
      <w:r w:rsidRPr="00300946">
        <w:rPr>
          <w:b w:val="0"/>
        </w:rPr>
        <w:t>Table 3.</w:t>
      </w:r>
      <w:r w:rsidRPr="00300946">
        <w:rPr>
          <w:b w:val="0"/>
        </w:rPr>
        <w:fldChar w:fldCharType="begin"/>
      </w:r>
      <w:r w:rsidRPr="00300946">
        <w:rPr>
          <w:b w:val="0"/>
        </w:rPr>
        <w:instrText xml:space="preserve"> SEQ Table \* ARABIC \s 1 </w:instrText>
      </w:r>
      <w:r w:rsidRPr="00300946">
        <w:rPr>
          <w:b w:val="0"/>
        </w:rPr>
        <w:fldChar w:fldCharType="separate"/>
      </w:r>
      <w:r w:rsidR="00C827AE">
        <w:rPr>
          <w:b w:val="0"/>
          <w:noProof/>
        </w:rPr>
        <w:t>1</w:t>
      </w:r>
      <w:r w:rsidRPr="00300946">
        <w:rPr>
          <w:b w:val="0"/>
        </w:rPr>
        <w:fldChar w:fldCharType="end"/>
      </w:r>
      <w:r w:rsidRPr="00300946">
        <w:rPr>
          <w:b w:val="0"/>
          <w:szCs w:val="24"/>
        </w:rPr>
        <w:t xml:space="preserve"> Batched compositions of the boroaluminosilicate glasses studied </w:t>
      </w:r>
      <w:r>
        <w:rPr>
          <w:b w:val="0"/>
          <w:szCs w:val="24"/>
        </w:rPr>
        <w:tab/>
      </w:r>
      <w:r>
        <w:rPr>
          <w:b w:val="0"/>
          <w:szCs w:val="24"/>
        </w:rPr>
        <w:tab/>
      </w:r>
      <w:r w:rsidRPr="00300946">
        <w:rPr>
          <w:b w:val="0"/>
          <w:szCs w:val="24"/>
        </w:rPr>
        <w:t>3</w:t>
      </w:r>
      <w:r w:rsidR="007E046B">
        <w:rPr>
          <w:b w:val="0"/>
          <w:szCs w:val="24"/>
        </w:rPr>
        <w:t>3</w:t>
      </w:r>
    </w:p>
    <w:p w14:paraId="1D3950D2" w14:textId="058C299B" w:rsidR="00300946" w:rsidRPr="00300946" w:rsidRDefault="00300946" w:rsidP="00300946">
      <w:pPr>
        <w:pStyle w:val="Caption"/>
        <w:jc w:val="left"/>
        <w:rPr>
          <w:b w:val="0"/>
          <w:color w:val="000000" w:themeColor="text1"/>
          <w:szCs w:val="24"/>
        </w:rPr>
      </w:pPr>
      <w:r w:rsidRPr="00300946">
        <w:rPr>
          <w:b w:val="0"/>
        </w:rPr>
        <w:t>Table 3.2</w:t>
      </w:r>
      <w:r w:rsidRPr="00300946">
        <w:rPr>
          <w:b w:val="0"/>
          <w:szCs w:val="24"/>
        </w:rPr>
        <w:t xml:space="preserve">: Raw </w:t>
      </w:r>
      <w:r w:rsidRPr="00300946">
        <w:rPr>
          <w:b w:val="0"/>
          <w:color w:val="000000" w:themeColor="text1"/>
          <w:szCs w:val="24"/>
        </w:rPr>
        <w:t>materials used.</w:t>
      </w:r>
      <w:r w:rsidRPr="00300946">
        <w:rPr>
          <w:b w:val="0"/>
          <w:color w:val="000000" w:themeColor="text1"/>
          <w:szCs w:val="24"/>
        </w:rPr>
        <w:tab/>
      </w:r>
      <w:r w:rsidRPr="00300946">
        <w:rPr>
          <w:b w:val="0"/>
          <w:color w:val="000000" w:themeColor="text1"/>
          <w:szCs w:val="24"/>
        </w:rPr>
        <w:tab/>
      </w:r>
      <w:r w:rsidRPr="00300946">
        <w:rPr>
          <w:b w:val="0"/>
          <w:color w:val="000000" w:themeColor="text1"/>
          <w:szCs w:val="24"/>
        </w:rPr>
        <w:tab/>
      </w:r>
      <w:r w:rsidRPr="00300946">
        <w:rPr>
          <w:b w:val="0"/>
          <w:color w:val="000000" w:themeColor="text1"/>
          <w:szCs w:val="24"/>
        </w:rPr>
        <w:tab/>
      </w:r>
      <w:r w:rsidRPr="00300946">
        <w:rPr>
          <w:b w:val="0"/>
          <w:color w:val="000000" w:themeColor="text1"/>
          <w:szCs w:val="24"/>
        </w:rPr>
        <w:tab/>
      </w:r>
      <w:r>
        <w:rPr>
          <w:b w:val="0"/>
          <w:color w:val="000000" w:themeColor="text1"/>
          <w:szCs w:val="24"/>
        </w:rPr>
        <w:tab/>
      </w:r>
      <w:r>
        <w:rPr>
          <w:b w:val="0"/>
          <w:color w:val="000000" w:themeColor="text1"/>
          <w:szCs w:val="24"/>
        </w:rPr>
        <w:tab/>
      </w:r>
      <w:r>
        <w:rPr>
          <w:b w:val="0"/>
          <w:color w:val="000000" w:themeColor="text1"/>
          <w:szCs w:val="24"/>
        </w:rPr>
        <w:tab/>
      </w:r>
      <w:r w:rsidRPr="00300946">
        <w:rPr>
          <w:b w:val="0"/>
          <w:color w:val="000000" w:themeColor="text1"/>
          <w:szCs w:val="24"/>
        </w:rPr>
        <w:t>3</w:t>
      </w:r>
      <w:r w:rsidR="007E046B">
        <w:rPr>
          <w:b w:val="0"/>
          <w:color w:val="000000" w:themeColor="text1"/>
          <w:szCs w:val="24"/>
        </w:rPr>
        <w:t>4</w:t>
      </w:r>
    </w:p>
    <w:p w14:paraId="3ADE3DF0" w14:textId="3A8BC59D" w:rsidR="00300946" w:rsidRPr="00300946" w:rsidRDefault="00300946" w:rsidP="00300946">
      <w:pPr>
        <w:pStyle w:val="Caption"/>
        <w:jc w:val="left"/>
        <w:rPr>
          <w:rFonts w:eastAsiaTheme="majorEastAsia"/>
          <w:b w:val="0"/>
          <w:szCs w:val="24"/>
        </w:rPr>
      </w:pPr>
      <w:r w:rsidRPr="00300946">
        <w:rPr>
          <w:b w:val="0"/>
        </w:rPr>
        <w:t>Table 3.3</w:t>
      </w:r>
      <w:r w:rsidRPr="00300946">
        <w:rPr>
          <w:rFonts w:eastAsiaTheme="majorEastAsia"/>
          <w:b w:val="0"/>
          <w:szCs w:val="24"/>
        </w:rPr>
        <w:t>: Melting temperature of glass series.</w:t>
      </w:r>
      <w:r w:rsidRPr="00300946">
        <w:rPr>
          <w:rFonts w:eastAsiaTheme="majorEastAsia"/>
          <w:b w:val="0"/>
          <w:szCs w:val="24"/>
        </w:rPr>
        <w:tab/>
      </w:r>
      <w:r w:rsidRPr="00300946">
        <w:rPr>
          <w:rFonts w:eastAsiaTheme="majorEastAsia"/>
          <w:b w:val="0"/>
          <w:szCs w:val="24"/>
        </w:rPr>
        <w:tab/>
      </w:r>
      <w:r w:rsidRPr="00300946">
        <w:rPr>
          <w:rFonts w:eastAsiaTheme="majorEastAsia"/>
          <w:b w:val="0"/>
          <w:szCs w:val="24"/>
        </w:rPr>
        <w:tab/>
      </w:r>
      <w:r>
        <w:rPr>
          <w:rFonts w:eastAsiaTheme="majorEastAsia"/>
          <w:b w:val="0"/>
          <w:szCs w:val="24"/>
        </w:rPr>
        <w:tab/>
      </w:r>
      <w:r>
        <w:rPr>
          <w:rFonts w:eastAsiaTheme="majorEastAsia"/>
          <w:b w:val="0"/>
          <w:szCs w:val="24"/>
        </w:rPr>
        <w:tab/>
      </w:r>
      <w:r>
        <w:rPr>
          <w:rFonts w:eastAsiaTheme="majorEastAsia"/>
          <w:b w:val="0"/>
          <w:szCs w:val="24"/>
        </w:rPr>
        <w:tab/>
      </w:r>
      <w:r w:rsidRPr="00300946">
        <w:rPr>
          <w:rFonts w:eastAsiaTheme="majorEastAsia"/>
          <w:b w:val="0"/>
          <w:szCs w:val="24"/>
        </w:rPr>
        <w:t>3</w:t>
      </w:r>
      <w:r w:rsidR="007E046B">
        <w:rPr>
          <w:rFonts w:eastAsiaTheme="majorEastAsia"/>
          <w:b w:val="0"/>
          <w:szCs w:val="24"/>
        </w:rPr>
        <w:t>5</w:t>
      </w:r>
    </w:p>
    <w:p w14:paraId="7AFAFC1F" w14:textId="7DD75272" w:rsidR="00300946" w:rsidRPr="00300946" w:rsidRDefault="00300946" w:rsidP="00300946">
      <w:pPr>
        <w:pStyle w:val="Caption"/>
        <w:jc w:val="left"/>
        <w:rPr>
          <w:rFonts w:asciiTheme="majorBidi" w:hAnsiTheme="majorBidi"/>
          <w:b w:val="0"/>
        </w:rPr>
      </w:pPr>
      <w:r w:rsidRPr="00300946">
        <w:rPr>
          <w:b w:val="0"/>
        </w:rPr>
        <w:t>Table 3.4</w:t>
      </w:r>
      <w:r w:rsidRPr="00300946">
        <w:rPr>
          <w:rFonts w:asciiTheme="majorBidi" w:hAnsiTheme="majorBidi"/>
          <w:b w:val="0"/>
        </w:rPr>
        <w:t>: FTIR peak assignment of silicate glass.</w:t>
      </w:r>
      <w:r w:rsidRPr="00300946">
        <w:rPr>
          <w:rFonts w:asciiTheme="majorBidi" w:hAnsiTheme="majorBidi"/>
          <w:b w:val="0"/>
        </w:rPr>
        <w:tab/>
      </w:r>
      <w:r w:rsidRPr="00300946">
        <w:rPr>
          <w:rFonts w:asciiTheme="majorBidi" w:hAnsiTheme="majorBidi"/>
          <w:b w:val="0"/>
        </w:rPr>
        <w:tab/>
      </w:r>
      <w:r>
        <w:rPr>
          <w:rFonts w:asciiTheme="majorBidi" w:hAnsiTheme="majorBidi"/>
          <w:b w:val="0"/>
        </w:rPr>
        <w:tab/>
      </w:r>
      <w:r>
        <w:rPr>
          <w:rFonts w:asciiTheme="majorBidi" w:hAnsiTheme="majorBidi"/>
          <w:b w:val="0"/>
        </w:rPr>
        <w:tab/>
      </w:r>
      <w:r>
        <w:rPr>
          <w:rFonts w:asciiTheme="majorBidi" w:hAnsiTheme="majorBidi"/>
          <w:b w:val="0"/>
        </w:rPr>
        <w:tab/>
      </w:r>
      <w:r>
        <w:rPr>
          <w:rFonts w:asciiTheme="majorBidi" w:hAnsiTheme="majorBidi"/>
          <w:b w:val="0"/>
        </w:rPr>
        <w:tab/>
      </w:r>
      <w:r w:rsidRPr="00300946">
        <w:rPr>
          <w:rFonts w:asciiTheme="majorBidi" w:hAnsiTheme="majorBidi"/>
          <w:b w:val="0"/>
        </w:rPr>
        <w:t>4</w:t>
      </w:r>
      <w:r w:rsidR="007E046B">
        <w:rPr>
          <w:rFonts w:asciiTheme="majorBidi" w:hAnsiTheme="majorBidi"/>
          <w:b w:val="0"/>
        </w:rPr>
        <w:t>2</w:t>
      </w:r>
    </w:p>
    <w:p w14:paraId="09A72C99" w14:textId="5D459F1D" w:rsidR="00300946" w:rsidRPr="00300946" w:rsidRDefault="00300946" w:rsidP="00300946">
      <w:pPr>
        <w:pStyle w:val="Caption"/>
        <w:jc w:val="left"/>
        <w:rPr>
          <w:rFonts w:asciiTheme="majorBidi" w:hAnsiTheme="majorBidi"/>
          <w:b w:val="0"/>
        </w:rPr>
      </w:pPr>
      <w:r w:rsidRPr="00300946">
        <w:rPr>
          <w:b w:val="0"/>
        </w:rPr>
        <w:t>Table 3.5</w:t>
      </w:r>
      <w:r w:rsidRPr="00300946">
        <w:rPr>
          <w:rFonts w:asciiTheme="majorBidi" w:hAnsiTheme="majorBidi"/>
          <w:b w:val="0"/>
        </w:rPr>
        <w:t xml:space="preserve">: Corresponding vibration of Raman frequencies in aluminosilicates and </w:t>
      </w:r>
      <w:proofErr w:type="spellStart"/>
      <w:r w:rsidRPr="00300946">
        <w:rPr>
          <w:rFonts w:asciiTheme="majorBidi" w:hAnsiTheme="majorBidi"/>
          <w:b w:val="0"/>
        </w:rPr>
        <w:t>borosilicates</w:t>
      </w:r>
      <w:proofErr w:type="spellEnd"/>
      <w:r w:rsidRPr="00300946">
        <w:rPr>
          <w:rFonts w:asciiTheme="majorBidi" w:hAnsiTheme="majorBidi"/>
          <w:b w:val="0"/>
        </w:rPr>
        <w:t>.</w:t>
      </w:r>
      <w:r w:rsidRPr="00300946">
        <w:rPr>
          <w:rFonts w:asciiTheme="majorBidi" w:hAnsiTheme="majorBidi"/>
          <w:b w:val="0"/>
        </w:rPr>
        <w:tab/>
      </w:r>
      <w:r w:rsidRPr="00300946">
        <w:rPr>
          <w:rFonts w:asciiTheme="majorBidi" w:hAnsiTheme="majorBidi"/>
          <w:b w:val="0"/>
        </w:rPr>
        <w:tab/>
      </w:r>
      <w:r w:rsidRPr="00300946">
        <w:rPr>
          <w:rFonts w:asciiTheme="majorBidi" w:hAnsiTheme="majorBidi"/>
          <w:b w:val="0"/>
        </w:rPr>
        <w:tab/>
      </w:r>
      <w:r w:rsidRPr="00300946">
        <w:rPr>
          <w:rFonts w:asciiTheme="majorBidi" w:hAnsiTheme="majorBidi"/>
          <w:b w:val="0"/>
        </w:rPr>
        <w:tab/>
      </w:r>
      <w:r w:rsidRPr="00300946">
        <w:rPr>
          <w:rFonts w:asciiTheme="majorBidi" w:hAnsiTheme="majorBidi"/>
          <w:b w:val="0"/>
        </w:rPr>
        <w:tab/>
      </w:r>
      <w:r w:rsidRPr="00300946">
        <w:rPr>
          <w:rFonts w:asciiTheme="majorBidi" w:hAnsiTheme="majorBidi"/>
          <w:b w:val="0"/>
        </w:rPr>
        <w:tab/>
      </w:r>
      <w:r w:rsidRPr="00300946">
        <w:rPr>
          <w:rFonts w:asciiTheme="majorBidi" w:hAnsiTheme="majorBidi"/>
          <w:b w:val="0"/>
        </w:rPr>
        <w:tab/>
      </w:r>
      <w:r w:rsidRPr="00300946">
        <w:rPr>
          <w:rFonts w:asciiTheme="majorBidi" w:hAnsiTheme="majorBidi"/>
          <w:b w:val="0"/>
        </w:rPr>
        <w:tab/>
      </w:r>
      <w:r>
        <w:rPr>
          <w:rFonts w:asciiTheme="majorBidi" w:hAnsiTheme="majorBidi"/>
          <w:b w:val="0"/>
        </w:rPr>
        <w:tab/>
      </w:r>
      <w:r>
        <w:rPr>
          <w:rFonts w:asciiTheme="majorBidi" w:hAnsiTheme="majorBidi"/>
          <w:b w:val="0"/>
        </w:rPr>
        <w:tab/>
      </w:r>
      <w:r>
        <w:rPr>
          <w:rFonts w:asciiTheme="majorBidi" w:hAnsiTheme="majorBidi"/>
          <w:b w:val="0"/>
        </w:rPr>
        <w:tab/>
      </w:r>
      <w:r w:rsidRPr="00300946">
        <w:rPr>
          <w:rFonts w:asciiTheme="majorBidi" w:hAnsiTheme="majorBidi"/>
          <w:b w:val="0"/>
        </w:rPr>
        <w:t>4</w:t>
      </w:r>
      <w:r w:rsidR="007E046B">
        <w:rPr>
          <w:rFonts w:asciiTheme="majorBidi" w:hAnsiTheme="majorBidi"/>
          <w:b w:val="0"/>
        </w:rPr>
        <w:t>5</w:t>
      </w:r>
    </w:p>
    <w:p w14:paraId="6D669C75" w14:textId="73EBE1F8" w:rsidR="00300946" w:rsidRPr="00300946" w:rsidRDefault="00300946" w:rsidP="00300946">
      <w:pPr>
        <w:pStyle w:val="Caption"/>
        <w:jc w:val="left"/>
        <w:rPr>
          <w:rFonts w:asciiTheme="majorBidi" w:hAnsiTheme="majorBidi"/>
          <w:b w:val="0"/>
        </w:rPr>
      </w:pPr>
      <w:r w:rsidRPr="00300946">
        <w:rPr>
          <w:b w:val="0"/>
        </w:rPr>
        <w:t>Table 3.6</w:t>
      </w:r>
      <w:r w:rsidRPr="00300946">
        <w:rPr>
          <w:rFonts w:asciiTheme="majorBidi" w:hAnsiTheme="majorBidi"/>
          <w:b w:val="0"/>
        </w:rPr>
        <w:t xml:space="preserve">: </w:t>
      </w:r>
      <w:r w:rsidR="005611DC">
        <w:rPr>
          <w:rFonts w:asciiTheme="majorBidi" w:hAnsiTheme="majorBidi"/>
          <w:b w:val="0"/>
        </w:rPr>
        <w:t xml:space="preserve">Raman </w:t>
      </w:r>
      <w:r w:rsidR="00897B46">
        <w:rPr>
          <w:rFonts w:asciiTheme="majorBidi" w:hAnsiTheme="majorBidi"/>
          <w:b w:val="0"/>
        </w:rPr>
        <w:t>p</w:t>
      </w:r>
      <w:r w:rsidR="005611DC">
        <w:rPr>
          <w:rFonts w:asciiTheme="majorBidi" w:hAnsiTheme="majorBidi"/>
          <w:b w:val="0"/>
        </w:rPr>
        <w:t>eak assignment</w:t>
      </w:r>
      <w:r w:rsidRPr="00300946">
        <w:rPr>
          <w:rFonts w:asciiTheme="majorBidi" w:hAnsiTheme="majorBidi"/>
          <w:b w:val="0"/>
        </w:rPr>
        <w:t>.</w:t>
      </w:r>
      <w:r w:rsidRPr="00300946">
        <w:rPr>
          <w:rFonts w:asciiTheme="majorBidi" w:hAnsiTheme="majorBidi"/>
          <w:b w:val="0"/>
        </w:rPr>
        <w:tab/>
      </w:r>
      <w:r w:rsidRPr="00300946">
        <w:rPr>
          <w:rFonts w:asciiTheme="majorBidi" w:hAnsiTheme="majorBidi"/>
          <w:b w:val="0"/>
        </w:rPr>
        <w:tab/>
      </w:r>
      <w:r>
        <w:rPr>
          <w:rFonts w:asciiTheme="majorBidi" w:hAnsiTheme="majorBidi"/>
          <w:b w:val="0"/>
        </w:rPr>
        <w:tab/>
      </w:r>
      <w:r>
        <w:rPr>
          <w:rFonts w:asciiTheme="majorBidi" w:hAnsiTheme="majorBidi"/>
          <w:b w:val="0"/>
        </w:rPr>
        <w:tab/>
      </w:r>
      <w:r>
        <w:rPr>
          <w:rFonts w:asciiTheme="majorBidi" w:hAnsiTheme="majorBidi"/>
          <w:b w:val="0"/>
        </w:rPr>
        <w:tab/>
      </w:r>
      <w:r>
        <w:rPr>
          <w:rFonts w:asciiTheme="majorBidi" w:hAnsiTheme="majorBidi"/>
          <w:b w:val="0"/>
        </w:rPr>
        <w:tab/>
      </w:r>
      <w:r w:rsidR="005611DC">
        <w:rPr>
          <w:rFonts w:asciiTheme="majorBidi" w:hAnsiTheme="majorBidi"/>
          <w:b w:val="0"/>
        </w:rPr>
        <w:tab/>
      </w:r>
      <w:r w:rsidR="005611DC">
        <w:rPr>
          <w:rFonts w:asciiTheme="majorBidi" w:hAnsiTheme="majorBidi"/>
          <w:b w:val="0"/>
        </w:rPr>
        <w:tab/>
      </w:r>
      <w:r w:rsidRPr="00300946">
        <w:rPr>
          <w:rFonts w:asciiTheme="majorBidi" w:hAnsiTheme="majorBidi"/>
          <w:b w:val="0"/>
        </w:rPr>
        <w:t>4</w:t>
      </w:r>
      <w:r w:rsidR="00485C02">
        <w:rPr>
          <w:rFonts w:asciiTheme="majorBidi" w:hAnsiTheme="majorBidi"/>
          <w:b w:val="0"/>
        </w:rPr>
        <w:t>7</w:t>
      </w:r>
    </w:p>
    <w:p w14:paraId="05FA8C2C" w14:textId="002328D9" w:rsidR="00300946" w:rsidRDefault="00300946" w:rsidP="00300946">
      <w:pPr>
        <w:spacing w:after="0"/>
        <w:rPr>
          <w:b w:val="0"/>
          <w:bCs/>
          <w:szCs w:val="24"/>
        </w:rPr>
      </w:pPr>
      <w:r w:rsidRPr="00300946">
        <w:rPr>
          <w:b w:val="0"/>
        </w:rPr>
        <w:t>Table 4.</w:t>
      </w:r>
      <w:r w:rsidR="00485C02">
        <w:rPr>
          <w:b w:val="0"/>
        </w:rPr>
        <w:t>1</w:t>
      </w:r>
      <w:r w:rsidRPr="00300946">
        <w:rPr>
          <w:b w:val="0"/>
          <w:bCs/>
          <w:szCs w:val="24"/>
        </w:rPr>
        <w:t>: Analysed glass compositions for some of the glasses produced (</w:t>
      </w:r>
      <w:proofErr w:type="spellStart"/>
      <w:r w:rsidRPr="00300946">
        <w:rPr>
          <w:b w:val="0"/>
          <w:bCs/>
          <w:szCs w:val="24"/>
        </w:rPr>
        <w:t>wt</w:t>
      </w:r>
      <w:proofErr w:type="spellEnd"/>
      <w:r w:rsidRPr="00300946">
        <w:rPr>
          <w:b w:val="0"/>
          <w:bCs/>
          <w:szCs w:val="24"/>
        </w:rPr>
        <w:t xml:space="preserve"> %); </w:t>
      </w:r>
    </w:p>
    <w:p w14:paraId="6AC74906" w14:textId="07C91652" w:rsidR="00300946" w:rsidRDefault="00300946" w:rsidP="00300946">
      <w:pPr>
        <w:spacing w:after="0"/>
        <w:rPr>
          <w:b w:val="0"/>
          <w:bCs/>
          <w:szCs w:val="24"/>
        </w:rPr>
      </w:pPr>
      <w:r w:rsidRPr="00300946">
        <w:rPr>
          <w:b w:val="0"/>
          <w:bCs/>
          <w:szCs w:val="24"/>
        </w:rPr>
        <w:t xml:space="preserve">ICP-OES for </w:t>
      </w:r>
      <w:proofErr w:type="spellStart"/>
      <w:r w:rsidRPr="00300946">
        <w:rPr>
          <w:b w:val="0"/>
          <w:bCs/>
          <w:szCs w:val="24"/>
        </w:rPr>
        <w:t>seclected</w:t>
      </w:r>
      <w:proofErr w:type="spellEnd"/>
      <w:r w:rsidRPr="00300946">
        <w:rPr>
          <w:b w:val="0"/>
          <w:bCs/>
          <w:szCs w:val="24"/>
        </w:rPr>
        <w:t xml:space="preserve"> glasses and XRF for all glasses. Analysis data normalised </w:t>
      </w:r>
    </w:p>
    <w:p w14:paraId="148D1B29" w14:textId="34ADC2C2" w:rsidR="00300946" w:rsidRPr="00300946" w:rsidRDefault="00300946" w:rsidP="00300946">
      <w:pPr>
        <w:rPr>
          <w:b w:val="0"/>
          <w:bCs/>
          <w:szCs w:val="24"/>
        </w:rPr>
      </w:pPr>
      <w:r w:rsidRPr="00300946">
        <w:rPr>
          <w:b w:val="0"/>
          <w:bCs/>
          <w:szCs w:val="24"/>
        </w:rPr>
        <w:t xml:space="preserve">to 100 </w:t>
      </w:r>
      <w:proofErr w:type="spellStart"/>
      <w:r w:rsidRPr="00300946">
        <w:rPr>
          <w:b w:val="0"/>
          <w:bCs/>
          <w:szCs w:val="24"/>
        </w:rPr>
        <w:t>wt</w:t>
      </w:r>
      <w:proofErr w:type="spellEnd"/>
      <w:r w:rsidRPr="00300946">
        <w:rPr>
          <w:b w:val="0"/>
          <w:bCs/>
          <w:szCs w:val="24"/>
        </w:rPr>
        <w:t>%.</w:t>
      </w:r>
      <w:r w:rsidRPr="00300946">
        <w:rPr>
          <w:b w:val="0"/>
          <w:bCs/>
          <w:szCs w:val="24"/>
        </w:rPr>
        <w:tab/>
      </w:r>
      <w:r w:rsidRPr="00300946">
        <w:rPr>
          <w:b w:val="0"/>
          <w:bCs/>
          <w:szCs w:val="24"/>
        </w:rPr>
        <w:tab/>
      </w:r>
      <w:r w:rsidRPr="00300946">
        <w:rPr>
          <w:b w:val="0"/>
          <w:bCs/>
          <w:szCs w:val="24"/>
        </w:rPr>
        <w:tab/>
      </w:r>
      <w:r w:rsidRPr="00300946">
        <w:rPr>
          <w:b w:val="0"/>
          <w:bCs/>
          <w:szCs w:val="24"/>
        </w:rPr>
        <w:tab/>
      </w:r>
      <w:r w:rsidRPr="00300946">
        <w:rPr>
          <w:b w:val="0"/>
          <w:bCs/>
          <w:szCs w:val="24"/>
        </w:rPr>
        <w:tab/>
      </w:r>
      <w:r w:rsidRPr="00300946">
        <w:rPr>
          <w:b w:val="0"/>
          <w:bCs/>
          <w:szCs w:val="24"/>
        </w:rPr>
        <w:tab/>
      </w:r>
      <w:r w:rsidRPr="00300946">
        <w:rPr>
          <w:b w:val="0"/>
          <w:bCs/>
          <w:szCs w:val="24"/>
        </w:rPr>
        <w:tab/>
      </w:r>
      <w:r w:rsidRPr="00300946">
        <w:rPr>
          <w:b w:val="0"/>
          <w:bCs/>
          <w:szCs w:val="24"/>
        </w:rPr>
        <w:tab/>
      </w:r>
      <w:r w:rsidRPr="00300946">
        <w:rPr>
          <w:b w:val="0"/>
          <w:bCs/>
          <w:szCs w:val="24"/>
        </w:rPr>
        <w:tab/>
      </w:r>
      <w:r>
        <w:rPr>
          <w:b w:val="0"/>
          <w:bCs/>
          <w:szCs w:val="24"/>
        </w:rPr>
        <w:tab/>
      </w:r>
      <w:r>
        <w:rPr>
          <w:b w:val="0"/>
          <w:bCs/>
          <w:szCs w:val="24"/>
        </w:rPr>
        <w:tab/>
      </w:r>
      <w:r w:rsidRPr="00300946">
        <w:rPr>
          <w:b w:val="0"/>
          <w:bCs/>
          <w:szCs w:val="24"/>
        </w:rPr>
        <w:t>5</w:t>
      </w:r>
      <w:r w:rsidR="005611DC">
        <w:rPr>
          <w:b w:val="0"/>
          <w:bCs/>
          <w:szCs w:val="24"/>
        </w:rPr>
        <w:t>6</w:t>
      </w:r>
    </w:p>
    <w:p w14:paraId="223B6F83" w14:textId="190F6ACB" w:rsidR="00300946" w:rsidRDefault="00300946" w:rsidP="00300946">
      <w:pPr>
        <w:pStyle w:val="Caption"/>
        <w:spacing w:after="0"/>
        <w:jc w:val="left"/>
        <w:rPr>
          <w:b w:val="0"/>
          <w:szCs w:val="24"/>
        </w:rPr>
      </w:pPr>
      <w:r w:rsidRPr="00300946">
        <w:rPr>
          <w:b w:val="0"/>
        </w:rPr>
        <w:t>Table 4.</w:t>
      </w:r>
      <w:r w:rsidR="000E761A">
        <w:rPr>
          <w:b w:val="0"/>
        </w:rPr>
        <w:t>2</w:t>
      </w:r>
      <w:r w:rsidRPr="00300946">
        <w:rPr>
          <w:b w:val="0"/>
          <w:szCs w:val="24"/>
        </w:rPr>
        <w:t>: Q</w:t>
      </w:r>
      <w:r w:rsidRPr="00300946">
        <w:rPr>
          <w:b w:val="0"/>
          <w:szCs w:val="24"/>
          <w:vertAlign w:val="superscript"/>
        </w:rPr>
        <w:t>3</w:t>
      </w:r>
      <w:r w:rsidRPr="00300946">
        <w:rPr>
          <w:b w:val="0"/>
          <w:szCs w:val="24"/>
        </w:rPr>
        <w:t xml:space="preserve"> and Q</w:t>
      </w:r>
      <w:r w:rsidRPr="00300946">
        <w:rPr>
          <w:b w:val="0"/>
          <w:szCs w:val="24"/>
          <w:vertAlign w:val="superscript"/>
        </w:rPr>
        <w:t>4</w:t>
      </w:r>
      <w:r w:rsidRPr="00300946">
        <w:rPr>
          <w:b w:val="0"/>
          <w:szCs w:val="24"/>
        </w:rPr>
        <w:t xml:space="preserve"> of</w:t>
      </w:r>
      <w:r w:rsidRPr="00300946">
        <w:rPr>
          <w:b w:val="0"/>
          <w:color w:val="FF0000"/>
          <w:szCs w:val="24"/>
        </w:rPr>
        <w:t xml:space="preserve"> </w:t>
      </w:r>
      <w:r w:rsidRPr="00300946">
        <w:rPr>
          <w:b w:val="0"/>
          <w:szCs w:val="24"/>
        </w:rPr>
        <w:t>selected</w:t>
      </w:r>
      <w:r w:rsidRPr="00300946">
        <w:rPr>
          <w:b w:val="0"/>
          <w:color w:val="FF0000"/>
          <w:szCs w:val="24"/>
        </w:rPr>
        <w:t xml:space="preserve"> </w:t>
      </w:r>
      <w:r w:rsidRPr="00300946">
        <w:rPr>
          <w:b w:val="0"/>
          <w:szCs w:val="24"/>
        </w:rPr>
        <w:t xml:space="preserve">glass samples as determined by </w:t>
      </w:r>
      <w:r w:rsidRPr="00300946">
        <w:rPr>
          <w:b w:val="0"/>
          <w:szCs w:val="24"/>
          <w:vertAlign w:val="superscript"/>
        </w:rPr>
        <w:t>29</w:t>
      </w:r>
      <w:r w:rsidRPr="00300946">
        <w:rPr>
          <w:b w:val="0"/>
          <w:szCs w:val="24"/>
        </w:rPr>
        <w:t xml:space="preserve">Si NMR and </w:t>
      </w:r>
    </w:p>
    <w:p w14:paraId="30E24303" w14:textId="4A20DFD0" w:rsidR="00300946" w:rsidRPr="00300946" w:rsidRDefault="00300946" w:rsidP="00300946">
      <w:pPr>
        <w:pStyle w:val="Caption"/>
        <w:jc w:val="left"/>
        <w:rPr>
          <w:b w:val="0"/>
          <w:szCs w:val="24"/>
        </w:rPr>
      </w:pPr>
      <w:r w:rsidRPr="00300946">
        <w:rPr>
          <w:b w:val="0"/>
          <w:szCs w:val="24"/>
        </w:rPr>
        <w:t xml:space="preserve">Raman </w:t>
      </w:r>
      <w:proofErr w:type="spellStart"/>
      <w:r w:rsidRPr="00300946">
        <w:rPr>
          <w:b w:val="0"/>
          <w:szCs w:val="24"/>
        </w:rPr>
        <w:t>spectrocopy</w:t>
      </w:r>
      <w:proofErr w:type="spellEnd"/>
      <w:r w:rsidRPr="00300946">
        <w:rPr>
          <w:b w:val="0"/>
          <w:szCs w:val="24"/>
        </w:rPr>
        <w:t>.</w:t>
      </w:r>
      <w:r w:rsidRPr="00300946">
        <w:rPr>
          <w:b w:val="0"/>
          <w:szCs w:val="24"/>
        </w:rPr>
        <w:tab/>
      </w:r>
      <w:r w:rsidRPr="00300946">
        <w:rPr>
          <w:b w:val="0"/>
          <w:szCs w:val="24"/>
        </w:rPr>
        <w:tab/>
      </w:r>
      <w:r w:rsidRPr="00300946">
        <w:rPr>
          <w:b w:val="0"/>
          <w:szCs w:val="24"/>
        </w:rPr>
        <w:tab/>
      </w:r>
      <w:r w:rsidRPr="00300946">
        <w:rPr>
          <w:b w:val="0"/>
          <w:szCs w:val="24"/>
        </w:rPr>
        <w:tab/>
      </w:r>
      <w:r w:rsidRPr="00300946">
        <w:rPr>
          <w:b w:val="0"/>
          <w:szCs w:val="24"/>
        </w:rPr>
        <w:tab/>
      </w:r>
      <w:r w:rsidRPr="00300946">
        <w:rPr>
          <w:b w:val="0"/>
          <w:szCs w:val="24"/>
        </w:rPr>
        <w:tab/>
      </w:r>
      <w:r w:rsidRPr="00300946">
        <w:rPr>
          <w:b w:val="0"/>
          <w:szCs w:val="24"/>
        </w:rPr>
        <w:tab/>
      </w:r>
      <w:r w:rsidRPr="00300946">
        <w:rPr>
          <w:b w:val="0"/>
          <w:szCs w:val="24"/>
        </w:rPr>
        <w:tab/>
      </w:r>
      <w:r>
        <w:rPr>
          <w:b w:val="0"/>
          <w:szCs w:val="24"/>
        </w:rPr>
        <w:tab/>
      </w:r>
      <w:r>
        <w:rPr>
          <w:b w:val="0"/>
          <w:szCs w:val="24"/>
        </w:rPr>
        <w:tab/>
      </w:r>
      <w:r w:rsidRPr="00300946">
        <w:rPr>
          <w:b w:val="0"/>
          <w:szCs w:val="24"/>
        </w:rPr>
        <w:t>9</w:t>
      </w:r>
      <w:r w:rsidR="00485C02">
        <w:rPr>
          <w:b w:val="0"/>
          <w:szCs w:val="24"/>
        </w:rPr>
        <w:t>7</w:t>
      </w:r>
    </w:p>
    <w:p w14:paraId="03918C97" w14:textId="77777777" w:rsidR="0065130D" w:rsidRPr="008F6082" w:rsidRDefault="0065130D" w:rsidP="0065130D"/>
    <w:p w14:paraId="380FADF2" w14:textId="2069ECE9" w:rsidR="00EF491B" w:rsidRPr="00651073" w:rsidRDefault="00EF491B" w:rsidP="00651073">
      <w:pPr>
        <w:spacing w:line="360" w:lineRule="auto"/>
        <w:rPr>
          <w:rFonts w:cs="Times New Roman"/>
          <w:sz w:val="44"/>
          <w:szCs w:val="44"/>
        </w:rPr>
        <w:sectPr w:rsidR="00EF491B" w:rsidRPr="00651073" w:rsidSect="00187208">
          <w:pgSz w:w="11906" w:h="16838"/>
          <w:pgMar w:top="1440" w:right="1440" w:bottom="1440" w:left="1440" w:header="708" w:footer="708" w:gutter="0"/>
          <w:pgNumType w:fmt="lowerRoman"/>
          <w:cols w:space="708"/>
          <w:docGrid w:linePitch="360"/>
        </w:sectPr>
      </w:pPr>
    </w:p>
    <w:p w14:paraId="6AD9CE5C" w14:textId="76262BCB" w:rsidR="002A61DC" w:rsidRPr="000E2377" w:rsidRDefault="008B7BFE" w:rsidP="008B7BFE">
      <w:pPr>
        <w:pStyle w:val="Heading1"/>
      </w:pPr>
      <w:bookmarkStart w:id="17" w:name="_Toc523402862"/>
      <w:bookmarkStart w:id="18" w:name="_Toc525526373"/>
      <w:bookmarkStart w:id="19" w:name="_Toc525707791"/>
      <w:bookmarkStart w:id="20" w:name="_Toc525742455"/>
      <w:bookmarkStart w:id="21" w:name="_Toc12994933"/>
      <w:bookmarkStart w:id="22" w:name="_Toc515398697"/>
      <w:r w:rsidRPr="000E2377">
        <w:lastRenderedPageBreak/>
        <w:t>CHAPTER 1</w:t>
      </w:r>
      <w:bookmarkEnd w:id="17"/>
      <w:bookmarkEnd w:id="18"/>
      <w:bookmarkEnd w:id="19"/>
      <w:bookmarkEnd w:id="20"/>
      <w:bookmarkEnd w:id="21"/>
    </w:p>
    <w:p w14:paraId="07AC2F6C" w14:textId="0354B2AE" w:rsidR="00F21256" w:rsidRPr="000E2377" w:rsidRDefault="00F84EE9" w:rsidP="003214C4">
      <w:pPr>
        <w:pStyle w:val="Heading2"/>
      </w:pPr>
      <w:bookmarkStart w:id="23" w:name="_Toc523402863"/>
      <w:bookmarkStart w:id="24" w:name="_Toc525526374"/>
      <w:bookmarkStart w:id="25" w:name="_Toc525707792"/>
      <w:bookmarkStart w:id="26" w:name="_Toc525742456"/>
      <w:bookmarkStart w:id="27" w:name="_Toc12994934"/>
      <w:r w:rsidRPr="000E2377">
        <w:t>I</w:t>
      </w:r>
      <w:r w:rsidR="00F21256" w:rsidRPr="000E2377">
        <w:t>ntroduction</w:t>
      </w:r>
      <w:bookmarkEnd w:id="22"/>
      <w:bookmarkEnd w:id="23"/>
      <w:bookmarkEnd w:id="24"/>
      <w:bookmarkEnd w:id="25"/>
      <w:bookmarkEnd w:id="26"/>
      <w:bookmarkEnd w:id="27"/>
    </w:p>
    <w:p w14:paraId="18869411" w14:textId="14AEF7E8" w:rsidR="00574F23" w:rsidRDefault="00574F23" w:rsidP="00574F23">
      <w:pPr>
        <w:spacing w:line="360" w:lineRule="auto"/>
        <w:jc w:val="both"/>
        <w:rPr>
          <w:rFonts w:asciiTheme="majorBidi" w:hAnsiTheme="majorBidi" w:cstheme="majorBidi"/>
          <w:b w:val="0"/>
          <w:szCs w:val="24"/>
        </w:rPr>
      </w:pPr>
      <w:r>
        <w:rPr>
          <w:rFonts w:asciiTheme="majorBidi" w:hAnsiTheme="majorBidi" w:cstheme="majorBidi"/>
          <w:b w:val="0"/>
          <w:szCs w:val="24"/>
        </w:rPr>
        <w:t xml:space="preserve">Boroaluminosilicate glasses are very interesting due to their complicated structural speciation involving two glass formers and one conditional former. They have been used to produce very high strength protective glass components </w:t>
      </w:r>
      <w:r>
        <w:rPr>
          <w:rFonts w:cstheme="majorBidi"/>
          <w:b w:val="0"/>
          <w:szCs w:val="24"/>
        </w:rPr>
        <w:t xml:space="preserve">for liquid crystal display (LCD) substrates </w:t>
      </w:r>
      <w:r>
        <w:rPr>
          <w:rFonts w:cstheme="majorBidi"/>
          <w:b w:val="0"/>
          <w:szCs w:val="24"/>
        </w:rPr>
        <w:fldChar w:fldCharType="begin" w:fldLock="1"/>
      </w:r>
      <w:r>
        <w:rPr>
          <w:rFonts w:cstheme="majorBidi"/>
          <w:b w:val="0"/>
          <w:szCs w:val="24"/>
        </w:rPr>
        <w:instrText>ADDIN CSL_CITATION { "citationItems" : [ { "id" : "ITEM-1", "itemData" : { "DOI" : "10.1111/j.1551-2916.2005.00079.x", "ISSN" : "0002-7820", "author" : [ { "dropping-particle" : "", "family" : "Kato", "given" : "Y.", "non-dropping-particle" : "", "parse-names" : false, "suffix" : "" }, { "dropping-particle" : "", "family" : "Yamazaki", "given" : "H.", "non-dropping-particle" : "", "parse-names" : false, "suffix" : "" }, { "dropping-particle" : "", "family" : "Watanabe", "given" : "T.", "non-dropping-particle" : "", "parse-names" : false, "suffix" : "" }, { "dropping-particle" : "", "family" : "Saito", "given" : "K.", "non-dropping-particle" : "", "parse-names" : false, "suffix" : "" }, { "dropping-particle" : "", "family" : "Ikushima", "given" : "a. J.", "non-dropping-particle" : "", "parse-names" : false, "suffix" : "" } ], "container-title" : "Journal of the American Ceramic Society", "id" : "ITEM-1", "issue" : "2", "issued" : { "date-parts" : [ [ "2005" ] ] }, "page" : "473-477", "title" : "Early Stage of Phase Separation in Aluminoborosilicate Glass for Liquid Crystal Display Substrate", "type" : "article-journal", "volume" : "88" }, "uris" : [ "http://www.mendeley.com/documents/?uuid=d2e191d0-db96-4c84-9972-598d76756a6d" ] } ], "mendeley" : { "formattedCitation" : "(Y. Kato, Yamazaki, Watanabe, Saito, &amp; Ikushima, 2005)", "manualFormatting" : "(Kato et al., 2005)", "plainTextFormattedCitation" : "(Y. Kato, Yamazaki, Watanabe, Saito, &amp; Ikushima, 2005)", "previouslyFormattedCitation" : "(Y. Kato, Yamazaki, Watanabe, Saito, &amp; Ikushima, 2005)" }, "properties" : { "noteIndex" : 0 }, "schema" : "https://github.com/citation-style-language/schema/raw/master/csl-citation.json" }</w:instrText>
      </w:r>
      <w:r>
        <w:rPr>
          <w:rFonts w:cstheme="majorBidi"/>
          <w:b w:val="0"/>
          <w:szCs w:val="24"/>
        </w:rPr>
        <w:fldChar w:fldCharType="separate"/>
      </w:r>
      <w:r>
        <w:rPr>
          <w:rFonts w:cstheme="majorBidi"/>
          <w:b w:val="0"/>
          <w:noProof/>
          <w:szCs w:val="24"/>
        </w:rPr>
        <w:t>(Kato et al., 2005)</w:t>
      </w:r>
      <w:r>
        <w:rPr>
          <w:rFonts w:cstheme="majorBidi"/>
          <w:b w:val="0"/>
          <w:szCs w:val="24"/>
        </w:rPr>
        <w:fldChar w:fldCharType="end"/>
      </w:r>
      <w:r>
        <w:rPr>
          <w:rFonts w:cstheme="majorBidi"/>
          <w:b w:val="0"/>
          <w:szCs w:val="24"/>
        </w:rPr>
        <w:t xml:space="preserve"> and touch screens for smartphones and tablets </w:t>
      </w:r>
      <w:r>
        <w:rPr>
          <w:rFonts w:cstheme="majorBidi"/>
          <w:b w:val="0"/>
          <w:szCs w:val="24"/>
        </w:rPr>
        <w:fldChar w:fldCharType="begin" w:fldLock="1"/>
      </w:r>
      <w:r>
        <w:rPr>
          <w:rFonts w:cstheme="majorBidi"/>
          <w:b w:val="0"/>
          <w:szCs w:val="24"/>
        </w:rPr>
        <w:instrText>ADDIN CSL_CITATION { "citationItems" : [ { "id" : "ITEM-1", "itemData" : { "author" : [ { "dropping-particle" : "", "family" : "Donald", "given" : "Ian W.", "non-dropping-particle" : "", "parse-names" : false, "suffix" : "" } ], "id" : "ITEM-1", "issue" : "May", "issued" : { "date-parts" : [ [ "2015" ] ] }, "publisher" : "Society of Glass Technology", "title" : "The Science and Technology of Inorganic Glasses and Glass-Ceramic", "type" : "article" }, "uris" : [ "http://www.mendeley.com/documents/?uuid=c1c90b2c-c957-4919-972f-96d49916aa1b" ] } ], "mendeley" : { "formattedCitation" : "(Donald, 2015)", "plainTextFormattedCitation" : "(Donald, 2015)", "previouslyFormattedCitation" : "(Donald, 2015)" }, "properties" : { "noteIndex" : 0 }, "schema" : "https://github.com/citation-style-language/schema/raw/master/csl-citation.json" }</w:instrText>
      </w:r>
      <w:r>
        <w:rPr>
          <w:rFonts w:cstheme="majorBidi"/>
          <w:b w:val="0"/>
          <w:szCs w:val="24"/>
        </w:rPr>
        <w:fldChar w:fldCharType="separate"/>
      </w:r>
      <w:r>
        <w:rPr>
          <w:rFonts w:cstheme="majorBidi"/>
          <w:b w:val="0"/>
          <w:noProof/>
          <w:szCs w:val="24"/>
        </w:rPr>
        <w:t>(Donald, 2015)</w:t>
      </w:r>
      <w:r>
        <w:rPr>
          <w:rFonts w:cstheme="majorBidi"/>
          <w:b w:val="0"/>
          <w:szCs w:val="24"/>
        </w:rPr>
        <w:fldChar w:fldCharType="end"/>
      </w:r>
      <w:r>
        <w:rPr>
          <w:rFonts w:cstheme="majorBidi"/>
          <w:b w:val="0"/>
          <w:szCs w:val="24"/>
        </w:rPr>
        <w:t xml:space="preserve">, </w:t>
      </w:r>
      <w:r>
        <w:rPr>
          <w:rFonts w:asciiTheme="majorBidi" w:hAnsiTheme="majorBidi" w:cstheme="majorBidi"/>
          <w:b w:val="0"/>
          <w:szCs w:val="24"/>
        </w:rPr>
        <w:t xml:space="preserve">as well as to vitrify radioactive waste </w:t>
      </w:r>
      <w:r>
        <w:rPr>
          <w:rFonts w:asciiTheme="majorBidi" w:hAnsiTheme="majorBidi" w:cstheme="majorBidi"/>
          <w:b w:val="0"/>
          <w:szCs w:val="24"/>
        </w:rPr>
        <w:fldChar w:fldCharType="begin" w:fldLock="1"/>
      </w:r>
      <w:r>
        <w:rPr>
          <w:rFonts w:asciiTheme="majorBidi" w:hAnsiTheme="majorBidi" w:cstheme="majorBidi"/>
          <w:b w:val="0"/>
          <w:szCs w:val="24"/>
        </w:rPr>
        <w:instrText>ADDIN CSL_CITATION { "citationItems" : [ { "id" : "ITEM-1", "itemData" : { "DOI" : "10.1111/j.2041-1294.2010.00007.x", "ISSN" : "20411286", "author" : [ { "dropping-particle" : "", "family" : "Jantzen", "given" : "Carol M.", "non-dropping-particle" : "", "parse-names" : false, "suffix" : "" }, { "dropping-particle" : "", "family" : "Brown", "given" : "Kevin G.", "non-dropping-particle" : "", "parse-names" : false, "suffix" : "" }, { "dropping-particle" : "", "family" : "Pickett", "given" : "John B.", "non-dropping-particle" : "", "parse-names" : false, "suffix" : "" } ], "container-title" : "International Journal of Applied Glass Science", "id" : "ITEM-1", "issue" : "1", "issued" : { "date-parts" : [ [ "2010", "3" ] ] }, "page" : "38-62", "title" : "Durable Glass for Thousands of Years", "type" : "article-journal", "volume" : "1" }, "uris" : [ "http://www.mendeley.com/documents/?uuid=c613df16-60f8-4993-a119-ee6f44280b2c" ] } ], "mendeley" : { "formattedCitation" : "(Jantzen, Brown, &amp; Pickett, 2010)", "manualFormatting" : "(Jantzen et al., 2010)", "plainTextFormattedCitation" : "(Jantzen, Brown, &amp; Pickett, 2010)", "previouslyFormattedCitation" : "(Jantzen, Brown, &amp; Pickett, 2010)" }, "properties" : { "noteIndex" : 0 }, "schema" : "https://github.com/citation-style-language/schema/raw/master/csl-citation.json" }</w:instrText>
      </w:r>
      <w:r>
        <w:rPr>
          <w:rFonts w:asciiTheme="majorBidi" w:hAnsiTheme="majorBidi" w:cstheme="majorBidi"/>
          <w:b w:val="0"/>
          <w:szCs w:val="24"/>
        </w:rPr>
        <w:fldChar w:fldCharType="separate"/>
      </w:r>
      <w:r>
        <w:rPr>
          <w:rFonts w:asciiTheme="majorBidi" w:hAnsiTheme="majorBidi" w:cstheme="majorBidi"/>
          <w:b w:val="0"/>
          <w:noProof/>
          <w:szCs w:val="24"/>
        </w:rPr>
        <w:t>(Jantzen et al., 2010)</w:t>
      </w:r>
      <w:r>
        <w:rPr>
          <w:rFonts w:asciiTheme="majorBidi" w:hAnsiTheme="majorBidi" w:cstheme="majorBidi"/>
          <w:b w:val="0"/>
          <w:szCs w:val="24"/>
        </w:rPr>
        <w:fldChar w:fldCharType="end"/>
      </w:r>
      <w:r>
        <w:rPr>
          <w:rFonts w:asciiTheme="majorBidi" w:hAnsiTheme="majorBidi" w:cstheme="majorBidi"/>
          <w:b w:val="0"/>
          <w:szCs w:val="24"/>
        </w:rPr>
        <w:t xml:space="preserve">, </w:t>
      </w:r>
      <w:r>
        <w:rPr>
          <w:rFonts w:asciiTheme="majorBidi" w:hAnsiTheme="majorBidi" w:cstheme="majorBidi"/>
          <w:b w:val="0"/>
          <w:szCs w:val="24"/>
        </w:rPr>
        <w:fldChar w:fldCharType="begin" w:fldLock="1"/>
      </w:r>
      <w:r>
        <w:rPr>
          <w:rFonts w:asciiTheme="majorBidi" w:hAnsiTheme="majorBidi" w:cstheme="majorBidi"/>
          <w:b w:val="0"/>
          <w:szCs w:val="24"/>
        </w:rPr>
        <w:instrText>ADDIN CSL_CITATION { "citationItems" : [ { "id" : "ITEM-1", "itemData" : { "DOI" : "10.1016/j.jnucmat.2010.11.034", "ISSN" : "00223115", "author" : [ { "dropping-particle" : "", "family" : "Connelly", "given" : "A.J.", "non-dropping-particle" : "", "parse-names" : false, "suffix" : "" }, { "dropping-particle" : "", "family" : "Hand", "given" : "R.J.", "non-dropping-particle" : "", "parse-names" : false, "suffix" : "" }, { "dropping-particle" : "", "family" : "Bingham", "given" : "P.a.", "non-dropping-particle" : "", "parse-names" : false, "suffix" : "" }, { "dropping-particle" : "", "family" : "Hyatt", "given" : "N.C.", "non-dropping-particle" : "", "parse-names" : false, "suffix" : "" } ], "container-title" : "Journal of Nuclear Materials", "id" : "ITEM-1", "issue" : "2", "issued" : { "date-parts" : [ [ "2011", "1" ] ] }, "page" : "188-193", "publisher" : "Elsevier B.V.", "title" : "Mechanical properties of nuclear waste glasses", "type" : "article-journal", "volume" : "408" }, "uris" : [ "http://www.mendeley.com/documents/?uuid=9aa39fdb-e855-4ff8-bc6a-492cfad0aa51" ] } ], "mendeley" : { "formattedCitation" : "(A.J. Connelly, Hand, Bingham, &amp; Hyatt, 2011)", "manualFormatting" : "(Connelly et al., 2011)", "plainTextFormattedCitation" : "(A.J. Connelly, Hand, Bingham, &amp; Hyatt, 2011)", "previouslyFormattedCitation" : "(A.J. Connelly, Hand, Bingham, &amp; Hyatt, 2011)" }, "properties" : { "noteIndex" : 0 }, "schema" : "https://github.com/citation-style-language/schema/raw/master/csl-citation.json" }</w:instrText>
      </w:r>
      <w:r>
        <w:rPr>
          <w:rFonts w:asciiTheme="majorBidi" w:hAnsiTheme="majorBidi" w:cstheme="majorBidi"/>
          <w:b w:val="0"/>
          <w:szCs w:val="24"/>
        </w:rPr>
        <w:fldChar w:fldCharType="separate"/>
      </w:r>
      <w:r>
        <w:rPr>
          <w:rFonts w:asciiTheme="majorBidi" w:hAnsiTheme="majorBidi" w:cstheme="majorBidi"/>
          <w:b w:val="0"/>
          <w:noProof/>
          <w:szCs w:val="24"/>
        </w:rPr>
        <w:t>(Connelly et al., 2011)</w:t>
      </w:r>
      <w:r>
        <w:rPr>
          <w:rFonts w:asciiTheme="majorBidi" w:hAnsiTheme="majorBidi" w:cstheme="majorBidi"/>
          <w:b w:val="0"/>
          <w:szCs w:val="24"/>
        </w:rPr>
        <w:fldChar w:fldCharType="end"/>
      </w:r>
      <w:r>
        <w:rPr>
          <w:rFonts w:asciiTheme="majorBidi" w:hAnsiTheme="majorBidi" w:cstheme="majorBidi"/>
          <w:b w:val="0"/>
          <w:szCs w:val="24"/>
        </w:rPr>
        <w:t xml:space="preserve">. Boroaluminosilicate glass </w:t>
      </w:r>
      <w:r w:rsidR="003214C4">
        <w:rPr>
          <w:rFonts w:asciiTheme="majorBidi" w:hAnsiTheme="majorBidi" w:cstheme="majorBidi"/>
          <w:b w:val="0"/>
          <w:szCs w:val="24"/>
        </w:rPr>
        <w:t xml:space="preserve">is </w:t>
      </w:r>
      <w:r>
        <w:rPr>
          <w:rFonts w:asciiTheme="majorBidi" w:hAnsiTheme="majorBidi" w:cstheme="majorBidi"/>
          <w:b w:val="0"/>
          <w:szCs w:val="24"/>
        </w:rPr>
        <w:t xml:space="preserve">also used as insulating fibreglass such as commercial E-glass with </w:t>
      </w:r>
      <w:r>
        <w:rPr>
          <w:b w:val="0"/>
        </w:rPr>
        <w:t>60SiO</w:t>
      </w:r>
      <w:r>
        <w:rPr>
          <w:b w:val="0"/>
          <w:vertAlign w:val="subscript"/>
        </w:rPr>
        <w:t>2</w:t>
      </w:r>
      <w:r>
        <w:rPr>
          <w:b w:val="0"/>
        </w:rPr>
        <w:t>, 25CaO and 15Al</w:t>
      </w:r>
      <w:r>
        <w:rPr>
          <w:b w:val="0"/>
          <w:vertAlign w:val="subscript"/>
        </w:rPr>
        <w:t>2</w:t>
      </w:r>
      <w:r>
        <w:rPr>
          <w:b w:val="0"/>
        </w:rPr>
        <w:t>O</w:t>
      </w:r>
      <w:r>
        <w:rPr>
          <w:b w:val="0"/>
          <w:vertAlign w:val="subscript"/>
        </w:rPr>
        <w:t>3</w:t>
      </w:r>
      <w:r>
        <w:rPr>
          <w:b w:val="0"/>
        </w:rPr>
        <w:t xml:space="preserve"> with 2, 4 or 6% B</w:t>
      </w:r>
      <w:r>
        <w:rPr>
          <w:b w:val="0"/>
          <w:vertAlign w:val="subscript"/>
        </w:rPr>
        <w:t>2</w:t>
      </w:r>
      <w:r>
        <w:rPr>
          <w:b w:val="0"/>
        </w:rPr>
        <w:t>O</w:t>
      </w:r>
      <w:r>
        <w:rPr>
          <w:b w:val="0"/>
          <w:vertAlign w:val="subscript"/>
        </w:rPr>
        <w:t>3</w:t>
      </w:r>
      <w:r>
        <w:rPr>
          <w:b w:val="0"/>
        </w:rPr>
        <w:t xml:space="preserve"> additions</w:t>
      </w:r>
      <w:r>
        <w:t xml:space="preserve"> </w:t>
      </w:r>
      <w:r>
        <w:fldChar w:fldCharType="begin" w:fldLock="1"/>
      </w:r>
      <w:r>
        <w:instrText>ADDIN CSL_CITATION { "citationItems" : [ { "id" : "ITEM-1", "itemData" : { "author" : [ { "dropping-particle" : "", "family" : "Carman", "given" : "Lee A.", "non-dropping-particle" : "", "parse-names" : false, "suffix" : "" }, { "dropping-particle" : "", "family" : "Pantano", "given" : "Carlo G.", "non-dropping-particle" : "", "parse-names" : false, "suffix" : "" } ], "id" : "ITEM-1", "issued" : { "date-parts" : [ [ "1990" ] ] }, "page" : "40-46", "title" : "WATER-VAPOR ADSORPTION ON CALCIUM-BOROALUMINOSILICATE GLASS FIBERS", "type" : "article-journal", "volume" : "120" }, "uris" : [ "http://www.mendeley.com/documents/?uuid=f453ca6b-689a-4a44-ab23-24a71e9964d2" ] } ], "mendeley" : { "formattedCitation" : "(Carman &amp; Pantano, 1990)", "plainTextFormattedCitation" : "(Carman &amp; Pantano, 1990)", "previouslyFormattedCitation" : "(Carman &amp; Pantano, 1990)" }, "properties" : { "noteIndex" : 15 }, "schema" : "https://github.com/citation-style-language/schema/raw/master/csl-citation.json" }</w:instrText>
      </w:r>
      <w:r>
        <w:fldChar w:fldCharType="separate"/>
      </w:r>
      <w:r>
        <w:rPr>
          <w:b w:val="0"/>
          <w:noProof/>
        </w:rPr>
        <w:t>(Carman &amp; Pantano, 1990)</w:t>
      </w:r>
      <w:r>
        <w:fldChar w:fldCharType="end"/>
      </w:r>
      <w:r>
        <w:rPr>
          <w:rFonts w:asciiTheme="majorBidi" w:hAnsiTheme="majorBidi" w:cstheme="majorBidi"/>
          <w:b w:val="0"/>
          <w:szCs w:val="24"/>
        </w:rPr>
        <w:t xml:space="preserve">. </w:t>
      </w:r>
    </w:p>
    <w:p w14:paraId="7DEB08E5" w14:textId="17763413" w:rsidR="00574F23" w:rsidRDefault="00574F23" w:rsidP="00574F23">
      <w:pPr>
        <w:spacing w:line="360" w:lineRule="auto"/>
        <w:jc w:val="both"/>
        <w:rPr>
          <w:rFonts w:asciiTheme="majorBidi" w:hAnsiTheme="majorBidi" w:cstheme="majorBidi"/>
          <w:b w:val="0"/>
          <w:szCs w:val="24"/>
        </w:rPr>
      </w:pPr>
      <w:r>
        <w:rPr>
          <w:rFonts w:asciiTheme="majorBidi" w:hAnsiTheme="majorBidi" w:cstheme="majorBidi"/>
          <w:b w:val="0"/>
          <w:szCs w:val="24"/>
        </w:rPr>
        <w:t>Nowadays, there is a lot of demand for strong and thus lightweight glass for applications such as flexible displays for touch screen devices (</w:t>
      </w:r>
      <w:proofErr w:type="spellStart"/>
      <w:r>
        <w:rPr>
          <w:rFonts w:cs="Times New Roman"/>
          <w:b w:val="0"/>
          <w:szCs w:val="24"/>
        </w:rPr>
        <w:t>Wondraczek</w:t>
      </w:r>
      <w:proofErr w:type="spellEnd"/>
      <w:r>
        <w:rPr>
          <w:rFonts w:cs="Times New Roman"/>
          <w:b w:val="0"/>
          <w:szCs w:val="24"/>
        </w:rPr>
        <w:t xml:space="preserve"> et al. 2011</w:t>
      </w:r>
      <w:r>
        <w:rPr>
          <w:rFonts w:asciiTheme="majorBidi" w:hAnsiTheme="majorBidi" w:cstheme="majorBidi"/>
          <w:b w:val="0"/>
          <w:szCs w:val="24"/>
        </w:rPr>
        <w:t>), window glass (</w:t>
      </w:r>
      <w:r>
        <w:rPr>
          <w:rFonts w:asciiTheme="majorBidi" w:hAnsiTheme="majorBidi" w:cstheme="majorBidi"/>
          <w:b w:val="0"/>
          <w:szCs w:val="24"/>
        </w:rPr>
        <w:fldChar w:fldCharType="begin" w:fldLock="1"/>
      </w:r>
      <w:r>
        <w:rPr>
          <w:rFonts w:asciiTheme="majorBidi" w:hAnsiTheme="majorBidi" w:cstheme="majorBidi"/>
          <w:b w:val="0"/>
          <w:szCs w:val="24"/>
        </w:rPr>
        <w:instrText>ADDIN CSL_CITATION { "citationItems" : [ { "id" : "ITEM-1", "itemData" : { "DOI" : "10.1098/rsta.2014.0140", "ISBN" : "1364-503x", "ISSN" : "1364-503X", "PMID" : "25713446", "abstract" : "The occurrence of damage at the surface of glass parts caused by sharp contact loading is a major issue for glass makers, suppliers and end-users. Yet, it is still a poorly understood problem from the viewpoints both of glass science and solid mechanics. Different microcracking patterns are observed at indentation sites depending on the glass composition and indentation cracks may form during both the loading and the unloading stages. Besides, we do not know much about the fracture toughness of glass and its composition dependence, so that setting a criterion for crack initiation and predicting the extent of the damage yet remain out of reach. In this study, by comparison of the behaviour of glasses from very different chemical systems and by identifying experimentally the individual contributions of the different rheological processes leading to the formation of the imprint-namely elasticity, densification and shear flow-we obtain a fairly straightforward prediction of the type and extent of the microcracks which will most likely form, depending on the physical properties of the glass. Finally, some guidelines to reduce the driving force for microcracking are proposed in the light of the effects of composition, temperature and pressure, and the areas for further research are briefly discussed.", "author" : [ { "dropping-particle" : "", "family" : "Rouxel", "given" : "T.", "non-dropping-particle" : "", "parse-names" : false, "suffix" : "" } ], "container-title" : "Philosophical Transactions of the Royal Society A: Mathematical, Physical and Engineering Sciences", "id" : "ITEM-1", "issue" : "2038", "issued" : { "date-parts" : [ [ "2015" ] ] }, "page" : "20140140-20140140", "title" : "Driving force for indentation cracking in glass: composition, pressure and temperature dependence", "type" : "article-journal", "volume" : "373" }, "uris" : [ "http://www.mendeley.com/documents/?uuid=c5bbe325-ca01-45f0-9e47-826b27b3d45b" ] } ], "mendeley" : { "formattedCitation" : "(T. Rouxel, 2015)", "manualFormatting" : "Rouxel, 2015)", "plainTextFormattedCitation" : "(T. Rouxel, 2015)", "previouslyFormattedCitation" : "(T. Rouxel, 2015)" }, "properties" : { "noteIndex" : 16 }, "schema" : "https://github.com/citation-style-language/schema/raw/master/csl-citation.json" }</w:instrText>
      </w:r>
      <w:r>
        <w:rPr>
          <w:rFonts w:asciiTheme="majorBidi" w:hAnsiTheme="majorBidi" w:cstheme="majorBidi"/>
          <w:b w:val="0"/>
          <w:szCs w:val="24"/>
        </w:rPr>
        <w:fldChar w:fldCharType="separate"/>
      </w:r>
      <w:r>
        <w:rPr>
          <w:rFonts w:asciiTheme="majorBidi" w:hAnsiTheme="majorBidi" w:cstheme="majorBidi"/>
          <w:b w:val="0"/>
          <w:noProof/>
          <w:szCs w:val="24"/>
        </w:rPr>
        <w:t>Rouxel, 2015)</w:t>
      </w:r>
      <w:r>
        <w:rPr>
          <w:rFonts w:asciiTheme="majorBidi" w:hAnsiTheme="majorBidi" w:cstheme="majorBidi"/>
          <w:b w:val="0"/>
          <w:szCs w:val="24"/>
        </w:rPr>
        <w:fldChar w:fldCharType="end"/>
      </w:r>
      <w:r>
        <w:rPr>
          <w:rFonts w:asciiTheme="majorBidi" w:hAnsiTheme="majorBidi" w:cstheme="majorBidi"/>
          <w:b w:val="0"/>
          <w:szCs w:val="24"/>
        </w:rPr>
        <w:t xml:space="preserve"> and container glasses </w:t>
      </w:r>
      <w:r>
        <w:rPr>
          <w:rFonts w:asciiTheme="majorBidi" w:hAnsiTheme="majorBidi" w:cstheme="majorBidi"/>
          <w:b w:val="0"/>
          <w:szCs w:val="24"/>
        </w:rPr>
        <w:fldChar w:fldCharType="begin" w:fldLock="1"/>
      </w:r>
      <w:r>
        <w:rPr>
          <w:rFonts w:asciiTheme="majorBidi" w:hAnsiTheme="majorBidi" w:cstheme="majorBidi"/>
          <w:b w:val="0"/>
          <w:szCs w:val="24"/>
        </w:rPr>
        <w:instrText>ADDIN CSL_CITATION { "citationItems" : [ { "id" : "ITEM-1", "itemData" : { "DOI" : "10.1016/S0022-3093(99)00348-8", "ISSN" : "00223093", "abstract" : "A study seeking to decrease the brittleness of glasses was carried out. The brittleness, defined as the ratio of hardness to fracture toughness, was estimated from the ratio of median crack length to the diagonal length of a deformation impression. The brittleness of various kinds of glasses in the silicate as well as borosilicate systems was investigated as a function of glass properties. The brittleness of the glasses was correlated with densities, i.e., a variation of approximately 1 to approximately 9 ??m-1/2 in brittleness was observed as the density varied from approximately 1.9 to approximately 2.8 g/cm3. The brittleness of normal glasses decreased with decreasing density due to the ease of both plastic flow and densification. On the other hand, the brittleness of anomalous glasses increased with decreasing density due to the lack of plastic flow. In addition, the brittleness of normal glasses was less than that of the anomalous glasses with the same density. We also observed that a 50% decrease in brittleness resulted in an increase of crack initiation load by approximately 15 times.", "author" : [ { "dropping-particle" : "", "family" : "Sehgal", "given" : "Jeetendra", "non-dropping-particle" : "", "parse-names" : false, "suffix" : "" }, { "dropping-particle" : "", "family" : "Ito", "given" : "Setsuro", "non-dropping-particle" : "", "parse-names" : false, "suffix" : "" } ], "container-title" : "Journal of Non-Crystalline Solids", "id" : "ITEM-1", "issue" : "1-3", "issued" : { "date-parts" : [ [ "1999" ] ] }, "page" : "126-132", "title" : "Brittleness of glass", "type" : "article-journal", "volume" : "253" }, "uris" : [ "http://www.mendeley.com/documents/?uuid=97c0428d-f5d8-425f-94e6-c34c36d82652" ] } ], "mendeley" : { "formattedCitation" : "(Sehgal &amp; Ito, 1999)", "plainTextFormattedCitation" : "(Sehgal &amp; Ito, 1999)", "previouslyFormattedCitation" : "(Sehgal &amp; Ito, 1999)" }, "properties" : { "noteIndex" : 16 }, "schema" : "https://github.com/citation-style-language/schema/raw/master/csl-citation.json" }</w:instrText>
      </w:r>
      <w:r>
        <w:rPr>
          <w:rFonts w:asciiTheme="majorBidi" w:hAnsiTheme="majorBidi" w:cstheme="majorBidi"/>
          <w:b w:val="0"/>
          <w:szCs w:val="24"/>
        </w:rPr>
        <w:fldChar w:fldCharType="separate"/>
      </w:r>
      <w:r>
        <w:rPr>
          <w:rFonts w:asciiTheme="majorBidi" w:hAnsiTheme="majorBidi" w:cstheme="majorBidi"/>
          <w:b w:val="0"/>
          <w:noProof/>
          <w:szCs w:val="24"/>
        </w:rPr>
        <w:t>(Sehgal &amp; Ito, 1999)</w:t>
      </w:r>
      <w:r>
        <w:rPr>
          <w:rFonts w:asciiTheme="majorBidi" w:hAnsiTheme="majorBidi" w:cstheme="majorBidi"/>
          <w:b w:val="0"/>
          <w:szCs w:val="24"/>
        </w:rPr>
        <w:fldChar w:fldCharType="end"/>
      </w:r>
      <w:r>
        <w:rPr>
          <w:rFonts w:asciiTheme="majorBidi" w:hAnsiTheme="majorBidi" w:cstheme="majorBidi"/>
          <w:b w:val="0"/>
          <w:szCs w:val="24"/>
        </w:rPr>
        <w:t>. An example aluminosilicate (</w:t>
      </w:r>
      <w:r>
        <w:rPr>
          <w:rFonts w:cs="Times New Roman"/>
          <w:b w:val="0"/>
          <w:szCs w:val="24"/>
        </w:rPr>
        <w:t xml:space="preserve">58.7% </w:t>
      </w:r>
      <w:r w:rsidR="00FA53C5">
        <w:rPr>
          <w:rFonts w:cs="Times New Roman"/>
          <w:b w:val="0"/>
          <w:szCs w:val="24"/>
        </w:rPr>
        <w:t>SiO</w:t>
      </w:r>
      <w:r w:rsidR="00FA53C5" w:rsidRPr="00FA53C5">
        <w:rPr>
          <w:rFonts w:cs="Times New Roman"/>
          <w:b w:val="0"/>
          <w:szCs w:val="24"/>
          <w:vertAlign w:val="subscript"/>
        </w:rPr>
        <w:t>2</w:t>
      </w:r>
      <w:r w:rsidR="00FA53C5">
        <w:rPr>
          <w:rFonts w:cs="Times New Roman"/>
          <w:b w:val="0"/>
          <w:szCs w:val="24"/>
        </w:rPr>
        <w:t>,</w:t>
      </w:r>
      <w:r>
        <w:rPr>
          <w:rFonts w:cs="Times New Roman"/>
          <w:b w:val="0"/>
          <w:szCs w:val="24"/>
        </w:rPr>
        <w:t xml:space="preserve"> 17.0% </w:t>
      </w:r>
      <w:r w:rsidR="00FA53C5">
        <w:rPr>
          <w:rFonts w:cs="Times New Roman"/>
          <w:b w:val="0"/>
          <w:szCs w:val="24"/>
        </w:rPr>
        <w:t>Al</w:t>
      </w:r>
      <w:r w:rsidR="00FA53C5" w:rsidRPr="00FA53C5">
        <w:rPr>
          <w:rFonts w:cs="Times New Roman"/>
          <w:b w:val="0"/>
          <w:szCs w:val="24"/>
          <w:vertAlign w:val="subscript"/>
        </w:rPr>
        <w:t>2</w:t>
      </w:r>
      <w:r w:rsidR="00FA53C5">
        <w:rPr>
          <w:rFonts w:cs="Times New Roman"/>
          <w:b w:val="0"/>
          <w:szCs w:val="24"/>
        </w:rPr>
        <w:t>O</w:t>
      </w:r>
      <w:r w:rsidR="00FA53C5" w:rsidRPr="00FA53C5">
        <w:rPr>
          <w:rFonts w:cs="Times New Roman"/>
          <w:b w:val="0"/>
          <w:szCs w:val="24"/>
          <w:vertAlign w:val="subscript"/>
        </w:rPr>
        <w:t>3</w:t>
      </w:r>
      <w:r>
        <w:rPr>
          <w:rFonts w:cs="Times New Roman"/>
          <w:b w:val="0"/>
          <w:szCs w:val="24"/>
        </w:rPr>
        <w:t xml:space="preserve">, 3.5% </w:t>
      </w:r>
      <w:r w:rsidR="00FA53C5">
        <w:rPr>
          <w:rFonts w:cs="Times New Roman"/>
          <w:b w:val="0"/>
          <w:szCs w:val="24"/>
        </w:rPr>
        <w:t>MgO</w:t>
      </w:r>
      <w:r>
        <w:rPr>
          <w:rFonts w:cs="Times New Roman"/>
          <w:b w:val="0"/>
          <w:szCs w:val="24"/>
        </w:rPr>
        <w:t xml:space="preserve">, 12.6% </w:t>
      </w:r>
      <w:r w:rsidR="00FA53C5">
        <w:rPr>
          <w:rFonts w:cs="Times New Roman"/>
          <w:b w:val="0"/>
          <w:szCs w:val="24"/>
        </w:rPr>
        <w:t>Na</w:t>
      </w:r>
      <w:r w:rsidR="00FA53C5" w:rsidRPr="00FA53C5">
        <w:rPr>
          <w:rFonts w:cs="Times New Roman"/>
          <w:b w:val="0"/>
          <w:szCs w:val="24"/>
          <w:vertAlign w:val="subscript"/>
        </w:rPr>
        <w:t>2</w:t>
      </w:r>
      <w:r w:rsidR="00FA53C5">
        <w:rPr>
          <w:rFonts w:cs="Times New Roman"/>
          <w:b w:val="0"/>
          <w:szCs w:val="24"/>
        </w:rPr>
        <w:t>O</w:t>
      </w:r>
      <w:r>
        <w:rPr>
          <w:rFonts w:cs="Times New Roman"/>
          <w:b w:val="0"/>
          <w:szCs w:val="24"/>
        </w:rPr>
        <w:t xml:space="preserve">, 6.1% </w:t>
      </w:r>
      <w:r w:rsidR="00FA53C5">
        <w:rPr>
          <w:rFonts w:cs="Times New Roman"/>
          <w:b w:val="0"/>
          <w:szCs w:val="24"/>
        </w:rPr>
        <w:t>K</w:t>
      </w:r>
      <w:r w:rsidR="00FA53C5" w:rsidRPr="00FA53C5">
        <w:rPr>
          <w:rFonts w:cs="Times New Roman"/>
          <w:b w:val="0"/>
          <w:szCs w:val="24"/>
          <w:vertAlign w:val="subscript"/>
        </w:rPr>
        <w:t>2</w:t>
      </w:r>
      <w:r w:rsidR="00FA53C5">
        <w:rPr>
          <w:rFonts w:cs="Times New Roman"/>
          <w:b w:val="0"/>
          <w:szCs w:val="24"/>
        </w:rPr>
        <w:t>O</w:t>
      </w:r>
      <w:r>
        <w:rPr>
          <w:rFonts w:cs="Times New Roman"/>
          <w:b w:val="0"/>
          <w:szCs w:val="24"/>
        </w:rPr>
        <w:t xml:space="preserve">, 0.9% </w:t>
      </w:r>
      <w:r w:rsidR="008956A9">
        <w:rPr>
          <w:rFonts w:cs="Times New Roman"/>
          <w:b w:val="0"/>
          <w:szCs w:val="24"/>
        </w:rPr>
        <w:t>Sb</w:t>
      </w:r>
      <w:r w:rsidR="008956A9" w:rsidRPr="008956A9">
        <w:rPr>
          <w:rFonts w:cs="Times New Roman"/>
          <w:b w:val="0"/>
          <w:szCs w:val="24"/>
          <w:vertAlign w:val="subscript"/>
        </w:rPr>
        <w:t>2</w:t>
      </w:r>
      <w:r w:rsidR="008956A9">
        <w:rPr>
          <w:rFonts w:cs="Times New Roman"/>
          <w:b w:val="0"/>
          <w:szCs w:val="24"/>
        </w:rPr>
        <w:t>O</w:t>
      </w:r>
      <w:r w:rsidR="008956A9" w:rsidRPr="008956A9">
        <w:rPr>
          <w:rFonts w:cs="Times New Roman"/>
          <w:b w:val="0"/>
          <w:szCs w:val="24"/>
          <w:vertAlign w:val="subscript"/>
        </w:rPr>
        <w:t>3</w:t>
      </w:r>
      <w:r>
        <w:rPr>
          <w:rFonts w:cs="Times New Roman"/>
          <w:b w:val="0"/>
          <w:szCs w:val="24"/>
        </w:rPr>
        <w:t xml:space="preserve">, 0.7% </w:t>
      </w:r>
      <w:r w:rsidR="008956A9">
        <w:rPr>
          <w:rFonts w:cs="Times New Roman"/>
          <w:b w:val="0"/>
          <w:szCs w:val="24"/>
        </w:rPr>
        <w:t>TiO</w:t>
      </w:r>
      <w:r w:rsidR="008956A9" w:rsidRPr="008956A9">
        <w:rPr>
          <w:rFonts w:cs="Times New Roman"/>
          <w:b w:val="0"/>
          <w:szCs w:val="24"/>
          <w:vertAlign w:val="subscript"/>
        </w:rPr>
        <w:t>2</w:t>
      </w:r>
      <w:r w:rsidRPr="008956A9">
        <w:rPr>
          <w:rFonts w:cs="Times New Roman"/>
          <w:b w:val="0"/>
          <w:szCs w:val="24"/>
          <w:vertAlign w:val="subscript"/>
        </w:rPr>
        <w:t xml:space="preserve"> </w:t>
      </w:r>
      <w:r>
        <w:rPr>
          <w:rFonts w:cs="Times New Roman"/>
          <w:b w:val="0"/>
          <w:szCs w:val="24"/>
        </w:rPr>
        <w:t xml:space="preserve">and 0.5% </w:t>
      </w:r>
      <w:proofErr w:type="spellStart"/>
      <w:r w:rsidR="008956A9">
        <w:rPr>
          <w:rFonts w:cs="Times New Roman"/>
          <w:b w:val="0"/>
          <w:szCs w:val="24"/>
        </w:rPr>
        <w:t>CaO</w:t>
      </w:r>
      <w:proofErr w:type="spellEnd"/>
      <w:r>
        <w:rPr>
          <w:rFonts w:cs="Times New Roman"/>
          <w:b w:val="0"/>
          <w:szCs w:val="24"/>
        </w:rPr>
        <w:t xml:space="preserve"> (wt.%) </w:t>
      </w:r>
      <w:r>
        <w:rPr>
          <w:rFonts w:asciiTheme="majorBidi" w:hAnsiTheme="majorBidi" w:cstheme="majorBidi"/>
          <w:b w:val="0"/>
          <w:szCs w:val="24"/>
        </w:rPr>
        <w:t xml:space="preserve">screen glass is </w:t>
      </w:r>
      <w:r w:rsidR="003214C4">
        <w:rPr>
          <w:rFonts w:asciiTheme="majorBidi" w:hAnsiTheme="majorBidi" w:cstheme="majorBidi"/>
          <w:b w:val="0"/>
          <w:szCs w:val="24"/>
        </w:rPr>
        <w:t xml:space="preserve">the </w:t>
      </w:r>
      <w:r>
        <w:rPr>
          <w:rFonts w:asciiTheme="majorBidi" w:hAnsiTheme="majorBidi" w:cstheme="majorBidi"/>
          <w:b w:val="0"/>
          <w:szCs w:val="24"/>
        </w:rPr>
        <w:t xml:space="preserve">so-called Gorilla glass produced by Corning. This type of glass has high chemical durability and scratch resistance and is widely used to protect the screen of tablets, smartphone and most of </w:t>
      </w:r>
      <w:r w:rsidR="005D1A70">
        <w:rPr>
          <w:rFonts w:asciiTheme="majorBidi" w:hAnsiTheme="majorBidi" w:cstheme="majorBidi"/>
          <w:b w:val="0"/>
          <w:szCs w:val="24"/>
        </w:rPr>
        <w:t xml:space="preserve">the </w:t>
      </w:r>
      <w:r>
        <w:rPr>
          <w:rFonts w:asciiTheme="majorBidi" w:hAnsiTheme="majorBidi" w:cstheme="majorBidi"/>
          <w:b w:val="0"/>
          <w:szCs w:val="24"/>
        </w:rPr>
        <w:t xml:space="preserve">mobile devices.  Production of Gorilla glass involves ion-exchange where the glass is placed in a molten salt bath. Potassium ions exchange with and replace the smaller sodium ions in the glass giving high compressive stresses at the surface resulting in a high strength product. However, the production of this types of glass is very expensive due to </w:t>
      </w:r>
      <w:r w:rsidR="00867077">
        <w:rPr>
          <w:rFonts w:asciiTheme="majorBidi" w:hAnsiTheme="majorBidi" w:cstheme="majorBidi"/>
          <w:b w:val="0"/>
          <w:szCs w:val="24"/>
        </w:rPr>
        <w:t xml:space="preserve">the lengthy </w:t>
      </w:r>
      <w:r>
        <w:rPr>
          <w:rFonts w:asciiTheme="majorBidi" w:hAnsiTheme="majorBidi" w:cstheme="majorBidi"/>
          <w:b w:val="0"/>
          <w:szCs w:val="24"/>
        </w:rPr>
        <w:t>time</w:t>
      </w:r>
      <w:r w:rsidR="003214C4">
        <w:rPr>
          <w:rFonts w:asciiTheme="majorBidi" w:hAnsiTheme="majorBidi" w:cstheme="majorBidi"/>
          <w:b w:val="0"/>
          <w:szCs w:val="24"/>
        </w:rPr>
        <w:t>s</w:t>
      </w:r>
      <w:r>
        <w:rPr>
          <w:rFonts w:asciiTheme="majorBidi" w:hAnsiTheme="majorBidi" w:cstheme="majorBidi"/>
          <w:b w:val="0"/>
          <w:szCs w:val="24"/>
        </w:rPr>
        <w:t xml:space="preserve"> </w:t>
      </w:r>
      <w:r w:rsidR="003214C4">
        <w:rPr>
          <w:rFonts w:asciiTheme="majorBidi" w:hAnsiTheme="majorBidi" w:cstheme="majorBidi"/>
          <w:b w:val="0"/>
          <w:szCs w:val="24"/>
        </w:rPr>
        <w:t>required for ion exchange</w:t>
      </w:r>
      <w:r>
        <w:rPr>
          <w:rFonts w:asciiTheme="majorBidi" w:hAnsiTheme="majorBidi" w:cstheme="majorBidi"/>
          <w:b w:val="0"/>
          <w:szCs w:val="24"/>
        </w:rPr>
        <w:t xml:space="preserve">. </w:t>
      </w:r>
    </w:p>
    <w:p w14:paraId="3CC1264A" w14:textId="75EA0834" w:rsidR="00574F23" w:rsidRDefault="003214C4" w:rsidP="00574F23">
      <w:pPr>
        <w:spacing w:line="360" w:lineRule="auto"/>
        <w:jc w:val="both"/>
        <w:rPr>
          <w:rFonts w:asciiTheme="majorBidi" w:hAnsiTheme="majorBidi" w:cstheme="majorBidi"/>
          <w:b w:val="0"/>
          <w:szCs w:val="24"/>
        </w:rPr>
      </w:pPr>
      <w:r>
        <w:rPr>
          <w:rFonts w:asciiTheme="majorBidi" w:hAnsiTheme="majorBidi" w:cstheme="majorBidi"/>
          <w:b w:val="0"/>
          <w:szCs w:val="24"/>
        </w:rPr>
        <w:t xml:space="preserve">Such chemically </w:t>
      </w:r>
      <w:r w:rsidR="00574F23">
        <w:rPr>
          <w:rFonts w:asciiTheme="majorBidi" w:hAnsiTheme="majorBidi" w:cstheme="majorBidi"/>
          <w:b w:val="0"/>
          <w:szCs w:val="24"/>
        </w:rPr>
        <w:t xml:space="preserve">strengthened boroaluminosilicate glasses are also used for products such as for aircraft cockpit windshields (Ishizuka et al., 2010). </w:t>
      </w:r>
      <w:r w:rsidR="00BA6BD6">
        <w:rPr>
          <w:rFonts w:asciiTheme="majorBidi" w:hAnsiTheme="majorBidi" w:cstheme="majorBidi"/>
          <w:b w:val="0"/>
          <w:szCs w:val="24"/>
        </w:rPr>
        <w:t xml:space="preserve">In addition </w:t>
      </w:r>
      <w:r w:rsidR="00574F23">
        <w:rPr>
          <w:rFonts w:asciiTheme="majorBidi" w:hAnsiTheme="majorBidi" w:cstheme="majorBidi"/>
          <w:b w:val="0"/>
          <w:szCs w:val="24"/>
        </w:rPr>
        <w:t>Corning have developed an alkaline-earth boroaluminosilicate substrate glass (69.9% SiO</w:t>
      </w:r>
      <w:r w:rsidR="00574F23">
        <w:rPr>
          <w:rFonts w:asciiTheme="majorBidi" w:hAnsiTheme="majorBidi" w:cstheme="majorBidi"/>
          <w:b w:val="0"/>
          <w:szCs w:val="24"/>
          <w:vertAlign w:val="subscript"/>
        </w:rPr>
        <w:t>2</w:t>
      </w:r>
      <w:r w:rsidR="00574F23">
        <w:rPr>
          <w:rFonts w:asciiTheme="majorBidi" w:hAnsiTheme="majorBidi" w:cstheme="majorBidi"/>
          <w:b w:val="0"/>
          <w:szCs w:val="24"/>
        </w:rPr>
        <w:t>, 11.5% Al</w:t>
      </w:r>
      <w:r w:rsidR="00574F23">
        <w:rPr>
          <w:rFonts w:asciiTheme="majorBidi" w:hAnsiTheme="majorBidi" w:cstheme="majorBidi"/>
          <w:b w:val="0"/>
          <w:szCs w:val="24"/>
          <w:vertAlign w:val="subscript"/>
        </w:rPr>
        <w:t>2</w:t>
      </w:r>
      <w:r w:rsidR="00574F23">
        <w:rPr>
          <w:rFonts w:asciiTheme="majorBidi" w:hAnsiTheme="majorBidi" w:cstheme="majorBidi"/>
          <w:b w:val="0"/>
          <w:szCs w:val="24"/>
        </w:rPr>
        <w:t>O</w:t>
      </w:r>
      <w:r w:rsidR="00574F23">
        <w:rPr>
          <w:rFonts w:asciiTheme="majorBidi" w:hAnsiTheme="majorBidi" w:cstheme="majorBidi"/>
          <w:b w:val="0"/>
          <w:szCs w:val="24"/>
          <w:vertAlign w:val="subscript"/>
        </w:rPr>
        <w:t>3</w:t>
      </w:r>
      <w:r w:rsidR="00574F23">
        <w:rPr>
          <w:rFonts w:asciiTheme="majorBidi" w:hAnsiTheme="majorBidi" w:cstheme="majorBidi"/>
          <w:b w:val="0"/>
          <w:szCs w:val="24"/>
        </w:rPr>
        <w:t>, 7.3% B</w:t>
      </w:r>
      <w:r w:rsidR="00574F23">
        <w:rPr>
          <w:rFonts w:asciiTheme="majorBidi" w:hAnsiTheme="majorBidi" w:cstheme="majorBidi"/>
          <w:b w:val="0"/>
          <w:szCs w:val="24"/>
          <w:vertAlign w:val="subscript"/>
        </w:rPr>
        <w:t>2</w:t>
      </w:r>
      <w:r w:rsidR="00574F23">
        <w:rPr>
          <w:rFonts w:asciiTheme="majorBidi" w:hAnsiTheme="majorBidi" w:cstheme="majorBidi"/>
          <w:b w:val="0"/>
          <w:szCs w:val="24"/>
        </w:rPr>
        <w:t>O</w:t>
      </w:r>
      <w:r w:rsidR="00574F23">
        <w:rPr>
          <w:rFonts w:asciiTheme="majorBidi" w:hAnsiTheme="majorBidi" w:cstheme="majorBidi"/>
          <w:b w:val="0"/>
          <w:szCs w:val="24"/>
          <w:vertAlign w:val="subscript"/>
        </w:rPr>
        <w:t>3</w:t>
      </w:r>
      <w:r w:rsidR="00574F23">
        <w:rPr>
          <w:rFonts w:asciiTheme="majorBidi" w:hAnsiTheme="majorBidi" w:cstheme="majorBidi"/>
          <w:b w:val="0"/>
          <w:szCs w:val="24"/>
        </w:rPr>
        <w:t xml:space="preserve">, 5.0 </w:t>
      </w:r>
      <w:proofErr w:type="spellStart"/>
      <w:r w:rsidR="00574F23">
        <w:rPr>
          <w:rFonts w:asciiTheme="majorBidi" w:hAnsiTheme="majorBidi" w:cstheme="majorBidi"/>
          <w:b w:val="0"/>
          <w:szCs w:val="24"/>
        </w:rPr>
        <w:t>CaO</w:t>
      </w:r>
      <w:proofErr w:type="spellEnd"/>
      <w:r w:rsidR="00574F23">
        <w:rPr>
          <w:rFonts w:asciiTheme="majorBidi" w:hAnsiTheme="majorBidi" w:cstheme="majorBidi"/>
          <w:b w:val="0"/>
          <w:szCs w:val="24"/>
        </w:rPr>
        <w:t xml:space="preserve">, 4.4% </w:t>
      </w:r>
      <w:proofErr w:type="spellStart"/>
      <w:r w:rsidR="00574F23">
        <w:rPr>
          <w:rFonts w:asciiTheme="majorBidi" w:hAnsiTheme="majorBidi" w:cstheme="majorBidi"/>
          <w:b w:val="0"/>
          <w:szCs w:val="24"/>
        </w:rPr>
        <w:t>BaO</w:t>
      </w:r>
      <w:proofErr w:type="spellEnd"/>
      <w:r w:rsidR="00574F23">
        <w:rPr>
          <w:rFonts w:asciiTheme="majorBidi" w:hAnsiTheme="majorBidi" w:cstheme="majorBidi"/>
          <w:b w:val="0"/>
          <w:szCs w:val="24"/>
        </w:rPr>
        <w:t xml:space="preserve">, 1.4% MgO, 1.2 </w:t>
      </w:r>
      <w:proofErr w:type="spellStart"/>
      <w:r w:rsidR="00574F23">
        <w:rPr>
          <w:rFonts w:asciiTheme="majorBidi" w:hAnsiTheme="majorBidi" w:cstheme="majorBidi"/>
          <w:b w:val="0"/>
          <w:szCs w:val="24"/>
        </w:rPr>
        <w:t>SrO</w:t>
      </w:r>
      <w:proofErr w:type="spellEnd"/>
      <w:r w:rsidR="00574F23">
        <w:rPr>
          <w:rFonts w:asciiTheme="majorBidi" w:hAnsiTheme="majorBidi" w:cstheme="majorBidi"/>
          <w:b w:val="0"/>
          <w:szCs w:val="24"/>
        </w:rPr>
        <w:t xml:space="preserve"> and 0.2% As</w:t>
      </w:r>
      <w:r w:rsidR="00574F23">
        <w:rPr>
          <w:rFonts w:asciiTheme="majorBidi" w:hAnsiTheme="majorBidi" w:cstheme="majorBidi"/>
          <w:b w:val="0"/>
          <w:szCs w:val="24"/>
          <w:vertAlign w:val="subscript"/>
        </w:rPr>
        <w:t>2</w:t>
      </w:r>
      <w:r w:rsidR="00574F23">
        <w:rPr>
          <w:rFonts w:asciiTheme="majorBidi" w:hAnsiTheme="majorBidi" w:cstheme="majorBidi"/>
          <w:b w:val="0"/>
          <w:szCs w:val="24"/>
        </w:rPr>
        <w:t>O</w:t>
      </w:r>
      <w:r w:rsidR="00574F23">
        <w:rPr>
          <w:rFonts w:asciiTheme="majorBidi" w:hAnsiTheme="majorBidi" w:cstheme="majorBidi"/>
          <w:b w:val="0"/>
          <w:szCs w:val="24"/>
          <w:vertAlign w:val="subscript"/>
        </w:rPr>
        <w:t>5</w:t>
      </w:r>
      <w:r w:rsidR="00574F23">
        <w:rPr>
          <w:rFonts w:asciiTheme="majorBidi" w:hAnsiTheme="majorBidi" w:cstheme="majorBidi"/>
          <w:b w:val="0"/>
          <w:szCs w:val="24"/>
        </w:rPr>
        <w:t xml:space="preserve"> (mol%))  for use as thin film transistor as part of active matrix liquid crystal displays (AMLCD). The glass is manufactured using the fusion draw process </w:t>
      </w:r>
      <w:r w:rsidR="00574F23">
        <w:rPr>
          <w:rFonts w:asciiTheme="majorBidi" w:hAnsiTheme="majorBidi" w:cstheme="majorBidi"/>
          <w:b w:val="0"/>
          <w:szCs w:val="24"/>
        </w:rPr>
        <w:fldChar w:fldCharType="begin" w:fldLock="1"/>
      </w:r>
      <w:r w:rsidR="00574F23">
        <w:rPr>
          <w:rFonts w:asciiTheme="majorBidi" w:hAnsiTheme="majorBidi" w:cstheme="majorBidi"/>
          <w:b w:val="0"/>
          <w:szCs w:val="24"/>
        </w:rPr>
        <w:instrText>ADDIN CSL_CITATION { "citationItems" : [ { "id" : "ITEM-1", "itemData" : { "DOI" : "10.1016/S0022-3093(99)00703-6", "ISBN" : "0022-3093", "ISSN" : "00223093", "abstract" : "Sodium tracer diffusion coefficients, D*Na, have been measured in an alkaline-earth boroaluminosilicate glass in the temperature range 500-800 \u00b0C by using the radioactive isotope Na-22. It was found that the activation energy of the sodium tracer diffusion changes near the strain point (666 \u00b0C). Therefore, two Arrhenius-type functions are needed to describe the temperature dependence of D*Na in this temperature range. Below 664 \u00b0C, D*Na = 10(-2.21\u00b10.07) exp(-(129.9\u00b11.2 kJ/mol)/RT) cm2/s and above 664 \u00b0C, D*Na = 10(-0.23\u00b10.15) exp(-(165.5\u00b13.0 kJ/mol)/RT) cm2/s.", "author" : [ { "dropping-particle" : "", "family" : "Tian", "given" : "Lei", "non-dropping-particle" : "", "parse-names" : false, "suffix" : "" }, { "dropping-particle" : "", "family" : "Dieckmann", "given" : "R\u00fcdiger", "non-dropping-particle" : "", "parse-names" : false, "suffix" : "" } ], "container-title" : "Journal of Non-Crystalline Solids", "id" : "ITEM-1", "issue" : "1", "issued" : { "date-parts" : [ [ "2000" ] ] }, "page" : "36-40", "title" : "Sodium tracer diffusion in an alkaline-earth boroaluminosilicate glass", "type" : "article-journal", "volume" : "265" }, "uris" : [ "http://www.mendeley.com/documents/?uuid=40ec2ffe-2451-412a-8124-6d01d6022ee5" ] } ], "mendeley" : { "formattedCitation" : "(Tian &amp; Dieckmann, 2000)", "plainTextFormattedCitation" : "(Tian &amp; Dieckmann, 2000)", "previouslyFormattedCitation" : "(Tian &amp; Dieckmann, 2000)" }, "properties" : { "noteIndex" : 15 }, "schema" : "https://github.com/citation-style-language/schema/raw/master/csl-citation.json" }</w:instrText>
      </w:r>
      <w:r w:rsidR="00574F23">
        <w:rPr>
          <w:rFonts w:asciiTheme="majorBidi" w:hAnsiTheme="majorBidi" w:cstheme="majorBidi"/>
          <w:b w:val="0"/>
          <w:szCs w:val="24"/>
        </w:rPr>
        <w:fldChar w:fldCharType="separate"/>
      </w:r>
      <w:r w:rsidR="00574F23">
        <w:rPr>
          <w:rFonts w:asciiTheme="majorBidi" w:hAnsiTheme="majorBidi" w:cstheme="majorBidi"/>
          <w:b w:val="0"/>
          <w:noProof/>
          <w:szCs w:val="24"/>
        </w:rPr>
        <w:t>(Tian &amp; Dieckmann, 2000)</w:t>
      </w:r>
      <w:r w:rsidR="00574F23">
        <w:rPr>
          <w:rFonts w:asciiTheme="majorBidi" w:hAnsiTheme="majorBidi" w:cstheme="majorBidi"/>
          <w:b w:val="0"/>
          <w:szCs w:val="24"/>
        </w:rPr>
        <w:fldChar w:fldCharType="end"/>
      </w:r>
      <w:r w:rsidR="00574F23">
        <w:rPr>
          <w:rFonts w:asciiTheme="majorBidi" w:hAnsiTheme="majorBidi" w:cstheme="majorBidi"/>
          <w:b w:val="0"/>
          <w:szCs w:val="24"/>
        </w:rPr>
        <w:t xml:space="preserve">. </w:t>
      </w:r>
    </w:p>
    <w:p w14:paraId="58E6AA57" w14:textId="3A9F17A5" w:rsidR="00574F23" w:rsidRDefault="00574F23" w:rsidP="00574F23">
      <w:pPr>
        <w:spacing w:line="360" w:lineRule="auto"/>
        <w:jc w:val="both"/>
        <w:rPr>
          <w:rFonts w:asciiTheme="majorBidi" w:hAnsiTheme="majorBidi" w:cstheme="majorBidi"/>
          <w:b w:val="0"/>
          <w:szCs w:val="24"/>
        </w:rPr>
      </w:pPr>
      <w:r>
        <w:rPr>
          <w:rFonts w:asciiTheme="majorBidi" w:hAnsiTheme="majorBidi" w:cstheme="majorBidi"/>
          <w:b w:val="0"/>
          <w:szCs w:val="24"/>
        </w:rPr>
        <w:t>Boroaluminosilicate glass</w:t>
      </w:r>
      <w:r w:rsidR="00867077">
        <w:rPr>
          <w:rFonts w:asciiTheme="majorBidi" w:hAnsiTheme="majorBidi" w:cstheme="majorBidi"/>
          <w:b w:val="0"/>
          <w:szCs w:val="24"/>
        </w:rPr>
        <w:t>es</w:t>
      </w:r>
      <w:r>
        <w:rPr>
          <w:rFonts w:asciiTheme="majorBidi" w:hAnsiTheme="majorBidi" w:cstheme="majorBidi"/>
          <w:b w:val="0"/>
          <w:szCs w:val="24"/>
        </w:rPr>
        <w:t xml:space="preserve"> have high elastic moduli and glass transition temperatures with a low coefficient of thermal expansion and good glass forming ability (</w:t>
      </w:r>
      <w:proofErr w:type="spellStart"/>
      <w:r>
        <w:rPr>
          <w:rFonts w:asciiTheme="majorBidi" w:hAnsiTheme="majorBidi" w:cstheme="majorBidi"/>
          <w:b w:val="0"/>
          <w:szCs w:val="24"/>
        </w:rPr>
        <w:t>Smedskjaer</w:t>
      </w:r>
      <w:proofErr w:type="spellEnd"/>
      <w:r>
        <w:rPr>
          <w:rFonts w:asciiTheme="majorBidi" w:hAnsiTheme="majorBidi" w:cstheme="majorBidi"/>
          <w:b w:val="0"/>
          <w:szCs w:val="24"/>
        </w:rPr>
        <w:t xml:space="preserve"> et al., 2014). However, the microscopic properties </w:t>
      </w:r>
      <w:r w:rsidR="00BA6BD6">
        <w:rPr>
          <w:rFonts w:asciiTheme="majorBidi" w:hAnsiTheme="majorBidi" w:cstheme="majorBidi"/>
          <w:b w:val="0"/>
          <w:szCs w:val="24"/>
        </w:rPr>
        <w:t xml:space="preserve">of these glasses </w:t>
      </w:r>
      <w:r>
        <w:rPr>
          <w:rFonts w:asciiTheme="majorBidi" w:hAnsiTheme="majorBidi" w:cstheme="majorBidi"/>
          <w:b w:val="0"/>
          <w:szCs w:val="24"/>
        </w:rPr>
        <w:t xml:space="preserve">are not well studied and the details of the </w:t>
      </w:r>
      <w:r>
        <w:rPr>
          <w:rFonts w:asciiTheme="majorBidi" w:hAnsiTheme="majorBidi" w:cstheme="majorBidi"/>
          <w:b w:val="0"/>
          <w:szCs w:val="24"/>
        </w:rPr>
        <w:lastRenderedPageBreak/>
        <w:t>composition, structure</w:t>
      </w:r>
      <w:r w:rsidR="005D1A70">
        <w:rPr>
          <w:rFonts w:asciiTheme="majorBidi" w:hAnsiTheme="majorBidi" w:cstheme="majorBidi"/>
          <w:b w:val="0"/>
          <w:szCs w:val="24"/>
        </w:rPr>
        <w:t>-</w:t>
      </w:r>
      <w:r>
        <w:rPr>
          <w:rFonts w:asciiTheme="majorBidi" w:hAnsiTheme="majorBidi" w:cstheme="majorBidi"/>
          <w:b w:val="0"/>
          <w:szCs w:val="24"/>
        </w:rPr>
        <w:t>property relationships in these glasses still require more investigation. It is known that the tetrahedrally coordinated Si</w:t>
      </w:r>
      <w:r>
        <w:rPr>
          <w:rFonts w:asciiTheme="majorBidi" w:hAnsiTheme="majorBidi" w:cstheme="majorBidi"/>
          <w:b w:val="0"/>
          <w:szCs w:val="24"/>
          <w:vertAlign w:val="superscript"/>
        </w:rPr>
        <w:t>4+</w:t>
      </w:r>
      <w:r>
        <w:rPr>
          <w:rFonts w:asciiTheme="majorBidi" w:hAnsiTheme="majorBidi" w:cstheme="majorBidi"/>
          <w:b w:val="0"/>
          <w:szCs w:val="24"/>
        </w:rPr>
        <w:t>, Al</w:t>
      </w:r>
      <w:r>
        <w:rPr>
          <w:rFonts w:asciiTheme="majorBidi" w:hAnsiTheme="majorBidi" w:cstheme="majorBidi"/>
          <w:b w:val="0"/>
          <w:szCs w:val="24"/>
          <w:vertAlign w:val="superscript"/>
        </w:rPr>
        <w:t>3+</w:t>
      </w:r>
      <w:r>
        <w:rPr>
          <w:rFonts w:asciiTheme="majorBidi" w:hAnsiTheme="majorBidi" w:cstheme="majorBidi"/>
          <w:b w:val="0"/>
          <w:szCs w:val="24"/>
        </w:rPr>
        <w:t xml:space="preserve"> and B</w:t>
      </w:r>
      <w:r>
        <w:rPr>
          <w:rFonts w:asciiTheme="majorBidi" w:hAnsiTheme="majorBidi" w:cstheme="majorBidi"/>
          <w:b w:val="0"/>
          <w:szCs w:val="24"/>
          <w:vertAlign w:val="superscript"/>
        </w:rPr>
        <w:t>3+</w:t>
      </w:r>
      <w:r>
        <w:rPr>
          <w:rFonts w:asciiTheme="majorBidi" w:hAnsiTheme="majorBidi" w:cstheme="majorBidi"/>
          <w:b w:val="0"/>
          <w:szCs w:val="24"/>
        </w:rPr>
        <w:t xml:space="preserve"> (the latter </w:t>
      </w:r>
      <w:r w:rsidR="00BA6BD6">
        <w:rPr>
          <w:rFonts w:asciiTheme="majorBidi" w:hAnsiTheme="majorBidi" w:cstheme="majorBidi"/>
          <w:b w:val="0"/>
          <w:szCs w:val="24"/>
        </w:rPr>
        <w:t xml:space="preserve">two </w:t>
      </w:r>
      <w:r>
        <w:rPr>
          <w:rFonts w:asciiTheme="majorBidi" w:hAnsiTheme="majorBidi" w:cstheme="majorBidi"/>
          <w:b w:val="0"/>
          <w:szCs w:val="24"/>
        </w:rPr>
        <w:t>with associated charge balancing anions) and trigonally coordinated cations B</w:t>
      </w:r>
      <w:r>
        <w:rPr>
          <w:rFonts w:asciiTheme="majorBidi" w:hAnsiTheme="majorBidi" w:cstheme="majorBidi"/>
          <w:b w:val="0"/>
          <w:szCs w:val="24"/>
          <w:vertAlign w:val="superscript"/>
        </w:rPr>
        <w:t>3+</w:t>
      </w:r>
      <w:r>
        <w:rPr>
          <w:rFonts w:asciiTheme="majorBidi" w:hAnsiTheme="majorBidi" w:cstheme="majorBidi"/>
          <w:b w:val="0"/>
          <w:szCs w:val="24"/>
        </w:rPr>
        <w:t xml:space="preserve"> a</w:t>
      </w:r>
      <w:r>
        <w:rPr>
          <w:b w:val="0"/>
        </w:rPr>
        <w:t>ct as network-formers.</w:t>
      </w:r>
      <w:r>
        <w:rPr>
          <w:rFonts w:asciiTheme="majorBidi" w:hAnsiTheme="majorBidi" w:cstheme="majorBidi"/>
          <w:b w:val="0"/>
          <w:szCs w:val="24"/>
        </w:rPr>
        <w:t xml:space="preserve"> It has been shown for sodium </w:t>
      </w:r>
      <w:proofErr w:type="spellStart"/>
      <w:r>
        <w:rPr>
          <w:rFonts w:asciiTheme="majorBidi" w:hAnsiTheme="majorBidi" w:cstheme="majorBidi"/>
          <w:b w:val="0"/>
          <w:szCs w:val="24"/>
        </w:rPr>
        <w:t>borosilicates</w:t>
      </w:r>
      <w:proofErr w:type="spellEnd"/>
      <w:r>
        <w:rPr>
          <w:rFonts w:asciiTheme="majorBidi" w:hAnsiTheme="majorBidi" w:cstheme="majorBidi"/>
          <w:b w:val="0"/>
          <w:szCs w:val="24"/>
        </w:rPr>
        <w:t xml:space="preserve"> </w:t>
      </w:r>
      <w:r>
        <w:rPr>
          <w:rFonts w:asciiTheme="majorBidi" w:hAnsiTheme="majorBidi" w:cstheme="majorBidi"/>
          <w:b w:val="0"/>
          <w:szCs w:val="24"/>
        </w:rPr>
        <w:fldChar w:fldCharType="begin" w:fldLock="1"/>
      </w:r>
      <w:r>
        <w:rPr>
          <w:rFonts w:asciiTheme="majorBidi" w:hAnsiTheme="majorBidi" w:cstheme="majorBidi"/>
          <w:b w:val="0"/>
          <w:szCs w:val="24"/>
        </w:rPr>
        <w:instrText>ADDIN CSL_CITATION { "citationItems" : [ { "id" : "ITEM-1", "itemData" : { "DOI" : "10.2109/jcersj2.118.792", "ISBN" : "1882-0743", "ISSN" : "1882-0743", "abstract" : "Effect of B2O3 content on crack resistance was investigated by indentation tests of glass samples with various compositions of B2O3. The ternary SiO2\u2013B2O3\u2013Na2O glass system (SBN series) and non-alkaline aluminoborosilicate glass system (SAB series). When B2O3 is substituted with SiO2 in the SBN system (\u201cSBN1\u201d series), crack resistance has a relationship with density. In a series of the SBN system where density did not change with B2O3 content (\u201cSBN2\u201d series), crack resistance decreased with increasing B2O3 content. On the other hand, crack resistance increased with increasing B2O3 content in the SAB series, where density did not change. According to the results of NMR measurement, boron in 4-cordination state ([4]B) increased in the SBN2 series while boron in 3-cordination state ([3]B) increased in the SAB series with increasing B2O3 content. Therefore, crack resistance increases with increasing [3]B and decreases with increasing [4]B. The difference in structure between [3]B and [4]B containing glasses leads to different effect on residual stress around the indentation, resulting in difference in crack resistance.", "author" : [ { "dropping-particle" : "", "family" : "Kato", "given" : "Yoshinari", "non-dropping-particle" : "", "parse-names" : false, "suffix" : "" }, { "dropping-particle" : "", "family" : "Yamazaki", "given" : "Hiroki", "non-dropping-particle" : "", "parse-names" : false, "suffix" : "" }, { "dropping-particle" : "", "family" : "Kubo", "given" : "Yoshihiro", "non-dropping-particle" : "", "parse-names" : false, "suffix" : "" }, { "dropping-particle" : "", "family" : "Yosyida", "given" : "Satoshi", "non-dropping-particle" : "", "parse-names" : false, "suffix" : "" }, { "dropping-particle" : "", "family" : "Matsuoko", "given" : "Jun", "non-dropping-particle" : "", "parse-names" : false, "suffix" : "" }, { "dropping-particle" : "", "family" : "Akai", "given" : "Tomoko", "non-dropping-particle" : "", "parse-names" : false, "suffix" : "" } ], "container-title" : "Journal of the Ceramic Society of Japan", "id" : "ITEM-1", "issue" : "1381", "issued" : { "date-parts" : [ [ "2010" ] ] }, "page" : "792-798", "title" : "Effect of B2O3 content on crack initiation under Vickers indentation test", "type" : "article-journal", "volume" : "118" }, "uris" : [ "http://www.mendeley.com/documents/?uuid=c0571df8-f8e5-4254-bd20-8c680e088ed4" ] } ], "mendeley" : { "formattedCitation" : "(Yoshinari Kato et al., 2010)", "manualFormatting" : "(Kato et al., 2010)", "plainTextFormattedCitation" : "(Yoshinari Kato et al., 2010)", "previouslyFormattedCitation" : "(Yoshinari Kato et al., 2010)" }, "properties" : { "noteIndex" : 16 }, "schema" : "https://github.com/citation-style-language/schema/raw/master/csl-citation.json" }</w:instrText>
      </w:r>
      <w:r>
        <w:rPr>
          <w:rFonts w:asciiTheme="majorBidi" w:hAnsiTheme="majorBidi" w:cstheme="majorBidi"/>
          <w:b w:val="0"/>
          <w:szCs w:val="24"/>
        </w:rPr>
        <w:fldChar w:fldCharType="separate"/>
      </w:r>
      <w:r>
        <w:rPr>
          <w:rFonts w:asciiTheme="majorBidi" w:hAnsiTheme="majorBidi" w:cstheme="majorBidi"/>
          <w:b w:val="0"/>
          <w:noProof/>
          <w:szCs w:val="24"/>
        </w:rPr>
        <w:t>(Kato et al., 2010)</w:t>
      </w:r>
      <w:r>
        <w:rPr>
          <w:rFonts w:asciiTheme="majorBidi" w:hAnsiTheme="majorBidi" w:cstheme="majorBidi"/>
          <w:b w:val="0"/>
          <w:szCs w:val="24"/>
        </w:rPr>
        <w:fldChar w:fldCharType="end"/>
      </w:r>
      <w:r>
        <w:rPr>
          <w:rFonts w:asciiTheme="majorBidi" w:hAnsiTheme="majorBidi" w:cstheme="majorBidi"/>
          <w:b w:val="0"/>
          <w:szCs w:val="24"/>
        </w:rPr>
        <w:t xml:space="preserve">, sodium aluminosilicates </w:t>
      </w:r>
      <w:r>
        <w:rPr>
          <w:rFonts w:asciiTheme="majorBidi" w:hAnsiTheme="majorBidi" w:cstheme="majorBidi"/>
          <w:b w:val="0"/>
          <w:szCs w:val="24"/>
        </w:rPr>
        <w:fldChar w:fldCharType="begin" w:fldLock="1"/>
      </w:r>
      <w:r>
        <w:rPr>
          <w:rFonts w:asciiTheme="majorBidi" w:hAnsiTheme="majorBidi" w:cstheme="majorBidi"/>
          <w:b w:val="0"/>
          <w:szCs w:val="24"/>
        </w:rPr>
        <w:instrText>ADDIN CSL_CITATION { "citationItems" : [ { "id" : "ITEM-1", "itemData" : { "DOI" : "10.1016/j.jnoncrysol.2004.07.019", "ISSN" : "00223093", "abstract" : "Crack initiation behavior of sodium aluminosilicate glasses has been investigated by using Vickers indentation and scratch techniques. Compositional variation of the crack initiation behavior has been discussed in terms of the elastic and inelastic mechanical responses of the glasses. Vickers hardness and Young's modulus increase with increasing the ratio of Al2O 3 to Na2O in glass. As for the crack initiation behavior, the addition of Al2O3 to Na2O-SiO2 glass causes an increase in the crack forming probability and a decrease in the crack initiation load. No maximum or minimum is found in the compositional variation of crack initiation behavior. This means that the crack initiation process can be affected not by the alkali mobility but by the rigidity of glass network. The addition of Al2O3 to Na2O-SiO 2 glass causes the reduction of the number of non-bridging oxygens and the increase in rigidity of glass network at the Al2O 3/Na2O &lt; 1. At the ratio &gt;1, it is assumed that the formation of O(Al2Si) or O(AlSi2) triclusters also increases the rigidity of glass network. It is concluded that a decreased ability to deform leads to easy crack initiation in Na2O-Al 2O3-SiO2 glasses with higher Al 2O3 content. ?? 2004 Elsevier B.V. All rights reserved.", "author" : [ { "dropping-particle" : "", "family" : "Yoshida", "given" : "Satosbi", "non-dropping-particle" : "", "parse-names" : false, "suffix" : "" }, { "dropping-particle" : "", "family" : "Hidaka", "given" : "Atsuo", "non-dropping-particle" : "", "parse-names" : false, "suffix" : "" }, { "dropping-particle" : "", "family" : "Matsuoka", "given" : "Jun", "non-dropping-particle" : "", "parse-names" : false, "suffix" : "" } ], "container-title" : "Journal of Non-Crystalline Solids", "id" : "ITEM-1", "issue" : "1-2", "issued" : { "date-parts" : [ [ "2004" ] ] }, "page" : "37-43", "title" : "Crack initiation behavior of sodium aluminosilicate glasses", "type" : "article-journal", "volume" : "344" }, "uris" : [ "http://www.mendeley.com/documents/?uuid=9d5f4bb0-e69f-42f6-93de-f18ffdef6da6" ] } ], "mendeley" : { "formattedCitation" : "(Yoshida, Hidaka, &amp; Matsuoka, 2004)", "manualFormatting" : "(Yoshida et al., 2004)", "plainTextFormattedCitation" : "(Yoshida, Hidaka, &amp; Matsuoka, 2004)", "previouslyFormattedCitation" : "(Yoshida, Hidaka, &amp; Matsuoka, 2004)" }, "properties" : { "noteIndex" : 16 }, "schema" : "https://github.com/citation-style-language/schema/raw/master/csl-citation.json" }</w:instrText>
      </w:r>
      <w:r>
        <w:rPr>
          <w:rFonts w:asciiTheme="majorBidi" w:hAnsiTheme="majorBidi" w:cstheme="majorBidi"/>
          <w:b w:val="0"/>
          <w:szCs w:val="24"/>
        </w:rPr>
        <w:fldChar w:fldCharType="separate"/>
      </w:r>
      <w:r>
        <w:rPr>
          <w:rFonts w:asciiTheme="majorBidi" w:hAnsiTheme="majorBidi" w:cstheme="majorBidi"/>
          <w:b w:val="0"/>
          <w:noProof/>
          <w:szCs w:val="24"/>
        </w:rPr>
        <w:t>(Yoshida et al., 2004)</w:t>
      </w:r>
      <w:r>
        <w:rPr>
          <w:rFonts w:asciiTheme="majorBidi" w:hAnsiTheme="majorBidi" w:cstheme="majorBidi"/>
          <w:b w:val="0"/>
          <w:szCs w:val="24"/>
        </w:rPr>
        <w:fldChar w:fldCharType="end"/>
      </w:r>
      <w:r>
        <w:rPr>
          <w:rFonts w:asciiTheme="majorBidi" w:hAnsiTheme="majorBidi" w:cstheme="majorBidi"/>
          <w:b w:val="0"/>
          <w:szCs w:val="24"/>
        </w:rPr>
        <w:t xml:space="preserve">, sodium </w:t>
      </w:r>
      <w:proofErr w:type="spellStart"/>
      <w:r>
        <w:rPr>
          <w:rFonts w:asciiTheme="majorBidi" w:hAnsiTheme="majorBidi" w:cstheme="majorBidi"/>
          <w:b w:val="0"/>
          <w:szCs w:val="24"/>
        </w:rPr>
        <w:t>aluminoborates</w:t>
      </w:r>
      <w:proofErr w:type="spellEnd"/>
      <w:r>
        <w:rPr>
          <w:rFonts w:asciiTheme="majorBidi" w:hAnsiTheme="majorBidi" w:cstheme="majorBidi"/>
          <w:b w:val="0"/>
          <w:szCs w:val="24"/>
        </w:rPr>
        <w:t xml:space="preserve"> </w:t>
      </w:r>
      <w:r>
        <w:rPr>
          <w:rFonts w:asciiTheme="majorBidi" w:hAnsiTheme="majorBidi" w:cstheme="majorBidi"/>
          <w:b w:val="0"/>
          <w:szCs w:val="24"/>
        </w:rPr>
        <w:fldChar w:fldCharType="begin" w:fldLock="1"/>
      </w:r>
      <w:r>
        <w:rPr>
          <w:rFonts w:asciiTheme="majorBidi" w:hAnsiTheme="majorBidi" w:cstheme="majorBidi"/>
          <w:b w:val="0"/>
          <w:szCs w:val="24"/>
        </w:rPr>
        <w:instrText>ADDIN CSL_CITATION { "citationItems" : [ { "id" : "ITEM-1", "itemData" : { "DOI" : "10.1016/j.jnoncrysol.2017.01.019", "ISSN" : "00223093", "abstract" : "Sodium aluminoborate glasses are found to exhibit favorable mechanical properties, especially high crack resistance, due to their relatively low resistance to network compaction during sharp-contact loading. We here reveal the origin of the high crack resistance by investigating changes in structure and mechanical properties in compositions ranging from peralkaline to peraluminous and by varying the pressure history through an isostatic N2-mediated pressure treatment at elevated temperature. This approach allows us to study the composition dependence of the ease of the glassy network compaction and the accompanying changes in structure and properties, which shed light on the processes occurring during indentation. Through solid state NMR measurements, we show that the network densification involves an increase in the average coordination number of both boron and aluminum and a shortening of the sodium-oxygen bond length. These changes in the short-range order of the glassy networks manifest themselves as an increase in, e.g., density and indentation hardness. We also demonstrate that the glasses most prone to network compaction exhibit the highest damage resistance, but surprisingly the crack resistance scales better with the relative density increase achieved by the hot compression treatment rather than with the extent of densification induced by indentation. This suggests that tuning the network structure may lead to the development of more damage resistant glasses, thus addressing the main drawback of this class of materials.", "author" : [ { "dropping-particle" : "", "family" : "Januchta", "given" : "Kacper", "non-dropping-particle" : "", "parse-names" : false, "suffix" : "" }, { "dropping-particle" : "", "family" : "Youngman", "given" : "Randall E.", "non-dropping-particle" : "", "parse-names" : false, "suffix" : "" }, { "dropping-particle" : "", "family" : "Goel", "given" : "Ashutosh", "non-dropping-particle" : "", "parse-names" : false, "suffix" : "" }, { "dropping-particle" : "", "family" : "Bauchy", "given" : "Mathieu", "non-dropping-particle" : "", "parse-names" : false, "suffix" : "" }, { "dropping-particle" : "", "family" : "Rzoska", "given" : "Sylwester J.", "non-dropping-particle" : "", "parse-names" : false, "suffix" : "" }, { "dropping-particle" : "", "family" : "Bockowski", "given" : "Michal", "non-dropping-particle" : "", "parse-names" : false, "suffix" : "" }, { "dropping-particle" : "", "family" : "Smedskjaer", "given" : "Morten M.", "non-dropping-particle" : "", "parse-names" : false, "suffix" : "" } ], "container-title" : "Journal of Non-Crystalline Solids", "id" : "ITEM-1", "issued" : { "date-parts" : [ [ "2017" ] ] }, "page" : "54-65", "publisher" : "Elsevier B.V.", "title" : "Structural origin of high crack resistance in sodium aluminoborate glasses", "type" : "article-journal", "volume" : "460" }, "uris" : [ "http://www.mendeley.com/documents/?uuid=a493576e-60ba-4357-8734-0c371afc487b" ] } ], "mendeley" : { "formattedCitation" : "(Januchta et al., 2017)", "plainTextFormattedCitation" : "(Januchta et al., 2017)", "previouslyFormattedCitation" : "(Januchta et al., 2017)" }, "properties" : { "noteIndex" : 16 }, "schema" : "https://github.com/citation-style-language/schema/raw/master/csl-citation.json" }</w:instrText>
      </w:r>
      <w:r>
        <w:rPr>
          <w:rFonts w:asciiTheme="majorBidi" w:hAnsiTheme="majorBidi" w:cstheme="majorBidi"/>
          <w:b w:val="0"/>
          <w:szCs w:val="24"/>
        </w:rPr>
        <w:fldChar w:fldCharType="separate"/>
      </w:r>
      <w:r>
        <w:rPr>
          <w:rFonts w:asciiTheme="majorBidi" w:hAnsiTheme="majorBidi" w:cstheme="majorBidi"/>
          <w:b w:val="0"/>
          <w:noProof/>
          <w:szCs w:val="24"/>
        </w:rPr>
        <w:t>(Januchta et al., 2017)</w:t>
      </w:r>
      <w:r>
        <w:rPr>
          <w:rFonts w:asciiTheme="majorBidi" w:hAnsiTheme="majorBidi" w:cstheme="majorBidi"/>
          <w:b w:val="0"/>
          <w:szCs w:val="24"/>
        </w:rPr>
        <w:fldChar w:fldCharType="end"/>
      </w:r>
      <w:r>
        <w:rPr>
          <w:rFonts w:asciiTheme="majorBidi" w:hAnsiTheme="majorBidi" w:cstheme="majorBidi"/>
          <w:b w:val="0"/>
          <w:szCs w:val="24"/>
        </w:rPr>
        <w:t xml:space="preserve"> and sodium </w:t>
      </w:r>
      <w:proofErr w:type="spellStart"/>
      <w:r>
        <w:rPr>
          <w:rFonts w:asciiTheme="majorBidi" w:hAnsiTheme="majorBidi" w:cstheme="majorBidi"/>
          <w:b w:val="0"/>
          <w:szCs w:val="24"/>
        </w:rPr>
        <w:t>aluminoborosilicates</w:t>
      </w:r>
      <w:proofErr w:type="spellEnd"/>
      <w:r>
        <w:rPr>
          <w:rFonts w:asciiTheme="majorBidi" w:hAnsiTheme="majorBidi" w:cstheme="majorBidi"/>
          <w:b w:val="0"/>
          <w:szCs w:val="24"/>
        </w:rPr>
        <w:t xml:space="preserve"> </w:t>
      </w:r>
      <w:r>
        <w:rPr>
          <w:rFonts w:asciiTheme="majorBidi" w:hAnsiTheme="majorBidi" w:cstheme="majorBidi"/>
          <w:b w:val="0"/>
          <w:szCs w:val="24"/>
        </w:rPr>
        <w:fldChar w:fldCharType="begin" w:fldLock="1"/>
      </w:r>
      <w:r w:rsidR="006B07E6">
        <w:rPr>
          <w:rFonts w:asciiTheme="majorBidi" w:hAnsiTheme="majorBidi" w:cstheme="majorBidi"/>
          <w:b w:val="0"/>
          <w:szCs w:val="24"/>
        </w:rPr>
        <w:instrText>ADDIN CSL_CITATION { "citationItems" : [ { "id" : "ITEM-1", "itemData" : { "DOI" : "10.1016/j.jnoncrysol.2012.01.030", "ISSN" : "00223093", "abstract" : "The complicated structural speciation in boroaluminosilicate glasses leads to a mixed network former effect yielding nonlinear variation in many macroscopic properties as a function of chemical composition. Here we study the composition\u2013structure\u2013property relationships in a series of sodium boroaluminosilicate glasses from peralkaline to peraluminous compositions by substituting Al2O3 for SiO2. Our results reveal a pro- nounced change in all the measured physical properties (density, elastic moduli, hardness, glass transition temperature, and liquid fragility) around [Al2O3]\u2013[Na2O]=0. The structural origin of this change is elucidat- ed through nuclear magnetic resonance analyses and topological considerations. Furthermore, we find that addition of 1 mol% Fe2O3 exerts a complicated impact on the measured properties", "author" : [ { "dropping-particle" : "", "family" : "Zheng", "given" : "Qiuju", "non-dropping-particle" : "", "parse-names" : false, "suffix" : "" }, { "dropping-particle" : "", "family" : "Potuzak", "given" : "Marcel", "non-dropping-particle" : "", "parse-names" : false, "suffix" : "" }, { "dropping-particle" : "", "family" : "Mauro", "given" : "John C.", "non-dropping-particle" : "", "parse-names" : false, "suffix" : "" }, { "dropping-particle" : "", "family" : "Smedskjaer", "given" : "Morten M.", "non-dropping-particle" : "", "parse-names" : false, "suffix" : "" }, { "dropping-particle" : "", "family" : "Youngman", "given" : "Randall E.", "non-dropping-particle" : "", "parse-names" : false, "suffix" : "" }, { "dropping-particle" : "", "family" : "Yue", "given" : "Yuanzheng", "non-dropping-particle" : "", "parse-names" : false, "suffix" : "" } ], "container-title" : "Journal of Non-Crystalline Solids", "id" : "ITEM-1", "issue" : "6-7", "issued" : { "date-parts" : [ [ "2012", "4" ] ] }, "page" : "993-1002", "publisher" : "Elsevier B.V.", "title" : "Composition\u2013structure\u2013property relationships in boroaluminosilicate glasses", "type" : "article-journal", "volume" : "358" }, "uris" : [ "http://www.mendeley.com/documents/?uuid=8ccfe3eb-f21e-4530-8f05-85b536f7dce8" ] } ], "mendeley" : { "formattedCitation" : "(Q. Zheng et al., 2012b)", "manualFormatting" : "(Zheng et al., 2012)", "plainTextFormattedCitation" : "(Q. Zheng et al., 2012b)", "previouslyFormattedCitation" : "(Q. Zheng et al., 2012b)" }, "properties" : { "noteIndex" : 16 }, "schema" : "https://github.com/citation-style-language/schema/raw/master/csl-citation.json" }</w:instrText>
      </w:r>
      <w:r>
        <w:rPr>
          <w:rFonts w:asciiTheme="majorBidi" w:hAnsiTheme="majorBidi" w:cstheme="majorBidi"/>
          <w:b w:val="0"/>
          <w:szCs w:val="24"/>
        </w:rPr>
        <w:fldChar w:fldCharType="separate"/>
      </w:r>
      <w:r>
        <w:rPr>
          <w:rFonts w:asciiTheme="majorBidi" w:hAnsiTheme="majorBidi" w:cstheme="majorBidi"/>
          <w:b w:val="0"/>
          <w:noProof/>
          <w:szCs w:val="24"/>
        </w:rPr>
        <w:t>(Zheng et al., 2012)</w:t>
      </w:r>
      <w:r>
        <w:rPr>
          <w:rFonts w:asciiTheme="majorBidi" w:hAnsiTheme="majorBidi" w:cstheme="majorBidi"/>
          <w:b w:val="0"/>
          <w:szCs w:val="24"/>
        </w:rPr>
        <w:fldChar w:fldCharType="end"/>
      </w:r>
      <w:r>
        <w:rPr>
          <w:rFonts w:asciiTheme="majorBidi" w:hAnsiTheme="majorBidi" w:cstheme="majorBidi"/>
          <w:b w:val="0"/>
          <w:szCs w:val="24"/>
        </w:rPr>
        <w:t xml:space="preserve"> that their structures have a large effect on the mechanical properties of the final glass. </w:t>
      </w:r>
    </w:p>
    <w:p w14:paraId="2421B40F" w14:textId="78027714" w:rsidR="00574F23" w:rsidRDefault="00574F23" w:rsidP="00574F23">
      <w:pPr>
        <w:spacing w:after="0" w:line="360" w:lineRule="auto"/>
        <w:jc w:val="both"/>
        <w:rPr>
          <w:rFonts w:asciiTheme="majorBidi" w:hAnsiTheme="majorBidi" w:cstheme="majorBidi"/>
          <w:b w:val="0"/>
          <w:szCs w:val="24"/>
        </w:rPr>
      </w:pPr>
      <w:r>
        <w:rPr>
          <w:rFonts w:asciiTheme="majorBidi" w:hAnsiTheme="majorBidi" w:cstheme="majorBidi"/>
          <w:b w:val="0"/>
          <w:szCs w:val="24"/>
        </w:rPr>
        <w:t xml:space="preserve">Recently </w:t>
      </w:r>
      <w:r>
        <w:rPr>
          <w:rFonts w:asciiTheme="majorBidi" w:hAnsiTheme="majorBidi" w:cstheme="majorBidi"/>
          <w:b w:val="0"/>
          <w:szCs w:val="24"/>
        </w:rPr>
        <w:fldChar w:fldCharType="begin" w:fldLock="1"/>
      </w:r>
      <w:r w:rsidR="006B07E6">
        <w:rPr>
          <w:rFonts w:asciiTheme="majorBidi" w:hAnsiTheme="majorBidi" w:cstheme="majorBidi"/>
          <w:b w:val="0"/>
          <w:szCs w:val="24"/>
        </w:rPr>
        <w:instrText>ADDIN CSL_CITATION { "citationItems" : [ { "id" : "ITEM-1", "itemData" : { "DOI" : "10.1111/jace.16304", "author" : [ { "dropping-particle" : "", "family" : "Januchta", "given" : "Kacper", "non-dropping-particle" : "", "parse-names" : false, "suffix" : "" }, { "dropping-particle" : "", "family" : "To", "given" : "Theany", "non-dropping-particle" : "", "parse-names" : false, "suffix" : "" }, { "dropping-particle" : "", "family" : "B\u00f8dker", "given" : "Mikkel S.", "non-dropping-particle" : "", "parse-names" : false, "suffix" : "" }, { "dropping-particle" : "", "family" : "Rouxel", "given" : "Tanguy", "non-dropping-particle" : "", "parse-names" : false, "suffix" : "" }, { "dropping-particle" : "", "family" : "Smedskjaer", "given" : "Morten M.", "non-dropping-particle" : "", "parse-names" : false, "suffix" : "" } ], "id" : "ITEM-1", "issue" : "November 2018", "issued" : { "date-parts" : [ [ "2019" ] ] }, "title" : "Elasticity , hardness , and fracture toughness of sodium aluminoborosilicate glasses", "type" : "article-journal" }, "uris" : [ "http://www.mendeley.com/documents/?uuid=3cdff889-21ba-4436-9114-8115d234f5ea" ] } ], "mendeley" : { "formattedCitation" : "(Januchta, To, B\u00f8dker, Rouxel, &amp; Smedskjaer, 2019)", "manualFormatting" : "Januchta et al., (2019)", "plainTextFormattedCitation" : "(Januchta, To, B\u00f8dker, Rouxel, &amp; Smedskjaer, 2019)", "previouslyFormattedCitation" : "(Januchta, To, B\u00f8dker, Rouxel, &amp; Smedskjaer, 2019)" }, "properties" : { "noteIndex" : 16 }, "schema" : "https://github.com/citation-style-language/schema/raw/master/csl-citation.json" }</w:instrText>
      </w:r>
      <w:r>
        <w:rPr>
          <w:rFonts w:asciiTheme="majorBidi" w:hAnsiTheme="majorBidi" w:cstheme="majorBidi"/>
          <w:b w:val="0"/>
          <w:szCs w:val="24"/>
        </w:rPr>
        <w:fldChar w:fldCharType="separate"/>
      </w:r>
      <w:r>
        <w:rPr>
          <w:rFonts w:asciiTheme="majorBidi" w:hAnsiTheme="majorBidi" w:cstheme="majorBidi"/>
          <w:b w:val="0"/>
          <w:noProof/>
          <w:szCs w:val="24"/>
        </w:rPr>
        <w:t>Januchta et al., (2019)</w:t>
      </w:r>
      <w:r>
        <w:rPr>
          <w:rFonts w:asciiTheme="majorBidi" w:hAnsiTheme="majorBidi" w:cstheme="majorBidi"/>
          <w:b w:val="0"/>
          <w:szCs w:val="24"/>
        </w:rPr>
        <w:fldChar w:fldCharType="end"/>
      </w:r>
      <w:r>
        <w:rPr>
          <w:rFonts w:asciiTheme="majorBidi" w:hAnsiTheme="majorBidi" w:cstheme="majorBidi"/>
          <w:b w:val="0"/>
          <w:szCs w:val="24"/>
        </w:rPr>
        <w:t xml:space="preserve">, have suggested that the effect of composition on the boroaluminosilicate system can </w:t>
      </w:r>
      <w:r w:rsidR="00A74B0C">
        <w:rPr>
          <w:rFonts w:asciiTheme="majorBidi" w:hAnsiTheme="majorBidi" w:cstheme="majorBidi"/>
          <w:b w:val="0"/>
          <w:szCs w:val="24"/>
        </w:rPr>
        <w:t>predict</w:t>
      </w:r>
      <w:r>
        <w:rPr>
          <w:rFonts w:asciiTheme="majorBidi" w:hAnsiTheme="majorBidi" w:cstheme="majorBidi"/>
          <w:b w:val="0"/>
          <w:szCs w:val="24"/>
        </w:rPr>
        <w:t xml:space="preserve"> from a model based on constraint counting. The predictions are made using an equation discussed below (see Chapter 2). For the sodium aluminoborosil</w:t>
      </w:r>
      <w:r w:rsidR="005D1A70">
        <w:rPr>
          <w:rFonts w:asciiTheme="majorBidi" w:hAnsiTheme="majorBidi" w:cstheme="majorBidi"/>
          <w:b w:val="0"/>
          <w:szCs w:val="24"/>
        </w:rPr>
        <w:t>i</w:t>
      </w:r>
      <w:r>
        <w:rPr>
          <w:rFonts w:asciiTheme="majorBidi" w:hAnsiTheme="majorBidi" w:cstheme="majorBidi"/>
          <w:b w:val="0"/>
          <w:szCs w:val="24"/>
        </w:rPr>
        <w:t xml:space="preserve">cate compositions used, they found </w:t>
      </w:r>
      <w:r w:rsidR="00A74B0C">
        <w:rPr>
          <w:rFonts w:asciiTheme="majorBidi" w:hAnsiTheme="majorBidi" w:cstheme="majorBidi"/>
          <w:b w:val="0"/>
          <w:szCs w:val="24"/>
        </w:rPr>
        <w:t xml:space="preserve">an </w:t>
      </w:r>
      <w:r>
        <w:rPr>
          <w:rFonts w:asciiTheme="majorBidi" w:hAnsiTheme="majorBidi" w:cstheme="majorBidi"/>
          <w:b w:val="0"/>
          <w:szCs w:val="24"/>
        </w:rPr>
        <w:t xml:space="preserve">agreement between the predictions of their model and modulus and hardness, but not for toughness. Thus there is </w:t>
      </w:r>
      <w:r w:rsidR="00A74B0C">
        <w:rPr>
          <w:rFonts w:asciiTheme="majorBidi" w:hAnsiTheme="majorBidi" w:cstheme="majorBidi"/>
          <w:b w:val="0"/>
          <w:szCs w:val="24"/>
        </w:rPr>
        <w:t>none</w:t>
      </w:r>
      <w:r>
        <w:rPr>
          <w:rFonts w:asciiTheme="majorBidi" w:hAnsiTheme="majorBidi" w:cstheme="majorBidi"/>
          <w:b w:val="0"/>
          <w:szCs w:val="24"/>
        </w:rPr>
        <w:t xml:space="preserve"> model of boroaluminosilicate glasses that gives satisfactory predictions of all of the properties. </w:t>
      </w:r>
    </w:p>
    <w:p w14:paraId="3C055EDE" w14:textId="77777777" w:rsidR="00574F23" w:rsidRDefault="00574F23" w:rsidP="00574F23">
      <w:pPr>
        <w:spacing w:after="0" w:line="360" w:lineRule="auto"/>
        <w:jc w:val="both"/>
        <w:rPr>
          <w:rFonts w:asciiTheme="majorBidi" w:hAnsiTheme="majorBidi" w:cstheme="majorBidi"/>
          <w:b w:val="0"/>
          <w:szCs w:val="24"/>
        </w:rPr>
      </w:pPr>
    </w:p>
    <w:p w14:paraId="35154610" w14:textId="41EE72C7" w:rsidR="00574F23" w:rsidRDefault="00A74B0C" w:rsidP="00574F23">
      <w:pPr>
        <w:spacing w:line="360" w:lineRule="auto"/>
        <w:jc w:val="both"/>
        <w:rPr>
          <w:rFonts w:asciiTheme="majorBidi" w:hAnsiTheme="majorBidi" w:cstheme="majorBidi"/>
          <w:b w:val="0"/>
          <w:szCs w:val="24"/>
        </w:rPr>
      </w:pPr>
      <w:r>
        <w:rPr>
          <w:rFonts w:asciiTheme="majorBidi" w:hAnsiTheme="majorBidi" w:cstheme="majorBidi"/>
          <w:b w:val="0"/>
          <w:szCs w:val="24"/>
        </w:rPr>
        <w:t>T</w:t>
      </w:r>
      <w:r w:rsidR="00574F23">
        <w:rPr>
          <w:rFonts w:asciiTheme="majorBidi" w:hAnsiTheme="majorBidi" w:cstheme="majorBidi"/>
          <w:b w:val="0"/>
          <w:szCs w:val="24"/>
        </w:rPr>
        <w:t xml:space="preserve">o relate </w:t>
      </w:r>
      <w:r w:rsidR="005D1A70">
        <w:rPr>
          <w:rFonts w:asciiTheme="majorBidi" w:hAnsiTheme="majorBidi" w:cstheme="majorBidi"/>
          <w:b w:val="0"/>
          <w:szCs w:val="24"/>
        </w:rPr>
        <w:t xml:space="preserve">the </w:t>
      </w:r>
      <w:r w:rsidR="00574F23">
        <w:rPr>
          <w:rFonts w:asciiTheme="majorBidi" w:hAnsiTheme="majorBidi" w:cstheme="majorBidi"/>
          <w:b w:val="0"/>
          <w:szCs w:val="24"/>
        </w:rPr>
        <w:t>effect of different glass chemistry to mechanical properties, understanding the network former speciation is essential. It is well known when alkali oxide network modifiers such as Na</w:t>
      </w:r>
      <w:r w:rsidR="00574F23">
        <w:rPr>
          <w:rFonts w:asciiTheme="majorBidi" w:hAnsiTheme="majorBidi" w:cstheme="majorBidi"/>
          <w:b w:val="0"/>
          <w:szCs w:val="24"/>
          <w:vertAlign w:val="subscript"/>
        </w:rPr>
        <w:t>2</w:t>
      </w:r>
      <w:r w:rsidR="00574F23">
        <w:rPr>
          <w:rFonts w:asciiTheme="majorBidi" w:hAnsiTheme="majorBidi" w:cstheme="majorBidi"/>
          <w:b w:val="0"/>
          <w:szCs w:val="24"/>
        </w:rPr>
        <w:t>O are present in a glass</w:t>
      </w:r>
      <w:r>
        <w:rPr>
          <w:rFonts w:asciiTheme="majorBidi" w:hAnsiTheme="majorBidi" w:cstheme="majorBidi"/>
          <w:b w:val="0"/>
          <w:szCs w:val="24"/>
        </w:rPr>
        <w:t xml:space="preserve">, </w:t>
      </w:r>
      <w:r w:rsidR="00574F23">
        <w:rPr>
          <w:rFonts w:asciiTheme="majorBidi" w:hAnsiTheme="majorBidi" w:cstheme="majorBidi"/>
          <w:b w:val="0"/>
          <w:szCs w:val="24"/>
        </w:rPr>
        <w:t>they enable alumina to act as network former rather than as a modifier producing non-bridging oxygen (NBOs). Such alkali additions can also lead to the formation of tetrahedral boron.  Beyond a certain level</w:t>
      </w:r>
      <w:r w:rsidR="005D1A70">
        <w:rPr>
          <w:rFonts w:asciiTheme="majorBidi" w:hAnsiTheme="majorBidi" w:cstheme="majorBidi"/>
          <w:b w:val="0"/>
          <w:szCs w:val="24"/>
        </w:rPr>
        <w:t>,</w:t>
      </w:r>
      <w:r w:rsidR="00574F23">
        <w:rPr>
          <w:rFonts w:asciiTheme="majorBidi" w:hAnsiTheme="majorBidi" w:cstheme="majorBidi"/>
          <w:b w:val="0"/>
          <w:szCs w:val="24"/>
        </w:rPr>
        <w:t xml:space="preserve"> further alkali additions lead to the promotion of NBOs on B</w:t>
      </w:r>
      <w:r w:rsidR="00804B85">
        <w:rPr>
          <w:rFonts w:asciiTheme="majorBidi" w:hAnsiTheme="majorBidi" w:cstheme="majorBidi"/>
          <w:b w:val="0"/>
          <w:szCs w:val="24"/>
          <w:vertAlign w:val="superscript"/>
        </w:rPr>
        <w:t>III</w:t>
      </w:r>
      <w:r w:rsidR="00574F23">
        <w:rPr>
          <w:rFonts w:asciiTheme="majorBidi" w:hAnsiTheme="majorBidi" w:cstheme="majorBidi"/>
          <w:b w:val="0"/>
          <w:szCs w:val="24"/>
        </w:rPr>
        <w:t xml:space="preserve"> </w:t>
      </w:r>
      <w:r w:rsidR="00574F23">
        <w:rPr>
          <w:rFonts w:asciiTheme="majorBidi" w:hAnsiTheme="majorBidi" w:cstheme="majorBidi"/>
          <w:b w:val="0"/>
          <w:szCs w:val="24"/>
        </w:rPr>
        <w:fldChar w:fldCharType="begin" w:fldLock="1"/>
      </w:r>
      <w:r w:rsidR="006B07E6">
        <w:rPr>
          <w:rFonts w:asciiTheme="majorBidi" w:hAnsiTheme="majorBidi" w:cstheme="majorBidi"/>
          <w:b w:val="0"/>
          <w:szCs w:val="24"/>
        </w:rPr>
        <w:instrText>ADDIN CSL_CITATION { "citationItems" : [ { "id" : "ITEM-1", "itemData" : { "author" : [ { "dropping-particle" : "", "family" : "Zhong", "given" : "Jianhui", "non-dropping-particle" : "", "parse-names" : false, "suffix" : "" }, { "dropping-particle" : "", "family" : "Bray", "given" : "P.J.", "non-dropping-particle" : "", "parse-names" : false, "suffix" : "" } ], "container-title" : "Journal of Non-Crystalline Solids", "id" : "ITEM-1", "issued" : { "date-parts" : [ [ "1989" ] ] }, "page" : "67-76", "title" : "Change in boron coordination in borate glasses, and mixed alkali effects, as elucidated by NMR", "type" : "article-journal", "volume" : "111" }, "uris" : [ "http://www.mendeley.com/documents/?uuid=f6fffbed-97ac-4d79-b4bf-ab2a24577a82" ] } ], "mendeley" : { "formattedCitation" : "(Zhong &amp; Bray, 1989)", "plainTextFormattedCitation" : "(Zhong &amp; Bray, 1989)", "previouslyFormattedCitation" : "(Zhong &amp; Bray, 1989)" }, "properties" : { "noteIndex" : 0 }, "schema" : "https://github.com/citation-style-language/schema/raw/master/csl-citation.json" }</w:instrText>
      </w:r>
      <w:r w:rsidR="00574F23">
        <w:rPr>
          <w:rFonts w:asciiTheme="majorBidi" w:hAnsiTheme="majorBidi" w:cstheme="majorBidi"/>
          <w:b w:val="0"/>
          <w:szCs w:val="24"/>
        </w:rPr>
        <w:fldChar w:fldCharType="separate"/>
      </w:r>
      <w:r w:rsidR="006B07E6" w:rsidRPr="006B07E6">
        <w:rPr>
          <w:rFonts w:asciiTheme="majorBidi" w:hAnsiTheme="majorBidi" w:cstheme="majorBidi"/>
          <w:b w:val="0"/>
          <w:noProof/>
          <w:szCs w:val="24"/>
        </w:rPr>
        <w:t>(Zhong &amp; Bray, 1989)</w:t>
      </w:r>
      <w:r w:rsidR="00574F23">
        <w:rPr>
          <w:rFonts w:asciiTheme="majorBidi" w:hAnsiTheme="majorBidi" w:cstheme="majorBidi"/>
          <w:b w:val="0"/>
          <w:szCs w:val="24"/>
        </w:rPr>
        <w:fldChar w:fldCharType="end"/>
      </w:r>
      <w:r w:rsidR="00574F23">
        <w:rPr>
          <w:rFonts w:asciiTheme="majorBidi" w:hAnsiTheme="majorBidi" w:cstheme="majorBidi"/>
          <w:b w:val="0"/>
          <w:szCs w:val="24"/>
        </w:rPr>
        <w:t xml:space="preserve"> and this also depends on the [SiO</w:t>
      </w:r>
      <w:r w:rsidR="00574F23">
        <w:rPr>
          <w:rFonts w:asciiTheme="majorBidi" w:hAnsiTheme="majorBidi" w:cstheme="majorBidi"/>
          <w:b w:val="0"/>
          <w:szCs w:val="24"/>
          <w:vertAlign w:val="subscript"/>
        </w:rPr>
        <w:t>2</w:t>
      </w:r>
      <w:r w:rsidR="00574F23">
        <w:rPr>
          <w:rFonts w:asciiTheme="majorBidi" w:hAnsiTheme="majorBidi" w:cstheme="majorBidi"/>
          <w:b w:val="0"/>
          <w:szCs w:val="24"/>
        </w:rPr>
        <w:t>] / [B</w:t>
      </w:r>
      <w:r w:rsidR="00574F23">
        <w:rPr>
          <w:rFonts w:asciiTheme="majorBidi" w:hAnsiTheme="majorBidi" w:cstheme="majorBidi"/>
          <w:b w:val="0"/>
          <w:szCs w:val="24"/>
          <w:vertAlign w:val="subscript"/>
        </w:rPr>
        <w:t>2</w:t>
      </w:r>
      <w:r w:rsidR="00574F23">
        <w:rPr>
          <w:rFonts w:asciiTheme="majorBidi" w:hAnsiTheme="majorBidi" w:cstheme="majorBidi"/>
          <w:b w:val="0"/>
          <w:szCs w:val="24"/>
        </w:rPr>
        <w:t>O</w:t>
      </w:r>
      <w:r w:rsidR="00574F23">
        <w:rPr>
          <w:rFonts w:asciiTheme="majorBidi" w:hAnsiTheme="majorBidi" w:cstheme="majorBidi"/>
          <w:b w:val="0"/>
          <w:szCs w:val="24"/>
          <w:vertAlign w:val="subscript"/>
        </w:rPr>
        <w:t>3</w:t>
      </w:r>
      <w:r w:rsidR="00574F23">
        <w:rPr>
          <w:rFonts w:asciiTheme="majorBidi" w:hAnsiTheme="majorBidi" w:cstheme="majorBidi"/>
          <w:b w:val="0"/>
          <w:szCs w:val="24"/>
        </w:rPr>
        <w:t xml:space="preserve">] ratio </w:t>
      </w:r>
      <w:r w:rsidR="00574F23">
        <w:rPr>
          <w:rFonts w:asciiTheme="majorBidi" w:hAnsiTheme="majorBidi" w:cstheme="majorBidi"/>
          <w:b w:val="0"/>
          <w:szCs w:val="24"/>
        </w:rPr>
        <w:fldChar w:fldCharType="begin" w:fldLock="1"/>
      </w:r>
      <w:r w:rsidR="00574F23">
        <w:rPr>
          <w:rFonts w:asciiTheme="majorBidi" w:hAnsiTheme="majorBidi" w:cstheme="majorBidi"/>
          <w:b w:val="0"/>
          <w:szCs w:val="24"/>
        </w:rPr>
        <w:instrText>ADDIN CSL_CITATION { "citationItems" : [ { "id" : "ITEM-1", "itemData" : { "DOI" : "10.1021/jp208796b", "ISSN" : "1520-5207", "PMID" : "21950415", "abstract" : "Borosilicate glasses display a rich complexity of chemical behavior depending on the details of their composition and thermal history. Noted for their high chemical durability and thermal shock resistance, borosilicate glasses have found a variety of important uses from common household and laboratory glassware to high-tech applications such as liquid crystal displays. In this paper, we investigate the topological principles of borosilicate glass chemistry covering the extremes from pure borate to pure silicate end members. Based on NMR measurements, we present a two-state statistical mechanical model of boron speciation in which addition of network modifiers leads to a competition between the formation of nonbridging oxygen and the conversion of boron from trigonal to tetrahedral configuration. Using this model, we derive a detailed topological representation of alkali-alkaline earth-borosilicate glasses that enables the accurate prediction of properties such as glass transition temperature, liquid fragility, and hardness. The modeling approach enables an understanding of the microscopic mechanisms governing macroscopic properties. The implications of the glass topology are discussed in terms of both the temperature and thermal history dependence of the atomic bond constraints and the influence on relaxation behavior. We also observe a nonlinear evolution of the jump in isobaric heat capacity at the glass transition when substituting SiO(2) for B(2)O(3), which can be accurately predicted using a combined topological and thermodynamic modeling approach.", "author" : [ { "dropping-particle" : "", "family" : "Smedskjaer", "given" : "Morten M", "non-dropping-particle" : "", "parse-names" : false, "suffix" : "" }, { "dropping-particle" : "", "family" : "Mauro", "given" : "John C", "non-dropping-particle" : "", "parse-names" : false, "suffix" : "" }, { "dropping-particle" : "", "family" : "Youngman", "given" : "Randall E", "non-dropping-particle" : "", "parse-names" : false, "suffix" : "" }, { "dropping-particle" : "", "family" : "Hogue", "given" : "Carrie L", "non-dropping-particle" : "", "parse-names" : false, "suffix" : "" }, { "dropping-particle" : "", "family" : "Potuzak", "given" : "Marcel", "non-dropping-particle" : "", "parse-names" : false, "suffix" : "" }, { "dropping-particle" : "", "family" : "Yue", "given" : "Yuanzheng", "non-dropping-particle" : "", "parse-names" : false, "suffix" : "" } ], "container-title" : "The journal of physical chemistry. B", "id" : "ITEM-1", "issue" : "44", "issued" : { "date-parts" : [ [ "2011", "11", "10" ] ] }, "page" : "12930-46", "title" : "Topological principles of borosilicate glass chemistry.", "type" : "article-journal", "volume" : "115" }, "uris" : [ "http://www.mendeley.com/documents/?uuid=43f6e863-092b-4832-a185-e611a4a4bf3f" ] } ], "mendeley" : { "formattedCitation" : "(Smedskjaer et al., 2011)", "plainTextFormattedCitation" : "(Smedskjaer et al., 2011)", "previouslyFormattedCitation" : "(Smedskjaer et al., 2011)" }, "properties" : { "noteIndex" : 0 }, "schema" : "https://github.com/citation-style-language/schema/raw/master/csl-citation.json" }</w:instrText>
      </w:r>
      <w:r w:rsidR="00574F23">
        <w:rPr>
          <w:rFonts w:asciiTheme="majorBidi" w:hAnsiTheme="majorBidi" w:cstheme="majorBidi"/>
          <w:b w:val="0"/>
          <w:szCs w:val="24"/>
        </w:rPr>
        <w:fldChar w:fldCharType="separate"/>
      </w:r>
      <w:r w:rsidR="00574F23">
        <w:rPr>
          <w:rFonts w:asciiTheme="majorBidi" w:hAnsiTheme="majorBidi" w:cstheme="majorBidi"/>
          <w:b w:val="0"/>
          <w:noProof/>
          <w:szCs w:val="24"/>
        </w:rPr>
        <w:t>(Smedskjaer et al., 2011)</w:t>
      </w:r>
      <w:r w:rsidR="00574F23">
        <w:rPr>
          <w:rFonts w:asciiTheme="majorBidi" w:hAnsiTheme="majorBidi" w:cstheme="majorBidi"/>
          <w:b w:val="0"/>
          <w:szCs w:val="24"/>
        </w:rPr>
        <w:fldChar w:fldCharType="end"/>
      </w:r>
      <w:r w:rsidR="00574F23">
        <w:rPr>
          <w:rFonts w:asciiTheme="majorBidi" w:hAnsiTheme="majorBidi" w:cstheme="majorBidi"/>
          <w:b w:val="0"/>
          <w:szCs w:val="24"/>
        </w:rPr>
        <w:t>. Such charge balancing is important in boroaluminosilicate glasses.</w:t>
      </w:r>
    </w:p>
    <w:p w14:paraId="0C2D9E5F" w14:textId="7B567459" w:rsidR="00574F23" w:rsidRDefault="00574F23" w:rsidP="00574F23">
      <w:pPr>
        <w:spacing w:line="360" w:lineRule="auto"/>
        <w:jc w:val="both"/>
        <w:rPr>
          <w:rFonts w:asciiTheme="majorBidi" w:hAnsiTheme="majorBidi" w:cstheme="majorBidi"/>
          <w:b w:val="0"/>
          <w:szCs w:val="24"/>
        </w:rPr>
      </w:pPr>
      <w:r>
        <w:rPr>
          <w:rFonts w:cs="Times New Roman"/>
          <w:b w:val="0"/>
          <w:szCs w:val="24"/>
        </w:rPr>
        <w:t>Many efforts have been made to investigate the mechanical properties of glass</w:t>
      </w:r>
      <w:r>
        <w:rPr>
          <w:rFonts w:asciiTheme="majorBidi" w:hAnsiTheme="majorBidi" w:cstheme="majorBidi"/>
          <w:b w:val="0"/>
          <w:szCs w:val="24"/>
        </w:rPr>
        <w:t xml:space="preserve"> </w:t>
      </w:r>
      <w:r w:rsidR="00867077">
        <w:rPr>
          <w:rFonts w:asciiTheme="majorBidi" w:hAnsiTheme="majorBidi" w:cstheme="majorBidi"/>
          <w:b w:val="0"/>
          <w:szCs w:val="24"/>
        </w:rPr>
        <w:t xml:space="preserve">(see, for example </w:t>
      </w:r>
      <w:r>
        <w:rPr>
          <w:rFonts w:asciiTheme="majorBidi" w:hAnsiTheme="majorBidi" w:cstheme="majorBidi"/>
          <w:b w:val="0"/>
          <w:szCs w:val="24"/>
        </w:rPr>
        <w:fldChar w:fldCharType="begin" w:fldLock="1"/>
      </w:r>
      <w:r>
        <w:rPr>
          <w:rFonts w:asciiTheme="majorBidi" w:hAnsiTheme="majorBidi" w:cstheme="majorBidi"/>
          <w:b w:val="0"/>
          <w:szCs w:val="24"/>
        </w:rPr>
        <w:instrText>ADDIN CSL_CITATION { "citationItems" : [ { "id" : "ITEM-1", "itemData" : { "author" : [ { "dropping-particle" : "", "family" : "Deriano", "given" : "S", "non-dropping-particle" : "", "parse-names" : false, "suffix" : "" }, { "dropping-particle" : "", "family" : "Rouxel", "given" : "T", "non-dropping-particle" : "", "parse-names" : false, "suffix" : "" }, { "dropping-particle" : "De", "family" : "Rennes", "given" : "Universit\u00e9", "non-dropping-particle" : "", "parse-names" : false, "suffix" : "" }, { "dropping-particle" : "De", "family" : "Beaulieu", "given" : "Campus", "non-dropping-particle" : "", "parse-names" : false, "suffix" : "" }, { "dropping-particle" : "", "family" : "Lefloch", "given" : "M", "non-dropping-particle" : "", "parse-names" : false, "suffix" : "" }, { "dropping-particle" : "", "family" : "Beaulieu", "given" : "De", "non-dropping-particle" : "", "parse-names" : false, "suffix" : "" }, { "dropping-particle" : "", "family" : "Brillouin", "given" : "Laboratoire L\u00e9on", "non-dropping-particle" : "", "parse-names" : false, "suffix" : "" }, { "dropping-particle" : "", "family" : "Saclay", "given" : "Cnrs-cea", "non-dropping-particle" : "", "parse-names" : false, "suffix" : "" } ], "id" : "ITEM-1", "issue" : "1", "issued" : { "date-parts" : [ [ "2004" ] ] }, "page" : "37-44", "title" : "Structure and mechanical properties of alkali \u2013 alkaline earth \u2013 silicate glasses", "type" : "article-journal", "volume" : "45" }, "uris" : [ "http://www.mendeley.com/documents/?uuid=2bbf787d-390c-4721-a0eb-97f6376fa41a" ] } ], "mendeley" : { "formattedCitation" : "(Deriano, Rouxel, et al., 2004)", "manualFormatting" : "(Deriano et al., 2004)", "plainTextFormattedCitation" : "(Deriano, Rouxel, et al., 2004)", "previouslyFormattedCitation" : "(Deriano, Rouxel, et al., 2004)" }, "properties" : { "noteIndex" : 0 }, "schema" : "https://github.com/citation-style-language/schema/raw/master/csl-citation.json" }</w:instrText>
      </w:r>
      <w:r>
        <w:rPr>
          <w:rFonts w:asciiTheme="majorBidi" w:hAnsiTheme="majorBidi" w:cstheme="majorBidi"/>
          <w:b w:val="0"/>
          <w:szCs w:val="24"/>
        </w:rPr>
        <w:fldChar w:fldCharType="separate"/>
      </w:r>
      <w:r>
        <w:rPr>
          <w:rFonts w:asciiTheme="majorBidi" w:hAnsiTheme="majorBidi" w:cstheme="majorBidi"/>
          <w:b w:val="0"/>
          <w:noProof/>
          <w:szCs w:val="24"/>
        </w:rPr>
        <w:t>(Deriano et al., 2004)</w:t>
      </w:r>
      <w:r>
        <w:rPr>
          <w:rFonts w:asciiTheme="majorBidi" w:hAnsiTheme="majorBidi" w:cstheme="majorBidi"/>
          <w:b w:val="0"/>
          <w:szCs w:val="24"/>
        </w:rPr>
        <w:fldChar w:fldCharType="end"/>
      </w:r>
      <w:r>
        <w:rPr>
          <w:rFonts w:asciiTheme="majorBidi" w:hAnsiTheme="majorBidi" w:cstheme="majorBidi"/>
          <w:b w:val="0"/>
          <w:szCs w:val="24"/>
        </w:rPr>
        <w:t xml:space="preserve">, </w:t>
      </w:r>
      <w:r>
        <w:rPr>
          <w:rFonts w:asciiTheme="majorBidi" w:hAnsiTheme="majorBidi" w:cstheme="majorBidi"/>
          <w:b w:val="0"/>
          <w:szCs w:val="24"/>
        </w:rPr>
        <w:fldChar w:fldCharType="begin" w:fldLock="1"/>
      </w:r>
      <w:r>
        <w:rPr>
          <w:rFonts w:asciiTheme="majorBidi" w:hAnsiTheme="majorBidi" w:cstheme="majorBidi"/>
          <w:b w:val="0"/>
          <w:szCs w:val="24"/>
        </w:rPr>
        <w:instrText>ADDIN CSL_CITATION { "citationItems" : [ { "id" : "ITEM-1", "itemData" : { "DOI" : "10.1016/j.jnoncrysol.2008.12.011", "ISSN" : "00223093", "author" : [ { "dropping-particle" : "", "family" : "Plummer", "given" : "J.D.", "non-dropping-particle" : "", "parse-names" : false, "suffix" : "" }, { "dropping-particle" : "", "family" : "Figueroa", "given" : "I.a.", "non-dropping-particle" : "", "parse-names" : false, "suffix" : "" }, { "dropping-particle" : "", "family" : "Hand", "given" : "R.J.", "non-dropping-particle" : "", "parse-names" : false, "suffix" : "" }, { "dropping-particle" : "", "family" : "Davies", "given" : "H.a.", "non-dropping-particle" : "", "parse-names" : false, "suffix" : "" }, { "dropping-particle" : "", "family" : "Todd", "given" : "I.", "non-dropping-particle" : "", "parse-names" : false, "suffix" : "" } ], "container-title" : "Journal of Non-Crystalline Solids", "id" : "ITEM-1", "issue" : "6", "issued" : { "date-parts" : [ [ "2009", "3" ] ] }, "page" : "335-339", "publisher" : "Elsevier B.V.", "title" : "Elastic properties of some bulk metallic glasses", "type" : "article-journal", "volume" : "355" }, "uris" : [ "http://www.mendeley.com/documents/?uuid=cd6f4529-3518-4d74-bc47-c91ef88c484a" ] } ], "mendeley" : { "formattedCitation" : "(Plummer, Figueroa, Hand, Davies, &amp; Todd, 2009)", "manualFormatting" : "(Plummer et al., 2009)", "plainTextFormattedCitation" : "(Plummer, Figueroa, Hand, Davies, &amp; Todd, 2009)", "previouslyFormattedCitation" : "(Plummer, Figueroa, Hand, Davies, &amp; Todd, 2009)" }, "properties" : { "noteIndex" : 0 }, "schema" : "https://github.com/citation-style-language/schema/raw/master/csl-citation.json" }</w:instrText>
      </w:r>
      <w:r>
        <w:rPr>
          <w:rFonts w:asciiTheme="majorBidi" w:hAnsiTheme="majorBidi" w:cstheme="majorBidi"/>
          <w:b w:val="0"/>
          <w:szCs w:val="24"/>
        </w:rPr>
        <w:fldChar w:fldCharType="separate"/>
      </w:r>
      <w:r>
        <w:rPr>
          <w:rFonts w:asciiTheme="majorBidi" w:hAnsiTheme="majorBidi" w:cstheme="majorBidi"/>
          <w:b w:val="0"/>
          <w:noProof/>
          <w:szCs w:val="24"/>
        </w:rPr>
        <w:t>(Plummer et al., 2009)</w:t>
      </w:r>
      <w:r>
        <w:rPr>
          <w:rFonts w:asciiTheme="majorBidi" w:hAnsiTheme="majorBidi" w:cstheme="majorBidi"/>
          <w:b w:val="0"/>
          <w:szCs w:val="24"/>
        </w:rPr>
        <w:fldChar w:fldCharType="end"/>
      </w:r>
      <w:r>
        <w:rPr>
          <w:rFonts w:asciiTheme="majorBidi" w:hAnsiTheme="majorBidi" w:cstheme="majorBidi"/>
          <w:b w:val="0"/>
          <w:szCs w:val="24"/>
        </w:rPr>
        <w:t xml:space="preserve">, </w:t>
      </w:r>
      <w:r>
        <w:rPr>
          <w:rFonts w:asciiTheme="majorBidi" w:hAnsiTheme="majorBidi" w:cstheme="majorBidi"/>
          <w:b w:val="0"/>
          <w:szCs w:val="24"/>
        </w:rPr>
        <w:fldChar w:fldCharType="begin" w:fldLock="1"/>
      </w:r>
      <w:r>
        <w:rPr>
          <w:rFonts w:asciiTheme="majorBidi" w:hAnsiTheme="majorBidi" w:cstheme="majorBidi"/>
          <w:b w:val="0"/>
          <w:szCs w:val="24"/>
        </w:rPr>
        <w:instrText>ADDIN CSL_CITATION { "citationItems" : [ { "id" : "ITEM-1", "itemData" : { "DOI" : "10.1016/j.jnoncrysol.2010.05.007", "ISSN" : "00223093", "author" : [ { "dropping-particle" : "", "family" : "Hand", "given" : "Russell J.", "non-dropping-particle" : "", "parse-names" : false, "suffix" : "" }, { "dropping-particle" : "", "family" : "Tadjiev", "given" : "Damir R.", "non-dropping-particle" : "", "parse-names" : false, "suffix" : "" } ], "container-title" : "Journal of Non-Crystalline Solids", "id" : "ITEM-1", "issue" : "44-49", "issued" : { "date-parts" : [ [ "2010", "10" ] ] }, "page" : "2417-2423", "publisher" : "Elsevier B.V.", "title" : "Mechanical properties of silicate glasses as a function of composition", "type" : "article-journal", "volume" : "356" }, "uris" : [ "http://www.mendeley.com/documents/?uuid=f8df0232-a385-494d-80d7-5c933b1d8e38" ] } ], "mendeley" : { "formattedCitation" : "(Hand &amp; Tadjiev, 2010)", "plainTextFormattedCitation" : "(Hand &amp; Tadjiev, 2010)", "previouslyFormattedCitation" : "(Hand &amp; Tadjiev, 2010)" }, "properties" : { "noteIndex" : 0 }, "schema" : "https://github.com/citation-style-language/schema/raw/master/csl-citation.json" }</w:instrText>
      </w:r>
      <w:r>
        <w:rPr>
          <w:rFonts w:asciiTheme="majorBidi" w:hAnsiTheme="majorBidi" w:cstheme="majorBidi"/>
          <w:b w:val="0"/>
          <w:szCs w:val="24"/>
        </w:rPr>
        <w:fldChar w:fldCharType="separate"/>
      </w:r>
      <w:r>
        <w:rPr>
          <w:rFonts w:asciiTheme="majorBidi" w:hAnsiTheme="majorBidi" w:cstheme="majorBidi"/>
          <w:b w:val="0"/>
          <w:noProof/>
          <w:szCs w:val="24"/>
        </w:rPr>
        <w:t>(Hand &amp; Tadjiev, 2010)</w:t>
      </w:r>
      <w:r>
        <w:rPr>
          <w:rFonts w:asciiTheme="majorBidi" w:hAnsiTheme="majorBidi" w:cstheme="majorBidi"/>
          <w:b w:val="0"/>
          <w:szCs w:val="24"/>
        </w:rPr>
        <w:fldChar w:fldCharType="end"/>
      </w:r>
      <w:r>
        <w:rPr>
          <w:rFonts w:asciiTheme="majorBidi" w:hAnsiTheme="majorBidi" w:cstheme="majorBidi"/>
          <w:b w:val="0"/>
          <w:szCs w:val="24"/>
        </w:rPr>
        <w:t xml:space="preserve">, </w:t>
      </w:r>
      <w:r>
        <w:rPr>
          <w:rFonts w:asciiTheme="majorBidi" w:hAnsiTheme="majorBidi" w:cstheme="majorBidi"/>
          <w:b w:val="0"/>
          <w:szCs w:val="24"/>
        </w:rPr>
        <w:fldChar w:fldCharType="begin" w:fldLock="1"/>
      </w:r>
      <w:r>
        <w:rPr>
          <w:rFonts w:asciiTheme="majorBidi" w:hAnsiTheme="majorBidi" w:cstheme="majorBidi"/>
          <w:b w:val="0"/>
          <w:szCs w:val="24"/>
        </w:rPr>
        <w:instrText>ADDIN CSL_CITATION { "citationItems" : [ { "id" : "ITEM-1", "itemData" : { "DOI" : "10.1111/jace.12298", "author" : [ { "dropping-particle" : "", "family" : "Smedskjaer", "given" : "Morten M", "non-dropping-particle" : "", "parse-names" : false, "suffix" : "" }, { "dropping-particle" : "", "family" : "Mauro", "given" : "John C", "non-dropping-particle" : "", "parse-names" : false, "suffix" : "" }, { "dropping-particle" : "", "family" : "Kjeldsen", "given" : "Jonas", "non-dropping-particle" : "", "parse-names" : false, "suffix" : "" }, { "dropping-particle" : "", "family" : "Yue", "given" : "Yuanzheng", "non-dropping-particle" : "", "parse-names" : false, "suffix" : "" } ], "id" : "ITEM-1", "issued" : { "date-parts" : [ [ "2013" ] ] }, "page" : "1436-1443", "title" : "Microscopic Origins of Compositional Trends in Aluminosilicate Glass", "type" : "article-journal", "volume" : "1443" }, "uris" : [ "http://www.mendeley.com/documents/?uuid=6b6f00b5-804d-4f22-a4d6-e6433cd646e0" ] } ], "mendeley" : { "formattedCitation" : "(Smedskjaer, Mauro, Kjeldsen, &amp; Yue, 2013)", "manualFormatting" : "(Smedskjaer et al., 2013)", "plainTextFormattedCitation" : "(Smedskjaer, Mauro, Kjeldsen, &amp; Yue, 2013)", "previouslyFormattedCitation" : "(Smedskjaer, Mauro, Kjeldsen, &amp; Yue, 2013)" }, "properties" : { "noteIndex" : 0 }, "schema" : "https://github.com/citation-style-language/schema/raw/master/csl-citation.json" }</w:instrText>
      </w:r>
      <w:r>
        <w:rPr>
          <w:rFonts w:asciiTheme="majorBidi" w:hAnsiTheme="majorBidi" w:cstheme="majorBidi"/>
          <w:b w:val="0"/>
          <w:szCs w:val="24"/>
        </w:rPr>
        <w:fldChar w:fldCharType="separate"/>
      </w:r>
      <w:r>
        <w:rPr>
          <w:rFonts w:asciiTheme="majorBidi" w:hAnsiTheme="majorBidi" w:cstheme="majorBidi"/>
          <w:b w:val="0"/>
          <w:noProof/>
          <w:szCs w:val="24"/>
        </w:rPr>
        <w:t>(Smedskjaer et al., 2013)</w:t>
      </w:r>
      <w:r>
        <w:rPr>
          <w:rFonts w:asciiTheme="majorBidi" w:hAnsiTheme="majorBidi" w:cstheme="majorBidi"/>
          <w:b w:val="0"/>
          <w:szCs w:val="24"/>
        </w:rPr>
        <w:fldChar w:fldCharType="end"/>
      </w:r>
      <w:r w:rsidR="00867077">
        <w:rPr>
          <w:rFonts w:asciiTheme="majorBidi" w:hAnsiTheme="majorBidi" w:cstheme="majorBidi"/>
          <w:b w:val="0"/>
          <w:szCs w:val="24"/>
        </w:rPr>
        <w:t>)</w:t>
      </w:r>
      <w:r>
        <w:rPr>
          <w:rFonts w:asciiTheme="majorBidi" w:hAnsiTheme="majorBidi" w:cstheme="majorBidi"/>
          <w:b w:val="0"/>
          <w:szCs w:val="24"/>
        </w:rPr>
        <w:t>. However, few of them have studied the relationship between the addition of alkaline earth</w:t>
      </w:r>
      <w:r w:rsidR="005D1A70">
        <w:rPr>
          <w:rFonts w:asciiTheme="majorBidi" w:hAnsiTheme="majorBidi" w:cstheme="majorBidi"/>
          <w:b w:val="0"/>
          <w:szCs w:val="24"/>
        </w:rPr>
        <w:t>s</w:t>
      </w:r>
      <w:r>
        <w:rPr>
          <w:rFonts w:asciiTheme="majorBidi" w:hAnsiTheme="majorBidi" w:cstheme="majorBidi"/>
          <w:b w:val="0"/>
          <w:szCs w:val="24"/>
        </w:rPr>
        <w:t xml:space="preserve"> to boroaluminosilicate glasses and mechanical properties. Other studies have focussed on the relationships between different modifiers </w:t>
      </w:r>
      <w:r w:rsidR="00BA6BD6">
        <w:rPr>
          <w:rFonts w:asciiTheme="majorBidi" w:hAnsiTheme="majorBidi" w:cstheme="majorBidi"/>
          <w:b w:val="0"/>
          <w:szCs w:val="24"/>
        </w:rPr>
        <w:t xml:space="preserve">and glass composition </w:t>
      </w:r>
      <w:r>
        <w:rPr>
          <w:rFonts w:asciiTheme="majorBidi" w:hAnsiTheme="majorBidi" w:cstheme="majorBidi"/>
          <w:b w:val="0"/>
          <w:szCs w:val="24"/>
        </w:rPr>
        <w:t xml:space="preserve">on the chemical durability, thermal properties and redox state </w:t>
      </w:r>
      <w:r w:rsidR="00BA6BD6">
        <w:fldChar w:fldCharType="begin" w:fldLock="1"/>
      </w:r>
      <w:r w:rsidR="00BA6BD6">
        <w:rPr>
          <w:rFonts w:asciiTheme="majorBidi" w:hAnsiTheme="majorBidi" w:cstheme="majorBidi"/>
          <w:b w:val="0"/>
          <w:szCs w:val="24"/>
        </w:rPr>
        <w:instrText>ADDIN CSL_CITATION { "citationItems" : [ { "id" : "ITEM-1", "itemData" : { "DOI" : "10.1016/j.jnoncrysol.2009.03.008", "ISSN" : "00223093", "author" : [ { "dropping-particle" : "", "family" : "Bingham", "given" : "P.A.", "non-dropping-particle" : "", "parse-names" : false, "suffix" : "" }, { "dropping-particle" : "", "family" : "Hand", "given" : "R.J.", "non-dropping-particle" : "", "parse-names" : false, "suffix" : "" }, { "dropping-particle" : "", "family" : "Hannant", "given" : "O.M.", "non-dropping-particle" : "", "parse-names" : false, "suffix" : "" }, { "dropping-particle" : "", "family" : "Forder", "given" : "S.D.", "non-dropping-particle" : "", "parse-names" : false, "suffix" : "" }, { "dropping-particle" : "", "family" : "Kilcoyne", "given" : "S.H.", "non-dropping-particle" : "", "parse-names" : false, "suffix" : "" } ], "container-title" : "Journal of Non-Crystalline Solids", "id" : "ITEM-1", "issue" : "28-30", "issued" : { "date-parts" : [ [ "2009", "8" ] ] }, "page" : "1526-1538", "publisher" : "Elsevier B.V.", "title" : "Effects of modifier additions on the thermal properties, chemical durability, oxidation state and structure of iron phosphate glasses", "type" : "article-journal", "volume" : "355" }, "uris" : [ "http://www.mendeley.com/documents/?uuid=1243ef9e-723a-4f1d-b584-8243aa049873" ] } ], "mendeley" : { "formattedCitation" : "(P. A. Bingham, Hand, Hannant, Forder, &amp; Kilcoyne, 2009)", "manualFormatting" : "(Bingham et al., 2009)", "plainTextFormattedCitation" : "(P. A. Bingham, Hand, Hannant, Forder, &amp; Kilcoyne, 2009)", "previouslyFormattedCitation" : "(P. A. Bingham, Hand, Hannant, Forder, &amp; Kilcoyne, 2009)" }, "properties" : { "noteIndex" : 0 }, "schema" : "https://github.com/citation-style-language/schema/raw/master/csl-citation.json" }</w:instrText>
      </w:r>
      <w:r w:rsidR="00BA6BD6">
        <w:fldChar w:fldCharType="separate"/>
      </w:r>
      <w:r w:rsidR="00BA6BD6">
        <w:rPr>
          <w:rFonts w:asciiTheme="majorBidi" w:hAnsiTheme="majorBidi" w:cstheme="majorBidi"/>
          <w:b w:val="0"/>
          <w:noProof/>
          <w:szCs w:val="24"/>
        </w:rPr>
        <w:t>(Bingham et al., 2009)</w:t>
      </w:r>
      <w:r w:rsidR="00BA6BD6">
        <w:fldChar w:fldCharType="end"/>
      </w:r>
      <w:r w:rsidR="00BA6BD6">
        <w:rPr>
          <w:rFonts w:asciiTheme="majorBidi" w:hAnsiTheme="majorBidi" w:cstheme="majorBidi"/>
          <w:b w:val="0"/>
          <w:szCs w:val="24"/>
        </w:rPr>
        <w:t xml:space="preserve">; </w:t>
      </w:r>
      <w:r>
        <w:rPr>
          <w:rFonts w:asciiTheme="majorBidi" w:hAnsiTheme="majorBidi" w:cstheme="majorBidi"/>
          <w:b w:val="0"/>
          <w:szCs w:val="24"/>
        </w:rPr>
        <w:t xml:space="preserve">structural behaviour and glass connectivity </w:t>
      </w:r>
      <w:r>
        <w:fldChar w:fldCharType="begin" w:fldLock="1"/>
      </w:r>
      <w:r>
        <w:rPr>
          <w:rFonts w:asciiTheme="majorBidi" w:hAnsiTheme="majorBidi" w:cstheme="majorBidi"/>
          <w:b w:val="0"/>
          <w:szCs w:val="24"/>
        </w:rPr>
        <w:instrText>ADDIN CSL_CITATION { "citationItems" : [ { "id" : "ITEM-1", "itemData" : { "DOI" : "10.1016/j.jnoncrysol.2005.08.033", "ISSN" : "00223093", "author" : [ { "dropping-particle" : "", "family" : "Du", "given" : "Lin Shu", "non-dropping-particle" : "", "parse-names" : false, "suffix" : "" }, { "dropping-particle" : "", "family" : "Stebbins", "given" : "Jonathan F.", "non-dropping-particle" : "", "parse-names" : false, "suffix" : "" } ], "container-title" : "Journal of Non-Crystalline Solids", "id" : "ITEM-1", "issue" : "43-45", "issued" : { "date-parts" : [ [ "2005", "11" ] ] }, "page" : "3508-3520", "title" : "Network connectivity in aluminoborosilicate glasses: A high-resolution 11B, 27Al and 17O NMR study", "type" : "article-journal", "volume" : "351" }, "uris" : [ "http://www.mendeley.com/documents/?uuid=e2d3350d-0460-49d3-adb8-af42bef22a68" ] } ], "mendeley" : { "formattedCitation" : "(Du &amp; Stebbins, 2005)", "plainTextFormattedCitation" : "(Du &amp; Stebbins, 2005)", "previouslyFormattedCitation" : "(Du &amp; Stebbins, 2005)" }, "properties" : { "noteIndex" : 0 }, "schema" : "https://github.com/citation-style-language/schema/raw/master/csl-citation.json" }</w:instrText>
      </w:r>
      <w:r>
        <w:fldChar w:fldCharType="separate"/>
      </w:r>
      <w:r>
        <w:rPr>
          <w:rFonts w:asciiTheme="majorBidi" w:hAnsiTheme="majorBidi" w:cstheme="majorBidi"/>
          <w:b w:val="0"/>
          <w:noProof/>
          <w:szCs w:val="24"/>
        </w:rPr>
        <w:t>(Du &amp; Stebbins, 2005)</w:t>
      </w:r>
      <w:r>
        <w:fldChar w:fldCharType="end"/>
      </w:r>
      <w:r>
        <w:rPr>
          <w:rFonts w:asciiTheme="majorBidi" w:hAnsiTheme="majorBidi" w:cstheme="majorBidi"/>
          <w:b w:val="0"/>
          <w:szCs w:val="24"/>
        </w:rPr>
        <w:t xml:space="preserve"> </w:t>
      </w:r>
      <w:r>
        <w:fldChar w:fldCharType="begin" w:fldLock="1"/>
      </w:r>
      <w:r>
        <w:rPr>
          <w:rFonts w:asciiTheme="majorBidi" w:hAnsiTheme="majorBidi" w:cstheme="majorBidi"/>
          <w:b w:val="0"/>
          <w:szCs w:val="24"/>
        </w:rPr>
        <w:instrText>ADDIN CSL_CITATION { "citationItems" : [ { "id" : "ITEM-1", "itemData" : { "DOI" : "10.1016/j.jnoncrysol.2007.10.005", "ISSN" : "00223093", "author" : [ { "dropping-particle" : "", "family" : "Ramkumar", "given" : "Jayshree", "non-dropping-particle" : "", "parse-names" : false, "suffix" : "" }, { "dropping-particle" : "", "family" : "Sudarsan", "given" : "V.", "non-dropping-particle" : "", "parse-names" : false, "suffix" : "" }, { "dropping-particle" : "", "family" : "Chandramouleeswaran", "given" : "S.", "non-dropping-particle" : "", "parse-names" : false, "suffix" : "" }, { "dropping-particle" : "", "family" : "Shrikhande", "given" : "V.K.", "non-dropping-particle" : "", "parse-names" : false, "suffix" : "" }, { "dropping-particle" : "", "family" : "Kothiyal", "given" : "G.P.", "non-dropping-particle" : "", "parse-names" : false, "suffix" : "" }, { "dropping-particle" : "", "family" : "Ravindran", "given" : "P.V.", "non-dropping-particle" : "", "parse-names" : false, "suffix" : "" }, { "dropping-particle" : "", "family" : "Kulshreshtha", "given" : "S.K.", "non-dropping-particle" : "", "parse-names" : false, "suffix" : "" }, { "dropping-particle" : "", "family" : "Mukherjee", "given" : "T.", "non-dropping-particle" : "", "parse-names" : false, "suffix" : "" } ], "container-title" : "Journal of Non-Crystalline Solids", "id" : "ITEM-1", "issue" : "15-16", "issued" : { "date-parts" : [ [ "2008", "3" ] ] }, "page" : "1591-1597", "title" : "Structural studies on boroaluminosilicate glasses", "type" : "article-journal", "volume" : "354" }, "uris" : [ "http://www.mendeley.com/documents/?uuid=fbc8bb9e-c05e-4d4f-81e0-a3b2abf5a5a8" ] } ], "mendeley" : { "formattedCitation" : "(Ramkumar et al., 2008)", "plainTextFormattedCitation" : "(Ramkumar et al., 2008)", "previouslyFormattedCitation" : "(Ramkumar et al., 2008)" }, "properties" : { "noteIndex" : 0 }, "schema" : "https://github.com/citation-style-language/schema/raw/master/csl-citation.json" }</w:instrText>
      </w:r>
      <w:r>
        <w:fldChar w:fldCharType="separate"/>
      </w:r>
      <w:r>
        <w:rPr>
          <w:rFonts w:asciiTheme="majorBidi" w:hAnsiTheme="majorBidi" w:cstheme="majorBidi"/>
          <w:b w:val="0"/>
          <w:noProof/>
          <w:szCs w:val="24"/>
        </w:rPr>
        <w:t>(Ramkumar et al., 2008)</w:t>
      </w:r>
      <w:r>
        <w:fldChar w:fldCharType="end"/>
      </w:r>
      <w:r>
        <w:rPr>
          <w:rFonts w:asciiTheme="majorBidi" w:hAnsiTheme="majorBidi" w:cstheme="majorBidi"/>
          <w:b w:val="0"/>
          <w:szCs w:val="24"/>
        </w:rPr>
        <w:t xml:space="preserve"> </w:t>
      </w:r>
      <w:r>
        <w:fldChar w:fldCharType="begin" w:fldLock="1"/>
      </w:r>
      <w:r>
        <w:rPr>
          <w:rFonts w:asciiTheme="majorBidi" w:hAnsiTheme="majorBidi" w:cstheme="majorBidi"/>
          <w:b w:val="0"/>
          <w:szCs w:val="24"/>
        </w:rPr>
        <w:instrText>ADDIN CSL_CITATION { "citationItems" : [ { "id" : "ITEM-1", "itemData" : { "DOI" : "10.1103/PhysRevB.80.184202", "ISSN" : "1098-0121", "author" : [ { "dropping-particle" : "", "family" : "Vegiri", "given" : "A.", "non-dropping-particle" : "", "parse-names" : false, "suffix" : "" }, { "dropping-particle" : "", "family" : "Varsamis", "given" : "C. P.", "non-dropping-particle" : "", "parse-names" : false, "suffix" : "" }, { "dropping-particle" : "", "family" : "Kamitsos", "given" : "E.", "non-dropping-particle" : "", "parse-names" : false, "suffix" : "" } ], "container-title" : "Physical Review B", "id" : "ITEM-1", "issue" : "18", "issued" : { "date-parts" : [ [ "2009", "11" ] ] }, "page" : "184202", "title" : "Molecular dynamics investigation of mixed-alkali borate glasses: Short-range order structure and alkali-ion environments", "type" : "article-journal", "volume" : "80" }, "uris" : [ "http://www.mendeley.com/documents/?uuid=a9268d8d-0df9-4c55-ba69-7fd46afc1f45" ] } ], "mendeley" : { "formattedCitation" : "(Vegiri, Varsamis, &amp; Kamitsos, 2009)", "manualFormatting" : "(Vegiri et al., 2009)", "plainTextFormattedCitation" : "(Vegiri, Varsamis, &amp; Kamitsos, 2009)", "previouslyFormattedCitation" : "(Vegiri, Varsamis, &amp; Kamitsos, 2009)" }, "properties" : { "noteIndex" : 0 }, "schema" : "https://github.com/citation-style-language/schema/raw/master/csl-citation.json" }</w:instrText>
      </w:r>
      <w:r>
        <w:fldChar w:fldCharType="separate"/>
      </w:r>
      <w:r>
        <w:rPr>
          <w:rFonts w:asciiTheme="majorBidi" w:hAnsiTheme="majorBidi" w:cstheme="majorBidi"/>
          <w:b w:val="0"/>
          <w:noProof/>
          <w:szCs w:val="24"/>
        </w:rPr>
        <w:t>(Vegiri et al., 2009)</w:t>
      </w:r>
      <w:r>
        <w:fldChar w:fldCharType="end"/>
      </w:r>
      <w:r>
        <w:rPr>
          <w:rFonts w:asciiTheme="majorBidi" w:hAnsiTheme="majorBidi" w:cstheme="majorBidi"/>
          <w:b w:val="0"/>
          <w:szCs w:val="24"/>
        </w:rPr>
        <w:t xml:space="preserve"> </w:t>
      </w:r>
      <w:r w:rsidR="00BA6BD6">
        <w:fldChar w:fldCharType="begin" w:fldLock="1"/>
      </w:r>
      <w:r w:rsidR="00BA6BD6">
        <w:rPr>
          <w:rFonts w:asciiTheme="majorBidi" w:hAnsiTheme="majorBidi" w:cstheme="majorBidi"/>
          <w:b w:val="0"/>
          <w:szCs w:val="24"/>
        </w:rPr>
        <w:instrText>ADDIN CSL_CITATION { "citationItems" : [ { "id" : "ITEM-1", "itemData" : { "DOI" : "10.1111/j.1551-2916.2010.03771.x", "ISSN" : "00027820", "author" : [ { "dropping-particle" : "", "family" : "Angeli", "given" : "Frederic", "non-dropping-particle" : "", "parse-names" : false, "suffix" : "" }, { "dropping-particle" : "", "family" : "Charpentier", "given" : "Thibault", "non-dropping-particle" : "", "parse-names" : false, "suffix" : "" }, { "dropping-particle" : "", "family" : "Ligny", "given" : "Dominique", "non-dropping-particle" : "De", "parse-names" : false, "suffix" : "" }, { "dropping-particle" : "", "family" : "Cailleteau", "given" : "Celine", "non-dropping-particle" : "", "parse-names" : false, "suffix" : "" } ], "container-title" : "Journal of the American Ceramic Society", "id" : "ITEM-1", "issue" : "9", "issued" : { "date-parts" : [ [ "2010", "4", "16" ] ] }, "page" : "2693-2704", "title" : "Boron speciation in soda-lime borosilicate glasses containing zirconium", "type" : "article-journal", "volume" : "93" }, "uris" : [ "http://www.mendeley.com/documents/?uuid=2150eefd-4a67-49e7-a60a-20f9a88dae14" ] } ], "mendeley" : { "formattedCitation" : "(Angeli, Charpentier, De Ligny, &amp; Cailleteau, 2010)", "manualFormatting" : "(Angeli et al, 2010)", "plainTextFormattedCitation" : "(Angeli, Charpentier, De Ligny, &amp; Cailleteau, 2010)", "previouslyFormattedCitation" : "(Angeli, Charpentier, De Ligny, &amp; Cailleteau, 2010)" }, "properties" : { "noteIndex" : 0 }, "schema" : "https://github.com/citation-style-language/schema/raw/master/csl-citation.json" }</w:instrText>
      </w:r>
      <w:r w:rsidR="00BA6BD6">
        <w:fldChar w:fldCharType="separate"/>
      </w:r>
      <w:r w:rsidR="00BA6BD6">
        <w:rPr>
          <w:rFonts w:asciiTheme="majorBidi" w:hAnsiTheme="majorBidi" w:cstheme="majorBidi"/>
          <w:b w:val="0"/>
          <w:noProof/>
          <w:szCs w:val="24"/>
        </w:rPr>
        <w:t>(Angeli et al, 2010)</w:t>
      </w:r>
      <w:r w:rsidR="00BA6BD6">
        <w:fldChar w:fldCharType="end"/>
      </w:r>
      <w:r w:rsidR="00BA6BD6">
        <w:rPr>
          <w:rFonts w:asciiTheme="majorBidi" w:hAnsiTheme="majorBidi" w:cstheme="majorBidi"/>
          <w:b w:val="0"/>
          <w:szCs w:val="24"/>
        </w:rPr>
        <w:t xml:space="preserve">; </w:t>
      </w:r>
      <w:r>
        <w:rPr>
          <w:rFonts w:asciiTheme="majorBidi" w:hAnsiTheme="majorBidi" w:cstheme="majorBidi"/>
          <w:b w:val="0"/>
          <w:szCs w:val="24"/>
        </w:rPr>
        <w:t xml:space="preserve">quench rate and melting temperature of glass </w:t>
      </w:r>
      <w:r>
        <w:fldChar w:fldCharType="begin" w:fldLock="1"/>
      </w:r>
      <w:r>
        <w:rPr>
          <w:rFonts w:asciiTheme="majorBidi" w:hAnsiTheme="majorBidi" w:cstheme="majorBidi"/>
          <w:b w:val="0"/>
          <w:szCs w:val="24"/>
        </w:rPr>
        <w:instrText>ADDIN CSL_CITATION { "citationItems" : [ { "id" : "ITEM-1", "itemData" : { "DOI" : "10.1016/j.jnoncrysol.2010.08.015", "ISSN" : "00223093", "author" : [ { "dropping-particle" : "", "family" : "Wu", "given" : "Jingshi", "non-dropping-particle" : "", "parse-names" : false, "suffix" : "" }, { "dropping-particle" : "", "family" : "Stebbins", "given" : "Jonathan F.", "non-dropping-particle" : "", "parse-names" : false, "suffix" : "" } ], "container-title" : "Journal of Non-Crystalline Solids", "id" : "ITEM-1", "issue" : "41-42", "issued" : { "date-parts" : [ [ "2010", "9" ] ] }, "page" : "2097-2108", "publisher" : "Elsevier B.V.", "title" : "Quench rate and temperature effects on boron coordination in aluminoborosilicate melts", "type" : "article-journal", "volume" : "356" }, "uris" : [ "http://www.mendeley.com/documents/?uuid=be2e69eb-45b6-48ba-8e9d-61cbef3afc68" ] } ], "mendeley" : { "formattedCitation" : "(Wu &amp; Stebbins, 2010)", "plainTextFormattedCitation" : "(Wu &amp; Stebbins, 2010)", "previouslyFormattedCitation" : "(Wu &amp; Stebbins, 2010)" }, "properties" : { "noteIndex" : 0 }, "schema" : "https://github.com/citation-style-language/schema/raw/master/csl-citation.json" }</w:instrText>
      </w:r>
      <w:r>
        <w:fldChar w:fldCharType="separate"/>
      </w:r>
      <w:r>
        <w:rPr>
          <w:rFonts w:asciiTheme="majorBidi" w:hAnsiTheme="majorBidi" w:cstheme="majorBidi"/>
          <w:b w:val="0"/>
          <w:noProof/>
          <w:szCs w:val="24"/>
        </w:rPr>
        <w:t>(Wu &amp; Stebbins, 2010)</w:t>
      </w:r>
      <w:r>
        <w:fldChar w:fldCharType="end"/>
      </w:r>
      <w:r>
        <w:rPr>
          <w:rFonts w:asciiTheme="majorBidi" w:hAnsiTheme="majorBidi" w:cstheme="majorBidi"/>
          <w:b w:val="0"/>
          <w:szCs w:val="24"/>
        </w:rPr>
        <w:t xml:space="preserve"> and also the correlation between structure and physical properties </w:t>
      </w:r>
      <w:r>
        <w:fldChar w:fldCharType="begin" w:fldLock="1"/>
      </w:r>
      <w:r>
        <w:rPr>
          <w:rFonts w:asciiTheme="majorBidi" w:hAnsiTheme="majorBidi" w:cstheme="majorBidi"/>
          <w:b w:val="0"/>
          <w:szCs w:val="24"/>
        </w:rPr>
        <w:instrText>ADDIN CSL_CITATION { "citationItems" : [ { "id" : "ITEM-1", "itemData" : { "author" : [ { "dropping-particle" : "", "family" : "Roderick", "given" : "J M", "non-dropping-particle" : "", "parse-names" : false, "suffix" : "" }, { "dropping-particle" : "", "family" : "Holland", "given" : "D", "non-dropping-particle" : "", "parse-names" : false, "suffix" : "" }, { "dropping-particle" : "", "family" : "Howes", "given" : "A P", "non-dropping-particle" : "", "parse-names" : false, "suffix" : "" }, { "dropping-particle" : "", "family" : "Scales", "given" : "C R", "non-dropping-particle" : "", "parse-names" : false, "suffix" : "" } ], "container-title" : "Journal of Non-Crystalline Solids", "id" : "ITEM-1", "issued" : { "date-parts" : [ [ "2001" ] ] }, "page" : "746-751", "title" : "Density \u00b1 structure relations in mixed-alkali borosilicate glasses by 29 Si and 11 B MAS \u00b1 NMR", "type" : "article-journal", "volume" : "295" }, "uris" : [ "http://www.mendeley.com/documents/?uuid=82c10e32-2c8e-4068-9cb4-6faed71a9bee" ] } ], "mendeley" : { "formattedCitation" : "(Roderick, Holland, Howes, &amp; Scales, 2001)", "manualFormatting" : "(Roderick et al., 2001)", "plainTextFormattedCitation" : "(Roderick, Holland, Howes, &amp; Scales, 2001)", "previouslyFormattedCitation" : "(Roderick, Holland, Howes, &amp; Scales, 2001)" }, "properties" : { "noteIndex" : 0 }, "schema" : "https://github.com/citation-style-language/schema/raw/master/csl-citation.json" }</w:instrText>
      </w:r>
      <w:r>
        <w:fldChar w:fldCharType="separate"/>
      </w:r>
      <w:r>
        <w:rPr>
          <w:rFonts w:asciiTheme="majorBidi" w:hAnsiTheme="majorBidi" w:cstheme="majorBidi"/>
          <w:b w:val="0"/>
          <w:noProof/>
          <w:szCs w:val="24"/>
        </w:rPr>
        <w:t>(Roderick et al., 2001)</w:t>
      </w:r>
      <w:r>
        <w:fldChar w:fldCharType="end"/>
      </w:r>
      <w:r>
        <w:rPr>
          <w:rFonts w:asciiTheme="majorBidi" w:hAnsiTheme="majorBidi" w:cstheme="majorBidi"/>
          <w:b w:val="0"/>
          <w:szCs w:val="24"/>
        </w:rPr>
        <w:t xml:space="preserve">. </w:t>
      </w:r>
      <w:r w:rsidR="008956A9">
        <w:rPr>
          <w:rFonts w:asciiTheme="majorBidi" w:hAnsiTheme="majorBidi" w:cstheme="majorBidi"/>
          <w:b w:val="0"/>
          <w:szCs w:val="24"/>
        </w:rPr>
        <w:t>However</w:t>
      </w:r>
      <w:r w:rsidR="00A74B0C">
        <w:rPr>
          <w:rFonts w:asciiTheme="majorBidi" w:hAnsiTheme="majorBidi" w:cstheme="majorBidi"/>
          <w:b w:val="0"/>
          <w:szCs w:val="24"/>
        </w:rPr>
        <w:t>,</w:t>
      </w:r>
      <w:r w:rsidR="008956A9">
        <w:rPr>
          <w:rFonts w:asciiTheme="majorBidi" w:hAnsiTheme="majorBidi" w:cstheme="majorBidi"/>
          <w:b w:val="0"/>
          <w:szCs w:val="24"/>
        </w:rPr>
        <w:t xml:space="preserve"> </w:t>
      </w:r>
      <w:r w:rsidR="00BA6BD6">
        <w:rPr>
          <w:rFonts w:asciiTheme="majorBidi" w:hAnsiTheme="majorBidi" w:cstheme="majorBidi"/>
          <w:b w:val="0"/>
          <w:szCs w:val="24"/>
        </w:rPr>
        <w:t xml:space="preserve">such </w:t>
      </w:r>
      <w:r w:rsidR="008956A9">
        <w:rPr>
          <w:rFonts w:asciiTheme="majorBidi" w:hAnsiTheme="majorBidi" w:cstheme="majorBidi"/>
          <w:b w:val="0"/>
          <w:szCs w:val="24"/>
        </w:rPr>
        <w:t xml:space="preserve">studies </w:t>
      </w:r>
      <w:r w:rsidR="00BA6BD6">
        <w:rPr>
          <w:rFonts w:asciiTheme="majorBidi" w:hAnsiTheme="majorBidi" w:cstheme="majorBidi"/>
          <w:b w:val="0"/>
          <w:szCs w:val="24"/>
        </w:rPr>
        <w:t xml:space="preserve">have </w:t>
      </w:r>
      <w:r w:rsidR="008956A9">
        <w:rPr>
          <w:rFonts w:asciiTheme="majorBidi" w:hAnsiTheme="majorBidi" w:cstheme="majorBidi"/>
          <w:b w:val="0"/>
          <w:szCs w:val="24"/>
        </w:rPr>
        <w:t xml:space="preserve">not </w:t>
      </w:r>
      <w:r w:rsidR="00BA6BD6">
        <w:rPr>
          <w:rFonts w:asciiTheme="majorBidi" w:hAnsiTheme="majorBidi" w:cstheme="majorBidi"/>
          <w:b w:val="0"/>
          <w:szCs w:val="24"/>
        </w:rPr>
        <w:t xml:space="preserve">been published </w:t>
      </w:r>
      <w:r w:rsidR="008956A9">
        <w:rPr>
          <w:rFonts w:asciiTheme="majorBidi" w:hAnsiTheme="majorBidi" w:cstheme="majorBidi"/>
          <w:b w:val="0"/>
          <w:szCs w:val="24"/>
        </w:rPr>
        <w:t>for boroaluminosilicate glass</w:t>
      </w:r>
      <w:r w:rsidR="00BA6BD6">
        <w:rPr>
          <w:rFonts w:asciiTheme="majorBidi" w:hAnsiTheme="majorBidi" w:cstheme="majorBidi"/>
          <w:b w:val="0"/>
          <w:szCs w:val="24"/>
        </w:rPr>
        <w:t>es</w:t>
      </w:r>
      <w:r w:rsidR="008956A9">
        <w:rPr>
          <w:rFonts w:asciiTheme="majorBidi" w:hAnsiTheme="majorBidi" w:cstheme="majorBidi"/>
          <w:b w:val="0"/>
          <w:szCs w:val="24"/>
        </w:rPr>
        <w:t>.</w:t>
      </w:r>
      <w:r>
        <w:rPr>
          <w:rFonts w:asciiTheme="majorBidi" w:hAnsiTheme="majorBidi" w:cstheme="majorBidi"/>
          <w:b w:val="0"/>
          <w:szCs w:val="24"/>
        </w:rPr>
        <w:t xml:space="preserve"> </w:t>
      </w:r>
    </w:p>
    <w:p w14:paraId="16912E80" w14:textId="77777777" w:rsidR="00574F23" w:rsidRDefault="00574F23" w:rsidP="00574F23">
      <w:pPr>
        <w:autoSpaceDE w:val="0"/>
        <w:autoSpaceDN w:val="0"/>
        <w:adjustRightInd w:val="0"/>
        <w:spacing w:after="0" w:line="360" w:lineRule="auto"/>
        <w:jc w:val="both"/>
        <w:rPr>
          <w:rFonts w:cs="Times New Roman"/>
          <w:b w:val="0"/>
          <w:szCs w:val="24"/>
        </w:rPr>
      </w:pPr>
      <w:bookmarkStart w:id="28" w:name="_Toc525707503"/>
      <w:bookmarkStart w:id="29" w:name="_Toc525703701"/>
      <w:bookmarkStart w:id="30" w:name="_Toc525526375"/>
      <w:bookmarkStart w:id="31" w:name="_Toc525222333"/>
      <w:r>
        <w:rPr>
          <w:rFonts w:cs="Times New Roman"/>
          <w:b w:val="0"/>
          <w:szCs w:val="24"/>
        </w:rPr>
        <w:lastRenderedPageBreak/>
        <w:t xml:space="preserve">Alkaline earths such as </w:t>
      </w:r>
      <w:proofErr w:type="spellStart"/>
      <w:r>
        <w:rPr>
          <w:rFonts w:cs="Times New Roman"/>
          <w:b w:val="0"/>
          <w:szCs w:val="24"/>
        </w:rPr>
        <w:t>CaO</w:t>
      </w:r>
      <w:proofErr w:type="spellEnd"/>
      <w:r>
        <w:rPr>
          <w:rFonts w:cs="Times New Roman"/>
          <w:b w:val="0"/>
          <w:szCs w:val="24"/>
        </w:rPr>
        <w:t xml:space="preserve"> and </w:t>
      </w:r>
      <w:proofErr w:type="spellStart"/>
      <w:r>
        <w:rPr>
          <w:rFonts w:cs="Times New Roman"/>
          <w:b w:val="0"/>
          <w:szCs w:val="24"/>
        </w:rPr>
        <w:t>BaO</w:t>
      </w:r>
      <w:proofErr w:type="spellEnd"/>
      <w:r>
        <w:rPr>
          <w:rFonts w:cs="Times New Roman"/>
          <w:b w:val="0"/>
          <w:szCs w:val="24"/>
        </w:rPr>
        <w:t xml:space="preserve"> have been shown to significantly affect the structural and mechanical properties of alumina containing glasses. </w:t>
      </w:r>
      <w:r>
        <w:fldChar w:fldCharType="begin" w:fldLock="1"/>
      </w:r>
      <w:r>
        <w:rPr>
          <w:rFonts w:cs="Times New Roman"/>
          <w:b w:val="0"/>
          <w:szCs w:val="24"/>
        </w:rPr>
        <w:instrText>ADDIN CSL_CITATION { "citationItems" : [ { "id" : "ITEM-1", "itemData" : { "DOI" : "10.1016/j.jnoncrysol.2013.09.019", "ISSN" : "00223093", "author" : [ { "dropping-particle" : "", "family" : "Smedskjaer", "given" : "", "non-dropping-particle" : "", "parse-names" : false, "suffix" : "" }, { "dropping-particle" : "", "family" : "Youngman", "given" : "Randall E.", "non-dropping-particle" : "", "parse-names" : false, "suffix" : "" }, { "dropping-particle" : "", "family" : "Mauro", "given" : "John C.", "non-dropping-particle" : "", "parse-names" : false, "suffix" : "" } ], "container-title" : "Journal of Non-Crystalline Solids", "id" : "ITEM-1", "issued" : { "date-parts" : [ [ "2013", "12" ] ] }, "page" : "58-64", "publisher" : "Elsevier B.V.", "title" : "Impact of ZnO on the structure and properties of sodium aluminosilicate glasses: Comparison with alkaline earth oxides", "type" : "article-journal", "volume" : "381" }, "uris" : [ "http://www.mendeley.com/documents/?uuid=7885aca7-4463-4f5f-a50a-6f969c519d03" ] } ], "mendeley" : { "formattedCitation" : "(Smedskjaer, Youngman, &amp; Mauro, 2013)", "manualFormatting" : "Smedskjaer et al., (2013)", "plainTextFormattedCitation" : "(Smedskjaer, Youngman, &amp; Mauro, 2013)", "previouslyFormattedCitation" : "(Smedskjaer, Youngman, &amp; Mauro, 2013)" }, "properties" : { "noteIndex" : 0 }, "schema" : "https://github.com/citation-style-language/schema/raw/master/csl-citation.json" }</w:instrText>
      </w:r>
      <w:r>
        <w:fldChar w:fldCharType="separate"/>
      </w:r>
      <w:r>
        <w:rPr>
          <w:rFonts w:cs="Times New Roman"/>
          <w:b w:val="0"/>
          <w:noProof/>
          <w:szCs w:val="24"/>
        </w:rPr>
        <w:t>Smedskjaer et al., (2013)</w:t>
      </w:r>
      <w:r>
        <w:fldChar w:fldCharType="end"/>
      </w:r>
      <w:r>
        <w:rPr>
          <w:rFonts w:cs="Times New Roman"/>
          <w:b w:val="0"/>
          <w:szCs w:val="24"/>
        </w:rPr>
        <w:t xml:space="preserve"> found that properties of aluminosilicates such as density, refractive index, hardness, Young’s and shear moduli increase as the alumina content increases. The fraction of Al</w:t>
      </w:r>
      <w:r>
        <w:rPr>
          <w:rFonts w:cs="Times New Roman"/>
          <w:b w:val="0"/>
          <w:szCs w:val="24"/>
          <w:vertAlign w:val="superscript"/>
        </w:rPr>
        <w:t>V</w:t>
      </w:r>
      <w:r>
        <w:rPr>
          <w:rFonts w:cs="Times New Roman"/>
          <w:b w:val="0"/>
          <w:szCs w:val="24"/>
        </w:rPr>
        <w:t xml:space="preserve"> present was found to depend on the modifier cation field strength due to the capability of the network modifier to provide charge balance for Al being reduced as the field strength increases hence  Mg</w:t>
      </w:r>
      <w:r>
        <w:rPr>
          <w:rFonts w:cs="Times New Roman"/>
          <w:b w:val="0"/>
          <w:szCs w:val="24"/>
          <w:vertAlign w:val="superscript"/>
        </w:rPr>
        <w:t xml:space="preserve">2+ </w:t>
      </w:r>
      <w:r>
        <w:rPr>
          <w:rFonts w:cs="Times New Roman"/>
          <w:b w:val="0"/>
          <w:szCs w:val="24"/>
        </w:rPr>
        <w:t>&gt; Zn</w:t>
      </w:r>
      <w:r>
        <w:rPr>
          <w:rFonts w:cs="Times New Roman"/>
          <w:b w:val="0"/>
          <w:szCs w:val="24"/>
          <w:vertAlign w:val="superscript"/>
        </w:rPr>
        <w:t>2+</w:t>
      </w:r>
      <w:r>
        <w:rPr>
          <w:rFonts w:cs="Times New Roman"/>
          <w:b w:val="0"/>
          <w:szCs w:val="24"/>
        </w:rPr>
        <w:t xml:space="preserve"> &gt; Ca</w:t>
      </w:r>
      <w:r>
        <w:rPr>
          <w:rFonts w:cs="Times New Roman"/>
          <w:b w:val="0"/>
          <w:szCs w:val="24"/>
          <w:vertAlign w:val="superscript"/>
        </w:rPr>
        <w:t xml:space="preserve">2+ </w:t>
      </w:r>
      <w:r>
        <w:rPr>
          <w:rFonts w:cs="Times New Roman"/>
          <w:b w:val="0"/>
          <w:szCs w:val="24"/>
        </w:rPr>
        <w:t>&gt; Sr</w:t>
      </w:r>
      <w:r>
        <w:rPr>
          <w:rFonts w:cs="Times New Roman"/>
          <w:b w:val="0"/>
          <w:szCs w:val="24"/>
          <w:vertAlign w:val="superscript"/>
        </w:rPr>
        <w:t>2+</w:t>
      </w:r>
      <w:r>
        <w:rPr>
          <w:rFonts w:cs="Times New Roman"/>
          <w:b w:val="0"/>
          <w:szCs w:val="24"/>
        </w:rPr>
        <w:t xml:space="preserve"> &gt; Ba</w:t>
      </w:r>
      <w:r>
        <w:rPr>
          <w:rFonts w:cs="Times New Roman"/>
          <w:b w:val="0"/>
          <w:szCs w:val="24"/>
          <w:vertAlign w:val="superscript"/>
        </w:rPr>
        <w:t>2+</w:t>
      </w:r>
      <w:r>
        <w:rPr>
          <w:rFonts w:cs="Times New Roman"/>
          <w:b w:val="0"/>
          <w:szCs w:val="24"/>
        </w:rPr>
        <w:t xml:space="preserve">.  </w:t>
      </w:r>
    </w:p>
    <w:p w14:paraId="4D362BDE" w14:textId="77777777" w:rsidR="00364284" w:rsidRDefault="00364284" w:rsidP="00364284">
      <w:pPr>
        <w:spacing w:after="0" w:line="360" w:lineRule="auto"/>
        <w:jc w:val="both"/>
        <w:rPr>
          <w:b w:val="0"/>
        </w:rPr>
      </w:pPr>
    </w:p>
    <w:p w14:paraId="344828DE" w14:textId="1A7D2D5A" w:rsidR="00574F23" w:rsidRDefault="00574F23" w:rsidP="00574F23">
      <w:pPr>
        <w:spacing w:line="360" w:lineRule="auto"/>
        <w:jc w:val="both"/>
        <w:rPr>
          <w:b w:val="0"/>
        </w:rPr>
      </w:pPr>
      <w:r>
        <w:rPr>
          <w:b w:val="0"/>
        </w:rPr>
        <w:t xml:space="preserve">Overall, the structural, physical and mechanical properties of glasses vary with compositions. Given the current interest in </w:t>
      </w:r>
      <w:proofErr w:type="spellStart"/>
      <w:r>
        <w:rPr>
          <w:b w:val="0"/>
        </w:rPr>
        <w:t>boroaluminosilicates</w:t>
      </w:r>
      <w:proofErr w:type="spellEnd"/>
      <w:r>
        <w:rPr>
          <w:b w:val="0"/>
        </w:rPr>
        <w:t xml:space="preserve"> glasses</w:t>
      </w:r>
      <w:r w:rsidR="005D1A70">
        <w:rPr>
          <w:b w:val="0"/>
        </w:rPr>
        <w:t>,</w:t>
      </w:r>
      <w:r>
        <w:rPr>
          <w:b w:val="0"/>
        </w:rPr>
        <w:t xml:space="preserve"> </w:t>
      </w:r>
      <w:r w:rsidR="00BB0365">
        <w:rPr>
          <w:b w:val="0"/>
        </w:rPr>
        <w:t>t</w:t>
      </w:r>
      <w:r>
        <w:rPr>
          <w:b w:val="0"/>
        </w:rPr>
        <w:t xml:space="preserve">his thesis describes an investigation into the mechanical and structural properties of a range of these glasses. </w:t>
      </w:r>
    </w:p>
    <w:p w14:paraId="4F54A391" w14:textId="77777777" w:rsidR="00574F23" w:rsidRDefault="00574F23" w:rsidP="00574F23">
      <w:pPr>
        <w:spacing w:line="360" w:lineRule="auto"/>
        <w:rPr>
          <w:b w:val="0"/>
        </w:rPr>
      </w:pPr>
      <w:r>
        <w:rPr>
          <w:b w:val="0"/>
        </w:rPr>
        <w:t>The overall aim of this research is to:</w:t>
      </w:r>
    </w:p>
    <w:p w14:paraId="7D13C01F" w14:textId="33F26175" w:rsidR="00574F23" w:rsidRDefault="00574F23" w:rsidP="00574F23">
      <w:pPr>
        <w:spacing w:before="240" w:line="360" w:lineRule="auto"/>
        <w:ind w:left="720"/>
        <w:contextualSpacing/>
        <w:jc w:val="both"/>
        <w:rPr>
          <w:rFonts w:asciiTheme="majorBidi" w:hAnsiTheme="majorBidi" w:cstheme="majorBidi"/>
          <w:b w:val="0"/>
          <w:szCs w:val="24"/>
        </w:rPr>
      </w:pPr>
      <w:r>
        <w:rPr>
          <w:rFonts w:asciiTheme="majorBidi" w:hAnsiTheme="majorBidi" w:cstheme="majorBidi"/>
          <w:b w:val="0"/>
          <w:szCs w:val="24"/>
        </w:rPr>
        <w:t>Clarify the influence of aluminium</w:t>
      </w:r>
      <w:r w:rsidR="00867077">
        <w:rPr>
          <w:rFonts w:asciiTheme="majorBidi" w:hAnsiTheme="majorBidi" w:cstheme="majorBidi"/>
          <w:b w:val="0"/>
          <w:szCs w:val="24"/>
        </w:rPr>
        <w:t>, boron and alkaline earths</w:t>
      </w:r>
      <w:r>
        <w:rPr>
          <w:rFonts w:asciiTheme="majorBidi" w:hAnsiTheme="majorBidi" w:cstheme="majorBidi"/>
          <w:b w:val="0"/>
          <w:szCs w:val="24"/>
        </w:rPr>
        <w:t xml:space="preserve"> on the structure and mechanical</w:t>
      </w:r>
      <w:r>
        <w:rPr>
          <w:rFonts w:asciiTheme="majorBidi" w:eastAsiaTheme="minorEastAsia" w:hAnsiTheme="majorBidi" w:cstheme="majorBidi"/>
          <w:b w:val="0"/>
          <w:color w:val="000000" w:themeColor="text1"/>
          <w:kern w:val="24"/>
          <w:szCs w:val="24"/>
          <w:lang w:eastAsia="en-MY"/>
        </w:rPr>
        <w:t xml:space="preserve"> properties </w:t>
      </w:r>
      <w:r>
        <w:rPr>
          <w:rFonts w:asciiTheme="majorBidi" w:hAnsiTheme="majorBidi" w:cstheme="majorBidi"/>
          <w:b w:val="0"/>
          <w:szCs w:val="24"/>
        </w:rPr>
        <w:t>of a range of boroaluminosilicate glasses.</w:t>
      </w:r>
    </w:p>
    <w:p w14:paraId="4619CC52" w14:textId="77777777" w:rsidR="00364284" w:rsidRDefault="00364284" w:rsidP="00364284">
      <w:pPr>
        <w:spacing w:after="0" w:line="360" w:lineRule="auto"/>
        <w:rPr>
          <w:b w:val="0"/>
        </w:rPr>
      </w:pPr>
    </w:p>
    <w:p w14:paraId="79BE6C48" w14:textId="2E8F2F64" w:rsidR="00574F23" w:rsidRDefault="00574F23" w:rsidP="00574F23">
      <w:pPr>
        <w:spacing w:line="360" w:lineRule="auto"/>
        <w:rPr>
          <w:rFonts w:eastAsiaTheme="majorEastAsia"/>
          <w:b w:val="0"/>
          <w:bCs/>
          <w:color w:val="000000" w:themeColor="text1"/>
        </w:rPr>
      </w:pPr>
      <w:r>
        <w:rPr>
          <w:b w:val="0"/>
        </w:rPr>
        <w:t>Specific o</w:t>
      </w:r>
      <w:r>
        <w:rPr>
          <w:rFonts w:eastAsiaTheme="majorEastAsia"/>
          <w:b w:val="0"/>
          <w:bCs/>
          <w:color w:val="000000" w:themeColor="text1"/>
        </w:rPr>
        <w:t xml:space="preserve">bjectives </w:t>
      </w:r>
      <w:bookmarkEnd w:id="28"/>
      <w:bookmarkEnd w:id="29"/>
      <w:bookmarkEnd w:id="30"/>
      <w:bookmarkEnd w:id="31"/>
      <w:r>
        <w:rPr>
          <w:rFonts w:eastAsiaTheme="majorEastAsia"/>
          <w:b w:val="0"/>
          <w:bCs/>
          <w:color w:val="000000" w:themeColor="text1"/>
        </w:rPr>
        <w:t>to address this aim are to:</w:t>
      </w:r>
    </w:p>
    <w:p w14:paraId="194CEC49" w14:textId="77777777" w:rsidR="00574F23" w:rsidRDefault="00574F23" w:rsidP="00574F23">
      <w:pPr>
        <w:pStyle w:val="ListParagraph"/>
        <w:numPr>
          <w:ilvl w:val="0"/>
          <w:numId w:val="31"/>
        </w:numPr>
        <w:spacing w:after="0" w:line="360" w:lineRule="auto"/>
        <w:jc w:val="both"/>
        <w:rPr>
          <w:rFonts w:asciiTheme="majorBidi" w:hAnsiTheme="majorBidi" w:cstheme="majorBidi"/>
          <w:b w:val="0"/>
          <w:szCs w:val="24"/>
        </w:rPr>
      </w:pPr>
      <w:r>
        <w:rPr>
          <w:rFonts w:asciiTheme="majorBidi" w:hAnsiTheme="majorBidi" w:cstheme="majorBidi"/>
          <w:b w:val="0"/>
          <w:szCs w:val="24"/>
        </w:rPr>
        <w:t>Produce a range of boroaluminosilicate glasses with varying amounts of SiO</w:t>
      </w:r>
      <w:r>
        <w:rPr>
          <w:rFonts w:asciiTheme="majorBidi" w:hAnsiTheme="majorBidi" w:cstheme="majorBidi"/>
          <w:b w:val="0"/>
          <w:szCs w:val="24"/>
          <w:vertAlign w:val="subscript"/>
        </w:rPr>
        <w:t>2</w:t>
      </w:r>
      <w:r>
        <w:rPr>
          <w:rFonts w:asciiTheme="majorBidi" w:hAnsiTheme="majorBidi" w:cstheme="majorBidi"/>
          <w:b w:val="0"/>
          <w:szCs w:val="24"/>
        </w:rPr>
        <w:t>, B</w:t>
      </w:r>
      <w:r>
        <w:rPr>
          <w:rFonts w:asciiTheme="majorBidi" w:hAnsiTheme="majorBidi" w:cstheme="majorBidi"/>
          <w:b w:val="0"/>
          <w:szCs w:val="24"/>
          <w:vertAlign w:val="subscript"/>
        </w:rPr>
        <w:t>2</w:t>
      </w:r>
      <w:r>
        <w:rPr>
          <w:rFonts w:asciiTheme="majorBidi" w:hAnsiTheme="majorBidi" w:cstheme="majorBidi"/>
          <w:b w:val="0"/>
          <w:szCs w:val="24"/>
        </w:rPr>
        <w:t>O</w:t>
      </w:r>
      <w:r>
        <w:rPr>
          <w:rFonts w:asciiTheme="majorBidi" w:hAnsiTheme="majorBidi" w:cstheme="majorBidi"/>
          <w:b w:val="0"/>
          <w:szCs w:val="24"/>
          <w:vertAlign w:val="subscript"/>
        </w:rPr>
        <w:t xml:space="preserve">3 </w:t>
      </w:r>
      <w:r>
        <w:rPr>
          <w:rFonts w:asciiTheme="majorBidi" w:hAnsiTheme="majorBidi" w:cstheme="majorBidi"/>
          <w:b w:val="0"/>
          <w:szCs w:val="24"/>
        </w:rPr>
        <w:t>and Al</w:t>
      </w:r>
      <w:r>
        <w:rPr>
          <w:rFonts w:asciiTheme="majorBidi" w:hAnsiTheme="majorBidi" w:cstheme="majorBidi"/>
          <w:b w:val="0"/>
          <w:szCs w:val="24"/>
          <w:vertAlign w:val="subscript"/>
        </w:rPr>
        <w:t>2</w:t>
      </w:r>
      <w:r>
        <w:rPr>
          <w:rFonts w:asciiTheme="majorBidi" w:hAnsiTheme="majorBidi" w:cstheme="majorBidi"/>
          <w:b w:val="0"/>
          <w:szCs w:val="24"/>
        </w:rPr>
        <w:t>O</w:t>
      </w:r>
      <w:r>
        <w:rPr>
          <w:rFonts w:asciiTheme="majorBidi" w:hAnsiTheme="majorBidi" w:cstheme="majorBidi"/>
          <w:b w:val="0"/>
          <w:szCs w:val="24"/>
          <w:vertAlign w:val="subscript"/>
        </w:rPr>
        <w:t>3</w:t>
      </w:r>
      <w:r>
        <w:rPr>
          <w:rFonts w:asciiTheme="majorBidi" w:hAnsiTheme="majorBidi" w:cstheme="majorBidi"/>
          <w:b w:val="0"/>
          <w:szCs w:val="24"/>
        </w:rPr>
        <w:t xml:space="preserve"> and a range of alkaline earth modifiers. </w:t>
      </w:r>
    </w:p>
    <w:p w14:paraId="3711762D" w14:textId="73B6124F" w:rsidR="00574F23" w:rsidRDefault="00574F23" w:rsidP="00F406CF">
      <w:pPr>
        <w:numPr>
          <w:ilvl w:val="0"/>
          <w:numId w:val="31"/>
        </w:numPr>
        <w:spacing w:after="0" w:line="360" w:lineRule="auto"/>
        <w:jc w:val="both"/>
        <w:rPr>
          <w:rFonts w:asciiTheme="majorBidi" w:hAnsiTheme="majorBidi" w:cstheme="majorBidi"/>
          <w:b w:val="0"/>
          <w:szCs w:val="24"/>
        </w:rPr>
      </w:pPr>
      <w:r>
        <w:rPr>
          <w:rFonts w:asciiTheme="majorBidi" w:hAnsiTheme="majorBidi" w:cstheme="majorBidi"/>
          <w:b w:val="0"/>
          <w:szCs w:val="24"/>
        </w:rPr>
        <w:t>Assess the structure of these glasses through Raman spectroscopy and NMR</w:t>
      </w:r>
      <w:r w:rsidR="00804B85">
        <w:rPr>
          <w:rFonts w:asciiTheme="majorBidi" w:hAnsiTheme="majorBidi" w:cstheme="majorBidi"/>
          <w:b w:val="0"/>
          <w:szCs w:val="24"/>
        </w:rPr>
        <w:t>.</w:t>
      </w:r>
      <w:r>
        <w:rPr>
          <w:rFonts w:asciiTheme="majorBidi" w:hAnsiTheme="majorBidi" w:cstheme="majorBidi"/>
          <w:b w:val="0"/>
          <w:szCs w:val="24"/>
        </w:rPr>
        <w:t xml:space="preserve"> </w:t>
      </w:r>
    </w:p>
    <w:p w14:paraId="33EF6507" w14:textId="77777777" w:rsidR="00574F23" w:rsidRDefault="00574F23" w:rsidP="00574F23">
      <w:pPr>
        <w:numPr>
          <w:ilvl w:val="0"/>
          <w:numId w:val="31"/>
        </w:numPr>
        <w:spacing w:line="360" w:lineRule="auto"/>
        <w:jc w:val="both"/>
        <w:rPr>
          <w:rFonts w:asciiTheme="majorBidi" w:hAnsiTheme="majorBidi" w:cstheme="majorBidi"/>
          <w:b w:val="0"/>
          <w:szCs w:val="24"/>
        </w:rPr>
      </w:pPr>
      <w:r>
        <w:rPr>
          <w:rFonts w:asciiTheme="majorBidi" w:eastAsiaTheme="minorEastAsia" w:hAnsiTheme="majorBidi" w:cstheme="majorBidi"/>
          <w:b w:val="0"/>
          <w:color w:val="000000" w:themeColor="text1"/>
          <w:kern w:val="24"/>
          <w:szCs w:val="24"/>
          <w:lang w:eastAsia="en-MY"/>
        </w:rPr>
        <w:t xml:space="preserve">Measure the physical, thermal and mechanical properties of these glasses using </w:t>
      </w:r>
      <w:proofErr w:type="spellStart"/>
      <w:r>
        <w:rPr>
          <w:rFonts w:asciiTheme="majorBidi" w:eastAsiaTheme="minorEastAsia" w:hAnsiTheme="majorBidi" w:cstheme="majorBidi"/>
          <w:b w:val="0"/>
          <w:color w:val="000000" w:themeColor="text1"/>
          <w:kern w:val="24"/>
          <w:szCs w:val="24"/>
          <w:lang w:eastAsia="en-MY"/>
        </w:rPr>
        <w:t>pycnometry</w:t>
      </w:r>
      <w:proofErr w:type="spellEnd"/>
      <w:r>
        <w:rPr>
          <w:rFonts w:asciiTheme="majorBidi" w:eastAsiaTheme="minorEastAsia" w:hAnsiTheme="majorBidi" w:cstheme="majorBidi"/>
          <w:b w:val="0"/>
          <w:color w:val="000000" w:themeColor="text1"/>
          <w:kern w:val="24"/>
          <w:szCs w:val="24"/>
          <w:lang w:eastAsia="en-MY"/>
        </w:rPr>
        <w:t>, thermogravimetry, Vickers indentation and acoustic measurements.</w:t>
      </w:r>
    </w:p>
    <w:p w14:paraId="02039EBB" w14:textId="77777777" w:rsidR="00574F23" w:rsidRDefault="00574F23" w:rsidP="00574F23">
      <w:pPr>
        <w:spacing w:line="360" w:lineRule="auto"/>
        <w:ind w:left="720"/>
        <w:contextualSpacing/>
        <w:jc w:val="both"/>
        <w:rPr>
          <w:rFonts w:asciiTheme="majorBidi" w:hAnsiTheme="majorBidi" w:cstheme="majorBidi"/>
          <w:b w:val="0"/>
          <w:szCs w:val="24"/>
        </w:rPr>
      </w:pPr>
    </w:p>
    <w:p w14:paraId="3E45CCF1" w14:textId="42A1DF7F" w:rsidR="00364284" w:rsidRDefault="00574F23" w:rsidP="00574F23">
      <w:pPr>
        <w:spacing w:line="360" w:lineRule="auto"/>
        <w:ind w:firstLine="405"/>
        <w:jc w:val="both"/>
        <w:rPr>
          <w:rFonts w:asciiTheme="majorBidi" w:hAnsiTheme="majorBidi" w:cstheme="majorBidi"/>
          <w:b w:val="0"/>
          <w:szCs w:val="24"/>
        </w:rPr>
      </w:pPr>
      <w:r>
        <w:rPr>
          <w:rFonts w:asciiTheme="majorBidi" w:hAnsiTheme="majorBidi" w:cstheme="majorBidi"/>
          <w:b w:val="0"/>
          <w:szCs w:val="24"/>
        </w:rPr>
        <w:t>The thesis is divided into the following chapters. The Literature review chapter details the variation of glass structure in various glass systems and also the observed correlations between mechanical properties and the glass structure. Details of structural arrangements involving silica, alumina and boron oxide are also illustrated along with a consideration of charge balance by alkalis and alkaline earths. The effects of combinations of Al</w:t>
      </w:r>
      <w:r>
        <w:rPr>
          <w:rFonts w:asciiTheme="majorBidi" w:hAnsiTheme="majorBidi" w:cstheme="majorBidi"/>
          <w:b w:val="0"/>
          <w:szCs w:val="24"/>
          <w:vertAlign w:val="subscript"/>
        </w:rPr>
        <w:t>2</w:t>
      </w:r>
      <w:r>
        <w:rPr>
          <w:rFonts w:asciiTheme="majorBidi" w:hAnsiTheme="majorBidi" w:cstheme="majorBidi"/>
          <w:b w:val="0"/>
          <w:szCs w:val="24"/>
        </w:rPr>
        <w:t>O</w:t>
      </w:r>
      <w:r>
        <w:rPr>
          <w:rFonts w:asciiTheme="majorBidi" w:hAnsiTheme="majorBidi" w:cstheme="majorBidi"/>
          <w:b w:val="0"/>
          <w:szCs w:val="24"/>
          <w:vertAlign w:val="subscript"/>
        </w:rPr>
        <w:t>3</w:t>
      </w:r>
      <w:r>
        <w:rPr>
          <w:rFonts w:asciiTheme="majorBidi" w:hAnsiTheme="majorBidi" w:cstheme="majorBidi"/>
          <w:b w:val="0"/>
          <w:szCs w:val="24"/>
        </w:rPr>
        <w:t xml:space="preserve"> and B</w:t>
      </w:r>
      <w:r>
        <w:rPr>
          <w:rFonts w:asciiTheme="majorBidi" w:hAnsiTheme="majorBidi" w:cstheme="majorBidi"/>
          <w:b w:val="0"/>
          <w:szCs w:val="24"/>
          <w:vertAlign w:val="subscript"/>
        </w:rPr>
        <w:t>2</w:t>
      </w:r>
      <w:r>
        <w:rPr>
          <w:rFonts w:asciiTheme="majorBidi" w:hAnsiTheme="majorBidi" w:cstheme="majorBidi"/>
          <w:b w:val="0"/>
          <w:szCs w:val="24"/>
        </w:rPr>
        <w:t>O</w:t>
      </w:r>
      <w:r>
        <w:rPr>
          <w:rFonts w:asciiTheme="majorBidi" w:hAnsiTheme="majorBidi" w:cstheme="majorBidi"/>
          <w:b w:val="0"/>
          <w:szCs w:val="24"/>
          <w:vertAlign w:val="subscript"/>
        </w:rPr>
        <w:t>3</w:t>
      </w:r>
      <w:r>
        <w:rPr>
          <w:rFonts w:asciiTheme="majorBidi" w:hAnsiTheme="majorBidi" w:cstheme="majorBidi"/>
          <w:b w:val="0"/>
          <w:szCs w:val="24"/>
        </w:rPr>
        <w:t xml:space="preserve"> in </w:t>
      </w:r>
      <w:proofErr w:type="spellStart"/>
      <w:r>
        <w:rPr>
          <w:rFonts w:asciiTheme="majorBidi" w:hAnsiTheme="majorBidi" w:cstheme="majorBidi"/>
          <w:b w:val="0"/>
          <w:szCs w:val="24"/>
        </w:rPr>
        <w:t>aluminoborates</w:t>
      </w:r>
      <w:proofErr w:type="spellEnd"/>
      <w:r>
        <w:rPr>
          <w:rFonts w:asciiTheme="majorBidi" w:hAnsiTheme="majorBidi" w:cstheme="majorBidi"/>
          <w:b w:val="0"/>
          <w:szCs w:val="24"/>
        </w:rPr>
        <w:t xml:space="preserve"> and aluminosilicates are also reviewed. The effects of network polymerisation on the properties </w:t>
      </w:r>
      <w:r w:rsidR="005D1A70">
        <w:rPr>
          <w:rFonts w:asciiTheme="majorBidi" w:hAnsiTheme="majorBidi" w:cstheme="majorBidi"/>
          <w:b w:val="0"/>
          <w:szCs w:val="24"/>
        </w:rPr>
        <w:t xml:space="preserve">are </w:t>
      </w:r>
      <w:r>
        <w:rPr>
          <w:rFonts w:asciiTheme="majorBidi" w:hAnsiTheme="majorBidi" w:cstheme="majorBidi"/>
          <w:b w:val="0"/>
          <w:szCs w:val="24"/>
        </w:rPr>
        <w:t xml:space="preserve">also considered.                               </w:t>
      </w:r>
    </w:p>
    <w:p w14:paraId="5FED0F99" w14:textId="52B32957" w:rsidR="00574F23" w:rsidRDefault="00574F23" w:rsidP="00574F23">
      <w:pPr>
        <w:spacing w:line="360" w:lineRule="auto"/>
        <w:ind w:firstLine="405"/>
        <w:jc w:val="both"/>
        <w:rPr>
          <w:rFonts w:asciiTheme="majorBidi" w:hAnsiTheme="majorBidi" w:cstheme="majorBidi"/>
          <w:b w:val="0"/>
          <w:szCs w:val="24"/>
        </w:rPr>
      </w:pPr>
      <w:r>
        <w:rPr>
          <w:rFonts w:asciiTheme="majorBidi" w:hAnsiTheme="majorBidi" w:cstheme="majorBidi"/>
          <w:b w:val="0"/>
          <w:szCs w:val="24"/>
        </w:rPr>
        <w:t xml:space="preserve">                                                                                                                                                                                                                                                                                                                                                                                                                                                                                                                                                                                                                                                                                                                                                                                                                                                                                                                                                                                                                                                                                                                                                                                                                                                                                                                                                                                                                                                                                                                                                                                                                                                                                                                                                                                                                                                                                                                                                                                                                                                                                                                                                                                                                                                                                                                                                                                                                                                                                                                                                                                                                                                                                                                                                                                                                                                                                                                                                                                                                                                                                                                                                                                                                                </w:t>
      </w:r>
    </w:p>
    <w:p w14:paraId="247C4C1C" w14:textId="1B2DCC90" w:rsidR="00574F23" w:rsidRDefault="00574F23" w:rsidP="00574F23">
      <w:pPr>
        <w:spacing w:line="360" w:lineRule="auto"/>
        <w:ind w:firstLine="405"/>
        <w:jc w:val="both"/>
        <w:rPr>
          <w:rFonts w:asciiTheme="majorBidi" w:hAnsiTheme="majorBidi" w:cstheme="majorBidi"/>
          <w:b w:val="0"/>
          <w:szCs w:val="24"/>
        </w:rPr>
      </w:pPr>
      <w:r>
        <w:rPr>
          <w:rFonts w:asciiTheme="majorBidi" w:hAnsiTheme="majorBidi" w:cstheme="majorBidi"/>
          <w:b w:val="0"/>
          <w:szCs w:val="24"/>
        </w:rPr>
        <w:lastRenderedPageBreak/>
        <w:t xml:space="preserve">The Experimental procedures chapter details the materials and techniques used in the preparation and analysis of the glasses in this study. Results from the analysis of the boroaluminosilicate glass produced in this study are presented in Chapter 3. The results are split into </w:t>
      </w:r>
      <w:r w:rsidR="00A74B0C">
        <w:rPr>
          <w:rFonts w:asciiTheme="majorBidi" w:hAnsiTheme="majorBidi" w:cstheme="majorBidi"/>
          <w:b w:val="0"/>
          <w:szCs w:val="24"/>
        </w:rPr>
        <w:t xml:space="preserve">four </w:t>
      </w:r>
      <w:r>
        <w:rPr>
          <w:rFonts w:asciiTheme="majorBidi" w:hAnsiTheme="majorBidi" w:cstheme="majorBidi"/>
          <w:b w:val="0"/>
          <w:szCs w:val="24"/>
        </w:rPr>
        <w:t xml:space="preserve">major sections </w:t>
      </w:r>
      <w:proofErr w:type="spellStart"/>
      <w:r>
        <w:rPr>
          <w:rFonts w:asciiTheme="majorBidi" w:hAnsiTheme="majorBidi" w:cstheme="majorBidi"/>
          <w:b w:val="0"/>
          <w:szCs w:val="24"/>
        </w:rPr>
        <w:t>i</w:t>
      </w:r>
      <w:proofErr w:type="spellEnd"/>
      <w:r>
        <w:rPr>
          <w:rFonts w:asciiTheme="majorBidi" w:hAnsiTheme="majorBidi" w:cstheme="majorBidi"/>
          <w:b w:val="0"/>
          <w:szCs w:val="24"/>
        </w:rPr>
        <w:t>) chemical analysis ii) physical and thermal properties iii) structural properties and iv) mechanical properties. Chapter 5 discusses the connections between physical and mechanical properties and the glass structure. Finally</w:t>
      </w:r>
      <w:r w:rsidR="005D1A70">
        <w:rPr>
          <w:rFonts w:asciiTheme="majorBidi" w:hAnsiTheme="majorBidi" w:cstheme="majorBidi"/>
          <w:b w:val="0"/>
          <w:szCs w:val="24"/>
        </w:rPr>
        <w:t>,</w:t>
      </w:r>
      <w:r>
        <w:rPr>
          <w:rFonts w:asciiTheme="majorBidi" w:hAnsiTheme="majorBidi" w:cstheme="majorBidi"/>
          <w:b w:val="0"/>
          <w:szCs w:val="24"/>
        </w:rPr>
        <w:t xml:space="preserve"> conclusions and recommendations for future work are presented in Chapter 6.</w:t>
      </w:r>
    </w:p>
    <w:p w14:paraId="4F808B63" w14:textId="77777777" w:rsidR="00574F23" w:rsidRDefault="00574F23" w:rsidP="00574F23">
      <w:pPr>
        <w:spacing w:line="360" w:lineRule="auto"/>
        <w:rPr>
          <w:rFonts w:asciiTheme="majorBidi" w:hAnsiTheme="majorBidi"/>
          <w:b w:val="0"/>
        </w:rPr>
      </w:pPr>
    </w:p>
    <w:p w14:paraId="11703E2B" w14:textId="77777777" w:rsidR="00574F23" w:rsidRDefault="00574F23" w:rsidP="00574F23">
      <w:pPr>
        <w:spacing w:line="480" w:lineRule="auto"/>
        <w:ind w:left="720"/>
        <w:jc w:val="both"/>
        <w:rPr>
          <w:rFonts w:asciiTheme="majorBidi" w:hAnsiTheme="majorBidi" w:cstheme="majorBidi"/>
          <w:b w:val="0"/>
          <w:szCs w:val="24"/>
        </w:rPr>
      </w:pPr>
    </w:p>
    <w:p w14:paraId="4ED95B39" w14:textId="45072EA9" w:rsidR="00A531C0" w:rsidRDefault="00A531C0" w:rsidP="00022841">
      <w:pPr>
        <w:spacing w:line="360" w:lineRule="auto"/>
        <w:rPr>
          <w:rFonts w:asciiTheme="majorBidi" w:hAnsiTheme="majorBidi"/>
          <w:b w:val="0"/>
        </w:rPr>
      </w:pPr>
    </w:p>
    <w:p w14:paraId="3F95D7C5" w14:textId="72837A41" w:rsidR="00574F23" w:rsidRDefault="00574F23" w:rsidP="00022841">
      <w:pPr>
        <w:spacing w:line="360" w:lineRule="auto"/>
        <w:rPr>
          <w:rFonts w:asciiTheme="majorBidi" w:hAnsiTheme="majorBidi"/>
          <w:b w:val="0"/>
        </w:rPr>
      </w:pPr>
    </w:p>
    <w:p w14:paraId="38F5F9B6" w14:textId="37A966DE" w:rsidR="00574F23" w:rsidRDefault="00574F23" w:rsidP="00022841">
      <w:pPr>
        <w:spacing w:line="360" w:lineRule="auto"/>
        <w:rPr>
          <w:rFonts w:asciiTheme="majorBidi" w:hAnsiTheme="majorBidi"/>
          <w:b w:val="0"/>
        </w:rPr>
      </w:pPr>
    </w:p>
    <w:p w14:paraId="78DC2178" w14:textId="5773941B" w:rsidR="00574F23" w:rsidRDefault="00574F23" w:rsidP="00022841">
      <w:pPr>
        <w:spacing w:line="360" w:lineRule="auto"/>
        <w:rPr>
          <w:rFonts w:asciiTheme="majorBidi" w:hAnsiTheme="majorBidi"/>
          <w:b w:val="0"/>
        </w:rPr>
      </w:pPr>
    </w:p>
    <w:p w14:paraId="0805AA67" w14:textId="27A05DDF" w:rsidR="00574F23" w:rsidRDefault="00574F23" w:rsidP="00022841">
      <w:pPr>
        <w:spacing w:line="360" w:lineRule="auto"/>
        <w:rPr>
          <w:rFonts w:asciiTheme="majorBidi" w:hAnsiTheme="majorBidi"/>
          <w:b w:val="0"/>
        </w:rPr>
      </w:pPr>
    </w:p>
    <w:p w14:paraId="4E3E030F" w14:textId="1FF6B3A9" w:rsidR="00574F23" w:rsidRDefault="00574F23" w:rsidP="00022841">
      <w:pPr>
        <w:spacing w:line="360" w:lineRule="auto"/>
        <w:rPr>
          <w:rFonts w:asciiTheme="majorBidi" w:hAnsiTheme="majorBidi"/>
          <w:b w:val="0"/>
        </w:rPr>
      </w:pPr>
    </w:p>
    <w:p w14:paraId="56572E8A" w14:textId="097C515E" w:rsidR="00574F23" w:rsidRDefault="00574F23" w:rsidP="00022841">
      <w:pPr>
        <w:spacing w:line="360" w:lineRule="auto"/>
        <w:rPr>
          <w:rFonts w:asciiTheme="majorBidi" w:hAnsiTheme="majorBidi"/>
          <w:b w:val="0"/>
        </w:rPr>
      </w:pPr>
    </w:p>
    <w:p w14:paraId="014A27A5" w14:textId="498EAFAC" w:rsidR="00574F23" w:rsidRDefault="00574F23" w:rsidP="00022841">
      <w:pPr>
        <w:spacing w:line="360" w:lineRule="auto"/>
        <w:rPr>
          <w:rFonts w:asciiTheme="majorBidi" w:hAnsiTheme="majorBidi"/>
          <w:b w:val="0"/>
        </w:rPr>
      </w:pPr>
    </w:p>
    <w:p w14:paraId="01F641A4" w14:textId="08C56059" w:rsidR="00574F23" w:rsidRDefault="00574F23" w:rsidP="00022841">
      <w:pPr>
        <w:spacing w:line="360" w:lineRule="auto"/>
        <w:rPr>
          <w:rFonts w:asciiTheme="majorBidi" w:hAnsiTheme="majorBidi"/>
          <w:b w:val="0"/>
        </w:rPr>
      </w:pPr>
    </w:p>
    <w:p w14:paraId="170DE70A" w14:textId="0B6520A9" w:rsidR="00AE3BE2" w:rsidRDefault="00AE3BE2" w:rsidP="00022841">
      <w:pPr>
        <w:spacing w:line="360" w:lineRule="auto"/>
        <w:rPr>
          <w:rFonts w:asciiTheme="majorBidi" w:hAnsiTheme="majorBidi"/>
          <w:b w:val="0"/>
        </w:rPr>
      </w:pPr>
    </w:p>
    <w:p w14:paraId="41A2A572" w14:textId="026BCD91" w:rsidR="00AE3BE2" w:rsidRDefault="00AE3BE2" w:rsidP="00022841">
      <w:pPr>
        <w:spacing w:line="360" w:lineRule="auto"/>
        <w:rPr>
          <w:rFonts w:asciiTheme="majorBidi" w:hAnsiTheme="majorBidi"/>
          <w:b w:val="0"/>
        </w:rPr>
      </w:pPr>
    </w:p>
    <w:p w14:paraId="7CB9DAB6" w14:textId="01086A50" w:rsidR="00CC31BA" w:rsidRDefault="00CC31BA" w:rsidP="00022841">
      <w:pPr>
        <w:spacing w:line="360" w:lineRule="auto"/>
        <w:rPr>
          <w:rFonts w:asciiTheme="majorBidi" w:hAnsiTheme="majorBidi"/>
          <w:b w:val="0"/>
        </w:rPr>
      </w:pPr>
    </w:p>
    <w:p w14:paraId="3AE342B9" w14:textId="3B838DDF" w:rsidR="00CC31BA" w:rsidRDefault="00CC31BA" w:rsidP="00022841">
      <w:pPr>
        <w:spacing w:line="360" w:lineRule="auto"/>
        <w:rPr>
          <w:rFonts w:asciiTheme="majorBidi" w:hAnsiTheme="majorBidi"/>
          <w:b w:val="0"/>
        </w:rPr>
      </w:pPr>
    </w:p>
    <w:p w14:paraId="40E68113" w14:textId="65F2804E" w:rsidR="00CC31BA" w:rsidRDefault="00CC31BA" w:rsidP="00022841">
      <w:pPr>
        <w:spacing w:line="360" w:lineRule="auto"/>
        <w:rPr>
          <w:rFonts w:asciiTheme="majorBidi" w:hAnsiTheme="majorBidi"/>
          <w:b w:val="0"/>
        </w:rPr>
      </w:pPr>
    </w:p>
    <w:p w14:paraId="23311857" w14:textId="77777777" w:rsidR="00CC31BA" w:rsidRDefault="00CC31BA" w:rsidP="00022841">
      <w:pPr>
        <w:spacing w:line="360" w:lineRule="auto"/>
        <w:rPr>
          <w:rFonts w:asciiTheme="majorBidi" w:hAnsiTheme="majorBidi"/>
          <w:b w:val="0"/>
        </w:rPr>
      </w:pPr>
    </w:p>
    <w:p w14:paraId="1A4DC23D" w14:textId="77777777" w:rsidR="00574F23" w:rsidRPr="000E2377" w:rsidRDefault="00574F23" w:rsidP="00022841">
      <w:pPr>
        <w:spacing w:line="360" w:lineRule="auto"/>
        <w:rPr>
          <w:rFonts w:asciiTheme="majorBidi" w:hAnsiTheme="majorBidi"/>
          <w:b w:val="0"/>
        </w:rPr>
      </w:pPr>
    </w:p>
    <w:p w14:paraId="16C94022" w14:textId="622B6DDC" w:rsidR="0064576E" w:rsidRPr="000E2377" w:rsidRDefault="008B7BFE" w:rsidP="008B7BFE">
      <w:pPr>
        <w:pStyle w:val="Heading1"/>
      </w:pPr>
      <w:bookmarkStart w:id="32" w:name="_Toc523402865"/>
      <w:bookmarkStart w:id="33" w:name="_Toc525526376"/>
      <w:bookmarkStart w:id="34" w:name="_Toc525707793"/>
      <w:bookmarkStart w:id="35" w:name="_Toc525742457"/>
      <w:bookmarkStart w:id="36" w:name="_Toc12994935"/>
      <w:r w:rsidRPr="000E2377">
        <w:lastRenderedPageBreak/>
        <w:t>CHAPTER 2</w:t>
      </w:r>
      <w:bookmarkEnd w:id="32"/>
      <w:bookmarkEnd w:id="33"/>
      <w:bookmarkEnd w:id="34"/>
      <w:bookmarkEnd w:id="35"/>
      <w:bookmarkEnd w:id="36"/>
    </w:p>
    <w:p w14:paraId="41AE109F" w14:textId="7FB61BCD" w:rsidR="0064576E" w:rsidRPr="000E2377" w:rsidRDefault="0064576E" w:rsidP="0064576E">
      <w:pPr>
        <w:keepNext/>
        <w:keepLines/>
        <w:spacing w:before="480" w:after="480" w:line="360" w:lineRule="auto"/>
        <w:jc w:val="center"/>
        <w:outlineLvl w:val="1"/>
        <w:rPr>
          <w:rFonts w:eastAsia="Calibri" w:cs="Times New Roman"/>
          <w:caps/>
          <w:color w:val="000000" w:themeColor="text1"/>
          <w:szCs w:val="24"/>
        </w:rPr>
      </w:pPr>
      <w:bookmarkStart w:id="37" w:name="_Toc515398703"/>
      <w:bookmarkStart w:id="38" w:name="_Toc523402866"/>
      <w:bookmarkStart w:id="39" w:name="_Toc525526377"/>
      <w:bookmarkStart w:id="40" w:name="_Toc525707794"/>
      <w:bookmarkStart w:id="41" w:name="_Toc525742458"/>
      <w:bookmarkStart w:id="42" w:name="_Toc12994936"/>
      <w:r w:rsidRPr="000E2377">
        <w:rPr>
          <w:rFonts w:eastAsia="Calibri" w:cs="Times New Roman"/>
          <w:caps/>
          <w:color w:val="000000" w:themeColor="text1"/>
          <w:szCs w:val="24"/>
        </w:rPr>
        <w:t>Literature review</w:t>
      </w:r>
      <w:bookmarkEnd w:id="37"/>
      <w:bookmarkEnd w:id="38"/>
      <w:bookmarkEnd w:id="39"/>
      <w:bookmarkEnd w:id="40"/>
      <w:bookmarkEnd w:id="41"/>
      <w:bookmarkEnd w:id="42"/>
    </w:p>
    <w:p w14:paraId="4DC08D69" w14:textId="0A08C90B" w:rsidR="0064576E" w:rsidRPr="000E2377" w:rsidRDefault="0064576E" w:rsidP="00CD0E4F">
      <w:pPr>
        <w:pStyle w:val="Heading3"/>
      </w:pPr>
      <w:bookmarkStart w:id="43" w:name="_Toc515398704"/>
      <w:bookmarkStart w:id="44" w:name="_Toc523402867"/>
      <w:bookmarkStart w:id="45" w:name="_Toc525526378"/>
      <w:bookmarkStart w:id="46" w:name="_Toc525707795"/>
      <w:bookmarkStart w:id="47" w:name="_Toc525742459"/>
      <w:bookmarkStart w:id="48" w:name="_Toc12994937"/>
      <w:r w:rsidRPr="000E2377">
        <w:t>2.1 Introduction</w:t>
      </w:r>
      <w:bookmarkEnd w:id="43"/>
      <w:bookmarkEnd w:id="44"/>
      <w:bookmarkEnd w:id="45"/>
      <w:bookmarkEnd w:id="46"/>
      <w:bookmarkEnd w:id="47"/>
      <w:bookmarkEnd w:id="48"/>
    </w:p>
    <w:p w14:paraId="6EFDD354" w14:textId="70ADE137" w:rsidR="0064576E" w:rsidRPr="000E2377" w:rsidRDefault="0064576E" w:rsidP="0064576E">
      <w:pPr>
        <w:spacing w:line="360" w:lineRule="auto"/>
        <w:jc w:val="both"/>
        <w:rPr>
          <w:b w:val="0"/>
        </w:rPr>
      </w:pPr>
      <w:r w:rsidRPr="000E2377">
        <w:rPr>
          <w:b w:val="0"/>
        </w:rPr>
        <w:t xml:space="preserve">This thesis investigates the variation of structural and mechanical properties of </w:t>
      </w:r>
      <w:r w:rsidR="000D6DEA">
        <w:rPr>
          <w:b w:val="0"/>
        </w:rPr>
        <w:t>boroaluminosilicate</w:t>
      </w:r>
      <w:r w:rsidRPr="000E2377">
        <w:rPr>
          <w:b w:val="0"/>
        </w:rPr>
        <w:t xml:space="preserve"> glasses with composition. The broader perspective</w:t>
      </w:r>
      <w:r w:rsidR="006F76D9">
        <w:rPr>
          <w:b w:val="0"/>
        </w:rPr>
        <w:t>s</w:t>
      </w:r>
      <w:r w:rsidRPr="000E2377">
        <w:rPr>
          <w:b w:val="0"/>
        </w:rPr>
        <w:t xml:space="preserve"> of the variation of mechanical properties with </w:t>
      </w:r>
      <w:r w:rsidR="005D1A70">
        <w:rPr>
          <w:b w:val="0"/>
        </w:rPr>
        <w:t xml:space="preserve">the </w:t>
      </w:r>
      <w:r w:rsidRPr="000E2377">
        <w:rPr>
          <w:b w:val="0"/>
        </w:rPr>
        <w:t>structure for other glass families are presented in this literature review.</w:t>
      </w:r>
      <w:r w:rsidR="004342AF" w:rsidRPr="000E2377">
        <w:rPr>
          <w:b w:val="0"/>
        </w:rPr>
        <w:t xml:space="preserve"> </w:t>
      </w:r>
    </w:p>
    <w:p w14:paraId="26707B4A" w14:textId="336E4923" w:rsidR="00B06EF8" w:rsidRPr="000E2377" w:rsidRDefault="005C6996" w:rsidP="0064576E">
      <w:pPr>
        <w:spacing w:line="360" w:lineRule="auto"/>
        <w:jc w:val="both"/>
        <w:rPr>
          <w:b w:val="0"/>
        </w:rPr>
      </w:pPr>
      <w:r>
        <w:rPr>
          <w:b w:val="0"/>
        </w:rPr>
        <w:t>The literature review f</w:t>
      </w:r>
      <w:r w:rsidR="00B06EF8" w:rsidRPr="000E2377">
        <w:rPr>
          <w:b w:val="0"/>
        </w:rPr>
        <w:t>irst</w:t>
      </w:r>
      <w:r>
        <w:rPr>
          <w:b w:val="0"/>
        </w:rPr>
        <w:t xml:space="preserve"> gives a </w:t>
      </w:r>
      <w:r w:rsidR="00B06EF8" w:rsidRPr="000E2377">
        <w:rPr>
          <w:b w:val="0"/>
        </w:rPr>
        <w:t>definition of glass and</w:t>
      </w:r>
      <w:r>
        <w:rPr>
          <w:b w:val="0"/>
        </w:rPr>
        <w:t xml:space="preserve"> considers</w:t>
      </w:r>
      <w:r w:rsidR="00B06EF8" w:rsidRPr="000E2377">
        <w:rPr>
          <w:b w:val="0"/>
        </w:rPr>
        <w:t xml:space="preserve"> structur</w:t>
      </w:r>
      <w:r>
        <w:rPr>
          <w:b w:val="0"/>
        </w:rPr>
        <w:t>al features</w:t>
      </w:r>
      <w:r w:rsidR="00B06EF8" w:rsidRPr="000E2377">
        <w:rPr>
          <w:b w:val="0"/>
        </w:rPr>
        <w:t xml:space="preserve"> such as modifiers and Q species</w:t>
      </w:r>
      <w:r>
        <w:rPr>
          <w:b w:val="0"/>
        </w:rPr>
        <w:t xml:space="preserve"> as well as</w:t>
      </w:r>
      <w:r w:rsidR="00414EC0" w:rsidRPr="000E2377">
        <w:rPr>
          <w:b w:val="0"/>
        </w:rPr>
        <w:t xml:space="preserve"> intermediates</w:t>
      </w:r>
      <w:r w:rsidR="008F5046" w:rsidRPr="000E2377">
        <w:rPr>
          <w:b w:val="0"/>
        </w:rPr>
        <w:t xml:space="preserve">. Details of </w:t>
      </w:r>
      <w:r w:rsidR="00414EC0" w:rsidRPr="000E2377">
        <w:rPr>
          <w:b w:val="0"/>
        </w:rPr>
        <w:t xml:space="preserve">boron as </w:t>
      </w:r>
      <w:r>
        <w:rPr>
          <w:b w:val="0"/>
        </w:rPr>
        <w:t xml:space="preserve">a </w:t>
      </w:r>
      <w:r w:rsidR="008F5046" w:rsidRPr="000E2377">
        <w:rPr>
          <w:b w:val="0"/>
        </w:rPr>
        <w:t xml:space="preserve">network former </w:t>
      </w:r>
      <w:r>
        <w:rPr>
          <w:b w:val="0"/>
        </w:rPr>
        <w:t>a</w:t>
      </w:r>
      <w:r w:rsidR="008F5046" w:rsidRPr="000E2377">
        <w:rPr>
          <w:b w:val="0"/>
        </w:rPr>
        <w:t>re also discussed together with</w:t>
      </w:r>
      <w:r>
        <w:rPr>
          <w:b w:val="0"/>
        </w:rPr>
        <w:t xml:space="preserve"> a consideration of the role</w:t>
      </w:r>
      <w:r w:rsidR="00BF1F5D" w:rsidRPr="000E2377">
        <w:rPr>
          <w:b w:val="0"/>
        </w:rPr>
        <w:t xml:space="preserve"> of </w:t>
      </w:r>
      <w:r w:rsidR="008F5046" w:rsidRPr="000E2377">
        <w:rPr>
          <w:b w:val="0"/>
        </w:rPr>
        <w:t xml:space="preserve">alumina in </w:t>
      </w:r>
      <w:proofErr w:type="spellStart"/>
      <w:r w:rsidR="008F5046" w:rsidRPr="000E2377">
        <w:rPr>
          <w:b w:val="0"/>
        </w:rPr>
        <w:t>aluminoborates</w:t>
      </w:r>
      <w:proofErr w:type="spellEnd"/>
      <w:r w:rsidR="008F5046" w:rsidRPr="000E2377">
        <w:rPr>
          <w:b w:val="0"/>
        </w:rPr>
        <w:t xml:space="preserve"> and aluminosilicate</w:t>
      </w:r>
      <w:r w:rsidR="00853DE8">
        <w:rPr>
          <w:b w:val="0"/>
        </w:rPr>
        <w:t>s</w:t>
      </w:r>
      <w:r w:rsidR="008F5046" w:rsidRPr="000E2377">
        <w:rPr>
          <w:b w:val="0"/>
        </w:rPr>
        <w:t xml:space="preserve">. </w:t>
      </w:r>
      <w:r>
        <w:rPr>
          <w:b w:val="0"/>
        </w:rPr>
        <w:t>The</w:t>
      </w:r>
      <w:r w:rsidR="008F5046" w:rsidRPr="000E2377">
        <w:rPr>
          <w:b w:val="0"/>
        </w:rPr>
        <w:t xml:space="preserve"> effect</w:t>
      </w:r>
      <w:r>
        <w:rPr>
          <w:b w:val="0"/>
        </w:rPr>
        <w:t>s</w:t>
      </w:r>
      <w:r w:rsidR="008F5046" w:rsidRPr="000E2377">
        <w:rPr>
          <w:b w:val="0"/>
        </w:rPr>
        <w:t xml:space="preserve"> of mixed alkali and alkaline earth</w:t>
      </w:r>
      <w:r>
        <w:rPr>
          <w:b w:val="0"/>
        </w:rPr>
        <w:t>s</w:t>
      </w:r>
      <w:r w:rsidR="008F5046" w:rsidRPr="000E2377">
        <w:rPr>
          <w:b w:val="0"/>
        </w:rPr>
        <w:t xml:space="preserve"> in </w:t>
      </w:r>
      <w:r>
        <w:rPr>
          <w:b w:val="0"/>
        </w:rPr>
        <w:t xml:space="preserve">the glass </w:t>
      </w:r>
      <w:r w:rsidR="008F5046" w:rsidRPr="000E2377">
        <w:rPr>
          <w:b w:val="0"/>
        </w:rPr>
        <w:t xml:space="preserve">composition and also polymerisation </w:t>
      </w:r>
      <w:r>
        <w:rPr>
          <w:b w:val="0"/>
        </w:rPr>
        <w:t>on the glass</w:t>
      </w:r>
      <w:r w:rsidR="008F5046" w:rsidRPr="000E2377">
        <w:rPr>
          <w:b w:val="0"/>
        </w:rPr>
        <w:t xml:space="preserve"> properties</w:t>
      </w:r>
      <w:r>
        <w:rPr>
          <w:b w:val="0"/>
        </w:rPr>
        <w:t xml:space="preserve"> are also considered</w:t>
      </w:r>
      <w:r w:rsidR="008F5046" w:rsidRPr="000E2377">
        <w:rPr>
          <w:b w:val="0"/>
        </w:rPr>
        <w:t>.</w:t>
      </w:r>
    </w:p>
    <w:p w14:paraId="5FD8C748" w14:textId="2D7F7994" w:rsidR="00E75782" w:rsidRPr="000E2377" w:rsidRDefault="00C018E7" w:rsidP="0064576E">
      <w:pPr>
        <w:spacing w:line="360" w:lineRule="auto"/>
        <w:jc w:val="both"/>
        <w:rPr>
          <w:b w:val="0"/>
          <w:color w:val="000000" w:themeColor="text1"/>
        </w:rPr>
      </w:pPr>
      <w:r w:rsidRPr="000E2377">
        <w:rPr>
          <w:b w:val="0"/>
          <w:color w:val="000000" w:themeColor="text1"/>
        </w:rPr>
        <w:t>Second</w:t>
      </w:r>
      <w:r w:rsidR="005C6996">
        <w:rPr>
          <w:b w:val="0"/>
          <w:color w:val="000000" w:themeColor="text1"/>
        </w:rPr>
        <w:t>ly</w:t>
      </w:r>
      <w:r w:rsidRPr="000E2377">
        <w:rPr>
          <w:b w:val="0"/>
          <w:color w:val="000000" w:themeColor="text1"/>
        </w:rPr>
        <w:t xml:space="preserve">, the definition of mechanical properties such as elastic modulus, hardness, fracture toughness and brittleness of glass </w:t>
      </w:r>
      <w:r w:rsidR="005C6996">
        <w:rPr>
          <w:b w:val="0"/>
          <w:color w:val="000000" w:themeColor="text1"/>
        </w:rPr>
        <w:t>a</w:t>
      </w:r>
      <w:r w:rsidRPr="000E2377">
        <w:rPr>
          <w:b w:val="0"/>
          <w:color w:val="000000" w:themeColor="text1"/>
        </w:rPr>
        <w:t xml:space="preserve">re given. </w:t>
      </w:r>
      <w:r w:rsidR="00BF1F5D" w:rsidRPr="000E2377">
        <w:rPr>
          <w:b w:val="0"/>
          <w:color w:val="000000" w:themeColor="text1"/>
        </w:rPr>
        <w:t>Thirdly the correlation</w:t>
      </w:r>
      <w:r w:rsidR="005C6996">
        <w:rPr>
          <w:b w:val="0"/>
          <w:color w:val="000000" w:themeColor="text1"/>
        </w:rPr>
        <w:t>s</w:t>
      </w:r>
      <w:r w:rsidR="00BF1F5D" w:rsidRPr="000E2377">
        <w:rPr>
          <w:b w:val="0"/>
          <w:color w:val="000000" w:themeColor="text1"/>
        </w:rPr>
        <w:t xml:space="preserve"> between structure, glass and properties </w:t>
      </w:r>
      <w:r w:rsidR="005C6996">
        <w:rPr>
          <w:b w:val="0"/>
          <w:color w:val="000000" w:themeColor="text1"/>
        </w:rPr>
        <w:t>for</w:t>
      </w:r>
      <w:r w:rsidR="005C6996" w:rsidRPr="000E2377">
        <w:rPr>
          <w:b w:val="0"/>
          <w:color w:val="000000" w:themeColor="text1"/>
        </w:rPr>
        <w:t xml:space="preserve"> </w:t>
      </w:r>
      <w:r w:rsidR="00BF1F5D" w:rsidRPr="000E2377">
        <w:rPr>
          <w:b w:val="0"/>
          <w:color w:val="000000" w:themeColor="text1"/>
        </w:rPr>
        <w:t>various glass composition</w:t>
      </w:r>
      <w:r w:rsidR="005C6996">
        <w:rPr>
          <w:b w:val="0"/>
          <w:color w:val="000000" w:themeColor="text1"/>
        </w:rPr>
        <w:t>s</w:t>
      </w:r>
      <w:r w:rsidR="00BF1F5D" w:rsidRPr="000E2377">
        <w:rPr>
          <w:b w:val="0"/>
          <w:color w:val="000000" w:themeColor="text1"/>
        </w:rPr>
        <w:t xml:space="preserve"> </w:t>
      </w:r>
      <w:r w:rsidR="0053123D">
        <w:rPr>
          <w:b w:val="0"/>
          <w:color w:val="000000" w:themeColor="text1"/>
        </w:rPr>
        <w:t>a</w:t>
      </w:r>
      <w:r w:rsidR="00BF1F5D" w:rsidRPr="000E2377">
        <w:rPr>
          <w:b w:val="0"/>
          <w:color w:val="000000" w:themeColor="text1"/>
        </w:rPr>
        <w:t>re collected and plot</w:t>
      </w:r>
      <w:r w:rsidR="005C6996">
        <w:rPr>
          <w:b w:val="0"/>
          <w:color w:val="000000" w:themeColor="text1"/>
        </w:rPr>
        <w:t>ted</w:t>
      </w:r>
      <w:r w:rsidR="00BF1F5D" w:rsidRPr="000E2377">
        <w:rPr>
          <w:b w:val="0"/>
          <w:color w:val="000000" w:themeColor="text1"/>
        </w:rPr>
        <w:t xml:space="preserve"> to </w:t>
      </w:r>
      <w:r w:rsidR="005C6996">
        <w:rPr>
          <w:b w:val="0"/>
          <w:color w:val="000000" w:themeColor="text1"/>
        </w:rPr>
        <w:t>identify</w:t>
      </w:r>
      <w:r w:rsidR="00BF1F5D" w:rsidRPr="000E2377">
        <w:rPr>
          <w:b w:val="0"/>
          <w:color w:val="000000" w:themeColor="text1"/>
        </w:rPr>
        <w:t xml:space="preserve"> any potential correlation between them.</w:t>
      </w:r>
    </w:p>
    <w:p w14:paraId="1AA123B8" w14:textId="356E8CD0" w:rsidR="0064576E" w:rsidRPr="000E2377" w:rsidRDefault="0064576E" w:rsidP="0064576E">
      <w:pPr>
        <w:keepNext/>
        <w:keepLines/>
        <w:spacing w:before="40" w:after="0" w:line="360" w:lineRule="auto"/>
        <w:ind w:left="360" w:hanging="360"/>
        <w:outlineLvl w:val="2"/>
        <w:rPr>
          <w:rFonts w:eastAsiaTheme="majorEastAsia" w:cstheme="majorBidi"/>
          <w:color w:val="000000" w:themeColor="text1"/>
          <w:szCs w:val="24"/>
        </w:rPr>
      </w:pPr>
      <w:bookmarkStart w:id="49" w:name="_Toc515398705"/>
      <w:bookmarkStart w:id="50" w:name="_Toc523402868"/>
      <w:bookmarkStart w:id="51" w:name="_Toc525526379"/>
      <w:bookmarkStart w:id="52" w:name="_Toc525707796"/>
      <w:bookmarkStart w:id="53" w:name="_Toc525742460"/>
      <w:bookmarkStart w:id="54" w:name="_Toc12994938"/>
      <w:r w:rsidRPr="000E2377">
        <w:rPr>
          <w:rFonts w:eastAsiaTheme="majorEastAsia" w:cstheme="majorBidi"/>
          <w:color w:val="000000" w:themeColor="text1"/>
          <w:szCs w:val="24"/>
        </w:rPr>
        <w:t xml:space="preserve">2.2 What is </w:t>
      </w:r>
      <w:r w:rsidR="00B94A19" w:rsidRPr="000E2377">
        <w:rPr>
          <w:rFonts w:eastAsiaTheme="majorEastAsia" w:cstheme="majorBidi"/>
          <w:color w:val="000000" w:themeColor="text1"/>
          <w:szCs w:val="24"/>
        </w:rPr>
        <w:t xml:space="preserve">a </w:t>
      </w:r>
      <w:r w:rsidRPr="000E2377">
        <w:rPr>
          <w:rFonts w:eastAsiaTheme="majorEastAsia" w:cstheme="majorBidi"/>
          <w:color w:val="000000" w:themeColor="text1"/>
          <w:szCs w:val="24"/>
        </w:rPr>
        <w:t>glass?</w:t>
      </w:r>
      <w:bookmarkEnd w:id="49"/>
      <w:bookmarkEnd w:id="50"/>
      <w:bookmarkEnd w:id="51"/>
      <w:bookmarkEnd w:id="52"/>
      <w:bookmarkEnd w:id="53"/>
      <w:bookmarkEnd w:id="54"/>
    </w:p>
    <w:p w14:paraId="60130D6A" w14:textId="0A29BC43" w:rsidR="005D52D8" w:rsidRPr="000E2377" w:rsidRDefault="00484CB5" w:rsidP="000216CA">
      <w:pPr>
        <w:spacing w:line="360" w:lineRule="auto"/>
        <w:jc w:val="both"/>
        <w:rPr>
          <w:b w:val="0"/>
        </w:rPr>
      </w:pPr>
      <w:r>
        <w:rPr>
          <w:b w:val="0"/>
        </w:rPr>
        <w:t>Glass is originally derived from ‘</w:t>
      </w:r>
      <w:proofErr w:type="spellStart"/>
      <w:r>
        <w:rPr>
          <w:b w:val="0"/>
        </w:rPr>
        <w:t>glaes</w:t>
      </w:r>
      <w:r w:rsidR="00670C2B">
        <w:rPr>
          <w:b w:val="0"/>
        </w:rPr>
        <w:t>u</w:t>
      </w:r>
      <w:r>
        <w:rPr>
          <w:b w:val="0"/>
        </w:rPr>
        <w:t>m</w:t>
      </w:r>
      <w:proofErr w:type="spellEnd"/>
      <w:r>
        <w:rPr>
          <w:b w:val="0"/>
        </w:rPr>
        <w:t xml:space="preserve">’, which refer to the transparent and lustrous materials. </w:t>
      </w:r>
      <w:r w:rsidR="00670C2B">
        <w:rPr>
          <w:b w:val="0"/>
        </w:rPr>
        <w:t>Glass is</w:t>
      </w:r>
      <w:r w:rsidR="00741D3B">
        <w:rPr>
          <w:b w:val="0"/>
        </w:rPr>
        <w:t xml:space="preserve"> </w:t>
      </w:r>
      <w:r w:rsidR="0053123D">
        <w:rPr>
          <w:b w:val="0"/>
        </w:rPr>
        <w:t xml:space="preserve">one of the </w:t>
      </w:r>
      <w:r w:rsidR="00741D3B">
        <w:rPr>
          <w:b w:val="0"/>
        </w:rPr>
        <w:t xml:space="preserve">oldest </w:t>
      </w:r>
      <w:r w:rsidR="0053123D">
        <w:rPr>
          <w:b w:val="0"/>
        </w:rPr>
        <w:t>man-made</w:t>
      </w:r>
      <w:r w:rsidR="00741D3B">
        <w:rPr>
          <w:b w:val="0"/>
        </w:rPr>
        <w:t xml:space="preserve"> materials </w:t>
      </w:r>
      <w:r w:rsidR="0053123D">
        <w:rPr>
          <w:b w:val="0"/>
        </w:rPr>
        <w:t xml:space="preserve">being </w:t>
      </w:r>
      <w:r w:rsidR="00A5774F">
        <w:rPr>
          <w:b w:val="0"/>
        </w:rPr>
        <w:t>present from</w:t>
      </w:r>
      <w:r w:rsidR="00670C2B">
        <w:rPr>
          <w:b w:val="0"/>
        </w:rPr>
        <w:t xml:space="preserve"> five to six thousand years ago</w:t>
      </w:r>
      <w:r w:rsidR="0053123D">
        <w:rPr>
          <w:b w:val="0"/>
        </w:rPr>
        <w:t>.</w:t>
      </w:r>
      <w:r w:rsidR="00670C2B">
        <w:rPr>
          <w:b w:val="0"/>
        </w:rPr>
        <w:t xml:space="preserve"> </w:t>
      </w:r>
      <w:r w:rsidR="0064576E" w:rsidRPr="000E2377">
        <w:rPr>
          <w:b w:val="0"/>
        </w:rPr>
        <w:t xml:space="preserve">There are many definitions of glass. The most commonly recognised glasses are based on silica networks, but glasses can also </w:t>
      </w:r>
      <w:r w:rsidR="00A74B0C">
        <w:rPr>
          <w:b w:val="0"/>
        </w:rPr>
        <w:t>be</w:t>
      </w:r>
      <w:r w:rsidR="00A74B0C" w:rsidRPr="000E2377">
        <w:rPr>
          <w:b w:val="0"/>
        </w:rPr>
        <w:t xml:space="preserve"> </w:t>
      </w:r>
      <w:r w:rsidR="0064576E" w:rsidRPr="000E2377">
        <w:rPr>
          <w:b w:val="0"/>
        </w:rPr>
        <w:t>based on boron oxide and phosphorus oxide networks. Although the most well-known method of producing glass is by melt-quenching</w:t>
      </w:r>
      <w:r w:rsidR="00B94A19" w:rsidRPr="000E2377">
        <w:rPr>
          <w:b w:val="0"/>
        </w:rPr>
        <w:t>,</w:t>
      </w:r>
      <w:r w:rsidR="0064576E" w:rsidRPr="000E2377">
        <w:rPr>
          <w:b w:val="0"/>
        </w:rPr>
        <w:t xml:space="preserve"> glasses can also be produced by other methods such as the sol-gel processing from solution, vapor deposition and also irradiation of crystalline materials. </w:t>
      </w:r>
    </w:p>
    <w:p w14:paraId="5F85AA95" w14:textId="2970D7DA" w:rsidR="00FC15A5" w:rsidRPr="00367BF4" w:rsidRDefault="0064576E" w:rsidP="0053123D">
      <w:pPr>
        <w:spacing w:line="360" w:lineRule="auto"/>
        <w:jc w:val="both"/>
        <w:rPr>
          <w:rFonts w:cs="Times New Roman"/>
          <w:b w:val="0"/>
          <w:szCs w:val="24"/>
        </w:rPr>
      </w:pPr>
      <w:r w:rsidRPr="000E2377">
        <w:rPr>
          <w:b w:val="0"/>
        </w:rPr>
        <w:t>Shelby, (2005) states that glass is “an amorphous solid completely lacking in long range, periodic atomic structure, and exhibiting a region of glass transformation behaviour”. Meanwhile</w:t>
      </w:r>
      <w:r w:rsidR="005D1A70">
        <w:rPr>
          <w:b w:val="0"/>
        </w:rPr>
        <w:t>,</w:t>
      </w:r>
      <w:r w:rsidRPr="000E2377">
        <w:rPr>
          <w:b w:val="0"/>
        </w:rPr>
        <w:t xml:space="preserve"> </w:t>
      </w:r>
      <w:r w:rsidRPr="000E2377">
        <w:rPr>
          <w:rFonts w:cs="Times New Roman"/>
          <w:b w:val="0"/>
          <w:szCs w:val="24"/>
        </w:rPr>
        <w:t>The American Society of Testing Materials (ASTM) define</w:t>
      </w:r>
      <w:r w:rsidR="00E26FF9">
        <w:rPr>
          <w:rFonts w:cs="Times New Roman"/>
          <w:b w:val="0"/>
          <w:szCs w:val="24"/>
        </w:rPr>
        <w:t xml:space="preserve">s </w:t>
      </w:r>
      <w:r w:rsidRPr="000E2377">
        <w:rPr>
          <w:rFonts w:cs="Times New Roman"/>
          <w:b w:val="0"/>
          <w:szCs w:val="24"/>
        </w:rPr>
        <w:t xml:space="preserve">glass </w:t>
      </w:r>
      <w:r w:rsidR="00E26FF9">
        <w:rPr>
          <w:rFonts w:cs="Times New Roman"/>
          <w:b w:val="0"/>
          <w:szCs w:val="24"/>
        </w:rPr>
        <w:t>a</w:t>
      </w:r>
      <w:r w:rsidRPr="000E2377">
        <w:rPr>
          <w:rFonts w:cs="Times New Roman"/>
          <w:b w:val="0"/>
          <w:szCs w:val="24"/>
        </w:rPr>
        <w:t>s ‘‘an inorganic product of fusion which has been cooled to a rigid condition without crystallizing and Wright (2009) define</w:t>
      </w:r>
      <w:r w:rsidR="00E26FF9">
        <w:rPr>
          <w:rFonts w:cs="Times New Roman"/>
          <w:b w:val="0"/>
          <w:szCs w:val="24"/>
        </w:rPr>
        <w:t>s</w:t>
      </w:r>
      <w:r w:rsidRPr="000E2377">
        <w:rPr>
          <w:rFonts w:cs="Times New Roman"/>
          <w:b w:val="0"/>
          <w:szCs w:val="24"/>
        </w:rPr>
        <w:t xml:space="preserve"> glass as “an inorganic material that has been quenched from the </w:t>
      </w:r>
      <w:r w:rsidRPr="000E2377">
        <w:rPr>
          <w:rFonts w:cs="Times New Roman"/>
          <w:b w:val="0"/>
          <w:szCs w:val="24"/>
        </w:rPr>
        <w:lastRenderedPageBreak/>
        <w:t>liquid to a rigid state without crystallising”.</w:t>
      </w:r>
      <w:r w:rsidR="0053123D">
        <w:rPr>
          <w:rFonts w:cs="Times New Roman"/>
          <w:b w:val="0"/>
          <w:szCs w:val="24"/>
        </w:rPr>
        <w:t xml:space="preserve"> </w:t>
      </w:r>
      <w:r w:rsidR="0053123D" w:rsidRPr="00367BF4">
        <w:rPr>
          <w:rFonts w:cs="Times New Roman"/>
          <w:b w:val="0"/>
          <w:szCs w:val="24"/>
        </w:rPr>
        <w:t>Meanwhile</w:t>
      </w:r>
      <w:r w:rsidR="008B4B99" w:rsidRPr="00367BF4">
        <w:rPr>
          <w:rFonts w:cs="Times New Roman"/>
          <w:b w:val="0"/>
          <w:szCs w:val="24"/>
        </w:rPr>
        <w:t>,</w:t>
      </w:r>
      <w:r w:rsidR="0053123D" w:rsidRPr="00367BF4">
        <w:rPr>
          <w:rFonts w:cs="Times New Roman"/>
          <w:b w:val="0"/>
          <w:szCs w:val="24"/>
        </w:rPr>
        <w:t xml:space="preserve"> </w:t>
      </w:r>
      <w:r w:rsidR="0053123D" w:rsidRPr="00367BF4">
        <w:rPr>
          <w:rFonts w:cs="Times New Roman"/>
          <w:b w:val="0"/>
          <w:szCs w:val="24"/>
        </w:rPr>
        <w:fldChar w:fldCharType="begin" w:fldLock="1"/>
      </w:r>
      <w:r w:rsidR="006B07E6" w:rsidRPr="00367BF4">
        <w:rPr>
          <w:rFonts w:cs="Times New Roman"/>
          <w:b w:val="0"/>
          <w:szCs w:val="24"/>
        </w:rPr>
        <w:instrText>ADDIN CSL_CITATION { "citationItems" : [ { "id" : "ITEM-1", "itemData" : { "author" : [ { "dropping-particle" : "", "family" : "Gutzow, Ivan S., Schmelzer, J\u00fcrn W.P, Second Edition, Springer-Verlag", "given" : "Berlin Heidelberg", "non-dropping-particle" : "", "parse-names" : false, "suffix" : "" } ], "id" : "ITEM-1", "issued" : { "date-parts" : [ [ "2013" ] ] }, "page" : "124", "title" : "The Vitreous State: Thermodynamics, Structure, Rheology, and Crystallization", "type" : "article" }, "uris" : [ "http://www.mendeley.com/documents/?uuid=3a43fb32-64bb-49f1-b0cf-786c04a4e84e" ] } ], "mendeley" : { "formattedCitation" : "(Gutzow, Ivan S., Schmelzer, J\u00fcrn W.P, Second Edition, Springer-Verlag, 2013)", "manualFormatting" : "Gutzow &amp; Schmelzer, (2013)", "plainTextFormattedCitation" : "(Gutzow, Ivan S., Schmelzer, J\u00fcrn W.P, Second Edition, Springer-Verlag, 2013)", "previouslyFormattedCitation" : "(Gutzow, Ivan S., Schmelzer, J\u00fcrn W.P, Second Edition, Springer-Verlag, 2013)" }, "properties" : { "noteIndex" : 20 }, "schema" : "https://github.com/citation-style-language/schema/raw/master/csl-citation.json" }</w:instrText>
      </w:r>
      <w:r w:rsidR="0053123D" w:rsidRPr="00367BF4">
        <w:rPr>
          <w:rFonts w:cs="Times New Roman"/>
          <w:b w:val="0"/>
          <w:szCs w:val="24"/>
        </w:rPr>
        <w:fldChar w:fldCharType="separate"/>
      </w:r>
      <w:r w:rsidR="0053123D" w:rsidRPr="00367BF4">
        <w:rPr>
          <w:rFonts w:cs="Times New Roman"/>
          <w:b w:val="0"/>
          <w:noProof/>
          <w:szCs w:val="24"/>
        </w:rPr>
        <w:t>Gutzow &amp; Schmelzer, (2013)</w:t>
      </w:r>
      <w:r w:rsidR="0053123D" w:rsidRPr="00367BF4">
        <w:rPr>
          <w:rFonts w:cs="Times New Roman"/>
          <w:b w:val="0"/>
          <w:szCs w:val="24"/>
        </w:rPr>
        <w:fldChar w:fldCharType="end"/>
      </w:r>
      <w:r w:rsidR="0053123D" w:rsidRPr="00367BF4">
        <w:rPr>
          <w:rFonts w:cs="Times New Roman"/>
          <w:b w:val="0"/>
          <w:szCs w:val="24"/>
        </w:rPr>
        <w:t xml:space="preserve"> define that “Glasses are thermodynamically non-equilibrium kinetically stabilized amorphous solids, in which the molecular disorder and the thermodynamic properties corresponding to the state of the respective under-cooled melt at a temperature T* are frozen-in”.</w:t>
      </w:r>
      <w:r w:rsidR="00B474AC" w:rsidRPr="00367BF4">
        <w:rPr>
          <w:rFonts w:cs="Times New Roman"/>
          <w:b w:val="0"/>
          <w:szCs w:val="24"/>
        </w:rPr>
        <w:t xml:space="preserve"> The T* present are different from actual temperature, T</w:t>
      </w:r>
      <w:r w:rsidR="00A85642" w:rsidRPr="00367BF4">
        <w:rPr>
          <w:rFonts w:cs="Times New Roman"/>
          <w:b w:val="0"/>
          <w:szCs w:val="24"/>
        </w:rPr>
        <w:t xml:space="preserve"> and </w:t>
      </w:r>
      <w:r w:rsidR="006777BA" w:rsidRPr="00367BF4">
        <w:rPr>
          <w:rFonts w:cs="Times New Roman"/>
          <w:b w:val="0"/>
          <w:szCs w:val="24"/>
        </w:rPr>
        <w:t>it is higher possible temperature (or any other values of the external parameter) that corresponding to eq</w:t>
      </w:r>
      <w:r w:rsidR="005D1A70" w:rsidRPr="00367BF4">
        <w:rPr>
          <w:rFonts w:cs="Times New Roman"/>
          <w:b w:val="0"/>
          <w:szCs w:val="24"/>
        </w:rPr>
        <w:t>u</w:t>
      </w:r>
      <w:r w:rsidR="006777BA" w:rsidRPr="00367BF4">
        <w:rPr>
          <w:rFonts w:cs="Times New Roman"/>
          <w:b w:val="0"/>
          <w:szCs w:val="24"/>
        </w:rPr>
        <w:t>ilibrium state</w:t>
      </w:r>
      <w:r w:rsidR="00B474AC" w:rsidRPr="00367BF4">
        <w:rPr>
          <w:rFonts w:cs="Times New Roman"/>
          <w:b w:val="0"/>
          <w:szCs w:val="24"/>
        </w:rPr>
        <w:t>.</w:t>
      </w:r>
    </w:p>
    <w:p w14:paraId="11FADEEF" w14:textId="403342D3" w:rsidR="000B44BC" w:rsidRDefault="004906B1" w:rsidP="000216CA">
      <w:pPr>
        <w:spacing w:line="360" w:lineRule="auto"/>
        <w:jc w:val="both"/>
        <w:rPr>
          <w:rFonts w:cs="Times New Roman"/>
          <w:b w:val="0"/>
          <w:szCs w:val="24"/>
        </w:rPr>
      </w:pPr>
      <w:r w:rsidRPr="00367BF4">
        <w:rPr>
          <w:rFonts w:cs="Times New Roman"/>
          <w:b w:val="0"/>
          <w:szCs w:val="24"/>
        </w:rPr>
        <w:fldChar w:fldCharType="begin" w:fldLock="1"/>
      </w:r>
      <w:r w:rsidR="006B07E6" w:rsidRPr="00367BF4">
        <w:rPr>
          <w:rFonts w:cs="Times New Roman"/>
          <w:b w:val="0"/>
          <w:szCs w:val="24"/>
        </w:rPr>
        <w:instrText>ADDIN CSL_CITATION { "citationItems" : [ { "id" : "ITEM-1", "itemData" : { "DOI" : "10.1016/j.jnoncrysol.2017.05.019", "author" : [ { "dropping-particle" : "", "family" : "Zanotto", "given" : "Edgar D", "non-dropping-particle" : "", "parse-names" : false, "suffix" : "" }, { "dropping-particle" : "", "family" : "Mauro", "given" : "John C", "non-dropping-particle" : "", "parse-names" : false, "suffix" : "" } ], "container-title" : "Journal of Non-Crystalline Solids", "id" : "ITEM-1", "issue" : "June", "issued" : { "date-parts" : [ [ "2017" ] ] }, "page" : "490-495", "title" : "The glassy state of matter : Its definition and ultimate fate", "type" : "article-journal", "volume" : "471" }, "uris" : [ "http://www.mendeley.com/documents/?uuid=426053f9-f8ed-4c8a-a524-2470efeddd8d" ] } ], "mendeley" : { "formattedCitation" : "(Zanotto &amp; Mauro, 2017)", "manualFormatting" : "Zanotto &amp; Mauro, (2017", "plainTextFormattedCitation" : "(Zanotto &amp; Mauro, 2017)", "previouslyFormattedCitation" : "(Zanotto &amp; Mauro, 2017)" }, "properties" : { "noteIndex" : 20 }, "schema" : "https://github.com/citation-style-language/schema/raw/master/csl-citation.json" }</w:instrText>
      </w:r>
      <w:r w:rsidRPr="00367BF4">
        <w:rPr>
          <w:rFonts w:cs="Times New Roman"/>
          <w:b w:val="0"/>
          <w:szCs w:val="24"/>
        </w:rPr>
        <w:fldChar w:fldCharType="separate"/>
      </w:r>
      <w:r w:rsidRPr="00367BF4">
        <w:rPr>
          <w:rFonts w:cs="Times New Roman"/>
          <w:b w:val="0"/>
          <w:noProof/>
          <w:szCs w:val="24"/>
        </w:rPr>
        <w:t xml:space="preserve">Zanotto &amp; Mauro, </w:t>
      </w:r>
      <w:r w:rsidR="00AE2F96" w:rsidRPr="00367BF4">
        <w:rPr>
          <w:rFonts w:cs="Times New Roman"/>
          <w:b w:val="0"/>
          <w:noProof/>
          <w:szCs w:val="24"/>
        </w:rPr>
        <w:t>(</w:t>
      </w:r>
      <w:r w:rsidRPr="00367BF4">
        <w:rPr>
          <w:rFonts w:cs="Times New Roman"/>
          <w:b w:val="0"/>
          <w:noProof/>
          <w:szCs w:val="24"/>
        </w:rPr>
        <w:t>2017</w:t>
      </w:r>
      <w:r w:rsidRPr="00367BF4">
        <w:rPr>
          <w:rFonts w:cs="Times New Roman"/>
          <w:b w:val="0"/>
          <w:szCs w:val="24"/>
        </w:rPr>
        <w:fldChar w:fldCharType="end"/>
      </w:r>
      <w:r w:rsidR="00AE2F96" w:rsidRPr="00367BF4">
        <w:rPr>
          <w:rFonts w:cs="Times New Roman"/>
          <w:b w:val="0"/>
          <w:szCs w:val="24"/>
        </w:rPr>
        <w:t>)</w:t>
      </w:r>
      <w:r w:rsidRPr="00367BF4">
        <w:rPr>
          <w:rFonts w:cs="Times New Roman"/>
          <w:b w:val="0"/>
          <w:szCs w:val="24"/>
        </w:rPr>
        <w:t xml:space="preserve"> </w:t>
      </w:r>
      <w:r w:rsidR="0053123D" w:rsidRPr="00367BF4">
        <w:rPr>
          <w:rFonts w:cs="Times New Roman"/>
          <w:b w:val="0"/>
          <w:szCs w:val="24"/>
        </w:rPr>
        <w:t xml:space="preserve">defined glass as </w:t>
      </w:r>
      <w:r w:rsidRPr="00367BF4">
        <w:rPr>
          <w:rFonts w:cs="Times New Roman"/>
          <w:b w:val="0"/>
          <w:szCs w:val="24"/>
        </w:rPr>
        <w:t>“a nonequilibrium, non- crystalline condensed state of matter that exhibits a glass transition. The structure of glasses is similar to that of their parent supercooled liquids (SCL), and they spontaneously relax toward the SCL state. Their ultimate fate, in the limit of infinite time, is to crystallize”.</w:t>
      </w:r>
      <w:r w:rsidR="00A5774F">
        <w:rPr>
          <w:rFonts w:cs="Times New Roman"/>
          <w:b w:val="0"/>
          <w:szCs w:val="24"/>
        </w:rPr>
        <w:t xml:space="preserve"> </w:t>
      </w:r>
    </w:p>
    <w:p w14:paraId="05914B9B" w14:textId="17ACFB4B" w:rsidR="0053123D" w:rsidRPr="000E2377" w:rsidRDefault="0053123D" w:rsidP="000216CA">
      <w:pPr>
        <w:spacing w:line="360" w:lineRule="auto"/>
        <w:jc w:val="both"/>
        <w:rPr>
          <w:rFonts w:cs="Times New Roman"/>
          <w:b w:val="0"/>
          <w:szCs w:val="24"/>
        </w:rPr>
      </w:pPr>
      <w:r>
        <w:rPr>
          <w:rFonts w:cs="Times New Roman"/>
          <w:b w:val="0"/>
          <w:szCs w:val="24"/>
        </w:rPr>
        <w:t>Hence fundamental features of glasses are that they have amorphous or non-crystalline structures and significantly they display a glass transition as detailed below.</w:t>
      </w:r>
    </w:p>
    <w:p w14:paraId="4D86BEFC" w14:textId="172BF0F9" w:rsidR="005D52D8" w:rsidRPr="000E2377" w:rsidRDefault="009D36DA" w:rsidP="005D52D8">
      <w:pPr>
        <w:spacing w:line="360" w:lineRule="auto"/>
        <w:jc w:val="both"/>
        <w:rPr>
          <w:rFonts w:cs="Times New Roman"/>
          <w:b w:val="0"/>
          <w:szCs w:val="24"/>
        </w:rPr>
      </w:pPr>
      <w:r>
        <w:rPr>
          <w:rFonts w:cs="Times New Roman"/>
          <w:b w:val="0"/>
          <w:szCs w:val="24"/>
        </w:rPr>
        <w:t>C</w:t>
      </w:r>
      <w:r w:rsidR="005D52D8" w:rsidRPr="000E2377">
        <w:rPr>
          <w:rFonts w:cs="Times New Roman"/>
          <w:b w:val="0"/>
          <w:szCs w:val="24"/>
        </w:rPr>
        <w:t>rystalline solid</w:t>
      </w:r>
      <w:r>
        <w:rPr>
          <w:rFonts w:cs="Times New Roman"/>
          <w:b w:val="0"/>
          <w:szCs w:val="24"/>
        </w:rPr>
        <w:t>s consist of regular arrays of atoms with both short and long</w:t>
      </w:r>
      <w:r w:rsidR="005D1A70">
        <w:rPr>
          <w:rFonts w:cs="Times New Roman"/>
          <w:b w:val="0"/>
          <w:szCs w:val="24"/>
        </w:rPr>
        <w:t>-</w:t>
      </w:r>
      <w:r>
        <w:rPr>
          <w:rFonts w:cs="Times New Roman"/>
          <w:b w:val="0"/>
          <w:szCs w:val="24"/>
        </w:rPr>
        <w:t>range order</w:t>
      </w:r>
      <w:r w:rsidR="005D52D8" w:rsidRPr="000E2377">
        <w:rPr>
          <w:rFonts w:cs="Times New Roman"/>
          <w:b w:val="0"/>
          <w:szCs w:val="24"/>
        </w:rPr>
        <w:t xml:space="preserve"> meanwhile glassy</w:t>
      </w:r>
      <w:r>
        <w:rPr>
          <w:rFonts w:cs="Times New Roman"/>
          <w:b w:val="0"/>
          <w:szCs w:val="24"/>
        </w:rPr>
        <w:t xml:space="preserve"> or amorphous</w:t>
      </w:r>
      <w:r w:rsidR="005D52D8" w:rsidRPr="000E2377">
        <w:rPr>
          <w:rFonts w:cs="Times New Roman"/>
          <w:b w:val="0"/>
          <w:szCs w:val="24"/>
        </w:rPr>
        <w:t xml:space="preserve"> solid</w:t>
      </w:r>
      <w:r>
        <w:rPr>
          <w:rFonts w:cs="Times New Roman"/>
          <w:b w:val="0"/>
          <w:szCs w:val="24"/>
        </w:rPr>
        <w:t>s</w:t>
      </w:r>
      <w:r w:rsidR="005D52D8" w:rsidRPr="000E2377">
        <w:rPr>
          <w:rFonts w:cs="Times New Roman"/>
          <w:b w:val="0"/>
          <w:szCs w:val="24"/>
        </w:rPr>
        <w:t xml:space="preserve"> </w:t>
      </w:r>
      <w:r>
        <w:rPr>
          <w:rFonts w:cs="Times New Roman"/>
          <w:b w:val="0"/>
          <w:szCs w:val="24"/>
        </w:rPr>
        <w:t>only display</w:t>
      </w:r>
      <w:r w:rsidR="005D52D8" w:rsidRPr="000E2377">
        <w:rPr>
          <w:rFonts w:cs="Times New Roman"/>
          <w:b w:val="0"/>
          <w:szCs w:val="24"/>
        </w:rPr>
        <w:t xml:space="preserve"> short-range order</w:t>
      </w:r>
      <w:r>
        <w:rPr>
          <w:rFonts w:cs="Times New Roman"/>
          <w:b w:val="0"/>
          <w:szCs w:val="24"/>
        </w:rPr>
        <w:t xml:space="preserve"> with no long</w:t>
      </w:r>
      <w:r w:rsidR="005D1A70">
        <w:rPr>
          <w:rFonts w:cs="Times New Roman"/>
          <w:b w:val="0"/>
          <w:szCs w:val="24"/>
        </w:rPr>
        <w:t>-</w:t>
      </w:r>
      <w:r>
        <w:rPr>
          <w:rFonts w:cs="Times New Roman"/>
          <w:b w:val="0"/>
          <w:szCs w:val="24"/>
        </w:rPr>
        <w:t>ra</w:t>
      </w:r>
      <w:r w:rsidR="000D6DEA">
        <w:rPr>
          <w:rFonts w:cs="Times New Roman"/>
          <w:b w:val="0"/>
          <w:szCs w:val="24"/>
        </w:rPr>
        <w:t>n</w:t>
      </w:r>
      <w:r>
        <w:rPr>
          <w:rFonts w:cs="Times New Roman"/>
          <w:b w:val="0"/>
          <w:szCs w:val="24"/>
        </w:rPr>
        <w:t>ge order</w:t>
      </w:r>
      <w:r w:rsidR="005D52D8" w:rsidRPr="000E2377">
        <w:rPr>
          <w:rFonts w:cs="Times New Roman"/>
          <w:b w:val="0"/>
          <w:szCs w:val="24"/>
        </w:rPr>
        <w:t xml:space="preserve">. Figure 2.1 shows 2D </w:t>
      </w:r>
      <w:r w:rsidR="00B94A19" w:rsidRPr="000E2377">
        <w:rPr>
          <w:rFonts w:cs="Times New Roman"/>
          <w:b w:val="0"/>
          <w:szCs w:val="24"/>
        </w:rPr>
        <w:t>schematic</w:t>
      </w:r>
      <w:r>
        <w:rPr>
          <w:rFonts w:cs="Times New Roman"/>
          <w:b w:val="0"/>
          <w:szCs w:val="24"/>
        </w:rPr>
        <w:t xml:space="preserve"> diagram</w:t>
      </w:r>
      <w:r w:rsidR="00B94A19" w:rsidRPr="000E2377">
        <w:rPr>
          <w:rFonts w:cs="Times New Roman"/>
          <w:b w:val="0"/>
          <w:szCs w:val="24"/>
        </w:rPr>
        <w:t xml:space="preserve">s </w:t>
      </w:r>
      <w:r w:rsidR="005D52D8" w:rsidRPr="000E2377">
        <w:rPr>
          <w:rFonts w:cs="Times New Roman"/>
          <w:b w:val="0"/>
          <w:szCs w:val="24"/>
        </w:rPr>
        <w:t>of crystalline and vitreous silica structure</w:t>
      </w:r>
      <w:r w:rsidR="00B94A19" w:rsidRPr="000E2377">
        <w:rPr>
          <w:rFonts w:cs="Times New Roman"/>
          <w:b w:val="0"/>
          <w:szCs w:val="24"/>
        </w:rPr>
        <w:t>s</w:t>
      </w:r>
      <w:r>
        <w:rPr>
          <w:rFonts w:cs="Times New Roman"/>
          <w:b w:val="0"/>
          <w:szCs w:val="24"/>
        </w:rPr>
        <w:t>; note that the local structural unit is the same in both cases</w:t>
      </w:r>
      <w:r w:rsidR="009124DF">
        <w:rPr>
          <w:rFonts w:cs="Times New Roman"/>
          <w:b w:val="0"/>
          <w:szCs w:val="24"/>
        </w:rPr>
        <w:t>.</w:t>
      </w:r>
    </w:p>
    <w:p w14:paraId="0C0C6539" w14:textId="77777777" w:rsidR="005D52D8" w:rsidRPr="000E2377" w:rsidRDefault="005D52D8" w:rsidP="000216CA">
      <w:pPr>
        <w:spacing w:line="360" w:lineRule="auto"/>
        <w:jc w:val="both"/>
        <w:rPr>
          <w:b w:val="0"/>
        </w:rPr>
      </w:pPr>
    </w:p>
    <w:p w14:paraId="3AAEE075" w14:textId="605903BB" w:rsidR="00B35373" w:rsidRPr="000E2377" w:rsidRDefault="00B35373" w:rsidP="00B35373">
      <w:pPr>
        <w:spacing w:after="0" w:line="360" w:lineRule="auto"/>
        <w:jc w:val="center"/>
        <w:rPr>
          <w:rFonts w:cs="Times New Roman"/>
          <w:b w:val="0"/>
          <w:szCs w:val="24"/>
        </w:rPr>
      </w:pPr>
      <w:r w:rsidRPr="000E2377">
        <w:rPr>
          <w:rFonts w:cs="Times New Roman"/>
          <w:b w:val="0"/>
          <w:noProof/>
          <w:szCs w:val="24"/>
          <w:lang w:eastAsia="en-MY"/>
        </w:rPr>
        <mc:AlternateContent>
          <mc:Choice Requires="wps">
            <w:drawing>
              <wp:anchor distT="0" distB="0" distL="114300" distR="114300" simplePos="0" relativeHeight="251675648" behindDoc="0" locked="0" layoutInCell="1" allowOverlap="1" wp14:anchorId="3DF91480" wp14:editId="7ECD7876">
                <wp:simplePos x="0" y="0"/>
                <wp:positionH relativeFrom="margin">
                  <wp:posOffset>3848100</wp:posOffset>
                </wp:positionH>
                <wp:positionV relativeFrom="paragraph">
                  <wp:posOffset>346710</wp:posOffset>
                </wp:positionV>
                <wp:extent cx="1716259" cy="806645"/>
                <wp:effectExtent l="0" t="0" r="0" b="0"/>
                <wp:wrapNone/>
                <wp:docPr id="1499" name="Text Box 1499"/>
                <wp:cNvGraphicFramePr/>
                <a:graphic xmlns:a="http://schemas.openxmlformats.org/drawingml/2006/main">
                  <a:graphicData uri="http://schemas.microsoft.com/office/word/2010/wordprocessingShape">
                    <wps:wsp>
                      <wps:cNvSpPr txBox="1"/>
                      <wps:spPr>
                        <a:xfrm>
                          <a:off x="0" y="0"/>
                          <a:ext cx="1716259" cy="806645"/>
                        </a:xfrm>
                        <a:prstGeom prst="rect">
                          <a:avLst/>
                        </a:prstGeom>
                        <a:noFill/>
                        <a:ln w="6350">
                          <a:noFill/>
                        </a:ln>
                      </wps:spPr>
                      <wps:txbx>
                        <w:txbxContent>
                          <w:p w14:paraId="15B42E1F" w14:textId="28B5B1CF" w:rsidR="00230AB9" w:rsidRDefault="00230AB9" w:rsidP="0064576E">
                            <w:pPr>
                              <w:jc w:val="center"/>
                            </w:pPr>
                            <w:bookmarkStart w:id="55" w:name="_Hlk517476810"/>
                            <w:bookmarkEnd w:id="55"/>
                            <w:r>
                              <w:t xml:space="preserve">Crystalline Solid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91480" id="Text Box 1499" o:spid="_x0000_s1028" type="#_x0000_t202" style="position:absolute;left:0;text-align:left;margin-left:303pt;margin-top:27.3pt;width:135.15pt;height:6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" filled="f" stroked="f" strokeweight=".5pt">
                <v:textbox>
                  <w:txbxContent>
                    <w:p w14:paraId="15B42E1F" w14:textId="28B5B1CF" w:rsidR="00230AB9" w:rsidRDefault="00230AB9" w:rsidP="0064576E">
                      <w:pPr>
                        <w:jc w:val="center"/>
                      </w:pPr>
                      <w:bookmarkStart w:id="56" w:name="_Hlk517476810"/>
                      <w:bookmarkEnd w:id="56"/>
                      <w:r>
                        <w:t xml:space="preserve">Crystalline Solid </w:t>
                      </w:r>
                    </w:p>
                  </w:txbxContent>
                </v:textbox>
                <w10:wrap anchorx="margin"/>
              </v:shape>
            </w:pict>
          </mc:Fallback>
        </mc:AlternateContent>
      </w:r>
      <w:r w:rsidRPr="000E2377">
        <w:rPr>
          <w:noProof/>
          <w:lang w:eastAsia="en-MY"/>
        </w:rPr>
        <w:drawing>
          <wp:inline distT="0" distB="0" distL="0" distR="0" wp14:anchorId="70CC8127" wp14:editId="2B933BAF">
            <wp:extent cx="2667000" cy="1316990"/>
            <wp:effectExtent l="0" t="0" r="0" b="0"/>
            <wp:docPr id="1631" name="Picture 1631" descr="D:\extra document\cystalline and amorphou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xtra document\cystalline and amorphous.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67000" cy="1316990"/>
                    </a:xfrm>
                    <a:prstGeom prst="rect">
                      <a:avLst/>
                    </a:prstGeom>
                    <a:noFill/>
                    <a:ln>
                      <a:noFill/>
                    </a:ln>
                  </pic:spPr>
                </pic:pic>
              </a:graphicData>
            </a:graphic>
          </wp:inline>
        </w:drawing>
      </w:r>
    </w:p>
    <w:p w14:paraId="6C184823" w14:textId="610E08B9" w:rsidR="0036325F" w:rsidRPr="000E2377" w:rsidRDefault="00B35373" w:rsidP="00B35373">
      <w:pPr>
        <w:spacing w:after="0" w:line="360" w:lineRule="auto"/>
        <w:jc w:val="center"/>
        <w:rPr>
          <w:rFonts w:cs="Times New Roman"/>
          <w:szCs w:val="24"/>
        </w:rPr>
      </w:pPr>
      <w:r w:rsidRPr="000E2377">
        <w:rPr>
          <w:rFonts w:cs="Times New Roman"/>
          <w:b w:val="0"/>
          <w:noProof/>
          <w:szCs w:val="24"/>
          <w:lang w:eastAsia="en-MY"/>
        </w:rPr>
        <mc:AlternateContent>
          <mc:Choice Requires="wps">
            <w:drawing>
              <wp:anchor distT="0" distB="0" distL="114300" distR="114300" simplePos="0" relativeHeight="251676672" behindDoc="0" locked="0" layoutInCell="1" allowOverlap="1" wp14:anchorId="1E8A5D97" wp14:editId="4A6562F1">
                <wp:simplePos x="0" y="0"/>
                <wp:positionH relativeFrom="margin">
                  <wp:posOffset>3411855</wp:posOffset>
                </wp:positionH>
                <wp:positionV relativeFrom="paragraph">
                  <wp:posOffset>661035</wp:posOffset>
                </wp:positionV>
                <wp:extent cx="2157730" cy="696595"/>
                <wp:effectExtent l="0" t="0" r="0" b="0"/>
                <wp:wrapNone/>
                <wp:docPr id="1643" name="Text Box 1643"/>
                <wp:cNvGraphicFramePr/>
                <a:graphic xmlns:a="http://schemas.openxmlformats.org/drawingml/2006/main">
                  <a:graphicData uri="http://schemas.microsoft.com/office/word/2010/wordprocessingShape">
                    <wps:wsp>
                      <wps:cNvSpPr txBox="1"/>
                      <wps:spPr>
                        <a:xfrm>
                          <a:off x="0" y="0"/>
                          <a:ext cx="2157730" cy="696595"/>
                        </a:xfrm>
                        <a:prstGeom prst="rect">
                          <a:avLst/>
                        </a:prstGeom>
                        <a:noFill/>
                        <a:ln w="6350">
                          <a:noFill/>
                        </a:ln>
                      </wps:spPr>
                      <wps:txbx>
                        <w:txbxContent>
                          <w:p w14:paraId="2C2A7980" w14:textId="5D7329B7" w:rsidR="00230AB9" w:rsidRPr="004567B6" w:rsidRDefault="00230AB9" w:rsidP="0064576E">
                            <w:pPr>
                              <w:jc w:val="center"/>
                            </w:pPr>
                            <w:r>
                              <w:t xml:space="preserve">Amorphous Solid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8A5D97" id="Text Box 1643" o:spid="_x0000_s1029" type="#_x0000_t202" style="position:absolute;left:0;text-align:left;margin-left:268.65pt;margin-top:52.05pt;width:169.9pt;height:54.85pt;z-index:25167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" filled="f" stroked="f" strokeweight=".5pt">
                <v:textbox>
                  <w:txbxContent>
                    <w:p w14:paraId="2C2A7980" w14:textId="5D7329B7" w:rsidR="00230AB9" w:rsidRPr="004567B6" w:rsidRDefault="00230AB9" w:rsidP="0064576E">
                      <w:pPr>
                        <w:jc w:val="center"/>
                      </w:pPr>
                      <w:r>
                        <w:t xml:space="preserve">Amorphous Solid           </w:t>
                      </w:r>
                    </w:p>
                  </w:txbxContent>
                </v:textbox>
                <w10:wrap anchorx="margin"/>
              </v:shape>
            </w:pict>
          </mc:Fallback>
        </mc:AlternateContent>
      </w:r>
      <w:r w:rsidRPr="000E2377">
        <w:rPr>
          <w:noProof/>
          <w:lang w:eastAsia="en-MY"/>
        </w:rPr>
        <w:drawing>
          <wp:inline distT="0" distB="0" distL="0" distR="0" wp14:anchorId="2572EBE4" wp14:editId="2E91A47F">
            <wp:extent cx="1931670" cy="1637665"/>
            <wp:effectExtent l="0" t="0" r="0" b="635"/>
            <wp:docPr id="2627" name="Picture 2627" descr="D:\extra document\amorphous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xtra document\amorphous 2.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31670" cy="1637665"/>
                    </a:xfrm>
                    <a:prstGeom prst="rect">
                      <a:avLst/>
                    </a:prstGeom>
                    <a:noFill/>
                    <a:ln>
                      <a:noFill/>
                    </a:ln>
                  </pic:spPr>
                </pic:pic>
              </a:graphicData>
            </a:graphic>
          </wp:inline>
        </w:drawing>
      </w:r>
      <w:r w:rsidR="003127EF" w:rsidRPr="000E2377">
        <w:rPr>
          <w:rFonts w:cs="Times New Roman"/>
          <w:b w:val="0"/>
          <w:szCs w:val="24"/>
        </w:rPr>
        <w:t xml:space="preserve">                       </w:t>
      </w:r>
    </w:p>
    <w:p w14:paraId="4BF48A3D" w14:textId="04D27382" w:rsidR="0064576E" w:rsidRPr="000E2377" w:rsidRDefault="004B3A51" w:rsidP="00CD0E4F">
      <w:pPr>
        <w:pStyle w:val="Caption"/>
        <w:rPr>
          <w:b w:val="0"/>
          <w:szCs w:val="24"/>
        </w:rPr>
      </w:pPr>
      <w:bookmarkStart w:id="57" w:name="_Toc521420436"/>
      <w:bookmarkStart w:id="58" w:name="_Toc525223175"/>
      <w:bookmarkStart w:id="59" w:name="_Toc525528323"/>
      <w:bookmarkStart w:id="60" w:name="_Toc525706338"/>
      <w:r w:rsidRPr="000E2377">
        <w:t xml:space="preserve">Figure </w:t>
      </w:r>
      <w:r w:rsidR="00DE32A9">
        <w:t>2</w:t>
      </w:r>
      <w:r w:rsidR="002513FF" w:rsidRPr="000E2377">
        <w:t>.</w:t>
      </w:r>
      <w:r w:rsidR="002513FF" w:rsidRPr="000E2377">
        <w:fldChar w:fldCharType="begin"/>
      </w:r>
      <w:r w:rsidR="002513FF" w:rsidRPr="000E2377">
        <w:instrText xml:space="preserve"> SEQ Figure \* ARABIC \s 1 </w:instrText>
      </w:r>
      <w:r w:rsidR="002513FF" w:rsidRPr="000E2377">
        <w:fldChar w:fldCharType="separate"/>
      </w:r>
      <w:r w:rsidR="00C827AE">
        <w:rPr>
          <w:noProof/>
        </w:rPr>
        <w:t>1</w:t>
      </w:r>
      <w:r w:rsidR="002513FF" w:rsidRPr="000E2377">
        <w:fldChar w:fldCharType="end"/>
      </w:r>
      <w:r w:rsidR="0064576E" w:rsidRPr="000E2377">
        <w:rPr>
          <w:szCs w:val="24"/>
        </w:rPr>
        <w:t>: 2D schematics of</w:t>
      </w:r>
      <w:r w:rsidR="00B94A19" w:rsidRPr="000E2377">
        <w:rPr>
          <w:szCs w:val="24"/>
        </w:rPr>
        <w:t xml:space="preserve"> the structures of</w:t>
      </w:r>
      <w:r w:rsidR="0064576E" w:rsidRPr="000E2377">
        <w:rPr>
          <w:szCs w:val="24"/>
        </w:rPr>
        <w:t xml:space="preserve"> </w:t>
      </w:r>
      <w:r w:rsidR="00B94A19" w:rsidRPr="000E2377">
        <w:rPr>
          <w:szCs w:val="24"/>
        </w:rPr>
        <w:t xml:space="preserve">a </w:t>
      </w:r>
      <w:r w:rsidR="0064576E" w:rsidRPr="000E2377">
        <w:rPr>
          <w:szCs w:val="24"/>
        </w:rPr>
        <w:t>crystalline solid and a glassy solid</w:t>
      </w:r>
      <w:r w:rsidR="0064576E" w:rsidRPr="000E2377">
        <w:rPr>
          <w:b w:val="0"/>
          <w:szCs w:val="24"/>
        </w:rPr>
        <w:t>.</w:t>
      </w:r>
      <w:bookmarkEnd w:id="57"/>
      <w:bookmarkEnd w:id="58"/>
      <w:bookmarkEnd w:id="59"/>
      <w:bookmarkEnd w:id="60"/>
    </w:p>
    <w:p w14:paraId="13B59F4C" w14:textId="466154C6" w:rsidR="005C2CF0" w:rsidRDefault="005C2CF0" w:rsidP="0064576E">
      <w:pPr>
        <w:spacing w:after="0" w:line="360" w:lineRule="auto"/>
        <w:jc w:val="center"/>
        <w:rPr>
          <w:rFonts w:cs="Times New Roman"/>
          <w:b w:val="0"/>
          <w:szCs w:val="24"/>
        </w:rPr>
      </w:pPr>
    </w:p>
    <w:p w14:paraId="3244B888" w14:textId="5F5736E7" w:rsidR="004666B8" w:rsidRPr="000E2377" w:rsidRDefault="004666B8" w:rsidP="004666B8">
      <w:pPr>
        <w:spacing w:after="0"/>
        <w:jc w:val="center"/>
        <w:rPr>
          <w:rFonts w:cs="Times New Roman"/>
          <w:b w:val="0"/>
          <w:szCs w:val="24"/>
        </w:rPr>
      </w:pPr>
      <w:r w:rsidRPr="000E2377">
        <w:rPr>
          <w:noProof/>
          <w:lang w:eastAsia="en-MY"/>
        </w:rPr>
        <w:lastRenderedPageBreak/>
        <w:drawing>
          <wp:inline distT="0" distB="0" distL="0" distR="0" wp14:anchorId="50BAB1E7" wp14:editId="2547C2A9">
            <wp:extent cx="3922721" cy="3240000"/>
            <wp:effectExtent l="0" t="0" r="1905" b="0"/>
            <wp:docPr id="1778" name="Picture 1778" descr="D:\extra document\glass phase diagra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xtra document\glass phase diagram.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22721" cy="3240000"/>
                    </a:xfrm>
                    <a:prstGeom prst="rect">
                      <a:avLst/>
                    </a:prstGeom>
                    <a:noFill/>
                    <a:ln>
                      <a:noFill/>
                    </a:ln>
                  </pic:spPr>
                </pic:pic>
              </a:graphicData>
            </a:graphic>
          </wp:inline>
        </w:drawing>
      </w:r>
    </w:p>
    <w:p w14:paraId="1167F55A" w14:textId="77777777" w:rsidR="004666B8" w:rsidRPr="000E2377" w:rsidRDefault="004666B8" w:rsidP="004666B8">
      <w:pPr>
        <w:spacing w:after="0"/>
        <w:jc w:val="both"/>
        <w:rPr>
          <w:rFonts w:cs="Times New Roman"/>
          <w:b w:val="0"/>
          <w:szCs w:val="24"/>
        </w:rPr>
      </w:pPr>
    </w:p>
    <w:p w14:paraId="5C3C3D28" w14:textId="76799C8F" w:rsidR="004666B8" w:rsidRPr="000E2377" w:rsidRDefault="004666B8" w:rsidP="004666B8">
      <w:pPr>
        <w:pStyle w:val="Caption"/>
        <w:rPr>
          <w:szCs w:val="24"/>
        </w:rPr>
      </w:pPr>
      <w:r w:rsidRPr="000E2377">
        <w:t xml:space="preserve">Figure </w:t>
      </w:r>
      <w:r>
        <w:t>2</w:t>
      </w:r>
      <w:r w:rsidRPr="000E2377">
        <w:t>.</w:t>
      </w:r>
      <w:r w:rsidRPr="000E2377">
        <w:fldChar w:fldCharType="begin"/>
      </w:r>
      <w:r w:rsidRPr="000E2377">
        <w:instrText xml:space="preserve"> SEQ Figure \* ARABIC \s 1 </w:instrText>
      </w:r>
      <w:r w:rsidRPr="000E2377">
        <w:fldChar w:fldCharType="separate"/>
      </w:r>
      <w:r w:rsidR="00C827AE">
        <w:rPr>
          <w:noProof/>
        </w:rPr>
        <w:t>2</w:t>
      </w:r>
      <w:r w:rsidRPr="000E2377">
        <w:fldChar w:fldCharType="end"/>
      </w:r>
      <w:r w:rsidRPr="000E2377">
        <w:rPr>
          <w:szCs w:val="24"/>
        </w:rPr>
        <w:t>: Temperature – enthalpy diagram for glass formation (after Shelby</w:t>
      </w:r>
      <w:r>
        <w:rPr>
          <w:szCs w:val="24"/>
        </w:rPr>
        <w:t>,</w:t>
      </w:r>
      <w:r w:rsidRPr="000E2377">
        <w:rPr>
          <w:szCs w:val="24"/>
        </w:rPr>
        <w:t xml:space="preserve"> 2005).</w:t>
      </w:r>
    </w:p>
    <w:p w14:paraId="0E0321F8" w14:textId="77777777" w:rsidR="004666B8" w:rsidRPr="000E2377" w:rsidRDefault="004666B8" w:rsidP="004666B8">
      <w:pPr>
        <w:spacing w:after="0"/>
        <w:jc w:val="center"/>
        <w:rPr>
          <w:rFonts w:cs="Times New Roman"/>
          <w:b w:val="0"/>
          <w:szCs w:val="24"/>
        </w:rPr>
      </w:pPr>
    </w:p>
    <w:p w14:paraId="293AD2EE" w14:textId="0229266A" w:rsidR="004666B8" w:rsidRDefault="004666B8" w:rsidP="004666B8">
      <w:pPr>
        <w:spacing w:after="0" w:line="360" w:lineRule="auto"/>
        <w:jc w:val="both"/>
        <w:rPr>
          <w:rFonts w:cs="Times New Roman"/>
          <w:b w:val="0"/>
          <w:color w:val="000000" w:themeColor="text1"/>
          <w:szCs w:val="24"/>
        </w:rPr>
      </w:pPr>
      <w:r w:rsidRPr="000E2377">
        <w:rPr>
          <w:rFonts w:cs="Times New Roman"/>
          <w:b w:val="0"/>
          <w:color w:val="000000" w:themeColor="text1"/>
          <w:szCs w:val="24"/>
        </w:rPr>
        <w:t>Figure 2.2 shows the temperature</w:t>
      </w:r>
      <w:r w:rsidR="005D1A70">
        <w:rPr>
          <w:rFonts w:cs="Times New Roman"/>
          <w:b w:val="0"/>
          <w:color w:val="000000" w:themeColor="text1"/>
          <w:szCs w:val="24"/>
        </w:rPr>
        <w:t>-</w:t>
      </w:r>
      <w:r w:rsidRPr="000E2377">
        <w:rPr>
          <w:rFonts w:cs="Times New Roman"/>
          <w:b w:val="0"/>
          <w:color w:val="000000" w:themeColor="text1"/>
          <w:szCs w:val="24"/>
        </w:rPr>
        <w:t>enthalpy diagram for glass formation</w:t>
      </w:r>
      <w:r>
        <w:rPr>
          <w:rFonts w:cs="Times New Roman"/>
          <w:b w:val="0"/>
          <w:color w:val="000000" w:themeColor="text1"/>
          <w:szCs w:val="24"/>
        </w:rPr>
        <w:t xml:space="preserve"> (Shelby, 2005).</w:t>
      </w:r>
      <w:r w:rsidRPr="000E2377">
        <w:rPr>
          <w:rFonts w:cs="Times New Roman"/>
          <w:b w:val="0"/>
          <w:color w:val="000000" w:themeColor="text1"/>
          <w:szCs w:val="24"/>
        </w:rPr>
        <w:t xml:space="preserve"> The substance i</w:t>
      </w:r>
      <w:r>
        <w:rPr>
          <w:rFonts w:cs="Times New Roman"/>
          <w:b w:val="0"/>
          <w:color w:val="000000" w:themeColor="text1"/>
          <w:szCs w:val="24"/>
        </w:rPr>
        <w:t>s</w:t>
      </w:r>
      <w:r w:rsidRPr="000E2377">
        <w:rPr>
          <w:rFonts w:cs="Times New Roman"/>
          <w:b w:val="0"/>
          <w:color w:val="000000" w:themeColor="text1"/>
          <w:szCs w:val="24"/>
        </w:rPr>
        <w:t xml:space="preserve"> </w:t>
      </w:r>
      <w:r>
        <w:rPr>
          <w:rFonts w:cs="Times New Roman"/>
          <w:b w:val="0"/>
          <w:color w:val="000000" w:themeColor="text1"/>
          <w:szCs w:val="24"/>
        </w:rPr>
        <w:t xml:space="preserve">in the </w:t>
      </w:r>
      <w:r w:rsidRPr="000E2377">
        <w:rPr>
          <w:rFonts w:cs="Times New Roman"/>
          <w:b w:val="0"/>
          <w:color w:val="000000" w:themeColor="text1"/>
          <w:szCs w:val="24"/>
        </w:rPr>
        <w:t>liquid</w:t>
      </w:r>
      <w:r>
        <w:rPr>
          <w:rFonts w:cs="Times New Roman"/>
          <w:b w:val="0"/>
          <w:color w:val="000000" w:themeColor="text1"/>
          <w:szCs w:val="24"/>
        </w:rPr>
        <w:t xml:space="preserve"> state</w:t>
      </w:r>
      <w:r w:rsidRPr="000E2377">
        <w:rPr>
          <w:rFonts w:cs="Times New Roman"/>
          <w:b w:val="0"/>
          <w:color w:val="000000" w:themeColor="text1"/>
          <w:szCs w:val="24"/>
        </w:rPr>
        <w:t xml:space="preserve"> when the temperature </w:t>
      </w:r>
      <w:r>
        <w:rPr>
          <w:rFonts w:cs="Times New Roman"/>
          <w:b w:val="0"/>
          <w:color w:val="000000" w:themeColor="text1"/>
          <w:szCs w:val="24"/>
        </w:rPr>
        <w:t>is</w:t>
      </w:r>
      <w:r w:rsidRPr="000E2377">
        <w:rPr>
          <w:rFonts w:cs="Times New Roman"/>
          <w:b w:val="0"/>
          <w:color w:val="000000" w:themeColor="text1"/>
          <w:szCs w:val="24"/>
        </w:rPr>
        <w:t xml:space="preserve"> above the melting temperature. </w:t>
      </w:r>
      <w:r>
        <w:rPr>
          <w:rFonts w:cs="Times New Roman"/>
          <w:b w:val="0"/>
          <w:color w:val="000000" w:themeColor="text1"/>
          <w:szCs w:val="24"/>
        </w:rPr>
        <w:t>On cooling below the melting temperature, commonly crystallisation occurs marked by a step-change in enthalpy.</w:t>
      </w:r>
      <w:r w:rsidRPr="00063751">
        <w:rPr>
          <w:rFonts w:cs="Times New Roman"/>
          <w:b w:val="0"/>
          <w:color w:val="000000" w:themeColor="text1"/>
          <w:szCs w:val="24"/>
        </w:rPr>
        <w:t xml:space="preserve"> </w:t>
      </w:r>
      <w:r>
        <w:rPr>
          <w:rFonts w:cs="Times New Roman"/>
          <w:b w:val="0"/>
          <w:color w:val="000000" w:themeColor="text1"/>
          <w:szCs w:val="24"/>
        </w:rPr>
        <w:t>However</w:t>
      </w:r>
      <w:r w:rsidR="005D1A70">
        <w:rPr>
          <w:rFonts w:cs="Times New Roman"/>
          <w:b w:val="0"/>
          <w:color w:val="000000" w:themeColor="text1"/>
          <w:szCs w:val="24"/>
        </w:rPr>
        <w:t>,</w:t>
      </w:r>
      <w:r>
        <w:rPr>
          <w:rFonts w:cs="Times New Roman"/>
          <w:b w:val="0"/>
          <w:color w:val="000000" w:themeColor="text1"/>
          <w:szCs w:val="24"/>
        </w:rPr>
        <w:t xml:space="preserve"> glass formers display a continuous reduction in enthalpy with decreasing temperature</w:t>
      </w:r>
      <w:r w:rsidR="00A74B0C">
        <w:rPr>
          <w:rFonts w:cs="Times New Roman"/>
          <w:b w:val="0"/>
          <w:color w:val="000000" w:themeColor="text1"/>
          <w:szCs w:val="24"/>
        </w:rPr>
        <w:t>,</w:t>
      </w:r>
      <w:r>
        <w:rPr>
          <w:rFonts w:cs="Times New Roman"/>
          <w:b w:val="0"/>
          <w:color w:val="000000" w:themeColor="text1"/>
          <w:szCs w:val="24"/>
        </w:rPr>
        <w:t xml:space="preserve"> although the slope of the enthalpy-temperature curve changes. The region over which the slope change happens is known as the </w:t>
      </w:r>
      <w:r>
        <w:rPr>
          <w:rFonts w:cs="Times New Roman"/>
          <w:b w:val="0"/>
          <w:szCs w:val="24"/>
        </w:rPr>
        <w:t>g</w:t>
      </w:r>
      <w:r w:rsidRPr="00063751">
        <w:rPr>
          <w:rFonts w:cs="Times New Roman"/>
          <w:b w:val="0"/>
          <w:szCs w:val="24"/>
        </w:rPr>
        <w:t>lass transformation region</w:t>
      </w:r>
      <w:r>
        <w:rPr>
          <w:rFonts w:cs="Times New Roman"/>
          <w:b w:val="0"/>
          <w:szCs w:val="24"/>
        </w:rPr>
        <w:t xml:space="preserve"> and it corresponds to</w:t>
      </w:r>
      <w:r w:rsidRPr="00063751">
        <w:rPr>
          <w:rFonts w:cs="Times New Roman"/>
          <w:b w:val="0"/>
          <w:szCs w:val="24"/>
        </w:rPr>
        <w:t xml:space="preserve"> the temperature region in wh</w:t>
      </w:r>
      <w:r>
        <w:rPr>
          <w:rFonts w:cs="Times New Roman"/>
          <w:b w:val="0"/>
          <w:szCs w:val="24"/>
        </w:rPr>
        <w:t>ich</w:t>
      </w:r>
      <w:r w:rsidRPr="00063751">
        <w:rPr>
          <w:rFonts w:cs="Times New Roman"/>
          <w:b w:val="0"/>
          <w:szCs w:val="24"/>
        </w:rPr>
        <w:t xml:space="preserve"> the material </w:t>
      </w:r>
      <w:r>
        <w:rPr>
          <w:rFonts w:cs="Times New Roman"/>
          <w:b w:val="0"/>
          <w:szCs w:val="24"/>
        </w:rPr>
        <w:t>change</w:t>
      </w:r>
      <w:r w:rsidR="000B0AB8">
        <w:rPr>
          <w:rFonts w:cs="Times New Roman"/>
          <w:b w:val="0"/>
          <w:szCs w:val="24"/>
        </w:rPr>
        <w:t>s</w:t>
      </w:r>
      <w:r>
        <w:rPr>
          <w:rFonts w:cs="Times New Roman"/>
          <w:b w:val="0"/>
          <w:szCs w:val="24"/>
        </w:rPr>
        <w:t xml:space="preserve"> </w:t>
      </w:r>
      <w:r w:rsidRPr="00063751">
        <w:rPr>
          <w:rFonts w:cs="Times New Roman"/>
          <w:b w:val="0"/>
          <w:szCs w:val="24"/>
        </w:rPr>
        <w:t xml:space="preserve">from </w:t>
      </w:r>
      <w:r w:rsidR="001A5CF0">
        <w:rPr>
          <w:rFonts w:cs="Times New Roman"/>
          <w:b w:val="0"/>
          <w:szCs w:val="24"/>
        </w:rPr>
        <w:t xml:space="preserve">the </w:t>
      </w:r>
      <w:r w:rsidRPr="00063751">
        <w:rPr>
          <w:rFonts w:cs="Times New Roman"/>
          <w:b w:val="0"/>
          <w:szCs w:val="24"/>
        </w:rPr>
        <w:t xml:space="preserve">liquid </w:t>
      </w:r>
      <w:r w:rsidR="001A5CF0">
        <w:rPr>
          <w:rFonts w:cs="Times New Roman"/>
          <w:b w:val="0"/>
          <w:szCs w:val="24"/>
        </w:rPr>
        <w:t>state to a</w:t>
      </w:r>
      <w:r w:rsidRPr="00063751">
        <w:rPr>
          <w:rFonts w:cs="Times New Roman"/>
          <w:b w:val="0"/>
          <w:szCs w:val="24"/>
        </w:rPr>
        <w:t xml:space="preserve"> rigid solid.</w:t>
      </w:r>
      <w:r>
        <w:rPr>
          <w:rFonts w:cs="Times New Roman"/>
          <w:b w:val="0"/>
          <w:szCs w:val="24"/>
        </w:rPr>
        <w:t xml:space="preserve"> The</w:t>
      </w:r>
      <w:r w:rsidRPr="000E2377">
        <w:rPr>
          <w:rFonts w:cs="Times New Roman"/>
          <w:b w:val="0"/>
          <w:szCs w:val="24"/>
        </w:rPr>
        <w:t xml:space="preserve"> glass transition temperature, </w:t>
      </w:r>
      <w:proofErr w:type="spellStart"/>
      <w:r w:rsidRPr="000E2377">
        <w:rPr>
          <w:rFonts w:cs="Times New Roman"/>
          <w:b w:val="0"/>
          <w:szCs w:val="24"/>
        </w:rPr>
        <w:t>T</w:t>
      </w:r>
      <w:r w:rsidRPr="000E2377">
        <w:rPr>
          <w:rFonts w:cs="Times New Roman"/>
          <w:b w:val="0"/>
          <w:i/>
          <w:szCs w:val="24"/>
          <w:vertAlign w:val="subscript"/>
        </w:rPr>
        <w:t>g</w:t>
      </w:r>
      <w:proofErr w:type="spellEnd"/>
      <w:r>
        <w:rPr>
          <w:rFonts w:cs="Times New Roman"/>
          <w:b w:val="0"/>
          <w:szCs w:val="24"/>
        </w:rPr>
        <w:t>,</w:t>
      </w:r>
      <w:r w:rsidRPr="000E2377">
        <w:rPr>
          <w:rFonts w:cs="Times New Roman"/>
          <w:b w:val="0"/>
          <w:szCs w:val="24"/>
        </w:rPr>
        <w:t xml:space="preserve"> is </w:t>
      </w:r>
      <w:r>
        <w:rPr>
          <w:rFonts w:cs="Times New Roman"/>
          <w:b w:val="0"/>
          <w:szCs w:val="24"/>
        </w:rPr>
        <w:t xml:space="preserve">used as </w:t>
      </w:r>
      <w:r w:rsidRPr="000E2377">
        <w:rPr>
          <w:rFonts w:cs="Times New Roman"/>
          <w:b w:val="0"/>
          <w:szCs w:val="24"/>
        </w:rPr>
        <w:t>a</w:t>
      </w:r>
      <w:r>
        <w:rPr>
          <w:rFonts w:cs="Times New Roman"/>
          <w:b w:val="0"/>
          <w:szCs w:val="24"/>
        </w:rPr>
        <w:t xml:space="preserve"> measure of the glass</w:t>
      </w:r>
      <w:r w:rsidRPr="000E2377">
        <w:rPr>
          <w:rFonts w:cs="Times New Roman"/>
          <w:b w:val="0"/>
          <w:szCs w:val="24"/>
        </w:rPr>
        <w:t xml:space="preserve"> </w:t>
      </w:r>
      <w:r>
        <w:rPr>
          <w:rFonts w:cs="Times New Roman"/>
          <w:b w:val="0"/>
          <w:szCs w:val="24"/>
        </w:rPr>
        <w:t>transition range</w:t>
      </w:r>
      <w:r w:rsidRPr="000E2377">
        <w:rPr>
          <w:rFonts w:cs="Times New Roman"/>
          <w:b w:val="0"/>
          <w:szCs w:val="24"/>
        </w:rPr>
        <w:t>.</w:t>
      </w:r>
      <w:r>
        <w:rPr>
          <w:rFonts w:cs="Times New Roman"/>
          <w:b w:val="0"/>
          <w:szCs w:val="24"/>
        </w:rPr>
        <w:t xml:space="preserve"> </w:t>
      </w:r>
      <w:proofErr w:type="spellStart"/>
      <w:r>
        <w:rPr>
          <w:rFonts w:cs="Times New Roman"/>
          <w:b w:val="0"/>
          <w:szCs w:val="24"/>
        </w:rPr>
        <w:t>T</w:t>
      </w:r>
      <w:r w:rsidRPr="008E17AF">
        <w:rPr>
          <w:rFonts w:cs="Times New Roman"/>
          <w:b w:val="0"/>
          <w:i/>
          <w:szCs w:val="24"/>
          <w:vertAlign w:val="subscript"/>
        </w:rPr>
        <w:t>g</w:t>
      </w:r>
      <w:proofErr w:type="spellEnd"/>
      <w:r>
        <w:rPr>
          <w:rFonts w:cs="Times New Roman"/>
          <w:b w:val="0"/>
          <w:szCs w:val="24"/>
        </w:rPr>
        <w:t xml:space="preserve"> can be measured from the temperature dependence of properties such as the thermal expansion coefficient or specific heat capacity.</w:t>
      </w:r>
      <w:r w:rsidRPr="007272C6">
        <w:rPr>
          <w:rFonts w:cs="Times New Roman"/>
          <w:b w:val="0"/>
          <w:color w:val="000000" w:themeColor="text1"/>
          <w:szCs w:val="24"/>
        </w:rPr>
        <w:t xml:space="preserve"> </w:t>
      </w:r>
      <w:r>
        <w:rPr>
          <w:rFonts w:cs="Times New Roman"/>
          <w:b w:val="0"/>
          <w:color w:val="000000" w:themeColor="text1"/>
          <w:szCs w:val="24"/>
        </w:rPr>
        <w:t xml:space="preserve">In the region between </w:t>
      </w:r>
      <w:proofErr w:type="spellStart"/>
      <w:r>
        <w:rPr>
          <w:rFonts w:cs="Times New Roman"/>
          <w:b w:val="0"/>
          <w:color w:val="000000" w:themeColor="text1"/>
          <w:szCs w:val="24"/>
        </w:rPr>
        <w:t>T</w:t>
      </w:r>
      <w:r w:rsidRPr="008E17AF">
        <w:rPr>
          <w:rFonts w:cs="Times New Roman"/>
          <w:b w:val="0"/>
          <w:i/>
          <w:color w:val="000000" w:themeColor="text1"/>
          <w:szCs w:val="24"/>
          <w:vertAlign w:val="subscript"/>
        </w:rPr>
        <w:t>g</w:t>
      </w:r>
      <w:proofErr w:type="spellEnd"/>
      <w:r>
        <w:rPr>
          <w:rFonts w:cs="Times New Roman"/>
          <w:b w:val="0"/>
          <w:color w:val="000000" w:themeColor="text1"/>
          <w:szCs w:val="24"/>
        </w:rPr>
        <w:t xml:space="preserve"> and T</w:t>
      </w:r>
      <w:r w:rsidRPr="008E17AF">
        <w:rPr>
          <w:rFonts w:cs="Times New Roman"/>
          <w:b w:val="0"/>
          <w:i/>
          <w:color w:val="000000" w:themeColor="text1"/>
          <w:szCs w:val="24"/>
          <w:vertAlign w:val="subscript"/>
        </w:rPr>
        <w:t>m</w:t>
      </w:r>
      <w:r>
        <w:rPr>
          <w:rFonts w:cs="Times New Roman"/>
          <w:b w:val="0"/>
          <w:color w:val="000000" w:themeColor="text1"/>
          <w:szCs w:val="24"/>
        </w:rPr>
        <w:t xml:space="preserve">, the substance is in the supercooled liquid state and this condition can be formed into virtually any shape of glass by processing methods such as blowing or pressing. Glasses exist below </w:t>
      </w:r>
      <w:proofErr w:type="spellStart"/>
      <w:r>
        <w:rPr>
          <w:rFonts w:cs="Times New Roman"/>
          <w:b w:val="0"/>
          <w:color w:val="000000" w:themeColor="text1"/>
          <w:szCs w:val="24"/>
        </w:rPr>
        <w:t>T</w:t>
      </w:r>
      <w:r w:rsidRPr="00F71DCE">
        <w:rPr>
          <w:rFonts w:cs="Times New Roman"/>
          <w:i/>
          <w:color w:val="000000" w:themeColor="text1"/>
          <w:szCs w:val="24"/>
          <w:vertAlign w:val="subscript"/>
        </w:rPr>
        <w:t>g</w:t>
      </w:r>
      <w:proofErr w:type="spellEnd"/>
      <w:r>
        <w:rPr>
          <w:rFonts w:cs="Times New Roman"/>
          <w:b w:val="0"/>
          <w:color w:val="000000" w:themeColor="text1"/>
          <w:szCs w:val="24"/>
        </w:rPr>
        <w:t xml:space="preserve"> and </w:t>
      </w:r>
      <w:r w:rsidR="001A5CF0">
        <w:rPr>
          <w:rFonts w:cs="Times New Roman"/>
          <w:b w:val="0"/>
          <w:color w:val="000000" w:themeColor="text1"/>
          <w:szCs w:val="24"/>
        </w:rPr>
        <w:t>while many glasses are very durable</w:t>
      </w:r>
      <w:r w:rsidR="00A74B0C">
        <w:rPr>
          <w:rFonts w:cs="Times New Roman"/>
          <w:b w:val="0"/>
          <w:color w:val="000000" w:themeColor="text1"/>
          <w:szCs w:val="24"/>
        </w:rPr>
        <w:t>,</w:t>
      </w:r>
      <w:r w:rsidR="001A5CF0">
        <w:rPr>
          <w:rFonts w:cs="Times New Roman"/>
          <w:b w:val="0"/>
          <w:color w:val="000000" w:themeColor="text1"/>
          <w:szCs w:val="24"/>
        </w:rPr>
        <w:t xml:space="preserve"> they are not </w:t>
      </w:r>
      <w:r w:rsidR="00D62795">
        <w:rPr>
          <w:rFonts w:cs="Times New Roman"/>
          <w:b w:val="0"/>
          <w:color w:val="000000" w:themeColor="text1"/>
          <w:szCs w:val="24"/>
        </w:rPr>
        <w:t>in</w:t>
      </w:r>
      <w:r w:rsidR="001A5CF0">
        <w:rPr>
          <w:rFonts w:cs="Times New Roman"/>
          <w:b w:val="0"/>
          <w:color w:val="000000" w:themeColor="text1"/>
          <w:szCs w:val="24"/>
        </w:rPr>
        <w:t xml:space="preserve"> </w:t>
      </w:r>
      <w:r>
        <w:rPr>
          <w:rFonts w:cs="Times New Roman"/>
          <w:b w:val="0"/>
          <w:color w:val="000000" w:themeColor="text1"/>
          <w:szCs w:val="24"/>
        </w:rPr>
        <w:t>thermodynamically stable</w:t>
      </w:r>
      <w:r w:rsidR="001A5CF0">
        <w:rPr>
          <w:rFonts w:cs="Times New Roman"/>
          <w:b w:val="0"/>
          <w:color w:val="000000" w:themeColor="text1"/>
          <w:szCs w:val="24"/>
        </w:rPr>
        <w:t xml:space="preserve"> phase</w:t>
      </w:r>
      <w:r>
        <w:rPr>
          <w:rFonts w:cs="Times New Roman"/>
          <w:b w:val="0"/>
          <w:color w:val="000000" w:themeColor="text1"/>
          <w:szCs w:val="24"/>
        </w:rPr>
        <w:t xml:space="preserve">. </w:t>
      </w:r>
      <w:r w:rsidR="001A5CF0">
        <w:rPr>
          <w:rFonts w:cs="Times New Roman"/>
          <w:b w:val="0"/>
          <w:color w:val="000000" w:themeColor="text1"/>
          <w:szCs w:val="24"/>
        </w:rPr>
        <w:t>In comparison</w:t>
      </w:r>
      <w:r>
        <w:rPr>
          <w:rFonts w:cs="Times New Roman"/>
          <w:b w:val="0"/>
          <w:color w:val="000000" w:themeColor="text1"/>
          <w:szCs w:val="24"/>
        </w:rPr>
        <w:t xml:space="preserve"> crystals with well-organize</w:t>
      </w:r>
      <w:r w:rsidR="001A5CF0">
        <w:rPr>
          <w:rFonts w:cs="Times New Roman"/>
          <w:b w:val="0"/>
          <w:color w:val="000000" w:themeColor="text1"/>
          <w:szCs w:val="24"/>
        </w:rPr>
        <w:t>d</w:t>
      </w:r>
      <w:r>
        <w:rPr>
          <w:rFonts w:cs="Times New Roman"/>
          <w:b w:val="0"/>
          <w:color w:val="000000" w:themeColor="text1"/>
          <w:szCs w:val="24"/>
        </w:rPr>
        <w:t xml:space="preserve"> atomic structures are thermodynamically stable below </w:t>
      </w:r>
      <w:r w:rsidRPr="00F71DCE">
        <w:rPr>
          <w:rFonts w:cs="Times New Roman"/>
          <w:b w:val="0"/>
          <w:color w:val="000000" w:themeColor="text1"/>
          <w:szCs w:val="24"/>
        </w:rPr>
        <w:t>T</w:t>
      </w:r>
      <w:r w:rsidRPr="00F71DCE">
        <w:rPr>
          <w:rFonts w:cs="Times New Roman"/>
          <w:b w:val="0"/>
          <w:i/>
          <w:color w:val="000000" w:themeColor="text1"/>
          <w:szCs w:val="24"/>
          <w:vertAlign w:val="subscript"/>
        </w:rPr>
        <w:t>m</w:t>
      </w:r>
      <w:r w:rsidR="001A5CF0">
        <w:rPr>
          <w:rFonts w:cs="Times New Roman"/>
          <w:b w:val="0"/>
          <w:color w:val="000000" w:themeColor="text1"/>
          <w:szCs w:val="24"/>
        </w:rPr>
        <w:t>.</w:t>
      </w:r>
    </w:p>
    <w:p w14:paraId="55AECFF4" w14:textId="77777777" w:rsidR="00D42F75" w:rsidRDefault="00D42F75" w:rsidP="004666B8">
      <w:pPr>
        <w:spacing w:after="0" w:line="360" w:lineRule="auto"/>
        <w:jc w:val="both"/>
        <w:rPr>
          <w:rFonts w:cs="Times New Roman"/>
          <w:b w:val="0"/>
          <w:color w:val="000000" w:themeColor="text1"/>
          <w:szCs w:val="24"/>
        </w:rPr>
      </w:pPr>
    </w:p>
    <w:p w14:paraId="45156256" w14:textId="77777777" w:rsidR="00ED4492" w:rsidRDefault="00ED4492" w:rsidP="001A5CF0">
      <w:pPr>
        <w:spacing w:after="0" w:line="360" w:lineRule="auto"/>
        <w:jc w:val="both"/>
        <w:rPr>
          <w:rFonts w:cs="Times New Roman"/>
          <w:b w:val="0"/>
          <w:szCs w:val="24"/>
        </w:rPr>
      </w:pPr>
    </w:p>
    <w:p w14:paraId="6BF482C7" w14:textId="77777777" w:rsidR="00ED4492" w:rsidRDefault="00ED4492" w:rsidP="001A5CF0">
      <w:pPr>
        <w:spacing w:after="0" w:line="360" w:lineRule="auto"/>
        <w:jc w:val="both"/>
        <w:rPr>
          <w:rFonts w:cs="Times New Roman"/>
          <w:b w:val="0"/>
          <w:szCs w:val="24"/>
        </w:rPr>
      </w:pPr>
    </w:p>
    <w:p w14:paraId="47F54F5E" w14:textId="606A6012" w:rsidR="001A5CF0" w:rsidRDefault="001A5CF0" w:rsidP="001A5CF0">
      <w:pPr>
        <w:spacing w:after="0" w:line="360" w:lineRule="auto"/>
        <w:jc w:val="both"/>
        <w:rPr>
          <w:rFonts w:cs="Times New Roman"/>
          <w:b w:val="0"/>
          <w:color w:val="000000" w:themeColor="text1"/>
          <w:szCs w:val="24"/>
        </w:rPr>
      </w:pPr>
      <w:r>
        <w:rPr>
          <w:rFonts w:cs="Times New Roman"/>
          <w:b w:val="0"/>
          <w:szCs w:val="24"/>
        </w:rPr>
        <w:lastRenderedPageBreak/>
        <w:t>Figure 2.2 also shows the fictive temperature (</w:t>
      </w:r>
      <w:proofErr w:type="spellStart"/>
      <w:r>
        <w:rPr>
          <w:rFonts w:cs="Times New Roman"/>
          <w:b w:val="0"/>
          <w:szCs w:val="24"/>
        </w:rPr>
        <w:t>T</w:t>
      </w:r>
      <w:r w:rsidRPr="004D5C41">
        <w:rPr>
          <w:rFonts w:cs="Times New Roman"/>
          <w:b w:val="0"/>
          <w:i/>
          <w:szCs w:val="24"/>
          <w:vertAlign w:val="subscript"/>
        </w:rPr>
        <w:t>f</w:t>
      </w:r>
      <w:proofErr w:type="spellEnd"/>
      <w:r>
        <w:rPr>
          <w:rFonts w:cs="Times New Roman"/>
          <w:b w:val="0"/>
          <w:szCs w:val="24"/>
        </w:rPr>
        <w:t>)</w:t>
      </w:r>
      <w:r w:rsidR="00A74B0C">
        <w:rPr>
          <w:rFonts w:cs="Times New Roman"/>
          <w:b w:val="0"/>
          <w:szCs w:val="24"/>
        </w:rPr>
        <w:t>,</w:t>
      </w:r>
      <w:r>
        <w:rPr>
          <w:rFonts w:cs="Times New Roman"/>
          <w:b w:val="0"/>
          <w:szCs w:val="24"/>
        </w:rPr>
        <w:t xml:space="preserve"> which is the temperature of the intersection of the extrapolated supercooled and glass lines. </w:t>
      </w:r>
      <w:proofErr w:type="spellStart"/>
      <w:r>
        <w:rPr>
          <w:rFonts w:cs="Times New Roman"/>
          <w:b w:val="0"/>
          <w:szCs w:val="24"/>
        </w:rPr>
        <w:t>T</w:t>
      </w:r>
      <w:r w:rsidRPr="00E46661">
        <w:rPr>
          <w:rFonts w:cs="Times New Roman"/>
          <w:b w:val="0"/>
          <w:i/>
          <w:szCs w:val="24"/>
          <w:vertAlign w:val="subscript"/>
        </w:rPr>
        <w:t>f</w:t>
      </w:r>
      <w:proofErr w:type="spellEnd"/>
      <w:r w:rsidRPr="00E46661">
        <w:rPr>
          <w:rFonts w:cs="Times New Roman"/>
          <w:b w:val="0"/>
          <w:i/>
          <w:szCs w:val="24"/>
          <w:vertAlign w:val="subscript"/>
        </w:rPr>
        <w:t xml:space="preserve"> </w:t>
      </w:r>
      <w:r>
        <w:rPr>
          <w:rFonts w:cs="Times New Roman"/>
          <w:b w:val="0"/>
          <w:szCs w:val="24"/>
        </w:rPr>
        <w:t>reflects the temperature at which the liquid structure is frozen into the glass.</w:t>
      </w:r>
      <w:r w:rsidRPr="000E2377">
        <w:rPr>
          <w:rFonts w:cs="Times New Roman"/>
          <w:b w:val="0"/>
          <w:szCs w:val="24"/>
        </w:rPr>
        <w:t xml:space="preserve"> </w:t>
      </w:r>
      <w:r>
        <w:rPr>
          <w:rFonts w:cs="Times New Roman"/>
          <w:b w:val="0"/>
          <w:szCs w:val="24"/>
        </w:rPr>
        <w:t>A s</w:t>
      </w:r>
      <w:r w:rsidRPr="000E2377">
        <w:rPr>
          <w:rFonts w:cs="Times New Roman"/>
          <w:b w:val="0"/>
          <w:szCs w:val="24"/>
        </w:rPr>
        <w:t xml:space="preserve">lower cooling rate will </w:t>
      </w:r>
      <w:r>
        <w:rPr>
          <w:rFonts w:cs="Times New Roman"/>
          <w:b w:val="0"/>
          <w:szCs w:val="24"/>
        </w:rPr>
        <w:t>mean that</w:t>
      </w:r>
      <w:r w:rsidRPr="000E2377">
        <w:rPr>
          <w:rFonts w:cs="Times New Roman"/>
          <w:b w:val="0"/>
          <w:szCs w:val="24"/>
        </w:rPr>
        <w:t xml:space="preserve"> the </w:t>
      </w:r>
      <w:r>
        <w:rPr>
          <w:rFonts w:cs="Times New Roman"/>
          <w:b w:val="0"/>
          <w:szCs w:val="24"/>
        </w:rPr>
        <w:t>glass will</w:t>
      </w:r>
      <w:r w:rsidRPr="000E2377">
        <w:rPr>
          <w:rFonts w:cs="Times New Roman"/>
          <w:b w:val="0"/>
          <w:szCs w:val="24"/>
        </w:rPr>
        <w:t xml:space="preserve"> have</w:t>
      </w:r>
      <w:r>
        <w:rPr>
          <w:rFonts w:cs="Times New Roman"/>
          <w:b w:val="0"/>
          <w:szCs w:val="24"/>
        </w:rPr>
        <w:t xml:space="preserve"> a</w:t>
      </w:r>
      <w:r w:rsidRPr="000E2377">
        <w:rPr>
          <w:rFonts w:cs="Times New Roman"/>
          <w:b w:val="0"/>
          <w:szCs w:val="24"/>
        </w:rPr>
        <w:t xml:space="preserve"> lower enthalpy</w:t>
      </w:r>
      <w:r>
        <w:rPr>
          <w:rFonts w:cs="Times New Roman"/>
          <w:b w:val="0"/>
          <w:szCs w:val="24"/>
        </w:rPr>
        <w:t xml:space="preserve"> and </w:t>
      </w:r>
      <w:proofErr w:type="spellStart"/>
      <w:r>
        <w:rPr>
          <w:rFonts w:cs="Times New Roman"/>
          <w:b w:val="0"/>
          <w:szCs w:val="24"/>
        </w:rPr>
        <w:t>T</w:t>
      </w:r>
      <w:r w:rsidRPr="004D5C41">
        <w:rPr>
          <w:rFonts w:cs="Times New Roman"/>
          <w:b w:val="0"/>
          <w:i/>
          <w:szCs w:val="24"/>
          <w:vertAlign w:val="subscript"/>
        </w:rPr>
        <w:t>f</w:t>
      </w:r>
      <w:proofErr w:type="spellEnd"/>
      <w:r w:rsidRPr="000E2377">
        <w:rPr>
          <w:rFonts w:cs="Times New Roman"/>
          <w:b w:val="0"/>
          <w:szCs w:val="24"/>
        </w:rPr>
        <w:t xml:space="preserve"> compared </w:t>
      </w:r>
      <w:r>
        <w:rPr>
          <w:rFonts w:cs="Times New Roman"/>
          <w:b w:val="0"/>
          <w:szCs w:val="24"/>
        </w:rPr>
        <w:t>to</w:t>
      </w:r>
      <w:r w:rsidRPr="000E2377">
        <w:rPr>
          <w:rFonts w:cs="Times New Roman"/>
          <w:b w:val="0"/>
          <w:szCs w:val="24"/>
        </w:rPr>
        <w:t xml:space="preserve"> </w:t>
      </w:r>
      <w:r>
        <w:rPr>
          <w:rFonts w:cs="Times New Roman"/>
          <w:b w:val="0"/>
          <w:szCs w:val="24"/>
        </w:rPr>
        <w:t xml:space="preserve">a glass produced using a </w:t>
      </w:r>
      <w:r w:rsidRPr="000E2377">
        <w:rPr>
          <w:rFonts w:cs="Times New Roman"/>
          <w:b w:val="0"/>
          <w:szCs w:val="24"/>
        </w:rPr>
        <w:t>fast</w:t>
      </w:r>
      <w:r>
        <w:rPr>
          <w:rFonts w:cs="Times New Roman"/>
          <w:b w:val="0"/>
          <w:szCs w:val="24"/>
        </w:rPr>
        <w:t>er</w:t>
      </w:r>
      <w:r w:rsidRPr="000E2377">
        <w:rPr>
          <w:rFonts w:cs="Times New Roman"/>
          <w:b w:val="0"/>
          <w:szCs w:val="24"/>
        </w:rPr>
        <w:t xml:space="preserve"> cooling</w:t>
      </w:r>
      <w:r>
        <w:rPr>
          <w:rFonts w:cs="Times New Roman"/>
          <w:b w:val="0"/>
          <w:szCs w:val="24"/>
        </w:rPr>
        <w:t xml:space="preserve"> rate.</w:t>
      </w:r>
    </w:p>
    <w:p w14:paraId="1EFE1084" w14:textId="1E37A544" w:rsidR="004666B8" w:rsidRDefault="004666B8" w:rsidP="009078C1">
      <w:pPr>
        <w:spacing w:after="0" w:line="360" w:lineRule="auto"/>
        <w:jc w:val="both"/>
        <w:rPr>
          <w:rFonts w:cs="Times New Roman"/>
          <w:b w:val="0"/>
          <w:szCs w:val="24"/>
        </w:rPr>
      </w:pPr>
    </w:p>
    <w:p w14:paraId="03CCD1E9" w14:textId="4B11A98B" w:rsidR="004666B8" w:rsidRDefault="00084E91" w:rsidP="0027187B">
      <w:pPr>
        <w:spacing w:after="0" w:line="360" w:lineRule="auto"/>
        <w:jc w:val="both"/>
        <w:rPr>
          <w:rFonts w:cs="Times New Roman"/>
          <w:b w:val="0"/>
          <w:szCs w:val="24"/>
        </w:rPr>
      </w:pPr>
      <w:r>
        <w:rPr>
          <w:rFonts w:cs="Times New Roman"/>
          <w:b w:val="0"/>
          <w:szCs w:val="24"/>
        </w:rPr>
        <w:t xml:space="preserve">Glass can be produced </w:t>
      </w:r>
      <w:r w:rsidR="0053123D">
        <w:rPr>
          <w:rFonts w:cs="Times New Roman"/>
          <w:b w:val="0"/>
          <w:szCs w:val="24"/>
        </w:rPr>
        <w:t xml:space="preserve">using a </w:t>
      </w:r>
      <w:r w:rsidR="00F5360E">
        <w:rPr>
          <w:rFonts w:cs="Times New Roman"/>
          <w:b w:val="0"/>
          <w:szCs w:val="24"/>
        </w:rPr>
        <w:t>variety</w:t>
      </w:r>
      <w:r w:rsidR="0053123D">
        <w:rPr>
          <w:rFonts w:cs="Times New Roman"/>
          <w:b w:val="0"/>
          <w:szCs w:val="24"/>
        </w:rPr>
        <w:t xml:space="preserve"> of</w:t>
      </w:r>
      <w:r>
        <w:rPr>
          <w:rFonts w:cs="Times New Roman"/>
          <w:b w:val="0"/>
          <w:szCs w:val="24"/>
        </w:rPr>
        <w:t xml:space="preserve"> method</w:t>
      </w:r>
      <w:r w:rsidR="00F5360E">
        <w:rPr>
          <w:rFonts w:cs="Times New Roman"/>
          <w:b w:val="0"/>
          <w:szCs w:val="24"/>
        </w:rPr>
        <w:t>s, but in most cases, glass</w:t>
      </w:r>
      <w:r w:rsidR="0053123D">
        <w:rPr>
          <w:rFonts w:cs="Times New Roman"/>
          <w:b w:val="0"/>
          <w:szCs w:val="24"/>
        </w:rPr>
        <w:t>es</w:t>
      </w:r>
      <w:r w:rsidR="00F5360E">
        <w:rPr>
          <w:rFonts w:cs="Times New Roman"/>
          <w:b w:val="0"/>
          <w:szCs w:val="24"/>
        </w:rPr>
        <w:t xml:space="preserve"> are made </w:t>
      </w:r>
      <w:r w:rsidR="0053123D">
        <w:rPr>
          <w:rFonts w:cs="Times New Roman"/>
          <w:b w:val="0"/>
          <w:szCs w:val="24"/>
        </w:rPr>
        <w:t>by melt-quenching</w:t>
      </w:r>
      <w:r w:rsidR="00F5360E">
        <w:rPr>
          <w:rFonts w:cs="Times New Roman"/>
          <w:b w:val="0"/>
          <w:szCs w:val="24"/>
        </w:rPr>
        <w:t>.</w:t>
      </w:r>
      <w:r w:rsidR="00506C9F">
        <w:rPr>
          <w:rFonts w:cs="Times New Roman"/>
          <w:b w:val="0"/>
          <w:szCs w:val="24"/>
        </w:rPr>
        <w:t xml:space="preserve"> </w:t>
      </w:r>
      <w:r w:rsidR="0064576E" w:rsidRPr="000E2377">
        <w:rPr>
          <w:rFonts w:cs="Times New Roman"/>
          <w:b w:val="0"/>
          <w:szCs w:val="24"/>
        </w:rPr>
        <w:t>A compound that can produce glass with</w:t>
      </w:r>
      <w:r w:rsidR="00E26FF9">
        <w:rPr>
          <w:rFonts w:cs="Times New Roman"/>
          <w:b w:val="0"/>
          <w:szCs w:val="24"/>
        </w:rPr>
        <w:t xml:space="preserve"> a</w:t>
      </w:r>
      <w:r w:rsidR="0064576E" w:rsidRPr="000E2377">
        <w:rPr>
          <w:rFonts w:cs="Times New Roman"/>
          <w:b w:val="0"/>
          <w:szCs w:val="24"/>
        </w:rPr>
        <w:t xml:space="preserve"> relatively slow cooling process after melting is a good glass former</w:t>
      </w:r>
      <w:r w:rsidR="009D36DA">
        <w:rPr>
          <w:rFonts w:cs="Times New Roman"/>
          <w:b w:val="0"/>
          <w:szCs w:val="24"/>
        </w:rPr>
        <w:t>,</w:t>
      </w:r>
      <w:r w:rsidR="0064576E" w:rsidRPr="000E2377">
        <w:rPr>
          <w:rFonts w:cs="Times New Roman"/>
          <w:b w:val="0"/>
          <w:szCs w:val="24"/>
        </w:rPr>
        <w:t xml:space="preserve"> </w:t>
      </w:r>
      <w:r w:rsidR="0053123D">
        <w:rPr>
          <w:rFonts w:cs="Times New Roman"/>
          <w:b w:val="0"/>
          <w:szCs w:val="24"/>
        </w:rPr>
        <w:t>while</w:t>
      </w:r>
      <w:r w:rsidR="0064576E" w:rsidRPr="000E2377">
        <w:rPr>
          <w:rFonts w:cs="Times New Roman"/>
          <w:b w:val="0"/>
          <w:szCs w:val="24"/>
        </w:rPr>
        <w:t xml:space="preserve"> a compound that </w:t>
      </w:r>
      <w:r w:rsidR="0053123D">
        <w:rPr>
          <w:rFonts w:cs="Times New Roman"/>
          <w:b w:val="0"/>
          <w:szCs w:val="24"/>
        </w:rPr>
        <w:t>requires a rapid</w:t>
      </w:r>
      <w:r w:rsidR="0064576E" w:rsidRPr="000E2377">
        <w:rPr>
          <w:rFonts w:cs="Times New Roman"/>
          <w:b w:val="0"/>
          <w:szCs w:val="24"/>
        </w:rPr>
        <w:t xml:space="preserve"> cooling process</w:t>
      </w:r>
      <w:r w:rsidR="0053123D">
        <w:rPr>
          <w:rFonts w:cs="Times New Roman"/>
          <w:b w:val="0"/>
          <w:szCs w:val="24"/>
        </w:rPr>
        <w:t xml:space="preserve"> to produce glass</w:t>
      </w:r>
      <w:r w:rsidR="0064576E" w:rsidRPr="000E2377">
        <w:rPr>
          <w:rFonts w:cs="Times New Roman"/>
          <w:b w:val="0"/>
          <w:szCs w:val="24"/>
        </w:rPr>
        <w:t xml:space="preserve"> </w:t>
      </w:r>
      <w:r w:rsidR="00E26FF9">
        <w:rPr>
          <w:rFonts w:cs="Times New Roman"/>
          <w:b w:val="0"/>
          <w:szCs w:val="24"/>
        </w:rPr>
        <w:t>is</w:t>
      </w:r>
      <w:r w:rsidR="0064576E" w:rsidRPr="000E2377">
        <w:rPr>
          <w:rFonts w:cs="Times New Roman"/>
          <w:b w:val="0"/>
          <w:szCs w:val="24"/>
        </w:rPr>
        <w:t xml:space="preserve"> considered </w:t>
      </w:r>
      <w:r w:rsidR="00E26FF9">
        <w:rPr>
          <w:rFonts w:cs="Times New Roman"/>
          <w:b w:val="0"/>
          <w:szCs w:val="24"/>
        </w:rPr>
        <w:t xml:space="preserve">to be </w:t>
      </w:r>
      <w:r w:rsidR="0064576E" w:rsidRPr="000E2377">
        <w:rPr>
          <w:rFonts w:cs="Times New Roman"/>
          <w:b w:val="0"/>
          <w:szCs w:val="24"/>
        </w:rPr>
        <w:t>a poor glass former. For network glasses such as silicates, during the cooling process</w:t>
      </w:r>
      <w:r w:rsidR="005D1A70">
        <w:rPr>
          <w:rFonts w:cs="Times New Roman"/>
          <w:b w:val="0"/>
          <w:szCs w:val="24"/>
        </w:rPr>
        <w:t>,</w:t>
      </w:r>
      <w:r w:rsidR="0064576E" w:rsidRPr="000E2377">
        <w:rPr>
          <w:rFonts w:cs="Times New Roman"/>
          <w:b w:val="0"/>
          <w:szCs w:val="24"/>
        </w:rPr>
        <w:t xml:space="preserve"> a rapid increase in viscosity prevents large scale atomic arrangements</w:t>
      </w:r>
      <w:r w:rsidR="00E26FF9">
        <w:rPr>
          <w:rFonts w:cs="Times New Roman"/>
          <w:b w:val="0"/>
          <w:szCs w:val="24"/>
        </w:rPr>
        <w:t xml:space="preserve"> and thus promotes glass formation</w:t>
      </w:r>
      <w:r w:rsidR="0064576E" w:rsidRPr="000E2377">
        <w:rPr>
          <w:rFonts w:cs="Times New Roman"/>
          <w:b w:val="0"/>
          <w:szCs w:val="24"/>
        </w:rPr>
        <w:t>.</w:t>
      </w:r>
      <w:r w:rsidR="00634AE3">
        <w:rPr>
          <w:rFonts w:cs="Times New Roman"/>
          <w:b w:val="0"/>
          <w:szCs w:val="24"/>
        </w:rPr>
        <w:t xml:space="preserve"> </w:t>
      </w:r>
      <w:r w:rsidR="004666B8">
        <w:rPr>
          <w:rFonts w:cs="Times New Roman"/>
          <w:b w:val="0"/>
          <w:szCs w:val="24"/>
        </w:rPr>
        <w:t>In some cases a rapid</w:t>
      </w:r>
      <w:r w:rsidR="0062009F">
        <w:rPr>
          <w:rFonts w:cs="Times New Roman"/>
          <w:b w:val="0"/>
          <w:szCs w:val="24"/>
        </w:rPr>
        <w:t xml:space="preserve"> quench</w:t>
      </w:r>
      <w:r w:rsidR="008E3AEA">
        <w:rPr>
          <w:rFonts w:cs="Times New Roman"/>
          <w:b w:val="0"/>
          <w:szCs w:val="24"/>
        </w:rPr>
        <w:t xml:space="preserve"> </w:t>
      </w:r>
      <w:r w:rsidR="004666B8">
        <w:rPr>
          <w:rFonts w:cs="Times New Roman"/>
          <w:b w:val="0"/>
          <w:szCs w:val="24"/>
        </w:rPr>
        <w:t xml:space="preserve">by, for example, melt pressing may be required to </w:t>
      </w:r>
      <w:r w:rsidR="0062009F">
        <w:rPr>
          <w:rFonts w:cs="Times New Roman"/>
          <w:b w:val="0"/>
          <w:szCs w:val="24"/>
        </w:rPr>
        <w:t xml:space="preserve">prevent </w:t>
      </w:r>
      <w:r w:rsidR="004666B8">
        <w:rPr>
          <w:rFonts w:cs="Times New Roman"/>
          <w:b w:val="0"/>
          <w:szCs w:val="24"/>
        </w:rPr>
        <w:t xml:space="preserve">crystallisation. </w:t>
      </w:r>
    </w:p>
    <w:p w14:paraId="1C3901B9" w14:textId="77777777" w:rsidR="004666B8" w:rsidRDefault="004666B8" w:rsidP="0027187B">
      <w:pPr>
        <w:spacing w:after="0" w:line="360" w:lineRule="auto"/>
        <w:jc w:val="both"/>
        <w:rPr>
          <w:rFonts w:cs="Times New Roman"/>
          <w:b w:val="0"/>
          <w:szCs w:val="24"/>
        </w:rPr>
      </w:pPr>
    </w:p>
    <w:p w14:paraId="3FB7C128" w14:textId="7FA20CD0" w:rsidR="00300641" w:rsidRDefault="0053123D" w:rsidP="0027187B">
      <w:pPr>
        <w:spacing w:after="0" w:line="360" w:lineRule="auto"/>
        <w:jc w:val="both"/>
        <w:rPr>
          <w:rFonts w:cs="Times New Roman"/>
          <w:b w:val="0"/>
          <w:szCs w:val="24"/>
        </w:rPr>
      </w:pPr>
      <w:r>
        <w:rPr>
          <w:rFonts w:cs="Times New Roman"/>
          <w:b w:val="0"/>
          <w:szCs w:val="24"/>
        </w:rPr>
        <w:t xml:space="preserve">Large amounts of </w:t>
      </w:r>
      <w:r w:rsidR="00A87B12">
        <w:rPr>
          <w:rFonts w:cs="Times New Roman"/>
          <w:b w:val="0"/>
          <w:szCs w:val="24"/>
        </w:rPr>
        <w:t>glass former</w:t>
      </w:r>
      <w:r>
        <w:rPr>
          <w:rFonts w:cs="Times New Roman"/>
          <w:b w:val="0"/>
          <w:szCs w:val="24"/>
        </w:rPr>
        <w:t>s</w:t>
      </w:r>
      <w:r w:rsidR="00A87B12">
        <w:rPr>
          <w:rFonts w:cs="Times New Roman"/>
          <w:b w:val="0"/>
          <w:szCs w:val="24"/>
        </w:rPr>
        <w:t xml:space="preserve"> in </w:t>
      </w:r>
      <w:r>
        <w:rPr>
          <w:rFonts w:cs="Times New Roman"/>
          <w:b w:val="0"/>
          <w:szCs w:val="24"/>
        </w:rPr>
        <w:t xml:space="preserve">network </w:t>
      </w:r>
      <w:r w:rsidR="00A87B12">
        <w:rPr>
          <w:rFonts w:cs="Times New Roman"/>
          <w:b w:val="0"/>
          <w:szCs w:val="24"/>
        </w:rPr>
        <w:t>glass composition</w:t>
      </w:r>
      <w:r>
        <w:rPr>
          <w:rFonts w:cs="Times New Roman"/>
          <w:b w:val="0"/>
          <w:szCs w:val="24"/>
        </w:rPr>
        <w:t>s</w:t>
      </w:r>
      <w:r w:rsidR="00A87B12">
        <w:rPr>
          <w:rFonts w:cs="Times New Roman"/>
          <w:b w:val="0"/>
          <w:szCs w:val="24"/>
        </w:rPr>
        <w:t xml:space="preserve"> will give high melting temperature</w:t>
      </w:r>
      <w:r>
        <w:rPr>
          <w:rFonts w:cs="Times New Roman"/>
          <w:b w:val="0"/>
          <w:szCs w:val="24"/>
        </w:rPr>
        <w:t>s</w:t>
      </w:r>
      <w:r w:rsidR="00A87B12">
        <w:rPr>
          <w:rFonts w:cs="Times New Roman"/>
          <w:b w:val="0"/>
          <w:szCs w:val="24"/>
        </w:rPr>
        <w:t xml:space="preserve">. </w:t>
      </w:r>
      <w:r>
        <w:rPr>
          <w:rFonts w:cs="Times New Roman"/>
          <w:b w:val="0"/>
          <w:szCs w:val="24"/>
        </w:rPr>
        <w:t>To</w:t>
      </w:r>
      <w:r w:rsidR="00634AE3">
        <w:rPr>
          <w:rFonts w:cs="Times New Roman"/>
          <w:b w:val="0"/>
          <w:szCs w:val="24"/>
        </w:rPr>
        <w:t xml:space="preserve"> reduce the melting temperature, the addition of other </w:t>
      </w:r>
      <w:r>
        <w:rPr>
          <w:rFonts w:cs="Times New Roman"/>
          <w:b w:val="0"/>
          <w:szCs w:val="24"/>
        </w:rPr>
        <w:t>components</w:t>
      </w:r>
      <w:r w:rsidR="00300641">
        <w:rPr>
          <w:rFonts w:cs="Times New Roman"/>
          <w:b w:val="0"/>
          <w:szCs w:val="24"/>
        </w:rPr>
        <w:t>, known as network modifiers,</w:t>
      </w:r>
      <w:r w:rsidR="00634AE3">
        <w:rPr>
          <w:rFonts w:cs="Times New Roman"/>
          <w:b w:val="0"/>
          <w:szCs w:val="24"/>
        </w:rPr>
        <w:t xml:space="preserve"> as a flux are needed </w:t>
      </w:r>
      <w:r w:rsidR="00BB2D73">
        <w:rPr>
          <w:rFonts w:cs="Times New Roman"/>
          <w:b w:val="0"/>
          <w:szCs w:val="24"/>
        </w:rPr>
        <w:t xml:space="preserve">because the addition </w:t>
      </w:r>
      <w:r w:rsidR="00AC4C93">
        <w:rPr>
          <w:rFonts w:cs="Times New Roman"/>
          <w:b w:val="0"/>
          <w:szCs w:val="24"/>
        </w:rPr>
        <w:t xml:space="preserve">of </w:t>
      </w:r>
      <w:r w:rsidR="00300641">
        <w:rPr>
          <w:rFonts w:cs="Times New Roman"/>
          <w:b w:val="0"/>
          <w:szCs w:val="24"/>
        </w:rPr>
        <w:t xml:space="preserve">such </w:t>
      </w:r>
      <w:r w:rsidR="00AC4C93">
        <w:rPr>
          <w:rFonts w:cs="Times New Roman"/>
          <w:b w:val="0"/>
          <w:szCs w:val="24"/>
        </w:rPr>
        <w:t>modifiers will break</w:t>
      </w:r>
      <w:r w:rsidR="00300641">
        <w:rPr>
          <w:rFonts w:cs="Times New Roman"/>
          <w:b w:val="0"/>
          <w:szCs w:val="24"/>
        </w:rPr>
        <w:t xml:space="preserve"> some</w:t>
      </w:r>
      <w:r w:rsidR="00AC4C93">
        <w:rPr>
          <w:rFonts w:cs="Times New Roman"/>
          <w:b w:val="0"/>
          <w:szCs w:val="24"/>
        </w:rPr>
        <w:t xml:space="preserve"> S</w:t>
      </w:r>
      <w:r w:rsidR="000B0AB8">
        <w:rPr>
          <w:rFonts w:cs="Times New Roman"/>
          <w:b w:val="0"/>
          <w:szCs w:val="24"/>
        </w:rPr>
        <w:t>i</w:t>
      </w:r>
      <w:r w:rsidR="00AC4C93">
        <w:rPr>
          <w:rFonts w:cs="Times New Roman"/>
          <w:b w:val="0"/>
          <w:szCs w:val="24"/>
        </w:rPr>
        <w:t xml:space="preserve">-O linkages </w:t>
      </w:r>
      <w:r w:rsidR="00AC4C93">
        <w:rPr>
          <w:rFonts w:cs="Times New Roman"/>
          <w:b w:val="0"/>
          <w:szCs w:val="24"/>
        </w:rPr>
        <w:fldChar w:fldCharType="begin" w:fldLock="1"/>
      </w:r>
      <w:r w:rsidR="00AC4C93">
        <w:rPr>
          <w:rFonts w:cs="Times New Roman"/>
          <w:b w:val="0"/>
          <w:szCs w:val="24"/>
        </w:rPr>
        <w:instrText>ADDIN CSL_CITATION { "citationItems" : [ { "id" : "ITEM-1", "itemData" : { "DOI" : "10.1016/S0022-3093(03)00303-X", "ISBN" : "0022-3093", "ISSN" : "00223093", "abstract" : "We demonstrate the utility of Raman spectroscopy as a technique for the identification of ancient glasses and enamel coatings of ceramics. As for any silicate glasses, the addition of network modifiers breaks the Si-O linkages and modifies the degree of polymerization and hence the relative intensity of the Si-O bending and stretching modes. We demonstrate empirically that the ratio of these envelopes is well correlated to the glass structure and to the firing technology used. Spectral Q\n                        n components assigned to isolated and connected SiO\n                        4 vibrational units allow more precise analysis. Selected porcelains, faiences, potteries and glasses representative of the different Asian, Islamic and European production technologies were studied. Modern porcelain enamels are used as compositional references. ?? 2003 Elsevier B.V. All rights reserved.", "author" : [ { "dropping-particle" : "", "family" : "Colomban", "given" : "Philippe", "non-dropping-particle" : "", "parse-names" : false, "suffix" : "" } ], "container-title" : "Journal of Non-Crystalline Solids", "id" : "ITEM-1", "issue" : "1-3", "issued" : { "date-parts" : [ [ "2003" ] ] }, "page" : "180-187", "title" : "Polymerization degree and Raman identification of ancient glasses used for jewelry, ceramic enamels and mosaics", "type" : "article-journal", "volume" : "323" }, "uris" : [ "http://www.mendeley.com/documents/?uuid=996aef9d-98f7-4f2b-9820-7e98c3ed80e2" ] } ], "mendeley" : { "formattedCitation" : "(Colomban, 2003)", "plainTextFormattedCitation" : "(Colomban, 2003)", "previouslyFormattedCitation" : "(Colomban, 2003)" }, "properties" : { "noteIndex" : 21 }, "schema" : "https://github.com/citation-style-language/schema/raw/master/csl-citation.json" }</w:instrText>
      </w:r>
      <w:r w:rsidR="00AC4C93">
        <w:rPr>
          <w:rFonts w:cs="Times New Roman"/>
          <w:b w:val="0"/>
          <w:szCs w:val="24"/>
        </w:rPr>
        <w:fldChar w:fldCharType="separate"/>
      </w:r>
      <w:r w:rsidR="00AC4C93" w:rsidRPr="00AC4C93">
        <w:rPr>
          <w:rFonts w:cs="Times New Roman"/>
          <w:b w:val="0"/>
          <w:noProof/>
          <w:szCs w:val="24"/>
        </w:rPr>
        <w:t>(Colomban, 2003)</w:t>
      </w:r>
      <w:r w:rsidR="00AC4C93">
        <w:rPr>
          <w:rFonts w:cs="Times New Roman"/>
          <w:b w:val="0"/>
          <w:szCs w:val="24"/>
        </w:rPr>
        <w:fldChar w:fldCharType="end"/>
      </w:r>
      <w:r w:rsidR="00300641">
        <w:rPr>
          <w:rFonts w:cs="Times New Roman"/>
          <w:b w:val="0"/>
          <w:szCs w:val="24"/>
        </w:rPr>
        <w:t xml:space="preserve"> reducing the 3</w:t>
      </w:r>
      <w:r w:rsidR="005D1A70">
        <w:rPr>
          <w:rFonts w:cs="Times New Roman"/>
          <w:b w:val="0"/>
          <w:szCs w:val="24"/>
        </w:rPr>
        <w:t>-</w:t>
      </w:r>
      <w:r w:rsidR="00300641">
        <w:rPr>
          <w:rFonts w:cs="Times New Roman"/>
          <w:b w:val="0"/>
          <w:szCs w:val="24"/>
        </w:rPr>
        <w:t>dimensional connectivity</w:t>
      </w:r>
      <w:r w:rsidR="00634AE3">
        <w:rPr>
          <w:rFonts w:cs="Times New Roman"/>
          <w:b w:val="0"/>
          <w:szCs w:val="24"/>
        </w:rPr>
        <w:t>.</w:t>
      </w:r>
      <w:r w:rsidR="002829CB">
        <w:rPr>
          <w:rFonts w:cs="Times New Roman"/>
          <w:b w:val="0"/>
          <w:szCs w:val="24"/>
        </w:rPr>
        <w:t xml:space="preserve"> </w:t>
      </w:r>
    </w:p>
    <w:p w14:paraId="5B68B099" w14:textId="77777777" w:rsidR="00300641" w:rsidRDefault="00300641" w:rsidP="0027187B">
      <w:pPr>
        <w:spacing w:after="0" w:line="360" w:lineRule="auto"/>
        <w:jc w:val="both"/>
        <w:rPr>
          <w:rFonts w:cs="Times New Roman"/>
          <w:b w:val="0"/>
          <w:szCs w:val="24"/>
        </w:rPr>
      </w:pPr>
    </w:p>
    <w:p w14:paraId="07BF4196" w14:textId="2207DF5F" w:rsidR="005D52D8" w:rsidRPr="000E2377" w:rsidRDefault="004666B8" w:rsidP="00ED6080">
      <w:pPr>
        <w:spacing w:after="0" w:line="360" w:lineRule="auto"/>
        <w:jc w:val="both"/>
        <w:rPr>
          <w:rFonts w:cs="Times New Roman"/>
          <w:b w:val="0"/>
          <w:szCs w:val="24"/>
        </w:rPr>
      </w:pPr>
      <w:r>
        <w:rPr>
          <w:rFonts w:cs="Times New Roman"/>
          <w:b w:val="0"/>
          <w:szCs w:val="24"/>
        </w:rPr>
        <w:t>N</w:t>
      </w:r>
      <w:r w:rsidR="005D52D8" w:rsidRPr="000E2377">
        <w:rPr>
          <w:rFonts w:cs="Times New Roman"/>
          <w:b w:val="0"/>
          <w:szCs w:val="24"/>
        </w:rPr>
        <w:t>etwork formers such as SiO</w:t>
      </w:r>
      <w:r w:rsidR="005D52D8" w:rsidRPr="000E2377">
        <w:rPr>
          <w:rFonts w:cs="Times New Roman"/>
          <w:b w:val="0"/>
          <w:szCs w:val="24"/>
          <w:vertAlign w:val="subscript"/>
        </w:rPr>
        <w:t>2</w:t>
      </w:r>
      <w:r w:rsidR="005D52D8" w:rsidRPr="000E2377">
        <w:rPr>
          <w:rFonts w:cs="Times New Roman"/>
          <w:b w:val="0"/>
          <w:szCs w:val="24"/>
        </w:rPr>
        <w:t>, GeO</w:t>
      </w:r>
      <w:r w:rsidR="005D52D8" w:rsidRPr="000E2377">
        <w:rPr>
          <w:rFonts w:cs="Times New Roman"/>
          <w:b w:val="0"/>
          <w:szCs w:val="24"/>
          <w:vertAlign w:val="subscript"/>
        </w:rPr>
        <w:t>2</w:t>
      </w:r>
      <w:r w:rsidR="005D52D8" w:rsidRPr="000E2377">
        <w:rPr>
          <w:rFonts w:cs="Times New Roman"/>
          <w:b w:val="0"/>
          <w:szCs w:val="24"/>
        </w:rPr>
        <w:t xml:space="preserve"> or B</w:t>
      </w:r>
      <w:r w:rsidR="005D52D8" w:rsidRPr="000E2377">
        <w:rPr>
          <w:rFonts w:cs="Times New Roman"/>
          <w:b w:val="0"/>
          <w:szCs w:val="24"/>
          <w:vertAlign w:val="subscript"/>
        </w:rPr>
        <w:t>2</w:t>
      </w:r>
      <w:r w:rsidR="005D52D8" w:rsidRPr="000E2377">
        <w:rPr>
          <w:rFonts w:cs="Times New Roman"/>
          <w:b w:val="0"/>
          <w:szCs w:val="24"/>
        </w:rPr>
        <w:t>O</w:t>
      </w:r>
      <w:r w:rsidR="005D52D8" w:rsidRPr="000E2377">
        <w:rPr>
          <w:rFonts w:cs="Times New Roman"/>
          <w:b w:val="0"/>
          <w:szCs w:val="24"/>
          <w:vertAlign w:val="subscript"/>
        </w:rPr>
        <w:t>3</w:t>
      </w:r>
      <w:r>
        <w:rPr>
          <w:rFonts w:cs="Times New Roman"/>
          <w:b w:val="0"/>
          <w:szCs w:val="24"/>
        </w:rPr>
        <w:t xml:space="preserve"> can form glasses on their own</w:t>
      </w:r>
      <w:r w:rsidR="005D52D8" w:rsidRPr="000E2377">
        <w:rPr>
          <w:rFonts w:cs="Times New Roman"/>
          <w:b w:val="0"/>
          <w:szCs w:val="24"/>
        </w:rPr>
        <w:t xml:space="preserve">. These network formers are cations which bond with oxygens and have high electronegativities. </w:t>
      </w:r>
      <w:r w:rsidR="00FA6378">
        <w:rPr>
          <w:rFonts w:cs="Times New Roman"/>
          <w:b w:val="0"/>
          <w:szCs w:val="24"/>
        </w:rPr>
        <w:fldChar w:fldCharType="begin" w:fldLock="1"/>
      </w:r>
      <w:r w:rsidR="00FA6378">
        <w:rPr>
          <w:rFonts w:cs="Times New Roman"/>
          <w:b w:val="0"/>
          <w:szCs w:val="24"/>
        </w:rPr>
        <w:instrText>ADDIN CSL_CITATION { "citationItems" : [ { "id" : "ITEM-1", "itemData" : { "DOI" : "10.1021/ja01349a006", "author" : [ { "dropping-particle" : "", "family" : "Zachariasen", "given" : "W. H.", "non-dropping-particle" : "", "parse-names" : false, "suffix" : "" } ], "container-title" : "Ryerson Physical Laboratory, University op Chicago", "id" : "ITEM-1", "issue" : "1", "issued" : { "date-parts" : [ [ "1932" ] ] }, "page" : "3841-3851", "title" : "THE ATOMIC ARRANGEMENT IN GLASS", "type" : "article-journal", "volume" : "196" }, "uris" : [ "http://www.mendeley.com/documents/?uuid=abb6b285-9c9f-46db-8f5d-cd08ea6490b4" ] } ], "mendeley" : { "formattedCitation" : "(Zachariasen, 1932)", "manualFormatting" : "Zachariasen, (1932)", "plainTextFormattedCitation" : "(Zachariasen, 1932)", "previouslyFormattedCitation" : "(Zachariasen, 1932)" }, "properties" : { "noteIndex" : 21 }, "schema" : "https://github.com/citation-style-language/schema/raw/master/csl-citation.json" }</w:instrText>
      </w:r>
      <w:r w:rsidR="00FA6378">
        <w:rPr>
          <w:rFonts w:cs="Times New Roman"/>
          <w:b w:val="0"/>
          <w:szCs w:val="24"/>
        </w:rPr>
        <w:fldChar w:fldCharType="separate"/>
      </w:r>
      <w:r w:rsidR="00FA6378" w:rsidRPr="00FA6378">
        <w:rPr>
          <w:rFonts w:cs="Times New Roman"/>
          <w:b w:val="0"/>
          <w:noProof/>
          <w:szCs w:val="24"/>
        </w:rPr>
        <w:t xml:space="preserve">Zachariasen, </w:t>
      </w:r>
      <w:r w:rsidR="00FA6378">
        <w:rPr>
          <w:rFonts w:cs="Times New Roman"/>
          <w:b w:val="0"/>
          <w:noProof/>
          <w:szCs w:val="24"/>
        </w:rPr>
        <w:t>(</w:t>
      </w:r>
      <w:r w:rsidR="00FA6378" w:rsidRPr="00FA6378">
        <w:rPr>
          <w:rFonts w:cs="Times New Roman"/>
          <w:b w:val="0"/>
          <w:noProof/>
          <w:szCs w:val="24"/>
        </w:rPr>
        <w:t>1932)</w:t>
      </w:r>
      <w:r w:rsidR="00FA6378">
        <w:rPr>
          <w:rFonts w:cs="Times New Roman"/>
          <w:b w:val="0"/>
          <w:szCs w:val="24"/>
        </w:rPr>
        <w:fldChar w:fldCharType="end"/>
      </w:r>
      <w:r w:rsidR="00FA6378">
        <w:rPr>
          <w:rFonts w:cs="Times New Roman"/>
          <w:b w:val="0"/>
          <w:szCs w:val="24"/>
        </w:rPr>
        <w:t>,</w:t>
      </w:r>
      <w:r w:rsidR="00EF09D6">
        <w:rPr>
          <w:rFonts w:cs="Times New Roman"/>
          <w:b w:val="0"/>
          <w:szCs w:val="24"/>
        </w:rPr>
        <w:t xml:space="preserve"> </w:t>
      </w:r>
      <w:r w:rsidR="005D52D8" w:rsidRPr="000E2377">
        <w:rPr>
          <w:rFonts w:cs="Times New Roman"/>
          <w:b w:val="0"/>
          <w:szCs w:val="24"/>
        </w:rPr>
        <w:t xml:space="preserve">stated that formation of </w:t>
      </w:r>
      <w:r w:rsidR="00B94A19" w:rsidRPr="000E2377">
        <w:rPr>
          <w:rFonts w:cs="Times New Roman"/>
          <w:b w:val="0"/>
          <w:szCs w:val="24"/>
        </w:rPr>
        <w:t xml:space="preserve">an </w:t>
      </w:r>
      <w:r w:rsidR="005D52D8" w:rsidRPr="000E2377">
        <w:rPr>
          <w:rFonts w:cs="Times New Roman"/>
          <w:b w:val="0"/>
          <w:szCs w:val="24"/>
        </w:rPr>
        <w:t xml:space="preserve">oxide glass could occur when </w:t>
      </w:r>
      <w:proofErr w:type="spellStart"/>
      <w:r w:rsidR="005D52D8" w:rsidRPr="000E2377">
        <w:rPr>
          <w:rFonts w:cs="Times New Roman"/>
          <w:b w:val="0"/>
          <w:szCs w:val="24"/>
        </w:rPr>
        <w:t>i</w:t>
      </w:r>
      <w:proofErr w:type="spellEnd"/>
      <w:r w:rsidR="005D52D8" w:rsidRPr="000E2377">
        <w:rPr>
          <w:rFonts w:cs="Times New Roman"/>
          <w:b w:val="0"/>
          <w:szCs w:val="24"/>
        </w:rPr>
        <w:t xml:space="preserve">) around cation </w:t>
      </w:r>
      <w:r w:rsidR="005D52D8" w:rsidRPr="000E2377">
        <w:rPr>
          <w:rFonts w:cs="Times New Roman"/>
          <w:b w:val="0"/>
          <w:i/>
          <w:szCs w:val="24"/>
        </w:rPr>
        <w:t>A</w:t>
      </w:r>
      <w:r w:rsidR="005D52D8" w:rsidRPr="000E2377">
        <w:rPr>
          <w:rFonts w:cs="Times New Roman"/>
          <w:b w:val="0"/>
          <w:szCs w:val="24"/>
        </w:rPr>
        <w:t xml:space="preserve">, the coordination number of oxygens </w:t>
      </w:r>
      <w:r w:rsidR="00B94A19" w:rsidRPr="000E2377">
        <w:rPr>
          <w:rFonts w:cs="Times New Roman"/>
          <w:b w:val="0"/>
          <w:szCs w:val="24"/>
        </w:rPr>
        <w:t>is</w:t>
      </w:r>
      <w:r w:rsidR="005D52D8" w:rsidRPr="000E2377">
        <w:rPr>
          <w:rFonts w:cs="Times New Roman"/>
          <w:b w:val="0"/>
          <w:szCs w:val="24"/>
        </w:rPr>
        <w:t xml:space="preserve"> low; </w:t>
      </w:r>
      <w:r w:rsidR="00B94A19" w:rsidRPr="000E2377">
        <w:rPr>
          <w:rFonts w:cs="Times New Roman"/>
          <w:b w:val="0"/>
          <w:szCs w:val="24"/>
        </w:rPr>
        <w:t>i.e.</w:t>
      </w:r>
      <w:r w:rsidR="005D52D8" w:rsidRPr="000E2377">
        <w:rPr>
          <w:rFonts w:cs="Times New Roman"/>
          <w:b w:val="0"/>
          <w:szCs w:val="24"/>
        </w:rPr>
        <w:t xml:space="preserve"> 3 or 4 oxygens 2) every polyhedra is connected by its corners only and 3) oxygen</w:t>
      </w:r>
      <w:r w:rsidR="00B94A19" w:rsidRPr="000E2377">
        <w:rPr>
          <w:rFonts w:cs="Times New Roman"/>
          <w:b w:val="0"/>
          <w:szCs w:val="24"/>
        </w:rPr>
        <w:t xml:space="preserve">s are </w:t>
      </w:r>
      <w:r w:rsidR="005D52D8" w:rsidRPr="000E2377">
        <w:rPr>
          <w:rFonts w:cs="Times New Roman"/>
          <w:b w:val="0"/>
          <w:szCs w:val="24"/>
        </w:rPr>
        <w:t>only bond</w:t>
      </w:r>
      <w:r w:rsidR="00E26FF9">
        <w:rPr>
          <w:rFonts w:cs="Times New Roman"/>
          <w:b w:val="0"/>
          <w:szCs w:val="24"/>
        </w:rPr>
        <w:t>ed</w:t>
      </w:r>
      <w:r w:rsidR="005D52D8" w:rsidRPr="000E2377">
        <w:rPr>
          <w:rFonts w:cs="Times New Roman"/>
          <w:b w:val="0"/>
          <w:szCs w:val="24"/>
        </w:rPr>
        <w:t xml:space="preserve"> to two cations without additional connection to other cations. </w:t>
      </w:r>
    </w:p>
    <w:p w14:paraId="335DCE34" w14:textId="59CEFBC5" w:rsidR="0064576E" w:rsidRPr="000E2377" w:rsidRDefault="0064576E" w:rsidP="00B35373">
      <w:pPr>
        <w:spacing w:after="0"/>
        <w:jc w:val="both"/>
        <w:rPr>
          <w:rFonts w:cs="Times New Roman"/>
          <w:b w:val="0"/>
          <w:szCs w:val="24"/>
        </w:rPr>
      </w:pPr>
    </w:p>
    <w:p w14:paraId="30E5E852" w14:textId="27D45053" w:rsidR="0064576E" w:rsidRPr="000E2377" w:rsidRDefault="004F7456" w:rsidP="004F7456">
      <w:pPr>
        <w:spacing w:after="0" w:line="360" w:lineRule="auto"/>
        <w:jc w:val="both"/>
        <w:rPr>
          <w:rFonts w:cs="Times New Roman"/>
          <w:b w:val="0"/>
          <w:szCs w:val="24"/>
        </w:rPr>
      </w:pPr>
      <w:r>
        <w:rPr>
          <w:rFonts w:cs="Times New Roman"/>
          <w:b w:val="0"/>
          <w:szCs w:val="24"/>
        </w:rPr>
        <w:t xml:space="preserve">Reduction </w:t>
      </w:r>
      <w:r w:rsidR="00C30A6A">
        <w:rPr>
          <w:rFonts w:cs="Times New Roman"/>
          <w:b w:val="0"/>
          <w:szCs w:val="24"/>
        </w:rPr>
        <w:t xml:space="preserve">of network </w:t>
      </w:r>
      <w:r>
        <w:rPr>
          <w:rFonts w:cs="Times New Roman"/>
          <w:b w:val="0"/>
          <w:szCs w:val="24"/>
        </w:rPr>
        <w:t>connectivity</w:t>
      </w:r>
      <w:r w:rsidR="00C30A6A" w:rsidRPr="000E2377">
        <w:rPr>
          <w:rFonts w:cs="Times New Roman"/>
          <w:b w:val="0"/>
          <w:szCs w:val="24"/>
        </w:rPr>
        <w:t xml:space="preserve"> </w:t>
      </w:r>
      <w:r w:rsidR="0064576E" w:rsidRPr="000E2377">
        <w:rPr>
          <w:rFonts w:cs="Times New Roman"/>
          <w:b w:val="0"/>
          <w:szCs w:val="24"/>
        </w:rPr>
        <w:t xml:space="preserve">lowers the </w:t>
      </w:r>
      <w:r w:rsidR="00B94A19" w:rsidRPr="000E2377">
        <w:rPr>
          <w:rFonts w:cs="Times New Roman"/>
          <w:b w:val="0"/>
          <w:szCs w:val="24"/>
        </w:rPr>
        <w:t xml:space="preserve">viscosity at a given temperature and thus the </w:t>
      </w:r>
      <w:r w:rsidR="0064576E" w:rsidRPr="000E2377">
        <w:rPr>
          <w:rFonts w:cs="Times New Roman"/>
          <w:b w:val="0"/>
          <w:szCs w:val="24"/>
        </w:rPr>
        <w:t xml:space="preserve">processing temperature. </w:t>
      </w:r>
      <w:r w:rsidR="0064576E" w:rsidRPr="000E2377">
        <w:rPr>
          <w:rFonts w:asciiTheme="majorBidi" w:hAnsiTheme="majorBidi" w:cstheme="majorBidi"/>
          <w:b w:val="0"/>
          <w:szCs w:val="24"/>
        </w:rPr>
        <w:t xml:space="preserve">Major modifiers include alkali oxides and alkaline earth oxides. </w:t>
      </w:r>
      <w:r w:rsidR="001A5CF0">
        <w:rPr>
          <w:rFonts w:asciiTheme="majorBidi" w:hAnsiTheme="majorBidi" w:cstheme="majorBidi"/>
          <w:b w:val="0"/>
          <w:szCs w:val="24"/>
        </w:rPr>
        <w:t>They are present</w:t>
      </w:r>
      <w:r w:rsidR="0064576E" w:rsidRPr="000E2377">
        <w:rPr>
          <w:rFonts w:asciiTheme="majorBidi" w:hAnsiTheme="majorBidi" w:cstheme="majorBidi"/>
          <w:b w:val="0"/>
          <w:szCs w:val="24"/>
        </w:rPr>
        <w:t xml:space="preserve"> in </w:t>
      </w:r>
      <w:r w:rsidR="001A5CF0">
        <w:rPr>
          <w:rFonts w:asciiTheme="majorBidi" w:hAnsiTheme="majorBidi" w:cstheme="majorBidi"/>
          <w:b w:val="0"/>
          <w:szCs w:val="24"/>
        </w:rPr>
        <w:t>many practical</w:t>
      </w:r>
      <w:r w:rsidR="0064576E" w:rsidRPr="000E2377">
        <w:rPr>
          <w:rFonts w:asciiTheme="majorBidi" w:hAnsiTheme="majorBidi" w:cstheme="majorBidi"/>
          <w:b w:val="0"/>
          <w:szCs w:val="24"/>
        </w:rPr>
        <w:t xml:space="preserve"> silicate</w:t>
      </w:r>
      <w:r w:rsidR="001A5CF0">
        <w:rPr>
          <w:rFonts w:asciiTheme="majorBidi" w:hAnsiTheme="majorBidi" w:cstheme="majorBidi"/>
          <w:b w:val="0"/>
          <w:szCs w:val="24"/>
        </w:rPr>
        <w:t xml:space="preserve"> glasses</w:t>
      </w:r>
      <w:r w:rsidR="0064576E" w:rsidRPr="000E2377">
        <w:rPr>
          <w:rFonts w:asciiTheme="majorBidi" w:hAnsiTheme="majorBidi" w:cstheme="majorBidi"/>
          <w:b w:val="0"/>
          <w:szCs w:val="24"/>
        </w:rPr>
        <w:t xml:space="preserve"> </w:t>
      </w:r>
      <w:r w:rsidR="00B92FFE">
        <w:rPr>
          <w:rFonts w:asciiTheme="majorBidi" w:hAnsiTheme="majorBidi" w:cstheme="majorBidi"/>
          <w:b w:val="0"/>
          <w:szCs w:val="24"/>
        </w:rPr>
        <w:t xml:space="preserve">and </w:t>
      </w:r>
      <w:r w:rsidR="00992D62" w:rsidRPr="000E2377">
        <w:rPr>
          <w:rFonts w:asciiTheme="majorBidi" w:hAnsiTheme="majorBidi" w:cstheme="majorBidi"/>
          <w:b w:val="0"/>
          <w:szCs w:val="24"/>
        </w:rPr>
        <w:t xml:space="preserve">different types of alkali and alkaline earth will </w:t>
      </w:r>
      <w:r w:rsidR="001A5CF0">
        <w:rPr>
          <w:rFonts w:asciiTheme="majorBidi" w:hAnsiTheme="majorBidi" w:cstheme="majorBidi"/>
          <w:b w:val="0"/>
          <w:szCs w:val="24"/>
        </w:rPr>
        <w:t>result in</w:t>
      </w:r>
      <w:r w:rsidR="001A5CF0" w:rsidRPr="000E2377">
        <w:rPr>
          <w:rFonts w:asciiTheme="majorBidi" w:hAnsiTheme="majorBidi" w:cstheme="majorBidi"/>
          <w:b w:val="0"/>
          <w:szCs w:val="24"/>
        </w:rPr>
        <w:t xml:space="preserve"> </w:t>
      </w:r>
      <w:r w:rsidR="00992D62" w:rsidRPr="000E2377">
        <w:rPr>
          <w:rFonts w:asciiTheme="majorBidi" w:hAnsiTheme="majorBidi" w:cstheme="majorBidi"/>
          <w:b w:val="0"/>
          <w:szCs w:val="24"/>
        </w:rPr>
        <w:t xml:space="preserve">different macroscopic properties </w:t>
      </w:r>
      <w:r w:rsidR="0064576E" w:rsidRPr="000E2377">
        <w:rPr>
          <w:rFonts w:asciiTheme="majorBidi" w:hAnsiTheme="majorBidi" w:cstheme="majorBidi"/>
          <w:b w:val="0"/>
          <w:szCs w:val="24"/>
        </w:rPr>
        <w:fldChar w:fldCharType="begin" w:fldLock="1"/>
      </w:r>
      <w:r w:rsidR="00B91DFD" w:rsidRPr="000E2377">
        <w:rPr>
          <w:rFonts w:asciiTheme="majorBidi" w:hAnsiTheme="majorBidi" w:cstheme="majorBidi"/>
          <w:b w:val="0"/>
          <w:szCs w:val="24"/>
        </w:rPr>
        <w:instrText>ADDIN CSL_CITATION { "citationItems" : [ { "id" : "ITEM-1", "itemData" : { "DOI" : "10.1016/j.chemgeo.2005.08.030", "ISSN" : "00092541", "author" : [ { "dropping-particle" : "", "family" : "Richet", "given" : "P", "non-dropping-particle" : "", "parse-names" : false, "suffix" : "" }, { "dropping-particle" : "", "family" : "Roskosz", "given" : "M", "non-dropping-particle" : "", "parse-names" : false, "suffix" : "" }, { "dropping-particle" : "", "family" : "Roux", "given" : "J", "non-dropping-particle" : "", "parse-names" : false, "suffix" : "" } ], "container-title" : "Chemical Geology", "id" : "ITEM-1", "issue" : "3-4", "issued" : { "date-parts" : [ [ "2006", "1", "31" ] ] }, "page" : "388-401", "title" : "Glass formation in silicates: Insights from composition", "type" : "article-journal", "volume" : "225" }, "uris" : [ "http://www.mendeley.com/documents/?uuid=c08c2550-51e8-4d02-945e-1ca9149c09b9" ] } ], "mendeley" : { "formattedCitation" : "(Richet, Roskosz, &amp; Roux, 2006)", "manualFormatting" : "(Richet et al., 2006)", "plainTextFormattedCitation" : "(Richet, Roskosz, &amp; Roux, 2006)", "previouslyFormattedCitation" : "(Richet, Roskosz, &amp; Roux, 2006)" }, "properties" : { "noteIndex" : 0 }, "schema" : "https://github.com/citation-style-language/schema/raw/master/csl-citation.json" }</w:instrText>
      </w:r>
      <w:r w:rsidR="0064576E" w:rsidRPr="000E2377">
        <w:rPr>
          <w:rFonts w:asciiTheme="majorBidi" w:hAnsiTheme="majorBidi" w:cstheme="majorBidi"/>
          <w:b w:val="0"/>
          <w:szCs w:val="24"/>
        </w:rPr>
        <w:fldChar w:fldCharType="separate"/>
      </w:r>
      <w:r w:rsidR="00A57E0D" w:rsidRPr="000E2377">
        <w:rPr>
          <w:rFonts w:asciiTheme="majorBidi" w:hAnsiTheme="majorBidi" w:cstheme="majorBidi"/>
          <w:b w:val="0"/>
          <w:noProof/>
          <w:szCs w:val="24"/>
        </w:rPr>
        <w:t xml:space="preserve">(Richet </w:t>
      </w:r>
      <w:r w:rsidR="00B91DFD" w:rsidRPr="000E2377">
        <w:rPr>
          <w:rFonts w:asciiTheme="majorBidi" w:hAnsiTheme="majorBidi" w:cstheme="majorBidi"/>
          <w:b w:val="0"/>
          <w:noProof/>
          <w:szCs w:val="24"/>
        </w:rPr>
        <w:t>et al.,</w:t>
      </w:r>
      <w:r w:rsidR="00A57E0D" w:rsidRPr="000E2377">
        <w:rPr>
          <w:rFonts w:asciiTheme="majorBidi" w:hAnsiTheme="majorBidi" w:cstheme="majorBidi"/>
          <w:b w:val="0"/>
          <w:noProof/>
          <w:szCs w:val="24"/>
        </w:rPr>
        <w:t xml:space="preserve"> 2006)</w:t>
      </w:r>
      <w:r w:rsidR="0064576E" w:rsidRPr="000E2377">
        <w:rPr>
          <w:rFonts w:asciiTheme="majorBidi" w:hAnsiTheme="majorBidi" w:cstheme="majorBidi"/>
          <w:b w:val="0"/>
          <w:szCs w:val="24"/>
        </w:rPr>
        <w:fldChar w:fldCharType="end"/>
      </w:r>
      <w:r w:rsidR="0064576E" w:rsidRPr="000E2377">
        <w:rPr>
          <w:rFonts w:asciiTheme="majorBidi" w:hAnsiTheme="majorBidi" w:cstheme="majorBidi"/>
          <w:b w:val="0"/>
          <w:szCs w:val="24"/>
        </w:rPr>
        <w:t xml:space="preserve">. </w:t>
      </w:r>
      <w:r w:rsidR="0064576E" w:rsidRPr="000E2377">
        <w:rPr>
          <w:rFonts w:cs="Times New Roman"/>
          <w:b w:val="0"/>
          <w:szCs w:val="24"/>
        </w:rPr>
        <w:t xml:space="preserve">Intermediates have slightly lower </w:t>
      </w:r>
      <w:r w:rsidR="00B94A19" w:rsidRPr="000E2377">
        <w:rPr>
          <w:rFonts w:cs="Times New Roman"/>
          <w:b w:val="0"/>
          <w:szCs w:val="24"/>
        </w:rPr>
        <w:t xml:space="preserve">electronegativities </w:t>
      </w:r>
      <w:r w:rsidR="0064576E" w:rsidRPr="000E2377">
        <w:rPr>
          <w:rFonts w:cs="Times New Roman"/>
          <w:b w:val="0"/>
          <w:szCs w:val="24"/>
        </w:rPr>
        <w:t xml:space="preserve">than network formers and cannot produce glass by themselves. However, intermediates can function as either </w:t>
      </w:r>
      <w:r w:rsidR="00B94A19" w:rsidRPr="000E2377">
        <w:rPr>
          <w:rFonts w:cs="Times New Roman"/>
          <w:b w:val="0"/>
          <w:szCs w:val="24"/>
        </w:rPr>
        <w:t xml:space="preserve">a </w:t>
      </w:r>
      <w:r w:rsidR="0064576E" w:rsidRPr="000E2377">
        <w:rPr>
          <w:rFonts w:cs="Times New Roman"/>
          <w:b w:val="0"/>
          <w:szCs w:val="24"/>
        </w:rPr>
        <w:t xml:space="preserve">network former or </w:t>
      </w:r>
      <w:r w:rsidR="00B94A19" w:rsidRPr="000E2377">
        <w:rPr>
          <w:rFonts w:cs="Times New Roman"/>
          <w:b w:val="0"/>
          <w:szCs w:val="24"/>
        </w:rPr>
        <w:t xml:space="preserve">a </w:t>
      </w:r>
      <w:r w:rsidR="0064576E" w:rsidRPr="000E2377">
        <w:rPr>
          <w:rFonts w:cs="Times New Roman"/>
          <w:b w:val="0"/>
          <w:szCs w:val="24"/>
        </w:rPr>
        <w:t>network modifier depending on the glass composition. Addition of intermediates tend</w:t>
      </w:r>
      <w:r w:rsidR="00284CC3">
        <w:rPr>
          <w:rFonts w:cs="Times New Roman"/>
          <w:b w:val="0"/>
          <w:szCs w:val="24"/>
        </w:rPr>
        <w:t>s</w:t>
      </w:r>
      <w:r w:rsidR="0064576E" w:rsidRPr="000E2377">
        <w:rPr>
          <w:rFonts w:cs="Times New Roman"/>
          <w:b w:val="0"/>
          <w:szCs w:val="24"/>
        </w:rPr>
        <w:t xml:space="preserve"> to modify thermal and mechanical behaviour.  Examples of intermediates are Al</w:t>
      </w:r>
      <w:r w:rsidR="0064576E" w:rsidRPr="000E2377">
        <w:rPr>
          <w:rFonts w:cs="Times New Roman"/>
          <w:b w:val="0"/>
          <w:szCs w:val="24"/>
          <w:vertAlign w:val="subscript"/>
        </w:rPr>
        <w:t>2</w:t>
      </w:r>
      <w:r w:rsidR="0064576E" w:rsidRPr="000E2377">
        <w:rPr>
          <w:rFonts w:cs="Times New Roman"/>
          <w:b w:val="0"/>
          <w:szCs w:val="24"/>
        </w:rPr>
        <w:t>O</w:t>
      </w:r>
      <w:r w:rsidR="0064576E" w:rsidRPr="000E2377">
        <w:rPr>
          <w:rFonts w:cs="Times New Roman"/>
          <w:b w:val="0"/>
          <w:szCs w:val="24"/>
          <w:vertAlign w:val="subscript"/>
        </w:rPr>
        <w:t>3</w:t>
      </w:r>
      <w:r w:rsidR="0064576E" w:rsidRPr="000E2377">
        <w:rPr>
          <w:rFonts w:cs="Times New Roman"/>
          <w:b w:val="0"/>
          <w:szCs w:val="24"/>
        </w:rPr>
        <w:t>, TiO</w:t>
      </w:r>
      <w:r w:rsidR="0064576E" w:rsidRPr="000E2377">
        <w:rPr>
          <w:rFonts w:cs="Times New Roman"/>
          <w:b w:val="0"/>
          <w:szCs w:val="24"/>
          <w:vertAlign w:val="subscript"/>
        </w:rPr>
        <w:t>2</w:t>
      </w:r>
      <w:r w:rsidR="0064576E" w:rsidRPr="000E2377">
        <w:rPr>
          <w:rFonts w:cs="Times New Roman"/>
          <w:b w:val="0"/>
          <w:szCs w:val="24"/>
        </w:rPr>
        <w:t xml:space="preserve"> and ZrO</w:t>
      </w:r>
      <w:r w:rsidR="0064576E" w:rsidRPr="000E2377">
        <w:rPr>
          <w:rFonts w:cs="Times New Roman"/>
          <w:b w:val="0"/>
          <w:szCs w:val="24"/>
          <w:vertAlign w:val="subscript"/>
        </w:rPr>
        <w:t>2</w:t>
      </w:r>
      <w:r w:rsidR="00B15B3C">
        <w:rPr>
          <w:rFonts w:cs="Times New Roman"/>
          <w:b w:val="0"/>
          <w:szCs w:val="24"/>
          <w:vertAlign w:val="subscript"/>
        </w:rPr>
        <w:t xml:space="preserve"> </w:t>
      </w:r>
      <w:r w:rsidR="00B15B3C">
        <w:rPr>
          <w:rFonts w:cs="Times New Roman"/>
          <w:b w:val="0"/>
          <w:szCs w:val="24"/>
        </w:rPr>
        <w:t>(Shelby, 2005)</w:t>
      </w:r>
      <w:r w:rsidR="0064576E" w:rsidRPr="000E2377">
        <w:rPr>
          <w:rFonts w:cs="Times New Roman"/>
          <w:b w:val="0"/>
          <w:szCs w:val="24"/>
        </w:rPr>
        <w:t xml:space="preserve">. </w:t>
      </w:r>
    </w:p>
    <w:p w14:paraId="6E2A8041" w14:textId="77777777" w:rsidR="005D52D8" w:rsidRPr="000E2377" w:rsidRDefault="005D52D8" w:rsidP="0064576E">
      <w:pPr>
        <w:spacing w:after="0" w:line="360" w:lineRule="auto"/>
        <w:ind w:firstLine="720"/>
        <w:jc w:val="both"/>
        <w:rPr>
          <w:rFonts w:cs="Times New Roman"/>
          <w:b w:val="0"/>
          <w:szCs w:val="24"/>
        </w:rPr>
      </w:pPr>
    </w:p>
    <w:p w14:paraId="7F0E5EA9" w14:textId="127F6E67" w:rsidR="0064576E" w:rsidRPr="000E2377" w:rsidRDefault="0064576E" w:rsidP="007C3DD8">
      <w:pPr>
        <w:pStyle w:val="Heading3"/>
        <w:rPr>
          <w:rFonts w:eastAsia="Calibri"/>
          <w:lang w:eastAsia="tr-TR"/>
        </w:rPr>
      </w:pPr>
      <w:bookmarkStart w:id="61" w:name="_Toc523402869"/>
      <w:bookmarkStart w:id="62" w:name="_Toc525526380"/>
      <w:bookmarkStart w:id="63" w:name="_Toc525707797"/>
      <w:bookmarkStart w:id="64" w:name="_Toc525742461"/>
      <w:bookmarkStart w:id="65" w:name="_Toc12994939"/>
      <w:r w:rsidRPr="000E2377">
        <w:rPr>
          <w:rFonts w:eastAsia="Calibri"/>
          <w:lang w:eastAsia="tr-TR"/>
        </w:rPr>
        <w:lastRenderedPageBreak/>
        <w:t>2.3 Modifiers and Q species</w:t>
      </w:r>
      <w:bookmarkEnd w:id="61"/>
      <w:bookmarkEnd w:id="62"/>
      <w:bookmarkEnd w:id="63"/>
      <w:bookmarkEnd w:id="64"/>
      <w:bookmarkEnd w:id="65"/>
    </w:p>
    <w:p w14:paraId="65528788" w14:textId="5626C286" w:rsidR="0064576E" w:rsidRPr="000E2377" w:rsidRDefault="0064576E" w:rsidP="002A0A8C">
      <w:pPr>
        <w:spacing w:after="0" w:line="360" w:lineRule="auto"/>
        <w:jc w:val="both"/>
        <w:rPr>
          <w:rFonts w:asciiTheme="majorBidi" w:hAnsiTheme="majorBidi" w:cstheme="majorBidi"/>
          <w:b w:val="0"/>
          <w:szCs w:val="24"/>
        </w:rPr>
      </w:pPr>
      <w:r w:rsidRPr="000E2377">
        <w:rPr>
          <w:rFonts w:asciiTheme="majorBidi" w:hAnsiTheme="majorBidi" w:cstheme="majorBidi"/>
          <w:b w:val="0"/>
          <w:color w:val="000000" w:themeColor="text1"/>
          <w:szCs w:val="24"/>
        </w:rPr>
        <w:t>Pure silica has a fully bonded network of SiO</w:t>
      </w:r>
      <w:r w:rsidRPr="000E2377">
        <w:rPr>
          <w:rFonts w:asciiTheme="majorBidi" w:hAnsiTheme="majorBidi" w:cstheme="majorBidi"/>
          <w:b w:val="0"/>
          <w:color w:val="000000" w:themeColor="text1"/>
          <w:szCs w:val="24"/>
          <w:vertAlign w:val="subscript"/>
        </w:rPr>
        <w:t>4</w:t>
      </w:r>
      <w:r w:rsidRPr="000E2377">
        <w:rPr>
          <w:rFonts w:asciiTheme="majorBidi" w:hAnsiTheme="majorBidi" w:cstheme="majorBidi"/>
          <w:b w:val="0"/>
          <w:color w:val="000000" w:themeColor="text1"/>
          <w:szCs w:val="24"/>
        </w:rPr>
        <w:t xml:space="preserve"> tetrahedra </w:t>
      </w:r>
      <w:r w:rsidRPr="000E2377">
        <w:rPr>
          <w:rFonts w:asciiTheme="majorBidi" w:hAnsiTheme="majorBidi" w:cstheme="majorBidi"/>
          <w:b w:val="0"/>
          <w:color w:val="000000" w:themeColor="text1"/>
          <w:szCs w:val="24"/>
        </w:rPr>
        <w:fldChar w:fldCharType="begin" w:fldLock="1"/>
      </w:r>
      <w:r w:rsidR="00F82BA8">
        <w:rPr>
          <w:rFonts w:asciiTheme="majorBidi" w:hAnsiTheme="majorBidi" w:cstheme="majorBidi"/>
          <w:b w:val="0"/>
          <w:color w:val="000000" w:themeColor="text1"/>
          <w:szCs w:val="24"/>
        </w:rPr>
        <w:instrText>ADDIN CSL_CITATION { "citationItems" : [ { "id" : "ITEM-1", "itemData" : { "DOI" : "10.1111/jace.12298", "author" : [ { "dropping-particle" : "", "family" : "Smedskjaer", "given" : "Morten M", "non-dropping-particle" : "", "parse-names" : false, "suffix" : "" }, { "dropping-particle" : "", "family" : "Mauro", "given" : "John C", "non-dropping-particle" : "", "parse-names" : false, "suffix" : "" }, { "dropping-particle" : "", "family" : "Kjeldsen", "given" : "Jonas", "non-dropping-particle" : "", "parse-names" : false, "suffix" : "" }, { "dropping-particle" : "", "family" : "Yue", "given" : "Yuanzheng", "non-dropping-particle" : "", "parse-names" : false, "suffix" : "" } ], "id" : "ITEM-1", "issued" : { "date-parts" : [ [ "2013" ] ] }, "page" : "1436-1443", "title" : "Microscopic Origins of Compositional Trends in Aluminosilicate Glass", "type" : "article-journal", "volume" : "1443" }, "uris" : [ "http://www.mendeley.com/documents/?uuid=6b6f00b5-804d-4f22-a4d6-e6433cd646e0" ] } ], "mendeley" : { "formattedCitation" : "(Smedskjaer, Mauro, et al., 2013)", "manualFormatting" : "(Smedskjaer et al., 2013)", "plainTextFormattedCitation" : "(Smedskjaer, Mauro, et al., 2013)", "previouslyFormattedCitation" : "(Smedskjaer, Mauro, et al., 2013)" }, "properties" : { "noteIndex" : 0 }, "schema" : "https://github.com/citation-style-language/schema/raw/master/csl-citation.json" }</w:instrText>
      </w:r>
      <w:r w:rsidRPr="000E2377">
        <w:rPr>
          <w:rFonts w:asciiTheme="majorBidi" w:hAnsiTheme="majorBidi" w:cstheme="majorBidi"/>
          <w:b w:val="0"/>
          <w:color w:val="000000" w:themeColor="text1"/>
          <w:szCs w:val="24"/>
        </w:rPr>
        <w:fldChar w:fldCharType="separate"/>
      </w:r>
      <w:r w:rsidRPr="000E2377">
        <w:rPr>
          <w:rFonts w:asciiTheme="majorBidi" w:hAnsiTheme="majorBidi" w:cstheme="majorBidi"/>
          <w:b w:val="0"/>
          <w:noProof/>
          <w:color w:val="000000" w:themeColor="text1"/>
          <w:szCs w:val="24"/>
        </w:rPr>
        <w:t>(Smedskjaer et al.</w:t>
      </w:r>
      <w:r w:rsidR="00B7305C">
        <w:rPr>
          <w:rFonts w:asciiTheme="majorBidi" w:hAnsiTheme="majorBidi" w:cstheme="majorBidi"/>
          <w:b w:val="0"/>
          <w:noProof/>
          <w:color w:val="000000" w:themeColor="text1"/>
          <w:szCs w:val="24"/>
        </w:rPr>
        <w:t>,</w:t>
      </w:r>
      <w:r w:rsidRPr="000E2377">
        <w:rPr>
          <w:rFonts w:asciiTheme="majorBidi" w:hAnsiTheme="majorBidi" w:cstheme="majorBidi"/>
          <w:b w:val="0"/>
          <w:noProof/>
          <w:color w:val="000000" w:themeColor="text1"/>
          <w:szCs w:val="24"/>
        </w:rPr>
        <w:t xml:space="preserve"> 2013)</w:t>
      </w:r>
      <w:r w:rsidRPr="000E2377">
        <w:rPr>
          <w:rFonts w:asciiTheme="majorBidi" w:hAnsiTheme="majorBidi" w:cstheme="majorBidi"/>
          <w:b w:val="0"/>
          <w:color w:val="000000" w:themeColor="text1"/>
          <w:szCs w:val="24"/>
        </w:rPr>
        <w:fldChar w:fldCharType="end"/>
      </w:r>
      <w:r w:rsidR="00090410" w:rsidRPr="000E2377">
        <w:rPr>
          <w:rFonts w:asciiTheme="majorBidi" w:hAnsiTheme="majorBidi" w:cstheme="majorBidi"/>
          <w:b w:val="0"/>
          <w:color w:val="000000" w:themeColor="text1"/>
          <w:szCs w:val="24"/>
        </w:rPr>
        <w:t xml:space="preserve"> hence i</w:t>
      </w:r>
      <w:r w:rsidR="00090410" w:rsidRPr="000E2377">
        <w:rPr>
          <w:rFonts w:cs="Times New Roman"/>
          <w:b w:val="0"/>
          <w:szCs w:val="24"/>
        </w:rPr>
        <w:t xml:space="preserve">n vitreous silica, only Si-O-Si bridging oxygens are present. </w:t>
      </w:r>
      <w:r w:rsidRPr="000E2377">
        <w:rPr>
          <w:rFonts w:asciiTheme="majorBidi" w:hAnsiTheme="majorBidi" w:cstheme="majorBidi"/>
          <w:b w:val="0"/>
          <w:color w:val="000000" w:themeColor="text1"/>
          <w:szCs w:val="24"/>
        </w:rPr>
        <w:t>However, an addition of a network modifier, (M</w:t>
      </w:r>
      <w:r w:rsidRPr="000E2377">
        <w:rPr>
          <w:rFonts w:asciiTheme="majorBidi" w:hAnsiTheme="majorBidi" w:cstheme="majorBidi"/>
          <w:b w:val="0"/>
          <w:color w:val="000000" w:themeColor="text1"/>
          <w:szCs w:val="24"/>
          <w:vertAlign w:val="subscript"/>
        </w:rPr>
        <w:t>2</w:t>
      </w:r>
      <w:r w:rsidRPr="000E2377">
        <w:rPr>
          <w:rFonts w:asciiTheme="majorBidi" w:hAnsiTheme="majorBidi" w:cstheme="majorBidi"/>
          <w:b w:val="0"/>
          <w:color w:val="000000" w:themeColor="text1"/>
          <w:szCs w:val="24"/>
        </w:rPr>
        <w:t xml:space="preserve">O or MO) will modify this silicate structure and decrease the degree of polymerisation by </w:t>
      </w:r>
      <w:r w:rsidRPr="000E2377">
        <w:rPr>
          <w:b w:val="0"/>
        </w:rPr>
        <w:t>replacing Si – O – Si bridges with Si – O – M bonds</w:t>
      </w:r>
      <w:r w:rsidR="00A74B0C">
        <w:rPr>
          <w:b w:val="0"/>
        </w:rPr>
        <w:t>,</w:t>
      </w:r>
      <w:r w:rsidRPr="000E2377">
        <w:rPr>
          <w:b w:val="0"/>
        </w:rPr>
        <w:t xml:space="preserve"> i.e. </w:t>
      </w:r>
      <w:r w:rsidR="00957E50">
        <w:rPr>
          <w:b w:val="0"/>
        </w:rPr>
        <w:t xml:space="preserve">by </w:t>
      </w:r>
      <w:r w:rsidRPr="000E2377">
        <w:rPr>
          <w:b w:val="0"/>
        </w:rPr>
        <w:t>creating non-bridging oxygens (NBOs)</w:t>
      </w:r>
      <w:r w:rsidRPr="000E2377">
        <w:t xml:space="preserve"> </w:t>
      </w:r>
      <w:r w:rsidRPr="000E2377">
        <w:rPr>
          <w:rFonts w:asciiTheme="majorBidi" w:hAnsiTheme="majorBidi" w:cstheme="majorBidi"/>
          <w:b w:val="0"/>
          <w:color w:val="000000" w:themeColor="text1"/>
          <w:szCs w:val="24"/>
        </w:rPr>
        <w:fldChar w:fldCharType="begin" w:fldLock="1"/>
      </w:r>
      <w:r w:rsidR="0003369E">
        <w:rPr>
          <w:rFonts w:asciiTheme="majorBidi" w:hAnsiTheme="majorBidi" w:cstheme="majorBidi"/>
          <w:b w:val="0"/>
          <w:color w:val="000000" w:themeColor="text1"/>
          <w:szCs w:val="24"/>
        </w:rPr>
        <w:instrText>ADDIN CSL_CITATION { "citationItems" : [ { "id" : "ITEM-1", "itemData" : { "DOI" : "10.1016/S0022-3093(01)00656-1", "ISSN" : "00223093", "abstract" : "29Si and 23Na magic angle spinning (MAS) NMR has been used as an atomic probe for structural characterisation of soda-lime-silicate glasses. The glasses studied are based on the composition (CaO)x(Na2Si3O7), where x is varied from x = 0 to x = 1, (increasing CaO from 0 to 20 mol%) finally matching the Na2O fraction. The glass network becomes increasingly depolymerised by increasing CaO, and shows a changing distribution of Qn species. Two Q species have been observed co-existing for compositions, where x = 0, 0.2 and 1, while for compositions, where x = 0.4 and x = 0.8, Q2, Q3 and Q4 are present. Progressive changes in chemical shifts of Q2 and Q3 species, and changes in FWHM of all detected Qn species accompany the addition of CaO. The addition of CaO introduces a greater distortion into the structure, and there is evidence to suggest preferential arrangement of Ca in the vicinity of Q2 species rather than Q3. ?? 2001 Published by Elsevier Science B.V.", "author" : [ { "dropping-particle" : "", "family" : "Jones", "given" : "A. R.", "non-dropping-particle" : "", "parse-names" : false, "suffix" : "" }, { "dropping-particle" : "", "family" : "Winter", "given" : "R.", "non-dropping-particle" : "", "parse-names" : false, "suffix" : "" }, { "dropping-particle" : "", "family" : "Greaves", "given" : "G. N.", "non-dropping-particle" : "", "parse-names" : false, "suffix" : "" }, { "dropping-particle" : "", "family" : "Smith", "given" : "I. H.", "non-dropping-particle" : "", "parse-names" : false, "suffix" : "" } ], "container-title" : "Journal of Non-Crystalline Solids", "id" : "ITEM-1", "issue" : "1", "issued" : { "date-parts" : [ [ "2001" ] ] }, "page" : "87-92", "title" : "MAS NMR study of soda-lime-silicate glasses with variable degree of polymerisation", "type" : "article-journal", "volume" : "293-295" }, "uris" : [ "http://www.mendeley.com/documents/?uuid=06dcd50a-fffa-4343-803e-8819b0b32671" ] } ], "mendeley" : { "formattedCitation" : "(Jones, Winter, Greaves, &amp; Smith, 2001)", "manualFormatting" : "(Jones et al., 2001)", "plainTextFormattedCitation" : "(Jones, Winter, Greaves, &amp; Smith, 2001)", "previouslyFormattedCitation" : "(Jones, Winter, Greaves, &amp; Smith, 2001)" }, "properties" : { "noteIndex" : 0 }, "schema" : "https://github.com/citation-style-language/schema/raw/master/csl-citation.json" }</w:instrText>
      </w:r>
      <w:r w:rsidRPr="000E2377">
        <w:rPr>
          <w:rFonts w:asciiTheme="majorBidi" w:hAnsiTheme="majorBidi" w:cstheme="majorBidi"/>
          <w:b w:val="0"/>
          <w:color w:val="000000" w:themeColor="text1"/>
          <w:szCs w:val="24"/>
        </w:rPr>
        <w:fldChar w:fldCharType="separate"/>
      </w:r>
      <w:r w:rsidR="00557C45" w:rsidRPr="000E2377">
        <w:rPr>
          <w:rFonts w:asciiTheme="majorBidi" w:hAnsiTheme="majorBidi" w:cstheme="majorBidi"/>
          <w:b w:val="0"/>
          <w:noProof/>
          <w:color w:val="000000" w:themeColor="text1"/>
          <w:szCs w:val="24"/>
        </w:rPr>
        <w:t xml:space="preserve">(Jones </w:t>
      </w:r>
      <w:r w:rsidR="0003369E">
        <w:rPr>
          <w:rFonts w:asciiTheme="majorBidi" w:hAnsiTheme="majorBidi" w:cstheme="majorBidi"/>
          <w:b w:val="0"/>
          <w:noProof/>
          <w:color w:val="000000" w:themeColor="text1"/>
          <w:szCs w:val="24"/>
        </w:rPr>
        <w:t>et al.,</w:t>
      </w:r>
      <w:r w:rsidR="00557C45" w:rsidRPr="000E2377">
        <w:rPr>
          <w:rFonts w:asciiTheme="majorBidi" w:hAnsiTheme="majorBidi" w:cstheme="majorBidi"/>
          <w:b w:val="0"/>
          <w:noProof/>
          <w:color w:val="000000" w:themeColor="text1"/>
          <w:szCs w:val="24"/>
        </w:rPr>
        <w:t xml:space="preserve"> 2001)</w:t>
      </w:r>
      <w:r w:rsidRPr="000E2377">
        <w:rPr>
          <w:rFonts w:asciiTheme="majorBidi" w:hAnsiTheme="majorBidi" w:cstheme="majorBidi"/>
          <w:b w:val="0"/>
          <w:color w:val="000000" w:themeColor="text1"/>
          <w:szCs w:val="24"/>
        </w:rPr>
        <w:fldChar w:fldCharType="end"/>
      </w:r>
      <w:r w:rsidRPr="000E2377">
        <w:rPr>
          <w:rFonts w:asciiTheme="majorBidi" w:hAnsiTheme="majorBidi" w:cstheme="majorBidi"/>
          <w:b w:val="0"/>
          <w:color w:val="000000" w:themeColor="text1"/>
          <w:szCs w:val="24"/>
        </w:rPr>
        <w:t xml:space="preserve">. </w:t>
      </w:r>
      <w:r w:rsidRPr="000E2377">
        <w:rPr>
          <w:rFonts w:asciiTheme="majorBidi" w:hAnsiTheme="majorBidi" w:cstheme="majorBidi"/>
          <w:b w:val="0"/>
          <w:szCs w:val="24"/>
        </w:rPr>
        <w:t xml:space="preserve">Q species are used to describe the connectivity of silicate tetrahedra, where </w:t>
      </w:r>
      <w:proofErr w:type="spellStart"/>
      <w:r w:rsidRPr="000E2377">
        <w:rPr>
          <w:rFonts w:asciiTheme="majorBidi" w:hAnsiTheme="majorBidi" w:cstheme="majorBidi"/>
          <w:b w:val="0"/>
          <w:szCs w:val="24"/>
        </w:rPr>
        <w:t>Q</w:t>
      </w:r>
      <w:r w:rsidRPr="000E2377">
        <w:rPr>
          <w:rFonts w:asciiTheme="majorBidi" w:hAnsiTheme="majorBidi" w:cstheme="majorBidi"/>
          <w:b w:val="0"/>
          <w:szCs w:val="24"/>
          <w:vertAlign w:val="superscript"/>
        </w:rPr>
        <w:t>n</w:t>
      </w:r>
      <w:proofErr w:type="spellEnd"/>
      <w:r w:rsidRPr="000E2377">
        <w:rPr>
          <w:rFonts w:asciiTheme="majorBidi" w:hAnsiTheme="majorBidi" w:cstheme="majorBidi"/>
          <w:b w:val="0"/>
          <w:szCs w:val="24"/>
        </w:rPr>
        <w:t xml:space="preserve"> indicates the number of bridging oxygens (BOs) in the network. Q</w:t>
      </w:r>
      <w:r w:rsidRPr="000E2377">
        <w:rPr>
          <w:rFonts w:asciiTheme="majorBidi" w:hAnsiTheme="majorBidi" w:cstheme="majorBidi"/>
          <w:b w:val="0"/>
          <w:szCs w:val="24"/>
          <w:vertAlign w:val="superscript"/>
        </w:rPr>
        <w:t>0</w:t>
      </w:r>
      <w:r w:rsidRPr="000E2377">
        <w:rPr>
          <w:rFonts w:asciiTheme="majorBidi" w:hAnsiTheme="majorBidi" w:cstheme="majorBidi"/>
          <w:b w:val="0"/>
          <w:szCs w:val="24"/>
        </w:rPr>
        <w:t xml:space="preserve"> means that the </w:t>
      </w:r>
      <w:r w:rsidRPr="000E2377">
        <w:rPr>
          <w:b w:val="0"/>
        </w:rPr>
        <w:t>SiO</w:t>
      </w:r>
      <w:r w:rsidRPr="000E2377">
        <w:rPr>
          <w:b w:val="0"/>
          <w:vertAlign w:val="subscript"/>
        </w:rPr>
        <w:t>4</w:t>
      </w:r>
      <w:r w:rsidRPr="000E2377">
        <w:rPr>
          <w:b w:val="0"/>
        </w:rPr>
        <w:t xml:space="preserve"> tetrahedron is isolated from the network as it has no BOs</w:t>
      </w:r>
      <w:r w:rsidRPr="000E2377">
        <w:rPr>
          <w:rFonts w:asciiTheme="majorBidi" w:hAnsiTheme="majorBidi" w:cstheme="majorBidi"/>
          <w:b w:val="0"/>
          <w:szCs w:val="24"/>
        </w:rPr>
        <w:t xml:space="preserve"> and Q</w:t>
      </w:r>
      <w:r w:rsidRPr="000E2377">
        <w:rPr>
          <w:rFonts w:asciiTheme="majorBidi" w:hAnsiTheme="majorBidi" w:cstheme="majorBidi"/>
          <w:b w:val="0"/>
          <w:szCs w:val="24"/>
          <w:vertAlign w:val="superscript"/>
        </w:rPr>
        <w:t xml:space="preserve">4 </w:t>
      </w:r>
      <w:r w:rsidRPr="000E2377">
        <w:rPr>
          <w:rFonts w:asciiTheme="majorBidi" w:hAnsiTheme="majorBidi" w:cstheme="majorBidi"/>
          <w:b w:val="0"/>
          <w:szCs w:val="24"/>
        </w:rPr>
        <w:t>means that the SiO</w:t>
      </w:r>
      <w:r w:rsidRPr="000E2377">
        <w:rPr>
          <w:rFonts w:asciiTheme="majorBidi" w:hAnsiTheme="majorBidi" w:cstheme="majorBidi"/>
          <w:b w:val="0"/>
          <w:szCs w:val="24"/>
          <w:vertAlign w:val="subscript"/>
        </w:rPr>
        <w:t>4</w:t>
      </w:r>
      <w:r w:rsidRPr="000E2377">
        <w:rPr>
          <w:rFonts w:asciiTheme="majorBidi" w:hAnsiTheme="majorBidi" w:cstheme="majorBidi"/>
          <w:b w:val="0"/>
          <w:szCs w:val="24"/>
        </w:rPr>
        <w:t xml:space="preserve"> tetrahedron is fully connected. Figure 2.3 shows diagra</w:t>
      </w:r>
      <w:r w:rsidR="00306D59">
        <w:rPr>
          <w:rFonts w:asciiTheme="majorBidi" w:hAnsiTheme="majorBidi" w:cstheme="majorBidi"/>
          <w:b w:val="0"/>
          <w:szCs w:val="24"/>
        </w:rPr>
        <w:t>m</w:t>
      </w:r>
      <w:r w:rsidRPr="000E2377">
        <w:rPr>
          <w:rFonts w:asciiTheme="majorBidi" w:hAnsiTheme="majorBidi" w:cstheme="majorBidi"/>
          <w:b w:val="0"/>
          <w:szCs w:val="24"/>
        </w:rPr>
        <w:t xml:space="preserve">matically the Q species in a silica </w:t>
      </w:r>
      <w:r w:rsidR="009E66BC">
        <w:rPr>
          <w:rFonts w:asciiTheme="majorBidi" w:hAnsiTheme="majorBidi" w:cstheme="majorBidi"/>
          <w:b w:val="0"/>
          <w:szCs w:val="24"/>
        </w:rPr>
        <w:t xml:space="preserve">based </w:t>
      </w:r>
      <w:r w:rsidRPr="000E2377">
        <w:rPr>
          <w:rFonts w:asciiTheme="majorBidi" w:hAnsiTheme="majorBidi" w:cstheme="majorBidi"/>
          <w:b w:val="0"/>
          <w:szCs w:val="24"/>
        </w:rPr>
        <w:t>network.</w:t>
      </w:r>
    </w:p>
    <w:p w14:paraId="5BEE57C4" w14:textId="3AEDDAE4" w:rsidR="0064576E" w:rsidRPr="000E2377" w:rsidRDefault="00AF5DA5" w:rsidP="0064576E">
      <w:pPr>
        <w:spacing w:line="360" w:lineRule="auto"/>
        <w:ind w:firstLine="720"/>
        <w:jc w:val="both"/>
        <w:rPr>
          <w:rFonts w:asciiTheme="majorBidi" w:hAnsiTheme="majorBidi" w:cstheme="majorBidi"/>
          <w:b w:val="0"/>
          <w:szCs w:val="24"/>
        </w:rPr>
      </w:pPr>
      <w:r w:rsidRPr="000E2377">
        <w:rPr>
          <w:noProof/>
          <w:lang w:eastAsia="en-MY"/>
        </w:rPr>
        <w:drawing>
          <wp:inline distT="0" distB="0" distL="0" distR="0" wp14:anchorId="51F33C96" wp14:editId="24360283">
            <wp:extent cx="5626735" cy="1606550"/>
            <wp:effectExtent l="0" t="0" r="0" b="0"/>
            <wp:docPr id="1633" name="Picture 1633" descr="D:\extra document\q speci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xtra document\q species.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6735" cy="1606550"/>
                    </a:xfrm>
                    <a:prstGeom prst="rect">
                      <a:avLst/>
                    </a:prstGeom>
                    <a:noFill/>
                    <a:ln>
                      <a:noFill/>
                    </a:ln>
                  </pic:spPr>
                </pic:pic>
              </a:graphicData>
            </a:graphic>
          </wp:inline>
        </w:drawing>
      </w:r>
    </w:p>
    <w:p w14:paraId="61A9D790" w14:textId="171EBD30" w:rsidR="0064576E" w:rsidRPr="000E2377" w:rsidRDefault="004B3A51" w:rsidP="00CD0E4F">
      <w:pPr>
        <w:pStyle w:val="Caption"/>
        <w:rPr>
          <w:rFonts w:asciiTheme="majorBidi" w:hAnsiTheme="majorBidi" w:cstheme="majorBidi"/>
          <w:szCs w:val="24"/>
        </w:rPr>
      </w:pPr>
      <w:bookmarkStart w:id="66" w:name="_Toc521420438"/>
      <w:bookmarkStart w:id="67" w:name="_Toc525223177"/>
      <w:bookmarkStart w:id="68" w:name="_Toc525528325"/>
      <w:bookmarkStart w:id="69" w:name="_Toc525706340"/>
      <w:bookmarkStart w:id="70" w:name="_Hlk515393495"/>
      <w:r w:rsidRPr="000E2377">
        <w:t xml:space="preserve">Figure </w:t>
      </w:r>
      <w:r w:rsidR="00DE32A9">
        <w:t>2</w:t>
      </w:r>
      <w:r w:rsidR="002513FF" w:rsidRPr="000E2377">
        <w:t>.</w:t>
      </w:r>
      <w:r w:rsidR="002513FF" w:rsidRPr="000E2377">
        <w:fldChar w:fldCharType="begin"/>
      </w:r>
      <w:r w:rsidR="002513FF" w:rsidRPr="000E2377">
        <w:instrText xml:space="preserve"> SEQ Figure \* ARABIC \s 1 </w:instrText>
      </w:r>
      <w:r w:rsidR="002513FF" w:rsidRPr="000E2377">
        <w:fldChar w:fldCharType="separate"/>
      </w:r>
      <w:r w:rsidR="00C827AE">
        <w:rPr>
          <w:noProof/>
        </w:rPr>
        <w:t>3</w:t>
      </w:r>
      <w:r w:rsidR="002513FF" w:rsidRPr="000E2377">
        <w:fldChar w:fldCharType="end"/>
      </w:r>
      <w:r w:rsidR="0064576E" w:rsidRPr="000E2377">
        <w:rPr>
          <w:rFonts w:asciiTheme="majorBidi" w:hAnsiTheme="majorBidi" w:cstheme="majorBidi"/>
          <w:bCs w:val="0"/>
          <w:szCs w:val="24"/>
        </w:rPr>
        <w:t xml:space="preserve">: </w:t>
      </w:r>
      <w:proofErr w:type="spellStart"/>
      <w:r w:rsidR="0064576E" w:rsidRPr="000E2377">
        <w:rPr>
          <w:rFonts w:asciiTheme="majorBidi" w:hAnsiTheme="majorBidi" w:cstheme="majorBidi"/>
          <w:szCs w:val="24"/>
        </w:rPr>
        <w:t>Q</w:t>
      </w:r>
      <w:r w:rsidR="0064576E" w:rsidRPr="000E2377">
        <w:rPr>
          <w:rFonts w:asciiTheme="majorBidi" w:hAnsiTheme="majorBidi" w:cstheme="majorBidi"/>
          <w:szCs w:val="24"/>
          <w:vertAlign w:val="superscript"/>
        </w:rPr>
        <w:t>n</w:t>
      </w:r>
      <w:proofErr w:type="spellEnd"/>
      <w:r w:rsidR="0064576E" w:rsidRPr="000E2377">
        <w:rPr>
          <w:rFonts w:asciiTheme="majorBidi" w:hAnsiTheme="majorBidi" w:cstheme="majorBidi"/>
          <w:szCs w:val="24"/>
        </w:rPr>
        <w:t xml:space="preserve"> species in silicate glass network</w:t>
      </w:r>
      <w:r w:rsidR="0064576E" w:rsidRPr="000E2377">
        <w:rPr>
          <w:rFonts w:asciiTheme="majorBidi" w:hAnsiTheme="majorBidi" w:cstheme="majorBidi"/>
          <w:bCs w:val="0"/>
          <w:szCs w:val="24"/>
        </w:rPr>
        <w:t xml:space="preserve"> </w:t>
      </w:r>
      <w:r w:rsidR="0064576E" w:rsidRPr="000E2377">
        <w:rPr>
          <w:rFonts w:asciiTheme="majorBidi" w:hAnsiTheme="majorBidi" w:cstheme="majorBidi"/>
          <w:bCs w:val="0"/>
          <w:szCs w:val="24"/>
        </w:rPr>
        <w:fldChar w:fldCharType="begin" w:fldLock="1"/>
      </w:r>
      <w:r w:rsidR="002A61DC" w:rsidRPr="000E2377">
        <w:rPr>
          <w:rFonts w:asciiTheme="majorBidi" w:hAnsiTheme="majorBidi" w:cstheme="majorBidi"/>
          <w:bCs w:val="0"/>
          <w:szCs w:val="24"/>
        </w:rPr>
        <w:instrText>ADDIN CSL_CITATION { "citationItems" : [ { "id" : "ITEM-1", "itemData" : { "ISBN" : "0387984801", "author" : [ { "dropping-particle" : "", "family" : "Varshneya", "given" : "Arun K.", "non-dropping-particle" : "", "parse-names" : false, "suffix" : "" } ], "id" : "ITEM-1", "issue" : "x", "issued" : { "date-parts" : [ [ "2013" ] ] }, "publisher" : "Society of Glass Technology", "title" : "Fundamental of Inorganic Glass", "type" : "article" }, "uris" : [ "http://www.mendeley.com/documents/?uuid=b9a0b53c-ad99-4632-b999-1888c6b6e46f" ] } ], "mendeley" : { "formattedCitation" : "(Varshneya, 2013)", "plainTextFormattedCitation" : "(Varshneya, 2013)", "previouslyFormattedCitation" : "(Varshneya, 2013)" }, "properties" : { "noteIndex" : 4 }, "schema" : "https://github.com/citation-style-language/schema/raw/master/csl-citation.json" }</w:instrText>
      </w:r>
      <w:r w:rsidR="0064576E" w:rsidRPr="000E2377">
        <w:rPr>
          <w:rFonts w:asciiTheme="majorBidi" w:hAnsiTheme="majorBidi" w:cstheme="majorBidi"/>
          <w:bCs w:val="0"/>
          <w:szCs w:val="24"/>
        </w:rPr>
        <w:fldChar w:fldCharType="separate"/>
      </w:r>
      <w:r w:rsidR="00793120" w:rsidRPr="000E2377">
        <w:rPr>
          <w:rFonts w:asciiTheme="majorBidi" w:hAnsiTheme="majorBidi" w:cstheme="majorBidi"/>
          <w:bCs w:val="0"/>
          <w:noProof/>
          <w:szCs w:val="24"/>
        </w:rPr>
        <w:t>(Varshneya, 2013)</w:t>
      </w:r>
      <w:r w:rsidR="0064576E" w:rsidRPr="000E2377">
        <w:rPr>
          <w:rFonts w:asciiTheme="majorBidi" w:hAnsiTheme="majorBidi" w:cstheme="majorBidi"/>
          <w:bCs w:val="0"/>
          <w:szCs w:val="24"/>
        </w:rPr>
        <w:fldChar w:fldCharType="end"/>
      </w:r>
      <w:r w:rsidR="0064576E" w:rsidRPr="000E2377">
        <w:rPr>
          <w:rFonts w:asciiTheme="majorBidi" w:hAnsiTheme="majorBidi" w:cstheme="majorBidi"/>
          <w:bCs w:val="0"/>
          <w:szCs w:val="24"/>
        </w:rPr>
        <w:t>.</w:t>
      </w:r>
      <w:bookmarkEnd w:id="66"/>
      <w:bookmarkEnd w:id="67"/>
      <w:bookmarkEnd w:id="68"/>
      <w:bookmarkEnd w:id="69"/>
      <w:r w:rsidR="0064576E" w:rsidRPr="000E2377">
        <w:rPr>
          <w:rFonts w:asciiTheme="majorBidi" w:hAnsiTheme="majorBidi" w:cstheme="majorBidi"/>
          <w:bCs w:val="0"/>
          <w:szCs w:val="24"/>
        </w:rPr>
        <w:t xml:space="preserve"> </w:t>
      </w:r>
    </w:p>
    <w:bookmarkEnd w:id="70"/>
    <w:p w14:paraId="4BBF9597" w14:textId="60DFA3D4" w:rsidR="0064576E" w:rsidRDefault="0064576E" w:rsidP="0064576E">
      <w:pPr>
        <w:spacing w:line="360" w:lineRule="auto"/>
        <w:ind w:firstLine="720"/>
        <w:jc w:val="both"/>
        <w:rPr>
          <w:rFonts w:asciiTheme="majorBidi" w:hAnsiTheme="majorBidi" w:cstheme="majorBidi"/>
          <w:b w:val="0"/>
          <w:szCs w:val="24"/>
        </w:rPr>
      </w:pPr>
    </w:p>
    <w:p w14:paraId="7E9CD4A7" w14:textId="6197064C" w:rsidR="009078C1" w:rsidRDefault="009078C1" w:rsidP="0064576E">
      <w:pPr>
        <w:spacing w:line="360" w:lineRule="auto"/>
        <w:ind w:firstLine="720"/>
        <w:jc w:val="both"/>
        <w:rPr>
          <w:rFonts w:asciiTheme="majorBidi" w:hAnsiTheme="majorBidi" w:cstheme="majorBidi"/>
          <w:b w:val="0"/>
          <w:szCs w:val="24"/>
        </w:rPr>
      </w:pPr>
    </w:p>
    <w:p w14:paraId="79D986B8" w14:textId="7CA58FFF" w:rsidR="009078C1" w:rsidRDefault="009078C1" w:rsidP="0064576E">
      <w:pPr>
        <w:spacing w:line="360" w:lineRule="auto"/>
        <w:ind w:firstLine="720"/>
        <w:jc w:val="both"/>
        <w:rPr>
          <w:rFonts w:asciiTheme="majorBidi" w:hAnsiTheme="majorBidi" w:cstheme="majorBidi"/>
          <w:b w:val="0"/>
          <w:szCs w:val="24"/>
        </w:rPr>
      </w:pPr>
    </w:p>
    <w:p w14:paraId="76922AE3" w14:textId="60842D0A" w:rsidR="004707F6" w:rsidRDefault="004707F6" w:rsidP="0064576E">
      <w:pPr>
        <w:spacing w:line="360" w:lineRule="auto"/>
        <w:ind w:firstLine="720"/>
        <w:jc w:val="both"/>
        <w:rPr>
          <w:rFonts w:asciiTheme="majorBidi" w:hAnsiTheme="majorBidi" w:cstheme="majorBidi"/>
          <w:b w:val="0"/>
          <w:szCs w:val="24"/>
        </w:rPr>
      </w:pPr>
    </w:p>
    <w:p w14:paraId="49C0CC19" w14:textId="0462B167" w:rsidR="004707F6" w:rsidRDefault="004707F6" w:rsidP="0064576E">
      <w:pPr>
        <w:spacing w:line="360" w:lineRule="auto"/>
        <w:ind w:firstLine="720"/>
        <w:jc w:val="both"/>
        <w:rPr>
          <w:rFonts w:asciiTheme="majorBidi" w:hAnsiTheme="majorBidi" w:cstheme="majorBidi"/>
          <w:b w:val="0"/>
          <w:szCs w:val="24"/>
        </w:rPr>
      </w:pPr>
    </w:p>
    <w:p w14:paraId="593C797C" w14:textId="000D6550" w:rsidR="004707F6" w:rsidRDefault="004707F6" w:rsidP="0064576E">
      <w:pPr>
        <w:spacing w:line="360" w:lineRule="auto"/>
        <w:ind w:firstLine="720"/>
        <w:jc w:val="both"/>
        <w:rPr>
          <w:rFonts w:asciiTheme="majorBidi" w:hAnsiTheme="majorBidi" w:cstheme="majorBidi"/>
          <w:b w:val="0"/>
          <w:szCs w:val="24"/>
        </w:rPr>
      </w:pPr>
    </w:p>
    <w:p w14:paraId="1CF46AAF" w14:textId="67AD6D07" w:rsidR="004707F6" w:rsidRDefault="004707F6" w:rsidP="0064576E">
      <w:pPr>
        <w:spacing w:line="360" w:lineRule="auto"/>
        <w:ind w:firstLine="720"/>
        <w:jc w:val="both"/>
        <w:rPr>
          <w:rFonts w:asciiTheme="majorBidi" w:hAnsiTheme="majorBidi" w:cstheme="majorBidi"/>
          <w:b w:val="0"/>
          <w:szCs w:val="24"/>
        </w:rPr>
      </w:pPr>
    </w:p>
    <w:p w14:paraId="033C8887" w14:textId="444E547F" w:rsidR="004707F6" w:rsidRDefault="004707F6" w:rsidP="0064576E">
      <w:pPr>
        <w:spacing w:line="360" w:lineRule="auto"/>
        <w:ind w:firstLine="720"/>
        <w:jc w:val="both"/>
        <w:rPr>
          <w:rFonts w:asciiTheme="majorBidi" w:hAnsiTheme="majorBidi" w:cstheme="majorBidi"/>
          <w:b w:val="0"/>
          <w:szCs w:val="24"/>
        </w:rPr>
      </w:pPr>
    </w:p>
    <w:p w14:paraId="0C0C617C" w14:textId="52049841" w:rsidR="004707F6" w:rsidRDefault="004707F6" w:rsidP="0064576E">
      <w:pPr>
        <w:spacing w:line="360" w:lineRule="auto"/>
        <w:ind w:firstLine="720"/>
        <w:jc w:val="both"/>
        <w:rPr>
          <w:rFonts w:asciiTheme="majorBidi" w:hAnsiTheme="majorBidi" w:cstheme="majorBidi"/>
          <w:b w:val="0"/>
          <w:szCs w:val="24"/>
        </w:rPr>
      </w:pPr>
    </w:p>
    <w:p w14:paraId="1551D706" w14:textId="77777777" w:rsidR="004707F6" w:rsidRDefault="004707F6" w:rsidP="0064576E">
      <w:pPr>
        <w:spacing w:line="360" w:lineRule="auto"/>
        <w:ind w:firstLine="720"/>
        <w:jc w:val="both"/>
        <w:rPr>
          <w:rFonts w:asciiTheme="majorBidi" w:hAnsiTheme="majorBidi" w:cstheme="majorBidi"/>
          <w:b w:val="0"/>
          <w:szCs w:val="24"/>
        </w:rPr>
      </w:pPr>
    </w:p>
    <w:p w14:paraId="3BC96185" w14:textId="77777777" w:rsidR="009078C1" w:rsidRDefault="009078C1" w:rsidP="0064576E">
      <w:pPr>
        <w:spacing w:line="360" w:lineRule="auto"/>
        <w:ind w:firstLine="720"/>
        <w:jc w:val="both"/>
        <w:rPr>
          <w:rFonts w:asciiTheme="majorBidi" w:hAnsiTheme="majorBidi" w:cstheme="majorBidi"/>
          <w:b w:val="0"/>
          <w:szCs w:val="24"/>
        </w:rPr>
      </w:pPr>
    </w:p>
    <w:p w14:paraId="37712BA1" w14:textId="2C34C851" w:rsidR="00016ABC" w:rsidRPr="00047A60" w:rsidRDefault="00016ABC" w:rsidP="00204590">
      <w:pPr>
        <w:spacing w:after="0" w:line="360" w:lineRule="auto"/>
        <w:jc w:val="center"/>
        <w:rPr>
          <w:rFonts w:asciiTheme="majorBidi" w:hAnsiTheme="majorBidi" w:cstheme="majorBidi"/>
          <w:color w:val="000000" w:themeColor="text1"/>
          <w:szCs w:val="24"/>
        </w:rPr>
      </w:pPr>
      <w:r w:rsidRPr="00047A60">
        <w:rPr>
          <w:rFonts w:asciiTheme="majorBidi" w:hAnsiTheme="majorBidi" w:cstheme="majorBidi"/>
          <w:color w:val="000000" w:themeColor="text1"/>
          <w:szCs w:val="24"/>
        </w:rPr>
        <w:lastRenderedPageBreak/>
        <w:t>Table</w:t>
      </w:r>
      <w:r w:rsidR="00930B5D" w:rsidRPr="00047A60">
        <w:rPr>
          <w:rFonts w:asciiTheme="majorBidi" w:hAnsiTheme="majorBidi" w:cstheme="majorBidi"/>
          <w:color w:val="000000" w:themeColor="text1"/>
          <w:szCs w:val="24"/>
        </w:rPr>
        <w:t xml:space="preserve"> 2.1</w:t>
      </w:r>
      <w:r w:rsidRPr="00047A60">
        <w:rPr>
          <w:rFonts w:asciiTheme="majorBidi" w:hAnsiTheme="majorBidi" w:cstheme="majorBidi"/>
          <w:color w:val="000000" w:themeColor="text1"/>
          <w:szCs w:val="24"/>
        </w:rPr>
        <w:t xml:space="preserve">: Field strength of various ions </w:t>
      </w:r>
      <w:bookmarkStart w:id="71" w:name="_Hlk2088727"/>
      <w:r w:rsidR="00930B5D" w:rsidRPr="00047A60">
        <w:rPr>
          <w:rFonts w:asciiTheme="majorBidi" w:hAnsiTheme="majorBidi" w:cstheme="majorBidi"/>
          <w:color w:val="000000" w:themeColor="text1"/>
          <w:szCs w:val="24"/>
        </w:rPr>
        <w:fldChar w:fldCharType="begin" w:fldLock="1"/>
      </w:r>
      <w:r w:rsidR="00930B5D" w:rsidRPr="00047A60">
        <w:rPr>
          <w:rFonts w:asciiTheme="majorBidi" w:hAnsiTheme="majorBidi" w:cstheme="majorBidi"/>
          <w:color w:val="000000" w:themeColor="text1"/>
          <w:szCs w:val="24"/>
        </w:rPr>
        <w:instrText>ADDIN CSL_CITATION { "citationItems" : [ { "id" : "ITEM-1", "itemData" : { "ISBN" : "0387984801", "author" : [ { "dropping-particle" : "", "family" : "Varshneya", "given" : "Arun K.", "non-dropping-particle" : "", "parse-names" : false, "suffix" : "" } ], "id" : "ITEM-1", "issue" : "x", "issued" : { "date-parts" : [ [ "2013" ] ] }, "publisher" : "Society of Glass Technology", "title" : "Fundamental of Inorganic Glass", "type" : "article" }, "uris" : [ "http://www.mendeley.com/documents/?uuid=b9a0b53c-ad99-4632-b999-1888c6b6e46f" ] } ], "mendeley" : { "formattedCitation" : "(Varshneya, 2013)", "plainTextFormattedCitation" : "(Varshneya, 2013)", "previouslyFormattedCitation" : "(Varshneya, 2013)" }, "properties" : { "noteIndex" : 24 }, "schema" : "https://github.com/citation-style-language/schema/raw/master/csl-citation.json" }</w:instrText>
      </w:r>
      <w:r w:rsidR="00930B5D" w:rsidRPr="00047A60">
        <w:rPr>
          <w:rFonts w:asciiTheme="majorBidi" w:hAnsiTheme="majorBidi" w:cstheme="majorBidi"/>
          <w:color w:val="000000" w:themeColor="text1"/>
          <w:szCs w:val="24"/>
        </w:rPr>
        <w:fldChar w:fldCharType="separate"/>
      </w:r>
      <w:r w:rsidR="00930B5D" w:rsidRPr="00047A60">
        <w:rPr>
          <w:rFonts w:asciiTheme="majorBidi" w:hAnsiTheme="majorBidi" w:cstheme="majorBidi"/>
          <w:noProof/>
          <w:color w:val="000000" w:themeColor="text1"/>
          <w:szCs w:val="24"/>
        </w:rPr>
        <w:t>(Varshneya, 2013)</w:t>
      </w:r>
      <w:r w:rsidR="00930B5D" w:rsidRPr="00047A60">
        <w:rPr>
          <w:rFonts w:asciiTheme="majorBidi" w:hAnsiTheme="majorBidi" w:cstheme="majorBidi"/>
          <w:color w:val="000000" w:themeColor="text1"/>
          <w:szCs w:val="24"/>
        </w:rPr>
        <w:fldChar w:fldCharType="end"/>
      </w:r>
      <w:r w:rsidR="005E72AE" w:rsidRPr="00047A60">
        <w:rPr>
          <w:rFonts w:asciiTheme="majorBidi" w:hAnsiTheme="majorBidi" w:cstheme="majorBidi"/>
          <w:color w:val="000000" w:themeColor="text1"/>
          <w:szCs w:val="24"/>
        </w:rPr>
        <w:t>.</w:t>
      </w:r>
    </w:p>
    <w:tbl>
      <w:tblPr>
        <w:tblW w:w="9201" w:type="dxa"/>
        <w:tblLook w:val="04A0" w:firstRow="1" w:lastRow="0" w:firstColumn="1" w:lastColumn="0" w:noHBand="0" w:noVBand="1"/>
      </w:tblPr>
      <w:tblGrid>
        <w:gridCol w:w="960"/>
        <w:gridCol w:w="960"/>
        <w:gridCol w:w="960"/>
        <w:gridCol w:w="1361"/>
        <w:gridCol w:w="1240"/>
        <w:gridCol w:w="1500"/>
        <w:gridCol w:w="2220"/>
      </w:tblGrid>
      <w:tr w:rsidR="00016ABC" w:rsidRPr="00016ABC" w14:paraId="0B41E89C" w14:textId="77777777" w:rsidTr="0018096D">
        <w:trPr>
          <w:trHeight w:val="517"/>
        </w:trPr>
        <w:tc>
          <w:tcPr>
            <w:tcW w:w="960" w:type="dxa"/>
            <w:vMerge w:val="restart"/>
            <w:tcBorders>
              <w:top w:val="single" w:sz="4" w:space="0" w:color="auto"/>
              <w:left w:val="nil"/>
              <w:bottom w:val="single" w:sz="4" w:space="0" w:color="000000"/>
              <w:right w:val="nil"/>
            </w:tcBorders>
            <w:shd w:val="clear" w:color="auto" w:fill="auto"/>
            <w:vAlign w:val="center"/>
            <w:hideMark/>
          </w:tcPr>
          <w:bookmarkEnd w:id="71"/>
          <w:p w14:paraId="171ACCB8"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Element</w:t>
            </w:r>
          </w:p>
        </w:tc>
        <w:tc>
          <w:tcPr>
            <w:tcW w:w="960" w:type="dxa"/>
            <w:vMerge w:val="restart"/>
            <w:tcBorders>
              <w:top w:val="single" w:sz="4" w:space="0" w:color="auto"/>
              <w:left w:val="nil"/>
              <w:bottom w:val="single" w:sz="4" w:space="0" w:color="000000"/>
              <w:right w:val="nil"/>
            </w:tcBorders>
            <w:shd w:val="clear" w:color="auto" w:fill="auto"/>
            <w:vAlign w:val="center"/>
            <w:hideMark/>
          </w:tcPr>
          <w:p w14:paraId="7A2C73B3"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Valence Z</w:t>
            </w:r>
          </w:p>
        </w:tc>
        <w:tc>
          <w:tcPr>
            <w:tcW w:w="960" w:type="dxa"/>
            <w:vMerge w:val="restart"/>
            <w:tcBorders>
              <w:top w:val="single" w:sz="4" w:space="0" w:color="auto"/>
              <w:left w:val="nil"/>
              <w:bottom w:val="single" w:sz="4" w:space="0" w:color="000000"/>
              <w:right w:val="nil"/>
            </w:tcBorders>
            <w:shd w:val="clear" w:color="auto" w:fill="auto"/>
            <w:vAlign w:val="center"/>
            <w:hideMark/>
          </w:tcPr>
          <w:p w14:paraId="165F9776"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Ionic radius CN=6) r in Å</w:t>
            </w:r>
          </w:p>
        </w:tc>
        <w:tc>
          <w:tcPr>
            <w:tcW w:w="1361" w:type="dxa"/>
            <w:vMerge w:val="restart"/>
            <w:tcBorders>
              <w:top w:val="single" w:sz="4" w:space="0" w:color="auto"/>
              <w:left w:val="nil"/>
              <w:bottom w:val="single" w:sz="4" w:space="0" w:color="000000"/>
              <w:right w:val="nil"/>
            </w:tcBorders>
            <w:shd w:val="clear" w:color="auto" w:fill="auto"/>
            <w:vAlign w:val="center"/>
            <w:hideMark/>
          </w:tcPr>
          <w:p w14:paraId="6C42400A"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Most frequent coordination number CN</w:t>
            </w:r>
          </w:p>
        </w:tc>
        <w:tc>
          <w:tcPr>
            <w:tcW w:w="1240" w:type="dxa"/>
            <w:vMerge w:val="restart"/>
            <w:tcBorders>
              <w:top w:val="single" w:sz="4" w:space="0" w:color="auto"/>
              <w:left w:val="nil"/>
              <w:bottom w:val="single" w:sz="4" w:space="0" w:color="000000"/>
              <w:right w:val="nil"/>
            </w:tcBorders>
            <w:shd w:val="clear" w:color="auto" w:fill="auto"/>
            <w:vAlign w:val="center"/>
            <w:hideMark/>
          </w:tcPr>
          <w:p w14:paraId="449FA5FC"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Ionic distance for oxides a in Å</w:t>
            </w:r>
          </w:p>
        </w:tc>
        <w:tc>
          <w:tcPr>
            <w:tcW w:w="1500" w:type="dxa"/>
            <w:vMerge w:val="restart"/>
            <w:tcBorders>
              <w:top w:val="single" w:sz="4" w:space="0" w:color="auto"/>
              <w:left w:val="nil"/>
              <w:bottom w:val="single" w:sz="4" w:space="0" w:color="000000"/>
              <w:right w:val="nil"/>
            </w:tcBorders>
            <w:shd w:val="clear" w:color="auto" w:fill="auto"/>
            <w:vAlign w:val="center"/>
            <w:hideMark/>
          </w:tcPr>
          <w:p w14:paraId="3BAF932F"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Field strength at distance of O</w:t>
            </w:r>
            <w:r w:rsidRPr="00016ABC">
              <w:rPr>
                <w:rFonts w:ascii="Calibri" w:eastAsia="Times New Roman" w:hAnsi="Calibri" w:cs="Times New Roman"/>
                <w:b w:val="0"/>
                <w:color w:val="000000"/>
                <w:sz w:val="22"/>
                <w:vertAlign w:val="subscript"/>
                <w:lang w:eastAsia="en-MY"/>
              </w:rPr>
              <w:t>2</w:t>
            </w:r>
            <w:r w:rsidRPr="00016ABC">
              <w:rPr>
                <w:rFonts w:ascii="Calibri" w:eastAsia="Times New Roman" w:hAnsi="Calibri" w:cs="Times New Roman"/>
                <w:b w:val="0"/>
                <w:color w:val="000000"/>
                <w:sz w:val="22"/>
                <w:lang w:eastAsia="en-MY"/>
              </w:rPr>
              <w:t xml:space="preserve"> ions Z/2</w:t>
            </w:r>
          </w:p>
        </w:tc>
        <w:tc>
          <w:tcPr>
            <w:tcW w:w="2220" w:type="dxa"/>
            <w:vMerge w:val="restart"/>
            <w:tcBorders>
              <w:top w:val="single" w:sz="4" w:space="0" w:color="auto"/>
              <w:left w:val="nil"/>
              <w:bottom w:val="single" w:sz="4" w:space="0" w:color="000000"/>
              <w:right w:val="nil"/>
            </w:tcBorders>
            <w:shd w:val="clear" w:color="auto" w:fill="auto"/>
            <w:vAlign w:val="center"/>
            <w:hideMark/>
          </w:tcPr>
          <w:p w14:paraId="59AE355C"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Function in glass structure</w:t>
            </w:r>
          </w:p>
        </w:tc>
      </w:tr>
      <w:tr w:rsidR="00016ABC" w:rsidRPr="00016ABC" w14:paraId="6772051C" w14:textId="77777777" w:rsidTr="0018096D">
        <w:trPr>
          <w:trHeight w:val="517"/>
        </w:trPr>
        <w:tc>
          <w:tcPr>
            <w:tcW w:w="960" w:type="dxa"/>
            <w:vMerge/>
            <w:tcBorders>
              <w:top w:val="single" w:sz="4" w:space="0" w:color="auto"/>
              <w:left w:val="nil"/>
              <w:bottom w:val="single" w:sz="4" w:space="0" w:color="000000"/>
              <w:right w:val="nil"/>
            </w:tcBorders>
            <w:vAlign w:val="center"/>
            <w:hideMark/>
          </w:tcPr>
          <w:p w14:paraId="7A856882"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960" w:type="dxa"/>
            <w:vMerge/>
            <w:tcBorders>
              <w:top w:val="single" w:sz="4" w:space="0" w:color="auto"/>
              <w:left w:val="nil"/>
              <w:bottom w:val="single" w:sz="4" w:space="0" w:color="000000"/>
              <w:right w:val="nil"/>
            </w:tcBorders>
            <w:vAlign w:val="center"/>
            <w:hideMark/>
          </w:tcPr>
          <w:p w14:paraId="6B073A23"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960" w:type="dxa"/>
            <w:vMerge/>
            <w:tcBorders>
              <w:top w:val="single" w:sz="4" w:space="0" w:color="auto"/>
              <w:left w:val="nil"/>
              <w:bottom w:val="single" w:sz="4" w:space="0" w:color="000000"/>
              <w:right w:val="nil"/>
            </w:tcBorders>
            <w:vAlign w:val="center"/>
            <w:hideMark/>
          </w:tcPr>
          <w:p w14:paraId="0F4E34BF"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1361" w:type="dxa"/>
            <w:vMerge/>
            <w:tcBorders>
              <w:top w:val="single" w:sz="4" w:space="0" w:color="auto"/>
              <w:left w:val="nil"/>
              <w:bottom w:val="single" w:sz="4" w:space="0" w:color="000000"/>
              <w:right w:val="nil"/>
            </w:tcBorders>
            <w:vAlign w:val="center"/>
            <w:hideMark/>
          </w:tcPr>
          <w:p w14:paraId="464A49BF"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1240" w:type="dxa"/>
            <w:vMerge/>
            <w:tcBorders>
              <w:top w:val="single" w:sz="4" w:space="0" w:color="auto"/>
              <w:left w:val="nil"/>
              <w:bottom w:val="single" w:sz="4" w:space="0" w:color="000000"/>
              <w:right w:val="nil"/>
            </w:tcBorders>
            <w:vAlign w:val="center"/>
            <w:hideMark/>
          </w:tcPr>
          <w:p w14:paraId="2AFBED5E"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1500" w:type="dxa"/>
            <w:vMerge/>
            <w:tcBorders>
              <w:top w:val="single" w:sz="4" w:space="0" w:color="auto"/>
              <w:left w:val="nil"/>
              <w:bottom w:val="single" w:sz="4" w:space="0" w:color="000000"/>
              <w:right w:val="nil"/>
            </w:tcBorders>
            <w:vAlign w:val="center"/>
            <w:hideMark/>
          </w:tcPr>
          <w:p w14:paraId="1DCE05D8"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2220" w:type="dxa"/>
            <w:vMerge/>
            <w:tcBorders>
              <w:top w:val="single" w:sz="4" w:space="0" w:color="auto"/>
              <w:left w:val="nil"/>
              <w:bottom w:val="single" w:sz="4" w:space="0" w:color="000000"/>
              <w:right w:val="nil"/>
            </w:tcBorders>
            <w:vAlign w:val="center"/>
            <w:hideMark/>
          </w:tcPr>
          <w:p w14:paraId="03C2E905"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r>
      <w:tr w:rsidR="00016ABC" w:rsidRPr="00016ABC" w14:paraId="6B788759" w14:textId="77777777" w:rsidTr="0018096D">
        <w:trPr>
          <w:trHeight w:val="517"/>
        </w:trPr>
        <w:tc>
          <w:tcPr>
            <w:tcW w:w="960" w:type="dxa"/>
            <w:vMerge/>
            <w:tcBorders>
              <w:top w:val="single" w:sz="4" w:space="0" w:color="auto"/>
              <w:left w:val="nil"/>
              <w:bottom w:val="single" w:sz="4" w:space="0" w:color="000000"/>
              <w:right w:val="nil"/>
            </w:tcBorders>
            <w:vAlign w:val="center"/>
            <w:hideMark/>
          </w:tcPr>
          <w:p w14:paraId="1C3AE807"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960" w:type="dxa"/>
            <w:vMerge/>
            <w:tcBorders>
              <w:top w:val="single" w:sz="4" w:space="0" w:color="auto"/>
              <w:left w:val="nil"/>
              <w:bottom w:val="single" w:sz="4" w:space="0" w:color="000000"/>
              <w:right w:val="nil"/>
            </w:tcBorders>
            <w:vAlign w:val="center"/>
            <w:hideMark/>
          </w:tcPr>
          <w:p w14:paraId="1AE41AC1"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960" w:type="dxa"/>
            <w:vMerge/>
            <w:tcBorders>
              <w:top w:val="single" w:sz="4" w:space="0" w:color="auto"/>
              <w:left w:val="nil"/>
              <w:bottom w:val="single" w:sz="4" w:space="0" w:color="000000"/>
              <w:right w:val="nil"/>
            </w:tcBorders>
            <w:vAlign w:val="center"/>
            <w:hideMark/>
          </w:tcPr>
          <w:p w14:paraId="3BE31928"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1361" w:type="dxa"/>
            <w:vMerge/>
            <w:tcBorders>
              <w:top w:val="single" w:sz="4" w:space="0" w:color="auto"/>
              <w:left w:val="nil"/>
              <w:bottom w:val="single" w:sz="4" w:space="0" w:color="000000"/>
              <w:right w:val="nil"/>
            </w:tcBorders>
            <w:vAlign w:val="center"/>
            <w:hideMark/>
          </w:tcPr>
          <w:p w14:paraId="1248F278"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1240" w:type="dxa"/>
            <w:vMerge/>
            <w:tcBorders>
              <w:top w:val="single" w:sz="4" w:space="0" w:color="auto"/>
              <w:left w:val="nil"/>
              <w:bottom w:val="single" w:sz="4" w:space="0" w:color="000000"/>
              <w:right w:val="nil"/>
            </w:tcBorders>
            <w:vAlign w:val="center"/>
            <w:hideMark/>
          </w:tcPr>
          <w:p w14:paraId="138A9E64"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1500" w:type="dxa"/>
            <w:vMerge/>
            <w:tcBorders>
              <w:top w:val="single" w:sz="4" w:space="0" w:color="auto"/>
              <w:left w:val="nil"/>
              <w:bottom w:val="single" w:sz="4" w:space="0" w:color="000000"/>
              <w:right w:val="nil"/>
            </w:tcBorders>
            <w:vAlign w:val="center"/>
            <w:hideMark/>
          </w:tcPr>
          <w:p w14:paraId="47EB3007"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2220" w:type="dxa"/>
            <w:vMerge/>
            <w:tcBorders>
              <w:top w:val="single" w:sz="4" w:space="0" w:color="auto"/>
              <w:left w:val="nil"/>
              <w:bottom w:val="single" w:sz="4" w:space="0" w:color="000000"/>
              <w:right w:val="nil"/>
            </w:tcBorders>
            <w:vAlign w:val="center"/>
            <w:hideMark/>
          </w:tcPr>
          <w:p w14:paraId="249E643F"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r>
      <w:tr w:rsidR="00016ABC" w:rsidRPr="00016ABC" w14:paraId="51B0A586" w14:textId="77777777" w:rsidTr="0018096D">
        <w:trPr>
          <w:trHeight w:val="517"/>
        </w:trPr>
        <w:tc>
          <w:tcPr>
            <w:tcW w:w="960" w:type="dxa"/>
            <w:vMerge/>
            <w:tcBorders>
              <w:top w:val="single" w:sz="4" w:space="0" w:color="auto"/>
              <w:left w:val="nil"/>
              <w:bottom w:val="single" w:sz="4" w:space="0" w:color="000000"/>
              <w:right w:val="nil"/>
            </w:tcBorders>
            <w:vAlign w:val="center"/>
            <w:hideMark/>
          </w:tcPr>
          <w:p w14:paraId="09ED3F98"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960" w:type="dxa"/>
            <w:vMerge/>
            <w:tcBorders>
              <w:top w:val="single" w:sz="4" w:space="0" w:color="auto"/>
              <w:left w:val="nil"/>
              <w:bottom w:val="single" w:sz="4" w:space="0" w:color="000000"/>
              <w:right w:val="nil"/>
            </w:tcBorders>
            <w:vAlign w:val="center"/>
            <w:hideMark/>
          </w:tcPr>
          <w:p w14:paraId="6DAD712C"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960" w:type="dxa"/>
            <w:vMerge/>
            <w:tcBorders>
              <w:top w:val="single" w:sz="4" w:space="0" w:color="auto"/>
              <w:left w:val="nil"/>
              <w:bottom w:val="single" w:sz="4" w:space="0" w:color="000000"/>
              <w:right w:val="nil"/>
            </w:tcBorders>
            <w:vAlign w:val="center"/>
            <w:hideMark/>
          </w:tcPr>
          <w:p w14:paraId="31DBA5B6"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1361" w:type="dxa"/>
            <w:vMerge/>
            <w:tcBorders>
              <w:top w:val="single" w:sz="4" w:space="0" w:color="auto"/>
              <w:left w:val="nil"/>
              <w:bottom w:val="single" w:sz="4" w:space="0" w:color="000000"/>
              <w:right w:val="nil"/>
            </w:tcBorders>
            <w:vAlign w:val="center"/>
            <w:hideMark/>
          </w:tcPr>
          <w:p w14:paraId="5271135A"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1240" w:type="dxa"/>
            <w:vMerge/>
            <w:tcBorders>
              <w:top w:val="single" w:sz="4" w:space="0" w:color="auto"/>
              <w:left w:val="nil"/>
              <w:bottom w:val="single" w:sz="4" w:space="0" w:color="000000"/>
              <w:right w:val="nil"/>
            </w:tcBorders>
            <w:vAlign w:val="center"/>
            <w:hideMark/>
          </w:tcPr>
          <w:p w14:paraId="57005489"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1500" w:type="dxa"/>
            <w:vMerge/>
            <w:tcBorders>
              <w:top w:val="single" w:sz="4" w:space="0" w:color="auto"/>
              <w:left w:val="nil"/>
              <w:bottom w:val="single" w:sz="4" w:space="0" w:color="000000"/>
              <w:right w:val="nil"/>
            </w:tcBorders>
            <w:vAlign w:val="center"/>
            <w:hideMark/>
          </w:tcPr>
          <w:p w14:paraId="42B7FABD"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c>
          <w:tcPr>
            <w:tcW w:w="2220" w:type="dxa"/>
            <w:vMerge/>
            <w:tcBorders>
              <w:top w:val="single" w:sz="4" w:space="0" w:color="auto"/>
              <w:left w:val="nil"/>
              <w:bottom w:val="single" w:sz="4" w:space="0" w:color="000000"/>
              <w:right w:val="nil"/>
            </w:tcBorders>
            <w:vAlign w:val="center"/>
            <w:hideMark/>
          </w:tcPr>
          <w:p w14:paraId="271AFEE0"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
        </w:tc>
      </w:tr>
      <w:tr w:rsidR="00016ABC" w:rsidRPr="00016ABC" w14:paraId="29792940" w14:textId="77777777" w:rsidTr="0018096D">
        <w:trPr>
          <w:trHeight w:val="300"/>
        </w:trPr>
        <w:tc>
          <w:tcPr>
            <w:tcW w:w="960" w:type="dxa"/>
            <w:tcBorders>
              <w:top w:val="nil"/>
              <w:left w:val="nil"/>
              <w:bottom w:val="nil"/>
              <w:right w:val="nil"/>
            </w:tcBorders>
            <w:shd w:val="clear" w:color="auto" w:fill="auto"/>
            <w:noWrap/>
            <w:vAlign w:val="bottom"/>
            <w:hideMark/>
          </w:tcPr>
          <w:p w14:paraId="00CAF0D5"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K</w:t>
            </w:r>
          </w:p>
        </w:tc>
        <w:tc>
          <w:tcPr>
            <w:tcW w:w="960" w:type="dxa"/>
            <w:tcBorders>
              <w:top w:val="nil"/>
              <w:left w:val="nil"/>
              <w:bottom w:val="nil"/>
              <w:right w:val="nil"/>
            </w:tcBorders>
            <w:shd w:val="clear" w:color="auto" w:fill="auto"/>
            <w:noWrap/>
            <w:vAlign w:val="bottom"/>
            <w:hideMark/>
          </w:tcPr>
          <w:p w14:paraId="0485C51E"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w:t>
            </w:r>
          </w:p>
        </w:tc>
        <w:tc>
          <w:tcPr>
            <w:tcW w:w="960" w:type="dxa"/>
            <w:tcBorders>
              <w:top w:val="nil"/>
              <w:left w:val="nil"/>
              <w:bottom w:val="nil"/>
              <w:right w:val="nil"/>
            </w:tcBorders>
            <w:shd w:val="clear" w:color="auto" w:fill="auto"/>
            <w:noWrap/>
            <w:vAlign w:val="bottom"/>
            <w:hideMark/>
          </w:tcPr>
          <w:p w14:paraId="1AE7CA0C"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1.33</w:t>
            </w:r>
          </w:p>
        </w:tc>
        <w:tc>
          <w:tcPr>
            <w:tcW w:w="1361" w:type="dxa"/>
            <w:tcBorders>
              <w:top w:val="nil"/>
              <w:left w:val="nil"/>
              <w:bottom w:val="nil"/>
              <w:right w:val="nil"/>
            </w:tcBorders>
            <w:shd w:val="clear" w:color="auto" w:fill="auto"/>
            <w:noWrap/>
            <w:vAlign w:val="bottom"/>
            <w:hideMark/>
          </w:tcPr>
          <w:p w14:paraId="493EEB89"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8</w:t>
            </w:r>
          </w:p>
        </w:tc>
        <w:tc>
          <w:tcPr>
            <w:tcW w:w="1240" w:type="dxa"/>
            <w:tcBorders>
              <w:top w:val="nil"/>
              <w:left w:val="nil"/>
              <w:bottom w:val="nil"/>
              <w:right w:val="nil"/>
            </w:tcBorders>
            <w:shd w:val="clear" w:color="auto" w:fill="auto"/>
            <w:noWrap/>
            <w:vAlign w:val="bottom"/>
            <w:hideMark/>
          </w:tcPr>
          <w:p w14:paraId="0DDEB1AA"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2.77</w:t>
            </w:r>
          </w:p>
        </w:tc>
        <w:tc>
          <w:tcPr>
            <w:tcW w:w="1500" w:type="dxa"/>
            <w:tcBorders>
              <w:top w:val="nil"/>
              <w:left w:val="nil"/>
              <w:bottom w:val="nil"/>
              <w:right w:val="nil"/>
            </w:tcBorders>
            <w:shd w:val="clear" w:color="auto" w:fill="auto"/>
            <w:noWrap/>
            <w:vAlign w:val="bottom"/>
            <w:hideMark/>
          </w:tcPr>
          <w:p w14:paraId="33527C1C" w14:textId="75CE168B"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0.13</w:t>
            </w:r>
          </w:p>
        </w:tc>
        <w:tc>
          <w:tcPr>
            <w:tcW w:w="2220" w:type="dxa"/>
            <w:tcBorders>
              <w:top w:val="nil"/>
              <w:left w:val="nil"/>
              <w:bottom w:val="nil"/>
              <w:right w:val="nil"/>
            </w:tcBorders>
            <w:shd w:val="clear" w:color="auto" w:fill="auto"/>
            <w:noWrap/>
            <w:vAlign w:val="bottom"/>
            <w:hideMark/>
          </w:tcPr>
          <w:p w14:paraId="7E6FFE3B"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15416C73" w14:textId="77777777" w:rsidTr="0018096D">
        <w:trPr>
          <w:trHeight w:val="300"/>
        </w:trPr>
        <w:tc>
          <w:tcPr>
            <w:tcW w:w="960" w:type="dxa"/>
            <w:tcBorders>
              <w:top w:val="nil"/>
              <w:left w:val="nil"/>
              <w:bottom w:val="nil"/>
              <w:right w:val="nil"/>
            </w:tcBorders>
            <w:shd w:val="clear" w:color="auto" w:fill="auto"/>
            <w:noWrap/>
            <w:vAlign w:val="bottom"/>
            <w:hideMark/>
          </w:tcPr>
          <w:p w14:paraId="283053FE"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Na</w:t>
            </w:r>
          </w:p>
        </w:tc>
        <w:tc>
          <w:tcPr>
            <w:tcW w:w="960" w:type="dxa"/>
            <w:tcBorders>
              <w:top w:val="nil"/>
              <w:left w:val="nil"/>
              <w:bottom w:val="nil"/>
              <w:right w:val="nil"/>
            </w:tcBorders>
            <w:shd w:val="clear" w:color="auto" w:fill="auto"/>
            <w:noWrap/>
            <w:vAlign w:val="bottom"/>
            <w:hideMark/>
          </w:tcPr>
          <w:p w14:paraId="611305A6"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w:t>
            </w:r>
          </w:p>
        </w:tc>
        <w:tc>
          <w:tcPr>
            <w:tcW w:w="960" w:type="dxa"/>
            <w:tcBorders>
              <w:top w:val="nil"/>
              <w:left w:val="nil"/>
              <w:bottom w:val="nil"/>
              <w:right w:val="nil"/>
            </w:tcBorders>
            <w:shd w:val="clear" w:color="auto" w:fill="auto"/>
            <w:noWrap/>
            <w:vAlign w:val="bottom"/>
            <w:hideMark/>
          </w:tcPr>
          <w:p w14:paraId="31CC8AFF"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0.98</w:t>
            </w:r>
          </w:p>
        </w:tc>
        <w:tc>
          <w:tcPr>
            <w:tcW w:w="1361" w:type="dxa"/>
            <w:tcBorders>
              <w:top w:val="nil"/>
              <w:left w:val="nil"/>
              <w:bottom w:val="nil"/>
              <w:right w:val="nil"/>
            </w:tcBorders>
            <w:shd w:val="clear" w:color="auto" w:fill="auto"/>
            <w:noWrap/>
            <w:vAlign w:val="bottom"/>
            <w:hideMark/>
          </w:tcPr>
          <w:p w14:paraId="0EFD1C60"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6</w:t>
            </w:r>
          </w:p>
        </w:tc>
        <w:tc>
          <w:tcPr>
            <w:tcW w:w="1240" w:type="dxa"/>
            <w:tcBorders>
              <w:top w:val="nil"/>
              <w:left w:val="nil"/>
              <w:bottom w:val="nil"/>
              <w:right w:val="nil"/>
            </w:tcBorders>
            <w:shd w:val="clear" w:color="auto" w:fill="auto"/>
            <w:noWrap/>
            <w:vAlign w:val="bottom"/>
            <w:hideMark/>
          </w:tcPr>
          <w:p w14:paraId="1F364A25"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2.3</w:t>
            </w:r>
          </w:p>
        </w:tc>
        <w:tc>
          <w:tcPr>
            <w:tcW w:w="1500" w:type="dxa"/>
            <w:tcBorders>
              <w:top w:val="nil"/>
              <w:left w:val="nil"/>
              <w:bottom w:val="nil"/>
              <w:right w:val="nil"/>
            </w:tcBorders>
            <w:shd w:val="clear" w:color="auto" w:fill="auto"/>
            <w:noWrap/>
            <w:vAlign w:val="bottom"/>
            <w:hideMark/>
          </w:tcPr>
          <w:p w14:paraId="00C73AEC"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0.19</w:t>
            </w:r>
          </w:p>
        </w:tc>
        <w:tc>
          <w:tcPr>
            <w:tcW w:w="2220" w:type="dxa"/>
            <w:tcBorders>
              <w:top w:val="nil"/>
              <w:left w:val="nil"/>
              <w:bottom w:val="nil"/>
              <w:right w:val="nil"/>
            </w:tcBorders>
            <w:shd w:val="clear" w:color="auto" w:fill="auto"/>
            <w:noWrap/>
            <w:vAlign w:val="bottom"/>
            <w:hideMark/>
          </w:tcPr>
          <w:p w14:paraId="762C1C2A"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0BBF5EE3" w14:textId="77777777" w:rsidTr="0018096D">
        <w:trPr>
          <w:trHeight w:val="300"/>
        </w:trPr>
        <w:tc>
          <w:tcPr>
            <w:tcW w:w="960" w:type="dxa"/>
            <w:tcBorders>
              <w:top w:val="nil"/>
              <w:left w:val="nil"/>
              <w:bottom w:val="nil"/>
              <w:right w:val="nil"/>
            </w:tcBorders>
            <w:shd w:val="clear" w:color="auto" w:fill="auto"/>
            <w:noWrap/>
            <w:vAlign w:val="bottom"/>
            <w:hideMark/>
          </w:tcPr>
          <w:p w14:paraId="09EA3A18"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Li</w:t>
            </w:r>
          </w:p>
        </w:tc>
        <w:tc>
          <w:tcPr>
            <w:tcW w:w="960" w:type="dxa"/>
            <w:tcBorders>
              <w:top w:val="nil"/>
              <w:left w:val="nil"/>
              <w:bottom w:val="nil"/>
              <w:right w:val="nil"/>
            </w:tcBorders>
            <w:shd w:val="clear" w:color="auto" w:fill="auto"/>
            <w:noWrap/>
            <w:vAlign w:val="bottom"/>
            <w:hideMark/>
          </w:tcPr>
          <w:p w14:paraId="79C354AD"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w:t>
            </w:r>
          </w:p>
        </w:tc>
        <w:tc>
          <w:tcPr>
            <w:tcW w:w="960" w:type="dxa"/>
            <w:tcBorders>
              <w:top w:val="nil"/>
              <w:left w:val="nil"/>
              <w:bottom w:val="nil"/>
              <w:right w:val="nil"/>
            </w:tcBorders>
            <w:shd w:val="clear" w:color="auto" w:fill="auto"/>
            <w:noWrap/>
            <w:vAlign w:val="bottom"/>
            <w:hideMark/>
          </w:tcPr>
          <w:p w14:paraId="55946642"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0.78</w:t>
            </w:r>
          </w:p>
        </w:tc>
        <w:tc>
          <w:tcPr>
            <w:tcW w:w="1361" w:type="dxa"/>
            <w:tcBorders>
              <w:top w:val="nil"/>
              <w:left w:val="nil"/>
              <w:bottom w:val="nil"/>
              <w:right w:val="nil"/>
            </w:tcBorders>
            <w:shd w:val="clear" w:color="auto" w:fill="auto"/>
            <w:noWrap/>
            <w:vAlign w:val="bottom"/>
            <w:hideMark/>
          </w:tcPr>
          <w:p w14:paraId="3923E418"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6</w:t>
            </w:r>
          </w:p>
        </w:tc>
        <w:tc>
          <w:tcPr>
            <w:tcW w:w="1240" w:type="dxa"/>
            <w:tcBorders>
              <w:top w:val="nil"/>
              <w:left w:val="nil"/>
              <w:bottom w:val="nil"/>
              <w:right w:val="nil"/>
            </w:tcBorders>
            <w:shd w:val="clear" w:color="auto" w:fill="auto"/>
            <w:noWrap/>
            <w:vAlign w:val="bottom"/>
            <w:hideMark/>
          </w:tcPr>
          <w:p w14:paraId="30F238B3"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2.1</w:t>
            </w:r>
          </w:p>
        </w:tc>
        <w:tc>
          <w:tcPr>
            <w:tcW w:w="1500" w:type="dxa"/>
            <w:tcBorders>
              <w:top w:val="nil"/>
              <w:left w:val="nil"/>
              <w:bottom w:val="nil"/>
              <w:right w:val="nil"/>
            </w:tcBorders>
            <w:shd w:val="clear" w:color="auto" w:fill="auto"/>
            <w:noWrap/>
            <w:vAlign w:val="bottom"/>
            <w:hideMark/>
          </w:tcPr>
          <w:p w14:paraId="5775E58C"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0.23</w:t>
            </w:r>
          </w:p>
        </w:tc>
        <w:tc>
          <w:tcPr>
            <w:tcW w:w="2220" w:type="dxa"/>
            <w:tcBorders>
              <w:top w:val="nil"/>
              <w:left w:val="nil"/>
              <w:bottom w:val="nil"/>
              <w:right w:val="nil"/>
            </w:tcBorders>
            <w:shd w:val="clear" w:color="auto" w:fill="auto"/>
            <w:noWrap/>
            <w:vAlign w:val="bottom"/>
            <w:hideMark/>
          </w:tcPr>
          <w:p w14:paraId="60F40060" w14:textId="68E253EF" w:rsidR="00016ABC" w:rsidRPr="00016ABC" w:rsidRDefault="0052428E" w:rsidP="00016ABC">
            <w:pPr>
              <w:spacing w:after="0" w:line="240" w:lineRule="auto"/>
              <w:jc w:val="center"/>
              <w:rPr>
                <w:rFonts w:ascii="Calibri" w:eastAsia="Times New Roman" w:hAnsi="Calibri" w:cs="Times New Roman"/>
                <w:b w:val="0"/>
                <w:color w:val="000000"/>
                <w:sz w:val="22"/>
                <w:lang w:eastAsia="en-MY"/>
              </w:rPr>
            </w:pPr>
            <w:r>
              <w:rPr>
                <w:rFonts w:ascii="Calibri" w:eastAsia="Times New Roman" w:hAnsi="Calibri" w:cs="Times New Roman"/>
                <w:b w:val="0"/>
                <w:noProof/>
                <w:color w:val="000000"/>
                <w:sz w:val="22"/>
                <w:lang w:eastAsia="en-MY"/>
              </w:rPr>
              <mc:AlternateContent>
                <mc:Choice Requires="wps">
                  <w:drawing>
                    <wp:anchor distT="0" distB="0" distL="114300" distR="114300" simplePos="0" relativeHeight="252070912" behindDoc="0" locked="0" layoutInCell="1" allowOverlap="1" wp14:anchorId="615EFFE0" wp14:editId="1495FBD3">
                      <wp:simplePos x="0" y="0"/>
                      <wp:positionH relativeFrom="column">
                        <wp:posOffset>205105</wp:posOffset>
                      </wp:positionH>
                      <wp:positionV relativeFrom="paragraph">
                        <wp:posOffset>38100</wp:posOffset>
                      </wp:positionV>
                      <wp:extent cx="1083945" cy="925195"/>
                      <wp:effectExtent l="0" t="0" r="1905" b="8255"/>
                      <wp:wrapNone/>
                      <wp:docPr id="1804" name="Text Box 1804"/>
                      <wp:cNvGraphicFramePr/>
                      <a:graphic xmlns:a="http://schemas.openxmlformats.org/drawingml/2006/main">
                        <a:graphicData uri="http://schemas.microsoft.com/office/word/2010/wordprocessingShape">
                          <wps:wsp>
                            <wps:cNvSpPr txBox="1"/>
                            <wps:spPr>
                              <a:xfrm>
                                <a:off x="0" y="0"/>
                                <a:ext cx="1083945" cy="925195"/>
                              </a:xfrm>
                              <a:prstGeom prst="rect">
                                <a:avLst/>
                              </a:prstGeom>
                              <a:solidFill>
                                <a:schemeClr val="lt1"/>
                              </a:solidFill>
                              <a:ln w="6350">
                                <a:noFill/>
                              </a:ln>
                            </wps:spPr>
                            <wps:txbx>
                              <w:txbxContent>
                                <w:p w14:paraId="5F7E8F14" w14:textId="77777777" w:rsidR="00230AB9" w:rsidRPr="0018096D" w:rsidRDefault="00230AB9">
                                  <w:pPr>
                                    <w:rPr>
                                      <w:b w:val="0"/>
                                    </w:rPr>
                                  </w:pPr>
                                  <w:r w:rsidRPr="0018096D">
                                    <w:rPr>
                                      <w:b w:val="0"/>
                                    </w:rPr>
                                    <w:t>Network modifier</w:t>
                                  </w:r>
                                </w:p>
                                <w:p w14:paraId="69C65B7C" w14:textId="6D5BEED7" w:rsidR="00230AB9" w:rsidRPr="0018096D" w:rsidRDefault="00230AB9">
                                  <w:pPr>
                                    <w:rPr>
                                      <w:b w:val="0"/>
                                    </w:rPr>
                                  </w:pPr>
                                  <w:r>
                                    <w:rPr>
                                      <w:b w:val="0"/>
                                    </w:rPr>
                                    <w:t>Z</w:t>
                                  </w:r>
                                  <w:r w:rsidRPr="0018096D">
                                    <w:rPr>
                                      <w:b w:val="0"/>
                                    </w:rPr>
                                    <w:t>/a</w:t>
                                  </w:r>
                                  <w:r w:rsidRPr="0018096D">
                                    <w:rPr>
                                      <w:b w:val="0"/>
                                      <w:vertAlign w:val="superscript"/>
                                    </w:rPr>
                                    <w:t>2</w:t>
                                  </w:r>
                                  <w:r>
                                    <w:rPr>
                                      <w:rFonts w:ascii="Calibri" w:hAnsi="Calibri"/>
                                      <w:b w:val="0"/>
                                    </w:rPr>
                                    <w:t>≈ 0.1….0.4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EFFE0" id="Text Box 1804" o:spid="_x0000_s1030" type="#_x0000_t202" style="position:absolute;left:0;text-align:left;margin-left:16.15pt;margin-top:3pt;width:85.35pt;height:72.8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" fillcolor="white [3201]" stroked="f" strokeweight=".5pt">
                      <v:textbox>
                        <w:txbxContent>
                          <w:p w14:paraId="5F7E8F14" w14:textId="77777777" w:rsidR="00230AB9" w:rsidRPr="0018096D" w:rsidRDefault="00230AB9">
                            <w:pPr>
                              <w:rPr>
                                <w:b w:val="0"/>
                              </w:rPr>
                            </w:pPr>
                            <w:r w:rsidRPr="0018096D">
                              <w:rPr>
                                <w:b w:val="0"/>
                              </w:rPr>
                              <w:t>Network modifier</w:t>
                            </w:r>
                          </w:p>
                          <w:p w14:paraId="69C65B7C" w14:textId="6D5BEED7" w:rsidR="00230AB9" w:rsidRPr="0018096D" w:rsidRDefault="00230AB9">
                            <w:pPr>
                              <w:rPr>
                                <w:b w:val="0"/>
                              </w:rPr>
                            </w:pPr>
                            <w:r>
                              <w:rPr>
                                <w:b w:val="0"/>
                              </w:rPr>
                              <w:t>Z</w:t>
                            </w:r>
                            <w:r w:rsidRPr="0018096D">
                              <w:rPr>
                                <w:b w:val="0"/>
                              </w:rPr>
                              <w:t>/a</w:t>
                            </w:r>
                            <w:r w:rsidRPr="0018096D">
                              <w:rPr>
                                <w:b w:val="0"/>
                                <w:vertAlign w:val="superscript"/>
                              </w:rPr>
                              <w:t>2</w:t>
                            </w:r>
                            <w:r>
                              <w:rPr>
                                <w:rFonts w:ascii="Calibri" w:hAnsi="Calibri"/>
                                <w:b w:val="0"/>
                              </w:rPr>
                              <w:t>≈ 0.1….0.4</w:t>
                            </w:r>
                          </w:p>
                        </w:txbxContent>
                      </v:textbox>
                    </v:shape>
                  </w:pict>
                </mc:Fallback>
              </mc:AlternateContent>
            </w:r>
          </w:p>
        </w:tc>
      </w:tr>
      <w:tr w:rsidR="00016ABC" w:rsidRPr="00016ABC" w14:paraId="59EEFF87" w14:textId="77777777" w:rsidTr="0018096D">
        <w:trPr>
          <w:trHeight w:val="300"/>
        </w:trPr>
        <w:tc>
          <w:tcPr>
            <w:tcW w:w="960" w:type="dxa"/>
            <w:tcBorders>
              <w:top w:val="nil"/>
              <w:left w:val="nil"/>
              <w:bottom w:val="nil"/>
              <w:right w:val="nil"/>
            </w:tcBorders>
            <w:shd w:val="clear" w:color="auto" w:fill="auto"/>
            <w:noWrap/>
            <w:vAlign w:val="bottom"/>
            <w:hideMark/>
          </w:tcPr>
          <w:p w14:paraId="47A7CF2E"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Ba</w:t>
            </w:r>
          </w:p>
        </w:tc>
        <w:tc>
          <w:tcPr>
            <w:tcW w:w="960" w:type="dxa"/>
            <w:tcBorders>
              <w:top w:val="nil"/>
              <w:left w:val="nil"/>
              <w:bottom w:val="nil"/>
              <w:right w:val="nil"/>
            </w:tcBorders>
            <w:shd w:val="clear" w:color="auto" w:fill="auto"/>
            <w:noWrap/>
            <w:vAlign w:val="bottom"/>
            <w:hideMark/>
          </w:tcPr>
          <w:p w14:paraId="0BC3F1B4"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w:t>
            </w:r>
          </w:p>
        </w:tc>
        <w:tc>
          <w:tcPr>
            <w:tcW w:w="960" w:type="dxa"/>
            <w:tcBorders>
              <w:top w:val="nil"/>
              <w:left w:val="nil"/>
              <w:bottom w:val="nil"/>
              <w:right w:val="nil"/>
            </w:tcBorders>
            <w:shd w:val="clear" w:color="auto" w:fill="auto"/>
            <w:noWrap/>
            <w:vAlign w:val="bottom"/>
            <w:hideMark/>
          </w:tcPr>
          <w:p w14:paraId="771C3FA2"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1.43</w:t>
            </w:r>
          </w:p>
        </w:tc>
        <w:tc>
          <w:tcPr>
            <w:tcW w:w="1361" w:type="dxa"/>
            <w:tcBorders>
              <w:top w:val="nil"/>
              <w:left w:val="nil"/>
              <w:bottom w:val="nil"/>
              <w:right w:val="nil"/>
            </w:tcBorders>
            <w:shd w:val="clear" w:color="auto" w:fill="auto"/>
            <w:noWrap/>
            <w:vAlign w:val="bottom"/>
            <w:hideMark/>
          </w:tcPr>
          <w:p w14:paraId="11C2215E"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8</w:t>
            </w:r>
          </w:p>
        </w:tc>
        <w:tc>
          <w:tcPr>
            <w:tcW w:w="1240" w:type="dxa"/>
            <w:tcBorders>
              <w:top w:val="nil"/>
              <w:left w:val="nil"/>
              <w:bottom w:val="nil"/>
              <w:right w:val="nil"/>
            </w:tcBorders>
            <w:shd w:val="clear" w:color="auto" w:fill="auto"/>
            <w:noWrap/>
            <w:vAlign w:val="bottom"/>
            <w:hideMark/>
          </w:tcPr>
          <w:p w14:paraId="5F86BBD5"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2.86</w:t>
            </w:r>
          </w:p>
        </w:tc>
        <w:tc>
          <w:tcPr>
            <w:tcW w:w="1500" w:type="dxa"/>
            <w:tcBorders>
              <w:top w:val="nil"/>
              <w:left w:val="nil"/>
              <w:bottom w:val="nil"/>
              <w:right w:val="nil"/>
            </w:tcBorders>
            <w:shd w:val="clear" w:color="auto" w:fill="auto"/>
            <w:noWrap/>
            <w:vAlign w:val="bottom"/>
            <w:hideMark/>
          </w:tcPr>
          <w:p w14:paraId="4EE0CC6B"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0.24</w:t>
            </w:r>
          </w:p>
        </w:tc>
        <w:tc>
          <w:tcPr>
            <w:tcW w:w="2220" w:type="dxa"/>
            <w:tcBorders>
              <w:top w:val="nil"/>
              <w:left w:val="nil"/>
              <w:bottom w:val="nil"/>
              <w:right w:val="nil"/>
            </w:tcBorders>
            <w:shd w:val="clear" w:color="auto" w:fill="auto"/>
            <w:noWrap/>
            <w:vAlign w:val="bottom"/>
            <w:hideMark/>
          </w:tcPr>
          <w:p w14:paraId="210F103F" w14:textId="5A2F6FD6"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6F30F48C" w14:textId="77777777" w:rsidTr="0018096D">
        <w:trPr>
          <w:trHeight w:val="300"/>
        </w:trPr>
        <w:tc>
          <w:tcPr>
            <w:tcW w:w="960" w:type="dxa"/>
            <w:tcBorders>
              <w:top w:val="nil"/>
              <w:left w:val="nil"/>
              <w:bottom w:val="nil"/>
              <w:right w:val="nil"/>
            </w:tcBorders>
            <w:shd w:val="clear" w:color="auto" w:fill="auto"/>
            <w:noWrap/>
            <w:vAlign w:val="bottom"/>
            <w:hideMark/>
          </w:tcPr>
          <w:p w14:paraId="40CDB230"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Pb</w:t>
            </w:r>
          </w:p>
        </w:tc>
        <w:tc>
          <w:tcPr>
            <w:tcW w:w="960" w:type="dxa"/>
            <w:tcBorders>
              <w:top w:val="nil"/>
              <w:left w:val="nil"/>
              <w:bottom w:val="nil"/>
              <w:right w:val="nil"/>
            </w:tcBorders>
            <w:shd w:val="clear" w:color="auto" w:fill="auto"/>
            <w:noWrap/>
            <w:vAlign w:val="bottom"/>
            <w:hideMark/>
          </w:tcPr>
          <w:p w14:paraId="2E39B49B"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w:t>
            </w:r>
          </w:p>
        </w:tc>
        <w:tc>
          <w:tcPr>
            <w:tcW w:w="960" w:type="dxa"/>
            <w:tcBorders>
              <w:top w:val="nil"/>
              <w:left w:val="nil"/>
              <w:bottom w:val="nil"/>
              <w:right w:val="nil"/>
            </w:tcBorders>
            <w:shd w:val="clear" w:color="auto" w:fill="auto"/>
            <w:noWrap/>
            <w:vAlign w:val="bottom"/>
            <w:hideMark/>
          </w:tcPr>
          <w:p w14:paraId="76D257A0"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1.32</w:t>
            </w:r>
          </w:p>
        </w:tc>
        <w:tc>
          <w:tcPr>
            <w:tcW w:w="1361" w:type="dxa"/>
            <w:tcBorders>
              <w:top w:val="nil"/>
              <w:left w:val="nil"/>
              <w:bottom w:val="nil"/>
              <w:right w:val="nil"/>
            </w:tcBorders>
            <w:shd w:val="clear" w:color="auto" w:fill="auto"/>
            <w:noWrap/>
            <w:vAlign w:val="bottom"/>
            <w:hideMark/>
          </w:tcPr>
          <w:p w14:paraId="7E78939A"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8</w:t>
            </w:r>
          </w:p>
        </w:tc>
        <w:tc>
          <w:tcPr>
            <w:tcW w:w="1240" w:type="dxa"/>
            <w:tcBorders>
              <w:top w:val="nil"/>
              <w:left w:val="nil"/>
              <w:bottom w:val="nil"/>
              <w:right w:val="nil"/>
            </w:tcBorders>
            <w:shd w:val="clear" w:color="auto" w:fill="auto"/>
            <w:noWrap/>
            <w:vAlign w:val="bottom"/>
            <w:hideMark/>
          </w:tcPr>
          <w:p w14:paraId="72C36C29"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2.74</w:t>
            </w:r>
          </w:p>
        </w:tc>
        <w:tc>
          <w:tcPr>
            <w:tcW w:w="1500" w:type="dxa"/>
            <w:tcBorders>
              <w:top w:val="nil"/>
              <w:left w:val="nil"/>
              <w:bottom w:val="nil"/>
              <w:right w:val="nil"/>
            </w:tcBorders>
            <w:shd w:val="clear" w:color="auto" w:fill="auto"/>
            <w:noWrap/>
            <w:vAlign w:val="bottom"/>
            <w:hideMark/>
          </w:tcPr>
          <w:p w14:paraId="4E194C6B"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0.27</w:t>
            </w:r>
          </w:p>
        </w:tc>
        <w:tc>
          <w:tcPr>
            <w:tcW w:w="2220" w:type="dxa"/>
            <w:tcBorders>
              <w:top w:val="nil"/>
              <w:left w:val="nil"/>
              <w:bottom w:val="nil"/>
              <w:right w:val="nil"/>
            </w:tcBorders>
            <w:shd w:val="clear" w:color="auto" w:fill="auto"/>
            <w:noWrap/>
            <w:vAlign w:val="bottom"/>
            <w:hideMark/>
          </w:tcPr>
          <w:p w14:paraId="3B957186"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5DA37006" w14:textId="77777777" w:rsidTr="0018096D">
        <w:trPr>
          <w:trHeight w:val="300"/>
        </w:trPr>
        <w:tc>
          <w:tcPr>
            <w:tcW w:w="960" w:type="dxa"/>
            <w:tcBorders>
              <w:top w:val="nil"/>
              <w:left w:val="nil"/>
              <w:bottom w:val="nil"/>
              <w:right w:val="nil"/>
            </w:tcBorders>
            <w:shd w:val="clear" w:color="auto" w:fill="auto"/>
            <w:noWrap/>
            <w:vAlign w:val="bottom"/>
            <w:hideMark/>
          </w:tcPr>
          <w:p w14:paraId="44229B04"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Sr</w:t>
            </w:r>
          </w:p>
        </w:tc>
        <w:tc>
          <w:tcPr>
            <w:tcW w:w="960" w:type="dxa"/>
            <w:tcBorders>
              <w:top w:val="nil"/>
              <w:left w:val="nil"/>
              <w:bottom w:val="nil"/>
              <w:right w:val="nil"/>
            </w:tcBorders>
            <w:shd w:val="clear" w:color="auto" w:fill="auto"/>
            <w:noWrap/>
            <w:vAlign w:val="bottom"/>
            <w:hideMark/>
          </w:tcPr>
          <w:p w14:paraId="7EA1C18A"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w:t>
            </w:r>
          </w:p>
        </w:tc>
        <w:tc>
          <w:tcPr>
            <w:tcW w:w="960" w:type="dxa"/>
            <w:tcBorders>
              <w:top w:val="nil"/>
              <w:left w:val="nil"/>
              <w:bottom w:val="nil"/>
              <w:right w:val="nil"/>
            </w:tcBorders>
            <w:shd w:val="clear" w:color="auto" w:fill="auto"/>
            <w:noWrap/>
            <w:vAlign w:val="bottom"/>
            <w:hideMark/>
          </w:tcPr>
          <w:p w14:paraId="1E8ACA37"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1.27</w:t>
            </w:r>
          </w:p>
        </w:tc>
        <w:tc>
          <w:tcPr>
            <w:tcW w:w="1361" w:type="dxa"/>
            <w:tcBorders>
              <w:top w:val="nil"/>
              <w:left w:val="nil"/>
              <w:bottom w:val="nil"/>
              <w:right w:val="nil"/>
            </w:tcBorders>
            <w:shd w:val="clear" w:color="auto" w:fill="auto"/>
            <w:noWrap/>
            <w:vAlign w:val="bottom"/>
            <w:hideMark/>
          </w:tcPr>
          <w:p w14:paraId="4D7C55DA"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8</w:t>
            </w:r>
          </w:p>
        </w:tc>
        <w:tc>
          <w:tcPr>
            <w:tcW w:w="1240" w:type="dxa"/>
            <w:tcBorders>
              <w:top w:val="nil"/>
              <w:left w:val="nil"/>
              <w:bottom w:val="nil"/>
              <w:right w:val="nil"/>
            </w:tcBorders>
            <w:shd w:val="clear" w:color="auto" w:fill="auto"/>
            <w:noWrap/>
            <w:vAlign w:val="bottom"/>
            <w:hideMark/>
          </w:tcPr>
          <w:p w14:paraId="35F67D0A"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2.69</w:t>
            </w:r>
          </w:p>
        </w:tc>
        <w:tc>
          <w:tcPr>
            <w:tcW w:w="1500" w:type="dxa"/>
            <w:tcBorders>
              <w:top w:val="nil"/>
              <w:left w:val="nil"/>
              <w:bottom w:val="nil"/>
              <w:right w:val="nil"/>
            </w:tcBorders>
            <w:shd w:val="clear" w:color="auto" w:fill="auto"/>
            <w:noWrap/>
            <w:vAlign w:val="bottom"/>
            <w:hideMark/>
          </w:tcPr>
          <w:p w14:paraId="4C27B13D"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0.28</w:t>
            </w:r>
          </w:p>
        </w:tc>
        <w:tc>
          <w:tcPr>
            <w:tcW w:w="2220" w:type="dxa"/>
            <w:tcBorders>
              <w:top w:val="nil"/>
              <w:left w:val="nil"/>
              <w:bottom w:val="nil"/>
              <w:right w:val="nil"/>
            </w:tcBorders>
            <w:shd w:val="clear" w:color="auto" w:fill="auto"/>
            <w:noWrap/>
            <w:vAlign w:val="bottom"/>
            <w:hideMark/>
          </w:tcPr>
          <w:p w14:paraId="29C74B60" w14:textId="5C32F61E"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188D4242" w14:textId="77777777" w:rsidTr="0018096D">
        <w:trPr>
          <w:trHeight w:val="300"/>
        </w:trPr>
        <w:tc>
          <w:tcPr>
            <w:tcW w:w="960" w:type="dxa"/>
            <w:tcBorders>
              <w:top w:val="nil"/>
              <w:left w:val="nil"/>
              <w:bottom w:val="nil"/>
              <w:right w:val="nil"/>
            </w:tcBorders>
            <w:shd w:val="clear" w:color="auto" w:fill="auto"/>
            <w:noWrap/>
            <w:vAlign w:val="bottom"/>
            <w:hideMark/>
          </w:tcPr>
          <w:p w14:paraId="620D8153"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Ca</w:t>
            </w:r>
          </w:p>
        </w:tc>
        <w:tc>
          <w:tcPr>
            <w:tcW w:w="960" w:type="dxa"/>
            <w:tcBorders>
              <w:top w:val="nil"/>
              <w:left w:val="nil"/>
              <w:bottom w:val="nil"/>
              <w:right w:val="nil"/>
            </w:tcBorders>
            <w:shd w:val="clear" w:color="auto" w:fill="auto"/>
            <w:noWrap/>
            <w:vAlign w:val="bottom"/>
            <w:hideMark/>
          </w:tcPr>
          <w:p w14:paraId="3B27439D"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w:t>
            </w:r>
          </w:p>
        </w:tc>
        <w:tc>
          <w:tcPr>
            <w:tcW w:w="960" w:type="dxa"/>
            <w:tcBorders>
              <w:top w:val="nil"/>
              <w:left w:val="nil"/>
              <w:bottom w:val="nil"/>
              <w:right w:val="nil"/>
            </w:tcBorders>
            <w:shd w:val="clear" w:color="auto" w:fill="auto"/>
            <w:noWrap/>
            <w:vAlign w:val="bottom"/>
            <w:hideMark/>
          </w:tcPr>
          <w:p w14:paraId="6C59BE8A"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1.06</w:t>
            </w:r>
          </w:p>
        </w:tc>
        <w:tc>
          <w:tcPr>
            <w:tcW w:w="1361" w:type="dxa"/>
            <w:tcBorders>
              <w:top w:val="nil"/>
              <w:left w:val="nil"/>
              <w:bottom w:val="nil"/>
              <w:right w:val="nil"/>
            </w:tcBorders>
            <w:shd w:val="clear" w:color="auto" w:fill="auto"/>
            <w:noWrap/>
            <w:vAlign w:val="bottom"/>
            <w:hideMark/>
          </w:tcPr>
          <w:p w14:paraId="49EFB289"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8</w:t>
            </w:r>
          </w:p>
        </w:tc>
        <w:tc>
          <w:tcPr>
            <w:tcW w:w="1240" w:type="dxa"/>
            <w:tcBorders>
              <w:top w:val="nil"/>
              <w:left w:val="nil"/>
              <w:bottom w:val="nil"/>
              <w:right w:val="nil"/>
            </w:tcBorders>
            <w:shd w:val="clear" w:color="auto" w:fill="auto"/>
            <w:noWrap/>
            <w:vAlign w:val="bottom"/>
            <w:hideMark/>
          </w:tcPr>
          <w:p w14:paraId="0BA11C19"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2.48</w:t>
            </w:r>
          </w:p>
        </w:tc>
        <w:tc>
          <w:tcPr>
            <w:tcW w:w="1500" w:type="dxa"/>
            <w:tcBorders>
              <w:top w:val="nil"/>
              <w:left w:val="nil"/>
              <w:bottom w:val="nil"/>
              <w:right w:val="nil"/>
            </w:tcBorders>
            <w:shd w:val="clear" w:color="auto" w:fill="auto"/>
            <w:noWrap/>
            <w:vAlign w:val="bottom"/>
            <w:hideMark/>
          </w:tcPr>
          <w:p w14:paraId="3EBF94E4"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0.33</w:t>
            </w:r>
          </w:p>
        </w:tc>
        <w:tc>
          <w:tcPr>
            <w:tcW w:w="2220" w:type="dxa"/>
            <w:tcBorders>
              <w:top w:val="nil"/>
              <w:left w:val="nil"/>
              <w:bottom w:val="nil"/>
              <w:right w:val="nil"/>
            </w:tcBorders>
            <w:shd w:val="clear" w:color="auto" w:fill="auto"/>
            <w:noWrap/>
            <w:vAlign w:val="bottom"/>
            <w:hideMark/>
          </w:tcPr>
          <w:p w14:paraId="56BFD64E" w14:textId="2E6A06A3"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2A91BC83" w14:textId="77777777" w:rsidTr="0018096D">
        <w:trPr>
          <w:trHeight w:val="300"/>
        </w:trPr>
        <w:tc>
          <w:tcPr>
            <w:tcW w:w="960" w:type="dxa"/>
            <w:tcBorders>
              <w:top w:val="nil"/>
              <w:left w:val="nil"/>
              <w:bottom w:val="nil"/>
              <w:right w:val="nil"/>
            </w:tcBorders>
            <w:shd w:val="clear" w:color="auto" w:fill="auto"/>
            <w:noWrap/>
            <w:vAlign w:val="bottom"/>
            <w:hideMark/>
          </w:tcPr>
          <w:p w14:paraId="7E33A23C"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Mn</w:t>
            </w:r>
          </w:p>
        </w:tc>
        <w:tc>
          <w:tcPr>
            <w:tcW w:w="960" w:type="dxa"/>
            <w:tcBorders>
              <w:top w:val="nil"/>
              <w:left w:val="nil"/>
              <w:bottom w:val="nil"/>
              <w:right w:val="nil"/>
            </w:tcBorders>
            <w:shd w:val="clear" w:color="auto" w:fill="auto"/>
            <w:noWrap/>
            <w:vAlign w:val="bottom"/>
            <w:hideMark/>
          </w:tcPr>
          <w:p w14:paraId="1DE3C3D9"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w:t>
            </w:r>
          </w:p>
        </w:tc>
        <w:tc>
          <w:tcPr>
            <w:tcW w:w="960" w:type="dxa"/>
            <w:tcBorders>
              <w:top w:val="nil"/>
              <w:left w:val="nil"/>
              <w:bottom w:val="nil"/>
              <w:right w:val="nil"/>
            </w:tcBorders>
            <w:shd w:val="clear" w:color="auto" w:fill="auto"/>
            <w:noWrap/>
            <w:vAlign w:val="bottom"/>
            <w:hideMark/>
          </w:tcPr>
          <w:p w14:paraId="45DD0C9C"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0.91</w:t>
            </w:r>
          </w:p>
        </w:tc>
        <w:tc>
          <w:tcPr>
            <w:tcW w:w="1361" w:type="dxa"/>
            <w:tcBorders>
              <w:top w:val="nil"/>
              <w:left w:val="nil"/>
              <w:bottom w:val="nil"/>
              <w:right w:val="nil"/>
            </w:tcBorders>
            <w:shd w:val="clear" w:color="auto" w:fill="auto"/>
            <w:noWrap/>
            <w:vAlign w:val="bottom"/>
            <w:hideMark/>
          </w:tcPr>
          <w:p w14:paraId="4C39A007"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6</w:t>
            </w:r>
          </w:p>
        </w:tc>
        <w:tc>
          <w:tcPr>
            <w:tcW w:w="1240" w:type="dxa"/>
            <w:tcBorders>
              <w:top w:val="nil"/>
              <w:left w:val="nil"/>
              <w:bottom w:val="nil"/>
              <w:right w:val="nil"/>
            </w:tcBorders>
            <w:shd w:val="clear" w:color="auto" w:fill="auto"/>
            <w:noWrap/>
            <w:vAlign w:val="bottom"/>
            <w:hideMark/>
          </w:tcPr>
          <w:p w14:paraId="59BD00D6"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2.23</w:t>
            </w:r>
          </w:p>
        </w:tc>
        <w:tc>
          <w:tcPr>
            <w:tcW w:w="1500" w:type="dxa"/>
            <w:tcBorders>
              <w:top w:val="nil"/>
              <w:left w:val="nil"/>
              <w:bottom w:val="nil"/>
              <w:right w:val="nil"/>
            </w:tcBorders>
            <w:shd w:val="clear" w:color="auto" w:fill="auto"/>
            <w:noWrap/>
            <w:vAlign w:val="bottom"/>
            <w:hideMark/>
          </w:tcPr>
          <w:p w14:paraId="42D5F8D8"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0.4</w:t>
            </w:r>
          </w:p>
        </w:tc>
        <w:tc>
          <w:tcPr>
            <w:tcW w:w="2220" w:type="dxa"/>
            <w:tcBorders>
              <w:top w:val="nil"/>
              <w:left w:val="nil"/>
              <w:bottom w:val="nil"/>
              <w:right w:val="nil"/>
            </w:tcBorders>
            <w:shd w:val="clear" w:color="auto" w:fill="auto"/>
            <w:noWrap/>
            <w:vAlign w:val="bottom"/>
            <w:hideMark/>
          </w:tcPr>
          <w:p w14:paraId="25B84DE9" w14:textId="7E43D88A" w:rsidR="00016ABC" w:rsidRPr="00016ABC" w:rsidRDefault="008F15DB" w:rsidP="00016ABC">
            <w:pPr>
              <w:spacing w:after="0" w:line="240" w:lineRule="auto"/>
              <w:jc w:val="center"/>
              <w:rPr>
                <w:rFonts w:ascii="Calibri" w:eastAsia="Times New Roman" w:hAnsi="Calibri" w:cs="Times New Roman"/>
                <w:b w:val="0"/>
                <w:color w:val="000000"/>
                <w:sz w:val="22"/>
                <w:lang w:eastAsia="en-MY"/>
              </w:rPr>
            </w:pPr>
            <w:r>
              <w:rPr>
                <w:rFonts w:ascii="Calibri" w:eastAsia="Times New Roman" w:hAnsi="Calibri" w:cs="Times New Roman"/>
                <w:b w:val="0"/>
                <w:noProof/>
                <w:color w:val="000000"/>
                <w:sz w:val="22"/>
                <w:lang w:eastAsia="en-MY"/>
              </w:rPr>
              <mc:AlternateContent>
                <mc:Choice Requires="wps">
                  <w:drawing>
                    <wp:anchor distT="0" distB="0" distL="114300" distR="114300" simplePos="0" relativeHeight="252067840" behindDoc="0" locked="0" layoutInCell="1" allowOverlap="1" wp14:anchorId="1AB6C4D2" wp14:editId="6A927F3C">
                      <wp:simplePos x="0" y="0"/>
                      <wp:positionH relativeFrom="column">
                        <wp:posOffset>-33655</wp:posOffset>
                      </wp:positionH>
                      <wp:positionV relativeFrom="paragraph">
                        <wp:posOffset>-1212850</wp:posOffset>
                      </wp:positionV>
                      <wp:extent cx="153670" cy="1507490"/>
                      <wp:effectExtent l="0" t="0" r="17780" b="16510"/>
                      <wp:wrapNone/>
                      <wp:docPr id="1781" name="Right Brace 1781"/>
                      <wp:cNvGraphicFramePr/>
                      <a:graphic xmlns:a="http://schemas.openxmlformats.org/drawingml/2006/main">
                        <a:graphicData uri="http://schemas.microsoft.com/office/word/2010/wordprocessingShape">
                          <wps:wsp>
                            <wps:cNvSpPr/>
                            <wps:spPr>
                              <a:xfrm>
                                <a:off x="0" y="0"/>
                                <a:ext cx="153670" cy="1507490"/>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C14DA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781" o:spid="_x0000_s1026" type="#_x0000_t88" style="position:absolute;margin-left:-2.65pt;margin-top:-95.5pt;width:12.1pt;height:118.7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" adj="183" strokecolor="black [3213]"/>
                  </w:pict>
                </mc:Fallback>
              </mc:AlternateContent>
            </w:r>
          </w:p>
        </w:tc>
      </w:tr>
      <w:tr w:rsidR="00016ABC" w:rsidRPr="00016ABC" w14:paraId="52F7E409" w14:textId="77777777" w:rsidTr="0018096D">
        <w:trPr>
          <w:trHeight w:val="300"/>
        </w:trPr>
        <w:tc>
          <w:tcPr>
            <w:tcW w:w="960" w:type="dxa"/>
            <w:tcBorders>
              <w:top w:val="nil"/>
              <w:left w:val="nil"/>
              <w:bottom w:val="nil"/>
              <w:right w:val="nil"/>
            </w:tcBorders>
            <w:shd w:val="clear" w:color="auto" w:fill="auto"/>
            <w:noWrap/>
            <w:vAlign w:val="bottom"/>
            <w:hideMark/>
          </w:tcPr>
          <w:p w14:paraId="33F9B167"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Fe</w:t>
            </w:r>
          </w:p>
        </w:tc>
        <w:tc>
          <w:tcPr>
            <w:tcW w:w="960" w:type="dxa"/>
            <w:tcBorders>
              <w:top w:val="nil"/>
              <w:left w:val="nil"/>
              <w:bottom w:val="nil"/>
              <w:right w:val="nil"/>
            </w:tcBorders>
            <w:shd w:val="clear" w:color="auto" w:fill="auto"/>
            <w:noWrap/>
            <w:vAlign w:val="bottom"/>
            <w:hideMark/>
          </w:tcPr>
          <w:p w14:paraId="0D177EA8"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w:t>
            </w:r>
          </w:p>
        </w:tc>
        <w:tc>
          <w:tcPr>
            <w:tcW w:w="960" w:type="dxa"/>
            <w:tcBorders>
              <w:top w:val="nil"/>
              <w:left w:val="nil"/>
              <w:bottom w:val="nil"/>
              <w:right w:val="nil"/>
            </w:tcBorders>
            <w:shd w:val="clear" w:color="auto" w:fill="auto"/>
            <w:noWrap/>
            <w:vAlign w:val="bottom"/>
            <w:hideMark/>
          </w:tcPr>
          <w:p w14:paraId="5962BC63"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0.83</w:t>
            </w:r>
          </w:p>
        </w:tc>
        <w:tc>
          <w:tcPr>
            <w:tcW w:w="1361" w:type="dxa"/>
            <w:tcBorders>
              <w:top w:val="nil"/>
              <w:left w:val="nil"/>
              <w:bottom w:val="nil"/>
              <w:right w:val="nil"/>
            </w:tcBorders>
            <w:shd w:val="clear" w:color="auto" w:fill="auto"/>
            <w:noWrap/>
            <w:vAlign w:val="bottom"/>
            <w:hideMark/>
          </w:tcPr>
          <w:p w14:paraId="3BE1F523"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6</w:t>
            </w:r>
          </w:p>
        </w:tc>
        <w:tc>
          <w:tcPr>
            <w:tcW w:w="1240" w:type="dxa"/>
            <w:tcBorders>
              <w:top w:val="nil"/>
              <w:left w:val="nil"/>
              <w:bottom w:val="nil"/>
              <w:right w:val="nil"/>
            </w:tcBorders>
            <w:shd w:val="clear" w:color="auto" w:fill="auto"/>
            <w:noWrap/>
            <w:vAlign w:val="bottom"/>
            <w:hideMark/>
          </w:tcPr>
          <w:p w14:paraId="66860B04"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2.15</w:t>
            </w:r>
          </w:p>
        </w:tc>
        <w:tc>
          <w:tcPr>
            <w:tcW w:w="1500" w:type="dxa"/>
            <w:tcBorders>
              <w:top w:val="nil"/>
              <w:left w:val="nil"/>
              <w:bottom w:val="nil"/>
              <w:right w:val="nil"/>
            </w:tcBorders>
            <w:shd w:val="clear" w:color="auto" w:fill="auto"/>
            <w:noWrap/>
            <w:vAlign w:val="bottom"/>
            <w:hideMark/>
          </w:tcPr>
          <w:p w14:paraId="3F618759"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0.43</w:t>
            </w:r>
          </w:p>
        </w:tc>
        <w:tc>
          <w:tcPr>
            <w:tcW w:w="2220" w:type="dxa"/>
            <w:tcBorders>
              <w:top w:val="nil"/>
              <w:left w:val="nil"/>
              <w:bottom w:val="nil"/>
              <w:right w:val="nil"/>
            </w:tcBorders>
            <w:shd w:val="clear" w:color="auto" w:fill="auto"/>
            <w:noWrap/>
            <w:vAlign w:val="bottom"/>
            <w:hideMark/>
          </w:tcPr>
          <w:p w14:paraId="1B923494"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5BFD0F53" w14:textId="77777777" w:rsidTr="0018096D">
        <w:trPr>
          <w:trHeight w:val="300"/>
        </w:trPr>
        <w:tc>
          <w:tcPr>
            <w:tcW w:w="960" w:type="dxa"/>
            <w:tcBorders>
              <w:top w:val="nil"/>
              <w:left w:val="nil"/>
              <w:bottom w:val="nil"/>
              <w:right w:val="nil"/>
            </w:tcBorders>
            <w:shd w:val="clear" w:color="auto" w:fill="auto"/>
            <w:noWrap/>
            <w:vAlign w:val="bottom"/>
            <w:hideMark/>
          </w:tcPr>
          <w:p w14:paraId="0AF4180C"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Mn</w:t>
            </w:r>
          </w:p>
        </w:tc>
        <w:tc>
          <w:tcPr>
            <w:tcW w:w="960" w:type="dxa"/>
            <w:tcBorders>
              <w:top w:val="nil"/>
              <w:left w:val="nil"/>
              <w:bottom w:val="nil"/>
              <w:right w:val="nil"/>
            </w:tcBorders>
            <w:shd w:val="clear" w:color="auto" w:fill="auto"/>
            <w:noWrap/>
            <w:vAlign w:val="bottom"/>
            <w:hideMark/>
          </w:tcPr>
          <w:p w14:paraId="514B319E"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w:t>
            </w:r>
          </w:p>
        </w:tc>
        <w:tc>
          <w:tcPr>
            <w:tcW w:w="960" w:type="dxa"/>
            <w:tcBorders>
              <w:top w:val="nil"/>
              <w:left w:val="nil"/>
              <w:bottom w:val="nil"/>
              <w:right w:val="nil"/>
            </w:tcBorders>
            <w:shd w:val="clear" w:color="auto" w:fill="auto"/>
            <w:noWrap/>
            <w:vAlign w:val="bottom"/>
            <w:hideMark/>
          </w:tcPr>
          <w:p w14:paraId="4CBB4926"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0.83</w:t>
            </w:r>
          </w:p>
        </w:tc>
        <w:tc>
          <w:tcPr>
            <w:tcW w:w="1361" w:type="dxa"/>
            <w:tcBorders>
              <w:top w:val="nil"/>
              <w:left w:val="nil"/>
              <w:bottom w:val="nil"/>
              <w:right w:val="nil"/>
            </w:tcBorders>
            <w:shd w:val="clear" w:color="auto" w:fill="auto"/>
            <w:noWrap/>
            <w:vAlign w:val="bottom"/>
            <w:hideMark/>
          </w:tcPr>
          <w:p w14:paraId="47F20CF9"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4</w:t>
            </w:r>
          </w:p>
        </w:tc>
        <w:tc>
          <w:tcPr>
            <w:tcW w:w="1240" w:type="dxa"/>
            <w:tcBorders>
              <w:top w:val="nil"/>
              <w:left w:val="nil"/>
              <w:bottom w:val="nil"/>
              <w:right w:val="nil"/>
            </w:tcBorders>
            <w:shd w:val="clear" w:color="auto" w:fill="auto"/>
            <w:noWrap/>
            <w:vAlign w:val="bottom"/>
            <w:hideMark/>
          </w:tcPr>
          <w:p w14:paraId="2BE881F4"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2.03</w:t>
            </w:r>
          </w:p>
        </w:tc>
        <w:tc>
          <w:tcPr>
            <w:tcW w:w="1500" w:type="dxa"/>
            <w:tcBorders>
              <w:top w:val="nil"/>
              <w:left w:val="nil"/>
              <w:bottom w:val="nil"/>
              <w:right w:val="nil"/>
            </w:tcBorders>
            <w:shd w:val="clear" w:color="auto" w:fill="auto"/>
            <w:noWrap/>
            <w:vAlign w:val="bottom"/>
            <w:hideMark/>
          </w:tcPr>
          <w:p w14:paraId="11CE2AC9"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0.49</w:t>
            </w:r>
          </w:p>
        </w:tc>
        <w:tc>
          <w:tcPr>
            <w:tcW w:w="2220" w:type="dxa"/>
            <w:tcBorders>
              <w:top w:val="nil"/>
              <w:left w:val="nil"/>
              <w:bottom w:val="nil"/>
              <w:right w:val="nil"/>
            </w:tcBorders>
            <w:shd w:val="clear" w:color="auto" w:fill="auto"/>
            <w:noWrap/>
            <w:vAlign w:val="bottom"/>
            <w:hideMark/>
          </w:tcPr>
          <w:p w14:paraId="2D4C1CE4" w14:textId="5357C492" w:rsidR="00016ABC" w:rsidRPr="00016ABC" w:rsidRDefault="00230B64" w:rsidP="00016ABC">
            <w:pPr>
              <w:spacing w:after="0" w:line="240" w:lineRule="auto"/>
              <w:jc w:val="center"/>
              <w:rPr>
                <w:rFonts w:ascii="Calibri" w:eastAsia="Times New Roman" w:hAnsi="Calibri" w:cs="Times New Roman"/>
                <w:b w:val="0"/>
                <w:color w:val="000000"/>
                <w:sz w:val="22"/>
                <w:lang w:eastAsia="en-MY"/>
              </w:rPr>
            </w:pPr>
            <w:r>
              <w:rPr>
                <w:rFonts w:ascii="Calibri" w:eastAsia="Times New Roman" w:hAnsi="Calibri" w:cs="Times New Roman"/>
                <w:b w:val="0"/>
                <w:noProof/>
                <w:color w:val="000000"/>
                <w:sz w:val="22"/>
                <w:lang w:eastAsia="en-MY"/>
              </w:rPr>
              <mc:AlternateContent>
                <mc:Choice Requires="wps">
                  <w:drawing>
                    <wp:anchor distT="0" distB="0" distL="114300" distR="114300" simplePos="0" relativeHeight="252068864" behindDoc="0" locked="0" layoutInCell="1" allowOverlap="1" wp14:anchorId="691CF731" wp14:editId="037D81BB">
                      <wp:simplePos x="0" y="0"/>
                      <wp:positionH relativeFrom="column">
                        <wp:posOffset>-33655</wp:posOffset>
                      </wp:positionH>
                      <wp:positionV relativeFrom="paragraph">
                        <wp:posOffset>105410</wp:posOffset>
                      </wp:positionV>
                      <wp:extent cx="165735" cy="1745615"/>
                      <wp:effectExtent l="0" t="0" r="24765" b="26035"/>
                      <wp:wrapNone/>
                      <wp:docPr id="1798" name="Right Brace 1798"/>
                      <wp:cNvGraphicFramePr/>
                      <a:graphic xmlns:a="http://schemas.openxmlformats.org/drawingml/2006/main">
                        <a:graphicData uri="http://schemas.microsoft.com/office/word/2010/wordprocessingShape">
                          <wps:wsp>
                            <wps:cNvSpPr/>
                            <wps:spPr>
                              <a:xfrm>
                                <a:off x="0" y="0"/>
                                <a:ext cx="165735" cy="1745615"/>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FBB42" id="Right Brace 1798" o:spid="_x0000_s1026" type="#_x0000_t88" style="position:absolute;margin-left:-2.65pt;margin-top:8.3pt;width:13.05pt;height:137.4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" adj="171" strokecolor="black [3040]"/>
                  </w:pict>
                </mc:Fallback>
              </mc:AlternateContent>
            </w:r>
          </w:p>
        </w:tc>
      </w:tr>
      <w:tr w:rsidR="00016ABC" w:rsidRPr="00016ABC" w14:paraId="36EF0B4E" w14:textId="77777777" w:rsidTr="0018096D">
        <w:trPr>
          <w:trHeight w:val="300"/>
        </w:trPr>
        <w:tc>
          <w:tcPr>
            <w:tcW w:w="960" w:type="dxa"/>
            <w:tcBorders>
              <w:top w:val="nil"/>
              <w:left w:val="nil"/>
              <w:bottom w:val="nil"/>
              <w:right w:val="nil"/>
            </w:tcBorders>
            <w:shd w:val="clear" w:color="auto" w:fill="auto"/>
            <w:noWrap/>
            <w:vAlign w:val="bottom"/>
            <w:hideMark/>
          </w:tcPr>
          <w:p w14:paraId="1641BB59"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Mg</w:t>
            </w:r>
          </w:p>
        </w:tc>
        <w:tc>
          <w:tcPr>
            <w:tcW w:w="960" w:type="dxa"/>
            <w:tcBorders>
              <w:top w:val="nil"/>
              <w:left w:val="nil"/>
              <w:bottom w:val="nil"/>
              <w:right w:val="nil"/>
            </w:tcBorders>
            <w:shd w:val="clear" w:color="auto" w:fill="auto"/>
            <w:noWrap/>
            <w:vAlign w:val="bottom"/>
            <w:hideMark/>
          </w:tcPr>
          <w:p w14:paraId="72BCF0CA"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w:t>
            </w:r>
          </w:p>
        </w:tc>
        <w:tc>
          <w:tcPr>
            <w:tcW w:w="960" w:type="dxa"/>
            <w:tcBorders>
              <w:top w:val="nil"/>
              <w:left w:val="nil"/>
              <w:bottom w:val="nil"/>
              <w:right w:val="nil"/>
            </w:tcBorders>
            <w:shd w:val="clear" w:color="auto" w:fill="auto"/>
            <w:noWrap/>
            <w:vAlign w:val="bottom"/>
            <w:hideMark/>
          </w:tcPr>
          <w:p w14:paraId="556E5CB5"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0.78</w:t>
            </w:r>
          </w:p>
        </w:tc>
        <w:tc>
          <w:tcPr>
            <w:tcW w:w="1361" w:type="dxa"/>
            <w:tcBorders>
              <w:top w:val="nil"/>
              <w:left w:val="nil"/>
              <w:bottom w:val="nil"/>
              <w:right w:val="nil"/>
            </w:tcBorders>
            <w:shd w:val="clear" w:color="auto" w:fill="auto"/>
            <w:noWrap/>
            <w:vAlign w:val="bottom"/>
            <w:hideMark/>
          </w:tcPr>
          <w:p w14:paraId="05E7782E"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6</w:t>
            </w:r>
          </w:p>
        </w:tc>
        <w:tc>
          <w:tcPr>
            <w:tcW w:w="1240" w:type="dxa"/>
            <w:tcBorders>
              <w:top w:val="nil"/>
              <w:left w:val="nil"/>
              <w:bottom w:val="nil"/>
              <w:right w:val="nil"/>
            </w:tcBorders>
            <w:shd w:val="clear" w:color="auto" w:fill="auto"/>
            <w:noWrap/>
            <w:vAlign w:val="bottom"/>
            <w:hideMark/>
          </w:tcPr>
          <w:p w14:paraId="1BFA29D2"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2.1</w:t>
            </w:r>
          </w:p>
        </w:tc>
        <w:tc>
          <w:tcPr>
            <w:tcW w:w="1500" w:type="dxa"/>
            <w:tcBorders>
              <w:top w:val="nil"/>
              <w:left w:val="nil"/>
              <w:bottom w:val="nil"/>
              <w:right w:val="nil"/>
            </w:tcBorders>
            <w:shd w:val="clear" w:color="auto" w:fill="auto"/>
            <w:noWrap/>
            <w:vAlign w:val="bottom"/>
            <w:hideMark/>
          </w:tcPr>
          <w:p w14:paraId="67231E1A"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0.45</w:t>
            </w:r>
          </w:p>
        </w:tc>
        <w:tc>
          <w:tcPr>
            <w:tcW w:w="2220" w:type="dxa"/>
            <w:tcBorders>
              <w:top w:val="nil"/>
              <w:left w:val="nil"/>
              <w:bottom w:val="nil"/>
              <w:right w:val="nil"/>
            </w:tcBorders>
            <w:shd w:val="clear" w:color="auto" w:fill="auto"/>
            <w:noWrap/>
            <w:vAlign w:val="bottom"/>
            <w:hideMark/>
          </w:tcPr>
          <w:p w14:paraId="4946A9DB" w14:textId="28482445"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45031A52" w14:textId="77777777" w:rsidTr="0018096D">
        <w:trPr>
          <w:trHeight w:val="300"/>
        </w:trPr>
        <w:tc>
          <w:tcPr>
            <w:tcW w:w="960" w:type="dxa"/>
            <w:tcBorders>
              <w:top w:val="nil"/>
              <w:left w:val="nil"/>
              <w:bottom w:val="nil"/>
              <w:right w:val="nil"/>
            </w:tcBorders>
            <w:shd w:val="clear" w:color="auto" w:fill="auto"/>
            <w:noWrap/>
            <w:vAlign w:val="bottom"/>
            <w:hideMark/>
          </w:tcPr>
          <w:p w14:paraId="0B917386" w14:textId="77777777" w:rsidR="00016ABC" w:rsidRPr="00016ABC" w:rsidRDefault="00016ABC" w:rsidP="00016ABC">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bottom"/>
            <w:hideMark/>
          </w:tcPr>
          <w:p w14:paraId="66099A65" w14:textId="77777777" w:rsidR="00016ABC" w:rsidRPr="00016ABC" w:rsidRDefault="00016ABC" w:rsidP="00016ABC">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bottom"/>
            <w:hideMark/>
          </w:tcPr>
          <w:p w14:paraId="1974EFCF" w14:textId="77777777" w:rsidR="00016ABC" w:rsidRPr="00016ABC" w:rsidRDefault="00016ABC" w:rsidP="00016ABC">
            <w:pPr>
              <w:spacing w:after="0" w:line="240" w:lineRule="auto"/>
              <w:jc w:val="center"/>
              <w:rPr>
                <w:rFonts w:eastAsia="Times New Roman" w:cs="Times New Roman"/>
                <w:b w:val="0"/>
                <w:sz w:val="20"/>
                <w:szCs w:val="20"/>
                <w:lang w:eastAsia="en-MY"/>
              </w:rPr>
            </w:pPr>
          </w:p>
        </w:tc>
        <w:tc>
          <w:tcPr>
            <w:tcW w:w="1361" w:type="dxa"/>
            <w:tcBorders>
              <w:top w:val="nil"/>
              <w:left w:val="nil"/>
              <w:bottom w:val="nil"/>
              <w:right w:val="nil"/>
            </w:tcBorders>
            <w:shd w:val="clear" w:color="auto" w:fill="auto"/>
            <w:noWrap/>
            <w:vAlign w:val="bottom"/>
            <w:hideMark/>
          </w:tcPr>
          <w:p w14:paraId="362086E1"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4</w:t>
            </w:r>
          </w:p>
        </w:tc>
        <w:tc>
          <w:tcPr>
            <w:tcW w:w="1240" w:type="dxa"/>
            <w:tcBorders>
              <w:top w:val="nil"/>
              <w:left w:val="nil"/>
              <w:bottom w:val="nil"/>
              <w:right w:val="nil"/>
            </w:tcBorders>
            <w:shd w:val="clear" w:color="auto" w:fill="auto"/>
            <w:noWrap/>
            <w:vAlign w:val="bottom"/>
            <w:hideMark/>
          </w:tcPr>
          <w:p w14:paraId="18E345CD"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1.96</w:t>
            </w:r>
          </w:p>
        </w:tc>
        <w:tc>
          <w:tcPr>
            <w:tcW w:w="1500" w:type="dxa"/>
            <w:tcBorders>
              <w:top w:val="nil"/>
              <w:left w:val="nil"/>
              <w:bottom w:val="nil"/>
              <w:right w:val="nil"/>
            </w:tcBorders>
            <w:shd w:val="clear" w:color="auto" w:fill="auto"/>
            <w:noWrap/>
            <w:vAlign w:val="bottom"/>
            <w:hideMark/>
          </w:tcPr>
          <w:p w14:paraId="61F977B4"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0.53</w:t>
            </w:r>
          </w:p>
        </w:tc>
        <w:tc>
          <w:tcPr>
            <w:tcW w:w="2220" w:type="dxa"/>
            <w:tcBorders>
              <w:top w:val="nil"/>
              <w:left w:val="nil"/>
              <w:bottom w:val="nil"/>
              <w:right w:val="nil"/>
            </w:tcBorders>
            <w:shd w:val="clear" w:color="auto" w:fill="auto"/>
            <w:noWrap/>
            <w:vAlign w:val="bottom"/>
            <w:hideMark/>
          </w:tcPr>
          <w:p w14:paraId="3A721101" w14:textId="72A42715" w:rsidR="00016ABC" w:rsidRPr="00016ABC" w:rsidRDefault="0052428E" w:rsidP="00016ABC">
            <w:pPr>
              <w:spacing w:after="0" w:line="240" w:lineRule="auto"/>
              <w:jc w:val="center"/>
              <w:rPr>
                <w:rFonts w:ascii="Calibri" w:eastAsia="Times New Roman" w:hAnsi="Calibri" w:cs="Times New Roman"/>
                <w:b w:val="0"/>
                <w:color w:val="000000"/>
                <w:sz w:val="22"/>
                <w:lang w:eastAsia="en-MY"/>
              </w:rPr>
            </w:pPr>
            <w:r>
              <w:rPr>
                <w:rFonts w:ascii="Calibri" w:eastAsia="Times New Roman" w:hAnsi="Calibri" w:cs="Times New Roman"/>
                <w:b w:val="0"/>
                <w:noProof/>
                <w:color w:val="000000"/>
                <w:sz w:val="22"/>
                <w:lang w:eastAsia="en-MY"/>
              </w:rPr>
              <mc:AlternateContent>
                <mc:Choice Requires="wps">
                  <w:drawing>
                    <wp:anchor distT="0" distB="0" distL="114300" distR="114300" simplePos="0" relativeHeight="252072960" behindDoc="0" locked="0" layoutInCell="1" allowOverlap="1" wp14:anchorId="1D73AC91" wp14:editId="34C42168">
                      <wp:simplePos x="0" y="0"/>
                      <wp:positionH relativeFrom="column">
                        <wp:posOffset>166370</wp:posOffset>
                      </wp:positionH>
                      <wp:positionV relativeFrom="paragraph">
                        <wp:posOffset>116205</wp:posOffset>
                      </wp:positionV>
                      <wp:extent cx="1122680" cy="925195"/>
                      <wp:effectExtent l="0" t="0" r="1270" b="8255"/>
                      <wp:wrapNone/>
                      <wp:docPr id="1806" name="Text Box 1806"/>
                      <wp:cNvGraphicFramePr/>
                      <a:graphic xmlns:a="http://schemas.openxmlformats.org/drawingml/2006/main">
                        <a:graphicData uri="http://schemas.microsoft.com/office/word/2010/wordprocessingShape">
                          <wps:wsp>
                            <wps:cNvSpPr txBox="1"/>
                            <wps:spPr>
                              <a:xfrm>
                                <a:off x="0" y="0"/>
                                <a:ext cx="1122680" cy="925195"/>
                              </a:xfrm>
                              <a:prstGeom prst="rect">
                                <a:avLst/>
                              </a:prstGeom>
                              <a:solidFill>
                                <a:sysClr val="window" lastClr="FFFFFF"/>
                              </a:solidFill>
                              <a:ln w="6350">
                                <a:noFill/>
                              </a:ln>
                            </wps:spPr>
                            <wps:txbx>
                              <w:txbxContent>
                                <w:p w14:paraId="36AC22BF" w14:textId="01D4B802" w:rsidR="00230AB9" w:rsidRPr="0018096D" w:rsidRDefault="00230AB9" w:rsidP="0052428E">
                                  <w:pPr>
                                    <w:rPr>
                                      <w:b w:val="0"/>
                                    </w:rPr>
                                  </w:pPr>
                                  <w:r>
                                    <w:rPr>
                                      <w:b w:val="0"/>
                                    </w:rPr>
                                    <w:t>Intermediate network</w:t>
                                  </w:r>
                                </w:p>
                                <w:p w14:paraId="04BDD973" w14:textId="1DFA31FF" w:rsidR="00230AB9" w:rsidRPr="0018096D" w:rsidRDefault="00230AB9" w:rsidP="0052428E">
                                  <w:pPr>
                                    <w:rPr>
                                      <w:b w:val="0"/>
                                    </w:rPr>
                                  </w:pPr>
                                  <w:r>
                                    <w:rPr>
                                      <w:b w:val="0"/>
                                    </w:rPr>
                                    <w:t>Z</w:t>
                                  </w:r>
                                  <w:r w:rsidRPr="0018096D">
                                    <w:rPr>
                                      <w:b w:val="0"/>
                                    </w:rPr>
                                    <w:t>/a</w:t>
                                  </w:r>
                                  <w:r w:rsidRPr="0018096D">
                                    <w:rPr>
                                      <w:b w:val="0"/>
                                      <w:vertAlign w:val="superscript"/>
                                    </w:rPr>
                                    <w:t>2</w:t>
                                  </w:r>
                                  <w:r>
                                    <w:rPr>
                                      <w:rFonts w:ascii="Calibri" w:hAnsi="Calibri"/>
                                      <w:b w:val="0"/>
                                    </w:rPr>
                                    <w:t>≈ 0.5….1.0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3AC91" id="Text Box 1806" o:spid="_x0000_s1031" type="#_x0000_t202" style="position:absolute;left:0;text-align:left;margin-left:13.1pt;margin-top:9.15pt;width:88.4pt;height:72.8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" fillcolor="window" stroked="f" strokeweight=".5pt">
                      <v:textbox>
                        <w:txbxContent>
                          <w:p w14:paraId="36AC22BF" w14:textId="01D4B802" w:rsidR="00230AB9" w:rsidRPr="0018096D" w:rsidRDefault="00230AB9" w:rsidP="0052428E">
                            <w:pPr>
                              <w:rPr>
                                <w:b w:val="0"/>
                              </w:rPr>
                            </w:pPr>
                            <w:r>
                              <w:rPr>
                                <w:b w:val="0"/>
                              </w:rPr>
                              <w:t>Intermediate network</w:t>
                            </w:r>
                          </w:p>
                          <w:p w14:paraId="04BDD973" w14:textId="1DFA31FF" w:rsidR="00230AB9" w:rsidRPr="0018096D" w:rsidRDefault="00230AB9" w:rsidP="0052428E">
                            <w:pPr>
                              <w:rPr>
                                <w:b w:val="0"/>
                              </w:rPr>
                            </w:pPr>
                            <w:r>
                              <w:rPr>
                                <w:b w:val="0"/>
                              </w:rPr>
                              <w:t>Z</w:t>
                            </w:r>
                            <w:r w:rsidRPr="0018096D">
                              <w:rPr>
                                <w:b w:val="0"/>
                              </w:rPr>
                              <w:t>/a</w:t>
                            </w:r>
                            <w:r w:rsidRPr="0018096D">
                              <w:rPr>
                                <w:b w:val="0"/>
                                <w:vertAlign w:val="superscript"/>
                              </w:rPr>
                              <w:t>2</w:t>
                            </w:r>
                            <w:r>
                              <w:rPr>
                                <w:rFonts w:ascii="Calibri" w:hAnsi="Calibri"/>
                                <w:b w:val="0"/>
                              </w:rPr>
                              <w:t>≈ 0.5….1.0</w:t>
                            </w:r>
                          </w:p>
                        </w:txbxContent>
                      </v:textbox>
                    </v:shape>
                  </w:pict>
                </mc:Fallback>
              </mc:AlternateContent>
            </w:r>
          </w:p>
        </w:tc>
      </w:tr>
      <w:tr w:rsidR="00016ABC" w:rsidRPr="00016ABC" w14:paraId="0ACFDD14" w14:textId="77777777" w:rsidTr="0018096D">
        <w:trPr>
          <w:trHeight w:val="300"/>
        </w:trPr>
        <w:tc>
          <w:tcPr>
            <w:tcW w:w="960" w:type="dxa"/>
            <w:tcBorders>
              <w:top w:val="nil"/>
              <w:left w:val="nil"/>
              <w:bottom w:val="nil"/>
              <w:right w:val="nil"/>
            </w:tcBorders>
            <w:shd w:val="clear" w:color="auto" w:fill="auto"/>
            <w:noWrap/>
            <w:vAlign w:val="bottom"/>
            <w:hideMark/>
          </w:tcPr>
          <w:p w14:paraId="23159628"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roofErr w:type="spellStart"/>
            <w:r w:rsidRPr="00016ABC">
              <w:rPr>
                <w:rFonts w:ascii="Calibri" w:eastAsia="Times New Roman" w:hAnsi="Calibri" w:cs="Times New Roman"/>
                <w:b w:val="0"/>
                <w:color w:val="000000"/>
                <w:sz w:val="22"/>
                <w:lang w:eastAsia="en-MY"/>
              </w:rPr>
              <w:t>Zr</w:t>
            </w:r>
            <w:proofErr w:type="spellEnd"/>
          </w:p>
        </w:tc>
        <w:tc>
          <w:tcPr>
            <w:tcW w:w="960" w:type="dxa"/>
            <w:tcBorders>
              <w:top w:val="nil"/>
              <w:left w:val="nil"/>
              <w:bottom w:val="nil"/>
              <w:right w:val="nil"/>
            </w:tcBorders>
            <w:shd w:val="clear" w:color="auto" w:fill="auto"/>
            <w:noWrap/>
            <w:vAlign w:val="bottom"/>
            <w:hideMark/>
          </w:tcPr>
          <w:p w14:paraId="0E2E3242"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4</w:t>
            </w:r>
          </w:p>
        </w:tc>
        <w:tc>
          <w:tcPr>
            <w:tcW w:w="960" w:type="dxa"/>
            <w:tcBorders>
              <w:top w:val="nil"/>
              <w:left w:val="nil"/>
              <w:bottom w:val="nil"/>
              <w:right w:val="nil"/>
            </w:tcBorders>
            <w:shd w:val="clear" w:color="auto" w:fill="auto"/>
            <w:noWrap/>
            <w:vAlign w:val="bottom"/>
            <w:hideMark/>
          </w:tcPr>
          <w:p w14:paraId="1D4ACA85"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0.87</w:t>
            </w:r>
          </w:p>
        </w:tc>
        <w:tc>
          <w:tcPr>
            <w:tcW w:w="1361" w:type="dxa"/>
            <w:tcBorders>
              <w:top w:val="nil"/>
              <w:left w:val="nil"/>
              <w:bottom w:val="nil"/>
              <w:right w:val="nil"/>
            </w:tcBorders>
            <w:shd w:val="clear" w:color="auto" w:fill="auto"/>
            <w:noWrap/>
            <w:vAlign w:val="bottom"/>
            <w:hideMark/>
          </w:tcPr>
          <w:p w14:paraId="5948212A"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8</w:t>
            </w:r>
          </w:p>
        </w:tc>
        <w:tc>
          <w:tcPr>
            <w:tcW w:w="1240" w:type="dxa"/>
            <w:tcBorders>
              <w:top w:val="nil"/>
              <w:left w:val="nil"/>
              <w:bottom w:val="nil"/>
              <w:right w:val="nil"/>
            </w:tcBorders>
            <w:shd w:val="clear" w:color="auto" w:fill="auto"/>
            <w:noWrap/>
            <w:vAlign w:val="bottom"/>
            <w:hideMark/>
          </w:tcPr>
          <w:p w14:paraId="3F2D21B9"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2.28</w:t>
            </w:r>
          </w:p>
        </w:tc>
        <w:tc>
          <w:tcPr>
            <w:tcW w:w="1500" w:type="dxa"/>
            <w:tcBorders>
              <w:top w:val="nil"/>
              <w:left w:val="nil"/>
              <w:bottom w:val="nil"/>
              <w:right w:val="nil"/>
            </w:tcBorders>
            <w:shd w:val="clear" w:color="auto" w:fill="auto"/>
            <w:noWrap/>
            <w:vAlign w:val="bottom"/>
            <w:hideMark/>
          </w:tcPr>
          <w:p w14:paraId="41738B67"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0.77</w:t>
            </w:r>
          </w:p>
        </w:tc>
        <w:tc>
          <w:tcPr>
            <w:tcW w:w="2220" w:type="dxa"/>
            <w:tcBorders>
              <w:top w:val="nil"/>
              <w:left w:val="nil"/>
              <w:bottom w:val="nil"/>
              <w:right w:val="nil"/>
            </w:tcBorders>
            <w:shd w:val="clear" w:color="auto" w:fill="auto"/>
            <w:noWrap/>
            <w:vAlign w:val="bottom"/>
            <w:hideMark/>
          </w:tcPr>
          <w:p w14:paraId="08B7B60E"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03753562" w14:textId="77777777" w:rsidTr="0018096D">
        <w:trPr>
          <w:trHeight w:val="300"/>
        </w:trPr>
        <w:tc>
          <w:tcPr>
            <w:tcW w:w="960" w:type="dxa"/>
            <w:tcBorders>
              <w:top w:val="nil"/>
              <w:left w:val="nil"/>
              <w:bottom w:val="nil"/>
              <w:right w:val="nil"/>
            </w:tcBorders>
            <w:shd w:val="clear" w:color="auto" w:fill="auto"/>
            <w:noWrap/>
            <w:vAlign w:val="bottom"/>
            <w:hideMark/>
          </w:tcPr>
          <w:p w14:paraId="6360FF43"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Be</w:t>
            </w:r>
          </w:p>
        </w:tc>
        <w:tc>
          <w:tcPr>
            <w:tcW w:w="960" w:type="dxa"/>
            <w:tcBorders>
              <w:top w:val="nil"/>
              <w:left w:val="nil"/>
              <w:bottom w:val="nil"/>
              <w:right w:val="nil"/>
            </w:tcBorders>
            <w:shd w:val="clear" w:color="auto" w:fill="auto"/>
            <w:noWrap/>
            <w:vAlign w:val="bottom"/>
            <w:hideMark/>
          </w:tcPr>
          <w:p w14:paraId="1B2D939F"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w:t>
            </w:r>
          </w:p>
        </w:tc>
        <w:tc>
          <w:tcPr>
            <w:tcW w:w="960" w:type="dxa"/>
            <w:tcBorders>
              <w:top w:val="nil"/>
              <w:left w:val="nil"/>
              <w:bottom w:val="nil"/>
              <w:right w:val="nil"/>
            </w:tcBorders>
            <w:shd w:val="clear" w:color="auto" w:fill="auto"/>
            <w:noWrap/>
            <w:vAlign w:val="bottom"/>
            <w:hideMark/>
          </w:tcPr>
          <w:p w14:paraId="3E84EBEA"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0.34</w:t>
            </w:r>
          </w:p>
        </w:tc>
        <w:tc>
          <w:tcPr>
            <w:tcW w:w="1361" w:type="dxa"/>
            <w:tcBorders>
              <w:top w:val="nil"/>
              <w:left w:val="nil"/>
              <w:bottom w:val="nil"/>
              <w:right w:val="nil"/>
            </w:tcBorders>
            <w:shd w:val="clear" w:color="auto" w:fill="auto"/>
            <w:noWrap/>
            <w:vAlign w:val="bottom"/>
            <w:hideMark/>
          </w:tcPr>
          <w:p w14:paraId="0C5B4FD8"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4</w:t>
            </w:r>
          </w:p>
        </w:tc>
        <w:tc>
          <w:tcPr>
            <w:tcW w:w="1240" w:type="dxa"/>
            <w:tcBorders>
              <w:top w:val="nil"/>
              <w:left w:val="nil"/>
              <w:bottom w:val="nil"/>
              <w:right w:val="nil"/>
            </w:tcBorders>
            <w:shd w:val="clear" w:color="auto" w:fill="auto"/>
            <w:noWrap/>
            <w:vAlign w:val="bottom"/>
            <w:hideMark/>
          </w:tcPr>
          <w:p w14:paraId="2612D129"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1.53</w:t>
            </w:r>
          </w:p>
        </w:tc>
        <w:tc>
          <w:tcPr>
            <w:tcW w:w="1500" w:type="dxa"/>
            <w:tcBorders>
              <w:top w:val="nil"/>
              <w:left w:val="nil"/>
              <w:bottom w:val="nil"/>
              <w:right w:val="nil"/>
            </w:tcBorders>
            <w:shd w:val="clear" w:color="auto" w:fill="auto"/>
            <w:noWrap/>
            <w:vAlign w:val="bottom"/>
            <w:hideMark/>
          </w:tcPr>
          <w:p w14:paraId="3AEED482"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0.86</w:t>
            </w:r>
          </w:p>
        </w:tc>
        <w:tc>
          <w:tcPr>
            <w:tcW w:w="2220" w:type="dxa"/>
            <w:tcBorders>
              <w:top w:val="nil"/>
              <w:left w:val="nil"/>
              <w:bottom w:val="nil"/>
              <w:right w:val="nil"/>
            </w:tcBorders>
            <w:shd w:val="clear" w:color="auto" w:fill="auto"/>
            <w:noWrap/>
            <w:vAlign w:val="bottom"/>
            <w:hideMark/>
          </w:tcPr>
          <w:p w14:paraId="775B450F"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00E753F8" w14:textId="77777777" w:rsidTr="0018096D">
        <w:trPr>
          <w:trHeight w:val="300"/>
        </w:trPr>
        <w:tc>
          <w:tcPr>
            <w:tcW w:w="960" w:type="dxa"/>
            <w:tcBorders>
              <w:top w:val="nil"/>
              <w:left w:val="nil"/>
              <w:bottom w:val="nil"/>
              <w:right w:val="nil"/>
            </w:tcBorders>
            <w:shd w:val="clear" w:color="auto" w:fill="auto"/>
            <w:noWrap/>
            <w:vAlign w:val="bottom"/>
            <w:hideMark/>
          </w:tcPr>
          <w:p w14:paraId="428D977D"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Fe</w:t>
            </w:r>
          </w:p>
        </w:tc>
        <w:tc>
          <w:tcPr>
            <w:tcW w:w="960" w:type="dxa"/>
            <w:tcBorders>
              <w:top w:val="nil"/>
              <w:left w:val="nil"/>
              <w:bottom w:val="nil"/>
              <w:right w:val="nil"/>
            </w:tcBorders>
            <w:shd w:val="clear" w:color="auto" w:fill="auto"/>
            <w:noWrap/>
            <w:vAlign w:val="bottom"/>
            <w:hideMark/>
          </w:tcPr>
          <w:p w14:paraId="4CF97AAA"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3</w:t>
            </w:r>
          </w:p>
        </w:tc>
        <w:tc>
          <w:tcPr>
            <w:tcW w:w="960" w:type="dxa"/>
            <w:tcBorders>
              <w:top w:val="nil"/>
              <w:left w:val="nil"/>
              <w:bottom w:val="nil"/>
              <w:right w:val="nil"/>
            </w:tcBorders>
            <w:shd w:val="clear" w:color="auto" w:fill="auto"/>
            <w:noWrap/>
            <w:vAlign w:val="bottom"/>
            <w:hideMark/>
          </w:tcPr>
          <w:p w14:paraId="19E3A6F3"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0.67</w:t>
            </w:r>
          </w:p>
        </w:tc>
        <w:tc>
          <w:tcPr>
            <w:tcW w:w="1361" w:type="dxa"/>
            <w:tcBorders>
              <w:top w:val="nil"/>
              <w:left w:val="nil"/>
              <w:bottom w:val="nil"/>
              <w:right w:val="nil"/>
            </w:tcBorders>
            <w:shd w:val="clear" w:color="auto" w:fill="auto"/>
            <w:noWrap/>
            <w:vAlign w:val="bottom"/>
            <w:hideMark/>
          </w:tcPr>
          <w:p w14:paraId="4D886DED"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6</w:t>
            </w:r>
          </w:p>
        </w:tc>
        <w:tc>
          <w:tcPr>
            <w:tcW w:w="1240" w:type="dxa"/>
            <w:tcBorders>
              <w:top w:val="nil"/>
              <w:left w:val="nil"/>
              <w:bottom w:val="nil"/>
              <w:right w:val="nil"/>
            </w:tcBorders>
            <w:shd w:val="clear" w:color="auto" w:fill="auto"/>
            <w:noWrap/>
            <w:vAlign w:val="bottom"/>
            <w:hideMark/>
          </w:tcPr>
          <w:p w14:paraId="05EDF90A"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1.99</w:t>
            </w:r>
          </w:p>
        </w:tc>
        <w:tc>
          <w:tcPr>
            <w:tcW w:w="1500" w:type="dxa"/>
            <w:tcBorders>
              <w:top w:val="nil"/>
              <w:left w:val="nil"/>
              <w:bottom w:val="nil"/>
              <w:right w:val="nil"/>
            </w:tcBorders>
            <w:shd w:val="clear" w:color="auto" w:fill="auto"/>
            <w:noWrap/>
            <w:vAlign w:val="bottom"/>
            <w:hideMark/>
          </w:tcPr>
          <w:p w14:paraId="1577A33E"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0.76</w:t>
            </w:r>
          </w:p>
        </w:tc>
        <w:tc>
          <w:tcPr>
            <w:tcW w:w="2220" w:type="dxa"/>
            <w:tcBorders>
              <w:top w:val="nil"/>
              <w:left w:val="nil"/>
              <w:bottom w:val="nil"/>
              <w:right w:val="nil"/>
            </w:tcBorders>
            <w:shd w:val="clear" w:color="auto" w:fill="auto"/>
            <w:noWrap/>
            <w:vAlign w:val="bottom"/>
            <w:hideMark/>
          </w:tcPr>
          <w:p w14:paraId="29BE3440"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6501157A" w14:textId="77777777" w:rsidTr="0018096D">
        <w:trPr>
          <w:trHeight w:val="300"/>
        </w:trPr>
        <w:tc>
          <w:tcPr>
            <w:tcW w:w="960" w:type="dxa"/>
            <w:tcBorders>
              <w:top w:val="nil"/>
              <w:left w:val="nil"/>
              <w:bottom w:val="nil"/>
              <w:right w:val="nil"/>
            </w:tcBorders>
            <w:shd w:val="clear" w:color="auto" w:fill="auto"/>
            <w:noWrap/>
            <w:vAlign w:val="bottom"/>
            <w:hideMark/>
          </w:tcPr>
          <w:p w14:paraId="458D06F8" w14:textId="77777777" w:rsidR="00016ABC" w:rsidRPr="00016ABC" w:rsidRDefault="00016ABC" w:rsidP="00016ABC">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bottom"/>
            <w:hideMark/>
          </w:tcPr>
          <w:p w14:paraId="4E512293" w14:textId="77777777" w:rsidR="00016ABC" w:rsidRPr="00016ABC" w:rsidRDefault="00016ABC" w:rsidP="00016ABC">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bottom"/>
            <w:hideMark/>
          </w:tcPr>
          <w:p w14:paraId="19A83579" w14:textId="77777777" w:rsidR="00016ABC" w:rsidRPr="00016ABC" w:rsidRDefault="00016ABC" w:rsidP="00016ABC">
            <w:pPr>
              <w:spacing w:after="0" w:line="240" w:lineRule="auto"/>
              <w:jc w:val="center"/>
              <w:rPr>
                <w:rFonts w:eastAsia="Times New Roman" w:cs="Times New Roman"/>
                <w:b w:val="0"/>
                <w:sz w:val="20"/>
                <w:szCs w:val="20"/>
                <w:lang w:eastAsia="en-MY"/>
              </w:rPr>
            </w:pPr>
          </w:p>
        </w:tc>
        <w:tc>
          <w:tcPr>
            <w:tcW w:w="1361" w:type="dxa"/>
            <w:tcBorders>
              <w:top w:val="nil"/>
              <w:left w:val="nil"/>
              <w:bottom w:val="nil"/>
              <w:right w:val="nil"/>
            </w:tcBorders>
            <w:shd w:val="clear" w:color="auto" w:fill="auto"/>
            <w:noWrap/>
            <w:vAlign w:val="bottom"/>
            <w:hideMark/>
          </w:tcPr>
          <w:p w14:paraId="65183527"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4</w:t>
            </w:r>
          </w:p>
        </w:tc>
        <w:tc>
          <w:tcPr>
            <w:tcW w:w="1240" w:type="dxa"/>
            <w:tcBorders>
              <w:top w:val="nil"/>
              <w:left w:val="nil"/>
              <w:bottom w:val="nil"/>
              <w:right w:val="nil"/>
            </w:tcBorders>
            <w:shd w:val="clear" w:color="auto" w:fill="auto"/>
            <w:noWrap/>
            <w:vAlign w:val="bottom"/>
            <w:hideMark/>
          </w:tcPr>
          <w:p w14:paraId="6CBBFCF8"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1.88</w:t>
            </w:r>
          </w:p>
        </w:tc>
        <w:tc>
          <w:tcPr>
            <w:tcW w:w="1500" w:type="dxa"/>
            <w:tcBorders>
              <w:top w:val="nil"/>
              <w:left w:val="nil"/>
              <w:bottom w:val="nil"/>
              <w:right w:val="nil"/>
            </w:tcBorders>
            <w:shd w:val="clear" w:color="auto" w:fill="auto"/>
            <w:noWrap/>
            <w:vAlign w:val="bottom"/>
            <w:hideMark/>
          </w:tcPr>
          <w:p w14:paraId="02E4B434"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0.85</w:t>
            </w:r>
          </w:p>
        </w:tc>
        <w:tc>
          <w:tcPr>
            <w:tcW w:w="2220" w:type="dxa"/>
            <w:tcBorders>
              <w:top w:val="nil"/>
              <w:left w:val="nil"/>
              <w:bottom w:val="nil"/>
              <w:right w:val="nil"/>
            </w:tcBorders>
            <w:shd w:val="clear" w:color="auto" w:fill="auto"/>
            <w:noWrap/>
            <w:vAlign w:val="bottom"/>
            <w:hideMark/>
          </w:tcPr>
          <w:p w14:paraId="1AE1D6FB"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5D0CE69C" w14:textId="77777777" w:rsidTr="0018096D">
        <w:trPr>
          <w:trHeight w:val="300"/>
        </w:trPr>
        <w:tc>
          <w:tcPr>
            <w:tcW w:w="960" w:type="dxa"/>
            <w:tcBorders>
              <w:top w:val="nil"/>
              <w:left w:val="nil"/>
              <w:bottom w:val="nil"/>
              <w:right w:val="nil"/>
            </w:tcBorders>
            <w:shd w:val="clear" w:color="auto" w:fill="auto"/>
            <w:noWrap/>
            <w:vAlign w:val="bottom"/>
            <w:hideMark/>
          </w:tcPr>
          <w:p w14:paraId="75A1E64C"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Al</w:t>
            </w:r>
          </w:p>
        </w:tc>
        <w:tc>
          <w:tcPr>
            <w:tcW w:w="960" w:type="dxa"/>
            <w:tcBorders>
              <w:top w:val="nil"/>
              <w:left w:val="nil"/>
              <w:bottom w:val="nil"/>
              <w:right w:val="nil"/>
            </w:tcBorders>
            <w:shd w:val="clear" w:color="auto" w:fill="auto"/>
            <w:noWrap/>
            <w:vAlign w:val="bottom"/>
            <w:hideMark/>
          </w:tcPr>
          <w:p w14:paraId="5F0CF0E9"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3</w:t>
            </w:r>
          </w:p>
        </w:tc>
        <w:tc>
          <w:tcPr>
            <w:tcW w:w="960" w:type="dxa"/>
            <w:tcBorders>
              <w:top w:val="nil"/>
              <w:left w:val="nil"/>
              <w:bottom w:val="nil"/>
              <w:right w:val="nil"/>
            </w:tcBorders>
            <w:shd w:val="clear" w:color="auto" w:fill="auto"/>
            <w:noWrap/>
            <w:vAlign w:val="bottom"/>
            <w:hideMark/>
          </w:tcPr>
          <w:p w14:paraId="0E830BDD"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0.57</w:t>
            </w:r>
          </w:p>
        </w:tc>
        <w:tc>
          <w:tcPr>
            <w:tcW w:w="1361" w:type="dxa"/>
            <w:tcBorders>
              <w:top w:val="nil"/>
              <w:left w:val="nil"/>
              <w:bottom w:val="nil"/>
              <w:right w:val="nil"/>
            </w:tcBorders>
            <w:shd w:val="clear" w:color="auto" w:fill="auto"/>
            <w:noWrap/>
            <w:vAlign w:val="bottom"/>
            <w:hideMark/>
          </w:tcPr>
          <w:p w14:paraId="546AE25E"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6</w:t>
            </w:r>
          </w:p>
        </w:tc>
        <w:tc>
          <w:tcPr>
            <w:tcW w:w="1240" w:type="dxa"/>
            <w:tcBorders>
              <w:top w:val="nil"/>
              <w:left w:val="nil"/>
              <w:bottom w:val="nil"/>
              <w:right w:val="nil"/>
            </w:tcBorders>
            <w:shd w:val="clear" w:color="auto" w:fill="auto"/>
            <w:noWrap/>
            <w:vAlign w:val="bottom"/>
            <w:hideMark/>
          </w:tcPr>
          <w:p w14:paraId="237B1C1F"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1.89</w:t>
            </w:r>
          </w:p>
        </w:tc>
        <w:tc>
          <w:tcPr>
            <w:tcW w:w="1500" w:type="dxa"/>
            <w:tcBorders>
              <w:top w:val="nil"/>
              <w:left w:val="nil"/>
              <w:bottom w:val="nil"/>
              <w:right w:val="nil"/>
            </w:tcBorders>
            <w:shd w:val="clear" w:color="auto" w:fill="auto"/>
            <w:noWrap/>
            <w:vAlign w:val="bottom"/>
            <w:hideMark/>
          </w:tcPr>
          <w:p w14:paraId="44F2A149"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0.84</w:t>
            </w:r>
          </w:p>
        </w:tc>
        <w:tc>
          <w:tcPr>
            <w:tcW w:w="2220" w:type="dxa"/>
            <w:tcBorders>
              <w:top w:val="nil"/>
              <w:left w:val="nil"/>
              <w:bottom w:val="nil"/>
              <w:right w:val="nil"/>
            </w:tcBorders>
            <w:shd w:val="clear" w:color="auto" w:fill="auto"/>
            <w:noWrap/>
            <w:vAlign w:val="bottom"/>
            <w:hideMark/>
          </w:tcPr>
          <w:p w14:paraId="2B22470F" w14:textId="27806519"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1ABE9AB3" w14:textId="77777777" w:rsidTr="0018096D">
        <w:trPr>
          <w:trHeight w:val="300"/>
        </w:trPr>
        <w:tc>
          <w:tcPr>
            <w:tcW w:w="960" w:type="dxa"/>
            <w:tcBorders>
              <w:top w:val="nil"/>
              <w:left w:val="nil"/>
              <w:bottom w:val="nil"/>
              <w:right w:val="nil"/>
            </w:tcBorders>
            <w:shd w:val="clear" w:color="auto" w:fill="auto"/>
            <w:noWrap/>
            <w:vAlign w:val="bottom"/>
            <w:hideMark/>
          </w:tcPr>
          <w:p w14:paraId="52F7D88B" w14:textId="77777777" w:rsidR="00016ABC" w:rsidRPr="00016ABC" w:rsidRDefault="00016ABC" w:rsidP="00016ABC">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bottom"/>
            <w:hideMark/>
          </w:tcPr>
          <w:p w14:paraId="093B3F97" w14:textId="77777777" w:rsidR="00016ABC" w:rsidRPr="00016ABC" w:rsidRDefault="00016ABC" w:rsidP="00016ABC">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bottom"/>
            <w:hideMark/>
          </w:tcPr>
          <w:p w14:paraId="41033755" w14:textId="77777777" w:rsidR="00016ABC" w:rsidRPr="00016ABC" w:rsidRDefault="00016ABC" w:rsidP="00016ABC">
            <w:pPr>
              <w:spacing w:after="0" w:line="240" w:lineRule="auto"/>
              <w:jc w:val="center"/>
              <w:rPr>
                <w:rFonts w:eastAsia="Times New Roman" w:cs="Times New Roman"/>
                <w:b w:val="0"/>
                <w:sz w:val="20"/>
                <w:szCs w:val="20"/>
                <w:lang w:eastAsia="en-MY"/>
              </w:rPr>
            </w:pPr>
          </w:p>
        </w:tc>
        <w:tc>
          <w:tcPr>
            <w:tcW w:w="1361" w:type="dxa"/>
            <w:tcBorders>
              <w:top w:val="nil"/>
              <w:left w:val="nil"/>
              <w:bottom w:val="nil"/>
              <w:right w:val="nil"/>
            </w:tcBorders>
            <w:shd w:val="clear" w:color="auto" w:fill="auto"/>
            <w:noWrap/>
            <w:vAlign w:val="bottom"/>
            <w:hideMark/>
          </w:tcPr>
          <w:p w14:paraId="336E898D"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4</w:t>
            </w:r>
          </w:p>
        </w:tc>
        <w:tc>
          <w:tcPr>
            <w:tcW w:w="1240" w:type="dxa"/>
            <w:tcBorders>
              <w:top w:val="nil"/>
              <w:left w:val="nil"/>
              <w:bottom w:val="nil"/>
              <w:right w:val="nil"/>
            </w:tcBorders>
            <w:shd w:val="clear" w:color="auto" w:fill="auto"/>
            <w:noWrap/>
            <w:vAlign w:val="bottom"/>
            <w:hideMark/>
          </w:tcPr>
          <w:p w14:paraId="329FBF9D"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1.77</w:t>
            </w:r>
          </w:p>
        </w:tc>
        <w:tc>
          <w:tcPr>
            <w:tcW w:w="1500" w:type="dxa"/>
            <w:tcBorders>
              <w:top w:val="nil"/>
              <w:left w:val="nil"/>
              <w:bottom w:val="nil"/>
              <w:right w:val="nil"/>
            </w:tcBorders>
            <w:shd w:val="clear" w:color="auto" w:fill="auto"/>
            <w:noWrap/>
            <w:vAlign w:val="bottom"/>
            <w:hideMark/>
          </w:tcPr>
          <w:p w14:paraId="3586B843"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0.96</w:t>
            </w:r>
          </w:p>
        </w:tc>
        <w:tc>
          <w:tcPr>
            <w:tcW w:w="2220" w:type="dxa"/>
            <w:tcBorders>
              <w:top w:val="nil"/>
              <w:left w:val="nil"/>
              <w:bottom w:val="nil"/>
              <w:right w:val="nil"/>
            </w:tcBorders>
            <w:shd w:val="clear" w:color="auto" w:fill="auto"/>
            <w:noWrap/>
            <w:vAlign w:val="bottom"/>
            <w:hideMark/>
          </w:tcPr>
          <w:p w14:paraId="0C57AE19"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74613520" w14:textId="77777777" w:rsidTr="0018096D">
        <w:trPr>
          <w:trHeight w:val="300"/>
        </w:trPr>
        <w:tc>
          <w:tcPr>
            <w:tcW w:w="960" w:type="dxa"/>
            <w:tcBorders>
              <w:top w:val="nil"/>
              <w:left w:val="nil"/>
              <w:bottom w:val="nil"/>
              <w:right w:val="nil"/>
            </w:tcBorders>
            <w:shd w:val="clear" w:color="auto" w:fill="auto"/>
            <w:noWrap/>
            <w:vAlign w:val="bottom"/>
            <w:hideMark/>
          </w:tcPr>
          <w:p w14:paraId="1D417F8C"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proofErr w:type="spellStart"/>
            <w:r w:rsidRPr="00016ABC">
              <w:rPr>
                <w:rFonts w:ascii="Calibri" w:eastAsia="Times New Roman" w:hAnsi="Calibri" w:cs="Times New Roman"/>
                <w:b w:val="0"/>
                <w:color w:val="000000"/>
                <w:sz w:val="22"/>
                <w:lang w:eastAsia="en-MY"/>
              </w:rPr>
              <w:t>Ti</w:t>
            </w:r>
            <w:proofErr w:type="spellEnd"/>
          </w:p>
        </w:tc>
        <w:tc>
          <w:tcPr>
            <w:tcW w:w="960" w:type="dxa"/>
            <w:tcBorders>
              <w:top w:val="nil"/>
              <w:left w:val="nil"/>
              <w:bottom w:val="nil"/>
              <w:right w:val="nil"/>
            </w:tcBorders>
            <w:shd w:val="clear" w:color="auto" w:fill="auto"/>
            <w:noWrap/>
            <w:vAlign w:val="bottom"/>
            <w:hideMark/>
          </w:tcPr>
          <w:p w14:paraId="74C6F260"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4</w:t>
            </w:r>
          </w:p>
        </w:tc>
        <w:tc>
          <w:tcPr>
            <w:tcW w:w="960" w:type="dxa"/>
            <w:tcBorders>
              <w:top w:val="nil"/>
              <w:left w:val="nil"/>
              <w:bottom w:val="nil"/>
              <w:right w:val="nil"/>
            </w:tcBorders>
            <w:shd w:val="clear" w:color="auto" w:fill="auto"/>
            <w:noWrap/>
            <w:vAlign w:val="bottom"/>
            <w:hideMark/>
          </w:tcPr>
          <w:p w14:paraId="0F4D48E2"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0.64</w:t>
            </w:r>
          </w:p>
        </w:tc>
        <w:tc>
          <w:tcPr>
            <w:tcW w:w="1361" w:type="dxa"/>
            <w:tcBorders>
              <w:top w:val="nil"/>
              <w:left w:val="nil"/>
              <w:bottom w:val="nil"/>
              <w:right w:val="nil"/>
            </w:tcBorders>
            <w:shd w:val="clear" w:color="auto" w:fill="auto"/>
            <w:noWrap/>
            <w:vAlign w:val="bottom"/>
            <w:hideMark/>
          </w:tcPr>
          <w:p w14:paraId="22F1D142"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6</w:t>
            </w:r>
          </w:p>
        </w:tc>
        <w:tc>
          <w:tcPr>
            <w:tcW w:w="1240" w:type="dxa"/>
            <w:tcBorders>
              <w:top w:val="nil"/>
              <w:left w:val="nil"/>
              <w:bottom w:val="nil"/>
              <w:right w:val="nil"/>
            </w:tcBorders>
            <w:shd w:val="clear" w:color="auto" w:fill="auto"/>
            <w:noWrap/>
            <w:vAlign w:val="bottom"/>
            <w:hideMark/>
          </w:tcPr>
          <w:p w14:paraId="31F58B92"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1.96</w:t>
            </w:r>
          </w:p>
        </w:tc>
        <w:tc>
          <w:tcPr>
            <w:tcW w:w="1500" w:type="dxa"/>
            <w:tcBorders>
              <w:top w:val="nil"/>
              <w:left w:val="nil"/>
              <w:bottom w:val="nil"/>
              <w:right w:val="nil"/>
            </w:tcBorders>
            <w:shd w:val="clear" w:color="auto" w:fill="auto"/>
            <w:noWrap/>
            <w:vAlign w:val="bottom"/>
            <w:hideMark/>
          </w:tcPr>
          <w:p w14:paraId="33F83B87"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1.04</w:t>
            </w:r>
          </w:p>
        </w:tc>
        <w:tc>
          <w:tcPr>
            <w:tcW w:w="2220" w:type="dxa"/>
            <w:tcBorders>
              <w:top w:val="nil"/>
              <w:left w:val="nil"/>
              <w:bottom w:val="nil"/>
              <w:right w:val="nil"/>
            </w:tcBorders>
            <w:shd w:val="clear" w:color="auto" w:fill="auto"/>
            <w:noWrap/>
            <w:vAlign w:val="bottom"/>
            <w:hideMark/>
          </w:tcPr>
          <w:p w14:paraId="55107B90"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58DB11C4" w14:textId="77777777" w:rsidTr="0018096D">
        <w:trPr>
          <w:trHeight w:val="300"/>
        </w:trPr>
        <w:tc>
          <w:tcPr>
            <w:tcW w:w="960" w:type="dxa"/>
            <w:tcBorders>
              <w:top w:val="nil"/>
              <w:left w:val="nil"/>
              <w:bottom w:val="nil"/>
              <w:right w:val="nil"/>
            </w:tcBorders>
            <w:shd w:val="clear" w:color="auto" w:fill="auto"/>
            <w:noWrap/>
            <w:vAlign w:val="bottom"/>
            <w:hideMark/>
          </w:tcPr>
          <w:p w14:paraId="50400974"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B</w:t>
            </w:r>
          </w:p>
        </w:tc>
        <w:tc>
          <w:tcPr>
            <w:tcW w:w="960" w:type="dxa"/>
            <w:tcBorders>
              <w:top w:val="nil"/>
              <w:left w:val="nil"/>
              <w:bottom w:val="nil"/>
              <w:right w:val="nil"/>
            </w:tcBorders>
            <w:shd w:val="clear" w:color="auto" w:fill="auto"/>
            <w:noWrap/>
            <w:vAlign w:val="bottom"/>
            <w:hideMark/>
          </w:tcPr>
          <w:p w14:paraId="43B798A8"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3</w:t>
            </w:r>
          </w:p>
        </w:tc>
        <w:tc>
          <w:tcPr>
            <w:tcW w:w="960" w:type="dxa"/>
            <w:tcBorders>
              <w:top w:val="nil"/>
              <w:left w:val="nil"/>
              <w:bottom w:val="nil"/>
              <w:right w:val="nil"/>
            </w:tcBorders>
            <w:shd w:val="clear" w:color="auto" w:fill="auto"/>
            <w:noWrap/>
            <w:vAlign w:val="bottom"/>
            <w:hideMark/>
          </w:tcPr>
          <w:p w14:paraId="756845FC"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0.2</w:t>
            </w:r>
          </w:p>
        </w:tc>
        <w:tc>
          <w:tcPr>
            <w:tcW w:w="1361" w:type="dxa"/>
            <w:tcBorders>
              <w:top w:val="nil"/>
              <w:left w:val="nil"/>
              <w:bottom w:val="nil"/>
              <w:right w:val="nil"/>
            </w:tcBorders>
            <w:shd w:val="clear" w:color="auto" w:fill="auto"/>
            <w:noWrap/>
            <w:vAlign w:val="bottom"/>
            <w:hideMark/>
          </w:tcPr>
          <w:p w14:paraId="3C51D666"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4</w:t>
            </w:r>
          </w:p>
        </w:tc>
        <w:tc>
          <w:tcPr>
            <w:tcW w:w="1240" w:type="dxa"/>
            <w:tcBorders>
              <w:top w:val="nil"/>
              <w:left w:val="nil"/>
              <w:bottom w:val="nil"/>
              <w:right w:val="nil"/>
            </w:tcBorders>
            <w:shd w:val="clear" w:color="auto" w:fill="auto"/>
            <w:noWrap/>
            <w:vAlign w:val="bottom"/>
            <w:hideMark/>
          </w:tcPr>
          <w:p w14:paraId="2A9AD8A7"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1.5</w:t>
            </w:r>
          </w:p>
        </w:tc>
        <w:tc>
          <w:tcPr>
            <w:tcW w:w="1500" w:type="dxa"/>
            <w:tcBorders>
              <w:top w:val="nil"/>
              <w:left w:val="nil"/>
              <w:bottom w:val="nil"/>
              <w:right w:val="nil"/>
            </w:tcBorders>
            <w:shd w:val="clear" w:color="auto" w:fill="auto"/>
            <w:noWrap/>
            <w:vAlign w:val="bottom"/>
            <w:hideMark/>
          </w:tcPr>
          <w:p w14:paraId="11765118"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1.34</w:t>
            </w:r>
          </w:p>
        </w:tc>
        <w:tc>
          <w:tcPr>
            <w:tcW w:w="2220" w:type="dxa"/>
            <w:tcBorders>
              <w:top w:val="nil"/>
              <w:left w:val="nil"/>
              <w:bottom w:val="nil"/>
              <w:right w:val="nil"/>
            </w:tcBorders>
            <w:shd w:val="clear" w:color="auto" w:fill="auto"/>
            <w:noWrap/>
            <w:vAlign w:val="bottom"/>
            <w:hideMark/>
          </w:tcPr>
          <w:p w14:paraId="0311B1B5" w14:textId="0BD55CF6" w:rsidR="00016ABC" w:rsidRPr="00016ABC" w:rsidRDefault="00230B64" w:rsidP="00016ABC">
            <w:pPr>
              <w:spacing w:after="0" w:line="240" w:lineRule="auto"/>
              <w:jc w:val="center"/>
              <w:rPr>
                <w:rFonts w:ascii="Calibri" w:eastAsia="Times New Roman" w:hAnsi="Calibri" w:cs="Times New Roman"/>
                <w:b w:val="0"/>
                <w:color w:val="000000"/>
                <w:sz w:val="22"/>
                <w:lang w:eastAsia="en-MY"/>
              </w:rPr>
            </w:pPr>
            <w:r>
              <w:rPr>
                <w:rFonts w:ascii="Calibri" w:eastAsia="Times New Roman" w:hAnsi="Calibri" w:cs="Times New Roman"/>
                <w:b w:val="0"/>
                <w:noProof/>
                <w:color w:val="000000"/>
                <w:sz w:val="22"/>
                <w:lang w:eastAsia="en-MY"/>
              </w:rPr>
              <mc:AlternateContent>
                <mc:Choice Requires="wps">
                  <w:drawing>
                    <wp:anchor distT="0" distB="0" distL="114300" distR="114300" simplePos="0" relativeHeight="252069888" behindDoc="0" locked="0" layoutInCell="1" allowOverlap="1" wp14:anchorId="135C0217" wp14:editId="2C4E3B8D">
                      <wp:simplePos x="0" y="0"/>
                      <wp:positionH relativeFrom="column">
                        <wp:posOffset>-21590</wp:posOffset>
                      </wp:positionH>
                      <wp:positionV relativeFrom="paragraph">
                        <wp:posOffset>100965</wp:posOffset>
                      </wp:positionV>
                      <wp:extent cx="141605" cy="771525"/>
                      <wp:effectExtent l="0" t="0" r="10795" b="28575"/>
                      <wp:wrapNone/>
                      <wp:docPr id="1802" name="Right Brace 1802"/>
                      <wp:cNvGraphicFramePr/>
                      <a:graphic xmlns:a="http://schemas.openxmlformats.org/drawingml/2006/main">
                        <a:graphicData uri="http://schemas.microsoft.com/office/word/2010/wordprocessingShape">
                          <wps:wsp>
                            <wps:cNvSpPr/>
                            <wps:spPr>
                              <a:xfrm>
                                <a:off x="0" y="0"/>
                                <a:ext cx="141605" cy="771525"/>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167AD" id="Right Brace 1802" o:spid="_x0000_s1026" type="#_x0000_t88" style="position:absolute;margin-left:-1.7pt;margin-top:7.95pt;width:11.15pt;height:60.7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" adj="330" strokecolor="black [3040]"/>
                  </w:pict>
                </mc:Fallback>
              </mc:AlternateContent>
            </w:r>
          </w:p>
        </w:tc>
      </w:tr>
      <w:tr w:rsidR="00016ABC" w:rsidRPr="00016ABC" w14:paraId="55A9B0B4" w14:textId="77777777" w:rsidTr="0018096D">
        <w:trPr>
          <w:trHeight w:val="300"/>
        </w:trPr>
        <w:tc>
          <w:tcPr>
            <w:tcW w:w="960" w:type="dxa"/>
            <w:tcBorders>
              <w:top w:val="nil"/>
              <w:left w:val="nil"/>
              <w:bottom w:val="nil"/>
              <w:right w:val="nil"/>
            </w:tcBorders>
            <w:shd w:val="clear" w:color="auto" w:fill="auto"/>
            <w:noWrap/>
            <w:vAlign w:val="bottom"/>
            <w:hideMark/>
          </w:tcPr>
          <w:p w14:paraId="67458211"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Ge</w:t>
            </w:r>
          </w:p>
        </w:tc>
        <w:tc>
          <w:tcPr>
            <w:tcW w:w="960" w:type="dxa"/>
            <w:tcBorders>
              <w:top w:val="nil"/>
              <w:left w:val="nil"/>
              <w:bottom w:val="nil"/>
              <w:right w:val="nil"/>
            </w:tcBorders>
            <w:shd w:val="clear" w:color="auto" w:fill="auto"/>
            <w:noWrap/>
            <w:vAlign w:val="bottom"/>
            <w:hideMark/>
          </w:tcPr>
          <w:p w14:paraId="709BAC4D"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4</w:t>
            </w:r>
          </w:p>
        </w:tc>
        <w:tc>
          <w:tcPr>
            <w:tcW w:w="960" w:type="dxa"/>
            <w:tcBorders>
              <w:top w:val="nil"/>
              <w:left w:val="nil"/>
              <w:bottom w:val="nil"/>
              <w:right w:val="nil"/>
            </w:tcBorders>
            <w:shd w:val="clear" w:color="auto" w:fill="auto"/>
            <w:noWrap/>
            <w:vAlign w:val="bottom"/>
            <w:hideMark/>
          </w:tcPr>
          <w:p w14:paraId="1F2DF5EB"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0.44</w:t>
            </w:r>
          </w:p>
        </w:tc>
        <w:tc>
          <w:tcPr>
            <w:tcW w:w="1361" w:type="dxa"/>
            <w:tcBorders>
              <w:top w:val="nil"/>
              <w:left w:val="nil"/>
              <w:bottom w:val="nil"/>
              <w:right w:val="nil"/>
            </w:tcBorders>
            <w:shd w:val="clear" w:color="auto" w:fill="auto"/>
            <w:noWrap/>
            <w:vAlign w:val="bottom"/>
            <w:hideMark/>
          </w:tcPr>
          <w:p w14:paraId="413FFA3C"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4</w:t>
            </w:r>
          </w:p>
        </w:tc>
        <w:tc>
          <w:tcPr>
            <w:tcW w:w="1240" w:type="dxa"/>
            <w:tcBorders>
              <w:top w:val="nil"/>
              <w:left w:val="nil"/>
              <w:bottom w:val="nil"/>
              <w:right w:val="nil"/>
            </w:tcBorders>
            <w:shd w:val="clear" w:color="auto" w:fill="auto"/>
            <w:noWrap/>
            <w:vAlign w:val="bottom"/>
            <w:hideMark/>
          </w:tcPr>
          <w:p w14:paraId="4E6F9CAC"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1.66</w:t>
            </w:r>
          </w:p>
        </w:tc>
        <w:tc>
          <w:tcPr>
            <w:tcW w:w="1500" w:type="dxa"/>
            <w:tcBorders>
              <w:top w:val="nil"/>
              <w:left w:val="nil"/>
              <w:bottom w:val="nil"/>
              <w:right w:val="nil"/>
            </w:tcBorders>
            <w:shd w:val="clear" w:color="auto" w:fill="auto"/>
            <w:noWrap/>
            <w:vAlign w:val="bottom"/>
            <w:hideMark/>
          </w:tcPr>
          <w:p w14:paraId="2ADA5A43"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1.45</w:t>
            </w:r>
          </w:p>
        </w:tc>
        <w:tc>
          <w:tcPr>
            <w:tcW w:w="2220" w:type="dxa"/>
            <w:tcBorders>
              <w:top w:val="nil"/>
              <w:left w:val="nil"/>
              <w:bottom w:val="nil"/>
              <w:right w:val="nil"/>
            </w:tcBorders>
            <w:shd w:val="clear" w:color="auto" w:fill="auto"/>
            <w:noWrap/>
            <w:vAlign w:val="bottom"/>
            <w:hideMark/>
          </w:tcPr>
          <w:p w14:paraId="15C585C6"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24C2E0CE" w14:textId="77777777" w:rsidTr="0018096D">
        <w:trPr>
          <w:trHeight w:val="300"/>
        </w:trPr>
        <w:tc>
          <w:tcPr>
            <w:tcW w:w="960" w:type="dxa"/>
            <w:tcBorders>
              <w:top w:val="nil"/>
              <w:left w:val="nil"/>
              <w:bottom w:val="nil"/>
              <w:right w:val="nil"/>
            </w:tcBorders>
            <w:shd w:val="clear" w:color="auto" w:fill="auto"/>
            <w:noWrap/>
            <w:vAlign w:val="bottom"/>
            <w:hideMark/>
          </w:tcPr>
          <w:p w14:paraId="69ECD6EF"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Si</w:t>
            </w:r>
          </w:p>
        </w:tc>
        <w:tc>
          <w:tcPr>
            <w:tcW w:w="960" w:type="dxa"/>
            <w:tcBorders>
              <w:top w:val="nil"/>
              <w:left w:val="nil"/>
              <w:bottom w:val="nil"/>
              <w:right w:val="nil"/>
            </w:tcBorders>
            <w:shd w:val="clear" w:color="auto" w:fill="auto"/>
            <w:noWrap/>
            <w:vAlign w:val="bottom"/>
            <w:hideMark/>
          </w:tcPr>
          <w:p w14:paraId="3DFE7E18"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4</w:t>
            </w:r>
          </w:p>
        </w:tc>
        <w:tc>
          <w:tcPr>
            <w:tcW w:w="960" w:type="dxa"/>
            <w:tcBorders>
              <w:top w:val="nil"/>
              <w:left w:val="nil"/>
              <w:bottom w:val="nil"/>
              <w:right w:val="nil"/>
            </w:tcBorders>
            <w:shd w:val="clear" w:color="auto" w:fill="auto"/>
            <w:noWrap/>
            <w:vAlign w:val="bottom"/>
            <w:hideMark/>
          </w:tcPr>
          <w:p w14:paraId="67382E71"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0.39</w:t>
            </w:r>
          </w:p>
        </w:tc>
        <w:tc>
          <w:tcPr>
            <w:tcW w:w="1361" w:type="dxa"/>
            <w:tcBorders>
              <w:top w:val="nil"/>
              <w:left w:val="nil"/>
              <w:bottom w:val="nil"/>
              <w:right w:val="nil"/>
            </w:tcBorders>
            <w:shd w:val="clear" w:color="auto" w:fill="auto"/>
            <w:noWrap/>
            <w:vAlign w:val="bottom"/>
            <w:hideMark/>
          </w:tcPr>
          <w:p w14:paraId="715A8914"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4</w:t>
            </w:r>
          </w:p>
        </w:tc>
        <w:tc>
          <w:tcPr>
            <w:tcW w:w="1240" w:type="dxa"/>
            <w:tcBorders>
              <w:top w:val="nil"/>
              <w:left w:val="nil"/>
              <w:bottom w:val="nil"/>
              <w:right w:val="nil"/>
            </w:tcBorders>
            <w:shd w:val="clear" w:color="auto" w:fill="auto"/>
            <w:noWrap/>
            <w:vAlign w:val="bottom"/>
            <w:hideMark/>
          </w:tcPr>
          <w:p w14:paraId="3949B0EA"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1.6</w:t>
            </w:r>
          </w:p>
        </w:tc>
        <w:tc>
          <w:tcPr>
            <w:tcW w:w="1500" w:type="dxa"/>
            <w:tcBorders>
              <w:top w:val="nil"/>
              <w:left w:val="nil"/>
              <w:bottom w:val="nil"/>
              <w:right w:val="nil"/>
            </w:tcBorders>
            <w:shd w:val="clear" w:color="auto" w:fill="auto"/>
            <w:noWrap/>
            <w:vAlign w:val="bottom"/>
            <w:hideMark/>
          </w:tcPr>
          <w:p w14:paraId="5B14C32B"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1.57</w:t>
            </w:r>
          </w:p>
        </w:tc>
        <w:tc>
          <w:tcPr>
            <w:tcW w:w="2220" w:type="dxa"/>
            <w:tcBorders>
              <w:top w:val="nil"/>
              <w:left w:val="nil"/>
              <w:bottom w:val="nil"/>
              <w:right w:val="nil"/>
            </w:tcBorders>
            <w:shd w:val="clear" w:color="auto" w:fill="auto"/>
            <w:noWrap/>
            <w:vAlign w:val="bottom"/>
            <w:hideMark/>
          </w:tcPr>
          <w:p w14:paraId="4690315F"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33AF7B1B" w14:textId="77777777" w:rsidTr="0018096D">
        <w:trPr>
          <w:trHeight w:val="300"/>
        </w:trPr>
        <w:tc>
          <w:tcPr>
            <w:tcW w:w="960" w:type="dxa"/>
            <w:tcBorders>
              <w:top w:val="nil"/>
              <w:left w:val="nil"/>
              <w:bottom w:val="nil"/>
              <w:right w:val="nil"/>
            </w:tcBorders>
            <w:shd w:val="clear" w:color="auto" w:fill="auto"/>
            <w:noWrap/>
            <w:vAlign w:val="bottom"/>
            <w:hideMark/>
          </w:tcPr>
          <w:p w14:paraId="633709C3"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P</w:t>
            </w:r>
          </w:p>
        </w:tc>
        <w:tc>
          <w:tcPr>
            <w:tcW w:w="960" w:type="dxa"/>
            <w:tcBorders>
              <w:top w:val="nil"/>
              <w:left w:val="nil"/>
              <w:bottom w:val="nil"/>
              <w:right w:val="nil"/>
            </w:tcBorders>
            <w:shd w:val="clear" w:color="auto" w:fill="auto"/>
            <w:noWrap/>
            <w:vAlign w:val="bottom"/>
            <w:hideMark/>
          </w:tcPr>
          <w:p w14:paraId="517E7041"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5</w:t>
            </w:r>
          </w:p>
        </w:tc>
        <w:tc>
          <w:tcPr>
            <w:tcW w:w="960" w:type="dxa"/>
            <w:tcBorders>
              <w:top w:val="nil"/>
              <w:left w:val="nil"/>
              <w:bottom w:val="nil"/>
              <w:right w:val="nil"/>
            </w:tcBorders>
            <w:shd w:val="clear" w:color="auto" w:fill="auto"/>
            <w:noWrap/>
            <w:vAlign w:val="bottom"/>
            <w:hideMark/>
          </w:tcPr>
          <w:p w14:paraId="7AA55576"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0.34</w:t>
            </w:r>
          </w:p>
        </w:tc>
        <w:tc>
          <w:tcPr>
            <w:tcW w:w="1361" w:type="dxa"/>
            <w:tcBorders>
              <w:top w:val="nil"/>
              <w:left w:val="nil"/>
              <w:bottom w:val="nil"/>
              <w:right w:val="nil"/>
            </w:tcBorders>
            <w:shd w:val="clear" w:color="auto" w:fill="auto"/>
            <w:noWrap/>
            <w:vAlign w:val="bottom"/>
            <w:hideMark/>
          </w:tcPr>
          <w:p w14:paraId="33CC86A1"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4</w:t>
            </w:r>
          </w:p>
        </w:tc>
        <w:tc>
          <w:tcPr>
            <w:tcW w:w="1240" w:type="dxa"/>
            <w:tcBorders>
              <w:top w:val="nil"/>
              <w:left w:val="nil"/>
              <w:bottom w:val="nil"/>
              <w:right w:val="nil"/>
            </w:tcBorders>
            <w:shd w:val="clear" w:color="auto" w:fill="auto"/>
            <w:noWrap/>
            <w:vAlign w:val="bottom"/>
            <w:hideMark/>
          </w:tcPr>
          <w:p w14:paraId="4855A495"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1.55</w:t>
            </w:r>
          </w:p>
        </w:tc>
        <w:tc>
          <w:tcPr>
            <w:tcW w:w="1500" w:type="dxa"/>
            <w:tcBorders>
              <w:top w:val="nil"/>
              <w:left w:val="nil"/>
              <w:bottom w:val="nil"/>
              <w:right w:val="nil"/>
            </w:tcBorders>
            <w:shd w:val="clear" w:color="auto" w:fill="auto"/>
            <w:noWrap/>
            <w:vAlign w:val="bottom"/>
            <w:hideMark/>
          </w:tcPr>
          <w:p w14:paraId="1897B6A8"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2.1</w:t>
            </w:r>
          </w:p>
        </w:tc>
        <w:tc>
          <w:tcPr>
            <w:tcW w:w="2220" w:type="dxa"/>
            <w:tcBorders>
              <w:top w:val="nil"/>
              <w:left w:val="nil"/>
              <w:bottom w:val="nil"/>
              <w:right w:val="nil"/>
            </w:tcBorders>
            <w:shd w:val="clear" w:color="auto" w:fill="auto"/>
            <w:noWrap/>
            <w:vAlign w:val="bottom"/>
            <w:hideMark/>
          </w:tcPr>
          <w:p w14:paraId="0F470C4C" w14:textId="46023798"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p>
        </w:tc>
      </w:tr>
      <w:tr w:rsidR="00016ABC" w:rsidRPr="00016ABC" w14:paraId="53F6C1A1" w14:textId="77777777" w:rsidTr="0018096D">
        <w:trPr>
          <w:trHeight w:val="300"/>
        </w:trPr>
        <w:tc>
          <w:tcPr>
            <w:tcW w:w="960" w:type="dxa"/>
            <w:tcBorders>
              <w:top w:val="nil"/>
              <w:left w:val="nil"/>
              <w:bottom w:val="single" w:sz="4" w:space="0" w:color="auto"/>
              <w:right w:val="nil"/>
            </w:tcBorders>
            <w:shd w:val="clear" w:color="auto" w:fill="auto"/>
            <w:noWrap/>
            <w:vAlign w:val="bottom"/>
            <w:hideMark/>
          </w:tcPr>
          <w:p w14:paraId="6E1276D3" w14:textId="77777777" w:rsidR="00016ABC" w:rsidRPr="00016ABC" w:rsidRDefault="00016ABC" w:rsidP="00016ABC">
            <w:pPr>
              <w:spacing w:after="0" w:line="240" w:lineRule="auto"/>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B</w:t>
            </w:r>
          </w:p>
        </w:tc>
        <w:tc>
          <w:tcPr>
            <w:tcW w:w="960" w:type="dxa"/>
            <w:tcBorders>
              <w:top w:val="nil"/>
              <w:left w:val="nil"/>
              <w:bottom w:val="single" w:sz="4" w:space="0" w:color="auto"/>
              <w:right w:val="nil"/>
            </w:tcBorders>
            <w:shd w:val="clear" w:color="auto" w:fill="auto"/>
            <w:noWrap/>
            <w:vAlign w:val="bottom"/>
            <w:hideMark/>
          </w:tcPr>
          <w:p w14:paraId="55656972"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3</w:t>
            </w:r>
          </w:p>
        </w:tc>
        <w:tc>
          <w:tcPr>
            <w:tcW w:w="960" w:type="dxa"/>
            <w:tcBorders>
              <w:top w:val="nil"/>
              <w:left w:val="nil"/>
              <w:bottom w:val="single" w:sz="4" w:space="0" w:color="auto"/>
              <w:right w:val="nil"/>
            </w:tcBorders>
            <w:shd w:val="clear" w:color="auto" w:fill="auto"/>
            <w:noWrap/>
            <w:vAlign w:val="bottom"/>
            <w:hideMark/>
          </w:tcPr>
          <w:p w14:paraId="2E8B30BA"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0.2</w:t>
            </w:r>
          </w:p>
        </w:tc>
        <w:tc>
          <w:tcPr>
            <w:tcW w:w="1361" w:type="dxa"/>
            <w:tcBorders>
              <w:top w:val="nil"/>
              <w:left w:val="nil"/>
              <w:bottom w:val="single" w:sz="4" w:space="0" w:color="auto"/>
              <w:right w:val="nil"/>
            </w:tcBorders>
            <w:shd w:val="clear" w:color="auto" w:fill="auto"/>
            <w:noWrap/>
            <w:vAlign w:val="bottom"/>
            <w:hideMark/>
          </w:tcPr>
          <w:p w14:paraId="2CD92225"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3</w:t>
            </w:r>
          </w:p>
        </w:tc>
        <w:tc>
          <w:tcPr>
            <w:tcW w:w="1240" w:type="dxa"/>
            <w:tcBorders>
              <w:top w:val="nil"/>
              <w:left w:val="nil"/>
              <w:bottom w:val="single" w:sz="4" w:space="0" w:color="auto"/>
              <w:right w:val="nil"/>
            </w:tcBorders>
            <w:shd w:val="clear" w:color="auto" w:fill="auto"/>
            <w:noWrap/>
            <w:vAlign w:val="bottom"/>
            <w:hideMark/>
          </w:tcPr>
          <w:p w14:paraId="20FF9F5D"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1.36</w:t>
            </w:r>
          </w:p>
        </w:tc>
        <w:tc>
          <w:tcPr>
            <w:tcW w:w="1500" w:type="dxa"/>
            <w:tcBorders>
              <w:top w:val="nil"/>
              <w:left w:val="nil"/>
              <w:bottom w:val="single" w:sz="4" w:space="0" w:color="auto"/>
              <w:right w:val="nil"/>
            </w:tcBorders>
            <w:shd w:val="clear" w:color="auto" w:fill="auto"/>
            <w:noWrap/>
            <w:vAlign w:val="bottom"/>
            <w:hideMark/>
          </w:tcPr>
          <w:p w14:paraId="099175ED" w14:textId="77777777" w:rsidR="00016ABC" w:rsidRPr="00016ABC" w:rsidRDefault="00016ABC" w:rsidP="00016ABC">
            <w:pPr>
              <w:spacing w:after="0" w:line="240" w:lineRule="auto"/>
              <w:jc w:val="center"/>
              <w:rPr>
                <w:rFonts w:ascii="Calibri" w:eastAsia="Times New Roman" w:hAnsi="Calibri" w:cs="Times New Roman"/>
                <w:b w:val="0"/>
                <w:color w:val="000000"/>
                <w:sz w:val="22"/>
                <w:lang w:eastAsia="en-MY"/>
              </w:rPr>
            </w:pPr>
            <w:r w:rsidRPr="00016ABC">
              <w:rPr>
                <w:rFonts w:ascii="Calibri" w:eastAsia="Times New Roman" w:hAnsi="Calibri" w:cs="Times New Roman"/>
                <w:b w:val="0"/>
                <w:color w:val="000000"/>
                <w:sz w:val="22"/>
                <w:lang w:eastAsia="en-MY"/>
              </w:rPr>
              <w:t>1.63</w:t>
            </w:r>
          </w:p>
        </w:tc>
        <w:tc>
          <w:tcPr>
            <w:tcW w:w="2220" w:type="dxa"/>
            <w:tcBorders>
              <w:top w:val="nil"/>
              <w:left w:val="nil"/>
              <w:bottom w:val="single" w:sz="4" w:space="0" w:color="auto"/>
              <w:right w:val="nil"/>
            </w:tcBorders>
            <w:shd w:val="clear" w:color="auto" w:fill="auto"/>
            <w:noWrap/>
            <w:vAlign w:val="bottom"/>
            <w:hideMark/>
          </w:tcPr>
          <w:p w14:paraId="2C65AEFC" w14:textId="03B33971" w:rsidR="00016ABC" w:rsidRPr="00016ABC" w:rsidRDefault="0052428E" w:rsidP="00016ABC">
            <w:pPr>
              <w:spacing w:after="0" w:line="240" w:lineRule="auto"/>
              <w:rPr>
                <w:rFonts w:ascii="Calibri" w:eastAsia="Times New Roman" w:hAnsi="Calibri" w:cs="Times New Roman"/>
                <w:b w:val="0"/>
                <w:color w:val="000000"/>
                <w:sz w:val="22"/>
                <w:lang w:eastAsia="en-MY"/>
              </w:rPr>
            </w:pPr>
            <w:r>
              <w:rPr>
                <w:rFonts w:ascii="Calibri" w:eastAsia="Times New Roman" w:hAnsi="Calibri" w:cs="Times New Roman"/>
                <w:b w:val="0"/>
                <w:noProof/>
                <w:color w:val="000000"/>
                <w:sz w:val="22"/>
                <w:lang w:eastAsia="en-MY"/>
              </w:rPr>
              <mc:AlternateContent>
                <mc:Choice Requires="wps">
                  <w:drawing>
                    <wp:anchor distT="0" distB="0" distL="114300" distR="114300" simplePos="0" relativeHeight="252075008" behindDoc="0" locked="0" layoutInCell="1" allowOverlap="1" wp14:anchorId="52E1DAAD" wp14:editId="545546D1">
                      <wp:simplePos x="0" y="0"/>
                      <wp:positionH relativeFrom="column">
                        <wp:posOffset>179070</wp:posOffset>
                      </wp:positionH>
                      <wp:positionV relativeFrom="paragraph">
                        <wp:posOffset>-823595</wp:posOffset>
                      </wp:positionV>
                      <wp:extent cx="1097280" cy="925195"/>
                      <wp:effectExtent l="0" t="0" r="7620" b="8255"/>
                      <wp:wrapNone/>
                      <wp:docPr id="1807" name="Text Box 1807"/>
                      <wp:cNvGraphicFramePr/>
                      <a:graphic xmlns:a="http://schemas.openxmlformats.org/drawingml/2006/main">
                        <a:graphicData uri="http://schemas.microsoft.com/office/word/2010/wordprocessingShape">
                          <wps:wsp>
                            <wps:cNvSpPr txBox="1"/>
                            <wps:spPr>
                              <a:xfrm>
                                <a:off x="0" y="0"/>
                                <a:ext cx="1097280" cy="925195"/>
                              </a:xfrm>
                              <a:prstGeom prst="rect">
                                <a:avLst/>
                              </a:prstGeom>
                              <a:solidFill>
                                <a:sysClr val="window" lastClr="FFFFFF"/>
                              </a:solidFill>
                              <a:ln w="6350">
                                <a:noFill/>
                              </a:ln>
                            </wps:spPr>
                            <wps:txbx>
                              <w:txbxContent>
                                <w:p w14:paraId="3B284E21" w14:textId="621FDFA8" w:rsidR="00230AB9" w:rsidRPr="0018096D" w:rsidRDefault="00230AB9" w:rsidP="0052428E">
                                  <w:pPr>
                                    <w:rPr>
                                      <w:b w:val="0"/>
                                    </w:rPr>
                                  </w:pPr>
                                  <w:r>
                                    <w:rPr>
                                      <w:b w:val="0"/>
                                    </w:rPr>
                                    <w:t>Network former</w:t>
                                  </w:r>
                                </w:p>
                                <w:p w14:paraId="144A1E15" w14:textId="50B478C1" w:rsidR="00230AB9" w:rsidRPr="0018096D" w:rsidRDefault="00230AB9" w:rsidP="0052428E">
                                  <w:pPr>
                                    <w:rPr>
                                      <w:b w:val="0"/>
                                    </w:rPr>
                                  </w:pPr>
                                  <w:r>
                                    <w:rPr>
                                      <w:b w:val="0"/>
                                    </w:rPr>
                                    <w:t>Z</w:t>
                                  </w:r>
                                  <w:r w:rsidRPr="0018096D">
                                    <w:rPr>
                                      <w:b w:val="0"/>
                                    </w:rPr>
                                    <w:t>/a</w:t>
                                  </w:r>
                                  <w:r w:rsidRPr="0018096D">
                                    <w:rPr>
                                      <w:b w:val="0"/>
                                      <w:vertAlign w:val="superscript"/>
                                    </w:rPr>
                                    <w:t>2</w:t>
                                  </w:r>
                                  <w:r>
                                    <w:rPr>
                                      <w:rFonts w:ascii="Calibri" w:hAnsi="Calibri"/>
                                      <w:b w:val="0"/>
                                    </w:rPr>
                                    <w:t>≈ 1.5….2.0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1DAAD" id="Text Box 1807" o:spid="_x0000_s1032" type="#_x0000_t202" style="position:absolute;margin-left:14.1pt;margin-top:-64.85pt;width:86.4pt;height:72.8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" fillcolor="window" stroked="f" strokeweight=".5pt">
                      <v:textbox>
                        <w:txbxContent>
                          <w:p w14:paraId="3B284E21" w14:textId="621FDFA8" w:rsidR="00230AB9" w:rsidRPr="0018096D" w:rsidRDefault="00230AB9" w:rsidP="0052428E">
                            <w:pPr>
                              <w:rPr>
                                <w:b w:val="0"/>
                              </w:rPr>
                            </w:pPr>
                            <w:r>
                              <w:rPr>
                                <w:b w:val="0"/>
                              </w:rPr>
                              <w:t>Network former</w:t>
                            </w:r>
                          </w:p>
                          <w:p w14:paraId="144A1E15" w14:textId="50B478C1" w:rsidR="00230AB9" w:rsidRPr="0018096D" w:rsidRDefault="00230AB9" w:rsidP="0052428E">
                            <w:pPr>
                              <w:rPr>
                                <w:b w:val="0"/>
                              </w:rPr>
                            </w:pPr>
                            <w:r>
                              <w:rPr>
                                <w:b w:val="0"/>
                              </w:rPr>
                              <w:t>Z</w:t>
                            </w:r>
                            <w:r w:rsidRPr="0018096D">
                              <w:rPr>
                                <w:b w:val="0"/>
                              </w:rPr>
                              <w:t>/a</w:t>
                            </w:r>
                            <w:r w:rsidRPr="0018096D">
                              <w:rPr>
                                <w:b w:val="0"/>
                                <w:vertAlign w:val="superscript"/>
                              </w:rPr>
                              <w:t>2</w:t>
                            </w:r>
                            <w:r>
                              <w:rPr>
                                <w:rFonts w:ascii="Calibri" w:hAnsi="Calibri"/>
                                <w:b w:val="0"/>
                              </w:rPr>
                              <w:t>≈ 1.5….2.0</w:t>
                            </w:r>
                          </w:p>
                        </w:txbxContent>
                      </v:textbox>
                    </v:shape>
                  </w:pict>
                </mc:Fallback>
              </mc:AlternateContent>
            </w:r>
            <w:r w:rsidR="00016ABC" w:rsidRPr="00016ABC">
              <w:rPr>
                <w:rFonts w:ascii="Calibri" w:eastAsia="Times New Roman" w:hAnsi="Calibri" w:cs="Times New Roman"/>
                <w:b w:val="0"/>
                <w:color w:val="000000"/>
                <w:sz w:val="22"/>
                <w:lang w:eastAsia="en-MY"/>
              </w:rPr>
              <w:t> </w:t>
            </w:r>
          </w:p>
        </w:tc>
      </w:tr>
    </w:tbl>
    <w:p w14:paraId="7C1F1066" w14:textId="4841557C" w:rsidR="00016ABC" w:rsidRDefault="00016ABC" w:rsidP="009252E3">
      <w:pPr>
        <w:spacing w:after="0" w:line="360" w:lineRule="auto"/>
        <w:jc w:val="both"/>
        <w:rPr>
          <w:rFonts w:asciiTheme="majorBidi" w:hAnsiTheme="majorBidi" w:cstheme="majorBidi"/>
          <w:b w:val="0"/>
          <w:color w:val="000000" w:themeColor="text1"/>
          <w:szCs w:val="24"/>
        </w:rPr>
      </w:pPr>
    </w:p>
    <w:p w14:paraId="51EC2DC4" w14:textId="55983CFC" w:rsidR="000C0130" w:rsidRDefault="000C0130" w:rsidP="000C0130">
      <w:pPr>
        <w:spacing w:after="0" w:line="360" w:lineRule="auto"/>
        <w:jc w:val="both"/>
        <w:rPr>
          <w:rFonts w:asciiTheme="majorBidi" w:hAnsiTheme="majorBidi" w:cstheme="majorBidi"/>
          <w:b w:val="0"/>
          <w:color w:val="000000" w:themeColor="text1"/>
          <w:szCs w:val="24"/>
        </w:rPr>
      </w:pPr>
      <w:r>
        <w:rPr>
          <w:rFonts w:asciiTheme="majorBidi" w:hAnsiTheme="majorBidi" w:cstheme="majorBidi"/>
          <w:b w:val="0"/>
          <w:color w:val="000000" w:themeColor="text1"/>
          <w:szCs w:val="24"/>
        </w:rPr>
        <w:t>T</w:t>
      </w:r>
      <w:r w:rsidRPr="000E2377">
        <w:rPr>
          <w:rFonts w:asciiTheme="majorBidi" w:hAnsiTheme="majorBidi" w:cstheme="majorBidi"/>
          <w:b w:val="0"/>
          <w:color w:val="000000" w:themeColor="text1"/>
          <w:szCs w:val="24"/>
        </w:rPr>
        <w:t>he number of bridging oxygens (BOs)</w:t>
      </w:r>
      <w:r>
        <w:rPr>
          <w:rFonts w:asciiTheme="majorBidi" w:hAnsiTheme="majorBidi" w:cstheme="majorBidi"/>
          <w:b w:val="0"/>
          <w:color w:val="000000" w:themeColor="text1"/>
          <w:szCs w:val="24"/>
        </w:rPr>
        <w:t xml:space="preserve"> per</w:t>
      </w:r>
      <w:r w:rsidR="00957E50">
        <w:rPr>
          <w:rFonts w:asciiTheme="majorBidi" w:hAnsiTheme="majorBidi" w:cstheme="majorBidi"/>
          <w:b w:val="0"/>
          <w:color w:val="000000" w:themeColor="text1"/>
          <w:szCs w:val="24"/>
        </w:rPr>
        <w:t xml:space="preserve"> </w:t>
      </w:r>
      <w:r w:rsidRPr="000E2377">
        <w:rPr>
          <w:rFonts w:asciiTheme="majorBidi" w:hAnsiTheme="majorBidi" w:cstheme="majorBidi"/>
          <w:b w:val="0"/>
          <w:color w:val="000000" w:themeColor="text1"/>
          <w:szCs w:val="24"/>
        </w:rPr>
        <w:t>tetrahedron (</w:t>
      </w:r>
      <w:proofErr w:type="spellStart"/>
      <w:r w:rsidRPr="000E2377">
        <w:rPr>
          <w:rFonts w:asciiTheme="majorBidi" w:hAnsiTheme="majorBidi" w:cstheme="majorBidi"/>
          <w:b w:val="0"/>
          <w:color w:val="000000" w:themeColor="text1"/>
          <w:szCs w:val="24"/>
        </w:rPr>
        <w:t>Q</w:t>
      </w:r>
      <w:r w:rsidRPr="000E2377">
        <w:rPr>
          <w:rFonts w:asciiTheme="majorBidi" w:hAnsiTheme="majorBidi" w:cstheme="majorBidi"/>
          <w:b w:val="0"/>
          <w:color w:val="000000" w:themeColor="text1"/>
          <w:szCs w:val="24"/>
          <w:vertAlign w:val="superscript"/>
        </w:rPr>
        <w:t>n</w:t>
      </w:r>
      <w:proofErr w:type="spellEnd"/>
      <w:r w:rsidRPr="000E2377">
        <w:rPr>
          <w:rFonts w:asciiTheme="majorBidi" w:hAnsiTheme="majorBidi" w:cstheme="majorBidi"/>
          <w:b w:val="0"/>
          <w:color w:val="000000" w:themeColor="text1"/>
          <w:szCs w:val="24"/>
        </w:rPr>
        <w:t xml:space="preserve">) can be estimated from infra-red (IR) or </w:t>
      </w:r>
      <w:smartTag w:uri="urn:schemas-microsoft-com:office:smarttags" w:element="stockticker">
        <w:r w:rsidRPr="000E2377">
          <w:rPr>
            <w:rFonts w:asciiTheme="majorBidi" w:hAnsiTheme="majorBidi" w:cstheme="majorBidi"/>
            <w:b w:val="0"/>
            <w:color w:val="000000" w:themeColor="text1"/>
            <w:szCs w:val="24"/>
          </w:rPr>
          <w:t>NMR</w:t>
        </w:r>
      </w:smartTag>
      <w:r w:rsidRPr="000E2377">
        <w:rPr>
          <w:rFonts w:asciiTheme="majorBidi" w:hAnsiTheme="majorBidi" w:cstheme="majorBidi"/>
          <w:b w:val="0"/>
          <w:color w:val="000000" w:themeColor="text1"/>
          <w:szCs w:val="24"/>
        </w:rPr>
        <w:t xml:space="preserve"> spectroscopy studies </w:t>
      </w:r>
      <w:r w:rsidRPr="000E2377">
        <w:rPr>
          <w:rFonts w:asciiTheme="majorBidi" w:hAnsiTheme="majorBidi" w:cstheme="majorBidi"/>
          <w:b w:val="0"/>
          <w:color w:val="000000" w:themeColor="text1"/>
          <w:szCs w:val="24"/>
        </w:rPr>
        <w:fldChar w:fldCharType="begin" w:fldLock="1"/>
      </w:r>
      <w:r w:rsidRPr="000E2377">
        <w:rPr>
          <w:rFonts w:asciiTheme="majorBidi" w:hAnsiTheme="majorBidi" w:cstheme="majorBidi"/>
          <w:b w:val="0"/>
          <w:color w:val="000000" w:themeColor="text1"/>
          <w:szCs w:val="24"/>
        </w:rPr>
        <w:instrText>ADDIN CSL_CITATION { "citationItems" : [ { "id" : "ITEM-1", "itemData" : { "DOI" : "10.1016/j.jnoncrysol.2007.10.005", "ISSN" : "00223093", "author" : [ { "dropping-particle" : "", "family" : "Ramkumar", "given" : "Jayshree", "non-dropping-particle" : "", "parse-names" : false, "suffix" : "" }, { "dropping-particle" : "", "family" : "Sudarsan", "given" : "V.", "non-dropping-particle" : "", "parse-names" : false, "suffix" : "" }, { "dropping-particle" : "", "family" : "Chandramouleeswaran", "given" : "S.", "non-dropping-particle" : "", "parse-names" : false, "suffix" : "" }, { "dropping-particle" : "", "family" : "Shrikhande", "given" : "V.K.", "non-dropping-particle" : "", "parse-names" : false, "suffix" : "" }, { "dropping-particle" : "", "family" : "Kothiyal", "given" : "G.P.", "non-dropping-particle" : "", "parse-names" : false, "suffix" : "" }, { "dropping-particle" : "", "family" : "Ravindran", "given" : "P.V.", "non-dropping-particle" : "", "parse-names" : false, "suffix" : "" }, { "dropping-particle" : "", "family" : "Kulshreshtha", "given" : "S.K.", "non-dropping-particle" : "", "parse-names" : false, "suffix" : "" }, { "dropping-particle" : "", "family" : "Mukherjee", "given" : "T.", "non-dropping-particle" : "", "parse-names" : false, "suffix" : "" } ], "container-title" : "Journal of Non-Crystalline Solids", "id" : "ITEM-1", "issue" : "15-16", "issued" : { "date-parts" : [ [ "2008", "3" ] ] }, "page" : "1591-1597", "title" : "Structural studies on boroaluminosilicate glasses", "type" : "article-journal", "volume" : "354" }, "uris" : [ "http://www.mendeley.com/documents/?uuid=fbc8bb9e-c05e-4d4f-81e0-a3b2abf5a5a8" ] } ], "mendeley" : { "formattedCitation" : "(Ramkumar et al., 2008)", "plainTextFormattedCitation" : "(Ramkumar et al., 2008)", "previouslyFormattedCitation" : "(Ramkumar et al., 2008)" }, "properties" : { "noteIndex" : 0 }, "schema" : "https://github.com/citation-style-language/schema/raw/master/csl-citation.json" }</w:instrText>
      </w:r>
      <w:r w:rsidRPr="000E2377">
        <w:rPr>
          <w:rFonts w:asciiTheme="majorBidi" w:hAnsiTheme="majorBidi" w:cstheme="majorBidi"/>
          <w:b w:val="0"/>
          <w:color w:val="000000" w:themeColor="text1"/>
          <w:szCs w:val="24"/>
        </w:rPr>
        <w:fldChar w:fldCharType="separate"/>
      </w:r>
      <w:r w:rsidRPr="000E2377">
        <w:rPr>
          <w:rFonts w:asciiTheme="majorBidi" w:hAnsiTheme="majorBidi" w:cstheme="majorBidi"/>
          <w:b w:val="0"/>
          <w:noProof/>
          <w:color w:val="000000" w:themeColor="text1"/>
          <w:szCs w:val="24"/>
        </w:rPr>
        <w:t>(Ramkumar et al., 2008)</w:t>
      </w:r>
      <w:r w:rsidRPr="000E2377">
        <w:rPr>
          <w:rFonts w:asciiTheme="majorBidi" w:hAnsiTheme="majorBidi" w:cstheme="majorBidi"/>
          <w:b w:val="0"/>
          <w:color w:val="000000" w:themeColor="text1"/>
          <w:szCs w:val="24"/>
        </w:rPr>
        <w:fldChar w:fldCharType="end"/>
      </w:r>
      <w:r w:rsidRPr="000E2377">
        <w:rPr>
          <w:rFonts w:asciiTheme="majorBidi" w:hAnsiTheme="majorBidi" w:cstheme="majorBidi"/>
          <w:b w:val="0"/>
          <w:color w:val="000000" w:themeColor="text1"/>
          <w:szCs w:val="24"/>
        </w:rPr>
        <w:t>,</w:t>
      </w:r>
      <w:r>
        <w:rPr>
          <w:rFonts w:asciiTheme="majorBidi" w:hAnsiTheme="majorBidi" w:cstheme="majorBidi"/>
          <w:b w:val="0"/>
          <w:color w:val="000000" w:themeColor="text1"/>
          <w:szCs w:val="24"/>
        </w:rPr>
        <w:t xml:space="preserve"> </w:t>
      </w:r>
      <w:r w:rsidRPr="000E2377">
        <w:rPr>
          <w:rFonts w:asciiTheme="majorBidi" w:hAnsiTheme="majorBidi" w:cstheme="majorBidi"/>
          <w:b w:val="0"/>
          <w:color w:val="000000" w:themeColor="text1"/>
          <w:szCs w:val="24"/>
        </w:rPr>
        <w:fldChar w:fldCharType="begin" w:fldLock="1"/>
      </w:r>
      <w:r>
        <w:rPr>
          <w:rFonts w:asciiTheme="majorBidi" w:hAnsiTheme="majorBidi" w:cstheme="majorBidi"/>
          <w:b w:val="0"/>
          <w:color w:val="000000" w:themeColor="text1"/>
          <w:szCs w:val="24"/>
        </w:rPr>
        <w:instrText>ADDIN CSL_CITATION { "citationItems" : [ { "id" : "ITEM-1", "itemData" : { "DOI" : "10.1016/j.jnoncrysol.2009.01.010", "ISSN" : "00223093", "author" : [ { "dropping-particle" : "", "family" : "Aguiar", "given" : "H.", "non-dropping-particle" : "", "parse-names" : false, "suffix" : "" }, { "dropping-particle" : "", "family" : "Serra", "given" : "J.", "non-dropping-particle" : "", "parse-names" : false, "suffix" : "" }, { "dropping-particle" : "", "family" : "Gonzalez", "given" : "P.", "non-dropping-particle" : "", "parse-names" : false, "suffix" : "" }, { "dropping-particle" : "", "family" : "Leon", "given" : "B.", "non-dropping-particle" : "", "parse-names" : false, "suffix" : "" } ], "container-title" : "Journal of Non-Crystalline Solids", "id" : "ITEM-1", "issue" : "8", "issued" : { "date-parts" : [ [ "2009", "4" ] ] }, "page" : "475-480", "publisher" : "Elsevier B.V.", "title" : "Structural study of sol\u2013gel silicate glasses by IR and Raman spectroscopies", "type" : "article-journal", "volume" : "355" }, "uris" : [ "http://www.mendeley.com/documents/?uuid=fa1706ce-1229-4c44-8083-af8ec9efbbbd" ] } ], "mendeley" : { "formattedCitation" : "(Aguiar, Serra, Gonzalez, &amp; Leon, 2009)", "manualFormatting" : "(Aguiar et al., 2009)", "plainTextFormattedCitation" : "(Aguiar, Serra, Gonzalez, &amp; Leon, 2009)", "previouslyFormattedCitation" : "(Aguiar, Serra, Gonzalez, &amp; Leon, 2009)" }, "properties" : { "noteIndex" : 0 }, "schema" : "https://github.com/citation-style-language/schema/raw/master/csl-citation.json" }</w:instrText>
      </w:r>
      <w:r w:rsidRPr="000E2377">
        <w:rPr>
          <w:rFonts w:asciiTheme="majorBidi" w:hAnsiTheme="majorBidi" w:cstheme="majorBidi"/>
          <w:b w:val="0"/>
          <w:color w:val="000000" w:themeColor="text1"/>
          <w:szCs w:val="24"/>
        </w:rPr>
        <w:fldChar w:fldCharType="separate"/>
      </w:r>
      <w:r w:rsidRPr="000E2377">
        <w:rPr>
          <w:rFonts w:asciiTheme="majorBidi" w:hAnsiTheme="majorBidi" w:cstheme="majorBidi"/>
          <w:b w:val="0"/>
          <w:noProof/>
          <w:color w:val="000000" w:themeColor="text1"/>
          <w:szCs w:val="24"/>
        </w:rPr>
        <w:t>(Aguiar</w:t>
      </w:r>
      <w:r>
        <w:rPr>
          <w:rFonts w:asciiTheme="majorBidi" w:hAnsiTheme="majorBidi" w:cstheme="majorBidi"/>
          <w:b w:val="0"/>
          <w:noProof/>
          <w:color w:val="000000" w:themeColor="text1"/>
          <w:szCs w:val="24"/>
        </w:rPr>
        <w:t xml:space="preserve"> et al.,</w:t>
      </w:r>
      <w:r w:rsidRPr="000E2377">
        <w:rPr>
          <w:rFonts w:asciiTheme="majorBidi" w:hAnsiTheme="majorBidi" w:cstheme="majorBidi"/>
          <w:b w:val="0"/>
          <w:noProof/>
          <w:color w:val="000000" w:themeColor="text1"/>
          <w:szCs w:val="24"/>
        </w:rPr>
        <w:t xml:space="preserve"> 2009)</w:t>
      </w:r>
      <w:r w:rsidRPr="000E2377">
        <w:rPr>
          <w:rFonts w:asciiTheme="majorBidi" w:hAnsiTheme="majorBidi" w:cstheme="majorBidi"/>
          <w:b w:val="0"/>
          <w:color w:val="000000" w:themeColor="text1"/>
          <w:szCs w:val="24"/>
        </w:rPr>
        <w:fldChar w:fldCharType="end"/>
      </w:r>
      <w:r w:rsidRPr="000E2377">
        <w:rPr>
          <w:rFonts w:asciiTheme="majorBidi" w:hAnsiTheme="majorBidi" w:cstheme="majorBidi"/>
          <w:b w:val="0"/>
          <w:color w:val="000000" w:themeColor="text1"/>
          <w:szCs w:val="24"/>
        </w:rPr>
        <w:t>.</w:t>
      </w:r>
      <w:r w:rsidRPr="00C32894">
        <w:rPr>
          <w:rFonts w:asciiTheme="majorBidi" w:hAnsiTheme="majorBidi" w:cstheme="majorBidi"/>
          <w:b w:val="0"/>
          <w:szCs w:val="24"/>
        </w:rPr>
        <w:t xml:space="preserve"> </w:t>
      </w:r>
      <w:proofErr w:type="spellStart"/>
      <w:r w:rsidRPr="00C32894">
        <w:rPr>
          <w:rFonts w:asciiTheme="majorBidi" w:hAnsiTheme="majorBidi" w:cstheme="majorBidi"/>
          <w:b w:val="0"/>
          <w:szCs w:val="24"/>
        </w:rPr>
        <w:t>Dietzel's</w:t>
      </w:r>
      <w:proofErr w:type="spellEnd"/>
      <w:r w:rsidR="0048539B">
        <w:rPr>
          <w:rFonts w:asciiTheme="majorBidi" w:hAnsiTheme="majorBidi" w:cstheme="majorBidi"/>
          <w:b w:val="0"/>
          <w:szCs w:val="24"/>
        </w:rPr>
        <w:t>,</w:t>
      </w:r>
      <w:r w:rsidRPr="00C32894">
        <w:rPr>
          <w:rFonts w:asciiTheme="majorBidi" w:hAnsiTheme="majorBidi" w:cstheme="majorBidi"/>
          <w:b w:val="0"/>
          <w:szCs w:val="24"/>
        </w:rPr>
        <w:t xml:space="preserve"> </w:t>
      </w:r>
      <w:r w:rsidR="0048539B">
        <w:rPr>
          <w:rFonts w:asciiTheme="majorBidi" w:hAnsiTheme="majorBidi" w:cstheme="majorBidi"/>
          <w:b w:val="0"/>
          <w:szCs w:val="24"/>
        </w:rPr>
        <w:t xml:space="preserve">1948, introduced </w:t>
      </w:r>
      <w:r w:rsidRPr="00C32894">
        <w:rPr>
          <w:rFonts w:asciiTheme="majorBidi" w:hAnsiTheme="majorBidi" w:cstheme="majorBidi"/>
          <w:b w:val="0"/>
          <w:szCs w:val="24"/>
        </w:rPr>
        <w:t xml:space="preserve">field strength or cation field strength </w:t>
      </w:r>
      <w:r w:rsidR="0048539B">
        <w:rPr>
          <w:rFonts w:asciiTheme="majorBidi" w:hAnsiTheme="majorBidi" w:cstheme="majorBidi"/>
          <w:b w:val="0"/>
          <w:szCs w:val="24"/>
        </w:rPr>
        <w:t>and</w:t>
      </w:r>
      <w:r w:rsidRPr="00C32894">
        <w:rPr>
          <w:rFonts w:asciiTheme="majorBidi" w:hAnsiTheme="majorBidi" w:cstheme="majorBidi"/>
          <w:b w:val="0"/>
          <w:szCs w:val="24"/>
        </w:rPr>
        <w:t xml:space="preserve"> been used to understand the variables that control the network speciation in silicate glasses containing alkaline earths </w:t>
      </w:r>
      <w:r w:rsidRPr="00C32894">
        <w:rPr>
          <w:rFonts w:asciiTheme="majorBidi" w:hAnsiTheme="majorBidi" w:cstheme="majorBidi"/>
          <w:b w:val="0"/>
          <w:szCs w:val="24"/>
        </w:rPr>
        <w:fldChar w:fldCharType="begin" w:fldLock="1"/>
      </w:r>
      <w:r w:rsidRPr="00C32894">
        <w:rPr>
          <w:rFonts w:asciiTheme="majorBidi" w:hAnsiTheme="majorBidi" w:cstheme="majorBidi"/>
          <w:b w:val="0"/>
          <w:szCs w:val="24"/>
        </w:rPr>
        <w:instrText>ADDIN CSL_CITATION { "citationItems" : [ { "id" : "ITEM-1", "itemData" : { "DOI" : "10.1016/S0022-3093(99)00620-1", "ISSN" : "00223093", "author" : [ { "dropping-particle" : "", "family" : "Brow", "given" : "Richard K", "non-dropping-particle" : "", "parse-names" : false, "suffix" : "" } ], "container-title" : "Journal of Non-Crystalline Solids", "id" : "ITEM-1", "issued" : { "date-parts" : [ [ "2000", "3" ] ] }, "page" : "1-28", "title" : "Review: the structure of simple phosphate glasses", "type" : "article-journal", "volume" : "263-264" }, "uris" : [ "http://www.mendeley.com/documents/?uuid=9f7dff9d-dfd5-498e-912b-41c24a4297a3" ] } ], "mendeley" : { "formattedCitation" : "(Brow, 2000)", "plainTextFormattedCitation" : "(Brow, 2000)", "previouslyFormattedCitation" : "(Brow, 2000)" }, "properties" : { "noteIndex" : 0 }, "schema" : "https://github.com/citation-style-language/schema/raw/master/csl-citation.json" }</w:instrText>
      </w:r>
      <w:r w:rsidRPr="00C32894">
        <w:rPr>
          <w:rFonts w:asciiTheme="majorBidi" w:hAnsiTheme="majorBidi" w:cstheme="majorBidi"/>
          <w:b w:val="0"/>
          <w:szCs w:val="24"/>
        </w:rPr>
        <w:fldChar w:fldCharType="separate"/>
      </w:r>
      <w:r w:rsidRPr="00C32894">
        <w:rPr>
          <w:rFonts w:asciiTheme="majorBidi" w:hAnsiTheme="majorBidi" w:cstheme="majorBidi"/>
          <w:b w:val="0"/>
          <w:noProof/>
          <w:szCs w:val="24"/>
        </w:rPr>
        <w:t>(Brow, 2000)</w:t>
      </w:r>
      <w:r w:rsidRPr="00C32894">
        <w:rPr>
          <w:rFonts w:asciiTheme="majorBidi" w:hAnsiTheme="majorBidi" w:cstheme="majorBidi"/>
          <w:b w:val="0"/>
          <w:szCs w:val="24"/>
        </w:rPr>
        <w:fldChar w:fldCharType="end"/>
      </w:r>
      <w:r w:rsidRPr="00C32894">
        <w:rPr>
          <w:rFonts w:asciiTheme="majorBidi" w:hAnsiTheme="majorBidi" w:cstheme="majorBidi"/>
          <w:b w:val="0"/>
          <w:szCs w:val="24"/>
        </w:rPr>
        <w:t xml:space="preserve">. </w:t>
      </w:r>
      <w:proofErr w:type="spellStart"/>
      <w:r w:rsidRPr="00C32894">
        <w:rPr>
          <w:rFonts w:asciiTheme="majorBidi" w:hAnsiTheme="majorBidi" w:cstheme="majorBidi"/>
          <w:b w:val="0"/>
          <w:szCs w:val="24"/>
        </w:rPr>
        <w:t>Dietzel’s</w:t>
      </w:r>
      <w:proofErr w:type="spellEnd"/>
      <w:r w:rsidRPr="00C32894">
        <w:rPr>
          <w:rFonts w:asciiTheme="majorBidi" w:hAnsiTheme="majorBidi" w:cstheme="majorBidi"/>
          <w:b w:val="0"/>
          <w:szCs w:val="24"/>
        </w:rPr>
        <w:t xml:space="preserve"> field strength is  F= Z/a</w:t>
      </w:r>
      <w:r w:rsidRPr="00C32894">
        <w:rPr>
          <w:rFonts w:asciiTheme="majorBidi" w:hAnsiTheme="majorBidi" w:cstheme="majorBidi"/>
          <w:b w:val="0"/>
          <w:szCs w:val="24"/>
          <w:vertAlign w:val="superscript"/>
        </w:rPr>
        <w:t>2</w:t>
      </w:r>
      <w:r w:rsidRPr="00C32894">
        <w:rPr>
          <w:rFonts w:asciiTheme="majorBidi" w:hAnsiTheme="majorBidi" w:cstheme="majorBidi"/>
          <w:b w:val="0"/>
          <w:szCs w:val="24"/>
        </w:rPr>
        <w:t xml:space="preserve"> where Z is the ionic charge and a is R-O bond distance (R is </w:t>
      </w:r>
      <w:r w:rsidR="00957E50">
        <w:rPr>
          <w:rFonts w:asciiTheme="majorBidi" w:hAnsiTheme="majorBidi" w:cstheme="majorBidi"/>
          <w:b w:val="0"/>
          <w:szCs w:val="24"/>
        </w:rPr>
        <w:t xml:space="preserve">an </w:t>
      </w:r>
      <w:r w:rsidRPr="00C32894">
        <w:rPr>
          <w:rFonts w:asciiTheme="majorBidi" w:hAnsiTheme="majorBidi" w:cstheme="majorBidi"/>
          <w:b w:val="0"/>
          <w:szCs w:val="24"/>
        </w:rPr>
        <w:t xml:space="preserve">element </w:t>
      </w:r>
      <w:r w:rsidR="00957E50">
        <w:rPr>
          <w:rFonts w:asciiTheme="majorBidi" w:hAnsiTheme="majorBidi" w:cstheme="majorBidi"/>
          <w:b w:val="0"/>
          <w:szCs w:val="24"/>
        </w:rPr>
        <w:t>present</w:t>
      </w:r>
      <w:r w:rsidRPr="00C32894">
        <w:rPr>
          <w:rFonts w:asciiTheme="majorBidi" w:hAnsiTheme="majorBidi" w:cstheme="majorBidi"/>
          <w:b w:val="0"/>
          <w:szCs w:val="24"/>
        </w:rPr>
        <w:t xml:space="preserve"> in</w:t>
      </w:r>
      <w:r w:rsidR="00957E50">
        <w:rPr>
          <w:rFonts w:asciiTheme="majorBidi" w:hAnsiTheme="majorBidi" w:cstheme="majorBidi"/>
          <w:b w:val="0"/>
          <w:szCs w:val="24"/>
        </w:rPr>
        <w:t xml:space="preserve"> the</w:t>
      </w:r>
      <w:r w:rsidRPr="00C32894">
        <w:rPr>
          <w:rFonts w:asciiTheme="majorBidi" w:hAnsiTheme="majorBidi" w:cstheme="majorBidi"/>
          <w:b w:val="0"/>
          <w:szCs w:val="24"/>
        </w:rPr>
        <w:t xml:space="preserve"> glass). Cation field strength is useful to consider as a tool to describe the connection between glass composition and properties because it considers the valance of the materials used, their coordination and also their RO bond length </w:t>
      </w:r>
      <w:r w:rsidRPr="00C32894">
        <w:rPr>
          <w:rFonts w:asciiTheme="majorBidi" w:hAnsiTheme="majorBidi" w:cstheme="majorBidi"/>
          <w:b w:val="0"/>
          <w:szCs w:val="24"/>
        </w:rPr>
        <w:fldChar w:fldCharType="begin" w:fldLock="1"/>
      </w:r>
      <w:r w:rsidRPr="00C32894">
        <w:rPr>
          <w:rFonts w:asciiTheme="majorBidi" w:hAnsiTheme="majorBidi" w:cstheme="majorBidi"/>
          <w:b w:val="0"/>
          <w:szCs w:val="24"/>
        </w:rPr>
        <w:instrText>ADDIN CSL_CITATION { "citationItems" : [ { "id" : "ITEM-1", "itemData" : { "DOI" : "10.1016/j.materresbull.2007.07.024", "ISSN" : "00255408", "author" : [ { "dropping-particle" : "", "family" : "Bingham", "given" : "P.a.", "non-dropping-particle" : "", "parse-names" : false, "suffix" : "" }, { "dropping-particle" : "", "family" : "Hand", "given" : "R.J.", "non-dropping-particle" : "", "parse-names" : false, "suffix" : "" } ], "container-title" : "Materials Research Bulletin", "id" : "ITEM-1", "issue" : "7", "issued" : { "date-parts" : [ [ "2008", "7" ] ] }, "page" : "1679-1693", "title" : "Sulphate incorporation and glass formation in phosphate systems for nuclear and toxic waste immobilization", "type" : "article-journal", "volume" : "43" }, "uris" : [ "http://www.mendeley.com/documents/?uuid=2a840dbd-3cd3-49b4-ab0f-c23b38bf664d" ] } ], "mendeley" : { "formattedCitation" : "(P. a. Bingham &amp; Hand, 2008)", "manualFormatting" : "(Bingham &amp; Hand, 2008)", "plainTextFormattedCitation" : "(P. a. Bingham &amp; Hand, 2008)", "previouslyFormattedCitation" : "(P. a. Bingham &amp; Hand, 2008)" }, "properties" : { "noteIndex" : 17 }, "schema" : "https://github.com/citation-style-language/schema/raw/master/csl-citation.json" }</w:instrText>
      </w:r>
      <w:r w:rsidRPr="00C32894">
        <w:rPr>
          <w:rFonts w:asciiTheme="majorBidi" w:hAnsiTheme="majorBidi" w:cstheme="majorBidi"/>
          <w:b w:val="0"/>
          <w:szCs w:val="24"/>
        </w:rPr>
        <w:fldChar w:fldCharType="separate"/>
      </w:r>
      <w:r w:rsidRPr="00C32894">
        <w:rPr>
          <w:rFonts w:asciiTheme="majorBidi" w:hAnsiTheme="majorBidi" w:cstheme="majorBidi"/>
          <w:b w:val="0"/>
          <w:noProof/>
          <w:szCs w:val="24"/>
        </w:rPr>
        <w:t>(Bingham &amp; Hand, 2008)</w:t>
      </w:r>
      <w:r w:rsidRPr="00C32894">
        <w:rPr>
          <w:rFonts w:asciiTheme="majorBidi" w:hAnsiTheme="majorBidi" w:cstheme="majorBidi"/>
          <w:b w:val="0"/>
          <w:szCs w:val="24"/>
        </w:rPr>
        <w:fldChar w:fldCharType="end"/>
      </w:r>
      <w:r w:rsidRPr="00C32894">
        <w:rPr>
          <w:rFonts w:asciiTheme="majorBidi" w:hAnsiTheme="majorBidi" w:cstheme="majorBidi"/>
          <w:b w:val="0"/>
          <w:szCs w:val="24"/>
        </w:rPr>
        <w:t xml:space="preserve">.  </w:t>
      </w:r>
      <w:r>
        <w:rPr>
          <w:rFonts w:asciiTheme="majorBidi" w:hAnsiTheme="majorBidi" w:cstheme="majorBidi"/>
          <w:b w:val="0"/>
          <w:color w:val="000000" w:themeColor="text1"/>
          <w:szCs w:val="24"/>
        </w:rPr>
        <w:t xml:space="preserve">Table 2.1 shows the field strength of various ions and their function in glass </w:t>
      </w:r>
      <w:r>
        <w:rPr>
          <w:rFonts w:asciiTheme="majorBidi" w:hAnsiTheme="majorBidi" w:cstheme="majorBidi"/>
          <w:b w:val="0"/>
          <w:color w:val="000000" w:themeColor="text1"/>
          <w:szCs w:val="24"/>
        </w:rPr>
        <w:lastRenderedPageBreak/>
        <w:t xml:space="preserve">structure. When cations have high field strength </w:t>
      </w:r>
      <w:r w:rsidR="00957E50">
        <w:rPr>
          <w:rFonts w:asciiTheme="majorBidi" w:hAnsiTheme="majorBidi" w:cstheme="majorBidi"/>
          <w:b w:val="0"/>
          <w:color w:val="000000" w:themeColor="text1"/>
          <w:szCs w:val="24"/>
        </w:rPr>
        <w:t xml:space="preserve">indices </w:t>
      </w:r>
      <w:r>
        <w:rPr>
          <w:rFonts w:asciiTheme="majorBidi" w:hAnsiTheme="majorBidi" w:cstheme="majorBidi"/>
          <w:b w:val="0"/>
          <w:color w:val="000000" w:themeColor="text1"/>
          <w:szCs w:val="24"/>
        </w:rPr>
        <w:t xml:space="preserve">(~1.3-2), </w:t>
      </w:r>
      <w:r w:rsidR="009144F0">
        <w:rPr>
          <w:rFonts w:asciiTheme="majorBidi" w:hAnsiTheme="majorBidi" w:cstheme="majorBidi"/>
          <w:b w:val="0"/>
          <w:color w:val="000000" w:themeColor="text1"/>
          <w:szCs w:val="24"/>
        </w:rPr>
        <w:t>the</w:t>
      </w:r>
      <w:r w:rsidR="00957E50">
        <w:rPr>
          <w:rFonts w:asciiTheme="majorBidi" w:hAnsiTheme="majorBidi" w:cstheme="majorBidi"/>
          <w:b w:val="0"/>
          <w:color w:val="000000" w:themeColor="text1"/>
          <w:szCs w:val="24"/>
        </w:rPr>
        <w:t>y</w:t>
      </w:r>
      <w:r w:rsidR="005E3613">
        <w:rPr>
          <w:rFonts w:asciiTheme="majorBidi" w:hAnsiTheme="majorBidi" w:cstheme="majorBidi"/>
          <w:b w:val="0"/>
          <w:color w:val="000000" w:themeColor="text1"/>
          <w:szCs w:val="24"/>
        </w:rPr>
        <w:t xml:space="preserve"> </w:t>
      </w:r>
      <w:r>
        <w:rPr>
          <w:rFonts w:asciiTheme="majorBidi" w:hAnsiTheme="majorBidi" w:cstheme="majorBidi"/>
          <w:b w:val="0"/>
          <w:color w:val="000000" w:themeColor="text1"/>
          <w:szCs w:val="24"/>
        </w:rPr>
        <w:t>will be network former</w:t>
      </w:r>
      <w:r w:rsidR="00957E50">
        <w:rPr>
          <w:rFonts w:asciiTheme="majorBidi" w:hAnsiTheme="majorBidi" w:cstheme="majorBidi"/>
          <w:b w:val="0"/>
          <w:color w:val="000000" w:themeColor="text1"/>
          <w:szCs w:val="24"/>
        </w:rPr>
        <w:t>s</w:t>
      </w:r>
      <w:r>
        <w:rPr>
          <w:rFonts w:asciiTheme="majorBidi" w:hAnsiTheme="majorBidi" w:cstheme="majorBidi"/>
          <w:b w:val="0"/>
          <w:color w:val="000000" w:themeColor="text1"/>
          <w:szCs w:val="24"/>
        </w:rPr>
        <w:t xml:space="preserve">, and when the field strength index </w:t>
      </w:r>
      <w:r w:rsidR="00957E50">
        <w:rPr>
          <w:rFonts w:asciiTheme="majorBidi" w:hAnsiTheme="majorBidi" w:cstheme="majorBidi"/>
          <w:b w:val="0"/>
          <w:color w:val="000000" w:themeColor="text1"/>
          <w:szCs w:val="24"/>
        </w:rPr>
        <w:t>is lower</w:t>
      </w:r>
      <w:r>
        <w:rPr>
          <w:rFonts w:asciiTheme="majorBidi" w:hAnsiTheme="majorBidi" w:cstheme="majorBidi"/>
          <w:b w:val="0"/>
          <w:color w:val="000000" w:themeColor="text1"/>
          <w:szCs w:val="24"/>
        </w:rPr>
        <w:t xml:space="preserve">, </w:t>
      </w:r>
      <w:r w:rsidR="00957E50">
        <w:rPr>
          <w:rFonts w:asciiTheme="majorBidi" w:hAnsiTheme="majorBidi" w:cstheme="majorBidi"/>
          <w:b w:val="0"/>
          <w:color w:val="000000" w:themeColor="text1"/>
          <w:szCs w:val="24"/>
        </w:rPr>
        <w:t xml:space="preserve"> they will be network</w:t>
      </w:r>
      <w:r>
        <w:rPr>
          <w:rFonts w:asciiTheme="majorBidi" w:hAnsiTheme="majorBidi" w:cstheme="majorBidi"/>
          <w:b w:val="0"/>
          <w:color w:val="000000" w:themeColor="text1"/>
          <w:szCs w:val="24"/>
        </w:rPr>
        <w:t xml:space="preserve"> intermediate</w:t>
      </w:r>
      <w:r w:rsidR="00957E50">
        <w:rPr>
          <w:rFonts w:asciiTheme="majorBidi" w:hAnsiTheme="majorBidi" w:cstheme="majorBidi"/>
          <w:b w:val="0"/>
          <w:color w:val="000000" w:themeColor="text1"/>
          <w:szCs w:val="24"/>
        </w:rPr>
        <w:t>s</w:t>
      </w:r>
      <w:r>
        <w:rPr>
          <w:rFonts w:asciiTheme="majorBidi" w:hAnsiTheme="majorBidi" w:cstheme="majorBidi"/>
          <w:b w:val="0"/>
          <w:color w:val="000000" w:themeColor="text1"/>
          <w:szCs w:val="24"/>
        </w:rPr>
        <w:t xml:space="preserve"> (0.5-1.1) and finally</w:t>
      </w:r>
      <w:r w:rsidR="00284CC3">
        <w:rPr>
          <w:rFonts w:asciiTheme="majorBidi" w:hAnsiTheme="majorBidi" w:cstheme="majorBidi"/>
          <w:b w:val="0"/>
          <w:color w:val="000000" w:themeColor="text1"/>
          <w:szCs w:val="24"/>
        </w:rPr>
        <w:t>,</w:t>
      </w:r>
      <w:r>
        <w:rPr>
          <w:rFonts w:asciiTheme="majorBidi" w:hAnsiTheme="majorBidi" w:cstheme="majorBidi"/>
          <w:b w:val="0"/>
          <w:color w:val="000000" w:themeColor="text1"/>
          <w:szCs w:val="24"/>
        </w:rPr>
        <w:t xml:space="preserve"> at </w:t>
      </w:r>
      <w:r w:rsidR="00957E50">
        <w:rPr>
          <w:rFonts w:asciiTheme="majorBidi" w:hAnsiTheme="majorBidi" w:cstheme="majorBidi"/>
          <w:b w:val="0"/>
          <w:color w:val="000000" w:themeColor="text1"/>
          <w:szCs w:val="24"/>
        </w:rPr>
        <w:t xml:space="preserve">the </w:t>
      </w:r>
      <w:r>
        <w:rPr>
          <w:rFonts w:asciiTheme="majorBidi" w:hAnsiTheme="majorBidi" w:cstheme="majorBidi"/>
          <w:b w:val="0"/>
          <w:color w:val="000000" w:themeColor="text1"/>
          <w:szCs w:val="24"/>
        </w:rPr>
        <w:t>lowest field strength index</w:t>
      </w:r>
      <w:r w:rsidR="00957E50">
        <w:rPr>
          <w:rFonts w:asciiTheme="majorBidi" w:hAnsiTheme="majorBidi" w:cstheme="majorBidi"/>
          <w:b w:val="0"/>
          <w:color w:val="000000" w:themeColor="text1"/>
          <w:szCs w:val="24"/>
        </w:rPr>
        <w:t xml:space="preserve"> values</w:t>
      </w:r>
      <w:r>
        <w:rPr>
          <w:rFonts w:asciiTheme="majorBidi" w:hAnsiTheme="majorBidi" w:cstheme="majorBidi"/>
          <w:b w:val="0"/>
          <w:color w:val="000000" w:themeColor="text1"/>
          <w:szCs w:val="24"/>
        </w:rPr>
        <w:t xml:space="preserve"> (0.1-0.4)</w:t>
      </w:r>
      <w:r w:rsidR="00957E50">
        <w:rPr>
          <w:rFonts w:asciiTheme="majorBidi" w:hAnsiTheme="majorBidi" w:cstheme="majorBidi"/>
          <w:b w:val="0"/>
          <w:color w:val="000000" w:themeColor="text1"/>
          <w:szCs w:val="24"/>
        </w:rPr>
        <w:t xml:space="preserve"> we have </w:t>
      </w:r>
      <w:proofErr w:type="spellStart"/>
      <w:r w:rsidR="00957E50">
        <w:rPr>
          <w:rFonts w:asciiTheme="majorBidi" w:hAnsiTheme="majorBidi" w:cstheme="majorBidi"/>
          <w:b w:val="0"/>
          <w:color w:val="000000" w:themeColor="text1"/>
          <w:szCs w:val="24"/>
        </w:rPr>
        <w:t>nework</w:t>
      </w:r>
      <w:proofErr w:type="spellEnd"/>
      <w:r w:rsidR="00957E50">
        <w:rPr>
          <w:rFonts w:asciiTheme="majorBidi" w:hAnsiTheme="majorBidi" w:cstheme="majorBidi"/>
          <w:b w:val="0"/>
          <w:color w:val="000000" w:themeColor="text1"/>
          <w:szCs w:val="24"/>
        </w:rPr>
        <w:t xml:space="preserve"> modifiers</w:t>
      </w:r>
      <w:r>
        <w:rPr>
          <w:rFonts w:asciiTheme="majorBidi" w:hAnsiTheme="majorBidi" w:cstheme="majorBidi"/>
          <w:b w:val="0"/>
          <w:color w:val="000000" w:themeColor="text1"/>
          <w:szCs w:val="24"/>
        </w:rPr>
        <w:t xml:space="preserve">. </w:t>
      </w:r>
    </w:p>
    <w:p w14:paraId="2FCFCCAF" w14:textId="77777777" w:rsidR="000C0130" w:rsidRDefault="000C0130" w:rsidP="00674EE4">
      <w:pPr>
        <w:spacing w:after="0" w:line="360" w:lineRule="auto"/>
        <w:jc w:val="both"/>
        <w:rPr>
          <w:rFonts w:asciiTheme="majorBidi" w:hAnsiTheme="majorBidi" w:cstheme="majorBidi"/>
          <w:b w:val="0"/>
          <w:color w:val="000000" w:themeColor="text1"/>
          <w:szCs w:val="24"/>
        </w:rPr>
      </w:pPr>
    </w:p>
    <w:p w14:paraId="7A6CA164" w14:textId="4C686A82" w:rsidR="00016ABC" w:rsidRDefault="006E0D88" w:rsidP="00674EE4">
      <w:pPr>
        <w:spacing w:after="0" w:line="360" w:lineRule="auto"/>
        <w:jc w:val="both"/>
        <w:rPr>
          <w:rFonts w:asciiTheme="majorBidi" w:hAnsiTheme="majorBidi" w:cstheme="majorBidi"/>
          <w:b w:val="0"/>
          <w:color w:val="000000" w:themeColor="text1"/>
          <w:szCs w:val="24"/>
        </w:rPr>
      </w:pPr>
      <w:proofErr w:type="spellStart"/>
      <w:r>
        <w:rPr>
          <w:rFonts w:asciiTheme="majorBidi" w:hAnsiTheme="majorBidi" w:cstheme="majorBidi"/>
          <w:b w:val="0"/>
          <w:color w:val="000000" w:themeColor="text1"/>
          <w:szCs w:val="24"/>
        </w:rPr>
        <w:t>Portuzak</w:t>
      </w:r>
      <w:proofErr w:type="spellEnd"/>
      <w:r>
        <w:rPr>
          <w:rFonts w:asciiTheme="majorBidi" w:hAnsiTheme="majorBidi" w:cstheme="majorBidi"/>
          <w:b w:val="0"/>
          <w:color w:val="000000" w:themeColor="text1"/>
          <w:szCs w:val="24"/>
        </w:rPr>
        <w:t xml:space="preserve"> and co-workers </w:t>
      </w:r>
      <w:r w:rsidR="005A687C">
        <w:rPr>
          <w:rFonts w:asciiTheme="majorBidi" w:hAnsiTheme="majorBidi" w:cstheme="majorBidi"/>
          <w:b w:val="0"/>
          <w:color w:val="000000" w:themeColor="text1"/>
          <w:szCs w:val="24"/>
        </w:rPr>
        <w:t xml:space="preserve">suggest </w:t>
      </w:r>
      <w:r>
        <w:rPr>
          <w:rFonts w:asciiTheme="majorBidi" w:hAnsiTheme="majorBidi" w:cstheme="majorBidi"/>
          <w:b w:val="0"/>
          <w:color w:val="000000" w:themeColor="text1"/>
          <w:szCs w:val="24"/>
        </w:rPr>
        <w:t xml:space="preserve">that the modifier field strength is </w:t>
      </w:r>
      <w:r w:rsidR="005A687C">
        <w:rPr>
          <w:rFonts w:asciiTheme="majorBidi" w:hAnsiTheme="majorBidi" w:cstheme="majorBidi"/>
          <w:b w:val="0"/>
          <w:color w:val="000000" w:themeColor="text1"/>
          <w:szCs w:val="24"/>
        </w:rPr>
        <w:t xml:space="preserve">one of the </w:t>
      </w:r>
      <w:r>
        <w:rPr>
          <w:rFonts w:asciiTheme="majorBidi" w:hAnsiTheme="majorBidi" w:cstheme="majorBidi"/>
          <w:b w:val="0"/>
          <w:color w:val="000000" w:themeColor="text1"/>
          <w:szCs w:val="24"/>
        </w:rPr>
        <w:t>main variables that control glass forming and properties of silicate glass</w:t>
      </w:r>
      <w:r w:rsidR="00FE3FE6">
        <w:rPr>
          <w:rFonts w:asciiTheme="majorBidi" w:hAnsiTheme="majorBidi" w:cstheme="majorBidi"/>
          <w:b w:val="0"/>
          <w:color w:val="000000" w:themeColor="text1"/>
          <w:szCs w:val="24"/>
        </w:rPr>
        <w:t xml:space="preserve"> </w:t>
      </w:r>
      <w:r w:rsidR="00FE3FE6">
        <w:rPr>
          <w:rFonts w:asciiTheme="majorBidi" w:hAnsiTheme="majorBidi" w:cstheme="majorBidi"/>
          <w:b w:val="0"/>
          <w:color w:val="000000" w:themeColor="text1"/>
          <w:szCs w:val="24"/>
        </w:rPr>
        <w:fldChar w:fldCharType="begin" w:fldLock="1"/>
      </w:r>
      <w:r w:rsidR="006B07E6">
        <w:rPr>
          <w:rFonts w:asciiTheme="majorBidi" w:hAnsiTheme="majorBidi" w:cstheme="majorBidi"/>
          <w:b w:val="0"/>
          <w:color w:val="000000" w:themeColor="text1"/>
          <w:szCs w:val="24"/>
        </w:rPr>
        <w:instrText>ADDIN CSL_CITATION { "citationItems" : [ { "id" : "ITEM-1", "itemData" : { "author" : [ { "dropping-particle" : "", "family" : "Potuzak", "given" : "Marcel", "non-dropping-particle" : "", "parse-names" : false, "suffix" : "" }, { "dropping-particle" : "", "family" : "Smedskjaer", "given" : "Morten M", "non-dropping-particle" : "", "parse-names" : false, "suffix" : "" }, { "dropping-particle" : "", "family" : "Chemistry", "given" : "Section", "non-dropping-particle" : "", "parse-names" : false, "suffix" : "" }, { "dropping-particle" : "", "family" : "Aalborg", "given" : "Dk-", "non-dropping-particle" : "", "parse-names" : false, "suffix" : "" } ], "container-title" : "Phys. Chem. Glasses: Eur. J. Glass Sci. Technol. B", "id" : "ITEM-1", "issue" : "1", "issued" : { "date-parts" : [ [ "2014" ] ] }, "page" : "18-24", "title" : "Physical properties of boroaluminosilicate glasses : effect of modifier cation field strength", "type" : "article-journal", "volume" : "55" }, "uris" : [ "http://www.mendeley.com/documents/?uuid=305c255e-fdb7-45b9-b283-37da8b3809b3" ] } ], "mendeley" : { "formattedCitation" : "(Potuzak, Smedskjaer, Chemistry, &amp; Aalborg, 2014)", "manualFormatting" : "(Potuzak and Smedskjaer et al., 2014)", "plainTextFormattedCitation" : "(Potuzak, Smedskjaer, Chemistry, &amp; Aalborg, 2014)", "previouslyFormattedCitation" : "(Potuzak, Smedskjaer, Chemistry, &amp; Aalborg, 2014)" }, "properties" : { "noteIndex" : 24 }, "schema" : "https://github.com/citation-style-language/schema/raw/master/csl-citation.json" }</w:instrText>
      </w:r>
      <w:r w:rsidR="00FE3FE6">
        <w:rPr>
          <w:rFonts w:asciiTheme="majorBidi" w:hAnsiTheme="majorBidi" w:cstheme="majorBidi"/>
          <w:b w:val="0"/>
          <w:color w:val="000000" w:themeColor="text1"/>
          <w:szCs w:val="24"/>
        </w:rPr>
        <w:fldChar w:fldCharType="separate"/>
      </w:r>
      <w:r w:rsidR="00FE3FE6" w:rsidRPr="00FE3FE6">
        <w:rPr>
          <w:rFonts w:asciiTheme="majorBidi" w:hAnsiTheme="majorBidi" w:cstheme="majorBidi"/>
          <w:b w:val="0"/>
          <w:noProof/>
          <w:color w:val="000000" w:themeColor="text1"/>
          <w:szCs w:val="24"/>
        </w:rPr>
        <w:t>(Potuzak</w:t>
      </w:r>
      <w:r w:rsidR="00DF2038">
        <w:rPr>
          <w:rFonts w:asciiTheme="majorBidi" w:hAnsiTheme="majorBidi" w:cstheme="majorBidi"/>
          <w:b w:val="0"/>
          <w:noProof/>
          <w:color w:val="000000" w:themeColor="text1"/>
          <w:szCs w:val="24"/>
        </w:rPr>
        <w:t xml:space="preserve"> and</w:t>
      </w:r>
      <w:r w:rsidR="00FE3FE6" w:rsidRPr="00FE3FE6">
        <w:rPr>
          <w:rFonts w:asciiTheme="majorBidi" w:hAnsiTheme="majorBidi" w:cstheme="majorBidi"/>
          <w:b w:val="0"/>
          <w:noProof/>
          <w:color w:val="000000" w:themeColor="text1"/>
          <w:szCs w:val="24"/>
        </w:rPr>
        <w:t xml:space="preserve"> Smedskjaer</w:t>
      </w:r>
      <w:r w:rsidR="005A687C">
        <w:rPr>
          <w:rFonts w:asciiTheme="majorBidi" w:hAnsiTheme="majorBidi" w:cstheme="majorBidi"/>
          <w:b w:val="0"/>
          <w:noProof/>
          <w:color w:val="000000" w:themeColor="text1"/>
          <w:szCs w:val="24"/>
        </w:rPr>
        <w:t xml:space="preserve"> </w:t>
      </w:r>
      <w:r w:rsidR="00DF2038">
        <w:rPr>
          <w:rFonts w:asciiTheme="majorBidi" w:hAnsiTheme="majorBidi" w:cstheme="majorBidi"/>
          <w:b w:val="0"/>
          <w:noProof/>
          <w:color w:val="000000" w:themeColor="text1"/>
          <w:szCs w:val="24"/>
        </w:rPr>
        <w:t>et al.,</w:t>
      </w:r>
      <w:r w:rsidR="00FE3FE6" w:rsidRPr="00FE3FE6">
        <w:rPr>
          <w:rFonts w:asciiTheme="majorBidi" w:hAnsiTheme="majorBidi" w:cstheme="majorBidi"/>
          <w:b w:val="0"/>
          <w:noProof/>
          <w:color w:val="000000" w:themeColor="text1"/>
          <w:szCs w:val="24"/>
        </w:rPr>
        <w:t xml:space="preserve"> 2014)</w:t>
      </w:r>
      <w:r w:rsidR="00FE3FE6">
        <w:rPr>
          <w:rFonts w:asciiTheme="majorBidi" w:hAnsiTheme="majorBidi" w:cstheme="majorBidi"/>
          <w:b w:val="0"/>
          <w:color w:val="000000" w:themeColor="text1"/>
          <w:szCs w:val="24"/>
        </w:rPr>
        <w:fldChar w:fldCharType="end"/>
      </w:r>
      <w:r w:rsidR="00DF2038">
        <w:rPr>
          <w:rFonts w:asciiTheme="majorBidi" w:hAnsiTheme="majorBidi" w:cstheme="majorBidi"/>
          <w:b w:val="0"/>
          <w:color w:val="000000" w:themeColor="text1"/>
          <w:szCs w:val="24"/>
        </w:rPr>
        <w:t xml:space="preserve">. </w:t>
      </w:r>
      <w:r w:rsidR="005A687C">
        <w:rPr>
          <w:rFonts w:asciiTheme="majorBidi" w:hAnsiTheme="majorBidi" w:cstheme="majorBidi"/>
          <w:b w:val="0"/>
          <w:color w:val="000000" w:themeColor="text1"/>
          <w:szCs w:val="24"/>
        </w:rPr>
        <w:t>They found that t</w:t>
      </w:r>
      <w:r w:rsidR="00674EE4">
        <w:rPr>
          <w:rFonts w:asciiTheme="majorBidi" w:hAnsiTheme="majorBidi" w:cstheme="majorBidi"/>
          <w:b w:val="0"/>
          <w:color w:val="000000" w:themeColor="text1"/>
          <w:szCs w:val="24"/>
        </w:rPr>
        <w:t xml:space="preserve">he modifier used in their studies are </w:t>
      </w:r>
      <w:r w:rsidR="005A687C">
        <w:rPr>
          <w:rFonts w:asciiTheme="majorBidi" w:hAnsiTheme="majorBidi" w:cstheme="majorBidi"/>
          <w:b w:val="0"/>
          <w:color w:val="000000" w:themeColor="text1"/>
          <w:szCs w:val="24"/>
        </w:rPr>
        <w:t xml:space="preserve">affected </w:t>
      </w:r>
      <w:r w:rsidR="00674EE4">
        <w:rPr>
          <w:rFonts w:asciiTheme="majorBidi" w:hAnsiTheme="majorBidi" w:cstheme="majorBidi"/>
          <w:b w:val="0"/>
          <w:color w:val="000000" w:themeColor="text1"/>
          <w:szCs w:val="24"/>
        </w:rPr>
        <w:t>the</w:t>
      </w:r>
      <w:r w:rsidR="005A687C">
        <w:rPr>
          <w:rFonts w:asciiTheme="majorBidi" w:hAnsiTheme="majorBidi" w:cstheme="majorBidi"/>
          <w:b w:val="0"/>
          <w:color w:val="000000" w:themeColor="text1"/>
          <w:szCs w:val="24"/>
        </w:rPr>
        <w:t xml:space="preserve"> </w:t>
      </w:r>
      <w:r w:rsidR="00674EE4">
        <w:rPr>
          <w:rFonts w:asciiTheme="majorBidi" w:hAnsiTheme="majorBidi" w:cstheme="majorBidi"/>
          <w:b w:val="0"/>
          <w:color w:val="000000" w:themeColor="text1"/>
          <w:szCs w:val="24"/>
        </w:rPr>
        <w:t>molar volume, density, refractive index, coefficient of thermal expansion and also elastic moduli</w:t>
      </w:r>
      <w:r w:rsidR="005A687C">
        <w:rPr>
          <w:rFonts w:asciiTheme="majorBidi" w:hAnsiTheme="majorBidi" w:cstheme="majorBidi"/>
          <w:b w:val="0"/>
          <w:color w:val="000000" w:themeColor="text1"/>
          <w:szCs w:val="24"/>
        </w:rPr>
        <w:t xml:space="preserve"> of</w:t>
      </w:r>
      <w:r w:rsidR="00674EE4">
        <w:rPr>
          <w:rFonts w:asciiTheme="majorBidi" w:hAnsiTheme="majorBidi" w:cstheme="majorBidi"/>
          <w:b w:val="0"/>
          <w:color w:val="000000" w:themeColor="text1"/>
          <w:szCs w:val="24"/>
        </w:rPr>
        <w:t xml:space="preserve">  </w:t>
      </w:r>
      <w:r w:rsidR="00674EE4" w:rsidRPr="00674EE4">
        <w:rPr>
          <w:rFonts w:asciiTheme="majorBidi" w:hAnsiTheme="majorBidi" w:cstheme="majorBidi"/>
          <w:b w:val="0"/>
          <w:color w:val="000000" w:themeColor="text1"/>
          <w:szCs w:val="24"/>
        </w:rPr>
        <w:t>(76−x)SiO</w:t>
      </w:r>
      <w:r w:rsidR="00674EE4" w:rsidRPr="0018096D">
        <w:rPr>
          <w:rFonts w:asciiTheme="majorBidi" w:hAnsiTheme="majorBidi" w:cstheme="majorBidi"/>
          <w:b w:val="0"/>
          <w:color w:val="000000" w:themeColor="text1"/>
          <w:szCs w:val="24"/>
          <w:vertAlign w:val="subscript"/>
        </w:rPr>
        <w:t>2</w:t>
      </w:r>
      <w:r w:rsidR="00E55D3B">
        <w:rPr>
          <w:rFonts w:asciiTheme="majorBidi" w:hAnsiTheme="majorBidi" w:cstheme="majorBidi"/>
          <w:b w:val="0"/>
          <w:color w:val="000000" w:themeColor="text1"/>
          <w:szCs w:val="24"/>
        </w:rPr>
        <w:t>.</w:t>
      </w:r>
      <w:r w:rsidR="00674EE4" w:rsidRPr="00674EE4">
        <w:rPr>
          <w:rFonts w:asciiTheme="majorBidi" w:hAnsiTheme="majorBidi" w:cstheme="majorBidi"/>
          <w:b w:val="0"/>
          <w:color w:val="000000" w:themeColor="text1"/>
          <w:szCs w:val="24"/>
        </w:rPr>
        <w:t>xAl</w:t>
      </w:r>
      <w:r w:rsidR="00674EE4" w:rsidRPr="0018096D">
        <w:rPr>
          <w:rFonts w:asciiTheme="majorBidi" w:hAnsiTheme="majorBidi" w:cstheme="majorBidi"/>
          <w:b w:val="0"/>
          <w:color w:val="000000" w:themeColor="text1"/>
          <w:szCs w:val="24"/>
          <w:vertAlign w:val="subscript"/>
        </w:rPr>
        <w:t>2</w:t>
      </w:r>
      <w:r w:rsidR="00674EE4" w:rsidRPr="00674EE4">
        <w:rPr>
          <w:rFonts w:asciiTheme="majorBidi" w:hAnsiTheme="majorBidi" w:cstheme="majorBidi"/>
          <w:b w:val="0"/>
          <w:color w:val="000000" w:themeColor="text1"/>
          <w:szCs w:val="24"/>
        </w:rPr>
        <w:t>O</w:t>
      </w:r>
      <w:r w:rsidR="00674EE4" w:rsidRPr="00E93C2F">
        <w:rPr>
          <w:rFonts w:asciiTheme="majorBidi" w:hAnsiTheme="majorBidi" w:cstheme="majorBidi"/>
          <w:b w:val="0"/>
          <w:color w:val="000000" w:themeColor="text1"/>
          <w:szCs w:val="24"/>
          <w:vertAlign w:val="subscript"/>
        </w:rPr>
        <w:t>3</w:t>
      </w:r>
      <w:r w:rsidR="00674EE4" w:rsidRPr="00674EE4">
        <w:rPr>
          <w:rFonts w:asciiTheme="majorBidi" w:hAnsiTheme="majorBidi" w:cstheme="majorBidi"/>
          <w:b w:val="0"/>
          <w:color w:val="000000" w:themeColor="text1"/>
          <w:szCs w:val="24"/>
        </w:rPr>
        <w:t>.6B</w:t>
      </w:r>
      <w:r w:rsidR="00674EE4" w:rsidRPr="0018096D">
        <w:rPr>
          <w:rFonts w:asciiTheme="majorBidi" w:hAnsiTheme="majorBidi" w:cstheme="majorBidi"/>
          <w:b w:val="0"/>
          <w:color w:val="000000" w:themeColor="text1"/>
          <w:szCs w:val="24"/>
          <w:vertAlign w:val="subscript"/>
        </w:rPr>
        <w:t>2</w:t>
      </w:r>
      <w:r w:rsidR="00674EE4" w:rsidRPr="00674EE4">
        <w:rPr>
          <w:rFonts w:asciiTheme="majorBidi" w:hAnsiTheme="majorBidi" w:cstheme="majorBidi"/>
          <w:b w:val="0"/>
          <w:color w:val="000000" w:themeColor="text1"/>
          <w:szCs w:val="24"/>
        </w:rPr>
        <w:t>O</w:t>
      </w:r>
      <w:r w:rsidR="00674EE4" w:rsidRPr="0018096D">
        <w:rPr>
          <w:rFonts w:asciiTheme="majorBidi" w:hAnsiTheme="majorBidi" w:cstheme="majorBidi"/>
          <w:b w:val="0"/>
          <w:color w:val="000000" w:themeColor="text1"/>
          <w:szCs w:val="24"/>
          <w:vertAlign w:val="subscript"/>
        </w:rPr>
        <w:t>3</w:t>
      </w:r>
      <w:r w:rsidR="00674EE4" w:rsidRPr="00674EE4">
        <w:rPr>
          <w:rFonts w:asciiTheme="majorBidi" w:hAnsiTheme="majorBidi" w:cstheme="majorBidi"/>
          <w:b w:val="0"/>
          <w:color w:val="000000" w:themeColor="text1"/>
          <w:szCs w:val="24"/>
        </w:rPr>
        <w:t>.12Na</w:t>
      </w:r>
      <w:r w:rsidR="00674EE4" w:rsidRPr="0018096D">
        <w:rPr>
          <w:rFonts w:asciiTheme="majorBidi" w:hAnsiTheme="majorBidi" w:cstheme="majorBidi"/>
          <w:b w:val="0"/>
          <w:color w:val="000000" w:themeColor="text1"/>
          <w:szCs w:val="24"/>
          <w:vertAlign w:val="subscript"/>
        </w:rPr>
        <w:t>2</w:t>
      </w:r>
      <w:r w:rsidR="00674EE4" w:rsidRPr="00674EE4">
        <w:rPr>
          <w:rFonts w:asciiTheme="majorBidi" w:hAnsiTheme="majorBidi" w:cstheme="majorBidi"/>
          <w:b w:val="0"/>
          <w:color w:val="000000" w:themeColor="text1"/>
          <w:szCs w:val="24"/>
        </w:rPr>
        <w:t xml:space="preserve">O.6RO </w:t>
      </w:r>
      <w:r w:rsidR="005A687C">
        <w:rPr>
          <w:rFonts w:asciiTheme="majorBidi" w:hAnsiTheme="majorBidi" w:cstheme="majorBidi"/>
          <w:b w:val="0"/>
          <w:color w:val="000000" w:themeColor="text1"/>
          <w:szCs w:val="24"/>
        </w:rPr>
        <w:t xml:space="preserve">glasses </w:t>
      </w:r>
      <w:r w:rsidR="00674EE4" w:rsidRPr="00674EE4">
        <w:rPr>
          <w:rFonts w:asciiTheme="majorBidi" w:hAnsiTheme="majorBidi" w:cstheme="majorBidi"/>
          <w:b w:val="0"/>
          <w:color w:val="000000" w:themeColor="text1"/>
          <w:szCs w:val="24"/>
        </w:rPr>
        <w:t>with R=Mg, Ca, Sr, and Ba</w:t>
      </w:r>
      <w:r w:rsidR="0032082E">
        <w:rPr>
          <w:rFonts w:asciiTheme="majorBidi" w:hAnsiTheme="majorBidi" w:cstheme="majorBidi"/>
          <w:b w:val="0"/>
          <w:color w:val="000000" w:themeColor="text1"/>
          <w:szCs w:val="24"/>
        </w:rPr>
        <w:t>.</w:t>
      </w:r>
    </w:p>
    <w:p w14:paraId="0A31E6E2" w14:textId="77777777" w:rsidR="00016ABC" w:rsidRDefault="00016ABC" w:rsidP="009252E3">
      <w:pPr>
        <w:spacing w:after="0" w:line="360" w:lineRule="auto"/>
        <w:jc w:val="both"/>
        <w:rPr>
          <w:rFonts w:asciiTheme="majorBidi" w:hAnsiTheme="majorBidi" w:cstheme="majorBidi"/>
          <w:b w:val="0"/>
          <w:color w:val="000000" w:themeColor="text1"/>
          <w:szCs w:val="24"/>
        </w:rPr>
      </w:pPr>
    </w:p>
    <w:p w14:paraId="0FDA9960" w14:textId="052D1F9C" w:rsidR="0064576E" w:rsidRPr="000E2377" w:rsidRDefault="0064576E" w:rsidP="009252E3">
      <w:pPr>
        <w:spacing w:after="0" w:line="360" w:lineRule="auto"/>
        <w:jc w:val="both"/>
        <w:rPr>
          <w:rFonts w:asciiTheme="majorBidi" w:hAnsiTheme="majorBidi" w:cstheme="majorBidi"/>
          <w:b w:val="0"/>
          <w:szCs w:val="24"/>
        </w:rPr>
      </w:pPr>
      <w:r w:rsidRPr="000E2377">
        <w:rPr>
          <w:rFonts w:asciiTheme="majorBidi" w:hAnsiTheme="majorBidi" w:cstheme="majorBidi"/>
          <w:b w:val="0"/>
          <w:szCs w:val="24"/>
        </w:rPr>
        <w:t xml:space="preserve">Most silicate glasses contain oxides such as </w:t>
      </w:r>
      <w:proofErr w:type="spellStart"/>
      <w:r w:rsidRPr="000E2377">
        <w:rPr>
          <w:rFonts w:asciiTheme="majorBidi" w:hAnsiTheme="majorBidi" w:cstheme="majorBidi"/>
          <w:b w:val="0"/>
          <w:szCs w:val="24"/>
        </w:rPr>
        <w:t>CaO</w:t>
      </w:r>
      <w:proofErr w:type="spellEnd"/>
      <w:r w:rsidRPr="000E2377">
        <w:rPr>
          <w:rFonts w:asciiTheme="majorBidi" w:hAnsiTheme="majorBidi" w:cstheme="majorBidi"/>
          <w:b w:val="0"/>
          <w:szCs w:val="24"/>
        </w:rPr>
        <w:t>, MgO or Na</w:t>
      </w:r>
      <w:r w:rsidRPr="000E2377">
        <w:rPr>
          <w:rFonts w:asciiTheme="majorBidi" w:hAnsiTheme="majorBidi" w:cstheme="majorBidi"/>
          <w:b w:val="0"/>
          <w:szCs w:val="24"/>
          <w:vertAlign w:val="subscript"/>
        </w:rPr>
        <w:t>2</w:t>
      </w:r>
      <w:r w:rsidRPr="000E2377">
        <w:rPr>
          <w:rFonts w:asciiTheme="majorBidi" w:hAnsiTheme="majorBidi" w:cstheme="majorBidi"/>
          <w:b w:val="0"/>
          <w:szCs w:val="24"/>
        </w:rPr>
        <w:t xml:space="preserve">O as modifiers. These modifiers will interrupt the bonding of silicate glass, thus changing the Q speciation. Thus, for example, in </w:t>
      </w:r>
      <w:r w:rsidR="00190F6C" w:rsidRPr="000E2377">
        <w:rPr>
          <w:rFonts w:asciiTheme="majorBidi" w:hAnsiTheme="majorBidi" w:cstheme="majorBidi"/>
          <w:b w:val="0"/>
          <w:szCs w:val="24"/>
        </w:rPr>
        <w:t>soda-lime-</w:t>
      </w:r>
      <w:r w:rsidRPr="000E2377">
        <w:rPr>
          <w:rFonts w:asciiTheme="majorBidi" w:hAnsiTheme="majorBidi" w:cstheme="majorBidi"/>
          <w:b w:val="0"/>
          <w:szCs w:val="24"/>
        </w:rPr>
        <w:t>silica glasses, increasing the MgO/</w:t>
      </w:r>
      <w:proofErr w:type="spellStart"/>
      <w:r w:rsidRPr="000E2377">
        <w:rPr>
          <w:rFonts w:asciiTheme="majorBidi" w:hAnsiTheme="majorBidi" w:cstheme="majorBidi"/>
          <w:b w:val="0"/>
          <w:szCs w:val="24"/>
        </w:rPr>
        <w:t>SiO</w:t>
      </w:r>
      <w:proofErr w:type="spellEnd"/>
      <w:r w:rsidRPr="000E2377">
        <w:rPr>
          <w:rFonts w:asciiTheme="majorBidi" w:hAnsiTheme="majorBidi" w:cstheme="majorBidi"/>
          <w:b w:val="0"/>
          <w:szCs w:val="24"/>
        </w:rPr>
        <w:t xml:space="preserve"> ratio </w:t>
      </w:r>
      <w:r w:rsidR="000B0AB8">
        <w:rPr>
          <w:rFonts w:asciiTheme="majorBidi" w:hAnsiTheme="majorBidi" w:cstheme="majorBidi"/>
          <w:b w:val="0"/>
          <w:szCs w:val="24"/>
        </w:rPr>
        <w:t>results in a decrease</w:t>
      </w:r>
      <w:r w:rsidRPr="000E2377">
        <w:rPr>
          <w:rFonts w:asciiTheme="majorBidi" w:hAnsiTheme="majorBidi" w:cstheme="majorBidi"/>
          <w:b w:val="0"/>
          <w:szCs w:val="24"/>
        </w:rPr>
        <w:t xml:space="preserve"> of bridging oxygens </w:t>
      </w:r>
      <w:r w:rsidRPr="000E2377">
        <w:rPr>
          <w:rFonts w:asciiTheme="majorBidi" w:hAnsiTheme="majorBidi" w:cstheme="majorBidi"/>
          <w:b w:val="0"/>
          <w:szCs w:val="24"/>
        </w:rPr>
        <w:fldChar w:fldCharType="begin" w:fldLock="1"/>
      </w:r>
      <w:r w:rsidR="002A61DC" w:rsidRPr="000E2377">
        <w:rPr>
          <w:rFonts w:asciiTheme="majorBidi" w:hAnsiTheme="majorBidi" w:cstheme="majorBidi"/>
          <w:b w:val="0"/>
          <w:szCs w:val="24"/>
        </w:rPr>
        <w:instrText>ADDIN CSL_CITATION { "citationItems" : [ { "id" : "ITEM-1", "itemData" : { "DOI" : "10.1016/j.jnoncrysol.2015.08.013", "ISSN" : "00223093", "abstract" : "The effects of varying the alkaline earth oxide content of three series of soda-lime-silica glasses with the general formulae 13.5Na&lt;inf&gt;2&lt;/inf&gt;O??xMgO??10CaO??1.5Al&lt;inf&gt;2&lt;/inf&gt;O&lt;inf&gt;3&lt;/inf&gt;??(75 - x)SiO&lt;inf&gt;2&lt;/inf&gt; (mol.%) where x = 0, 1, 2, 3, 4, 5, 6, and 7; 13.5Na&lt;inf&gt;2&lt;/inf&gt;O??3MgO??(7 + y)CaO??1.5Al&lt;inf&gt;2&lt;/inf&gt;O&lt;inf&gt;3&lt;/inf&gt;??(75 - y)SiO&lt;inf&gt;2&lt;/inf&gt; (mol.%) where y = 0, 1, 2, 3, 4, 5, 6, and 7 and 13.5Na&lt;inf&gt;2&lt;/inf&gt;O??zMgO??(13 - z)CaO??1.5Al&lt;inf&gt;2&lt;/inf&gt;O&lt;inf&gt;3&lt;/inf&gt;??72SiO&lt;inf&gt;2&lt;/inf&gt; (mol.%) where z = 1, 3, 5, 7, 9, and 11 have been examined. Raman spectroscopy and nuclear magnetic resonance (NMR) spectroscopy have been used to assess network connectivity. In the first two glass series network connectivity decreases with increasing alkaline earth addition whereas in the third series connectivity tends to be greater for the more magnesia rich glasses suggesting that magnesia does have a different effect to lime on network connectivity, but only when magnesia is the dominant alkaline earth species. Fracture toughness has been measured using bend testing, which avoids many of the questions raised by the widely used indentation technique. Moduli have been assessed using acoustic means. It was found that the mechanical properties tend to decrease with increasing network connectivity for all three glass series. For the MgO-SiO&lt;inf&gt;2&lt;/inf&gt; series and CaO-SiO&lt;inf&gt;2&lt;/inf&gt; glasses increasing the alkaline earth content at the expense of the silica content resulted in increased network depolymerization, whereas for the MgO-CaO series when MgO became the dominant alkaline earth species, network depolymerization was reduced. Thus whilst MgO and CaO both act as network modifiers when more CaO than MgO is present in soda-lime-silica glasses, a difference in behaviour is seen with magnesia rich soda-magnesia-silica glasses. In contradiction to previous data no significant advantage of replacing CaO by MgO is observed. In addition it appears that the glasses with the lowest fracture toughness values may be more resilient to contact damage than those with the higher fracture toughness values.", "author" : [ { "dropping-particle" : "", "family" : "Kilinc", "given" : "Erhan", "non-dropping-particle" : "", "parse-names" : false, "suffix" : "" }, { "dropping-particle" : "", "family" : "Hand", "given" : "Russell J.", "non-dropping-particle" : "", "parse-names" : false, "suffix" : "" } ], "container-title" : "Journal of Non-Crystalline Solids", "id" : "ITEM-1", "issued" : { "date-parts" : [ [ "2015" ] ] }, "page" : "190-197", "publisher" : "Elsevier B.V.", "title" : "Mechanical properties of soda-lime-silica glasses with varying alkaline earth contents", "type" : "article-journal", "volume" : "429" }, "uris" : [ "http://www.mendeley.com/documents/?uuid=9f1c2e71-3e60-4782-b1b2-26adb31dc508" ] } ], "mendeley" : { "formattedCitation" : "(Kilinc &amp; Hand, 2015)", "plainTextFormattedCitation" : "(Kilinc &amp; Hand, 2015)", "previouslyFormattedCitation" : "(Kilinc &amp; Hand, 2015)" }, "properties" : { "noteIndex" : 4 }, "schema" : "https://github.com/citation-style-language/schema/raw/master/csl-citation.json" }</w:instrText>
      </w:r>
      <w:r w:rsidRPr="000E2377">
        <w:rPr>
          <w:rFonts w:asciiTheme="majorBidi" w:hAnsiTheme="majorBidi" w:cstheme="majorBidi"/>
          <w:b w:val="0"/>
          <w:szCs w:val="24"/>
        </w:rPr>
        <w:fldChar w:fldCharType="separate"/>
      </w:r>
      <w:r w:rsidR="00793120" w:rsidRPr="000E2377">
        <w:rPr>
          <w:rFonts w:asciiTheme="majorBidi" w:hAnsiTheme="majorBidi" w:cstheme="majorBidi"/>
          <w:b w:val="0"/>
          <w:noProof/>
          <w:szCs w:val="24"/>
        </w:rPr>
        <w:t>(Kilinc &amp; Hand, 2015)</w:t>
      </w:r>
      <w:r w:rsidRPr="000E2377">
        <w:rPr>
          <w:rFonts w:asciiTheme="majorBidi" w:hAnsiTheme="majorBidi" w:cstheme="majorBidi"/>
          <w:b w:val="0"/>
          <w:szCs w:val="24"/>
        </w:rPr>
        <w:fldChar w:fldCharType="end"/>
      </w:r>
      <w:r w:rsidRPr="000E2377">
        <w:rPr>
          <w:rFonts w:asciiTheme="majorBidi" w:hAnsiTheme="majorBidi" w:cstheme="majorBidi"/>
          <w:b w:val="0"/>
          <w:szCs w:val="24"/>
        </w:rPr>
        <w:t xml:space="preserve">. Such structural changes modify macroscopic properties such as hardness and modulus </w:t>
      </w:r>
      <w:r w:rsidRPr="000E2377">
        <w:rPr>
          <w:rFonts w:asciiTheme="majorBidi" w:hAnsiTheme="majorBidi" w:cstheme="majorBidi"/>
          <w:b w:val="0"/>
          <w:szCs w:val="24"/>
        </w:rPr>
        <w:fldChar w:fldCharType="begin" w:fldLock="1"/>
      </w:r>
      <w:r w:rsidR="002A61DC" w:rsidRPr="000E2377">
        <w:rPr>
          <w:rFonts w:asciiTheme="majorBidi" w:hAnsiTheme="majorBidi" w:cstheme="majorBidi"/>
          <w:b w:val="0"/>
          <w:szCs w:val="24"/>
        </w:rPr>
        <w:instrText>ADDIN CSL_CITATION { "citationItems" : [ { "id" : "ITEM-1", "itemData" : { "DOI" : "10.1111/jace.12298", "author" : [ { "dropping-particle" : "", "family" : "Smedskjaer", "given" : "Morten M", "non-dropping-particle" : "", "parse-names" : false, "suffix" : "" }, { "dropping-particle" : "", "family" : "Mauro", "given" : "John C", "non-dropping-particle" : "", "parse-names" : false, "suffix" : "" }, { "dropping-particle" : "", "family" : "Kjeldsen", "given" : "Jonas", "non-dropping-particle" : "", "parse-names" : false, "suffix" : "" }, { "dropping-particle" : "", "family" : "Yue", "given" : "Yuanzheng", "non-dropping-particle" : "", "parse-names" : false, "suffix" : "" } ], "id" : "ITEM-1", "issued" : { "date-parts" : [ [ "2013" ] ] }, "page" : "1436-1443", "title" : "Microscopic Origins of Compositional Trends in Aluminosilicate Glass", "type" : "article-journal", "volume" : "1443" }, "uris" : [ "http://www.mendeley.com/documents/?uuid=6b6f00b5-804d-4f22-a4d6-e6433cd646e0" ] } ], "mendeley" : { "formattedCitation" : "(Smedskjaer, Mauro, et al., 2013)", "manualFormatting" : "(Smedskjaer et al. 2013)", "plainTextFormattedCitation" : "(Smedskjaer, Mauro, et al., 2013)", "previouslyFormattedCitation" : "(Smedskjaer, Mauro, et al., 2013)" }, "properties" : { "noteIndex" : 0 }, "schema" : "https://github.com/citation-style-language/schema/raw/master/csl-citation.json" }</w:instrText>
      </w:r>
      <w:r w:rsidRPr="000E2377">
        <w:rPr>
          <w:rFonts w:asciiTheme="majorBidi" w:hAnsiTheme="majorBidi" w:cstheme="majorBidi"/>
          <w:b w:val="0"/>
          <w:szCs w:val="24"/>
        </w:rPr>
        <w:fldChar w:fldCharType="separate"/>
      </w:r>
      <w:r w:rsidRPr="000E2377">
        <w:rPr>
          <w:rFonts w:asciiTheme="majorBidi" w:hAnsiTheme="majorBidi" w:cstheme="majorBidi"/>
          <w:b w:val="0"/>
          <w:noProof/>
          <w:szCs w:val="24"/>
        </w:rPr>
        <w:t>(Smedskjaer et al. 2013)</w:t>
      </w:r>
      <w:r w:rsidRPr="000E2377">
        <w:rPr>
          <w:rFonts w:asciiTheme="majorBidi" w:hAnsiTheme="majorBidi" w:cstheme="majorBidi"/>
          <w:b w:val="0"/>
          <w:szCs w:val="24"/>
        </w:rPr>
        <w:fldChar w:fldCharType="end"/>
      </w:r>
      <w:r w:rsidRPr="000E2377">
        <w:rPr>
          <w:rFonts w:asciiTheme="majorBidi" w:hAnsiTheme="majorBidi" w:cstheme="majorBidi"/>
          <w:b w:val="0"/>
          <w:szCs w:val="24"/>
        </w:rPr>
        <w:t>.</w:t>
      </w:r>
      <w:r w:rsidR="008D091E" w:rsidRPr="000E2377">
        <w:rPr>
          <w:rFonts w:asciiTheme="majorBidi" w:hAnsiTheme="majorBidi" w:cstheme="majorBidi"/>
          <w:b w:val="0"/>
          <w:szCs w:val="24"/>
        </w:rPr>
        <w:t xml:space="preserve"> In term</w:t>
      </w:r>
      <w:r w:rsidR="009E66BC">
        <w:rPr>
          <w:rFonts w:asciiTheme="majorBidi" w:hAnsiTheme="majorBidi" w:cstheme="majorBidi"/>
          <w:b w:val="0"/>
          <w:szCs w:val="24"/>
        </w:rPr>
        <w:t>s</w:t>
      </w:r>
      <w:r w:rsidR="008D091E" w:rsidRPr="000E2377">
        <w:rPr>
          <w:rFonts w:asciiTheme="majorBidi" w:hAnsiTheme="majorBidi" w:cstheme="majorBidi"/>
          <w:b w:val="0"/>
          <w:szCs w:val="24"/>
        </w:rPr>
        <w:t xml:space="preserve"> of structural chang</w:t>
      </w:r>
      <w:r w:rsidR="009E66BC">
        <w:rPr>
          <w:rFonts w:asciiTheme="majorBidi" w:hAnsiTheme="majorBidi" w:cstheme="majorBidi"/>
          <w:b w:val="0"/>
          <w:szCs w:val="24"/>
        </w:rPr>
        <w:t>es</w:t>
      </w:r>
      <w:r w:rsidR="008D091E" w:rsidRPr="000E2377">
        <w:rPr>
          <w:rFonts w:asciiTheme="majorBidi" w:hAnsiTheme="majorBidi" w:cstheme="majorBidi"/>
          <w:b w:val="0"/>
          <w:szCs w:val="24"/>
        </w:rPr>
        <w:t>, the addition of alkaline earth</w:t>
      </w:r>
      <w:r w:rsidR="009E66BC">
        <w:rPr>
          <w:rFonts w:asciiTheme="majorBidi" w:hAnsiTheme="majorBidi" w:cstheme="majorBidi"/>
          <w:b w:val="0"/>
          <w:szCs w:val="24"/>
        </w:rPr>
        <w:t>s,</w:t>
      </w:r>
      <w:r w:rsidR="008D091E" w:rsidRPr="000E2377">
        <w:rPr>
          <w:rFonts w:asciiTheme="majorBidi" w:hAnsiTheme="majorBidi" w:cstheme="majorBidi"/>
          <w:b w:val="0"/>
          <w:szCs w:val="24"/>
        </w:rPr>
        <w:t xml:space="preserve"> such as </w:t>
      </w:r>
      <w:proofErr w:type="spellStart"/>
      <w:r w:rsidRPr="000E2377">
        <w:rPr>
          <w:rFonts w:asciiTheme="majorBidi" w:hAnsiTheme="majorBidi" w:cstheme="majorBidi"/>
          <w:b w:val="0"/>
          <w:szCs w:val="24"/>
        </w:rPr>
        <w:t>CaO</w:t>
      </w:r>
      <w:proofErr w:type="spellEnd"/>
      <w:r w:rsidR="006208BB">
        <w:rPr>
          <w:rFonts w:asciiTheme="majorBidi" w:hAnsiTheme="majorBidi" w:cstheme="majorBidi"/>
          <w:b w:val="0"/>
          <w:szCs w:val="24"/>
        </w:rPr>
        <w:t xml:space="preserve"> in</w:t>
      </w:r>
      <w:r w:rsidRPr="000E2377">
        <w:rPr>
          <w:rFonts w:asciiTheme="majorBidi" w:hAnsiTheme="majorBidi" w:cstheme="majorBidi"/>
          <w:b w:val="0"/>
          <w:szCs w:val="24"/>
        </w:rPr>
        <w:t xml:space="preserve"> (</w:t>
      </w:r>
      <w:proofErr w:type="spellStart"/>
      <w:r w:rsidRPr="000E2377">
        <w:rPr>
          <w:rFonts w:asciiTheme="majorBidi" w:hAnsiTheme="majorBidi" w:cstheme="majorBidi"/>
          <w:b w:val="0"/>
          <w:szCs w:val="24"/>
        </w:rPr>
        <w:t>CaO</w:t>
      </w:r>
      <w:proofErr w:type="spellEnd"/>
      <w:r w:rsidRPr="000E2377">
        <w:rPr>
          <w:rFonts w:asciiTheme="majorBidi" w:hAnsiTheme="majorBidi" w:cstheme="majorBidi"/>
          <w:b w:val="0"/>
          <w:szCs w:val="24"/>
        </w:rPr>
        <w:t>)</w:t>
      </w:r>
      <w:r w:rsidRPr="000E2377">
        <w:rPr>
          <w:rFonts w:asciiTheme="majorBidi" w:hAnsiTheme="majorBidi" w:cstheme="majorBidi"/>
          <w:b w:val="0"/>
          <w:szCs w:val="24"/>
          <w:vertAlign w:val="subscript"/>
        </w:rPr>
        <w:t>x</w:t>
      </w:r>
      <w:r w:rsidRPr="000E2377">
        <w:rPr>
          <w:rFonts w:asciiTheme="majorBidi" w:hAnsiTheme="majorBidi" w:cstheme="majorBidi"/>
          <w:b w:val="0"/>
          <w:szCs w:val="24"/>
        </w:rPr>
        <w:t>(Na</w:t>
      </w:r>
      <w:r w:rsidRPr="000E2377">
        <w:rPr>
          <w:rFonts w:asciiTheme="majorBidi" w:hAnsiTheme="majorBidi" w:cstheme="majorBidi"/>
          <w:b w:val="0"/>
          <w:szCs w:val="24"/>
          <w:vertAlign w:val="subscript"/>
        </w:rPr>
        <w:t>2</w:t>
      </w:r>
      <w:r w:rsidRPr="000E2377">
        <w:rPr>
          <w:rFonts w:asciiTheme="majorBidi" w:hAnsiTheme="majorBidi" w:cstheme="majorBidi"/>
          <w:b w:val="0"/>
          <w:szCs w:val="24"/>
        </w:rPr>
        <w:t>Si</w:t>
      </w:r>
      <w:r w:rsidRPr="000E2377">
        <w:rPr>
          <w:rFonts w:asciiTheme="majorBidi" w:hAnsiTheme="majorBidi" w:cstheme="majorBidi"/>
          <w:b w:val="0"/>
          <w:szCs w:val="24"/>
          <w:vertAlign w:val="subscript"/>
        </w:rPr>
        <w:t>3</w:t>
      </w:r>
      <w:r w:rsidRPr="000E2377">
        <w:rPr>
          <w:rFonts w:asciiTheme="majorBidi" w:hAnsiTheme="majorBidi" w:cstheme="majorBidi"/>
          <w:b w:val="0"/>
          <w:szCs w:val="24"/>
        </w:rPr>
        <w:t>O</w:t>
      </w:r>
      <w:r w:rsidRPr="000E2377">
        <w:rPr>
          <w:rFonts w:asciiTheme="majorBidi" w:hAnsiTheme="majorBidi" w:cstheme="majorBidi"/>
          <w:b w:val="0"/>
          <w:szCs w:val="24"/>
          <w:vertAlign w:val="subscript"/>
        </w:rPr>
        <w:t>7</w:t>
      </w:r>
      <w:r w:rsidRPr="000E2377">
        <w:rPr>
          <w:rFonts w:asciiTheme="majorBidi" w:hAnsiTheme="majorBidi" w:cstheme="majorBidi"/>
          <w:b w:val="0"/>
          <w:szCs w:val="24"/>
        </w:rPr>
        <w:t>) (increasing from 0 to 20 mol%), changes the Q species from Q</w:t>
      </w:r>
      <w:r w:rsidRPr="000E2377">
        <w:rPr>
          <w:rFonts w:asciiTheme="majorBidi" w:hAnsiTheme="majorBidi" w:cstheme="majorBidi"/>
          <w:b w:val="0"/>
          <w:szCs w:val="24"/>
          <w:vertAlign w:val="superscript"/>
        </w:rPr>
        <w:t>2</w:t>
      </w:r>
      <w:r w:rsidRPr="000E2377">
        <w:rPr>
          <w:rFonts w:asciiTheme="majorBidi" w:hAnsiTheme="majorBidi" w:cstheme="majorBidi"/>
          <w:b w:val="0"/>
          <w:szCs w:val="24"/>
        </w:rPr>
        <w:t xml:space="preserve"> to </w:t>
      </w:r>
      <w:r w:rsidR="00CF2F2D">
        <w:rPr>
          <w:rFonts w:asciiTheme="majorBidi" w:hAnsiTheme="majorBidi" w:cstheme="majorBidi"/>
          <w:b w:val="0"/>
          <w:szCs w:val="24"/>
        </w:rPr>
        <w:t>lower</w:t>
      </w:r>
      <w:r w:rsidR="00CF2F2D" w:rsidRPr="000E2377">
        <w:rPr>
          <w:rFonts w:asciiTheme="majorBidi" w:hAnsiTheme="majorBidi" w:cstheme="majorBidi"/>
          <w:b w:val="0"/>
          <w:szCs w:val="24"/>
        </w:rPr>
        <w:t xml:space="preserve"> </w:t>
      </w:r>
      <w:r w:rsidRPr="000E2377">
        <w:rPr>
          <w:rFonts w:asciiTheme="majorBidi" w:hAnsiTheme="majorBidi" w:cstheme="majorBidi"/>
          <w:b w:val="0"/>
          <w:szCs w:val="24"/>
        </w:rPr>
        <w:t xml:space="preserve">Q species </w:t>
      </w:r>
      <w:r w:rsidRPr="000E2377">
        <w:rPr>
          <w:rFonts w:asciiTheme="majorBidi" w:hAnsiTheme="majorBidi" w:cstheme="majorBidi"/>
          <w:b w:val="0"/>
          <w:szCs w:val="24"/>
        </w:rPr>
        <w:fldChar w:fldCharType="begin" w:fldLock="1"/>
      </w:r>
      <w:r w:rsidR="002A61DC" w:rsidRPr="000E2377">
        <w:rPr>
          <w:rFonts w:asciiTheme="majorBidi" w:hAnsiTheme="majorBidi" w:cstheme="majorBidi"/>
          <w:b w:val="0"/>
          <w:szCs w:val="24"/>
        </w:rPr>
        <w:instrText>ADDIN CSL_CITATION { "citationItems" : [ { "id" : "ITEM-1", "itemData" : { "DOI" : "10.1016/S0022-3093(01)00656-1", "ISSN" : "00223093", "abstract" : "29Si and 23Na magic angle spinning (MAS) NMR has been used as an atomic probe for structural characterisation of soda-lime-silicate glasses. The glasses studied are based on the composition (CaO)x(Na2Si3O7), where x is varied from x = 0 to x = 1, (increasing CaO from 0 to 20 mol%) finally matching the Na2O fraction. The glass network becomes increasingly depolymerised by increasing CaO, and shows a changing distribution of Qn species. Two Q species have been observed co-existing for compositions, where x = 0, 0.2 and 1, while for compositions, where x = 0.4 and x = 0.8, Q2, Q3 and Q4 are present. Progressive changes in chemical shifts of Q2 and Q3 species, and changes in FWHM of all detected Qn species accompany the addition of CaO. The addition of CaO introduces a greater distortion into the structure, and there is evidence to suggest preferential arrangement of Ca in the vicinity of Q2 species rather than Q3. ?? 2001 Published by Elsevier Science B.V.", "author" : [ { "dropping-particle" : "", "family" : "Jones", "given" : "A. R.", "non-dropping-particle" : "", "parse-names" : false, "suffix" : "" }, { "dropping-particle" : "", "family" : "Winter", "given" : "R.", "non-dropping-particle" : "", "parse-names" : false, "suffix" : "" }, { "dropping-particle" : "", "family" : "Greaves", "given" : "G. N.", "non-dropping-particle" : "", "parse-names" : false, "suffix" : "" }, { "dropping-particle" : "", "family" : "Smith", "given" : "I. H.", "non-dropping-particle" : "", "parse-names" : false, "suffix" : "" } ], "container-title" : "Journal of Non-Crystalline Solids", "id" : "ITEM-1", "issue" : "1", "issued" : { "date-parts" : [ [ "2001" ] ] }, "page" : "87-92", "title" : "MAS NMR study of soda-lime-silicate glasses with variable degree of polymerisation", "type" : "article-journal", "volume" : "293-295" }, "uris" : [ "http://www.mendeley.com/documents/?uuid=06dcd50a-fffa-4343-803e-8819b0b32671" ] } ], "mendeley" : { "formattedCitation" : "(Jones et al., 2001)", "plainTextFormattedCitation" : "(Jones et al., 2001)", "previouslyFormattedCitation" : "(Jones et al., 2001)" }, "properties" : { "noteIndex" : 0 }, "schema" : "https://github.com/citation-style-language/schema/raw/master/csl-citation.json" }</w:instrText>
      </w:r>
      <w:r w:rsidRPr="000E2377">
        <w:rPr>
          <w:rFonts w:asciiTheme="majorBidi" w:hAnsiTheme="majorBidi" w:cstheme="majorBidi"/>
          <w:b w:val="0"/>
          <w:szCs w:val="24"/>
        </w:rPr>
        <w:fldChar w:fldCharType="separate"/>
      </w:r>
      <w:r w:rsidR="00793120" w:rsidRPr="000E2377">
        <w:rPr>
          <w:rFonts w:asciiTheme="majorBidi" w:hAnsiTheme="majorBidi" w:cstheme="majorBidi"/>
          <w:b w:val="0"/>
          <w:noProof/>
          <w:szCs w:val="24"/>
        </w:rPr>
        <w:t>(Jones et al., 2001)</w:t>
      </w:r>
      <w:r w:rsidRPr="000E2377">
        <w:rPr>
          <w:rFonts w:asciiTheme="majorBidi" w:hAnsiTheme="majorBidi" w:cstheme="majorBidi"/>
          <w:b w:val="0"/>
          <w:szCs w:val="24"/>
        </w:rPr>
        <w:fldChar w:fldCharType="end"/>
      </w:r>
      <w:r w:rsidRPr="000E2377">
        <w:rPr>
          <w:rFonts w:asciiTheme="majorBidi" w:hAnsiTheme="majorBidi" w:cstheme="majorBidi"/>
          <w:b w:val="0"/>
          <w:szCs w:val="24"/>
        </w:rPr>
        <w:t xml:space="preserve">. Figure 2.4 shows the effects on the structure when </w:t>
      </w:r>
      <w:r w:rsidR="009252E3">
        <w:rPr>
          <w:rFonts w:asciiTheme="majorBidi" w:hAnsiTheme="majorBidi" w:cstheme="majorBidi"/>
          <w:b w:val="0"/>
          <w:szCs w:val="24"/>
        </w:rPr>
        <w:t>two different</w:t>
      </w:r>
      <w:r w:rsidR="009252E3" w:rsidRPr="000E2377">
        <w:rPr>
          <w:rFonts w:asciiTheme="majorBidi" w:hAnsiTheme="majorBidi" w:cstheme="majorBidi"/>
          <w:b w:val="0"/>
          <w:szCs w:val="24"/>
        </w:rPr>
        <w:t xml:space="preserve"> </w:t>
      </w:r>
      <w:r w:rsidRPr="000E2377">
        <w:rPr>
          <w:rFonts w:asciiTheme="majorBidi" w:hAnsiTheme="majorBidi" w:cstheme="majorBidi"/>
          <w:b w:val="0"/>
          <w:szCs w:val="24"/>
        </w:rPr>
        <w:t>network modifier</w:t>
      </w:r>
      <w:r w:rsidR="009252E3">
        <w:rPr>
          <w:rFonts w:asciiTheme="majorBidi" w:hAnsiTheme="majorBidi" w:cstheme="majorBidi"/>
          <w:b w:val="0"/>
          <w:szCs w:val="24"/>
        </w:rPr>
        <w:t>s are</w:t>
      </w:r>
      <w:r w:rsidRPr="000E2377">
        <w:rPr>
          <w:rFonts w:asciiTheme="majorBidi" w:hAnsiTheme="majorBidi" w:cstheme="majorBidi"/>
          <w:b w:val="0"/>
          <w:szCs w:val="24"/>
        </w:rPr>
        <w:t xml:space="preserve"> added to the composition.</w:t>
      </w:r>
    </w:p>
    <w:p w14:paraId="3A7979AA" w14:textId="09AB0811" w:rsidR="003127EF" w:rsidRPr="000E2377" w:rsidRDefault="00E41555" w:rsidP="000C0130">
      <w:pPr>
        <w:spacing w:line="360" w:lineRule="auto"/>
        <w:jc w:val="both"/>
        <w:rPr>
          <w:rFonts w:cs="Times New Roman"/>
          <w:b w:val="0"/>
          <w:noProof/>
          <w:szCs w:val="24"/>
        </w:rPr>
      </w:pPr>
      <w:r w:rsidRPr="000E2377">
        <w:rPr>
          <w:rFonts w:asciiTheme="majorBidi" w:hAnsiTheme="majorBidi" w:cstheme="majorBidi"/>
          <w:b w:val="0"/>
          <w:color w:val="000000" w:themeColor="text1"/>
          <w:szCs w:val="24"/>
        </w:rPr>
        <w:t xml:space="preserve">  </w:t>
      </w:r>
      <w:r w:rsidR="00EE05E2" w:rsidRPr="000E2377">
        <w:rPr>
          <w:noProof/>
          <w:lang w:eastAsia="en-MY"/>
        </w:rPr>
        <mc:AlternateContent>
          <mc:Choice Requires="wps">
            <w:drawing>
              <wp:anchor distT="0" distB="0" distL="114300" distR="114300" simplePos="0" relativeHeight="251815936" behindDoc="0" locked="0" layoutInCell="1" allowOverlap="1" wp14:anchorId="1D6AF276" wp14:editId="470B1642">
                <wp:simplePos x="0" y="0"/>
                <wp:positionH relativeFrom="column">
                  <wp:posOffset>1450428</wp:posOffset>
                </wp:positionH>
                <wp:positionV relativeFrom="paragraph">
                  <wp:posOffset>1308537</wp:posOffset>
                </wp:positionV>
                <wp:extent cx="457200" cy="46924"/>
                <wp:effectExtent l="0" t="57150" r="19050" b="48895"/>
                <wp:wrapNone/>
                <wp:docPr id="2363" name="Straight Arrow Connector 2363"/>
                <wp:cNvGraphicFramePr/>
                <a:graphic xmlns:a="http://schemas.openxmlformats.org/drawingml/2006/main">
                  <a:graphicData uri="http://schemas.microsoft.com/office/word/2010/wordprocessingShape">
                    <wps:wsp>
                      <wps:cNvCnPr/>
                      <wps:spPr>
                        <a:xfrm flipV="1">
                          <a:off x="0" y="0"/>
                          <a:ext cx="457200" cy="469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194E31" id="_x0000_t32" coordsize="21600,21600" o:spt="32" o:oned="t" path="m,l21600,21600e" filled="f">
                <v:path arrowok="t" fillok="f" o:connecttype="none"/>
                <o:lock v:ext="edit" shapetype="t"/>
              </v:shapetype>
              <v:shape id="Straight Arrow Connector 2363" o:spid="_x0000_s1026" type="#_x0000_t32" style="position:absolute;margin-left:114.2pt;margin-top:103.05pt;width:36pt;height:3.7pt;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" strokecolor="black [3040]">
                <v:stroke endarrow="block"/>
              </v:shape>
            </w:pict>
          </mc:Fallback>
        </mc:AlternateContent>
      </w:r>
      <w:r w:rsidR="003127EF" w:rsidRPr="000E2377">
        <w:rPr>
          <w:noProof/>
          <w:lang w:eastAsia="en-MY"/>
        </w:rPr>
        <w:drawing>
          <wp:inline distT="0" distB="0" distL="0" distR="0" wp14:anchorId="07CBFF1C" wp14:editId="34B9A3BA">
            <wp:extent cx="5205105" cy="2617076"/>
            <wp:effectExtent l="0" t="0" r="0" b="0"/>
            <wp:docPr id="2383" name="Picture 2383" descr="D:\extra document\structure of gla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xtra document\structure of glass.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22082" cy="2625612"/>
                    </a:xfrm>
                    <a:prstGeom prst="rect">
                      <a:avLst/>
                    </a:prstGeom>
                    <a:noFill/>
                    <a:ln>
                      <a:noFill/>
                    </a:ln>
                  </pic:spPr>
                </pic:pic>
              </a:graphicData>
            </a:graphic>
          </wp:inline>
        </w:drawing>
      </w:r>
    </w:p>
    <w:p w14:paraId="017A21BD" w14:textId="3FF6A3C1" w:rsidR="0064576E" w:rsidRPr="000E2377" w:rsidRDefault="004B3A51" w:rsidP="00CD0E4F">
      <w:pPr>
        <w:pStyle w:val="Caption"/>
        <w:rPr>
          <w:szCs w:val="24"/>
        </w:rPr>
      </w:pPr>
      <w:bookmarkStart w:id="72" w:name="_Toc521420439"/>
      <w:bookmarkStart w:id="73" w:name="_Toc525223178"/>
      <w:bookmarkStart w:id="74" w:name="_Toc525528326"/>
      <w:bookmarkStart w:id="75" w:name="_Toc525706341"/>
      <w:bookmarkStart w:id="76" w:name="_Hlk515393507"/>
      <w:r w:rsidRPr="000E2377">
        <w:t xml:space="preserve">Figure </w:t>
      </w:r>
      <w:r w:rsidR="00DE32A9">
        <w:t>2</w:t>
      </w:r>
      <w:r w:rsidR="002513FF" w:rsidRPr="000E2377">
        <w:t>.</w:t>
      </w:r>
      <w:r w:rsidR="002513FF" w:rsidRPr="000E2377">
        <w:fldChar w:fldCharType="begin"/>
      </w:r>
      <w:r w:rsidR="002513FF" w:rsidRPr="000E2377">
        <w:instrText xml:space="preserve"> SEQ Figure \* ARABIC \s 1 </w:instrText>
      </w:r>
      <w:r w:rsidR="002513FF" w:rsidRPr="000E2377">
        <w:fldChar w:fldCharType="separate"/>
      </w:r>
      <w:r w:rsidR="00C827AE">
        <w:rPr>
          <w:noProof/>
        </w:rPr>
        <w:t>4</w:t>
      </w:r>
      <w:r w:rsidR="002513FF" w:rsidRPr="000E2377">
        <w:fldChar w:fldCharType="end"/>
      </w:r>
      <w:r w:rsidR="0064576E" w:rsidRPr="000E2377">
        <w:rPr>
          <w:szCs w:val="24"/>
        </w:rPr>
        <w:t xml:space="preserve">: </w:t>
      </w:r>
      <w:r w:rsidR="000F3F0F">
        <w:rPr>
          <w:szCs w:val="24"/>
        </w:rPr>
        <w:t>Schematic diagram of the s</w:t>
      </w:r>
      <w:r w:rsidR="0064576E" w:rsidRPr="000E2377">
        <w:rPr>
          <w:szCs w:val="24"/>
        </w:rPr>
        <w:t xml:space="preserve">tructure of </w:t>
      </w:r>
      <w:r w:rsidR="000F3F0F">
        <w:rPr>
          <w:szCs w:val="24"/>
        </w:rPr>
        <w:t xml:space="preserve">soda-lime-silica </w:t>
      </w:r>
      <w:r w:rsidR="0064576E" w:rsidRPr="000E2377">
        <w:rPr>
          <w:szCs w:val="24"/>
        </w:rPr>
        <w:t>glass</w:t>
      </w:r>
      <w:bookmarkEnd w:id="72"/>
      <w:bookmarkEnd w:id="73"/>
      <w:bookmarkEnd w:id="74"/>
      <w:bookmarkEnd w:id="75"/>
      <w:r w:rsidR="00AC7671">
        <w:rPr>
          <w:szCs w:val="24"/>
        </w:rPr>
        <w:t>.</w:t>
      </w:r>
    </w:p>
    <w:p w14:paraId="11876E09" w14:textId="0DA3BC13" w:rsidR="007F7E4D" w:rsidRDefault="007F7E4D" w:rsidP="004B7F7B">
      <w:pPr>
        <w:spacing w:line="360" w:lineRule="auto"/>
        <w:jc w:val="both"/>
        <w:rPr>
          <w:b w:val="0"/>
        </w:rPr>
      </w:pPr>
      <w:r w:rsidRPr="001714EA">
        <w:rPr>
          <w:b w:val="0"/>
        </w:rPr>
        <w:t xml:space="preserve">Nonbridging oxygens per tetrahedrally-coordinated cation (NBO/T) is a </w:t>
      </w:r>
      <w:r w:rsidR="000B0AB8">
        <w:rPr>
          <w:b w:val="0"/>
        </w:rPr>
        <w:t xml:space="preserve">way </w:t>
      </w:r>
      <w:r w:rsidR="001634F1">
        <w:rPr>
          <w:b w:val="0"/>
        </w:rPr>
        <w:t>of assessing the</w:t>
      </w:r>
      <w:r w:rsidRPr="001714EA">
        <w:rPr>
          <w:b w:val="0"/>
        </w:rPr>
        <w:t xml:space="preserve"> polymerisation of silicate glass. The </w:t>
      </w:r>
      <w:r w:rsidR="001634F1">
        <w:rPr>
          <w:b w:val="0"/>
        </w:rPr>
        <w:t xml:space="preserve">calculations </w:t>
      </w:r>
      <w:r w:rsidRPr="001714EA">
        <w:rPr>
          <w:b w:val="0"/>
        </w:rPr>
        <w:t xml:space="preserve">are </w:t>
      </w:r>
      <w:r w:rsidR="001634F1">
        <w:rPr>
          <w:b w:val="0"/>
        </w:rPr>
        <w:t>based on</w:t>
      </w:r>
      <w:r w:rsidRPr="001714EA">
        <w:rPr>
          <w:b w:val="0"/>
        </w:rPr>
        <w:t xml:space="preserve"> the bulk chemistry </w:t>
      </w:r>
      <w:r w:rsidR="001634F1">
        <w:rPr>
          <w:b w:val="0"/>
        </w:rPr>
        <w:t>and</w:t>
      </w:r>
      <w:r w:rsidR="00213DCF">
        <w:rPr>
          <w:b w:val="0"/>
        </w:rPr>
        <w:t xml:space="preserve"> depend on the types and amounts of tetrahedrally coordinated cations and their free oxygens</w:t>
      </w:r>
      <w:r w:rsidR="0091779E">
        <w:rPr>
          <w:b w:val="0"/>
        </w:rPr>
        <w:t xml:space="preserve"> </w:t>
      </w:r>
      <w:r w:rsidR="004B7F7B">
        <w:rPr>
          <w:b w:val="0"/>
        </w:rPr>
        <w:fldChar w:fldCharType="begin" w:fldLock="1"/>
      </w:r>
      <w:r w:rsidR="004D23C6">
        <w:rPr>
          <w:b w:val="0"/>
        </w:rPr>
        <w:instrText>ADDIN CSL_CITATION { "citationItems" : [ { "id" : "ITEM-1", "itemData" : { "ISBN" : "1200130014", "author" : [ { "dropping-particle" : "", "family" : "Mysen", "given" : "O", "non-dropping-particle" : "", "parse-names" : false, "suffix" : "" }, { "dropping-particle" : "", "family" : "Virgo", "given" : "David", "non-dropping-particle" : "", "parse-names" : false, "suffix" : "" }, { "dropping-particle" : "", "family" : "Seifert", "given" : "A", "non-dropping-particle" : "", "parse-names" : false, "suffix" : "" } ], "id" : "ITEM-1", "issue" : "3", "issued" : { "date-parts" : [ [ "1982" ] ] }, "number-of-pages" : "353-383", "title" : "Implications for Chemical and Physical Properties of Natural Magma", "type" : "book", "volume" : "20" }, "uris" : [ "http://www.mendeley.com/documents/?uuid=23b68484-505e-4cd3-b0fd-92b9cff44c94" ] } ], "mendeley" : { "formattedCitation" : "(O. Mysen, Virgo, &amp; Seifert, 1982)", "manualFormatting" : "( Mysen et al.,  1982)", "plainTextFormattedCitation" : "(O. Mysen, Virgo, &amp; Seifert, 1982)", "previouslyFormattedCitation" : "(O. Mysen, Virgo, &amp; Seifert, 1982)" }, "properties" : { "noteIndex" : 26 }, "schema" : "https://github.com/citation-style-language/schema/raw/master/csl-citation.json" }</w:instrText>
      </w:r>
      <w:r w:rsidR="004B7F7B">
        <w:rPr>
          <w:b w:val="0"/>
        </w:rPr>
        <w:fldChar w:fldCharType="separate"/>
      </w:r>
      <w:r w:rsidR="004B7F7B" w:rsidRPr="004B7F7B">
        <w:rPr>
          <w:b w:val="0"/>
          <w:noProof/>
        </w:rPr>
        <w:t>(Mysen</w:t>
      </w:r>
      <w:r w:rsidR="00490C74">
        <w:rPr>
          <w:b w:val="0"/>
          <w:noProof/>
        </w:rPr>
        <w:t xml:space="preserve"> et al.,</w:t>
      </w:r>
      <w:r w:rsidR="00490C74" w:rsidRPr="004B7F7B" w:rsidDel="00490C74">
        <w:rPr>
          <w:b w:val="0"/>
          <w:noProof/>
        </w:rPr>
        <w:t xml:space="preserve"> </w:t>
      </w:r>
      <w:r w:rsidR="004B7F7B" w:rsidRPr="004B7F7B">
        <w:rPr>
          <w:b w:val="0"/>
          <w:noProof/>
        </w:rPr>
        <w:t xml:space="preserve"> 1982)</w:t>
      </w:r>
      <w:r w:rsidR="004B7F7B">
        <w:rPr>
          <w:b w:val="0"/>
        </w:rPr>
        <w:fldChar w:fldCharType="end"/>
      </w:r>
      <w:r w:rsidR="008B6753">
        <w:rPr>
          <w:b w:val="0"/>
        </w:rPr>
        <w:t xml:space="preserve"> </w:t>
      </w:r>
    </w:p>
    <w:p w14:paraId="7EC20024" w14:textId="4132EE22" w:rsidR="0064576E" w:rsidRDefault="001634F1" w:rsidP="00985FD6">
      <w:pPr>
        <w:spacing w:after="0" w:line="360" w:lineRule="auto"/>
        <w:jc w:val="both"/>
        <w:rPr>
          <w:b w:val="0"/>
        </w:rPr>
      </w:pPr>
      <w:r>
        <w:rPr>
          <w:b w:val="0"/>
        </w:rPr>
        <w:lastRenderedPageBreak/>
        <w:t>It has been found</w:t>
      </w:r>
      <w:r w:rsidR="00352BE1">
        <w:rPr>
          <w:b w:val="0"/>
        </w:rPr>
        <w:t xml:space="preserve"> NBO</w:t>
      </w:r>
      <w:r w:rsidR="00A87676">
        <w:rPr>
          <w:b w:val="0"/>
        </w:rPr>
        <w:t>/T</w:t>
      </w:r>
      <w:r w:rsidR="00B61A17">
        <w:rPr>
          <w:b w:val="0"/>
        </w:rPr>
        <w:t xml:space="preserve"> decreases with increasing Al</w:t>
      </w:r>
      <w:r w:rsidR="00B61A17" w:rsidRPr="00B61A17">
        <w:rPr>
          <w:b w:val="0"/>
          <w:vertAlign w:val="subscript"/>
        </w:rPr>
        <w:t>2</w:t>
      </w:r>
      <w:r w:rsidR="00B61A17">
        <w:rPr>
          <w:b w:val="0"/>
        </w:rPr>
        <w:t>O</w:t>
      </w:r>
      <w:r w:rsidR="00B61A17" w:rsidRPr="00B61A17">
        <w:rPr>
          <w:b w:val="0"/>
          <w:vertAlign w:val="subscript"/>
        </w:rPr>
        <w:t>3</w:t>
      </w:r>
      <w:r w:rsidR="00B61A17">
        <w:rPr>
          <w:b w:val="0"/>
        </w:rPr>
        <w:t>/Na</w:t>
      </w:r>
      <w:r w:rsidR="00B61A17" w:rsidRPr="00B61A17">
        <w:rPr>
          <w:b w:val="0"/>
          <w:vertAlign w:val="subscript"/>
        </w:rPr>
        <w:t>2</w:t>
      </w:r>
      <w:r w:rsidR="00B61A17">
        <w:rPr>
          <w:b w:val="0"/>
        </w:rPr>
        <w:t xml:space="preserve">O </w:t>
      </w:r>
      <w:r>
        <w:rPr>
          <w:b w:val="0"/>
        </w:rPr>
        <w:t>reflecting increased</w:t>
      </w:r>
      <w:r w:rsidR="00B61A17">
        <w:rPr>
          <w:b w:val="0"/>
        </w:rPr>
        <w:t xml:space="preserve"> network connectivity in Na</w:t>
      </w:r>
      <w:r w:rsidR="00B61A17" w:rsidRPr="00B61A17">
        <w:rPr>
          <w:b w:val="0"/>
          <w:vertAlign w:val="subscript"/>
        </w:rPr>
        <w:t>2</w:t>
      </w:r>
      <w:r w:rsidR="00B61A17">
        <w:rPr>
          <w:b w:val="0"/>
        </w:rPr>
        <w:t>O-Al</w:t>
      </w:r>
      <w:r w:rsidR="00B61A17" w:rsidRPr="00B61A17">
        <w:rPr>
          <w:b w:val="0"/>
          <w:vertAlign w:val="subscript"/>
        </w:rPr>
        <w:t>2</w:t>
      </w:r>
      <w:r w:rsidR="00B61A17">
        <w:rPr>
          <w:b w:val="0"/>
        </w:rPr>
        <w:t>O</w:t>
      </w:r>
      <w:r w:rsidR="00B61A17" w:rsidRPr="00B61A17">
        <w:rPr>
          <w:b w:val="0"/>
          <w:vertAlign w:val="subscript"/>
        </w:rPr>
        <w:t>3</w:t>
      </w:r>
      <w:r w:rsidR="00B61A17">
        <w:rPr>
          <w:b w:val="0"/>
        </w:rPr>
        <w:t>-SiO</w:t>
      </w:r>
      <w:r w:rsidR="00B61A17" w:rsidRPr="00B61A17">
        <w:rPr>
          <w:b w:val="0"/>
          <w:vertAlign w:val="subscript"/>
        </w:rPr>
        <w:t>2</w:t>
      </w:r>
      <w:r w:rsidR="00B61A17">
        <w:rPr>
          <w:b w:val="0"/>
        </w:rPr>
        <w:t xml:space="preserve"> glasses</w:t>
      </w:r>
      <w:r w:rsidR="0043779A">
        <w:rPr>
          <w:b w:val="0"/>
        </w:rPr>
        <w:t xml:space="preserve">. Furthermore, NBO/T </w:t>
      </w:r>
      <w:r>
        <w:rPr>
          <w:b w:val="0"/>
        </w:rPr>
        <w:t xml:space="preserve">has been shown to correlate to the </w:t>
      </w:r>
      <w:r w:rsidR="0043779A">
        <w:rPr>
          <w:b w:val="0"/>
        </w:rPr>
        <w:t xml:space="preserve">mechanical properties of glass </w:t>
      </w:r>
      <w:r>
        <w:rPr>
          <w:b w:val="0"/>
        </w:rPr>
        <w:t xml:space="preserve">with </w:t>
      </w:r>
      <w:r w:rsidR="0043779A">
        <w:rPr>
          <w:b w:val="0"/>
        </w:rPr>
        <w:t xml:space="preserve">decreasing NBO/T in </w:t>
      </w:r>
      <w:r>
        <w:rPr>
          <w:b w:val="0"/>
        </w:rPr>
        <w:t xml:space="preserve">the </w:t>
      </w:r>
      <w:r w:rsidR="0043779A">
        <w:rPr>
          <w:b w:val="0"/>
        </w:rPr>
        <w:t>glass</w:t>
      </w:r>
      <w:r>
        <w:rPr>
          <w:b w:val="0"/>
        </w:rPr>
        <w:t xml:space="preserve"> corresponding to increased</w:t>
      </w:r>
      <w:r w:rsidR="0043779A">
        <w:rPr>
          <w:b w:val="0"/>
        </w:rPr>
        <w:t xml:space="preserve"> hardnes</w:t>
      </w:r>
      <w:r>
        <w:rPr>
          <w:b w:val="0"/>
        </w:rPr>
        <w:t>s</w:t>
      </w:r>
      <w:r w:rsidR="0043779A">
        <w:rPr>
          <w:b w:val="0"/>
        </w:rPr>
        <w:t xml:space="preserve"> </w:t>
      </w:r>
      <w:r>
        <w:rPr>
          <w:b w:val="0"/>
        </w:rPr>
        <w:t>and decreased</w:t>
      </w:r>
      <w:r w:rsidR="0043779A">
        <w:rPr>
          <w:b w:val="0"/>
        </w:rPr>
        <w:t xml:space="preserve"> crack resistance</w:t>
      </w:r>
      <w:r>
        <w:rPr>
          <w:b w:val="0"/>
        </w:rPr>
        <w:t>s</w:t>
      </w:r>
      <w:r w:rsidR="00B61A17">
        <w:rPr>
          <w:b w:val="0"/>
        </w:rPr>
        <w:t xml:space="preserve"> </w:t>
      </w:r>
      <w:r w:rsidR="00B61A17">
        <w:rPr>
          <w:b w:val="0"/>
        </w:rPr>
        <w:fldChar w:fldCharType="begin" w:fldLock="1"/>
      </w:r>
      <w:r w:rsidR="00B61A17">
        <w:rPr>
          <w:b w:val="0"/>
        </w:rPr>
        <w:instrText>ADDIN CSL_CITATION { "citationItems" : [ { "id" : "ITEM-1", "itemData" : { "DOI" : "10.1016/j.jnoncrysol.2016.03.011", "ISSN" : "00223093", "abstract" : "Clarifying the effect of pressure on the structure of aluminosilicate glasses is important for understanding the densification mechanism of these materials under pressure and the corresponding changes in macroscopic properties. In this study, we examine changes in density, network structure, indentation hardness, and crack resistance of sodium aluminosilicate glasses with varying Al/Si ratio and thus non-bridging oxygen (NBO) content before and after 1 GPa isostatic compression at elevated temperature. With increasing NBO content, the silicate network depolymerizes, resulting in higher atomic packing density, lower hardness, and higher crack resistance. The ability of the glasses to densify under isostatic compression is higher in the high-NBO glasses, and these glasses also exhibit more pronounced pressure-induced changes in mechanical properties. The 27Al NMR data show a surprising presence of five-fold aluminum in the as-made high-NBO glasses, with additional formation upon compression. Our study therefore provides new insights into the complicated relationship between Al coordination and NBO content in aluminosilicate glasses and how it affects their densification behavior.", "author" : [ { "dropping-particle" : "", "family" : "Bechgaard", "given" : "Tobias K.", "non-dropping-particle" : "", "parse-names" : false, "suffix" : "" }, { "dropping-particle" : "", "family" : "Goel", "given" : "Ashutosh", "non-dropping-particle" : "", "parse-names" : false, "suffix" : "" }, { "dropping-particle" : "", "family" : "Youngman", "given" : "Randall E.", "non-dropping-particle" : "", "parse-names" : false, "suffix" : "" }, { "dropping-particle" : "", "family" : "Mauro", "given" : "John C.", "non-dropping-particle" : "", "parse-names" : false, "suffix" : "" }, { "dropping-particle" : "", "family" : "Rzoska", "given" : "Sylwester J.", "non-dropping-particle" : "", "parse-names" : false, "suffix" : "" }, { "dropping-particle" : "", "family" : "Bockowski", "given" : "Michal", "non-dropping-particle" : "", "parse-names" : false, "suffix" : "" }, { "dropping-particle" : "", "family" : "Jensen", "given" : "Lars R.", "non-dropping-particle" : "", "parse-names" : false, "suffix" : "" }, { "dropping-particle" : "", "family" : "Smedskjaer", "given" : "Morten M.", "non-dropping-particle" : "", "parse-names" : false, "suffix" : "" } ], "container-title" : "Journal of Non-Crystalline Solids", "id" : "ITEM-1", "issued" : { "date-parts" : [ [ "2016" ] ] }, "page" : "49-57", "publisher" : "Elsevier B.V.", "title" : "Structure and mechanical properties of compressed sodium aluminosilicate glasses: Role of non-bridging oxygens", "type" : "article-journal", "volume" : "441" }, "uris" : [ "http://www.mendeley.com/documents/?uuid=f3d81a72-0841-413d-ab23-b0bab4bc6e54" ] } ], "mendeley" : { "formattedCitation" : "(Bechgaard et al., 2016)", "plainTextFormattedCitation" : "(Bechgaard et al., 2016)", "previouslyFormattedCitation" : "(Bechgaard et al., 2016)" }, "properties" : { "noteIndex" : 26 }, "schema" : "https://github.com/citation-style-language/schema/raw/master/csl-citation.json" }</w:instrText>
      </w:r>
      <w:r w:rsidR="00B61A17">
        <w:rPr>
          <w:b w:val="0"/>
        </w:rPr>
        <w:fldChar w:fldCharType="separate"/>
      </w:r>
      <w:r w:rsidR="00B61A17" w:rsidRPr="00B61A17">
        <w:rPr>
          <w:b w:val="0"/>
          <w:noProof/>
        </w:rPr>
        <w:t>(Bechgaard et al., 2016)</w:t>
      </w:r>
      <w:r w:rsidR="00B61A17">
        <w:rPr>
          <w:b w:val="0"/>
        </w:rPr>
        <w:fldChar w:fldCharType="end"/>
      </w:r>
      <w:r w:rsidR="003D3468">
        <w:rPr>
          <w:b w:val="0"/>
        </w:rPr>
        <w:t xml:space="preserve">. </w:t>
      </w:r>
      <w:r w:rsidR="0043779A">
        <w:rPr>
          <w:b w:val="0"/>
        </w:rPr>
        <w:t>Meanwhile,</w:t>
      </w:r>
      <w:r w:rsidR="003D3468">
        <w:rPr>
          <w:b w:val="0"/>
        </w:rPr>
        <w:t xml:space="preserve"> in</w:t>
      </w:r>
      <w:r w:rsidR="0043779A">
        <w:rPr>
          <w:b w:val="0"/>
        </w:rPr>
        <w:t xml:space="preserve"> </w:t>
      </w:r>
      <w:r w:rsidR="003D3468">
        <w:rPr>
          <w:b w:val="0"/>
        </w:rPr>
        <w:t>CaO-Al</w:t>
      </w:r>
      <w:r w:rsidR="003D3468" w:rsidRPr="0043779A">
        <w:rPr>
          <w:b w:val="0"/>
          <w:vertAlign w:val="subscript"/>
        </w:rPr>
        <w:t>2</w:t>
      </w:r>
      <w:r w:rsidR="003D3468">
        <w:rPr>
          <w:b w:val="0"/>
        </w:rPr>
        <w:t>O</w:t>
      </w:r>
      <w:r w:rsidR="003D3468" w:rsidRPr="0043779A">
        <w:rPr>
          <w:b w:val="0"/>
          <w:vertAlign w:val="subscript"/>
        </w:rPr>
        <w:t>3</w:t>
      </w:r>
      <w:r w:rsidR="003D3468">
        <w:rPr>
          <w:b w:val="0"/>
        </w:rPr>
        <w:t>-SiO</w:t>
      </w:r>
      <w:r w:rsidR="003D3468" w:rsidRPr="0043779A">
        <w:rPr>
          <w:b w:val="0"/>
          <w:vertAlign w:val="subscript"/>
        </w:rPr>
        <w:t>2</w:t>
      </w:r>
      <w:r w:rsidR="003D3468">
        <w:rPr>
          <w:b w:val="0"/>
        </w:rPr>
        <w:t xml:space="preserve"> glass,</w:t>
      </w:r>
      <w:r w:rsidR="00B61A17">
        <w:rPr>
          <w:b w:val="0"/>
        </w:rPr>
        <w:t xml:space="preserve"> </w:t>
      </w:r>
      <w:r>
        <w:rPr>
          <w:b w:val="0"/>
        </w:rPr>
        <w:t xml:space="preserve">it has been found that a decreased </w:t>
      </w:r>
      <w:r w:rsidR="00A87676">
        <w:rPr>
          <w:b w:val="0"/>
        </w:rPr>
        <w:t>Al/(</w:t>
      </w:r>
      <w:proofErr w:type="spellStart"/>
      <w:r w:rsidR="00A87676">
        <w:rPr>
          <w:b w:val="0"/>
        </w:rPr>
        <w:t>Al+S</w:t>
      </w:r>
      <w:r w:rsidR="00B61A17">
        <w:rPr>
          <w:b w:val="0"/>
        </w:rPr>
        <w:t>i</w:t>
      </w:r>
      <w:proofErr w:type="spellEnd"/>
      <w:r w:rsidR="00A87676">
        <w:rPr>
          <w:b w:val="0"/>
        </w:rPr>
        <w:t xml:space="preserve">) </w:t>
      </w:r>
      <w:r>
        <w:rPr>
          <w:b w:val="0"/>
        </w:rPr>
        <w:t xml:space="preserve">ratio </w:t>
      </w:r>
      <w:r w:rsidR="000B0AB8">
        <w:rPr>
          <w:b w:val="0"/>
        </w:rPr>
        <w:t xml:space="preserve">results </w:t>
      </w:r>
      <w:r>
        <w:rPr>
          <w:b w:val="0"/>
        </w:rPr>
        <w:t>in</w:t>
      </w:r>
      <w:r w:rsidR="0043779A">
        <w:rPr>
          <w:b w:val="0"/>
        </w:rPr>
        <w:t xml:space="preserve"> decreased the NBO/T</w:t>
      </w:r>
      <w:r w:rsidR="00A87676">
        <w:rPr>
          <w:b w:val="0"/>
        </w:rPr>
        <w:t xml:space="preserve">. </w:t>
      </w:r>
      <w:bookmarkStart w:id="77" w:name="_Toc515398706"/>
      <w:bookmarkEnd w:id="76"/>
      <w:bookmarkEnd w:id="77"/>
      <w:r w:rsidR="0043779A">
        <w:rPr>
          <w:b w:val="0"/>
        </w:rPr>
        <w:t xml:space="preserve">Increasing silica in this glass increases the NBO/T </w:t>
      </w:r>
      <w:r>
        <w:rPr>
          <w:b w:val="0"/>
        </w:rPr>
        <w:t>value</w:t>
      </w:r>
      <w:r w:rsidR="0043779A">
        <w:rPr>
          <w:b w:val="0"/>
        </w:rPr>
        <w:t xml:space="preserve"> </w:t>
      </w:r>
      <w:r w:rsidR="0043779A">
        <w:rPr>
          <w:b w:val="0"/>
        </w:rPr>
        <w:fldChar w:fldCharType="begin" w:fldLock="1"/>
      </w:r>
      <w:r w:rsidR="0043779A">
        <w:rPr>
          <w:b w:val="0"/>
        </w:rPr>
        <w:instrText>ADDIN CSL_CITATION { "citationItems" : [ { "id" : "ITEM-1", "itemData" : { "DOI" : "10.1016/0022-3093(91)90152-V", "ISSN" : "00223093", "abstract" : "The structure of glasses in the CaOAl2O3SiO2 (CAS) and MgOAl2O3SiO2 (MAS) systems have been studied using Raman and infrared (IR) reflectance spectroscopies. Kramers-Kronig analysis was performed on the IR data. Two compositional series were chosen in each system, one which has a constant average polymerization of 1 non-bridging oxygen per tetrahedral cation, and the other in which silica content is constant at 50 mol%, but polymerization varies. The results indicate that the presence of alkaline earth network modifiers favors the formation of species with high negative charge density. In the NBO/T = 1 series this leads to the equilibrium 2Q3 = Q4 + Q2 (where the superscript is the number of bridging oxygens per tetrahedron) shifting to the right at low Al content and to the left at high Al/Si. In the fully polymerized, 50% silica Mg glass, there is evidence of clustering into Al-rich and Si-rich domains. Transformation of the IR data yields a well-resolved low-frequency band in the CAS spectra whose frequency depends on polymerization and whether Ca is acting as a network modifier or charge balancer. The analogous Mg band is apparently buried in the mid-frequency network mode. ?? 1991.", "author" : [ { "dropping-particle" : "", "family" : "Merzbacher", "given" : "Celia I.", "non-dropping-particle" : "", "parse-names" : false, "suffix" : "" }, { "dropping-particle" : "", "family" : "White", "given" : "William B.", "non-dropping-particle" : "", "parse-names" : false, "suffix" : "" } ], "container-title" : "Journal of Non-Crystalline Solids", "id" : "ITEM-1", "issue" : "1", "issued" : { "date-parts" : [ [ "1991" ] ] }, "page" : "18-34", "title" : "The structure of alkaline earth aluminosilicate glasses as determined by vibrational spectroscopy", "type" : "article-journal", "volume" : "130" }, "uris" : [ "http://www.mendeley.com/documents/?uuid=07afc267-d0e8-4ac3-b58a-0d7b59837230" ] } ], "mendeley" : { "formattedCitation" : "(Merzbacher &amp; White, 1991)", "plainTextFormattedCitation" : "(Merzbacher &amp; White, 1991)", "previouslyFormattedCitation" : "(Merzbacher &amp; White, 1991)" }, "properties" : { "noteIndex" : 26 }, "schema" : "https://github.com/citation-style-language/schema/raw/master/csl-citation.json" }</w:instrText>
      </w:r>
      <w:r w:rsidR="0043779A">
        <w:rPr>
          <w:b w:val="0"/>
        </w:rPr>
        <w:fldChar w:fldCharType="separate"/>
      </w:r>
      <w:r w:rsidR="0043779A" w:rsidRPr="0043779A">
        <w:rPr>
          <w:b w:val="0"/>
          <w:noProof/>
        </w:rPr>
        <w:t>(Merzbacher &amp; White, 1991)</w:t>
      </w:r>
      <w:r w:rsidR="0043779A">
        <w:rPr>
          <w:b w:val="0"/>
        </w:rPr>
        <w:fldChar w:fldCharType="end"/>
      </w:r>
      <w:r w:rsidR="0043779A">
        <w:rPr>
          <w:b w:val="0"/>
        </w:rPr>
        <w:t>.</w:t>
      </w:r>
      <w:r w:rsidR="00B61A17">
        <w:rPr>
          <w:b w:val="0"/>
        </w:rPr>
        <w:t xml:space="preserve"> </w:t>
      </w:r>
    </w:p>
    <w:p w14:paraId="46FFFD77" w14:textId="77777777" w:rsidR="006C5336" w:rsidRDefault="006C5336" w:rsidP="00985FD6">
      <w:pPr>
        <w:spacing w:after="0" w:line="360" w:lineRule="auto"/>
        <w:jc w:val="both"/>
        <w:rPr>
          <w:b w:val="0"/>
        </w:rPr>
      </w:pPr>
    </w:p>
    <w:p w14:paraId="39A82766" w14:textId="722139EA" w:rsidR="003D3468" w:rsidRDefault="006C5336" w:rsidP="00985FD6">
      <w:pPr>
        <w:spacing w:after="0" w:line="360" w:lineRule="auto"/>
        <w:jc w:val="both"/>
        <w:rPr>
          <w:b w:val="0"/>
        </w:rPr>
      </w:pPr>
      <w:r>
        <w:rPr>
          <w:b w:val="0"/>
        </w:rPr>
        <w:t xml:space="preserve">The optical basicity </w:t>
      </w:r>
      <w:r w:rsidR="00F26286">
        <w:rPr>
          <w:b w:val="0"/>
        </w:rPr>
        <w:t>(</w:t>
      </w:r>
      <w:r w:rsidR="00F26286">
        <w:rPr>
          <w:rFonts w:cs="Times New Roman"/>
          <w:b w:val="0"/>
        </w:rPr>
        <w:t>Λ</w:t>
      </w:r>
      <w:r w:rsidR="00F26286">
        <w:rPr>
          <w:b w:val="0"/>
        </w:rPr>
        <w:t>)</w:t>
      </w:r>
      <w:r w:rsidR="009425AF">
        <w:rPr>
          <w:b w:val="0"/>
        </w:rPr>
        <w:t xml:space="preserve"> </w:t>
      </w:r>
      <w:r w:rsidR="00F724F7">
        <w:rPr>
          <w:b w:val="0"/>
        </w:rPr>
        <w:t xml:space="preserve">is the ratio of the two red shifts in the optical spectra. Even </w:t>
      </w:r>
      <w:r w:rsidR="000B0AB8">
        <w:rPr>
          <w:b w:val="0"/>
        </w:rPr>
        <w:t>if</w:t>
      </w:r>
      <w:r w:rsidR="00F724F7">
        <w:rPr>
          <w:b w:val="0"/>
        </w:rPr>
        <w:t xml:space="preserve"> </w:t>
      </w:r>
      <w:r w:rsidR="00F724F7">
        <w:rPr>
          <w:rFonts w:cs="Times New Roman"/>
          <w:b w:val="0"/>
        </w:rPr>
        <w:t>Λ</w:t>
      </w:r>
      <w:r w:rsidR="00F724F7">
        <w:rPr>
          <w:b w:val="0"/>
        </w:rPr>
        <w:t xml:space="preserve"> </w:t>
      </w:r>
      <w:r w:rsidR="000B0AB8">
        <w:rPr>
          <w:b w:val="0"/>
        </w:rPr>
        <w:t xml:space="preserve">is </w:t>
      </w:r>
      <w:r w:rsidR="00F724F7">
        <w:rPr>
          <w:b w:val="0"/>
        </w:rPr>
        <w:t xml:space="preserve">not measured, </w:t>
      </w:r>
      <w:r w:rsidR="000B0AB8">
        <w:rPr>
          <w:b w:val="0"/>
        </w:rPr>
        <w:t xml:space="preserve">it can be calculated theoretically and </w:t>
      </w:r>
      <w:r w:rsidR="009C6E27">
        <w:rPr>
          <w:b w:val="0"/>
        </w:rPr>
        <w:t>correlation</w:t>
      </w:r>
      <w:r w:rsidR="000B0AB8">
        <w:rPr>
          <w:b w:val="0"/>
        </w:rPr>
        <w:t>s</w:t>
      </w:r>
      <w:r w:rsidR="009C6E27">
        <w:rPr>
          <w:b w:val="0"/>
        </w:rPr>
        <w:t xml:space="preserve"> between </w:t>
      </w:r>
      <w:r w:rsidR="000B0AB8">
        <w:rPr>
          <w:b w:val="0"/>
        </w:rPr>
        <w:t xml:space="preserve">chemical </w:t>
      </w:r>
      <w:r w:rsidR="009C6E27">
        <w:rPr>
          <w:b w:val="0"/>
        </w:rPr>
        <w:t>compositions</w:t>
      </w:r>
      <w:r w:rsidR="000B0AB8">
        <w:rPr>
          <w:b w:val="0"/>
        </w:rPr>
        <w:t xml:space="preserve">, </w:t>
      </w:r>
      <w:r w:rsidR="009C6E27">
        <w:rPr>
          <w:b w:val="0"/>
        </w:rPr>
        <w:t xml:space="preserve">properties and </w:t>
      </w:r>
      <w:r w:rsidR="009C6E27">
        <w:rPr>
          <w:rFonts w:cs="Times New Roman"/>
          <w:b w:val="0"/>
        </w:rPr>
        <w:t>Λ</w:t>
      </w:r>
      <w:r w:rsidR="009C6E27">
        <w:rPr>
          <w:b w:val="0"/>
        </w:rPr>
        <w:t xml:space="preserve"> </w:t>
      </w:r>
      <w:r w:rsidR="000B0AB8">
        <w:rPr>
          <w:b w:val="0"/>
        </w:rPr>
        <w:t>can be identified</w:t>
      </w:r>
      <w:r>
        <w:rPr>
          <w:b w:val="0"/>
        </w:rPr>
        <w:t xml:space="preserve">. </w:t>
      </w:r>
      <w:r w:rsidR="00F26286">
        <w:rPr>
          <w:rFonts w:cs="Times New Roman"/>
          <w:b w:val="0"/>
        </w:rPr>
        <w:t>Λ</w:t>
      </w:r>
      <w:r w:rsidR="006B5CB3">
        <w:rPr>
          <w:rFonts w:cs="Times New Roman"/>
          <w:b w:val="0"/>
        </w:rPr>
        <w:t xml:space="preserve"> can be evaluate</w:t>
      </w:r>
      <w:r w:rsidR="000B0AB8">
        <w:rPr>
          <w:rFonts w:cs="Times New Roman"/>
          <w:b w:val="0"/>
        </w:rPr>
        <w:t>d</w:t>
      </w:r>
      <w:r w:rsidR="006B5CB3">
        <w:rPr>
          <w:rFonts w:cs="Times New Roman"/>
          <w:b w:val="0"/>
        </w:rPr>
        <w:t xml:space="preserve"> from the binding </w:t>
      </w:r>
      <w:r w:rsidR="000B0AB8">
        <w:rPr>
          <w:rFonts w:cs="Times New Roman"/>
          <w:b w:val="0"/>
        </w:rPr>
        <w:t xml:space="preserve">energy </w:t>
      </w:r>
      <w:r w:rsidR="006B5CB3">
        <w:rPr>
          <w:rFonts w:cs="Times New Roman"/>
          <w:b w:val="0"/>
        </w:rPr>
        <w:t>of core electrons which can be measured from X-ray photoelectron</w:t>
      </w:r>
      <w:r w:rsidR="00F26286" w:rsidDel="00F26286">
        <w:rPr>
          <w:b w:val="0"/>
        </w:rPr>
        <w:t xml:space="preserve"> </w:t>
      </w:r>
      <w:r>
        <w:rPr>
          <w:b w:val="0"/>
        </w:rPr>
        <w:t xml:space="preserve">spectroscopy </w:t>
      </w:r>
      <w:r>
        <w:rPr>
          <w:b w:val="0"/>
        </w:rPr>
        <w:fldChar w:fldCharType="begin" w:fldLock="1"/>
      </w:r>
      <w:r w:rsidR="0001014E">
        <w:rPr>
          <w:b w:val="0"/>
        </w:rPr>
        <w:instrText>ADDIN CSL_CITATION { "citationItems" : [ { "id" : "ITEM-1", "itemData" : { "DOI" : "10.2109/jcersj2.119.720", "ISSN" : "1882-0743", "author" : [ { "dropping-particle" : "", "family" : "Nanba", "given" : "Tokuro", "non-dropping-particle" : "", "parse-names" : false, "suffix" : "" } ], "container-title" : "Journal of the Ceramic Society of Japan", "id" : "ITEM-1", "issue" : "1394", "issued" : { "date-parts" : [ [ "2011" ] ] }, "page" : "720-725", "title" : "Characterization of glasses based on basicity", "type" : "article-journal", "volume" : "119" }, "uris" : [ "http://www.mendeley.com/documents/?uuid=7e5022d3-451c-4b3f-9d62-8064fffea6ea" ] } ], "mendeley" : { "formattedCitation" : "(Nanba, 2011)", "manualFormatting" : "(Nanba, 2011)", "plainTextFormattedCitation" : "(Nanba, 2011)", "previouslyFormattedCitation" : "(Nanba, 2011)" }, "properties" : { "noteIndex" : 26 }, "schema" : "https://github.com/citation-style-language/schema/raw/master/csl-citation.json" }</w:instrText>
      </w:r>
      <w:r>
        <w:rPr>
          <w:b w:val="0"/>
        </w:rPr>
        <w:fldChar w:fldCharType="separate"/>
      </w:r>
      <w:r w:rsidRPr="006C5336">
        <w:rPr>
          <w:b w:val="0"/>
          <w:noProof/>
        </w:rPr>
        <w:t>(N</w:t>
      </w:r>
      <w:r>
        <w:rPr>
          <w:b w:val="0"/>
          <w:noProof/>
        </w:rPr>
        <w:t>anba</w:t>
      </w:r>
      <w:r w:rsidRPr="006C5336">
        <w:rPr>
          <w:b w:val="0"/>
          <w:noProof/>
        </w:rPr>
        <w:t>, 2011)</w:t>
      </w:r>
      <w:r>
        <w:rPr>
          <w:b w:val="0"/>
        </w:rPr>
        <w:fldChar w:fldCharType="end"/>
      </w:r>
      <w:r>
        <w:rPr>
          <w:b w:val="0"/>
        </w:rPr>
        <w:t xml:space="preserve">. </w:t>
      </w:r>
      <w:r w:rsidR="009425AF">
        <w:rPr>
          <w:rFonts w:cs="Times New Roman"/>
          <w:b w:val="0"/>
        </w:rPr>
        <w:t>Λ</w:t>
      </w:r>
      <w:r w:rsidR="009425AF">
        <w:rPr>
          <w:b w:val="0"/>
        </w:rPr>
        <w:t xml:space="preserve"> </w:t>
      </w:r>
      <w:r w:rsidR="000B0AB8">
        <w:rPr>
          <w:b w:val="0"/>
        </w:rPr>
        <w:t>also offers insight into glass</w:t>
      </w:r>
      <w:r w:rsidR="009425AF">
        <w:rPr>
          <w:b w:val="0"/>
        </w:rPr>
        <w:t xml:space="preserve"> redox behaviour</w:t>
      </w:r>
      <w:r w:rsidR="000B0AB8">
        <w:rPr>
          <w:b w:val="0"/>
        </w:rPr>
        <w:t xml:space="preserve"> with</w:t>
      </w:r>
      <w:r w:rsidR="009425AF">
        <w:rPr>
          <w:b w:val="0"/>
        </w:rPr>
        <w:t xml:space="preserve"> the values of </w:t>
      </w:r>
      <w:proofErr w:type="spellStart"/>
      <w:r w:rsidR="009425AF">
        <w:rPr>
          <w:rFonts w:cs="Times New Roman"/>
          <w:b w:val="0"/>
        </w:rPr>
        <w:t>Λ</w:t>
      </w:r>
      <w:r w:rsidR="009425AF" w:rsidRPr="00A13E9E">
        <w:rPr>
          <w:b w:val="0"/>
          <w:vertAlign w:val="subscript"/>
        </w:rPr>
        <w:t>th</w:t>
      </w:r>
      <w:proofErr w:type="spellEnd"/>
      <w:r w:rsidR="009425AF">
        <w:rPr>
          <w:b w:val="0"/>
          <w:vertAlign w:val="subscript"/>
        </w:rPr>
        <w:t xml:space="preserve"> </w:t>
      </w:r>
      <w:r w:rsidR="000B0AB8">
        <w:rPr>
          <w:b w:val="0"/>
        </w:rPr>
        <w:t>reflecting</w:t>
      </w:r>
      <w:r w:rsidR="009425AF">
        <w:rPr>
          <w:b w:val="0"/>
        </w:rPr>
        <w:t xml:space="preserve"> the chemical reactions between metals, silicate</w:t>
      </w:r>
      <w:r w:rsidR="000B0AB8">
        <w:rPr>
          <w:b w:val="0"/>
        </w:rPr>
        <w:t>s</w:t>
      </w:r>
      <w:r w:rsidR="009425AF">
        <w:rPr>
          <w:b w:val="0"/>
        </w:rPr>
        <w:t xml:space="preserve">, borates, etc </w:t>
      </w:r>
      <w:r w:rsidR="006B5CB3">
        <w:rPr>
          <w:b w:val="0"/>
        </w:rPr>
        <w:t>(Duffy, 1993)</w:t>
      </w:r>
      <w:r w:rsidR="009425AF">
        <w:rPr>
          <w:b w:val="0"/>
        </w:rPr>
        <w:t xml:space="preserve">. </w:t>
      </w:r>
      <w:r w:rsidR="006B5CB3">
        <w:rPr>
          <w:b w:val="0"/>
        </w:rPr>
        <w:t xml:space="preserve">Duffy </w:t>
      </w:r>
      <w:r w:rsidR="00FF4F4E">
        <w:rPr>
          <w:b w:val="0"/>
        </w:rPr>
        <w:t>investigated</w:t>
      </w:r>
      <w:r w:rsidR="006B5CB3">
        <w:rPr>
          <w:b w:val="0"/>
        </w:rPr>
        <w:t xml:space="preserve"> measur</w:t>
      </w:r>
      <w:r w:rsidR="00FF4F4E">
        <w:rPr>
          <w:b w:val="0"/>
        </w:rPr>
        <w:t>ing</w:t>
      </w:r>
      <w:r w:rsidR="006B5CB3">
        <w:rPr>
          <w:b w:val="0"/>
        </w:rPr>
        <w:t xml:space="preserve"> </w:t>
      </w:r>
      <w:r w:rsidR="006B5CB3">
        <w:rPr>
          <w:rFonts w:cs="Times New Roman"/>
          <w:b w:val="0"/>
        </w:rPr>
        <w:t>Λ</w:t>
      </w:r>
      <w:r w:rsidR="006B5CB3">
        <w:rPr>
          <w:b w:val="0"/>
        </w:rPr>
        <w:t xml:space="preserve"> using </w:t>
      </w:r>
      <w:r w:rsidR="00FF4F4E">
        <w:rPr>
          <w:b w:val="0"/>
        </w:rPr>
        <w:t xml:space="preserve">ultraviolet </w:t>
      </w:r>
      <w:r w:rsidR="000B0AB8">
        <w:rPr>
          <w:b w:val="0"/>
        </w:rPr>
        <w:t xml:space="preserve">spectra </w:t>
      </w:r>
      <w:r w:rsidR="006B5CB3">
        <w:rPr>
          <w:b w:val="0"/>
        </w:rPr>
        <w:t xml:space="preserve">by </w:t>
      </w:r>
      <w:r w:rsidR="000B0AB8">
        <w:rPr>
          <w:b w:val="0"/>
        </w:rPr>
        <w:t xml:space="preserve">using </w:t>
      </w:r>
      <w:proofErr w:type="spellStart"/>
      <w:r w:rsidR="006B5CB3">
        <w:rPr>
          <w:b w:val="0"/>
        </w:rPr>
        <w:t>Ti</w:t>
      </w:r>
      <w:proofErr w:type="spellEnd"/>
      <w:r w:rsidR="006B5CB3" w:rsidRPr="00A30814">
        <w:rPr>
          <w:b w:val="0"/>
          <w:vertAlign w:val="superscript"/>
        </w:rPr>
        <w:t>+</w:t>
      </w:r>
      <w:r w:rsidR="006B5CB3">
        <w:rPr>
          <w:b w:val="0"/>
        </w:rPr>
        <w:t xml:space="preserve"> and Pb</w:t>
      </w:r>
      <w:r w:rsidR="006B5CB3" w:rsidRPr="00A30814">
        <w:rPr>
          <w:b w:val="0"/>
          <w:vertAlign w:val="superscript"/>
        </w:rPr>
        <w:t>+</w:t>
      </w:r>
      <w:r w:rsidR="006B5CB3">
        <w:rPr>
          <w:b w:val="0"/>
        </w:rPr>
        <w:t xml:space="preserve"> </w:t>
      </w:r>
      <w:r w:rsidR="000B0AB8">
        <w:rPr>
          <w:b w:val="0"/>
        </w:rPr>
        <w:t xml:space="preserve">as </w:t>
      </w:r>
      <w:r w:rsidR="006B5CB3">
        <w:rPr>
          <w:b w:val="0"/>
        </w:rPr>
        <w:t>probe</w:t>
      </w:r>
      <w:r w:rsidR="000B0AB8">
        <w:rPr>
          <w:b w:val="0"/>
        </w:rPr>
        <w:t xml:space="preserve"> ions</w:t>
      </w:r>
      <w:r w:rsidR="006B5CB3">
        <w:rPr>
          <w:b w:val="0"/>
        </w:rPr>
        <w:t xml:space="preserve">. </w:t>
      </w:r>
      <w:r w:rsidR="006B5CB3">
        <w:rPr>
          <w:rFonts w:cs="Times New Roman"/>
          <w:b w:val="0"/>
        </w:rPr>
        <w:t>Λ</w:t>
      </w:r>
      <w:r w:rsidR="006B5CB3">
        <w:rPr>
          <w:b w:val="0"/>
        </w:rPr>
        <w:t xml:space="preserve">  for each oxide </w:t>
      </w:r>
      <w:r w:rsidR="000B370D">
        <w:rPr>
          <w:b w:val="0"/>
        </w:rPr>
        <w:t>can be calculate</w:t>
      </w:r>
      <w:r w:rsidR="00A3313F">
        <w:rPr>
          <w:b w:val="0"/>
        </w:rPr>
        <w:t>d</w:t>
      </w:r>
      <w:r w:rsidR="000B370D">
        <w:rPr>
          <w:b w:val="0"/>
        </w:rPr>
        <w:t xml:space="preserve"> using </w:t>
      </w:r>
      <w:r w:rsidR="001617A1">
        <w:rPr>
          <w:b w:val="0"/>
        </w:rPr>
        <w:t>Duffy, 1993</w:t>
      </w:r>
      <w:r w:rsidR="000B370D">
        <w:rPr>
          <w:b w:val="0"/>
        </w:rPr>
        <w:t xml:space="preserve">: </w:t>
      </w:r>
    </w:p>
    <w:p w14:paraId="70C84714" w14:textId="2F49FB8C" w:rsidR="006B5CB3" w:rsidRPr="006B5CB3" w:rsidRDefault="006B5CB3" w:rsidP="00985FD6">
      <w:pPr>
        <w:spacing w:after="0" w:line="360" w:lineRule="auto"/>
        <w:jc w:val="both"/>
        <w:rPr>
          <w:b w:val="0"/>
        </w:rPr>
      </w:pPr>
      <w:r>
        <w:rPr>
          <w:b w:val="0"/>
        </w:rPr>
        <w:tab/>
      </w:r>
      <w:r>
        <w:rPr>
          <w:b w:val="0"/>
        </w:rPr>
        <w:tab/>
      </w:r>
      <w:r>
        <w:rPr>
          <w:b w:val="0"/>
        </w:rPr>
        <w:tab/>
      </w:r>
      <w:r>
        <w:rPr>
          <w:rFonts w:cs="Times New Roman"/>
          <w:b w:val="0"/>
        </w:rPr>
        <w:t xml:space="preserve">Λ = </w:t>
      </w:r>
      <w:proofErr w:type="spellStart"/>
      <w:r>
        <w:rPr>
          <w:rFonts w:cs="Times New Roman"/>
          <w:b w:val="0"/>
        </w:rPr>
        <w:t>ʋf</w:t>
      </w:r>
      <w:proofErr w:type="spellEnd"/>
      <w:r>
        <w:rPr>
          <w:rFonts w:cs="Times New Roman"/>
          <w:b w:val="0"/>
        </w:rPr>
        <w:t xml:space="preserve"> - ʋ / </w:t>
      </w:r>
      <w:proofErr w:type="spellStart"/>
      <w:r>
        <w:rPr>
          <w:rFonts w:cs="Times New Roman"/>
          <w:b w:val="0"/>
        </w:rPr>
        <w:t>ʋ</w:t>
      </w:r>
      <w:r w:rsidRPr="00A30814">
        <w:rPr>
          <w:rFonts w:cs="Times New Roman"/>
          <w:b w:val="0"/>
          <w:vertAlign w:val="subscript"/>
        </w:rPr>
        <w:t>f</w:t>
      </w:r>
      <w:proofErr w:type="spellEnd"/>
      <w:r>
        <w:rPr>
          <w:rFonts w:cs="Times New Roman"/>
          <w:b w:val="0"/>
        </w:rPr>
        <w:t xml:space="preserve"> - ʋ</w:t>
      </w:r>
      <w:r w:rsidRPr="00A30814">
        <w:rPr>
          <w:rFonts w:cs="Times New Roman"/>
          <w:b w:val="0"/>
          <w:sz w:val="36"/>
          <w:szCs w:val="36"/>
          <w:vertAlign w:val="subscript"/>
        </w:rPr>
        <w:t>o</w:t>
      </w:r>
      <w:r w:rsidRPr="00A30814">
        <w:rPr>
          <w:rFonts w:cs="Times New Roman"/>
          <w:b w:val="0"/>
          <w:vertAlign w:val="superscript"/>
        </w:rPr>
        <w:t>2-</w:t>
      </w:r>
      <w:r>
        <w:rPr>
          <w:rFonts w:cs="Times New Roman"/>
          <w:b w:val="0"/>
          <w:vertAlign w:val="superscript"/>
        </w:rPr>
        <w:tab/>
      </w:r>
      <w:r>
        <w:rPr>
          <w:rFonts w:cs="Times New Roman"/>
          <w:b w:val="0"/>
        </w:rPr>
        <w:tab/>
      </w:r>
      <w:r>
        <w:rPr>
          <w:rFonts w:cs="Times New Roman"/>
          <w:b w:val="0"/>
        </w:rPr>
        <w:tab/>
      </w:r>
      <w:r>
        <w:rPr>
          <w:rFonts w:cs="Times New Roman"/>
          <w:b w:val="0"/>
        </w:rPr>
        <w:tab/>
      </w:r>
      <w:r>
        <w:rPr>
          <w:rFonts w:cs="Times New Roman"/>
          <w:b w:val="0"/>
        </w:rPr>
        <w:tab/>
        <w:t xml:space="preserve">          Equation 2.1</w:t>
      </w:r>
    </w:p>
    <w:p w14:paraId="6DBAC0D7" w14:textId="55D61F9F" w:rsidR="006B5CB3" w:rsidRPr="006B5CB3" w:rsidRDefault="00FF4F4E" w:rsidP="00A30814">
      <w:pPr>
        <w:spacing w:after="0" w:line="360" w:lineRule="auto"/>
        <w:jc w:val="both"/>
        <w:rPr>
          <w:rFonts w:cs="Times New Roman"/>
          <w:b w:val="0"/>
        </w:rPr>
      </w:pPr>
      <w:r>
        <w:rPr>
          <w:rFonts w:cs="Times New Roman"/>
          <w:b w:val="0"/>
          <w:noProof/>
          <w:lang w:eastAsia="en-MY"/>
        </w:rPr>
        <mc:AlternateContent>
          <mc:Choice Requires="wps">
            <w:drawing>
              <wp:anchor distT="0" distB="0" distL="114300" distR="114300" simplePos="0" relativeHeight="252208128" behindDoc="0" locked="0" layoutInCell="1" allowOverlap="1" wp14:anchorId="16E489A0" wp14:editId="588081E3">
                <wp:simplePos x="0" y="0"/>
                <wp:positionH relativeFrom="column">
                  <wp:posOffset>152400</wp:posOffset>
                </wp:positionH>
                <wp:positionV relativeFrom="paragraph">
                  <wp:posOffset>485140</wp:posOffset>
                </wp:positionV>
                <wp:extent cx="228600" cy="0"/>
                <wp:effectExtent l="0" t="76200" r="19050" b="95250"/>
                <wp:wrapNone/>
                <wp:docPr id="1" name="Straight Arrow Connector 1"/>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23E5380" id="_x0000_t32" coordsize="21600,21600" o:spt="32" o:oned="t" path="m,l21600,21600e" filled="f">
                <v:path arrowok="t" fillok="f" o:connecttype="none"/>
                <o:lock v:ext="edit" shapetype="t"/>
              </v:shapetype>
              <v:shape id="Straight Arrow Connector 1" o:spid="_x0000_s1026" type="#_x0000_t32" style="position:absolute;margin-left:12pt;margin-top:38.2pt;width:18pt;height:0;z-index:252208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" strokecolor="black [3040]">
                <v:stroke endarrow="block"/>
              </v:shape>
            </w:pict>
          </mc:Fallback>
        </mc:AlternateContent>
      </w:r>
      <w:r>
        <w:rPr>
          <w:rFonts w:cs="Times New Roman"/>
          <w:b w:val="0"/>
          <w:noProof/>
          <w:lang w:eastAsia="en-MY"/>
        </w:rPr>
        <mc:AlternateContent>
          <mc:Choice Requires="wps">
            <w:drawing>
              <wp:anchor distT="0" distB="0" distL="114300" distR="114300" simplePos="0" relativeHeight="252207104" behindDoc="0" locked="0" layoutInCell="1" allowOverlap="1" wp14:anchorId="5503B53C" wp14:editId="0A4C9B7D">
                <wp:simplePos x="0" y="0"/>
                <wp:positionH relativeFrom="column">
                  <wp:posOffset>3838575</wp:posOffset>
                </wp:positionH>
                <wp:positionV relativeFrom="paragraph">
                  <wp:posOffset>151765</wp:posOffset>
                </wp:positionV>
                <wp:extent cx="228600" cy="0"/>
                <wp:effectExtent l="0" t="76200" r="19050" b="95250"/>
                <wp:wrapNone/>
                <wp:docPr id="2" name="Straight Arrow Connector 2"/>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E788A7F" id="Straight Arrow Connector 2" o:spid="_x0000_s1026" type="#_x0000_t32" style="position:absolute;margin-left:302.25pt;margin-top:11.95pt;width:18pt;height:0;z-index:252207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" strokecolor="black [3040]">
                <v:stroke endarrow="block"/>
              </v:shape>
            </w:pict>
          </mc:Fallback>
        </mc:AlternateContent>
      </w:r>
      <w:r>
        <w:rPr>
          <w:rFonts w:cs="Times New Roman"/>
          <w:b w:val="0"/>
        </w:rPr>
        <w:t xml:space="preserve">where </w:t>
      </w:r>
      <w:proofErr w:type="spellStart"/>
      <w:r w:rsidR="006B5CB3">
        <w:rPr>
          <w:rFonts w:cs="Times New Roman"/>
          <w:b w:val="0"/>
        </w:rPr>
        <w:t>ʋ</w:t>
      </w:r>
      <w:r w:rsidR="006B5CB3" w:rsidRPr="00D04DA7">
        <w:rPr>
          <w:rFonts w:cs="Times New Roman"/>
          <w:b w:val="0"/>
          <w:vertAlign w:val="subscript"/>
        </w:rPr>
        <w:t>f</w:t>
      </w:r>
      <w:proofErr w:type="spellEnd"/>
      <w:r w:rsidR="006B5CB3">
        <w:rPr>
          <w:rFonts w:cs="Times New Roman"/>
          <w:b w:val="0"/>
        </w:rPr>
        <w:t xml:space="preserve"> is the frequency of </w:t>
      </w:r>
      <w:proofErr w:type="spellStart"/>
      <w:r w:rsidR="006B5CB3">
        <w:rPr>
          <w:rFonts w:cs="Times New Roman"/>
          <w:b w:val="0"/>
        </w:rPr>
        <w:t>Ti</w:t>
      </w:r>
      <w:proofErr w:type="spellEnd"/>
      <w:r w:rsidR="006B5CB3" w:rsidRPr="00A30814">
        <w:rPr>
          <w:rFonts w:cs="Times New Roman"/>
          <w:b w:val="0"/>
          <w:vertAlign w:val="superscript"/>
        </w:rPr>
        <w:t>+</w:t>
      </w:r>
      <w:r w:rsidR="006B5CB3">
        <w:rPr>
          <w:rFonts w:cs="Times New Roman"/>
          <w:b w:val="0"/>
        </w:rPr>
        <w:t xml:space="preserve"> or Pb</w:t>
      </w:r>
      <w:r w:rsidR="00991C7C" w:rsidRPr="00A30814">
        <w:rPr>
          <w:rFonts w:cs="Times New Roman"/>
          <w:b w:val="0"/>
          <w:vertAlign w:val="superscript"/>
        </w:rPr>
        <w:t>+</w:t>
      </w:r>
      <w:r w:rsidR="006B5CB3">
        <w:rPr>
          <w:rFonts w:cs="Times New Roman"/>
          <w:b w:val="0"/>
        </w:rPr>
        <w:t xml:space="preserve"> in the gas phase, ʋ is S</w:t>
      </w:r>
      <w:r w:rsidR="006B5CB3" w:rsidRPr="00A30814">
        <w:rPr>
          <w:rFonts w:cs="Times New Roman"/>
          <w:b w:val="0"/>
          <w:vertAlign w:val="subscript"/>
        </w:rPr>
        <w:t>o</w:t>
      </w:r>
      <w:r w:rsidR="006B5CB3">
        <w:rPr>
          <w:rFonts w:cs="Times New Roman"/>
          <w:b w:val="0"/>
        </w:rPr>
        <w:t xml:space="preserve">       P</w:t>
      </w:r>
      <w:r w:rsidR="006B5CB3" w:rsidRPr="00A30814">
        <w:rPr>
          <w:rFonts w:cs="Times New Roman"/>
          <w:b w:val="0"/>
          <w:vertAlign w:val="subscript"/>
        </w:rPr>
        <w:t xml:space="preserve">1 </w:t>
      </w:r>
      <w:r w:rsidR="006B5CB3">
        <w:rPr>
          <w:rFonts w:cs="Times New Roman"/>
          <w:b w:val="0"/>
        </w:rPr>
        <w:t>frequency and ʋ</w:t>
      </w:r>
      <w:r w:rsidR="006B5CB3" w:rsidRPr="00E6281D">
        <w:rPr>
          <w:rFonts w:cs="Times New Roman"/>
          <w:b w:val="0"/>
          <w:sz w:val="36"/>
          <w:szCs w:val="36"/>
          <w:vertAlign w:val="subscript"/>
        </w:rPr>
        <w:t>o</w:t>
      </w:r>
      <w:r w:rsidR="006B5CB3" w:rsidRPr="00E6281D">
        <w:rPr>
          <w:rFonts w:cs="Times New Roman"/>
          <w:b w:val="0"/>
          <w:vertAlign w:val="superscript"/>
        </w:rPr>
        <w:t>2-</w:t>
      </w:r>
      <w:r w:rsidR="006B5CB3">
        <w:rPr>
          <w:rFonts w:cs="Times New Roman"/>
          <w:b w:val="0"/>
          <w:vertAlign w:val="superscript"/>
        </w:rPr>
        <w:t xml:space="preserve"> </w:t>
      </w:r>
      <w:r w:rsidR="006B5CB3">
        <w:rPr>
          <w:rFonts w:cs="Times New Roman"/>
          <w:b w:val="0"/>
        </w:rPr>
        <w:t>is the</w:t>
      </w:r>
      <w:r w:rsidR="00991C7C">
        <w:rPr>
          <w:rFonts w:cs="Times New Roman"/>
          <w:b w:val="0"/>
        </w:rPr>
        <w:t xml:space="preserve"> S</w:t>
      </w:r>
      <w:r w:rsidR="00991C7C" w:rsidRPr="00A30814">
        <w:rPr>
          <w:rFonts w:cs="Times New Roman"/>
          <w:b w:val="0"/>
          <w:vertAlign w:val="subscript"/>
        </w:rPr>
        <w:t>o</w:t>
      </w:r>
      <w:r w:rsidR="006B6278">
        <w:rPr>
          <w:rFonts w:cs="Times New Roman"/>
          <w:b w:val="0"/>
          <w:vertAlign w:val="subscript"/>
        </w:rPr>
        <w:t xml:space="preserve"> </w:t>
      </w:r>
      <w:r w:rsidR="00991C7C">
        <w:rPr>
          <w:rFonts w:cs="Times New Roman"/>
          <w:b w:val="0"/>
        </w:rPr>
        <w:t xml:space="preserve">      P</w:t>
      </w:r>
      <w:r w:rsidR="00991C7C" w:rsidRPr="00A30814">
        <w:rPr>
          <w:rFonts w:cs="Times New Roman"/>
          <w:b w:val="0"/>
          <w:vertAlign w:val="subscript"/>
        </w:rPr>
        <w:t>1</w:t>
      </w:r>
      <w:r w:rsidR="00991C7C">
        <w:rPr>
          <w:rFonts w:cs="Times New Roman"/>
          <w:b w:val="0"/>
        </w:rPr>
        <w:t xml:space="preserve"> frequency for the probe ion in </w:t>
      </w:r>
      <w:proofErr w:type="spellStart"/>
      <w:r w:rsidR="00991C7C">
        <w:rPr>
          <w:rFonts w:cs="Times New Roman"/>
          <w:b w:val="0"/>
        </w:rPr>
        <w:t>CaO</w:t>
      </w:r>
      <w:proofErr w:type="spellEnd"/>
      <w:r w:rsidR="00991C7C">
        <w:rPr>
          <w:rFonts w:cs="Times New Roman"/>
          <w:b w:val="0"/>
        </w:rPr>
        <w:t>.</w:t>
      </w:r>
    </w:p>
    <w:p w14:paraId="6649DDED" w14:textId="27015823" w:rsidR="006B5CB3" w:rsidRDefault="006B5CB3" w:rsidP="00A30814">
      <w:pPr>
        <w:spacing w:after="0" w:line="360" w:lineRule="auto"/>
        <w:jc w:val="both"/>
        <w:rPr>
          <w:rFonts w:cs="Times New Roman"/>
          <w:b w:val="0"/>
        </w:rPr>
      </w:pPr>
    </w:p>
    <w:p w14:paraId="799EF880" w14:textId="64549E0A" w:rsidR="00A30814" w:rsidRPr="00A30814" w:rsidRDefault="00A30814" w:rsidP="00A30814">
      <w:pPr>
        <w:spacing w:after="0" w:line="360" w:lineRule="auto"/>
        <w:jc w:val="both"/>
        <w:rPr>
          <w:rFonts w:cs="Times New Roman"/>
          <w:b w:val="0"/>
        </w:rPr>
      </w:pPr>
      <w:r>
        <w:rPr>
          <w:rFonts w:cs="Times New Roman"/>
          <w:b w:val="0"/>
        </w:rPr>
        <w:t>Meanwhile</w:t>
      </w:r>
      <w:r w:rsidR="00284CC3">
        <w:rPr>
          <w:rFonts w:cs="Times New Roman"/>
          <w:b w:val="0"/>
        </w:rPr>
        <w:t>,</w:t>
      </w:r>
      <w:r>
        <w:rPr>
          <w:rFonts w:cs="Times New Roman"/>
          <w:b w:val="0"/>
        </w:rPr>
        <w:t xml:space="preserve"> </w:t>
      </w:r>
      <w:proofErr w:type="spellStart"/>
      <w:r>
        <w:rPr>
          <w:rFonts w:cs="Times New Roman"/>
          <w:b w:val="0"/>
        </w:rPr>
        <w:t>Λ</w:t>
      </w:r>
      <w:r w:rsidRPr="00A13E9E">
        <w:rPr>
          <w:b w:val="0"/>
          <w:vertAlign w:val="subscript"/>
        </w:rPr>
        <w:t>th</w:t>
      </w:r>
      <w:proofErr w:type="spellEnd"/>
      <w:r>
        <w:rPr>
          <w:b w:val="0"/>
          <w:vertAlign w:val="subscript"/>
        </w:rPr>
        <w:t xml:space="preserve"> </w:t>
      </w:r>
      <w:r>
        <w:rPr>
          <w:b w:val="0"/>
        </w:rPr>
        <w:t>is the t</w:t>
      </w:r>
      <w:r w:rsidR="00FF4F4E">
        <w:rPr>
          <w:b w:val="0"/>
        </w:rPr>
        <w:t>h</w:t>
      </w:r>
      <w:r>
        <w:rPr>
          <w:b w:val="0"/>
        </w:rPr>
        <w:t>eor</w:t>
      </w:r>
      <w:r w:rsidR="00FF4F4E">
        <w:rPr>
          <w:b w:val="0"/>
        </w:rPr>
        <w:t>e</w:t>
      </w:r>
      <w:r>
        <w:rPr>
          <w:b w:val="0"/>
        </w:rPr>
        <w:t xml:space="preserve">tical </w:t>
      </w:r>
      <w:r w:rsidR="00FF4F4E">
        <w:rPr>
          <w:b w:val="0"/>
        </w:rPr>
        <w:t xml:space="preserve">value of </w:t>
      </w:r>
      <w:r>
        <w:rPr>
          <w:rFonts w:cs="Times New Roman"/>
          <w:b w:val="0"/>
        </w:rPr>
        <w:t>Λ</w:t>
      </w:r>
      <w:r>
        <w:rPr>
          <w:b w:val="0"/>
          <w:vertAlign w:val="subscript"/>
        </w:rPr>
        <w:t xml:space="preserve"> </w:t>
      </w:r>
      <w:r>
        <w:rPr>
          <w:rFonts w:cs="Times New Roman"/>
          <w:b w:val="0"/>
        </w:rPr>
        <w:t>that can be calculated from the stoichiometry.</w:t>
      </w:r>
    </w:p>
    <w:p w14:paraId="3534DA4E" w14:textId="49221C83" w:rsidR="001617A1" w:rsidRDefault="001617A1" w:rsidP="00A30814">
      <w:pPr>
        <w:spacing w:after="0" w:line="360" w:lineRule="auto"/>
        <w:ind w:left="1440" w:firstLine="720"/>
        <w:rPr>
          <w:rFonts w:cs="Times New Roman"/>
          <w:b w:val="0"/>
        </w:rPr>
      </w:pPr>
      <w:proofErr w:type="spellStart"/>
      <w:r>
        <w:rPr>
          <w:rFonts w:cs="Times New Roman"/>
          <w:b w:val="0"/>
        </w:rPr>
        <w:t>Λ</w:t>
      </w:r>
      <w:r w:rsidRPr="00A13E9E">
        <w:rPr>
          <w:b w:val="0"/>
          <w:vertAlign w:val="subscript"/>
        </w:rPr>
        <w:t>th</w:t>
      </w:r>
      <w:proofErr w:type="spellEnd"/>
      <w:r>
        <w:rPr>
          <w:b w:val="0"/>
        </w:rPr>
        <w:t xml:space="preserve"> = </w:t>
      </w:r>
      <w:proofErr w:type="spellStart"/>
      <w:r>
        <w:rPr>
          <w:b w:val="0"/>
        </w:rPr>
        <w:t>X</w:t>
      </w:r>
      <w:r w:rsidRPr="00A13E9E">
        <w:rPr>
          <w:b w:val="0"/>
          <w:vertAlign w:val="subscript"/>
        </w:rPr>
        <w:t>AO</w:t>
      </w:r>
      <w:r w:rsidRPr="00A13E9E">
        <w:rPr>
          <w:b w:val="0"/>
          <w:sz w:val="20"/>
          <w:szCs w:val="20"/>
          <w:vertAlign w:val="subscript"/>
        </w:rPr>
        <w:t>a</w:t>
      </w:r>
      <w:proofErr w:type="spellEnd"/>
      <w:r w:rsidRPr="00A13E9E">
        <w:rPr>
          <w:b w:val="0"/>
          <w:sz w:val="20"/>
          <w:szCs w:val="20"/>
          <w:vertAlign w:val="subscript"/>
        </w:rPr>
        <w:t>/</w:t>
      </w:r>
      <w:r w:rsidRPr="00A30814">
        <w:rPr>
          <w:b w:val="0"/>
          <w:sz w:val="18"/>
          <w:szCs w:val="18"/>
          <w:vertAlign w:val="subscript"/>
        </w:rPr>
        <w:t>2</w:t>
      </w:r>
      <w:r>
        <w:rPr>
          <w:rFonts w:cs="Times New Roman"/>
          <w:b w:val="0"/>
        </w:rPr>
        <w:t>Λ(</w:t>
      </w:r>
      <w:proofErr w:type="spellStart"/>
      <w:r>
        <w:rPr>
          <w:rFonts w:cs="Times New Roman"/>
          <w:b w:val="0"/>
        </w:rPr>
        <w:t>AO</w:t>
      </w:r>
      <w:r w:rsidRPr="00A13E9E">
        <w:rPr>
          <w:rFonts w:cs="Times New Roman"/>
          <w:b w:val="0"/>
          <w:vertAlign w:val="subscript"/>
        </w:rPr>
        <w:t>a</w:t>
      </w:r>
      <w:proofErr w:type="spellEnd"/>
      <w:r w:rsidRPr="00A13E9E">
        <w:rPr>
          <w:rFonts w:cs="Times New Roman"/>
          <w:b w:val="0"/>
          <w:vertAlign w:val="subscript"/>
        </w:rPr>
        <w:t>/2</w:t>
      </w:r>
      <w:r>
        <w:rPr>
          <w:rFonts w:cs="Times New Roman"/>
          <w:b w:val="0"/>
        </w:rPr>
        <w:t xml:space="preserve">) + </w:t>
      </w:r>
      <w:proofErr w:type="spellStart"/>
      <w:r>
        <w:rPr>
          <w:b w:val="0"/>
        </w:rPr>
        <w:t>X</w:t>
      </w:r>
      <w:r>
        <w:rPr>
          <w:b w:val="0"/>
          <w:vertAlign w:val="subscript"/>
        </w:rPr>
        <w:t>B</w:t>
      </w:r>
      <w:r w:rsidRPr="00FA1BF4">
        <w:rPr>
          <w:b w:val="0"/>
          <w:vertAlign w:val="subscript"/>
        </w:rPr>
        <w:t>O</w:t>
      </w:r>
      <w:r w:rsidRPr="00FA1BF4">
        <w:rPr>
          <w:b w:val="0"/>
          <w:sz w:val="20"/>
          <w:szCs w:val="20"/>
          <w:vertAlign w:val="subscript"/>
        </w:rPr>
        <w:t>a</w:t>
      </w:r>
      <w:proofErr w:type="spellEnd"/>
      <w:r w:rsidRPr="00FA1BF4">
        <w:rPr>
          <w:b w:val="0"/>
          <w:sz w:val="20"/>
          <w:szCs w:val="20"/>
          <w:vertAlign w:val="subscript"/>
        </w:rPr>
        <w:t>/2</w:t>
      </w:r>
      <w:r>
        <w:rPr>
          <w:rFonts w:cs="Times New Roman"/>
          <w:b w:val="0"/>
        </w:rPr>
        <w:t>Λ(</w:t>
      </w:r>
      <w:proofErr w:type="spellStart"/>
      <w:r>
        <w:rPr>
          <w:rFonts w:cs="Times New Roman"/>
          <w:b w:val="0"/>
        </w:rPr>
        <w:t>BO</w:t>
      </w:r>
      <w:r w:rsidRPr="00FA1BF4">
        <w:rPr>
          <w:rFonts w:cs="Times New Roman"/>
          <w:b w:val="0"/>
          <w:vertAlign w:val="subscript"/>
        </w:rPr>
        <w:t>a</w:t>
      </w:r>
      <w:proofErr w:type="spellEnd"/>
      <w:r w:rsidRPr="00FA1BF4">
        <w:rPr>
          <w:rFonts w:cs="Times New Roman"/>
          <w:b w:val="0"/>
          <w:vertAlign w:val="subscript"/>
        </w:rPr>
        <w:t>/2</w:t>
      </w:r>
      <w:r>
        <w:rPr>
          <w:rFonts w:cs="Times New Roman"/>
          <w:b w:val="0"/>
        </w:rPr>
        <w:t>) + ……..</w:t>
      </w:r>
      <w:r w:rsidR="00A30814">
        <w:rPr>
          <w:rFonts w:cs="Times New Roman"/>
          <w:b w:val="0"/>
        </w:rPr>
        <w:t xml:space="preserve">                  Equation 2.2</w:t>
      </w:r>
    </w:p>
    <w:p w14:paraId="2ED0B2A1" w14:textId="04F40905" w:rsidR="00A13E9E" w:rsidRPr="00A13E9E" w:rsidRDefault="00A3313F" w:rsidP="001617A1">
      <w:pPr>
        <w:spacing w:after="0" w:line="360" w:lineRule="auto"/>
        <w:jc w:val="both"/>
        <w:rPr>
          <w:rFonts w:cs="Times New Roman"/>
          <w:b w:val="0"/>
        </w:rPr>
      </w:pPr>
      <w:r>
        <w:rPr>
          <w:rFonts w:cs="Times New Roman"/>
          <w:b w:val="0"/>
        </w:rPr>
        <w:t xml:space="preserve">Where </w:t>
      </w:r>
      <w:r w:rsidR="00A13E9E">
        <w:rPr>
          <w:rFonts w:cs="Times New Roman"/>
          <w:b w:val="0"/>
        </w:rPr>
        <w:t>Λ(</w:t>
      </w:r>
      <w:proofErr w:type="spellStart"/>
      <w:r w:rsidR="00A13E9E">
        <w:rPr>
          <w:rFonts w:cs="Times New Roman"/>
          <w:b w:val="0"/>
        </w:rPr>
        <w:t>AO</w:t>
      </w:r>
      <w:r w:rsidR="00A13E9E" w:rsidRPr="00FA1BF4">
        <w:rPr>
          <w:rFonts w:cs="Times New Roman"/>
          <w:b w:val="0"/>
          <w:vertAlign w:val="subscript"/>
        </w:rPr>
        <w:t>a</w:t>
      </w:r>
      <w:proofErr w:type="spellEnd"/>
      <w:r w:rsidR="00A13E9E" w:rsidRPr="00FA1BF4">
        <w:rPr>
          <w:rFonts w:cs="Times New Roman"/>
          <w:b w:val="0"/>
          <w:vertAlign w:val="subscript"/>
        </w:rPr>
        <w:t>/2</w:t>
      </w:r>
      <w:r w:rsidR="00A13E9E">
        <w:rPr>
          <w:rFonts w:cs="Times New Roman"/>
          <w:b w:val="0"/>
        </w:rPr>
        <w:t>)</w:t>
      </w:r>
      <w:r w:rsidR="001617A1" w:rsidRPr="001617A1">
        <w:rPr>
          <w:rFonts w:cs="Times New Roman"/>
          <w:b w:val="0"/>
        </w:rPr>
        <w:t xml:space="preserve">, </w:t>
      </w:r>
      <w:r w:rsidR="00A13E9E">
        <w:rPr>
          <w:rFonts w:cs="Times New Roman"/>
          <w:b w:val="0"/>
        </w:rPr>
        <w:t>Λ(</w:t>
      </w:r>
      <w:proofErr w:type="spellStart"/>
      <w:r w:rsidR="00A13E9E">
        <w:rPr>
          <w:rFonts w:cs="Times New Roman"/>
          <w:b w:val="0"/>
        </w:rPr>
        <w:t>BO</w:t>
      </w:r>
      <w:r w:rsidR="00A13E9E" w:rsidRPr="00FA1BF4">
        <w:rPr>
          <w:rFonts w:cs="Times New Roman"/>
          <w:b w:val="0"/>
          <w:vertAlign w:val="subscript"/>
        </w:rPr>
        <w:t>a</w:t>
      </w:r>
      <w:proofErr w:type="spellEnd"/>
      <w:r w:rsidR="00A13E9E" w:rsidRPr="00FA1BF4">
        <w:rPr>
          <w:rFonts w:cs="Times New Roman"/>
          <w:b w:val="0"/>
          <w:vertAlign w:val="subscript"/>
        </w:rPr>
        <w:t>/2</w:t>
      </w:r>
      <w:r w:rsidR="00A13E9E">
        <w:rPr>
          <w:rFonts w:cs="Times New Roman"/>
          <w:b w:val="0"/>
        </w:rPr>
        <w:t>)</w:t>
      </w:r>
      <w:r w:rsidR="001617A1" w:rsidRPr="001617A1">
        <w:rPr>
          <w:rFonts w:cs="Times New Roman"/>
          <w:b w:val="0"/>
        </w:rPr>
        <w:t xml:space="preserve"> . . . are the optical </w:t>
      </w:r>
      <w:proofErr w:type="spellStart"/>
      <w:r w:rsidR="001617A1" w:rsidRPr="001617A1">
        <w:rPr>
          <w:rFonts w:cs="Times New Roman"/>
          <w:b w:val="0"/>
        </w:rPr>
        <w:t>basic</w:t>
      </w:r>
      <w:r w:rsidR="00321904">
        <w:rPr>
          <w:rFonts w:cs="Times New Roman"/>
          <w:b w:val="0"/>
        </w:rPr>
        <w:t>i</w:t>
      </w:r>
      <w:r w:rsidR="001617A1" w:rsidRPr="001617A1">
        <w:rPr>
          <w:rFonts w:cs="Times New Roman"/>
          <w:b w:val="0"/>
        </w:rPr>
        <w:t>ties</w:t>
      </w:r>
      <w:proofErr w:type="spellEnd"/>
      <w:r w:rsidR="001617A1" w:rsidRPr="001617A1">
        <w:rPr>
          <w:rFonts w:cs="Times New Roman"/>
          <w:b w:val="0"/>
        </w:rPr>
        <w:t xml:space="preserve"> of the oxides </w:t>
      </w:r>
      <w:r w:rsidR="00A13E9E">
        <w:rPr>
          <w:rFonts w:cs="Times New Roman"/>
          <w:b w:val="0"/>
        </w:rPr>
        <w:t>(</w:t>
      </w:r>
      <w:proofErr w:type="spellStart"/>
      <w:r w:rsidR="00A13E9E">
        <w:rPr>
          <w:rFonts w:cs="Times New Roman"/>
          <w:b w:val="0"/>
        </w:rPr>
        <w:t>AO</w:t>
      </w:r>
      <w:r w:rsidR="00A13E9E" w:rsidRPr="00FA1BF4">
        <w:rPr>
          <w:rFonts w:cs="Times New Roman"/>
          <w:b w:val="0"/>
          <w:vertAlign w:val="subscript"/>
        </w:rPr>
        <w:t>a</w:t>
      </w:r>
      <w:proofErr w:type="spellEnd"/>
      <w:r w:rsidR="00A13E9E" w:rsidRPr="00FA1BF4">
        <w:rPr>
          <w:rFonts w:cs="Times New Roman"/>
          <w:b w:val="0"/>
          <w:vertAlign w:val="subscript"/>
        </w:rPr>
        <w:t>/2</w:t>
      </w:r>
      <w:r w:rsidR="00A13E9E">
        <w:rPr>
          <w:rFonts w:cs="Times New Roman"/>
          <w:b w:val="0"/>
        </w:rPr>
        <w:t>), (</w:t>
      </w:r>
      <w:proofErr w:type="spellStart"/>
      <w:r w:rsidR="00A13E9E">
        <w:rPr>
          <w:rFonts w:cs="Times New Roman"/>
          <w:b w:val="0"/>
        </w:rPr>
        <w:t>BO</w:t>
      </w:r>
      <w:r w:rsidR="00A13E9E" w:rsidRPr="00FA1BF4">
        <w:rPr>
          <w:rFonts w:cs="Times New Roman"/>
          <w:b w:val="0"/>
          <w:vertAlign w:val="subscript"/>
        </w:rPr>
        <w:t>a</w:t>
      </w:r>
      <w:proofErr w:type="spellEnd"/>
      <w:r w:rsidR="00A13E9E" w:rsidRPr="00FA1BF4">
        <w:rPr>
          <w:rFonts w:cs="Times New Roman"/>
          <w:b w:val="0"/>
          <w:vertAlign w:val="subscript"/>
        </w:rPr>
        <w:t>/2</w:t>
      </w:r>
      <w:r w:rsidR="00A13E9E">
        <w:rPr>
          <w:rFonts w:cs="Times New Roman"/>
          <w:b w:val="0"/>
        </w:rPr>
        <w:t>)</w:t>
      </w:r>
      <w:r w:rsidR="001617A1" w:rsidRPr="001617A1">
        <w:rPr>
          <w:rFonts w:cs="Times New Roman"/>
          <w:b w:val="0"/>
        </w:rPr>
        <w:t xml:space="preserve">. . . ; and </w:t>
      </w:r>
      <w:proofErr w:type="spellStart"/>
      <w:r w:rsidR="00A13E9E">
        <w:rPr>
          <w:b w:val="0"/>
        </w:rPr>
        <w:t>X</w:t>
      </w:r>
      <w:r w:rsidR="00A13E9E" w:rsidRPr="00FA1BF4">
        <w:rPr>
          <w:b w:val="0"/>
          <w:vertAlign w:val="subscript"/>
        </w:rPr>
        <w:t>AO</w:t>
      </w:r>
      <w:r w:rsidR="00A13E9E" w:rsidRPr="00FA1BF4">
        <w:rPr>
          <w:b w:val="0"/>
          <w:sz w:val="20"/>
          <w:szCs w:val="20"/>
          <w:vertAlign w:val="subscript"/>
        </w:rPr>
        <w:t>a</w:t>
      </w:r>
      <w:proofErr w:type="spellEnd"/>
      <w:r w:rsidR="00A13E9E" w:rsidRPr="00FA1BF4">
        <w:rPr>
          <w:b w:val="0"/>
          <w:sz w:val="20"/>
          <w:szCs w:val="20"/>
          <w:vertAlign w:val="subscript"/>
        </w:rPr>
        <w:t>/2</w:t>
      </w:r>
      <w:r w:rsidR="00A13E9E">
        <w:rPr>
          <w:b w:val="0"/>
          <w:sz w:val="20"/>
          <w:szCs w:val="20"/>
        </w:rPr>
        <w:t xml:space="preserve">, </w:t>
      </w:r>
      <w:proofErr w:type="spellStart"/>
      <w:r w:rsidR="00A13E9E">
        <w:rPr>
          <w:b w:val="0"/>
        </w:rPr>
        <w:t>X</w:t>
      </w:r>
      <w:r w:rsidR="00A13E9E">
        <w:rPr>
          <w:b w:val="0"/>
          <w:vertAlign w:val="subscript"/>
        </w:rPr>
        <w:t>B</w:t>
      </w:r>
      <w:r w:rsidR="00A13E9E" w:rsidRPr="00FA1BF4">
        <w:rPr>
          <w:b w:val="0"/>
          <w:vertAlign w:val="subscript"/>
        </w:rPr>
        <w:t>O</w:t>
      </w:r>
      <w:r w:rsidR="00A13E9E" w:rsidRPr="00FA1BF4">
        <w:rPr>
          <w:b w:val="0"/>
          <w:sz w:val="20"/>
          <w:szCs w:val="20"/>
          <w:vertAlign w:val="subscript"/>
        </w:rPr>
        <w:t>a</w:t>
      </w:r>
      <w:proofErr w:type="spellEnd"/>
      <w:r w:rsidR="00A13E9E" w:rsidRPr="00FA1BF4">
        <w:rPr>
          <w:b w:val="0"/>
          <w:sz w:val="20"/>
          <w:szCs w:val="20"/>
          <w:vertAlign w:val="subscript"/>
        </w:rPr>
        <w:t>/2</w:t>
      </w:r>
      <w:r w:rsidR="00A13E9E">
        <w:rPr>
          <w:rFonts w:cs="Times New Roman"/>
          <w:b w:val="0"/>
        </w:rPr>
        <w:t xml:space="preserve"> .. are the equivalent fractions which </w:t>
      </w:r>
      <w:r w:rsidR="00284CC3">
        <w:rPr>
          <w:rFonts w:cs="Times New Roman"/>
          <w:b w:val="0"/>
        </w:rPr>
        <w:t xml:space="preserve">are the </w:t>
      </w:r>
      <w:r w:rsidR="00A13E9E">
        <w:rPr>
          <w:rFonts w:cs="Times New Roman"/>
          <w:b w:val="0"/>
        </w:rPr>
        <w:t>propo</w:t>
      </w:r>
      <w:r w:rsidR="00FF4F4E">
        <w:rPr>
          <w:rFonts w:cs="Times New Roman"/>
          <w:b w:val="0"/>
        </w:rPr>
        <w:t>r</w:t>
      </w:r>
      <w:r w:rsidR="00A13E9E">
        <w:rPr>
          <w:rFonts w:cs="Times New Roman"/>
          <w:b w:val="0"/>
        </w:rPr>
        <w:t>tion of oxygens atoms contribute</w:t>
      </w:r>
      <w:r w:rsidR="00FF4F4E">
        <w:rPr>
          <w:rFonts w:cs="Times New Roman"/>
          <w:b w:val="0"/>
        </w:rPr>
        <w:t>d by each oxide</w:t>
      </w:r>
      <w:r w:rsidR="00A13E9E">
        <w:rPr>
          <w:rFonts w:cs="Times New Roman"/>
          <w:b w:val="0"/>
        </w:rPr>
        <w:t>.</w:t>
      </w:r>
      <w:r w:rsidR="00F26286">
        <w:rPr>
          <w:rFonts w:cs="Times New Roman"/>
          <w:b w:val="0"/>
        </w:rPr>
        <w:t xml:space="preserve"> </w:t>
      </w:r>
      <w:r w:rsidR="00A13E9E">
        <w:rPr>
          <w:rFonts w:cs="Times New Roman"/>
          <w:b w:val="0"/>
        </w:rPr>
        <w:t xml:space="preserve">Duffy (1993) </w:t>
      </w:r>
      <w:r w:rsidR="00FF4F4E">
        <w:rPr>
          <w:rFonts w:cs="Times New Roman"/>
          <w:b w:val="0"/>
        </w:rPr>
        <w:t>showed that for the</w:t>
      </w:r>
      <w:r w:rsidR="00A13E9E">
        <w:rPr>
          <w:rFonts w:cs="Times New Roman"/>
          <w:b w:val="0"/>
        </w:rPr>
        <w:t xml:space="preserve"> Na</w:t>
      </w:r>
      <w:r w:rsidR="00A13E9E" w:rsidRPr="00A13E9E">
        <w:rPr>
          <w:rFonts w:cs="Times New Roman"/>
          <w:b w:val="0"/>
          <w:vertAlign w:val="subscript"/>
        </w:rPr>
        <w:t>2</w:t>
      </w:r>
      <w:r w:rsidR="00A13E9E">
        <w:rPr>
          <w:rFonts w:cs="Times New Roman"/>
          <w:b w:val="0"/>
        </w:rPr>
        <w:t>O-B</w:t>
      </w:r>
      <w:r w:rsidR="00A13E9E" w:rsidRPr="00A13E9E">
        <w:rPr>
          <w:rFonts w:cs="Times New Roman"/>
          <w:b w:val="0"/>
          <w:vertAlign w:val="subscript"/>
        </w:rPr>
        <w:t>2</w:t>
      </w:r>
      <w:r w:rsidR="00A13E9E">
        <w:rPr>
          <w:rFonts w:cs="Times New Roman"/>
          <w:b w:val="0"/>
        </w:rPr>
        <w:t>O</w:t>
      </w:r>
      <w:r w:rsidR="00A13E9E" w:rsidRPr="00A13E9E">
        <w:rPr>
          <w:rFonts w:cs="Times New Roman"/>
          <w:b w:val="0"/>
          <w:vertAlign w:val="subscript"/>
        </w:rPr>
        <w:t>3</w:t>
      </w:r>
      <w:r w:rsidR="00A13E9E">
        <w:rPr>
          <w:rFonts w:cs="Times New Roman"/>
          <w:b w:val="0"/>
        </w:rPr>
        <w:t xml:space="preserve"> glass system increasing Na</w:t>
      </w:r>
      <w:r w:rsidR="00A13E9E" w:rsidRPr="00A13E9E">
        <w:rPr>
          <w:rFonts w:cs="Times New Roman"/>
          <w:b w:val="0"/>
          <w:vertAlign w:val="subscript"/>
        </w:rPr>
        <w:t>2</w:t>
      </w:r>
      <w:r w:rsidR="00A13E9E">
        <w:rPr>
          <w:rFonts w:cs="Times New Roman"/>
          <w:b w:val="0"/>
        </w:rPr>
        <w:t xml:space="preserve">O (from 0 to 40 mol%)  in </w:t>
      </w:r>
      <w:r w:rsidR="00FF4F4E">
        <w:rPr>
          <w:rFonts w:cs="Times New Roman"/>
          <w:b w:val="0"/>
        </w:rPr>
        <w:t xml:space="preserve">the </w:t>
      </w:r>
      <w:r w:rsidR="00A13E9E">
        <w:rPr>
          <w:rFonts w:cs="Times New Roman"/>
          <w:b w:val="0"/>
        </w:rPr>
        <w:t xml:space="preserve">glass composition, increased the optical basicity from 0.44 to 0.58. </w:t>
      </w:r>
    </w:p>
    <w:p w14:paraId="4F26B587" w14:textId="1743C238" w:rsidR="00B61A17" w:rsidRDefault="00B61A17" w:rsidP="00985FD6">
      <w:pPr>
        <w:spacing w:after="0" w:line="360" w:lineRule="auto"/>
        <w:jc w:val="both"/>
        <w:rPr>
          <w:b w:val="0"/>
        </w:rPr>
      </w:pPr>
    </w:p>
    <w:p w14:paraId="1D7EAC1F" w14:textId="77777777" w:rsidR="0032082E" w:rsidRPr="000E2377" w:rsidRDefault="0032082E" w:rsidP="00985FD6">
      <w:pPr>
        <w:spacing w:after="0" w:line="360" w:lineRule="auto"/>
        <w:jc w:val="both"/>
        <w:rPr>
          <w:rFonts w:eastAsiaTheme="majorEastAsia" w:cstheme="majorBidi"/>
          <w:vanish/>
          <w:color w:val="000000" w:themeColor="text1"/>
          <w:szCs w:val="24"/>
        </w:rPr>
      </w:pPr>
    </w:p>
    <w:p w14:paraId="738C68A6" w14:textId="77777777" w:rsidR="0064576E" w:rsidRPr="000E2377" w:rsidRDefault="0064576E" w:rsidP="0064576E">
      <w:pPr>
        <w:keepNext/>
        <w:keepLines/>
        <w:numPr>
          <w:ilvl w:val="3"/>
          <w:numId w:val="1"/>
        </w:numPr>
        <w:spacing w:before="40" w:after="0" w:line="360" w:lineRule="auto"/>
        <w:outlineLvl w:val="3"/>
        <w:rPr>
          <w:rFonts w:eastAsiaTheme="majorEastAsia" w:cstheme="majorBidi"/>
          <w:iCs/>
          <w:vanish/>
          <w:color w:val="000000" w:themeColor="text1"/>
        </w:rPr>
      </w:pPr>
      <w:bookmarkStart w:id="78" w:name="_Toc523153548"/>
      <w:bookmarkStart w:id="79" w:name="_Toc523402766"/>
      <w:bookmarkStart w:id="80" w:name="_Toc523402870"/>
      <w:bookmarkStart w:id="81" w:name="_Toc525222339"/>
      <w:bookmarkStart w:id="82" w:name="_Toc525526381"/>
      <w:bookmarkStart w:id="83" w:name="_Toc525703707"/>
      <w:bookmarkStart w:id="84" w:name="_Toc525707509"/>
      <w:bookmarkStart w:id="85" w:name="_Toc525707798"/>
      <w:bookmarkStart w:id="86" w:name="_Toc525742462"/>
      <w:bookmarkEnd w:id="78"/>
      <w:bookmarkEnd w:id="79"/>
      <w:bookmarkEnd w:id="80"/>
      <w:bookmarkEnd w:id="81"/>
      <w:bookmarkEnd w:id="82"/>
      <w:bookmarkEnd w:id="83"/>
      <w:bookmarkEnd w:id="84"/>
      <w:bookmarkEnd w:id="85"/>
      <w:bookmarkEnd w:id="86"/>
    </w:p>
    <w:p w14:paraId="6C97A702" w14:textId="4E5F0E54" w:rsidR="0064576E" w:rsidRPr="000E2377" w:rsidRDefault="0064576E" w:rsidP="0064576E">
      <w:pPr>
        <w:keepNext/>
        <w:keepLines/>
        <w:spacing w:before="40" w:after="0" w:line="360" w:lineRule="auto"/>
        <w:ind w:left="360" w:hanging="360"/>
        <w:outlineLvl w:val="2"/>
        <w:rPr>
          <w:rFonts w:eastAsia="Calibri" w:cstheme="majorBidi"/>
          <w:color w:val="000000" w:themeColor="text1"/>
          <w:szCs w:val="24"/>
          <w:lang w:eastAsia="tr-TR"/>
        </w:rPr>
      </w:pPr>
      <w:bookmarkStart w:id="87" w:name="_Toc515398707"/>
      <w:bookmarkStart w:id="88" w:name="_Toc523402871"/>
      <w:bookmarkStart w:id="89" w:name="_Toc525526382"/>
      <w:bookmarkStart w:id="90" w:name="_Toc525707799"/>
      <w:bookmarkStart w:id="91" w:name="_Toc525742463"/>
      <w:bookmarkStart w:id="92" w:name="_Toc12994940"/>
      <w:r w:rsidRPr="000E2377">
        <w:rPr>
          <w:rFonts w:eastAsia="Calibri" w:cstheme="majorBidi"/>
          <w:color w:val="000000" w:themeColor="text1"/>
          <w:szCs w:val="24"/>
          <w:lang w:eastAsia="tr-TR"/>
        </w:rPr>
        <w:t>2.4 Intermediates</w:t>
      </w:r>
      <w:bookmarkEnd w:id="87"/>
      <w:bookmarkEnd w:id="88"/>
      <w:bookmarkEnd w:id="89"/>
      <w:bookmarkEnd w:id="90"/>
      <w:bookmarkEnd w:id="91"/>
      <w:bookmarkEnd w:id="92"/>
    </w:p>
    <w:p w14:paraId="35D06F14" w14:textId="210AB838" w:rsidR="0064576E" w:rsidRPr="000E2377" w:rsidRDefault="002F0D5A" w:rsidP="0064576E">
      <w:pPr>
        <w:spacing w:after="0" w:line="360" w:lineRule="auto"/>
        <w:jc w:val="both"/>
        <w:rPr>
          <w:rFonts w:cs="Times New Roman"/>
          <w:b w:val="0"/>
          <w:szCs w:val="24"/>
        </w:rPr>
      </w:pPr>
      <w:r w:rsidRPr="000E2377">
        <w:rPr>
          <w:rFonts w:cs="Times New Roman"/>
          <w:b w:val="0"/>
          <w:szCs w:val="24"/>
        </w:rPr>
        <w:t>Intermediates such as a</w:t>
      </w:r>
      <w:r w:rsidR="0064576E" w:rsidRPr="000E2377">
        <w:rPr>
          <w:rFonts w:cs="Times New Roman"/>
          <w:b w:val="0"/>
          <w:szCs w:val="24"/>
        </w:rPr>
        <w:t xml:space="preserve">lumina cannot produce a glass </w:t>
      </w:r>
      <w:r w:rsidRPr="000E2377">
        <w:rPr>
          <w:rFonts w:cs="Times New Roman"/>
          <w:b w:val="0"/>
          <w:szCs w:val="24"/>
        </w:rPr>
        <w:t xml:space="preserve">under </w:t>
      </w:r>
      <w:r w:rsidRPr="00B03970">
        <w:rPr>
          <w:rFonts w:cs="Times New Roman"/>
          <w:b w:val="0"/>
          <w:szCs w:val="24"/>
        </w:rPr>
        <w:t>normal conditions</w:t>
      </w:r>
      <w:r w:rsidRPr="00E752FF">
        <w:rPr>
          <w:rFonts w:cs="Times New Roman"/>
          <w:b w:val="0"/>
          <w:szCs w:val="24"/>
        </w:rPr>
        <w:t xml:space="preserve"> </w:t>
      </w:r>
      <w:r w:rsidR="00922307">
        <w:rPr>
          <w:rFonts w:cs="Times New Roman"/>
          <w:b w:val="0"/>
          <w:szCs w:val="24"/>
        </w:rPr>
        <w:t>(</w:t>
      </w:r>
      <w:r w:rsidR="00B03970">
        <w:rPr>
          <w:rFonts w:cs="Times New Roman"/>
          <w:b w:val="0"/>
          <w:szCs w:val="24"/>
        </w:rPr>
        <w:t>cannot produce glass with only one element</w:t>
      </w:r>
      <w:r w:rsidR="00922307">
        <w:rPr>
          <w:rFonts w:cs="Times New Roman"/>
          <w:b w:val="0"/>
          <w:szCs w:val="24"/>
        </w:rPr>
        <w:t xml:space="preserve">) </w:t>
      </w:r>
      <w:r w:rsidR="0064576E" w:rsidRPr="000E2377">
        <w:rPr>
          <w:rFonts w:cs="Times New Roman"/>
          <w:b w:val="0"/>
          <w:szCs w:val="24"/>
        </w:rPr>
        <w:t>without</w:t>
      </w:r>
      <w:r w:rsidR="00902A70">
        <w:rPr>
          <w:rFonts w:cs="Times New Roman"/>
          <w:b w:val="0"/>
          <w:szCs w:val="24"/>
        </w:rPr>
        <w:t xml:space="preserve"> being</w:t>
      </w:r>
      <w:r w:rsidR="0064576E" w:rsidRPr="000E2377">
        <w:rPr>
          <w:rFonts w:cs="Times New Roman"/>
          <w:b w:val="0"/>
          <w:szCs w:val="24"/>
        </w:rPr>
        <w:t xml:space="preserve"> combin</w:t>
      </w:r>
      <w:r w:rsidR="00902A70">
        <w:rPr>
          <w:rFonts w:cs="Times New Roman"/>
          <w:b w:val="0"/>
          <w:szCs w:val="24"/>
        </w:rPr>
        <w:t>ed</w:t>
      </w:r>
      <w:r w:rsidR="0064576E" w:rsidRPr="000E2377">
        <w:rPr>
          <w:rFonts w:cs="Times New Roman"/>
          <w:b w:val="0"/>
          <w:szCs w:val="24"/>
        </w:rPr>
        <w:t xml:space="preserve"> with other network former oxides</w:t>
      </w:r>
      <w:r w:rsidR="00FF4F4E">
        <w:rPr>
          <w:rFonts w:cs="Times New Roman"/>
          <w:b w:val="0"/>
          <w:szCs w:val="24"/>
        </w:rPr>
        <w:t xml:space="preserve"> and charge compensators are present</w:t>
      </w:r>
      <w:r w:rsidR="0064576E" w:rsidRPr="000E2377">
        <w:rPr>
          <w:rFonts w:cs="Times New Roman"/>
          <w:b w:val="0"/>
          <w:szCs w:val="24"/>
        </w:rPr>
        <w:t xml:space="preserve">. Thus alumina is present in tetrahedral coordination as a </w:t>
      </w:r>
      <w:r w:rsidR="0064576E" w:rsidRPr="000E2377">
        <w:rPr>
          <w:rFonts w:cs="Times New Roman"/>
          <w:b w:val="0"/>
          <w:szCs w:val="24"/>
        </w:rPr>
        <w:lastRenderedPageBreak/>
        <w:t>network former when charge balancing cations, e.g. Na</w:t>
      </w:r>
      <w:r w:rsidR="0064576E" w:rsidRPr="000E2377">
        <w:rPr>
          <w:rFonts w:cs="Times New Roman"/>
          <w:b w:val="0"/>
          <w:szCs w:val="24"/>
          <w:vertAlign w:val="superscript"/>
        </w:rPr>
        <w:t>+</w:t>
      </w:r>
      <w:r w:rsidR="0064576E" w:rsidRPr="000E2377">
        <w:rPr>
          <w:rFonts w:cs="Times New Roman"/>
          <w:b w:val="0"/>
          <w:szCs w:val="24"/>
        </w:rPr>
        <w:t xml:space="preserve"> are present, </w:t>
      </w:r>
      <w:r w:rsidR="00090410" w:rsidRPr="000E2377">
        <w:rPr>
          <w:rFonts w:cs="Times New Roman"/>
          <w:b w:val="0"/>
          <w:szCs w:val="24"/>
        </w:rPr>
        <w:t>otherwise</w:t>
      </w:r>
      <w:r w:rsidR="00306D59">
        <w:rPr>
          <w:rFonts w:cs="Times New Roman"/>
          <w:b w:val="0"/>
          <w:szCs w:val="24"/>
        </w:rPr>
        <w:t>,</w:t>
      </w:r>
      <w:r w:rsidR="00090410" w:rsidRPr="000E2377">
        <w:rPr>
          <w:rFonts w:cs="Times New Roman"/>
          <w:b w:val="0"/>
          <w:szCs w:val="24"/>
        </w:rPr>
        <w:t xml:space="preserve"> it may be present in</w:t>
      </w:r>
      <w:r w:rsidR="0064576E" w:rsidRPr="000E2377">
        <w:rPr>
          <w:rFonts w:cs="Times New Roman"/>
          <w:b w:val="0"/>
          <w:szCs w:val="24"/>
        </w:rPr>
        <w:t xml:space="preserve"> 6-fold coordination as a modifier. The addition of Al into an alkali containing glasses</w:t>
      </w:r>
      <w:r w:rsidR="00A3313F">
        <w:rPr>
          <w:rFonts w:cs="Times New Roman"/>
          <w:b w:val="0"/>
          <w:szCs w:val="24"/>
        </w:rPr>
        <w:t>,</w:t>
      </w:r>
      <w:r w:rsidR="0064576E" w:rsidRPr="000E2377">
        <w:rPr>
          <w:rFonts w:cs="Times New Roman"/>
          <w:b w:val="0"/>
          <w:szCs w:val="24"/>
        </w:rPr>
        <w:t xml:space="preserve"> </w:t>
      </w:r>
      <w:r w:rsidR="00920494">
        <w:rPr>
          <w:rFonts w:cs="Times New Roman"/>
          <w:b w:val="0"/>
          <w:szCs w:val="24"/>
        </w:rPr>
        <w:t>therefore</w:t>
      </w:r>
      <w:r w:rsidR="00284CC3">
        <w:rPr>
          <w:rFonts w:cs="Times New Roman"/>
          <w:b w:val="0"/>
          <w:szCs w:val="24"/>
        </w:rPr>
        <w:t>,</w:t>
      </w:r>
      <w:r w:rsidR="00920494">
        <w:rPr>
          <w:rFonts w:cs="Times New Roman"/>
          <w:b w:val="0"/>
          <w:szCs w:val="24"/>
        </w:rPr>
        <w:t xml:space="preserve"> </w:t>
      </w:r>
      <w:r w:rsidR="0064576E" w:rsidRPr="000E2377">
        <w:rPr>
          <w:rFonts w:cs="Times New Roman"/>
          <w:b w:val="0"/>
          <w:szCs w:val="24"/>
        </w:rPr>
        <w:t xml:space="preserve">reduces the number of NBOs as </w:t>
      </w:r>
      <w:r w:rsidR="00FF4F4E">
        <w:rPr>
          <w:rFonts w:cs="Times New Roman"/>
          <w:b w:val="0"/>
          <w:szCs w:val="24"/>
        </w:rPr>
        <w:t xml:space="preserve">some of </w:t>
      </w:r>
      <w:r w:rsidR="0064576E" w:rsidRPr="000E2377">
        <w:rPr>
          <w:rFonts w:cs="Times New Roman"/>
          <w:b w:val="0"/>
          <w:szCs w:val="24"/>
        </w:rPr>
        <w:t>the network modifiers are used in charge balancing</w:t>
      </w:r>
      <w:r w:rsidR="00FF4F4E">
        <w:rPr>
          <w:rFonts w:cs="Times New Roman"/>
          <w:b w:val="0"/>
          <w:szCs w:val="24"/>
        </w:rPr>
        <w:t xml:space="preserve"> instead of forming NBOs</w:t>
      </w:r>
      <w:r w:rsidR="0064576E" w:rsidRPr="000E2377">
        <w:rPr>
          <w:rFonts w:cs="Times New Roman"/>
          <w:b w:val="0"/>
          <w:szCs w:val="24"/>
        </w:rPr>
        <w:t xml:space="preserve"> </w:t>
      </w:r>
      <w:r w:rsidR="0064576E" w:rsidRPr="000E2377">
        <w:rPr>
          <w:rFonts w:cs="Times New Roman"/>
          <w:b w:val="0"/>
          <w:szCs w:val="24"/>
        </w:rPr>
        <w:fldChar w:fldCharType="begin" w:fldLock="1"/>
      </w:r>
      <w:r w:rsidR="00F82BA8">
        <w:rPr>
          <w:rFonts w:cs="Times New Roman"/>
          <w:b w:val="0"/>
          <w:szCs w:val="24"/>
        </w:rPr>
        <w:instrText>ADDIN CSL_CITATION { "citationItems" : [ { "id" : "ITEM-1", "itemData" : { "DOI" : "10.1111/jace.12298", "author" : [ { "dropping-particle" : "", "family" : "Smedskjaer", "given" : "Morten M", "non-dropping-particle" : "", "parse-names" : false, "suffix" : "" }, { "dropping-particle" : "", "family" : "Mauro", "given" : "John C", "non-dropping-particle" : "", "parse-names" : false, "suffix" : "" }, { "dropping-particle" : "", "family" : "Kjeldsen", "given" : "Jonas", "non-dropping-particle" : "", "parse-names" : false, "suffix" : "" }, { "dropping-particle" : "", "family" : "Yue", "given" : "Yuanzheng", "non-dropping-particle" : "", "parse-names" : false, "suffix" : "" } ], "id" : "ITEM-1", "issued" : { "date-parts" : [ [ "2013" ] ] }, "page" : "1436-1443", "title" : "Microscopic Origins of Compositional Trends in Aluminosilicate Glass", "type" : "article-journal", "volume" : "1443" }, "uris" : [ "http://www.mendeley.com/documents/?uuid=6b6f00b5-804d-4f22-a4d6-e6433cd646e0" ] } ], "mendeley" : { "formattedCitation" : "(Smedskjaer, Mauro, et al., 2013)", "manualFormatting" : "(Smedskjaer et al., 2013)", "plainTextFormattedCitation" : "(Smedskjaer, Mauro, et al., 2013)", "previouslyFormattedCitation" : "(Smedskjaer, Mauro, et al., 2013)" }, "properties" : { "noteIndex" : 0 }, "schema" : "https://github.com/citation-style-language/schema/raw/master/csl-citation.json" }</w:instrText>
      </w:r>
      <w:r w:rsidR="0064576E" w:rsidRPr="000E2377">
        <w:rPr>
          <w:rFonts w:cs="Times New Roman"/>
          <w:b w:val="0"/>
          <w:szCs w:val="24"/>
        </w:rPr>
        <w:fldChar w:fldCharType="separate"/>
      </w:r>
      <w:r w:rsidR="0064576E" w:rsidRPr="000E2377">
        <w:rPr>
          <w:rFonts w:cs="Times New Roman"/>
          <w:b w:val="0"/>
          <w:noProof/>
          <w:szCs w:val="24"/>
        </w:rPr>
        <w:t>(Smedskjaer et al.</w:t>
      </w:r>
      <w:r w:rsidR="00B7305C">
        <w:rPr>
          <w:rFonts w:cs="Times New Roman"/>
          <w:b w:val="0"/>
          <w:noProof/>
          <w:szCs w:val="24"/>
        </w:rPr>
        <w:t>,</w:t>
      </w:r>
      <w:r w:rsidR="0064576E" w:rsidRPr="000E2377">
        <w:rPr>
          <w:rFonts w:cs="Times New Roman"/>
          <w:b w:val="0"/>
          <w:noProof/>
          <w:szCs w:val="24"/>
        </w:rPr>
        <w:t xml:space="preserve"> 2013)</w:t>
      </w:r>
      <w:r w:rsidR="0064576E" w:rsidRPr="000E2377">
        <w:rPr>
          <w:rFonts w:cs="Times New Roman"/>
          <w:b w:val="0"/>
          <w:szCs w:val="24"/>
        </w:rPr>
        <w:fldChar w:fldCharType="end"/>
      </w:r>
      <w:r w:rsidR="0064576E" w:rsidRPr="000E2377">
        <w:rPr>
          <w:rFonts w:cs="Times New Roman"/>
          <w:b w:val="0"/>
          <w:szCs w:val="24"/>
        </w:rPr>
        <w:t>.</w:t>
      </w:r>
    </w:p>
    <w:p w14:paraId="18421BD9" w14:textId="77777777" w:rsidR="0064576E" w:rsidRPr="000E2377" w:rsidRDefault="0064576E" w:rsidP="0064576E">
      <w:pPr>
        <w:spacing w:after="0" w:line="360" w:lineRule="auto"/>
        <w:jc w:val="both"/>
        <w:rPr>
          <w:rFonts w:cs="Times New Roman"/>
          <w:b w:val="0"/>
          <w:szCs w:val="24"/>
        </w:rPr>
      </w:pPr>
    </w:p>
    <w:p w14:paraId="63B149F9" w14:textId="71B2FF05" w:rsidR="0064576E" w:rsidRPr="000E2377" w:rsidRDefault="008E21BF" w:rsidP="008E21BF">
      <w:pPr>
        <w:tabs>
          <w:tab w:val="left" w:pos="1000"/>
        </w:tabs>
        <w:spacing w:after="0"/>
        <w:jc w:val="center"/>
        <w:rPr>
          <w:rFonts w:cs="Times New Roman"/>
          <w:szCs w:val="24"/>
        </w:rPr>
      </w:pPr>
      <w:r w:rsidRPr="000E2377">
        <w:rPr>
          <w:noProof/>
          <w:lang w:eastAsia="en-MY"/>
        </w:rPr>
        <w:drawing>
          <wp:inline distT="0" distB="0" distL="0" distR="0" wp14:anchorId="772114BA" wp14:editId="50CAE266">
            <wp:extent cx="3024505" cy="2839720"/>
            <wp:effectExtent l="0" t="0" r="4445" b="0"/>
            <wp:docPr id="2628" name="Picture 2628" descr="D:\extra document\triclust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xtra document\tricluster.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24505" cy="2839720"/>
                    </a:xfrm>
                    <a:prstGeom prst="rect">
                      <a:avLst/>
                    </a:prstGeom>
                    <a:noFill/>
                    <a:ln>
                      <a:noFill/>
                    </a:ln>
                  </pic:spPr>
                </pic:pic>
              </a:graphicData>
            </a:graphic>
          </wp:inline>
        </w:drawing>
      </w:r>
    </w:p>
    <w:p w14:paraId="236FB092" w14:textId="4F7EEDA8" w:rsidR="0064576E" w:rsidRPr="000E2377" w:rsidRDefault="004B3A51" w:rsidP="00B56F74">
      <w:pPr>
        <w:pStyle w:val="Caption"/>
        <w:rPr>
          <w:szCs w:val="24"/>
        </w:rPr>
      </w:pPr>
      <w:bookmarkStart w:id="93" w:name="_Toc521420440"/>
      <w:bookmarkStart w:id="94" w:name="_Toc525223179"/>
      <w:bookmarkStart w:id="95" w:name="_Toc525528327"/>
      <w:bookmarkStart w:id="96" w:name="_Toc525706342"/>
      <w:bookmarkStart w:id="97" w:name="_Hlk515393527"/>
      <w:r w:rsidRPr="000E2377">
        <w:t xml:space="preserve">Figure </w:t>
      </w:r>
      <w:r w:rsidR="00DE32A9">
        <w:t>2</w:t>
      </w:r>
      <w:r w:rsidR="002513FF" w:rsidRPr="000E2377">
        <w:t>.</w:t>
      </w:r>
      <w:r w:rsidR="002513FF" w:rsidRPr="000E2377">
        <w:fldChar w:fldCharType="begin"/>
      </w:r>
      <w:r w:rsidR="002513FF" w:rsidRPr="000E2377">
        <w:instrText xml:space="preserve"> SEQ Figure \* ARABIC \s 1 </w:instrText>
      </w:r>
      <w:r w:rsidR="002513FF" w:rsidRPr="000E2377">
        <w:fldChar w:fldCharType="separate"/>
      </w:r>
      <w:r w:rsidR="00C827AE">
        <w:rPr>
          <w:noProof/>
        </w:rPr>
        <w:t>5</w:t>
      </w:r>
      <w:r w:rsidR="002513FF" w:rsidRPr="000E2377">
        <w:fldChar w:fldCharType="end"/>
      </w:r>
      <w:r w:rsidR="0064576E" w:rsidRPr="000E2377">
        <w:rPr>
          <w:szCs w:val="24"/>
        </w:rPr>
        <w:t xml:space="preserve">: Schematic of aluminosilicate glass. Alumina structure with </w:t>
      </w:r>
      <w:r w:rsidR="00284CC3">
        <w:rPr>
          <w:szCs w:val="24"/>
        </w:rPr>
        <w:t xml:space="preserve">the </w:t>
      </w:r>
      <w:r w:rsidR="0064576E" w:rsidRPr="000E2377">
        <w:rPr>
          <w:szCs w:val="24"/>
        </w:rPr>
        <w:t xml:space="preserve">addition of sodium for </w:t>
      </w:r>
      <w:proofErr w:type="spellStart"/>
      <w:r w:rsidR="0064576E" w:rsidRPr="000E2377">
        <w:rPr>
          <w:szCs w:val="24"/>
        </w:rPr>
        <w:t>tricluster</w:t>
      </w:r>
      <w:proofErr w:type="spellEnd"/>
      <w:r w:rsidR="0064576E" w:rsidRPr="000E2377">
        <w:rPr>
          <w:szCs w:val="24"/>
        </w:rPr>
        <w:t xml:space="preserve"> formation (</w:t>
      </w:r>
      <w:r w:rsidR="0064576E" w:rsidRPr="000E2377">
        <w:rPr>
          <w:i/>
          <w:szCs w:val="24"/>
        </w:rPr>
        <w:t>I</w:t>
      </w:r>
      <w:r w:rsidR="0064576E" w:rsidRPr="000E2377">
        <w:rPr>
          <w:szCs w:val="24"/>
        </w:rPr>
        <w:t>) compensation of sodium cations for tetrahedron of aluminium-oxygen tetrahedra (</w:t>
      </w:r>
      <w:r w:rsidR="0064576E" w:rsidRPr="000E2377">
        <w:rPr>
          <w:i/>
          <w:szCs w:val="24"/>
        </w:rPr>
        <w:t>II</w:t>
      </w:r>
      <w:r w:rsidR="0064576E" w:rsidRPr="000E2377">
        <w:rPr>
          <w:szCs w:val="24"/>
        </w:rPr>
        <w:t xml:space="preserve">) intermediate state with three-fold coordination of aluminium cation (III) the </w:t>
      </w:r>
      <w:proofErr w:type="spellStart"/>
      <w:r w:rsidR="0064576E" w:rsidRPr="000E2377">
        <w:rPr>
          <w:szCs w:val="24"/>
        </w:rPr>
        <w:t>tricluster</w:t>
      </w:r>
      <w:proofErr w:type="spellEnd"/>
      <w:r w:rsidR="0064576E" w:rsidRPr="000E2377">
        <w:rPr>
          <w:szCs w:val="24"/>
        </w:rPr>
        <w:t xml:space="preserve"> </w:t>
      </w:r>
      <w:r w:rsidR="0064576E" w:rsidRPr="00382BA5">
        <w:rPr>
          <w:szCs w:val="24"/>
        </w:rPr>
        <w:fldChar w:fldCharType="begin" w:fldLock="1"/>
      </w:r>
      <w:r w:rsidR="008400FF">
        <w:rPr>
          <w:szCs w:val="24"/>
        </w:rPr>
        <w:instrText>ADDIN CSL_CITATION { "citationItems" : [ { "id" : "ITEM-1", "itemData" : { "DOI" : "10.1016/S0022-3093(01)00656-1", "ISSN" : "00223093", "abstract" : "29Si and 23Na magic angle spinning (MAS) NMR has been used as an atomic probe for structural characterisation of soda-lime-silicate glasses. The glasses studied are based on the composition (CaO)x(Na2Si3O7), where x is varied from x = 0 to x = 1, (increasing CaO from 0 to 20 mol%) finally matching the Na2O fraction. The glass network becomes increasingly depolymerised by increasing CaO, and shows a changing distribution of Qn species. Two Q species have been observed co-existing for compositions, where x = 0, 0.2 and 1, while for compositions, where x = 0.4 and x = 0.8, Q2, Q3 and Q4 are present. Progressive changes in chemical shifts of Q2 and Q3 species, and changes in FWHM of all detected Qn species accompany the addition of CaO. The addition of CaO introduces a greater distortion into the structure, and there is evidence to suggest preferential arrangement of Ca in the vicinity of Q2 species rather than Q3. ?? 2001 Published by Elsevier Science B.V.", "author" : [ { "dropping-particle" : "", "family" : "Jones", "given" : "A. R.", "non-dropping-particle" : "", "parse-names" : false, "suffix" : "" }, { "dropping-particle" : "", "family" : "Winter", "given" : "R.", "non-dropping-particle" : "", "parse-names" : false, "suffix" : "" }, { "dropping-particle" : "", "family" : "Greaves", "given" : "G. N.", "non-dropping-particle" : "", "parse-names" : false, "suffix" : "" }, { "dropping-particle" : "", "family" : "Smith", "given" : "I. H.", "non-dropping-particle" : "", "parse-names" : false, "suffix" : "" } ], "container-title" : "Journal of Non-Crystalline Solids", "id" : "ITEM-1", "issue" : "1", "issued" : { "date-parts" : [ [ "2001" ] ] }, "page" : "87-92", "title" : "MAS NMR study of soda-lime-silicate glasses with variable degree of polymerisation", "type" : "article-journal", "volume" : "293-295" }, "uris" : [ "http://www.mendeley.com/documents/?uuid=06dcd50a-fffa-4343-803e-8819b0b32671" ] } ], "mendeley" : { "formattedCitation" : "(Jones et al., 2001)", "manualFormatting" : "(Jones et al., 2001)", "plainTextFormattedCitation" : "(Jones et al., 2001)", "previouslyFormattedCitation" : "(Jones et al., 2001)" }, "properties" : { "noteIndex" : 9 }, "schema" : "https://github.com/citation-style-language/schema/raw/master/csl-citation.json" }</w:instrText>
      </w:r>
      <w:r w:rsidR="0064576E" w:rsidRPr="00382BA5">
        <w:rPr>
          <w:szCs w:val="24"/>
        </w:rPr>
        <w:fldChar w:fldCharType="separate"/>
      </w:r>
      <w:r w:rsidR="00D31B44" w:rsidRPr="00382BA5">
        <w:rPr>
          <w:noProof/>
          <w:szCs w:val="24"/>
        </w:rPr>
        <w:t>(Jones</w:t>
      </w:r>
      <w:r w:rsidR="00382BA5" w:rsidRPr="00382BA5">
        <w:rPr>
          <w:noProof/>
          <w:szCs w:val="24"/>
        </w:rPr>
        <w:t xml:space="preserve"> et al.</w:t>
      </w:r>
      <w:r w:rsidR="00D31B44" w:rsidRPr="00382BA5">
        <w:rPr>
          <w:noProof/>
          <w:szCs w:val="24"/>
        </w:rPr>
        <w:t>, 2001)</w:t>
      </w:r>
      <w:r w:rsidR="0064576E" w:rsidRPr="00382BA5">
        <w:rPr>
          <w:szCs w:val="24"/>
        </w:rPr>
        <w:fldChar w:fldCharType="end"/>
      </w:r>
      <w:r w:rsidR="0064576E" w:rsidRPr="00382BA5">
        <w:rPr>
          <w:szCs w:val="24"/>
        </w:rPr>
        <w:fldChar w:fldCharType="begin" w:fldLock="1"/>
      </w:r>
      <w:r w:rsidR="002A61DC" w:rsidRPr="00382BA5">
        <w:rPr>
          <w:szCs w:val="24"/>
        </w:rPr>
        <w:instrText>ADDIN CSL_CITATION { "citationItems" : [ { "id" : "ITEM-1", "itemData" : { "DOI" : "10.1023/B:GPAC.0000024000.19443.f6", "ISSN" : "10876596", "abstract" : "This paper presents the results of analyzing the data available in the literature on the structure and properties of silicate glasses and melts that contain Ti4+, Al3+, and Fe3+ cations in addition to alkali and alkaline-earth cations. It is established that the aforementioned multivalent cations in glasses and melts have a coordination number of four and play the role of network-formers. Aluminosilicate glasses and melts with the mole fraction ratio Al2O3/M2(Mprime)O = 1 are of special interest. For these glasses, the structure is considered to be completely polymerized and, contrary to traditional concepts, their properties depend on the concentration ratio Al2O3/SiO2. Taking into account that the structure of aluminosilicate glasses involves unusual structural units (such as triclusters) and a certain number of nonbridging oxygen atoms, a formula is proposed for calculating the degree of polymerization. The proposed formula is used to calculate the degree of polymerization for a number of Na2O \u00b7 Al2O3 \u00b7 MSiO2 glasses and the CaO \u00b7 Al2O3 \u00b7 2SiO2 glass. It is demonstrated that the calculated degrees of polymerization correlate with the experimentally measured viscosities of the relevant melts.", "author" : [ { "dropping-particle" : "", "family" : "Kuryaeva", "given" : "R. G.", "non-dropping-particle" : "", "parse-names" : false, "suffix" : "" } ], "container-title" : "Glass Physics and Chemistry", "id" : "ITEM-1", "issue" : "2", "issued" : { "date-parts" : [ [ "2004" ] ] }, "page" : "157-166", "title" : "Degree of polymerization of aluminosilicate glasses and melts", "type" : "article-journal", "volume" : "30" }, "uris" : [ "http://www.mendeley.com/documents/?uuid=cd92d4ac-4161-4061-a92f-8e71f551d3f3" ] } ], "mendeley" : { "formattedCitation" : "(Kuryaeva, 2004)", "plainTextFormattedCitation" : "(Kuryaeva, 2004)", "previouslyFormattedCitation" : "(Kuryaeva, 2004)" }, "properties" : { "noteIndex" : 9 }, "schema" : "https://github.com/citation-style-language/schema/raw/master/csl-citation.json" }</w:instrText>
      </w:r>
      <w:r w:rsidR="0064576E" w:rsidRPr="00382BA5">
        <w:rPr>
          <w:szCs w:val="24"/>
        </w:rPr>
        <w:fldChar w:fldCharType="separate"/>
      </w:r>
      <w:r w:rsidR="00793120" w:rsidRPr="00382BA5">
        <w:rPr>
          <w:noProof/>
          <w:szCs w:val="24"/>
        </w:rPr>
        <w:t>(Kuryaeva, 2004)</w:t>
      </w:r>
      <w:r w:rsidR="0064576E" w:rsidRPr="00382BA5">
        <w:rPr>
          <w:szCs w:val="24"/>
        </w:rPr>
        <w:fldChar w:fldCharType="end"/>
      </w:r>
      <w:r w:rsidR="0064576E" w:rsidRPr="000E2377">
        <w:rPr>
          <w:szCs w:val="24"/>
        </w:rPr>
        <w:t>.</w:t>
      </w:r>
      <w:bookmarkEnd w:id="93"/>
      <w:bookmarkEnd w:id="94"/>
      <w:bookmarkEnd w:id="95"/>
      <w:bookmarkEnd w:id="96"/>
      <w:r w:rsidR="0064576E" w:rsidRPr="000E2377">
        <w:rPr>
          <w:szCs w:val="24"/>
        </w:rPr>
        <w:t xml:space="preserve"> </w:t>
      </w:r>
    </w:p>
    <w:p w14:paraId="4B824777" w14:textId="77777777" w:rsidR="00856B1A" w:rsidRPr="000E2377" w:rsidRDefault="00856B1A" w:rsidP="0064576E">
      <w:pPr>
        <w:spacing w:after="0" w:line="360" w:lineRule="auto"/>
        <w:jc w:val="center"/>
        <w:rPr>
          <w:rFonts w:cs="Times New Roman"/>
          <w:szCs w:val="24"/>
        </w:rPr>
      </w:pPr>
    </w:p>
    <w:bookmarkEnd w:id="97"/>
    <w:p w14:paraId="652A685C" w14:textId="39FD34DF" w:rsidR="005C2CF0" w:rsidRPr="000E2377" w:rsidRDefault="005C2CF0" w:rsidP="005C2CF0">
      <w:pPr>
        <w:spacing w:after="0" w:line="360" w:lineRule="auto"/>
        <w:jc w:val="both"/>
        <w:rPr>
          <w:rFonts w:cs="Times New Roman"/>
          <w:b w:val="0"/>
          <w:szCs w:val="24"/>
        </w:rPr>
      </w:pPr>
      <w:r w:rsidRPr="000E2377">
        <w:rPr>
          <w:rFonts w:cs="Times New Roman"/>
          <w:b w:val="0"/>
          <w:szCs w:val="24"/>
        </w:rPr>
        <w:t xml:space="preserve">Aluminosilicates are important in industrial glasses and strengthened cover glass for portable electronic devices </w:t>
      </w:r>
      <w:r w:rsidRPr="000E2377">
        <w:rPr>
          <w:rFonts w:cs="Times New Roman"/>
          <w:b w:val="0"/>
          <w:szCs w:val="24"/>
        </w:rPr>
        <w:fldChar w:fldCharType="begin" w:fldLock="1"/>
      </w:r>
      <w:r w:rsidR="002A61DC" w:rsidRPr="000E2377">
        <w:rPr>
          <w:rFonts w:cs="Times New Roman"/>
          <w:b w:val="0"/>
          <w:szCs w:val="24"/>
        </w:rPr>
        <w:instrText>ADDIN CSL_CITATION { "citationItems" : [ { "id" : "ITEM-1", "itemData" : { "ISBN" : "0387984801", "author" : [ { "dropping-particle" : "", "family" : "Varshneya", "given" : "Arun K.", "non-dropping-particle" : "", "parse-names" : false, "suffix" : "" } ], "id" : "ITEM-1", "issue" : "x", "issued" : { "date-parts" : [ [ "2013" ] ] }, "publisher" : "Society of Glass Technology", "title" : "Fundamental of Inorganic Glass", "type" : "article" }, "uris" : [ "http://www.mendeley.com/documents/?uuid=b9a0b53c-ad99-4632-b999-1888c6b6e46f" ] } ], "mendeley" : { "formattedCitation" : "(Varshneya, 2013)", "plainTextFormattedCitation" : "(Varshneya, 2013)", "previouslyFormattedCitation" : "(Varshneya, 2013)" }, "properties" : { "noteIndex" : 6 }, "schema" : "https://github.com/citation-style-language/schema/raw/master/csl-citation.json" }</w:instrText>
      </w:r>
      <w:r w:rsidRPr="000E2377">
        <w:rPr>
          <w:rFonts w:cs="Times New Roman"/>
          <w:b w:val="0"/>
          <w:szCs w:val="24"/>
        </w:rPr>
        <w:fldChar w:fldCharType="separate"/>
      </w:r>
      <w:r w:rsidR="00793120" w:rsidRPr="000E2377">
        <w:rPr>
          <w:rFonts w:cs="Times New Roman"/>
          <w:b w:val="0"/>
          <w:noProof/>
          <w:szCs w:val="24"/>
        </w:rPr>
        <w:t>(Varshneya, 2013)</w:t>
      </w:r>
      <w:r w:rsidRPr="000E2377">
        <w:rPr>
          <w:rFonts w:cs="Times New Roman"/>
          <w:b w:val="0"/>
          <w:szCs w:val="24"/>
        </w:rPr>
        <w:fldChar w:fldCharType="end"/>
      </w:r>
      <w:r w:rsidRPr="000E2377">
        <w:rPr>
          <w:rFonts w:cs="Times New Roman"/>
          <w:b w:val="0"/>
          <w:szCs w:val="24"/>
        </w:rPr>
        <w:t xml:space="preserve">. The structure of aluminosilicate glasses sometimes involves uncommon structural units such as triclusters. There are two possible </w:t>
      </w:r>
      <w:proofErr w:type="spellStart"/>
      <w:r w:rsidRPr="000E2377">
        <w:rPr>
          <w:rFonts w:cs="Times New Roman"/>
          <w:b w:val="0"/>
          <w:szCs w:val="24"/>
        </w:rPr>
        <w:t>tricluster</w:t>
      </w:r>
      <w:proofErr w:type="spellEnd"/>
      <w:r w:rsidRPr="000E2377">
        <w:rPr>
          <w:rFonts w:cs="Times New Roman"/>
          <w:b w:val="0"/>
          <w:szCs w:val="24"/>
        </w:rPr>
        <w:t xml:space="preserve"> structures that might occur: </w:t>
      </w:r>
      <w:proofErr w:type="spellStart"/>
      <w:r w:rsidRPr="000E2377">
        <w:rPr>
          <w:rFonts w:cs="Times New Roman"/>
          <w:b w:val="0"/>
          <w:szCs w:val="24"/>
        </w:rPr>
        <w:t>i</w:t>
      </w:r>
      <w:proofErr w:type="spellEnd"/>
      <w:r w:rsidRPr="000E2377">
        <w:rPr>
          <w:rFonts w:cs="Times New Roman"/>
          <w:b w:val="0"/>
          <w:szCs w:val="24"/>
        </w:rPr>
        <w:t>) one silicate and two aluminate tetrahedra, ii) two silicate and one aluminate tetrahedra. Figure 2.</w:t>
      </w:r>
      <w:r w:rsidR="006A08A0" w:rsidRPr="000E2377">
        <w:rPr>
          <w:rFonts w:cs="Times New Roman"/>
          <w:b w:val="0"/>
          <w:szCs w:val="24"/>
        </w:rPr>
        <w:t>5</w:t>
      </w:r>
      <w:r w:rsidRPr="000E2377">
        <w:rPr>
          <w:rFonts w:cs="Times New Roman"/>
          <w:b w:val="0"/>
          <w:szCs w:val="24"/>
        </w:rPr>
        <w:t xml:space="preserve"> shows a 2D schematic of how triclusters occur. </w:t>
      </w:r>
    </w:p>
    <w:p w14:paraId="0ED5A616" w14:textId="77777777" w:rsidR="0064576E" w:rsidRPr="000E2377" w:rsidRDefault="0064576E" w:rsidP="0064576E">
      <w:pPr>
        <w:spacing w:after="0" w:line="360" w:lineRule="auto"/>
        <w:jc w:val="both"/>
        <w:rPr>
          <w:rFonts w:cs="Times New Roman"/>
          <w:b w:val="0"/>
          <w:szCs w:val="24"/>
        </w:rPr>
      </w:pPr>
    </w:p>
    <w:p w14:paraId="6BBD2FCF" w14:textId="0F97F39E" w:rsidR="00B15B3C" w:rsidRDefault="0064576E" w:rsidP="00B15B3C">
      <w:pPr>
        <w:spacing w:after="0" w:line="360" w:lineRule="auto"/>
        <w:jc w:val="both"/>
        <w:rPr>
          <w:rFonts w:asciiTheme="majorBidi" w:hAnsiTheme="majorBidi" w:cstheme="majorBidi"/>
          <w:b w:val="0"/>
          <w:color w:val="000000" w:themeColor="text1"/>
          <w:szCs w:val="24"/>
        </w:rPr>
      </w:pPr>
      <w:r w:rsidRPr="000E2377">
        <w:rPr>
          <w:rFonts w:cs="Times New Roman"/>
          <w:b w:val="0"/>
          <w:szCs w:val="24"/>
        </w:rPr>
        <w:fldChar w:fldCharType="begin" w:fldLock="1"/>
      </w:r>
      <w:r w:rsidR="00893AF3">
        <w:rPr>
          <w:rFonts w:cs="Times New Roman"/>
          <w:b w:val="0"/>
          <w:szCs w:val="24"/>
        </w:rPr>
        <w:instrText>ADDIN CSL_CITATION { "citationItems" : [ { "id" : "ITEM-1", "itemData" : { "DOI" : "10.1016/j.jnoncrysol.2013.09.019", "ISSN" : "00223093", "author" : [ { "dropping-particle" : "", "family" : "Smedskjaer", "given" : "", "non-dropping-particle" : "", "parse-names" : false, "suffix" : "" }, { "dropping-particle" : "", "family" : "Youngman", "given" : "Randall E.", "non-dropping-particle" : "", "parse-names" : false, "suffix" : "" }, { "dropping-particle" : "", "family" : "Mauro", "given" : "John C.", "non-dropping-particle" : "", "parse-names" : false, "suffix" : "" } ], "container-title" : "Journal of Non-Crystalline Solids", "id" : "ITEM-1", "issued" : { "date-parts" : [ [ "2013", "12" ] ] }, "page" : "58-64", "publisher" : "Elsevier B.V.", "title" : "Impact of ZnO on the structure and properties of sodium aluminosilicate glasses: Comparison with alkaline earth oxides", "type" : "article-journal", "volume" : "381" }, "uris" : [ "http://www.mendeley.com/documents/?uuid=7885aca7-4463-4f5f-a50a-6f969c519d03" ] } ], "mendeley" : { "formattedCitation" : "(Smedskjaer, Youngman, et al., 2013)", "manualFormatting" : "Smedskjaer et al., (2013)", "plainTextFormattedCitation" : "(Smedskjaer, Youngman, et al., 2013)", "previouslyFormattedCitation" : "(Smedskjaer, Youngman, et al., 2013)" }, "properties" : { "noteIndex" : 0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Smedskjaer et al.</w:t>
      </w:r>
      <w:r w:rsidR="00B7305C">
        <w:rPr>
          <w:rFonts w:cs="Times New Roman"/>
          <w:b w:val="0"/>
          <w:noProof/>
          <w:szCs w:val="24"/>
        </w:rPr>
        <w:t>,</w:t>
      </w:r>
      <w:r w:rsidRPr="000E2377">
        <w:rPr>
          <w:rFonts w:cs="Times New Roman"/>
          <w:b w:val="0"/>
          <w:noProof/>
          <w:szCs w:val="24"/>
        </w:rPr>
        <w:t xml:space="preserve"> (2013)</w:t>
      </w:r>
      <w:r w:rsidRPr="000E2377">
        <w:rPr>
          <w:rFonts w:cs="Times New Roman"/>
          <w:b w:val="0"/>
          <w:szCs w:val="24"/>
        </w:rPr>
        <w:fldChar w:fldCharType="end"/>
      </w:r>
      <w:r w:rsidRPr="000E2377">
        <w:rPr>
          <w:rFonts w:cs="Times New Roman"/>
          <w:b w:val="0"/>
          <w:szCs w:val="24"/>
        </w:rPr>
        <w:t xml:space="preserve"> found that properties of aluminosilicates such as density, refractive index, hardness, Young’s and shear moduli increase as the alumina content increases. The fraction of Al</w:t>
      </w:r>
      <w:r w:rsidRPr="000E2377">
        <w:rPr>
          <w:rFonts w:cs="Times New Roman"/>
          <w:b w:val="0"/>
          <w:szCs w:val="24"/>
          <w:vertAlign w:val="superscript"/>
        </w:rPr>
        <w:t>V</w:t>
      </w:r>
      <w:r w:rsidRPr="000E2377">
        <w:rPr>
          <w:rFonts w:cs="Times New Roman"/>
          <w:b w:val="0"/>
          <w:szCs w:val="24"/>
        </w:rPr>
        <w:t xml:space="preserve"> present depends on the modifier cation field strength. This is due to the capability of the network modifier to provide charge balance for Al being reduced as the field strength increases hence  Mg</w:t>
      </w:r>
      <w:r w:rsidRPr="000E2377">
        <w:rPr>
          <w:rFonts w:cs="Times New Roman"/>
          <w:b w:val="0"/>
          <w:szCs w:val="24"/>
          <w:vertAlign w:val="superscript"/>
        </w:rPr>
        <w:t xml:space="preserve">2+ </w:t>
      </w:r>
      <w:r w:rsidRPr="000E2377">
        <w:rPr>
          <w:rFonts w:cs="Times New Roman"/>
          <w:b w:val="0"/>
          <w:szCs w:val="24"/>
        </w:rPr>
        <w:t>&gt; Zn</w:t>
      </w:r>
      <w:r w:rsidRPr="000E2377">
        <w:rPr>
          <w:rFonts w:cs="Times New Roman"/>
          <w:b w:val="0"/>
          <w:szCs w:val="24"/>
          <w:vertAlign w:val="superscript"/>
        </w:rPr>
        <w:t>2+</w:t>
      </w:r>
      <w:r w:rsidRPr="000E2377">
        <w:rPr>
          <w:rFonts w:cs="Times New Roman"/>
          <w:b w:val="0"/>
          <w:szCs w:val="24"/>
        </w:rPr>
        <w:t xml:space="preserve"> &gt; Ca</w:t>
      </w:r>
      <w:r w:rsidRPr="000E2377">
        <w:rPr>
          <w:rFonts w:cs="Times New Roman"/>
          <w:b w:val="0"/>
          <w:szCs w:val="24"/>
          <w:vertAlign w:val="superscript"/>
        </w:rPr>
        <w:t xml:space="preserve">2+ </w:t>
      </w:r>
      <w:r w:rsidRPr="000E2377">
        <w:rPr>
          <w:rFonts w:cs="Times New Roman"/>
          <w:b w:val="0"/>
          <w:szCs w:val="24"/>
        </w:rPr>
        <w:t>&gt; Sr</w:t>
      </w:r>
      <w:r w:rsidRPr="000E2377">
        <w:rPr>
          <w:rFonts w:cs="Times New Roman"/>
          <w:b w:val="0"/>
          <w:szCs w:val="24"/>
          <w:vertAlign w:val="superscript"/>
        </w:rPr>
        <w:t>2+</w:t>
      </w:r>
      <w:r w:rsidRPr="000E2377">
        <w:rPr>
          <w:rFonts w:cs="Times New Roman"/>
          <w:b w:val="0"/>
          <w:szCs w:val="24"/>
        </w:rPr>
        <w:t xml:space="preserve"> &gt; Ba</w:t>
      </w:r>
      <w:r w:rsidRPr="000E2377">
        <w:rPr>
          <w:rFonts w:cs="Times New Roman"/>
          <w:b w:val="0"/>
          <w:szCs w:val="24"/>
          <w:vertAlign w:val="superscript"/>
        </w:rPr>
        <w:t>2+</w:t>
      </w:r>
      <w:r w:rsidRPr="000E2377">
        <w:rPr>
          <w:rFonts w:cs="Times New Roman"/>
          <w:b w:val="0"/>
          <w:szCs w:val="24"/>
        </w:rPr>
        <w:t xml:space="preserve">. </w:t>
      </w:r>
      <w:r w:rsidR="00B15B3C">
        <w:rPr>
          <w:rFonts w:asciiTheme="majorBidi" w:hAnsiTheme="majorBidi" w:cstheme="majorBidi"/>
          <w:b w:val="0"/>
          <w:color w:val="000000" w:themeColor="text1"/>
          <w:szCs w:val="24"/>
        </w:rPr>
        <w:t xml:space="preserve">Usually, </w:t>
      </w:r>
      <w:r w:rsidR="00860155">
        <w:rPr>
          <w:rFonts w:asciiTheme="majorBidi" w:hAnsiTheme="majorBidi" w:cstheme="majorBidi"/>
          <w:b w:val="0"/>
          <w:color w:val="000000" w:themeColor="text1"/>
          <w:szCs w:val="24"/>
        </w:rPr>
        <w:t xml:space="preserve">in aluminosilicate glass increasing of Al coordination average number </w:t>
      </w:r>
      <w:r w:rsidR="00C825C5" w:rsidRPr="00C825C5">
        <w:rPr>
          <w:rFonts w:asciiTheme="majorBidi" w:hAnsiTheme="majorBidi" w:cstheme="majorBidi"/>
          <w:b w:val="0"/>
          <w:color w:val="000000" w:themeColor="text1"/>
          <w:szCs w:val="24"/>
        </w:rPr>
        <w:t xml:space="preserve">(the weighted average of the </w:t>
      </w:r>
      <w:proofErr w:type="spellStart"/>
      <w:r w:rsidR="00C825C5" w:rsidRPr="00C825C5">
        <w:rPr>
          <w:rFonts w:asciiTheme="majorBidi" w:hAnsiTheme="majorBidi" w:cstheme="majorBidi"/>
          <w:b w:val="0"/>
          <w:color w:val="000000" w:themeColor="text1"/>
          <w:szCs w:val="24"/>
        </w:rPr>
        <w:t>Al</w:t>
      </w:r>
      <w:r w:rsidR="00C825C5" w:rsidRPr="00C825C5">
        <w:rPr>
          <w:rFonts w:asciiTheme="majorBidi" w:hAnsiTheme="majorBidi" w:cstheme="majorBidi"/>
          <w:b w:val="0"/>
          <w:color w:val="000000" w:themeColor="text1"/>
          <w:szCs w:val="24"/>
          <w:vertAlign w:val="superscript"/>
        </w:rPr>
        <w:t>IV</w:t>
      </w:r>
      <w:proofErr w:type="spellEnd"/>
      <w:r w:rsidR="00C825C5" w:rsidRPr="00C825C5">
        <w:rPr>
          <w:rFonts w:asciiTheme="majorBidi" w:hAnsiTheme="majorBidi" w:cstheme="majorBidi"/>
          <w:b w:val="0"/>
          <w:color w:val="000000" w:themeColor="text1"/>
          <w:szCs w:val="24"/>
        </w:rPr>
        <w:t>,</w:t>
      </w:r>
      <w:r w:rsidR="006208BB">
        <w:rPr>
          <w:rFonts w:asciiTheme="majorBidi" w:hAnsiTheme="majorBidi" w:cstheme="majorBidi"/>
          <w:b w:val="0"/>
          <w:color w:val="000000" w:themeColor="text1"/>
          <w:szCs w:val="24"/>
        </w:rPr>
        <w:t xml:space="preserve"> </w:t>
      </w:r>
      <w:proofErr w:type="spellStart"/>
      <w:r w:rsidR="00C825C5" w:rsidRPr="00C825C5">
        <w:rPr>
          <w:rFonts w:asciiTheme="majorBidi" w:hAnsiTheme="majorBidi" w:cstheme="majorBidi"/>
          <w:b w:val="0"/>
          <w:color w:val="000000" w:themeColor="text1"/>
          <w:szCs w:val="24"/>
        </w:rPr>
        <w:t>Al</w:t>
      </w:r>
      <w:r w:rsidR="00C825C5" w:rsidRPr="00C825C5">
        <w:rPr>
          <w:rFonts w:asciiTheme="majorBidi" w:hAnsiTheme="majorBidi" w:cstheme="majorBidi"/>
          <w:b w:val="0"/>
          <w:color w:val="000000" w:themeColor="text1"/>
          <w:szCs w:val="24"/>
          <w:vertAlign w:val="superscript"/>
        </w:rPr>
        <w:t>V</w:t>
      </w:r>
      <w:proofErr w:type="spellEnd"/>
      <w:r w:rsidR="00C825C5" w:rsidRPr="00C825C5">
        <w:rPr>
          <w:rFonts w:asciiTheme="majorBidi" w:hAnsiTheme="majorBidi" w:cstheme="majorBidi"/>
          <w:b w:val="0"/>
          <w:color w:val="000000" w:themeColor="text1"/>
          <w:szCs w:val="24"/>
        </w:rPr>
        <w:t xml:space="preserve">, and </w:t>
      </w:r>
      <w:proofErr w:type="spellStart"/>
      <w:r w:rsidR="00C825C5" w:rsidRPr="00C825C5">
        <w:rPr>
          <w:rFonts w:asciiTheme="majorBidi" w:hAnsiTheme="majorBidi" w:cstheme="majorBidi"/>
          <w:b w:val="0"/>
          <w:color w:val="000000" w:themeColor="text1"/>
          <w:szCs w:val="24"/>
        </w:rPr>
        <w:t>Al</w:t>
      </w:r>
      <w:r w:rsidR="00C825C5" w:rsidRPr="00C825C5">
        <w:rPr>
          <w:rFonts w:asciiTheme="majorBidi" w:hAnsiTheme="majorBidi" w:cstheme="majorBidi"/>
          <w:b w:val="0"/>
          <w:color w:val="000000" w:themeColor="text1"/>
          <w:szCs w:val="24"/>
          <w:vertAlign w:val="superscript"/>
        </w:rPr>
        <w:t>VI</w:t>
      </w:r>
      <w:proofErr w:type="spellEnd"/>
      <w:r w:rsidR="00C825C5">
        <w:rPr>
          <w:rFonts w:asciiTheme="majorBidi" w:hAnsiTheme="majorBidi" w:cstheme="majorBidi"/>
          <w:b w:val="0"/>
          <w:color w:val="000000" w:themeColor="text1"/>
          <w:szCs w:val="24"/>
        </w:rPr>
        <w:t xml:space="preserve">) </w:t>
      </w:r>
      <w:r w:rsidR="00860155">
        <w:rPr>
          <w:rFonts w:asciiTheme="majorBidi" w:hAnsiTheme="majorBidi" w:cstheme="majorBidi"/>
          <w:b w:val="0"/>
          <w:color w:val="000000" w:themeColor="text1"/>
          <w:szCs w:val="24"/>
        </w:rPr>
        <w:t xml:space="preserve">are from increasing of </w:t>
      </w:r>
      <w:r w:rsidR="00284CC3">
        <w:rPr>
          <w:rFonts w:asciiTheme="majorBidi" w:hAnsiTheme="majorBidi" w:cstheme="majorBidi"/>
          <w:b w:val="0"/>
          <w:color w:val="000000" w:themeColor="text1"/>
          <w:szCs w:val="24"/>
        </w:rPr>
        <w:t xml:space="preserve">the </w:t>
      </w:r>
      <w:r w:rsidR="00B15B3C">
        <w:rPr>
          <w:rFonts w:asciiTheme="majorBidi" w:hAnsiTheme="majorBidi" w:cstheme="majorBidi"/>
          <w:b w:val="0"/>
          <w:color w:val="000000" w:themeColor="text1"/>
          <w:szCs w:val="24"/>
        </w:rPr>
        <w:t>higher field strength</w:t>
      </w:r>
      <w:r w:rsidR="00B435EC">
        <w:rPr>
          <w:rFonts w:asciiTheme="majorBidi" w:hAnsiTheme="majorBidi" w:cstheme="majorBidi"/>
          <w:b w:val="0"/>
          <w:color w:val="000000" w:themeColor="text1"/>
          <w:szCs w:val="24"/>
        </w:rPr>
        <w:t xml:space="preserve"> of network modifier use</w:t>
      </w:r>
      <w:r w:rsidR="00860155">
        <w:rPr>
          <w:rFonts w:asciiTheme="majorBidi" w:hAnsiTheme="majorBidi" w:cstheme="majorBidi"/>
          <w:b w:val="0"/>
          <w:color w:val="000000" w:themeColor="text1"/>
          <w:szCs w:val="24"/>
        </w:rPr>
        <w:t xml:space="preserve"> </w:t>
      </w:r>
      <w:r w:rsidR="00860155">
        <w:rPr>
          <w:rFonts w:asciiTheme="majorBidi" w:hAnsiTheme="majorBidi" w:cstheme="majorBidi"/>
          <w:b w:val="0"/>
          <w:color w:val="000000" w:themeColor="text1"/>
          <w:szCs w:val="24"/>
        </w:rPr>
        <w:fldChar w:fldCharType="begin" w:fldLock="1"/>
      </w:r>
      <w:r w:rsidR="00860155">
        <w:rPr>
          <w:rFonts w:asciiTheme="majorBidi" w:hAnsiTheme="majorBidi" w:cstheme="majorBidi"/>
          <w:b w:val="0"/>
          <w:color w:val="000000" w:themeColor="text1"/>
          <w:szCs w:val="24"/>
        </w:rPr>
        <w:instrText>ADDIN CSL_CITATION { "citationItems" : [ { "id" : "ITEM-1", "itemData" : { "DOI" : "10.1016/j.gca.2009.03.040", "ISSN" : "00167037", "author" : [ { "dropping-particle" : "", "family" : "Kelsey", "given" : "Kimberly E.", "non-dropping-particle" : "", "parse-names" : false, "suffix" : "" }, { "dropping-particle" : "", "family" : "Stebbins", "given" : "Jonathan F.", "non-dropping-particle" : "", "parse-names" : false, "suffix" : "" }, { "dropping-particle" : "", "family" : "Singer", "given" : "David M.", "non-dropping-particle" : "", "parse-names" : false, "suffix" : "" }, { "dropping-particle" : "", "family" : "Brown", "given" : "Gordon E.", "non-dropping-particle" : "", "parse-names" : false, "suffix" : "" }, { "dropping-particle" : "", "family" : "Mosenfelder", "given" : "Jed L.", "non-dropping-particle" : "", "parse-names" : false, "suffix" : "" }, { "dropping-particle" : "", "family" : "Asimow", "given" : "Paul D.", "non-dropping-particle" : "", "parse-names" : false, "suffix" : "" } ], "container-title" : "Geochimica et Cosmochimica Acta", "id" : "ITEM-1", "issue" : "13", "issued" : { "date-parts" : [ [ "2009", "7" ] ] }, "page" : "3914-3933", "publisher" : "Elsevier Ltd", "title" : "Cation field strength effects on high pressure aluminosilicate glass structure: Multinuclear NMR and La XAFS results", "type" : "article-journal", "volume" : "73" }, "uris" : [ "http://www.mendeley.com/documents/?uuid=3b767a41-1b08-4c63-90fc-f588f9837dfe" ] } ], "mendeley" : { "formattedCitation" : "(Kelsey et al., 2009)", "plainTextFormattedCitation" : "(Kelsey et al., 2009)", "previouslyFormattedCitation" : "(Kelsey et al., 2009)" }, "properties" : { "noteIndex" : 26 }, "schema" : "https://github.com/citation-style-language/schema/raw/master/csl-citation.json" }</w:instrText>
      </w:r>
      <w:r w:rsidR="00860155">
        <w:rPr>
          <w:rFonts w:asciiTheme="majorBidi" w:hAnsiTheme="majorBidi" w:cstheme="majorBidi"/>
          <w:b w:val="0"/>
          <w:color w:val="000000" w:themeColor="text1"/>
          <w:szCs w:val="24"/>
        </w:rPr>
        <w:fldChar w:fldCharType="separate"/>
      </w:r>
      <w:r w:rsidR="00860155" w:rsidRPr="00860155">
        <w:rPr>
          <w:rFonts w:asciiTheme="majorBidi" w:hAnsiTheme="majorBidi" w:cstheme="majorBidi"/>
          <w:b w:val="0"/>
          <w:noProof/>
          <w:color w:val="000000" w:themeColor="text1"/>
          <w:szCs w:val="24"/>
        </w:rPr>
        <w:t>(Kelsey et al., 2009)</w:t>
      </w:r>
      <w:r w:rsidR="00860155">
        <w:rPr>
          <w:rFonts w:asciiTheme="majorBidi" w:hAnsiTheme="majorBidi" w:cstheme="majorBidi"/>
          <w:b w:val="0"/>
          <w:color w:val="000000" w:themeColor="text1"/>
          <w:szCs w:val="24"/>
        </w:rPr>
        <w:fldChar w:fldCharType="end"/>
      </w:r>
      <w:r w:rsidR="00860155">
        <w:rPr>
          <w:rFonts w:asciiTheme="majorBidi" w:hAnsiTheme="majorBidi" w:cstheme="majorBidi"/>
          <w:b w:val="0"/>
          <w:color w:val="000000" w:themeColor="text1"/>
          <w:szCs w:val="24"/>
        </w:rPr>
        <w:t>.</w:t>
      </w:r>
      <w:r w:rsidR="00B15B3C">
        <w:rPr>
          <w:rFonts w:asciiTheme="majorBidi" w:hAnsiTheme="majorBidi" w:cstheme="majorBidi"/>
          <w:b w:val="0"/>
          <w:color w:val="000000" w:themeColor="text1"/>
          <w:szCs w:val="24"/>
        </w:rPr>
        <w:t xml:space="preserve"> </w:t>
      </w:r>
    </w:p>
    <w:p w14:paraId="1E384D05" w14:textId="41E21CDD" w:rsidR="0064576E" w:rsidRDefault="0064576E" w:rsidP="004E2D30">
      <w:pPr>
        <w:spacing w:line="360" w:lineRule="auto"/>
        <w:jc w:val="both"/>
        <w:rPr>
          <w:rFonts w:asciiTheme="majorBidi" w:hAnsiTheme="majorBidi" w:cstheme="majorBidi"/>
          <w:b w:val="0"/>
          <w:szCs w:val="24"/>
        </w:rPr>
      </w:pPr>
      <w:r w:rsidRPr="000E2377">
        <w:rPr>
          <w:rFonts w:asciiTheme="majorBidi" w:hAnsiTheme="majorBidi" w:cstheme="majorBidi"/>
          <w:b w:val="0"/>
          <w:szCs w:val="24"/>
        </w:rPr>
        <w:lastRenderedPageBreak/>
        <w:t>Previous researchers have proven that in the alkali aluminosilicate glass system (Na</w:t>
      </w:r>
      <w:r w:rsidRPr="000E2377">
        <w:rPr>
          <w:rFonts w:asciiTheme="majorBidi" w:hAnsiTheme="majorBidi" w:cstheme="majorBidi"/>
          <w:b w:val="0"/>
          <w:szCs w:val="24"/>
          <w:vertAlign w:val="subscript"/>
        </w:rPr>
        <w:t>2</w:t>
      </w:r>
      <w:r w:rsidRPr="000E2377">
        <w:rPr>
          <w:rFonts w:asciiTheme="majorBidi" w:hAnsiTheme="majorBidi" w:cstheme="majorBidi"/>
          <w:b w:val="0"/>
          <w:szCs w:val="24"/>
        </w:rPr>
        <w:t>O-Al</w:t>
      </w:r>
      <w:r w:rsidRPr="000E2377">
        <w:rPr>
          <w:rFonts w:asciiTheme="majorBidi" w:hAnsiTheme="majorBidi" w:cstheme="majorBidi"/>
          <w:b w:val="0"/>
          <w:szCs w:val="24"/>
          <w:vertAlign w:val="subscript"/>
        </w:rPr>
        <w:t>2</w:t>
      </w:r>
      <w:r w:rsidRPr="000E2377">
        <w:rPr>
          <w:rFonts w:asciiTheme="majorBidi" w:hAnsiTheme="majorBidi" w:cstheme="majorBidi"/>
          <w:b w:val="0"/>
          <w:szCs w:val="24"/>
        </w:rPr>
        <w:t>O</w:t>
      </w:r>
      <w:r w:rsidRPr="000E2377">
        <w:rPr>
          <w:rFonts w:asciiTheme="majorBidi" w:hAnsiTheme="majorBidi" w:cstheme="majorBidi"/>
          <w:b w:val="0"/>
          <w:szCs w:val="24"/>
          <w:vertAlign w:val="subscript"/>
        </w:rPr>
        <w:t>3</w:t>
      </w:r>
      <w:r w:rsidRPr="000E2377">
        <w:rPr>
          <w:rFonts w:asciiTheme="majorBidi" w:hAnsiTheme="majorBidi" w:cstheme="majorBidi"/>
          <w:b w:val="0"/>
          <w:szCs w:val="24"/>
        </w:rPr>
        <w:t>-SiO</w:t>
      </w:r>
      <w:r w:rsidRPr="000E2377">
        <w:rPr>
          <w:rFonts w:asciiTheme="majorBidi" w:hAnsiTheme="majorBidi" w:cstheme="majorBidi"/>
          <w:b w:val="0"/>
          <w:szCs w:val="24"/>
          <w:vertAlign w:val="subscript"/>
        </w:rPr>
        <w:t>2</w:t>
      </w:r>
      <w:r w:rsidRPr="000E2377">
        <w:rPr>
          <w:rFonts w:asciiTheme="majorBidi" w:hAnsiTheme="majorBidi" w:cstheme="majorBidi"/>
          <w:b w:val="0"/>
          <w:szCs w:val="24"/>
        </w:rPr>
        <w:t>), controlling the Al/(</w:t>
      </w:r>
      <w:proofErr w:type="spellStart"/>
      <w:r w:rsidRPr="000E2377">
        <w:rPr>
          <w:rFonts w:asciiTheme="majorBidi" w:hAnsiTheme="majorBidi" w:cstheme="majorBidi"/>
          <w:b w:val="0"/>
          <w:szCs w:val="24"/>
        </w:rPr>
        <w:t>Al+Na</w:t>
      </w:r>
      <w:proofErr w:type="spellEnd"/>
      <w:r w:rsidRPr="000E2377">
        <w:rPr>
          <w:rFonts w:asciiTheme="majorBidi" w:hAnsiTheme="majorBidi" w:cstheme="majorBidi"/>
          <w:b w:val="0"/>
          <w:szCs w:val="24"/>
        </w:rPr>
        <w:t xml:space="preserve">) ratio determines whether Na acts as a charge compensator for </w:t>
      </w:r>
      <w:proofErr w:type="spellStart"/>
      <w:r w:rsidRPr="000E2377">
        <w:rPr>
          <w:rFonts w:asciiTheme="majorBidi" w:hAnsiTheme="majorBidi" w:cstheme="majorBidi"/>
          <w:b w:val="0"/>
          <w:szCs w:val="24"/>
        </w:rPr>
        <w:t>Al</w:t>
      </w:r>
      <w:r w:rsidRPr="000E2377">
        <w:rPr>
          <w:rFonts w:asciiTheme="majorBidi" w:hAnsiTheme="majorBidi" w:cstheme="majorBidi"/>
          <w:b w:val="0"/>
          <w:szCs w:val="24"/>
          <w:vertAlign w:val="superscript"/>
        </w:rPr>
        <w:t>IV</w:t>
      </w:r>
      <w:proofErr w:type="spellEnd"/>
      <w:r w:rsidRPr="000E2377">
        <w:rPr>
          <w:rFonts w:asciiTheme="majorBidi" w:hAnsiTheme="majorBidi" w:cstheme="majorBidi"/>
          <w:b w:val="0"/>
          <w:szCs w:val="24"/>
        </w:rPr>
        <w:t xml:space="preserve"> formation or as </w:t>
      </w:r>
      <w:r w:rsidR="00127EBE" w:rsidRPr="000E2377">
        <w:rPr>
          <w:rFonts w:asciiTheme="majorBidi" w:hAnsiTheme="majorBidi" w:cstheme="majorBidi"/>
          <w:b w:val="0"/>
          <w:szCs w:val="24"/>
        </w:rPr>
        <w:t xml:space="preserve">a </w:t>
      </w:r>
      <w:r w:rsidRPr="000E2377">
        <w:rPr>
          <w:rFonts w:asciiTheme="majorBidi" w:hAnsiTheme="majorBidi" w:cstheme="majorBidi"/>
          <w:b w:val="0"/>
          <w:szCs w:val="24"/>
        </w:rPr>
        <w:t xml:space="preserve">network modifier </w:t>
      </w:r>
      <w:r w:rsidRPr="000E2377">
        <w:rPr>
          <w:rFonts w:asciiTheme="majorBidi" w:hAnsiTheme="majorBidi" w:cstheme="majorBidi"/>
          <w:b w:val="0"/>
          <w:szCs w:val="24"/>
        </w:rPr>
        <w:fldChar w:fldCharType="begin" w:fldLock="1"/>
      </w:r>
      <w:r w:rsidR="002A61DC" w:rsidRPr="000E2377">
        <w:rPr>
          <w:rFonts w:asciiTheme="majorBidi" w:hAnsiTheme="majorBidi" w:cstheme="majorBidi"/>
          <w:b w:val="0"/>
          <w:szCs w:val="24"/>
        </w:rPr>
        <w:instrText>ADDIN CSL_CITATION { "citationItems" : [ { "id" : "ITEM-1", "itemData" : { "DOI" : "10.1016/j.gca.2013.11.010", "ISSN" : "00167037", "abstract" : "Because of their importance in both the geosciences and the glass-making industry, alkali aluminosilicate melts have been the focal point of many past studies, but despite progress many problems remain unresolved, such as the complex behaviour of the thermodynamic properties of aluminium-rich alkali silicate melts. This paper presents a study of Na2O-Al2O3-SiO2 glasses and melts, containing 75mol% SiO2 and different Al/(Al+Na) ratios. Their structure has been investigated by using Raman spectroscopy, as well as, 23Na, 27Al and 29Si 1D MAS NMR spectroscopy. Results confirm the role change of Na+ cations from network modifier to charge compensator in the presence of Al3+ ions. In addition, polymerization increases with increase of the Al/(Al+Na) ratio. These structural changes explain the observed variations in the viscosity of these melts. The viscosity data in turn allow us to calculate the configurational entropy of melts at the glass transition temperature [the Sconf(Tg)]. The variations of the Sconf(Tg) are strongly nonlinear, with sharp increases and decreases depending on the Al/(Al+Na) ratio. More importantly, a strong increase of the Sconf(Tg) is observed when a few Al2O3 is added to sodium silicate melt. A strong decrease is observed after crossing the tectosilicate join, when Al/(Al+Na)&gt;0.5 and when Al3+ ions are present in fivefold coordination, Al[5], in the glass. Furthermore, in situ 27Al NMR spectra of the peraluminous melt show a clear increase of the Al[5] concentration with increasing temperature. When considered in combination with melt fragility and heat capacity, our data demonstrate that Al[5] is clearly a transient unit at high temperature in highly polymerized tectosilicate and peraluminous melts. However, when present in glasses, Al[5] increases the stability of the aluminosilicate network, hence the Tg of glasses. This could be explained by the ability of Al[5] to carry threefold coordinated oxygen atoms in its first coordination shell, as observed in minerals. Localisation of threefold coordinated oxygen atoms on Al[5] implies an increase of the medium-range order in the glass, an hypothesis that is in agreement with the low Sconf(Tg) of peraluminous glasses. \u00a9 2013 Elsevier Ltd.", "author" : [ { "dropping-particle" : "", "family" : "Losq", "given" : "Charles", "non-dropping-particle" : "Le", "parse-names" : false, "suffix" : "" }, { "dropping-particle" : "", "family" : "Neuville", "given" : "Daniel R.", "non-dropping-particle" : "", "parse-names" : false, "suffix" : "" }, { "dropping-particle" : "", "family" : "Florian", "given" : "Pierre", "non-dropping-particle" : "", "parse-names" : false, "suffix" : "" }, { "dropping-particle" : "", "family" : "Henderson", "given" : "Grant S.", "non-dropping-particle" : "", "parse-names" : false, "suffix" : "" }, { "dropping-particle" : "", "family" : "Massiot", "given" : "Dominique", "non-dropping-particle" : "", "parse-names" : false, "suffix" : "" } ], "container-title" : "Geochimica et Cosmochimica Acta", "id" : "ITEM-1", "issued" : { "date-parts" : [ [ "2014" ] ] }, "page" : "495-517", "publisher" : "Elsevier Ltd", "title" : "The role of Al3+ on rheology and structural changes in sodium silicate and aluminosilicate glasses and melts", "type" : "article-journal", "volume" : "126" }, "uris" : [ "http://www.mendeley.com/documents/?uuid=8c0885da-0335-4684-91c6-5b4d6c08b2e1" ] } ], "mendeley" : { "formattedCitation" : "(Le Losq, Neuville, Florian, Henderson, &amp; Massiot, 2014)", "manualFormatting" : "(Le Losq et al., 2014)", "plainTextFormattedCitation" : "(Le Losq, Neuville, Florian, Henderson, &amp; Massiot, 2014)", "previouslyFormattedCitation" : "(Le Losq, Neuville, Florian, Henderson, &amp; Massiot, 2014)" }, "properties" : { "noteIndex" : 0 }, "schema" : "https://github.com/citation-style-language/schema/raw/master/csl-citation.json" }</w:instrText>
      </w:r>
      <w:r w:rsidRPr="000E2377">
        <w:rPr>
          <w:rFonts w:asciiTheme="majorBidi" w:hAnsiTheme="majorBidi" w:cstheme="majorBidi"/>
          <w:b w:val="0"/>
          <w:szCs w:val="24"/>
        </w:rPr>
        <w:fldChar w:fldCharType="separate"/>
      </w:r>
      <w:r w:rsidRPr="000E2377">
        <w:rPr>
          <w:rFonts w:asciiTheme="majorBidi" w:hAnsiTheme="majorBidi" w:cstheme="majorBidi"/>
          <w:b w:val="0"/>
          <w:noProof/>
          <w:szCs w:val="24"/>
        </w:rPr>
        <w:t>(Le Losq et al., 2014)</w:t>
      </w:r>
      <w:r w:rsidRPr="000E2377">
        <w:rPr>
          <w:rFonts w:asciiTheme="majorBidi" w:hAnsiTheme="majorBidi" w:cstheme="majorBidi"/>
          <w:b w:val="0"/>
          <w:szCs w:val="24"/>
        </w:rPr>
        <w:fldChar w:fldCharType="end"/>
      </w:r>
      <w:r w:rsidRPr="000E2377">
        <w:rPr>
          <w:rFonts w:asciiTheme="majorBidi" w:hAnsiTheme="majorBidi" w:cstheme="majorBidi"/>
          <w:b w:val="0"/>
          <w:szCs w:val="24"/>
        </w:rPr>
        <w:t>. For example</w:t>
      </w:r>
      <w:r w:rsidR="00284CC3">
        <w:rPr>
          <w:rFonts w:asciiTheme="majorBidi" w:hAnsiTheme="majorBidi" w:cstheme="majorBidi"/>
          <w:b w:val="0"/>
          <w:szCs w:val="24"/>
        </w:rPr>
        <w:t>,</w:t>
      </w:r>
      <w:r w:rsidRPr="000E2377">
        <w:rPr>
          <w:rFonts w:asciiTheme="majorBidi" w:hAnsiTheme="majorBidi" w:cstheme="majorBidi"/>
          <w:b w:val="0"/>
          <w:szCs w:val="24"/>
        </w:rPr>
        <w:t xml:space="preserve"> when the ratio of Al &gt; network modifier (peraluminous), Al</w:t>
      </w:r>
      <w:r w:rsidRPr="000E2377">
        <w:rPr>
          <w:rFonts w:asciiTheme="majorBidi" w:hAnsiTheme="majorBidi" w:cstheme="majorBidi"/>
          <w:b w:val="0"/>
          <w:szCs w:val="24"/>
          <w:vertAlign w:val="superscript"/>
        </w:rPr>
        <w:t>3+</w:t>
      </w:r>
      <w:r w:rsidRPr="000E2377">
        <w:rPr>
          <w:rFonts w:asciiTheme="majorBidi" w:hAnsiTheme="majorBidi" w:cstheme="majorBidi"/>
          <w:b w:val="0"/>
          <w:szCs w:val="24"/>
        </w:rPr>
        <w:t xml:space="preserve"> appears in the composition and 5-fold coordinated Al will be present. Increasing the Al/(</w:t>
      </w:r>
      <w:proofErr w:type="spellStart"/>
      <w:r w:rsidRPr="000E2377">
        <w:rPr>
          <w:rFonts w:asciiTheme="majorBidi" w:hAnsiTheme="majorBidi" w:cstheme="majorBidi"/>
          <w:b w:val="0"/>
          <w:szCs w:val="24"/>
        </w:rPr>
        <w:t>Al+Na</w:t>
      </w:r>
      <w:proofErr w:type="spellEnd"/>
      <w:r w:rsidRPr="000E2377">
        <w:rPr>
          <w:rFonts w:asciiTheme="majorBidi" w:hAnsiTheme="majorBidi" w:cstheme="majorBidi"/>
          <w:b w:val="0"/>
          <w:szCs w:val="24"/>
        </w:rPr>
        <w:t xml:space="preserve">) ratio results </w:t>
      </w:r>
      <w:r w:rsidR="00C71022">
        <w:rPr>
          <w:rFonts w:asciiTheme="majorBidi" w:hAnsiTheme="majorBidi" w:cstheme="majorBidi"/>
          <w:b w:val="0"/>
          <w:szCs w:val="24"/>
        </w:rPr>
        <w:t xml:space="preserve">in </w:t>
      </w:r>
      <w:r w:rsidRPr="000E2377">
        <w:rPr>
          <w:rFonts w:asciiTheme="majorBidi" w:hAnsiTheme="majorBidi" w:cstheme="majorBidi"/>
          <w:b w:val="0"/>
          <w:szCs w:val="24"/>
        </w:rPr>
        <w:t xml:space="preserve">an </w:t>
      </w:r>
      <w:r w:rsidR="00127EBE" w:rsidRPr="000E2377">
        <w:rPr>
          <w:rFonts w:asciiTheme="majorBidi" w:hAnsiTheme="majorBidi" w:cstheme="majorBidi"/>
          <w:b w:val="0"/>
          <w:szCs w:val="24"/>
        </w:rPr>
        <w:t xml:space="preserve">increase </w:t>
      </w:r>
      <w:r w:rsidRPr="000E2377">
        <w:rPr>
          <w:rFonts w:asciiTheme="majorBidi" w:hAnsiTheme="majorBidi" w:cstheme="majorBidi"/>
          <w:b w:val="0"/>
          <w:szCs w:val="24"/>
        </w:rPr>
        <w:t xml:space="preserve">of polymerization by </w:t>
      </w:r>
      <w:r w:rsidR="00127EBE" w:rsidRPr="000E2377">
        <w:rPr>
          <w:rFonts w:asciiTheme="majorBidi" w:hAnsiTheme="majorBidi" w:cstheme="majorBidi"/>
          <w:b w:val="0"/>
          <w:szCs w:val="24"/>
        </w:rPr>
        <w:t xml:space="preserve">increasing </w:t>
      </w:r>
      <w:r w:rsidRPr="000E2377">
        <w:rPr>
          <w:rFonts w:asciiTheme="majorBidi" w:hAnsiTheme="majorBidi" w:cstheme="majorBidi"/>
          <w:b w:val="0"/>
          <w:szCs w:val="24"/>
        </w:rPr>
        <w:t>the stability of the aluminosilicate network</w:t>
      </w:r>
      <w:r w:rsidR="00A3313F">
        <w:rPr>
          <w:rFonts w:asciiTheme="majorBidi" w:hAnsiTheme="majorBidi" w:cstheme="majorBidi"/>
          <w:b w:val="0"/>
          <w:szCs w:val="24"/>
        </w:rPr>
        <w:t>,</w:t>
      </w:r>
      <w:r w:rsidRPr="000E2377">
        <w:rPr>
          <w:rFonts w:asciiTheme="majorBidi" w:hAnsiTheme="majorBidi" w:cstheme="majorBidi"/>
          <w:b w:val="0"/>
          <w:szCs w:val="24"/>
        </w:rPr>
        <w:t xml:space="preserve"> which simultaneously increases the glass transition temperature </w:t>
      </w:r>
      <w:r w:rsidRPr="000E2377">
        <w:rPr>
          <w:rFonts w:asciiTheme="majorBidi" w:hAnsiTheme="majorBidi" w:cstheme="majorBidi"/>
          <w:b w:val="0"/>
          <w:szCs w:val="24"/>
        </w:rPr>
        <w:fldChar w:fldCharType="begin" w:fldLock="1"/>
      </w:r>
      <w:r w:rsidR="002A61DC" w:rsidRPr="000E2377">
        <w:rPr>
          <w:rFonts w:asciiTheme="majorBidi" w:hAnsiTheme="majorBidi" w:cstheme="majorBidi"/>
          <w:b w:val="0"/>
          <w:szCs w:val="24"/>
        </w:rPr>
        <w:instrText>ADDIN CSL_CITATION { "citationItems" : [ { "id" : "ITEM-1", "itemData" : { "DOI" : "10.1016/j.gca.2013.11.010", "ISSN" : "00167037", "abstract" : "Because of their importance in both the geosciences and the glass-making industry, alkali aluminosilicate melts have been the focal point of many past studies, but despite progress many problems remain unresolved, such as the complex behaviour of the thermodynamic properties of aluminium-rich alkali silicate melts. This paper presents a study of Na2O-Al2O3-SiO2 glasses and melts, containing 75mol% SiO2 and different Al/(Al+Na) ratios. Their structure has been investigated by using Raman spectroscopy, as well as, 23Na, 27Al and 29Si 1D MAS NMR spectroscopy. Results confirm the role change of Na+ cations from network modifier to charge compensator in the presence of Al3+ ions. In addition, polymerization increases with increase of the Al/(Al+Na) ratio. These structural changes explain the observed variations in the viscosity of these melts. The viscosity data in turn allow us to calculate the configurational entropy of melts at the glass transition temperature [the Sconf(Tg)]. The variations of the Sconf(Tg) are strongly nonlinear, with sharp increases and decreases depending on the Al/(Al+Na) ratio. More importantly, a strong increase of the Sconf(Tg) is observed when a few Al2O3 is added to sodium silicate melt. A strong decrease is observed after crossing the tectosilicate join, when Al/(Al+Na)&gt;0.5 and when Al3+ ions are present in fivefold coordination, Al[5], in the glass. Furthermore, in situ 27Al NMR spectra of the peraluminous melt show a clear increase of the Al[5] concentration with increasing temperature. When considered in combination with melt fragility and heat capacity, our data demonstrate that Al[5] is clearly a transient unit at high temperature in highly polymerized tectosilicate and peraluminous melts. However, when present in glasses, Al[5] increases the stability of the aluminosilicate network, hence the Tg of glasses. This could be explained by the ability of Al[5] to carry threefold coordinated oxygen atoms in its first coordination shell, as observed in minerals. Localisation of threefold coordinated oxygen atoms on Al[5] implies an increase of the medium-range order in the glass, an hypothesis that is in agreement with the low Sconf(Tg) of peraluminous glasses. \u00a9 2013 Elsevier Ltd.", "author" : [ { "dropping-particle" : "", "family" : "Losq", "given" : "Charles", "non-dropping-particle" : "Le", "parse-names" : false, "suffix" : "" }, { "dropping-particle" : "", "family" : "Neuville", "given" : "Daniel R.", "non-dropping-particle" : "", "parse-names" : false, "suffix" : "" }, { "dropping-particle" : "", "family" : "Florian", "given" : "Pierre", "non-dropping-particle" : "", "parse-names" : false, "suffix" : "" }, { "dropping-particle" : "", "family" : "Henderson", "given" : "Grant S.", "non-dropping-particle" : "", "parse-names" : false, "suffix" : "" }, { "dropping-particle" : "", "family" : "Massiot", "given" : "Dominique", "non-dropping-particle" : "", "parse-names" : false, "suffix" : "" } ], "container-title" : "Geochimica et Cosmochimica Acta", "id" : "ITEM-1", "issued" : { "date-parts" : [ [ "2014" ] ] }, "page" : "495-517", "publisher" : "Elsevier Ltd", "title" : "The role of Al3+ on rheology and structural changes in sodium silicate and aluminosilicate glasses and melts", "type" : "article-journal", "volume" : "126" }, "uris" : [ "http://www.mendeley.com/documents/?uuid=8c0885da-0335-4684-91c6-5b4d6c08b2e1" ] } ], "mendeley" : { "formattedCitation" : "(Le Losq et al., 2014)", "plainTextFormattedCitation" : "(Le Losq et al., 2014)", "previouslyFormattedCitation" : "(Le Losq et al., 2014)" }, "properties" : { "noteIndex" : 0 }, "schema" : "https://github.com/citation-style-language/schema/raw/master/csl-citation.json" }</w:instrText>
      </w:r>
      <w:r w:rsidRPr="000E2377">
        <w:rPr>
          <w:rFonts w:asciiTheme="majorBidi" w:hAnsiTheme="majorBidi" w:cstheme="majorBidi"/>
          <w:b w:val="0"/>
          <w:szCs w:val="24"/>
        </w:rPr>
        <w:fldChar w:fldCharType="separate"/>
      </w:r>
      <w:r w:rsidR="00793120" w:rsidRPr="000E2377">
        <w:rPr>
          <w:rFonts w:asciiTheme="majorBidi" w:hAnsiTheme="majorBidi" w:cstheme="majorBidi"/>
          <w:b w:val="0"/>
          <w:noProof/>
          <w:szCs w:val="24"/>
        </w:rPr>
        <w:t>(Le Losq et al., 2014)</w:t>
      </w:r>
      <w:r w:rsidRPr="000E2377">
        <w:rPr>
          <w:rFonts w:asciiTheme="majorBidi" w:hAnsiTheme="majorBidi" w:cstheme="majorBidi"/>
          <w:b w:val="0"/>
          <w:szCs w:val="24"/>
        </w:rPr>
        <w:fldChar w:fldCharType="end"/>
      </w:r>
      <w:r w:rsidRPr="000E2377">
        <w:rPr>
          <w:rFonts w:asciiTheme="majorBidi" w:hAnsiTheme="majorBidi" w:cstheme="majorBidi"/>
          <w:b w:val="0"/>
          <w:szCs w:val="24"/>
        </w:rPr>
        <w:t xml:space="preserve">. </w:t>
      </w:r>
    </w:p>
    <w:p w14:paraId="79A37078" w14:textId="142FDE52" w:rsidR="00CA5EDE" w:rsidRDefault="00130BF5" w:rsidP="00CA5EDE">
      <w:pPr>
        <w:spacing w:line="360" w:lineRule="auto"/>
        <w:jc w:val="both"/>
        <w:rPr>
          <w:rFonts w:cs="Times New Roman"/>
          <w:b w:val="0"/>
          <w:szCs w:val="24"/>
        </w:rPr>
      </w:pPr>
      <w:r>
        <w:rPr>
          <w:rFonts w:asciiTheme="majorBidi" w:hAnsiTheme="majorBidi" w:cstheme="majorBidi"/>
          <w:b w:val="0"/>
          <w:szCs w:val="24"/>
        </w:rPr>
        <w:t xml:space="preserve">In term of aluminium speciation in the structure, it has </w:t>
      </w:r>
      <w:r w:rsidR="00920494">
        <w:rPr>
          <w:rFonts w:asciiTheme="majorBidi" w:hAnsiTheme="majorBidi" w:cstheme="majorBidi"/>
          <w:b w:val="0"/>
          <w:szCs w:val="24"/>
        </w:rPr>
        <w:t>shown</w:t>
      </w:r>
      <w:r>
        <w:rPr>
          <w:rFonts w:asciiTheme="majorBidi" w:hAnsiTheme="majorBidi" w:cstheme="majorBidi"/>
          <w:b w:val="0"/>
          <w:szCs w:val="24"/>
        </w:rPr>
        <w:t xml:space="preserve"> that the composition used will affect alumin</w:t>
      </w:r>
      <w:r w:rsidR="00FF4F4E">
        <w:rPr>
          <w:rFonts w:asciiTheme="majorBidi" w:hAnsiTheme="majorBidi" w:cstheme="majorBidi"/>
          <w:b w:val="0"/>
          <w:szCs w:val="24"/>
        </w:rPr>
        <w:t>ium</w:t>
      </w:r>
      <w:r>
        <w:rPr>
          <w:rFonts w:asciiTheme="majorBidi" w:hAnsiTheme="majorBidi" w:cstheme="majorBidi"/>
          <w:b w:val="0"/>
          <w:szCs w:val="24"/>
        </w:rPr>
        <w:t xml:space="preserve"> coordination. For example, when </w:t>
      </w:r>
      <w:r w:rsidR="00BA4219">
        <w:rPr>
          <w:rFonts w:cs="Times New Roman"/>
          <w:b w:val="0"/>
          <w:szCs w:val="24"/>
        </w:rPr>
        <w:t>CaO-Al</w:t>
      </w:r>
      <w:r w:rsidR="00BA4219" w:rsidRPr="00135B5F">
        <w:rPr>
          <w:rFonts w:cs="Times New Roman"/>
          <w:b w:val="0"/>
          <w:szCs w:val="24"/>
          <w:vertAlign w:val="subscript"/>
        </w:rPr>
        <w:t>2</w:t>
      </w:r>
      <w:r w:rsidR="00BA4219">
        <w:rPr>
          <w:rFonts w:cs="Times New Roman"/>
          <w:b w:val="0"/>
          <w:szCs w:val="24"/>
        </w:rPr>
        <w:t>O</w:t>
      </w:r>
      <w:r w:rsidR="00BA4219" w:rsidRPr="00135B5F">
        <w:rPr>
          <w:rFonts w:cs="Times New Roman"/>
          <w:b w:val="0"/>
          <w:szCs w:val="24"/>
          <w:vertAlign w:val="subscript"/>
        </w:rPr>
        <w:t>3</w:t>
      </w:r>
      <w:r w:rsidR="00BA4219">
        <w:rPr>
          <w:rFonts w:cs="Times New Roman"/>
          <w:b w:val="0"/>
          <w:szCs w:val="24"/>
        </w:rPr>
        <w:t>-SiO</w:t>
      </w:r>
      <w:r w:rsidR="00BA4219" w:rsidRPr="00135B5F">
        <w:rPr>
          <w:rFonts w:cs="Times New Roman"/>
          <w:b w:val="0"/>
          <w:szCs w:val="24"/>
          <w:vertAlign w:val="subscript"/>
        </w:rPr>
        <w:t>2</w:t>
      </w:r>
      <w:r w:rsidR="00BA4219">
        <w:rPr>
          <w:rFonts w:cs="Times New Roman"/>
          <w:b w:val="0"/>
          <w:szCs w:val="24"/>
        </w:rPr>
        <w:t xml:space="preserve"> and MgO-Al</w:t>
      </w:r>
      <w:r w:rsidR="00BA4219" w:rsidRPr="00135B5F">
        <w:rPr>
          <w:rFonts w:cs="Times New Roman"/>
          <w:b w:val="0"/>
          <w:szCs w:val="24"/>
          <w:vertAlign w:val="subscript"/>
        </w:rPr>
        <w:t>2</w:t>
      </w:r>
      <w:r w:rsidR="00BA4219">
        <w:rPr>
          <w:rFonts w:cs="Times New Roman"/>
          <w:b w:val="0"/>
          <w:szCs w:val="24"/>
        </w:rPr>
        <w:t>O</w:t>
      </w:r>
      <w:r w:rsidR="00BA4219" w:rsidRPr="00135B5F">
        <w:rPr>
          <w:rFonts w:cs="Times New Roman"/>
          <w:b w:val="0"/>
          <w:szCs w:val="24"/>
          <w:vertAlign w:val="subscript"/>
        </w:rPr>
        <w:t>3</w:t>
      </w:r>
      <w:r w:rsidR="00BA4219">
        <w:rPr>
          <w:rFonts w:cs="Times New Roman"/>
          <w:b w:val="0"/>
          <w:szCs w:val="24"/>
        </w:rPr>
        <w:t>-SiO</w:t>
      </w:r>
      <w:r w:rsidR="00BA4219" w:rsidRPr="00135B5F">
        <w:rPr>
          <w:rFonts w:cs="Times New Roman"/>
          <w:b w:val="0"/>
          <w:szCs w:val="24"/>
          <w:vertAlign w:val="subscript"/>
        </w:rPr>
        <w:t>2</w:t>
      </w:r>
      <w:r w:rsidR="00BA4219">
        <w:rPr>
          <w:rFonts w:cs="Times New Roman"/>
          <w:b w:val="0"/>
          <w:szCs w:val="24"/>
        </w:rPr>
        <w:t xml:space="preserve"> glass</w:t>
      </w:r>
      <w:r w:rsidR="00920494">
        <w:rPr>
          <w:rFonts w:cs="Times New Roman"/>
          <w:b w:val="0"/>
          <w:szCs w:val="24"/>
        </w:rPr>
        <w:t xml:space="preserve">es </w:t>
      </w:r>
      <w:r w:rsidR="00920494">
        <w:rPr>
          <w:rFonts w:asciiTheme="majorBidi" w:hAnsiTheme="majorBidi" w:cstheme="majorBidi"/>
          <w:b w:val="0"/>
          <w:szCs w:val="24"/>
        </w:rPr>
        <w:t xml:space="preserve">are in </w:t>
      </w:r>
      <w:r w:rsidR="00FF4F4E">
        <w:rPr>
          <w:rFonts w:asciiTheme="majorBidi" w:hAnsiTheme="majorBidi" w:cstheme="majorBidi"/>
          <w:b w:val="0"/>
          <w:szCs w:val="24"/>
        </w:rPr>
        <w:t xml:space="preserve">the </w:t>
      </w:r>
      <w:r w:rsidR="00920494">
        <w:rPr>
          <w:rFonts w:asciiTheme="majorBidi" w:hAnsiTheme="majorBidi" w:cstheme="majorBidi"/>
          <w:b w:val="0"/>
          <w:szCs w:val="24"/>
        </w:rPr>
        <w:t>peralkaline regime</w:t>
      </w:r>
      <w:r>
        <w:rPr>
          <w:rFonts w:asciiTheme="majorBidi" w:hAnsiTheme="majorBidi" w:cstheme="majorBidi"/>
          <w:b w:val="0"/>
          <w:szCs w:val="24"/>
        </w:rPr>
        <w:t xml:space="preserve">, the aluminium coordination will be </w:t>
      </w:r>
      <w:proofErr w:type="spellStart"/>
      <w:r>
        <w:rPr>
          <w:rFonts w:asciiTheme="majorBidi" w:hAnsiTheme="majorBidi" w:cstheme="majorBidi"/>
          <w:b w:val="0"/>
          <w:szCs w:val="24"/>
        </w:rPr>
        <w:t>Al</w:t>
      </w:r>
      <w:r w:rsidRPr="0027187B">
        <w:rPr>
          <w:rFonts w:asciiTheme="majorBidi" w:hAnsiTheme="majorBidi" w:cstheme="majorBidi"/>
          <w:b w:val="0"/>
          <w:szCs w:val="24"/>
          <w:vertAlign w:val="superscript"/>
        </w:rPr>
        <w:t>IV</w:t>
      </w:r>
      <w:proofErr w:type="spellEnd"/>
      <w:r w:rsidR="000942C4">
        <w:rPr>
          <w:rFonts w:cs="Times New Roman"/>
          <w:b w:val="0"/>
          <w:szCs w:val="24"/>
        </w:rPr>
        <w:t xml:space="preserve">. </w:t>
      </w:r>
      <w:r w:rsidR="00467D7A">
        <w:rPr>
          <w:rFonts w:cs="Times New Roman"/>
          <w:b w:val="0"/>
          <w:szCs w:val="24"/>
        </w:rPr>
        <w:t>In</w:t>
      </w:r>
      <w:r w:rsidR="000942C4">
        <w:rPr>
          <w:rFonts w:cs="Times New Roman"/>
          <w:b w:val="0"/>
          <w:szCs w:val="24"/>
        </w:rPr>
        <w:t xml:space="preserve"> the composition used, </w:t>
      </w:r>
      <w:r w:rsidR="00A56295">
        <w:rPr>
          <w:rFonts w:cs="Times New Roman"/>
          <w:b w:val="0"/>
          <w:szCs w:val="24"/>
        </w:rPr>
        <w:t xml:space="preserve">from the infrared reflectance analysis and Raman analysis, </w:t>
      </w:r>
      <w:r w:rsidR="000942C4">
        <w:rPr>
          <w:rFonts w:cs="Times New Roman"/>
          <w:b w:val="0"/>
          <w:szCs w:val="24"/>
        </w:rPr>
        <w:t xml:space="preserve">network modifiers from alkaline earths </w:t>
      </w:r>
      <w:r w:rsidR="00467D7A">
        <w:rPr>
          <w:rFonts w:cs="Times New Roman"/>
          <w:b w:val="0"/>
          <w:szCs w:val="24"/>
        </w:rPr>
        <w:t xml:space="preserve">enhance the formation of high negative charge density species. </w:t>
      </w:r>
      <w:r w:rsidR="00920494">
        <w:rPr>
          <w:rFonts w:cs="Times New Roman"/>
          <w:b w:val="0"/>
          <w:szCs w:val="24"/>
        </w:rPr>
        <w:t xml:space="preserve">This has been </w:t>
      </w:r>
      <w:r w:rsidR="00467D7A">
        <w:rPr>
          <w:rFonts w:cs="Times New Roman"/>
          <w:b w:val="0"/>
          <w:szCs w:val="24"/>
        </w:rPr>
        <w:t xml:space="preserve">proved from </w:t>
      </w:r>
      <w:r w:rsidR="00920494">
        <w:rPr>
          <w:rFonts w:cs="Times New Roman"/>
          <w:b w:val="0"/>
          <w:szCs w:val="24"/>
        </w:rPr>
        <w:t xml:space="preserve">the observed peak </w:t>
      </w:r>
      <w:r w:rsidR="00467D7A">
        <w:rPr>
          <w:rFonts w:cs="Times New Roman"/>
          <w:b w:val="0"/>
          <w:szCs w:val="24"/>
        </w:rPr>
        <w:t>shift</w:t>
      </w:r>
      <w:r w:rsidR="00920494">
        <w:rPr>
          <w:rFonts w:cs="Times New Roman"/>
          <w:b w:val="0"/>
          <w:szCs w:val="24"/>
        </w:rPr>
        <w:t>s</w:t>
      </w:r>
      <w:r w:rsidR="00B21D6E">
        <w:rPr>
          <w:rFonts w:cs="Times New Roman"/>
          <w:b w:val="0"/>
          <w:szCs w:val="24"/>
        </w:rPr>
        <w:t xml:space="preserve"> </w:t>
      </w:r>
      <w:r w:rsidR="00467D7A">
        <w:rPr>
          <w:rFonts w:cs="Times New Roman"/>
          <w:b w:val="0"/>
          <w:szCs w:val="24"/>
        </w:rPr>
        <w:t xml:space="preserve">in infrared reflectance and Raman </w:t>
      </w:r>
      <w:r w:rsidR="00920494">
        <w:rPr>
          <w:rFonts w:cs="Times New Roman"/>
          <w:b w:val="0"/>
          <w:szCs w:val="24"/>
        </w:rPr>
        <w:t>spectroscopy measurements</w:t>
      </w:r>
      <w:r w:rsidR="00467D7A">
        <w:rPr>
          <w:rFonts w:cs="Times New Roman"/>
          <w:b w:val="0"/>
          <w:szCs w:val="24"/>
        </w:rPr>
        <w:t xml:space="preserve">. At low </w:t>
      </w:r>
      <w:r w:rsidR="005B06FE">
        <w:rPr>
          <w:rFonts w:cs="Times New Roman"/>
          <w:b w:val="0"/>
          <w:szCs w:val="24"/>
        </w:rPr>
        <w:t>Al content</w:t>
      </w:r>
      <w:r w:rsidR="00FF4F4E">
        <w:rPr>
          <w:rFonts w:cs="Times New Roman"/>
          <w:b w:val="0"/>
          <w:szCs w:val="24"/>
        </w:rPr>
        <w:t>s</w:t>
      </w:r>
      <w:r w:rsidR="005B06FE">
        <w:rPr>
          <w:rFonts w:cs="Times New Roman"/>
          <w:b w:val="0"/>
          <w:szCs w:val="24"/>
        </w:rPr>
        <w:t xml:space="preserve">, the </w:t>
      </w:r>
      <w:r w:rsidR="00B435EC">
        <w:rPr>
          <w:rFonts w:cs="Times New Roman"/>
          <w:b w:val="0"/>
          <w:szCs w:val="24"/>
        </w:rPr>
        <w:t xml:space="preserve">Raman </w:t>
      </w:r>
      <w:r w:rsidR="005B06FE">
        <w:rPr>
          <w:rFonts w:cs="Times New Roman"/>
          <w:b w:val="0"/>
          <w:szCs w:val="24"/>
        </w:rPr>
        <w:t>peak shift</w:t>
      </w:r>
      <w:r w:rsidR="00FF4F4E">
        <w:rPr>
          <w:rFonts w:cs="Times New Roman"/>
          <w:b w:val="0"/>
          <w:szCs w:val="24"/>
        </w:rPr>
        <w:t>s</w:t>
      </w:r>
      <w:r w:rsidR="005B06FE">
        <w:rPr>
          <w:rFonts w:cs="Times New Roman"/>
          <w:b w:val="0"/>
          <w:szCs w:val="24"/>
        </w:rPr>
        <w:t xml:space="preserve"> to </w:t>
      </w:r>
      <w:r w:rsidR="00B15B3C">
        <w:rPr>
          <w:rFonts w:cs="Times New Roman"/>
          <w:b w:val="0"/>
          <w:szCs w:val="24"/>
        </w:rPr>
        <w:t xml:space="preserve">high wavenumber </w:t>
      </w:r>
      <w:r w:rsidR="005B06FE">
        <w:rPr>
          <w:rFonts w:cs="Times New Roman"/>
          <w:b w:val="0"/>
          <w:szCs w:val="24"/>
        </w:rPr>
        <w:t xml:space="preserve">meanwhile at high Al, </w:t>
      </w:r>
      <w:r w:rsidR="00FF4F4E">
        <w:rPr>
          <w:rFonts w:cs="Times New Roman"/>
          <w:b w:val="0"/>
          <w:szCs w:val="24"/>
        </w:rPr>
        <w:t xml:space="preserve">the </w:t>
      </w:r>
      <w:r w:rsidR="005B06FE">
        <w:rPr>
          <w:rFonts w:cs="Times New Roman"/>
          <w:b w:val="0"/>
          <w:szCs w:val="24"/>
        </w:rPr>
        <w:t>peak shift</w:t>
      </w:r>
      <w:r w:rsidR="00FF4F4E">
        <w:rPr>
          <w:rFonts w:cs="Times New Roman"/>
          <w:b w:val="0"/>
          <w:szCs w:val="24"/>
        </w:rPr>
        <w:t>s</w:t>
      </w:r>
      <w:r w:rsidR="005B06FE">
        <w:rPr>
          <w:rFonts w:cs="Times New Roman"/>
          <w:b w:val="0"/>
          <w:szCs w:val="24"/>
        </w:rPr>
        <w:t xml:space="preserve"> to </w:t>
      </w:r>
      <w:r w:rsidR="00B15B3C">
        <w:rPr>
          <w:rFonts w:cs="Times New Roman"/>
          <w:b w:val="0"/>
          <w:szCs w:val="24"/>
        </w:rPr>
        <w:t>lower wavenumber</w:t>
      </w:r>
      <w:r w:rsidR="008B4759">
        <w:rPr>
          <w:rFonts w:cs="Times New Roman"/>
          <w:b w:val="0"/>
          <w:szCs w:val="24"/>
        </w:rPr>
        <w:t>s</w:t>
      </w:r>
      <w:r w:rsidR="005B06FE">
        <w:rPr>
          <w:rFonts w:cs="Times New Roman"/>
          <w:b w:val="0"/>
          <w:szCs w:val="24"/>
        </w:rPr>
        <w:t xml:space="preserve">. </w:t>
      </w:r>
      <w:r w:rsidR="00855E50">
        <w:rPr>
          <w:rFonts w:cs="Times New Roman"/>
          <w:b w:val="0"/>
          <w:szCs w:val="24"/>
        </w:rPr>
        <w:t xml:space="preserve"> In</w:t>
      </w:r>
      <w:r w:rsidR="005B06FE">
        <w:rPr>
          <w:rFonts w:cs="Times New Roman"/>
          <w:b w:val="0"/>
          <w:szCs w:val="24"/>
        </w:rPr>
        <w:t xml:space="preserve"> low Al glasses</w:t>
      </w:r>
      <w:r w:rsidR="00855E50">
        <w:rPr>
          <w:rFonts w:cs="Times New Roman"/>
          <w:b w:val="0"/>
          <w:szCs w:val="24"/>
        </w:rPr>
        <w:t>, more Q</w:t>
      </w:r>
      <w:r w:rsidR="00855E50" w:rsidRPr="00B15B3C">
        <w:rPr>
          <w:rFonts w:cs="Times New Roman"/>
          <w:b w:val="0"/>
          <w:szCs w:val="24"/>
          <w:vertAlign w:val="superscript"/>
        </w:rPr>
        <w:t>2</w:t>
      </w:r>
      <w:r w:rsidR="00855E50">
        <w:rPr>
          <w:rFonts w:cs="Times New Roman"/>
          <w:b w:val="0"/>
          <w:szCs w:val="24"/>
        </w:rPr>
        <w:t xml:space="preserve"> are present and as  Al/Si is increased, the </w:t>
      </w:r>
      <w:r w:rsidR="007439BD">
        <w:rPr>
          <w:rFonts w:cs="Times New Roman"/>
          <w:b w:val="0"/>
          <w:szCs w:val="24"/>
        </w:rPr>
        <w:t xml:space="preserve">amount of </w:t>
      </w:r>
      <w:r w:rsidR="00855E50">
        <w:rPr>
          <w:rFonts w:cs="Times New Roman"/>
          <w:b w:val="0"/>
          <w:szCs w:val="24"/>
        </w:rPr>
        <w:t>Q</w:t>
      </w:r>
      <w:r w:rsidR="00855E50" w:rsidRPr="007919D1">
        <w:rPr>
          <w:rFonts w:cs="Times New Roman"/>
          <w:b w:val="0"/>
          <w:szCs w:val="24"/>
          <w:vertAlign w:val="superscript"/>
        </w:rPr>
        <w:t>3</w:t>
      </w:r>
      <w:r w:rsidR="00855E50">
        <w:rPr>
          <w:rFonts w:cs="Times New Roman"/>
          <w:b w:val="0"/>
          <w:szCs w:val="24"/>
        </w:rPr>
        <w:t xml:space="preserve"> is increased</w:t>
      </w:r>
      <w:r w:rsidR="00CA5EDE">
        <w:rPr>
          <w:rFonts w:cs="Times New Roman"/>
          <w:b w:val="0"/>
          <w:szCs w:val="24"/>
        </w:rPr>
        <w:t xml:space="preserve"> </w:t>
      </w:r>
      <w:r w:rsidR="00CA5EDE" w:rsidRPr="000E2377">
        <w:rPr>
          <w:rFonts w:cs="Times New Roman"/>
          <w:b w:val="0"/>
          <w:szCs w:val="24"/>
        </w:rPr>
        <w:fldChar w:fldCharType="begin" w:fldLock="1"/>
      </w:r>
      <w:r w:rsidR="00CA5EDE" w:rsidRPr="000E2377">
        <w:rPr>
          <w:rFonts w:cs="Times New Roman"/>
          <w:b w:val="0"/>
          <w:szCs w:val="24"/>
        </w:rPr>
        <w:instrText>ADDIN CSL_CITATION { "citationItems" : [ { "id" : "ITEM-1", "itemData" : { "DOI" : "10.1016/0022-3093(91)90152-V", "ISSN" : "00223093", "abstract" : "The structure of glasses in the CaOAl2O3SiO2 (CAS) and MgOAl2O3SiO2 (MAS) systems have been studied using Raman and infrared (IR) reflectance spectroscopies. Kramers-Kronig analysis was performed on the IR data. Two compositional series were chosen in each system, one which has a constant average polymerization of 1 non-bridging oxygen per tetrahedral cation, and the other in which silica content is constant at 50 mol%, but polymerization varies. The results indicate that the presence of alkaline earth network modifiers favors the formation of species with high negative charge density. In the NBO/T = 1 series this leads to the equilibrium 2Q3 = Q4 + Q2 (where the superscript is the number of bridging oxygens per tetrahedron) shifting to the right at low Al content and to the left at high Al/Si. In the fully polymerized, 50% silica Mg glass, there is evidence of clustering into Al-rich and Si-rich domains. Transformation of the IR data yields a well-resolved low-frequency band in the CAS spectra whose frequency depends on polymerization and whether Ca is acting as a network modifier or charge balancer. The analogous Mg band is apparently buried in the mid-frequency network mode. ?? 1991.", "author" : [ { "dropping-particle" : "", "family" : "Merzbacher", "given" : "Celia I.", "non-dropping-particle" : "", "parse-names" : false, "suffix" : "" }, { "dropping-particle" : "", "family" : "White", "given" : "William B.", "non-dropping-particle" : "", "parse-names" : false, "suffix" : "" } ], "container-title" : "Journal of Non-Crystalline Solids", "id" : "ITEM-1", "issue" : "1", "issued" : { "date-parts" : [ [ "1991" ] ] }, "page" : "18-34", "title" : "The structure of alkaline earth aluminosilicate glasses as determined by vibrational spectroscopy", "type" : "article-journal", "volume" : "130" }, "uris" : [ "http://www.mendeley.com/documents/?uuid=07afc267-d0e8-4ac3-b58a-0d7b59837230" ] } ], "mendeley" : { "formattedCitation" : "(Merzbacher &amp; White, 1991)", "plainTextFormattedCitation" : "(Merzbacher &amp; White, 1991)", "previouslyFormattedCitation" : "(Merzbacher &amp; White, 1991)" }, "properties" : { "noteIndex" : 0 }, "schema" : "https://github.com/citation-style-language/schema/raw/master/csl-citation.json" }</w:instrText>
      </w:r>
      <w:r w:rsidR="00CA5EDE" w:rsidRPr="000E2377">
        <w:rPr>
          <w:rFonts w:cs="Times New Roman"/>
          <w:b w:val="0"/>
          <w:szCs w:val="24"/>
        </w:rPr>
        <w:fldChar w:fldCharType="separate"/>
      </w:r>
      <w:r w:rsidR="00CA5EDE" w:rsidRPr="000E2377">
        <w:rPr>
          <w:rFonts w:cs="Times New Roman"/>
          <w:b w:val="0"/>
          <w:noProof/>
          <w:szCs w:val="24"/>
        </w:rPr>
        <w:t>(Merzbacher &amp; White, 1991)</w:t>
      </w:r>
      <w:r w:rsidR="00CA5EDE" w:rsidRPr="000E2377">
        <w:rPr>
          <w:rFonts w:cs="Times New Roman"/>
          <w:b w:val="0"/>
          <w:szCs w:val="24"/>
        </w:rPr>
        <w:fldChar w:fldCharType="end"/>
      </w:r>
      <w:r w:rsidR="00CA5EDE">
        <w:rPr>
          <w:rFonts w:cs="Times New Roman"/>
          <w:b w:val="0"/>
          <w:szCs w:val="24"/>
        </w:rPr>
        <w:t xml:space="preserve">.  </w:t>
      </w:r>
    </w:p>
    <w:p w14:paraId="07DD6C8C" w14:textId="59336388" w:rsidR="00403E24" w:rsidRPr="0027187B" w:rsidRDefault="00855E50" w:rsidP="00403E24">
      <w:pPr>
        <w:spacing w:line="360" w:lineRule="auto"/>
        <w:jc w:val="both"/>
        <w:rPr>
          <w:rFonts w:cs="Times New Roman"/>
          <w:b w:val="0"/>
          <w:szCs w:val="24"/>
        </w:rPr>
      </w:pPr>
      <w:r>
        <w:rPr>
          <w:rFonts w:cs="Times New Roman"/>
          <w:b w:val="0"/>
          <w:szCs w:val="24"/>
        </w:rPr>
        <w:t>Me</w:t>
      </w:r>
      <w:r w:rsidR="00CE4CCA">
        <w:rPr>
          <w:rFonts w:cs="Times New Roman"/>
          <w:b w:val="0"/>
          <w:szCs w:val="24"/>
        </w:rPr>
        <w:t>a</w:t>
      </w:r>
      <w:r>
        <w:rPr>
          <w:rFonts w:cs="Times New Roman"/>
          <w:b w:val="0"/>
          <w:szCs w:val="24"/>
        </w:rPr>
        <w:t>nwhile</w:t>
      </w:r>
      <w:r w:rsidR="00A3313F">
        <w:rPr>
          <w:rFonts w:cs="Times New Roman"/>
          <w:b w:val="0"/>
          <w:szCs w:val="24"/>
        </w:rPr>
        <w:t>,</w:t>
      </w:r>
      <w:r>
        <w:rPr>
          <w:rFonts w:cs="Times New Roman"/>
          <w:b w:val="0"/>
          <w:szCs w:val="24"/>
        </w:rPr>
        <w:t xml:space="preserve">  </w:t>
      </w:r>
      <w:r w:rsidR="00130BF5" w:rsidRPr="000E2377">
        <w:rPr>
          <w:rFonts w:cs="Times New Roman"/>
          <w:b w:val="0"/>
          <w:szCs w:val="24"/>
        </w:rPr>
        <w:fldChar w:fldCharType="begin" w:fldLock="1"/>
      </w:r>
      <w:r w:rsidR="00396CDF">
        <w:rPr>
          <w:rFonts w:cs="Times New Roman"/>
          <w:b w:val="0"/>
          <w:szCs w:val="24"/>
        </w:rPr>
        <w:instrText>ADDIN CSL_CITATION { "citationItems" : [ { "id" : "ITEM-1", "itemData" : { "DOI" : "10.1021/jp994273w", "ISSN" : "1520-6106", "author" : [ { "dropping-particle" : "", "family" : "Lee", "given" : "Sung Keun", "non-dropping-particle" : "", "parse-names" : false, "suffix" : "" }, { "dropping-particle" : "", "family" : "Stebbins", "given" : "Jonathan F", "non-dropping-particle" : "", "parse-names" : false, "suffix" : "" } ], "container-title" : "Journal of physical chemistry B", "id" : "ITEM-1", "issued" : { "date-parts" : [ [ "2000" ] ] }, "page" : "4091-4100", "title" : "The Structure of Aluminosilicate Glasses : High-Resolution NMR Study 17O and 27Al 3QMAS NMR study", "type" : "article-journal", "volume" : "104" }, "uris" : [ "http://www.mendeley.com/documents/?uuid=61d2d788-25d8-463e-a727-d1ee4cc1fe74" ] } ], "mendeley" : { "formattedCitation" : "(Lee &amp; Stebbins, 2000)", "manualFormatting" : "Lee &amp; Stebbins, 2000 reported that ", "plainTextFormattedCitation" : "(Lee &amp; Stebbins, 2000)", "previouslyFormattedCitation" : "(Lee &amp; Stebbins, 2000)" }, "properties" : { "noteIndex" : 0 }, "schema" : "https://github.com/citation-style-language/schema/raw/master/csl-citation.json" }</w:instrText>
      </w:r>
      <w:r w:rsidR="00130BF5" w:rsidRPr="000E2377">
        <w:rPr>
          <w:rFonts w:cs="Times New Roman"/>
          <w:b w:val="0"/>
          <w:szCs w:val="24"/>
        </w:rPr>
        <w:fldChar w:fldCharType="separate"/>
      </w:r>
      <w:r w:rsidR="00130BF5" w:rsidRPr="000E2377">
        <w:rPr>
          <w:rFonts w:cs="Times New Roman"/>
          <w:b w:val="0"/>
          <w:noProof/>
          <w:szCs w:val="24"/>
        </w:rPr>
        <w:t>Lee &amp; Stebbins, 2000</w:t>
      </w:r>
      <w:r w:rsidR="00430EB8">
        <w:rPr>
          <w:rFonts w:cs="Times New Roman"/>
          <w:b w:val="0"/>
          <w:noProof/>
          <w:szCs w:val="24"/>
        </w:rPr>
        <w:t xml:space="preserve"> reported that </w:t>
      </w:r>
      <w:r w:rsidR="00130BF5" w:rsidRPr="000E2377">
        <w:rPr>
          <w:rFonts w:cs="Times New Roman"/>
          <w:b w:val="0"/>
          <w:szCs w:val="24"/>
        </w:rPr>
        <w:fldChar w:fldCharType="end"/>
      </w:r>
      <w:r w:rsidR="00495469">
        <w:rPr>
          <w:rFonts w:asciiTheme="majorBidi" w:hAnsiTheme="majorBidi" w:cstheme="majorBidi"/>
          <w:b w:val="0"/>
          <w:szCs w:val="24"/>
        </w:rPr>
        <w:t>h</w:t>
      </w:r>
      <w:r w:rsidR="00403E24">
        <w:rPr>
          <w:rFonts w:asciiTheme="majorBidi" w:hAnsiTheme="majorBidi" w:cstheme="majorBidi"/>
          <w:b w:val="0"/>
          <w:szCs w:val="24"/>
        </w:rPr>
        <w:t xml:space="preserve">igher field </w:t>
      </w:r>
      <w:r w:rsidR="007439BD">
        <w:rPr>
          <w:rFonts w:asciiTheme="majorBidi" w:hAnsiTheme="majorBidi" w:cstheme="majorBidi"/>
          <w:b w:val="0"/>
          <w:szCs w:val="24"/>
        </w:rPr>
        <w:t xml:space="preserve">strength </w:t>
      </w:r>
      <w:r w:rsidR="00403E24">
        <w:rPr>
          <w:rFonts w:asciiTheme="majorBidi" w:hAnsiTheme="majorBidi" w:cstheme="majorBidi"/>
          <w:b w:val="0"/>
          <w:szCs w:val="24"/>
        </w:rPr>
        <w:t>cation</w:t>
      </w:r>
      <w:r w:rsidR="007439BD">
        <w:rPr>
          <w:rFonts w:asciiTheme="majorBidi" w:hAnsiTheme="majorBidi" w:cstheme="majorBidi"/>
          <w:b w:val="0"/>
          <w:szCs w:val="24"/>
        </w:rPr>
        <w:t>s</w:t>
      </w:r>
      <w:r w:rsidR="00403E24">
        <w:rPr>
          <w:rFonts w:asciiTheme="majorBidi" w:hAnsiTheme="majorBidi" w:cstheme="majorBidi"/>
          <w:b w:val="0"/>
          <w:szCs w:val="24"/>
        </w:rPr>
        <w:t xml:space="preserve"> also lead to </w:t>
      </w:r>
      <w:r w:rsidR="007439BD">
        <w:rPr>
          <w:rFonts w:asciiTheme="majorBidi" w:hAnsiTheme="majorBidi" w:cstheme="majorBidi"/>
          <w:b w:val="0"/>
          <w:szCs w:val="24"/>
        </w:rPr>
        <w:t xml:space="preserve">a </w:t>
      </w:r>
      <w:r w:rsidR="00403E24">
        <w:rPr>
          <w:rFonts w:asciiTheme="majorBidi" w:hAnsiTheme="majorBidi" w:cstheme="majorBidi"/>
          <w:b w:val="0"/>
          <w:szCs w:val="24"/>
        </w:rPr>
        <w:t>high</w:t>
      </w:r>
      <w:r w:rsidR="007439BD">
        <w:rPr>
          <w:rFonts w:asciiTheme="majorBidi" w:hAnsiTheme="majorBidi" w:cstheme="majorBidi"/>
          <w:b w:val="0"/>
          <w:szCs w:val="24"/>
        </w:rPr>
        <w:t>er</w:t>
      </w:r>
      <w:r w:rsidR="00403E24">
        <w:rPr>
          <w:rFonts w:asciiTheme="majorBidi" w:hAnsiTheme="majorBidi" w:cstheme="majorBidi"/>
          <w:b w:val="0"/>
          <w:szCs w:val="24"/>
        </w:rPr>
        <w:t xml:space="preserve"> fraction of NBOs. Y</w:t>
      </w:r>
      <w:r w:rsidR="00403E24" w:rsidRPr="0027187B">
        <w:rPr>
          <w:rFonts w:asciiTheme="majorBidi" w:hAnsiTheme="majorBidi" w:cstheme="majorBidi"/>
          <w:b w:val="0"/>
          <w:szCs w:val="24"/>
          <w:vertAlign w:val="superscript"/>
        </w:rPr>
        <w:t>3+</w:t>
      </w:r>
      <w:r w:rsidR="00403E24">
        <w:rPr>
          <w:rFonts w:asciiTheme="majorBidi" w:hAnsiTheme="majorBidi" w:cstheme="majorBidi"/>
          <w:b w:val="0"/>
          <w:szCs w:val="24"/>
        </w:rPr>
        <w:t xml:space="preserve"> ha</w:t>
      </w:r>
      <w:r w:rsidR="007439BD">
        <w:rPr>
          <w:rFonts w:asciiTheme="majorBidi" w:hAnsiTheme="majorBidi" w:cstheme="majorBidi"/>
          <w:b w:val="0"/>
          <w:szCs w:val="24"/>
        </w:rPr>
        <w:t>s a</w:t>
      </w:r>
      <w:r w:rsidR="00403E24">
        <w:rPr>
          <w:rFonts w:asciiTheme="majorBidi" w:hAnsiTheme="majorBidi" w:cstheme="majorBidi"/>
          <w:b w:val="0"/>
          <w:szCs w:val="24"/>
        </w:rPr>
        <w:t xml:space="preserve"> larger field strength than La</w:t>
      </w:r>
      <w:r w:rsidR="00403E24" w:rsidRPr="0027187B">
        <w:rPr>
          <w:rFonts w:asciiTheme="majorBidi" w:hAnsiTheme="majorBidi" w:cstheme="majorBidi"/>
          <w:b w:val="0"/>
          <w:szCs w:val="24"/>
          <w:vertAlign w:val="superscript"/>
        </w:rPr>
        <w:t>3+</w:t>
      </w:r>
      <w:r w:rsidR="002C199C">
        <w:rPr>
          <w:rFonts w:asciiTheme="majorBidi" w:hAnsiTheme="majorBidi" w:cstheme="majorBidi"/>
          <w:b w:val="0"/>
          <w:szCs w:val="24"/>
        </w:rPr>
        <w:t xml:space="preserve"> thus</w:t>
      </w:r>
      <w:r w:rsidR="00A3313F">
        <w:rPr>
          <w:rFonts w:asciiTheme="majorBidi" w:hAnsiTheme="majorBidi" w:cstheme="majorBidi"/>
          <w:b w:val="0"/>
          <w:szCs w:val="24"/>
        </w:rPr>
        <w:t>,</w:t>
      </w:r>
      <w:r w:rsidR="00403E24">
        <w:rPr>
          <w:rFonts w:asciiTheme="majorBidi" w:hAnsiTheme="majorBidi" w:cstheme="majorBidi"/>
          <w:b w:val="0"/>
          <w:szCs w:val="24"/>
        </w:rPr>
        <w:t xml:space="preserve"> the fractions </w:t>
      </w:r>
      <w:r w:rsidR="002C199C">
        <w:rPr>
          <w:rFonts w:asciiTheme="majorBidi" w:hAnsiTheme="majorBidi" w:cstheme="majorBidi"/>
          <w:b w:val="0"/>
          <w:szCs w:val="24"/>
        </w:rPr>
        <w:t>o</w:t>
      </w:r>
      <w:r w:rsidR="00403E24">
        <w:rPr>
          <w:rFonts w:asciiTheme="majorBidi" w:hAnsiTheme="majorBidi" w:cstheme="majorBidi"/>
          <w:b w:val="0"/>
          <w:szCs w:val="24"/>
        </w:rPr>
        <w:t>f NBOs and 5 or 6 coordinated Al are high</w:t>
      </w:r>
      <w:r w:rsidR="007439BD">
        <w:rPr>
          <w:rFonts w:asciiTheme="majorBidi" w:hAnsiTheme="majorBidi" w:cstheme="majorBidi"/>
          <w:b w:val="0"/>
          <w:szCs w:val="24"/>
        </w:rPr>
        <w:t>er</w:t>
      </w:r>
      <w:r w:rsidR="00403E24">
        <w:rPr>
          <w:rFonts w:asciiTheme="majorBidi" w:hAnsiTheme="majorBidi" w:cstheme="majorBidi"/>
          <w:b w:val="0"/>
          <w:szCs w:val="24"/>
        </w:rPr>
        <w:t xml:space="preserve"> in Y</w:t>
      </w:r>
      <w:r w:rsidR="007439BD">
        <w:rPr>
          <w:rFonts w:asciiTheme="majorBidi" w:hAnsiTheme="majorBidi" w:cstheme="majorBidi"/>
          <w:b w:val="0"/>
          <w:szCs w:val="24"/>
        </w:rPr>
        <w:t xml:space="preserve"> than La</w:t>
      </w:r>
      <w:r w:rsidR="00403E24">
        <w:rPr>
          <w:rFonts w:asciiTheme="majorBidi" w:hAnsiTheme="majorBidi" w:cstheme="majorBidi"/>
          <w:b w:val="0"/>
          <w:szCs w:val="24"/>
        </w:rPr>
        <w:t>-aluminosilicate glasses.</w:t>
      </w:r>
    </w:p>
    <w:p w14:paraId="311F5BF4" w14:textId="6F9E901E" w:rsidR="00361D71" w:rsidRDefault="00CE4CCA" w:rsidP="004E2D30">
      <w:pPr>
        <w:spacing w:line="360" w:lineRule="auto"/>
        <w:jc w:val="both"/>
        <w:rPr>
          <w:rFonts w:cs="Times New Roman"/>
          <w:b w:val="0"/>
          <w:szCs w:val="24"/>
        </w:rPr>
      </w:pPr>
      <w:r>
        <w:rPr>
          <w:rFonts w:asciiTheme="majorBidi" w:hAnsiTheme="majorBidi" w:cstheme="majorBidi"/>
          <w:b w:val="0"/>
          <w:szCs w:val="24"/>
        </w:rPr>
        <w:t>It</w:t>
      </w:r>
      <w:r w:rsidR="006208BB">
        <w:rPr>
          <w:rFonts w:asciiTheme="majorBidi" w:hAnsiTheme="majorBidi" w:cstheme="majorBidi"/>
          <w:b w:val="0"/>
          <w:szCs w:val="24"/>
        </w:rPr>
        <w:t xml:space="preserve"> has</w:t>
      </w:r>
      <w:r>
        <w:rPr>
          <w:rFonts w:asciiTheme="majorBidi" w:hAnsiTheme="majorBidi" w:cstheme="majorBidi"/>
          <w:b w:val="0"/>
          <w:szCs w:val="24"/>
        </w:rPr>
        <w:t xml:space="preserve"> also been </w:t>
      </w:r>
      <w:r w:rsidR="00893F96">
        <w:rPr>
          <w:rFonts w:asciiTheme="majorBidi" w:hAnsiTheme="majorBidi" w:cstheme="majorBidi"/>
          <w:b w:val="0"/>
          <w:szCs w:val="24"/>
        </w:rPr>
        <w:t xml:space="preserve">reported </w:t>
      </w:r>
      <w:r>
        <w:rPr>
          <w:rFonts w:asciiTheme="majorBidi" w:hAnsiTheme="majorBidi" w:cstheme="majorBidi"/>
          <w:b w:val="0"/>
          <w:szCs w:val="24"/>
        </w:rPr>
        <w:t xml:space="preserve">that </w:t>
      </w:r>
      <w:r w:rsidR="00130BF5">
        <w:rPr>
          <w:rFonts w:asciiTheme="majorBidi" w:hAnsiTheme="majorBidi" w:cstheme="majorBidi"/>
          <w:b w:val="0"/>
          <w:szCs w:val="24"/>
        </w:rPr>
        <w:t xml:space="preserve">the processing temperature </w:t>
      </w:r>
      <w:r w:rsidR="00893F96">
        <w:rPr>
          <w:rFonts w:asciiTheme="majorBidi" w:hAnsiTheme="majorBidi" w:cstheme="majorBidi"/>
          <w:b w:val="0"/>
          <w:szCs w:val="24"/>
        </w:rPr>
        <w:t>a</w:t>
      </w:r>
      <w:r w:rsidR="00C830D9">
        <w:rPr>
          <w:rFonts w:asciiTheme="majorBidi" w:hAnsiTheme="majorBidi" w:cstheme="majorBidi"/>
          <w:b w:val="0"/>
          <w:szCs w:val="24"/>
        </w:rPr>
        <w:t>ffect</w:t>
      </w:r>
      <w:r w:rsidR="00893F96">
        <w:rPr>
          <w:rFonts w:asciiTheme="majorBidi" w:hAnsiTheme="majorBidi" w:cstheme="majorBidi"/>
          <w:b w:val="0"/>
          <w:szCs w:val="24"/>
        </w:rPr>
        <w:t>s</w:t>
      </w:r>
      <w:r w:rsidR="00C830D9">
        <w:rPr>
          <w:rFonts w:asciiTheme="majorBidi" w:hAnsiTheme="majorBidi" w:cstheme="majorBidi"/>
          <w:b w:val="0"/>
          <w:szCs w:val="24"/>
        </w:rPr>
        <w:t xml:space="preserve"> the </w:t>
      </w:r>
      <w:r w:rsidR="00893F96">
        <w:rPr>
          <w:rFonts w:asciiTheme="majorBidi" w:hAnsiTheme="majorBidi" w:cstheme="majorBidi"/>
          <w:b w:val="0"/>
          <w:szCs w:val="24"/>
        </w:rPr>
        <w:t xml:space="preserve">coordination of </w:t>
      </w:r>
      <w:r w:rsidR="002C199C">
        <w:rPr>
          <w:rFonts w:asciiTheme="majorBidi" w:hAnsiTheme="majorBidi" w:cstheme="majorBidi"/>
          <w:b w:val="0"/>
          <w:szCs w:val="24"/>
        </w:rPr>
        <w:t>Al</w:t>
      </w:r>
      <w:r w:rsidR="00C830D9">
        <w:rPr>
          <w:rFonts w:asciiTheme="majorBidi" w:hAnsiTheme="majorBidi" w:cstheme="majorBidi"/>
          <w:b w:val="0"/>
          <w:szCs w:val="24"/>
        </w:rPr>
        <w:t xml:space="preserve"> coordination</w:t>
      </w:r>
      <w:r w:rsidR="00893F96">
        <w:rPr>
          <w:rFonts w:asciiTheme="majorBidi" w:hAnsiTheme="majorBidi" w:cstheme="majorBidi"/>
          <w:b w:val="0"/>
          <w:szCs w:val="24"/>
        </w:rPr>
        <w:t xml:space="preserve"> with</w:t>
      </w:r>
      <w:r w:rsidR="00C830D9">
        <w:rPr>
          <w:rFonts w:asciiTheme="majorBidi" w:hAnsiTheme="majorBidi" w:cstheme="majorBidi"/>
          <w:b w:val="0"/>
          <w:szCs w:val="24"/>
        </w:rPr>
        <w:t xml:space="preserve"> increasing processing temperature</w:t>
      </w:r>
      <w:r w:rsidR="006C1CBA">
        <w:rPr>
          <w:rFonts w:asciiTheme="majorBidi" w:hAnsiTheme="majorBidi" w:cstheme="majorBidi"/>
          <w:b w:val="0"/>
          <w:szCs w:val="24"/>
        </w:rPr>
        <w:t xml:space="preserve"> </w:t>
      </w:r>
      <w:r w:rsidR="00893F96">
        <w:rPr>
          <w:rFonts w:asciiTheme="majorBidi" w:hAnsiTheme="majorBidi" w:cstheme="majorBidi"/>
          <w:b w:val="0"/>
          <w:szCs w:val="24"/>
        </w:rPr>
        <w:t>resulting in</w:t>
      </w:r>
      <w:r w:rsidR="00C830D9">
        <w:rPr>
          <w:rFonts w:asciiTheme="majorBidi" w:hAnsiTheme="majorBidi" w:cstheme="majorBidi"/>
          <w:b w:val="0"/>
          <w:szCs w:val="24"/>
        </w:rPr>
        <w:t xml:space="preserve"> increased </w:t>
      </w:r>
      <w:proofErr w:type="spellStart"/>
      <w:r w:rsidR="00C830D9">
        <w:rPr>
          <w:rFonts w:asciiTheme="majorBidi" w:hAnsiTheme="majorBidi" w:cstheme="majorBidi"/>
          <w:b w:val="0"/>
          <w:szCs w:val="24"/>
        </w:rPr>
        <w:t>Al</w:t>
      </w:r>
      <w:r w:rsidR="00C830D9" w:rsidRPr="0027187B">
        <w:rPr>
          <w:rFonts w:asciiTheme="majorBidi" w:hAnsiTheme="majorBidi" w:cstheme="majorBidi"/>
          <w:b w:val="0"/>
          <w:szCs w:val="24"/>
          <w:vertAlign w:val="superscript"/>
        </w:rPr>
        <w:t>IV</w:t>
      </w:r>
      <w:proofErr w:type="spellEnd"/>
      <w:r w:rsidR="00335147">
        <w:rPr>
          <w:rFonts w:asciiTheme="majorBidi" w:hAnsiTheme="majorBidi" w:cstheme="majorBidi"/>
          <w:b w:val="0"/>
          <w:szCs w:val="24"/>
        </w:rPr>
        <w:t>.</w:t>
      </w:r>
      <w:r w:rsidR="00C830D9">
        <w:rPr>
          <w:rFonts w:asciiTheme="majorBidi" w:hAnsiTheme="majorBidi" w:cstheme="majorBidi"/>
          <w:b w:val="0"/>
          <w:szCs w:val="24"/>
        </w:rPr>
        <w:t xml:space="preserve"> </w:t>
      </w:r>
      <w:r w:rsidR="00CA5EDE">
        <w:rPr>
          <w:rFonts w:asciiTheme="majorBidi" w:hAnsiTheme="majorBidi" w:cstheme="majorBidi"/>
          <w:b w:val="0"/>
          <w:szCs w:val="24"/>
        </w:rPr>
        <w:t xml:space="preserve">This can be seen from </w:t>
      </w:r>
      <w:r w:rsidR="00284CC3">
        <w:rPr>
          <w:rFonts w:asciiTheme="majorBidi" w:hAnsiTheme="majorBidi" w:cstheme="majorBidi"/>
          <w:b w:val="0"/>
          <w:szCs w:val="24"/>
        </w:rPr>
        <w:t xml:space="preserve">the </w:t>
      </w:r>
      <w:r w:rsidR="00CA5EDE">
        <w:rPr>
          <w:rFonts w:asciiTheme="majorBidi" w:hAnsiTheme="majorBidi" w:cstheme="majorBidi"/>
          <w:b w:val="0"/>
          <w:szCs w:val="24"/>
        </w:rPr>
        <w:t xml:space="preserve">movement of </w:t>
      </w:r>
      <w:r w:rsidR="00284CC3">
        <w:rPr>
          <w:rFonts w:asciiTheme="majorBidi" w:hAnsiTheme="majorBidi" w:cstheme="majorBidi"/>
          <w:b w:val="0"/>
          <w:szCs w:val="24"/>
        </w:rPr>
        <w:t xml:space="preserve">the </w:t>
      </w:r>
      <w:r w:rsidR="00CA5EDE">
        <w:rPr>
          <w:rFonts w:asciiTheme="majorBidi" w:hAnsiTheme="majorBidi" w:cstheme="majorBidi"/>
          <w:b w:val="0"/>
          <w:szCs w:val="24"/>
        </w:rPr>
        <w:t>peak</w:t>
      </w:r>
      <w:r w:rsidR="00A56295">
        <w:rPr>
          <w:rFonts w:asciiTheme="majorBidi" w:hAnsiTheme="majorBidi" w:cstheme="majorBidi"/>
          <w:b w:val="0"/>
          <w:szCs w:val="24"/>
        </w:rPr>
        <w:t xml:space="preserve"> in </w:t>
      </w:r>
      <w:r w:rsidR="00A56295" w:rsidRPr="00A56295">
        <w:rPr>
          <w:rFonts w:asciiTheme="majorBidi" w:hAnsiTheme="majorBidi" w:cstheme="majorBidi"/>
          <w:b w:val="0"/>
          <w:szCs w:val="24"/>
          <w:vertAlign w:val="superscript"/>
        </w:rPr>
        <w:t>27</w:t>
      </w:r>
      <w:r w:rsidR="00A56295">
        <w:rPr>
          <w:rFonts w:asciiTheme="majorBidi" w:hAnsiTheme="majorBidi" w:cstheme="majorBidi"/>
          <w:b w:val="0"/>
          <w:szCs w:val="24"/>
        </w:rPr>
        <w:t>Al NMR using MAS NMR</w:t>
      </w:r>
      <w:r w:rsidR="00CA5EDE">
        <w:rPr>
          <w:rFonts w:asciiTheme="majorBidi" w:hAnsiTheme="majorBidi" w:cstheme="majorBidi"/>
          <w:b w:val="0"/>
          <w:szCs w:val="24"/>
        </w:rPr>
        <w:t xml:space="preserve"> when t</w:t>
      </w:r>
      <w:r w:rsidR="009240F6">
        <w:rPr>
          <w:rFonts w:asciiTheme="majorBidi" w:hAnsiTheme="majorBidi" w:cstheme="majorBidi"/>
          <w:b w:val="0"/>
          <w:szCs w:val="24"/>
        </w:rPr>
        <w:t>he maximum peak slightly change</w:t>
      </w:r>
      <w:r w:rsidR="008B4759">
        <w:rPr>
          <w:rFonts w:asciiTheme="majorBidi" w:hAnsiTheme="majorBidi" w:cstheme="majorBidi"/>
          <w:b w:val="0"/>
          <w:szCs w:val="24"/>
        </w:rPr>
        <w:t>s</w:t>
      </w:r>
      <w:r w:rsidR="009240F6">
        <w:rPr>
          <w:rFonts w:asciiTheme="majorBidi" w:hAnsiTheme="majorBidi" w:cstheme="majorBidi"/>
          <w:b w:val="0"/>
          <w:szCs w:val="24"/>
        </w:rPr>
        <w:t xml:space="preserve"> </w:t>
      </w:r>
      <w:r w:rsidR="008B4759">
        <w:rPr>
          <w:rFonts w:asciiTheme="majorBidi" w:hAnsiTheme="majorBidi" w:cstheme="majorBidi"/>
          <w:b w:val="0"/>
          <w:szCs w:val="24"/>
        </w:rPr>
        <w:t>in going</w:t>
      </w:r>
      <w:r w:rsidR="00A56295">
        <w:rPr>
          <w:rFonts w:asciiTheme="majorBidi" w:hAnsiTheme="majorBidi" w:cstheme="majorBidi"/>
          <w:b w:val="0"/>
          <w:szCs w:val="24"/>
        </w:rPr>
        <w:t xml:space="preserve"> </w:t>
      </w:r>
      <w:r w:rsidR="009240F6">
        <w:rPr>
          <w:rFonts w:asciiTheme="majorBidi" w:hAnsiTheme="majorBidi" w:cstheme="majorBidi"/>
          <w:b w:val="0"/>
          <w:szCs w:val="24"/>
        </w:rPr>
        <w:t>from room temperature to high temperature</w:t>
      </w:r>
      <w:r w:rsidR="008B4759">
        <w:rPr>
          <w:rFonts w:asciiTheme="majorBidi" w:hAnsiTheme="majorBidi" w:cstheme="majorBidi"/>
          <w:b w:val="0"/>
          <w:szCs w:val="24"/>
        </w:rPr>
        <w:t>s</w:t>
      </w:r>
      <w:r w:rsidR="009240F6">
        <w:rPr>
          <w:rFonts w:asciiTheme="majorBidi" w:hAnsiTheme="majorBidi" w:cstheme="majorBidi"/>
          <w:b w:val="0"/>
          <w:szCs w:val="24"/>
        </w:rPr>
        <w:t xml:space="preserve"> (about 850 ºC) in </w:t>
      </w:r>
      <w:r w:rsidR="009240F6" w:rsidRPr="009240F6">
        <w:rPr>
          <w:rFonts w:asciiTheme="majorBidi" w:hAnsiTheme="majorBidi" w:cstheme="majorBidi"/>
          <w:b w:val="0"/>
          <w:szCs w:val="24"/>
        </w:rPr>
        <w:t>calcium aluminosilicate (43.1CaO–12.5Al</w:t>
      </w:r>
      <w:r w:rsidR="009240F6" w:rsidRPr="0027187B">
        <w:rPr>
          <w:rFonts w:asciiTheme="majorBidi" w:hAnsiTheme="majorBidi" w:cstheme="majorBidi"/>
          <w:b w:val="0"/>
          <w:szCs w:val="24"/>
          <w:vertAlign w:val="subscript"/>
        </w:rPr>
        <w:t>2</w:t>
      </w:r>
      <w:r w:rsidR="009240F6" w:rsidRPr="009240F6">
        <w:rPr>
          <w:rFonts w:asciiTheme="majorBidi" w:hAnsiTheme="majorBidi" w:cstheme="majorBidi"/>
          <w:b w:val="0"/>
          <w:szCs w:val="24"/>
        </w:rPr>
        <w:t>O</w:t>
      </w:r>
      <w:r w:rsidR="009240F6" w:rsidRPr="0027187B">
        <w:rPr>
          <w:rFonts w:asciiTheme="majorBidi" w:hAnsiTheme="majorBidi" w:cstheme="majorBidi"/>
          <w:b w:val="0"/>
          <w:szCs w:val="24"/>
          <w:vertAlign w:val="subscript"/>
        </w:rPr>
        <w:t>3</w:t>
      </w:r>
      <w:r w:rsidR="009240F6" w:rsidRPr="009240F6">
        <w:rPr>
          <w:rFonts w:asciiTheme="majorBidi" w:hAnsiTheme="majorBidi" w:cstheme="majorBidi"/>
          <w:b w:val="0"/>
          <w:szCs w:val="24"/>
        </w:rPr>
        <w:t>–44.4SiO</w:t>
      </w:r>
      <w:r w:rsidR="009240F6" w:rsidRPr="0027187B">
        <w:rPr>
          <w:rFonts w:asciiTheme="majorBidi" w:hAnsiTheme="majorBidi" w:cstheme="majorBidi"/>
          <w:b w:val="0"/>
          <w:szCs w:val="24"/>
          <w:vertAlign w:val="subscript"/>
        </w:rPr>
        <w:t>2</w:t>
      </w:r>
      <w:r w:rsidR="009240F6" w:rsidRPr="009240F6">
        <w:rPr>
          <w:rFonts w:asciiTheme="majorBidi" w:hAnsiTheme="majorBidi" w:cstheme="majorBidi"/>
          <w:b w:val="0"/>
          <w:szCs w:val="24"/>
        </w:rPr>
        <w:t>) glass</w:t>
      </w:r>
      <w:r w:rsidR="009240F6">
        <w:rPr>
          <w:rFonts w:asciiTheme="majorBidi" w:hAnsiTheme="majorBidi" w:cstheme="majorBidi"/>
          <w:b w:val="0"/>
          <w:szCs w:val="24"/>
        </w:rPr>
        <w:t xml:space="preserve">. The line width </w:t>
      </w:r>
      <w:r w:rsidR="008F7171">
        <w:rPr>
          <w:rFonts w:asciiTheme="majorBidi" w:hAnsiTheme="majorBidi" w:cstheme="majorBidi"/>
          <w:b w:val="0"/>
          <w:szCs w:val="24"/>
        </w:rPr>
        <w:t xml:space="preserve">of Al MAS spectra </w:t>
      </w:r>
      <w:r w:rsidR="006208BB">
        <w:rPr>
          <w:rFonts w:asciiTheme="majorBidi" w:hAnsiTheme="majorBidi" w:cstheme="majorBidi"/>
          <w:b w:val="0"/>
          <w:szCs w:val="24"/>
        </w:rPr>
        <w:t xml:space="preserve">was </w:t>
      </w:r>
      <w:r w:rsidR="008F7171">
        <w:rPr>
          <w:rFonts w:asciiTheme="majorBidi" w:hAnsiTheme="majorBidi" w:cstheme="majorBidi"/>
          <w:b w:val="0"/>
          <w:szCs w:val="24"/>
        </w:rPr>
        <w:t xml:space="preserve">also decreased with increasing temperature, </w:t>
      </w:r>
      <w:r w:rsidR="008B4759">
        <w:rPr>
          <w:rFonts w:asciiTheme="majorBidi" w:hAnsiTheme="majorBidi" w:cstheme="majorBidi"/>
          <w:b w:val="0"/>
          <w:szCs w:val="24"/>
        </w:rPr>
        <w:t xml:space="preserve">indicating </w:t>
      </w:r>
      <w:r w:rsidR="008F7171">
        <w:rPr>
          <w:rFonts w:asciiTheme="majorBidi" w:hAnsiTheme="majorBidi" w:cstheme="majorBidi"/>
          <w:b w:val="0"/>
          <w:szCs w:val="24"/>
        </w:rPr>
        <w:t xml:space="preserve">that the chemical </w:t>
      </w:r>
      <w:r w:rsidR="004E73FB">
        <w:rPr>
          <w:rFonts w:asciiTheme="majorBidi" w:hAnsiTheme="majorBidi" w:cstheme="majorBidi"/>
          <w:b w:val="0"/>
          <w:szCs w:val="24"/>
        </w:rPr>
        <w:t xml:space="preserve">environment </w:t>
      </w:r>
      <w:r w:rsidR="008B4759">
        <w:rPr>
          <w:rFonts w:asciiTheme="majorBidi" w:hAnsiTheme="majorBidi" w:cstheme="majorBidi"/>
          <w:b w:val="0"/>
          <w:szCs w:val="24"/>
        </w:rPr>
        <w:t xml:space="preserve">is </w:t>
      </w:r>
      <w:r w:rsidR="004E73FB">
        <w:rPr>
          <w:rFonts w:asciiTheme="majorBidi" w:hAnsiTheme="majorBidi" w:cstheme="majorBidi"/>
          <w:b w:val="0"/>
          <w:szCs w:val="24"/>
        </w:rPr>
        <w:t>change</w:t>
      </w:r>
      <w:r w:rsidR="008B4759">
        <w:rPr>
          <w:rFonts w:asciiTheme="majorBidi" w:hAnsiTheme="majorBidi" w:cstheme="majorBidi"/>
          <w:b w:val="0"/>
          <w:szCs w:val="24"/>
        </w:rPr>
        <w:t>d</w:t>
      </w:r>
      <w:r w:rsidR="009240F6">
        <w:rPr>
          <w:rFonts w:asciiTheme="majorBidi" w:hAnsiTheme="majorBidi" w:cstheme="majorBidi"/>
          <w:b w:val="0"/>
          <w:szCs w:val="24"/>
        </w:rPr>
        <w:t xml:space="preserve"> </w:t>
      </w:r>
      <w:r w:rsidR="00C830D9" w:rsidRPr="000E2377">
        <w:rPr>
          <w:rFonts w:cs="Times New Roman"/>
          <w:b w:val="0"/>
          <w:szCs w:val="24"/>
        </w:rPr>
        <w:fldChar w:fldCharType="begin" w:fldLock="1"/>
      </w:r>
      <w:r w:rsidR="00C830D9" w:rsidRPr="000E2377">
        <w:rPr>
          <w:rFonts w:cs="Times New Roman"/>
          <w:b w:val="0"/>
          <w:szCs w:val="24"/>
        </w:rPr>
        <w:instrText>ADDIN CSL_CITATION { "citationItems" : [ { "id" : "ITEM-1", "itemData" : { "DOI" : "10.1016/j.jnoncrysol.2007.06.030", "ISSN" : "00223093", "abstract" : "The temperature dependence (25-1400 ??C) of 27Al NMR spectra and spin-lattice relaxation time constants T1 have been studied for a calcium aluminosilicate (43.1CaO-12.5Al2O3-44.4SiO2) glass and melt using an in situ high temperature probe, and the glass has been characterized by ambient temperature, high field MAS NMR. The peak positions and the line widths show a consistent behavior as motional averaging of the quadrupolar satellites increases with increasing temperature. The rate of decrease with temperature of T1 drastically increases near the glass transition temperature Tg, which suggests a change in NMR relaxation process from vibrational to translational motions. Above the T1 minimum (???1200 ??C), NMR correlation times obtained from T1 are in good agreement with shear relaxation times estimated from viscosity, suggesting that microscopic nuclear spin relaxation is controlled by the same dynamics as macroscopic structural relaxation, and thus that atomic-scale motion is closely related to macroscopic viscous flow. ?? 2007 Elsevier B.V. All rights reserved.", "author" : [ { "dropping-particle" : "", "family" : "Kanehashi", "given" : "Koji", "non-dropping-particle" : "", "parse-names" : false, "suffix" : "" }, { "dropping-particle" : "", "family" : "Stebbins", "given" : "Jonathan F.", "non-dropping-particle" : "", "parse-names" : false, "suffix" : "" } ], "container-title" : "Journal of Non-Crystalline Solids", "id" : "ITEM-1", "issue" : "44-46", "issued" : { "date-parts" : [ [ "2007" ] ] }, "page" : "4001-4010", "title" : "In situ high temperature 27Al NMR study of structure and dynamics in a calcium aluminosilicate glass and melt", "type" : "article-journal", "volume" : "353" }, "uris" : [ "http://www.mendeley.com/documents/?uuid=aa773504-2ca3-4b41-abe0-0d4c2cf9f1e5" ] } ], "mendeley" : { "formattedCitation" : "(Kanehashi &amp; Stebbins, 2007)", "plainTextFormattedCitation" : "(Kanehashi &amp; Stebbins, 2007)", "previouslyFormattedCitation" : "(Kanehashi &amp; Stebbins, 2007)" }, "properties" : { "noteIndex" : 0 }, "schema" : "https://github.com/citation-style-language/schema/raw/master/csl-citation.json" }</w:instrText>
      </w:r>
      <w:r w:rsidR="00C830D9" w:rsidRPr="000E2377">
        <w:rPr>
          <w:rFonts w:cs="Times New Roman"/>
          <w:b w:val="0"/>
          <w:szCs w:val="24"/>
        </w:rPr>
        <w:fldChar w:fldCharType="separate"/>
      </w:r>
      <w:r w:rsidR="00C830D9" w:rsidRPr="000E2377">
        <w:rPr>
          <w:rFonts w:cs="Times New Roman"/>
          <w:b w:val="0"/>
          <w:noProof/>
          <w:szCs w:val="24"/>
        </w:rPr>
        <w:t>(Kanehashi &amp; Stebbins, 2007)</w:t>
      </w:r>
      <w:r w:rsidR="00C830D9" w:rsidRPr="000E2377">
        <w:rPr>
          <w:rFonts w:cs="Times New Roman"/>
          <w:b w:val="0"/>
          <w:szCs w:val="24"/>
        </w:rPr>
        <w:fldChar w:fldCharType="end"/>
      </w:r>
      <w:r w:rsidR="004E73FB">
        <w:rPr>
          <w:rFonts w:cs="Times New Roman"/>
          <w:b w:val="0"/>
          <w:szCs w:val="24"/>
        </w:rPr>
        <w:t>.</w:t>
      </w:r>
      <w:r w:rsidR="00335147">
        <w:rPr>
          <w:rFonts w:cs="Times New Roman"/>
          <w:b w:val="0"/>
          <w:szCs w:val="24"/>
        </w:rPr>
        <w:t xml:space="preserve"> The coordination of alumina present also depends on the quench rate and fictive </w:t>
      </w:r>
      <w:r w:rsidR="008B4759">
        <w:rPr>
          <w:rFonts w:cs="Times New Roman"/>
          <w:b w:val="0"/>
          <w:szCs w:val="24"/>
        </w:rPr>
        <w:t>tempera</w:t>
      </w:r>
      <w:r w:rsidR="00335147">
        <w:rPr>
          <w:rFonts w:cs="Times New Roman"/>
          <w:b w:val="0"/>
          <w:szCs w:val="24"/>
        </w:rPr>
        <w:t xml:space="preserve">ture. In calcium aluminosilicate glass, </w:t>
      </w:r>
      <w:r w:rsidR="00335147" w:rsidRPr="00335147">
        <w:rPr>
          <w:rFonts w:cs="Times New Roman"/>
          <w:b w:val="0"/>
          <w:szCs w:val="24"/>
        </w:rPr>
        <w:t>CaAl</w:t>
      </w:r>
      <w:r w:rsidR="00335147" w:rsidRPr="00135B5F">
        <w:rPr>
          <w:rFonts w:cs="Times New Roman"/>
          <w:b w:val="0"/>
          <w:szCs w:val="24"/>
          <w:vertAlign w:val="subscript"/>
        </w:rPr>
        <w:t>2</w:t>
      </w:r>
      <w:r w:rsidR="00335147" w:rsidRPr="00335147">
        <w:rPr>
          <w:rFonts w:cs="Times New Roman"/>
          <w:b w:val="0"/>
          <w:szCs w:val="24"/>
        </w:rPr>
        <w:t>Si</w:t>
      </w:r>
      <w:r w:rsidR="00335147" w:rsidRPr="00135B5F">
        <w:rPr>
          <w:rFonts w:cs="Times New Roman"/>
          <w:b w:val="0"/>
          <w:szCs w:val="24"/>
          <w:vertAlign w:val="subscript"/>
        </w:rPr>
        <w:t>2</w:t>
      </w:r>
      <w:r w:rsidR="00335147" w:rsidRPr="00335147">
        <w:rPr>
          <w:rFonts w:cs="Times New Roman"/>
          <w:b w:val="0"/>
          <w:szCs w:val="24"/>
        </w:rPr>
        <w:t>O</w:t>
      </w:r>
      <w:r w:rsidR="00335147" w:rsidRPr="00135B5F">
        <w:rPr>
          <w:rFonts w:cs="Times New Roman"/>
          <w:b w:val="0"/>
          <w:szCs w:val="24"/>
          <w:vertAlign w:val="subscript"/>
        </w:rPr>
        <w:t>8</w:t>
      </w:r>
      <w:r w:rsidR="00335147">
        <w:rPr>
          <w:rFonts w:cs="Times New Roman"/>
          <w:b w:val="0"/>
          <w:szCs w:val="24"/>
        </w:rPr>
        <w:t>, higher quench rates and</w:t>
      </w:r>
      <w:r w:rsidR="00335147" w:rsidRPr="00335147">
        <w:rPr>
          <w:rFonts w:cs="Times New Roman"/>
          <w:b w:val="0"/>
          <w:szCs w:val="24"/>
        </w:rPr>
        <w:t xml:space="preserve"> </w:t>
      </w:r>
      <w:r w:rsidR="00335147">
        <w:rPr>
          <w:rFonts w:cs="Times New Roman"/>
          <w:b w:val="0"/>
          <w:szCs w:val="24"/>
        </w:rPr>
        <w:t xml:space="preserve">higher fictive temperatures give higher </w:t>
      </w:r>
      <w:r w:rsidR="00893F96">
        <w:rPr>
          <w:rFonts w:cs="Times New Roman"/>
          <w:b w:val="0"/>
          <w:szCs w:val="24"/>
        </w:rPr>
        <w:t xml:space="preserve">amounts of </w:t>
      </w:r>
      <w:r w:rsidR="00335147">
        <w:rPr>
          <w:rFonts w:cs="Times New Roman"/>
          <w:b w:val="0"/>
          <w:szCs w:val="24"/>
        </w:rPr>
        <w:t>Al</w:t>
      </w:r>
      <w:r w:rsidR="00335147" w:rsidRPr="0027187B">
        <w:rPr>
          <w:rFonts w:cs="Times New Roman"/>
          <w:b w:val="0"/>
          <w:szCs w:val="24"/>
          <w:vertAlign w:val="superscript"/>
        </w:rPr>
        <w:t>V</w:t>
      </w:r>
      <w:r w:rsidR="00335147">
        <w:rPr>
          <w:rFonts w:cs="Times New Roman"/>
          <w:b w:val="0"/>
          <w:szCs w:val="24"/>
        </w:rPr>
        <w:t xml:space="preserve"> and also high </w:t>
      </w:r>
      <w:r w:rsidR="00893F96">
        <w:rPr>
          <w:rFonts w:cs="Times New Roman"/>
          <w:b w:val="0"/>
          <w:szCs w:val="24"/>
        </w:rPr>
        <w:t xml:space="preserve">numbers of </w:t>
      </w:r>
      <w:r w:rsidR="00335147">
        <w:rPr>
          <w:rFonts w:cs="Times New Roman"/>
          <w:b w:val="0"/>
          <w:szCs w:val="24"/>
        </w:rPr>
        <w:t xml:space="preserve">NBOs  </w:t>
      </w:r>
      <w:r w:rsidR="00335147" w:rsidRPr="000E2377">
        <w:rPr>
          <w:rFonts w:cs="Times New Roman"/>
          <w:b w:val="0"/>
          <w:szCs w:val="24"/>
        </w:rPr>
        <w:fldChar w:fldCharType="begin" w:fldLock="1"/>
      </w:r>
      <w:r w:rsidR="00335147">
        <w:rPr>
          <w:rFonts w:cs="Times New Roman"/>
          <w:b w:val="0"/>
          <w:szCs w:val="24"/>
        </w:rPr>
        <w:instrText>ADDIN CSL_CITATION { "citationItems" : [ { "id" : "ITEM-1", "itemData" : { "DOI" : "10.1016/j.gca.2007.11.018", "ISBN" : "0016-7037", "ISSN" : "00167037", "abstract" : "Configurational changes with temperature are important for the thermodynamic and transport properties of most aluminosilicate melts, but in general are not well understood. Here, we present high-resolution 27Al and 17O NMR data on several calcium aluminosilicate glasses prepared with varying quench rates and thus with fictive temperatures that span ranges up to about 200 K. In all compositions the content of five-coordinated aluminum increases with fictive temperature, in agreement with recent high temperature NMR data on melts. In a glass of CaAl2Si2O8 (\"anorthite\") composition, the content of non-bridging oxygens also increases with temperature; however this effect was not observed in a sample with a much higher CaO/Al2O3 ratio. We present a consistent notation for reactions among structural species in these systems that clarify why in some cases, high-coordinated network cations may appear on the same side of the reaction, while in others they occur on the opposite sides: the key difference is in accounting for all coordination changes for oxygens. Mixing of non-bridging oxygens and of high-coordinated aluminum make significant contributions to the overall configurational entropy and heat capacity of the melts, as does the mixing of various bridging oxygens and of tetrahedral network cations. Other, less well known, types of increase in disorder with temperature may be important as well. ?? 2007 Elsevier Ltd. All rights reserved.", "author" : [ { "dropping-particle" : "", "family" : "Stebbins", "given" : "Jonathan F.", "non-dropping-particle" : "", "parse-names" : false, "suffix" : "" }, { "dropping-particle" : "V.", "family" : "Dubinsky", "given" : "Emily", "non-dropping-particle" : "", "parse-names" : false, "suffix" : "" }, { "dropping-particle" : "", "family" : "Kanehashi", "given" : "Koji", "non-dropping-particle" : "", "parse-names" : false, "suffix" : "" }, { "dropping-particle" : "", "family" : "Kelsey", "given" : "Kimberly E.", "non-dropping-particle" : "", "parse-names" : false, "suffix" : "" } ], "container-title" : "Geochimica et Cosmochimica Acta", "id" : "ITEM-1", "issue" : "3", "issued" : { "date-parts" : [ [ "2008" ] ] }, "page" : "910-925", "title" : "Temperature effects on non-bridging oxygen and aluminum coordination number in calcium aluminosilicate glasses and melts", "type" : "article-journal", "volume" : "72" }, "uris" : [ "http://www.mendeley.com/documents/?uuid=975e938d-b5fb-4e4d-86bd-18d1e34b9afc" ] } ], "mendeley" : { "formattedCitation" : "(Stebbins, Dubinsky, Kanehashi, &amp; Kelsey, 2008)", "manualFormatting" : "(Stebbins et al., 2008)", "plainTextFormattedCitation" : "(Stebbins, Dubinsky, Kanehashi, &amp; Kelsey, 2008)", "previouslyFormattedCitation" : "(Stebbins, Dubinsky, Kanehashi, &amp; Kelsey, 2008)" }, "properties" : { "noteIndex" : 0 }, "schema" : "https://github.com/citation-style-language/schema/raw/master/csl-citation.json" }</w:instrText>
      </w:r>
      <w:r w:rsidR="00335147" w:rsidRPr="000E2377">
        <w:rPr>
          <w:rFonts w:cs="Times New Roman"/>
          <w:b w:val="0"/>
          <w:szCs w:val="24"/>
        </w:rPr>
        <w:fldChar w:fldCharType="separate"/>
      </w:r>
      <w:r w:rsidR="00335147" w:rsidRPr="000E2377">
        <w:rPr>
          <w:rFonts w:cs="Times New Roman"/>
          <w:b w:val="0"/>
          <w:noProof/>
          <w:szCs w:val="24"/>
        </w:rPr>
        <w:t xml:space="preserve">(Stebbins </w:t>
      </w:r>
      <w:r w:rsidR="00335147">
        <w:rPr>
          <w:rFonts w:cs="Times New Roman"/>
          <w:b w:val="0"/>
          <w:noProof/>
          <w:szCs w:val="24"/>
        </w:rPr>
        <w:t>et al.,</w:t>
      </w:r>
      <w:r w:rsidR="00335147" w:rsidRPr="000E2377">
        <w:rPr>
          <w:rFonts w:cs="Times New Roman"/>
          <w:b w:val="0"/>
          <w:noProof/>
          <w:szCs w:val="24"/>
        </w:rPr>
        <w:t xml:space="preserve"> 2008)</w:t>
      </w:r>
      <w:r w:rsidR="00335147" w:rsidRPr="000E2377">
        <w:rPr>
          <w:rFonts w:cs="Times New Roman"/>
          <w:b w:val="0"/>
          <w:szCs w:val="24"/>
        </w:rPr>
        <w:fldChar w:fldCharType="end"/>
      </w:r>
      <w:r w:rsidR="00335147">
        <w:rPr>
          <w:rFonts w:cs="Times New Roman"/>
          <w:b w:val="0"/>
          <w:szCs w:val="24"/>
        </w:rPr>
        <w:t xml:space="preserve">. </w:t>
      </w:r>
    </w:p>
    <w:p w14:paraId="0A46004C" w14:textId="77777777" w:rsidR="000C0130" w:rsidRDefault="000C0130" w:rsidP="004E2D30">
      <w:pPr>
        <w:spacing w:line="360" w:lineRule="auto"/>
        <w:jc w:val="both"/>
        <w:rPr>
          <w:rFonts w:asciiTheme="majorBidi" w:hAnsiTheme="majorBidi" w:cstheme="majorBidi"/>
          <w:b w:val="0"/>
          <w:szCs w:val="24"/>
        </w:rPr>
      </w:pPr>
    </w:p>
    <w:p w14:paraId="073C7E7D" w14:textId="1C679E04" w:rsidR="0064576E" w:rsidRPr="000E2377" w:rsidRDefault="0064576E" w:rsidP="0064576E">
      <w:pPr>
        <w:keepNext/>
        <w:keepLines/>
        <w:spacing w:before="40" w:after="0" w:line="360" w:lineRule="auto"/>
        <w:jc w:val="both"/>
        <w:outlineLvl w:val="2"/>
        <w:rPr>
          <w:rFonts w:eastAsiaTheme="majorEastAsia" w:cstheme="majorBidi"/>
          <w:color w:val="000000" w:themeColor="text1"/>
          <w:szCs w:val="24"/>
        </w:rPr>
      </w:pPr>
      <w:bookmarkStart w:id="98" w:name="_Toc515398708"/>
      <w:bookmarkStart w:id="99" w:name="_Toc523402872"/>
      <w:bookmarkStart w:id="100" w:name="_Toc525526383"/>
      <w:bookmarkStart w:id="101" w:name="_Toc525707800"/>
      <w:bookmarkStart w:id="102" w:name="_Toc525742464"/>
      <w:bookmarkStart w:id="103" w:name="_Toc12994941"/>
      <w:r w:rsidRPr="000E2377">
        <w:rPr>
          <w:rFonts w:eastAsiaTheme="majorEastAsia" w:cstheme="majorBidi"/>
          <w:color w:val="000000" w:themeColor="text1"/>
          <w:szCs w:val="24"/>
        </w:rPr>
        <w:lastRenderedPageBreak/>
        <w:t>2.5 Boron as a network former</w:t>
      </w:r>
      <w:bookmarkEnd w:id="98"/>
      <w:bookmarkEnd w:id="99"/>
      <w:bookmarkEnd w:id="100"/>
      <w:bookmarkEnd w:id="101"/>
      <w:bookmarkEnd w:id="102"/>
      <w:bookmarkEnd w:id="103"/>
    </w:p>
    <w:p w14:paraId="00AF57B3" w14:textId="4A63C2C0" w:rsidR="004849CD" w:rsidRPr="000E2377" w:rsidRDefault="00634E04" w:rsidP="00A82A8C">
      <w:pPr>
        <w:spacing w:before="240" w:line="360" w:lineRule="auto"/>
        <w:jc w:val="both"/>
        <w:rPr>
          <w:rFonts w:asciiTheme="majorBidi" w:hAnsiTheme="majorBidi" w:cstheme="majorBidi"/>
          <w:b w:val="0"/>
          <w:szCs w:val="24"/>
        </w:rPr>
      </w:pPr>
      <w:r w:rsidRPr="000E2377">
        <w:rPr>
          <w:rFonts w:cs="Times New Roman"/>
          <w:b w:val="0"/>
          <w:szCs w:val="24"/>
        </w:rPr>
        <w:t>B</w:t>
      </w:r>
      <w:r w:rsidRPr="000E2377">
        <w:rPr>
          <w:rFonts w:cs="Times New Roman"/>
          <w:b w:val="0"/>
          <w:szCs w:val="24"/>
          <w:vertAlign w:val="subscript"/>
        </w:rPr>
        <w:t>2</w:t>
      </w:r>
      <w:r w:rsidRPr="000E2377">
        <w:rPr>
          <w:rFonts w:cs="Times New Roman"/>
          <w:b w:val="0"/>
          <w:szCs w:val="24"/>
        </w:rPr>
        <w:t>O</w:t>
      </w:r>
      <w:r w:rsidRPr="000E2377">
        <w:rPr>
          <w:rFonts w:cs="Times New Roman"/>
          <w:b w:val="0"/>
          <w:szCs w:val="24"/>
          <w:vertAlign w:val="subscript"/>
        </w:rPr>
        <w:t>3</w:t>
      </w:r>
      <w:r w:rsidRPr="000E2377">
        <w:rPr>
          <w:rFonts w:cs="Times New Roman"/>
          <w:b w:val="0"/>
          <w:szCs w:val="24"/>
        </w:rPr>
        <w:t xml:space="preserve"> is a network former and b</w:t>
      </w:r>
      <w:r w:rsidR="0064576E" w:rsidRPr="000E2377">
        <w:rPr>
          <w:rFonts w:cs="Times New Roman"/>
          <w:b w:val="0"/>
          <w:szCs w:val="24"/>
        </w:rPr>
        <w:t xml:space="preserve">orate </w:t>
      </w:r>
      <w:r w:rsidR="00127EBE" w:rsidRPr="000E2377">
        <w:rPr>
          <w:rFonts w:cs="Times New Roman"/>
          <w:b w:val="0"/>
          <w:szCs w:val="24"/>
        </w:rPr>
        <w:t xml:space="preserve">based </w:t>
      </w:r>
      <w:r w:rsidR="0064576E" w:rsidRPr="000E2377">
        <w:rPr>
          <w:rFonts w:cs="Times New Roman"/>
          <w:b w:val="0"/>
          <w:szCs w:val="24"/>
        </w:rPr>
        <w:t>glass</w:t>
      </w:r>
      <w:r w:rsidR="00127EBE" w:rsidRPr="000E2377">
        <w:rPr>
          <w:rFonts w:cs="Times New Roman"/>
          <w:b w:val="0"/>
          <w:szCs w:val="24"/>
        </w:rPr>
        <w:t>es</w:t>
      </w:r>
      <w:r w:rsidR="0064576E" w:rsidRPr="000E2377">
        <w:rPr>
          <w:rFonts w:cs="Times New Roman"/>
          <w:b w:val="0"/>
          <w:szCs w:val="24"/>
        </w:rPr>
        <w:t xml:space="preserve"> have </w:t>
      </w:r>
      <w:r w:rsidR="00127EBE" w:rsidRPr="000E2377">
        <w:rPr>
          <w:rFonts w:cs="Times New Roman"/>
          <w:b w:val="0"/>
          <w:szCs w:val="24"/>
        </w:rPr>
        <w:t xml:space="preserve">received </w:t>
      </w:r>
      <w:r w:rsidR="0064576E" w:rsidRPr="000E2377">
        <w:rPr>
          <w:rFonts w:cs="Times New Roman"/>
          <w:b w:val="0"/>
          <w:szCs w:val="24"/>
        </w:rPr>
        <w:t xml:space="preserve">much attention and </w:t>
      </w:r>
      <w:r w:rsidR="00127EBE" w:rsidRPr="000E2377">
        <w:rPr>
          <w:rFonts w:cs="Times New Roman"/>
          <w:b w:val="0"/>
          <w:szCs w:val="24"/>
        </w:rPr>
        <w:t>have</w:t>
      </w:r>
      <w:r w:rsidR="00EC666D" w:rsidRPr="000E2377">
        <w:rPr>
          <w:rFonts w:cs="Times New Roman"/>
          <w:b w:val="0"/>
          <w:szCs w:val="24"/>
        </w:rPr>
        <w:t xml:space="preserve"> </w:t>
      </w:r>
      <w:r w:rsidR="0064576E" w:rsidRPr="000E2377">
        <w:rPr>
          <w:rFonts w:cs="Times New Roman"/>
          <w:b w:val="0"/>
          <w:szCs w:val="24"/>
        </w:rPr>
        <w:t>been continuously studied</w:t>
      </w:r>
      <w:r w:rsidR="00681716">
        <w:rPr>
          <w:rFonts w:cs="Times New Roman"/>
          <w:b w:val="0"/>
          <w:szCs w:val="24"/>
        </w:rPr>
        <w:t>, however</w:t>
      </w:r>
      <w:r w:rsidR="006208BB">
        <w:rPr>
          <w:rFonts w:cs="Times New Roman"/>
          <w:b w:val="0"/>
          <w:szCs w:val="24"/>
        </w:rPr>
        <w:t>,</w:t>
      </w:r>
      <w:r w:rsidR="00681716">
        <w:rPr>
          <w:rFonts w:cs="Times New Roman"/>
          <w:b w:val="0"/>
          <w:szCs w:val="24"/>
        </w:rPr>
        <w:t xml:space="preserve"> borates have very limited applications </w:t>
      </w:r>
      <w:r w:rsidR="00893F96">
        <w:rPr>
          <w:rFonts w:cs="Times New Roman"/>
          <w:b w:val="0"/>
          <w:szCs w:val="24"/>
        </w:rPr>
        <w:t>compared to</w:t>
      </w:r>
      <w:r w:rsidR="00681716">
        <w:rPr>
          <w:rFonts w:cs="Times New Roman"/>
          <w:b w:val="0"/>
          <w:szCs w:val="24"/>
        </w:rPr>
        <w:t xml:space="preserve"> </w:t>
      </w:r>
      <w:proofErr w:type="spellStart"/>
      <w:r w:rsidR="00681716">
        <w:rPr>
          <w:rFonts w:cs="Times New Roman"/>
          <w:b w:val="0"/>
          <w:szCs w:val="24"/>
        </w:rPr>
        <w:t>borosilicates</w:t>
      </w:r>
      <w:proofErr w:type="spellEnd"/>
      <w:r w:rsidR="0064576E" w:rsidRPr="000E2377">
        <w:rPr>
          <w:rFonts w:cs="Times New Roman"/>
          <w:b w:val="0"/>
          <w:szCs w:val="24"/>
        </w:rPr>
        <w:t xml:space="preserve">. Boron oxide also can be used to improve melt refining process and improve </w:t>
      </w:r>
      <w:r w:rsidR="00284CC3">
        <w:rPr>
          <w:rFonts w:cs="Times New Roman"/>
          <w:b w:val="0"/>
          <w:szCs w:val="24"/>
        </w:rPr>
        <w:t xml:space="preserve">the </w:t>
      </w:r>
      <w:r w:rsidR="0064576E" w:rsidRPr="000E2377">
        <w:rPr>
          <w:rFonts w:cs="Times New Roman"/>
          <w:b w:val="0"/>
          <w:szCs w:val="24"/>
        </w:rPr>
        <w:t xml:space="preserve">optical properties of glass produced. </w:t>
      </w:r>
      <w:r w:rsidR="004849CD" w:rsidRPr="000E2377">
        <w:rPr>
          <w:rFonts w:cs="Times New Roman"/>
          <w:b w:val="0"/>
          <w:szCs w:val="24"/>
        </w:rPr>
        <w:t xml:space="preserve">Boron is trivalent and thus forms trigonal units. </w:t>
      </w:r>
      <w:r w:rsidR="004849CD" w:rsidRPr="000E2377">
        <w:rPr>
          <w:rFonts w:asciiTheme="majorBidi" w:hAnsiTheme="majorBidi" w:cstheme="majorBidi"/>
          <w:b w:val="0"/>
          <w:szCs w:val="24"/>
        </w:rPr>
        <w:t>The initial addition of a network modifier, such as Na</w:t>
      </w:r>
      <w:r w:rsidR="004849CD" w:rsidRPr="000E2377">
        <w:rPr>
          <w:rFonts w:asciiTheme="majorBidi" w:hAnsiTheme="majorBidi" w:cstheme="majorBidi"/>
          <w:b w:val="0"/>
          <w:szCs w:val="24"/>
          <w:vertAlign w:val="subscript"/>
        </w:rPr>
        <w:t>2</w:t>
      </w:r>
      <w:r w:rsidR="004849CD" w:rsidRPr="000E2377">
        <w:rPr>
          <w:rFonts w:asciiTheme="majorBidi" w:hAnsiTheme="majorBidi" w:cstheme="majorBidi"/>
          <w:b w:val="0"/>
          <w:szCs w:val="24"/>
        </w:rPr>
        <w:t>O in binary alkali borate glasses</w:t>
      </w:r>
      <w:r w:rsidR="008B4759">
        <w:rPr>
          <w:rFonts w:asciiTheme="majorBidi" w:hAnsiTheme="majorBidi" w:cstheme="majorBidi"/>
          <w:b w:val="0"/>
          <w:szCs w:val="24"/>
        </w:rPr>
        <w:t>,</w:t>
      </w:r>
      <w:r w:rsidR="004849CD" w:rsidRPr="000E2377">
        <w:rPr>
          <w:rFonts w:asciiTheme="majorBidi" w:hAnsiTheme="majorBidi" w:cstheme="majorBidi"/>
          <w:b w:val="0"/>
          <w:szCs w:val="24"/>
        </w:rPr>
        <w:t xml:space="preserve"> produces fourfold coordinated B (B</w:t>
      </w:r>
      <w:r w:rsidR="00B4268D" w:rsidRPr="00B7305C">
        <w:rPr>
          <w:rFonts w:asciiTheme="majorBidi" w:hAnsiTheme="majorBidi" w:cstheme="majorBidi"/>
          <w:b w:val="0"/>
          <w:szCs w:val="24"/>
          <w:vertAlign w:val="superscript"/>
        </w:rPr>
        <w:t>IV</w:t>
      </w:r>
      <w:r w:rsidR="004849CD" w:rsidRPr="000E2377">
        <w:rPr>
          <w:rFonts w:asciiTheme="majorBidi" w:hAnsiTheme="majorBidi" w:cstheme="majorBidi"/>
          <w:b w:val="0"/>
          <w:szCs w:val="24"/>
        </w:rPr>
        <w:t xml:space="preserve">) from </w:t>
      </w:r>
      <w:r w:rsidR="006208BB">
        <w:rPr>
          <w:rFonts w:asciiTheme="majorBidi" w:hAnsiTheme="majorBidi" w:cstheme="majorBidi"/>
          <w:b w:val="0"/>
          <w:szCs w:val="24"/>
        </w:rPr>
        <w:t xml:space="preserve">the </w:t>
      </w:r>
      <w:r w:rsidR="004849CD" w:rsidRPr="000E2377">
        <w:rPr>
          <w:rFonts w:asciiTheme="majorBidi" w:hAnsiTheme="majorBidi" w:cstheme="majorBidi"/>
          <w:b w:val="0"/>
          <w:szCs w:val="24"/>
        </w:rPr>
        <w:t>conversion of B</w:t>
      </w:r>
      <w:r w:rsidR="00B4268D" w:rsidRPr="00B7305C">
        <w:rPr>
          <w:rFonts w:asciiTheme="majorBidi" w:hAnsiTheme="majorBidi" w:cstheme="majorBidi"/>
          <w:b w:val="0"/>
          <w:szCs w:val="24"/>
          <w:vertAlign w:val="superscript"/>
        </w:rPr>
        <w:t>III</w:t>
      </w:r>
      <w:r w:rsidR="004849CD" w:rsidRPr="000E2377">
        <w:rPr>
          <w:rFonts w:asciiTheme="majorBidi" w:hAnsiTheme="majorBidi" w:cstheme="majorBidi"/>
          <w:b w:val="0"/>
          <w:szCs w:val="24"/>
        </w:rPr>
        <w:t xml:space="preserve"> (threefold coordinated boron) with Na acting as a charge compensator in the composition </w:t>
      </w:r>
      <w:r w:rsidR="004849CD" w:rsidRPr="000E2377">
        <w:rPr>
          <w:rFonts w:asciiTheme="majorBidi" w:hAnsiTheme="majorBidi" w:cstheme="majorBidi"/>
          <w:b w:val="0"/>
          <w:szCs w:val="24"/>
        </w:rPr>
        <w:fldChar w:fldCharType="begin" w:fldLock="1"/>
      </w:r>
      <w:r w:rsidR="00F82BA8">
        <w:rPr>
          <w:rFonts w:asciiTheme="majorBidi" w:hAnsiTheme="majorBidi" w:cstheme="majorBidi"/>
          <w:b w:val="0"/>
          <w:szCs w:val="24"/>
        </w:rPr>
        <w:instrText>ADDIN CSL_CITATION { "citationItems" : [ { "id" : "ITEM-1", "itemData" : { "DOI" : "10.1103/PhysRevB.86.054203", "ISSN" : "1098-0121", "author" : [ { "dropping-particle" : "", "family" : "Zheng", "given" : "Q. J.", "non-dropping-particle" : "", "parse-names" : false, "suffix" : "" }, { "dropping-particle" : "", "family" : "Youngman", "given" : "R. E.", "non-dropping-particle" : "", "parse-names" : false, "suffix" : "" }, { "dropping-particle" : "", "family" : "Hogue", "given" : "C. L.", "non-dropping-particle" : "", "parse-names" : false, "suffix" : "" }, { "dropping-particle" : "", "family" : "Mauro", "given" : "J. C.", "non-dropping-particle" : "", "parse-names" : false, "suffix" : "" }, { "dropping-particle" : "", "family" : "Potuzak", "given" : "M.", "non-dropping-particle" : "", "parse-names" : false, "suffix" : "" }, { "dropping-particle" : "", "family" : "Smedskjaer", "given" : "M. M.", "non-dropping-particle" : "", "parse-names" : false, "suffix" : "" }, { "dropping-particle" : "", "family" : "Yue", "given" : "Y. Z.", "non-dropping-particle" : "", "parse-names" : false, "suffix" : "" } ], "container-title" : "Physical Review B", "id" : "ITEM-1", "issue" : "5", "issued" : { "date-parts" : [ [ "2012", "8" ] ] }, "page" : "054203", "title" : "Structure of boroaluminosilicate glasses: Impact of [Al2O3]/[SiO2] ratio on the structural role of sodium", "type" : "article-journal", "volume" : "86" }, "uris" : [ "http://www.mendeley.com/documents/?uuid=f6cfc0d4-ec89-4c18-843d-e1e63022faaf" ] } ], "mendeley" : { "formattedCitation" : "(Q. J. Zheng et al., 2012)", "manualFormatting" : "(Zheng et al., 2012)", "plainTextFormattedCitation" : "(Q. J. Zheng et al., 2012)", "previouslyFormattedCitation" : "(Q. J. Zheng et al., 2012)" }, "properties" : { "noteIndex" : 0 }, "schema" : "https://github.com/citation-style-language/schema/raw/master/csl-citation.json" }</w:instrText>
      </w:r>
      <w:r w:rsidR="004849CD" w:rsidRPr="000E2377">
        <w:rPr>
          <w:rFonts w:asciiTheme="majorBidi" w:hAnsiTheme="majorBidi" w:cstheme="majorBidi"/>
          <w:b w:val="0"/>
          <w:szCs w:val="24"/>
        </w:rPr>
        <w:fldChar w:fldCharType="separate"/>
      </w:r>
      <w:r w:rsidR="004849CD" w:rsidRPr="000E2377">
        <w:rPr>
          <w:rFonts w:asciiTheme="majorBidi" w:hAnsiTheme="majorBidi" w:cstheme="majorBidi"/>
          <w:b w:val="0"/>
          <w:noProof/>
          <w:szCs w:val="24"/>
        </w:rPr>
        <w:t>(Zheng et al.</w:t>
      </w:r>
      <w:r w:rsidR="00B7305C">
        <w:rPr>
          <w:rFonts w:asciiTheme="majorBidi" w:hAnsiTheme="majorBidi" w:cstheme="majorBidi"/>
          <w:b w:val="0"/>
          <w:noProof/>
          <w:szCs w:val="24"/>
        </w:rPr>
        <w:t>,</w:t>
      </w:r>
      <w:r w:rsidR="004849CD" w:rsidRPr="000E2377">
        <w:rPr>
          <w:rFonts w:asciiTheme="majorBidi" w:hAnsiTheme="majorBidi" w:cstheme="majorBidi"/>
          <w:b w:val="0"/>
          <w:noProof/>
          <w:szCs w:val="24"/>
        </w:rPr>
        <w:t xml:space="preserve"> 2012)</w:t>
      </w:r>
      <w:r w:rsidR="004849CD" w:rsidRPr="000E2377">
        <w:rPr>
          <w:rFonts w:asciiTheme="majorBidi" w:hAnsiTheme="majorBidi" w:cstheme="majorBidi"/>
          <w:b w:val="0"/>
          <w:szCs w:val="24"/>
        </w:rPr>
        <w:fldChar w:fldCharType="end"/>
      </w:r>
      <w:r w:rsidR="004849CD" w:rsidRPr="000E2377">
        <w:rPr>
          <w:rFonts w:asciiTheme="majorBidi" w:hAnsiTheme="majorBidi" w:cstheme="majorBidi"/>
          <w:b w:val="0"/>
          <w:szCs w:val="24"/>
        </w:rPr>
        <w:t>:</w:t>
      </w:r>
    </w:p>
    <w:p w14:paraId="02F93D1A" w14:textId="24FF6F96" w:rsidR="005A2AE9" w:rsidRDefault="005A2AE9" w:rsidP="009B6ECB">
      <w:pPr>
        <w:spacing w:after="0" w:line="360" w:lineRule="auto"/>
        <w:jc w:val="both"/>
        <w:rPr>
          <w:rFonts w:cs="Times New Roman"/>
          <w:b w:val="0"/>
          <w:szCs w:val="24"/>
        </w:rPr>
      </w:pPr>
      <w:r w:rsidRPr="000E2377">
        <w:rPr>
          <w:bCs/>
          <w:noProof/>
          <w:lang w:eastAsia="en-MY"/>
        </w:rPr>
        <mc:AlternateContent>
          <mc:Choice Requires="wps">
            <w:drawing>
              <wp:anchor distT="0" distB="0" distL="114300" distR="114300" simplePos="0" relativeHeight="251776000" behindDoc="0" locked="0" layoutInCell="1" allowOverlap="1" wp14:anchorId="62EFFCC6" wp14:editId="555D74F5">
                <wp:simplePos x="0" y="0"/>
                <wp:positionH relativeFrom="column">
                  <wp:posOffset>4591312</wp:posOffset>
                </wp:positionH>
                <wp:positionV relativeFrom="paragraph">
                  <wp:posOffset>499636</wp:posOffset>
                </wp:positionV>
                <wp:extent cx="1187318" cy="296545"/>
                <wp:effectExtent l="0" t="0" r="0" b="0"/>
                <wp:wrapNone/>
                <wp:docPr id="1381" name="Text Box 1381"/>
                <wp:cNvGraphicFramePr/>
                <a:graphic xmlns:a="http://schemas.openxmlformats.org/drawingml/2006/main">
                  <a:graphicData uri="http://schemas.microsoft.com/office/word/2010/wordprocessingShape">
                    <wps:wsp>
                      <wps:cNvSpPr txBox="1"/>
                      <wps:spPr>
                        <a:xfrm>
                          <a:off x="0" y="0"/>
                          <a:ext cx="1187318" cy="296545"/>
                        </a:xfrm>
                        <a:prstGeom prst="rect">
                          <a:avLst/>
                        </a:prstGeom>
                        <a:noFill/>
                        <a:ln w="6350">
                          <a:noFill/>
                        </a:ln>
                        <a:effectLst/>
                      </wps:spPr>
                      <wps:txbx>
                        <w:txbxContent>
                          <w:p w14:paraId="38221CC8" w14:textId="5ACBCEB3" w:rsidR="00230AB9" w:rsidRPr="00F74E3E" w:rsidRDefault="00230AB9" w:rsidP="004849CD">
                            <w:pPr>
                              <w:jc w:val="right"/>
                              <w:rPr>
                                <w:rFonts w:asciiTheme="majorBidi" w:hAnsiTheme="majorBidi" w:cstheme="majorBidi"/>
                                <w:b w:val="0"/>
                                <w:szCs w:val="24"/>
                              </w:rPr>
                            </w:pPr>
                            <w:r w:rsidRPr="00F74E3E">
                              <w:rPr>
                                <w:rFonts w:asciiTheme="majorBidi" w:hAnsiTheme="majorBidi" w:cstheme="majorBidi"/>
                                <w:b w:val="0"/>
                                <w:szCs w:val="24"/>
                              </w:rPr>
                              <w:t>Equation 2.</w:t>
                            </w:r>
                            <w:r>
                              <w:rPr>
                                <w:rFonts w:asciiTheme="majorBidi" w:hAnsiTheme="majorBidi" w:cstheme="majorBidi"/>
                                <w:b w:val="0"/>
                                <w:szCs w:val="24"/>
                              </w:rPr>
                              <w:t>3</w:t>
                            </w:r>
                          </w:p>
                          <w:p w14:paraId="0FB6F834" w14:textId="77777777" w:rsidR="00230AB9" w:rsidRDefault="00230AB9" w:rsidP="004849CD">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EFFCC6" id="Text Box 1381" o:spid="_x0000_s1033" type="#_x0000_t202" style="position:absolute;left:0;text-align:left;margin-left:361.5pt;margin-top:39.35pt;width:93.5pt;height:23.35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" filled="f" stroked="f" strokeweight=".5pt">
                <v:textbox>
                  <w:txbxContent>
                    <w:p w14:paraId="38221CC8" w14:textId="5ACBCEB3" w:rsidR="00230AB9" w:rsidRPr="00F74E3E" w:rsidRDefault="00230AB9" w:rsidP="004849CD">
                      <w:pPr>
                        <w:jc w:val="right"/>
                        <w:rPr>
                          <w:rFonts w:asciiTheme="majorBidi" w:hAnsiTheme="majorBidi" w:cstheme="majorBidi"/>
                          <w:b w:val="0"/>
                          <w:szCs w:val="24"/>
                        </w:rPr>
                      </w:pPr>
                      <w:r w:rsidRPr="00F74E3E">
                        <w:rPr>
                          <w:rFonts w:asciiTheme="majorBidi" w:hAnsiTheme="majorBidi" w:cstheme="majorBidi"/>
                          <w:b w:val="0"/>
                          <w:szCs w:val="24"/>
                        </w:rPr>
                        <w:t>Equation 2.</w:t>
                      </w:r>
                      <w:r>
                        <w:rPr>
                          <w:rFonts w:asciiTheme="majorBidi" w:hAnsiTheme="majorBidi" w:cstheme="majorBidi"/>
                          <w:b w:val="0"/>
                          <w:szCs w:val="24"/>
                        </w:rPr>
                        <w:t>3</w:t>
                      </w:r>
                    </w:p>
                    <w:p w14:paraId="0FB6F834" w14:textId="77777777" w:rsidR="00230AB9" w:rsidRDefault="00230AB9" w:rsidP="004849CD">
                      <w:pPr>
                        <w:jc w:val="right"/>
                      </w:pPr>
                    </w:p>
                  </w:txbxContent>
                </v:textbox>
              </v:shape>
            </w:pict>
          </mc:Fallback>
        </mc:AlternateContent>
      </w:r>
      <w:r w:rsidR="00E75005" w:rsidRPr="000E2377">
        <w:rPr>
          <w:rFonts w:asciiTheme="majorBidi" w:hAnsiTheme="majorBidi" w:cstheme="majorBidi"/>
          <w:b w:val="0"/>
          <w:noProof/>
          <w:szCs w:val="24"/>
          <w:lang w:eastAsia="en-MY"/>
        </w:rPr>
        <w:drawing>
          <wp:inline distT="0" distB="0" distL="0" distR="0" wp14:anchorId="2C50A994" wp14:editId="7973D332">
            <wp:extent cx="3409950" cy="1104900"/>
            <wp:effectExtent l="0" t="0" r="0" b="0"/>
            <wp:docPr id="38" name="Picture 38" descr="C:\Users\Asus A450L\Google Drive\0. Master writing\bo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 A450L\Google Drive\0. Master writing\boro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10580" cy="1105104"/>
                    </a:xfrm>
                    <a:prstGeom prst="rect">
                      <a:avLst/>
                    </a:prstGeom>
                    <a:noFill/>
                    <a:ln>
                      <a:noFill/>
                    </a:ln>
                  </pic:spPr>
                </pic:pic>
              </a:graphicData>
            </a:graphic>
          </wp:inline>
        </w:drawing>
      </w:r>
    </w:p>
    <w:p w14:paraId="0FC69FF1" w14:textId="703318FD" w:rsidR="004849CD" w:rsidRPr="00994893" w:rsidRDefault="004849CD" w:rsidP="00FF03B2">
      <w:pPr>
        <w:spacing w:line="360" w:lineRule="auto"/>
        <w:jc w:val="both"/>
        <w:rPr>
          <w:rFonts w:cs="Times New Roman"/>
          <w:b w:val="0"/>
          <w:szCs w:val="24"/>
        </w:rPr>
      </w:pPr>
      <w:r w:rsidRPr="000E2377">
        <w:rPr>
          <w:rFonts w:cs="Times New Roman"/>
          <w:b w:val="0"/>
          <w:szCs w:val="24"/>
        </w:rPr>
        <w:fldChar w:fldCharType="begin" w:fldLock="1"/>
      </w:r>
      <w:r w:rsidRPr="000E2377">
        <w:rPr>
          <w:rFonts w:cs="Times New Roman"/>
          <w:b w:val="0"/>
          <w:szCs w:val="24"/>
        </w:rPr>
        <w:instrText>ADDIN CSL_CITATION { "citationItems" : [ { "id" : "ITEM-1", "itemData" : { "author" : [ { "dropping-particle" : "", "family" : "Varshneya", "given" : "Arun K.", "non-dropping-particle" : "", "parse-names" : false, "suffix" : "" } ], "id" : "ITEM-1", "issued" : { "date-parts" : [ [ "2006" ] ] }, "number-of-pages" : "Second Edition", "title" : "Fundamentals of Inorganic Glasses", "type" : "book" }, "uris" : [ "http://www.mendeley.com/documents/?uuid=57f14a0d-57b3-4254-85da-6b8b3b51a80e" ] } ], "mendeley" : { "formattedCitation" : "(Varshneya, 2006)", "plainTextFormattedCitation" : "(Varshneya, 2006)", "previouslyFormattedCitation" : "(Varshneya, 2006)" }, "properties" : { "noteIndex" : 0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(Varshneya, 2006)</w:t>
      </w:r>
      <w:r w:rsidRPr="000E2377">
        <w:rPr>
          <w:rFonts w:cs="Times New Roman"/>
          <w:b w:val="0"/>
          <w:szCs w:val="24"/>
        </w:rPr>
        <w:fldChar w:fldCharType="end"/>
      </w:r>
      <w:r w:rsidRPr="000E2377">
        <w:rPr>
          <w:rFonts w:asciiTheme="minorHAnsi" w:hAnsiTheme="minorHAnsi"/>
          <w:b w:val="0"/>
          <w:sz w:val="22"/>
        </w:rPr>
        <w:t xml:space="preserve">. </w:t>
      </w:r>
      <w:r w:rsidRPr="000E2377">
        <w:rPr>
          <w:rFonts w:cs="Times New Roman"/>
          <w:b w:val="0"/>
          <w:szCs w:val="24"/>
        </w:rPr>
        <w:t>Beyond a certain limit</w:t>
      </w:r>
      <w:r w:rsidR="00284CC3">
        <w:rPr>
          <w:rFonts w:cs="Times New Roman"/>
          <w:b w:val="0"/>
          <w:szCs w:val="24"/>
        </w:rPr>
        <w:t>,</w:t>
      </w:r>
      <w:r w:rsidRPr="000E2377">
        <w:rPr>
          <w:rFonts w:cs="Times New Roman"/>
          <w:b w:val="0"/>
          <w:szCs w:val="24"/>
        </w:rPr>
        <w:t xml:space="preserve"> further additions lead to the </w:t>
      </w:r>
      <w:r w:rsidRPr="005A2AE9">
        <w:rPr>
          <w:rFonts w:cs="Times New Roman"/>
          <w:b w:val="0"/>
          <w:szCs w:val="24"/>
        </w:rPr>
        <w:t>c</w:t>
      </w:r>
      <w:r w:rsidRPr="00994893">
        <w:rPr>
          <w:rFonts w:cs="Times New Roman"/>
          <w:b w:val="0"/>
          <w:szCs w:val="24"/>
        </w:rPr>
        <w:t>reation of NBOs</w:t>
      </w:r>
      <w:r w:rsidR="00B4268D">
        <w:rPr>
          <w:rFonts w:cs="Times New Roman"/>
          <w:b w:val="0"/>
          <w:szCs w:val="24"/>
        </w:rPr>
        <w:t>.</w:t>
      </w:r>
      <w:r w:rsidRPr="00994893">
        <w:rPr>
          <w:rFonts w:cs="Times New Roman"/>
          <w:b w:val="0"/>
          <w:szCs w:val="24"/>
        </w:rPr>
        <w:t xml:space="preserve"> </w:t>
      </w:r>
    </w:p>
    <w:p w14:paraId="38148F0A" w14:textId="77777777" w:rsidR="00FF03B2" w:rsidRPr="000E2377" w:rsidRDefault="00FF03B2" w:rsidP="009B6ECB">
      <w:pPr>
        <w:spacing w:after="0" w:line="360" w:lineRule="auto"/>
      </w:pPr>
      <w:r w:rsidRPr="000E2377">
        <w:rPr>
          <w:noProof/>
          <w:lang w:eastAsia="en-MY"/>
        </w:rPr>
        <mc:AlternateContent>
          <mc:Choice Requires="wps">
            <w:drawing>
              <wp:anchor distT="0" distB="0" distL="114300" distR="114300" simplePos="0" relativeHeight="251778048" behindDoc="0" locked="0" layoutInCell="1" allowOverlap="1" wp14:anchorId="45FC84DF" wp14:editId="50254F05">
                <wp:simplePos x="0" y="0"/>
                <wp:positionH relativeFrom="column">
                  <wp:posOffset>4387172</wp:posOffset>
                </wp:positionH>
                <wp:positionV relativeFrom="paragraph">
                  <wp:posOffset>387350</wp:posOffset>
                </wp:positionV>
                <wp:extent cx="1387366" cy="320633"/>
                <wp:effectExtent l="0" t="0" r="0" b="3810"/>
                <wp:wrapNone/>
                <wp:docPr id="1380" name="Text Box 1380"/>
                <wp:cNvGraphicFramePr/>
                <a:graphic xmlns:a="http://schemas.openxmlformats.org/drawingml/2006/main">
                  <a:graphicData uri="http://schemas.microsoft.com/office/word/2010/wordprocessingShape">
                    <wps:wsp>
                      <wps:cNvSpPr txBox="1"/>
                      <wps:spPr>
                        <a:xfrm>
                          <a:off x="0" y="0"/>
                          <a:ext cx="1387366" cy="320633"/>
                        </a:xfrm>
                        <a:prstGeom prst="rect">
                          <a:avLst/>
                        </a:prstGeom>
                        <a:noFill/>
                        <a:ln w="6350">
                          <a:noFill/>
                        </a:ln>
                        <a:effectLst/>
                      </wps:spPr>
                      <wps:txbx>
                        <w:txbxContent>
                          <w:p w14:paraId="1007A160" w14:textId="320A04EC" w:rsidR="00230AB9" w:rsidRPr="00F74E3E" w:rsidRDefault="00230AB9" w:rsidP="004849CD">
                            <w:pPr>
                              <w:jc w:val="right"/>
                              <w:rPr>
                                <w:rFonts w:asciiTheme="majorBidi" w:hAnsiTheme="majorBidi" w:cstheme="majorBidi"/>
                                <w:b w:val="0"/>
                                <w:szCs w:val="24"/>
                              </w:rPr>
                            </w:pPr>
                            <w:r w:rsidRPr="00F74E3E">
                              <w:rPr>
                                <w:rFonts w:asciiTheme="majorBidi" w:hAnsiTheme="majorBidi" w:cstheme="majorBidi"/>
                                <w:b w:val="0"/>
                                <w:szCs w:val="24"/>
                              </w:rPr>
                              <w:t>Equation 2.</w:t>
                            </w:r>
                            <w:r>
                              <w:rPr>
                                <w:rFonts w:asciiTheme="majorBidi" w:hAnsiTheme="majorBidi" w:cstheme="majorBidi"/>
                                <w:b w:val="0"/>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FC84DF" id="Text Box 1380" o:spid="_x0000_s1034" type="#_x0000_t202" style="position:absolute;margin-left:345.45pt;margin-top:30.5pt;width:109.25pt;height:25.25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" filled="f" stroked="f" strokeweight=".5pt">
                <v:textbox>
                  <w:txbxContent>
                    <w:p w14:paraId="1007A160" w14:textId="320A04EC" w:rsidR="00230AB9" w:rsidRPr="00F74E3E" w:rsidRDefault="00230AB9" w:rsidP="004849CD">
                      <w:pPr>
                        <w:jc w:val="right"/>
                        <w:rPr>
                          <w:rFonts w:asciiTheme="majorBidi" w:hAnsiTheme="majorBidi" w:cstheme="majorBidi"/>
                          <w:b w:val="0"/>
                          <w:szCs w:val="24"/>
                        </w:rPr>
                      </w:pPr>
                      <w:r w:rsidRPr="00F74E3E">
                        <w:rPr>
                          <w:rFonts w:asciiTheme="majorBidi" w:hAnsiTheme="majorBidi" w:cstheme="majorBidi"/>
                          <w:b w:val="0"/>
                          <w:szCs w:val="24"/>
                        </w:rPr>
                        <w:t>Equation 2.</w:t>
                      </w:r>
                      <w:r>
                        <w:rPr>
                          <w:rFonts w:asciiTheme="majorBidi" w:hAnsiTheme="majorBidi" w:cstheme="majorBidi"/>
                          <w:b w:val="0"/>
                          <w:szCs w:val="24"/>
                        </w:rPr>
                        <w:t>4</w:t>
                      </w:r>
                    </w:p>
                  </w:txbxContent>
                </v:textbox>
              </v:shape>
            </w:pict>
          </mc:Fallback>
        </mc:AlternateContent>
      </w:r>
      <w:r w:rsidR="00423477" w:rsidRPr="000E2377">
        <w:rPr>
          <w:noProof/>
          <w:lang w:eastAsia="en-MY"/>
        </w:rPr>
        <w:drawing>
          <wp:inline distT="0" distB="0" distL="0" distR="0" wp14:anchorId="03AF62CC" wp14:editId="43ADC77B">
            <wp:extent cx="3219675" cy="971550"/>
            <wp:effectExtent l="0" t="0" r="0" b="0"/>
            <wp:docPr id="41" name="Picture 41" descr="C:\Users\Asus A450L\Google Drive\0. Master writing\bor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 A450L\Google Drive\0. Master writing\boron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21616" cy="972136"/>
                    </a:xfrm>
                    <a:prstGeom prst="rect">
                      <a:avLst/>
                    </a:prstGeom>
                    <a:noFill/>
                    <a:ln>
                      <a:noFill/>
                    </a:ln>
                  </pic:spPr>
                </pic:pic>
              </a:graphicData>
            </a:graphic>
          </wp:inline>
        </w:drawing>
      </w:r>
    </w:p>
    <w:p w14:paraId="70FBD802" w14:textId="0CA925A4" w:rsidR="00D64A39" w:rsidRPr="000E2377" w:rsidRDefault="005A2AE9" w:rsidP="00D64A39">
      <w:pPr>
        <w:spacing w:line="360" w:lineRule="auto"/>
        <w:jc w:val="both"/>
        <w:rPr>
          <w:rFonts w:cs="Times New Roman"/>
          <w:b w:val="0"/>
          <w:szCs w:val="24"/>
        </w:rPr>
      </w:pPr>
      <w:r>
        <w:rPr>
          <w:rFonts w:cs="Times New Roman"/>
          <w:b w:val="0"/>
          <w:szCs w:val="24"/>
        </w:rPr>
        <w:t>An important parameter in the studies of</w:t>
      </w:r>
      <w:r w:rsidR="00D64A39" w:rsidRPr="000E2377">
        <w:rPr>
          <w:rFonts w:cs="Times New Roman"/>
          <w:b w:val="0"/>
          <w:szCs w:val="24"/>
        </w:rPr>
        <w:t xml:space="preserve"> alkali borate glass</w:t>
      </w:r>
      <w:r>
        <w:rPr>
          <w:rFonts w:cs="Times New Roman"/>
          <w:b w:val="0"/>
          <w:szCs w:val="24"/>
        </w:rPr>
        <w:t>es</w:t>
      </w:r>
      <w:r w:rsidR="00D64A39" w:rsidRPr="000E2377">
        <w:rPr>
          <w:rFonts w:cs="Times New Roman"/>
          <w:b w:val="0"/>
          <w:szCs w:val="24"/>
        </w:rPr>
        <w:t xml:space="preserve"> is the coordination of borate glass and the fraction of tetrahedral boron to total boron (N</w:t>
      </w:r>
      <w:r w:rsidR="00D64A39" w:rsidRPr="000E2377">
        <w:rPr>
          <w:rFonts w:cs="Times New Roman"/>
          <w:b w:val="0"/>
          <w:szCs w:val="24"/>
          <w:vertAlign w:val="subscript"/>
        </w:rPr>
        <w:t>4</w:t>
      </w:r>
      <w:r w:rsidR="00D64A39" w:rsidRPr="000E2377">
        <w:rPr>
          <w:rFonts w:cs="Times New Roman"/>
          <w:b w:val="0"/>
          <w:szCs w:val="24"/>
        </w:rPr>
        <w:t xml:space="preserve">) </w:t>
      </w:r>
      <w:proofErr w:type="spellStart"/>
      <w:r w:rsidR="00D64A39" w:rsidRPr="000E2377">
        <w:rPr>
          <w:rFonts w:cs="Times New Roman"/>
          <w:b w:val="0"/>
          <w:szCs w:val="24"/>
        </w:rPr>
        <w:t>i.e</w:t>
      </w:r>
      <w:proofErr w:type="spellEnd"/>
      <w:r w:rsidR="00D64A39" w:rsidRPr="000E2377">
        <w:rPr>
          <w:rFonts w:cs="Times New Roman"/>
          <w:b w:val="0"/>
          <w:szCs w:val="24"/>
        </w:rPr>
        <w:t>:</w:t>
      </w:r>
    </w:p>
    <w:p w14:paraId="089AAB15" w14:textId="172E1EE6" w:rsidR="00D64A39" w:rsidRPr="000E2377" w:rsidRDefault="00D64A39" w:rsidP="00D64A39">
      <w:pPr>
        <w:spacing w:line="360" w:lineRule="auto"/>
        <w:jc w:val="center"/>
        <w:rPr>
          <w:rFonts w:cs="Times New Roman"/>
          <w:b w:val="0"/>
          <w:szCs w:val="24"/>
        </w:rPr>
      </w:pPr>
      <w:r w:rsidRPr="000E2377">
        <w:rPr>
          <w:rFonts w:cs="Times New Roman"/>
          <w:b w:val="0"/>
          <w:szCs w:val="24"/>
        </w:rPr>
        <w:t>N</w:t>
      </w:r>
      <w:r w:rsidRPr="000E2377">
        <w:rPr>
          <w:rFonts w:cs="Times New Roman"/>
          <w:b w:val="0"/>
          <w:szCs w:val="24"/>
          <w:vertAlign w:val="subscript"/>
        </w:rPr>
        <w:t>4</w:t>
      </w:r>
      <w:r w:rsidRPr="000E2377">
        <w:rPr>
          <w:rFonts w:cs="Times New Roman"/>
          <w:b w:val="0"/>
          <w:szCs w:val="24"/>
        </w:rPr>
        <w:t xml:space="preserve"> = N (BO</w:t>
      </w:r>
      <w:r w:rsidRPr="000E2377">
        <w:rPr>
          <w:rFonts w:cs="Times New Roman"/>
          <w:b w:val="0"/>
          <w:szCs w:val="24"/>
          <w:vertAlign w:val="subscript"/>
        </w:rPr>
        <w:t>4</w:t>
      </w:r>
      <w:r w:rsidRPr="000E2377">
        <w:rPr>
          <w:rFonts w:cs="Times New Roman"/>
          <w:b w:val="0"/>
          <w:szCs w:val="24"/>
        </w:rPr>
        <w:t>) / N (BO</w:t>
      </w:r>
      <w:r w:rsidRPr="000E2377">
        <w:rPr>
          <w:rFonts w:cs="Times New Roman"/>
          <w:b w:val="0"/>
          <w:szCs w:val="24"/>
          <w:vertAlign w:val="subscript"/>
        </w:rPr>
        <w:t xml:space="preserve">4 </w:t>
      </w:r>
      <w:r w:rsidRPr="000E2377">
        <w:rPr>
          <w:rFonts w:cs="Times New Roman"/>
          <w:b w:val="0"/>
          <w:szCs w:val="24"/>
        </w:rPr>
        <w:t>+ BO</w:t>
      </w:r>
      <w:r w:rsidRPr="000E2377">
        <w:rPr>
          <w:rFonts w:cs="Times New Roman"/>
          <w:b w:val="0"/>
          <w:szCs w:val="24"/>
          <w:vertAlign w:val="subscript"/>
        </w:rPr>
        <w:t>3</w:t>
      </w:r>
      <w:r w:rsidRPr="000E2377">
        <w:rPr>
          <w:rFonts w:cs="Times New Roman"/>
          <w:b w:val="0"/>
          <w:szCs w:val="24"/>
        </w:rPr>
        <w:t>).</w:t>
      </w:r>
      <w:r w:rsidRPr="000E2377">
        <w:rPr>
          <w:rFonts w:cs="Times New Roman"/>
          <w:b w:val="0"/>
          <w:szCs w:val="24"/>
        </w:rPr>
        <w:tab/>
      </w:r>
      <w:r w:rsidRPr="000E2377">
        <w:rPr>
          <w:rFonts w:cs="Times New Roman"/>
          <w:b w:val="0"/>
          <w:szCs w:val="24"/>
        </w:rPr>
        <w:tab/>
      </w:r>
      <w:r w:rsidRPr="000E2377">
        <w:rPr>
          <w:rFonts w:cs="Times New Roman"/>
          <w:b w:val="0"/>
          <w:szCs w:val="24"/>
        </w:rPr>
        <w:tab/>
      </w:r>
      <w:r w:rsidRPr="000E2377">
        <w:rPr>
          <w:rFonts w:cs="Times New Roman"/>
          <w:b w:val="0"/>
          <w:szCs w:val="24"/>
        </w:rPr>
        <w:tab/>
      </w:r>
      <w:r w:rsidRPr="000E2377">
        <w:rPr>
          <w:rFonts w:cs="Times New Roman"/>
          <w:b w:val="0"/>
          <w:szCs w:val="24"/>
        </w:rPr>
        <w:tab/>
        <w:t xml:space="preserve">                    Equation 2.</w:t>
      </w:r>
      <w:r w:rsidR="00E857EA">
        <w:rPr>
          <w:rFonts w:cs="Times New Roman"/>
          <w:b w:val="0"/>
          <w:szCs w:val="24"/>
        </w:rPr>
        <w:t>5</w:t>
      </w:r>
    </w:p>
    <w:p w14:paraId="31234C92" w14:textId="2C029462" w:rsidR="004849CD" w:rsidRPr="000E2377" w:rsidRDefault="005A2AE9" w:rsidP="006C1CBA">
      <w:pPr>
        <w:spacing w:line="360" w:lineRule="auto"/>
        <w:jc w:val="both"/>
        <w:rPr>
          <w:rFonts w:asciiTheme="majorBidi" w:hAnsiTheme="majorBidi" w:cstheme="majorBidi"/>
          <w:b w:val="0"/>
          <w:color w:val="000000" w:themeColor="text1"/>
          <w:szCs w:val="24"/>
        </w:rPr>
      </w:pPr>
      <w:r>
        <w:rPr>
          <w:rFonts w:cs="Times New Roman"/>
          <w:b w:val="0"/>
          <w:szCs w:val="24"/>
        </w:rPr>
        <w:t>The formation of BO</w:t>
      </w:r>
      <w:r>
        <w:rPr>
          <w:rFonts w:cs="Times New Roman"/>
          <w:b w:val="0"/>
          <w:szCs w:val="24"/>
          <w:vertAlign w:val="subscript"/>
        </w:rPr>
        <w:t>4</w:t>
      </w:r>
      <w:r>
        <w:rPr>
          <w:rFonts w:cs="Times New Roman"/>
          <w:b w:val="0"/>
          <w:szCs w:val="24"/>
        </w:rPr>
        <w:t xml:space="preserve"> gives rise to the so-called </w:t>
      </w:r>
      <w:r w:rsidR="004849CD" w:rsidRPr="000E2377">
        <w:rPr>
          <w:rFonts w:asciiTheme="majorBidi" w:hAnsiTheme="majorBidi" w:cstheme="majorBidi"/>
          <w:b w:val="0"/>
          <w:color w:val="000000" w:themeColor="text1"/>
          <w:szCs w:val="24"/>
        </w:rPr>
        <w:t xml:space="preserve">boron anomaly. </w:t>
      </w:r>
      <w:r w:rsidR="00D64A39" w:rsidRPr="000E2377">
        <w:rPr>
          <w:rFonts w:asciiTheme="majorBidi" w:hAnsiTheme="majorBidi" w:cstheme="majorBidi"/>
          <w:b w:val="0"/>
          <w:color w:val="000000" w:themeColor="text1"/>
          <w:szCs w:val="24"/>
        </w:rPr>
        <w:t>For example</w:t>
      </w:r>
      <w:r w:rsidR="00DD3B11" w:rsidRPr="000E2377">
        <w:rPr>
          <w:rFonts w:asciiTheme="majorBidi" w:hAnsiTheme="majorBidi" w:cstheme="majorBidi"/>
          <w:b w:val="0"/>
          <w:color w:val="000000" w:themeColor="text1"/>
          <w:szCs w:val="24"/>
        </w:rPr>
        <w:t>,</w:t>
      </w:r>
      <w:r w:rsidR="00D64A39" w:rsidRPr="000E2377">
        <w:rPr>
          <w:rFonts w:cs="Times New Roman"/>
          <w:b w:val="0"/>
          <w:szCs w:val="24"/>
        </w:rPr>
        <w:t xml:space="preserve"> the addition of alkali oxide </w:t>
      </w:r>
      <w:r w:rsidR="00893F96" w:rsidRPr="000E2377">
        <w:rPr>
          <w:rFonts w:cs="Times New Roman"/>
          <w:b w:val="0"/>
          <w:szCs w:val="24"/>
        </w:rPr>
        <w:t>convert</w:t>
      </w:r>
      <w:r w:rsidR="00893F96">
        <w:rPr>
          <w:rFonts w:cs="Times New Roman"/>
          <w:b w:val="0"/>
          <w:szCs w:val="24"/>
        </w:rPr>
        <w:t>ing</w:t>
      </w:r>
      <w:r w:rsidR="00893F96" w:rsidRPr="000E2377">
        <w:rPr>
          <w:rFonts w:cs="Times New Roman"/>
          <w:b w:val="0"/>
          <w:szCs w:val="24"/>
        </w:rPr>
        <w:t xml:space="preserve"> </w:t>
      </w:r>
      <w:r w:rsidR="00D64A39" w:rsidRPr="000E2377">
        <w:rPr>
          <w:rFonts w:cs="Times New Roman"/>
          <w:b w:val="0"/>
          <w:szCs w:val="24"/>
        </w:rPr>
        <w:t>B</w:t>
      </w:r>
      <w:r>
        <w:rPr>
          <w:rFonts w:cs="Times New Roman"/>
          <w:b w:val="0"/>
          <w:szCs w:val="24"/>
        </w:rPr>
        <w:t>O</w:t>
      </w:r>
      <w:r w:rsidR="00D64A39" w:rsidRPr="009124DF">
        <w:rPr>
          <w:rFonts w:cs="Times New Roman"/>
          <w:b w:val="0"/>
          <w:szCs w:val="24"/>
          <w:vertAlign w:val="subscript"/>
        </w:rPr>
        <w:t>3</w:t>
      </w:r>
      <w:r w:rsidR="00D64A39" w:rsidRPr="000E2377">
        <w:rPr>
          <w:rFonts w:cs="Times New Roman"/>
          <w:b w:val="0"/>
          <w:szCs w:val="24"/>
        </w:rPr>
        <w:t xml:space="preserve"> to B</w:t>
      </w:r>
      <w:r>
        <w:rPr>
          <w:rFonts w:cs="Times New Roman"/>
          <w:b w:val="0"/>
          <w:szCs w:val="24"/>
        </w:rPr>
        <w:t>O</w:t>
      </w:r>
      <w:r w:rsidR="00D64A39" w:rsidRPr="009124DF">
        <w:rPr>
          <w:rFonts w:cs="Times New Roman"/>
          <w:b w:val="0"/>
          <w:szCs w:val="24"/>
          <w:vertAlign w:val="subscript"/>
        </w:rPr>
        <w:t xml:space="preserve">4 </w:t>
      </w:r>
      <w:r w:rsidR="00D64A39" w:rsidRPr="000E2377">
        <w:rPr>
          <w:rFonts w:cs="Times New Roman"/>
          <w:b w:val="0"/>
          <w:szCs w:val="24"/>
        </w:rPr>
        <w:t xml:space="preserve">with no NBOs, </w:t>
      </w:r>
      <w:r w:rsidR="00893F96">
        <w:rPr>
          <w:rFonts w:cs="Times New Roman"/>
          <w:b w:val="0"/>
          <w:szCs w:val="24"/>
        </w:rPr>
        <w:t>results in an</w:t>
      </w:r>
      <w:r w:rsidR="00893F96" w:rsidRPr="000E2377">
        <w:rPr>
          <w:rFonts w:cs="Times New Roman"/>
          <w:b w:val="0"/>
          <w:szCs w:val="24"/>
        </w:rPr>
        <w:t xml:space="preserve"> increas</w:t>
      </w:r>
      <w:r w:rsidR="00893F96">
        <w:rPr>
          <w:rFonts w:cs="Times New Roman"/>
          <w:b w:val="0"/>
          <w:szCs w:val="24"/>
        </w:rPr>
        <w:t>e</w:t>
      </w:r>
      <w:r w:rsidR="00893F96" w:rsidRPr="000E2377">
        <w:rPr>
          <w:rFonts w:cs="Times New Roman"/>
          <w:b w:val="0"/>
          <w:szCs w:val="24"/>
        </w:rPr>
        <w:t xml:space="preserve"> </w:t>
      </w:r>
      <w:r w:rsidR="00893F96">
        <w:rPr>
          <w:rFonts w:cs="Times New Roman"/>
          <w:b w:val="0"/>
          <w:szCs w:val="24"/>
        </w:rPr>
        <w:t>of</w:t>
      </w:r>
      <w:r w:rsidR="00893F96" w:rsidRPr="000E2377">
        <w:rPr>
          <w:rFonts w:cs="Times New Roman"/>
          <w:b w:val="0"/>
          <w:szCs w:val="24"/>
        </w:rPr>
        <w:t xml:space="preserve"> </w:t>
      </w:r>
      <w:r w:rsidR="00D64A39" w:rsidRPr="000E2377">
        <w:rPr>
          <w:rFonts w:cs="Times New Roman"/>
          <w:b w:val="0"/>
          <w:szCs w:val="24"/>
        </w:rPr>
        <w:t xml:space="preserve">connectivity and hence </w:t>
      </w:r>
      <w:r w:rsidR="00893F96">
        <w:rPr>
          <w:rFonts w:cs="Times New Roman"/>
          <w:b w:val="0"/>
          <w:szCs w:val="24"/>
        </w:rPr>
        <w:t xml:space="preserve">an increase in </w:t>
      </w:r>
      <w:r w:rsidR="00D64A39" w:rsidRPr="000E2377">
        <w:rPr>
          <w:rFonts w:cs="Times New Roman"/>
          <w:b w:val="0"/>
          <w:szCs w:val="24"/>
        </w:rPr>
        <w:t>the glass transition temperature and</w:t>
      </w:r>
      <w:r w:rsidR="00893F96">
        <w:rPr>
          <w:rFonts w:cs="Times New Roman"/>
          <w:b w:val="0"/>
          <w:szCs w:val="24"/>
        </w:rPr>
        <w:t xml:space="preserve"> a</w:t>
      </w:r>
      <w:r w:rsidR="00D64A39" w:rsidRPr="000E2377">
        <w:rPr>
          <w:rFonts w:cs="Times New Roman"/>
          <w:b w:val="0"/>
          <w:szCs w:val="24"/>
        </w:rPr>
        <w:t xml:space="preserve"> </w:t>
      </w:r>
      <w:r w:rsidR="00893F96" w:rsidRPr="000E2377">
        <w:rPr>
          <w:rFonts w:cs="Times New Roman"/>
          <w:b w:val="0"/>
          <w:szCs w:val="24"/>
        </w:rPr>
        <w:t>decreas</w:t>
      </w:r>
      <w:r w:rsidR="00893F96">
        <w:rPr>
          <w:rFonts w:cs="Times New Roman"/>
          <w:b w:val="0"/>
          <w:szCs w:val="24"/>
        </w:rPr>
        <w:t>e in</w:t>
      </w:r>
      <w:r w:rsidR="00893F96" w:rsidRPr="000E2377">
        <w:rPr>
          <w:rFonts w:cs="Times New Roman"/>
          <w:b w:val="0"/>
          <w:szCs w:val="24"/>
        </w:rPr>
        <w:t xml:space="preserve"> </w:t>
      </w:r>
      <w:r w:rsidR="00D64A39" w:rsidRPr="000E2377">
        <w:rPr>
          <w:rFonts w:cs="Times New Roman"/>
          <w:b w:val="0"/>
          <w:szCs w:val="24"/>
        </w:rPr>
        <w:t xml:space="preserve">the coefficient of thermal expansion. </w:t>
      </w:r>
    </w:p>
    <w:p w14:paraId="75375A73" w14:textId="3369F8E4" w:rsidR="0064576E" w:rsidRDefault="005D07D2" w:rsidP="00B72448">
      <w:pPr>
        <w:spacing w:before="240" w:after="0" w:line="360" w:lineRule="auto"/>
        <w:jc w:val="both"/>
        <w:rPr>
          <w:rFonts w:cs="Times New Roman"/>
          <w:b w:val="0"/>
          <w:szCs w:val="24"/>
        </w:rPr>
      </w:pPr>
      <w:r>
        <w:rPr>
          <w:rFonts w:asciiTheme="majorBidi" w:hAnsiTheme="majorBidi" w:cstheme="majorBidi"/>
          <w:b w:val="0"/>
          <w:szCs w:val="24"/>
        </w:rPr>
        <w:t>The b</w:t>
      </w:r>
      <w:r w:rsidR="004849CD" w:rsidRPr="000E2377">
        <w:rPr>
          <w:rFonts w:asciiTheme="majorBidi" w:hAnsiTheme="majorBidi" w:cstheme="majorBidi"/>
          <w:b w:val="0"/>
          <w:szCs w:val="24"/>
        </w:rPr>
        <w:t>oron anomaly is one of the situation</w:t>
      </w:r>
      <w:r w:rsidR="00D64A39" w:rsidRPr="000E2377">
        <w:rPr>
          <w:rFonts w:asciiTheme="majorBidi" w:hAnsiTheme="majorBidi" w:cstheme="majorBidi"/>
          <w:b w:val="0"/>
          <w:szCs w:val="24"/>
        </w:rPr>
        <w:t>s</w:t>
      </w:r>
      <w:r w:rsidR="004849CD" w:rsidRPr="000E2377">
        <w:rPr>
          <w:rFonts w:asciiTheme="majorBidi" w:hAnsiTheme="majorBidi" w:cstheme="majorBidi"/>
          <w:b w:val="0"/>
          <w:szCs w:val="24"/>
        </w:rPr>
        <w:t xml:space="preserve"> that gave a significant challenge in </w:t>
      </w:r>
      <w:r w:rsidR="00D64A39" w:rsidRPr="000E2377">
        <w:rPr>
          <w:rFonts w:asciiTheme="majorBidi" w:hAnsiTheme="majorBidi" w:cstheme="majorBidi"/>
          <w:b w:val="0"/>
          <w:szCs w:val="24"/>
        </w:rPr>
        <w:t xml:space="preserve">understanding </w:t>
      </w:r>
      <w:r w:rsidR="009252E3">
        <w:rPr>
          <w:rFonts w:asciiTheme="majorBidi" w:hAnsiTheme="majorBidi" w:cstheme="majorBidi"/>
          <w:b w:val="0"/>
          <w:szCs w:val="24"/>
        </w:rPr>
        <w:t xml:space="preserve">the </w:t>
      </w:r>
      <w:r w:rsidR="004849CD" w:rsidRPr="000E2377">
        <w:rPr>
          <w:rFonts w:asciiTheme="majorBidi" w:hAnsiTheme="majorBidi" w:cstheme="majorBidi"/>
          <w:b w:val="0"/>
          <w:szCs w:val="24"/>
        </w:rPr>
        <w:t xml:space="preserve">alkali borate system </w:t>
      </w:r>
      <w:r w:rsidR="004849CD" w:rsidRPr="000E2377">
        <w:rPr>
          <w:rFonts w:asciiTheme="majorBidi" w:hAnsiTheme="majorBidi" w:cstheme="majorBidi"/>
          <w:b w:val="0"/>
          <w:szCs w:val="24"/>
        </w:rPr>
        <w:fldChar w:fldCharType="begin" w:fldLock="1"/>
      </w:r>
      <w:r w:rsidR="004849CD" w:rsidRPr="000E2377">
        <w:rPr>
          <w:rFonts w:asciiTheme="majorBidi" w:hAnsiTheme="majorBidi" w:cstheme="majorBidi"/>
          <w:b w:val="0"/>
          <w:szCs w:val="24"/>
        </w:rPr>
        <w:instrText>ADDIN CSL_CITATION { "citationItems" : [ { "id" : "ITEM-1", "itemData" : { "abstract" : "An improvement on the formalism suggested by Araujo for studying chemical disorder is discussed. The formalism is used to calculate the fraction of boron atoms which are in tetrahedral coordination in alkali-borate glasses as a function of composition and temperature. 1.", "author" : [ { "dropping-particle" : "", "family" : "Araujo", "given" : "R.J.", "non-dropping-particle" : "", "parse-names" : false, "suffix" : "" } ], "container-title" : "Journal of Non-Crystalline Solids", "id" : "ITEM-1", "issued" : { "date-parts" : [ [ "1983" ] ] }, "page" : "201-208", "title" : "Statistical mechanics of chemical disorder: application to alkali borate glasses", "type" : "article-journal", "volume" : "58" }, "uris" : [ "http://www.mendeley.com/documents/?uuid=a1de72da-de44-4370-9c63-c61e277e148d" ] } ], "mendeley" : { "formattedCitation" : "(Araujo, 1983)", "plainTextFormattedCitation" : "(Araujo, 1983)", "previouslyFormattedCitation" : "(Araujo, 1983)" }, "properties" : { "noteIndex" : 0 }, "schema" : "https://github.com/citation-style-language/schema/raw/master/csl-citation.json" }</w:instrText>
      </w:r>
      <w:r w:rsidR="004849CD" w:rsidRPr="000E2377">
        <w:rPr>
          <w:rFonts w:asciiTheme="majorBidi" w:hAnsiTheme="majorBidi" w:cstheme="majorBidi"/>
          <w:b w:val="0"/>
          <w:szCs w:val="24"/>
        </w:rPr>
        <w:fldChar w:fldCharType="separate"/>
      </w:r>
      <w:r w:rsidR="004849CD" w:rsidRPr="000E2377">
        <w:rPr>
          <w:rFonts w:asciiTheme="majorBidi" w:hAnsiTheme="majorBidi" w:cstheme="majorBidi"/>
          <w:b w:val="0"/>
          <w:noProof/>
          <w:szCs w:val="24"/>
        </w:rPr>
        <w:t>(Araujo, 1983)</w:t>
      </w:r>
      <w:r w:rsidR="004849CD" w:rsidRPr="000E2377">
        <w:rPr>
          <w:rFonts w:asciiTheme="majorBidi" w:hAnsiTheme="majorBidi" w:cstheme="majorBidi"/>
          <w:b w:val="0"/>
          <w:szCs w:val="24"/>
        </w:rPr>
        <w:fldChar w:fldCharType="end"/>
      </w:r>
      <w:r w:rsidR="004849CD" w:rsidRPr="000E2377">
        <w:rPr>
          <w:rFonts w:asciiTheme="majorBidi" w:hAnsiTheme="majorBidi" w:cstheme="majorBidi"/>
          <w:b w:val="0"/>
          <w:szCs w:val="24"/>
        </w:rPr>
        <w:t>,</w:t>
      </w:r>
      <w:r w:rsidR="00D64A39" w:rsidRPr="000E2377">
        <w:rPr>
          <w:rFonts w:asciiTheme="majorBidi" w:hAnsiTheme="majorBidi" w:cstheme="majorBidi"/>
          <w:b w:val="0"/>
          <w:szCs w:val="24"/>
        </w:rPr>
        <w:t xml:space="preserve"> </w:t>
      </w:r>
      <w:r w:rsidR="004849CD" w:rsidRPr="000E2377">
        <w:rPr>
          <w:rFonts w:asciiTheme="majorBidi" w:hAnsiTheme="majorBidi" w:cstheme="majorBidi"/>
          <w:b w:val="0"/>
          <w:szCs w:val="24"/>
        </w:rPr>
        <w:fldChar w:fldCharType="begin" w:fldLock="1"/>
      </w:r>
      <w:r w:rsidR="00860155">
        <w:rPr>
          <w:rFonts w:asciiTheme="majorBidi" w:hAnsiTheme="majorBidi" w:cstheme="majorBidi"/>
          <w:b w:val="0"/>
          <w:szCs w:val="24"/>
        </w:rPr>
        <w:instrText>ADDIN CSL_CITATION { "citationItems" : [ { "id" : "ITEM-1", "itemData" : { "DOI" : "10.1016/j.jnoncrysol.2005.09.026", "ISSN" : "00223093", "author" : [ { "dropping-particle" : "", "family" : "Kiczenski", "given" : "T.J.", "non-dropping-particle" : "", "parse-names" : false, "suffix" : "" }, { "dropping-particle" : "", "family" : "Du", "given" : "Lin-Shu", "non-dropping-particle" : "", "parse-names" : false, "suffix" : "" }, { "dropping-particle" : "", "family" : "Stebbins", "given" : "Jonathan", "non-dropping-particle" : "", "parse-names" : false, "suffix" : "" } ], "container-title" : "Journal of Non-Crystalline Solids", "id" : "ITEM-1", "issue" : "46-48", "issued" : { "date-parts" : [ [ "2005", "11" ] ] }, "page" : "3571-3578", "title" : "The effect of fictive temperature on the structure of E-glass: A high resolution, multinuclear NMR study", "type" : "article-journal", "volume" : "351" }, "uris" : [ "http://www.mendeley.com/documents/?uuid=055ff0ce-3f72-4259-aa06-fec9c0894bb0" ] } ], "mendeley" : { "formattedCitation" : "(Kiczenski, Du, &amp; Stebbins, 2005)", "manualFormatting" : "(Kiczenski et al., 2005)", "plainTextFormattedCitation" : "(Kiczenski, Du, &amp; Stebbins, 2005)", "previouslyFormattedCitation" : "(Kiczenski, Du, &amp; Stebbins, 2005)" }, "properties" : { "noteIndex" : 0 }, "schema" : "https://github.com/citation-style-language/schema/raw/master/csl-citation.json" }</w:instrText>
      </w:r>
      <w:r w:rsidR="004849CD" w:rsidRPr="000E2377">
        <w:rPr>
          <w:rFonts w:asciiTheme="majorBidi" w:hAnsiTheme="majorBidi" w:cstheme="majorBidi"/>
          <w:b w:val="0"/>
          <w:szCs w:val="24"/>
        </w:rPr>
        <w:fldChar w:fldCharType="separate"/>
      </w:r>
      <w:r w:rsidR="004849CD" w:rsidRPr="000E2377">
        <w:rPr>
          <w:rFonts w:asciiTheme="majorBidi" w:hAnsiTheme="majorBidi" w:cstheme="majorBidi"/>
          <w:b w:val="0"/>
          <w:noProof/>
          <w:szCs w:val="24"/>
        </w:rPr>
        <w:t>(Kiczenski et al., 2005)</w:t>
      </w:r>
      <w:r w:rsidR="004849CD" w:rsidRPr="000E2377">
        <w:rPr>
          <w:rFonts w:asciiTheme="majorBidi" w:hAnsiTheme="majorBidi" w:cstheme="majorBidi"/>
          <w:b w:val="0"/>
          <w:szCs w:val="24"/>
        </w:rPr>
        <w:fldChar w:fldCharType="end"/>
      </w:r>
      <w:r w:rsidR="004849CD" w:rsidRPr="000E2377">
        <w:rPr>
          <w:rFonts w:asciiTheme="majorBidi" w:hAnsiTheme="majorBidi" w:cstheme="majorBidi"/>
          <w:b w:val="0"/>
          <w:szCs w:val="24"/>
        </w:rPr>
        <w:t>,</w:t>
      </w:r>
      <w:r w:rsidR="00D64A39" w:rsidRPr="000E2377">
        <w:rPr>
          <w:rFonts w:asciiTheme="majorBidi" w:hAnsiTheme="majorBidi" w:cstheme="majorBidi"/>
          <w:b w:val="0"/>
          <w:szCs w:val="24"/>
        </w:rPr>
        <w:t xml:space="preserve"> </w:t>
      </w:r>
      <w:r w:rsidR="00893F96" w:rsidRPr="000E2377">
        <w:rPr>
          <w:rFonts w:asciiTheme="majorBidi" w:hAnsiTheme="majorBidi" w:cstheme="majorBidi"/>
          <w:b w:val="0"/>
          <w:szCs w:val="24"/>
        </w:rPr>
        <w:fldChar w:fldCharType="begin" w:fldLock="1"/>
      </w:r>
      <w:r w:rsidR="00893F96" w:rsidRPr="000E2377">
        <w:rPr>
          <w:rFonts w:asciiTheme="majorBidi" w:hAnsiTheme="majorBidi" w:cstheme="majorBidi"/>
          <w:b w:val="0"/>
          <w:szCs w:val="24"/>
        </w:rPr>
        <w:instrText>ADDIN CSL_CITATION { "citationItems" : [ { "id" : "ITEM-1", "itemData" : { "DOI" : "10.1111/j.1551-2916.2005.00657.x", "ISSN" : "0002-7820", "author" : [ { "dropping-particle" : "", "family" : "Cormier", "given" : "L.", "non-dropping-particle" : "", "parse-names" : false, "suffix" : "" }, { "dropping-particle" : "", "family" : "Majerus", "given" : "O.", "non-dropping-particle" : "", "parse-names" : false, "suffix" : "" }, { "dropping-particle" : "", "family" : "Neuville", "given" : "D. R.", "non-dropping-particle" : "", "parse-names" : false, "suffix" : "" }, { "dropping-particle" : "", "family" : "Calas", "given" : "G.", "non-dropping-particle" : "", "parse-names" : false, "suffix" : "" } ], "container-title" : "Journal of the American Ceramic Society", "id" : "ITEM-1", "issue" : "1", "issued" : { "date-parts" : [ [ "2006", "1" ] ] }, "page" : "13-19", "title" : "Temperature-Induced Structural Modifications Between Alkali Borate Glasses and Melts", "type" : "article-journal", "volume" : "89" }, "uris" : [ "http://www.mendeley.com/documents/?uuid=b1ea05e4-b6e9-44ff-99c1-b37f21e20728" ] } ], "mendeley" : { "formattedCitation" : "(Cormier, Majerus, Neuville, &amp; Calas, 2006)", "manualFormatting" : "(Cormier et al., 2006)", "plainTextFormattedCitation" : "(Cormier, Majerus, Neuville, &amp; Calas, 2006)", "previouslyFormattedCitation" : "(Cormier, Majerus, Neuville, &amp; Calas, 2006)" }, "properties" : { "noteIndex" : 0 }, "schema" : "https://github.com/citation-style-language/schema/raw/master/csl-citation.json" }</w:instrText>
      </w:r>
      <w:r w:rsidR="00893F96" w:rsidRPr="000E2377">
        <w:rPr>
          <w:rFonts w:asciiTheme="majorBidi" w:hAnsiTheme="majorBidi" w:cstheme="majorBidi"/>
          <w:b w:val="0"/>
          <w:szCs w:val="24"/>
        </w:rPr>
        <w:fldChar w:fldCharType="separate"/>
      </w:r>
      <w:r w:rsidR="00893F96" w:rsidRPr="000E2377">
        <w:rPr>
          <w:rFonts w:asciiTheme="majorBidi" w:hAnsiTheme="majorBidi" w:cstheme="majorBidi"/>
          <w:b w:val="0"/>
          <w:noProof/>
          <w:szCs w:val="24"/>
        </w:rPr>
        <w:t>(Cormier et al., 2006)</w:t>
      </w:r>
      <w:r w:rsidR="00893F96" w:rsidRPr="000E2377">
        <w:rPr>
          <w:rFonts w:asciiTheme="majorBidi" w:hAnsiTheme="majorBidi" w:cstheme="majorBidi"/>
          <w:b w:val="0"/>
          <w:szCs w:val="24"/>
        </w:rPr>
        <w:fldChar w:fldCharType="end"/>
      </w:r>
      <w:r w:rsidR="00893F96">
        <w:rPr>
          <w:rFonts w:asciiTheme="majorBidi" w:hAnsiTheme="majorBidi" w:cstheme="majorBidi"/>
          <w:b w:val="0"/>
          <w:szCs w:val="24"/>
        </w:rPr>
        <w:t xml:space="preserve"> as t</w:t>
      </w:r>
      <w:r w:rsidR="0064576E" w:rsidRPr="000E2377">
        <w:rPr>
          <w:rFonts w:cs="Times New Roman"/>
          <w:b w:val="0"/>
          <w:szCs w:val="24"/>
        </w:rPr>
        <w:t xml:space="preserve">he </w:t>
      </w:r>
      <w:r w:rsidR="00127EBE" w:rsidRPr="000E2377">
        <w:rPr>
          <w:rFonts w:cs="Times New Roman"/>
          <w:b w:val="0"/>
          <w:szCs w:val="24"/>
        </w:rPr>
        <w:t xml:space="preserve">borate </w:t>
      </w:r>
      <w:r w:rsidR="0064576E" w:rsidRPr="000E2377">
        <w:rPr>
          <w:rFonts w:cs="Times New Roman"/>
          <w:b w:val="0"/>
          <w:szCs w:val="24"/>
        </w:rPr>
        <w:t>structur</w:t>
      </w:r>
      <w:r w:rsidR="00127EBE" w:rsidRPr="000E2377">
        <w:rPr>
          <w:rFonts w:cs="Times New Roman"/>
          <w:b w:val="0"/>
          <w:szCs w:val="24"/>
        </w:rPr>
        <w:t>al units in glass</w:t>
      </w:r>
      <w:r w:rsidR="004849CD" w:rsidRPr="000E2377">
        <w:rPr>
          <w:rFonts w:cs="Times New Roman"/>
          <w:b w:val="0"/>
          <w:szCs w:val="24"/>
        </w:rPr>
        <w:t xml:space="preserve"> </w:t>
      </w:r>
      <w:r w:rsidR="0064576E" w:rsidRPr="000E2377">
        <w:rPr>
          <w:rFonts w:cs="Times New Roman"/>
          <w:b w:val="0"/>
          <w:szCs w:val="24"/>
        </w:rPr>
        <w:t>depend</w:t>
      </w:r>
      <w:r w:rsidR="00966445">
        <w:rPr>
          <w:rFonts w:cs="Times New Roman"/>
          <w:b w:val="0"/>
          <w:szCs w:val="24"/>
        </w:rPr>
        <w:t xml:space="preserve"> in a non-monotonic fashion</w:t>
      </w:r>
      <w:r w:rsidR="0064576E" w:rsidRPr="000E2377">
        <w:rPr>
          <w:rFonts w:cs="Times New Roman"/>
          <w:b w:val="0"/>
          <w:szCs w:val="24"/>
        </w:rPr>
        <w:t xml:space="preserve"> on the network modifier concentration. Table 2.</w:t>
      </w:r>
      <w:r w:rsidR="009F55F3">
        <w:rPr>
          <w:rFonts w:cs="Times New Roman"/>
          <w:b w:val="0"/>
          <w:szCs w:val="24"/>
        </w:rPr>
        <w:t>2</w:t>
      </w:r>
      <w:r w:rsidR="009F55F3" w:rsidRPr="000E2377">
        <w:rPr>
          <w:rFonts w:cs="Times New Roman"/>
          <w:b w:val="0"/>
          <w:szCs w:val="24"/>
        </w:rPr>
        <w:t xml:space="preserve"> </w:t>
      </w:r>
      <w:r w:rsidR="0064576E" w:rsidRPr="000E2377">
        <w:rPr>
          <w:rFonts w:cs="Times New Roman"/>
          <w:b w:val="0"/>
          <w:szCs w:val="24"/>
        </w:rPr>
        <w:t xml:space="preserve">represents the types of borate </w:t>
      </w:r>
      <w:r w:rsidR="00127EBE" w:rsidRPr="000E2377">
        <w:rPr>
          <w:rFonts w:cs="Times New Roman"/>
          <w:b w:val="0"/>
          <w:szCs w:val="24"/>
        </w:rPr>
        <w:t xml:space="preserve">structural units </w:t>
      </w:r>
      <w:r w:rsidR="0064576E" w:rsidRPr="000E2377">
        <w:rPr>
          <w:rFonts w:cs="Times New Roman"/>
          <w:b w:val="0"/>
          <w:szCs w:val="24"/>
        </w:rPr>
        <w:t xml:space="preserve">that </w:t>
      </w:r>
      <w:r w:rsidR="00127EBE" w:rsidRPr="000E2377">
        <w:rPr>
          <w:rFonts w:cs="Times New Roman"/>
          <w:b w:val="0"/>
          <w:szCs w:val="24"/>
        </w:rPr>
        <w:t xml:space="preserve">occur </w:t>
      </w:r>
      <w:r w:rsidR="0064576E" w:rsidRPr="000E2377">
        <w:rPr>
          <w:rFonts w:cs="Times New Roman"/>
          <w:b w:val="0"/>
          <w:szCs w:val="24"/>
        </w:rPr>
        <w:t xml:space="preserve">in binary borate glass </w:t>
      </w:r>
      <w:r w:rsidR="00634E04" w:rsidRPr="000E2377">
        <w:rPr>
          <w:rFonts w:cs="Times New Roman"/>
          <w:b w:val="0"/>
          <w:szCs w:val="24"/>
        </w:rPr>
        <w:t xml:space="preserve">and crystal </w:t>
      </w:r>
      <w:r w:rsidR="0064576E" w:rsidRPr="000E2377">
        <w:rPr>
          <w:rFonts w:cs="Times New Roman"/>
          <w:b w:val="0"/>
          <w:szCs w:val="24"/>
        </w:rPr>
        <w:t>compositions.</w:t>
      </w:r>
    </w:p>
    <w:p w14:paraId="32074F64" w14:textId="77777777" w:rsidR="0049531B" w:rsidRDefault="0049531B" w:rsidP="00B56F74">
      <w:pPr>
        <w:pStyle w:val="Caption"/>
      </w:pPr>
      <w:bookmarkStart w:id="104" w:name="_Toc521483062"/>
      <w:bookmarkStart w:id="105" w:name="_Toc525225323"/>
      <w:bookmarkStart w:id="106" w:name="_Toc525706419"/>
      <w:bookmarkStart w:id="107" w:name="_Hlk515393548"/>
    </w:p>
    <w:p w14:paraId="6795EB35" w14:textId="7171B3B0" w:rsidR="0064576E" w:rsidRPr="000E2377" w:rsidRDefault="00973E27" w:rsidP="00B56F74">
      <w:pPr>
        <w:pStyle w:val="Caption"/>
        <w:rPr>
          <w:b w:val="0"/>
          <w:szCs w:val="24"/>
        </w:rPr>
      </w:pPr>
      <w:r w:rsidRPr="000E2377">
        <w:lastRenderedPageBreak/>
        <w:t xml:space="preserve">Table </w:t>
      </w:r>
      <w:r w:rsidR="00DE32A9">
        <w:t>2</w:t>
      </w:r>
      <w:r w:rsidR="00072CB2" w:rsidRPr="000E2377">
        <w:t>.</w:t>
      </w:r>
      <w:r w:rsidR="009F55F3">
        <w:t>2</w:t>
      </w:r>
      <w:r w:rsidR="00AC7671">
        <w:t>:</w:t>
      </w:r>
      <w:r w:rsidR="009F55F3" w:rsidRPr="000E2377">
        <w:t xml:space="preserve"> </w:t>
      </w:r>
      <w:r w:rsidRPr="000E2377">
        <w:t>Borate stru</w:t>
      </w:r>
      <w:r w:rsidR="00100D94" w:rsidRPr="000E2377">
        <w:t>c</w:t>
      </w:r>
      <w:r w:rsidRPr="000E2377">
        <w:t>tural units</w:t>
      </w:r>
      <w:bookmarkEnd w:id="104"/>
      <w:bookmarkEnd w:id="105"/>
      <w:bookmarkEnd w:id="106"/>
    </w:p>
    <w:tbl>
      <w:tblPr>
        <w:tblStyle w:val="TableGrid"/>
        <w:tblW w:w="0" w:type="auto"/>
        <w:jc w:val="center"/>
        <w:tblLook w:val="04A0" w:firstRow="1" w:lastRow="0" w:firstColumn="1" w:lastColumn="0" w:noHBand="0" w:noVBand="1"/>
      </w:tblPr>
      <w:tblGrid>
        <w:gridCol w:w="3114"/>
        <w:gridCol w:w="2977"/>
      </w:tblGrid>
      <w:tr w:rsidR="0064576E" w:rsidRPr="000E2377" w14:paraId="4A6D35EE" w14:textId="77777777" w:rsidTr="002C11D0">
        <w:trPr>
          <w:trHeight w:val="320"/>
          <w:jc w:val="center"/>
        </w:trPr>
        <w:tc>
          <w:tcPr>
            <w:tcW w:w="3114" w:type="dxa"/>
          </w:tcPr>
          <w:bookmarkEnd w:id="107"/>
          <w:p w14:paraId="7D6D2CC9" w14:textId="48B83AA9" w:rsidR="0064576E" w:rsidRPr="000E2377" w:rsidRDefault="0064576E" w:rsidP="00634E04">
            <w:pPr>
              <w:spacing w:line="360" w:lineRule="auto"/>
              <w:jc w:val="center"/>
              <w:rPr>
                <w:rFonts w:cs="Times New Roman"/>
                <w:szCs w:val="24"/>
              </w:rPr>
            </w:pPr>
            <w:r w:rsidRPr="000E2377">
              <w:rPr>
                <w:rFonts w:cs="Times New Roman"/>
                <w:szCs w:val="24"/>
              </w:rPr>
              <w:t xml:space="preserve">Borate </w:t>
            </w:r>
            <w:r w:rsidR="00634E04" w:rsidRPr="000E2377">
              <w:rPr>
                <w:rFonts w:cs="Times New Roman"/>
                <w:szCs w:val="24"/>
              </w:rPr>
              <w:t>units</w:t>
            </w:r>
          </w:p>
        </w:tc>
        <w:tc>
          <w:tcPr>
            <w:tcW w:w="2977" w:type="dxa"/>
          </w:tcPr>
          <w:p w14:paraId="605C27BC" w14:textId="5EAF32A5" w:rsidR="0064576E" w:rsidRPr="000E2377" w:rsidRDefault="00634E04" w:rsidP="0064576E">
            <w:pPr>
              <w:spacing w:line="360" w:lineRule="auto"/>
              <w:jc w:val="center"/>
              <w:rPr>
                <w:rFonts w:cs="Times New Roman"/>
                <w:szCs w:val="24"/>
              </w:rPr>
            </w:pPr>
            <w:r w:rsidRPr="000E2377">
              <w:rPr>
                <w:rFonts w:cs="Times New Roman"/>
                <w:szCs w:val="24"/>
              </w:rPr>
              <w:t>Name &amp; compounds</w:t>
            </w:r>
          </w:p>
        </w:tc>
      </w:tr>
      <w:tr w:rsidR="0064576E" w:rsidRPr="000E2377" w14:paraId="58C84EB3" w14:textId="77777777" w:rsidTr="002C11D0">
        <w:trPr>
          <w:trHeight w:val="1743"/>
          <w:jc w:val="center"/>
        </w:trPr>
        <w:tc>
          <w:tcPr>
            <w:tcW w:w="3114" w:type="dxa"/>
          </w:tcPr>
          <w:p w14:paraId="5ABAD51C" w14:textId="77777777" w:rsidR="0064576E" w:rsidRPr="000E2377" w:rsidRDefault="0064576E" w:rsidP="0064576E">
            <w:pPr>
              <w:spacing w:line="360" w:lineRule="auto"/>
              <w:jc w:val="center"/>
              <w:rPr>
                <w:rFonts w:cs="Times New Roman"/>
                <w:szCs w:val="24"/>
              </w:rPr>
            </w:pPr>
            <w:r w:rsidRPr="000E2377">
              <w:rPr>
                <w:rFonts w:cs="Times New Roman"/>
                <w:noProof/>
                <w:szCs w:val="24"/>
                <w:lang w:eastAsia="en-MY"/>
              </w:rPr>
              <mc:AlternateContent>
                <mc:Choice Requires="wpg">
                  <w:drawing>
                    <wp:anchor distT="0" distB="0" distL="114300" distR="114300" simplePos="0" relativeHeight="251678720" behindDoc="0" locked="0" layoutInCell="1" allowOverlap="1" wp14:anchorId="37508169" wp14:editId="5F77A294">
                      <wp:simplePos x="0" y="0"/>
                      <wp:positionH relativeFrom="column">
                        <wp:posOffset>579566</wp:posOffset>
                      </wp:positionH>
                      <wp:positionV relativeFrom="paragraph">
                        <wp:posOffset>247677</wp:posOffset>
                      </wp:positionV>
                      <wp:extent cx="612843" cy="563623"/>
                      <wp:effectExtent l="0" t="0" r="34925" b="46355"/>
                      <wp:wrapNone/>
                      <wp:docPr id="1987" name="Group 1987"/>
                      <wp:cNvGraphicFramePr/>
                      <a:graphic xmlns:a="http://schemas.openxmlformats.org/drawingml/2006/main">
                        <a:graphicData uri="http://schemas.microsoft.com/office/word/2010/wordprocessingGroup">
                          <wpg:wgp>
                            <wpg:cNvGrpSpPr/>
                            <wpg:grpSpPr>
                              <a:xfrm>
                                <a:off x="0" y="0"/>
                                <a:ext cx="612843" cy="563623"/>
                                <a:chOff x="0" y="0"/>
                                <a:chExt cx="612843" cy="563623"/>
                              </a:xfrm>
                            </wpg:grpSpPr>
                            <wps:wsp>
                              <wps:cNvPr id="1988" name="Straight Connector 1988"/>
                              <wps:cNvCnPr/>
                              <wps:spPr>
                                <a:xfrm>
                                  <a:off x="223736" y="116732"/>
                                  <a:ext cx="145915" cy="9728"/>
                                </a:xfrm>
                                <a:prstGeom prst="line">
                                  <a:avLst/>
                                </a:prstGeom>
                                <a:noFill/>
                                <a:ln w="9525" cap="flat" cmpd="sng" algn="ctr">
                                  <a:solidFill>
                                    <a:sysClr val="windowText" lastClr="000000">
                                      <a:shade val="95000"/>
                                      <a:satMod val="105000"/>
                                    </a:sysClr>
                                  </a:solidFill>
                                  <a:prstDash val="solid"/>
                                </a:ln>
                                <a:effectLst/>
                              </wps:spPr>
                              <wps:bodyPr/>
                            </wps:wsp>
                            <wps:wsp>
                              <wps:cNvPr id="1989" name="Straight Connector 1989"/>
                              <wps:cNvCnPr/>
                              <wps:spPr>
                                <a:xfrm flipH="1">
                                  <a:off x="0" y="126460"/>
                                  <a:ext cx="107004" cy="107207"/>
                                </a:xfrm>
                                <a:prstGeom prst="line">
                                  <a:avLst/>
                                </a:prstGeom>
                                <a:noFill/>
                                <a:ln w="9525" cap="flat" cmpd="sng" algn="ctr">
                                  <a:solidFill>
                                    <a:sysClr val="windowText" lastClr="000000">
                                      <a:shade val="95000"/>
                                      <a:satMod val="105000"/>
                                    </a:sysClr>
                                  </a:solidFill>
                                  <a:prstDash val="solid"/>
                                </a:ln>
                                <a:effectLst/>
                              </wps:spPr>
                              <wps:bodyPr/>
                            </wps:wsp>
                            <wps:wsp>
                              <wps:cNvPr id="1990" name="Straight Connector 1990"/>
                              <wps:cNvCnPr/>
                              <wps:spPr>
                                <a:xfrm>
                                  <a:off x="19455" y="340468"/>
                                  <a:ext cx="86995" cy="86995"/>
                                </a:xfrm>
                                <a:prstGeom prst="line">
                                  <a:avLst/>
                                </a:prstGeom>
                                <a:noFill/>
                                <a:ln w="9525" cap="flat" cmpd="sng" algn="ctr">
                                  <a:solidFill>
                                    <a:sysClr val="windowText" lastClr="000000">
                                      <a:shade val="95000"/>
                                      <a:satMod val="105000"/>
                                    </a:sysClr>
                                  </a:solidFill>
                                  <a:prstDash val="solid"/>
                                </a:ln>
                                <a:effectLst/>
                              </wps:spPr>
                              <wps:bodyPr/>
                            </wps:wsp>
                            <wps:wsp>
                              <wps:cNvPr id="1991" name="Straight Connector 1991"/>
                              <wps:cNvCnPr/>
                              <wps:spPr>
                                <a:xfrm>
                                  <a:off x="466928" y="145915"/>
                                  <a:ext cx="116732" cy="107099"/>
                                </a:xfrm>
                                <a:prstGeom prst="line">
                                  <a:avLst/>
                                </a:prstGeom>
                                <a:noFill/>
                                <a:ln w="9525" cap="flat" cmpd="sng" algn="ctr">
                                  <a:solidFill>
                                    <a:sysClr val="windowText" lastClr="000000">
                                      <a:shade val="95000"/>
                                      <a:satMod val="105000"/>
                                    </a:sysClr>
                                  </a:solidFill>
                                  <a:prstDash val="solid"/>
                                </a:ln>
                                <a:effectLst/>
                              </wps:spPr>
                              <wps:bodyPr/>
                            </wps:wsp>
                            <wps:wsp>
                              <wps:cNvPr id="2020" name="Straight Connector 2020"/>
                              <wps:cNvCnPr/>
                              <wps:spPr>
                                <a:xfrm flipH="1">
                                  <a:off x="486383" y="340468"/>
                                  <a:ext cx="126460" cy="87549"/>
                                </a:xfrm>
                                <a:prstGeom prst="line">
                                  <a:avLst/>
                                </a:prstGeom>
                                <a:noFill/>
                                <a:ln w="9525" cap="flat" cmpd="sng" algn="ctr">
                                  <a:solidFill>
                                    <a:sysClr val="windowText" lastClr="000000">
                                      <a:shade val="95000"/>
                                      <a:satMod val="105000"/>
                                    </a:sysClr>
                                  </a:solidFill>
                                  <a:prstDash val="solid"/>
                                </a:ln>
                                <a:effectLst/>
                              </wps:spPr>
                              <wps:bodyPr/>
                            </wps:wsp>
                            <wps:wsp>
                              <wps:cNvPr id="2024" name="Straight Connector 2024"/>
                              <wps:cNvCnPr/>
                              <wps:spPr>
                                <a:xfrm flipH="1">
                                  <a:off x="194553" y="466928"/>
                                  <a:ext cx="136187" cy="0"/>
                                </a:xfrm>
                                <a:prstGeom prst="line">
                                  <a:avLst/>
                                </a:prstGeom>
                                <a:noFill/>
                                <a:ln w="9525" cap="flat" cmpd="sng" algn="ctr">
                                  <a:solidFill>
                                    <a:sysClr val="windowText" lastClr="000000">
                                      <a:shade val="95000"/>
                                      <a:satMod val="105000"/>
                                    </a:sysClr>
                                  </a:solidFill>
                                  <a:prstDash val="solid"/>
                                </a:ln>
                                <a:effectLst/>
                              </wps:spPr>
                              <wps:bodyPr/>
                            </wps:wsp>
                            <wps:wsp>
                              <wps:cNvPr id="2037" name="Straight Connector 2037"/>
                              <wps:cNvCnPr/>
                              <wps:spPr>
                                <a:xfrm flipH="1">
                                  <a:off x="19455" y="486383"/>
                                  <a:ext cx="87225" cy="77240"/>
                                </a:xfrm>
                                <a:prstGeom prst="line">
                                  <a:avLst/>
                                </a:prstGeom>
                                <a:noFill/>
                                <a:ln w="9525" cap="flat" cmpd="sng" algn="ctr">
                                  <a:solidFill>
                                    <a:sysClr val="windowText" lastClr="000000">
                                      <a:shade val="95000"/>
                                      <a:satMod val="105000"/>
                                    </a:sysClr>
                                  </a:solidFill>
                                  <a:prstDash val="solid"/>
                                </a:ln>
                                <a:effectLst/>
                              </wps:spPr>
                              <wps:bodyPr/>
                            </wps:wsp>
                            <wps:wsp>
                              <wps:cNvPr id="2038" name="Straight Connector 2038"/>
                              <wps:cNvCnPr/>
                              <wps:spPr>
                                <a:xfrm flipH="1" flipV="1">
                                  <a:off x="38911" y="0"/>
                                  <a:ext cx="77959" cy="77821"/>
                                </a:xfrm>
                                <a:prstGeom prst="line">
                                  <a:avLst/>
                                </a:prstGeom>
                                <a:noFill/>
                                <a:ln w="9525" cap="flat" cmpd="sng" algn="ctr">
                                  <a:solidFill>
                                    <a:sysClr val="windowText" lastClr="000000">
                                      <a:shade val="95000"/>
                                      <a:satMod val="105000"/>
                                    </a:sysClr>
                                  </a:solidFill>
                                  <a:prstDash val="solid"/>
                                </a:ln>
                                <a:effectLst/>
                              </wps:spPr>
                              <wps:bodyPr/>
                            </wps:wsp>
                          </wpg:wgp>
                        </a:graphicData>
                      </a:graphic>
                    </wp:anchor>
                  </w:drawing>
                </mc:Choice>
                <mc:Fallback>
                  <w:pict>
                    <v:group w14:anchorId="04CA2C32" id="Group 1987" o:spid="_x0000_s1026" style="position:absolute;margin-left:45.65pt;margin-top:19.5pt;width:48.25pt;height:44.4pt;z-index:251678720" coordsize="6128,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">
                      <v:line id="Straight Connector 1988" o:spid="_x0000_s1027" style="position:absolute;visibility:visible;mso-wrap-style:square" from="2237,1167" to="3696,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"/>
                      <v:line id="Straight Connector 1989" o:spid="_x0000_s1028" style="position:absolute;flip:x;visibility:visible;mso-wrap-style:square" from="0,1264" to="1070,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"/>
                      <v:line id="Straight Connector 1990" o:spid="_x0000_s1029" style="position:absolute;visibility:visible;mso-wrap-style:square" from="194,3404" to="1064,4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"/>
                      <v:line id="Straight Connector 1991" o:spid="_x0000_s1030" style="position:absolute;visibility:visible;mso-wrap-style:square" from="4669,1459" to="5836,2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"/>
                      <v:line id="Straight Connector 2020" o:spid="_x0000_s1031" style="position:absolute;flip:x;visibility:visible;mso-wrap-style:square" from="4863,3404" to="6128,4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"/>
                      <v:line id="Straight Connector 2024" o:spid="_x0000_s1032" style="position:absolute;flip:x;visibility:visible;mso-wrap-style:square" from="1945,4669" to="3307,4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"/>
                      <v:line id="Straight Connector 2037" o:spid="_x0000_s1033" style="position:absolute;flip:x;visibility:visible;mso-wrap-style:square" from="194,4863" to="1066,5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"/>
                      <v:line id="Straight Connector 2038" o:spid="_x0000_s1034" style="position:absolute;flip:x y;visibility:visible;mso-wrap-style:square" from="389,0" to="1168,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"/>
                    </v:group>
                  </w:pict>
                </mc:Fallback>
              </mc:AlternateContent>
            </w:r>
            <w:r w:rsidRPr="000E2377">
              <w:rPr>
                <w:rFonts w:cs="Times New Roman"/>
                <w:noProof/>
                <w:szCs w:val="24"/>
                <w:lang w:eastAsia="en-MY"/>
              </w:rPr>
              <mc:AlternateContent>
                <mc:Choice Requires="wpg">
                  <w:drawing>
                    <wp:anchor distT="0" distB="0" distL="114300" distR="114300" simplePos="0" relativeHeight="251677696" behindDoc="0" locked="0" layoutInCell="1" allowOverlap="1" wp14:anchorId="4DC0A642" wp14:editId="0BA4DF83">
                      <wp:simplePos x="0" y="0"/>
                      <wp:positionH relativeFrom="column">
                        <wp:posOffset>404908</wp:posOffset>
                      </wp:positionH>
                      <wp:positionV relativeFrom="paragraph">
                        <wp:posOffset>82577</wp:posOffset>
                      </wp:positionV>
                      <wp:extent cx="943582" cy="865762"/>
                      <wp:effectExtent l="0" t="0" r="9525" b="0"/>
                      <wp:wrapNone/>
                      <wp:docPr id="2040" name="Group 2040"/>
                      <wp:cNvGraphicFramePr/>
                      <a:graphic xmlns:a="http://schemas.openxmlformats.org/drawingml/2006/main">
                        <a:graphicData uri="http://schemas.microsoft.com/office/word/2010/wordprocessingGroup">
                          <wpg:wgp>
                            <wpg:cNvGrpSpPr/>
                            <wpg:grpSpPr>
                              <a:xfrm>
                                <a:off x="0" y="0"/>
                                <a:ext cx="943582" cy="865762"/>
                                <a:chOff x="0" y="0"/>
                                <a:chExt cx="943582" cy="865762"/>
                              </a:xfrm>
                            </wpg:grpSpPr>
                            <wps:wsp>
                              <wps:cNvPr id="2045" name="Text Box 2045"/>
                              <wps:cNvSpPr txBox="1"/>
                              <wps:spPr>
                                <a:xfrm>
                                  <a:off x="214009" y="155643"/>
                                  <a:ext cx="262255" cy="242570"/>
                                </a:xfrm>
                                <a:prstGeom prst="rect">
                                  <a:avLst/>
                                </a:prstGeom>
                                <a:solidFill>
                                  <a:sysClr val="window" lastClr="FFFFFF"/>
                                </a:solidFill>
                                <a:ln w="6350">
                                  <a:noFill/>
                                </a:ln>
                              </wps:spPr>
                              <wps:txbx>
                                <w:txbxContent>
                                  <w:p w14:paraId="5C637C1E" w14:textId="77777777" w:rsidR="00230AB9" w:rsidRPr="00955287" w:rsidRDefault="00230AB9" w:rsidP="0064576E">
                                    <w:pPr>
                                      <w:rPr>
                                        <w:sz w:val="20"/>
                                        <w:szCs w:val="20"/>
                                      </w:rPr>
                                    </w:pPr>
                                    <w:r w:rsidRPr="00955287">
                                      <w:rPr>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0" name="Text Box 320"/>
                              <wps:cNvSpPr txBox="1"/>
                              <wps:spPr>
                                <a:xfrm>
                                  <a:off x="680936" y="321013"/>
                                  <a:ext cx="262646" cy="243192"/>
                                </a:xfrm>
                                <a:prstGeom prst="rect">
                                  <a:avLst/>
                                </a:prstGeom>
                                <a:solidFill>
                                  <a:sysClr val="window" lastClr="FFFFFF"/>
                                </a:solidFill>
                                <a:ln w="6350">
                                  <a:noFill/>
                                </a:ln>
                              </wps:spPr>
                              <wps:txbx>
                                <w:txbxContent>
                                  <w:p w14:paraId="07CEEE90" w14:textId="77777777" w:rsidR="00230AB9" w:rsidRPr="00955287" w:rsidRDefault="00230AB9" w:rsidP="0064576E">
                                    <w:pPr>
                                      <w:rPr>
                                        <w:sz w:val="20"/>
                                        <w:szCs w:val="20"/>
                                      </w:rPr>
                                    </w:pPr>
                                    <w:r w:rsidRPr="00955287">
                                      <w:rPr>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8" name="Text Box 328"/>
                              <wps:cNvSpPr txBox="1"/>
                              <wps:spPr>
                                <a:xfrm>
                                  <a:off x="214009" y="496111"/>
                                  <a:ext cx="262646" cy="243192"/>
                                </a:xfrm>
                                <a:prstGeom prst="rect">
                                  <a:avLst/>
                                </a:prstGeom>
                                <a:solidFill>
                                  <a:sysClr val="window" lastClr="FFFFFF"/>
                                </a:solidFill>
                                <a:ln w="6350">
                                  <a:noFill/>
                                </a:ln>
                              </wps:spPr>
                              <wps:txbx>
                                <w:txbxContent>
                                  <w:p w14:paraId="0806ECA9" w14:textId="77777777" w:rsidR="00230AB9" w:rsidRPr="00955287" w:rsidRDefault="00230AB9" w:rsidP="0064576E">
                                    <w:pPr>
                                      <w:rPr>
                                        <w:sz w:val="20"/>
                                        <w:szCs w:val="20"/>
                                      </w:rPr>
                                    </w:pPr>
                                    <w:r w:rsidRPr="00955287">
                                      <w:rPr>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8" name="Text Box 2048"/>
                              <wps:cNvSpPr txBox="1"/>
                              <wps:spPr>
                                <a:xfrm>
                                  <a:off x="457200" y="145915"/>
                                  <a:ext cx="262646" cy="243192"/>
                                </a:xfrm>
                                <a:prstGeom prst="rect">
                                  <a:avLst/>
                                </a:prstGeom>
                                <a:solidFill>
                                  <a:sysClr val="window" lastClr="FFFFFF"/>
                                </a:solidFill>
                                <a:ln w="6350">
                                  <a:noFill/>
                                </a:ln>
                              </wps:spPr>
                              <wps:txbx>
                                <w:txbxContent>
                                  <w:p w14:paraId="19D5BEF7"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0" name="Text Box 2060"/>
                              <wps:cNvSpPr txBox="1"/>
                              <wps:spPr>
                                <a:xfrm>
                                  <a:off x="457200" y="496111"/>
                                  <a:ext cx="262646" cy="243192"/>
                                </a:xfrm>
                                <a:prstGeom prst="rect">
                                  <a:avLst/>
                                </a:prstGeom>
                                <a:noFill/>
                                <a:ln w="6350">
                                  <a:noFill/>
                                </a:ln>
                              </wps:spPr>
                              <wps:txbx>
                                <w:txbxContent>
                                  <w:p w14:paraId="349D34FB"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2" name="Text Box 2072"/>
                              <wps:cNvSpPr txBox="1"/>
                              <wps:spPr>
                                <a:xfrm>
                                  <a:off x="0" y="330741"/>
                                  <a:ext cx="262646" cy="243192"/>
                                </a:xfrm>
                                <a:prstGeom prst="rect">
                                  <a:avLst/>
                                </a:prstGeom>
                                <a:noFill/>
                                <a:ln w="6350">
                                  <a:noFill/>
                                </a:ln>
                              </wps:spPr>
                              <wps:txbx>
                                <w:txbxContent>
                                  <w:p w14:paraId="220A6772"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3" name="Text Box 2073"/>
                              <wps:cNvSpPr txBox="1"/>
                              <wps:spPr>
                                <a:xfrm>
                                  <a:off x="0" y="0"/>
                                  <a:ext cx="262646" cy="243192"/>
                                </a:xfrm>
                                <a:prstGeom prst="rect">
                                  <a:avLst/>
                                </a:prstGeom>
                                <a:noFill/>
                                <a:ln w="6350">
                                  <a:noFill/>
                                </a:ln>
                              </wps:spPr>
                              <wps:txbx>
                                <w:txbxContent>
                                  <w:p w14:paraId="223CBF9F" w14:textId="77777777" w:rsidR="00230AB9" w:rsidRPr="00955287" w:rsidRDefault="00230AB9" w:rsidP="0064576E">
                                    <w:pPr>
                                      <w:rPr>
                                        <w:sz w:val="20"/>
                                        <w:szCs w:val="20"/>
                                      </w:rPr>
                                    </w:pPr>
                                    <w:r w:rsidRPr="00955287">
                                      <w:rPr>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4" name="Text Box 2074"/>
                              <wps:cNvSpPr txBox="1"/>
                              <wps:spPr>
                                <a:xfrm>
                                  <a:off x="0" y="622570"/>
                                  <a:ext cx="262646" cy="243192"/>
                                </a:xfrm>
                                <a:prstGeom prst="rect">
                                  <a:avLst/>
                                </a:prstGeom>
                                <a:noFill/>
                                <a:ln w="6350">
                                  <a:noFill/>
                                </a:ln>
                              </wps:spPr>
                              <wps:txbx>
                                <w:txbxContent>
                                  <w:p w14:paraId="2380C523" w14:textId="77777777" w:rsidR="00230AB9" w:rsidRPr="00955287" w:rsidRDefault="00230AB9" w:rsidP="0064576E">
                                    <w:pPr>
                                      <w:rPr>
                                        <w:sz w:val="20"/>
                                        <w:szCs w:val="20"/>
                                      </w:rPr>
                                    </w:pPr>
                                    <w:r w:rsidRPr="00955287">
                                      <w:rPr>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C0A642" id="Group 2040" o:spid="_x0000_s1035" style="position:absolute;left:0;text-align:left;margin-left:31.9pt;margin-top:6.5pt;width:74.3pt;height:68.15pt;z-index:251677696" coordsize="9435,8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">
                      <v:shape id="Text Box 2045" o:spid="_x0000_s1036" type="#_x0000_t202" style="position:absolute;left:2140;top:1556;width:2622;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" fillcolor="window" stroked="f" strokeweight=".5pt">
                        <v:textbox>
                          <w:txbxContent>
                            <w:p w14:paraId="5C637C1E" w14:textId="77777777" w:rsidR="00230AB9" w:rsidRPr="00955287" w:rsidRDefault="00230AB9" w:rsidP="0064576E">
                              <w:pPr>
                                <w:rPr>
                                  <w:sz w:val="20"/>
                                  <w:szCs w:val="20"/>
                                </w:rPr>
                              </w:pPr>
                              <w:r w:rsidRPr="00955287">
                                <w:rPr>
                                  <w:sz w:val="20"/>
                                  <w:szCs w:val="20"/>
                                </w:rPr>
                                <w:t>B</w:t>
                              </w:r>
                            </w:p>
                          </w:txbxContent>
                        </v:textbox>
                      </v:shape>
                      <v:shape id="Text Box 320" o:spid="_x0000_s1037" type="#_x0000_t202" style="position:absolute;left:6809;top:3210;width:262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" fillcolor="window" stroked="f" strokeweight=".5pt">
                        <v:textbox>
                          <w:txbxContent>
                            <w:p w14:paraId="07CEEE90" w14:textId="77777777" w:rsidR="00230AB9" w:rsidRPr="00955287" w:rsidRDefault="00230AB9" w:rsidP="0064576E">
                              <w:pPr>
                                <w:rPr>
                                  <w:sz w:val="20"/>
                                  <w:szCs w:val="20"/>
                                </w:rPr>
                              </w:pPr>
                              <w:r w:rsidRPr="00955287">
                                <w:rPr>
                                  <w:sz w:val="20"/>
                                  <w:szCs w:val="20"/>
                                </w:rPr>
                                <w:t>B</w:t>
                              </w:r>
                            </w:p>
                          </w:txbxContent>
                        </v:textbox>
                      </v:shape>
                      <v:shape id="Text Box 328" o:spid="_x0000_s1038" type="#_x0000_t202" style="position:absolute;left:2140;top:4961;width:262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" fillcolor="window" stroked="f" strokeweight=".5pt">
                        <v:textbox>
                          <w:txbxContent>
                            <w:p w14:paraId="0806ECA9" w14:textId="77777777" w:rsidR="00230AB9" w:rsidRPr="00955287" w:rsidRDefault="00230AB9" w:rsidP="0064576E">
                              <w:pPr>
                                <w:rPr>
                                  <w:sz w:val="20"/>
                                  <w:szCs w:val="20"/>
                                </w:rPr>
                              </w:pPr>
                              <w:r w:rsidRPr="00955287">
                                <w:rPr>
                                  <w:sz w:val="20"/>
                                  <w:szCs w:val="20"/>
                                </w:rPr>
                                <w:t>B</w:t>
                              </w:r>
                            </w:p>
                          </w:txbxContent>
                        </v:textbox>
                      </v:shape>
                      <v:shape id="Text Box 2048" o:spid="_x0000_s1039" type="#_x0000_t202" style="position:absolute;left:4572;top:1459;width:262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" fillcolor="window" stroked="f" strokeweight=".5pt">
                        <v:textbox>
                          <w:txbxContent>
                            <w:p w14:paraId="19D5BEF7" w14:textId="77777777" w:rsidR="00230AB9" w:rsidRPr="00955287" w:rsidRDefault="00230AB9" w:rsidP="0064576E">
                              <w:pPr>
                                <w:rPr>
                                  <w:sz w:val="20"/>
                                  <w:szCs w:val="20"/>
                                </w:rPr>
                              </w:pPr>
                              <w:r>
                                <w:rPr>
                                  <w:sz w:val="20"/>
                                  <w:szCs w:val="20"/>
                                </w:rPr>
                                <w:t>O</w:t>
                              </w:r>
                            </w:p>
                          </w:txbxContent>
                        </v:textbox>
                      </v:shape>
                      <v:shape id="Text Box 2060" o:spid="_x0000_s1040" type="#_x0000_t202" style="position:absolute;left:4572;top:4961;width:262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" filled="f" stroked="f" strokeweight=".5pt">
                        <v:textbox>
                          <w:txbxContent>
                            <w:p w14:paraId="349D34FB" w14:textId="77777777" w:rsidR="00230AB9" w:rsidRPr="00955287" w:rsidRDefault="00230AB9" w:rsidP="0064576E">
                              <w:pPr>
                                <w:rPr>
                                  <w:sz w:val="20"/>
                                  <w:szCs w:val="20"/>
                                </w:rPr>
                              </w:pPr>
                              <w:r>
                                <w:rPr>
                                  <w:sz w:val="20"/>
                                  <w:szCs w:val="20"/>
                                </w:rPr>
                                <w:t>O</w:t>
                              </w:r>
                            </w:p>
                          </w:txbxContent>
                        </v:textbox>
                      </v:shape>
                      <v:shape id="Text Box 2072" o:spid="_x0000_s1041" type="#_x0000_t202" style="position:absolute;top:3307;width:262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" filled="f" stroked="f" strokeweight=".5pt">
                        <v:textbox>
                          <w:txbxContent>
                            <w:p w14:paraId="220A6772" w14:textId="77777777" w:rsidR="00230AB9" w:rsidRPr="00955287" w:rsidRDefault="00230AB9" w:rsidP="0064576E">
                              <w:pPr>
                                <w:rPr>
                                  <w:sz w:val="20"/>
                                  <w:szCs w:val="20"/>
                                </w:rPr>
                              </w:pPr>
                              <w:r>
                                <w:rPr>
                                  <w:sz w:val="20"/>
                                  <w:szCs w:val="20"/>
                                </w:rPr>
                                <w:t>O</w:t>
                              </w:r>
                            </w:p>
                          </w:txbxContent>
                        </v:textbox>
                      </v:shape>
                      <v:shape id="Text Box 2073" o:spid="_x0000_s1042" type="#_x0000_t202" style="position:absolute;width:2626;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" filled="f" stroked="f" strokeweight=".5pt">
                        <v:textbox>
                          <w:txbxContent>
                            <w:p w14:paraId="223CBF9F" w14:textId="77777777" w:rsidR="00230AB9" w:rsidRPr="00955287" w:rsidRDefault="00230AB9" w:rsidP="0064576E">
                              <w:pPr>
                                <w:rPr>
                                  <w:sz w:val="20"/>
                                  <w:szCs w:val="20"/>
                                </w:rPr>
                              </w:pPr>
                              <w:r w:rsidRPr="00955287">
                                <w:rPr>
                                  <w:sz w:val="20"/>
                                  <w:szCs w:val="20"/>
                                </w:rPr>
                                <w:t>B</w:t>
                              </w:r>
                            </w:p>
                          </w:txbxContent>
                        </v:textbox>
                      </v:shape>
                      <v:shape id="Text Box 2074" o:spid="_x0000_s1043" type="#_x0000_t202" style="position:absolute;top:6225;width:2626;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" filled="f" stroked="f" strokeweight=".5pt">
                        <v:textbox>
                          <w:txbxContent>
                            <w:p w14:paraId="2380C523" w14:textId="77777777" w:rsidR="00230AB9" w:rsidRPr="00955287" w:rsidRDefault="00230AB9" w:rsidP="0064576E">
                              <w:pPr>
                                <w:rPr>
                                  <w:sz w:val="20"/>
                                  <w:szCs w:val="20"/>
                                </w:rPr>
                              </w:pPr>
                              <w:r w:rsidRPr="00955287">
                                <w:rPr>
                                  <w:sz w:val="20"/>
                                  <w:szCs w:val="20"/>
                                </w:rPr>
                                <w:t>B</w:t>
                              </w:r>
                            </w:p>
                          </w:txbxContent>
                        </v:textbox>
                      </v:shape>
                    </v:group>
                  </w:pict>
                </mc:Fallback>
              </mc:AlternateContent>
            </w:r>
          </w:p>
          <w:p w14:paraId="4C8E715B" w14:textId="77777777" w:rsidR="0064576E" w:rsidRPr="000E2377" w:rsidRDefault="0064576E" w:rsidP="0064576E">
            <w:pPr>
              <w:spacing w:line="360" w:lineRule="auto"/>
              <w:jc w:val="center"/>
              <w:rPr>
                <w:rFonts w:cs="Times New Roman"/>
                <w:szCs w:val="24"/>
              </w:rPr>
            </w:pPr>
          </w:p>
          <w:p w14:paraId="0F9F9644" w14:textId="77777777" w:rsidR="0064576E" w:rsidRPr="000E2377" w:rsidRDefault="0064576E" w:rsidP="0064576E">
            <w:pPr>
              <w:spacing w:line="360" w:lineRule="auto"/>
              <w:jc w:val="center"/>
              <w:rPr>
                <w:rFonts w:cs="Times New Roman"/>
                <w:szCs w:val="24"/>
              </w:rPr>
            </w:pPr>
          </w:p>
          <w:p w14:paraId="785458E2" w14:textId="77777777" w:rsidR="0064576E" w:rsidRPr="000E2377" w:rsidRDefault="0064576E" w:rsidP="0064576E">
            <w:pPr>
              <w:spacing w:line="360" w:lineRule="auto"/>
              <w:rPr>
                <w:rFonts w:cs="Times New Roman"/>
                <w:szCs w:val="24"/>
              </w:rPr>
            </w:pPr>
            <w:r w:rsidRPr="000E2377">
              <w:rPr>
                <w:rFonts w:cs="Times New Roman"/>
                <w:szCs w:val="24"/>
              </w:rPr>
              <w:t xml:space="preserve">   </w:t>
            </w:r>
          </w:p>
        </w:tc>
        <w:tc>
          <w:tcPr>
            <w:tcW w:w="2977" w:type="dxa"/>
          </w:tcPr>
          <w:p w14:paraId="56E2E06B" w14:textId="77777777" w:rsidR="0064576E" w:rsidRPr="000E2377" w:rsidRDefault="0064576E" w:rsidP="0064576E">
            <w:pPr>
              <w:spacing w:line="360" w:lineRule="auto"/>
              <w:rPr>
                <w:rFonts w:cs="Times New Roman"/>
                <w:szCs w:val="24"/>
              </w:rPr>
            </w:pPr>
            <w:r w:rsidRPr="000E2377">
              <w:rPr>
                <w:rFonts w:cs="Times New Roman"/>
                <w:szCs w:val="24"/>
              </w:rPr>
              <w:t>Metaborate group</w:t>
            </w:r>
            <w:r w:rsidRPr="000E2377">
              <w:rPr>
                <w:rFonts w:cs="Times New Roman"/>
                <w:szCs w:val="24"/>
              </w:rPr>
              <w:br/>
              <w:t>Ring types</w:t>
            </w:r>
            <w:r w:rsidRPr="000E2377">
              <w:rPr>
                <w:rFonts w:cs="Times New Roman"/>
                <w:szCs w:val="24"/>
              </w:rPr>
              <w:br/>
              <w:t>Compounds: Na</w:t>
            </w:r>
            <w:r w:rsidRPr="000E2377">
              <w:rPr>
                <w:rFonts w:cs="Times New Roman"/>
                <w:szCs w:val="24"/>
                <w:vertAlign w:val="subscript"/>
              </w:rPr>
              <w:t>2</w:t>
            </w:r>
            <w:r w:rsidRPr="000E2377">
              <w:rPr>
                <w:rFonts w:cs="Times New Roman"/>
                <w:szCs w:val="24"/>
              </w:rPr>
              <w:t>O-B</w:t>
            </w:r>
            <w:r w:rsidRPr="000E2377">
              <w:rPr>
                <w:rFonts w:cs="Times New Roman"/>
                <w:szCs w:val="24"/>
                <w:vertAlign w:val="subscript"/>
              </w:rPr>
              <w:t>2</w:t>
            </w:r>
            <w:r w:rsidRPr="000E2377">
              <w:rPr>
                <w:rFonts w:cs="Times New Roman"/>
                <w:szCs w:val="24"/>
              </w:rPr>
              <w:t>O</w:t>
            </w:r>
            <w:r w:rsidRPr="000E2377">
              <w:rPr>
                <w:rFonts w:cs="Times New Roman"/>
                <w:szCs w:val="24"/>
                <w:vertAlign w:val="subscript"/>
              </w:rPr>
              <w:t>3</w:t>
            </w:r>
            <w:r w:rsidRPr="000E2377">
              <w:rPr>
                <w:rFonts w:cs="Times New Roman"/>
                <w:szCs w:val="24"/>
              </w:rPr>
              <w:t xml:space="preserve"> </w:t>
            </w:r>
            <w:r w:rsidRPr="000E2377">
              <w:rPr>
                <w:rFonts w:cs="Times New Roman"/>
                <w:szCs w:val="24"/>
              </w:rPr>
              <w:br/>
              <w:t xml:space="preserve">                     K</w:t>
            </w:r>
            <w:r w:rsidRPr="000E2377">
              <w:rPr>
                <w:rFonts w:cs="Times New Roman"/>
                <w:szCs w:val="24"/>
                <w:vertAlign w:val="subscript"/>
              </w:rPr>
              <w:t>2</w:t>
            </w:r>
            <w:r w:rsidRPr="000E2377">
              <w:rPr>
                <w:rFonts w:cs="Times New Roman"/>
                <w:szCs w:val="24"/>
              </w:rPr>
              <w:t>O-B</w:t>
            </w:r>
            <w:r w:rsidRPr="000E2377">
              <w:rPr>
                <w:rFonts w:cs="Times New Roman"/>
                <w:szCs w:val="24"/>
                <w:vertAlign w:val="subscript"/>
              </w:rPr>
              <w:t>2</w:t>
            </w:r>
            <w:r w:rsidRPr="000E2377">
              <w:rPr>
                <w:rFonts w:cs="Times New Roman"/>
                <w:szCs w:val="24"/>
              </w:rPr>
              <w:t>O</w:t>
            </w:r>
            <w:r w:rsidRPr="000E2377">
              <w:rPr>
                <w:rFonts w:cs="Times New Roman"/>
                <w:szCs w:val="24"/>
                <w:vertAlign w:val="subscript"/>
              </w:rPr>
              <w:t>3</w:t>
            </w:r>
          </w:p>
        </w:tc>
      </w:tr>
      <w:tr w:rsidR="0064576E" w:rsidRPr="000E2377" w14:paraId="337B2D80" w14:textId="77777777" w:rsidTr="002C11D0">
        <w:trPr>
          <w:jc w:val="center"/>
        </w:trPr>
        <w:tc>
          <w:tcPr>
            <w:tcW w:w="3114" w:type="dxa"/>
          </w:tcPr>
          <w:p w14:paraId="177FFD1A" w14:textId="77777777" w:rsidR="0064576E" w:rsidRPr="000E2377" w:rsidRDefault="0064576E" w:rsidP="0064576E">
            <w:pPr>
              <w:spacing w:line="360" w:lineRule="auto"/>
              <w:jc w:val="center"/>
              <w:rPr>
                <w:rFonts w:cs="Times New Roman"/>
                <w:szCs w:val="24"/>
              </w:rPr>
            </w:pPr>
            <w:r w:rsidRPr="000E2377">
              <w:rPr>
                <w:rFonts w:cs="Times New Roman"/>
                <w:noProof/>
                <w:szCs w:val="24"/>
                <w:lang w:eastAsia="en-MY"/>
              </w:rPr>
              <mc:AlternateContent>
                <mc:Choice Requires="wps">
                  <w:drawing>
                    <wp:anchor distT="0" distB="0" distL="114300" distR="114300" simplePos="0" relativeHeight="251692032" behindDoc="0" locked="0" layoutInCell="1" allowOverlap="1" wp14:anchorId="73B77DCF" wp14:editId="4F1F4C9A">
                      <wp:simplePos x="0" y="0"/>
                      <wp:positionH relativeFrom="column">
                        <wp:posOffset>136322</wp:posOffset>
                      </wp:positionH>
                      <wp:positionV relativeFrom="paragraph">
                        <wp:posOffset>215062</wp:posOffset>
                      </wp:positionV>
                      <wp:extent cx="0" cy="106734"/>
                      <wp:effectExtent l="0" t="0" r="38100" b="26670"/>
                      <wp:wrapNone/>
                      <wp:docPr id="2093" name="Straight Connector 2093"/>
                      <wp:cNvGraphicFramePr/>
                      <a:graphic xmlns:a="http://schemas.openxmlformats.org/drawingml/2006/main">
                        <a:graphicData uri="http://schemas.microsoft.com/office/word/2010/wordprocessingShape">
                          <wps:wsp>
                            <wps:cNvCnPr/>
                            <wps:spPr>
                              <a:xfrm flipV="1">
                                <a:off x="0" y="0"/>
                                <a:ext cx="0" cy="106734"/>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4166B968" id="Straight Connector 2093"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5pt,16.95pt" to="10.7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">
                      <v:stroke dashstyle="dash"/>
                    </v:line>
                  </w:pict>
                </mc:Fallback>
              </mc:AlternateContent>
            </w:r>
            <w:r w:rsidRPr="000E2377">
              <w:rPr>
                <w:rFonts w:cs="Times New Roman"/>
                <w:noProof/>
                <w:szCs w:val="24"/>
                <w:lang w:eastAsia="en-MY"/>
              </w:rPr>
              <mc:AlternateContent>
                <mc:Choice Requires="wpg">
                  <w:drawing>
                    <wp:anchor distT="0" distB="0" distL="114300" distR="114300" simplePos="0" relativeHeight="251679744" behindDoc="0" locked="0" layoutInCell="1" allowOverlap="1" wp14:anchorId="18493622" wp14:editId="7ECA89A2">
                      <wp:simplePos x="0" y="0"/>
                      <wp:positionH relativeFrom="column">
                        <wp:posOffset>8890</wp:posOffset>
                      </wp:positionH>
                      <wp:positionV relativeFrom="paragraph">
                        <wp:posOffset>234194</wp:posOffset>
                      </wp:positionV>
                      <wp:extent cx="1770264" cy="525222"/>
                      <wp:effectExtent l="0" t="0" r="0" b="0"/>
                      <wp:wrapNone/>
                      <wp:docPr id="2094" name="Group 2094"/>
                      <wp:cNvGraphicFramePr/>
                      <a:graphic xmlns:a="http://schemas.openxmlformats.org/drawingml/2006/main">
                        <a:graphicData uri="http://schemas.microsoft.com/office/word/2010/wordprocessingGroup">
                          <wpg:wgp>
                            <wpg:cNvGrpSpPr/>
                            <wpg:grpSpPr>
                              <a:xfrm>
                                <a:off x="0" y="0"/>
                                <a:ext cx="1770264" cy="525222"/>
                                <a:chOff x="0" y="0"/>
                                <a:chExt cx="1770264" cy="525222"/>
                              </a:xfrm>
                            </wpg:grpSpPr>
                            <wps:wsp>
                              <wps:cNvPr id="2101" name="Text Box 2101"/>
                              <wps:cNvSpPr txBox="1"/>
                              <wps:spPr>
                                <a:xfrm>
                                  <a:off x="272374" y="19456"/>
                                  <a:ext cx="262477" cy="243120"/>
                                </a:xfrm>
                                <a:prstGeom prst="rect">
                                  <a:avLst/>
                                </a:prstGeom>
                                <a:noFill/>
                                <a:ln w="6350">
                                  <a:noFill/>
                                </a:ln>
                              </wps:spPr>
                              <wps:txbx>
                                <w:txbxContent>
                                  <w:p w14:paraId="0C1E4648" w14:textId="77777777" w:rsidR="00230AB9" w:rsidRPr="00955287" w:rsidRDefault="00230AB9" w:rsidP="0064576E">
                                    <w:pPr>
                                      <w:rPr>
                                        <w:sz w:val="20"/>
                                        <w:szCs w:val="20"/>
                                      </w:rPr>
                                    </w:pPr>
                                    <w:r w:rsidRPr="00955287">
                                      <w:rPr>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2" name="Text Box 2102"/>
                              <wps:cNvSpPr txBox="1"/>
                              <wps:spPr>
                                <a:xfrm>
                                  <a:off x="787940" y="9728"/>
                                  <a:ext cx="262477" cy="243120"/>
                                </a:xfrm>
                                <a:prstGeom prst="rect">
                                  <a:avLst/>
                                </a:prstGeom>
                                <a:noFill/>
                                <a:ln w="6350">
                                  <a:noFill/>
                                </a:ln>
                              </wps:spPr>
                              <wps:txbx>
                                <w:txbxContent>
                                  <w:p w14:paraId="04A90ECE" w14:textId="77777777" w:rsidR="00230AB9" w:rsidRPr="00955287" w:rsidRDefault="00230AB9" w:rsidP="0064576E">
                                    <w:pPr>
                                      <w:rPr>
                                        <w:sz w:val="20"/>
                                        <w:szCs w:val="20"/>
                                      </w:rPr>
                                    </w:pPr>
                                    <w:r w:rsidRPr="00955287">
                                      <w:rPr>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4" name="Text Box 2104"/>
                              <wps:cNvSpPr txBox="1"/>
                              <wps:spPr>
                                <a:xfrm>
                                  <a:off x="1274323" y="0"/>
                                  <a:ext cx="262477" cy="243120"/>
                                </a:xfrm>
                                <a:prstGeom prst="rect">
                                  <a:avLst/>
                                </a:prstGeom>
                                <a:noFill/>
                                <a:ln w="6350">
                                  <a:noFill/>
                                </a:ln>
                              </wps:spPr>
                              <wps:txbx>
                                <w:txbxContent>
                                  <w:p w14:paraId="5D880CC3" w14:textId="77777777" w:rsidR="00230AB9" w:rsidRPr="00955287" w:rsidRDefault="00230AB9" w:rsidP="0064576E">
                                    <w:pPr>
                                      <w:rPr>
                                        <w:sz w:val="20"/>
                                        <w:szCs w:val="20"/>
                                      </w:rPr>
                                    </w:pPr>
                                    <w:r w:rsidRPr="00955287">
                                      <w:rPr>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5" name="Text Box 2105"/>
                              <wps:cNvSpPr txBox="1"/>
                              <wps:spPr>
                                <a:xfrm>
                                  <a:off x="505838" y="19456"/>
                                  <a:ext cx="262477" cy="243120"/>
                                </a:xfrm>
                                <a:prstGeom prst="rect">
                                  <a:avLst/>
                                </a:prstGeom>
                                <a:noFill/>
                                <a:ln w="6350">
                                  <a:noFill/>
                                </a:ln>
                              </wps:spPr>
                              <wps:txbx>
                                <w:txbxContent>
                                  <w:p w14:paraId="0EBD0462"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1" name="Text Box 2161"/>
                              <wps:cNvSpPr txBox="1"/>
                              <wps:spPr>
                                <a:xfrm>
                                  <a:off x="1001949" y="9728"/>
                                  <a:ext cx="262477" cy="243120"/>
                                </a:xfrm>
                                <a:prstGeom prst="rect">
                                  <a:avLst/>
                                </a:prstGeom>
                                <a:noFill/>
                                <a:ln w="6350">
                                  <a:noFill/>
                                </a:ln>
                              </wps:spPr>
                              <wps:txbx>
                                <w:txbxContent>
                                  <w:p w14:paraId="20C5D848"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4" name="Text Box 2164"/>
                              <wps:cNvSpPr txBox="1"/>
                              <wps:spPr>
                                <a:xfrm>
                                  <a:off x="1507787" y="0"/>
                                  <a:ext cx="262477" cy="243120"/>
                                </a:xfrm>
                                <a:prstGeom prst="rect">
                                  <a:avLst/>
                                </a:prstGeom>
                                <a:noFill/>
                                <a:ln w="6350">
                                  <a:noFill/>
                                </a:ln>
                              </wps:spPr>
                              <wps:txbx>
                                <w:txbxContent>
                                  <w:p w14:paraId="66D5ADCF"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5" name="Text Box 2165"/>
                              <wps:cNvSpPr txBox="1"/>
                              <wps:spPr>
                                <a:xfrm>
                                  <a:off x="0" y="19456"/>
                                  <a:ext cx="262477" cy="243120"/>
                                </a:xfrm>
                                <a:prstGeom prst="rect">
                                  <a:avLst/>
                                </a:prstGeom>
                                <a:noFill/>
                                <a:ln w="6350">
                                  <a:noFill/>
                                </a:ln>
                              </wps:spPr>
                              <wps:txbx>
                                <w:txbxContent>
                                  <w:p w14:paraId="127E7C4D"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6" name="Text Box 2166"/>
                              <wps:cNvSpPr txBox="1"/>
                              <wps:spPr>
                                <a:xfrm>
                                  <a:off x="272374" y="282102"/>
                                  <a:ext cx="262477" cy="243120"/>
                                </a:xfrm>
                                <a:prstGeom prst="rect">
                                  <a:avLst/>
                                </a:prstGeom>
                                <a:noFill/>
                                <a:ln w="6350">
                                  <a:noFill/>
                                </a:ln>
                              </wps:spPr>
                              <wps:txbx>
                                <w:txbxContent>
                                  <w:p w14:paraId="7A50AA5B"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0" name="Text Box 2170"/>
                              <wps:cNvSpPr txBox="1"/>
                              <wps:spPr>
                                <a:xfrm>
                                  <a:off x="768485" y="282102"/>
                                  <a:ext cx="262477" cy="243120"/>
                                </a:xfrm>
                                <a:prstGeom prst="rect">
                                  <a:avLst/>
                                </a:prstGeom>
                                <a:noFill/>
                                <a:ln w="6350">
                                  <a:noFill/>
                                </a:ln>
                              </wps:spPr>
                              <wps:txbx>
                                <w:txbxContent>
                                  <w:p w14:paraId="5301A1C7"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3" name="Text Box 1083"/>
                              <wps:cNvSpPr txBox="1"/>
                              <wps:spPr>
                                <a:xfrm>
                                  <a:off x="1274323" y="262647"/>
                                  <a:ext cx="262477" cy="243120"/>
                                </a:xfrm>
                                <a:prstGeom prst="rect">
                                  <a:avLst/>
                                </a:prstGeom>
                                <a:noFill/>
                                <a:ln w="6350">
                                  <a:noFill/>
                                </a:ln>
                              </wps:spPr>
                              <wps:txbx>
                                <w:txbxContent>
                                  <w:p w14:paraId="504CD75B"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8493622" id="Group 2094" o:spid="_x0000_s1044" style="position:absolute;left:0;text-align:left;margin-left:.7pt;margin-top:18.45pt;width:139.4pt;height:41.35pt;z-index:251679744" coordsize="17702,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">
                      <v:shape id="Text Box 2101" o:spid="_x0000_s1045" type="#_x0000_t202" style="position:absolute;left:2723;top:194;width:262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" filled="f" stroked="f" strokeweight=".5pt">
                        <v:textbox>
                          <w:txbxContent>
                            <w:p w14:paraId="0C1E4648" w14:textId="77777777" w:rsidR="00230AB9" w:rsidRPr="00955287" w:rsidRDefault="00230AB9" w:rsidP="0064576E">
                              <w:pPr>
                                <w:rPr>
                                  <w:sz w:val="20"/>
                                  <w:szCs w:val="20"/>
                                </w:rPr>
                              </w:pPr>
                              <w:r w:rsidRPr="00955287">
                                <w:rPr>
                                  <w:sz w:val="20"/>
                                  <w:szCs w:val="20"/>
                                </w:rPr>
                                <w:t>B</w:t>
                              </w:r>
                            </w:p>
                          </w:txbxContent>
                        </v:textbox>
                      </v:shape>
                      <v:shape id="Text Box 2102" o:spid="_x0000_s1046" type="#_x0000_t202" style="position:absolute;left:7879;top:97;width:262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" filled="f" stroked="f" strokeweight=".5pt">
                        <v:textbox>
                          <w:txbxContent>
                            <w:p w14:paraId="04A90ECE" w14:textId="77777777" w:rsidR="00230AB9" w:rsidRPr="00955287" w:rsidRDefault="00230AB9" w:rsidP="0064576E">
                              <w:pPr>
                                <w:rPr>
                                  <w:sz w:val="20"/>
                                  <w:szCs w:val="20"/>
                                </w:rPr>
                              </w:pPr>
                              <w:r w:rsidRPr="00955287">
                                <w:rPr>
                                  <w:sz w:val="20"/>
                                  <w:szCs w:val="20"/>
                                </w:rPr>
                                <w:t>B</w:t>
                              </w:r>
                            </w:p>
                          </w:txbxContent>
                        </v:textbox>
                      </v:shape>
                      <v:shape id="Text Box 2104" o:spid="_x0000_s1047" type="#_x0000_t202" style="position:absolute;left:12743;width:262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" filled="f" stroked="f" strokeweight=".5pt">
                        <v:textbox>
                          <w:txbxContent>
                            <w:p w14:paraId="5D880CC3" w14:textId="77777777" w:rsidR="00230AB9" w:rsidRPr="00955287" w:rsidRDefault="00230AB9" w:rsidP="0064576E">
                              <w:pPr>
                                <w:rPr>
                                  <w:sz w:val="20"/>
                                  <w:szCs w:val="20"/>
                                </w:rPr>
                              </w:pPr>
                              <w:r w:rsidRPr="00955287">
                                <w:rPr>
                                  <w:sz w:val="20"/>
                                  <w:szCs w:val="20"/>
                                </w:rPr>
                                <w:t>B</w:t>
                              </w:r>
                            </w:p>
                          </w:txbxContent>
                        </v:textbox>
                      </v:shape>
                      <v:shape id="Text Box 2105" o:spid="_x0000_s1048" type="#_x0000_t202" style="position:absolute;left:5058;top:194;width:262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" filled="f" stroked="f" strokeweight=".5pt">
                        <v:textbox>
                          <w:txbxContent>
                            <w:p w14:paraId="0EBD0462" w14:textId="77777777" w:rsidR="00230AB9" w:rsidRPr="00955287" w:rsidRDefault="00230AB9" w:rsidP="0064576E">
                              <w:pPr>
                                <w:rPr>
                                  <w:sz w:val="20"/>
                                  <w:szCs w:val="20"/>
                                </w:rPr>
                              </w:pPr>
                              <w:r>
                                <w:rPr>
                                  <w:sz w:val="20"/>
                                  <w:szCs w:val="20"/>
                                </w:rPr>
                                <w:t>O</w:t>
                              </w:r>
                            </w:p>
                          </w:txbxContent>
                        </v:textbox>
                      </v:shape>
                      <v:shape id="Text Box 2161" o:spid="_x0000_s1049" type="#_x0000_t202" style="position:absolute;left:10019;top:97;width:262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" filled="f" stroked="f" strokeweight=".5pt">
                        <v:textbox>
                          <w:txbxContent>
                            <w:p w14:paraId="20C5D848" w14:textId="77777777" w:rsidR="00230AB9" w:rsidRPr="00955287" w:rsidRDefault="00230AB9" w:rsidP="0064576E">
                              <w:pPr>
                                <w:rPr>
                                  <w:sz w:val="20"/>
                                  <w:szCs w:val="20"/>
                                </w:rPr>
                              </w:pPr>
                              <w:r>
                                <w:rPr>
                                  <w:sz w:val="20"/>
                                  <w:szCs w:val="20"/>
                                </w:rPr>
                                <w:t>O</w:t>
                              </w:r>
                            </w:p>
                          </w:txbxContent>
                        </v:textbox>
                      </v:shape>
                      <v:shape id="Text Box 2164" o:spid="_x0000_s1050" type="#_x0000_t202" style="position:absolute;left:15077;width:262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" filled="f" stroked="f" strokeweight=".5pt">
                        <v:textbox>
                          <w:txbxContent>
                            <w:p w14:paraId="66D5ADCF" w14:textId="77777777" w:rsidR="00230AB9" w:rsidRPr="00955287" w:rsidRDefault="00230AB9" w:rsidP="0064576E">
                              <w:pPr>
                                <w:rPr>
                                  <w:sz w:val="20"/>
                                  <w:szCs w:val="20"/>
                                </w:rPr>
                              </w:pPr>
                              <w:r>
                                <w:rPr>
                                  <w:sz w:val="20"/>
                                  <w:szCs w:val="20"/>
                                </w:rPr>
                                <w:t>O</w:t>
                              </w:r>
                            </w:p>
                          </w:txbxContent>
                        </v:textbox>
                      </v:shape>
                      <v:shape id="Text Box 2165" o:spid="_x0000_s1051" type="#_x0000_t202" style="position:absolute;top:194;width:2624;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" filled="f" stroked="f" strokeweight=".5pt">
                        <v:textbox>
                          <w:txbxContent>
                            <w:p w14:paraId="127E7C4D" w14:textId="77777777" w:rsidR="00230AB9" w:rsidRPr="00955287" w:rsidRDefault="00230AB9" w:rsidP="0064576E">
                              <w:pPr>
                                <w:rPr>
                                  <w:sz w:val="20"/>
                                  <w:szCs w:val="20"/>
                                </w:rPr>
                              </w:pPr>
                              <w:r>
                                <w:rPr>
                                  <w:sz w:val="20"/>
                                  <w:szCs w:val="20"/>
                                </w:rPr>
                                <w:t>O</w:t>
                              </w:r>
                            </w:p>
                          </w:txbxContent>
                        </v:textbox>
                      </v:shape>
                      <v:shape id="Text Box 2166" o:spid="_x0000_s1052" type="#_x0000_t202" style="position:absolute;left:2723;top:2821;width:262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" filled="f" stroked="f" strokeweight=".5pt">
                        <v:textbox>
                          <w:txbxContent>
                            <w:p w14:paraId="7A50AA5B" w14:textId="77777777" w:rsidR="00230AB9" w:rsidRPr="00955287" w:rsidRDefault="00230AB9" w:rsidP="0064576E">
                              <w:pPr>
                                <w:rPr>
                                  <w:sz w:val="20"/>
                                  <w:szCs w:val="20"/>
                                </w:rPr>
                              </w:pPr>
                              <w:r>
                                <w:rPr>
                                  <w:sz w:val="20"/>
                                  <w:szCs w:val="20"/>
                                </w:rPr>
                                <w:t>O</w:t>
                              </w:r>
                            </w:p>
                          </w:txbxContent>
                        </v:textbox>
                      </v:shape>
                      <v:shape id="Text Box 2170" o:spid="_x0000_s1053" type="#_x0000_t202" style="position:absolute;left:7684;top:2821;width:262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" filled="f" stroked="f" strokeweight=".5pt">
                        <v:textbox>
                          <w:txbxContent>
                            <w:p w14:paraId="5301A1C7" w14:textId="77777777" w:rsidR="00230AB9" w:rsidRPr="00955287" w:rsidRDefault="00230AB9" w:rsidP="0064576E">
                              <w:pPr>
                                <w:rPr>
                                  <w:sz w:val="20"/>
                                  <w:szCs w:val="20"/>
                                </w:rPr>
                              </w:pPr>
                              <w:r>
                                <w:rPr>
                                  <w:sz w:val="20"/>
                                  <w:szCs w:val="20"/>
                                </w:rPr>
                                <w:t>O</w:t>
                              </w:r>
                            </w:p>
                          </w:txbxContent>
                        </v:textbox>
                      </v:shape>
                      <v:shape id="Text Box 1083" o:spid="_x0000_s1054" type="#_x0000_t202" style="position:absolute;left:12743;top:2626;width:262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" filled="f" stroked="f" strokeweight=".5pt">
                        <v:textbox>
                          <w:txbxContent>
                            <w:p w14:paraId="504CD75B" w14:textId="77777777" w:rsidR="00230AB9" w:rsidRPr="00955287" w:rsidRDefault="00230AB9" w:rsidP="0064576E">
                              <w:pPr>
                                <w:rPr>
                                  <w:sz w:val="20"/>
                                  <w:szCs w:val="20"/>
                                </w:rPr>
                              </w:pPr>
                              <w:r>
                                <w:rPr>
                                  <w:sz w:val="20"/>
                                  <w:szCs w:val="20"/>
                                </w:rPr>
                                <w:t>O</w:t>
                              </w:r>
                            </w:p>
                          </w:txbxContent>
                        </v:textbox>
                      </v:shape>
                    </v:group>
                  </w:pict>
                </mc:Fallback>
              </mc:AlternateContent>
            </w:r>
          </w:p>
          <w:p w14:paraId="241D7A48" w14:textId="77777777" w:rsidR="0064576E" w:rsidRPr="000E2377" w:rsidRDefault="0064576E" w:rsidP="0064576E">
            <w:pPr>
              <w:spacing w:line="360" w:lineRule="auto"/>
              <w:jc w:val="center"/>
              <w:rPr>
                <w:rFonts w:cs="Times New Roman"/>
                <w:szCs w:val="24"/>
              </w:rPr>
            </w:pPr>
            <w:r w:rsidRPr="000E2377">
              <w:rPr>
                <w:rFonts w:cs="Times New Roman"/>
                <w:noProof/>
                <w:szCs w:val="24"/>
                <w:lang w:eastAsia="en-MY"/>
              </w:rPr>
              <mc:AlternateContent>
                <mc:Choice Requires="wps">
                  <w:drawing>
                    <wp:anchor distT="0" distB="0" distL="114300" distR="114300" simplePos="0" relativeHeight="251693056" behindDoc="0" locked="0" layoutInCell="1" allowOverlap="1" wp14:anchorId="7EE7C71F" wp14:editId="3B0EF5F3">
                      <wp:simplePos x="0" y="0"/>
                      <wp:positionH relativeFrom="column">
                        <wp:posOffset>137376</wp:posOffset>
                      </wp:positionH>
                      <wp:positionV relativeFrom="paragraph">
                        <wp:posOffset>195837</wp:posOffset>
                      </wp:positionV>
                      <wp:extent cx="9728" cy="136187"/>
                      <wp:effectExtent l="0" t="0" r="28575" b="0"/>
                      <wp:wrapNone/>
                      <wp:docPr id="1084" name="Straight Connector 1084"/>
                      <wp:cNvGraphicFramePr/>
                      <a:graphic xmlns:a="http://schemas.openxmlformats.org/drawingml/2006/main">
                        <a:graphicData uri="http://schemas.microsoft.com/office/word/2010/wordprocessingShape">
                          <wps:wsp>
                            <wps:cNvCnPr/>
                            <wps:spPr>
                              <a:xfrm>
                                <a:off x="0" y="0"/>
                                <a:ext cx="9728" cy="136187"/>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56D43955" id="Straight Connector 1084"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15.4pt" to="11.55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">
                      <v:stroke dashstyle="dash"/>
                    </v:line>
                  </w:pict>
                </mc:Fallback>
              </mc:AlternateContent>
            </w:r>
            <w:r w:rsidRPr="000E2377">
              <w:rPr>
                <w:rFonts w:cs="Times New Roman"/>
                <w:noProof/>
                <w:szCs w:val="24"/>
                <w:lang w:eastAsia="en-MY"/>
              </w:rPr>
              <mc:AlternateContent>
                <mc:Choice Requires="wps">
                  <w:drawing>
                    <wp:anchor distT="0" distB="0" distL="114300" distR="114300" simplePos="0" relativeHeight="251691008" behindDoc="0" locked="0" layoutInCell="1" allowOverlap="1" wp14:anchorId="4964BCFB" wp14:editId="47FE4CE9">
                      <wp:simplePos x="0" y="0"/>
                      <wp:positionH relativeFrom="column">
                        <wp:posOffset>1722985</wp:posOffset>
                      </wp:positionH>
                      <wp:positionV relativeFrom="paragraph">
                        <wp:posOffset>118015</wp:posOffset>
                      </wp:positionV>
                      <wp:extent cx="126459" cy="0"/>
                      <wp:effectExtent l="0" t="0" r="0" b="0"/>
                      <wp:wrapNone/>
                      <wp:docPr id="1085" name="Straight Connector 1085"/>
                      <wp:cNvGraphicFramePr/>
                      <a:graphic xmlns:a="http://schemas.openxmlformats.org/drawingml/2006/main">
                        <a:graphicData uri="http://schemas.microsoft.com/office/word/2010/wordprocessingShape">
                          <wps:wsp>
                            <wps:cNvCnPr/>
                            <wps:spPr>
                              <a:xfrm>
                                <a:off x="0" y="0"/>
                                <a:ext cx="126459"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DF706A4" id="Straight Connector 1085"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135.65pt,9.3pt" to="145.6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"/>
                  </w:pict>
                </mc:Fallback>
              </mc:AlternateContent>
            </w:r>
            <w:r w:rsidRPr="000E2377">
              <w:rPr>
                <w:rFonts w:cs="Times New Roman"/>
                <w:noProof/>
                <w:szCs w:val="24"/>
                <w:lang w:eastAsia="en-MY"/>
              </w:rPr>
              <mc:AlternateContent>
                <mc:Choice Requires="wps">
                  <w:drawing>
                    <wp:anchor distT="0" distB="0" distL="114300" distR="114300" simplePos="0" relativeHeight="251689984" behindDoc="0" locked="0" layoutInCell="1" allowOverlap="1" wp14:anchorId="3D272C65" wp14:editId="01D95420">
                      <wp:simplePos x="0" y="0"/>
                      <wp:positionH relativeFrom="column">
                        <wp:posOffset>-47449</wp:posOffset>
                      </wp:positionH>
                      <wp:positionV relativeFrom="paragraph">
                        <wp:posOffset>118015</wp:posOffset>
                      </wp:positionV>
                      <wp:extent cx="116732" cy="9728"/>
                      <wp:effectExtent l="0" t="0" r="17145" b="28575"/>
                      <wp:wrapNone/>
                      <wp:docPr id="1086" name="Straight Connector 1086"/>
                      <wp:cNvGraphicFramePr/>
                      <a:graphic xmlns:a="http://schemas.openxmlformats.org/drawingml/2006/main">
                        <a:graphicData uri="http://schemas.microsoft.com/office/word/2010/wordprocessingShape">
                          <wps:wsp>
                            <wps:cNvCnPr/>
                            <wps:spPr>
                              <a:xfrm flipH="1" flipV="1">
                                <a:off x="0" y="0"/>
                                <a:ext cx="116732" cy="9728"/>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7D7D895" id="Straight Connector 1086" o:spid="_x0000_s1026" style="position:absolute;flip:x y;z-index:251689984;visibility:visible;mso-wrap-style:square;mso-wrap-distance-left:9pt;mso-wrap-distance-top:0;mso-wrap-distance-right:9pt;mso-wrap-distance-bottom:0;mso-position-horizontal:absolute;mso-position-horizontal-relative:text;mso-position-vertical:absolute;mso-position-vertical-relative:text" from="-3.75pt,9.3pt" to="5.4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"/>
                  </w:pict>
                </mc:Fallback>
              </mc:AlternateContent>
            </w:r>
            <w:r w:rsidRPr="000E2377">
              <w:rPr>
                <w:rFonts w:cs="Times New Roman"/>
                <w:noProof/>
                <w:szCs w:val="24"/>
                <w:lang w:eastAsia="en-MY"/>
              </w:rPr>
              <mc:AlternateContent>
                <mc:Choice Requires="wps">
                  <w:drawing>
                    <wp:anchor distT="0" distB="0" distL="114300" distR="114300" simplePos="0" relativeHeight="251688960" behindDoc="0" locked="0" layoutInCell="1" allowOverlap="1" wp14:anchorId="5EA3AE91" wp14:editId="097CFC10">
                      <wp:simplePos x="0" y="0"/>
                      <wp:positionH relativeFrom="column">
                        <wp:posOffset>1401972</wp:posOffset>
                      </wp:positionH>
                      <wp:positionV relativeFrom="paragraph">
                        <wp:posOffset>176381</wp:posOffset>
                      </wp:positionV>
                      <wp:extent cx="9728" cy="145915"/>
                      <wp:effectExtent l="0" t="0" r="28575" b="26035"/>
                      <wp:wrapNone/>
                      <wp:docPr id="1087" name="Straight Connector 1087"/>
                      <wp:cNvGraphicFramePr/>
                      <a:graphic xmlns:a="http://schemas.openxmlformats.org/drawingml/2006/main">
                        <a:graphicData uri="http://schemas.microsoft.com/office/word/2010/wordprocessingShape">
                          <wps:wsp>
                            <wps:cNvCnPr/>
                            <wps:spPr>
                              <a:xfrm>
                                <a:off x="0" y="0"/>
                                <a:ext cx="9728" cy="14591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28414E61" id="Straight Connector 1087"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110.4pt,13.9pt" to="111.15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"/>
                  </w:pict>
                </mc:Fallback>
              </mc:AlternateContent>
            </w:r>
            <w:r w:rsidRPr="000E2377">
              <w:rPr>
                <w:rFonts w:cs="Times New Roman"/>
                <w:noProof/>
                <w:szCs w:val="24"/>
                <w:lang w:eastAsia="en-MY"/>
              </w:rPr>
              <mc:AlternateContent>
                <mc:Choice Requires="wps">
                  <w:drawing>
                    <wp:anchor distT="0" distB="0" distL="114300" distR="114300" simplePos="0" relativeHeight="251687936" behindDoc="0" locked="0" layoutInCell="1" allowOverlap="1" wp14:anchorId="15BDE0C9" wp14:editId="1ADE9A47">
                      <wp:simplePos x="0" y="0"/>
                      <wp:positionH relativeFrom="column">
                        <wp:posOffset>915589</wp:posOffset>
                      </wp:positionH>
                      <wp:positionV relativeFrom="paragraph">
                        <wp:posOffset>176381</wp:posOffset>
                      </wp:positionV>
                      <wp:extent cx="0" cy="135890"/>
                      <wp:effectExtent l="0" t="0" r="38100" b="35560"/>
                      <wp:wrapNone/>
                      <wp:docPr id="1136" name="Straight Connector 1136"/>
                      <wp:cNvGraphicFramePr/>
                      <a:graphic xmlns:a="http://schemas.openxmlformats.org/drawingml/2006/main">
                        <a:graphicData uri="http://schemas.microsoft.com/office/word/2010/wordprocessingShape">
                          <wps:wsp>
                            <wps:cNvCnPr/>
                            <wps:spPr>
                              <a:xfrm>
                                <a:off x="0" y="0"/>
                                <a:ext cx="0" cy="13589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1A4E5B8C" id="Straight Connector 1136"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72.1pt,13.9pt" to="72.1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"/>
                  </w:pict>
                </mc:Fallback>
              </mc:AlternateContent>
            </w:r>
            <w:r w:rsidRPr="000E2377">
              <w:rPr>
                <w:rFonts w:cs="Times New Roman"/>
                <w:noProof/>
                <w:szCs w:val="24"/>
                <w:lang w:eastAsia="en-MY"/>
              </w:rPr>
              <mc:AlternateContent>
                <mc:Choice Requires="wps">
                  <w:drawing>
                    <wp:anchor distT="0" distB="0" distL="114300" distR="114300" simplePos="0" relativeHeight="251686912" behindDoc="0" locked="0" layoutInCell="1" allowOverlap="1" wp14:anchorId="35F2DC70" wp14:editId="68D1638F">
                      <wp:simplePos x="0" y="0"/>
                      <wp:positionH relativeFrom="column">
                        <wp:posOffset>400023</wp:posOffset>
                      </wp:positionH>
                      <wp:positionV relativeFrom="paragraph">
                        <wp:posOffset>176381</wp:posOffset>
                      </wp:positionV>
                      <wp:extent cx="0" cy="136188"/>
                      <wp:effectExtent l="0" t="0" r="38100" b="35560"/>
                      <wp:wrapNone/>
                      <wp:docPr id="1138" name="Straight Connector 1138"/>
                      <wp:cNvGraphicFramePr/>
                      <a:graphic xmlns:a="http://schemas.openxmlformats.org/drawingml/2006/main">
                        <a:graphicData uri="http://schemas.microsoft.com/office/word/2010/wordprocessingShape">
                          <wps:wsp>
                            <wps:cNvCnPr/>
                            <wps:spPr>
                              <a:xfrm>
                                <a:off x="0" y="0"/>
                                <a:ext cx="0" cy="136188"/>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4A5EFB8F" id="Straight Connector 1138"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31.5pt,13.9pt" to="31.5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"/>
                  </w:pict>
                </mc:Fallback>
              </mc:AlternateContent>
            </w:r>
            <w:r w:rsidRPr="000E2377">
              <w:rPr>
                <w:rFonts w:cs="Times New Roman"/>
                <w:noProof/>
                <w:szCs w:val="24"/>
                <w:lang w:eastAsia="en-MY"/>
              </w:rPr>
              <mc:AlternateContent>
                <mc:Choice Requires="wps">
                  <w:drawing>
                    <wp:anchor distT="0" distB="0" distL="114300" distR="114300" simplePos="0" relativeHeight="251685888" behindDoc="0" locked="0" layoutInCell="1" allowOverlap="1" wp14:anchorId="26454BA4" wp14:editId="43E5445F">
                      <wp:simplePos x="0" y="0"/>
                      <wp:positionH relativeFrom="column">
                        <wp:posOffset>1460338</wp:posOffset>
                      </wp:positionH>
                      <wp:positionV relativeFrom="paragraph">
                        <wp:posOffset>127743</wp:posOffset>
                      </wp:positionV>
                      <wp:extent cx="116732" cy="0"/>
                      <wp:effectExtent l="0" t="0" r="0" b="0"/>
                      <wp:wrapNone/>
                      <wp:docPr id="1152" name="Straight Connector 1152"/>
                      <wp:cNvGraphicFramePr/>
                      <a:graphic xmlns:a="http://schemas.openxmlformats.org/drawingml/2006/main">
                        <a:graphicData uri="http://schemas.microsoft.com/office/word/2010/wordprocessingShape">
                          <wps:wsp>
                            <wps:cNvCnPr/>
                            <wps:spPr>
                              <a:xfrm>
                                <a:off x="0" y="0"/>
                                <a:ext cx="116732"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2CA7DC24" id="Straight Connector 1152"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115pt,10.05pt" to="124.2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"/>
                  </w:pict>
                </mc:Fallback>
              </mc:AlternateContent>
            </w:r>
            <w:r w:rsidRPr="000E2377">
              <w:rPr>
                <w:rFonts w:cs="Times New Roman"/>
                <w:noProof/>
                <w:szCs w:val="24"/>
                <w:lang w:eastAsia="en-MY"/>
              </w:rPr>
              <mc:AlternateContent>
                <mc:Choice Requires="wps">
                  <w:drawing>
                    <wp:anchor distT="0" distB="0" distL="114300" distR="114300" simplePos="0" relativeHeight="251684864" behindDoc="0" locked="0" layoutInCell="1" allowOverlap="1" wp14:anchorId="2C37DE3F" wp14:editId="4D7CC362">
                      <wp:simplePos x="0" y="0"/>
                      <wp:positionH relativeFrom="column">
                        <wp:posOffset>1226874</wp:posOffset>
                      </wp:positionH>
                      <wp:positionV relativeFrom="paragraph">
                        <wp:posOffset>127743</wp:posOffset>
                      </wp:positionV>
                      <wp:extent cx="116124" cy="0"/>
                      <wp:effectExtent l="0" t="0" r="0" b="0"/>
                      <wp:wrapNone/>
                      <wp:docPr id="1153" name="Straight Connector 1153"/>
                      <wp:cNvGraphicFramePr/>
                      <a:graphic xmlns:a="http://schemas.openxmlformats.org/drawingml/2006/main">
                        <a:graphicData uri="http://schemas.microsoft.com/office/word/2010/wordprocessingShape">
                          <wps:wsp>
                            <wps:cNvCnPr/>
                            <wps:spPr>
                              <a:xfrm>
                                <a:off x="0" y="0"/>
                                <a:ext cx="116124"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3556FD5" id="Straight Connector 1153"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96.6pt,10.05pt" to="105.7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"/>
                  </w:pict>
                </mc:Fallback>
              </mc:AlternateContent>
            </w:r>
            <w:r w:rsidRPr="000E2377">
              <w:rPr>
                <w:rFonts w:cs="Times New Roman"/>
                <w:noProof/>
                <w:szCs w:val="24"/>
                <w:lang w:eastAsia="en-MY"/>
              </w:rPr>
              <mc:AlternateContent>
                <mc:Choice Requires="wps">
                  <w:drawing>
                    <wp:anchor distT="0" distB="0" distL="114300" distR="114300" simplePos="0" relativeHeight="251683840" behindDoc="0" locked="0" layoutInCell="1" allowOverlap="1" wp14:anchorId="59D00370" wp14:editId="46605C65">
                      <wp:simplePos x="0" y="0"/>
                      <wp:positionH relativeFrom="column">
                        <wp:posOffset>983683</wp:posOffset>
                      </wp:positionH>
                      <wp:positionV relativeFrom="paragraph">
                        <wp:posOffset>127743</wp:posOffset>
                      </wp:positionV>
                      <wp:extent cx="116731" cy="0"/>
                      <wp:effectExtent l="0" t="0" r="0" b="0"/>
                      <wp:wrapNone/>
                      <wp:docPr id="1154" name="Straight Connector 1154"/>
                      <wp:cNvGraphicFramePr/>
                      <a:graphic xmlns:a="http://schemas.openxmlformats.org/drawingml/2006/main">
                        <a:graphicData uri="http://schemas.microsoft.com/office/word/2010/wordprocessingShape">
                          <wps:wsp>
                            <wps:cNvCnPr/>
                            <wps:spPr>
                              <a:xfrm>
                                <a:off x="0" y="0"/>
                                <a:ext cx="116731"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556CF676" id="Straight Connector 1154"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77.45pt,10.05pt" to="86.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"/>
                  </w:pict>
                </mc:Fallback>
              </mc:AlternateContent>
            </w:r>
            <w:r w:rsidRPr="000E2377">
              <w:rPr>
                <w:rFonts w:cs="Times New Roman"/>
                <w:noProof/>
                <w:szCs w:val="24"/>
                <w:lang w:eastAsia="en-MY"/>
              </w:rPr>
              <mc:AlternateContent>
                <mc:Choice Requires="wps">
                  <w:drawing>
                    <wp:anchor distT="0" distB="0" distL="114300" distR="114300" simplePos="0" relativeHeight="251682816" behindDoc="0" locked="0" layoutInCell="1" allowOverlap="1" wp14:anchorId="332BCBA8" wp14:editId="79C567B4">
                      <wp:simplePos x="0" y="0"/>
                      <wp:positionH relativeFrom="column">
                        <wp:posOffset>711308</wp:posOffset>
                      </wp:positionH>
                      <wp:positionV relativeFrom="paragraph">
                        <wp:posOffset>137471</wp:posOffset>
                      </wp:positionV>
                      <wp:extent cx="164672" cy="0"/>
                      <wp:effectExtent l="0" t="0" r="0" b="0"/>
                      <wp:wrapNone/>
                      <wp:docPr id="1156" name="Straight Connector 1156"/>
                      <wp:cNvGraphicFramePr/>
                      <a:graphic xmlns:a="http://schemas.openxmlformats.org/drawingml/2006/main">
                        <a:graphicData uri="http://schemas.microsoft.com/office/word/2010/wordprocessingShape">
                          <wps:wsp>
                            <wps:cNvCnPr/>
                            <wps:spPr>
                              <a:xfrm>
                                <a:off x="0" y="0"/>
                                <a:ext cx="164672"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5648AFAF" id="Straight Connector 1156"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56pt,10.8pt" to="68.9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"/>
                  </w:pict>
                </mc:Fallback>
              </mc:AlternateContent>
            </w:r>
            <w:r w:rsidRPr="000E2377">
              <w:rPr>
                <w:rFonts w:cs="Times New Roman"/>
                <w:noProof/>
                <w:szCs w:val="24"/>
                <w:lang w:eastAsia="en-MY"/>
              </w:rPr>
              <mc:AlternateContent>
                <mc:Choice Requires="wps">
                  <w:drawing>
                    <wp:anchor distT="0" distB="0" distL="114300" distR="114300" simplePos="0" relativeHeight="251680768" behindDoc="0" locked="0" layoutInCell="1" allowOverlap="1" wp14:anchorId="14A247FF" wp14:editId="25285C81">
                      <wp:simplePos x="0" y="0"/>
                      <wp:positionH relativeFrom="column">
                        <wp:posOffset>214118</wp:posOffset>
                      </wp:positionH>
                      <wp:positionV relativeFrom="paragraph">
                        <wp:posOffset>127432</wp:posOffset>
                      </wp:positionV>
                      <wp:extent cx="136187" cy="0"/>
                      <wp:effectExtent l="0" t="0" r="0" b="0"/>
                      <wp:wrapNone/>
                      <wp:docPr id="1190" name="Straight Connector 1190"/>
                      <wp:cNvGraphicFramePr/>
                      <a:graphic xmlns:a="http://schemas.openxmlformats.org/drawingml/2006/main">
                        <a:graphicData uri="http://schemas.microsoft.com/office/word/2010/wordprocessingShape">
                          <wps:wsp>
                            <wps:cNvCnPr/>
                            <wps:spPr>
                              <a:xfrm>
                                <a:off x="0" y="0"/>
                                <a:ext cx="136187"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217A6F14" id="Straight Connector 1190"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16.85pt,10.05pt" to="27.5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"/>
                  </w:pict>
                </mc:Fallback>
              </mc:AlternateContent>
            </w:r>
            <w:r w:rsidRPr="000E2377">
              <w:rPr>
                <w:rFonts w:cs="Times New Roman"/>
                <w:noProof/>
                <w:szCs w:val="24"/>
                <w:lang w:eastAsia="en-MY"/>
              </w:rPr>
              <mc:AlternateContent>
                <mc:Choice Requires="wps">
                  <w:drawing>
                    <wp:anchor distT="0" distB="0" distL="114300" distR="114300" simplePos="0" relativeHeight="251681792" behindDoc="0" locked="0" layoutInCell="1" allowOverlap="1" wp14:anchorId="07A219E2" wp14:editId="18717AEF">
                      <wp:simplePos x="0" y="0"/>
                      <wp:positionH relativeFrom="column">
                        <wp:posOffset>448661</wp:posOffset>
                      </wp:positionH>
                      <wp:positionV relativeFrom="paragraph">
                        <wp:posOffset>127743</wp:posOffset>
                      </wp:positionV>
                      <wp:extent cx="126460" cy="0"/>
                      <wp:effectExtent l="0" t="0" r="0" b="0"/>
                      <wp:wrapNone/>
                      <wp:docPr id="1191" name="Straight Connector 1191"/>
                      <wp:cNvGraphicFramePr/>
                      <a:graphic xmlns:a="http://schemas.openxmlformats.org/drawingml/2006/main">
                        <a:graphicData uri="http://schemas.microsoft.com/office/word/2010/wordprocessingShape">
                          <wps:wsp>
                            <wps:cNvCnPr/>
                            <wps:spPr>
                              <a:xfrm>
                                <a:off x="0" y="0"/>
                                <a:ext cx="12646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149526CE" id="Straight Connector 1191"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35.35pt,10.05pt" to="45.3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"/>
                  </w:pict>
                </mc:Fallback>
              </mc:AlternateContent>
            </w:r>
          </w:p>
          <w:p w14:paraId="19E8D99A" w14:textId="77777777" w:rsidR="0064576E" w:rsidRPr="000E2377" w:rsidRDefault="0064576E" w:rsidP="0064576E">
            <w:pPr>
              <w:spacing w:line="360" w:lineRule="auto"/>
              <w:jc w:val="center"/>
              <w:rPr>
                <w:rFonts w:cs="Times New Roman"/>
                <w:szCs w:val="24"/>
              </w:rPr>
            </w:pPr>
          </w:p>
          <w:p w14:paraId="14F09A53" w14:textId="77777777" w:rsidR="0064576E" w:rsidRPr="000E2377" w:rsidRDefault="0064576E" w:rsidP="0064576E">
            <w:pPr>
              <w:spacing w:line="360" w:lineRule="auto"/>
              <w:rPr>
                <w:rFonts w:cs="Times New Roman"/>
                <w:szCs w:val="24"/>
              </w:rPr>
            </w:pPr>
          </w:p>
        </w:tc>
        <w:tc>
          <w:tcPr>
            <w:tcW w:w="2977" w:type="dxa"/>
          </w:tcPr>
          <w:p w14:paraId="6D5D3086" w14:textId="77777777" w:rsidR="0064576E" w:rsidRPr="000E2377" w:rsidRDefault="0064576E" w:rsidP="0064576E">
            <w:pPr>
              <w:spacing w:line="360" w:lineRule="auto"/>
              <w:rPr>
                <w:rFonts w:cs="Times New Roman"/>
                <w:szCs w:val="24"/>
              </w:rPr>
            </w:pPr>
            <w:r w:rsidRPr="000E2377">
              <w:rPr>
                <w:rFonts w:cs="Times New Roman"/>
                <w:szCs w:val="24"/>
              </w:rPr>
              <w:t>Metaborate group</w:t>
            </w:r>
          </w:p>
          <w:p w14:paraId="2B1B84BC" w14:textId="77777777" w:rsidR="0064576E" w:rsidRPr="000E2377" w:rsidRDefault="0064576E" w:rsidP="0064576E">
            <w:pPr>
              <w:spacing w:line="360" w:lineRule="auto"/>
              <w:rPr>
                <w:rFonts w:cs="Times New Roman"/>
                <w:szCs w:val="24"/>
              </w:rPr>
            </w:pPr>
            <w:r w:rsidRPr="000E2377">
              <w:rPr>
                <w:rFonts w:cs="Times New Roman"/>
                <w:szCs w:val="24"/>
              </w:rPr>
              <w:t>Chain types</w:t>
            </w:r>
          </w:p>
          <w:p w14:paraId="59BFE41B" w14:textId="19BE530E" w:rsidR="0064576E" w:rsidRPr="000E2377" w:rsidRDefault="0064576E" w:rsidP="0064576E">
            <w:pPr>
              <w:spacing w:line="360" w:lineRule="auto"/>
              <w:rPr>
                <w:rFonts w:cs="Times New Roman"/>
                <w:szCs w:val="24"/>
              </w:rPr>
            </w:pPr>
            <w:r w:rsidRPr="000E2377">
              <w:rPr>
                <w:rFonts w:cs="Times New Roman"/>
                <w:szCs w:val="24"/>
              </w:rPr>
              <w:t>Compounds: Li</w:t>
            </w:r>
            <w:r w:rsidRPr="000E2377">
              <w:rPr>
                <w:rFonts w:cs="Times New Roman"/>
                <w:szCs w:val="24"/>
                <w:vertAlign w:val="subscript"/>
              </w:rPr>
              <w:t>2</w:t>
            </w:r>
            <w:r w:rsidR="00966940" w:rsidRPr="00966940">
              <w:rPr>
                <w:rFonts w:cs="Times New Roman"/>
                <w:szCs w:val="24"/>
              </w:rPr>
              <w:t>O</w:t>
            </w:r>
            <w:r w:rsidRPr="000E2377">
              <w:rPr>
                <w:rFonts w:cs="Times New Roman"/>
                <w:szCs w:val="24"/>
              </w:rPr>
              <w:t>-B</w:t>
            </w:r>
            <w:r w:rsidRPr="000E2377">
              <w:rPr>
                <w:rFonts w:cs="Times New Roman"/>
                <w:szCs w:val="24"/>
                <w:vertAlign w:val="subscript"/>
              </w:rPr>
              <w:t>2</w:t>
            </w:r>
            <w:r w:rsidRPr="000E2377">
              <w:rPr>
                <w:rFonts w:cs="Times New Roman"/>
                <w:szCs w:val="24"/>
              </w:rPr>
              <w:t>O</w:t>
            </w:r>
            <w:r w:rsidRPr="000E2377">
              <w:rPr>
                <w:rFonts w:cs="Times New Roman"/>
                <w:szCs w:val="24"/>
                <w:vertAlign w:val="subscript"/>
              </w:rPr>
              <w:t>3</w:t>
            </w:r>
          </w:p>
          <w:p w14:paraId="319EC869" w14:textId="77777777" w:rsidR="0064576E" w:rsidRPr="000E2377" w:rsidRDefault="0064576E" w:rsidP="0064576E">
            <w:pPr>
              <w:spacing w:line="360" w:lineRule="auto"/>
              <w:rPr>
                <w:rFonts w:cs="Times New Roman"/>
                <w:szCs w:val="24"/>
              </w:rPr>
            </w:pPr>
            <w:r w:rsidRPr="000E2377">
              <w:rPr>
                <w:rFonts w:cs="Times New Roman"/>
                <w:szCs w:val="24"/>
              </w:rPr>
              <w:t xml:space="preserve">                     CaO-B</w:t>
            </w:r>
            <w:r w:rsidRPr="000E2377">
              <w:rPr>
                <w:rFonts w:cs="Times New Roman"/>
                <w:szCs w:val="24"/>
                <w:vertAlign w:val="subscript"/>
              </w:rPr>
              <w:t>2</w:t>
            </w:r>
            <w:r w:rsidRPr="000E2377">
              <w:rPr>
                <w:rFonts w:cs="Times New Roman"/>
                <w:szCs w:val="24"/>
              </w:rPr>
              <w:t>O</w:t>
            </w:r>
            <w:r w:rsidRPr="000E2377">
              <w:rPr>
                <w:rFonts w:cs="Times New Roman"/>
                <w:szCs w:val="24"/>
                <w:vertAlign w:val="subscript"/>
              </w:rPr>
              <w:t>3</w:t>
            </w:r>
          </w:p>
        </w:tc>
      </w:tr>
      <w:tr w:rsidR="0064576E" w:rsidRPr="000E2377" w14:paraId="6D5FE7E2" w14:textId="77777777" w:rsidTr="002C11D0">
        <w:trPr>
          <w:jc w:val="center"/>
        </w:trPr>
        <w:tc>
          <w:tcPr>
            <w:tcW w:w="3114" w:type="dxa"/>
          </w:tcPr>
          <w:p w14:paraId="178D5AAC" w14:textId="77777777" w:rsidR="0064576E" w:rsidRPr="000E2377" w:rsidRDefault="0064576E" w:rsidP="0064576E">
            <w:pPr>
              <w:spacing w:line="360" w:lineRule="auto"/>
              <w:jc w:val="center"/>
              <w:rPr>
                <w:rFonts w:cs="Times New Roman"/>
                <w:szCs w:val="24"/>
              </w:rPr>
            </w:pPr>
            <w:r w:rsidRPr="000E2377">
              <w:rPr>
                <w:rFonts w:cs="Times New Roman"/>
                <w:noProof/>
                <w:szCs w:val="24"/>
                <w:lang w:eastAsia="en-MY"/>
              </w:rPr>
              <mc:AlternateContent>
                <mc:Choice Requires="wpg">
                  <w:drawing>
                    <wp:anchor distT="0" distB="0" distL="114300" distR="114300" simplePos="0" relativeHeight="251694080" behindDoc="0" locked="0" layoutInCell="1" allowOverlap="1" wp14:anchorId="33F86857" wp14:editId="5485F3E5">
                      <wp:simplePos x="0" y="0"/>
                      <wp:positionH relativeFrom="column">
                        <wp:posOffset>166559</wp:posOffset>
                      </wp:positionH>
                      <wp:positionV relativeFrom="paragraph">
                        <wp:posOffset>110936</wp:posOffset>
                      </wp:positionV>
                      <wp:extent cx="1449252" cy="603043"/>
                      <wp:effectExtent l="0" t="0" r="0" b="6985"/>
                      <wp:wrapNone/>
                      <wp:docPr id="1206" name="Group 1206"/>
                      <wp:cNvGraphicFramePr/>
                      <a:graphic xmlns:a="http://schemas.openxmlformats.org/drawingml/2006/main">
                        <a:graphicData uri="http://schemas.microsoft.com/office/word/2010/wordprocessingGroup">
                          <wpg:wgp>
                            <wpg:cNvGrpSpPr/>
                            <wpg:grpSpPr>
                              <a:xfrm>
                                <a:off x="0" y="0"/>
                                <a:ext cx="1449252" cy="603043"/>
                                <a:chOff x="0" y="0"/>
                                <a:chExt cx="1449252" cy="603043"/>
                              </a:xfrm>
                            </wpg:grpSpPr>
                            <wps:wsp>
                              <wps:cNvPr id="1209" name="Text Box 1209"/>
                              <wps:cNvSpPr txBox="1"/>
                              <wps:spPr>
                                <a:xfrm>
                                  <a:off x="1177047" y="340468"/>
                                  <a:ext cx="262477" cy="243120"/>
                                </a:xfrm>
                                <a:prstGeom prst="rect">
                                  <a:avLst/>
                                </a:prstGeom>
                                <a:noFill/>
                                <a:ln w="6350">
                                  <a:noFill/>
                                </a:ln>
                              </wps:spPr>
                              <wps:txbx>
                                <w:txbxContent>
                                  <w:p w14:paraId="142BF9D6"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4" name="Text Box 1214"/>
                              <wps:cNvSpPr txBox="1"/>
                              <wps:spPr>
                                <a:xfrm>
                                  <a:off x="1186775" y="0"/>
                                  <a:ext cx="262477" cy="243120"/>
                                </a:xfrm>
                                <a:prstGeom prst="rect">
                                  <a:avLst/>
                                </a:prstGeom>
                                <a:noFill/>
                                <a:ln w="6350">
                                  <a:noFill/>
                                </a:ln>
                              </wps:spPr>
                              <wps:txbx>
                                <w:txbxContent>
                                  <w:p w14:paraId="378A1EA2"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6" name="Text Box 1216"/>
                              <wps:cNvSpPr txBox="1"/>
                              <wps:spPr>
                                <a:xfrm>
                                  <a:off x="282102" y="175098"/>
                                  <a:ext cx="262477" cy="243120"/>
                                </a:xfrm>
                                <a:prstGeom prst="rect">
                                  <a:avLst/>
                                </a:prstGeom>
                                <a:noFill/>
                                <a:ln w="6350">
                                  <a:noFill/>
                                </a:ln>
                              </wps:spPr>
                              <wps:txbx>
                                <w:txbxContent>
                                  <w:p w14:paraId="6DC81F51" w14:textId="77777777" w:rsidR="00230AB9" w:rsidRPr="00955287" w:rsidRDefault="00230AB9" w:rsidP="0064576E">
                                    <w:pPr>
                                      <w:rPr>
                                        <w:sz w:val="20"/>
                                        <w:szCs w:val="20"/>
                                      </w:rPr>
                                    </w:pPr>
                                    <w:r>
                                      <w:rPr>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7" name="Text Box 1217"/>
                              <wps:cNvSpPr txBox="1"/>
                              <wps:spPr>
                                <a:xfrm>
                                  <a:off x="603115" y="175098"/>
                                  <a:ext cx="262477" cy="243120"/>
                                </a:xfrm>
                                <a:prstGeom prst="rect">
                                  <a:avLst/>
                                </a:prstGeom>
                                <a:noFill/>
                                <a:ln w="6350">
                                  <a:noFill/>
                                </a:ln>
                              </wps:spPr>
                              <wps:txbx>
                                <w:txbxContent>
                                  <w:p w14:paraId="40BB3D64"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9" name="Text Box 1219"/>
                              <wps:cNvSpPr txBox="1"/>
                              <wps:spPr>
                                <a:xfrm>
                                  <a:off x="963038" y="175098"/>
                                  <a:ext cx="262477" cy="243120"/>
                                </a:xfrm>
                                <a:prstGeom prst="rect">
                                  <a:avLst/>
                                </a:prstGeom>
                                <a:noFill/>
                                <a:ln w="6350">
                                  <a:noFill/>
                                </a:ln>
                              </wps:spPr>
                              <wps:txbx>
                                <w:txbxContent>
                                  <w:p w14:paraId="26E35319" w14:textId="77777777" w:rsidR="00230AB9" w:rsidRPr="00955287" w:rsidRDefault="00230AB9" w:rsidP="0064576E">
                                    <w:pPr>
                                      <w:rPr>
                                        <w:sz w:val="20"/>
                                        <w:szCs w:val="20"/>
                                      </w:rPr>
                                    </w:pPr>
                                    <w:r>
                                      <w:rPr>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0" name="Text Box 1220"/>
                              <wps:cNvSpPr txBox="1"/>
                              <wps:spPr>
                                <a:xfrm>
                                  <a:off x="0" y="359923"/>
                                  <a:ext cx="262477" cy="243120"/>
                                </a:xfrm>
                                <a:prstGeom prst="rect">
                                  <a:avLst/>
                                </a:prstGeom>
                                <a:noFill/>
                                <a:ln w="6350">
                                  <a:noFill/>
                                </a:ln>
                              </wps:spPr>
                              <wps:txbx>
                                <w:txbxContent>
                                  <w:p w14:paraId="2E5FCB5E"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1" name="Text Box 1221"/>
                              <wps:cNvSpPr txBox="1"/>
                              <wps:spPr>
                                <a:xfrm>
                                  <a:off x="19455" y="0"/>
                                  <a:ext cx="262477" cy="243120"/>
                                </a:xfrm>
                                <a:prstGeom prst="rect">
                                  <a:avLst/>
                                </a:prstGeom>
                                <a:noFill/>
                                <a:ln w="6350">
                                  <a:noFill/>
                                </a:ln>
                              </wps:spPr>
                              <wps:txbx>
                                <w:txbxContent>
                                  <w:p w14:paraId="08F2C3F3"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3F86857" id="Group 1206" o:spid="_x0000_s1055" style="position:absolute;left:0;text-align:left;margin-left:13.1pt;margin-top:8.75pt;width:114.1pt;height:47.5pt;z-index:251694080" coordsize="14492,6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">
                      <v:shape id="Text Box 1209" o:spid="_x0000_s1056" type="#_x0000_t202" style="position:absolute;left:11770;top:3404;width:262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" filled="f" stroked="f" strokeweight=".5pt">
                        <v:textbox>
                          <w:txbxContent>
                            <w:p w14:paraId="142BF9D6" w14:textId="77777777" w:rsidR="00230AB9" w:rsidRPr="00955287" w:rsidRDefault="00230AB9" w:rsidP="0064576E">
                              <w:pPr>
                                <w:rPr>
                                  <w:sz w:val="20"/>
                                  <w:szCs w:val="20"/>
                                </w:rPr>
                              </w:pPr>
                              <w:r>
                                <w:rPr>
                                  <w:sz w:val="20"/>
                                  <w:szCs w:val="20"/>
                                </w:rPr>
                                <w:t>O</w:t>
                              </w:r>
                            </w:p>
                          </w:txbxContent>
                        </v:textbox>
                      </v:shape>
                      <v:shape id="Text Box 1214" o:spid="_x0000_s1057" type="#_x0000_t202" style="position:absolute;left:11867;width:262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" filled="f" stroked="f" strokeweight=".5pt">
                        <v:textbox>
                          <w:txbxContent>
                            <w:p w14:paraId="378A1EA2" w14:textId="77777777" w:rsidR="00230AB9" w:rsidRPr="00955287" w:rsidRDefault="00230AB9" w:rsidP="0064576E">
                              <w:pPr>
                                <w:rPr>
                                  <w:sz w:val="20"/>
                                  <w:szCs w:val="20"/>
                                </w:rPr>
                              </w:pPr>
                              <w:r>
                                <w:rPr>
                                  <w:sz w:val="20"/>
                                  <w:szCs w:val="20"/>
                                </w:rPr>
                                <w:t>O</w:t>
                              </w:r>
                            </w:p>
                          </w:txbxContent>
                        </v:textbox>
                      </v:shape>
                      <v:shape id="Text Box 1216" o:spid="_x0000_s1058" type="#_x0000_t202" style="position:absolute;left:2821;top:1750;width:2624;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" filled="f" stroked="f" strokeweight=".5pt">
                        <v:textbox>
                          <w:txbxContent>
                            <w:p w14:paraId="6DC81F51" w14:textId="77777777" w:rsidR="00230AB9" w:rsidRPr="00955287" w:rsidRDefault="00230AB9" w:rsidP="0064576E">
                              <w:pPr>
                                <w:rPr>
                                  <w:sz w:val="20"/>
                                  <w:szCs w:val="20"/>
                                </w:rPr>
                              </w:pPr>
                              <w:r>
                                <w:rPr>
                                  <w:sz w:val="20"/>
                                  <w:szCs w:val="20"/>
                                </w:rPr>
                                <w:t>B</w:t>
                              </w:r>
                            </w:p>
                          </w:txbxContent>
                        </v:textbox>
                      </v:shape>
                      <v:shape id="Text Box 1217" o:spid="_x0000_s1059" type="#_x0000_t202" style="position:absolute;left:6031;top:1750;width:2624;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" filled="f" stroked="f" strokeweight=".5pt">
                        <v:textbox>
                          <w:txbxContent>
                            <w:p w14:paraId="40BB3D64" w14:textId="77777777" w:rsidR="00230AB9" w:rsidRPr="00955287" w:rsidRDefault="00230AB9" w:rsidP="0064576E">
                              <w:pPr>
                                <w:rPr>
                                  <w:sz w:val="20"/>
                                  <w:szCs w:val="20"/>
                                </w:rPr>
                              </w:pPr>
                              <w:r>
                                <w:rPr>
                                  <w:sz w:val="20"/>
                                  <w:szCs w:val="20"/>
                                </w:rPr>
                                <w:t>O</w:t>
                              </w:r>
                            </w:p>
                          </w:txbxContent>
                        </v:textbox>
                      </v:shape>
                      <v:shape id="Text Box 1219" o:spid="_x0000_s1060" type="#_x0000_t202" style="position:absolute;left:9630;top:1750;width:2625;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" filled="f" stroked="f" strokeweight=".5pt">
                        <v:textbox>
                          <w:txbxContent>
                            <w:p w14:paraId="26E35319" w14:textId="77777777" w:rsidR="00230AB9" w:rsidRPr="00955287" w:rsidRDefault="00230AB9" w:rsidP="0064576E">
                              <w:pPr>
                                <w:rPr>
                                  <w:sz w:val="20"/>
                                  <w:szCs w:val="20"/>
                                </w:rPr>
                              </w:pPr>
                              <w:r>
                                <w:rPr>
                                  <w:sz w:val="20"/>
                                  <w:szCs w:val="20"/>
                                </w:rPr>
                                <w:t>B</w:t>
                              </w:r>
                            </w:p>
                          </w:txbxContent>
                        </v:textbox>
                      </v:shape>
                      <v:shape id="Text Box 1220" o:spid="_x0000_s1061" type="#_x0000_t202" style="position:absolute;top:3599;width:2624;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" filled="f" stroked="f" strokeweight=".5pt">
                        <v:textbox>
                          <w:txbxContent>
                            <w:p w14:paraId="2E5FCB5E" w14:textId="77777777" w:rsidR="00230AB9" w:rsidRPr="00955287" w:rsidRDefault="00230AB9" w:rsidP="0064576E">
                              <w:pPr>
                                <w:rPr>
                                  <w:sz w:val="20"/>
                                  <w:szCs w:val="20"/>
                                </w:rPr>
                              </w:pPr>
                              <w:r>
                                <w:rPr>
                                  <w:sz w:val="20"/>
                                  <w:szCs w:val="20"/>
                                </w:rPr>
                                <w:t>O</w:t>
                              </w:r>
                            </w:p>
                          </w:txbxContent>
                        </v:textbox>
                      </v:shape>
                      <v:shape id="Text Box 1221" o:spid="_x0000_s1062" type="#_x0000_t202" style="position:absolute;left:194;width:262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" filled="f" stroked="f" strokeweight=".5pt">
                        <v:textbox>
                          <w:txbxContent>
                            <w:p w14:paraId="08F2C3F3" w14:textId="77777777" w:rsidR="00230AB9" w:rsidRPr="00955287" w:rsidRDefault="00230AB9" w:rsidP="0064576E">
                              <w:pPr>
                                <w:rPr>
                                  <w:sz w:val="20"/>
                                  <w:szCs w:val="20"/>
                                </w:rPr>
                              </w:pPr>
                              <w:r>
                                <w:rPr>
                                  <w:sz w:val="20"/>
                                  <w:szCs w:val="20"/>
                                </w:rPr>
                                <w:t>O</w:t>
                              </w:r>
                            </w:p>
                          </w:txbxContent>
                        </v:textbox>
                      </v:shape>
                    </v:group>
                  </w:pict>
                </mc:Fallback>
              </mc:AlternateContent>
            </w:r>
          </w:p>
          <w:p w14:paraId="24DC43CA" w14:textId="77777777" w:rsidR="0064576E" w:rsidRPr="000E2377" w:rsidRDefault="0064576E" w:rsidP="0064576E">
            <w:pPr>
              <w:spacing w:line="360" w:lineRule="auto"/>
              <w:jc w:val="center"/>
              <w:rPr>
                <w:rFonts w:cs="Times New Roman"/>
                <w:szCs w:val="24"/>
              </w:rPr>
            </w:pPr>
            <w:r w:rsidRPr="000E2377">
              <w:rPr>
                <w:rFonts w:cs="Times New Roman"/>
                <w:noProof/>
                <w:szCs w:val="24"/>
                <w:lang w:eastAsia="en-MY"/>
              </w:rPr>
              <mc:AlternateContent>
                <mc:Choice Requires="wps">
                  <w:drawing>
                    <wp:anchor distT="0" distB="0" distL="114300" distR="114300" simplePos="0" relativeHeight="251700224" behindDoc="0" locked="0" layoutInCell="1" allowOverlap="1" wp14:anchorId="1237B20F" wp14:editId="31EA8690">
                      <wp:simplePos x="0" y="0"/>
                      <wp:positionH relativeFrom="column">
                        <wp:posOffset>370840</wp:posOffset>
                      </wp:positionH>
                      <wp:positionV relativeFrom="paragraph">
                        <wp:posOffset>207714</wp:posOffset>
                      </wp:positionV>
                      <wp:extent cx="145388" cy="87804"/>
                      <wp:effectExtent l="0" t="0" r="26670" b="26670"/>
                      <wp:wrapNone/>
                      <wp:docPr id="1222" name="Straight Connector 1222"/>
                      <wp:cNvGraphicFramePr/>
                      <a:graphic xmlns:a="http://schemas.openxmlformats.org/drawingml/2006/main">
                        <a:graphicData uri="http://schemas.microsoft.com/office/word/2010/wordprocessingShape">
                          <wps:wsp>
                            <wps:cNvCnPr/>
                            <wps:spPr>
                              <a:xfrm flipH="1">
                                <a:off x="0" y="0"/>
                                <a:ext cx="145388" cy="87804"/>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2FF771D9" id="Straight Connector 1222" o:spid="_x0000_s1026" style="position:absolute;flip:x;z-index:251700224;visibility:visible;mso-wrap-style:square;mso-wrap-distance-left:9pt;mso-wrap-distance-top:0;mso-wrap-distance-right:9pt;mso-wrap-distance-bottom:0;mso-position-horizontal:absolute;mso-position-horizontal-relative:text;mso-position-vertical:absolute;mso-position-vertical-relative:text" from="29.2pt,16.35pt" to="40.6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"/>
                  </w:pict>
                </mc:Fallback>
              </mc:AlternateContent>
            </w:r>
            <w:r w:rsidRPr="000E2377">
              <w:rPr>
                <w:rFonts w:cs="Times New Roman"/>
                <w:noProof/>
                <w:szCs w:val="24"/>
                <w:lang w:eastAsia="en-MY"/>
              </w:rPr>
              <mc:AlternateContent>
                <mc:Choice Requires="wps">
                  <w:drawing>
                    <wp:anchor distT="0" distB="0" distL="114300" distR="114300" simplePos="0" relativeHeight="251699200" behindDoc="0" locked="0" layoutInCell="1" allowOverlap="1" wp14:anchorId="64A01FE2" wp14:editId="0D390B25">
                      <wp:simplePos x="0" y="0"/>
                      <wp:positionH relativeFrom="column">
                        <wp:posOffset>400023</wp:posOffset>
                      </wp:positionH>
                      <wp:positionV relativeFrom="paragraph">
                        <wp:posOffset>32871</wp:posOffset>
                      </wp:positionV>
                      <wp:extent cx="116584" cy="68094"/>
                      <wp:effectExtent l="0" t="0" r="17145" b="27305"/>
                      <wp:wrapNone/>
                      <wp:docPr id="1223" name="Straight Connector 1223"/>
                      <wp:cNvGraphicFramePr/>
                      <a:graphic xmlns:a="http://schemas.openxmlformats.org/drawingml/2006/main">
                        <a:graphicData uri="http://schemas.microsoft.com/office/word/2010/wordprocessingShape">
                          <wps:wsp>
                            <wps:cNvCnPr/>
                            <wps:spPr>
                              <a:xfrm flipH="1" flipV="1">
                                <a:off x="0" y="0"/>
                                <a:ext cx="116584" cy="68094"/>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BE6CFD4" id="Straight Connector 1223" o:spid="_x0000_s1026" style="position:absolute;flip:x y;z-index:251699200;visibility:visible;mso-wrap-style:square;mso-wrap-distance-left:9pt;mso-wrap-distance-top:0;mso-wrap-distance-right:9pt;mso-wrap-distance-bottom:0;mso-position-horizontal:absolute;mso-position-horizontal-relative:text;mso-position-vertical:absolute;mso-position-vertical-relative:text" from="31.5pt,2.6pt" to="40.7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"/>
                  </w:pict>
                </mc:Fallback>
              </mc:AlternateContent>
            </w:r>
            <w:r w:rsidRPr="000E2377">
              <w:rPr>
                <w:rFonts w:cs="Times New Roman"/>
                <w:noProof/>
                <w:szCs w:val="24"/>
                <w:lang w:eastAsia="en-MY"/>
              </w:rPr>
              <mc:AlternateContent>
                <mc:Choice Requires="wps">
                  <w:drawing>
                    <wp:anchor distT="0" distB="0" distL="114300" distR="114300" simplePos="0" relativeHeight="251698176" behindDoc="0" locked="0" layoutInCell="1" allowOverlap="1" wp14:anchorId="48C8895B" wp14:editId="606D5332">
                      <wp:simplePos x="0" y="0"/>
                      <wp:positionH relativeFrom="column">
                        <wp:posOffset>1314423</wp:posOffset>
                      </wp:positionH>
                      <wp:positionV relativeFrom="paragraph">
                        <wp:posOffset>217697</wp:posOffset>
                      </wp:positionV>
                      <wp:extent cx="97074" cy="68094"/>
                      <wp:effectExtent l="0" t="0" r="36830" b="27305"/>
                      <wp:wrapNone/>
                      <wp:docPr id="1224" name="Straight Connector 1224"/>
                      <wp:cNvGraphicFramePr/>
                      <a:graphic xmlns:a="http://schemas.openxmlformats.org/drawingml/2006/main">
                        <a:graphicData uri="http://schemas.microsoft.com/office/word/2010/wordprocessingShape">
                          <wps:wsp>
                            <wps:cNvCnPr/>
                            <wps:spPr>
                              <a:xfrm>
                                <a:off x="0" y="0"/>
                                <a:ext cx="97074" cy="68094"/>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21047B98" id="Straight Connector 1224"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103.5pt,17.15pt" to="111.1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"/>
                  </w:pict>
                </mc:Fallback>
              </mc:AlternateContent>
            </w:r>
            <w:r w:rsidRPr="000E2377">
              <w:rPr>
                <w:rFonts w:cs="Times New Roman"/>
                <w:noProof/>
                <w:szCs w:val="24"/>
                <w:lang w:eastAsia="en-MY"/>
              </w:rPr>
              <mc:AlternateContent>
                <mc:Choice Requires="wps">
                  <w:drawing>
                    <wp:anchor distT="0" distB="0" distL="114300" distR="114300" simplePos="0" relativeHeight="251697152" behindDoc="0" locked="0" layoutInCell="1" allowOverlap="1" wp14:anchorId="496D81A5" wp14:editId="5D1D8D50">
                      <wp:simplePos x="0" y="0"/>
                      <wp:positionH relativeFrom="column">
                        <wp:posOffset>1324151</wp:posOffset>
                      </wp:positionH>
                      <wp:positionV relativeFrom="paragraph">
                        <wp:posOffset>42598</wp:posOffset>
                      </wp:positionV>
                      <wp:extent cx="126135" cy="97277"/>
                      <wp:effectExtent l="0" t="0" r="26670" b="17145"/>
                      <wp:wrapNone/>
                      <wp:docPr id="1225" name="Straight Connector 1225"/>
                      <wp:cNvGraphicFramePr/>
                      <a:graphic xmlns:a="http://schemas.openxmlformats.org/drawingml/2006/main">
                        <a:graphicData uri="http://schemas.microsoft.com/office/word/2010/wordprocessingShape">
                          <wps:wsp>
                            <wps:cNvCnPr/>
                            <wps:spPr>
                              <a:xfrm flipV="1">
                                <a:off x="0" y="0"/>
                                <a:ext cx="126135" cy="97277"/>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5A1EB97" id="Straight Connector 1225"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25pt,3.35pt" to="114.2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"/>
                  </w:pict>
                </mc:Fallback>
              </mc:AlternateContent>
            </w:r>
            <w:r w:rsidRPr="000E2377">
              <w:rPr>
                <w:rFonts w:cs="Times New Roman"/>
                <w:noProof/>
                <w:szCs w:val="24"/>
                <w:lang w:eastAsia="en-MY"/>
              </w:rPr>
              <mc:AlternateContent>
                <mc:Choice Requires="wps">
                  <w:drawing>
                    <wp:anchor distT="0" distB="0" distL="114300" distR="114300" simplePos="0" relativeHeight="251696128" behindDoc="0" locked="0" layoutInCell="1" allowOverlap="1" wp14:anchorId="487BCA1B" wp14:editId="51C32255">
                      <wp:simplePos x="0" y="0"/>
                      <wp:positionH relativeFrom="column">
                        <wp:posOffset>983683</wp:posOffset>
                      </wp:positionH>
                      <wp:positionV relativeFrom="paragraph">
                        <wp:posOffset>169059</wp:posOffset>
                      </wp:positionV>
                      <wp:extent cx="204213" cy="0"/>
                      <wp:effectExtent l="0" t="0" r="0" b="0"/>
                      <wp:wrapNone/>
                      <wp:docPr id="1226" name="Straight Connector 1226"/>
                      <wp:cNvGraphicFramePr/>
                      <a:graphic xmlns:a="http://schemas.openxmlformats.org/drawingml/2006/main">
                        <a:graphicData uri="http://schemas.microsoft.com/office/word/2010/wordprocessingShape">
                          <wps:wsp>
                            <wps:cNvCnPr/>
                            <wps:spPr>
                              <a:xfrm>
                                <a:off x="0" y="0"/>
                                <a:ext cx="204213"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5FE80024" id="Straight Connector 1226"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77.45pt,13.3pt" to="93.5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"/>
                  </w:pict>
                </mc:Fallback>
              </mc:AlternateContent>
            </w:r>
            <w:r w:rsidRPr="000E2377">
              <w:rPr>
                <w:rFonts w:cs="Times New Roman"/>
                <w:noProof/>
                <w:szCs w:val="24"/>
                <w:lang w:eastAsia="en-MY"/>
              </w:rPr>
              <mc:AlternateContent>
                <mc:Choice Requires="wps">
                  <w:drawing>
                    <wp:anchor distT="0" distB="0" distL="114300" distR="114300" simplePos="0" relativeHeight="251695104" behindDoc="0" locked="0" layoutInCell="1" allowOverlap="1" wp14:anchorId="762476C4" wp14:editId="460902C7">
                      <wp:simplePos x="0" y="0"/>
                      <wp:positionH relativeFrom="column">
                        <wp:posOffset>662500</wp:posOffset>
                      </wp:positionH>
                      <wp:positionV relativeFrom="paragraph">
                        <wp:posOffset>169059</wp:posOffset>
                      </wp:positionV>
                      <wp:extent cx="194429" cy="0"/>
                      <wp:effectExtent l="0" t="0" r="0" b="0"/>
                      <wp:wrapNone/>
                      <wp:docPr id="1227" name="Straight Connector 1227"/>
                      <wp:cNvGraphicFramePr/>
                      <a:graphic xmlns:a="http://schemas.openxmlformats.org/drawingml/2006/main">
                        <a:graphicData uri="http://schemas.microsoft.com/office/word/2010/wordprocessingShape">
                          <wps:wsp>
                            <wps:cNvCnPr/>
                            <wps:spPr>
                              <a:xfrm>
                                <a:off x="0" y="0"/>
                                <a:ext cx="194429"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1AB9EF81" id="Straight Connector 1227"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52.15pt,13.3pt" to="67.4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"/>
                  </w:pict>
                </mc:Fallback>
              </mc:AlternateContent>
            </w:r>
          </w:p>
          <w:p w14:paraId="312164EA" w14:textId="77777777" w:rsidR="0064576E" w:rsidRPr="000E2377" w:rsidRDefault="0064576E" w:rsidP="0064576E">
            <w:pPr>
              <w:spacing w:line="360" w:lineRule="auto"/>
              <w:jc w:val="center"/>
              <w:rPr>
                <w:rFonts w:cs="Times New Roman"/>
                <w:szCs w:val="24"/>
              </w:rPr>
            </w:pPr>
          </w:p>
        </w:tc>
        <w:tc>
          <w:tcPr>
            <w:tcW w:w="2977" w:type="dxa"/>
          </w:tcPr>
          <w:p w14:paraId="69293840" w14:textId="77777777" w:rsidR="0064576E" w:rsidRPr="000E2377" w:rsidRDefault="0064576E" w:rsidP="0064576E">
            <w:pPr>
              <w:spacing w:line="360" w:lineRule="auto"/>
              <w:rPr>
                <w:rFonts w:cs="Times New Roman"/>
                <w:szCs w:val="24"/>
              </w:rPr>
            </w:pPr>
            <w:r w:rsidRPr="000E2377">
              <w:rPr>
                <w:rFonts w:cs="Times New Roman"/>
                <w:szCs w:val="24"/>
              </w:rPr>
              <w:t>Pyroborate group</w:t>
            </w:r>
            <w:r w:rsidRPr="000E2377">
              <w:rPr>
                <w:rFonts w:cs="Times New Roman"/>
                <w:szCs w:val="24"/>
              </w:rPr>
              <w:br/>
              <w:t>Compounds: 2MgO-B</w:t>
            </w:r>
            <w:r w:rsidRPr="000E2377">
              <w:rPr>
                <w:rFonts w:cs="Times New Roman"/>
                <w:szCs w:val="24"/>
                <w:vertAlign w:val="subscript"/>
              </w:rPr>
              <w:t>2</w:t>
            </w:r>
            <w:r w:rsidRPr="000E2377">
              <w:rPr>
                <w:rFonts w:cs="Times New Roman"/>
                <w:szCs w:val="24"/>
              </w:rPr>
              <w:t>O</w:t>
            </w:r>
            <w:r w:rsidRPr="000E2377">
              <w:rPr>
                <w:rFonts w:cs="Times New Roman"/>
                <w:szCs w:val="24"/>
                <w:vertAlign w:val="subscript"/>
              </w:rPr>
              <w:t>3</w:t>
            </w:r>
            <w:r w:rsidRPr="000E2377">
              <w:rPr>
                <w:rFonts w:cs="Times New Roman"/>
                <w:szCs w:val="24"/>
              </w:rPr>
              <w:br/>
              <w:t xml:space="preserve">                      2CaO-B</w:t>
            </w:r>
            <w:r w:rsidRPr="000E2377">
              <w:rPr>
                <w:rFonts w:cs="Times New Roman"/>
                <w:szCs w:val="24"/>
                <w:vertAlign w:val="subscript"/>
              </w:rPr>
              <w:t>2</w:t>
            </w:r>
            <w:r w:rsidRPr="000E2377">
              <w:rPr>
                <w:rFonts w:cs="Times New Roman"/>
                <w:szCs w:val="24"/>
              </w:rPr>
              <w:t>O</w:t>
            </w:r>
            <w:r w:rsidRPr="000E2377">
              <w:rPr>
                <w:rFonts w:cs="Times New Roman"/>
                <w:szCs w:val="24"/>
                <w:vertAlign w:val="subscript"/>
              </w:rPr>
              <w:t>3</w:t>
            </w:r>
          </w:p>
        </w:tc>
      </w:tr>
      <w:tr w:rsidR="0064576E" w:rsidRPr="000E2377" w14:paraId="3AD1BE20" w14:textId="77777777" w:rsidTr="002C11D0">
        <w:trPr>
          <w:jc w:val="center"/>
        </w:trPr>
        <w:tc>
          <w:tcPr>
            <w:tcW w:w="3114" w:type="dxa"/>
          </w:tcPr>
          <w:p w14:paraId="134FB3E1" w14:textId="77777777" w:rsidR="0064576E" w:rsidRPr="000E2377" w:rsidRDefault="0064576E" w:rsidP="0064576E">
            <w:pPr>
              <w:spacing w:line="360" w:lineRule="auto"/>
              <w:jc w:val="center"/>
              <w:rPr>
                <w:rFonts w:cs="Times New Roman"/>
                <w:szCs w:val="24"/>
              </w:rPr>
            </w:pPr>
            <w:r w:rsidRPr="000E2377">
              <w:rPr>
                <w:rFonts w:cs="Times New Roman"/>
                <w:noProof/>
                <w:szCs w:val="24"/>
                <w:lang w:eastAsia="en-MY"/>
              </w:rPr>
              <mc:AlternateContent>
                <mc:Choice Requires="wpg">
                  <w:drawing>
                    <wp:anchor distT="0" distB="0" distL="114300" distR="114300" simplePos="0" relativeHeight="251701248" behindDoc="0" locked="0" layoutInCell="1" allowOverlap="1" wp14:anchorId="7A625BA6" wp14:editId="62BC5559">
                      <wp:simplePos x="0" y="0"/>
                      <wp:positionH relativeFrom="column">
                        <wp:posOffset>536210</wp:posOffset>
                      </wp:positionH>
                      <wp:positionV relativeFrom="paragraph">
                        <wp:posOffset>142767</wp:posOffset>
                      </wp:positionV>
                      <wp:extent cx="758588" cy="466855"/>
                      <wp:effectExtent l="0" t="0" r="0" b="0"/>
                      <wp:wrapNone/>
                      <wp:docPr id="1228" name="Group 1228"/>
                      <wp:cNvGraphicFramePr/>
                      <a:graphic xmlns:a="http://schemas.openxmlformats.org/drawingml/2006/main">
                        <a:graphicData uri="http://schemas.microsoft.com/office/word/2010/wordprocessingGroup">
                          <wpg:wgp>
                            <wpg:cNvGrpSpPr/>
                            <wpg:grpSpPr>
                              <a:xfrm>
                                <a:off x="0" y="0"/>
                                <a:ext cx="758588" cy="466855"/>
                                <a:chOff x="0" y="0"/>
                                <a:chExt cx="758588" cy="466855"/>
                              </a:xfrm>
                            </wpg:grpSpPr>
                            <wps:wsp>
                              <wps:cNvPr id="1229" name="Text Box 1229"/>
                              <wps:cNvSpPr txBox="1"/>
                              <wps:spPr>
                                <a:xfrm>
                                  <a:off x="262647" y="97277"/>
                                  <a:ext cx="262477" cy="243120"/>
                                </a:xfrm>
                                <a:prstGeom prst="rect">
                                  <a:avLst/>
                                </a:prstGeom>
                                <a:noFill/>
                                <a:ln w="6350">
                                  <a:noFill/>
                                </a:ln>
                              </wps:spPr>
                              <wps:txbx>
                                <w:txbxContent>
                                  <w:p w14:paraId="0545D1C1" w14:textId="77777777" w:rsidR="00230AB9" w:rsidRPr="00955287" w:rsidRDefault="00230AB9" w:rsidP="0064576E">
                                    <w:pPr>
                                      <w:rPr>
                                        <w:sz w:val="20"/>
                                        <w:szCs w:val="20"/>
                                      </w:rPr>
                                    </w:pPr>
                                    <w:r>
                                      <w:rPr>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0" name="Text Box 1230"/>
                              <wps:cNvSpPr txBox="1"/>
                              <wps:spPr>
                                <a:xfrm>
                                  <a:off x="496111" y="0"/>
                                  <a:ext cx="262477" cy="243120"/>
                                </a:xfrm>
                                <a:prstGeom prst="rect">
                                  <a:avLst/>
                                </a:prstGeom>
                                <a:noFill/>
                                <a:ln w="6350">
                                  <a:noFill/>
                                </a:ln>
                              </wps:spPr>
                              <wps:txbx>
                                <w:txbxContent>
                                  <w:p w14:paraId="4311A483"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 name="Text Box 1231"/>
                              <wps:cNvSpPr txBox="1"/>
                              <wps:spPr>
                                <a:xfrm>
                                  <a:off x="496106" y="223735"/>
                                  <a:ext cx="262477" cy="243120"/>
                                </a:xfrm>
                                <a:prstGeom prst="rect">
                                  <a:avLst/>
                                </a:prstGeom>
                                <a:noFill/>
                                <a:ln w="6350">
                                  <a:noFill/>
                                </a:ln>
                              </wps:spPr>
                              <wps:txbx>
                                <w:txbxContent>
                                  <w:p w14:paraId="5489B014"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2" name="Text Box 1232"/>
                              <wps:cNvSpPr txBox="1"/>
                              <wps:spPr>
                                <a:xfrm>
                                  <a:off x="0" y="97277"/>
                                  <a:ext cx="262477" cy="243120"/>
                                </a:xfrm>
                                <a:prstGeom prst="rect">
                                  <a:avLst/>
                                </a:prstGeom>
                                <a:noFill/>
                                <a:ln w="6350">
                                  <a:noFill/>
                                </a:ln>
                              </wps:spPr>
                              <wps:txbx>
                                <w:txbxContent>
                                  <w:p w14:paraId="227292B4" w14:textId="77777777" w:rsidR="00230AB9" w:rsidRPr="00955287" w:rsidRDefault="00230AB9" w:rsidP="0064576E">
                                    <w:pPr>
                                      <w:rPr>
                                        <w:sz w:val="20"/>
                                        <w:szCs w:val="20"/>
                                      </w:rPr>
                                    </w:pPr>
                                    <w:r>
                                      <w:rPr>
                                        <w:sz w:val="20"/>
                                        <w:szCs w:val="20"/>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A625BA6" id="Group 1228" o:spid="_x0000_s1063" style="position:absolute;left:0;text-align:left;margin-left:42.2pt;margin-top:11.25pt;width:59.75pt;height:36.75pt;z-index:251701248;mso-height-relative:margin" coordsize="7585,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">
                      <v:shape id="Text Box 1229" o:spid="_x0000_s1064" type="#_x0000_t202" style="position:absolute;left:2626;top:972;width:262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" filled="f" stroked="f" strokeweight=".5pt">
                        <v:textbox>
                          <w:txbxContent>
                            <w:p w14:paraId="0545D1C1" w14:textId="77777777" w:rsidR="00230AB9" w:rsidRPr="00955287" w:rsidRDefault="00230AB9" w:rsidP="0064576E">
                              <w:pPr>
                                <w:rPr>
                                  <w:sz w:val="20"/>
                                  <w:szCs w:val="20"/>
                                </w:rPr>
                              </w:pPr>
                              <w:r>
                                <w:rPr>
                                  <w:sz w:val="20"/>
                                  <w:szCs w:val="20"/>
                                </w:rPr>
                                <w:t>B</w:t>
                              </w:r>
                            </w:p>
                          </w:txbxContent>
                        </v:textbox>
                      </v:shape>
                      <v:shape id="Text Box 1230" o:spid="_x0000_s1065" type="#_x0000_t202" style="position:absolute;left:4961;width:2624;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" filled="f" stroked="f" strokeweight=".5pt">
                        <v:textbox>
                          <w:txbxContent>
                            <w:p w14:paraId="4311A483" w14:textId="77777777" w:rsidR="00230AB9" w:rsidRPr="00955287" w:rsidRDefault="00230AB9" w:rsidP="0064576E">
                              <w:pPr>
                                <w:rPr>
                                  <w:sz w:val="20"/>
                                  <w:szCs w:val="20"/>
                                </w:rPr>
                              </w:pPr>
                              <w:r>
                                <w:rPr>
                                  <w:sz w:val="20"/>
                                  <w:szCs w:val="20"/>
                                </w:rPr>
                                <w:t>O</w:t>
                              </w:r>
                            </w:p>
                          </w:txbxContent>
                        </v:textbox>
                      </v:shape>
                      <v:shape id="Text Box 1231" o:spid="_x0000_s1066" type="#_x0000_t202" style="position:absolute;left:4961;top:2237;width:2624;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" filled="f" stroked="f" strokeweight=".5pt">
                        <v:textbox>
                          <w:txbxContent>
                            <w:p w14:paraId="5489B014" w14:textId="77777777" w:rsidR="00230AB9" w:rsidRPr="00955287" w:rsidRDefault="00230AB9" w:rsidP="0064576E">
                              <w:pPr>
                                <w:rPr>
                                  <w:sz w:val="20"/>
                                  <w:szCs w:val="20"/>
                                </w:rPr>
                              </w:pPr>
                              <w:r>
                                <w:rPr>
                                  <w:sz w:val="20"/>
                                  <w:szCs w:val="20"/>
                                </w:rPr>
                                <w:t>O</w:t>
                              </w:r>
                            </w:p>
                          </w:txbxContent>
                        </v:textbox>
                      </v:shape>
                      <v:shape id="Text Box 1232" o:spid="_x0000_s1067" type="#_x0000_t202" style="position:absolute;top:972;width:2624;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" filled="f" stroked="f" strokeweight=".5pt">
                        <v:textbox>
                          <w:txbxContent>
                            <w:p w14:paraId="227292B4" w14:textId="77777777" w:rsidR="00230AB9" w:rsidRPr="00955287" w:rsidRDefault="00230AB9" w:rsidP="0064576E">
                              <w:pPr>
                                <w:rPr>
                                  <w:sz w:val="20"/>
                                  <w:szCs w:val="20"/>
                                </w:rPr>
                              </w:pPr>
                              <w:r>
                                <w:rPr>
                                  <w:sz w:val="20"/>
                                  <w:szCs w:val="20"/>
                                </w:rPr>
                                <w:t>O</w:t>
                              </w:r>
                            </w:p>
                          </w:txbxContent>
                        </v:textbox>
                      </v:shape>
                    </v:group>
                  </w:pict>
                </mc:Fallback>
              </mc:AlternateContent>
            </w:r>
          </w:p>
          <w:p w14:paraId="73B46C11" w14:textId="77777777" w:rsidR="0064576E" w:rsidRPr="000E2377" w:rsidRDefault="0064576E" w:rsidP="0064576E">
            <w:pPr>
              <w:spacing w:line="360" w:lineRule="auto"/>
              <w:jc w:val="center"/>
              <w:rPr>
                <w:rFonts w:cs="Times New Roman"/>
                <w:szCs w:val="24"/>
              </w:rPr>
            </w:pPr>
            <w:r w:rsidRPr="000E2377">
              <w:rPr>
                <w:rFonts w:cs="Times New Roman"/>
                <w:noProof/>
                <w:szCs w:val="24"/>
                <w:lang w:eastAsia="en-MY"/>
              </w:rPr>
              <mc:AlternateContent>
                <mc:Choice Requires="wps">
                  <w:drawing>
                    <wp:anchor distT="0" distB="0" distL="114300" distR="114300" simplePos="0" relativeHeight="251703296" behindDoc="0" locked="0" layoutInCell="1" allowOverlap="1" wp14:anchorId="2D270708" wp14:editId="6E2314FD">
                      <wp:simplePos x="0" y="0"/>
                      <wp:positionH relativeFrom="column">
                        <wp:posOffset>740491</wp:posOffset>
                      </wp:positionH>
                      <wp:positionV relativeFrom="paragraph">
                        <wp:posOffset>122929</wp:posOffset>
                      </wp:positionV>
                      <wp:extent cx="145672" cy="139"/>
                      <wp:effectExtent l="0" t="0" r="0" b="0"/>
                      <wp:wrapNone/>
                      <wp:docPr id="1233" name="Straight Connector 1233"/>
                      <wp:cNvGraphicFramePr/>
                      <a:graphic xmlns:a="http://schemas.openxmlformats.org/drawingml/2006/main">
                        <a:graphicData uri="http://schemas.microsoft.com/office/word/2010/wordprocessingShape">
                          <wps:wsp>
                            <wps:cNvCnPr/>
                            <wps:spPr>
                              <a:xfrm flipH="1" flipV="1">
                                <a:off x="0" y="0"/>
                                <a:ext cx="145672" cy="13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189809D" id="Straight Connector 1233" o:spid="_x0000_s1026" style="position:absolute;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3pt,9.7pt" to="69.7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"/>
                  </w:pict>
                </mc:Fallback>
              </mc:AlternateContent>
            </w:r>
            <w:r w:rsidRPr="000E2377">
              <w:rPr>
                <w:rFonts w:cs="Times New Roman"/>
                <w:noProof/>
                <w:szCs w:val="24"/>
                <w:lang w:eastAsia="en-MY"/>
              </w:rPr>
              <mc:AlternateContent>
                <mc:Choice Requires="wps">
                  <w:drawing>
                    <wp:anchor distT="0" distB="0" distL="114300" distR="114300" simplePos="0" relativeHeight="251704320" behindDoc="0" locked="0" layoutInCell="1" allowOverlap="1" wp14:anchorId="7F9F45CA" wp14:editId="52E9300F">
                      <wp:simplePos x="0" y="0"/>
                      <wp:positionH relativeFrom="column">
                        <wp:posOffset>1012866</wp:posOffset>
                      </wp:positionH>
                      <wp:positionV relativeFrom="paragraph">
                        <wp:posOffset>152251</wp:posOffset>
                      </wp:positionV>
                      <wp:extent cx="106680" cy="77822"/>
                      <wp:effectExtent l="0" t="0" r="26670" b="36830"/>
                      <wp:wrapNone/>
                      <wp:docPr id="1234" name="Straight Connector 1234"/>
                      <wp:cNvGraphicFramePr/>
                      <a:graphic xmlns:a="http://schemas.openxmlformats.org/drawingml/2006/main">
                        <a:graphicData uri="http://schemas.microsoft.com/office/word/2010/wordprocessingShape">
                          <wps:wsp>
                            <wps:cNvCnPr/>
                            <wps:spPr>
                              <a:xfrm>
                                <a:off x="0" y="0"/>
                                <a:ext cx="106680" cy="77822"/>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845227E" id="Straight Connector 1234"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75pt,12pt" to="88.15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"/>
                  </w:pict>
                </mc:Fallback>
              </mc:AlternateContent>
            </w:r>
            <w:r w:rsidRPr="000E2377">
              <w:rPr>
                <w:rFonts w:cs="Times New Roman"/>
                <w:noProof/>
                <w:szCs w:val="24"/>
                <w:lang w:eastAsia="en-MY"/>
              </w:rPr>
              <mc:AlternateContent>
                <mc:Choice Requires="wps">
                  <w:drawing>
                    <wp:anchor distT="0" distB="0" distL="114300" distR="114300" simplePos="0" relativeHeight="251702272" behindDoc="0" locked="0" layoutInCell="1" allowOverlap="1" wp14:anchorId="2D311222" wp14:editId="56E59CEB">
                      <wp:simplePos x="0" y="0"/>
                      <wp:positionH relativeFrom="column">
                        <wp:posOffset>1012572</wp:posOffset>
                      </wp:positionH>
                      <wp:positionV relativeFrom="paragraph">
                        <wp:posOffset>35519</wp:posOffset>
                      </wp:positionV>
                      <wp:extent cx="106834" cy="58366"/>
                      <wp:effectExtent l="0" t="0" r="26670" b="18415"/>
                      <wp:wrapNone/>
                      <wp:docPr id="1235" name="Straight Connector 1235"/>
                      <wp:cNvGraphicFramePr/>
                      <a:graphic xmlns:a="http://schemas.openxmlformats.org/drawingml/2006/main">
                        <a:graphicData uri="http://schemas.microsoft.com/office/word/2010/wordprocessingShape">
                          <wps:wsp>
                            <wps:cNvCnPr/>
                            <wps:spPr>
                              <a:xfrm flipV="1">
                                <a:off x="0" y="0"/>
                                <a:ext cx="106834" cy="58366"/>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2C6D6E15" id="Straight Connector 1235" o:spid="_x0000_s1026" style="position:absolute;flip:y;z-index:251702272;visibility:visible;mso-wrap-style:square;mso-wrap-distance-left:9pt;mso-wrap-distance-top:0;mso-wrap-distance-right:9pt;mso-wrap-distance-bottom:0;mso-position-horizontal:absolute;mso-position-horizontal-relative:text;mso-position-vertical:absolute;mso-position-vertical-relative:text" from="79.75pt,2.8pt" to="88.1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"/>
                  </w:pict>
                </mc:Fallback>
              </mc:AlternateContent>
            </w:r>
          </w:p>
        </w:tc>
        <w:tc>
          <w:tcPr>
            <w:tcW w:w="2977" w:type="dxa"/>
          </w:tcPr>
          <w:p w14:paraId="6BA2C441" w14:textId="77777777" w:rsidR="0064576E" w:rsidRPr="000E2377" w:rsidRDefault="0064576E" w:rsidP="0064576E">
            <w:pPr>
              <w:spacing w:line="360" w:lineRule="auto"/>
              <w:rPr>
                <w:rFonts w:cs="Times New Roman"/>
                <w:szCs w:val="24"/>
              </w:rPr>
            </w:pPr>
            <w:r w:rsidRPr="000E2377">
              <w:rPr>
                <w:rFonts w:cs="Times New Roman"/>
                <w:szCs w:val="24"/>
              </w:rPr>
              <w:t>Orthoborate group</w:t>
            </w:r>
          </w:p>
          <w:p w14:paraId="5E4FEA06" w14:textId="77777777" w:rsidR="0064576E" w:rsidRPr="000E2377" w:rsidRDefault="0064576E" w:rsidP="0064576E">
            <w:pPr>
              <w:spacing w:line="360" w:lineRule="auto"/>
              <w:rPr>
                <w:rFonts w:cs="Times New Roman"/>
                <w:szCs w:val="24"/>
              </w:rPr>
            </w:pPr>
            <w:r w:rsidRPr="000E2377">
              <w:rPr>
                <w:rFonts w:cs="Times New Roman"/>
                <w:szCs w:val="24"/>
              </w:rPr>
              <w:t>Compounds: 3MgO-B</w:t>
            </w:r>
            <w:r w:rsidRPr="000E2377">
              <w:rPr>
                <w:rFonts w:cs="Times New Roman"/>
                <w:szCs w:val="24"/>
                <w:vertAlign w:val="subscript"/>
              </w:rPr>
              <w:t>2</w:t>
            </w:r>
            <w:r w:rsidRPr="000E2377">
              <w:rPr>
                <w:rFonts w:cs="Times New Roman"/>
                <w:szCs w:val="24"/>
              </w:rPr>
              <w:t>O</w:t>
            </w:r>
            <w:r w:rsidRPr="000E2377">
              <w:rPr>
                <w:rFonts w:cs="Times New Roman"/>
                <w:szCs w:val="24"/>
                <w:vertAlign w:val="subscript"/>
              </w:rPr>
              <w:t>3</w:t>
            </w:r>
            <w:r w:rsidRPr="000E2377">
              <w:rPr>
                <w:rFonts w:cs="Times New Roman"/>
                <w:szCs w:val="24"/>
              </w:rPr>
              <w:br/>
              <w:t xml:space="preserve">                      3CaO-B</w:t>
            </w:r>
            <w:r w:rsidRPr="000E2377">
              <w:rPr>
                <w:rFonts w:cs="Times New Roman"/>
                <w:szCs w:val="24"/>
                <w:vertAlign w:val="subscript"/>
              </w:rPr>
              <w:t>2</w:t>
            </w:r>
            <w:r w:rsidRPr="000E2377">
              <w:rPr>
                <w:rFonts w:cs="Times New Roman"/>
                <w:szCs w:val="24"/>
              </w:rPr>
              <w:t>O</w:t>
            </w:r>
            <w:r w:rsidRPr="000E2377">
              <w:rPr>
                <w:rFonts w:cs="Times New Roman"/>
                <w:szCs w:val="24"/>
                <w:vertAlign w:val="subscript"/>
              </w:rPr>
              <w:t>3</w:t>
            </w:r>
          </w:p>
        </w:tc>
      </w:tr>
    </w:tbl>
    <w:p w14:paraId="1B779237" w14:textId="6FB8DC58" w:rsidR="0064576E" w:rsidRPr="000E2377" w:rsidRDefault="0064576E" w:rsidP="0064576E">
      <w:pPr>
        <w:spacing w:line="360" w:lineRule="auto"/>
        <w:jc w:val="both"/>
        <w:rPr>
          <w:rFonts w:cs="Times New Roman"/>
          <w:b w:val="0"/>
          <w:szCs w:val="24"/>
        </w:rPr>
      </w:pPr>
    </w:p>
    <w:p w14:paraId="73903946" w14:textId="0B70B999" w:rsidR="0083596E" w:rsidRDefault="001E246C" w:rsidP="00602096">
      <w:pPr>
        <w:spacing w:line="360" w:lineRule="auto"/>
        <w:jc w:val="both"/>
        <w:rPr>
          <w:rFonts w:asciiTheme="majorBidi" w:hAnsiTheme="majorBidi" w:cstheme="majorBidi"/>
          <w:b w:val="0"/>
          <w:szCs w:val="24"/>
        </w:rPr>
      </w:pPr>
      <w:r w:rsidRPr="000E2377">
        <w:rPr>
          <w:rFonts w:asciiTheme="majorBidi" w:hAnsiTheme="majorBidi" w:cstheme="majorBidi"/>
          <w:b w:val="0"/>
          <w:szCs w:val="24"/>
        </w:rPr>
        <w:t xml:space="preserve">In borosilicate </w:t>
      </w:r>
      <w:r w:rsidR="00966445">
        <w:rPr>
          <w:rFonts w:asciiTheme="majorBidi" w:hAnsiTheme="majorBidi" w:cstheme="majorBidi"/>
          <w:b w:val="0"/>
          <w:szCs w:val="24"/>
        </w:rPr>
        <w:t xml:space="preserve">based </w:t>
      </w:r>
      <w:r w:rsidRPr="000E2377">
        <w:rPr>
          <w:rFonts w:asciiTheme="majorBidi" w:hAnsiTheme="majorBidi" w:cstheme="majorBidi"/>
          <w:b w:val="0"/>
          <w:szCs w:val="24"/>
        </w:rPr>
        <w:t xml:space="preserve">fibreglass it has been found that thermal history also affects boron speciation.  Thus upon annealing </w:t>
      </w:r>
      <w:r w:rsidR="00966445">
        <w:rPr>
          <w:rFonts w:asciiTheme="majorBidi" w:hAnsiTheme="majorBidi" w:cstheme="majorBidi"/>
          <w:b w:val="0"/>
          <w:szCs w:val="24"/>
        </w:rPr>
        <w:t xml:space="preserve">which </w:t>
      </w:r>
      <w:r w:rsidR="008B4759">
        <w:rPr>
          <w:rFonts w:asciiTheme="majorBidi" w:hAnsiTheme="majorBidi" w:cstheme="majorBidi"/>
          <w:b w:val="0"/>
          <w:szCs w:val="24"/>
        </w:rPr>
        <w:t>normally reduces</w:t>
      </w:r>
      <w:r w:rsidR="008B4759" w:rsidRPr="000E2377">
        <w:rPr>
          <w:rFonts w:asciiTheme="majorBidi" w:hAnsiTheme="majorBidi" w:cstheme="majorBidi"/>
          <w:b w:val="0"/>
          <w:szCs w:val="24"/>
        </w:rPr>
        <w:t xml:space="preserve"> </w:t>
      </w:r>
      <w:r w:rsidRPr="000E2377">
        <w:rPr>
          <w:rFonts w:asciiTheme="majorBidi" w:hAnsiTheme="majorBidi" w:cstheme="majorBidi"/>
          <w:b w:val="0"/>
          <w:szCs w:val="24"/>
        </w:rPr>
        <w:t xml:space="preserve">the fictive temperature, </w:t>
      </w:r>
      <w:r w:rsidRPr="006535EB">
        <w:rPr>
          <w:rFonts w:asciiTheme="majorBidi" w:hAnsiTheme="majorBidi" w:cstheme="majorBidi"/>
          <w:b w:val="0"/>
          <w:szCs w:val="24"/>
        </w:rPr>
        <w:t xml:space="preserve">boron </w:t>
      </w:r>
      <w:r w:rsidR="00966445">
        <w:rPr>
          <w:rFonts w:asciiTheme="majorBidi" w:hAnsiTheme="majorBidi" w:cstheme="majorBidi"/>
          <w:b w:val="0"/>
          <w:szCs w:val="24"/>
        </w:rPr>
        <w:t>can</w:t>
      </w:r>
      <w:r w:rsidRPr="006535EB">
        <w:rPr>
          <w:rFonts w:asciiTheme="majorBidi" w:hAnsiTheme="majorBidi" w:cstheme="majorBidi"/>
          <w:b w:val="0"/>
          <w:szCs w:val="24"/>
        </w:rPr>
        <w:t xml:space="preserve"> </w:t>
      </w:r>
      <w:r w:rsidR="008B05C6" w:rsidRPr="006535EB">
        <w:rPr>
          <w:rFonts w:asciiTheme="majorBidi" w:hAnsiTheme="majorBidi" w:cstheme="majorBidi"/>
          <w:b w:val="0"/>
          <w:szCs w:val="24"/>
        </w:rPr>
        <w:t>convert from</w:t>
      </w:r>
      <w:r w:rsidRPr="006535EB">
        <w:rPr>
          <w:rFonts w:asciiTheme="majorBidi" w:hAnsiTheme="majorBidi" w:cstheme="majorBidi"/>
          <w:b w:val="0"/>
          <w:szCs w:val="24"/>
        </w:rPr>
        <w:t xml:space="preserve"> </w:t>
      </w:r>
      <w:r w:rsidR="00966445">
        <w:rPr>
          <w:rFonts w:asciiTheme="majorBidi" w:hAnsiTheme="majorBidi" w:cstheme="majorBidi"/>
          <w:b w:val="0"/>
          <w:szCs w:val="24"/>
        </w:rPr>
        <w:t xml:space="preserve">the </w:t>
      </w:r>
      <w:r w:rsidRPr="006535EB">
        <w:rPr>
          <w:rFonts w:asciiTheme="majorBidi" w:hAnsiTheme="majorBidi" w:cstheme="majorBidi"/>
          <w:b w:val="0"/>
          <w:szCs w:val="24"/>
        </w:rPr>
        <w:t xml:space="preserve">trigonal to </w:t>
      </w:r>
      <w:r w:rsidR="00966445">
        <w:rPr>
          <w:rFonts w:asciiTheme="majorBidi" w:hAnsiTheme="majorBidi" w:cstheme="majorBidi"/>
          <w:b w:val="0"/>
          <w:szCs w:val="24"/>
        </w:rPr>
        <w:t xml:space="preserve">the </w:t>
      </w:r>
      <w:r w:rsidRPr="006535EB">
        <w:rPr>
          <w:rFonts w:asciiTheme="majorBidi" w:hAnsiTheme="majorBidi" w:cstheme="majorBidi"/>
          <w:b w:val="0"/>
          <w:szCs w:val="24"/>
        </w:rPr>
        <w:t>tetrahedral configuration</w:t>
      </w:r>
      <w:r w:rsidR="00966445">
        <w:rPr>
          <w:rFonts w:asciiTheme="majorBidi" w:hAnsiTheme="majorBidi" w:cstheme="majorBidi"/>
          <w:b w:val="0"/>
          <w:szCs w:val="24"/>
        </w:rPr>
        <w:t xml:space="preserve"> </w:t>
      </w:r>
      <w:r w:rsidRPr="000E2377">
        <w:rPr>
          <w:rFonts w:asciiTheme="majorBidi" w:hAnsiTheme="majorBidi" w:cstheme="majorBidi"/>
          <w:b w:val="0"/>
          <w:szCs w:val="24"/>
        </w:rPr>
        <w:fldChar w:fldCharType="begin" w:fldLock="1"/>
      </w:r>
      <w:r w:rsidRPr="000E2377">
        <w:rPr>
          <w:rFonts w:asciiTheme="majorBidi" w:hAnsiTheme="majorBidi" w:cstheme="majorBidi"/>
          <w:b w:val="0"/>
          <w:szCs w:val="24"/>
        </w:rPr>
        <w:instrText>ADDIN CSL_CITATION { "citationItems" : [ { "id" : "ITEM-1", "itemData" : { "DOI" : "10.1021/jp208796b", "ISSN" : "1520-5207", "PMID" : "21950415", "abstract" : "Borosilicate glasses display a rich complexity of chemical behavior depending on the details of their composition and thermal history. Noted for their high chemical durability and thermal shock resistance, borosilicate glasses have found a variety of important uses from common household and laboratory glassware to high-tech applications such as liquid crystal displays. In this paper, we investigate the topological principles of borosilicate glass chemistry covering the extremes from pure borate to pure silicate end members. Based on NMR measurements, we present a two-state statistical mechanical model of boron speciation in which addition of network modifiers leads to a competition between the formation of nonbridging oxygen and the conversion of boron from trigonal to tetrahedral configuration. Using this model, we derive a detailed topological representation of alkali-alkaline earth-borosilicate glasses that enables the accurate prediction of properties such as glass transition temperature, liquid fragility, and hardness. The modeling approach enables an understanding of the microscopic mechanisms governing macroscopic properties. The implications of the glass topology are discussed in terms of both the temperature and thermal history dependence of the atomic bond constraints and the influence on relaxation behavior. We also observe a nonlinear evolution of the jump in isobaric heat capacity at the glass transition when substituting SiO(2) for B(2)O(3), which can be accurately predicted using a combined topological and thermodynamic modeling approach.", "author" : [ { "dropping-particle" : "", "family" : "Smedskjaer", "given" : "Morten M", "non-dropping-particle" : "", "parse-names" : false, "suffix" : "" }, { "dropping-particle" : "", "family" : "Mauro", "given" : "John C", "non-dropping-particle" : "", "parse-names" : false, "suffix" : "" }, { "dropping-particle" : "", "family" : "Youngman", "given" : "Randall E", "non-dropping-particle" : "", "parse-names" : false, "suffix" : "" }, { "dropping-particle" : "", "family" : "Hogue", "given" : "Carrie L", "non-dropping-particle" : "", "parse-names" : false, "suffix" : "" }, { "dropping-particle" : "", "family" : "Potuzak", "given" : "Marcel", "non-dropping-particle" : "", "parse-names" : false, "suffix" : "" }, { "dropping-particle" : "", "family" : "Yue", "given" : "Yuanzheng", "non-dropping-particle" : "", "parse-names" : false, "suffix" : "" } ], "container-title" : "The journal of physical chemistry. B", "id" : "ITEM-1", "issue" : "44", "issued" : { "date-parts" : [ [ "2011", "11", "10" ] ] }, "page" : "12930-46", "title" : "Topological principles of borosilicate glass chemistry.", "type" : "article-journal", "volume" : "115" }, "uris" : [ "http://www.mendeley.com/documents/?uuid=43f6e863-092b-4832-a185-e611a4a4bf3f" ] } ], "mendeley" : { "formattedCitation" : "(Smedskjaer et al., 2011)", "manualFormatting" : "(Smedskjaer et al., 2011)", "plainTextFormattedCitation" : "(Smedskjaer et al., 2011)", "previouslyFormattedCitation" : "(Smedskjaer et al., 2011)" }, "properties" : { "noteIndex" : 0 }, "schema" : "https://github.com/citation-style-language/schema/raw/master/csl-citation.json" }</w:instrText>
      </w:r>
      <w:r w:rsidRPr="000E2377">
        <w:rPr>
          <w:rFonts w:asciiTheme="majorBidi" w:hAnsiTheme="majorBidi" w:cstheme="majorBidi"/>
          <w:b w:val="0"/>
          <w:szCs w:val="24"/>
        </w:rPr>
        <w:fldChar w:fldCharType="separate"/>
      </w:r>
      <w:r w:rsidRPr="000E2377">
        <w:rPr>
          <w:rFonts w:asciiTheme="majorBidi" w:hAnsiTheme="majorBidi" w:cstheme="majorBidi"/>
          <w:b w:val="0"/>
          <w:noProof/>
          <w:szCs w:val="24"/>
        </w:rPr>
        <w:t>(Smedskjaer et al., 2011)</w:t>
      </w:r>
      <w:r w:rsidRPr="000E2377">
        <w:rPr>
          <w:rFonts w:asciiTheme="majorBidi" w:hAnsiTheme="majorBidi" w:cstheme="majorBidi"/>
          <w:b w:val="0"/>
          <w:szCs w:val="24"/>
        </w:rPr>
        <w:fldChar w:fldCharType="end"/>
      </w:r>
      <w:r w:rsidRPr="000E2377">
        <w:rPr>
          <w:rFonts w:asciiTheme="majorBidi" w:hAnsiTheme="majorBidi" w:cstheme="majorBidi"/>
          <w:b w:val="0"/>
          <w:szCs w:val="24"/>
        </w:rPr>
        <w:t>.</w:t>
      </w:r>
      <w:bookmarkStart w:id="108" w:name="_Toc523402873"/>
      <w:bookmarkStart w:id="109" w:name="_Toc525526384"/>
      <w:bookmarkStart w:id="110" w:name="_Toc525707801"/>
      <w:bookmarkStart w:id="111" w:name="_Toc525742465"/>
    </w:p>
    <w:p w14:paraId="1A494FA2" w14:textId="77777777" w:rsidR="00602096" w:rsidRPr="00602096" w:rsidRDefault="00602096" w:rsidP="00602096">
      <w:pPr>
        <w:spacing w:line="360" w:lineRule="auto"/>
        <w:jc w:val="both"/>
        <w:rPr>
          <w:rFonts w:asciiTheme="majorBidi" w:hAnsiTheme="majorBidi" w:cstheme="majorBidi"/>
          <w:b w:val="0"/>
          <w:szCs w:val="24"/>
        </w:rPr>
      </w:pPr>
    </w:p>
    <w:p w14:paraId="7C9D5847" w14:textId="6C936925" w:rsidR="0064576E" w:rsidRPr="000E2377" w:rsidRDefault="00133C65" w:rsidP="007C3DD8">
      <w:pPr>
        <w:pStyle w:val="Heading3"/>
      </w:pPr>
      <w:bookmarkStart w:id="112" w:name="_Toc12994942"/>
      <w:r w:rsidRPr="000E2377">
        <w:t xml:space="preserve">2.6 </w:t>
      </w:r>
      <w:proofErr w:type="spellStart"/>
      <w:r w:rsidRPr="000E2377">
        <w:t>Aluminoborates</w:t>
      </w:r>
      <w:proofErr w:type="spellEnd"/>
      <w:r w:rsidRPr="000E2377">
        <w:t xml:space="preserve"> and </w:t>
      </w:r>
      <w:bookmarkEnd w:id="108"/>
      <w:bookmarkEnd w:id="109"/>
      <w:proofErr w:type="spellStart"/>
      <w:r w:rsidR="004B72FE">
        <w:t>boroaluminosilicate</w:t>
      </w:r>
      <w:bookmarkEnd w:id="110"/>
      <w:bookmarkEnd w:id="111"/>
      <w:r w:rsidR="00966445">
        <w:t>s</w:t>
      </w:r>
      <w:bookmarkEnd w:id="112"/>
      <w:proofErr w:type="spellEnd"/>
    </w:p>
    <w:p w14:paraId="6A9B7EDC" w14:textId="5555D7B3" w:rsidR="00133C65" w:rsidRPr="000E2377" w:rsidRDefault="0064576E" w:rsidP="00ED6080">
      <w:pPr>
        <w:spacing w:before="240" w:line="360" w:lineRule="auto"/>
        <w:jc w:val="both"/>
        <w:rPr>
          <w:rFonts w:asciiTheme="majorBidi" w:hAnsiTheme="majorBidi" w:cstheme="majorBidi"/>
          <w:b w:val="0"/>
          <w:color w:val="000000" w:themeColor="text1"/>
          <w:szCs w:val="24"/>
        </w:rPr>
      </w:pPr>
      <w:r w:rsidRPr="000E2377">
        <w:rPr>
          <w:rFonts w:asciiTheme="majorBidi" w:hAnsiTheme="majorBidi" w:cstheme="majorBidi"/>
          <w:b w:val="0"/>
          <w:szCs w:val="24"/>
        </w:rPr>
        <w:t xml:space="preserve">Coordination of boron </w:t>
      </w:r>
      <w:r w:rsidR="00D64A39" w:rsidRPr="000E2377">
        <w:rPr>
          <w:rFonts w:asciiTheme="majorBidi" w:hAnsiTheme="majorBidi" w:cstheme="majorBidi"/>
          <w:b w:val="0"/>
          <w:szCs w:val="24"/>
        </w:rPr>
        <w:t xml:space="preserve">is also affected by the </w:t>
      </w:r>
      <w:r w:rsidRPr="000E2377">
        <w:rPr>
          <w:rFonts w:asciiTheme="majorBidi" w:hAnsiTheme="majorBidi" w:cstheme="majorBidi"/>
          <w:b w:val="0"/>
          <w:szCs w:val="24"/>
        </w:rPr>
        <w:t xml:space="preserve">quantity of alumina </w:t>
      </w:r>
      <w:r w:rsidR="00D64A39" w:rsidRPr="000E2377">
        <w:rPr>
          <w:rFonts w:asciiTheme="majorBidi" w:hAnsiTheme="majorBidi" w:cstheme="majorBidi"/>
          <w:b w:val="0"/>
          <w:szCs w:val="24"/>
        </w:rPr>
        <w:t xml:space="preserve">present as well as the quantity of </w:t>
      </w:r>
      <w:r w:rsidRPr="000E2377">
        <w:rPr>
          <w:rFonts w:asciiTheme="majorBidi" w:hAnsiTheme="majorBidi" w:cstheme="majorBidi"/>
          <w:b w:val="0"/>
          <w:szCs w:val="24"/>
        </w:rPr>
        <w:t>network modifier.</w:t>
      </w:r>
      <w:r w:rsidR="00133C65" w:rsidRPr="000E2377">
        <w:rPr>
          <w:rFonts w:asciiTheme="majorBidi" w:hAnsiTheme="majorBidi" w:cstheme="majorBidi"/>
          <w:b w:val="0"/>
          <w:szCs w:val="24"/>
        </w:rPr>
        <w:t xml:space="preserve"> Varied network formers give rise to different outcomes and dissimilar macroscopic characteristics because of the complex structural variations </w:t>
      </w:r>
      <w:r w:rsidR="00133C65" w:rsidRPr="000E2377">
        <w:rPr>
          <w:rFonts w:asciiTheme="majorBidi" w:hAnsiTheme="majorBidi" w:cstheme="majorBidi"/>
          <w:b w:val="0"/>
          <w:szCs w:val="24"/>
        </w:rPr>
        <w:fldChar w:fldCharType="begin" w:fldLock="1"/>
      </w:r>
      <w:r w:rsidR="00BE5EC6">
        <w:rPr>
          <w:rFonts w:asciiTheme="majorBidi" w:hAnsiTheme="majorBidi" w:cstheme="majorBidi"/>
          <w:b w:val="0"/>
          <w:szCs w:val="24"/>
        </w:rPr>
        <w:instrText>ADDIN CSL_CITATION { "citationItems" : [ { "id" : "ITEM-1", "itemData" : { "DOI" : "10.1103/PhysRevLett.102.145902", "ISSN" : "0031-9007", "author" : [ { "dropping-particle" : "", "family" : "Schuch", "given" : "Michael", "non-dropping-particle" : "", "parse-names" : false, "suffix" : "" }, { "dropping-particle" : "", "family" : "M\u00fcller", "given" : "Christian", "non-dropping-particle" : "", "parse-names" : false, "suffix" : "" }, { "dropping-particle" : "", "family" : "Maass", "given" : "Philipp", "non-dropping-particle" : "", "parse-names" : false, "suffix" : "" }, { "dropping-particle" : "", "family" : "Martin", "given" : "Steve", "non-dropping-particle" : "", "parse-names" : false, "suffix" : "" } ], "container-title" : "Physical Review Letters", "id" : "ITEM-1", "issue" : "14", "issued" : { "date-parts" : [ [ "2009", "4" ] ] }, "page" : "145902", "title" : "Mixed Barrier Model for the Mixed Glass Former Effect in Ion Conducting Glasses", "type" : "article-journal", "volume" : "102" }, "uris" : [ "http://www.mendeley.com/documents/?uuid=990886fb-f2a5-461e-95d7-429fa0ab1011" ] } ], "mendeley" : { "formattedCitation" : "(Schuch, M\u00fcller, Maass, &amp; Martin, 2009)", "manualFormatting" : "(Schuch et al., 2009)", "plainTextFormattedCitation" : "(Schuch, M\u00fcller, Maass, &amp; Martin, 2009)", "previouslyFormattedCitation" : "(Schuch, M\u00fcller, Maass, &amp; Martin, 2009)" }, "properties" : { "noteIndex" : 0 }, "schema" : "https://github.com/citation-style-language/schema/raw/master/csl-citation.json" }</w:instrText>
      </w:r>
      <w:r w:rsidR="00133C65" w:rsidRPr="000E2377">
        <w:rPr>
          <w:rFonts w:asciiTheme="majorBidi" w:hAnsiTheme="majorBidi" w:cstheme="majorBidi"/>
          <w:b w:val="0"/>
          <w:szCs w:val="24"/>
        </w:rPr>
        <w:fldChar w:fldCharType="separate"/>
      </w:r>
      <w:r w:rsidR="00133C65" w:rsidRPr="000E2377">
        <w:rPr>
          <w:rFonts w:asciiTheme="majorBidi" w:hAnsiTheme="majorBidi" w:cstheme="majorBidi"/>
          <w:b w:val="0"/>
          <w:noProof/>
          <w:szCs w:val="24"/>
        </w:rPr>
        <w:t>(Schuch</w:t>
      </w:r>
      <w:r w:rsidR="00BE5EC6">
        <w:rPr>
          <w:rFonts w:asciiTheme="majorBidi" w:hAnsiTheme="majorBidi" w:cstheme="majorBidi"/>
          <w:b w:val="0"/>
          <w:noProof/>
          <w:szCs w:val="24"/>
        </w:rPr>
        <w:t xml:space="preserve"> </w:t>
      </w:r>
      <w:r w:rsidR="00D37101">
        <w:rPr>
          <w:rFonts w:asciiTheme="majorBidi" w:hAnsiTheme="majorBidi" w:cstheme="majorBidi"/>
          <w:b w:val="0"/>
          <w:noProof/>
          <w:szCs w:val="24"/>
        </w:rPr>
        <w:t>et al.</w:t>
      </w:r>
      <w:r w:rsidR="00133C65" w:rsidRPr="000E2377">
        <w:rPr>
          <w:rFonts w:asciiTheme="majorBidi" w:hAnsiTheme="majorBidi" w:cstheme="majorBidi"/>
          <w:b w:val="0"/>
          <w:noProof/>
          <w:szCs w:val="24"/>
        </w:rPr>
        <w:t>, 2009)</w:t>
      </w:r>
      <w:r w:rsidR="00133C65" w:rsidRPr="000E2377">
        <w:rPr>
          <w:rFonts w:asciiTheme="majorBidi" w:hAnsiTheme="majorBidi" w:cstheme="majorBidi"/>
          <w:b w:val="0"/>
          <w:szCs w:val="24"/>
        </w:rPr>
        <w:fldChar w:fldCharType="end"/>
      </w:r>
      <w:r w:rsidR="00660459">
        <w:rPr>
          <w:rFonts w:asciiTheme="majorBidi" w:hAnsiTheme="majorBidi" w:cstheme="majorBidi"/>
          <w:b w:val="0"/>
          <w:szCs w:val="24"/>
        </w:rPr>
        <w:t>,</w:t>
      </w:r>
      <w:r w:rsidR="000112FE">
        <w:rPr>
          <w:rFonts w:asciiTheme="majorBidi" w:hAnsiTheme="majorBidi" w:cstheme="majorBidi"/>
          <w:b w:val="0"/>
          <w:szCs w:val="24"/>
        </w:rPr>
        <w:t xml:space="preserve"> </w:t>
      </w:r>
      <w:r w:rsidR="00133C65" w:rsidRPr="000E2377">
        <w:rPr>
          <w:rFonts w:asciiTheme="majorBidi" w:hAnsiTheme="majorBidi" w:cstheme="majorBidi"/>
          <w:b w:val="0"/>
          <w:color w:val="000000" w:themeColor="text1"/>
          <w:szCs w:val="24"/>
        </w:rPr>
        <w:fldChar w:fldCharType="begin" w:fldLock="1"/>
      </w:r>
      <w:r w:rsidR="00133C65" w:rsidRPr="000E2377">
        <w:rPr>
          <w:rFonts w:asciiTheme="majorBidi" w:hAnsiTheme="majorBidi" w:cstheme="majorBidi"/>
          <w:b w:val="0"/>
          <w:color w:val="000000" w:themeColor="text1"/>
          <w:szCs w:val="24"/>
        </w:rPr>
        <w:instrText>ADDIN CSL_CITATION { "citationItems" : [ { "id" : "ITEM-1", "itemData" : { "DOI" : "10.1103/PhysRevB.86.054203", "ISSN" : "1098-0121", "author" : [ { "dropping-particle" : "", "family" : "Zheng", "given" : "Q. J.", "non-dropping-particle" : "", "parse-names" : false, "suffix" : "" }, { "dropping-particle" : "", "family" : "Youngman", "given" : "R. E.", "non-dropping-particle" : "", "parse-names" : false, "suffix" : "" }, { "dropping-particle" : "", "family" : "Hogue", "given" : "C. L.", "non-dropping-particle" : "", "parse-names" : false, "suffix" : "" }, { "dropping-particle" : "", "family" : "Mauro", "given" : "J. C.", "non-dropping-particle" : "", "parse-names" : false, "suffix" : "" }, { "dropping-particle" : "", "family" : "Potuzak", "given" : "M.", "non-dropping-particle" : "", "parse-names" : false, "suffix" : "" }, { "dropping-particle" : "", "family" : "Smedskjaer", "given" : "M. M.", "non-dropping-particle" : "", "parse-names" : false, "suffix" : "" }, { "dropping-particle" : "", "family" : "Yue", "given" : "Y. Z.", "non-dropping-particle" : "", "parse-names" : false, "suffix" : "" } ], "container-title" : "Physical Review B", "id" : "ITEM-1", "issue" : "5", "issued" : { "date-parts" : [ [ "2012", "8" ] ] }, "page" : "054203", "title" : "Structure of boroaluminosilicate glasses: Impact of [Al2O3]/[SiO2] ratio on the structural role of sodium", "type" : "article-journal", "volume" : "86" }, "uris" : [ "http://www.mendeley.com/documents/?uuid=f6cfc0d4-ec89-4c18-843d-e1e63022faaf" ] } ], "mendeley" : { "formattedCitation" : "(Q. J. Zheng et al., 2012)", "manualFormatting" : "(Zheng et al. 2012)", "plainTextFormattedCitation" : "(Q. J. Zheng et al., 2012)", "previouslyFormattedCitation" : "(Q. J. Zheng et al., 2012)" }, "properties" : { "noteIndex" : 0 }, "schema" : "https://github.com/citation-style-language/schema/raw/master/csl-citation.json" }</w:instrText>
      </w:r>
      <w:r w:rsidR="00133C65" w:rsidRPr="000E2377">
        <w:rPr>
          <w:rFonts w:asciiTheme="majorBidi" w:hAnsiTheme="majorBidi" w:cstheme="majorBidi"/>
          <w:b w:val="0"/>
          <w:color w:val="000000" w:themeColor="text1"/>
          <w:szCs w:val="24"/>
        </w:rPr>
        <w:fldChar w:fldCharType="separate"/>
      </w:r>
      <w:r w:rsidR="00133C65" w:rsidRPr="000E2377">
        <w:rPr>
          <w:rFonts w:asciiTheme="majorBidi" w:hAnsiTheme="majorBidi" w:cstheme="majorBidi"/>
          <w:b w:val="0"/>
          <w:noProof/>
          <w:color w:val="000000" w:themeColor="text1"/>
          <w:szCs w:val="24"/>
        </w:rPr>
        <w:t>(Zheng et al.</w:t>
      </w:r>
      <w:r w:rsidR="003424A4">
        <w:rPr>
          <w:rFonts w:asciiTheme="majorBidi" w:hAnsiTheme="majorBidi" w:cstheme="majorBidi"/>
          <w:b w:val="0"/>
          <w:noProof/>
          <w:color w:val="000000" w:themeColor="text1"/>
          <w:szCs w:val="24"/>
        </w:rPr>
        <w:t>,</w:t>
      </w:r>
      <w:r w:rsidR="00133C65" w:rsidRPr="000E2377">
        <w:rPr>
          <w:rFonts w:asciiTheme="majorBidi" w:hAnsiTheme="majorBidi" w:cstheme="majorBidi"/>
          <w:b w:val="0"/>
          <w:noProof/>
          <w:color w:val="000000" w:themeColor="text1"/>
          <w:szCs w:val="24"/>
        </w:rPr>
        <w:t xml:space="preserve"> 2012)</w:t>
      </w:r>
      <w:r w:rsidR="00133C65" w:rsidRPr="000E2377">
        <w:rPr>
          <w:rFonts w:asciiTheme="majorBidi" w:hAnsiTheme="majorBidi" w:cstheme="majorBidi"/>
          <w:b w:val="0"/>
          <w:color w:val="000000" w:themeColor="text1"/>
          <w:szCs w:val="24"/>
        </w:rPr>
        <w:fldChar w:fldCharType="end"/>
      </w:r>
      <w:r w:rsidR="00133C65" w:rsidRPr="000E2377">
        <w:rPr>
          <w:rFonts w:asciiTheme="majorBidi" w:hAnsiTheme="majorBidi" w:cstheme="majorBidi"/>
          <w:b w:val="0"/>
          <w:color w:val="000000" w:themeColor="text1"/>
          <w:szCs w:val="24"/>
        </w:rPr>
        <w:t xml:space="preserve">. </w:t>
      </w:r>
    </w:p>
    <w:p w14:paraId="5161EFED" w14:textId="5940C7D4" w:rsidR="001E246C" w:rsidRPr="000E2377" w:rsidRDefault="001E246C" w:rsidP="00ED6080">
      <w:pPr>
        <w:spacing w:line="360" w:lineRule="auto"/>
        <w:jc w:val="both"/>
        <w:rPr>
          <w:rFonts w:cs="Times New Roman"/>
          <w:b w:val="0"/>
          <w:szCs w:val="24"/>
        </w:rPr>
      </w:pPr>
      <w:r w:rsidRPr="000E2377">
        <w:rPr>
          <w:rFonts w:cs="Times New Roman"/>
          <w:b w:val="0"/>
          <w:szCs w:val="24"/>
        </w:rPr>
        <w:t xml:space="preserve">Therefore, it is important to </w:t>
      </w:r>
      <w:r w:rsidR="00C71022">
        <w:rPr>
          <w:rFonts w:cs="Times New Roman"/>
          <w:b w:val="0"/>
          <w:szCs w:val="24"/>
        </w:rPr>
        <w:t xml:space="preserve">know and </w:t>
      </w:r>
      <w:r w:rsidR="00966445">
        <w:rPr>
          <w:rFonts w:cs="Times New Roman"/>
          <w:b w:val="0"/>
          <w:szCs w:val="24"/>
        </w:rPr>
        <w:t xml:space="preserve">understand </w:t>
      </w:r>
      <w:r w:rsidRPr="000E2377">
        <w:rPr>
          <w:rFonts w:cs="Times New Roman"/>
          <w:b w:val="0"/>
          <w:szCs w:val="24"/>
        </w:rPr>
        <w:t xml:space="preserve">the role of alumina in determining the properties of </w:t>
      </w:r>
      <w:r w:rsidR="004B72FE">
        <w:rPr>
          <w:rFonts w:cs="Times New Roman"/>
          <w:b w:val="0"/>
          <w:szCs w:val="24"/>
        </w:rPr>
        <w:t>boroaluminosilicate</w:t>
      </w:r>
      <w:r w:rsidRPr="000E2377">
        <w:rPr>
          <w:rFonts w:cs="Times New Roman"/>
          <w:b w:val="0"/>
          <w:szCs w:val="24"/>
        </w:rPr>
        <w:t xml:space="preserve"> glass</w:t>
      </w:r>
      <w:r w:rsidR="00966445">
        <w:rPr>
          <w:rFonts w:cs="Times New Roman"/>
          <w:b w:val="0"/>
          <w:szCs w:val="24"/>
        </w:rPr>
        <w:t>es</w:t>
      </w:r>
      <w:r w:rsidRPr="000E2377">
        <w:rPr>
          <w:rFonts w:cs="Times New Roman"/>
          <w:b w:val="0"/>
          <w:szCs w:val="24"/>
        </w:rPr>
        <w:t xml:space="preserve">. It has been proven that network </w:t>
      </w:r>
      <w:r w:rsidR="00966445">
        <w:rPr>
          <w:rFonts w:cs="Times New Roman"/>
          <w:b w:val="0"/>
          <w:szCs w:val="24"/>
        </w:rPr>
        <w:t>modifiers</w:t>
      </w:r>
      <w:r w:rsidR="00966445" w:rsidRPr="000E2377">
        <w:rPr>
          <w:rFonts w:cs="Times New Roman"/>
          <w:b w:val="0"/>
          <w:szCs w:val="24"/>
        </w:rPr>
        <w:t xml:space="preserve"> </w:t>
      </w:r>
      <w:r w:rsidRPr="000E2377">
        <w:rPr>
          <w:rFonts w:cs="Times New Roman"/>
          <w:b w:val="0"/>
          <w:szCs w:val="24"/>
        </w:rPr>
        <w:t xml:space="preserve">tend to charge compensate aluminium </w:t>
      </w:r>
      <w:r w:rsidR="00966445">
        <w:rPr>
          <w:rFonts w:cs="Times New Roman"/>
          <w:b w:val="0"/>
          <w:szCs w:val="24"/>
        </w:rPr>
        <w:t>before</w:t>
      </w:r>
      <w:r w:rsidRPr="000E2377">
        <w:rPr>
          <w:rFonts w:cs="Times New Roman"/>
          <w:b w:val="0"/>
          <w:szCs w:val="24"/>
        </w:rPr>
        <w:t xml:space="preserve"> boron or produce NBOs </w:t>
      </w:r>
      <w:r w:rsidRPr="000E2377">
        <w:rPr>
          <w:rFonts w:cs="Times New Roman"/>
          <w:b w:val="0"/>
          <w:szCs w:val="24"/>
        </w:rPr>
        <w:fldChar w:fldCharType="begin" w:fldLock="1"/>
      </w:r>
      <w:r w:rsidRPr="000E2377">
        <w:rPr>
          <w:rFonts w:cs="Times New Roman"/>
          <w:b w:val="0"/>
          <w:szCs w:val="24"/>
        </w:rPr>
        <w:instrText>ADDIN CSL_CITATION { "citationItems" : [ { "id" : "ITEM-1", "itemData" : { "DOI" : "10.1103/PhysRevB.86.054203", "ISSN" : "1098-0121", "author" : [ { "dropping-particle" : "", "family" : "Zheng", "given" : "Q. J.", "non-dropping-particle" : "", "parse-names" : false, "suffix" : "" }, { "dropping-particle" : "", "family" : "Youngman", "given" : "R. E.", "non-dropping-particle" : "", "parse-names" : false, "suffix" : "" }, { "dropping-particle" : "", "family" : "Hogue", "given" : "C. L.", "non-dropping-particle" : "", "parse-names" : false, "suffix" : "" }, { "dropping-particle" : "", "family" : "Mauro", "given" : "J. C.", "non-dropping-particle" : "", "parse-names" : false, "suffix" : "" }, { "dropping-particle" : "", "family" : "Potuzak", "given" : "M.", "non-dropping-particle" : "", "parse-names" : false, "suffix" : "" }, { "dropping-particle" : "", "family" : "Smedskjaer", "given" : "M. M.", "non-dropping-particle" : "", "parse-names" : false, "suffix" : "" }, { "dropping-particle" : "", "family" : "Yue", "given" : "Y. Z.", "non-dropping-particle" : "", "parse-names" : false, "suffix" : "" } ], "container-title" : "Physical Review B", "id" : "ITEM-1", "issue" : "5", "issued" : { "date-parts" : [ [ "2012", "8" ] ] }, "page" : "054203", "title" : "Structure of boroaluminosilicate glasses: Impact of [Al2O3]/[SiO2] ratio on the structural role of sodium", "type" : "article-journal", "volume" : "86" }, "uris" : [ "http://www.mendeley.com/documents/?uuid=f6cfc0d4-ec89-4c18-843d-e1e63022faaf" ] } ], "mendeley" : { "formattedCitation" : "(Q. J. Zheng et al., 2012)", "manualFormatting" : "(Zheng et al. 2012)", "plainTextFormattedCitation" : "(Q. J. Zheng et al., 2012)", "previouslyFormattedCitation" : "(Q. J. Zheng et al., 2012)" }, "properties" : { "noteIndex" : 0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(Zheng et al.</w:t>
      </w:r>
      <w:r w:rsidR="003424A4">
        <w:rPr>
          <w:rFonts w:cs="Times New Roman"/>
          <w:b w:val="0"/>
          <w:noProof/>
          <w:szCs w:val="24"/>
        </w:rPr>
        <w:t>,</w:t>
      </w:r>
      <w:r w:rsidRPr="000E2377">
        <w:rPr>
          <w:rFonts w:cs="Times New Roman"/>
          <w:b w:val="0"/>
          <w:noProof/>
          <w:szCs w:val="24"/>
        </w:rPr>
        <w:t xml:space="preserve"> 2012)</w:t>
      </w:r>
      <w:r w:rsidRPr="000E2377">
        <w:rPr>
          <w:rFonts w:cs="Times New Roman"/>
          <w:b w:val="0"/>
          <w:szCs w:val="24"/>
        </w:rPr>
        <w:fldChar w:fldCharType="end"/>
      </w:r>
      <w:r w:rsidRPr="000E2377">
        <w:rPr>
          <w:rFonts w:cs="Times New Roman"/>
          <w:b w:val="0"/>
          <w:szCs w:val="24"/>
        </w:rPr>
        <w:t>. Thus when Al</w:t>
      </w:r>
      <w:r w:rsidRPr="000E2377">
        <w:rPr>
          <w:rFonts w:cs="Times New Roman"/>
          <w:b w:val="0"/>
          <w:szCs w:val="24"/>
          <w:vertAlign w:val="subscript"/>
        </w:rPr>
        <w:t>2</w:t>
      </w:r>
      <w:r w:rsidRPr="000E2377">
        <w:rPr>
          <w:rFonts w:cs="Times New Roman"/>
          <w:b w:val="0"/>
          <w:szCs w:val="24"/>
        </w:rPr>
        <w:t>O</w:t>
      </w:r>
      <w:r w:rsidRPr="000E2377">
        <w:rPr>
          <w:rFonts w:cs="Times New Roman"/>
          <w:b w:val="0"/>
          <w:szCs w:val="24"/>
          <w:vertAlign w:val="subscript"/>
        </w:rPr>
        <w:t>3</w:t>
      </w:r>
      <w:r w:rsidRPr="000E2377">
        <w:rPr>
          <w:rFonts w:cs="Times New Roman"/>
          <w:b w:val="0"/>
          <w:szCs w:val="24"/>
        </w:rPr>
        <w:t xml:space="preserve"> &gt; Na</w:t>
      </w:r>
      <w:r w:rsidRPr="000E2377">
        <w:rPr>
          <w:rFonts w:cs="Times New Roman"/>
          <w:b w:val="0"/>
          <w:szCs w:val="24"/>
          <w:vertAlign w:val="subscript"/>
        </w:rPr>
        <w:t>2</w:t>
      </w:r>
      <w:r w:rsidRPr="000E2377">
        <w:rPr>
          <w:rFonts w:cs="Times New Roman"/>
          <w:b w:val="0"/>
          <w:szCs w:val="24"/>
        </w:rPr>
        <w:t xml:space="preserve">O, sodium will </w:t>
      </w:r>
      <w:r w:rsidR="00966445">
        <w:rPr>
          <w:rFonts w:cs="Times New Roman"/>
          <w:b w:val="0"/>
          <w:szCs w:val="24"/>
        </w:rPr>
        <w:t xml:space="preserve">charge </w:t>
      </w:r>
      <w:r w:rsidRPr="000E2377">
        <w:rPr>
          <w:rFonts w:cs="Times New Roman"/>
          <w:b w:val="0"/>
          <w:szCs w:val="24"/>
        </w:rPr>
        <w:t>compensate tetrahedral aluminium (</w:t>
      </w:r>
      <w:proofErr w:type="spellStart"/>
      <w:r w:rsidRPr="000E2377">
        <w:rPr>
          <w:rFonts w:cs="Times New Roman"/>
          <w:b w:val="0"/>
          <w:szCs w:val="24"/>
        </w:rPr>
        <w:t>Al</w:t>
      </w:r>
      <w:r w:rsidRPr="000E2377">
        <w:rPr>
          <w:rFonts w:cs="Times New Roman"/>
          <w:b w:val="0"/>
          <w:szCs w:val="24"/>
          <w:vertAlign w:val="superscript"/>
        </w:rPr>
        <w:t>IV</w:t>
      </w:r>
      <w:proofErr w:type="spellEnd"/>
      <w:r w:rsidRPr="000E2377">
        <w:rPr>
          <w:rFonts w:cs="Times New Roman"/>
          <w:b w:val="0"/>
          <w:szCs w:val="24"/>
        </w:rPr>
        <w:t xml:space="preserve">), </w:t>
      </w:r>
      <w:r w:rsidR="00966445" w:rsidRPr="000E2377">
        <w:rPr>
          <w:rFonts w:cs="Times New Roman"/>
          <w:b w:val="0"/>
          <w:szCs w:val="24"/>
        </w:rPr>
        <w:t>a</w:t>
      </w:r>
      <w:r w:rsidR="00966445">
        <w:rPr>
          <w:rFonts w:cs="Times New Roman"/>
          <w:b w:val="0"/>
          <w:szCs w:val="24"/>
        </w:rPr>
        <w:t>lthough a</w:t>
      </w:r>
      <w:r w:rsidR="00966445" w:rsidRPr="000E2377">
        <w:rPr>
          <w:rFonts w:cs="Times New Roman"/>
          <w:b w:val="0"/>
          <w:szCs w:val="24"/>
        </w:rPr>
        <w:t xml:space="preserve"> </w:t>
      </w:r>
      <w:r w:rsidRPr="000E2377">
        <w:rPr>
          <w:rFonts w:cs="Times New Roman"/>
          <w:b w:val="0"/>
          <w:szCs w:val="24"/>
        </w:rPr>
        <w:t xml:space="preserve">small amount of sodium </w:t>
      </w:r>
      <w:r w:rsidR="00966445">
        <w:rPr>
          <w:rFonts w:cs="Times New Roman"/>
          <w:b w:val="0"/>
          <w:szCs w:val="24"/>
        </w:rPr>
        <w:t>tends to</w:t>
      </w:r>
      <w:r w:rsidRPr="000E2377">
        <w:rPr>
          <w:rFonts w:cs="Times New Roman"/>
          <w:b w:val="0"/>
          <w:szCs w:val="24"/>
        </w:rPr>
        <w:t xml:space="preserve"> contribute to the appearance of fivefold coordinated alumina (Al</w:t>
      </w:r>
      <w:r w:rsidRPr="000E2377">
        <w:rPr>
          <w:rFonts w:cs="Times New Roman"/>
          <w:b w:val="0"/>
          <w:szCs w:val="24"/>
          <w:vertAlign w:val="superscript"/>
        </w:rPr>
        <w:t>V</w:t>
      </w:r>
      <w:r w:rsidRPr="000E2377">
        <w:rPr>
          <w:rFonts w:cs="Times New Roman"/>
          <w:b w:val="0"/>
          <w:szCs w:val="24"/>
        </w:rPr>
        <w:t xml:space="preserve">). </w:t>
      </w:r>
      <w:r w:rsidRPr="000E2377">
        <w:rPr>
          <w:rFonts w:cs="Times New Roman"/>
          <w:b w:val="0"/>
          <w:szCs w:val="24"/>
        </w:rPr>
        <w:lastRenderedPageBreak/>
        <w:t>Meanwhile</w:t>
      </w:r>
      <w:r w:rsidR="00040067">
        <w:rPr>
          <w:rFonts w:cs="Times New Roman"/>
          <w:b w:val="0"/>
          <w:szCs w:val="24"/>
        </w:rPr>
        <w:t>,</w:t>
      </w:r>
      <w:r w:rsidRPr="000E2377">
        <w:rPr>
          <w:rFonts w:cs="Times New Roman"/>
          <w:b w:val="0"/>
          <w:szCs w:val="24"/>
        </w:rPr>
        <w:t xml:space="preserve"> when Al</w:t>
      </w:r>
      <w:r w:rsidRPr="000E2377">
        <w:rPr>
          <w:rFonts w:cs="Times New Roman"/>
          <w:b w:val="0"/>
          <w:szCs w:val="24"/>
          <w:vertAlign w:val="subscript"/>
        </w:rPr>
        <w:t>2</w:t>
      </w:r>
      <w:r w:rsidRPr="000E2377">
        <w:rPr>
          <w:rFonts w:cs="Times New Roman"/>
          <w:b w:val="0"/>
          <w:szCs w:val="24"/>
        </w:rPr>
        <w:t>O</w:t>
      </w:r>
      <w:r w:rsidRPr="000E2377">
        <w:rPr>
          <w:rFonts w:cs="Times New Roman"/>
          <w:b w:val="0"/>
          <w:szCs w:val="24"/>
          <w:vertAlign w:val="subscript"/>
        </w:rPr>
        <w:t xml:space="preserve">3 </w:t>
      </w:r>
      <w:r w:rsidRPr="000E2377">
        <w:rPr>
          <w:rFonts w:cs="Times New Roman"/>
          <w:b w:val="0"/>
          <w:szCs w:val="24"/>
        </w:rPr>
        <w:t>&lt; Na</w:t>
      </w:r>
      <w:r w:rsidRPr="000E2377">
        <w:rPr>
          <w:rFonts w:cs="Times New Roman"/>
          <w:b w:val="0"/>
          <w:szCs w:val="24"/>
          <w:vertAlign w:val="subscript"/>
        </w:rPr>
        <w:t>2</w:t>
      </w:r>
      <w:r w:rsidRPr="000E2377">
        <w:rPr>
          <w:rFonts w:cs="Times New Roman"/>
          <w:b w:val="0"/>
          <w:szCs w:val="24"/>
        </w:rPr>
        <w:t xml:space="preserve">O, sodium first will compensate alumina to produce </w:t>
      </w:r>
      <w:proofErr w:type="spellStart"/>
      <w:r w:rsidRPr="000E2377">
        <w:rPr>
          <w:rFonts w:cs="Times New Roman"/>
          <w:b w:val="0"/>
          <w:szCs w:val="24"/>
        </w:rPr>
        <w:t>Al</w:t>
      </w:r>
      <w:r w:rsidRPr="000E2377">
        <w:rPr>
          <w:rFonts w:cs="Times New Roman"/>
          <w:b w:val="0"/>
          <w:szCs w:val="24"/>
          <w:vertAlign w:val="superscript"/>
        </w:rPr>
        <w:t>IV</w:t>
      </w:r>
      <w:proofErr w:type="spellEnd"/>
      <w:r w:rsidRPr="000E2377">
        <w:rPr>
          <w:rFonts w:cs="Times New Roman"/>
          <w:b w:val="0"/>
          <w:szCs w:val="24"/>
        </w:rPr>
        <w:t xml:space="preserve"> then </w:t>
      </w:r>
      <w:r w:rsidR="00966445">
        <w:rPr>
          <w:rFonts w:cs="Times New Roman"/>
          <w:b w:val="0"/>
          <w:szCs w:val="24"/>
        </w:rPr>
        <w:t xml:space="preserve">will </w:t>
      </w:r>
      <w:r w:rsidRPr="000E2377">
        <w:rPr>
          <w:rFonts w:cs="Times New Roman"/>
          <w:b w:val="0"/>
          <w:szCs w:val="24"/>
        </w:rPr>
        <w:t xml:space="preserve">either produce NBOs or compensate boron </w:t>
      </w:r>
      <w:r w:rsidRPr="000E2377">
        <w:rPr>
          <w:rFonts w:asciiTheme="majorBidi" w:hAnsiTheme="majorBidi" w:cstheme="majorBidi"/>
          <w:b w:val="0"/>
          <w:szCs w:val="24"/>
        </w:rPr>
        <w:fldChar w:fldCharType="begin" w:fldLock="1"/>
      </w:r>
      <w:r w:rsidRPr="000E2377">
        <w:rPr>
          <w:rFonts w:asciiTheme="majorBidi" w:hAnsiTheme="majorBidi" w:cstheme="majorBidi"/>
          <w:b w:val="0"/>
          <w:szCs w:val="24"/>
        </w:rPr>
        <w:instrText>ADDIN CSL_CITATION { "citationItems" : [ { "id" : "ITEM-1", "itemData" : { "DOI" : "10.1016/S0022-3093(99)00693-6", "ISBN" : "0022-3093", "ISSN" : "00223093", "abstract" : "Five binary borosilicate glasses and 54 ternary sodium borosilicate glasses covering the glass-forming regions have been examined by 11B, 23Na and 29Si solid state MAS-NMR. Linear dependencies of the chemical shifts on compositional parameters were observed. In contrast to most previous structural models, the results point to a much better mixing of copolymerized SiO4/2, BO3/2 and BO4/2 groups and therefore between borate and silica networks and a more uniform distribution of sodium cations in the whole composition range than hitherto assumed. Only the observed fractions of three-and four-coordinated borons and the quantitative amount of alkali to form either four-coordinated boron or non-bridging oxygen atoms cannot be described by a random model. The differences between molten and sol-gel prepared borosilicate glasses appear in a new light.", "author" : [ { "dropping-particle" : "", "family" : "Martens", "given" : "R.", "non-dropping-particle" : "", "parse-names" : false, "suffix" : "" }, { "dropping-particle" : "", "family" : "Muller-Warmuth", "given" : "W.", "non-dropping-particle" : "", "parse-names" : false, "suffix" : "" } ], "container-title" : "Journal of Non-Crystalline Solids", "id" : "ITEM-1", "issue" : "1", "issued" : { "date-parts" : [ [ "2000" ] ] }, "page" : "167-175", "title" : "Structural groups and their mixing in borosilicate glasses of various compositions - an NMR study", "type" : "article-journal", "volume" : "265" }, "uris" : [ "http://www.mendeley.com/documents/?uuid=611f23a4-5afe-418d-9fb1-e7f89f71442f" ] } ], "mendeley" : { "formattedCitation" : "(Martens &amp; Muller-Warmuth, 2000)", "plainTextFormattedCitation" : "(Martens &amp; Muller-Warmuth, 2000)", "previouslyFormattedCitation" : "(Martens &amp; Muller-Warmuth, 2000)" }, "properties" : { "noteIndex" : 0 }, "schema" : "https://github.com/citation-style-language/schema/raw/master/csl-citation.json" }</w:instrText>
      </w:r>
      <w:r w:rsidRPr="000E2377">
        <w:rPr>
          <w:rFonts w:asciiTheme="majorBidi" w:hAnsiTheme="majorBidi" w:cstheme="majorBidi"/>
          <w:b w:val="0"/>
          <w:szCs w:val="24"/>
        </w:rPr>
        <w:fldChar w:fldCharType="separate"/>
      </w:r>
      <w:r w:rsidRPr="000E2377">
        <w:rPr>
          <w:rFonts w:asciiTheme="majorBidi" w:hAnsiTheme="majorBidi" w:cstheme="majorBidi"/>
          <w:b w:val="0"/>
          <w:noProof/>
          <w:szCs w:val="24"/>
        </w:rPr>
        <w:t>(Martens &amp; Muller-Warmuth, 2000)</w:t>
      </w:r>
      <w:r w:rsidRPr="000E2377">
        <w:rPr>
          <w:rFonts w:asciiTheme="majorBidi" w:hAnsiTheme="majorBidi" w:cstheme="majorBidi"/>
          <w:b w:val="0"/>
          <w:szCs w:val="24"/>
        </w:rPr>
        <w:fldChar w:fldCharType="end"/>
      </w:r>
      <w:r w:rsidRPr="000E2377">
        <w:rPr>
          <w:rFonts w:asciiTheme="majorBidi" w:hAnsiTheme="majorBidi" w:cstheme="majorBidi"/>
          <w:b w:val="0"/>
          <w:szCs w:val="24"/>
        </w:rPr>
        <w:t>.</w:t>
      </w:r>
      <w:r w:rsidRPr="000E2377">
        <w:rPr>
          <w:rFonts w:cs="Times New Roman"/>
          <w:b w:val="0"/>
          <w:szCs w:val="24"/>
        </w:rPr>
        <w:t xml:space="preserve"> </w:t>
      </w:r>
    </w:p>
    <w:p w14:paraId="7C63E2E5" w14:textId="253EF16D" w:rsidR="0064576E" w:rsidRPr="000E2377" w:rsidRDefault="00966445" w:rsidP="00ED6080">
      <w:pPr>
        <w:spacing w:after="0" w:line="360" w:lineRule="auto"/>
        <w:jc w:val="both"/>
        <w:rPr>
          <w:rFonts w:asciiTheme="majorBidi" w:hAnsiTheme="majorBidi" w:cstheme="majorBidi"/>
          <w:b w:val="0"/>
          <w:szCs w:val="24"/>
        </w:rPr>
      </w:pPr>
      <w:r>
        <w:rPr>
          <w:rFonts w:asciiTheme="majorBidi" w:hAnsiTheme="majorBidi" w:cstheme="majorBidi"/>
          <w:b w:val="0"/>
          <w:szCs w:val="24"/>
        </w:rPr>
        <w:t>In</w:t>
      </w:r>
      <w:r w:rsidR="0064576E" w:rsidRPr="000E2377">
        <w:rPr>
          <w:rFonts w:asciiTheme="majorBidi" w:hAnsiTheme="majorBidi" w:cstheme="majorBidi"/>
          <w:b w:val="0"/>
          <w:szCs w:val="24"/>
        </w:rPr>
        <w:t xml:space="preserve"> </w:t>
      </w:r>
      <w:proofErr w:type="spellStart"/>
      <w:r w:rsidR="0064576E" w:rsidRPr="000E2377">
        <w:rPr>
          <w:rFonts w:asciiTheme="majorBidi" w:hAnsiTheme="majorBidi" w:cstheme="majorBidi"/>
          <w:b w:val="0"/>
          <w:szCs w:val="24"/>
        </w:rPr>
        <w:t>alumin</w:t>
      </w:r>
      <w:r w:rsidR="00133C65" w:rsidRPr="000E2377">
        <w:rPr>
          <w:rFonts w:asciiTheme="majorBidi" w:hAnsiTheme="majorBidi" w:cstheme="majorBidi"/>
          <w:b w:val="0"/>
          <w:szCs w:val="24"/>
        </w:rPr>
        <w:t>oborate</w:t>
      </w:r>
      <w:proofErr w:type="spellEnd"/>
      <w:r w:rsidR="0064576E" w:rsidRPr="000E2377">
        <w:rPr>
          <w:rFonts w:asciiTheme="majorBidi" w:hAnsiTheme="majorBidi" w:cstheme="majorBidi"/>
          <w:b w:val="0"/>
          <w:szCs w:val="24"/>
        </w:rPr>
        <w:t xml:space="preserve"> glass, the addition or substitution of alkaline earth</w:t>
      </w:r>
      <w:r w:rsidR="00133C65" w:rsidRPr="000E2377">
        <w:rPr>
          <w:rFonts w:asciiTheme="majorBidi" w:hAnsiTheme="majorBidi" w:cstheme="majorBidi"/>
          <w:b w:val="0"/>
          <w:szCs w:val="24"/>
        </w:rPr>
        <w:t>s</w:t>
      </w:r>
      <w:r w:rsidR="0064576E" w:rsidRPr="000E2377">
        <w:rPr>
          <w:rFonts w:asciiTheme="majorBidi" w:hAnsiTheme="majorBidi" w:cstheme="majorBidi"/>
          <w:b w:val="0"/>
          <w:szCs w:val="24"/>
        </w:rPr>
        <w:t xml:space="preserve"> such as Mg, Ca, Sr and Ba </w:t>
      </w:r>
      <w:r>
        <w:rPr>
          <w:rFonts w:asciiTheme="majorBidi" w:hAnsiTheme="majorBidi" w:cstheme="majorBidi"/>
          <w:b w:val="0"/>
          <w:szCs w:val="24"/>
        </w:rPr>
        <w:t xml:space="preserve">in the </w:t>
      </w:r>
      <w:r w:rsidR="0064576E" w:rsidRPr="000E2377">
        <w:rPr>
          <w:rFonts w:asciiTheme="majorBidi" w:hAnsiTheme="majorBidi" w:cstheme="majorBidi"/>
          <w:b w:val="0"/>
          <w:szCs w:val="24"/>
        </w:rPr>
        <w:t>glass</w:t>
      </w:r>
      <w:r w:rsidR="00C71022">
        <w:rPr>
          <w:rFonts w:asciiTheme="majorBidi" w:hAnsiTheme="majorBidi" w:cstheme="majorBidi"/>
          <w:b w:val="0"/>
          <w:szCs w:val="24"/>
        </w:rPr>
        <w:t xml:space="preserve"> composition </w:t>
      </w:r>
      <w:r>
        <w:rPr>
          <w:rFonts w:asciiTheme="majorBidi" w:hAnsiTheme="majorBidi" w:cstheme="majorBidi"/>
          <w:b w:val="0"/>
          <w:szCs w:val="24"/>
        </w:rPr>
        <w:t>results in similar</w:t>
      </w:r>
      <w:r w:rsidR="00554E71">
        <w:rPr>
          <w:rFonts w:asciiTheme="majorBidi" w:hAnsiTheme="majorBidi" w:cstheme="majorBidi"/>
          <w:b w:val="0"/>
          <w:szCs w:val="24"/>
        </w:rPr>
        <w:t xml:space="preserve"> </w:t>
      </w:r>
      <w:r w:rsidR="00743FF0">
        <w:rPr>
          <w:rFonts w:asciiTheme="majorBidi" w:hAnsiTheme="majorBidi" w:cstheme="majorBidi"/>
          <w:b w:val="0"/>
          <w:szCs w:val="24"/>
        </w:rPr>
        <w:t>trends</w:t>
      </w:r>
      <w:r w:rsidR="00554E71">
        <w:rPr>
          <w:rFonts w:asciiTheme="majorBidi" w:hAnsiTheme="majorBidi" w:cstheme="majorBidi"/>
          <w:b w:val="0"/>
          <w:szCs w:val="24"/>
        </w:rPr>
        <w:t xml:space="preserve"> </w:t>
      </w:r>
      <w:r>
        <w:rPr>
          <w:rFonts w:asciiTheme="majorBidi" w:hAnsiTheme="majorBidi" w:cstheme="majorBidi"/>
          <w:b w:val="0"/>
          <w:szCs w:val="24"/>
        </w:rPr>
        <w:t xml:space="preserve">for </w:t>
      </w:r>
      <w:r w:rsidR="00554E71">
        <w:rPr>
          <w:rFonts w:asciiTheme="majorBidi" w:hAnsiTheme="majorBidi" w:cstheme="majorBidi"/>
          <w:b w:val="0"/>
          <w:szCs w:val="24"/>
        </w:rPr>
        <w:t>N</w:t>
      </w:r>
      <w:r w:rsidR="00554E71" w:rsidRPr="0027187B">
        <w:rPr>
          <w:rFonts w:asciiTheme="majorBidi" w:hAnsiTheme="majorBidi" w:cstheme="majorBidi"/>
          <w:b w:val="0"/>
          <w:szCs w:val="24"/>
          <w:vertAlign w:val="subscript"/>
        </w:rPr>
        <w:t>4</w:t>
      </w:r>
      <w:r>
        <w:rPr>
          <w:rFonts w:asciiTheme="majorBidi" w:hAnsiTheme="majorBidi" w:cstheme="majorBidi"/>
          <w:b w:val="0"/>
          <w:szCs w:val="24"/>
        </w:rPr>
        <w:t xml:space="preserve"> formation albeit</w:t>
      </w:r>
      <w:r w:rsidR="00554E71">
        <w:rPr>
          <w:rFonts w:asciiTheme="majorBidi" w:hAnsiTheme="majorBidi" w:cstheme="majorBidi"/>
          <w:b w:val="0"/>
          <w:szCs w:val="24"/>
        </w:rPr>
        <w:t xml:space="preserve"> with different values</w:t>
      </w:r>
      <w:r w:rsidR="00A455D7">
        <w:rPr>
          <w:rFonts w:asciiTheme="majorBidi" w:hAnsiTheme="majorBidi" w:cstheme="majorBidi"/>
          <w:b w:val="0"/>
          <w:szCs w:val="24"/>
        </w:rPr>
        <w:t xml:space="preserve">. </w:t>
      </w:r>
      <w:r w:rsidR="00C17710">
        <w:rPr>
          <w:rFonts w:asciiTheme="majorBidi" w:hAnsiTheme="majorBidi" w:cstheme="majorBidi"/>
          <w:b w:val="0"/>
          <w:szCs w:val="24"/>
        </w:rPr>
        <w:t xml:space="preserve">Increasing </w:t>
      </w:r>
      <w:r>
        <w:rPr>
          <w:rFonts w:asciiTheme="majorBidi" w:hAnsiTheme="majorBidi" w:cstheme="majorBidi"/>
          <w:b w:val="0"/>
          <w:szCs w:val="24"/>
        </w:rPr>
        <w:t xml:space="preserve">amounts </w:t>
      </w:r>
      <w:r w:rsidR="00842A6A">
        <w:rPr>
          <w:rFonts w:asciiTheme="majorBidi" w:hAnsiTheme="majorBidi" w:cstheme="majorBidi"/>
          <w:b w:val="0"/>
          <w:szCs w:val="24"/>
        </w:rPr>
        <w:t xml:space="preserve">of </w:t>
      </w:r>
      <w:r w:rsidR="00472A41">
        <w:rPr>
          <w:rFonts w:asciiTheme="majorBidi" w:hAnsiTheme="majorBidi" w:cstheme="majorBidi"/>
          <w:b w:val="0"/>
          <w:szCs w:val="24"/>
        </w:rPr>
        <w:t>alkaline earth</w:t>
      </w:r>
      <w:r w:rsidR="00A77E48">
        <w:rPr>
          <w:rFonts w:asciiTheme="majorBidi" w:hAnsiTheme="majorBidi" w:cstheme="majorBidi"/>
          <w:b w:val="0"/>
          <w:szCs w:val="24"/>
        </w:rPr>
        <w:t xml:space="preserve"> will increase</w:t>
      </w:r>
      <w:r w:rsidR="0056154D">
        <w:rPr>
          <w:rFonts w:asciiTheme="majorBidi" w:hAnsiTheme="majorBidi" w:cstheme="majorBidi"/>
          <w:b w:val="0"/>
          <w:szCs w:val="24"/>
        </w:rPr>
        <w:t xml:space="preserve"> the</w:t>
      </w:r>
      <w:r>
        <w:rPr>
          <w:rFonts w:asciiTheme="majorBidi" w:hAnsiTheme="majorBidi" w:cstheme="majorBidi"/>
          <w:b w:val="0"/>
          <w:szCs w:val="24"/>
        </w:rPr>
        <w:t xml:space="preserve"> amount of</w:t>
      </w:r>
      <w:r w:rsidR="0056154D">
        <w:rPr>
          <w:rFonts w:asciiTheme="majorBidi" w:hAnsiTheme="majorBidi" w:cstheme="majorBidi"/>
          <w:b w:val="0"/>
          <w:szCs w:val="24"/>
        </w:rPr>
        <w:t xml:space="preserve"> N</w:t>
      </w:r>
      <w:r w:rsidR="0056154D" w:rsidRPr="0027187B">
        <w:rPr>
          <w:rFonts w:asciiTheme="majorBidi" w:hAnsiTheme="majorBidi" w:cstheme="majorBidi"/>
          <w:b w:val="0"/>
          <w:szCs w:val="24"/>
          <w:vertAlign w:val="subscript"/>
        </w:rPr>
        <w:t>4</w:t>
      </w:r>
      <w:r w:rsidR="0056154D">
        <w:rPr>
          <w:rFonts w:asciiTheme="majorBidi" w:hAnsiTheme="majorBidi" w:cstheme="majorBidi"/>
          <w:b w:val="0"/>
          <w:szCs w:val="24"/>
        </w:rPr>
        <w:t xml:space="preserve"> </w:t>
      </w:r>
      <w:r>
        <w:rPr>
          <w:rFonts w:asciiTheme="majorBidi" w:hAnsiTheme="majorBidi" w:cstheme="majorBidi"/>
          <w:b w:val="0"/>
          <w:szCs w:val="24"/>
        </w:rPr>
        <w:t xml:space="preserve">up to a </w:t>
      </w:r>
      <w:r w:rsidR="0056154D">
        <w:rPr>
          <w:rFonts w:asciiTheme="majorBidi" w:hAnsiTheme="majorBidi" w:cstheme="majorBidi"/>
          <w:b w:val="0"/>
          <w:szCs w:val="24"/>
        </w:rPr>
        <w:t xml:space="preserve">certain amount </w:t>
      </w:r>
      <w:r>
        <w:rPr>
          <w:rFonts w:asciiTheme="majorBidi" w:hAnsiTheme="majorBidi" w:cstheme="majorBidi"/>
          <w:b w:val="0"/>
          <w:szCs w:val="24"/>
        </w:rPr>
        <w:t>followed by a</w:t>
      </w:r>
      <w:r w:rsidR="0056154D">
        <w:rPr>
          <w:rFonts w:asciiTheme="majorBidi" w:hAnsiTheme="majorBidi" w:cstheme="majorBidi"/>
          <w:b w:val="0"/>
          <w:szCs w:val="24"/>
        </w:rPr>
        <w:t xml:space="preserve"> decrease </w:t>
      </w:r>
      <w:r>
        <w:rPr>
          <w:rFonts w:asciiTheme="majorBidi" w:hAnsiTheme="majorBidi" w:cstheme="majorBidi"/>
          <w:b w:val="0"/>
          <w:szCs w:val="24"/>
        </w:rPr>
        <w:t>as seen with alkali oxides (</w:t>
      </w:r>
      <w:r w:rsidR="0056154D">
        <w:rPr>
          <w:rFonts w:asciiTheme="majorBidi" w:hAnsiTheme="majorBidi" w:cstheme="majorBidi"/>
          <w:b w:val="0"/>
          <w:szCs w:val="24"/>
        </w:rPr>
        <w:t>Bishop and Bray</w:t>
      </w:r>
      <w:r w:rsidR="00BA4B0C">
        <w:rPr>
          <w:rFonts w:asciiTheme="majorBidi" w:hAnsiTheme="majorBidi" w:cstheme="majorBidi"/>
          <w:b w:val="0"/>
          <w:szCs w:val="24"/>
        </w:rPr>
        <w:t>,</w:t>
      </w:r>
      <w:r w:rsidR="003424A4">
        <w:rPr>
          <w:rFonts w:asciiTheme="majorBidi" w:hAnsiTheme="majorBidi" w:cstheme="majorBidi"/>
          <w:b w:val="0"/>
          <w:szCs w:val="24"/>
        </w:rPr>
        <w:t xml:space="preserve"> </w:t>
      </w:r>
      <w:r w:rsidR="007B03E4">
        <w:rPr>
          <w:rFonts w:asciiTheme="majorBidi" w:hAnsiTheme="majorBidi" w:cstheme="majorBidi"/>
          <w:b w:val="0"/>
          <w:szCs w:val="24"/>
        </w:rPr>
        <w:t>1966)</w:t>
      </w:r>
      <w:r w:rsidR="00BA4B0C">
        <w:rPr>
          <w:rFonts w:asciiTheme="majorBidi" w:hAnsiTheme="majorBidi" w:cstheme="majorBidi"/>
          <w:b w:val="0"/>
          <w:szCs w:val="24"/>
        </w:rPr>
        <w:t>.</w:t>
      </w:r>
      <w:r w:rsidR="0056154D">
        <w:rPr>
          <w:rFonts w:asciiTheme="majorBidi" w:hAnsiTheme="majorBidi" w:cstheme="majorBidi"/>
          <w:b w:val="0"/>
          <w:szCs w:val="24"/>
        </w:rPr>
        <w:t xml:space="preserve"> </w:t>
      </w:r>
      <w:r w:rsidR="00133C65" w:rsidRPr="000E2377">
        <w:rPr>
          <w:rFonts w:asciiTheme="majorBidi" w:hAnsiTheme="majorBidi" w:cstheme="majorBidi"/>
          <w:b w:val="0"/>
          <w:szCs w:val="24"/>
        </w:rPr>
        <w:t>The e</w:t>
      </w:r>
      <w:r w:rsidR="0064576E" w:rsidRPr="000E2377">
        <w:rPr>
          <w:rFonts w:asciiTheme="majorBidi" w:hAnsiTheme="majorBidi" w:cstheme="majorBidi"/>
          <w:b w:val="0"/>
          <w:szCs w:val="24"/>
        </w:rPr>
        <w:t xml:space="preserve">ffect </w:t>
      </w:r>
      <w:r w:rsidR="00133C65" w:rsidRPr="000E2377">
        <w:rPr>
          <w:rFonts w:asciiTheme="majorBidi" w:hAnsiTheme="majorBidi" w:cstheme="majorBidi"/>
          <w:b w:val="0"/>
          <w:szCs w:val="24"/>
        </w:rPr>
        <w:t xml:space="preserve">of varying the amount of </w:t>
      </w:r>
      <w:r>
        <w:rPr>
          <w:rFonts w:asciiTheme="majorBidi" w:hAnsiTheme="majorBidi" w:cstheme="majorBidi"/>
          <w:b w:val="0"/>
          <w:szCs w:val="24"/>
        </w:rPr>
        <w:t>calcium and barium</w:t>
      </w:r>
      <w:r w:rsidR="0064576E" w:rsidRPr="000E2377">
        <w:rPr>
          <w:rFonts w:asciiTheme="majorBidi" w:hAnsiTheme="majorBidi" w:cstheme="majorBidi"/>
          <w:b w:val="0"/>
          <w:szCs w:val="24"/>
        </w:rPr>
        <w:t xml:space="preserve"> </w:t>
      </w:r>
      <w:r w:rsidR="00133C65" w:rsidRPr="000E2377">
        <w:rPr>
          <w:rFonts w:asciiTheme="majorBidi" w:hAnsiTheme="majorBidi" w:cstheme="majorBidi"/>
          <w:b w:val="0"/>
          <w:szCs w:val="24"/>
        </w:rPr>
        <w:t>oxide</w:t>
      </w:r>
      <w:r>
        <w:rPr>
          <w:rFonts w:asciiTheme="majorBidi" w:hAnsiTheme="majorBidi" w:cstheme="majorBidi"/>
          <w:b w:val="0"/>
          <w:szCs w:val="24"/>
        </w:rPr>
        <w:t>s</w:t>
      </w:r>
      <w:r w:rsidR="00133C65" w:rsidRPr="000E2377">
        <w:rPr>
          <w:rFonts w:asciiTheme="majorBidi" w:hAnsiTheme="majorBidi" w:cstheme="majorBidi"/>
          <w:b w:val="0"/>
          <w:szCs w:val="24"/>
        </w:rPr>
        <w:t xml:space="preserve"> </w:t>
      </w:r>
      <w:r>
        <w:rPr>
          <w:rFonts w:asciiTheme="majorBidi" w:hAnsiTheme="majorBidi" w:cstheme="majorBidi"/>
          <w:b w:val="0"/>
          <w:szCs w:val="24"/>
        </w:rPr>
        <w:t xml:space="preserve">in boroaluminate glasses </w:t>
      </w:r>
      <w:r w:rsidR="00133C65" w:rsidRPr="000E2377">
        <w:rPr>
          <w:rFonts w:asciiTheme="majorBidi" w:hAnsiTheme="majorBidi" w:cstheme="majorBidi"/>
          <w:b w:val="0"/>
          <w:szCs w:val="24"/>
        </w:rPr>
        <w:t>is shown</w:t>
      </w:r>
      <w:r w:rsidR="0064576E" w:rsidRPr="000E2377">
        <w:rPr>
          <w:rFonts w:asciiTheme="majorBidi" w:hAnsiTheme="majorBidi" w:cstheme="majorBidi"/>
          <w:b w:val="0"/>
          <w:szCs w:val="24"/>
        </w:rPr>
        <w:t xml:space="preserve"> in Figure 2.</w:t>
      </w:r>
      <w:r w:rsidR="000112FE">
        <w:rPr>
          <w:rFonts w:asciiTheme="majorBidi" w:hAnsiTheme="majorBidi" w:cstheme="majorBidi"/>
          <w:b w:val="0"/>
          <w:szCs w:val="24"/>
        </w:rPr>
        <w:t>6</w:t>
      </w:r>
      <w:r w:rsidR="00133C65" w:rsidRPr="000E2377">
        <w:rPr>
          <w:rFonts w:asciiTheme="majorBidi" w:hAnsiTheme="majorBidi" w:cstheme="majorBidi"/>
          <w:b w:val="0"/>
          <w:szCs w:val="24"/>
        </w:rPr>
        <w:t xml:space="preserve">. </w:t>
      </w:r>
    </w:p>
    <w:p w14:paraId="1F045A8A" w14:textId="688992C5" w:rsidR="0064576E" w:rsidRPr="000E2377" w:rsidRDefault="00785B40" w:rsidP="0064576E">
      <w:pPr>
        <w:spacing w:before="240" w:after="0" w:line="360" w:lineRule="auto"/>
        <w:jc w:val="center"/>
        <w:rPr>
          <w:rFonts w:asciiTheme="majorBidi" w:hAnsiTheme="majorBidi" w:cstheme="majorBidi"/>
          <w:b w:val="0"/>
          <w:szCs w:val="24"/>
        </w:rPr>
      </w:pPr>
      <w:r>
        <w:rPr>
          <w:rFonts w:asciiTheme="majorBidi" w:hAnsiTheme="majorBidi" w:cstheme="majorBidi"/>
          <w:b w:val="0"/>
          <w:noProof/>
          <w:szCs w:val="24"/>
          <w:lang w:eastAsia="en-MY"/>
        </w:rPr>
        <mc:AlternateContent>
          <mc:Choice Requires="wps">
            <w:drawing>
              <wp:anchor distT="0" distB="0" distL="114300" distR="114300" simplePos="0" relativeHeight="252076032" behindDoc="0" locked="0" layoutInCell="1" allowOverlap="1" wp14:anchorId="00D079F8" wp14:editId="4DEBBB54">
                <wp:simplePos x="0" y="0"/>
                <wp:positionH relativeFrom="column">
                  <wp:posOffset>714375</wp:posOffset>
                </wp:positionH>
                <wp:positionV relativeFrom="paragraph">
                  <wp:posOffset>1216025</wp:posOffset>
                </wp:positionV>
                <wp:extent cx="638175" cy="314325"/>
                <wp:effectExtent l="0" t="9525" r="0" b="0"/>
                <wp:wrapNone/>
                <wp:docPr id="1810" name="Text Box 1810"/>
                <wp:cNvGraphicFramePr/>
                <a:graphic xmlns:a="http://schemas.openxmlformats.org/drawingml/2006/main">
                  <a:graphicData uri="http://schemas.microsoft.com/office/word/2010/wordprocessingShape">
                    <wps:wsp>
                      <wps:cNvSpPr txBox="1"/>
                      <wps:spPr>
                        <a:xfrm rot="16200000">
                          <a:off x="0" y="0"/>
                          <a:ext cx="638175" cy="314325"/>
                        </a:xfrm>
                        <a:prstGeom prst="rect">
                          <a:avLst/>
                        </a:prstGeom>
                        <a:solidFill>
                          <a:schemeClr val="lt1"/>
                        </a:solidFill>
                        <a:ln w="6350">
                          <a:noFill/>
                        </a:ln>
                      </wps:spPr>
                      <wps:txbx>
                        <w:txbxContent>
                          <w:p w14:paraId="4631D2E8" w14:textId="563E6905" w:rsidR="00230AB9" w:rsidRDefault="00230AB9" w:rsidP="0027187B">
                            <w:pPr>
                              <w:jc w:val="center"/>
                            </w:pPr>
                            <w:r>
                              <w:t>N</w:t>
                            </w:r>
                            <w:r w:rsidRPr="0027187B">
                              <w:rPr>
                                <w:vertAlign w:val="sub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D079F8" id="Text Box 1810" o:spid="_x0000_s1068" type="#_x0000_t202" style="position:absolute;left:0;text-align:left;margin-left:56.25pt;margin-top:95.75pt;width:50.25pt;height:24.75pt;rotation:-90;z-index:252076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" fillcolor="white [3201]" stroked="f" strokeweight=".5pt">
                <v:textbox>
                  <w:txbxContent>
                    <w:p w14:paraId="4631D2E8" w14:textId="563E6905" w:rsidR="00230AB9" w:rsidRDefault="00230AB9" w:rsidP="0027187B">
                      <w:pPr>
                        <w:jc w:val="center"/>
                      </w:pPr>
                      <w:r>
                        <w:t>N</w:t>
                      </w:r>
                      <w:r w:rsidRPr="0027187B">
                        <w:rPr>
                          <w:vertAlign w:val="subscript"/>
                        </w:rPr>
                        <w:t>4</w:t>
                      </w:r>
                    </w:p>
                  </w:txbxContent>
                </v:textbox>
              </v:shape>
            </w:pict>
          </mc:Fallback>
        </mc:AlternateContent>
      </w:r>
      <w:r w:rsidR="0064576E" w:rsidRPr="000E2377">
        <w:rPr>
          <w:rFonts w:asciiTheme="majorBidi" w:hAnsiTheme="majorBidi" w:cstheme="majorBidi"/>
          <w:b w:val="0"/>
          <w:noProof/>
          <w:szCs w:val="24"/>
          <w:lang w:eastAsia="en-MY"/>
        </w:rPr>
        <w:drawing>
          <wp:inline distT="0" distB="0" distL="0" distR="0" wp14:anchorId="6F5D6120" wp14:editId="002B9FC6">
            <wp:extent cx="4200000" cy="2520000"/>
            <wp:effectExtent l="0" t="0" r="0" b="0"/>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00000" cy="2520000"/>
                    </a:xfrm>
                    <a:prstGeom prst="rect">
                      <a:avLst/>
                    </a:prstGeom>
                    <a:noFill/>
                  </pic:spPr>
                </pic:pic>
              </a:graphicData>
            </a:graphic>
          </wp:inline>
        </w:drawing>
      </w:r>
    </w:p>
    <w:p w14:paraId="0512109E" w14:textId="20A9E385" w:rsidR="0064576E" w:rsidRPr="000112FE" w:rsidRDefault="00072CB2" w:rsidP="00B56F74">
      <w:pPr>
        <w:pStyle w:val="Caption"/>
        <w:rPr>
          <w:rFonts w:asciiTheme="majorBidi" w:hAnsiTheme="majorBidi" w:cstheme="majorBidi"/>
          <w:szCs w:val="24"/>
        </w:rPr>
      </w:pPr>
      <w:bookmarkStart w:id="113" w:name="_Hlk515393583"/>
      <w:bookmarkStart w:id="114" w:name="_Toc521420441"/>
      <w:bookmarkStart w:id="115" w:name="_Toc525223180"/>
      <w:bookmarkStart w:id="116" w:name="_Toc525528328"/>
      <w:bookmarkStart w:id="117" w:name="_Toc525706343"/>
      <w:r w:rsidRPr="000E2377">
        <w:t xml:space="preserve">Figure </w:t>
      </w:r>
      <w:r w:rsidR="00DE32A9">
        <w:t>2</w:t>
      </w:r>
      <w:r w:rsidR="002513FF" w:rsidRPr="000E2377">
        <w:t>.</w:t>
      </w:r>
      <w:r w:rsidR="002513FF" w:rsidRPr="000E2377">
        <w:fldChar w:fldCharType="begin"/>
      </w:r>
      <w:r w:rsidR="002513FF" w:rsidRPr="000E2377">
        <w:instrText xml:space="preserve"> SEQ Figure \* ARABIC \s 1 </w:instrText>
      </w:r>
      <w:r w:rsidR="002513FF" w:rsidRPr="000E2377">
        <w:fldChar w:fldCharType="separate"/>
      </w:r>
      <w:r w:rsidR="00C827AE">
        <w:rPr>
          <w:noProof/>
        </w:rPr>
        <w:t>6</w:t>
      </w:r>
      <w:r w:rsidR="002513FF" w:rsidRPr="000E2377">
        <w:fldChar w:fldCharType="end"/>
      </w:r>
      <w:r w:rsidR="0064576E" w:rsidRPr="000E2377">
        <w:rPr>
          <w:rFonts w:asciiTheme="majorBidi" w:hAnsiTheme="majorBidi" w:cstheme="majorBidi"/>
          <w:szCs w:val="24"/>
        </w:rPr>
        <w:t>: Fraction of tetrahedral boron (N</w:t>
      </w:r>
      <w:r w:rsidR="0064576E" w:rsidRPr="000E2377">
        <w:rPr>
          <w:rFonts w:asciiTheme="majorBidi" w:hAnsiTheme="majorBidi" w:cstheme="majorBidi"/>
          <w:szCs w:val="24"/>
          <w:vertAlign w:val="subscript"/>
        </w:rPr>
        <w:t>4</w:t>
      </w:r>
      <w:r w:rsidR="0064576E" w:rsidRPr="000E2377">
        <w:rPr>
          <w:rFonts w:asciiTheme="majorBidi" w:hAnsiTheme="majorBidi" w:cstheme="majorBidi"/>
          <w:szCs w:val="24"/>
        </w:rPr>
        <w:t xml:space="preserve">) with mole fraction of alkaline earth used in boroaluminate glass, </w:t>
      </w:r>
      <w:proofErr w:type="spellStart"/>
      <w:r w:rsidR="0064576E" w:rsidRPr="000E2377">
        <w:rPr>
          <w:rFonts w:asciiTheme="majorBidi" w:hAnsiTheme="majorBidi" w:cstheme="majorBidi"/>
          <w:szCs w:val="24"/>
        </w:rPr>
        <w:t>xMO</w:t>
      </w:r>
      <w:proofErr w:type="spellEnd"/>
      <w:r w:rsidR="0064576E" w:rsidRPr="000E2377">
        <w:rPr>
          <w:rFonts w:asciiTheme="majorBidi" w:hAnsiTheme="majorBidi" w:cstheme="majorBidi"/>
          <w:szCs w:val="24"/>
        </w:rPr>
        <w:t xml:space="preserve">. </w:t>
      </w:r>
      <w:r w:rsidR="001E246C" w:rsidRPr="000E2377">
        <w:rPr>
          <w:rFonts w:asciiTheme="majorBidi" w:hAnsiTheme="majorBidi" w:cstheme="majorBidi"/>
          <w:szCs w:val="24"/>
        </w:rPr>
        <w:t>yB</w:t>
      </w:r>
      <w:r w:rsidR="001E246C" w:rsidRPr="000E2377">
        <w:rPr>
          <w:rFonts w:asciiTheme="majorBidi" w:hAnsiTheme="majorBidi" w:cstheme="majorBidi"/>
          <w:szCs w:val="24"/>
          <w:vertAlign w:val="subscript"/>
        </w:rPr>
        <w:t>2</w:t>
      </w:r>
      <w:r w:rsidR="001E246C">
        <w:rPr>
          <w:rFonts w:asciiTheme="majorBidi" w:hAnsiTheme="majorBidi" w:cstheme="majorBidi"/>
          <w:szCs w:val="24"/>
        </w:rPr>
        <w:t>O</w:t>
      </w:r>
      <w:r w:rsidR="001E246C" w:rsidRPr="000E2377">
        <w:rPr>
          <w:rFonts w:asciiTheme="majorBidi" w:hAnsiTheme="majorBidi" w:cstheme="majorBidi"/>
          <w:szCs w:val="24"/>
          <w:vertAlign w:val="subscript"/>
        </w:rPr>
        <w:t>3</w:t>
      </w:r>
      <w:r w:rsidR="0064576E" w:rsidRPr="000E2377">
        <w:rPr>
          <w:rFonts w:asciiTheme="majorBidi" w:hAnsiTheme="majorBidi" w:cstheme="majorBidi"/>
          <w:szCs w:val="24"/>
        </w:rPr>
        <w:t xml:space="preserve">. </w:t>
      </w:r>
      <w:r w:rsidR="001E246C" w:rsidRPr="000E2377">
        <w:rPr>
          <w:rFonts w:asciiTheme="majorBidi" w:hAnsiTheme="majorBidi" w:cstheme="majorBidi"/>
          <w:szCs w:val="24"/>
        </w:rPr>
        <w:t>10Al</w:t>
      </w:r>
      <w:r w:rsidR="001E246C" w:rsidRPr="000E2377">
        <w:rPr>
          <w:rFonts w:asciiTheme="majorBidi" w:hAnsiTheme="majorBidi" w:cstheme="majorBidi"/>
          <w:szCs w:val="24"/>
          <w:vertAlign w:val="subscript"/>
        </w:rPr>
        <w:t>2</w:t>
      </w:r>
      <w:r w:rsidR="001E246C">
        <w:rPr>
          <w:rFonts w:asciiTheme="majorBidi" w:hAnsiTheme="majorBidi" w:cstheme="majorBidi"/>
          <w:szCs w:val="24"/>
        </w:rPr>
        <w:t>O</w:t>
      </w:r>
      <w:r w:rsidR="001E246C" w:rsidRPr="000E2377">
        <w:rPr>
          <w:rFonts w:asciiTheme="majorBidi" w:hAnsiTheme="majorBidi" w:cstheme="majorBidi"/>
          <w:szCs w:val="24"/>
          <w:vertAlign w:val="subscript"/>
        </w:rPr>
        <w:t>3</w:t>
      </w:r>
      <w:r w:rsidR="001E246C" w:rsidRPr="000E2377">
        <w:rPr>
          <w:rFonts w:asciiTheme="majorBidi" w:hAnsiTheme="majorBidi" w:cstheme="majorBidi"/>
          <w:szCs w:val="24"/>
        </w:rPr>
        <w:t xml:space="preserve"> </w:t>
      </w:r>
      <w:r w:rsidR="0064576E" w:rsidRPr="000E2377">
        <w:rPr>
          <w:rFonts w:asciiTheme="majorBidi" w:hAnsiTheme="majorBidi" w:cstheme="majorBidi"/>
          <w:szCs w:val="24"/>
        </w:rPr>
        <w:t xml:space="preserve">with variation of x and y </w:t>
      </w:r>
      <w:r w:rsidR="0064576E" w:rsidRPr="000112FE">
        <w:rPr>
          <w:rFonts w:asciiTheme="majorBidi" w:hAnsiTheme="majorBidi" w:cstheme="majorBidi"/>
          <w:szCs w:val="24"/>
        </w:rPr>
        <w:fldChar w:fldCharType="begin" w:fldLock="1"/>
      </w:r>
      <w:r w:rsidR="00F82BA8">
        <w:rPr>
          <w:rFonts w:asciiTheme="majorBidi" w:hAnsiTheme="majorBidi" w:cstheme="majorBidi"/>
          <w:szCs w:val="24"/>
        </w:rPr>
        <w:instrText>ADDIN CSL_CITATION { "citationItems" : [ { "id" : "ITEM-1", "itemData" : { "author" : [ { "dropping-particle" : "", "family" : "Bunker", "given" : "Bruce C", "non-dropping-particle" : "", "parse-names" : false, "suffix" : "" }, { "dropping-particle" : "", "family" : "Kirkpatrick", "given" : "R James", "non-dropping-particle" : "", "parse-names" : false, "suffix" : "" }, { "dropping-particle" : "", "family" : "Brow", "given" : "Richard K", "non-dropping-particle" : "", "parse-names" : false, "suffix" : "" }, { "dropping-particle" : "", "family" : "Turner", "given" : "Gary L", "non-dropping-particle" : "", "parse-names" : false, "suffix" : "" } ], "container-title" : "Journal of the American Ceramic Society", "id" : "ITEM-1", "issue" : "I", "issued" : { "date-parts" : [ [ "1991" ] ] }, "page" : "1430-1438", "title" : "Local structure of alkaline-earth boroaluminate crystals and glasses: II, B and Al MAS NMR spectroscopy of alkaline-earth boroaluminate glasses", "type" : "article-journal", "volume" : "1430" }, "uris" : [ "http://www.mendeley.com/documents/?uuid=dd0ada0c-21b0-43e4-8cd9-19aa1fa5682d" ] } ], "mendeley" : { "formattedCitation" : "(Bunker, Kirkpatrick, Brow, &amp; Turner, 1991)", "manualFormatting" : "(Bunker, et al., 1991)", "plainTextFormattedCitation" : "(Bunker, Kirkpatrick, Brow, &amp; Turner, 1991)", "previouslyFormattedCitation" : "(Bunker, Kirkpatrick, Brow, &amp; Turner, 1991)" }, "properties" : { "noteIndex" : 0 }, "schema" : "https://github.com/citation-style-language/schema/raw/master/csl-citation.json" }</w:instrText>
      </w:r>
      <w:r w:rsidR="0064576E" w:rsidRPr="000112FE">
        <w:rPr>
          <w:rFonts w:asciiTheme="majorBidi" w:hAnsiTheme="majorBidi" w:cstheme="majorBidi"/>
          <w:szCs w:val="24"/>
        </w:rPr>
        <w:fldChar w:fldCharType="separate"/>
      </w:r>
      <w:r w:rsidR="00467FBB" w:rsidRPr="000112FE">
        <w:rPr>
          <w:rFonts w:asciiTheme="majorBidi" w:hAnsiTheme="majorBidi" w:cstheme="majorBidi"/>
          <w:noProof/>
          <w:szCs w:val="24"/>
        </w:rPr>
        <w:t xml:space="preserve">(Bunker </w:t>
      </w:r>
      <w:r w:rsidR="000112FE" w:rsidRPr="000112FE">
        <w:rPr>
          <w:rFonts w:asciiTheme="majorBidi" w:hAnsiTheme="majorBidi" w:cstheme="majorBidi"/>
          <w:noProof/>
          <w:szCs w:val="24"/>
        </w:rPr>
        <w:t>et al.,</w:t>
      </w:r>
      <w:r w:rsidR="00467FBB" w:rsidRPr="000112FE">
        <w:rPr>
          <w:rFonts w:asciiTheme="majorBidi" w:hAnsiTheme="majorBidi" w:cstheme="majorBidi"/>
          <w:noProof/>
          <w:szCs w:val="24"/>
        </w:rPr>
        <w:t xml:space="preserve"> 1991)</w:t>
      </w:r>
      <w:r w:rsidR="0064576E" w:rsidRPr="000112FE">
        <w:rPr>
          <w:rFonts w:asciiTheme="majorBidi" w:hAnsiTheme="majorBidi" w:cstheme="majorBidi"/>
          <w:szCs w:val="24"/>
        </w:rPr>
        <w:fldChar w:fldCharType="end"/>
      </w:r>
      <w:bookmarkEnd w:id="113"/>
      <w:r w:rsidR="0064576E" w:rsidRPr="000112FE">
        <w:rPr>
          <w:rFonts w:asciiTheme="majorBidi" w:hAnsiTheme="majorBidi" w:cstheme="majorBidi"/>
          <w:szCs w:val="24"/>
        </w:rPr>
        <w:t>.</w:t>
      </w:r>
      <w:bookmarkEnd w:id="114"/>
      <w:bookmarkEnd w:id="115"/>
      <w:bookmarkEnd w:id="116"/>
      <w:bookmarkEnd w:id="117"/>
    </w:p>
    <w:p w14:paraId="62E520D4" w14:textId="272ED236" w:rsidR="009A7CBF" w:rsidRPr="000112FE" w:rsidRDefault="008F1248" w:rsidP="009A7CBF">
      <w:pPr>
        <w:pStyle w:val="Caption"/>
        <w:spacing w:line="360" w:lineRule="auto"/>
        <w:jc w:val="both"/>
        <w:rPr>
          <w:rFonts w:asciiTheme="majorBidi" w:hAnsiTheme="majorBidi" w:cstheme="majorBidi"/>
          <w:szCs w:val="24"/>
        </w:rPr>
      </w:pPr>
      <w:r w:rsidRPr="000E2377">
        <w:rPr>
          <w:rFonts w:asciiTheme="majorBidi" w:hAnsiTheme="majorBidi" w:cstheme="majorBidi"/>
          <w:b w:val="0"/>
          <w:szCs w:val="24"/>
        </w:rPr>
        <w:t>However</w:t>
      </w:r>
      <w:r w:rsidR="00BA4B0C">
        <w:rPr>
          <w:rFonts w:asciiTheme="majorBidi" w:hAnsiTheme="majorBidi" w:cstheme="majorBidi"/>
          <w:b w:val="0"/>
          <w:szCs w:val="24"/>
        </w:rPr>
        <w:t>,</w:t>
      </w:r>
      <w:r w:rsidR="00683011">
        <w:rPr>
          <w:rFonts w:asciiTheme="majorBidi" w:hAnsiTheme="majorBidi" w:cstheme="majorBidi"/>
          <w:b w:val="0"/>
          <w:szCs w:val="24"/>
        </w:rPr>
        <w:t xml:space="preserve"> </w:t>
      </w:r>
      <w:r w:rsidR="00BA4B0C">
        <w:rPr>
          <w:rFonts w:asciiTheme="majorBidi" w:hAnsiTheme="majorBidi" w:cstheme="majorBidi"/>
          <w:b w:val="0"/>
          <w:szCs w:val="24"/>
        </w:rPr>
        <w:t>N</w:t>
      </w:r>
      <w:r w:rsidR="00BA4B0C" w:rsidRPr="00BA4B0C">
        <w:rPr>
          <w:rFonts w:asciiTheme="majorBidi" w:hAnsiTheme="majorBidi" w:cstheme="majorBidi"/>
          <w:b w:val="0"/>
          <w:szCs w:val="24"/>
          <w:vertAlign w:val="subscript"/>
        </w:rPr>
        <w:t>4</w:t>
      </w:r>
      <w:r w:rsidR="00BA4B0C">
        <w:rPr>
          <w:rFonts w:asciiTheme="majorBidi" w:hAnsiTheme="majorBidi" w:cstheme="majorBidi"/>
          <w:b w:val="0"/>
          <w:szCs w:val="24"/>
        </w:rPr>
        <w:t xml:space="preserve"> did</w:t>
      </w:r>
      <w:r w:rsidRPr="000E2377">
        <w:rPr>
          <w:rFonts w:asciiTheme="majorBidi" w:hAnsiTheme="majorBidi" w:cstheme="majorBidi"/>
          <w:b w:val="0"/>
          <w:szCs w:val="24"/>
        </w:rPr>
        <w:t xml:space="preserve"> </w:t>
      </w:r>
      <w:r w:rsidR="00BA4B0C" w:rsidRPr="00BA4B0C">
        <w:rPr>
          <w:rFonts w:asciiTheme="majorBidi" w:hAnsiTheme="majorBidi" w:cstheme="majorBidi"/>
          <w:b w:val="0"/>
          <w:szCs w:val="24"/>
        </w:rPr>
        <w:t xml:space="preserve">not change appreciably </w:t>
      </w:r>
      <w:r w:rsidR="00785B40">
        <w:rPr>
          <w:rFonts w:asciiTheme="majorBidi" w:hAnsiTheme="majorBidi" w:cstheme="majorBidi"/>
          <w:b w:val="0"/>
          <w:szCs w:val="24"/>
        </w:rPr>
        <w:t xml:space="preserve">between </w:t>
      </w:r>
      <w:proofErr w:type="spellStart"/>
      <w:r w:rsidR="00785B40">
        <w:rPr>
          <w:rFonts w:asciiTheme="majorBidi" w:hAnsiTheme="majorBidi" w:cstheme="majorBidi"/>
          <w:b w:val="0"/>
          <w:szCs w:val="24"/>
        </w:rPr>
        <w:t>CaO</w:t>
      </w:r>
      <w:proofErr w:type="spellEnd"/>
      <w:r w:rsidR="00785B40">
        <w:rPr>
          <w:rFonts w:asciiTheme="majorBidi" w:hAnsiTheme="majorBidi" w:cstheme="majorBidi"/>
          <w:b w:val="0"/>
          <w:szCs w:val="24"/>
        </w:rPr>
        <w:t xml:space="preserve"> and </w:t>
      </w:r>
      <w:proofErr w:type="spellStart"/>
      <w:r w:rsidR="00785B40">
        <w:rPr>
          <w:rFonts w:asciiTheme="majorBidi" w:hAnsiTheme="majorBidi" w:cstheme="majorBidi"/>
          <w:b w:val="0"/>
          <w:szCs w:val="24"/>
        </w:rPr>
        <w:t>BaO</w:t>
      </w:r>
      <w:proofErr w:type="spellEnd"/>
      <w:r w:rsidR="008B4759">
        <w:rPr>
          <w:rFonts w:asciiTheme="majorBidi" w:hAnsiTheme="majorBidi" w:cstheme="majorBidi"/>
          <w:b w:val="0"/>
          <w:szCs w:val="24"/>
        </w:rPr>
        <w:t>, although t</w:t>
      </w:r>
      <w:r w:rsidR="00506FB4">
        <w:rPr>
          <w:rFonts w:asciiTheme="majorBidi" w:hAnsiTheme="majorBidi" w:cstheme="majorBidi"/>
          <w:b w:val="0"/>
          <w:szCs w:val="24"/>
        </w:rPr>
        <w:t>he atomic fractions of N</w:t>
      </w:r>
      <w:r w:rsidR="00506FB4" w:rsidRPr="002E450A">
        <w:rPr>
          <w:rFonts w:asciiTheme="majorBidi" w:hAnsiTheme="majorBidi" w:cstheme="majorBidi"/>
          <w:b w:val="0"/>
          <w:szCs w:val="24"/>
          <w:vertAlign w:val="subscript"/>
        </w:rPr>
        <w:t>4</w:t>
      </w:r>
      <w:r w:rsidR="00506FB4">
        <w:rPr>
          <w:rFonts w:asciiTheme="majorBidi" w:hAnsiTheme="majorBidi" w:cstheme="majorBidi"/>
          <w:b w:val="0"/>
          <w:szCs w:val="24"/>
        </w:rPr>
        <w:t xml:space="preserve"> in Figure 2.6 </w:t>
      </w:r>
      <w:r w:rsidR="008B4759">
        <w:rPr>
          <w:rFonts w:asciiTheme="majorBidi" w:hAnsiTheme="majorBidi" w:cstheme="majorBidi"/>
          <w:b w:val="0"/>
          <w:szCs w:val="24"/>
        </w:rPr>
        <w:t xml:space="preserve">vary </w:t>
      </w:r>
      <w:r w:rsidR="00506FB4">
        <w:rPr>
          <w:rFonts w:asciiTheme="majorBidi" w:hAnsiTheme="majorBidi" w:cstheme="majorBidi"/>
          <w:b w:val="0"/>
          <w:szCs w:val="24"/>
        </w:rPr>
        <w:t>from 0.0</w:t>
      </w:r>
      <w:r w:rsidR="000C7719">
        <w:rPr>
          <w:rFonts w:asciiTheme="majorBidi" w:hAnsiTheme="majorBidi" w:cstheme="majorBidi"/>
          <w:b w:val="0"/>
          <w:szCs w:val="24"/>
        </w:rPr>
        <w:t>6</w:t>
      </w:r>
      <w:r w:rsidR="00506FB4">
        <w:rPr>
          <w:rFonts w:asciiTheme="majorBidi" w:hAnsiTheme="majorBidi" w:cstheme="majorBidi"/>
          <w:b w:val="0"/>
          <w:szCs w:val="24"/>
        </w:rPr>
        <w:t xml:space="preserve"> to </w:t>
      </w:r>
      <w:r w:rsidR="000C7719">
        <w:rPr>
          <w:rFonts w:asciiTheme="majorBidi" w:hAnsiTheme="majorBidi" w:cstheme="majorBidi"/>
          <w:b w:val="0"/>
          <w:szCs w:val="24"/>
        </w:rPr>
        <w:t xml:space="preserve">0.39. </w:t>
      </w:r>
      <w:r w:rsidR="00933E76">
        <w:rPr>
          <w:rFonts w:asciiTheme="majorBidi" w:hAnsiTheme="majorBidi" w:cstheme="majorBidi"/>
          <w:b w:val="0"/>
          <w:szCs w:val="24"/>
        </w:rPr>
        <w:t xml:space="preserve">Network </w:t>
      </w:r>
      <w:r w:rsidR="002E450A">
        <w:rPr>
          <w:rFonts w:asciiTheme="majorBidi" w:hAnsiTheme="majorBidi" w:cstheme="majorBidi"/>
          <w:b w:val="0"/>
          <w:szCs w:val="24"/>
        </w:rPr>
        <w:t>modifier</w:t>
      </w:r>
      <w:r w:rsidR="00933E76">
        <w:rPr>
          <w:rFonts w:asciiTheme="majorBidi" w:hAnsiTheme="majorBidi" w:cstheme="majorBidi"/>
          <w:b w:val="0"/>
          <w:szCs w:val="24"/>
        </w:rPr>
        <w:t>s</w:t>
      </w:r>
      <w:r w:rsidR="002E450A">
        <w:rPr>
          <w:rFonts w:asciiTheme="majorBidi" w:hAnsiTheme="majorBidi" w:cstheme="majorBidi"/>
          <w:b w:val="0"/>
          <w:szCs w:val="24"/>
        </w:rPr>
        <w:t xml:space="preserve"> are </w:t>
      </w:r>
      <w:r w:rsidR="00933E76">
        <w:rPr>
          <w:rFonts w:asciiTheme="majorBidi" w:hAnsiTheme="majorBidi" w:cstheme="majorBidi"/>
          <w:b w:val="0"/>
          <w:szCs w:val="24"/>
        </w:rPr>
        <w:t xml:space="preserve">required to charge </w:t>
      </w:r>
      <w:r w:rsidR="002E450A">
        <w:rPr>
          <w:rFonts w:asciiTheme="majorBidi" w:hAnsiTheme="majorBidi" w:cstheme="majorBidi"/>
          <w:b w:val="0"/>
          <w:szCs w:val="24"/>
        </w:rPr>
        <w:t xml:space="preserve">compensate </w:t>
      </w:r>
      <w:r w:rsidR="00933E76">
        <w:rPr>
          <w:rFonts w:asciiTheme="majorBidi" w:hAnsiTheme="majorBidi" w:cstheme="majorBidi"/>
          <w:b w:val="0"/>
          <w:szCs w:val="24"/>
        </w:rPr>
        <w:t xml:space="preserve">both </w:t>
      </w:r>
      <w:r w:rsidR="002E450A">
        <w:rPr>
          <w:rFonts w:asciiTheme="majorBidi" w:hAnsiTheme="majorBidi" w:cstheme="majorBidi"/>
          <w:b w:val="0"/>
          <w:szCs w:val="24"/>
        </w:rPr>
        <w:t xml:space="preserve">Al and B to produce </w:t>
      </w:r>
      <w:proofErr w:type="spellStart"/>
      <w:r w:rsidR="002E450A">
        <w:rPr>
          <w:rFonts w:asciiTheme="majorBidi" w:hAnsiTheme="majorBidi" w:cstheme="majorBidi"/>
          <w:b w:val="0"/>
          <w:szCs w:val="24"/>
        </w:rPr>
        <w:t>Al</w:t>
      </w:r>
      <w:r w:rsidR="002E450A" w:rsidRPr="002E450A">
        <w:rPr>
          <w:rFonts w:asciiTheme="majorBidi" w:hAnsiTheme="majorBidi" w:cstheme="majorBidi"/>
          <w:b w:val="0"/>
          <w:szCs w:val="24"/>
          <w:vertAlign w:val="superscript"/>
        </w:rPr>
        <w:t>IV</w:t>
      </w:r>
      <w:proofErr w:type="spellEnd"/>
      <w:r w:rsidR="002E450A">
        <w:rPr>
          <w:rFonts w:asciiTheme="majorBidi" w:hAnsiTheme="majorBidi" w:cstheme="majorBidi"/>
          <w:b w:val="0"/>
          <w:szCs w:val="24"/>
        </w:rPr>
        <w:t xml:space="preserve"> And B</w:t>
      </w:r>
      <w:r w:rsidR="002E450A" w:rsidRPr="002E450A">
        <w:rPr>
          <w:rFonts w:asciiTheme="majorBidi" w:hAnsiTheme="majorBidi" w:cstheme="majorBidi"/>
          <w:b w:val="0"/>
          <w:szCs w:val="24"/>
          <w:vertAlign w:val="superscript"/>
        </w:rPr>
        <w:t>IV</w:t>
      </w:r>
      <w:r w:rsidR="002E450A">
        <w:rPr>
          <w:rFonts w:asciiTheme="majorBidi" w:hAnsiTheme="majorBidi" w:cstheme="majorBidi"/>
          <w:b w:val="0"/>
          <w:szCs w:val="24"/>
        </w:rPr>
        <w:t xml:space="preserve"> in the </w:t>
      </w:r>
      <w:r w:rsidR="00933E76">
        <w:rPr>
          <w:rFonts w:asciiTheme="majorBidi" w:hAnsiTheme="majorBidi" w:cstheme="majorBidi"/>
          <w:b w:val="0"/>
          <w:szCs w:val="24"/>
        </w:rPr>
        <w:t>final glasses</w:t>
      </w:r>
      <w:r w:rsidR="002E450A">
        <w:rPr>
          <w:rFonts w:asciiTheme="majorBidi" w:hAnsiTheme="majorBidi" w:cstheme="majorBidi"/>
          <w:b w:val="0"/>
          <w:szCs w:val="24"/>
        </w:rPr>
        <w:t>.</w:t>
      </w:r>
      <w:r w:rsidR="000C7719">
        <w:rPr>
          <w:rFonts w:asciiTheme="majorBidi" w:hAnsiTheme="majorBidi" w:cstheme="majorBidi"/>
          <w:b w:val="0"/>
          <w:szCs w:val="24"/>
        </w:rPr>
        <w:t xml:space="preserve"> </w:t>
      </w:r>
      <w:r w:rsidR="00933E76">
        <w:rPr>
          <w:rFonts w:asciiTheme="majorBidi" w:hAnsiTheme="majorBidi" w:cstheme="majorBidi"/>
          <w:b w:val="0"/>
          <w:szCs w:val="24"/>
        </w:rPr>
        <w:t xml:space="preserve">The </w:t>
      </w:r>
      <w:r w:rsidR="002E450A" w:rsidRPr="002E450A">
        <w:rPr>
          <w:rFonts w:asciiTheme="majorBidi" w:hAnsiTheme="majorBidi" w:cstheme="majorBidi"/>
          <w:b w:val="0"/>
          <w:szCs w:val="24"/>
        </w:rPr>
        <w:t>Al/B ratio</w:t>
      </w:r>
      <w:r w:rsidR="002E450A">
        <w:rPr>
          <w:rFonts w:asciiTheme="majorBidi" w:hAnsiTheme="majorBidi" w:cstheme="majorBidi"/>
          <w:b w:val="0"/>
          <w:szCs w:val="24"/>
        </w:rPr>
        <w:t xml:space="preserve"> </w:t>
      </w:r>
      <w:r w:rsidR="00933E76">
        <w:rPr>
          <w:rFonts w:asciiTheme="majorBidi" w:hAnsiTheme="majorBidi" w:cstheme="majorBidi"/>
          <w:b w:val="0"/>
          <w:szCs w:val="24"/>
        </w:rPr>
        <w:t xml:space="preserve">is </w:t>
      </w:r>
      <w:r w:rsidR="002E450A">
        <w:rPr>
          <w:rFonts w:asciiTheme="majorBidi" w:hAnsiTheme="majorBidi" w:cstheme="majorBidi"/>
          <w:b w:val="0"/>
          <w:szCs w:val="24"/>
        </w:rPr>
        <w:t xml:space="preserve">sensitive </w:t>
      </w:r>
      <w:r w:rsidR="002E450A" w:rsidRPr="002E450A">
        <w:rPr>
          <w:rFonts w:asciiTheme="majorBidi" w:hAnsiTheme="majorBidi" w:cstheme="majorBidi"/>
          <w:b w:val="0"/>
          <w:szCs w:val="24"/>
        </w:rPr>
        <w:t xml:space="preserve">primarily because </w:t>
      </w:r>
      <w:r w:rsidR="002E450A">
        <w:rPr>
          <w:rFonts w:asciiTheme="majorBidi" w:hAnsiTheme="majorBidi" w:cstheme="majorBidi"/>
          <w:b w:val="0"/>
          <w:szCs w:val="24"/>
        </w:rPr>
        <w:t xml:space="preserve">when </w:t>
      </w:r>
      <w:r w:rsidR="00933E76">
        <w:rPr>
          <w:rFonts w:asciiTheme="majorBidi" w:hAnsiTheme="majorBidi" w:cstheme="majorBidi"/>
          <w:b w:val="0"/>
          <w:szCs w:val="24"/>
        </w:rPr>
        <w:t xml:space="preserve">the </w:t>
      </w:r>
      <w:r w:rsidR="002E450A">
        <w:rPr>
          <w:rFonts w:asciiTheme="majorBidi" w:hAnsiTheme="majorBidi" w:cstheme="majorBidi"/>
          <w:b w:val="0"/>
          <w:szCs w:val="24"/>
        </w:rPr>
        <w:t>amo</w:t>
      </w:r>
      <w:r w:rsidR="004C58EC">
        <w:rPr>
          <w:rFonts w:asciiTheme="majorBidi" w:hAnsiTheme="majorBidi" w:cstheme="majorBidi"/>
          <w:b w:val="0"/>
          <w:szCs w:val="24"/>
        </w:rPr>
        <w:t xml:space="preserve">unt of Al in </w:t>
      </w:r>
      <w:r w:rsidR="00933E76">
        <w:rPr>
          <w:rFonts w:asciiTheme="majorBidi" w:hAnsiTheme="majorBidi" w:cstheme="majorBidi"/>
          <w:b w:val="0"/>
          <w:szCs w:val="24"/>
        </w:rPr>
        <w:t xml:space="preserve">the </w:t>
      </w:r>
      <w:r w:rsidR="004C58EC">
        <w:rPr>
          <w:rFonts w:asciiTheme="majorBidi" w:hAnsiTheme="majorBidi" w:cstheme="majorBidi"/>
          <w:b w:val="0"/>
          <w:szCs w:val="24"/>
        </w:rPr>
        <w:t>composition increase</w:t>
      </w:r>
      <w:r w:rsidR="00933E76">
        <w:rPr>
          <w:rFonts w:asciiTheme="majorBidi" w:hAnsiTheme="majorBidi" w:cstheme="majorBidi"/>
          <w:b w:val="0"/>
          <w:szCs w:val="24"/>
        </w:rPr>
        <w:t>s</w:t>
      </w:r>
      <w:r w:rsidR="004C58EC">
        <w:rPr>
          <w:rFonts w:asciiTheme="majorBidi" w:hAnsiTheme="majorBidi" w:cstheme="majorBidi"/>
          <w:b w:val="0"/>
          <w:szCs w:val="24"/>
        </w:rPr>
        <w:t>, more B</w:t>
      </w:r>
      <w:r w:rsidR="004C58EC" w:rsidRPr="004B1A16">
        <w:rPr>
          <w:rFonts w:asciiTheme="majorBidi" w:hAnsiTheme="majorBidi" w:cstheme="majorBidi"/>
          <w:b w:val="0"/>
          <w:szCs w:val="24"/>
          <w:vertAlign w:val="superscript"/>
        </w:rPr>
        <w:t xml:space="preserve">III </w:t>
      </w:r>
      <w:r w:rsidR="00933E76">
        <w:rPr>
          <w:rFonts w:asciiTheme="majorBidi" w:hAnsiTheme="majorBidi" w:cstheme="majorBidi"/>
          <w:b w:val="0"/>
          <w:szCs w:val="24"/>
        </w:rPr>
        <w:t>is required to</w:t>
      </w:r>
      <w:r w:rsidR="004C58EC">
        <w:rPr>
          <w:rFonts w:asciiTheme="majorBidi" w:hAnsiTheme="majorBidi" w:cstheme="majorBidi"/>
          <w:b w:val="0"/>
          <w:szCs w:val="24"/>
        </w:rPr>
        <w:t xml:space="preserve"> </w:t>
      </w:r>
      <w:r w:rsidR="00933E76">
        <w:rPr>
          <w:rFonts w:asciiTheme="majorBidi" w:hAnsiTheme="majorBidi" w:cstheme="majorBidi"/>
          <w:b w:val="0"/>
          <w:szCs w:val="24"/>
        </w:rPr>
        <w:t>en</w:t>
      </w:r>
      <w:r w:rsidR="004C58EC">
        <w:rPr>
          <w:rFonts w:asciiTheme="majorBidi" w:hAnsiTheme="majorBidi" w:cstheme="majorBidi"/>
          <w:b w:val="0"/>
          <w:szCs w:val="24"/>
        </w:rPr>
        <w:t xml:space="preserve">sure </w:t>
      </w:r>
      <w:r w:rsidR="00933E76">
        <w:rPr>
          <w:rFonts w:asciiTheme="majorBidi" w:hAnsiTheme="majorBidi" w:cstheme="majorBidi"/>
          <w:b w:val="0"/>
          <w:szCs w:val="24"/>
        </w:rPr>
        <w:t xml:space="preserve">a stable </w:t>
      </w:r>
      <w:r w:rsidR="004C58EC">
        <w:rPr>
          <w:rFonts w:asciiTheme="majorBidi" w:hAnsiTheme="majorBidi" w:cstheme="majorBidi"/>
          <w:b w:val="0"/>
          <w:szCs w:val="24"/>
        </w:rPr>
        <w:t>distribution of oxygens and thus N</w:t>
      </w:r>
      <w:r w:rsidR="004C58EC" w:rsidRPr="004B1A16">
        <w:rPr>
          <w:rFonts w:asciiTheme="majorBidi" w:hAnsiTheme="majorBidi" w:cstheme="majorBidi"/>
          <w:b w:val="0"/>
          <w:szCs w:val="24"/>
          <w:vertAlign w:val="subscript"/>
        </w:rPr>
        <w:t>4</w:t>
      </w:r>
      <w:r w:rsidR="004C58EC">
        <w:rPr>
          <w:rFonts w:asciiTheme="majorBidi" w:hAnsiTheme="majorBidi" w:cstheme="majorBidi"/>
          <w:b w:val="0"/>
          <w:szCs w:val="24"/>
        </w:rPr>
        <w:t xml:space="preserve"> is predicted to decrease with increasing Al content</w:t>
      </w:r>
      <w:r w:rsidR="009A7CBF">
        <w:rPr>
          <w:rFonts w:asciiTheme="majorBidi" w:hAnsiTheme="majorBidi" w:cstheme="majorBidi"/>
          <w:b w:val="0"/>
          <w:szCs w:val="24"/>
        </w:rPr>
        <w:t xml:space="preserve"> </w:t>
      </w:r>
      <w:r w:rsidR="009A7CBF" w:rsidRPr="009A7CBF">
        <w:rPr>
          <w:rFonts w:asciiTheme="majorBidi" w:hAnsiTheme="majorBidi" w:cstheme="majorBidi"/>
          <w:b w:val="0"/>
          <w:szCs w:val="24"/>
        </w:rPr>
        <w:fldChar w:fldCharType="begin" w:fldLock="1"/>
      </w:r>
      <w:r w:rsidR="00860155">
        <w:rPr>
          <w:rFonts w:asciiTheme="majorBidi" w:hAnsiTheme="majorBidi" w:cstheme="majorBidi"/>
          <w:b w:val="0"/>
          <w:szCs w:val="24"/>
        </w:rPr>
        <w:instrText>ADDIN CSL_CITATION { "citationItems" : [ { "id" : "ITEM-1", "itemData" : { "author" : [ { "dropping-particle" : "", "family" : "Bunker", "given" : "Bruce C", "non-dropping-particle" : "", "parse-names" : false, "suffix" : "" }, { "dropping-particle" : "", "family" : "Kirkpatrick", "given" : "R James", "non-dropping-particle" : "", "parse-names" : false, "suffix" : "" }, { "dropping-particle" : "", "family" : "Brow", "given" : "Richard K", "non-dropping-particle" : "", "parse-names" : false, "suffix" : "" }, { "dropping-particle" : "", "family" : "Turner", "given" : "Gary L", "non-dropping-particle" : "", "parse-names" : false, "suffix" : "" } ], "container-title" : "Journal of the American Ceramic Society", "id" : "ITEM-1", "issue" : "I", "issued" : { "date-parts" : [ [ "1991" ] ] }, "page" : "1430-1438", "title" : "Local structure of alkaline-earth boroaluminate crystals and glasses: II, B and Al MAS NMR spectroscopy of alkaline-earth boroaluminate glasses", "type" : "article-journal", "volume" : "1430" }, "uris" : [ "http://www.mendeley.com/documents/?uuid=dd0ada0c-21b0-43e4-8cd9-19aa1fa5682d" ] } ], "mendeley" : { "formattedCitation" : "(Bunker et al., 1991)", "manualFormatting" : "(Bunker, et al., 1991)", "plainTextFormattedCitation" : "(Bunker et al., 1991)", "previouslyFormattedCitation" : "(Bunker et al., 1991)" }, "properties" : { "noteIndex" : 0 }, "schema" : "https://github.com/citation-style-language/schema/raw/master/csl-citation.json" }</w:instrText>
      </w:r>
      <w:r w:rsidR="009A7CBF" w:rsidRPr="009A7CBF">
        <w:rPr>
          <w:rFonts w:asciiTheme="majorBidi" w:hAnsiTheme="majorBidi" w:cstheme="majorBidi"/>
          <w:b w:val="0"/>
          <w:szCs w:val="24"/>
        </w:rPr>
        <w:fldChar w:fldCharType="separate"/>
      </w:r>
      <w:r w:rsidR="009A7CBF" w:rsidRPr="009A7CBF">
        <w:rPr>
          <w:rFonts w:asciiTheme="majorBidi" w:hAnsiTheme="majorBidi" w:cstheme="majorBidi"/>
          <w:b w:val="0"/>
          <w:noProof/>
          <w:szCs w:val="24"/>
        </w:rPr>
        <w:t>(Bunker et al., 1991)</w:t>
      </w:r>
      <w:r w:rsidR="009A7CBF" w:rsidRPr="009A7CBF">
        <w:rPr>
          <w:rFonts w:asciiTheme="majorBidi" w:hAnsiTheme="majorBidi" w:cstheme="majorBidi"/>
          <w:b w:val="0"/>
          <w:szCs w:val="24"/>
        </w:rPr>
        <w:fldChar w:fldCharType="end"/>
      </w:r>
      <w:r w:rsidR="009A7CBF" w:rsidRPr="009A7CBF">
        <w:rPr>
          <w:rFonts w:asciiTheme="majorBidi" w:hAnsiTheme="majorBidi" w:cstheme="majorBidi"/>
          <w:b w:val="0"/>
          <w:szCs w:val="24"/>
        </w:rPr>
        <w:t>.</w:t>
      </w:r>
    </w:p>
    <w:p w14:paraId="72B45C55" w14:textId="17201F0C" w:rsidR="0064576E" w:rsidRPr="000E2377" w:rsidRDefault="0064576E" w:rsidP="0064576E">
      <w:pPr>
        <w:keepNext/>
        <w:keepLines/>
        <w:spacing w:before="40" w:after="0" w:line="360" w:lineRule="auto"/>
        <w:jc w:val="both"/>
        <w:outlineLvl w:val="2"/>
        <w:rPr>
          <w:rFonts w:eastAsiaTheme="majorEastAsia" w:cstheme="majorBidi"/>
          <w:color w:val="000000" w:themeColor="text1"/>
          <w:szCs w:val="24"/>
        </w:rPr>
      </w:pPr>
      <w:bookmarkStart w:id="118" w:name="_Toc515398711"/>
      <w:bookmarkStart w:id="119" w:name="_Toc523402874"/>
      <w:bookmarkStart w:id="120" w:name="_Toc525526385"/>
      <w:bookmarkStart w:id="121" w:name="_Toc525707802"/>
      <w:bookmarkStart w:id="122" w:name="_Toc525742466"/>
      <w:bookmarkStart w:id="123" w:name="_Toc12994943"/>
      <w:r w:rsidRPr="000E2377">
        <w:rPr>
          <w:rFonts w:eastAsiaTheme="majorEastAsia" w:cstheme="majorBidi"/>
          <w:color w:val="000000" w:themeColor="text1"/>
          <w:szCs w:val="24"/>
        </w:rPr>
        <w:t>2.7 Mixed alkali and alkaline earth effect</w:t>
      </w:r>
      <w:bookmarkEnd w:id="118"/>
      <w:bookmarkEnd w:id="119"/>
      <w:bookmarkEnd w:id="120"/>
      <w:bookmarkEnd w:id="121"/>
      <w:bookmarkEnd w:id="122"/>
      <w:bookmarkEnd w:id="123"/>
      <w:r w:rsidRPr="000E2377">
        <w:rPr>
          <w:rFonts w:eastAsiaTheme="majorEastAsia" w:cstheme="majorBidi"/>
          <w:color w:val="000000" w:themeColor="text1"/>
          <w:szCs w:val="24"/>
        </w:rPr>
        <w:t xml:space="preserve">       </w:t>
      </w:r>
    </w:p>
    <w:p w14:paraId="0C4725B7" w14:textId="77777777" w:rsidR="0064576E" w:rsidRPr="000E2377" w:rsidRDefault="0064576E" w:rsidP="0064576E">
      <w:pPr>
        <w:spacing w:after="0" w:line="240" w:lineRule="auto"/>
        <w:rPr>
          <w:rFonts w:cs="Times New Roman"/>
          <w:szCs w:val="24"/>
        </w:rPr>
      </w:pPr>
    </w:p>
    <w:p w14:paraId="7B093D23" w14:textId="4A432B92" w:rsidR="00183104" w:rsidRDefault="001E246C" w:rsidP="00C151C3">
      <w:pPr>
        <w:spacing w:after="0" w:line="360" w:lineRule="auto"/>
        <w:contextualSpacing/>
        <w:jc w:val="both"/>
        <w:rPr>
          <w:rFonts w:cs="Times New Roman"/>
          <w:b w:val="0"/>
          <w:szCs w:val="24"/>
        </w:rPr>
      </w:pPr>
      <w:r>
        <w:rPr>
          <w:b w:val="0"/>
        </w:rPr>
        <w:t>As noted above</w:t>
      </w:r>
      <w:r w:rsidR="00040067">
        <w:rPr>
          <w:b w:val="0"/>
        </w:rPr>
        <w:t>,</w:t>
      </w:r>
      <w:r>
        <w:rPr>
          <w:b w:val="0"/>
        </w:rPr>
        <w:t xml:space="preserve"> modifiers such as a</w:t>
      </w:r>
      <w:r w:rsidR="0064576E" w:rsidRPr="000E2377">
        <w:rPr>
          <w:b w:val="0"/>
        </w:rPr>
        <w:t>lkali or alkaline earth</w:t>
      </w:r>
      <w:r>
        <w:rPr>
          <w:b w:val="0"/>
        </w:rPr>
        <w:t xml:space="preserve"> oxide</w:t>
      </w:r>
      <w:r w:rsidR="00FD15ED" w:rsidRPr="000E2377">
        <w:rPr>
          <w:b w:val="0"/>
        </w:rPr>
        <w:t>s</w:t>
      </w:r>
      <w:r w:rsidR="0064576E" w:rsidRPr="000E2377">
        <w:rPr>
          <w:b w:val="0"/>
        </w:rPr>
        <w:t xml:space="preserve"> are used to modify the glass properties. </w:t>
      </w:r>
      <w:r w:rsidR="0064576E" w:rsidRPr="000E2377">
        <w:rPr>
          <w:rFonts w:cs="Times New Roman"/>
          <w:b w:val="0"/>
          <w:szCs w:val="24"/>
        </w:rPr>
        <w:t xml:space="preserve">Alkali and alkaline earth </w:t>
      </w:r>
      <w:r w:rsidR="00FD15ED" w:rsidRPr="000E2377">
        <w:rPr>
          <w:rFonts w:cs="Times New Roman"/>
          <w:b w:val="0"/>
          <w:szCs w:val="24"/>
        </w:rPr>
        <w:t xml:space="preserve">oxides </w:t>
      </w:r>
      <w:r w:rsidR="0064576E" w:rsidRPr="000E2377">
        <w:rPr>
          <w:rFonts w:cs="Times New Roman"/>
          <w:b w:val="0"/>
          <w:szCs w:val="24"/>
        </w:rPr>
        <w:t>give different effect</w:t>
      </w:r>
      <w:r w:rsidR="00FD15ED" w:rsidRPr="000E2377">
        <w:rPr>
          <w:rFonts w:cs="Times New Roman"/>
          <w:b w:val="0"/>
          <w:szCs w:val="24"/>
        </w:rPr>
        <w:t>s</w:t>
      </w:r>
      <w:r w:rsidR="0064576E" w:rsidRPr="000E2377">
        <w:rPr>
          <w:rFonts w:cs="Times New Roman"/>
          <w:b w:val="0"/>
          <w:szCs w:val="24"/>
        </w:rPr>
        <w:t xml:space="preserve"> when used in glass production due to their different cation field strength</w:t>
      </w:r>
      <w:r w:rsidR="00FD15ED" w:rsidRPr="000E2377">
        <w:rPr>
          <w:rFonts w:cs="Times New Roman"/>
          <w:b w:val="0"/>
          <w:szCs w:val="24"/>
        </w:rPr>
        <w:t>s and</w:t>
      </w:r>
      <w:r w:rsidR="0064576E" w:rsidRPr="000E2377">
        <w:rPr>
          <w:rFonts w:cs="Times New Roman"/>
          <w:b w:val="0"/>
          <w:szCs w:val="24"/>
        </w:rPr>
        <w:t xml:space="preserve"> ionic </w:t>
      </w:r>
      <w:r w:rsidR="00FD15ED" w:rsidRPr="000E2377">
        <w:rPr>
          <w:rFonts w:cs="Times New Roman"/>
          <w:b w:val="0"/>
          <w:szCs w:val="24"/>
        </w:rPr>
        <w:t>radii</w:t>
      </w:r>
      <w:r w:rsidR="0064576E" w:rsidRPr="000E2377">
        <w:rPr>
          <w:rFonts w:cs="Times New Roman"/>
          <w:b w:val="0"/>
          <w:szCs w:val="24"/>
        </w:rPr>
        <w:t xml:space="preserve">. </w:t>
      </w:r>
      <w:r w:rsidR="00534B7D" w:rsidRPr="000E2377">
        <w:rPr>
          <w:rFonts w:cs="Times New Roman"/>
          <w:b w:val="0"/>
          <w:szCs w:val="24"/>
        </w:rPr>
        <w:t xml:space="preserve">If mixed </w:t>
      </w:r>
      <w:r w:rsidR="0064576E" w:rsidRPr="000E2377">
        <w:rPr>
          <w:rFonts w:cs="Times New Roman"/>
          <w:b w:val="0"/>
          <w:szCs w:val="24"/>
        </w:rPr>
        <w:t>alkali</w:t>
      </w:r>
      <w:r w:rsidR="00534B7D" w:rsidRPr="000E2377">
        <w:rPr>
          <w:rFonts w:cs="Times New Roman"/>
          <w:b w:val="0"/>
          <w:szCs w:val="24"/>
        </w:rPr>
        <w:t>s</w:t>
      </w:r>
      <w:r w:rsidR="0064576E" w:rsidRPr="000E2377">
        <w:rPr>
          <w:rFonts w:cs="Times New Roman"/>
          <w:b w:val="0"/>
          <w:szCs w:val="24"/>
        </w:rPr>
        <w:t xml:space="preserve">, K, Cs, Li and Na, </w:t>
      </w:r>
      <w:r w:rsidR="00534B7D" w:rsidRPr="000E2377">
        <w:rPr>
          <w:rFonts w:cs="Times New Roman"/>
          <w:b w:val="0"/>
          <w:szCs w:val="24"/>
        </w:rPr>
        <w:t xml:space="preserve">are present </w:t>
      </w:r>
      <w:r w:rsidR="0064576E" w:rsidRPr="000E2377">
        <w:rPr>
          <w:rFonts w:cs="Times New Roman"/>
          <w:b w:val="0"/>
          <w:szCs w:val="24"/>
        </w:rPr>
        <w:t>in</w:t>
      </w:r>
      <w:r w:rsidR="00534B7D" w:rsidRPr="000E2377">
        <w:rPr>
          <w:rFonts w:cs="Times New Roman"/>
          <w:b w:val="0"/>
          <w:szCs w:val="24"/>
        </w:rPr>
        <w:t xml:space="preserve"> the</w:t>
      </w:r>
      <w:r w:rsidR="0064576E" w:rsidRPr="000E2377">
        <w:rPr>
          <w:rFonts w:cs="Times New Roman"/>
          <w:b w:val="0"/>
          <w:szCs w:val="24"/>
        </w:rPr>
        <w:t xml:space="preserve"> same composition</w:t>
      </w:r>
      <w:r w:rsidR="00534B7D" w:rsidRPr="000E2377">
        <w:rPr>
          <w:rFonts w:cs="Times New Roman"/>
          <w:b w:val="0"/>
          <w:szCs w:val="24"/>
        </w:rPr>
        <w:t xml:space="preserve"> the </w:t>
      </w:r>
      <w:r w:rsidR="0064576E" w:rsidRPr="000E2377">
        <w:rPr>
          <w:rFonts w:cs="Times New Roman"/>
          <w:b w:val="0"/>
          <w:szCs w:val="24"/>
        </w:rPr>
        <w:t>mixed alkali effect</w:t>
      </w:r>
      <w:r w:rsidR="00534B7D" w:rsidRPr="000E2377">
        <w:rPr>
          <w:rFonts w:cs="Times New Roman"/>
          <w:b w:val="0"/>
          <w:szCs w:val="24"/>
        </w:rPr>
        <w:t xml:space="preserve">, a non-linear variation of properties </w:t>
      </w:r>
      <w:r w:rsidR="00534B7D" w:rsidRPr="000E2377">
        <w:rPr>
          <w:rFonts w:cs="Times New Roman"/>
          <w:b w:val="0"/>
          <w:szCs w:val="24"/>
        </w:rPr>
        <w:lastRenderedPageBreak/>
        <w:t>with composition,</w:t>
      </w:r>
      <w:r w:rsidR="0064576E" w:rsidRPr="000E2377">
        <w:rPr>
          <w:rFonts w:cs="Times New Roman"/>
          <w:b w:val="0"/>
          <w:szCs w:val="24"/>
        </w:rPr>
        <w:t xml:space="preserve"> will occur. </w:t>
      </w:r>
      <w:r w:rsidR="00534B7D" w:rsidRPr="000E2377">
        <w:rPr>
          <w:rFonts w:cs="Times New Roman"/>
          <w:b w:val="0"/>
          <w:szCs w:val="24"/>
        </w:rPr>
        <w:t xml:space="preserve">Typically most </w:t>
      </w:r>
      <w:r w:rsidR="00933E76">
        <w:rPr>
          <w:rFonts w:cs="Times New Roman"/>
          <w:b w:val="0"/>
          <w:szCs w:val="24"/>
        </w:rPr>
        <w:t xml:space="preserve">non-linear </w:t>
      </w:r>
      <w:r w:rsidR="00534B7D" w:rsidRPr="000E2377">
        <w:rPr>
          <w:rFonts w:cs="Times New Roman"/>
          <w:b w:val="0"/>
          <w:szCs w:val="24"/>
        </w:rPr>
        <w:t>variation</w:t>
      </w:r>
      <w:r w:rsidR="00933E76">
        <w:rPr>
          <w:rFonts w:cs="Times New Roman"/>
          <w:b w:val="0"/>
          <w:szCs w:val="24"/>
        </w:rPr>
        <w:t>s</w:t>
      </w:r>
      <w:r w:rsidR="00534B7D" w:rsidRPr="000E2377">
        <w:rPr>
          <w:rFonts w:cs="Times New Roman"/>
          <w:b w:val="0"/>
          <w:szCs w:val="24"/>
        </w:rPr>
        <w:t xml:space="preserve"> </w:t>
      </w:r>
      <w:r w:rsidR="00933E76" w:rsidRPr="000E2377">
        <w:rPr>
          <w:rFonts w:cs="Times New Roman"/>
          <w:b w:val="0"/>
          <w:szCs w:val="24"/>
        </w:rPr>
        <w:t>ha</w:t>
      </w:r>
      <w:r w:rsidR="00933E76">
        <w:rPr>
          <w:rFonts w:cs="Times New Roman"/>
          <w:b w:val="0"/>
          <w:szCs w:val="24"/>
        </w:rPr>
        <w:t>ve</w:t>
      </w:r>
      <w:r w:rsidR="00933E76" w:rsidRPr="000E2377">
        <w:rPr>
          <w:rFonts w:cs="Times New Roman"/>
          <w:b w:val="0"/>
          <w:szCs w:val="24"/>
        </w:rPr>
        <w:t xml:space="preserve"> </w:t>
      </w:r>
      <w:r w:rsidR="00534B7D" w:rsidRPr="000E2377">
        <w:rPr>
          <w:rFonts w:cs="Times New Roman"/>
          <w:b w:val="0"/>
          <w:szCs w:val="24"/>
        </w:rPr>
        <w:t>been seen in dynamic properties such as electrical conductivity. For example</w:t>
      </w:r>
      <w:r w:rsidR="00284CC3">
        <w:rPr>
          <w:rFonts w:cs="Times New Roman"/>
          <w:b w:val="0"/>
          <w:szCs w:val="24"/>
        </w:rPr>
        <w:t>,</w:t>
      </w:r>
      <w:r w:rsidR="00534B7D" w:rsidRPr="000E2377">
        <w:rPr>
          <w:rFonts w:cs="Times New Roman"/>
          <w:b w:val="0"/>
          <w:szCs w:val="24"/>
        </w:rPr>
        <w:t xml:space="preserve"> i</w:t>
      </w:r>
      <w:r w:rsidR="0064576E" w:rsidRPr="000E2377">
        <w:rPr>
          <w:rFonts w:cs="Times New Roman"/>
          <w:b w:val="0"/>
          <w:szCs w:val="24"/>
        </w:rPr>
        <w:t>n Li</w:t>
      </w:r>
      <w:r w:rsidR="0064576E" w:rsidRPr="000E2377">
        <w:rPr>
          <w:rFonts w:cs="Times New Roman"/>
          <w:b w:val="0"/>
          <w:szCs w:val="24"/>
          <w:vertAlign w:val="subscript"/>
        </w:rPr>
        <w:t>2</w:t>
      </w:r>
      <w:r w:rsidR="0064576E" w:rsidRPr="000E2377">
        <w:rPr>
          <w:rFonts w:cs="Times New Roman"/>
          <w:b w:val="0"/>
          <w:szCs w:val="24"/>
        </w:rPr>
        <w:t>O-</w:t>
      </w:r>
      <w:r w:rsidR="00534B7D" w:rsidRPr="000E2377">
        <w:rPr>
          <w:rFonts w:cs="Times New Roman"/>
          <w:b w:val="0"/>
          <w:szCs w:val="24"/>
        </w:rPr>
        <w:t>Cs</w:t>
      </w:r>
      <w:r w:rsidR="00534B7D" w:rsidRPr="000E2377">
        <w:rPr>
          <w:rFonts w:cs="Times New Roman"/>
          <w:b w:val="0"/>
          <w:szCs w:val="24"/>
          <w:vertAlign w:val="subscript"/>
        </w:rPr>
        <w:t>2</w:t>
      </w:r>
      <w:r w:rsidR="00534B7D" w:rsidRPr="000E2377">
        <w:rPr>
          <w:rFonts w:cs="Times New Roman"/>
          <w:b w:val="0"/>
          <w:szCs w:val="24"/>
        </w:rPr>
        <w:t>O</w:t>
      </w:r>
      <w:r w:rsidR="0064576E" w:rsidRPr="000E2377">
        <w:rPr>
          <w:rFonts w:cs="Times New Roman"/>
          <w:b w:val="0"/>
          <w:szCs w:val="24"/>
        </w:rPr>
        <w:t>-B</w:t>
      </w:r>
      <w:r w:rsidR="0064576E" w:rsidRPr="000E2377">
        <w:rPr>
          <w:rFonts w:cs="Times New Roman"/>
          <w:b w:val="0"/>
          <w:szCs w:val="24"/>
          <w:vertAlign w:val="subscript"/>
        </w:rPr>
        <w:t>2</w:t>
      </w:r>
      <w:r w:rsidR="0064576E" w:rsidRPr="000E2377">
        <w:rPr>
          <w:rFonts w:cs="Times New Roman"/>
          <w:b w:val="0"/>
          <w:szCs w:val="24"/>
        </w:rPr>
        <w:t>O</w:t>
      </w:r>
      <w:r w:rsidR="0064576E" w:rsidRPr="000E2377">
        <w:rPr>
          <w:rFonts w:cs="Times New Roman"/>
          <w:b w:val="0"/>
          <w:szCs w:val="24"/>
          <w:vertAlign w:val="subscript"/>
        </w:rPr>
        <w:t>3</w:t>
      </w:r>
      <w:r w:rsidR="00534B7D" w:rsidRPr="000E2377">
        <w:rPr>
          <w:rFonts w:cs="Times New Roman"/>
          <w:b w:val="0"/>
          <w:szCs w:val="24"/>
        </w:rPr>
        <w:t xml:space="preserve"> glasses</w:t>
      </w:r>
      <w:r w:rsidR="00284CC3">
        <w:rPr>
          <w:rFonts w:cs="Times New Roman"/>
          <w:b w:val="0"/>
          <w:szCs w:val="24"/>
        </w:rPr>
        <w:t>,</w:t>
      </w:r>
      <w:r w:rsidR="00534B7D" w:rsidRPr="000E2377">
        <w:rPr>
          <w:rFonts w:cs="Times New Roman"/>
          <w:b w:val="0"/>
          <w:szCs w:val="24"/>
        </w:rPr>
        <w:t xml:space="preserve"> </w:t>
      </w:r>
      <w:r w:rsidR="0064576E" w:rsidRPr="000E2377">
        <w:rPr>
          <w:rFonts w:cs="Times New Roman"/>
          <w:b w:val="0"/>
          <w:szCs w:val="24"/>
        </w:rPr>
        <w:t xml:space="preserve">the </w:t>
      </w:r>
      <w:r w:rsidR="00124441">
        <w:rPr>
          <w:rFonts w:cs="Times New Roman"/>
          <w:b w:val="0"/>
          <w:szCs w:val="24"/>
        </w:rPr>
        <w:t xml:space="preserve">partial </w:t>
      </w:r>
      <w:r w:rsidR="0064576E" w:rsidRPr="000E2377">
        <w:rPr>
          <w:rFonts w:cs="Times New Roman"/>
          <w:b w:val="0"/>
          <w:szCs w:val="24"/>
        </w:rPr>
        <w:t>replace</w:t>
      </w:r>
      <w:r w:rsidR="008846A4" w:rsidRPr="000E2377">
        <w:rPr>
          <w:rFonts w:cs="Times New Roman"/>
          <w:b w:val="0"/>
          <w:szCs w:val="24"/>
        </w:rPr>
        <w:t>ment</w:t>
      </w:r>
      <w:r w:rsidR="0064576E" w:rsidRPr="000E2377">
        <w:rPr>
          <w:rFonts w:cs="Times New Roman"/>
          <w:b w:val="0"/>
          <w:szCs w:val="24"/>
        </w:rPr>
        <w:t xml:space="preserve"> of Li</w:t>
      </w:r>
      <w:r w:rsidR="0064576E" w:rsidRPr="000E2377">
        <w:rPr>
          <w:rFonts w:cs="Times New Roman"/>
          <w:b w:val="0"/>
          <w:szCs w:val="24"/>
          <w:vertAlign w:val="subscript"/>
        </w:rPr>
        <w:t>2</w:t>
      </w:r>
      <w:r w:rsidR="0064576E" w:rsidRPr="000E2377">
        <w:rPr>
          <w:rFonts w:cs="Times New Roman"/>
          <w:b w:val="0"/>
          <w:szCs w:val="24"/>
        </w:rPr>
        <w:t xml:space="preserve">O with </w:t>
      </w:r>
      <w:r w:rsidR="008846A4" w:rsidRPr="000E2377">
        <w:rPr>
          <w:rFonts w:cs="Times New Roman"/>
          <w:b w:val="0"/>
          <w:szCs w:val="24"/>
        </w:rPr>
        <w:t>Cs</w:t>
      </w:r>
      <w:r w:rsidR="008846A4" w:rsidRPr="000E2377">
        <w:rPr>
          <w:rFonts w:cs="Times New Roman"/>
          <w:b w:val="0"/>
          <w:szCs w:val="24"/>
          <w:vertAlign w:val="subscript"/>
        </w:rPr>
        <w:t>2</w:t>
      </w:r>
      <w:r w:rsidR="008846A4" w:rsidRPr="000E2377">
        <w:rPr>
          <w:rFonts w:cs="Times New Roman"/>
          <w:b w:val="0"/>
          <w:szCs w:val="24"/>
        </w:rPr>
        <w:t xml:space="preserve">O </w:t>
      </w:r>
      <w:r w:rsidR="00124441">
        <w:rPr>
          <w:rFonts w:cs="Times New Roman"/>
          <w:b w:val="0"/>
          <w:szCs w:val="24"/>
        </w:rPr>
        <w:t>results in</w:t>
      </w:r>
      <w:r w:rsidR="0064576E" w:rsidRPr="000E2377">
        <w:rPr>
          <w:rFonts w:cs="Times New Roman"/>
          <w:b w:val="0"/>
          <w:szCs w:val="24"/>
        </w:rPr>
        <w:t xml:space="preserve"> </w:t>
      </w:r>
      <w:r w:rsidR="00204D45" w:rsidRPr="000E2377">
        <w:rPr>
          <w:rFonts w:cs="Times New Roman"/>
          <w:b w:val="0"/>
          <w:szCs w:val="24"/>
        </w:rPr>
        <w:t>reduced</w:t>
      </w:r>
      <w:r w:rsidR="0064576E" w:rsidRPr="000E2377">
        <w:rPr>
          <w:rFonts w:cs="Times New Roman"/>
          <w:b w:val="0"/>
          <w:szCs w:val="24"/>
        </w:rPr>
        <w:t xml:space="preserve"> electrical connectivity because </w:t>
      </w:r>
      <w:r w:rsidR="00124441">
        <w:rPr>
          <w:rFonts w:cs="Times New Roman"/>
          <w:b w:val="0"/>
          <w:szCs w:val="24"/>
        </w:rPr>
        <w:t>the different alkalis impede the motion of each other</w:t>
      </w:r>
      <w:r w:rsidR="0064576E" w:rsidRPr="000E2377">
        <w:rPr>
          <w:rFonts w:cs="Times New Roman"/>
          <w:b w:val="0"/>
          <w:szCs w:val="24"/>
        </w:rPr>
        <w:t xml:space="preserve"> </w:t>
      </w:r>
      <w:r w:rsidR="0064576E" w:rsidRPr="000E2377">
        <w:rPr>
          <w:rFonts w:cs="Times New Roman"/>
          <w:b w:val="0"/>
          <w:szCs w:val="24"/>
        </w:rPr>
        <w:fldChar w:fldCharType="begin" w:fldLock="1"/>
      </w:r>
      <w:r w:rsidR="002A61DC" w:rsidRPr="000E2377">
        <w:rPr>
          <w:rFonts w:cs="Times New Roman"/>
          <w:b w:val="0"/>
          <w:szCs w:val="24"/>
        </w:rPr>
        <w:instrText>ADDIN CSL_CITATION { "citationItems" : [ { "id" : "ITEM-1", "itemData" : { "DOI" : "10.1016/0022-3093(93)91277-A", "ISBN" : "0022-3093", "ISSN" : "00223093", "abstract" : "Raman spectroscopic measurements in borate glasses have been reviewe. The review shows that the technique is useful in identifying the structural groups present in the borate on the basis of the Krogh-Moe hypothesis. Vitreous B2O3 and alkali borates are extensvvely studied and a satisfactory assignment of bands is possible by a careful consideration of the literature. A cation effect on the borate netwoork is observed. Availaable measurements on binary borates other than alkali borates and on ternary borates are limited and more work is required to identify the structural modifications that take place with composition. Mixed alkali effect is reported only lithium-caesium borade and shows the formation of non-bridging oxygens, destroying the six-membered rings when Li2O is replaced by Cs2O. Fast ionic glasses (alkali borates containing alkali halides) yield the same Raman spectra as the alkali borates, except when the alkali is a fluoride. ?? 1993.", "author" : [ { "dropping-particle" : "", "family" : "Meera", "given" : "B. N.", "non-dropping-particle" : "", "parse-names" : false, "suffix" : "" }, { "dropping-particle" : "", "family" : "Ramakrishna", "given" : "J.", "non-dropping-particle" : "", "parse-names" : false, "suffix" : "" } ], "container-title" : "Journal of Non-Crystalline Solids", "id" : "ITEM-1", "issue" : "1-2", "issued" : { "date-parts" : [ [ "1993" ] ] }, "page" : "1-21", "title" : "Raman spectral studies of borate glasses", "type" : "article-journal", "volume" : "159" }, "uris" : [ "http://www.mendeley.com/documents/?uuid=55114036-acb6-427d-8044-531f386c498d" ] } ], "mendeley" : { "formattedCitation" : "(Meera &amp; Ramakrishna, 1993)", "plainTextFormattedCitation" : "(Meera &amp; Ramakrishna, 1993)", "previouslyFormattedCitation" : "(Meera &amp; Ramakrishna, 1993)" }, "properties" : { "noteIndex" : 0 }, "schema" : "https://github.com/citation-style-language/schema/raw/master/csl-citation.json" }</w:instrText>
      </w:r>
      <w:r w:rsidR="0064576E" w:rsidRPr="000E2377">
        <w:rPr>
          <w:rFonts w:cs="Times New Roman"/>
          <w:b w:val="0"/>
          <w:szCs w:val="24"/>
        </w:rPr>
        <w:fldChar w:fldCharType="separate"/>
      </w:r>
      <w:r w:rsidR="00793120" w:rsidRPr="000E2377">
        <w:rPr>
          <w:rFonts w:cs="Times New Roman"/>
          <w:b w:val="0"/>
          <w:noProof/>
          <w:szCs w:val="24"/>
        </w:rPr>
        <w:t>(Meera &amp; Ramakrishna, 1993)</w:t>
      </w:r>
      <w:r w:rsidR="0064576E" w:rsidRPr="000E2377">
        <w:rPr>
          <w:rFonts w:cs="Times New Roman"/>
          <w:b w:val="0"/>
          <w:szCs w:val="24"/>
        </w:rPr>
        <w:fldChar w:fldCharType="end"/>
      </w:r>
      <w:r w:rsidR="0064576E" w:rsidRPr="000E2377">
        <w:rPr>
          <w:rFonts w:cs="Times New Roman"/>
          <w:b w:val="0"/>
          <w:szCs w:val="24"/>
        </w:rPr>
        <w:t>.</w:t>
      </w:r>
      <w:r w:rsidR="00124441">
        <w:rPr>
          <w:rFonts w:cs="Times New Roman"/>
          <w:b w:val="0"/>
          <w:szCs w:val="24"/>
        </w:rPr>
        <w:t xml:space="preserve"> </w:t>
      </w:r>
      <w:r w:rsidR="00ED15B9">
        <w:rPr>
          <w:rFonts w:cs="Times New Roman"/>
          <w:b w:val="0"/>
          <w:szCs w:val="24"/>
        </w:rPr>
        <w:t xml:space="preserve"> </w:t>
      </w:r>
      <w:r w:rsidR="006D5B03">
        <w:rPr>
          <w:rFonts w:cs="Times New Roman"/>
          <w:b w:val="0"/>
          <w:szCs w:val="24"/>
        </w:rPr>
        <w:t xml:space="preserve">There </w:t>
      </w:r>
      <w:r w:rsidR="00933E76">
        <w:rPr>
          <w:rFonts w:cs="Times New Roman"/>
          <w:b w:val="0"/>
          <w:szCs w:val="24"/>
        </w:rPr>
        <w:t xml:space="preserve">is </w:t>
      </w:r>
      <w:r w:rsidR="006D5B03">
        <w:rPr>
          <w:rFonts w:cs="Times New Roman"/>
          <w:b w:val="0"/>
          <w:szCs w:val="24"/>
        </w:rPr>
        <w:t>evidence that m</w:t>
      </w:r>
      <w:r w:rsidR="00ED15B9">
        <w:rPr>
          <w:rFonts w:cs="Times New Roman"/>
          <w:b w:val="0"/>
          <w:szCs w:val="24"/>
        </w:rPr>
        <w:t>ixed alkaline</w:t>
      </w:r>
      <w:r w:rsidR="006D5B03">
        <w:rPr>
          <w:rFonts w:cs="Times New Roman"/>
          <w:b w:val="0"/>
          <w:szCs w:val="24"/>
        </w:rPr>
        <w:t xml:space="preserve"> </w:t>
      </w:r>
      <w:r w:rsidR="00933E76">
        <w:rPr>
          <w:rFonts w:cs="Times New Roman"/>
          <w:b w:val="0"/>
          <w:szCs w:val="24"/>
        </w:rPr>
        <w:t>ea</w:t>
      </w:r>
      <w:r w:rsidR="00D04DA7">
        <w:rPr>
          <w:rFonts w:cs="Times New Roman"/>
          <w:b w:val="0"/>
          <w:szCs w:val="24"/>
        </w:rPr>
        <w:t>r</w:t>
      </w:r>
      <w:r w:rsidR="00933E76">
        <w:rPr>
          <w:rFonts w:cs="Times New Roman"/>
          <w:b w:val="0"/>
          <w:szCs w:val="24"/>
        </w:rPr>
        <w:t xml:space="preserve">ths can </w:t>
      </w:r>
      <w:r w:rsidR="006D5B03">
        <w:rPr>
          <w:rFonts w:cs="Times New Roman"/>
          <w:b w:val="0"/>
          <w:szCs w:val="24"/>
        </w:rPr>
        <w:t xml:space="preserve">also </w:t>
      </w:r>
      <w:r w:rsidR="00284CC3">
        <w:rPr>
          <w:rFonts w:cs="Times New Roman"/>
          <w:b w:val="0"/>
          <w:szCs w:val="24"/>
        </w:rPr>
        <w:t xml:space="preserve">affect </w:t>
      </w:r>
      <w:r w:rsidR="006D5B03">
        <w:rPr>
          <w:rFonts w:cs="Times New Roman"/>
          <w:b w:val="0"/>
          <w:szCs w:val="24"/>
        </w:rPr>
        <w:t xml:space="preserve">dynamic properties </w:t>
      </w:r>
      <w:r w:rsidR="006D5B03" w:rsidRPr="006D5B03">
        <w:rPr>
          <w:rFonts w:cs="Times New Roman"/>
          <w:b w:val="0"/>
          <w:szCs w:val="24"/>
        </w:rPr>
        <w:t>such as viscosity, conductivity and viscosity</w:t>
      </w:r>
      <w:r w:rsidR="006D5B03">
        <w:rPr>
          <w:rFonts w:cs="Times New Roman"/>
          <w:b w:val="0"/>
          <w:szCs w:val="24"/>
        </w:rPr>
        <w:t>.</w:t>
      </w:r>
      <w:r w:rsidR="003470CC">
        <w:rPr>
          <w:rFonts w:cs="Times New Roman"/>
          <w:b w:val="0"/>
          <w:szCs w:val="24"/>
        </w:rPr>
        <w:t xml:space="preserve"> </w:t>
      </w:r>
      <w:r w:rsidR="006D5B03" w:rsidRPr="006D5B03">
        <w:rPr>
          <w:rFonts w:cs="Times New Roman"/>
          <w:b w:val="0"/>
          <w:szCs w:val="24"/>
        </w:rPr>
        <w:fldChar w:fldCharType="begin" w:fldLock="1"/>
      </w:r>
      <w:r w:rsidR="006D5B03">
        <w:rPr>
          <w:rFonts w:cs="Times New Roman"/>
          <w:b w:val="0"/>
          <w:szCs w:val="24"/>
        </w:rPr>
        <w:instrText>ADDIN CSL_CITATION { "citationItems" : [ { "id" : "ITEM-1", "itemData" : { "DOI" : "10.1016/j.jnoncrysol.2013.03.015", "ISSN" : "00223093", "abstract" : "While the mixed alkali effect has received significant attention in the glass literature, the mixed alkaline earth effect has not been thoroughly studied. Here, we investigate the latter effect by partial substitution of magnesium for calcium in sodium aluminosilicate glasses. We use Raman and NMR spectroscopies to obtain insights into the structural and topological features of these glasses, and hence into the mixed alkaline earth effect. We demonstrate that the mixed alkaline earth effectmanifests itself as a maximumin the amount of bonded tetrahedral units and as a minimum in liquid fragility index, glass transition temperature, Vickers microhardness, and isokom temperatures (viz., the temperatures at \u03b7 =1013.5 and 1012.2 Pa s). The observedmin- ima in fragility, glass transition temperature, and isokomtemperature are ascribed to bondweakening in the local structural environment around the network modifiers. We suggest that, since the elastic properties of the investi- gated system are compositionally independent, the minimum in Vickers microhardness is closely correlated to the minimum in isokom temperatures. Both of these properties are related to plastic flow and the translational motion of structural units, and hence both may be related to the same underlying topological constraints. This indicates that there might not be any significant difference in the onset of the rigid sub-Tg constraints for the inves- tigated compositions.", "author" : [ { "dropping-particle" : "", "family" : "Kjeldsen", "given" : "Jonas", "non-dropping-particle" : "", "parse-names" : false, "suffix" : "" }, { "dropping-particle" : "", "family" : "Smedskjaer", "given" : "Morten M.", "non-dropping-particle" : "", "parse-names" : false, "suffix" : "" }, { "dropping-particle" : "", "family" : "Mauro", "given" : "John C.", "non-dropping-particle" : "", "parse-names" : false, "suffix" : "" }, { "dropping-particle" : "", "family" : "Youngman", "given" : "Randall E.", "non-dropping-particle" : "", "parse-names" : false, "suffix" : "" }, { "dropping-particle" : "", "family" : "Huang", "given" : "Liping", "non-dropping-particle" : "", "parse-names" : false, "suffix" : "" }, { "dropping-particle" : "", "family" : "Yue", "given" : "Yuanzheng", "non-dropping-particle" : "", "parse-names" : false, "suffix" : "" } ], "container-title" : "Journal of Non-Crystalline Solids", "id" : "ITEM-1", "issued" : { "date-parts" : [ [ "2013", "6" ] ] }, "page" : "61-68", "publisher" : "Elsevier B.V.", "title" : "Mixed alkaline earth effect in sodium aluminosilicate glasses", "type" : "article-journal", "volume" : "369" }, "uris" : [ "http://www.mendeley.com/documents/?uuid=45c1a899-47ec-44ab-ab46-735af4607463" ] } ], "mendeley" : { "formattedCitation" : "(Kjeldsen et al., 2013)", "manualFormatting" : "Kjeldsen et al., (2013)", "plainTextFormattedCitation" : "(Kjeldsen et al., 2013)", "previouslyFormattedCitation" : "(Kjeldsen et al., 2013)" }, "properties" : { "noteIndex" : 32 }, "schema" : "https://github.com/citation-style-language/schema/raw/master/csl-citation.json" }</w:instrText>
      </w:r>
      <w:r w:rsidR="006D5B03" w:rsidRPr="006D5B03">
        <w:rPr>
          <w:rFonts w:cs="Times New Roman"/>
          <w:b w:val="0"/>
          <w:szCs w:val="24"/>
        </w:rPr>
        <w:fldChar w:fldCharType="separate"/>
      </w:r>
      <w:r w:rsidR="006D5B03" w:rsidRPr="006D5B03">
        <w:rPr>
          <w:rFonts w:cs="Times New Roman"/>
          <w:b w:val="0"/>
          <w:noProof/>
          <w:szCs w:val="24"/>
        </w:rPr>
        <w:t xml:space="preserve">Kjeldsen et al., </w:t>
      </w:r>
      <w:r w:rsidR="006D5B03">
        <w:rPr>
          <w:rFonts w:cs="Times New Roman"/>
          <w:b w:val="0"/>
          <w:noProof/>
          <w:szCs w:val="24"/>
        </w:rPr>
        <w:t>(</w:t>
      </w:r>
      <w:r w:rsidR="006D5B03" w:rsidRPr="006D5B03">
        <w:rPr>
          <w:rFonts w:cs="Times New Roman"/>
          <w:b w:val="0"/>
          <w:noProof/>
          <w:szCs w:val="24"/>
        </w:rPr>
        <w:t>2013)</w:t>
      </w:r>
      <w:r w:rsidR="006D5B03" w:rsidRPr="006D5B03">
        <w:rPr>
          <w:rFonts w:cs="Times New Roman"/>
          <w:b w:val="0"/>
          <w:szCs w:val="24"/>
        </w:rPr>
        <w:fldChar w:fldCharType="end"/>
      </w:r>
      <w:r w:rsidR="006D5B03">
        <w:rPr>
          <w:rFonts w:cs="Times New Roman"/>
          <w:b w:val="0"/>
          <w:szCs w:val="24"/>
        </w:rPr>
        <w:t xml:space="preserve"> studied the mixed alkaline earth effect in sodium aluminosilicate glasses </w:t>
      </w:r>
      <w:r w:rsidR="00FB17FB">
        <w:rPr>
          <w:rFonts w:cs="Times New Roman"/>
          <w:b w:val="0"/>
          <w:szCs w:val="24"/>
        </w:rPr>
        <w:t xml:space="preserve">for both static and dynamic properties </w:t>
      </w:r>
      <w:r w:rsidR="006D5B03">
        <w:rPr>
          <w:rFonts w:cs="Times New Roman"/>
          <w:b w:val="0"/>
          <w:szCs w:val="24"/>
        </w:rPr>
        <w:t>using 60SiO</w:t>
      </w:r>
      <w:r w:rsidR="006D5B03" w:rsidRPr="00FB17FB">
        <w:rPr>
          <w:rFonts w:cs="Times New Roman"/>
          <w:b w:val="0"/>
          <w:szCs w:val="24"/>
          <w:vertAlign w:val="subscript"/>
        </w:rPr>
        <w:t>2</w:t>
      </w:r>
      <w:r w:rsidR="006D5B03">
        <w:rPr>
          <w:rFonts w:cs="Times New Roman"/>
          <w:b w:val="0"/>
          <w:szCs w:val="24"/>
        </w:rPr>
        <w:t>-</w:t>
      </w:r>
      <w:r w:rsidR="00FB17FB">
        <w:rPr>
          <w:rFonts w:cs="Times New Roman"/>
          <w:b w:val="0"/>
          <w:szCs w:val="24"/>
        </w:rPr>
        <w:t>16Al</w:t>
      </w:r>
      <w:r w:rsidR="00FB17FB" w:rsidRPr="00FB17FB">
        <w:rPr>
          <w:rFonts w:cs="Times New Roman"/>
          <w:b w:val="0"/>
          <w:szCs w:val="24"/>
          <w:vertAlign w:val="subscript"/>
        </w:rPr>
        <w:t>2</w:t>
      </w:r>
      <w:r w:rsidR="00FB17FB">
        <w:rPr>
          <w:rFonts w:cs="Times New Roman"/>
          <w:b w:val="0"/>
          <w:szCs w:val="24"/>
        </w:rPr>
        <w:t>O</w:t>
      </w:r>
      <w:r w:rsidR="00FB17FB" w:rsidRPr="00FB17FB">
        <w:rPr>
          <w:rFonts w:cs="Times New Roman"/>
          <w:b w:val="0"/>
          <w:szCs w:val="24"/>
          <w:vertAlign w:val="subscript"/>
        </w:rPr>
        <w:t>3</w:t>
      </w:r>
      <w:r w:rsidR="00FB17FB">
        <w:rPr>
          <w:rFonts w:cs="Times New Roman"/>
          <w:b w:val="0"/>
          <w:szCs w:val="24"/>
        </w:rPr>
        <w:t>-16Na</w:t>
      </w:r>
      <w:r w:rsidR="00FB17FB" w:rsidRPr="00FB17FB">
        <w:rPr>
          <w:rFonts w:cs="Times New Roman"/>
          <w:b w:val="0"/>
          <w:szCs w:val="24"/>
          <w:vertAlign w:val="subscript"/>
        </w:rPr>
        <w:t>2</w:t>
      </w:r>
      <w:r w:rsidR="00FB17FB">
        <w:rPr>
          <w:rFonts w:cs="Times New Roman"/>
          <w:b w:val="0"/>
          <w:szCs w:val="24"/>
        </w:rPr>
        <w:t>O-(8-x)MgO-</w:t>
      </w:r>
      <w:proofErr w:type="spellStart"/>
      <w:r w:rsidR="00FB17FB">
        <w:rPr>
          <w:rFonts w:cs="Times New Roman"/>
          <w:b w:val="0"/>
          <w:szCs w:val="24"/>
        </w:rPr>
        <w:t>xCaO</w:t>
      </w:r>
      <w:proofErr w:type="spellEnd"/>
      <w:r w:rsidR="00FB17FB">
        <w:rPr>
          <w:rFonts w:cs="Times New Roman"/>
          <w:b w:val="0"/>
          <w:szCs w:val="24"/>
        </w:rPr>
        <w:t>.</w:t>
      </w:r>
      <w:r w:rsidR="007C5D6C">
        <w:rPr>
          <w:rFonts w:cs="Times New Roman"/>
          <w:b w:val="0"/>
          <w:szCs w:val="24"/>
        </w:rPr>
        <w:t xml:space="preserve"> In term of dynamic properties, </w:t>
      </w:r>
      <w:r w:rsidR="00284CC3">
        <w:rPr>
          <w:rFonts w:cs="Times New Roman"/>
          <w:b w:val="0"/>
          <w:szCs w:val="24"/>
        </w:rPr>
        <w:t xml:space="preserve">the </w:t>
      </w:r>
      <w:r w:rsidR="00183104">
        <w:rPr>
          <w:rFonts w:cs="Times New Roman"/>
          <w:b w:val="0"/>
          <w:szCs w:val="24"/>
        </w:rPr>
        <w:t xml:space="preserve">liquid fragility index </w:t>
      </w:r>
      <w:r w:rsidR="007838DA">
        <w:rPr>
          <w:rFonts w:cs="Times New Roman"/>
          <w:b w:val="0"/>
          <w:szCs w:val="24"/>
        </w:rPr>
        <w:t>in</w:t>
      </w:r>
      <w:r w:rsidR="00183104">
        <w:rPr>
          <w:rFonts w:cs="Times New Roman"/>
          <w:b w:val="0"/>
          <w:szCs w:val="24"/>
        </w:rPr>
        <w:t>creased</w:t>
      </w:r>
      <w:r w:rsidR="007838DA">
        <w:rPr>
          <w:rFonts w:cs="Times New Roman"/>
          <w:b w:val="0"/>
          <w:szCs w:val="24"/>
        </w:rPr>
        <w:t xml:space="preserve"> and the </w:t>
      </w:r>
      <w:proofErr w:type="spellStart"/>
      <w:r w:rsidR="007838DA">
        <w:rPr>
          <w:rFonts w:cs="Times New Roman"/>
          <w:b w:val="0"/>
          <w:szCs w:val="24"/>
        </w:rPr>
        <w:t>isokom</w:t>
      </w:r>
      <w:proofErr w:type="spellEnd"/>
      <w:r w:rsidR="007838DA">
        <w:rPr>
          <w:rFonts w:cs="Times New Roman"/>
          <w:b w:val="0"/>
          <w:szCs w:val="24"/>
        </w:rPr>
        <w:t xml:space="preserve"> temperature increas</w:t>
      </w:r>
      <w:r w:rsidR="00933E76">
        <w:rPr>
          <w:rFonts w:cs="Times New Roman"/>
          <w:b w:val="0"/>
          <w:szCs w:val="24"/>
        </w:rPr>
        <w:t>ed</w:t>
      </w:r>
      <w:r w:rsidR="007838DA">
        <w:rPr>
          <w:rFonts w:cs="Times New Roman"/>
          <w:b w:val="0"/>
          <w:szCs w:val="24"/>
        </w:rPr>
        <w:t xml:space="preserve"> </w:t>
      </w:r>
      <w:r w:rsidR="00183104">
        <w:rPr>
          <w:rFonts w:cs="Times New Roman"/>
          <w:b w:val="0"/>
          <w:szCs w:val="24"/>
        </w:rPr>
        <w:t>and thus</w:t>
      </w:r>
      <w:r w:rsidR="007C5D6C">
        <w:rPr>
          <w:rFonts w:cs="Times New Roman"/>
          <w:b w:val="0"/>
          <w:szCs w:val="24"/>
        </w:rPr>
        <w:t xml:space="preserve"> </w:t>
      </w:r>
      <w:r w:rsidR="00933E76">
        <w:rPr>
          <w:rFonts w:cs="Times New Roman"/>
          <w:b w:val="0"/>
          <w:szCs w:val="24"/>
        </w:rPr>
        <w:t xml:space="preserve">reducing </w:t>
      </w:r>
      <w:r w:rsidR="00183104">
        <w:rPr>
          <w:rFonts w:cs="Times New Roman"/>
          <w:b w:val="0"/>
          <w:szCs w:val="24"/>
        </w:rPr>
        <w:t>the viscosity</w:t>
      </w:r>
      <w:r w:rsidR="00933E76">
        <w:rPr>
          <w:rFonts w:cs="Times New Roman"/>
          <w:b w:val="0"/>
          <w:szCs w:val="24"/>
        </w:rPr>
        <w:t xml:space="preserve"> with </w:t>
      </w:r>
      <w:r w:rsidR="006208BB">
        <w:rPr>
          <w:rFonts w:cs="Times New Roman"/>
          <w:b w:val="0"/>
          <w:szCs w:val="24"/>
        </w:rPr>
        <w:t>the increase of</w:t>
      </w:r>
      <w:r w:rsidR="00933E76">
        <w:rPr>
          <w:rFonts w:cs="Times New Roman"/>
          <w:b w:val="0"/>
          <w:szCs w:val="24"/>
        </w:rPr>
        <w:t xml:space="preserve"> calcium content</w:t>
      </w:r>
      <w:r w:rsidR="00183104">
        <w:rPr>
          <w:rFonts w:cs="Times New Roman"/>
          <w:b w:val="0"/>
          <w:szCs w:val="24"/>
        </w:rPr>
        <w:t xml:space="preserve">. </w:t>
      </w:r>
      <w:r w:rsidR="00933E76">
        <w:rPr>
          <w:rFonts w:cs="Times New Roman"/>
          <w:b w:val="0"/>
          <w:szCs w:val="24"/>
        </w:rPr>
        <w:t>Th</w:t>
      </w:r>
      <w:r w:rsidR="00284CC3">
        <w:rPr>
          <w:rFonts w:cs="Times New Roman"/>
          <w:b w:val="0"/>
          <w:szCs w:val="24"/>
        </w:rPr>
        <w:t>i</w:t>
      </w:r>
      <w:r w:rsidR="00933E76">
        <w:rPr>
          <w:rFonts w:cs="Times New Roman"/>
          <w:b w:val="0"/>
          <w:szCs w:val="24"/>
        </w:rPr>
        <w:t>s</w:t>
      </w:r>
      <w:r w:rsidR="00183104">
        <w:rPr>
          <w:rFonts w:cs="Times New Roman"/>
          <w:b w:val="0"/>
          <w:szCs w:val="24"/>
        </w:rPr>
        <w:t xml:space="preserve"> means that as the temperature increase</w:t>
      </w:r>
      <w:r w:rsidR="00933E76">
        <w:rPr>
          <w:rFonts w:cs="Times New Roman"/>
          <w:b w:val="0"/>
          <w:szCs w:val="24"/>
        </w:rPr>
        <w:t>s</w:t>
      </w:r>
      <w:r w:rsidR="00183104">
        <w:rPr>
          <w:rFonts w:cs="Times New Roman"/>
          <w:b w:val="0"/>
          <w:szCs w:val="24"/>
        </w:rPr>
        <w:t xml:space="preserve"> </w:t>
      </w:r>
      <w:r w:rsidR="00933E76">
        <w:rPr>
          <w:rFonts w:cs="Times New Roman"/>
          <w:b w:val="0"/>
          <w:szCs w:val="24"/>
        </w:rPr>
        <w:t xml:space="preserve">the </w:t>
      </w:r>
      <w:r w:rsidR="00183104">
        <w:rPr>
          <w:rFonts w:cs="Times New Roman"/>
          <w:b w:val="0"/>
          <w:szCs w:val="24"/>
        </w:rPr>
        <w:t xml:space="preserve">mixed alkaline effect </w:t>
      </w:r>
      <w:r w:rsidR="00933E76">
        <w:rPr>
          <w:rFonts w:cs="Times New Roman"/>
          <w:b w:val="0"/>
          <w:szCs w:val="24"/>
        </w:rPr>
        <w:t>declines</w:t>
      </w:r>
      <w:r w:rsidR="00183104">
        <w:rPr>
          <w:rFonts w:cs="Times New Roman"/>
          <w:b w:val="0"/>
          <w:szCs w:val="24"/>
        </w:rPr>
        <w:t xml:space="preserve">. In term of static properties, </w:t>
      </w:r>
      <w:r w:rsidR="007838DA">
        <w:rPr>
          <w:rFonts w:cs="Times New Roman"/>
          <w:b w:val="0"/>
          <w:szCs w:val="24"/>
        </w:rPr>
        <w:t xml:space="preserve">the molar volume and density </w:t>
      </w:r>
      <w:r w:rsidR="00933E76">
        <w:rPr>
          <w:rFonts w:cs="Times New Roman"/>
          <w:b w:val="0"/>
          <w:szCs w:val="24"/>
        </w:rPr>
        <w:t xml:space="preserve">decrease </w:t>
      </w:r>
      <w:r w:rsidR="007838DA">
        <w:rPr>
          <w:rFonts w:cs="Times New Roman"/>
          <w:b w:val="0"/>
          <w:szCs w:val="24"/>
        </w:rPr>
        <w:t>with increasing calcium. Meanwhile</w:t>
      </w:r>
      <w:r w:rsidR="006208BB">
        <w:rPr>
          <w:rFonts w:cs="Times New Roman"/>
          <w:b w:val="0"/>
          <w:szCs w:val="24"/>
        </w:rPr>
        <w:t>,</w:t>
      </w:r>
      <w:r w:rsidR="00183104">
        <w:rPr>
          <w:rFonts w:cs="Times New Roman"/>
          <w:b w:val="0"/>
          <w:szCs w:val="24"/>
        </w:rPr>
        <w:t xml:space="preserve"> </w:t>
      </w:r>
      <w:r w:rsidR="006208BB">
        <w:rPr>
          <w:rFonts w:cs="Times New Roman"/>
          <w:b w:val="0"/>
          <w:szCs w:val="24"/>
        </w:rPr>
        <w:t xml:space="preserve">the </w:t>
      </w:r>
      <w:r w:rsidR="00C151C3">
        <w:rPr>
          <w:rFonts w:cs="Times New Roman"/>
          <w:b w:val="0"/>
          <w:szCs w:val="24"/>
        </w:rPr>
        <w:t xml:space="preserve">minimum </w:t>
      </w:r>
      <w:r w:rsidR="00183104">
        <w:rPr>
          <w:rFonts w:cs="Times New Roman"/>
          <w:b w:val="0"/>
          <w:szCs w:val="24"/>
        </w:rPr>
        <w:t>hardness</w:t>
      </w:r>
      <w:r w:rsidR="007838DA">
        <w:rPr>
          <w:rFonts w:cs="Times New Roman"/>
          <w:b w:val="0"/>
          <w:szCs w:val="24"/>
        </w:rPr>
        <w:t xml:space="preserve"> value </w:t>
      </w:r>
      <w:r w:rsidR="00183104" w:rsidRPr="00183104">
        <w:rPr>
          <w:rFonts w:cs="Times New Roman"/>
          <w:b w:val="0"/>
          <w:szCs w:val="24"/>
        </w:rPr>
        <w:t xml:space="preserve">is closely correlated to the minimum in </w:t>
      </w:r>
      <w:proofErr w:type="spellStart"/>
      <w:r w:rsidR="00183104" w:rsidRPr="00183104">
        <w:rPr>
          <w:rFonts w:cs="Times New Roman"/>
          <w:b w:val="0"/>
          <w:szCs w:val="24"/>
        </w:rPr>
        <w:t>isokom</w:t>
      </w:r>
      <w:proofErr w:type="spellEnd"/>
      <w:r w:rsidR="00183104" w:rsidRPr="00183104">
        <w:rPr>
          <w:rFonts w:cs="Times New Roman"/>
          <w:b w:val="0"/>
          <w:szCs w:val="24"/>
        </w:rPr>
        <w:t xml:space="preserve"> temperatures</w:t>
      </w:r>
      <w:r w:rsidR="00C151C3">
        <w:rPr>
          <w:rFonts w:cs="Times New Roman"/>
          <w:b w:val="0"/>
          <w:szCs w:val="24"/>
        </w:rPr>
        <w:t xml:space="preserve"> </w:t>
      </w:r>
      <w:r w:rsidR="0039095B">
        <w:rPr>
          <w:rFonts w:cs="Times New Roman"/>
          <w:b w:val="0"/>
          <w:szCs w:val="24"/>
        </w:rPr>
        <w:t>as both of</w:t>
      </w:r>
      <w:r w:rsidR="00C151C3">
        <w:rPr>
          <w:rFonts w:cs="Times New Roman"/>
          <w:b w:val="0"/>
          <w:szCs w:val="24"/>
        </w:rPr>
        <w:t xml:space="preserve"> th</w:t>
      </w:r>
      <w:r w:rsidR="0039095B">
        <w:rPr>
          <w:rFonts w:cs="Times New Roman"/>
          <w:b w:val="0"/>
          <w:szCs w:val="24"/>
        </w:rPr>
        <w:t>ese</w:t>
      </w:r>
      <w:r w:rsidR="00C151C3">
        <w:rPr>
          <w:rFonts w:cs="Times New Roman"/>
          <w:b w:val="0"/>
          <w:szCs w:val="24"/>
        </w:rPr>
        <w:t xml:space="preserve"> properties are related to the </w:t>
      </w:r>
      <w:r w:rsidR="0039095B">
        <w:rPr>
          <w:rFonts w:cs="Times New Roman"/>
          <w:b w:val="0"/>
          <w:szCs w:val="24"/>
        </w:rPr>
        <w:t xml:space="preserve">ease of </w:t>
      </w:r>
      <w:r w:rsidR="00C151C3">
        <w:rPr>
          <w:rFonts w:cs="Times New Roman"/>
          <w:b w:val="0"/>
          <w:szCs w:val="24"/>
        </w:rPr>
        <w:t>plastic flow</w:t>
      </w:r>
      <w:r w:rsidR="00183104" w:rsidRPr="00183104">
        <w:rPr>
          <w:rFonts w:cs="Times New Roman"/>
          <w:b w:val="0"/>
          <w:szCs w:val="24"/>
        </w:rPr>
        <w:t>.</w:t>
      </w:r>
      <w:r w:rsidR="00C151C3">
        <w:rPr>
          <w:rFonts w:cs="Times New Roman"/>
          <w:b w:val="0"/>
          <w:szCs w:val="24"/>
        </w:rPr>
        <w:t xml:space="preserve"> In </w:t>
      </w:r>
      <w:r w:rsidR="0039095B">
        <w:rPr>
          <w:rFonts w:cs="Times New Roman"/>
          <w:b w:val="0"/>
          <w:szCs w:val="24"/>
        </w:rPr>
        <w:t xml:space="preserve">the </w:t>
      </w:r>
      <w:r w:rsidR="00C151C3">
        <w:rPr>
          <w:rFonts w:cs="Times New Roman"/>
          <w:b w:val="0"/>
          <w:szCs w:val="24"/>
        </w:rPr>
        <w:t>composition</w:t>
      </w:r>
      <w:r w:rsidR="0039095B">
        <w:rPr>
          <w:rFonts w:cs="Times New Roman"/>
          <w:b w:val="0"/>
          <w:szCs w:val="24"/>
        </w:rPr>
        <w:t>s</w:t>
      </w:r>
      <w:r w:rsidR="00C151C3">
        <w:rPr>
          <w:rFonts w:cs="Times New Roman"/>
          <w:b w:val="0"/>
          <w:szCs w:val="24"/>
        </w:rPr>
        <w:t xml:space="preserve"> </w:t>
      </w:r>
      <w:r w:rsidR="0039095B">
        <w:rPr>
          <w:rFonts w:cs="Times New Roman"/>
          <w:b w:val="0"/>
          <w:szCs w:val="24"/>
        </w:rPr>
        <w:t>studied</w:t>
      </w:r>
      <w:r w:rsidR="00C151C3">
        <w:rPr>
          <w:rFonts w:cs="Times New Roman"/>
          <w:b w:val="0"/>
          <w:szCs w:val="24"/>
        </w:rPr>
        <w:t xml:space="preserve">, the alkaline earth effect </w:t>
      </w:r>
      <w:r w:rsidR="006F5C9D">
        <w:rPr>
          <w:rFonts w:cs="Times New Roman"/>
          <w:b w:val="0"/>
          <w:szCs w:val="24"/>
        </w:rPr>
        <w:t xml:space="preserve">leads to a </w:t>
      </w:r>
      <w:r w:rsidR="00C151C3">
        <w:rPr>
          <w:rFonts w:cs="Times New Roman"/>
          <w:b w:val="0"/>
          <w:szCs w:val="24"/>
        </w:rPr>
        <w:t xml:space="preserve">maximum in T-O-T bonding, however </w:t>
      </w:r>
      <w:r w:rsidR="006F5C9D">
        <w:rPr>
          <w:rFonts w:cs="Times New Roman"/>
          <w:b w:val="0"/>
          <w:szCs w:val="24"/>
        </w:rPr>
        <w:t>minima for the</w:t>
      </w:r>
      <w:r w:rsidR="00C151C3">
        <w:rPr>
          <w:rFonts w:cs="Times New Roman"/>
          <w:b w:val="0"/>
          <w:szCs w:val="24"/>
        </w:rPr>
        <w:t xml:space="preserve"> glass transition temperature, </w:t>
      </w:r>
      <w:proofErr w:type="spellStart"/>
      <w:r w:rsidR="00C151C3">
        <w:rPr>
          <w:rFonts w:cs="Times New Roman"/>
          <w:b w:val="0"/>
          <w:szCs w:val="24"/>
        </w:rPr>
        <w:t>isokom</w:t>
      </w:r>
      <w:proofErr w:type="spellEnd"/>
      <w:r w:rsidR="00C151C3">
        <w:rPr>
          <w:rFonts w:cs="Times New Roman"/>
          <w:b w:val="0"/>
          <w:szCs w:val="24"/>
        </w:rPr>
        <w:t xml:space="preserve"> temperature and hardness </w:t>
      </w:r>
      <w:r w:rsidR="006F5C9D">
        <w:rPr>
          <w:rFonts w:cs="Times New Roman"/>
          <w:b w:val="0"/>
          <w:szCs w:val="24"/>
        </w:rPr>
        <w:t>at intermediate compositions</w:t>
      </w:r>
      <w:r w:rsidR="00C151C3">
        <w:rPr>
          <w:rFonts w:cs="Times New Roman"/>
          <w:b w:val="0"/>
          <w:szCs w:val="24"/>
        </w:rPr>
        <w:t xml:space="preserve">. </w:t>
      </w:r>
    </w:p>
    <w:p w14:paraId="1D34D1D2" w14:textId="77777777" w:rsidR="006D5B03" w:rsidRPr="006D5B03" w:rsidRDefault="006D5B03" w:rsidP="006D5B03">
      <w:pPr>
        <w:spacing w:after="0" w:line="360" w:lineRule="auto"/>
        <w:contextualSpacing/>
        <w:jc w:val="both"/>
        <w:rPr>
          <w:rFonts w:cs="Times New Roman"/>
          <w:b w:val="0"/>
          <w:szCs w:val="24"/>
        </w:rPr>
      </w:pPr>
    </w:p>
    <w:p w14:paraId="528D4793" w14:textId="1A7EEBEB" w:rsidR="0064576E" w:rsidRPr="000E2377" w:rsidRDefault="00124441" w:rsidP="0064576E">
      <w:pPr>
        <w:spacing w:after="0" w:line="360" w:lineRule="auto"/>
        <w:contextualSpacing/>
        <w:jc w:val="both"/>
        <w:rPr>
          <w:rFonts w:cs="Times New Roman"/>
          <w:b w:val="0"/>
          <w:szCs w:val="24"/>
        </w:rPr>
      </w:pPr>
      <w:r>
        <w:rPr>
          <w:rFonts w:cs="Times New Roman"/>
          <w:b w:val="0"/>
          <w:szCs w:val="24"/>
        </w:rPr>
        <w:t>Some evidence of th</w:t>
      </w:r>
      <w:r w:rsidR="00C55CCF">
        <w:rPr>
          <w:rFonts w:cs="Times New Roman"/>
          <w:b w:val="0"/>
          <w:szCs w:val="24"/>
        </w:rPr>
        <w:t>e</w:t>
      </w:r>
      <w:r>
        <w:rPr>
          <w:rFonts w:cs="Times New Roman"/>
          <w:b w:val="0"/>
          <w:szCs w:val="24"/>
        </w:rPr>
        <w:t xml:space="preserve"> mixed alkali effect </w:t>
      </w:r>
      <w:r w:rsidR="006F5C9D">
        <w:rPr>
          <w:rFonts w:cs="Times New Roman"/>
          <w:b w:val="0"/>
          <w:szCs w:val="24"/>
        </w:rPr>
        <w:t xml:space="preserve">has </w:t>
      </w:r>
      <w:r>
        <w:rPr>
          <w:rFonts w:cs="Times New Roman"/>
          <w:b w:val="0"/>
          <w:szCs w:val="24"/>
        </w:rPr>
        <w:t xml:space="preserve">also </w:t>
      </w:r>
      <w:r w:rsidR="006F5C9D">
        <w:rPr>
          <w:rFonts w:cs="Times New Roman"/>
          <w:b w:val="0"/>
          <w:szCs w:val="24"/>
        </w:rPr>
        <w:t xml:space="preserve">been </w:t>
      </w:r>
      <w:r>
        <w:rPr>
          <w:rFonts w:cs="Times New Roman"/>
          <w:b w:val="0"/>
          <w:szCs w:val="24"/>
        </w:rPr>
        <w:t xml:space="preserve">seen in </w:t>
      </w:r>
      <w:r w:rsidR="00C55CCF">
        <w:rPr>
          <w:rFonts w:cs="Times New Roman"/>
          <w:b w:val="0"/>
          <w:szCs w:val="24"/>
        </w:rPr>
        <w:t>non-dynamic properties</w:t>
      </w:r>
      <w:r w:rsidR="006F5C9D">
        <w:rPr>
          <w:rFonts w:cs="Times New Roman"/>
          <w:b w:val="0"/>
          <w:szCs w:val="24"/>
        </w:rPr>
        <w:t>.</w:t>
      </w:r>
      <w:r w:rsidR="0064576E" w:rsidRPr="000E2377">
        <w:rPr>
          <w:rFonts w:cs="Times New Roman"/>
          <w:b w:val="0"/>
          <w:szCs w:val="24"/>
        </w:rPr>
        <w:t xml:space="preserve"> </w:t>
      </w:r>
      <w:r w:rsidR="00072EE0" w:rsidRPr="000E2377">
        <w:rPr>
          <w:rFonts w:cs="Times New Roman"/>
          <w:b w:val="0"/>
          <w:szCs w:val="24"/>
        </w:rPr>
        <w:fldChar w:fldCharType="begin" w:fldLock="1"/>
      </w:r>
      <w:r w:rsidR="00F61595">
        <w:rPr>
          <w:rFonts w:cs="Times New Roman"/>
          <w:b w:val="0"/>
          <w:szCs w:val="24"/>
        </w:rPr>
        <w:instrText>ADDIN CSL_CITATION { "citationItems" : [ { "id" : "ITEM-1", "itemData" : { "DOI" : "10.1016/j.jnoncrysol.2010.05.007", "ISSN" : "00223093", "author" : [ { "dropping-particle" : "", "family" : "Hand", "given" : "Russell J.", "non-dropping-particle" : "", "parse-names" : false, "suffix" : "" }, { "dropping-particle" : "", "family" : "Tadjiev", "given" : "Damir R.", "non-dropping-particle" : "", "parse-names" : false, "suffix" : "" } ], "container-title" : "Journal of Non-Crystalline Solids", "id" : "ITEM-1", "issue" : "44-49", "issued" : { "date-parts" : [ [ "2010", "10" ] ] }, "page" : "2417-2423", "publisher" : "Elsevier B.V.", "title" : "Mechanical properties of silicate glasses as a function of composition", "type" : "article-journal", "volume" : "356" }, "uris" : [ "http://www.mendeley.com/documents/?uuid=f8df0232-a385-494d-80d7-5c933b1d8e38" ] } ], "mendeley" : { "formattedCitation" : "(Hand &amp; Tadjiev, 2010)", "manualFormatting" : "Hand &amp; Tadjiev (2010", "plainTextFormattedCitation" : "(Hand &amp; Tadjiev, 2010)", "previouslyFormattedCitation" : "(Hand &amp; Tadjiev, 2010)" }, "properties" : { "noteIndex" : 23 }, "schema" : "https://github.com/citation-style-language/schema/raw/master/csl-citation.json" }</w:instrText>
      </w:r>
      <w:r w:rsidR="00072EE0" w:rsidRPr="000E2377">
        <w:rPr>
          <w:rFonts w:cs="Times New Roman"/>
          <w:b w:val="0"/>
          <w:szCs w:val="24"/>
        </w:rPr>
        <w:fldChar w:fldCharType="separate"/>
      </w:r>
      <w:r w:rsidR="00072EE0" w:rsidRPr="000E2377">
        <w:rPr>
          <w:rFonts w:cs="Times New Roman"/>
          <w:b w:val="0"/>
          <w:noProof/>
          <w:szCs w:val="24"/>
        </w:rPr>
        <w:t xml:space="preserve">Hand &amp; Tadjiev </w:t>
      </w:r>
      <w:r w:rsidR="00E43D8B" w:rsidRPr="000E2377">
        <w:rPr>
          <w:rFonts w:cs="Times New Roman"/>
          <w:b w:val="0"/>
          <w:noProof/>
          <w:szCs w:val="24"/>
        </w:rPr>
        <w:t>(</w:t>
      </w:r>
      <w:r w:rsidR="00072EE0" w:rsidRPr="000E2377">
        <w:rPr>
          <w:rFonts w:cs="Times New Roman"/>
          <w:b w:val="0"/>
          <w:noProof/>
          <w:szCs w:val="24"/>
        </w:rPr>
        <w:t>2010</w:t>
      </w:r>
      <w:r w:rsidR="00072EE0" w:rsidRPr="000E2377">
        <w:rPr>
          <w:rFonts w:cs="Times New Roman"/>
          <w:b w:val="0"/>
          <w:szCs w:val="24"/>
        </w:rPr>
        <w:fldChar w:fldCharType="end"/>
      </w:r>
      <w:r w:rsidR="00E43D8B" w:rsidRPr="000E2377">
        <w:rPr>
          <w:rFonts w:cs="Times New Roman"/>
          <w:b w:val="0"/>
          <w:szCs w:val="24"/>
        </w:rPr>
        <w:t>)</w:t>
      </w:r>
      <w:r w:rsidR="00072EE0" w:rsidRPr="000E2377">
        <w:rPr>
          <w:rFonts w:cs="Times New Roman"/>
          <w:b w:val="0"/>
          <w:szCs w:val="24"/>
        </w:rPr>
        <w:t xml:space="preserve"> studie</w:t>
      </w:r>
      <w:r w:rsidR="001E246C">
        <w:rPr>
          <w:rFonts w:cs="Times New Roman"/>
          <w:b w:val="0"/>
          <w:szCs w:val="24"/>
        </w:rPr>
        <w:t>d the</w:t>
      </w:r>
      <w:r w:rsidR="00072EE0" w:rsidRPr="000E2377">
        <w:rPr>
          <w:rFonts w:cs="Times New Roman"/>
          <w:b w:val="0"/>
          <w:szCs w:val="24"/>
        </w:rPr>
        <w:t xml:space="preserve"> m</w:t>
      </w:r>
      <w:r w:rsidR="001A76A4" w:rsidRPr="000E2377">
        <w:rPr>
          <w:rFonts w:cs="Times New Roman"/>
          <w:b w:val="0"/>
          <w:szCs w:val="24"/>
        </w:rPr>
        <w:t xml:space="preserve">ixed alkali effect </w:t>
      </w:r>
      <w:r w:rsidR="00FB2F0B" w:rsidRPr="000E2377">
        <w:rPr>
          <w:rFonts w:cs="Times New Roman"/>
          <w:b w:val="0"/>
          <w:szCs w:val="24"/>
        </w:rPr>
        <w:t xml:space="preserve">and mixed alkaline earth effect </w:t>
      </w:r>
      <w:r w:rsidR="00E43D8B" w:rsidRPr="000E2377">
        <w:rPr>
          <w:rFonts w:cs="Times New Roman"/>
          <w:b w:val="0"/>
          <w:szCs w:val="24"/>
        </w:rPr>
        <w:t>on</w:t>
      </w:r>
      <w:r w:rsidR="001E246C">
        <w:rPr>
          <w:rFonts w:cs="Times New Roman"/>
          <w:b w:val="0"/>
          <w:szCs w:val="24"/>
        </w:rPr>
        <w:t xml:space="preserve"> the</w:t>
      </w:r>
      <w:r w:rsidR="001A76A4" w:rsidRPr="000E2377">
        <w:rPr>
          <w:rFonts w:cs="Times New Roman"/>
          <w:b w:val="0"/>
          <w:szCs w:val="24"/>
        </w:rPr>
        <w:t xml:space="preserve"> mechanical properties</w:t>
      </w:r>
      <w:r w:rsidR="00E43D8B" w:rsidRPr="000E2377">
        <w:rPr>
          <w:rFonts w:cs="Times New Roman"/>
          <w:b w:val="0"/>
          <w:szCs w:val="24"/>
        </w:rPr>
        <w:t xml:space="preserve"> </w:t>
      </w:r>
      <w:r w:rsidR="001E246C">
        <w:rPr>
          <w:rFonts w:cs="Times New Roman"/>
          <w:b w:val="0"/>
          <w:szCs w:val="24"/>
        </w:rPr>
        <w:t>of</w:t>
      </w:r>
      <w:r w:rsidR="00E43D8B" w:rsidRPr="000E2377">
        <w:rPr>
          <w:rFonts w:cs="Times New Roman"/>
          <w:b w:val="0"/>
          <w:szCs w:val="24"/>
        </w:rPr>
        <w:t xml:space="preserve"> </w:t>
      </w:r>
      <w:r w:rsidR="001E246C">
        <w:rPr>
          <w:rFonts w:cs="Times New Roman"/>
          <w:b w:val="0"/>
          <w:szCs w:val="24"/>
        </w:rPr>
        <w:t xml:space="preserve">a range of </w:t>
      </w:r>
      <w:r w:rsidR="00E43D8B" w:rsidRPr="000E2377">
        <w:rPr>
          <w:rFonts w:cs="Times New Roman"/>
          <w:b w:val="0"/>
          <w:szCs w:val="24"/>
        </w:rPr>
        <w:t>silicate glass</w:t>
      </w:r>
      <w:r w:rsidR="001E246C">
        <w:rPr>
          <w:rFonts w:cs="Times New Roman"/>
          <w:b w:val="0"/>
          <w:szCs w:val="24"/>
        </w:rPr>
        <w:t>es</w:t>
      </w:r>
      <w:r w:rsidR="00FB2F0B" w:rsidRPr="000E2377">
        <w:rPr>
          <w:rFonts w:cs="Times New Roman"/>
          <w:b w:val="0"/>
          <w:szCs w:val="24"/>
        </w:rPr>
        <w:t xml:space="preserve">. </w:t>
      </w:r>
      <w:r w:rsidR="00E43D8B" w:rsidRPr="000E2377">
        <w:rPr>
          <w:rFonts w:cs="Times New Roman"/>
          <w:b w:val="0"/>
          <w:szCs w:val="24"/>
        </w:rPr>
        <w:t xml:space="preserve">In their mixed alkali glass, </w:t>
      </w:r>
      <w:r w:rsidR="000B3777">
        <w:rPr>
          <w:rFonts w:cs="Times New Roman"/>
          <w:b w:val="0"/>
          <w:szCs w:val="24"/>
        </w:rPr>
        <w:t>x</w:t>
      </w:r>
      <w:r w:rsidR="00E43D8B" w:rsidRPr="000E2377">
        <w:rPr>
          <w:rFonts w:cs="Times New Roman"/>
          <w:b w:val="0"/>
          <w:szCs w:val="24"/>
        </w:rPr>
        <w:t>Na</w:t>
      </w:r>
      <w:r w:rsidR="00E43D8B" w:rsidRPr="000E2377">
        <w:rPr>
          <w:rFonts w:cs="Times New Roman"/>
          <w:b w:val="0"/>
          <w:szCs w:val="24"/>
          <w:vertAlign w:val="subscript"/>
        </w:rPr>
        <w:t>2</w:t>
      </w:r>
      <w:r w:rsidR="00E43D8B" w:rsidRPr="000E2377">
        <w:rPr>
          <w:rFonts w:cs="Times New Roman"/>
          <w:b w:val="0"/>
          <w:szCs w:val="24"/>
        </w:rPr>
        <w:t>O-</w:t>
      </w:r>
      <w:r w:rsidR="000B3777">
        <w:rPr>
          <w:rFonts w:cs="Times New Roman"/>
          <w:b w:val="0"/>
          <w:szCs w:val="24"/>
        </w:rPr>
        <w:t>20-x</w:t>
      </w:r>
      <w:r w:rsidR="00E43D8B" w:rsidRPr="000E2377">
        <w:rPr>
          <w:rFonts w:cs="Times New Roman"/>
          <w:b w:val="0"/>
          <w:szCs w:val="24"/>
        </w:rPr>
        <w:t>K</w:t>
      </w:r>
      <w:r w:rsidR="00E43D8B" w:rsidRPr="000E2377">
        <w:rPr>
          <w:rFonts w:cs="Times New Roman"/>
          <w:b w:val="0"/>
          <w:szCs w:val="24"/>
          <w:vertAlign w:val="subscript"/>
        </w:rPr>
        <w:t>2</w:t>
      </w:r>
      <w:r w:rsidR="00E43D8B" w:rsidRPr="000E2377">
        <w:rPr>
          <w:rFonts w:cs="Times New Roman"/>
          <w:b w:val="0"/>
          <w:szCs w:val="24"/>
        </w:rPr>
        <w:t>O-</w:t>
      </w:r>
      <w:r w:rsidR="000B3777">
        <w:rPr>
          <w:rFonts w:cs="Times New Roman"/>
          <w:b w:val="0"/>
          <w:szCs w:val="24"/>
        </w:rPr>
        <w:t>15</w:t>
      </w:r>
      <w:r w:rsidR="00E43D8B" w:rsidRPr="000E2377">
        <w:rPr>
          <w:rFonts w:cs="Times New Roman"/>
          <w:b w:val="0"/>
          <w:szCs w:val="24"/>
        </w:rPr>
        <w:t>CaO-</w:t>
      </w:r>
      <w:r w:rsidR="000B3777">
        <w:rPr>
          <w:rFonts w:cs="Times New Roman"/>
          <w:b w:val="0"/>
          <w:szCs w:val="24"/>
        </w:rPr>
        <w:t>65</w:t>
      </w:r>
      <w:r w:rsidR="00E43D8B" w:rsidRPr="000E2377">
        <w:rPr>
          <w:rFonts w:cs="Times New Roman"/>
          <w:b w:val="0"/>
          <w:szCs w:val="24"/>
        </w:rPr>
        <w:t>SiO</w:t>
      </w:r>
      <w:r w:rsidR="00E43D8B" w:rsidRPr="000E2377">
        <w:rPr>
          <w:rFonts w:cs="Times New Roman"/>
          <w:b w:val="0"/>
          <w:szCs w:val="24"/>
          <w:vertAlign w:val="subscript"/>
        </w:rPr>
        <w:t>2</w:t>
      </w:r>
      <w:r w:rsidR="00E43D8B" w:rsidRPr="000E2377">
        <w:rPr>
          <w:rFonts w:cs="Times New Roman"/>
          <w:b w:val="0"/>
          <w:szCs w:val="24"/>
        </w:rPr>
        <w:t xml:space="preserve">, the hardness </w:t>
      </w:r>
      <w:r>
        <w:rPr>
          <w:rFonts w:cs="Times New Roman"/>
          <w:b w:val="0"/>
          <w:szCs w:val="24"/>
        </w:rPr>
        <w:t>displayed a</w:t>
      </w:r>
      <w:r w:rsidR="00E43D8B" w:rsidRPr="000E2377">
        <w:rPr>
          <w:rFonts w:cs="Times New Roman"/>
          <w:b w:val="0"/>
          <w:szCs w:val="24"/>
        </w:rPr>
        <w:t xml:space="preserve"> maximum </w:t>
      </w:r>
      <w:r>
        <w:rPr>
          <w:rFonts w:cs="Times New Roman"/>
          <w:b w:val="0"/>
          <w:szCs w:val="24"/>
        </w:rPr>
        <w:t>for a</w:t>
      </w:r>
      <w:r w:rsidR="00E43D8B" w:rsidRPr="000E2377">
        <w:rPr>
          <w:rFonts w:cs="Times New Roman"/>
          <w:b w:val="0"/>
          <w:szCs w:val="24"/>
        </w:rPr>
        <w:t xml:space="preserve"> mixed alkali and the toughness </w:t>
      </w:r>
      <w:r w:rsidR="001E246C">
        <w:rPr>
          <w:rFonts w:cs="Times New Roman"/>
          <w:b w:val="0"/>
          <w:szCs w:val="24"/>
        </w:rPr>
        <w:t>a</w:t>
      </w:r>
      <w:r w:rsidR="00E43D8B" w:rsidRPr="000E2377">
        <w:rPr>
          <w:rFonts w:cs="Times New Roman"/>
          <w:b w:val="0"/>
          <w:szCs w:val="24"/>
        </w:rPr>
        <w:t xml:space="preserve"> minimum. </w:t>
      </w:r>
      <w:r w:rsidR="00C55CCF">
        <w:rPr>
          <w:rFonts w:cs="Times New Roman"/>
          <w:b w:val="0"/>
          <w:szCs w:val="24"/>
        </w:rPr>
        <w:t>In comparison</w:t>
      </w:r>
      <w:r w:rsidR="00C55CCF" w:rsidRPr="000E2377">
        <w:rPr>
          <w:rFonts w:cs="Times New Roman"/>
          <w:b w:val="0"/>
          <w:szCs w:val="24"/>
        </w:rPr>
        <w:t xml:space="preserve"> </w:t>
      </w:r>
      <w:r w:rsidR="00E43D8B" w:rsidRPr="000E2377">
        <w:rPr>
          <w:rFonts w:cs="Times New Roman"/>
          <w:b w:val="0"/>
          <w:szCs w:val="24"/>
        </w:rPr>
        <w:t xml:space="preserve">in </w:t>
      </w:r>
      <w:r w:rsidR="00C55CCF">
        <w:rPr>
          <w:rFonts w:cs="Times New Roman"/>
          <w:b w:val="0"/>
          <w:szCs w:val="24"/>
        </w:rPr>
        <w:t xml:space="preserve">the </w:t>
      </w:r>
      <w:r w:rsidR="00E43D8B" w:rsidRPr="000E2377">
        <w:rPr>
          <w:rFonts w:cs="Times New Roman"/>
          <w:b w:val="0"/>
          <w:szCs w:val="24"/>
        </w:rPr>
        <w:t xml:space="preserve">mixed alkaline earth composition </w:t>
      </w:r>
      <w:r w:rsidR="009C7C2D">
        <w:rPr>
          <w:rFonts w:cs="Times New Roman"/>
          <w:b w:val="0"/>
          <w:szCs w:val="24"/>
        </w:rPr>
        <w:t>15</w:t>
      </w:r>
      <w:r w:rsidR="00E43D8B" w:rsidRPr="000E2377">
        <w:rPr>
          <w:rFonts w:cs="Times New Roman"/>
          <w:b w:val="0"/>
          <w:szCs w:val="24"/>
        </w:rPr>
        <w:t>Na</w:t>
      </w:r>
      <w:r w:rsidR="00E43D8B" w:rsidRPr="000E2377">
        <w:rPr>
          <w:rFonts w:cs="Times New Roman"/>
          <w:b w:val="0"/>
          <w:szCs w:val="24"/>
          <w:vertAlign w:val="subscript"/>
        </w:rPr>
        <w:t>2</w:t>
      </w:r>
      <w:r w:rsidR="00E43D8B" w:rsidRPr="000E2377">
        <w:rPr>
          <w:rFonts w:cs="Times New Roman"/>
          <w:b w:val="0"/>
          <w:szCs w:val="24"/>
        </w:rPr>
        <w:t>O-</w:t>
      </w:r>
      <w:r w:rsidR="009C7C2D">
        <w:rPr>
          <w:rFonts w:cs="Times New Roman"/>
          <w:b w:val="0"/>
          <w:szCs w:val="24"/>
        </w:rPr>
        <w:t>10-x</w:t>
      </w:r>
      <w:r w:rsidR="00E43D8B" w:rsidRPr="000E2377">
        <w:rPr>
          <w:rFonts w:cs="Times New Roman"/>
          <w:b w:val="0"/>
          <w:szCs w:val="24"/>
        </w:rPr>
        <w:t>CaO-</w:t>
      </w:r>
      <w:r w:rsidR="009C7C2D">
        <w:rPr>
          <w:rFonts w:cs="Times New Roman"/>
          <w:b w:val="0"/>
          <w:szCs w:val="24"/>
        </w:rPr>
        <w:t>x</w:t>
      </w:r>
      <w:r w:rsidR="00E43D8B" w:rsidRPr="000E2377">
        <w:rPr>
          <w:rFonts w:cs="Times New Roman"/>
          <w:b w:val="0"/>
          <w:szCs w:val="24"/>
        </w:rPr>
        <w:t>MgO-</w:t>
      </w:r>
      <w:r w:rsidR="009C7C2D">
        <w:rPr>
          <w:rFonts w:cs="Times New Roman"/>
          <w:b w:val="0"/>
          <w:szCs w:val="24"/>
        </w:rPr>
        <w:t>75</w:t>
      </w:r>
      <w:r w:rsidR="00E43D8B" w:rsidRPr="000E2377">
        <w:rPr>
          <w:rFonts w:cs="Times New Roman"/>
          <w:b w:val="0"/>
          <w:szCs w:val="24"/>
        </w:rPr>
        <w:t>SiO</w:t>
      </w:r>
      <w:r w:rsidR="00E43D8B" w:rsidRPr="000E2377">
        <w:rPr>
          <w:rFonts w:cs="Times New Roman"/>
          <w:b w:val="0"/>
          <w:szCs w:val="24"/>
          <w:vertAlign w:val="subscript"/>
        </w:rPr>
        <w:t>2</w:t>
      </w:r>
      <w:r w:rsidR="00E43D8B" w:rsidRPr="000E2377">
        <w:rPr>
          <w:rFonts w:cs="Times New Roman"/>
          <w:b w:val="0"/>
          <w:szCs w:val="24"/>
        </w:rPr>
        <w:t xml:space="preserve">, </w:t>
      </w:r>
      <w:r w:rsidR="006F5C9D">
        <w:rPr>
          <w:rFonts w:cs="Times New Roman"/>
          <w:b w:val="0"/>
          <w:szCs w:val="24"/>
        </w:rPr>
        <w:t>on</w:t>
      </w:r>
      <w:r w:rsidR="006F5C9D" w:rsidRPr="000E2377">
        <w:rPr>
          <w:rFonts w:cs="Times New Roman"/>
          <w:b w:val="0"/>
          <w:szCs w:val="24"/>
        </w:rPr>
        <w:t xml:space="preserve"> </w:t>
      </w:r>
      <w:r w:rsidR="00E43D8B" w:rsidRPr="000E2377">
        <w:rPr>
          <w:rFonts w:cs="Times New Roman"/>
          <w:b w:val="0"/>
          <w:szCs w:val="24"/>
        </w:rPr>
        <w:t>increasing magnesia, the hardness, brittleness and modulus</w:t>
      </w:r>
      <w:r w:rsidR="006F5C9D">
        <w:rPr>
          <w:rFonts w:cs="Times New Roman"/>
          <w:b w:val="0"/>
          <w:szCs w:val="24"/>
        </w:rPr>
        <w:t xml:space="preserve"> </w:t>
      </w:r>
      <w:r w:rsidR="00284CC3">
        <w:rPr>
          <w:rFonts w:cs="Times New Roman"/>
          <w:b w:val="0"/>
          <w:szCs w:val="24"/>
        </w:rPr>
        <w:t>d</w:t>
      </w:r>
      <w:r w:rsidR="00E43D8B" w:rsidRPr="000E2377">
        <w:rPr>
          <w:rFonts w:cs="Times New Roman"/>
          <w:b w:val="0"/>
          <w:szCs w:val="24"/>
        </w:rPr>
        <w:t>ecreased while the toughness value</w:t>
      </w:r>
      <w:r w:rsidR="006F5C9D">
        <w:rPr>
          <w:rFonts w:cs="Times New Roman"/>
          <w:b w:val="0"/>
          <w:szCs w:val="24"/>
        </w:rPr>
        <w:t>s</w:t>
      </w:r>
      <w:r w:rsidR="00E43D8B" w:rsidRPr="000E2377">
        <w:rPr>
          <w:rFonts w:cs="Times New Roman"/>
          <w:b w:val="0"/>
          <w:szCs w:val="24"/>
        </w:rPr>
        <w:t xml:space="preserve"> </w:t>
      </w:r>
      <w:r w:rsidR="008A75C0">
        <w:rPr>
          <w:rFonts w:cs="Times New Roman"/>
          <w:b w:val="0"/>
          <w:szCs w:val="24"/>
        </w:rPr>
        <w:t>increased</w:t>
      </w:r>
      <w:r w:rsidR="001D77BB">
        <w:rPr>
          <w:rFonts w:cs="Times New Roman"/>
          <w:b w:val="0"/>
          <w:szCs w:val="24"/>
        </w:rPr>
        <w:t>.</w:t>
      </w:r>
      <w:r w:rsidR="00E43D8B" w:rsidRPr="000E2377">
        <w:rPr>
          <w:rFonts w:cs="Times New Roman"/>
          <w:b w:val="0"/>
          <w:szCs w:val="24"/>
        </w:rPr>
        <w:t xml:space="preserve"> </w:t>
      </w:r>
      <w:r w:rsidR="00BA2277">
        <w:rPr>
          <w:rFonts w:cs="Times New Roman"/>
          <w:b w:val="0"/>
          <w:szCs w:val="24"/>
        </w:rPr>
        <w:t>Meanwhile</w:t>
      </w:r>
      <w:r w:rsidR="006208BB">
        <w:rPr>
          <w:rFonts w:cs="Times New Roman"/>
          <w:b w:val="0"/>
          <w:szCs w:val="24"/>
        </w:rPr>
        <w:t>,</w:t>
      </w:r>
      <w:r w:rsidR="00BA2277">
        <w:rPr>
          <w:rFonts w:cs="Times New Roman"/>
          <w:b w:val="0"/>
          <w:szCs w:val="24"/>
        </w:rPr>
        <w:t xml:space="preserve"> </w:t>
      </w:r>
      <w:r w:rsidR="006B07E6">
        <w:rPr>
          <w:rFonts w:cs="Times New Roman"/>
          <w:b w:val="0"/>
          <w:szCs w:val="24"/>
        </w:rPr>
        <w:fldChar w:fldCharType="begin" w:fldLock="1"/>
      </w:r>
      <w:r w:rsidR="006B07E6">
        <w:rPr>
          <w:rFonts w:cs="Times New Roman"/>
          <w:b w:val="0"/>
          <w:szCs w:val="24"/>
        </w:rPr>
        <w:instrText>ADDIN CSL_CITATION { "citationItems" : [ { "id" : "ITEM-1", "itemData" : { "DOI" : "10.1016/j.jnoncrysol.2012.03.029", "ISSN" : "00223093", "abstract" : "Vickers indentation measurements were carried out on borate, silicate and aluminophosphate glasses, each series comprised of samples of different relative alkali ratios (Na/Na + Li). All the glass series exhibited nonlinear variations of hardness with relative alkali ratio, which was attributed to the reduced plastic flow of mixed alkali glasses. The mixed alkali effect was also present in the length of radial cracks although less strongly than in hardness. Using a semi-empirical model, the variations of residual stresses and fracture toughness were estimated. ?? 2012 Elsevier B.V. All rights reserved.", "author" : [ { "dropping-particle" : "", "family" : "Mohajerani", "given" : "a.", "non-dropping-particle" : "", "parse-names" : false, "suffix" : "" }, { "dropping-particle" : "", "family" : "Zwanziger", "given" : "J. W.", "non-dropping-particle" : "", "parse-names" : false, "suffix" : "" } ], "container-title" : "Journal of Non-Crystalline Solids", "id" : "ITEM-1", "issue" : "12-13", "issued" : { "date-parts" : [ [ "2012" ] ] }, "page" : "1474-1479", "publisher" : "Elsevier B.V.", "title" : "Mixed alkali effect on Vickers hardness and cracking", "type" : "article-journal", "volume" : "358" }, "uris" : [ "http://www.mendeley.com/documents/?uuid=6997a2cc-2cf4-4533-9ac5-7b2e0ddd5e97" ] } ], "mendeley" : { "formattedCitation" : "(Mohajerani &amp; Zwanziger, 2012)", "manualFormatting" : "Mohajerani &amp; Zwanziger, (2012)", "plainTextFormattedCitation" : "(Mohajerani &amp; Zwanziger, 2012)", "previouslyFormattedCitation" : "(Mohajerani &amp; Zwanziger, 2012)" }, "properties" : { "noteIndex" : 32 }, "schema" : "https://github.com/citation-style-language/schema/raw/master/csl-citation.json" }</w:instrText>
      </w:r>
      <w:r w:rsidR="006B07E6">
        <w:rPr>
          <w:rFonts w:cs="Times New Roman"/>
          <w:b w:val="0"/>
          <w:szCs w:val="24"/>
        </w:rPr>
        <w:fldChar w:fldCharType="separate"/>
      </w:r>
      <w:r w:rsidR="006B07E6" w:rsidRPr="006B07E6">
        <w:rPr>
          <w:rFonts w:cs="Times New Roman"/>
          <w:b w:val="0"/>
          <w:noProof/>
          <w:szCs w:val="24"/>
        </w:rPr>
        <w:t xml:space="preserve">Mohajerani &amp; Zwanziger, </w:t>
      </w:r>
      <w:r w:rsidR="006B07E6">
        <w:rPr>
          <w:rFonts w:cs="Times New Roman"/>
          <w:b w:val="0"/>
          <w:noProof/>
          <w:szCs w:val="24"/>
        </w:rPr>
        <w:t>(</w:t>
      </w:r>
      <w:r w:rsidR="006B07E6" w:rsidRPr="006B07E6">
        <w:rPr>
          <w:rFonts w:cs="Times New Roman"/>
          <w:b w:val="0"/>
          <w:noProof/>
          <w:szCs w:val="24"/>
        </w:rPr>
        <w:t>2012)</w:t>
      </w:r>
      <w:r w:rsidR="006B07E6">
        <w:rPr>
          <w:rFonts w:cs="Times New Roman"/>
          <w:b w:val="0"/>
          <w:szCs w:val="24"/>
        </w:rPr>
        <w:fldChar w:fldCharType="end"/>
      </w:r>
      <w:r w:rsidR="006B07E6">
        <w:rPr>
          <w:rFonts w:cs="Times New Roman"/>
          <w:b w:val="0"/>
          <w:szCs w:val="24"/>
        </w:rPr>
        <w:t xml:space="preserve"> also studied </w:t>
      </w:r>
      <w:r w:rsidR="006F5C9D">
        <w:rPr>
          <w:rFonts w:cs="Times New Roman"/>
          <w:b w:val="0"/>
          <w:szCs w:val="24"/>
        </w:rPr>
        <w:t xml:space="preserve">the </w:t>
      </w:r>
      <w:r w:rsidR="006B07E6">
        <w:rPr>
          <w:rFonts w:cs="Times New Roman"/>
          <w:b w:val="0"/>
          <w:szCs w:val="24"/>
        </w:rPr>
        <w:t xml:space="preserve">mixed alkali effect and focused </w:t>
      </w:r>
      <w:r w:rsidR="001546D1">
        <w:rPr>
          <w:rFonts w:cs="Times New Roman"/>
          <w:b w:val="0"/>
          <w:szCs w:val="24"/>
        </w:rPr>
        <w:t xml:space="preserve">on Vickers hardness and cracking with </w:t>
      </w:r>
      <w:r w:rsidR="00284CC3">
        <w:rPr>
          <w:rFonts w:cs="Times New Roman"/>
          <w:b w:val="0"/>
          <w:szCs w:val="24"/>
        </w:rPr>
        <w:t xml:space="preserve">a </w:t>
      </w:r>
      <w:r w:rsidR="001546D1">
        <w:rPr>
          <w:rFonts w:cs="Times New Roman"/>
          <w:b w:val="0"/>
          <w:szCs w:val="24"/>
        </w:rPr>
        <w:t xml:space="preserve">variation of composition used which are </w:t>
      </w:r>
      <w:r w:rsidR="001546D1" w:rsidRPr="001546D1">
        <w:rPr>
          <w:rFonts w:cs="Times New Roman"/>
          <w:b w:val="0"/>
          <w:szCs w:val="24"/>
        </w:rPr>
        <w:t>60SiO</w:t>
      </w:r>
      <w:r w:rsidR="001546D1" w:rsidRPr="001546D1">
        <w:rPr>
          <w:rFonts w:cs="Times New Roman"/>
          <w:b w:val="0"/>
          <w:szCs w:val="24"/>
          <w:vertAlign w:val="subscript"/>
        </w:rPr>
        <w:t>2</w:t>
      </w:r>
      <w:r w:rsidR="001546D1" w:rsidRPr="001546D1">
        <w:rPr>
          <w:rFonts w:cs="Times New Roman"/>
          <w:b w:val="0"/>
          <w:szCs w:val="24"/>
        </w:rPr>
        <w:t>–40M</w:t>
      </w:r>
      <w:r w:rsidR="001546D1" w:rsidRPr="001546D1">
        <w:rPr>
          <w:rFonts w:cs="Times New Roman"/>
          <w:b w:val="0"/>
          <w:szCs w:val="24"/>
          <w:vertAlign w:val="subscript"/>
        </w:rPr>
        <w:t>2</w:t>
      </w:r>
      <w:r w:rsidR="001546D1" w:rsidRPr="001546D1">
        <w:rPr>
          <w:rFonts w:cs="Times New Roman"/>
          <w:b w:val="0"/>
          <w:szCs w:val="24"/>
        </w:rPr>
        <w:t>O</w:t>
      </w:r>
      <w:r w:rsidR="001546D1">
        <w:rPr>
          <w:rFonts w:cs="Times New Roman"/>
          <w:b w:val="0"/>
          <w:szCs w:val="24"/>
        </w:rPr>
        <w:t xml:space="preserve">, </w:t>
      </w:r>
      <w:r w:rsidR="001546D1" w:rsidRPr="001546D1">
        <w:rPr>
          <w:rFonts w:cs="Times New Roman"/>
          <w:b w:val="0"/>
          <w:szCs w:val="24"/>
        </w:rPr>
        <w:t>70B</w:t>
      </w:r>
      <w:r w:rsidR="001546D1" w:rsidRPr="001546D1">
        <w:rPr>
          <w:rFonts w:cs="Times New Roman"/>
          <w:b w:val="0"/>
          <w:szCs w:val="24"/>
          <w:vertAlign w:val="subscript"/>
        </w:rPr>
        <w:t>2</w:t>
      </w:r>
      <w:r w:rsidR="001546D1" w:rsidRPr="001546D1">
        <w:rPr>
          <w:rFonts w:cs="Times New Roman"/>
          <w:b w:val="0"/>
          <w:szCs w:val="24"/>
        </w:rPr>
        <w:t>O</w:t>
      </w:r>
      <w:r w:rsidR="001546D1" w:rsidRPr="001546D1">
        <w:rPr>
          <w:rFonts w:cs="Times New Roman"/>
          <w:b w:val="0"/>
          <w:szCs w:val="24"/>
          <w:vertAlign w:val="subscript"/>
        </w:rPr>
        <w:t>3</w:t>
      </w:r>
      <w:r w:rsidR="001546D1" w:rsidRPr="001546D1">
        <w:rPr>
          <w:rFonts w:cs="Times New Roman"/>
          <w:b w:val="0"/>
          <w:szCs w:val="24"/>
        </w:rPr>
        <w:t>–30M</w:t>
      </w:r>
      <w:r w:rsidR="001546D1" w:rsidRPr="001546D1">
        <w:rPr>
          <w:rFonts w:cs="Times New Roman"/>
          <w:b w:val="0"/>
          <w:szCs w:val="24"/>
          <w:vertAlign w:val="subscript"/>
        </w:rPr>
        <w:t>2</w:t>
      </w:r>
      <w:r w:rsidR="001546D1" w:rsidRPr="001546D1">
        <w:rPr>
          <w:rFonts w:cs="Times New Roman"/>
          <w:b w:val="0"/>
          <w:szCs w:val="24"/>
        </w:rPr>
        <w:t>O and 46P</w:t>
      </w:r>
      <w:r w:rsidR="001546D1" w:rsidRPr="001546D1">
        <w:rPr>
          <w:rFonts w:cs="Times New Roman"/>
          <w:b w:val="0"/>
          <w:szCs w:val="24"/>
          <w:vertAlign w:val="subscript"/>
        </w:rPr>
        <w:t>2</w:t>
      </w:r>
      <w:r w:rsidR="001546D1" w:rsidRPr="001546D1">
        <w:rPr>
          <w:rFonts w:cs="Times New Roman"/>
          <w:b w:val="0"/>
          <w:szCs w:val="24"/>
        </w:rPr>
        <w:t>O</w:t>
      </w:r>
      <w:r w:rsidR="001546D1" w:rsidRPr="001546D1">
        <w:rPr>
          <w:rFonts w:cs="Times New Roman"/>
          <w:b w:val="0"/>
          <w:szCs w:val="24"/>
          <w:vertAlign w:val="subscript"/>
        </w:rPr>
        <w:t>5</w:t>
      </w:r>
      <w:r w:rsidR="001546D1" w:rsidRPr="001546D1">
        <w:rPr>
          <w:rFonts w:cs="Times New Roman"/>
          <w:b w:val="0"/>
          <w:szCs w:val="24"/>
        </w:rPr>
        <w:t xml:space="preserve">– </w:t>
      </w:r>
      <w:r w:rsidR="00754BF1" w:rsidRPr="001546D1">
        <w:rPr>
          <w:rFonts w:cs="Times New Roman"/>
          <w:b w:val="0"/>
          <w:szCs w:val="24"/>
        </w:rPr>
        <w:t>8A</w:t>
      </w:r>
      <w:r w:rsidR="00754BF1">
        <w:rPr>
          <w:rFonts w:cs="Times New Roman"/>
          <w:b w:val="0"/>
          <w:szCs w:val="24"/>
        </w:rPr>
        <w:t>l</w:t>
      </w:r>
      <w:r w:rsidR="00754BF1" w:rsidRPr="001546D1">
        <w:rPr>
          <w:rFonts w:cs="Times New Roman"/>
          <w:b w:val="0"/>
          <w:szCs w:val="24"/>
          <w:vertAlign w:val="subscript"/>
        </w:rPr>
        <w:t>2</w:t>
      </w:r>
      <w:r w:rsidR="00754BF1" w:rsidRPr="001546D1">
        <w:rPr>
          <w:rFonts w:cs="Times New Roman"/>
          <w:b w:val="0"/>
          <w:szCs w:val="24"/>
        </w:rPr>
        <w:t>O</w:t>
      </w:r>
      <w:r w:rsidR="00754BF1" w:rsidRPr="001546D1">
        <w:rPr>
          <w:rFonts w:cs="Times New Roman"/>
          <w:b w:val="0"/>
          <w:szCs w:val="24"/>
          <w:vertAlign w:val="subscript"/>
        </w:rPr>
        <w:t>3</w:t>
      </w:r>
      <w:r w:rsidR="001546D1" w:rsidRPr="001546D1">
        <w:rPr>
          <w:rFonts w:cs="Times New Roman"/>
          <w:b w:val="0"/>
          <w:szCs w:val="24"/>
        </w:rPr>
        <w:t>–46M</w:t>
      </w:r>
      <w:r w:rsidR="001546D1" w:rsidRPr="001546D1">
        <w:rPr>
          <w:rFonts w:cs="Times New Roman"/>
          <w:b w:val="0"/>
          <w:szCs w:val="24"/>
          <w:vertAlign w:val="subscript"/>
        </w:rPr>
        <w:t>2</w:t>
      </w:r>
      <w:r w:rsidR="001546D1" w:rsidRPr="001546D1">
        <w:rPr>
          <w:rFonts w:cs="Times New Roman"/>
          <w:b w:val="0"/>
          <w:szCs w:val="24"/>
        </w:rPr>
        <w:t>O</w:t>
      </w:r>
      <w:r w:rsidR="001546D1">
        <w:rPr>
          <w:rFonts w:cs="Times New Roman"/>
          <w:b w:val="0"/>
          <w:szCs w:val="24"/>
        </w:rPr>
        <w:t xml:space="preserve"> and M</w:t>
      </w:r>
      <w:r w:rsidR="001546D1" w:rsidRPr="001546D1">
        <w:rPr>
          <w:rFonts w:cs="Times New Roman"/>
          <w:b w:val="0"/>
          <w:szCs w:val="24"/>
          <w:vertAlign w:val="subscript"/>
        </w:rPr>
        <w:t>2</w:t>
      </w:r>
      <w:r w:rsidR="001546D1">
        <w:rPr>
          <w:rFonts w:cs="Times New Roman"/>
          <w:b w:val="0"/>
          <w:szCs w:val="24"/>
        </w:rPr>
        <w:t xml:space="preserve">O is </w:t>
      </w:r>
      <w:r w:rsidR="003D243C">
        <w:rPr>
          <w:rFonts w:cs="Times New Roman"/>
          <w:b w:val="0"/>
          <w:szCs w:val="24"/>
        </w:rPr>
        <w:t>LiO</w:t>
      </w:r>
      <w:r w:rsidR="003D243C" w:rsidRPr="00754BF1">
        <w:rPr>
          <w:rFonts w:cs="Times New Roman"/>
          <w:b w:val="0"/>
          <w:szCs w:val="24"/>
          <w:vertAlign w:val="subscript"/>
        </w:rPr>
        <w:t>2</w:t>
      </w:r>
      <w:r w:rsidR="003D243C">
        <w:rPr>
          <w:rFonts w:cs="Times New Roman"/>
          <w:b w:val="0"/>
          <w:szCs w:val="24"/>
        </w:rPr>
        <w:t xml:space="preserve"> and </w:t>
      </w:r>
      <w:r w:rsidR="00754BF1">
        <w:rPr>
          <w:rFonts w:cs="Times New Roman"/>
          <w:b w:val="0"/>
          <w:szCs w:val="24"/>
        </w:rPr>
        <w:t>Na</w:t>
      </w:r>
      <w:r w:rsidR="00754BF1" w:rsidRPr="00754BF1">
        <w:rPr>
          <w:rFonts w:cs="Times New Roman"/>
          <w:b w:val="0"/>
          <w:szCs w:val="24"/>
          <w:vertAlign w:val="subscript"/>
        </w:rPr>
        <w:t>2</w:t>
      </w:r>
      <w:r w:rsidR="00754BF1">
        <w:rPr>
          <w:rFonts w:cs="Times New Roman"/>
          <w:b w:val="0"/>
          <w:szCs w:val="24"/>
        </w:rPr>
        <w:t xml:space="preserve">O. </w:t>
      </w:r>
      <w:r w:rsidR="006F5C9D">
        <w:rPr>
          <w:rFonts w:cs="Times New Roman"/>
          <w:b w:val="0"/>
          <w:szCs w:val="24"/>
        </w:rPr>
        <w:t>They found</w:t>
      </w:r>
      <w:r w:rsidR="00754BF1">
        <w:rPr>
          <w:rFonts w:cs="Times New Roman"/>
          <w:b w:val="0"/>
          <w:szCs w:val="24"/>
        </w:rPr>
        <w:t xml:space="preserve"> that </w:t>
      </w:r>
      <w:r w:rsidR="006F5C9D">
        <w:rPr>
          <w:rFonts w:cs="Times New Roman"/>
          <w:b w:val="0"/>
          <w:szCs w:val="24"/>
        </w:rPr>
        <w:t xml:space="preserve">the </w:t>
      </w:r>
      <w:r w:rsidR="00754BF1">
        <w:rPr>
          <w:rFonts w:cs="Times New Roman"/>
          <w:b w:val="0"/>
          <w:szCs w:val="24"/>
        </w:rPr>
        <w:t xml:space="preserve">glass with mixed alkali oxides produced </w:t>
      </w:r>
      <w:r w:rsidR="00754BF1" w:rsidRPr="00754BF1">
        <w:rPr>
          <w:rFonts w:cs="Times New Roman"/>
          <w:b w:val="0"/>
          <w:szCs w:val="24"/>
        </w:rPr>
        <w:t>shorter</w:t>
      </w:r>
      <w:r w:rsidR="00754BF1">
        <w:rPr>
          <w:rFonts w:cs="Times New Roman"/>
          <w:b w:val="0"/>
          <w:szCs w:val="24"/>
        </w:rPr>
        <w:t xml:space="preserve"> cracks</w:t>
      </w:r>
      <w:r w:rsidR="00754BF1" w:rsidRPr="00754BF1">
        <w:rPr>
          <w:rFonts w:cs="Times New Roman"/>
          <w:b w:val="0"/>
          <w:szCs w:val="24"/>
        </w:rPr>
        <w:t xml:space="preserve"> than </w:t>
      </w:r>
      <w:r w:rsidR="006F5C9D">
        <w:rPr>
          <w:rFonts w:cs="Times New Roman"/>
          <w:b w:val="0"/>
          <w:szCs w:val="24"/>
        </w:rPr>
        <w:t>the glasses containing</w:t>
      </w:r>
      <w:r w:rsidR="006F5C9D" w:rsidRPr="00754BF1">
        <w:rPr>
          <w:rFonts w:cs="Times New Roman"/>
          <w:b w:val="0"/>
          <w:szCs w:val="24"/>
        </w:rPr>
        <w:t xml:space="preserve"> </w:t>
      </w:r>
      <w:r w:rsidR="00754BF1" w:rsidRPr="00754BF1">
        <w:rPr>
          <w:rFonts w:cs="Times New Roman"/>
          <w:b w:val="0"/>
          <w:szCs w:val="24"/>
        </w:rPr>
        <w:t>the single alkali</w:t>
      </w:r>
      <w:r w:rsidR="00754BF1">
        <w:rPr>
          <w:rFonts w:cs="Times New Roman"/>
          <w:b w:val="0"/>
          <w:szCs w:val="24"/>
        </w:rPr>
        <w:t xml:space="preserve">. It </w:t>
      </w:r>
      <w:r w:rsidR="006F5C9D">
        <w:rPr>
          <w:rFonts w:cs="Times New Roman"/>
          <w:b w:val="0"/>
          <w:szCs w:val="24"/>
        </w:rPr>
        <w:t xml:space="preserve">was </w:t>
      </w:r>
      <w:r w:rsidR="00754BF1">
        <w:rPr>
          <w:rFonts w:cs="Times New Roman"/>
          <w:b w:val="0"/>
          <w:szCs w:val="24"/>
        </w:rPr>
        <w:t xml:space="preserve">also noted that, in between three glass series produced, glass with mixed alkaline effect produced high hardness </w:t>
      </w:r>
      <w:r w:rsidR="0040421F" w:rsidRPr="0040421F">
        <w:rPr>
          <w:rFonts w:cs="Times New Roman"/>
          <w:b w:val="0"/>
          <w:szCs w:val="24"/>
        </w:rPr>
        <w:t xml:space="preserve">due to their reduced plastic deformation </w:t>
      </w:r>
      <w:r w:rsidR="00754BF1">
        <w:rPr>
          <w:rFonts w:cs="Times New Roman"/>
          <w:b w:val="0"/>
          <w:szCs w:val="24"/>
        </w:rPr>
        <w:t>and low glass transition temperature</w:t>
      </w:r>
      <w:r w:rsidR="006F5C9D">
        <w:rPr>
          <w:rFonts w:cs="Times New Roman"/>
          <w:b w:val="0"/>
          <w:szCs w:val="24"/>
        </w:rPr>
        <w:t>s</w:t>
      </w:r>
      <w:r w:rsidR="00754BF1">
        <w:rPr>
          <w:rFonts w:cs="Times New Roman"/>
          <w:b w:val="0"/>
          <w:szCs w:val="24"/>
        </w:rPr>
        <w:t xml:space="preserve"> compared to single alkali glasses. </w:t>
      </w:r>
    </w:p>
    <w:p w14:paraId="5A451622" w14:textId="3AC1D33D" w:rsidR="008F1248" w:rsidRDefault="008F1248" w:rsidP="00ED6080">
      <w:pPr>
        <w:spacing w:after="0" w:line="360" w:lineRule="auto"/>
        <w:jc w:val="both"/>
        <w:rPr>
          <w:rFonts w:cs="Times New Roman"/>
          <w:b w:val="0"/>
          <w:szCs w:val="24"/>
        </w:rPr>
      </w:pPr>
    </w:p>
    <w:p w14:paraId="38D19950" w14:textId="77777777" w:rsidR="0049531B" w:rsidRDefault="0049531B" w:rsidP="00ED6080">
      <w:pPr>
        <w:spacing w:after="0" w:line="360" w:lineRule="auto"/>
        <w:jc w:val="both"/>
        <w:rPr>
          <w:rFonts w:cs="Times New Roman"/>
          <w:b w:val="0"/>
          <w:szCs w:val="24"/>
        </w:rPr>
      </w:pPr>
    </w:p>
    <w:p w14:paraId="546C043B" w14:textId="122D61E7" w:rsidR="0064576E" w:rsidRDefault="0064576E" w:rsidP="00ED6080">
      <w:pPr>
        <w:spacing w:after="0" w:line="360" w:lineRule="auto"/>
        <w:jc w:val="both"/>
        <w:rPr>
          <w:rFonts w:asciiTheme="majorBidi" w:hAnsiTheme="majorBidi" w:cstheme="majorBidi"/>
          <w:b w:val="0"/>
          <w:szCs w:val="24"/>
        </w:rPr>
      </w:pPr>
      <w:r w:rsidRPr="000E2377">
        <w:rPr>
          <w:rFonts w:cs="Times New Roman"/>
          <w:b w:val="0"/>
          <w:szCs w:val="24"/>
        </w:rPr>
        <w:lastRenderedPageBreak/>
        <w:t>Mixed alkaline earth</w:t>
      </w:r>
      <w:r w:rsidR="00534B7D" w:rsidRPr="000E2377">
        <w:rPr>
          <w:rFonts w:cs="Times New Roman"/>
          <w:b w:val="0"/>
          <w:szCs w:val="24"/>
        </w:rPr>
        <w:t>s</w:t>
      </w:r>
      <w:r w:rsidRPr="000E2377">
        <w:rPr>
          <w:rFonts w:cs="Times New Roman"/>
          <w:b w:val="0"/>
          <w:szCs w:val="24"/>
        </w:rPr>
        <w:t xml:space="preserve"> are very important in silicate</w:t>
      </w:r>
      <w:r w:rsidR="00534B7D" w:rsidRPr="000E2377">
        <w:rPr>
          <w:rFonts w:cs="Times New Roman"/>
          <w:b w:val="0"/>
          <w:szCs w:val="24"/>
        </w:rPr>
        <w:t>s</w:t>
      </w:r>
      <w:r w:rsidRPr="000E2377">
        <w:rPr>
          <w:rFonts w:cs="Times New Roman"/>
          <w:b w:val="0"/>
          <w:szCs w:val="24"/>
        </w:rPr>
        <w:t xml:space="preserve"> and aluminosilicate</w:t>
      </w:r>
      <w:r w:rsidR="00534B7D" w:rsidRPr="000E2377">
        <w:rPr>
          <w:rFonts w:cs="Times New Roman"/>
          <w:b w:val="0"/>
          <w:szCs w:val="24"/>
        </w:rPr>
        <w:t>s</w:t>
      </w:r>
      <w:r w:rsidRPr="000E2377">
        <w:rPr>
          <w:rFonts w:cs="Times New Roman"/>
          <w:b w:val="0"/>
          <w:szCs w:val="24"/>
        </w:rPr>
        <w:t xml:space="preserve"> due to their important application for chemically </w:t>
      </w:r>
      <w:r w:rsidR="00F6745A" w:rsidRPr="000E2377">
        <w:rPr>
          <w:rFonts w:cs="Times New Roman"/>
          <w:b w:val="0"/>
          <w:szCs w:val="24"/>
        </w:rPr>
        <w:t>strength</w:t>
      </w:r>
      <w:r w:rsidR="00F6745A">
        <w:rPr>
          <w:rFonts w:cs="Times New Roman"/>
          <w:b w:val="0"/>
          <w:szCs w:val="24"/>
        </w:rPr>
        <w:t>en</w:t>
      </w:r>
      <w:r w:rsidRPr="000E2377">
        <w:rPr>
          <w:rFonts w:cs="Times New Roman"/>
          <w:b w:val="0"/>
          <w:szCs w:val="24"/>
        </w:rPr>
        <w:t xml:space="preserve"> glass such as personal electric devices </w:t>
      </w:r>
      <w:r w:rsidRPr="000E2377">
        <w:rPr>
          <w:rFonts w:cs="Times New Roman"/>
          <w:b w:val="0"/>
          <w:szCs w:val="24"/>
        </w:rPr>
        <w:fldChar w:fldCharType="begin" w:fldLock="1"/>
      </w:r>
      <w:r w:rsidR="002A61DC" w:rsidRPr="000E2377">
        <w:rPr>
          <w:rFonts w:cs="Times New Roman"/>
          <w:b w:val="0"/>
          <w:szCs w:val="24"/>
        </w:rPr>
        <w:instrText>ADDIN CSL_CITATION { "citationItems" : [ { "id" : "ITEM-1", "itemData" : { "DOI" : "10.1111/j.2041-1294.2010.00010.x", "ISSN" : "20411286", "author" : [ { "dropping-particle" : "", "family" : "Varshneya", "given" : "Arun K.", "non-dropping-particle" : "", "parse-names" : false, "suffix" : "" } ], "container-title" : "International Journal of Applied Glass Science", "id" : "ITEM-1", "issue" : "2", "issued" : { "date-parts" : [ [ "2010", "3", "29" ] ] }, "page" : "131-142", "title" : "Chemical Strengthening of Glass: Lessons Learned and Yet To Be Learned", "type" : "article-journal", "volume" : "1" }, "uris" : [ "http://www.mendeley.com/documents/?uuid=623d19e1-150b-4134-b83f-4244623e1724" ] } ], "mendeley" : { "formattedCitation" : "(Varshneya, 2010)", "plainTextFormattedCitation" : "(Varshneya, 2010)", "previouslyFormattedCitation" : "(Varshneya, 2010)" }, "properties" : { "noteIndex" : 0 }, "schema" : "https://github.com/citation-style-language/schema/raw/master/csl-citation.json" }</w:instrText>
      </w:r>
      <w:r w:rsidRPr="000E2377">
        <w:rPr>
          <w:rFonts w:cs="Times New Roman"/>
          <w:b w:val="0"/>
          <w:szCs w:val="24"/>
        </w:rPr>
        <w:fldChar w:fldCharType="separate"/>
      </w:r>
      <w:r w:rsidR="00793120" w:rsidRPr="000E2377">
        <w:rPr>
          <w:rFonts w:cs="Times New Roman"/>
          <w:b w:val="0"/>
          <w:noProof/>
          <w:szCs w:val="24"/>
        </w:rPr>
        <w:t>(Varshneya, 2010)</w:t>
      </w:r>
      <w:r w:rsidRPr="000E2377">
        <w:rPr>
          <w:rFonts w:cs="Times New Roman"/>
          <w:b w:val="0"/>
          <w:szCs w:val="24"/>
        </w:rPr>
        <w:fldChar w:fldCharType="end"/>
      </w:r>
      <w:r w:rsidRPr="000E2377">
        <w:rPr>
          <w:rFonts w:cs="Times New Roman"/>
          <w:b w:val="0"/>
          <w:szCs w:val="24"/>
        </w:rPr>
        <w:t xml:space="preserve">. </w:t>
      </w:r>
      <w:r w:rsidR="00534B7D" w:rsidRPr="000E2377">
        <w:rPr>
          <w:rFonts w:cs="Times New Roman"/>
          <w:b w:val="0"/>
          <w:szCs w:val="24"/>
        </w:rPr>
        <w:t xml:space="preserve">A study </w:t>
      </w:r>
      <w:r w:rsidRPr="000E2377">
        <w:rPr>
          <w:rFonts w:cs="Times New Roman"/>
          <w:b w:val="0"/>
          <w:szCs w:val="24"/>
        </w:rPr>
        <w:t>of mixed alkali alkaline earth</w:t>
      </w:r>
      <w:r w:rsidR="00534B7D" w:rsidRPr="000E2377">
        <w:rPr>
          <w:rFonts w:cs="Times New Roman"/>
          <w:b w:val="0"/>
          <w:szCs w:val="24"/>
        </w:rPr>
        <w:t>s</w:t>
      </w:r>
      <w:r w:rsidRPr="000E2377">
        <w:rPr>
          <w:rFonts w:cs="Times New Roman"/>
          <w:b w:val="0"/>
          <w:szCs w:val="24"/>
        </w:rPr>
        <w:t xml:space="preserve"> reveal</w:t>
      </w:r>
      <w:r w:rsidR="00CF47A0">
        <w:rPr>
          <w:rFonts w:cs="Times New Roman"/>
          <w:b w:val="0"/>
          <w:szCs w:val="24"/>
        </w:rPr>
        <w:t>ed</w:t>
      </w:r>
      <w:r w:rsidRPr="000E2377">
        <w:rPr>
          <w:rFonts w:cs="Times New Roman"/>
          <w:b w:val="0"/>
          <w:szCs w:val="24"/>
        </w:rPr>
        <w:t xml:space="preserve"> that </w:t>
      </w:r>
      <w:bookmarkStart w:id="124" w:name="_Hlk519374782"/>
      <w:r w:rsidR="00534B7D" w:rsidRPr="000E2377">
        <w:rPr>
          <w:rFonts w:cs="Times New Roman"/>
          <w:b w:val="0"/>
          <w:szCs w:val="24"/>
        </w:rPr>
        <w:t>addition of an alkali</w:t>
      </w:r>
      <w:r w:rsidR="00534B7D" w:rsidRPr="000E2377" w:rsidDel="00534B7D">
        <w:rPr>
          <w:rFonts w:cs="Times New Roman"/>
          <w:b w:val="0"/>
          <w:szCs w:val="24"/>
        </w:rPr>
        <w:t xml:space="preserve"> </w:t>
      </w:r>
      <w:r w:rsidRPr="000E2377">
        <w:rPr>
          <w:rFonts w:cs="Times New Roman"/>
          <w:b w:val="0"/>
          <w:szCs w:val="24"/>
        </w:rPr>
        <w:t xml:space="preserve">causes </w:t>
      </w:r>
      <w:r w:rsidR="002817E8">
        <w:rPr>
          <w:rFonts w:cs="Times New Roman"/>
          <w:b w:val="0"/>
          <w:szCs w:val="24"/>
        </w:rPr>
        <w:t>reduced</w:t>
      </w:r>
      <w:r w:rsidR="002817E8" w:rsidRPr="000E2377">
        <w:rPr>
          <w:rFonts w:cs="Times New Roman"/>
          <w:b w:val="0"/>
          <w:szCs w:val="24"/>
        </w:rPr>
        <w:t xml:space="preserve"> </w:t>
      </w:r>
      <w:r w:rsidRPr="000E2377">
        <w:rPr>
          <w:rFonts w:cs="Times New Roman"/>
          <w:b w:val="0"/>
          <w:szCs w:val="24"/>
        </w:rPr>
        <w:t>alkaline-earth mobility</w:t>
      </w:r>
      <w:r w:rsidR="00453B23">
        <w:rPr>
          <w:rFonts w:cs="Times New Roman"/>
          <w:b w:val="0"/>
          <w:szCs w:val="24"/>
        </w:rPr>
        <w:t xml:space="preserve"> </w:t>
      </w:r>
      <w:r w:rsidR="00453B23">
        <w:rPr>
          <w:rFonts w:cs="Times New Roman"/>
          <w:b w:val="0"/>
          <w:szCs w:val="24"/>
        </w:rPr>
        <w:fldChar w:fldCharType="begin" w:fldLock="1"/>
      </w:r>
      <w:r w:rsidR="00453B23">
        <w:rPr>
          <w:rFonts w:cs="Times New Roman"/>
          <w:b w:val="0"/>
          <w:szCs w:val="24"/>
        </w:rPr>
        <w:instrText>ADDIN CSL_CITATION { "citationItems" : [ { "id" : "ITEM-1", "itemData" : { "DOI" : "10.1016/j.ssi.2012.07.002", "ISSN" : "01672738", "abstract" : "Diffusion of alkali (A) and calcium ions (Ca) in mixed cation glasses of the composition A 2O ?? 2CaO ?? 4SiO 2 was investigated by impedance measurements and radiotracer diffusion under reducing forming gas atmosphere and x-ray irradiation below the respective glass transition temperatures. Under reducing atmosphere the mobility of the alkali ions is hampered by the presence of additional hydrogen, which gives rise to an effect comparable to the mixed alkali effect. The lower alkali ion diffusivity leads to a reduced alkali ion assisted enhancement of calcium diffusion and thus to lower calcium mobilities in Na 2O ?? 2CaO ?? 4SiO 2 and K 2O ?? 2CaO ?? 4SiO 2 glasses. However, in Li 2O ?? 2CaO ?? 4SiO 2 an enhancement in calcium diffusion is observed, which is explained by electrostatic and elastic forces. X-ray irradiation enhances the sodium mobility in Na 2O ?? 2CaO ?? 4SiO 2 at lower temperatures. The irradiation induces additional defects in the glass and causes breaking of sodium-oxygen bonds. However, the temperatures at which the x-ray irradiation affects the cation diffusion are too low to observe a measurable impact on the calcium mobility. ?? 2012 Elsevier B.V.", "author" : [ { "dropping-particle" : "", "family" : "Grofmeier", "given" : "M.", "non-dropping-particle" : "", "parse-names" : false, "suffix" : "" }, { "dropping-particle" : "", "family" : "Bracht", "given" : "H.", "non-dropping-particle" : "", "parse-names" : false, "suffix" : "" } ], "container-title" : "Solid State Ionics", "id" : "ITEM-1", "issued" : { "date-parts" : [ [ "2012" ] ] }, "page" : "47-52", "publisher" : "Elsevier B.V.", "title" : "Cation diffusion in mixed cation silicate glasses under non-equilibrium conditions", "type" : "article-journal", "volume" : "222-223" }, "uris" : [ "http://www.mendeley.com/documents/?uuid=1939ae7e-0b80-44e8-b390-cf6efbc3c28f" ] } ], "mendeley" : { "formattedCitation" : "(Grofmeier &amp; Bracht, 2012)", "plainTextFormattedCitation" : "(Grofmeier &amp; Bracht, 2012)", "previouslyFormattedCitation" : "(Grofmeier &amp; Bracht, 2012)" }, "properties" : { "noteIndex" : 28 }, "schema" : "https://github.com/citation-style-language/schema/raw/master/csl-citation.json" }</w:instrText>
      </w:r>
      <w:r w:rsidR="00453B23">
        <w:rPr>
          <w:rFonts w:cs="Times New Roman"/>
          <w:b w:val="0"/>
          <w:szCs w:val="24"/>
        </w:rPr>
        <w:fldChar w:fldCharType="separate"/>
      </w:r>
      <w:r w:rsidR="00453B23" w:rsidRPr="00453B23">
        <w:rPr>
          <w:rFonts w:cs="Times New Roman"/>
          <w:b w:val="0"/>
          <w:noProof/>
          <w:szCs w:val="24"/>
        </w:rPr>
        <w:t>(Grofmeier &amp; Bracht, 2012)</w:t>
      </w:r>
      <w:r w:rsidR="00453B23">
        <w:rPr>
          <w:rFonts w:cs="Times New Roman"/>
          <w:b w:val="0"/>
          <w:szCs w:val="24"/>
        </w:rPr>
        <w:fldChar w:fldCharType="end"/>
      </w:r>
      <w:r w:rsidRPr="000E2377">
        <w:rPr>
          <w:rFonts w:cs="Times New Roman"/>
          <w:b w:val="0"/>
          <w:szCs w:val="24"/>
        </w:rPr>
        <w:t xml:space="preserve">. </w:t>
      </w:r>
      <w:r w:rsidR="006F5C9D" w:rsidRPr="000E2377">
        <w:rPr>
          <w:rFonts w:cs="Times New Roman"/>
          <w:b w:val="0"/>
          <w:szCs w:val="24"/>
        </w:rPr>
        <w:t>Th</w:t>
      </w:r>
      <w:r w:rsidR="006F5C9D">
        <w:rPr>
          <w:rFonts w:cs="Times New Roman"/>
          <w:b w:val="0"/>
          <w:szCs w:val="24"/>
        </w:rPr>
        <w:t>is</w:t>
      </w:r>
      <w:r w:rsidR="006F5C9D" w:rsidRPr="000E2377">
        <w:rPr>
          <w:rFonts w:cs="Times New Roman"/>
          <w:b w:val="0"/>
          <w:szCs w:val="24"/>
        </w:rPr>
        <w:t xml:space="preserve"> </w:t>
      </w:r>
      <w:r w:rsidRPr="000E2377">
        <w:rPr>
          <w:rFonts w:cs="Times New Roman"/>
          <w:b w:val="0"/>
          <w:szCs w:val="24"/>
        </w:rPr>
        <w:t xml:space="preserve">is </w:t>
      </w:r>
      <w:r w:rsidR="006F5C9D">
        <w:rPr>
          <w:rFonts w:cs="Times New Roman"/>
          <w:b w:val="0"/>
          <w:szCs w:val="24"/>
        </w:rPr>
        <w:t>in</w:t>
      </w:r>
      <w:r w:rsidR="00CF47A0">
        <w:rPr>
          <w:rFonts w:cs="Times New Roman"/>
          <w:b w:val="0"/>
          <w:szCs w:val="24"/>
        </w:rPr>
        <w:t xml:space="preserve"> </w:t>
      </w:r>
      <w:r w:rsidRPr="000E2377">
        <w:rPr>
          <w:rFonts w:cs="Times New Roman"/>
          <w:b w:val="0"/>
          <w:szCs w:val="24"/>
        </w:rPr>
        <w:t xml:space="preserve">contrast </w:t>
      </w:r>
      <w:r w:rsidR="00534B7D" w:rsidRPr="000E2377">
        <w:rPr>
          <w:rFonts w:cs="Times New Roman"/>
          <w:b w:val="0"/>
          <w:szCs w:val="24"/>
        </w:rPr>
        <w:t>with</w:t>
      </w:r>
      <w:r w:rsidR="00EA07F9" w:rsidRPr="000E2377">
        <w:rPr>
          <w:rFonts w:cs="Times New Roman"/>
          <w:b w:val="0"/>
          <w:szCs w:val="24"/>
        </w:rPr>
        <w:t xml:space="preserve"> </w:t>
      </w:r>
      <w:r w:rsidRPr="000E2377">
        <w:rPr>
          <w:rFonts w:cs="Times New Roman"/>
          <w:b w:val="0"/>
          <w:szCs w:val="24"/>
        </w:rPr>
        <w:t>mixed alkali</w:t>
      </w:r>
      <w:r w:rsidR="00534B7D" w:rsidRPr="000E2377">
        <w:rPr>
          <w:rFonts w:cs="Times New Roman"/>
          <w:b w:val="0"/>
          <w:szCs w:val="24"/>
        </w:rPr>
        <w:t>s</w:t>
      </w:r>
      <w:r w:rsidRPr="000E2377">
        <w:rPr>
          <w:rFonts w:cs="Times New Roman"/>
          <w:b w:val="0"/>
          <w:szCs w:val="24"/>
        </w:rPr>
        <w:t xml:space="preserve"> </w:t>
      </w:r>
      <w:r w:rsidR="00534B7D" w:rsidRPr="000E2377">
        <w:rPr>
          <w:rFonts w:cs="Times New Roman"/>
          <w:b w:val="0"/>
          <w:szCs w:val="24"/>
        </w:rPr>
        <w:t>when the presence of two alkalis</w:t>
      </w:r>
      <w:r w:rsidRPr="000E2377">
        <w:rPr>
          <w:rFonts w:cs="Times New Roman"/>
          <w:b w:val="0"/>
          <w:szCs w:val="24"/>
        </w:rPr>
        <w:t xml:space="preserve"> constrain</w:t>
      </w:r>
      <w:r w:rsidR="00534B7D" w:rsidRPr="000E2377">
        <w:rPr>
          <w:rFonts w:cs="Times New Roman"/>
          <w:b w:val="0"/>
          <w:szCs w:val="24"/>
        </w:rPr>
        <w:t>s</w:t>
      </w:r>
      <w:r w:rsidRPr="000E2377">
        <w:rPr>
          <w:rFonts w:cs="Times New Roman"/>
          <w:b w:val="0"/>
          <w:szCs w:val="24"/>
        </w:rPr>
        <w:t xml:space="preserve"> </w:t>
      </w:r>
      <w:r w:rsidR="00534B7D" w:rsidRPr="000E2377">
        <w:rPr>
          <w:rFonts w:cs="Times New Roman"/>
          <w:b w:val="0"/>
          <w:szCs w:val="24"/>
        </w:rPr>
        <w:t xml:space="preserve">the </w:t>
      </w:r>
      <w:r w:rsidRPr="000E2377">
        <w:rPr>
          <w:rFonts w:cs="Times New Roman"/>
          <w:b w:val="0"/>
          <w:szCs w:val="24"/>
        </w:rPr>
        <w:t xml:space="preserve">mobility </w:t>
      </w:r>
      <w:r w:rsidR="00534B7D" w:rsidRPr="000E2377">
        <w:rPr>
          <w:rFonts w:cs="Times New Roman"/>
          <w:b w:val="0"/>
          <w:szCs w:val="24"/>
        </w:rPr>
        <w:t>of both species</w:t>
      </w:r>
      <w:r w:rsidRPr="000E2377">
        <w:rPr>
          <w:rFonts w:cs="Times New Roman"/>
          <w:b w:val="0"/>
          <w:szCs w:val="24"/>
        </w:rPr>
        <w:t>.</w:t>
      </w:r>
      <w:bookmarkEnd w:id="124"/>
      <w:r w:rsidR="00CB0DA0" w:rsidRPr="000E2377">
        <w:rPr>
          <w:rFonts w:cs="Times New Roman"/>
          <w:b w:val="0"/>
          <w:szCs w:val="24"/>
        </w:rPr>
        <w:t xml:space="preserve"> However, in some cases </w:t>
      </w:r>
      <w:r w:rsidR="001263D6" w:rsidRPr="000E2377">
        <w:rPr>
          <w:rFonts w:asciiTheme="majorBidi" w:hAnsiTheme="majorBidi" w:cstheme="majorBidi"/>
          <w:b w:val="0"/>
          <w:szCs w:val="24"/>
        </w:rPr>
        <w:t>i</w:t>
      </w:r>
      <w:r w:rsidRPr="000E2377">
        <w:rPr>
          <w:rFonts w:cs="Times New Roman"/>
          <w:b w:val="0"/>
          <w:szCs w:val="24"/>
        </w:rPr>
        <w:t xml:space="preserve">n </w:t>
      </w:r>
      <w:r w:rsidR="00CF47A0">
        <w:rPr>
          <w:rFonts w:cs="Times New Roman"/>
          <w:b w:val="0"/>
          <w:szCs w:val="24"/>
        </w:rPr>
        <w:t xml:space="preserve">the </w:t>
      </w:r>
      <w:r w:rsidRPr="000E2377">
        <w:rPr>
          <w:rFonts w:cs="Times New Roman"/>
          <w:b w:val="0"/>
          <w:szCs w:val="24"/>
        </w:rPr>
        <w:t>Na</w:t>
      </w:r>
      <w:r w:rsidRPr="000E2377">
        <w:rPr>
          <w:rFonts w:cs="Times New Roman"/>
          <w:b w:val="0"/>
          <w:szCs w:val="24"/>
          <w:vertAlign w:val="subscript"/>
        </w:rPr>
        <w:t>2</w:t>
      </w:r>
      <w:r w:rsidRPr="000E2377">
        <w:rPr>
          <w:rFonts w:cs="Times New Roman"/>
          <w:b w:val="0"/>
          <w:szCs w:val="24"/>
        </w:rPr>
        <w:t>O</w:t>
      </w:r>
      <w:r w:rsidRPr="000E2377">
        <w:rPr>
          <w:rFonts w:ascii="Cambria Math" w:hAnsi="Cambria Math" w:cs="Cambria Math"/>
          <w:b w:val="0"/>
          <w:szCs w:val="24"/>
        </w:rPr>
        <w:t>-</w:t>
      </w:r>
      <w:r w:rsidRPr="000E2377">
        <w:rPr>
          <w:rFonts w:cs="Times New Roman"/>
          <w:b w:val="0"/>
          <w:szCs w:val="24"/>
        </w:rPr>
        <w:t>2CaO-4SiO</w:t>
      </w:r>
      <w:r w:rsidRPr="000E2377">
        <w:rPr>
          <w:rFonts w:cs="Times New Roman"/>
          <w:b w:val="0"/>
          <w:szCs w:val="24"/>
          <w:vertAlign w:val="subscript"/>
        </w:rPr>
        <w:t>2</w:t>
      </w:r>
      <w:r w:rsidRPr="000E2377">
        <w:rPr>
          <w:rFonts w:cs="Times New Roman"/>
          <w:b w:val="0"/>
          <w:szCs w:val="24"/>
        </w:rPr>
        <w:t xml:space="preserve"> and K</w:t>
      </w:r>
      <w:r w:rsidRPr="000E2377">
        <w:rPr>
          <w:rFonts w:cs="Times New Roman"/>
          <w:b w:val="0"/>
          <w:szCs w:val="24"/>
          <w:vertAlign w:val="subscript"/>
        </w:rPr>
        <w:t>2</w:t>
      </w:r>
      <w:r w:rsidRPr="000E2377">
        <w:rPr>
          <w:rFonts w:cs="Times New Roman"/>
          <w:b w:val="0"/>
          <w:szCs w:val="24"/>
        </w:rPr>
        <w:t>O-2CaO-4SiO</w:t>
      </w:r>
      <w:r w:rsidRPr="000E2377">
        <w:rPr>
          <w:rFonts w:cs="Times New Roman"/>
          <w:b w:val="0"/>
          <w:szCs w:val="24"/>
          <w:vertAlign w:val="subscript"/>
        </w:rPr>
        <w:t>2</w:t>
      </w:r>
      <w:r w:rsidRPr="000E2377">
        <w:rPr>
          <w:rFonts w:cs="Times New Roman"/>
          <w:b w:val="0"/>
          <w:szCs w:val="24"/>
        </w:rPr>
        <w:t xml:space="preserve"> ternary system,</w:t>
      </w:r>
      <w:r w:rsidR="003B0E45">
        <w:rPr>
          <w:rFonts w:cs="Times New Roman"/>
          <w:b w:val="0"/>
          <w:szCs w:val="24"/>
        </w:rPr>
        <w:t xml:space="preserve"> </w:t>
      </w:r>
      <w:r w:rsidRPr="000E2377">
        <w:rPr>
          <w:rFonts w:cs="Times New Roman"/>
          <w:b w:val="0"/>
          <w:szCs w:val="24"/>
        </w:rPr>
        <w:t>the mobility of calcium ion</w:t>
      </w:r>
      <w:r w:rsidR="00933CB9">
        <w:rPr>
          <w:rFonts w:cs="Times New Roman"/>
          <w:b w:val="0"/>
          <w:szCs w:val="24"/>
        </w:rPr>
        <w:t>s</w:t>
      </w:r>
      <w:r w:rsidRPr="000E2377">
        <w:rPr>
          <w:rFonts w:cs="Times New Roman"/>
          <w:b w:val="0"/>
          <w:szCs w:val="24"/>
        </w:rPr>
        <w:t xml:space="preserve"> is lowered</w:t>
      </w:r>
      <w:r w:rsidR="00131B1D">
        <w:rPr>
          <w:rFonts w:cs="Times New Roman"/>
          <w:b w:val="0"/>
          <w:szCs w:val="24"/>
        </w:rPr>
        <w:t xml:space="preserve"> </w:t>
      </w:r>
      <w:r w:rsidR="003B0E45">
        <w:rPr>
          <w:rFonts w:cs="Times New Roman"/>
          <w:b w:val="0"/>
          <w:szCs w:val="24"/>
        </w:rPr>
        <w:t xml:space="preserve">when it is under the low </w:t>
      </w:r>
      <w:r w:rsidR="002755D9">
        <w:rPr>
          <w:rFonts w:cs="Times New Roman"/>
          <w:b w:val="0"/>
          <w:szCs w:val="24"/>
        </w:rPr>
        <w:t xml:space="preserve">pressure </w:t>
      </w:r>
      <w:r w:rsidR="003B0E45">
        <w:rPr>
          <w:rFonts w:cs="Times New Roman"/>
          <w:b w:val="0"/>
          <w:szCs w:val="24"/>
        </w:rPr>
        <w:t xml:space="preserve">compared in </w:t>
      </w:r>
      <w:r w:rsidR="006208BB">
        <w:rPr>
          <w:rFonts w:cs="Times New Roman"/>
          <w:b w:val="0"/>
          <w:szCs w:val="24"/>
        </w:rPr>
        <w:t xml:space="preserve">the </w:t>
      </w:r>
      <w:r w:rsidR="003B0E45">
        <w:rPr>
          <w:rFonts w:cs="Times New Roman"/>
          <w:b w:val="0"/>
          <w:szCs w:val="24"/>
        </w:rPr>
        <w:t xml:space="preserve">ambient atmosphere </w:t>
      </w:r>
      <w:r w:rsidRPr="000E2377">
        <w:rPr>
          <w:rFonts w:cs="Times New Roman"/>
          <w:b w:val="0"/>
          <w:szCs w:val="24"/>
        </w:rPr>
        <w:t xml:space="preserve">because </w:t>
      </w:r>
      <w:r w:rsidR="001263D6" w:rsidRPr="000E2377">
        <w:rPr>
          <w:rFonts w:cs="Times New Roman"/>
          <w:b w:val="0"/>
          <w:szCs w:val="24"/>
        </w:rPr>
        <w:t xml:space="preserve">there </w:t>
      </w:r>
      <w:r w:rsidR="00933CB9">
        <w:rPr>
          <w:rFonts w:cs="Times New Roman"/>
          <w:b w:val="0"/>
          <w:szCs w:val="24"/>
        </w:rPr>
        <w:t>is</w:t>
      </w:r>
      <w:r w:rsidR="00C55CCF">
        <w:rPr>
          <w:rFonts w:cs="Times New Roman"/>
          <w:b w:val="0"/>
          <w:szCs w:val="24"/>
        </w:rPr>
        <w:t xml:space="preserve"> </w:t>
      </w:r>
      <w:r w:rsidR="006208BB">
        <w:rPr>
          <w:rFonts w:cs="Times New Roman"/>
          <w:b w:val="0"/>
          <w:szCs w:val="24"/>
        </w:rPr>
        <w:t xml:space="preserve">a </w:t>
      </w:r>
      <w:r w:rsidR="00DB0AF1" w:rsidRPr="000E2377">
        <w:rPr>
          <w:rFonts w:cs="Times New Roman"/>
          <w:b w:val="0"/>
          <w:szCs w:val="24"/>
        </w:rPr>
        <w:t>constrain</w:t>
      </w:r>
      <w:r w:rsidR="00CF47A0">
        <w:rPr>
          <w:rFonts w:cs="Times New Roman"/>
          <w:b w:val="0"/>
          <w:szCs w:val="24"/>
        </w:rPr>
        <w:t>t</w:t>
      </w:r>
      <w:r w:rsidR="00DB0AF1" w:rsidRPr="000E2377">
        <w:rPr>
          <w:rFonts w:cs="Times New Roman"/>
          <w:b w:val="0"/>
          <w:szCs w:val="24"/>
        </w:rPr>
        <w:t xml:space="preserve"> of </w:t>
      </w:r>
      <w:r w:rsidR="00CB0DA0" w:rsidRPr="000E2377">
        <w:rPr>
          <w:rFonts w:cs="Times New Roman"/>
          <w:b w:val="0"/>
          <w:szCs w:val="24"/>
        </w:rPr>
        <w:t>alkali</w:t>
      </w:r>
      <w:r w:rsidR="00DB0AF1" w:rsidRPr="000E2377">
        <w:rPr>
          <w:rFonts w:cs="Times New Roman"/>
          <w:b w:val="0"/>
          <w:szCs w:val="24"/>
        </w:rPr>
        <w:t xml:space="preserve"> mobility which </w:t>
      </w:r>
      <w:r w:rsidR="00933CB9">
        <w:rPr>
          <w:rFonts w:cs="Times New Roman"/>
          <w:b w:val="0"/>
          <w:szCs w:val="24"/>
        </w:rPr>
        <w:t>sup</w:t>
      </w:r>
      <w:r w:rsidR="00C55CCF">
        <w:rPr>
          <w:rFonts w:cs="Times New Roman"/>
          <w:b w:val="0"/>
          <w:szCs w:val="24"/>
        </w:rPr>
        <w:t>p</w:t>
      </w:r>
      <w:r w:rsidR="00933CB9">
        <w:rPr>
          <w:rFonts w:cs="Times New Roman"/>
          <w:b w:val="0"/>
          <w:szCs w:val="24"/>
        </w:rPr>
        <w:t>resses</w:t>
      </w:r>
      <w:r w:rsidR="00DB0AF1" w:rsidRPr="000E2377">
        <w:rPr>
          <w:rFonts w:cs="Times New Roman"/>
          <w:b w:val="0"/>
          <w:szCs w:val="24"/>
        </w:rPr>
        <w:t xml:space="preserve"> alkaline earth diffusion </w:t>
      </w:r>
      <w:r w:rsidRPr="000E2377">
        <w:rPr>
          <w:rFonts w:cs="Times New Roman"/>
          <w:b w:val="0"/>
          <w:szCs w:val="24"/>
        </w:rPr>
        <w:fldChar w:fldCharType="begin" w:fldLock="1"/>
      </w:r>
      <w:r w:rsidR="002A61DC" w:rsidRPr="000E2377">
        <w:rPr>
          <w:rFonts w:cs="Times New Roman"/>
          <w:b w:val="0"/>
          <w:szCs w:val="24"/>
        </w:rPr>
        <w:instrText>ADDIN CSL_CITATION { "citationItems" : [ { "id" : "ITEM-1", "itemData" : { "DOI" : "10.1016/j.ssi.2012.07.002", "ISSN" : "01672738", "abstract" : "Diffusion of alkali (A) and calcium ions (Ca) in mixed cation glasses of the composition A 2O ?? 2CaO ?? 4SiO 2 was investigated by impedance measurements and radiotracer diffusion under reducing forming gas atmosphere and x-ray irradiation below the respective glass transition temperatures. Under reducing atmosphere the mobility of the alkali ions is hampered by the presence of additional hydrogen, which gives rise to an effect comparable to the mixed alkali effect. The lower alkali ion diffusivity leads to a reduced alkali ion assisted enhancement of calcium diffusion and thus to lower calcium mobilities in Na 2O ?? 2CaO ?? 4SiO 2 and K 2O ?? 2CaO ?? 4SiO 2 glasses. However, in Li 2O ?? 2CaO ?? 4SiO 2 an enhancement in calcium diffusion is observed, which is explained by electrostatic and elastic forces. X-ray irradiation enhances the sodium mobility in Na 2O ?? 2CaO ?? 4SiO 2 at lower temperatures. The irradiation induces additional defects in the glass and causes breaking of sodium-oxygen bonds. However, the temperatures at which the x-ray irradiation affects the cation diffusion are too low to observe a measurable impact on the calcium mobility. ?? 2012 Elsevier B.V.", "author" : [ { "dropping-particle" : "", "family" : "Grofmeier", "given" : "M.", "non-dropping-particle" : "", "parse-names" : false, "suffix" : "" }, { "dropping-particle" : "", "family" : "Bracht", "given" : "H.", "non-dropping-particle" : "", "parse-names" : false, "suffix" : "" } ], "container-title" : "Solid State Ionics", "id" : "ITEM-1", "issued" : { "date-parts" : [ [ "2012" ] ] }, "page" : "47-52", "publisher" : "Elsevier B.V.", "title" : "Cation diffusion in mixed cation silicate glasses under non-equilibrium conditions", "type" : "article-journal", "volume" : "222-223" }, "uris" : [ "http://www.mendeley.com/documents/?uuid=1939ae7e-0b80-44e8-b390-cf6efbc3c28f" ] } ], "mendeley" : { "formattedCitation" : "(Grofmeier &amp; Bracht, 2012)", "plainTextFormattedCitation" : "(Grofmeier &amp; Bracht, 2012)", "previouslyFormattedCitation" : "(Grofmeier &amp; Bracht, 2012)" }, "properties" : { "noteIndex" : 0 }, "schema" : "https://github.com/citation-style-language/schema/raw/master/csl-citation.json" }</w:instrText>
      </w:r>
      <w:r w:rsidRPr="000E2377">
        <w:rPr>
          <w:rFonts w:cs="Times New Roman"/>
          <w:b w:val="0"/>
          <w:szCs w:val="24"/>
        </w:rPr>
        <w:fldChar w:fldCharType="separate"/>
      </w:r>
      <w:r w:rsidR="00793120" w:rsidRPr="000E2377">
        <w:rPr>
          <w:rFonts w:cs="Times New Roman"/>
          <w:b w:val="0"/>
          <w:noProof/>
          <w:szCs w:val="24"/>
        </w:rPr>
        <w:t>(Grofmeier &amp; Bracht, 2012)</w:t>
      </w:r>
      <w:r w:rsidRPr="000E2377">
        <w:rPr>
          <w:rFonts w:cs="Times New Roman"/>
          <w:b w:val="0"/>
          <w:szCs w:val="24"/>
        </w:rPr>
        <w:fldChar w:fldCharType="end"/>
      </w:r>
      <w:r w:rsidRPr="000E2377">
        <w:rPr>
          <w:rFonts w:cs="Times New Roman"/>
          <w:b w:val="0"/>
          <w:szCs w:val="24"/>
        </w:rPr>
        <w:t>.</w:t>
      </w:r>
      <w:r w:rsidR="00BE5EC6">
        <w:rPr>
          <w:rFonts w:cs="Times New Roman"/>
          <w:b w:val="0"/>
          <w:szCs w:val="24"/>
        </w:rPr>
        <w:t xml:space="preserve"> </w:t>
      </w:r>
      <w:r w:rsidR="00534B7D" w:rsidRPr="000E2377">
        <w:rPr>
          <w:rFonts w:asciiTheme="majorBidi" w:hAnsiTheme="majorBidi" w:cstheme="majorBidi"/>
          <w:b w:val="0"/>
          <w:szCs w:val="24"/>
        </w:rPr>
        <w:t>Therefore</w:t>
      </w:r>
      <w:r w:rsidRPr="000E2377">
        <w:rPr>
          <w:rFonts w:asciiTheme="majorBidi" w:hAnsiTheme="majorBidi" w:cstheme="majorBidi"/>
          <w:b w:val="0"/>
          <w:szCs w:val="24"/>
        </w:rPr>
        <w:t xml:space="preserve"> mixed alkali</w:t>
      </w:r>
      <w:r w:rsidR="00534B7D" w:rsidRPr="000E2377">
        <w:rPr>
          <w:rFonts w:asciiTheme="majorBidi" w:hAnsiTheme="majorBidi" w:cstheme="majorBidi"/>
          <w:b w:val="0"/>
          <w:szCs w:val="24"/>
        </w:rPr>
        <w:t>s</w:t>
      </w:r>
      <w:r w:rsidRPr="000E2377">
        <w:rPr>
          <w:rFonts w:asciiTheme="majorBidi" w:hAnsiTheme="majorBidi" w:cstheme="majorBidi"/>
          <w:b w:val="0"/>
          <w:szCs w:val="24"/>
        </w:rPr>
        <w:t xml:space="preserve"> </w:t>
      </w:r>
      <w:r w:rsidR="00534B7D" w:rsidRPr="000E2377">
        <w:rPr>
          <w:rFonts w:asciiTheme="majorBidi" w:hAnsiTheme="majorBidi" w:cstheme="majorBidi"/>
          <w:b w:val="0"/>
          <w:szCs w:val="24"/>
        </w:rPr>
        <w:t>lead</w:t>
      </w:r>
      <w:r w:rsidRPr="000E2377">
        <w:rPr>
          <w:rFonts w:asciiTheme="majorBidi" w:hAnsiTheme="majorBidi" w:cstheme="majorBidi"/>
          <w:b w:val="0"/>
          <w:szCs w:val="24"/>
        </w:rPr>
        <w:t xml:space="preserve"> to non-</w:t>
      </w:r>
      <w:r w:rsidR="002817E8">
        <w:rPr>
          <w:rFonts w:asciiTheme="majorBidi" w:hAnsiTheme="majorBidi" w:cstheme="majorBidi"/>
          <w:b w:val="0"/>
          <w:szCs w:val="24"/>
        </w:rPr>
        <w:t>predictive</w:t>
      </w:r>
      <w:r w:rsidR="002817E8" w:rsidRPr="000E2377">
        <w:rPr>
          <w:rFonts w:asciiTheme="majorBidi" w:hAnsiTheme="majorBidi" w:cstheme="majorBidi"/>
          <w:b w:val="0"/>
          <w:szCs w:val="24"/>
        </w:rPr>
        <w:t xml:space="preserve"> </w:t>
      </w:r>
      <w:r w:rsidR="00534B7D" w:rsidRPr="000E2377">
        <w:rPr>
          <w:rFonts w:asciiTheme="majorBidi" w:hAnsiTheme="majorBidi" w:cstheme="majorBidi"/>
          <w:b w:val="0"/>
          <w:szCs w:val="24"/>
        </w:rPr>
        <w:t>dependences of</w:t>
      </w:r>
      <w:r w:rsidRPr="000E2377">
        <w:rPr>
          <w:rFonts w:asciiTheme="majorBidi" w:hAnsiTheme="majorBidi" w:cstheme="majorBidi"/>
          <w:b w:val="0"/>
          <w:szCs w:val="24"/>
        </w:rPr>
        <w:t xml:space="preserve"> physical, mechanical or thermal properties</w:t>
      </w:r>
      <w:r w:rsidR="00534B7D" w:rsidRPr="000E2377">
        <w:rPr>
          <w:rFonts w:asciiTheme="majorBidi" w:hAnsiTheme="majorBidi" w:cstheme="majorBidi"/>
          <w:b w:val="0"/>
          <w:szCs w:val="24"/>
        </w:rPr>
        <w:t xml:space="preserve"> on composition</w:t>
      </w:r>
      <w:r w:rsidRPr="000E2377">
        <w:rPr>
          <w:rFonts w:asciiTheme="majorBidi" w:hAnsiTheme="majorBidi" w:cstheme="majorBidi"/>
          <w:b w:val="0"/>
          <w:szCs w:val="24"/>
        </w:rPr>
        <w:t xml:space="preserve"> </w:t>
      </w:r>
      <w:r w:rsidRPr="000E2377">
        <w:rPr>
          <w:rFonts w:asciiTheme="majorBidi" w:hAnsiTheme="majorBidi" w:cstheme="majorBidi"/>
          <w:b w:val="0"/>
          <w:szCs w:val="24"/>
        </w:rPr>
        <w:fldChar w:fldCharType="begin" w:fldLock="1"/>
      </w:r>
      <w:r w:rsidR="002A61DC" w:rsidRPr="000E2377">
        <w:rPr>
          <w:rFonts w:asciiTheme="majorBidi" w:hAnsiTheme="majorBidi" w:cstheme="majorBidi"/>
          <w:b w:val="0"/>
          <w:szCs w:val="24"/>
        </w:rPr>
        <w:instrText>ADDIN CSL_CITATION { "citationItems" : [ { "id" : "ITEM-1", "itemData" : { "DOI" : "10.1016/j.jnoncrysol.2013.03.015", "ISSN" : "00223093", "abstract" : "While the mixed alkali effect has received significant attention in the glass literature, the mixed alkaline earth effect has not been thoroughly studied. Here, we investigate the latter effect by partial substitution of magnesium for calcium in sodium aluminosilicate glasses. We use Raman and NMR spectroscopies to obtain insights into the structural and topological features of these glasses, and hence into the mixed alkaline earth effect. We demonstrate that the mixed alkaline earth effectmanifests itself as a maximumin the amount of bonded tetrahedral units and as a minimum in liquid fragility index, glass transition temperature, Vickers microhardness, and isokom temperatures (viz., the temperatures at \u03b7 =1013.5 and 1012.2 Pa s). The observedmin- ima in fragility, glass transition temperature, and isokomtemperature are ascribed to bondweakening in the local structural environment around the network modifiers. We suggest that, since the elastic properties of the investi- gated system are compositionally independent, the minimum in Vickers microhardness is closely correlated to the minimum in isokom temperatures. Both of these properties are related to plastic flow and the translational motion of structural units, and hence both may be related to the same underlying topological constraints. This indicates that there might not be any significant difference in the onset of the rigid sub-Tg constraints for the inves- tigated compositions.", "author" : [ { "dropping-particle" : "", "family" : "Kjeldsen", "given" : "Jonas", "non-dropping-particle" : "", "parse-names" : false, "suffix" : "" }, { "dropping-particle" : "", "family" : "Smedskjaer", "given" : "Morten M.", "non-dropping-particle" : "", "parse-names" : false, "suffix" : "" }, { "dropping-particle" : "", "family" : "Mauro", "given" : "John C.", "non-dropping-particle" : "", "parse-names" : false, "suffix" : "" }, { "dropping-particle" : "", "family" : "Youngman", "given" : "Randall E.", "non-dropping-particle" : "", "parse-names" : false, "suffix" : "" }, { "dropping-particle" : "", "family" : "Huang", "given" : "Liping", "non-dropping-particle" : "", "parse-names" : false, "suffix" : "" }, { "dropping-particle" : "", "family" : "Yue", "given" : "Yuanzheng", "non-dropping-particle" : "", "parse-names" : false, "suffix" : "" } ], "container-title" : "Journal of Non-Crystalline Solids", "id" : "ITEM-1", "issued" : { "date-parts" : [ [ "2013", "6" ] ] }, "page" : "61-68", "publisher" : "Elsevier B.V.", "title" : "Mixed alkaline earth effect in sodium aluminosilicate glasses", "type" : "article-journal", "volume" : "369" }, "uris" : [ "http://www.mendeley.com/documents/?uuid=45c1a899-47ec-44ab-ab46-735af4607463" ] } ], "mendeley" : { "formattedCitation" : "(Kjeldsen et al., 2013)", "plainTextFormattedCitation" : "(Kjeldsen et al., 2013)", "previouslyFormattedCitation" : "(Kjeldsen et al., 2013)" }, "properties" : { "noteIndex" : 0 }, "schema" : "https://github.com/citation-style-language/schema/raw/master/csl-citation.json" }</w:instrText>
      </w:r>
      <w:r w:rsidRPr="000E2377">
        <w:rPr>
          <w:rFonts w:asciiTheme="majorBidi" w:hAnsiTheme="majorBidi" w:cstheme="majorBidi"/>
          <w:b w:val="0"/>
          <w:szCs w:val="24"/>
        </w:rPr>
        <w:fldChar w:fldCharType="separate"/>
      </w:r>
      <w:r w:rsidR="00793120" w:rsidRPr="000E2377">
        <w:rPr>
          <w:rFonts w:asciiTheme="majorBidi" w:hAnsiTheme="majorBidi" w:cstheme="majorBidi"/>
          <w:b w:val="0"/>
          <w:noProof/>
          <w:szCs w:val="24"/>
        </w:rPr>
        <w:t>(Kjeldsen et al., 2013)</w:t>
      </w:r>
      <w:r w:rsidRPr="000E2377">
        <w:rPr>
          <w:rFonts w:asciiTheme="majorBidi" w:hAnsiTheme="majorBidi" w:cstheme="majorBidi"/>
          <w:b w:val="0"/>
          <w:szCs w:val="24"/>
        </w:rPr>
        <w:fldChar w:fldCharType="end"/>
      </w:r>
      <w:r w:rsidRPr="000E2377">
        <w:rPr>
          <w:rFonts w:asciiTheme="majorBidi" w:hAnsiTheme="majorBidi" w:cstheme="majorBidi"/>
          <w:b w:val="0"/>
          <w:szCs w:val="24"/>
        </w:rPr>
        <w:t>. The effect of mix</w:t>
      </w:r>
      <w:r w:rsidR="00534B7D" w:rsidRPr="000E2377">
        <w:rPr>
          <w:rFonts w:asciiTheme="majorBidi" w:hAnsiTheme="majorBidi" w:cstheme="majorBidi"/>
          <w:b w:val="0"/>
          <w:szCs w:val="24"/>
        </w:rPr>
        <w:t>ed</w:t>
      </w:r>
      <w:r w:rsidRPr="000E2377">
        <w:rPr>
          <w:rFonts w:asciiTheme="majorBidi" w:hAnsiTheme="majorBidi" w:cstheme="majorBidi"/>
          <w:b w:val="0"/>
          <w:szCs w:val="24"/>
        </w:rPr>
        <w:t xml:space="preserve"> alkaline earth</w:t>
      </w:r>
      <w:r w:rsidR="00534B7D" w:rsidRPr="000E2377">
        <w:rPr>
          <w:rFonts w:asciiTheme="majorBidi" w:hAnsiTheme="majorBidi" w:cstheme="majorBidi"/>
          <w:b w:val="0"/>
          <w:szCs w:val="24"/>
        </w:rPr>
        <w:t>s</w:t>
      </w:r>
      <w:r w:rsidRPr="000E2377">
        <w:rPr>
          <w:rFonts w:asciiTheme="majorBidi" w:hAnsiTheme="majorBidi" w:cstheme="majorBidi"/>
          <w:b w:val="0"/>
          <w:szCs w:val="24"/>
        </w:rPr>
        <w:t xml:space="preserve"> and mixed network former </w:t>
      </w:r>
      <w:r w:rsidR="00EA07F9" w:rsidRPr="000E2377">
        <w:rPr>
          <w:rFonts w:asciiTheme="majorBidi" w:hAnsiTheme="majorBidi" w:cstheme="majorBidi"/>
          <w:b w:val="0"/>
          <w:szCs w:val="24"/>
        </w:rPr>
        <w:t>effects</w:t>
      </w:r>
      <w:r w:rsidRPr="000E2377">
        <w:rPr>
          <w:rFonts w:asciiTheme="majorBidi" w:hAnsiTheme="majorBidi" w:cstheme="majorBidi"/>
          <w:b w:val="0"/>
          <w:szCs w:val="24"/>
        </w:rPr>
        <w:t xml:space="preserve"> </w:t>
      </w:r>
      <w:r w:rsidRPr="000E2377">
        <w:rPr>
          <w:rFonts w:asciiTheme="majorBidi" w:hAnsiTheme="majorBidi" w:cstheme="majorBidi"/>
          <w:b w:val="0"/>
          <w:color w:val="000000" w:themeColor="text1"/>
          <w:szCs w:val="24"/>
        </w:rPr>
        <w:t>are</w:t>
      </w:r>
      <w:r w:rsidRPr="000E2377">
        <w:rPr>
          <w:rFonts w:asciiTheme="majorBidi" w:hAnsiTheme="majorBidi" w:cstheme="majorBidi"/>
          <w:b w:val="0"/>
          <w:szCs w:val="24"/>
        </w:rPr>
        <w:t xml:space="preserve"> less </w:t>
      </w:r>
      <w:r w:rsidR="00534B7D" w:rsidRPr="000E2377">
        <w:rPr>
          <w:rFonts w:asciiTheme="majorBidi" w:hAnsiTheme="majorBidi" w:cstheme="majorBidi"/>
          <w:b w:val="0"/>
          <w:szCs w:val="24"/>
        </w:rPr>
        <w:t>well understood</w:t>
      </w:r>
      <w:r w:rsidR="00040067">
        <w:rPr>
          <w:rFonts w:asciiTheme="majorBidi" w:hAnsiTheme="majorBidi" w:cstheme="majorBidi"/>
          <w:b w:val="0"/>
          <w:szCs w:val="24"/>
        </w:rPr>
        <w:t>,</w:t>
      </w:r>
      <w:r w:rsidR="00534B7D" w:rsidRPr="000E2377">
        <w:rPr>
          <w:rFonts w:asciiTheme="majorBidi" w:hAnsiTheme="majorBidi" w:cstheme="majorBidi"/>
          <w:b w:val="0"/>
          <w:szCs w:val="24"/>
        </w:rPr>
        <w:t xml:space="preserve"> </w:t>
      </w:r>
      <w:r w:rsidRPr="000E2377">
        <w:rPr>
          <w:rFonts w:asciiTheme="majorBidi" w:hAnsiTheme="majorBidi" w:cstheme="majorBidi"/>
          <w:b w:val="0"/>
          <w:szCs w:val="24"/>
        </w:rPr>
        <w:t xml:space="preserve">especially in boroaluminosilicate glasses. </w:t>
      </w:r>
    </w:p>
    <w:p w14:paraId="068CD9EA" w14:textId="77777777" w:rsidR="004707F6" w:rsidRPr="000E2377" w:rsidRDefault="004707F6" w:rsidP="00ED6080">
      <w:pPr>
        <w:spacing w:after="0" w:line="360" w:lineRule="auto"/>
        <w:jc w:val="both"/>
        <w:rPr>
          <w:rFonts w:asciiTheme="majorBidi" w:hAnsiTheme="majorBidi" w:cstheme="majorBidi"/>
          <w:b w:val="0"/>
          <w:szCs w:val="24"/>
        </w:rPr>
      </w:pPr>
    </w:p>
    <w:p w14:paraId="14F24557" w14:textId="46F529B0" w:rsidR="002755D9" w:rsidRDefault="00C53AA6" w:rsidP="0027187B">
      <w:pPr>
        <w:spacing w:after="0" w:line="360" w:lineRule="auto"/>
        <w:jc w:val="both"/>
        <w:rPr>
          <w:rFonts w:asciiTheme="majorBidi" w:hAnsiTheme="majorBidi" w:cstheme="majorBidi"/>
          <w:szCs w:val="24"/>
        </w:rPr>
      </w:pPr>
      <w:r>
        <w:rPr>
          <w:rFonts w:asciiTheme="majorBidi" w:hAnsiTheme="majorBidi" w:cstheme="majorBidi"/>
          <w:szCs w:val="24"/>
        </w:rPr>
        <w:t>2</w:t>
      </w:r>
      <w:r w:rsidR="007754F1">
        <w:rPr>
          <w:rFonts w:asciiTheme="majorBidi" w:hAnsiTheme="majorBidi" w:cstheme="majorBidi"/>
          <w:szCs w:val="24"/>
        </w:rPr>
        <w:t xml:space="preserve">.8 </w:t>
      </w:r>
      <w:r w:rsidR="002755D9" w:rsidRPr="0027187B">
        <w:rPr>
          <w:rFonts w:asciiTheme="majorBidi" w:hAnsiTheme="majorBidi" w:cstheme="majorBidi"/>
          <w:szCs w:val="24"/>
        </w:rPr>
        <w:t>Effect of different modifier cations</w:t>
      </w:r>
    </w:p>
    <w:p w14:paraId="2D769BEF" w14:textId="3F4CC614" w:rsidR="00C53AA6" w:rsidRPr="000E2377" w:rsidRDefault="00C53AA6" w:rsidP="00C53AA6">
      <w:pPr>
        <w:spacing w:after="0" w:line="360" w:lineRule="auto"/>
        <w:jc w:val="both"/>
        <w:rPr>
          <w:rFonts w:cs="Times New Roman"/>
          <w:b w:val="0"/>
          <w:szCs w:val="24"/>
        </w:rPr>
      </w:pPr>
      <w:r>
        <w:rPr>
          <w:rFonts w:cs="Times New Roman"/>
          <w:b w:val="0"/>
          <w:szCs w:val="24"/>
        </w:rPr>
        <w:t>Kjeldsen et al</w:t>
      </w:r>
      <w:r w:rsidR="00040067">
        <w:rPr>
          <w:rFonts w:cs="Times New Roman"/>
          <w:b w:val="0"/>
          <w:szCs w:val="24"/>
        </w:rPr>
        <w:t>.,</w:t>
      </w:r>
      <w:r>
        <w:rPr>
          <w:rFonts w:cs="Times New Roman"/>
          <w:b w:val="0"/>
          <w:szCs w:val="24"/>
        </w:rPr>
        <w:t xml:space="preserve"> (2013) looked at </w:t>
      </w:r>
      <w:proofErr w:type="spellStart"/>
      <w:r w:rsidRPr="000E2377">
        <w:rPr>
          <w:rFonts w:cs="Times New Roman"/>
          <w:b w:val="0"/>
          <w:szCs w:val="24"/>
        </w:rPr>
        <w:t>Ca</w:t>
      </w:r>
      <w:r w:rsidR="00C55CCF">
        <w:rPr>
          <w:rFonts w:cs="Times New Roman"/>
          <w:b w:val="0"/>
          <w:szCs w:val="24"/>
        </w:rPr>
        <w:t>O</w:t>
      </w:r>
      <w:proofErr w:type="spellEnd"/>
      <w:r w:rsidR="00C55CCF">
        <w:rPr>
          <w:rFonts w:cs="Times New Roman"/>
          <w:b w:val="0"/>
          <w:szCs w:val="24"/>
        </w:rPr>
        <w:t xml:space="preserve"> and</w:t>
      </w:r>
      <w:r w:rsidR="00C55CCF" w:rsidRPr="000E2377">
        <w:rPr>
          <w:rFonts w:cs="Times New Roman"/>
          <w:b w:val="0"/>
          <w:szCs w:val="24"/>
        </w:rPr>
        <w:t xml:space="preserve"> </w:t>
      </w:r>
      <w:r w:rsidRPr="000E2377">
        <w:rPr>
          <w:rFonts w:cs="Times New Roman"/>
          <w:b w:val="0"/>
          <w:szCs w:val="24"/>
        </w:rPr>
        <w:t>Mg</w:t>
      </w:r>
      <w:r w:rsidR="00C55CCF">
        <w:rPr>
          <w:rFonts w:cs="Times New Roman"/>
          <w:b w:val="0"/>
          <w:szCs w:val="24"/>
        </w:rPr>
        <w:t>O</w:t>
      </w:r>
      <w:r w:rsidRPr="000E2377">
        <w:rPr>
          <w:rFonts w:cs="Times New Roman"/>
          <w:b w:val="0"/>
          <w:szCs w:val="24"/>
        </w:rPr>
        <w:t xml:space="preserve"> </w:t>
      </w:r>
      <w:r>
        <w:rPr>
          <w:rFonts w:cs="Times New Roman"/>
          <w:b w:val="0"/>
          <w:szCs w:val="24"/>
        </w:rPr>
        <w:t>i</w:t>
      </w:r>
      <w:r w:rsidRPr="000E2377">
        <w:rPr>
          <w:rFonts w:cs="Times New Roman"/>
          <w:b w:val="0"/>
          <w:szCs w:val="24"/>
        </w:rPr>
        <w:t>n sodium aluminosilicate</w:t>
      </w:r>
      <w:r w:rsidR="00C55CCF">
        <w:rPr>
          <w:rFonts w:cs="Times New Roman"/>
          <w:b w:val="0"/>
          <w:szCs w:val="24"/>
        </w:rPr>
        <w:t xml:space="preserve"> glasses with the composition</w:t>
      </w:r>
      <w:r w:rsidR="00C55CCF" w:rsidRPr="000E2377">
        <w:rPr>
          <w:rFonts w:cs="Times New Roman"/>
          <w:b w:val="0"/>
          <w:szCs w:val="24"/>
        </w:rPr>
        <w:t xml:space="preserve"> </w:t>
      </w:r>
      <w:r w:rsidRPr="000E2377">
        <w:rPr>
          <w:rFonts w:cs="Times New Roman"/>
          <w:b w:val="0"/>
          <w:szCs w:val="24"/>
        </w:rPr>
        <w:t>16Na</w:t>
      </w:r>
      <w:r w:rsidRPr="000E2377">
        <w:rPr>
          <w:rFonts w:cs="Times New Roman"/>
          <w:b w:val="0"/>
          <w:szCs w:val="24"/>
          <w:vertAlign w:val="subscript"/>
        </w:rPr>
        <w:t>2</w:t>
      </w:r>
      <w:r w:rsidRPr="000E2377">
        <w:rPr>
          <w:rFonts w:cs="Times New Roman"/>
          <w:b w:val="0"/>
          <w:szCs w:val="24"/>
        </w:rPr>
        <w:t>O-</w:t>
      </w:r>
      <w:r>
        <w:rPr>
          <w:rFonts w:cs="Times New Roman"/>
          <w:b w:val="0"/>
          <w:szCs w:val="24"/>
        </w:rPr>
        <w:t>(8-x)</w:t>
      </w:r>
      <w:r w:rsidRPr="000E2377">
        <w:rPr>
          <w:rFonts w:cs="Times New Roman"/>
          <w:b w:val="0"/>
          <w:szCs w:val="24"/>
        </w:rPr>
        <w:t>MgO-</w:t>
      </w:r>
      <w:r>
        <w:rPr>
          <w:rFonts w:cs="Times New Roman"/>
          <w:b w:val="0"/>
          <w:szCs w:val="24"/>
        </w:rPr>
        <w:t>x</w:t>
      </w:r>
      <w:r w:rsidRPr="000E2377">
        <w:rPr>
          <w:rFonts w:cs="Times New Roman"/>
          <w:b w:val="0"/>
          <w:szCs w:val="24"/>
        </w:rPr>
        <w:t>CaO-</w:t>
      </w:r>
      <w:r>
        <w:rPr>
          <w:rFonts w:cs="Times New Roman"/>
          <w:b w:val="0"/>
          <w:szCs w:val="24"/>
        </w:rPr>
        <w:t>16</w:t>
      </w:r>
      <w:r w:rsidRPr="000E2377">
        <w:rPr>
          <w:rFonts w:cs="Times New Roman"/>
          <w:b w:val="0"/>
          <w:szCs w:val="24"/>
        </w:rPr>
        <w:t>Al</w:t>
      </w:r>
      <w:r w:rsidRPr="000E2377">
        <w:rPr>
          <w:rFonts w:cs="Times New Roman"/>
          <w:b w:val="0"/>
          <w:szCs w:val="24"/>
          <w:vertAlign w:val="subscript"/>
        </w:rPr>
        <w:t>2</w:t>
      </w:r>
      <w:r w:rsidRPr="000E2377">
        <w:rPr>
          <w:rFonts w:cs="Times New Roman"/>
          <w:b w:val="0"/>
          <w:szCs w:val="24"/>
        </w:rPr>
        <w:t>O</w:t>
      </w:r>
      <w:r w:rsidRPr="000E2377">
        <w:rPr>
          <w:rFonts w:cs="Times New Roman"/>
          <w:b w:val="0"/>
          <w:szCs w:val="24"/>
          <w:vertAlign w:val="subscript"/>
        </w:rPr>
        <w:t>3</w:t>
      </w:r>
      <w:r w:rsidRPr="000E2377">
        <w:rPr>
          <w:rFonts w:cs="Times New Roman"/>
          <w:b w:val="0"/>
          <w:szCs w:val="24"/>
        </w:rPr>
        <w:t>-</w:t>
      </w:r>
      <w:r>
        <w:rPr>
          <w:rFonts w:cs="Times New Roman"/>
          <w:b w:val="0"/>
          <w:szCs w:val="24"/>
        </w:rPr>
        <w:t>60</w:t>
      </w:r>
      <w:r w:rsidRPr="000E2377">
        <w:rPr>
          <w:rFonts w:cs="Times New Roman"/>
          <w:b w:val="0"/>
          <w:szCs w:val="24"/>
        </w:rPr>
        <w:t>SiO</w:t>
      </w:r>
      <w:r w:rsidRPr="000E2377">
        <w:rPr>
          <w:rFonts w:cs="Times New Roman"/>
          <w:b w:val="0"/>
          <w:szCs w:val="24"/>
          <w:vertAlign w:val="subscript"/>
        </w:rPr>
        <w:t>2</w:t>
      </w:r>
      <w:r w:rsidR="00C55CCF">
        <w:rPr>
          <w:rFonts w:cs="Times New Roman"/>
          <w:b w:val="0"/>
          <w:szCs w:val="24"/>
        </w:rPr>
        <w:t>.</w:t>
      </w:r>
      <w:r w:rsidRPr="000E2377">
        <w:rPr>
          <w:rFonts w:cs="Times New Roman"/>
          <w:b w:val="0"/>
          <w:szCs w:val="24"/>
        </w:rPr>
        <w:t xml:space="preserve"> </w:t>
      </w:r>
      <w:r w:rsidR="00C55CCF">
        <w:rPr>
          <w:rFonts w:cs="Times New Roman"/>
          <w:b w:val="0"/>
          <w:szCs w:val="24"/>
        </w:rPr>
        <w:t>When</w:t>
      </w:r>
      <w:r w:rsidRPr="000E2377">
        <w:rPr>
          <w:rFonts w:cs="Times New Roman"/>
          <w:b w:val="0"/>
          <w:szCs w:val="24"/>
        </w:rPr>
        <w:t xml:space="preserve"> </w:t>
      </w:r>
      <w:proofErr w:type="spellStart"/>
      <w:r w:rsidRPr="000E2377">
        <w:rPr>
          <w:rFonts w:cs="Times New Roman"/>
          <w:b w:val="0"/>
          <w:szCs w:val="24"/>
        </w:rPr>
        <w:t>CaO</w:t>
      </w:r>
      <w:proofErr w:type="spellEnd"/>
      <w:r w:rsidRPr="000E2377">
        <w:rPr>
          <w:rFonts w:cs="Times New Roman"/>
          <w:b w:val="0"/>
          <w:szCs w:val="24"/>
        </w:rPr>
        <w:t xml:space="preserve"> </w:t>
      </w:r>
      <w:r w:rsidR="00C55CCF">
        <w:rPr>
          <w:rFonts w:cs="Times New Roman"/>
          <w:b w:val="0"/>
          <w:szCs w:val="24"/>
        </w:rPr>
        <w:t>was replaced by MgO</w:t>
      </w:r>
      <w:r w:rsidR="00040067">
        <w:rPr>
          <w:rFonts w:cs="Times New Roman"/>
          <w:b w:val="0"/>
          <w:szCs w:val="24"/>
        </w:rPr>
        <w:t>,</w:t>
      </w:r>
      <w:r w:rsidR="00C55CCF">
        <w:rPr>
          <w:rFonts w:cs="Times New Roman"/>
          <w:b w:val="0"/>
          <w:szCs w:val="24"/>
        </w:rPr>
        <w:t xml:space="preserve"> </w:t>
      </w:r>
      <w:r w:rsidRPr="000E2377">
        <w:rPr>
          <w:rFonts w:cs="Times New Roman"/>
          <w:b w:val="0"/>
          <w:szCs w:val="24"/>
        </w:rPr>
        <w:t>the density and molar volume decreased while the Vickers hardness and glass transition temperature increased.</w:t>
      </w:r>
      <w:r>
        <w:rPr>
          <w:rFonts w:cs="Times New Roman"/>
          <w:b w:val="0"/>
          <w:szCs w:val="24"/>
        </w:rPr>
        <w:t xml:space="preserve"> The glass transition</w:t>
      </w:r>
      <w:r w:rsidR="00C55CCF">
        <w:rPr>
          <w:rFonts w:cs="Times New Roman"/>
          <w:b w:val="0"/>
          <w:szCs w:val="24"/>
        </w:rPr>
        <w:t xml:space="preserve"> temperature</w:t>
      </w:r>
      <w:r>
        <w:rPr>
          <w:rFonts w:cs="Times New Roman"/>
          <w:b w:val="0"/>
          <w:szCs w:val="24"/>
        </w:rPr>
        <w:t xml:space="preserve"> increased</w:t>
      </w:r>
      <w:r w:rsidRPr="000E2377">
        <w:rPr>
          <w:rFonts w:cs="Times New Roman"/>
          <w:b w:val="0"/>
          <w:szCs w:val="24"/>
        </w:rPr>
        <w:t xml:space="preserve"> due to </w:t>
      </w:r>
      <w:r w:rsidR="00C55CCF">
        <w:rPr>
          <w:rFonts w:cs="Times New Roman"/>
          <w:b w:val="0"/>
          <w:szCs w:val="24"/>
        </w:rPr>
        <w:t>an</w:t>
      </w:r>
      <w:r>
        <w:rPr>
          <w:rFonts w:cs="Times New Roman"/>
          <w:b w:val="0"/>
          <w:szCs w:val="24"/>
        </w:rPr>
        <w:t xml:space="preserve"> </w:t>
      </w:r>
      <w:r w:rsidR="006F5C9D">
        <w:rPr>
          <w:rFonts w:cs="Times New Roman"/>
          <w:b w:val="0"/>
          <w:szCs w:val="24"/>
        </w:rPr>
        <w:t xml:space="preserve">increase </w:t>
      </w:r>
      <w:r w:rsidR="00C55CCF">
        <w:rPr>
          <w:rFonts w:cs="Times New Roman"/>
          <w:b w:val="0"/>
          <w:szCs w:val="24"/>
        </w:rPr>
        <w:t>in the connectivity</w:t>
      </w:r>
      <w:r>
        <w:rPr>
          <w:rFonts w:cs="Times New Roman"/>
          <w:b w:val="0"/>
          <w:szCs w:val="24"/>
        </w:rPr>
        <w:t xml:space="preserve"> because </w:t>
      </w:r>
      <w:r w:rsidRPr="000E2377">
        <w:rPr>
          <w:rFonts w:cs="Times New Roman"/>
          <w:b w:val="0"/>
          <w:szCs w:val="24"/>
        </w:rPr>
        <w:t>Mg</w:t>
      </w:r>
      <w:r w:rsidRPr="000E2377">
        <w:rPr>
          <w:rFonts w:cs="Times New Roman"/>
          <w:b w:val="0"/>
          <w:szCs w:val="24"/>
          <w:vertAlign w:val="superscript"/>
        </w:rPr>
        <w:t>2+</w:t>
      </w:r>
      <w:r w:rsidRPr="000E2377">
        <w:rPr>
          <w:rFonts w:cs="Times New Roman"/>
          <w:b w:val="0"/>
          <w:szCs w:val="24"/>
        </w:rPr>
        <w:t xml:space="preserve"> has a lower</w:t>
      </w:r>
      <w:r>
        <w:rPr>
          <w:rFonts w:cs="Times New Roman"/>
          <w:b w:val="0"/>
          <w:szCs w:val="24"/>
        </w:rPr>
        <w:t xml:space="preserve"> oxygen</w:t>
      </w:r>
      <w:r w:rsidRPr="000E2377">
        <w:rPr>
          <w:rFonts w:cs="Times New Roman"/>
          <w:b w:val="0"/>
          <w:szCs w:val="24"/>
        </w:rPr>
        <w:t xml:space="preserve"> coordination number than Ca</w:t>
      </w:r>
      <w:r w:rsidRPr="000E2377">
        <w:rPr>
          <w:rFonts w:cs="Times New Roman"/>
          <w:b w:val="0"/>
          <w:szCs w:val="24"/>
          <w:vertAlign w:val="superscript"/>
        </w:rPr>
        <w:t>2+</w:t>
      </w:r>
      <w:r w:rsidRPr="000E2377">
        <w:rPr>
          <w:rFonts w:cs="Times New Roman"/>
          <w:b w:val="0"/>
          <w:szCs w:val="24"/>
        </w:rPr>
        <w:t xml:space="preserve"> </w:t>
      </w:r>
      <w:r w:rsidR="00C55CCF">
        <w:rPr>
          <w:rFonts w:cs="Times New Roman"/>
          <w:b w:val="0"/>
          <w:szCs w:val="24"/>
        </w:rPr>
        <w:t xml:space="preserve">and </w:t>
      </w:r>
      <w:r w:rsidRPr="000E2377">
        <w:rPr>
          <w:rFonts w:cs="Times New Roman"/>
          <w:b w:val="0"/>
          <w:szCs w:val="24"/>
        </w:rPr>
        <w:t>thus</w:t>
      </w:r>
      <w:r w:rsidR="00C55CCF">
        <w:rPr>
          <w:rFonts w:cs="Times New Roman"/>
          <w:b w:val="0"/>
          <w:szCs w:val="24"/>
        </w:rPr>
        <w:t xml:space="preserve"> leads to</w:t>
      </w:r>
      <w:r w:rsidRPr="000E2377">
        <w:rPr>
          <w:rFonts w:cs="Times New Roman"/>
          <w:b w:val="0"/>
          <w:szCs w:val="24"/>
        </w:rPr>
        <w:t xml:space="preserve"> </w:t>
      </w:r>
      <w:r>
        <w:rPr>
          <w:rFonts w:cs="Times New Roman"/>
          <w:b w:val="0"/>
          <w:szCs w:val="24"/>
        </w:rPr>
        <w:t xml:space="preserve">increased T-O-T bonding (T is </w:t>
      </w:r>
      <w:r w:rsidR="00C55CCF">
        <w:rPr>
          <w:rFonts w:cs="Times New Roman"/>
          <w:b w:val="0"/>
          <w:szCs w:val="24"/>
        </w:rPr>
        <w:t xml:space="preserve">a </w:t>
      </w:r>
      <w:r>
        <w:rPr>
          <w:rFonts w:cs="Times New Roman"/>
          <w:b w:val="0"/>
          <w:szCs w:val="24"/>
        </w:rPr>
        <w:t>tetrahedral</w:t>
      </w:r>
      <w:r w:rsidR="00C55CCF">
        <w:rPr>
          <w:rFonts w:cs="Times New Roman"/>
          <w:b w:val="0"/>
          <w:szCs w:val="24"/>
        </w:rPr>
        <w:t>ly coordinated species</w:t>
      </w:r>
      <w:r>
        <w:rPr>
          <w:rFonts w:cs="Times New Roman"/>
          <w:b w:val="0"/>
          <w:szCs w:val="24"/>
        </w:rPr>
        <w:t>)</w:t>
      </w:r>
      <w:r w:rsidRPr="000E2377">
        <w:rPr>
          <w:rFonts w:cs="Times New Roman"/>
          <w:b w:val="0"/>
          <w:szCs w:val="24"/>
        </w:rPr>
        <w:t>. The coordination of Mg</w:t>
      </w:r>
      <w:r w:rsidRPr="002755D9">
        <w:rPr>
          <w:rFonts w:cs="Times New Roman"/>
          <w:b w:val="0"/>
          <w:szCs w:val="24"/>
          <w:vertAlign w:val="superscript"/>
        </w:rPr>
        <w:t>2+</w:t>
      </w:r>
      <w:r w:rsidRPr="000E2377">
        <w:rPr>
          <w:rFonts w:cs="Times New Roman"/>
          <w:b w:val="0"/>
          <w:szCs w:val="24"/>
        </w:rPr>
        <w:t>/Ca</w:t>
      </w:r>
      <w:r w:rsidRPr="002755D9">
        <w:rPr>
          <w:rFonts w:cs="Times New Roman"/>
          <w:b w:val="0"/>
          <w:szCs w:val="24"/>
          <w:vertAlign w:val="superscript"/>
        </w:rPr>
        <w:t>2+</w:t>
      </w:r>
      <w:r w:rsidRPr="000E2377">
        <w:rPr>
          <w:rFonts w:cs="Times New Roman"/>
          <w:b w:val="0"/>
          <w:szCs w:val="24"/>
        </w:rPr>
        <w:t xml:space="preserve"> also affected the coordination of alumina. </w:t>
      </w:r>
      <w:r w:rsidR="0080379F">
        <w:rPr>
          <w:rFonts w:cs="Times New Roman"/>
          <w:b w:val="0"/>
          <w:szCs w:val="24"/>
        </w:rPr>
        <w:t>F</w:t>
      </w:r>
      <w:r w:rsidRPr="000E2377">
        <w:rPr>
          <w:rFonts w:cs="Times New Roman"/>
          <w:b w:val="0"/>
          <w:szCs w:val="24"/>
        </w:rPr>
        <w:t xml:space="preserve">rom </w:t>
      </w:r>
      <w:r w:rsidR="006F5C9D">
        <w:rPr>
          <w:rFonts w:cs="Times New Roman"/>
          <w:b w:val="0"/>
          <w:szCs w:val="24"/>
        </w:rPr>
        <w:t xml:space="preserve">the </w:t>
      </w:r>
      <w:r w:rsidRPr="000E2377">
        <w:rPr>
          <w:rFonts w:cs="Times New Roman"/>
          <w:b w:val="0"/>
          <w:szCs w:val="24"/>
        </w:rPr>
        <w:t xml:space="preserve">Al NMR data, the highest peak </w:t>
      </w:r>
      <w:r>
        <w:rPr>
          <w:rFonts w:cs="Times New Roman"/>
          <w:b w:val="0"/>
          <w:szCs w:val="24"/>
        </w:rPr>
        <w:t xml:space="preserve">is </w:t>
      </w:r>
      <w:r w:rsidRPr="000E2377">
        <w:rPr>
          <w:rFonts w:cs="Times New Roman"/>
          <w:b w:val="0"/>
          <w:szCs w:val="24"/>
        </w:rPr>
        <w:t>slightly shield</w:t>
      </w:r>
      <w:r>
        <w:rPr>
          <w:rFonts w:cs="Times New Roman"/>
          <w:b w:val="0"/>
          <w:szCs w:val="24"/>
        </w:rPr>
        <w:t>ed</w:t>
      </w:r>
      <w:r w:rsidRPr="000E2377">
        <w:rPr>
          <w:rFonts w:cs="Times New Roman"/>
          <w:b w:val="0"/>
          <w:szCs w:val="24"/>
        </w:rPr>
        <w:t xml:space="preserve"> to lower ppm </w:t>
      </w:r>
      <w:r w:rsidR="006F5C9D">
        <w:rPr>
          <w:rFonts w:cs="Times New Roman"/>
          <w:b w:val="0"/>
          <w:szCs w:val="24"/>
        </w:rPr>
        <w:t>o</w:t>
      </w:r>
      <w:r w:rsidR="006F5C9D" w:rsidRPr="000E2377">
        <w:rPr>
          <w:rFonts w:cs="Times New Roman"/>
          <w:b w:val="0"/>
          <w:szCs w:val="24"/>
        </w:rPr>
        <w:t xml:space="preserve">n </w:t>
      </w:r>
      <w:r w:rsidRPr="000E2377">
        <w:rPr>
          <w:rFonts w:cs="Times New Roman"/>
          <w:b w:val="0"/>
          <w:szCs w:val="24"/>
        </w:rPr>
        <w:t xml:space="preserve">increasing substitution of </w:t>
      </w:r>
      <w:proofErr w:type="spellStart"/>
      <w:r w:rsidRPr="000E2377">
        <w:rPr>
          <w:rFonts w:cs="Times New Roman"/>
          <w:b w:val="0"/>
          <w:szCs w:val="24"/>
        </w:rPr>
        <w:t>CaO</w:t>
      </w:r>
      <w:proofErr w:type="spellEnd"/>
      <w:r w:rsidRPr="000E2377">
        <w:rPr>
          <w:rFonts w:cs="Times New Roman"/>
          <w:b w:val="0"/>
          <w:szCs w:val="24"/>
        </w:rPr>
        <w:t xml:space="preserve"> for MgO, due to </w:t>
      </w:r>
      <w:r w:rsidR="00284CC3">
        <w:rPr>
          <w:rFonts w:cs="Times New Roman"/>
          <w:b w:val="0"/>
          <w:szCs w:val="24"/>
        </w:rPr>
        <w:t xml:space="preserve">the </w:t>
      </w:r>
      <w:r w:rsidRPr="000E2377">
        <w:rPr>
          <w:rFonts w:cs="Times New Roman"/>
          <w:b w:val="0"/>
          <w:szCs w:val="24"/>
        </w:rPr>
        <w:t xml:space="preserve">presence and </w:t>
      </w:r>
      <w:r w:rsidR="006F5C9D" w:rsidRPr="000E2377">
        <w:rPr>
          <w:rFonts w:cs="Times New Roman"/>
          <w:b w:val="0"/>
          <w:szCs w:val="24"/>
        </w:rPr>
        <w:t>increas</w:t>
      </w:r>
      <w:r w:rsidR="006F5C9D">
        <w:rPr>
          <w:rFonts w:cs="Times New Roman"/>
          <w:b w:val="0"/>
          <w:szCs w:val="24"/>
        </w:rPr>
        <w:t>e in the amount</w:t>
      </w:r>
      <w:r w:rsidR="006F5C9D" w:rsidRPr="000E2377">
        <w:rPr>
          <w:rFonts w:cs="Times New Roman"/>
          <w:b w:val="0"/>
          <w:szCs w:val="24"/>
        </w:rPr>
        <w:t xml:space="preserve"> </w:t>
      </w:r>
      <w:r w:rsidRPr="000E2377">
        <w:rPr>
          <w:rFonts w:cs="Times New Roman"/>
          <w:b w:val="0"/>
          <w:szCs w:val="24"/>
        </w:rPr>
        <w:t xml:space="preserve">of fivefold </w:t>
      </w:r>
      <w:r w:rsidR="006F5C9D" w:rsidRPr="000E2377">
        <w:rPr>
          <w:rFonts w:cs="Times New Roman"/>
          <w:b w:val="0"/>
          <w:szCs w:val="24"/>
        </w:rPr>
        <w:t>coordinat</w:t>
      </w:r>
      <w:r w:rsidR="006F5C9D">
        <w:rPr>
          <w:rFonts w:cs="Times New Roman"/>
          <w:b w:val="0"/>
          <w:szCs w:val="24"/>
        </w:rPr>
        <w:t>ed</w:t>
      </w:r>
      <w:r w:rsidRPr="000E2377">
        <w:rPr>
          <w:rFonts w:cs="Times New Roman"/>
          <w:b w:val="0"/>
          <w:szCs w:val="24"/>
        </w:rPr>
        <w:t xml:space="preserve"> </w:t>
      </w:r>
      <w:r w:rsidR="006F5C9D" w:rsidRPr="000E2377">
        <w:rPr>
          <w:rFonts w:cs="Times New Roman"/>
          <w:b w:val="0"/>
          <w:szCs w:val="24"/>
        </w:rPr>
        <w:t>alumin</w:t>
      </w:r>
      <w:r w:rsidR="006F5C9D">
        <w:rPr>
          <w:rFonts w:cs="Times New Roman"/>
          <w:b w:val="0"/>
          <w:szCs w:val="24"/>
        </w:rPr>
        <w:t>ium</w:t>
      </w:r>
      <w:r w:rsidR="006F5C9D" w:rsidRPr="000E2377">
        <w:rPr>
          <w:rFonts w:cs="Times New Roman"/>
          <w:b w:val="0"/>
          <w:szCs w:val="24"/>
        </w:rPr>
        <w:t xml:space="preserve"> </w:t>
      </w:r>
      <w:r w:rsidRPr="000E2377">
        <w:rPr>
          <w:rFonts w:cs="Times New Roman"/>
          <w:b w:val="0"/>
          <w:szCs w:val="24"/>
        </w:rPr>
        <w:t>(Al</w:t>
      </w:r>
      <w:r w:rsidRPr="000E2377">
        <w:rPr>
          <w:rFonts w:cs="Times New Roman"/>
          <w:b w:val="0"/>
          <w:szCs w:val="24"/>
          <w:vertAlign w:val="superscript"/>
        </w:rPr>
        <w:t>V</w:t>
      </w:r>
      <w:r w:rsidRPr="000E2377">
        <w:rPr>
          <w:rFonts w:cs="Times New Roman"/>
          <w:b w:val="0"/>
          <w:szCs w:val="24"/>
        </w:rPr>
        <w:t>)</w:t>
      </w:r>
      <w:r w:rsidR="006F5C9D">
        <w:rPr>
          <w:rFonts w:cs="Times New Roman"/>
          <w:b w:val="0"/>
          <w:szCs w:val="24"/>
        </w:rPr>
        <w:t xml:space="preserve"> </w:t>
      </w:r>
      <w:r w:rsidRPr="000E2377">
        <w:rPr>
          <w:rFonts w:cs="Times New Roman"/>
          <w:b w:val="0"/>
          <w:szCs w:val="24"/>
        </w:rPr>
        <w:fldChar w:fldCharType="begin" w:fldLock="1"/>
      </w:r>
      <w:r w:rsidRPr="000E2377">
        <w:rPr>
          <w:rFonts w:cs="Times New Roman"/>
          <w:b w:val="0"/>
          <w:szCs w:val="24"/>
        </w:rPr>
        <w:instrText>ADDIN CSL_CITATION { "citationItems" : [ { "id" : "ITEM-1", "itemData" : { "DOI" : "10.1016/j.jnoncrysol.2013.03.015", "ISSN" : "00223093", "abstract" : "While the mixed alkali effect has received significant attention in the glass literature, the mixed alkaline earth effect has not been thoroughly studied. Here, we investigate the latter effect by partial substitution of magnesium for calcium in sodium aluminosilicate glasses. We use Raman and NMR spectroscopies to obtain insights into the structural and topological features of these glasses, and hence into the mixed alkaline earth effect. We demonstrate that the mixed alkaline earth effectmanifests itself as a maximumin the amount of bonded tetrahedral units and as a minimum in liquid fragility index, glass transition temperature, Vickers microhardness, and isokom temperatures (viz., the temperatures at \u03b7 =1013.5 and 1012.2 Pa s). The observedmin- ima in fragility, glass transition temperature, and isokomtemperature are ascribed to bondweakening in the local structural environment around the network modifiers. We suggest that, since the elastic properties of the investi- gated system are compositionally independent, the minimum in Vickers microhardness is closely correlated to the minimum in isokom temperatures. Both of these properties are related to plastic flow and the translational motion of structural units, and hence both may be related to the same underlying topological constraints. This indicates that there might not be any significant difference in the onset of the rigid sub-Tg constraints for the inves- tigated compositions.", "author" : [ { "dropping-particle" : "", "family" : "Kjeldsen", "given" : "Jonas", "non-dropping-particle" : "", "parse-names" : false, "suffix" : "" }, { "dropping-particle" : "", "family" : "Smedskjaer", "given" : "Morten M.", "non-dropping-particle" : "", "parse-names" : false, "suffix" : "" }, { "dropping-particle" : "", "family" : "Mauro", "given" : "John C.", "non-dropping-particle" : "", "parse-names" : false, "suffix" : "" }, { "dropping-particle" : "", "family" : "Youngman", "given" : "Randall E.", "non-dropping-particle" : "", "parse-names" : false, "suffix" : "" }, { "dropping-particle" : "", "family" : "Huang", "given" : "Liping", "non-dropping-particle" : "", "parse-names" : false, "suffix" : "" }, { "dropping-particle" : "", "family" : "Yue", "given" : "Yuanzheng", "non-dropping-particle" : "", "parse-names" : false, "suffix" : "" } ], "container-title" : "Journal of Non-Crystalline Solids", "id" : "ITEM-1", "issued" : { "date-parts" : [ [ "2013", "6" ] ] }, "page" : "61-68", "publisher" : "Elsevier B.V.", "title" : "Mixed alkaline earth effect in sodium aluminosilicate glasses", "type" : "article-journal", "volume" : "369" }, "uris" : [ "http://www.mendeley.com/documents/?uuid=45c1a899-47ec-44ab-ab46-735af4607463" ] } ], "mendeley" : { "formattedCitation" : "(Kjeldsen et al., 2013)", "plainTextFormattedCitation" : "(Kjeldsen et al., 2013)", "previouslyFormattedCitation" : "(Kjeldsen et al., 2013)" }, "properties" : { "noteIndex" : 0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(Kjeldsen et al., 2013)</w:t>
      </w:r>
      <w:r w:rsidRPr="000E2377">
        <w:rPr>
          <w:rFonts w:cs="Times New Roman"/>
          <w:b w:val="0"/>
          <w:szCs w:val="24"/>
        </w:rPr>
        <w:fldChar w:fldCharType="end"/>
      </w:r>
      <w:r w:rsidRPr="000E2377">
        <w:rPr>
          <w:rFonts w:cs="Times New Roman"/>
          <w:b w:val="0"/>
          <w:szCs w:val="24"/>
        </w:rPr>
        <w:t xml:space="preserve">. </w:t>
      </w:r>
    </w:p>
    <w:p w14:paraId="3386ADD0" w14:textId="415175B0" w:rsidR="00FC58C0" w:rsidRDefault="00FC58C0" w:rsidP="00FC58C0">
      <w:pPr>
        <w:spacing w:after="0" w:line="360" w:lineRule="auto"/>
        <w:ind w:firstLine="405"/>
        <w:jc w:val="both"/>
        <w:rPr>
          <w:rFonts w:asciiTheme="majorBidi" w:hAnsiTheme="majorBidi" w:cstheme="majorBidi"/>
          <w:b w:val="0"/>
          <w:szCs w:val="24"/>
        </w:rPr>
      </w:pPr>
      <w:r w:rsidRPr="0027187B">
        <w:rPr>
          <w:rFonts w:asciiTheme="majorBidi" w:hAnsiTheme="majorBidi" w:cstheme="majorBidi"/>
          <w:b w:val="0"/>
          <w:szCs w:val="24"/>
        </w:rPr>
        <w:t xml:space="preserve">The coordination of alumina and boron </w:t>
      </w:r>
      <w:r w:rsidR="006F5C9D">
        <w:rPr>
          <w:rFonts w:asciiTheme="majorBidi" w:hAnsiTheme="majorBidi" w:cstheme="majorBidi"/>
          <w:b w:val="0"/>
          <w:szCs w:val="24"/>
        </w:rPr>
        <w:t>varies</w:t>
      </w:r>
      <w:r w:rsidRPr="0027187B">
        <w:rPr>
          <w:rFonts w:asciiTheme="majorBidi" w:hAnsiTheme="majorBidi" w:cstheme="majorBidi"/>
          <w:b w:val="0"/>
          <w:szCs w:val="24"/>
        </w:rPr>
        <w:t xml:space="preserve"> when different alkaline earth</w:t>
      </w:r>
      <w:r w:rsidR="006F5C9D">
        <w:rPr>
          <w:rFonts w:asciiTheme="majorBidi" w:hAnsiTheme="majorBidi" w:cstheme="majorBidi"/>
          <w:b w:val="0"/>
          <w:szCs w:val="24"/>
        </w:rPr>
        <w:t>s are</w:t>
      </w:r>
      <w:r w:rsidRPr="0027187B">
        <w:rPr>
          <w:rFonts w:asciiTheme="majorBidi" w:hAnsiTheme="majorBidi" w:cstheme="majorBidi"/>
          <w:b w:val="0"/>
          <w:szCs w:val="24"/>
        </w:rPr>
        <w:t xml:space="preserve"> used in boroaluminate glass</w:t>
      </w:r>
      <w:r w:rsidR="003F1B06">
        <w:rPr>
          <w:rFonts w:asciiTheme="majorBidi" w:hAnsiTheme="majorBidi" w:cstheme="majorBidi"/>
          <w:b w:val="0"/>
          <w:szCs w:val="24"/>
        </w:rPr>
        <w:t>es</w:t>
      </w:r>
      <w:r w:rsidRPr="0027187B">
        <w:rPr>
          <w:rFonts w:asciiTheme="majorBidi" w:hAnsiTheme="majorBidi" w:cstheme="majorBidi"/>
          <w:b w:val="0"/>
          <w:szCs w:val="24"/>
        </w:rPr>
        <w:t xml:space="preserve"> MO:B</w:t>
      </w:r>
      <w:r w:rsidRPr="0027187B">
        <w:rPr>
          <w:rFonts w:asciiTheme="majorBidi" w:hAnsiTheme="majorBidi" w:cstheme="majorBidi"/>
          <w:b w:val="0"/>
          <w:szCs w:val="24"/>
          <w:vertAlign w:val="subscript"/>
        </w:rPr>
        <w:t>2</w:t>
      </w:r>
      <w:r w:rsidRPr="0027187B">
        <w:rPr>
          <w:rFonts w:asciiTheme="majorBidi" w:hAnsiTheme="majorBidi" w:cstheme="majorBidi"/>
          <w:b w:val="0"/>
          <w:szCs w:val="24"/>
        </w:rPr>
        <w:t>O</w:t>
      </w:r>
      <w:r w:rsidRPr="0027187B">
        <w:rPr>
          <w:rFonts w:asciiTheme="majorBidi" w:hAnsiTheme="majorBidi" w:cstheme="majorBidi"/>
          <w:b w:val="0"/>
          <w:szCs w:val="24"/>
          <w:vertAlign w:val="subscript"/>
        </w:rPr>
        <w:t>3</w:t>
      </w:r>
      <w:r w:rsidRPr="0027187B">
        <w:rPr>
          <w:rFonts w:asciiTheme="majorBidi" w:hAnsiTheme="majorBidi" w:cstheme="majorBidi"/>
          <w:b w:val="0"/>
          <w:szCs w:val="24"/>
        </w:rPr>
        <w:t>:Al</w:t>
      </w:r>
      <w:r w:rsidRPr="0027187B">
        <w:rPr>
          <w:rFonts w:asciiTheme="majorBidi" w:hAnsiTheme="majorBidi" w:cstheme="majorBidi"/>
          <w:b w:val="0"/>
          <w:szCs w:val="24"/>
          <w:vertAlign w:val="subscript"/>
        </w:rPr>
        <w:t>2</w:t>
      </w:r>
      <w:r w:rsidRPr="0027187B">
        <w:rPr>
          <w:rFonts w:asciiTheme="majorBidi" w:hAnsiTheme="majorBidi" w:cstheme="majorBidi"/>
          <w:b w:val="0"/>
          <w:szCs w:val="24"/>
        </w:rPr>
        <w:t>O</w:t>
      </w:r>
      <w:r w:rsidRPr="0027187B">
        <w:rPr>
          <w:rFonts w:asciiTheme="majorBidi" w:hAnsiTheme="majorBidi" w:cstheme="majorBidi"/>
          <w:b w:val="0"/>
          <w:szCs w:val="24"/>
          <w:vertAlign w:val="subscript"/>
        </w:rPr>
        <w:t>3</w:t>
      </w:r>
      <w:r w:rsidRPr="0027187B">
        <w:rPr>
          <w:rFonts w:asciiTheme="majorBidi" w:hAnsiTheme="majorBidi" w:cstheme="majorBidi"/>
          <w:b w:val="0"/>
          <w:szCs w:val="24"/>
        </w:rPr>
        <w:t xml:space="preserve"> with M is Mg, </w:t>
      </w:r>
      <w:r w:rsidR="00851AA4">
        <w:rPr>
          <w:rFonts w:asciiTheme="majorBidi" w:hAnsiTheme="majorBidi" w:cstheme="majorBidi"/>
          <w:b w:val="0"/>
          <w:szCs w:val="24"/>
        </w:rPr>
        <w:t>C</w:t>
      </w:r>
      <w:r w:rsidRPr="0027187B">
        <w:rPr>
          <w:rFonts w:asciiTheme="majorBidi" w:hAnsiTheme="majorBidi" w:cstheme="majorBidi"/>
          <w:b w:val="0"/>
          <w:szCs w:val="24"/>
        </w:rPr>
        <w:t>a, Ba, Sr</w:t>
      </w:r>
      <w:r w:rsidR="003F1B06">
        <w:rPr>
          <w:rFonts w:asciiTheme="majorBidi" w:hAnsiTheme="majorBidi" w:cstheme="majorBidi"/>
          <w:b w:val="0"/>
          <w:szCs w:val="24"/>
        </w:rPr>
        <w:t xml:space="preserve">. </w:t>
      </w:r>
      <w:r w:rsidR="00CA2397">
        <w:rPr>
          <w:rFonts w:asciiTheme="majorBidi" w:hAnsiTheme="majorBidi" w:cstheme="majorBidi"/>
          <w:b w:val="0"/>
          <w:szCs w:val="24"/>
        </w:rPr>
        <w:t xml:space="preserve">For an example in </w:t>
      </w:r>
      <w:r w:rsidR="003F1B06">
        <w:rPr>
          <w:rFonts w:asciiTheme="majorBidi" w:hAnsiTheme="majorBidi" w:cstheme="majorBidi"/>
          <w:b w:val="0"/>
          <w:szCs w:val="24"/>
        </w:rPr>
        <w:t xml:space="preserve">the </w:t>
      </w:r>
      <w:r w:rsidR="006D6F2A">
        <w:rPr>
          <w:rFonts w:asciiTheme="majorBidi" w:hAnsiTheme="majorBidi" w:cstheme="majorBidi"/>
          <w:b w:val="0"/>
          <w:szCs w:val="24"/>
        </w:rPr>
        <w:t>Mg</w:t>
      </w:r>
      <w:r w:rsidR="00CA2397">
        <w:rPr>
          <w:rFonts w:asciiTheme="majorBidi" w:hAnsiTheme="majorBidi" w:cstheme="majorBidi"/>
          <w:b w:val="0"/>
          <w:szCs w:val="24"/>
        </w:rPr>
        <w:t xml:space="preserve"> glass series with </w:t>
      </w:r>
      <w:r w:rsidR="006D6F2A">
        <w:rPr>
          <w:rFonts w:asciiTheme="majorBidi" w:hAnsiTheme="majorBidi" w:cstheme="majorBidi"/>
          <w:b w:val="0"/>
          <w:szCs w:val="24"/>
        </w:rPr>
        <w:t>40Mg</w:t>
      </w:r>
      <w:r w:rsidR="00CA2397">
        <w:rPr>
          <w:rFonts w:asciiTheme="majorBidi" w:hAnsiTheme="majorBidi" w:cstheme="majorBidi"/>
          <w:b w:val="0"/>
          <w:szCs w:val="24"/>
        </w:rPr>
        <w:t>O-</w:t>
      </w:r>
      <w:r w:rsidR="006D6F2A">
        <w:rPr>
          <w:rFonts w:asciiTheme="majorBidi" w:hAnsiTheme="majorBidi" w:cstheme="majorBidi"/>
          <w:b w:val="0"/>
          <w:szCs w:val="24"/>
        </w:rPr>
        <w:t>(50-x)</w:t>
      </w:r>
      <w:r w:rsidR="00CA2397" w:rsidRPr="0027187B">
        <w:rPr>
          <w:rFonts w:asciiTheme="majorBidi" w:hAnsiTheme="majorBidi" w:cstheme="majorBidi"/>
          <w:b w:val="0"/>
          <w:szCs w:val="24"/>
        </w:rPr>
        <w:t>B</w:t>
      </w:r>
      <w:r w:rsidR="00CA2397" w:rsidRPr="0027187B">
        <w:rPr>
          <w:rFonts w:asciiTheme="majorBidi" w:hAnsiTheme="majorBidi" w:cstheme="majorBidi"/>
          <w:b w:val="0"/>
          <w:szCs w:val="24"/>
          <w:vertAlign w:val="subscript"/>
        </w:rPr>
        <w:t>2</w:t>
      </w:r>
      <w:r w:rsidR="00CA2397" w:rsidRPr="0027187B">
        <w:rPr>
          <w:rFonts w:asciiTheme="majorBidi" w:hAnsiTheme="majorBidi" w:cstheme="majorBidi"/>
          <w:b w:val="0"/>
          <w:szCs w:val="24"/>
        </w:rPr>
        <w:t>O</w:t>
      </w:r>
      <w:r w:rsidR="00CA2397" w:rsidRPr="0027187B">
        <w:rPr>
          <w:rFonts w:asciiTheme="majorBidi" w:hAnsiTheme="majorBidi" w:cstheme="majorBidi"/>
          <w:b w:val="0"/>
          <w:szCs w:val="24"/>
          <w:vertAlign w:val="subscript"/>
        </w:rPr>
        <w:t>3</w:t>
      </w:r>
      <w:r w:rsidR="00CA2397">
        <w:rPr>
          <w:rFonts w:asciiTheme="majorBidi" w:hAnsiTheme="majorBidi" w:cstheme="majorBidi"/>
          <w:b w:val="0"/>
          <w:szCs w:val="24"/>
        </w:rPr>
        <w:t>-</w:t>
      </w:r>
      <w:r w:rsidR="006D6F2A">
        <w:rPr>
          <w:rFonts w:asciiTheme="majorBidi" w:hAnsiTheme="majorBidi" w:cstheme="majorBidi"/>
          <w:b w:val="0"/>
          <w:szCs w:val="24"/>
        </w:rPr>
        <w:t>x</w:t>
      </w:r>
      <w:r w:rsidR="00CA2397" w:rsidRPr="0027187B">
        <w:rPr>
          <w:rFonts w:asciiTheme="majorBidi" w:hAnsiTheme="majorBidi" w:cstheme="majorBidi"/>
          <w:b w:val="0"/>
          <w:szCs w:val="24"/>
        </w:rPr>
        <w:t>Al</w:t>
      </w:r>
      <w:r w:rsidR="00CA2397" w:rsidRPr="0027187B">
        <w:rPr>
          <w:rFonts w:asciiTheme="majorBidi" w:hAnsiTheme="majorBidi" w:cstheme="majorBidi"/>
          <w:b w:val="0"/>
          <w:szCs w:val="24"/>
          <w:vertAlign w:val="subscript"/>
        </w:rPr>
        <w:t>2</w:t>
      </w:r>
      <w:r w:rsidR="00CA2397" w:rsidRPr="0027187B">
        <w:rPr>
          <w:rFonts w:asciiTheme="majorBidi" w:hAnsiTheme="majorBidi" w:cstheme="majorBidi"/>
          <w:b w:val="0"/>
          <w:szCs w:val="24"/>
        </w:rPr>
        <w:t>O</w:t>
      </w:r>
      <w:r w:rsidR="00CA2397" w:rsidRPr="0027187B">
        <w:rPr>
          <w:rFonts w:asciiTheme="majorBidi" w:hAnsiTheme="majorBidi" w:cstheme="majorBidi"/>
          <w:b w:val="0"/>
          <w:szCs w:val="24"/>
          <w:vertAlign w:val="subscript"/>
        </w:rPr>
        <w:t>3</w:t>
      </w:r>
      <w:r w:rsidR="006D6F2A">
        <w:rPr>
          <w:rFonts w:asciiTheme="majorBidi" w:hAnsiTheme="majorBidi" w:cstheme="majorBidi"/>
          <w:b w:val="0"/>
          <w:szCs w:val="24"/>
        </w:rPr>
        <w:t xml:space="preserve">, </w:t>
      </w:r>
      <w:r w:rsidR="003F1B06">
        <w:rPr>
          <w:rFonts w:asciiTheme="majorBidi" w:hAnsiTheme="majorBidi" w:cstheme="majorBidi"/>
          <w:b w:val="0"/>
          <w:szCs w:val="24"/>
        </w:rPr>
        <w:t xml:space="preserve">where </w:t>
      </w:r>
      <w:r w:rsidR="006D6F2A">
        <w:rPr>
          <w:rFonts w:asciiTheme="majorBidi" w:hAnsiTheme="majorBidi" w:cstheme="majorBidi"/>
          <w:b w:val="0"/>
          <w:szCs w:val="24"/>
        </w:rPr>
        <w:t>x=10,</w:t>
      </w:r>
      <w:r w:rsidR="003F1B06">
        <w:rPr>
          <w:rFonts w:asciiTheme="majorBidi" w:hAnsiTheme="majorBidi" w:cstheme="majorBidi"/>
          <w:b w:val="0"/>
          <w:szCs w:val="24"/>
        </w:rPr>
        <w:t xml:space="preserve"> </w:t>
      </w:r>
      <w:r w:rsidR="006D6F2A">
        <w:rPr>
          <w:rFonts w:asciiTheme="majorBidi" w:hAnsiTheme="majorBidi" w:cstheme="majorBidi"/>
          <w:b w:val="0"/>
          <w:szCs w:val="24"/>
        </w:rPr>
        <w:t>20,</w:t>
      </w:r>
      <w:r w:rsidR="003F1B06">
        <w:rPr>
          <w:rFonts w:asciiTheme="majorBidi" w:hAnsiTheme="majorBidi" w:cstheme="majorBidi"/>
          <w:b w:val="0"/>
          <w:szCs w:val="24"/>
        </w:rPr>
        <w:t xml:space="preserve"> </w:t>
      </w:r>
      <w:r w:rsidR="006D6F2A">
        <w:rPr>
          <w:rFonts w:asciiTheme="majorBidi" w:hAnsiTheme="majorBidi" w:cstheme="majorBidi"/>
          <w:b w:val="0"/>
          <w:szCs w:val="24"/>
        </w:rPr>
        <w:t xml:space="preserve">30, </w:t>
      </w:r>
      <w:r w:rsidR="006E73CC">
        <w:rPr>
          <w:rFonts w:asciiTheme="majorBidi" w:hAnsiTheme="majorBidi" w:cstheme="majorBidi"/>
          <w:b w:val="0"/>
          <w:szCs w:val="24"/>
        </w:rPr>
        <w:t>variation of</w:t>
      </w:r>
      <w:r w:rsidR="006D6F2A">
        <w:rPr>
          <w:rFonts w:asciiTheme="majorBidi" w:hAnsiTheme="majorBidi" w:cstheme="majorBidi"/>
          <w:b w:val="0"/>
          <w:szCs w:val="24"/>
        </w:rPr>
        <w:t xml:space="preserve"> alumina </w:t>
      </w:r>
      <w:r w:rsidR="006E73CC">
        <w:rPr>
          <w:rFonts w:asciiTheme="majorBidi" w:hAnsiTheme="majorBidi" w:cstheme="majorBidi"/>
          <w:b w:val="0"/>
          <w:szCs w:val="24"/>
        </w:rPr>
        <w:t>species present (</w:t>
      </w:r>
      <w:proofErr w:type="spellStart"/>
      <w:r w:rsidR="006E73CC">
        <w:rPr>
          <w:rFonts w:asciiTheme="majorBidi" w:hAnsiTheme="majorBidi" w:cstheme="majorBidi"/>
          <w:b w:val="0"/>
          <w:szCs w:val="24"/>
        </w:rPr>
        <w:t>Al</w:t>
      </w:r>
      <w:r w:rsidR="006E73CC" w:rsidRPr="00F32B60">
        <w:rPr>
          <w:rFonts w:asciiTheme="majorBidi" w:hAnsiTheme="majorBidi" w:cstheme="majorBidi"/>
          <w:b w:val="0"/>
          <w:szCs w:val="24"/>
          <w:vertAlign w:val="superscript"/>
        </w:rPr>
        <w:t>IV</w:t>
      </w:r>
      <w:proofErr w:type="spellEnd"/>
      <w:r w:rsidR="006E73CC">
        <w:rPr>
          <w:rFonts w:asciiTheme="majorBidi" w:hAnsiTheme="majorBidi" w:cstheme="majorBidi"/>
          <w:b w:val="0"/>
          <w:szCs w:val="24"/>
        </w:rPr>
        <w:t xml:space="preserve">, </w:t>
      </w:r>
      <w:proofErr w:type="spellStart"/>
      <w:r w:rsidR="006E73CC">
        <w:rPr>
          <w:rFonts w:asciiTheme="majorBidi" w:hAnsiTheme="majorBidi" w:cstheme="majorBidi"/>
          <w:b w:val="0"/>
          <w:szCs w:val="24"/>
        </w:rPr>
        <w:t>Al</w:t>
      </w:r>
      <w:r w:rsidR="006E73CC" w:rsidRPr="00F32B60">
        <w:rPr>
          <w:rFonts w:asciiTheme="majorBidi" w:hAnsiTheme="majorBidi" w:cstheme="majorBidi"/>
          <w:b w:val="0"/>
          <w:szCs w:val="24"/>
          <w:vertAlign w:val="superscript"/>
        </w:rPr>
        <w:t>V</w:t>
      </w:r>
      <w:proofErr w:type="spellEnd"/>
      <w:r w:rsidR="006E73CC">
        <w:rPr>
          <w:rFonts w:asciiTheme="majorBidi" w:hAnsiTheme="majorBidi" w:cstheme="majorBidi"/>
          <w:b w:val="0"/>
          <w:szCs w:val="24"/>
        </w:rPr>
        <w:t xml:space="preserve"> and </w:t>
      </w:r>
      <w:proofErr w:type="spellStart"/>
      <w:r w:rsidR="006E73CC">
        <w:rPr>
          <w:rFonts w:asciiTheme="majorBidi" w:hAnsiTheme="majorBidi" w:cstheme="majorBidi"/>
          <w:b w:val="0"/>
          <w:szCs w:val="24"/>
        </w:rPr>
        <w:t>Al</w:t>
      </w:r>
      <w:r w:rsidR="006E73CC" w:rsidRPr="00F32B60">
        <w:rPr>
          <w:rFonts w:asciiTheme="majorBidi" w:hAnsiTheme="majorBidi" w:cstheme="majorBidi"/>
          <w:b w:val="0"/>
          <w:szCs w:val="24"/>
          <w:vertAlign w:val="superscript"/>
        </w:rPr>
        <w:t>VI</w:t>
      </w:r>
      <w:proofErr w:type="spellEnd"/>
      <w:r w:rsidR="006E73CC">
        <w:rPr>
          <w:rFonts w:asciiTheme="majorBidi" w:hAnsiTheme="majorBidi" w:cstheme="majorBidi"/>
          <w:b w:val="0"/>
          <w:szCs w:val="24"/>
        </w:rPr>
        <w:t>) with decreasing B</w:t>
      </w:r>
      <w:r w:rsidR="006E73CC" w:rsidRPr="004C4CEC">
        <w:rPr>
          <w:rFonts w:asciiTheme="majorBidi" w:hAnsiTheme="majorBidi" w:cstheme="majorBidi"/>
          <w:b w:val="0"/>
          <w:szCs w:val="24"/>
          <w:vertAlign w:val="subscript"/>
        </w:rPr>
        <w:t>2</w:t>
      </w:r>
      <w:r w:rsidR="006E73CC">
        <w:rPr>
          <w:rFonts w:asciiTheme="majorBidi" w:hAnsiTheme="majorBidi" w:cstheme="majorBidi"/>
          <w:b w:val="0"/>
          <w:szCs w:val="24"/>
        </w:rPr>
        <w:t>O</w:t>
      </w:r>
      <w:r w:rsidR="006E73CC" w:rsidRPr="004C4CEC">
        <w:rPr>
          <w:rFonts w:asciiTheme="majorBidi" w:hAnsiTheme="majorBidi" w:cstheme="majorBidi"/>
          <w:b w:val="0"/>
          <w:szCs w:val="24"/>
          <w:vertAlign w:val="subscript"/>
        </w:rPr>
        <w:t>3</w:t>
      </w:r>
      <w:r w:rsidR="003F1B06">
        <w:rPr>
          <w:rFonts w:asciiTheme="majorBidi" w:hAnsiTheme="majorBidi" w:cstheme="majorBidi"/>
          <w:b w:val="0"/>
          <w:szCs w:val="24"/>
        </w:rPr>
        <w:t>;</w:t>
      </w:r>
      <w:r w:rsidR="006E73CC">
        <w:rPr>
          <w:rFonts w:asciiTheme="majorBidi" w:hAnsiTheme="majorBidi" w:cstheme="majorBidi"/>
          <w:b w:val="0"/>
          <w:szCs w:val="24"/>
        </w:rPr>
        <w:t xml:space="preserve"> </w:t>
      </w:r>
      <w:r w:rsidR="003F1B06">
        <w:rPr>
          <w:rFonts w:asciiTheme="majorBidi" w:hAnsiTheme="majorBidi" w:cstheme="majorBidi"/>
          <w:b w:val="0"/>
          <w:szCs w:val="24"/>
        </w:rPr>
        <w:t xml:space="preserve">the </w:t>
      </w:r>
      <w:r w:rsidR="006E73CC">
        <w:rPr>
          <w:rFonts w:asciiTheme="majorBidi" w:hAnsiTheme="majorBidi" w:cstheme="majorBidi"/>
          <w:b w:val="0"/>
          <w:szCs w:val="24"/>
        </w:rPr>
        <w:t xml:space="preserve">increase </w:t>
      </w:r>
      <w:r w:rsidR="003F1B06">
        <w:rPr>
          <w:rFonts w:asciiTheme="majorBidi" w:hAnsiTheme="majorBidi" w:cstheme="majorBidi"/>
          <w:b w:val="0"/>
          <w:szCs w:val="24"/>
        </w:rPr>
        <w:t xml:space="preserve">in </w:t>
      </w:r>
      <w:proofErr w:type="spellStart"/>
      <w:r w:rsidR="006E73CC">
        <w:rPr>
          <w:rFonts w:asciiTheme="majorBidi" w:hAnsiTheme="majorBidi" w:cstheme="majorBidi"/>
          <w:b w:val="0"/>
          <w:szCs w:val="24"/>
        </w:rPr>
        <w:t>Al</w:t>
      </w:r>
      <w:r w:rsidR="006E73CC" w:rsidRPr="00F32B60">
        <w:rPr>
          <w:rFonts w:asciiTheme="majorBidi" w:hAnsiTheme="majorBidi" w:cstheme="majorBidi"/>
          <w:b w:val="0"/>
          <w:szCs w:val="24"/>
          <w:vertAlign w:val="superscript"/>
        </w:rPr>
        <w:t>IV</w:t>
      </w:r>
      <w:proofErr w:type="spellEnd"/>
      <w:r w:rsidR="006E73CC" w:rsidRPr="00F32B60">
        <w:rPr>
          <w:rFonts w:asciiTheme="majorBidi" w:hAnsiTheme="majorBidi" w:cstheme="majorBidi"/>
          <w:b w:val="0"/>
          <w:szCs w:val="24"/>
          <w:vertAlign w:val="superscript"/>
        </w:rPr>
        <w:t xml:space="preserve"> </w:t>
      </w:r>
      <w:r w:rsidR="003F1B06" w:rsidRPr="004C4CEC">
        <w:rPr>
          <w:rFonts w:asciiTheme="majorBidi" w:hAnsiTheme="majorBidi" w:cstheme="majorBidi"/>
          <w:b w:val="0"/>
          <w:szCs w:val="24"/>
        </w:rPr>
        <w:t>is</w:t>
      </w:r>
      <w:r w:rsidR="003F1B06">
        <w:rPr>
          <w:rFonts w:asciiTheme="majorBidi" w:hAnsiTheme="majorBidi" w:cstheme="majorBidi"/>
          <w:b w:val="0"/>
          <w:szCs w:val="24"/>
          <w:vertAlign w:val="superscript"/>
        </w:rPr>
        <w:t xml:space="preserve"> </w:t>
      </w:r>
      <w:r w:rsidR="006E73CC">
        <w:rPr>
          <w:rFonts w:asciiTheme="majorBidi" w:hAnsiTheme="majorBidi" w:cstheme="majorBidi"/>
          <w:b w:val="0"/>
          <w:szCs w:val="24"/>
        </w:rPr>
        <w:t xml:space="preserve">due to </w:t>
      </w:r>
      <w:r w:rsidR="003F1B06">
        <w:rPr>
          <w:rFonts w:asciiTheme="majorBidi" w:hAnsiTheme="majorBidi" w:cstheme="majorBidi"/>
          <w:b w:val="0"/>
          <w:szCs w:val="24"/>
        </w:rPr>
        <w:t>charge</w:t>
      </w:r>
      <w:r w:rsidR="006E73CC">
        <w:rPr>
          <w:rFonts w:asciiTheme="majorBidi" w:hAnsiTheme="majorBidi" w:cstheme="majorBidi"/>
          <w:b w:val="0"/>
          <w:szCs w:val="24"/>
        </w:rPr>
        <w:t xml:space="preserve"> compensation from the alkaline earth. Meanwhile</w:t>
      </w:r>
      <w:r w:rsidR="00284CC3">
        <w:rPr>
          <w:rFonts w:asciiTheme="majorBidi" w:hAnsiTheme="majorBidi" w:cstheme="majorBidi"/>
          <w:b w:val="0"/>
          <w:szCs w:val="24"/>
        </w:rPr>
        <w:t>,</w:t>
      </w:r>
      <w:r w:rsidR="006E73CC">
        <w:rPr>
          <w:rFonts w:asciiTheme="majorBidi" w:hAnsiTheme="majorBidi" w:cstheme="majorBidi"/>
          <w:b w:val="0"/>
          <w:szCs w:val="24"/>
        </w:rPr>
        <w:t xml:space="preserve"> for </w:t>
      </w:r>
      <w:proofErr w:type="spellStart"/>
      <w:r w:rsidR="006E73CC">
        <w:rPr>
          <w:rFonts w:asciiTheme="majorBidi" w:hAnsiTheme="majorBidi" w:cstheme="majorBidi"/>
          <w:b w:val="0"/>
          <w:szCs w:val="24"/>
        </w:rPr>
        <w:t>CaO</w:t>
      </w:r>
      <w:proofErr w:type="spellEnd"/>
      <w:r w:rsidR="006E73CC">
        <w:rPr>
          <w:rFonts w:asciiTheme="majorBidi" w:hAnsiTheme="majorBidi" w:cstheme="majorBidi"/>
          <w:b w:val="0"/>
          <w:szCs w:val="24"/>
        </w:rPr>
        <w:t xml:space="preserve"> glass composition with the same stoic</w:t>
      </w:r>
      <w:r w:rsidR="003F1B06">
        <w:rPr>
          <w:rFonts w:asciiTheme="majorBidi" w:hAnsiTheme="majorBidi" w:cstheme="majorBidi"/>
          <w:b w:val="0"/>
          <w:szCs w:val="24"/>
        </w:rPr>
        <w:t>h</w:t>
      </w:r>
      <w:r w:rsidR="006E73CC">
        <w:rPr>
          <w:rFonts w:asciiTheme="majorBidi" w:hAnsiTheme="majorBidi" w:cstheme="majorBidi"/>
          <w:b w:val="0"/>
          <w:szCs w:val="24"/>
        </w:rPr>
        <w:t xml:space="preserve">iometry, only </w:t>
      </w:r>
      <w:proofErr w:type="spellStart"/>
      <w:r w:rsidR="006E73CC">
        <w:rPr>
          <w:rFonts w:asciiTheme="majorBidi" w:hAnsiTheme="majorBidi" w:cstheme="majorBidi"/>
          <w:b w:val="0"/>
          <w:szCs w:val="24"/>
        </w:rPr>
        <w:t>Al</w:t>
      </w:r>
      <w:r w:rsidR="006E73CC" w:rsidRPr="00F32B60">
        <w:rPr>
          <w:rFonts w:asciiTheme="majorBidi" w:hAnsiTheme="majorBidi" w:cstheme="majorBidi"/>
          <w:b w:val="0"/>
          <w:szCs w:val="24"/>
          <w:vertAlign w:val="superscript"/>
        </w:rPr>
        <w:t>IV</w:t>
      </w:r>
      <w:proofErr w:type="spellEnd"/>
      <w:r w:rsidR="006E73CC">
        <w:rPr>
          <w:rFonts w:asciiTheme="majorBidi" w:hAnsiTheme="majorBidi" w:cstheme="majorBidi"/>
          <w:b w:val="0"/>
          <w:szCs w:val="24"/>
        </w:rPr>
        <w:t xml:space="preserve"> and </w:t>
      </w:r>
      <w:proofErr w:type="spellStart"/>
      <w:r w:rsidR="006E73CC">
        <w:rPr>
          <w:rFonts w:asciiTheme="majorBidi" w:hAnsiTheme="majorBidi" w:cstheme="majorBidi"/>
          <w:b w:val="0"/>
          <w:szCs w:val="24"/>
        </w:rPr>
        <w:t>Al</w:t>
      </w:r>
      <w:r w:rsidR="006E73CC" w:rsidRPr="00F32B60">
        <w:rPr>
          <w:rFonts w:asciiTheme="majorBidi" w:hAnsiTheme="majorBidi" w:cstheme="majorBidi"/>
          <w:b w:val="0"/>
          <w:szCs w:val="24"/>
          <w:vertAlign w:val="superscript"/>
        </w:rPr>
        <w:t>V</w:t>
      </w:r>
      <w:proofErr w:type="spellEnd"/>
      <w:r w:rsidR="006E73CC">
        <w:rPr>
          <w:rFonts w:asciiTheme="majorBidi" w:hAnsiTheme="majorBidi" w:cstheme="majorBidi"/>
          <w:b w:val="0"/>
          <w:szCs w:val="24"/>
        </w:rPr>
        <w:t xml:space="preserve"> </w:t>
      </w:r>
      <w:r w:rsidR="003F1B06">
        <w:rPr>
          <w:rFonts w:asciiTheme="majorBidi" w:hAnsiTheme="majorBidi" w:cstheme="majorBidi"/>
          <w:b w:val="0"/>
          <w:szCs w:val="24"/>
        </w:rPr>
        <w:t xml:space="preserve">were </w:t>
      </w:r>
      <w:r w:rsidR="006E73CC">
        <w:rPr>
          <w:rFonts w:asciiTheme="majorBidi" w:hAnsiTheme="majorBidi" w:cstheme="majorBidi"/>
          <w:b w:val="0"/>
          <w:szCs w:val="24"/>
        </w:rPr>
        <w:t xml:space="preserve">present. In other compositions with </w:t>
      </w:r>
      <w:r w:rsidR="006E73CC" w:rsidRPr="006E73CC">
        <w:rPr>
          <w:rFonts w:asciiTheme="majorBidi" w:hAnsiTheme="majorBidi" w:cstheme="majorBidi"/>
          <w:b w:val="0"/>
          <w:szCs w:val="24"/>
        </w:rPr>
        <w:t>40</w:t>
      </w:r>
      <w:r w:rsidR="006E73CC">
        <w:rPr>
          <w:rFonts w:asciiTheme="majorBidi" w:hAnsiTheme="majorBidi" w:cstheme="majorBidi"/>
          <w:b w:val="0"/>
          <w:szCs w:val="24"/>
        </w:rPr>
        <w:t>MO</w:t>
      </w:r>
      <w:r w:rsidR="006E73CC" w:rsidRPr="006E73CC">
        <w:rPr>
          <w:rFonts w:asciiTheme="majorBidi" w:hAnsiTheme="majorBidi" w:cstheme="majorBidi"/>
          <w:b w:val="0"/>
          <w:szCs w:val="24"/>
        </w:rPr>
        <w:t>-30</w:t>
      </w:r>
      <w:r w:rsidR="006E73CC">
        <w:rPr>
          <w:rFonts w:asciiTheme="majorBidi" w:hAnsiTheme="majorBidi" w:cstheme="majorBidi"/>
          <w:b w:val="0"/>
          <w:szCs w:val="24"/>
        </w:rPr>
        <w:t>B</w:t>
      </w:r>
      <w:r w:rsidR="006E73CC" w:rsidRPr="00F32B60">
        <w:rPr>
          <w:rFonts w:asciiTheme="majorBidi" w:hAnsiTheme="majorBidi" w:cstheme="majorBidi"/>
          <w:b w:val="0"/>
          <w:szCs w:val="24"/>
          <w:vertAlign w:val="subscript"/>
        </w:rPr>
        <w:t>2</w:t>
      </w:r>
      <w:r w:rsidR="006E73CC">
        <w:rPr>
          <w:rFonts w:asciiTheme="majorBidi" w:hAnsiTheme="majorBidi" w:cstheme="majorBidi"/>
          <w:b w:val="0"/>
          <w:szCs w:val="24"/>
        </w:rPr>
        <w:t>O</w:t>
      </w:r>
      <w:r w:rsidR="006E73CC" w:rsidRPr="00F32B60">
        <w:rPr>
          <w:rFonts w:asciiTheme="majorBidi" w:hAnsiTheme="majorBidi" w:cstheme="majorBidi"/>
          <w:b w:val="0"/>
          <w:szCs w:val="24"/>
          <w:vertAlign w:val="subscript"/>
        </w:rPr>
        <w:t>3</w:t>
      </w:r>
      <w:r w:rsidR="006E73CC" w:rsidRPr="006E73CC">
        <w:rPr>
          <w:rFonts w:asciiTheme="majorBidi" w:hAnsiTheme="majorBidi" w:cstheme="majorBidi"/>
          <w:b w:val="0"/>
          <w:szCs w:val="24"/>
        </w:rPr>
        <w:t>-</w:t>
      </w:r>
      <w:r w:rsidR="006E73CC">
        <w:rPr>
          <w:rFonts w:asciiTheme="majorBidi" w:hAnsiTheme="majorBidi" w:cstheme="majorBidi"/>
          <w:b w:val="0"/>
          <w:szCs w:val="24"/>
        </w:rPr>
        <w:t>30Al</w:t>
      </w:r>
      <w:r w:rsidR="006E73CC" w:rsidRPr="00F32B60">
        <w:rPr>
          <w:rFonts w:asciiTheme="majorBidi" w:hAnsiTheme="majorBidi" w:cstheme="majorBidi"/>
          <w:b w:val="0"/>
          <w:szCs w:val="24"/>
          <w:vertAlign w:val="subscript"/>
        </w:rPr>
        <w:t>2</w:t>
      </w:r>
      <w:r w:rsidR="006E73CC">
        <w:rPr>
          <w:rFonts w:asciiTheme="majorBidi" w:hAnsiTheme="majorBidi" w:cstheme="majorBidi"/>
          <w:b w:val="0"/>
          <w:szCs w:val="24"/>
        </w:rPr>
        <w:t>O</w:t>
      </w:r>
      <w:r w:rsidR="006E73CC" w:rsidRPr="00F32B60">
        <w:rPr>
          <w:rFonts w:asciiTheme="majorBidi" w:hAnsiTheme="majorBidi" w:cstheme="majorBidi"/>
          <w:b w:val="0"/>
          <w:szCs w:val="24"/>
          <w:vertAlign w:val="subscript"/>
        </w:rPr>
        <w:t>3</w:t>
      </w:r>
      <w:r w:rsidR="006E73CC">
        <w:rPr>
          <w:rFonts w:asciiTheme="majorBidi" w:hAnsiTheme="majorBidi" w:cstheme="majorBidi"/>
          <w:b w:val="0"/>
          <w:szCs w:val="24"/>
        </w:rPr>
        <w:t>, B</w:t>
      </w:r>
      <w:r w:rsidR="006E73CC" w:rsidRPr="00F32B60">
        <w:rPr>
          <w:rFonts w:asciiTheme="majorBidi" w:hAnsiTheme="majorBidi" w:cstheme="majorBidi"/>
          <w:b w:val="0"/>
          <w:szCs w:val="24"/>
          <w:vertAlign w:val="superscript"/>
        </w:rPr>
        <w:t>III</w:t>
      </w:r>
      <w:r w:rsidR="006E73CC">
        <w:rPr>
          <w:rFonts w:asciiTheme="majorBidi" w:hAnsiTheme="majorBidi" w:cstheme="majorBidi"/>
          <w:b w:val="0"/>
          <w:szCs w:val="24"/>
        </w:rPr>
        <w:t xml:space="preserve"> and B</w:t>
      </w:r>
      <w:r w:rsidR="006E73CC" w:rsidRPr="00F32B60">
        <w:rPr>
          <w:rFonts w:asciiTheme="majorBidi" w:hAnsiTheme="majorBidi" w:cstheme="majorBidi"/>
          <w:b w:val="0"/>
          <w:szCs w:val="24"/>
          <w:vertAlign w:val="superscript"/>
        </w:rPr>
        <w:t>IV</w:t>
      </w:r>
      <w:r w:rsidR="006E73CC">
        <w:rPr>
          <w:rFonts w:asciiTheme="majorBidi" w:hAnsiTheme="majorBidi" w:cstheme="majorBidi"/>
          <w:b w:val="0"/>
          <w:szCs w:val="24"/>
        </w:rPr>
        <w:t xml:space="preserve"> </w:t>
      </w:r>
      <w:r w:rsidR="003F1B06">
        <w:rPr>
          <w:rFonts w:asciiTheme="majorBidi" w:hAnsiTheme="majorBidi" w:cstheme="majorBidi"/>
          <w:b w:val="0"/>
          <w:szCs w:val="24"/>
        </w:rPr>
        <w:t xml:space="preserve">were </w:t>
      </w:r>
      <w:r w:rsidR="006E73CC">
        <w:rPr>
          <w:rFonts w:asciiTheme="majorBidi" w:hAnsiTheme="majorBidi" w:cstheme="majorBidi"/>
          <w:b w:val="0"/>
          <w:szCs w:val="24"/>
        </w:rPr>
        <w:t xml:space="preserve">present </w:t>
      </w:r>
      <w:r w:rsidR="003F1B06">
        <w:rPr>
          <w:rFonts w:asciiTheme="majorBidi" w:hAnsiTheme="majorBidi" w:cstheme="majorBidi"/>
          <w:b w:val="0"/>
          <w:szCs w:val="24"/>
        </w:rPr>
        <w:t xml:space="preserve">for </w:t>
      </w:r>
      <w:r w:rsidR="006E73CC">
        <w:rPr>
          <w:rFonts w:asciiTheme="majorBidi" w:hAnsiTheme="majorBidi" w:cstheme="majorBidi"/>
          <w:b w:val="0"/>
          <w:szCs w:val="24"/>
        </w:rPr>
        <w:t xml:space="preserve">all alkaline earth types together with </w:t>
      </w:r>
      <w:proofErr w:type="spellStart"/>
      <w:r w:rsidR="006E73CC">
        <w:rPr>
          <w:rFonts w:asciiTheme="majorBidi" w:hAnsiTheme="majorBidi" w:cstheme="majorBidi"/>
          <w:b w:val="0"/>
          <w:szCs w:val="24"/>
        </w:rPr>
        <w:t>Al</w:t>
      </w:r>
      <w:r w:rsidR="006E73CC" w:rsidRPr="00F32B60">
        <w:rPr>
          <w:rFonts w:asciiTheme="majorBidi" w:hAnsiTheme="majorBidi" w:cstheme="majorBidi"/>
          <w:b w:val="0"/>
          <w:szCs w:val="24"/>
          <w:vertAlign w:val="superscript"/>
        </w:rPr>
        <w:t>IV</w:t>
      </w:r>
      <w:proofErr w:type="spellEnd"/>
      <w:r w:rsidR="006E73CC">
        <w:rPr>
          <w:rFonts w:asciiTheme="majorBidi" w:hAnsiTheme="majorBidi" w:cstheme="majorBidi"/>
          <w:b w:val="0"/>
          <w:szCs w:val="24"/>
        </w:rPr>
        <w:t xml:space="preserve">, </w:t>
      </w:r>
      <w:proofErr w:type="spellStart"/>
      <w:r w:rsidR="006E73CC">
        <w:rPr>
          <w:rFonts w:asciiTheme="majorBidi" w:hAnsiTheme="majorBidi" w:cstheme="majorBidi"/>
          <w:b w:val="0"/>
          <w:szCs w:val="24"/>
        </w:rPr>
        <w:t>Al</w:t>
      </w:r>
      <w:r w:rsidR="006E73CC" w:rsidRPr="00F32B60">
        <w:rPr>
          <w:rFonts w:asciiTheme="majorBidi" w:hAnsiTheme="majorBidi" w:cstheme="majorBidi"/>
          <w:b w:val="0"/>
          <w:szCs w:val="24"/>
          <w:vertAlign w:val="superscript"/>
        </w:rPr>
        <w:t>V</w:t>
      </w:r>
      <w:proofErr w:type="spellEnd"/>
      <w:r w:rsidR="006E73CC">
        <w:rPr>
          <w:rFonts w:asciiTheme="majorBidi" w:hAnsiTheme="majorBidi" w:cstheme="majorBidi"/>
          <w:b w:val="0"/>
          <w:szCs w:val="24"/>
        </w:rPr>
        <w:t xml:space="preserve"> and </w:t>
      </w:r>
      <w:proofErr w:type="spellStart"/>
      <w:r w:rsidR="006E73CC">
        <w:rPr>
          <w:rFonts w:asciiTheme="majorBidi" w:hAnsiTheme="majorBidi" w:cstheme="majorBidi"/>
          <w:b w:val="0"/>
          <w:szCs w:val="24"/>
        </w:rPr>
        <w:t>Al</w:t>
      </w:r>
      <w:r w:rsidR="006E73CC" w:rsidRPr="00F32B60">
        <w:rPr>
          <w:rFonts w:asciiTheme="majorBidi" w:hAnsiTheme="majorBidi" w:cstheme="majorBidi"/>
          <w:b w:val="0"/>
          <w:szCs w:val="24"/>
          <w:vertAlign w:val="superscript"/>
        </w:rPr>
        <w:t>VI</w:t>
      </w:r>
      <w:proofErr w:type="spellEnd"/>
      <w:r w:rsidR="007E7AED" w:rsidRPr="006E73CC">
        <w:rPr>
          <w:rFonts w:asciiTheme="majorBidi" w:hAnsiTheme="majorBidi" w:cstheme="majorBidi"/>
          <w:b w:val="0"/>
          <w:szCs w:val="24"/>
          <w:vertAlign w:val="superscript"/>
        </w:rPr>
        <w:t xml:space="preserve"> </w:t>
      </w:r>
      <w:r w:rsidR="00847E9B">
        <w:rPr>
          <w:rFonts w:asciiTheme="majorBidi" w:hAnsiTheme="majorBidi" w:cstheme="majorBidi"/>
          <w:b w:val="0"/>
          <w:szCs w:val="24"/>
          <w:vertAlign w:val="superscript"/>
        </w:rPr>
        <w:t xml:space="preserve"> </w:t>
      </w:r>
      <w:r w:rsidR="00847E9B">
        <w:rPr>
          <w:rFonts w:asciiTheme="majorBidi" w:hAnsiTheme="majorBidi" w:cstheme="majorBidi"/>
          <w:b w:val="0"/>
          <w:szCs w:val="24"/>
          <w:vertAlign w:val="superscript"/>
        </w:rPr>
        <w:fldChar w:fldCharType="begin" w:fldLock="1"/>
      </w:r>
      <w:r w:rsidR="008400FF">
        <w:rPr>
          <w:rFonts w:asciiTheme="majorBidi" w:hAnsiTheme="majorBidi" w:cstheme="majorBidi"/>
          <w:b w:val="0"/>
          <w:szCs w:val="24"/>
          <w:vertAlign w:val="superscript"/>
        </w:rPr>
        <w:instrText>ADDIN CSL_CITATION { "citationItems" : [ { "id" : "ITEM-1", "itemData" : { "author" : [ { "dropping-particle" : "", "family" : "Bunker", "given" : "Bruce C", "non-dropping-particle" : "", "parse-names" : false, "suffix" : "" }, { "dropping-particle" : "", "family" : "Kirkpatrick", "given" : "R James", "non-dropping-particle" : "", "parse-names" : false, "suffix" : "" }, { "dropping-particle" : "", "family" : "Brow", "given" : "Richard K", "non-dropping-particle" : "", "parse-names" : false, "suffix" : "" }, { "dropping-particle" : "", "family" : "Turner", "given" : "Gary L", "non-dropping-particle" : "", "parse-names" : false, "suffix" : "" } ], "container-title" : "Journal of the American Ceramic Society", "id" : "ITEM-1", "issue" : "I", "issued" : { "date-parts" : [ [ "1991" ] ] }, "page" : "1430-1438", "title" : "Local structure of alkaline-earth boroaluminate crystals and glasses: II, B and Al MAS NMR spectroscopy of alkaline-earth boroaluminate glasses", "type" : "article-journal", "volume" : "1430" }, "uris" : [ "http://www.mendeley.com/documents/?uuid=dd0ada0c-21b0-43e4-8cd9-19aa1fa5682d" ] } ], "mendeley" : { "formattedCitation" : "(Bunker et al., 1991)", "manualFormatting" : "(Bunker et al., 1991)", "plainTextFormattedCitation" : "(Bunker et al., 1991)", "previouslyFormattedCitation" : "(Bunker et al., 1991)" }, "properties" : { "noteIndex" : 33 }, "schema" : "https://github.com/citation-style-language/schema/raw/master/csl-citation.json" }</w:instrText>
      </w:r>
      <w:r w:rsidR="00847E9B">
        <w:rPr>
          <w:rFonts w:asciiTheme="majorBidi" w:hAnsiTheme="majorBidi" w:cstheme="majorBidi"/>
          <w:b w:val="0"/>
          <w:szCs w:val="24"/>
          <w:vertAlign w:val="superscript"/>
        </w:rPr>
        <w:fldChar w:fldCharType="separate"/>
      </w:r>
      <w:r w:rsidR="00847E9B" w:rsidRPr="00847E9B">
        <w:rPr>
          <w:rFonts w:asciiTheme="majorBidi" w:hAnsiTheme="majorBidi" w:cstheme="majorBidi"/>
          <w:b w:val="0"/>
          <w:noProof/>
          <w:szCs w:val="24"/>
        </w:rPr>
        <w:t>(Bunker</w:t>
      </w:r>
      <w:r w:rsidR="00847E9B">
        <w:rPr>
          <w:rFonts w:asciiTheme="majorBidi" w:hAnsiTheme="majorBidi" w:cstheme="majorBidi"/>
          <w:b w:val="0"/>
          <w:noProof/>
          <w:szCs w:val="24"/>
        </w:rPr>
        <w:t xml:space="preserve"> et al.,</w:t>
      </w:r>
      <w:r w:rsidR="00847E9B" w:rsidRPr="00847E9B">
        <w:rPr>
          <w:rFonts w:asciiTheme="majorBidi" w:hAnsiTheme="majorBidi" w:cstheme="majorBidi"/>
          <w:b w:val="0"/>
          <w:noProof/>
          <w:szCs w:val="24"/>
        </w:rPr>
        <w:t xml:space="preserve"> 1991)</w:t>
      </w:r>
      <w:r w:rsidR="00847E9B">
        <w:rPr>
          <w:rFonts w:asciiTheme="majorBidi" w:hAnsiTheme="majorBidi" w:cstheme="majorBidi"/>
          <w:b w:val="0"/>
          <w:szCs w:val="24"/>
          <w:vertAlign w:val="superscript"/>
        </w:rPr>
        <w:fldChar w:fldCharType="end"/>
      </w:r>
      <w:r w:rsidR="00847E9B">
        <w:rPr>
          <w:rFonts w:asciiTheme="majorBidi" w:hAnsiTheme="majorBidi" w:cstheme="majorBidi"/>
          <w:b w:val="0"/>
          <w:szCs w:val="24"/>
        </w:rPr>
        <w:t>.</w:t>
      </w:r>
      <w:r w:rsidR="00851AA4">
        <w:rPr>
          <w:rFonts w:asciiTheme="majorBidi" w:hAnsiTheme="majorBidi" w:cstheme="majorBidi"/>
          <w:b w:val="0"/>
          <w:szCs w:val="24"/>
        </w:rPr>
        <w:t xml:space="preserve"> </w:t>
      </w:r>
    </w:p>
    <w:p w14:paraId="02BAF00E" w14:textId="4D9EC953" w:rsidR="0064576E" w:rsidRPr="000E2377" w:rsidRDefault="002164B5" w:rsidP="007C3DD8">
      <w:pPr>
        <w:pStyle w:val="Heading3"/>
      </w:pPr>
      <w:bookmarkStart w:id="125" w:name="_Toc523402875"/>
      <w:bookmarkStart w:id="126" w:name="_Toc525526386"/>
      <w:bookmarkStart w:id="127" w:name="_Toc525707803"/>
      <w:bookmarkStart w:id="128" w:name="_Toc525742467"/>
      <w:bookmarkStart w:id="129" w:name="_Toc12994944"/>
      <w:r w:rsidRPr="000E2377">
        <w:lastRenderedPageBreak/>
        <w:t>2.</w:t>
      </w:r>
      <w:r w:rsidR="007754F1">
        <w:t>9</w:t>
      </w:r>
      <w:r w:rsidR="007754F1" w:rsidRPr="000E2377">
        <w:t xml:space="preserve"> </w:t>
      </w:r>
      <w:r w:rsidR="0064576E" w:rsidRPr="000E2377">
        <w:t xml:space="preserve">Effect of polymerisation </w:t>
      </w:r>
      <w:r w:rsidRPr="000E2377">
        <w:t>on</w:t>
      </w:r>
      <w:r w:rsidR="0064576E" w:rsidRPr="000E2377">
        <w:t xml:space="preserve"> properties</w:t>
      </w:r>
      <w:bookmarkEnd w:id="125"/>
      <w:bookmarkEnd w:id="126"/>
      <w:bookmarkEnd w:id="127"/>
      <w:bookmarkEnd w:id="128"/>
      <w:bookmarkEnd w:id="129"/>
    </w:p>
    <w:p w14:paraId="31D9341C" w14:textId="6D1CB681" w:rsidR="0064576E" w:rsidRDefault="00284CC3" w:rsidP="004E5388">
      <w:pPr>
        <w:spacing w:line="360" w:lineRule="auto"/>
        <w:jc w:val="both"/>
        <w:rPr>
          <w:rFonts w:cs="Times New Roman"/>
          <w:b w:val="0"/>
          <w:szCs w:val="24"/>
        </w:rPr>
      </w:pPr>
      <w:r>
        <w:rPr>
          <w:rFonts w:cs="Times New Roman"/>
          <w:b w:val="0"/>
        </w:rPr>
        <w:t>The p</w:t>
      </w:r>
      <w:r w:rsidRPr="000E2377">
        <w:rPr>
          <w:rFonts w:cs="Times New Roman"/>
          <w:b w:val="0"/>
        </w:rPr>
        <w:t xml:space="preserve">olymerisation </w:t>
      </w:r>
      <w:r w:rsidR="0064576E" w:rsidRPr="000E2377">
        <w:rPr>
          <w:rFonts w:cs="Times New Roman"/>
          <w:b w:val="0"/>
        </w:rPr>
        <w:t xml:space="preserve">is </w:t>
      </w:r>
      <w:r w:rsidR="00F007C5">
        <w:rPr>
          <w:rFonts w:cs="Times New Roman"/>
          <w:b w:val="0"/>
        </w:rPr>
        <w:t xml:space="preserve">a measure of </w:t>
      </w:r>
      <w:r w:rsidR="00CF47A0">
        <w:rPr>
          <w:rFonts w:cs="Times New Roman"/>
          <w:b w:val="0"/>
        </w:rPr>
        <w:t xml:space="preserve">the </w:t>
      </w:r>
      <w:r w:rsidR="00F007C5">
        <w:rPr>
          <w:rFonts w:cs="Times New Roman"/>
          <w:b w:val="0"/>
        </w:rPr>
        <w:t>connectivity</w:t>
      </w:r>
      <w:r w:rsidR="00F007C5" w:rsidRPr="000E2377">
        <w:rPr>
          <w:rFonts w:cs="Times New Roman"/>
          <w:b w:val="0"/>
        </w:rPr>
        <w:t xml:space="preserve"> </w:t>
      </w:r>
      <w:r w:rsidR="0064576E" w:rsidRPr="000E2377">
        <w:rPr>
          <w:rFonts w:cs="Times New Roman"/>
          <w:b w:val="0"/>
        </w:rPr>
        <w:t xml:space="preserve">of the glass network and </w:t>
      </w:r>
      <w:r w:rsidR="00CB799C" w:rsidRPr="000E2377">
        <w:rPr>
          <w:rFonts w:cs="Times New Roman"/>
          <w:b w:val="0"/>
        </w:rPr>
        <w:t>in silicate glasses</w:t>
      </w:r>
      <w:r w:rsidR="0064576E" w:rsidRPr="000E2377">
        <w:rPr>
          <w:rFonts w:cs="Times New Roman"/>
          <w:b w:val="0"/>
        </w:rPr>
        <w:t xml:space="preserve"> is characterised by determined the ratio between silica and network forming cations and oxygens. </w:t>
      </w:r>
      <w:r w:rsidR="00CB799C" w:rsidRPr="000E2377">
        <w:rPr>
          <w:rFonts w:asciiTheme="majorBidi" w:hAnsiTheme="majorBidi" w:cstheme="majorBidi"/>
          <w:b w:val="0"/>
          <w:szCs w:val="24"/>
        </w:rPr>
        <w:t>The degree of polymerization is also</w:t>
      </w:r>
      <w:r w:rsidR="0064576E" w:rsidRPr="000E2377">
        <w:rPr>
          <w:rFonts w:asciiTheme="majorBidi" w:hAnsiTheme="majorBidi" w:cstheme="majorBidi"/>
          <w:b w:val="0"/>
          <w:szCs w:val="24"/>
        </w:rPr>
        <w:t xml:space="preserve"> affect</w:t>
      </w:r>
      <w:r w:rsidR="00CB799C" w:rsidRPr="000E2377">
        <w:rPr>
          <w:rFonts w:asciiTheme="majorBidi" w:hAnsiTheme="majorBidi" w:cstheme="majorBidi"/>
          <w:b w:val="0"/>
          <w:szCs w:val="24"/>
        </w:rPr>
        <w:t>ed</w:t>
      </w:r>
      <w:r w:rsidR="0064576E" w:rsidRPr="000E2377">
        <w:rPr>
          <w:rFonts w:asciiTheme="majorBidi" w:hAnsiTheme="majorBidi" w:cstheme="majorBidi"/>
          <w:b w:val="0"/>
          <w:szCs w:val="24"/>
        </w:rPr>
        <w:t xml:space="preserve"> by</w:t>
      </w:r>
      <w:r w:rsidR="00CF47A0">
        <w:rPr>
          <w:rFonts w:asciiTheme="majorBidi" w:hAnsiTheme="majorBidi" w:cstheme="majorBidi"/>
          <w:b w:val="0"/>
          <w:szCs w:val="24"/>
        </w:rPr>
        <w:t xml:space="preserve"> both alumina and</w:t>
      </w:r>
      <w:r w:rsidR="0064576E" w:rsidRPr="000E2377">
        <w:rPr>
          <w:rFonts w:asciiTheme="majorBidi" w:hAnsiTheme="majorBidi" w:cstheme="majorBidi"/>
          <w:b w:val="0"/>
          <w:szCs w:val="24"/>
        </w:rPr>
        <w:t xml:space="preserve"> boron speciation </w:t>
      </w:r>
      <w:r w:rsidR="00CF47A0">
        <w:rPr>
          <w:rFonts w:asciiTheme="majorBidi" w:hAnsiTheme="majorBidi" w:cstheme="majorBidi"/>
          <w:b w:val="0"/>
          <w:szCs w:val="24"/>
        </w:rPr>
        <w:t>as well as</w:t>
      </w:r>
      <w:r w:rsidR="00CB799C" w:rsidRPr="000E2377">
        <w:rPr>
          <w:rFonts w:asciiTheme="majorBidi" w:hAnsiTheme="majorBidi" w:cstheme="majorBidi"/>
          <w:b w:val="0"/>
          <w:szCs w:val="24"/>
        </w:rPr>
        <w:t xml:space="preserve"> the amounts of modifier present</w:t>
      </w:r>
      <w:r w:rsidR="0064576E" w:rsidRPr="000E2377">
        <w:rPr>
          <w:rFonts w:asciiTheme="majorBidi" w:hAnsiTheme="majorBidi" w:cstheme="majorBidi"/>
          <w:b w:val="0"/>
          <w:szCs w:val="24"/>
          <w:vertAlign w:val="superscript"/>
        </w:rPr>
        <w:t xml:space="preserve"> </w:t>
      </w:r>
      <w:r w:rsidR="0064576E" w:rsidRPr="000E2377">
        <w:rPr>
          <w:rFonts w:asciiTheme="majorBidi" w:hAnsiTheme="majorBidi" w:cstheme="majorBidi"/>
          <w:b w:val="0"/>
          <w:szCs w:val="24"/>
        </w:rPr>
        <w:fldChar w:fldCharType="begin" w:fldLock="1"/>
      </w:r>
      <w:r w:rsidR="002A61DC" w:rsidRPr="000E2377">
        <w:rPr>
          <w:rFonts w:asciiTheme="majorBidi" w:hAnsiTheme="majorBidi" w:cstheme="majorBidi"/>
          <w:b w:val="0"/>
          <w:szCs w:val="24"/>
        </w:rPr>
        <w:instrText>ADDIN CSL_CITATION { "citationItems" : [ { "id" : "ITEM-1", "itemData" : { "DOI" : "10.1007/s00723-007-0041-0", "ISSN" : "0937-9347", "author" : [ { "dropping-particle" : "", "family" : "Quintas", "given" : "A.", "non-dropping-particle" : "", "parse-names" : false, "suffix" : "" }, { "dropping-particle" : "", "family" : "Charpentier", "given" : "T.", "non-dropping-particle" : "", "parse-names" : false, "suffix" : "" }, { "dropping-particle" : "", "family" : "Maj\u00e9rus", "given" : "O.", "non-dropping-particle" : "", "parse-names" : false, "suffix" : "" }, { "dropping-particle" : "", "family" : "Caurant", "given" : "D.", "non-dropping-particle" : "", "parse-names" : false, "suffix" : "" }, { "dropping-particle" : "", "family" : "Dussossoy", "given" : "J.-L.", "non-dropping-particle" : "", "parse-names" : false, "suffix" : "" }, { "dropping-particle" : "", "family" : "Vermaut", "given" : "P.", "non-dropping-particle" : "", "parse-names" : false, "suffix" : "" } ], "container-title" : "Applied Magnetic Resonance", "id" : "ITEM-1", "issue" : "4", "issued" : { "date-parts" : [ [ "2007" ] ] }, "page" : "613-634", "title" : "NMR Study of a Rare-Earth Aluminoborosilicate Glass with Varying CaO-to-Na2O Ratio", "type" : "article-journal", "volume" : "32" }, "uris" : [ "http://www.mendeley.com/documents/?uuid=2d747a7f-63bc-4efb-b24b-00364cb1437a" ] } ], "mendeley" : { "formattedCitation" : "(Quintas et al., 2007)", "plainTextFormattedCitation" : "(Quintas et al., 2007)", "previouslyFormattedCitation" : "(Quintas et al., 2007)" }, "properties" : { "noteIndex" : 0 }, "schema" : "https://github.com/citation-style-language/schema/raw/master/csl-citation.json" }</w:instrText>
      </w:r>
      <w:r w:rsidR="0064576E" w:rsidRPr="000E2377">
        <w:rPr>
          <w:rFonts w:asciiTheme="majorBidi" w:hAnsiTheme="majorBidi" w:cstheme="majorBidi"/>
          <w:b w:val="0"/>
          <w:szCs w:val="24"/>
        </w:rPr>
        <w:fldChar w:fldCharType="separate"/>
      </w:r>
      <w:r w:rsidR="00793120" w:rsidRPr="000E2377">
        <w:rPr>
          <w:rFonts w:asciiTheme="majorBidi" w:hAnsiTheme="majorBidi" w:cstheme="majorBidi"/>
          <w:b w:val="0"/>
          <w:noProof/>
          <w:szCs w:val="24"/>
        </w:rPr>
        <w:t>(Quintas et al., 2007)</w:t>
      </w:r>
      <w:r w:rsidR="0064576E" w:rsidRPr="000E2377">
        <w:rPr>
          <w:rFonts w:asciiTheme="majorBidi" w:hAnsiTheme="majorBidi" w:cstheme="majorBidi"/>
          <w:b w:val="0"/>
          <w:szCs w:val="24"/>
        </w:rPr>
        <w:fldChar w:fldCharType="end"/>
      </w:r>
      <w:r w:rsidR="0064576E" w:rsidRPr="000E2377">
        <w:rPr>
          <w:rFonts w:asciiTheme="majorBidi" w:hAnsiTheme="majorBidi" w:cstheme="majorBidi"/>
          <w:b w:val="0"/>
          <w:szCs w:val="24"/>
        </w:rPr>
        <w:t xml:space="preserve">. Depolymerisation is </w:t>
      </w:r>
      <w:r w:rsidR="00CF47A0">
        <w:rPr>
          <w:rFonts w:asciiTheme="majorBidi" w:hAnsiTheme="majorBidi" w:cstheme="majorBidi"/>
          <w:b w:val="0"/>
          <w:szCs w:val="24"/>
        </w:rPr>
        <w:t xml:space="preserve">generally </w:t>
      </w:r>
      <w:r w:rsidR="0064576E" w:rsidRPr="000E2377">
        <w:rPr>
          <w:rFonts w:asciiTheme="majorBidi" w:hAnsiTheme="majorBidi" w:cstheme="majorBidi"/>
          <w:b w:val="0"/>
          <w:szCs w:val="24"/>
        </w:rPr>
        <w:t xml:space="preserve">caused by increasing the </w:t>
      </w:r>
      <w:r w:rsidR="00370F6C">
        <w:rPr>
          <w:rFonts w:asciiTheme="majorBidi" w:hAnsiTheme="majorBidi" w:cstheme="majorBidi"/>
          <w:b w:val="0"/>
          <w:szCs w:val="24"/>
        </w:rPr>
        <w:t xml:space="preserve">amount </w:t>
      </w:r>
      <w:r>
        <w:rPr>
          <w:rFonts w:asciiTheme="majorBidi" w:hAnsiTheme="majorBidi" w:cstheme="majorBidi"/>
          <w:b w:val="0"/>
          <w:szCs w:val="24"/>
        </w:rPr>
        <w:t xml:space="preserve">of </w:t>
      </w:r>
      <w:r w:rsidR="0064576E" w:rsidRPr="000E2377">
        <w:rPr>
          <w:rFonts w:asciiTheme="majorBidi" w:hAnsiTheme="majorBidi" w:cstheme="majorBidi"/>
          <w:b w:val="0"/>
          <w:szCs w:val="24"/>
        </w:rPr>
        <w:t xml:space="preserve">modifiers in </w:t>
      </w:r>
      <w:r w:rsidR="00CF47A0">
        <w:rPr>
          <w:rFonts w:asciiTheme="majorBidi" w:hAnsiTheme="majorBidi" w:cstheme="majorBidi"/>
          <w:b w:val="0"/>
          <w:szCs w:val="24"/>
        </w:rPr>
        <w:t xml:space="preserve">the </w:t>
      </w:r>
      <w:r w:rsidR="0064576E" w:rsidRPr="000E2377">
        <w:rPr>
          <w:rFonts w:asciiTheme="majorBidi" w:hAnsiTheme="majorBidi" w:cstheme="majorBidi"/>
          <w:b w:val="0"/>
          <w:szCs w:val="24"/>
        </w:rPr>
        <w:t xml:space="preserve">composition </w:t>
      </w:r>
      <w:r w:rsidR="0064576E" w:rsidRPr="000E2377">
        <w:rPr>
          <w:rFonts w:asciiTheme="majorBidi" w:hAnsiTheme="majorBidi" w:cstheme="majorBidi"/>
          <w:b w:val="0"/>
          <w:szCs w:val="24"/>
        </w:rPr>
        <w:fldChar w:fldCharType="begin" w:fldLock="1"/>
      </w:r>
      <w:r w:rsidR="002A61DC" w:rsidRPr="000E2377">
        <w:rPr>
          <w:rFonts w:asciiTheme="majorBidi" w:hAnsiTheme="majorBidi" w:cstheme="majorBidi"/>
          <w:b w:val="0"/>
          <w:szCs w:val="24"/>
        </w:rPr>
        <w:instrText>ADDIN CSL_CITATION { "citationItems" : [ { "id" : "ITEM-1", "itemData" : { "DOI" : "10.2138/am.2009.3027", "ISBN" : "0003-004X", "ISSN" : "0003004X", "author" : [ { "dropping-particle" : "", "family" : "Manara", "given" : "D.", "non-dropping-particle" : "", "parse-names" : false, "suffix" : "" }, { "dropping-particle" : "", "family" : "Grandjean", "given" : "a.", "non-dropping-particle" : "", "parse-names" : false, "suffix" : "" }, { "dropping-particle" : "", "family" : "Neuville", "given" : "D. R.", "non-dropping-particle" : "", "parse-names" : false, "suffix" : "" } ], "container-title" : "American Mineralogist", "id" : "ITEM-1", "issue" : "5-6", "issued" : { "date-parts" : [ [ "2009" ] ] }, "page" : "777-784", "title" : "Advances in understanding the structure of borosilicate glasses: A raman spectroscopy study", "type" : "article-journal", "volume" : "94" }, "uris" : [ "http://www.mendeley.com/documents/?uuid=64b0223e-26e9-4e33-a442-dac41fe46b42" ] } ], "mendeley" : { "formattedCitation" : "(Manara, Grandjean, &amp; Neuville, 2009)", "manualFormatting" : "(Manara et al., 2009)", "plainTextFormattedCitation" : "(Manara, Grandjean, &amp; Neuville, 2009)", "previouslyFormattedCitation" : "(Manara, Grandjean, &amp; Neuville, 2009)" }, "properties" : { "noteIndex" : 0 }, "schema" : "https://github.com/citation-style-language/schema/raw/master/csl-citation.json" }</w:instrText>
      </w:r>
      <w:r w:rsidR="0064576E" w:rsidRPr="000E2377">
        <w:rPr>
          <w:rFonts w:asciiTheme="majorBidi" w:hAnsiTheme="majorBidi" w:cstheme="majorBidi"/>
          <w:b w:val="0"/>
          <w:szCs w:val="24"/>
        </w:rPr>
        <w:fldChar w:fldCharType="separate"/>
      </w:r>
      <w:r w:rsidR="0064576E" w:rsidRPr="000E2377">
        <w:rPr>
          <w:rFonts w:asciiTheme="majorBidi" w:hAnsiTheme="majorBidi" w:cstheme="majorBidi"/>
          <w:b w:val="0"/>
          <w:noProof/>
          <w:szCs w:val="24"/>
        </w:rPr>
        <w:t>(Manara et al., 2009)</w:t>
      </w:r>
      <w:r w:rsidR="0064576E" w:rsidRPr="000E2377">
        <w:rPr>
          <w:rFonts w:asciiTheme="majorBidi" w:hAnsiTheme="majorBidi" w:cstheme="majorBidi"/>
          <w:b w:val="0"/>
          <w:szCs w:val="24"/>
        </w:rPr>
        <w:fldChar w:fldCharType="end"/>
      </w:r>
      <w:r w:rsidR="0064576E" w:rsidRPr="000E2377">
        <w:rPr>
          <w:rFonts w:asciiTheme="majorBidi" w:hAnsiTheme="majorBidi" w:cstheme="majorBidi"/>
          <w:b w:val="0"/>
          <w:szCs w:val="24"/>
        </w:rPr>
        <w:t xml:space="preserve">. </w:t>
      </w:r>
      <w:r w:rsidR="00CB799C" w:rsidRPr="000E2377">
        <w:rPr>
          <w:rFonts w:asciiTheme="majorBidi" w:hAnsiTheme="majorBidi"/>
          <w:b w:val="0"/>
        </w:rPr>
        <w:t>Increased polymerisation results in</w:t>
      </w:r>
      <w:r w:rsidR="00C90057" w:rsidRPr="000E2377">
        <w:rPr>
          <w:rFonts w:asciiTheme="majorBidi" w:hAnsiTheme="majorBidi"/>
          <w:b w:val="0"/>
        </w:rPr>
        <w:t xml:space="preserve"> i</w:t>
      </w:r>
      <w:r w:rsidR="00CB799C" w:rsidRPr="000E2377">
        <w:rPr>
          <w:rFonts w:asciiTheme="majorBidi" w:hAnsiTheme="majorBidi"/>
          <w:b w:val="0"/>
        </w:rPr>
        <w:t xml:space="preserve">ncreased </w:t>
      </w:r>
      <w:proofErr w:type="spellStart"/>
      <w:r w:rsidR="0064576E" w:rsidRPr="000E2377">
        <w:rPr>
          <w:rFonts w:asciiTheme="majorBidi" w:hAnsiTheme="majorBidi"/>
          <w:b w:val="0"/>
        </w:rPr>
        <w:t>T</w:t>
      </w:r>
      <w:r w:rsidR="0064576E" w:rsidRPr="000E2377">
        <w:rPr>
          <w:rFonts w:asciiTheme="majorBidi" w:hAnsiTheme="majorBidi"/>
          <w:b w:val="0"/>
          <w:i/>
          <w:vertAlign w:val="subscript"/>
        </w:rPr>
        <w:t>g</w:t>
      </w:r>
      <w:proofErr w:type="spellEnd"/>
      <w:r w:rsidR="0064576E" w:rsidRPr="000E2377">
        <w:rPr>
          <w:rFonts w:asciiTheme="majorBidi" w:hAnsiTheme="majorBidi"/>
          <w:b w:val="0"/>
          <w:vertAlign w:val="subscript"/>
        </w:rPr>
        <w:t xml:space="preserve"> </w:t>
      </w:r>
      <w:r w:rsidR="0064576E" w:rsidRPr="000E2377">
        <w:rPr>
          <w:rFonts w:asciiTheme="majorBidi" w:hAnsiTheme="majorBidi"/>
          <w:b w:val="0"/>
        </w:rPr>
        <w:fldChar w:fldCharType="begin" w:fldLock="1"/>
      </w:r>
      <w:r w:rsidR="00B56261">
        <w:rPr>
          <w:rFonts w:asciiTheme="majorBidi" w:hAnsiTheme="majorBidi"/>
          <w:b w:val="0"/>
        </w:rPr>
        <w:instrText>ADDIN CSL_CITATION { "citationItems" : [ { "id" : "ITEM-1", "itemData" : { "DOI" : "10.1016/j.chemgeo.2006.01.019", "ISBN" : "0009-2541", "ISSN" : "00092541", "abstract" : "The structure and properties of glasses and melts in the CaO-Al2O3-SiO2 (CAS) system play an important role in earth and material sciences. Aluminum has a crucial role in this ternary system, and its environment is still questioned. In this paper, we present new results using Raman spectroscopy and 27Al Nuclear Magnetic Resonance on CAS glasses obtained by classic and rapid quenching methods. We propose an Al/Si tetrahedral distribution in the glass network in different Qn species. In this system, we show that Al and Si are mainly in Q4 species along the join R = CaO/Al2O3 = 1, and in depolymerized Q2 and Q3 units at high CaO content for other joins (R = 1.57 and 3). Five- ([5]Al) and six-fold ([6]Al) coordinated aluminum can be detected in the peraluminous glasses (R &lt; 1) in agreement with the deficit of charge compensators, Ca2+ions, near Al atoms. Unexpectedly, between 5% and 8% of [5]Al is also observed for percalcic glasses (R &gt; 1), except for glasses with low silica and high CaO content. The presence of [5]Al is related to viscous flow mechanisms while, in highly depolymerized glasses, the absence of [5]Al may indicate different mechanisms for melts to flow. This systematic study on the CAS system modifies the simple picture of aluminosilicate glasses, and the existence of [5]Al should be included by geochemists, geophysicists and glass scientists to model appropriately the physical properties of aluminosilicate glasses and melts. ?? 2006 Elsevier B.V. All rights reserved.", "author" : [ { "dropping-particle" : "", "family" : "Neuville", "given" : "Daniel R.", "non-dropping-particle" : "", "parse-names" : false, "suffix" : "" }, { "dropping-particle" : "", "family" : "Cormier", "given" : "Laurent", "non-dropping-particle" : "", "parse-names" : false, "suffix" : "" }, { "dropping-particle" : "", "family" : "Massiot", "given" : "Dominique", "non-dropping-particle" : "", "parse-names" : false, "suffix" : "" } ], "container-title" : "Chemical Geology", "id" : "ITEM-1", "issue" : "1-3", "issued" : { "date-parts" : [ [ "2006" ] ] }, "page" : "173-185", "title" : "Al coordination and speciation in calcium aluminosilicate glasses: Effects of composition determined by 27Al MQ-MAS NMR and Raman spectroscopy", "type" : "article-journal", "volume" : "229" }, "uris" : [ "http://www.mendeley.com/documents/?uuid=8862153d-e636-4aa0-9bb9-0f960d4c7eda" ] } ], "mendeley" : { "formattedCitation" : "(Neuville, Cormier, &amp; Massiot, 2006)", "manualFormatting" : "(Neuville et al., 2006)", "plainTextFormattedCitation" : "(Neuville, Cormier, &amp; Massiot, 2006)", "previouslyFormattedCitation" : "(Neuville, Cormier, &amp; Massiot, 2006)" }, "properties" : { "noteIndex" : 0 }, "schema" : "https://github.com/citation-style-language/schema/raw/master/csl-citation.json" }</w:instrText>
      </w:r>
      <w:r w:rsidR="0064576E" w:rsidRPr="000E2377">
        <w:rPr>
          <w:rFonts w:asciiTheme="majorBidi" w:hAnsiTheme="majorBidi"/>
          <w:b w:val="0"/>
        </w:rPr>
        <w:fldChar w:fldCharType="separate"/>
      </w:r>
      <w:r w:rsidR="00396CDF" w:rsidRPr="00396CDF">
        <w:rPr>
          <w:rFonts w:asciiTheme="majorBidi" w:hAnsiTheme="majorBidi"/>
          <w:b w:val="0"/>
          <w:noProof/>
        </w:rPr>
        <w:t>(Neuville</w:t>
      </w:r>
      <w:r w:rsidR="00B56261">
        <w:rPr>
          <w:rFonts w:asciiTheme="majorBidi" w:hAnsiTheme="majorBidi"/>
          <w:b w:val="0"/>
          <w:noProof/>
        </w:rPr>
        <w:t xml:space="preserve"> et al.,</w:t>
      </w:r>
      <w:r w:rsidR="00396CDF" w:rsidRPr="00396CDF">
        <w:rPr>
          <w:rFonts w:asciiTheme="majorBidi" w:hAnsiTheme="majorBidi"/>
          <w:b w:val="0"/>
          <w:noProof/>
        </w:rPr>
        <w:t xml:space="preserve"> 2006)</w:t>
      </w:r>
      <w:r w:rsidR="0064576E" w:rsidRPr="000E2377">
        <w:rPr>
          <w:rFonts w:asciiTheme="majorBidi" w:hAnsiTheme="majorBidi"/>
          <w:b w:val="0"/>
        </w:rPr>
        <w:fldChar w:fldCharType="end"/>
      </w:r>
      <w:r w:rsidR="00C90057" w:rsidRPr="000E2377">
        <w:rPr>
          <w:rFonts w:asciiTheme="majorBidi" w:hAnsiTheme="majorBidi"/>
          <w:b w:val="0"/>
        </w:rPr>
        <w:t xml:space="preserve">, </w:t>
      </w:r>
      <w:r w:rsidR="00C90057" w:rsidRPr="000E2377">
        <w:rPr>
          <w:rFonts w:cs="Times New Roman"/>
          <w:b w:val="0"/>
          <w:szCs w:val="24"/>
        </w:rPr>
        <w:t>d</w:t>
      </w:r>
      <w:r w:rsidR="0064576E" w:rsidRPr="000E2377">
        <w:rPr>
          <w:rFonts w:cs="Times New Roman"/>
          <w:b w:val="0"/>
          <w:szCs w:val="24"/>
        </w:rPr>
        <w:t>ecreas</w:t>
      </w:r>
      <w:r w:rsidR="00AB64C3" w:rsidRPr="000E2377">
        <w:rPr>
          <w:rFonts w:cs="Times New Roman"/>
          <w:b w:val="0"/>
          <w:szCs w:val="24"/>
        </w:rPr>
        <w:t xml:space="preserve">ed </w:t>
      </w:r>
      <w:r w:rsidR="0064576E" w:rsidRPr="000E2377">
        <w:rPr>
          <w:rFonts w:cs="Times New Roman"/>
          <w:b w:val="0"/>
          <w:szCs w:val="24"/>
        </w:rPr>
        <w:t xml:space="preserve">Poisson’s ratio  </w:t>
      </w:r>
      <w:r w:rsidR="0064576E" w:rsidRPr="000E2377">
        <w:rPr>
          <w:rFonts w:cs="Times New Roman"/>
          <w:b w:val="0"/>
          <w:szCs w:val="24"/>
        </w:rPr>
        <w:fldChar w:fldCharType="begin" w:fldLock="1"/>
      </w:r>
      <w:r w:rsidR="002A61DC" w:rsidRPr="000E2377">
        <w:rPr>
          <w:rFonts w:cs="Times New Roman"/>
          <w:b w:val="0"/>
          <w:szCs w:val="24"/>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"manualFormatting" : "(Rouxel, 2007)", "plainTextFormattedCitation" : "(Tanguy Rouxel, 2007)", "previouslyFormattedCitation" : "(Tanguy Rouxel, 2007)" }, "properties" : { "noteIndex" : 0 }, "schema" : "https://github.com/citation-style-language/schema/raw/master/csl-citation.json" }</w:instrText>
      </w:r>
      <w:r w:rsidR="0064576E" w:rsidRPr="000E2377">
        <w:rPr>
          <w:rFonts w:cs="Times New Roman"/>
          <w:b w:val="0"/>
          <w:szCs w:val="24"/>
        </w:rPr>
        <w:fldChar w:fldCharType="separate"/>
      </w:r>
      <w:r w:rsidR="00D84C88" w:rsidRPr="000E2377">
        <w:rPr>
          <w:rFonts w:cs="Times New Roman"/>
          <w:b w:val="0"/>
          <w:noProof/>
          <w:szCs w:val="24"/>
        </w:rPr>
        <w:t>(Rouxel, 2007)</w:t>
      </w:r>
      <w:r w:rsidR="0064576E" w:rsidRPr="000E2377">
        <w:rPr>
          <w:rFonts w:cs="Times New Roman"/>
          <w:b w:val="0"/>
          <w:szCs w:val="24"/>
        </w:rPr>
        <w:fldChar w:fldCharType="end"/>
      </w:r>
      <w:r w:rsidR="00C90057" w:rsidRPr="000E2377">
        <w:rPr>
          <w:rFonts w:cs="Times New Roman"/>
          <w:b w:val="0"/>
          <w:szCs w:val="24"/>
        </w:rPr>
        <w:t xml:space="preserve"> and d</w:t>
      </w:r>
      <w:r w:rsidR="00AB64C3" w:rsidRPr="000E2377">
        <w:rPr>
          <w:rFonts w:cs="Times New Roman"/>
          <w:b w:val="0"/>
          <w:szCs w:val="24"/>
        </w:rPr>
        <w:t>ecreased a</w:t>
      </w:r>
      <w:r w:rsidR="0064576E" w:rsidRPr="000E2377">
        <w:rPr>
          <w:rFonts w:cs="Times New Roman"/>
          <w:b w:val="0"/>
          <w:szCs w:val="24"/>
        </w:rPr>
        <w:t xml:space="preserve">tomic packing density </w:t>
      </w:r>
      <w:r w:rsidR="0064576E" w:rsidRPr="000E2377">
        <w:rPr>
          <w:rFonts w:cs="Times New Roman"/>
          <w:b w:val="0"/>
          <w:szCs w:val="24"/>
        </w:rPr>
        <w:fldChar w:fldCharType="begin" w:fldLock="1"/>
      </w:r>
      <w:r w:rsidR="002A61DC" w:rsidRPr="000E2377">
        <w:rPr>
          <w:rFonts w:cs="Times New Roman"/>
          <w:b w:val="0"/>
          <w:szCs w:val="24"/>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"manualFormatting" : "(Rouxel, 2007)", "plainTextFormattedCitation" : "(Tanguy Rouxel, 2007)", "previouslyFormattedCitation" : "(Tanguy Rouxel, 2007)" }, "properties" : { "noteIndex" : 0 }, "schema" : "https://github.com/citation-style-language/schema/raw/master/csl-citation.json" }</w:instrText>
      </w:r>
      <w:r w:rsidR="0064576E" w:rsidRPr="000E2377">
        <w:rPr>
          <w:rFonts w:cs="Times New Roman"/>
          <w:b w:val="0"/>
          <w:szCs w:val="24"/>
        </w:rPr>
        <w:fldChar w:fldCharType="separate"/>
      </w:r>
      <w:r w:rsidR="00D84C88" w:rsidRPr="000E2377">
        <w:rPr>
          <w:rFonts w:cs="Times New Roman"/>
          <w:b w:val="0"/>
          <w:noProof/>
          <w:szCs w:val="24"/>
        </w:rPr>
        <w:t>(Rouxel, 2007)</w:t>
      </w:r>
      <w:r w:rsidR="0064576E" w:rsidRPr="000E2377">
        <w:rPr>
          <w:rFonts w:cs="Times New Roman"/>
          <w:b w:val="0"/>
          <w:szCs w:val="24"/>
        </w:rPr>
        <w:fldChar w:fldCharType="end"/>
      </w:r>
      <w:r w:rsidR="00C90057" w:rsidRPr="000E2377">
        <w:rPr>
          <w:rFonts w:cs="Times New Roman"/>
          <w:b w:val="0"/>
          <w:szCs w:val="24"/>
        </w:rPr>
        <w:t>.</w:t>
      </w:r>
    </w:p>
    <w:p w14:paraId="1DDDCF33" w14:textId="3413126E" w:rsidR="0048340B" w:rsidRDefault="00F6173B" w:rsidP="0027187B">
      <w:pPr>
        <w:spacing w:line="360" w:lineRule="auto"/>
        <w:jc w:val="both"/>
        <w:rPr>
          <w:b w:val="0"/>
          <w:lang w:val="en-GB"/>
        </w:rPr>
      </w:pPr>
      <w:proofErr w:type="spellStart"/>
      <w:r>
        <w:rPr>
          <w:b w:val="0"/>
          <w:lang w:val="en-GB"/>
        </w:rPr>
        <w:t>Columban</w:t>
      </w:r>
      <w:proofErr w:type="spellEnd"/>
      <w:r>
        <w:rPr>
          <w:b w:val="0"/>
          <w:lang w:val="en-GB"/>
        </w:rPr>
        <w:t xml:space="preserve">, (2012) used A500/A1000 </w:t>
      </w:r>
      <w:r w:rsidR="00B40E85">
        <w:rPr>
          <w:b w:val="0"/>
          <w:lang w:val="en-GB"/>
        </w:rPr>
        <w:t xml:space="preserve">ratio </w:t>
      </w:r>
      <w:r w:rsidR="00D509FE">
        <w:rPr>
          <w:b w:val="0"/>
          <w:lang w:val="en-GB"/>
        </w:rPr>
        <w:t xml:space="preserve">to measure </w:t>
      </w:r>
      <w:r w:rsidR="007B5BCE">
        <w:rPr>
          <w:b w:val="0"/>
          <w:lang w:val="en-GB"/>
        </w:rPr>
        <w:t xml:space="preserve">the </w:t>
      </w:r>
      <w:r w:rsidR="00F007C5">
        <w:rPr>
          <w:b w:val="0"/>
          <w:lang w:val="en-GB"/>
        </w:rPr>
        <w:t xml:space="preserve">degree of </w:t>
      </w:r>
      <w:r w:rsidR="007B5BCE">
        <w:rPr>
          <w:b w:val="0"/>
          <w:lang w:val="en-GB"/>
        </w:rPr>
        <w:t>polymerisation of glass</w:t>
      </w:r>
      <w:r w:rsidR="00F007C5">
        <w:rPr>
          <w:b w:val="0"/>
          <w:lang w:val="en-GB"/>
        </w:rPr>
        <w:t>, where</w:t>
      </w:r>
      <w:r w:rsidR="007B5BCE">
        <w:rPr>
          <w:b w:val="0"/>
          <w:lang w:val="en-GB"/>
        </w:rPr>
        <w:t xml:space="preserve"> A</w:t>
      </w:r>
      <w:r w:rsidR="00D509FE">
        <w:rPr>
          <w:b w:val="0"/>
          <w:lang w:val="en-GB"/>
        </w:rPr>
        <w:t xml:space="preserve">500 and A100 are the relative intensities of </w:t>
      </w:r>
      <w:r w:rsidR="00370F6C">
        <w:rPr>
          <w:b w:val="0"/>
          <w:lang w:val="en-GB"/>
        </w:rPr>
        <w:t>the (</w:t>
      </w:r>
      <w:r w:rsidR="00D509FE">
        <w:rPr>
          <w:b w:val="0"/>
          <w:lang w:val="en-GB"/>
        </w:rPr>
        <w:t>Si-O</w:t>
      </w:r>
      <w:r w:rsidR="00370F6C">
        <w:rPr>
          <w:b w:val="0"/>
          <w:lang w:val="en-GB"/>
        </w:rPr>
        <w:t>)</w:t>
      </w:r>
      <w:r w:rsidR="00D509FE">
        <w:rPr>
          <w:b w:val="0"/>
          <w:lang w:val="en-GB"/>
        </w:rPr>
        <w:t xml:space="preserve"> stretching and bending modes </w:t>
      </w:r>
      <w:r w:rsidR="00F007C5">
        <w:rPr>
          <w:b w:val="0"/>
          <w:lang w:val="en-GB"/>
        </w:rPr>
        <w:t xml:space="preserve">assessed </w:t>
      </w:r>
      <w:r w:rsidR="00F970C5">
        <w:rPr>
          <w:b w:val="0"/>
          <w:lang w:val="en-GB"/>
        </w:rPr>
        <w:t xml:space="preserve">from </w:t>
      </w:r>
      <w:r w:rsidR="00F007C5">
        <w:rPr>
          <w:b w:val="0"/>
          <w:lang w:val="en-GB"/>
        </w:rPr>
        <w:t xml:space="preserve">the </w:t>
      </w:r>
      <w:r w:rsidR="00D509FE">
        <w:rPr>
          <w:b w:val="0"/>
          <w:lang w:val="en-GB"/>
        </w:rPr>
        <w:t>Raman peaks at 500 and 1000 cm</w:t>
      </w:r>
      <w:r w:rsidR="00D509FE" w:rsidRPr="0027187B">
        <w:rPr>
          <w:b w:val="0"/>
          <w:vertAlign w:val="superscript"/>
          <w:lang w:val="en-GB"/>
        </w:rPr>
        <w:t>-1</w:t>
      </w:r>
      <w:r w:rsidR="00D509FE">
        <w:rPr>
          <w:b w:val="0"/>
          <w:lang w:val="en-GB"/>
        </w:rPr>
        <w:t xml:space="preserve"> respectively. High value</w:t>
      </w:r>
      <w:r w:rsidR="00F007C5">
        <w:rPr>
          <w:b w:val="0"/>
          <w:lang w:val="en-GB"/>
        </w:rPr>
        <w:t>s</w:t>
      </w:r>
      <w:r w:rsidR="00D509FE">
        <w:rPr>
          <w:b w:val="0"/>
          <w:lang w:val="en-GB"/>
        </w:rPr>
        <w:t xml:space="preserve"> of A500/A1000 </w:t>
      </w:r>
      <w:r w:rsidR="00F007C5">
        <w:rPr>
          <w:b w:val="0"/>
          <w:lang w:val="en-GB"/>
        </w:rPr>
        <w:t>correspond</w:t>
      </w:r>
      <w:r w:rsidR="00D509FE">
        <w:rPr>
          <w:b w:val="0"/>
          <w:lang w:val="en-GB"/>
        </w:rPr>
        <w:t xml:space="preserve"> to silica rich </w:t>
      </w:r>
      <w:r w:rsidR="00F007C5">
        <w:rPr>
          <w:b w:val="0"/>
          <w:lang w:val="en-GB"/>
        </w:rPr>
        <w:t xml:space="preserve">compositions </w:t>
      </w:r>
      <w:r w:rsidR="00D509FE">
        <w:rPr>
          <w:b w:val="0"/>
          <w:lang w:val="en-GB"/>
        </w:rPr>
        <w:t>meanwhile low value</w:t>
      </w:r>
      <w:r w:rsidR="00F007C5">
        <w:rPr>
          <w:b w:val="0"/>
          <w:lang w:val="en-GB"/>
        </w:rPr>
        <w:t>s</w:t>
      </w:r>
      <w:r w:rsidR="00D509FE">
        <w:rPr>
          <w:b w:val="0"/>
          <w:lang w:val="en-GB"/>
        </w:rPr>
        <w:t xml:space="preserve"> correspond to the higher modifier </w:t>
      </w:r>
      <w:r w:rsidR="00F007C5">
        <w:rPr>
          <w:b w:val="0"/>
          <w:lang w:val="en-GB"/>
        </w:rPr>
        <w:t xml:space="preserve">contents </w:t>
      </w:r>
      <w:r w:rsidR="00D509FE">
        <w:rPr>
          <w:b w:val="0"/>
          <w:lang w:val="en-GB"/>
        </w:rPr>
        <w:t>and low</w:t>
      </w:r>
      <w:r w:rsidR="00F007C5">
        <w:rPr>
          <w:b w:val="0"/>
          <w:lang w:val="en-GB"/>
        </w:rPr>
        <w:t>er</w:t>
      </w:r>
      <w:r w:rsidR="00D509FE">
        <w:rPr>
          <w:b w:val="0"/>
          <w:lang w:val="en-GB"/>
        </w:rPr>
        <w:t xml:space="preserve"> amount</w:t>
      </w:r>
      <w:r w:rsidR="00F007C5">
        <w:rPr>
          <w:b w:val="0"/>
          <w:lang w:val="en-GB"/>
        </w:rPr>
        <w:t>s</w:t>
      </w:r>
      <w:r w:rsidR="00D509FE">
        <w:rPr>
          <w:b w:val="0"/>
          <w:lang w:val="en-GB"/>
        </w:rPr>
        <w:t xml:space="preserve"> of silica. </w:t>
      </w:r>
      <w:r w:rsidR="00F970C5">
        <w:rPr>
          <w:b w:val="0"/>
          <w:lang w:val="en-GB"/>
        </w:rPr>
        <w:t xml:space="preserve">This </w:t>
      </w:r>
      <w:r w:rsidR="00F007C5">
        <w:rPr>
          <w:b w:val="0"/>
          <w:lang w:val="en-GB"/>
        </w:rPr>
        <w:t>method</w:t>
      </w:r>
      <w:r w:rsidR="00040067">
        <w:rPr>
          <w:b w:val="0"/>
          <w:lang w:val="en-GB"/>
        </w:rPr>
        <w:t xml:space="preserve"> also </w:t>
      </w:r>
      <w:r w:rsidR="00F007C5">
        <w:rPr>
          <w:b w:val="0"/>
          <w:lang w:val="en-GB"/>
        </w:rPr>
        <w:t xml:space="preserve">been </w:t>
      </w:r>
      <w:r w:rsidR="005D4ADF">
        <w:rPr>
          <w:b w:val="0"/>
          <w:lang w:val="en-GB"/>
        </w:rPr>
        <w:t>used by</w:t>
      </w:r>
      <w:r w:rsidR="008555C7">
        <w:rPr>
          <w:b w:val="0"/>
          <w:lang w:val="en-GB"/>
        </w:rPr>
        <w:t xml:space="preserve"> other researchers</w:t>
      </w:r>
      <w:r w:rsidR="003B0DB5">
        <w:rPr>
          <w:b w:val="0"/>
          <w:lang w:val="en-GB"/>
        </w:rPr>
        <w:t xml:space="preserve"> </w:t>
      </w:r>
      <w:r w:rsidR="00F007C5">
        <w:rPr>
          <w:b w:val="0"/>
          <w:lang w:val="en-GB"/>
        </w:rPr>
        <w:t xml:space="preserve"> (see, for example</w:t>
      </w:r>
      <w:r w:rsidR="00370F6C">
        <w:rPr>
          <w:b w:val="0"/>
          <w:lang w:val="en-GB"/>
        </w:rPr>
        <w:t>,</w:t>
      </w:r>
      <w:r w:rsidR="00EF2C65">
        <w:rPr>
          <w:b w:val="0"/>
          <w:lang w:val="en-GB"/>
        </w:rPr>
        <w:t xml:space="preserve"> </w:t>
      </w:r>
      <w:r w:rsidR="00EF2C65">
        <w:rPr>
          <w:b w:val="0"/>
          <w:lang w:val="en-GB"/>
        </w:rPr>
        <w:fldChar w:fldCharType="begin" w:fldLock="1"/>
      </w:r>
      <w:r w:rsidR="0079398C">
        <w:rPr>
          <w:b w:val="0"/>
          <w:lang w:val="en-GB"/>
        </w:rPr>
        <w:instrText>ADDIN CSL_CITATION { "citationItems" : [ { "id" : "ITEM-1", "itemData" : { "DOI" : "10.1016/j.jnoncrysol.2015.08.013", "ISSN" : "00223093", "abstract" : "The effects of varying the alkaline earth oxide content of three series of soda-lime-silica glasses with the general formulae 13.5Na&lt;inf&gt;2&lt;/inf&gt;O??xMgO??10CaO??1.5Al&lt;inf&gt;2&lt;/inf&gt;O&lt;inf&gt;3&lt;/inf&gt;??(75 - x)SiO&lt;inf&gt;2&lt;/inf&gt; (mol.%) where x = 0, 1, 2, 3, 4, 5, 6, and 7; 13.5Na&lt;inf&gt;2&lt;/inf&gt;O??3MgO??(7 + y)CaO??1.5Al&lt;inf&gt;2&lt;/inf&gt;O&lt;inf&gt;3&lt;/inf&gt;??(75 - y)SiO&lt;inf&gt;2&lt;/inf&gt; (mol.%) where y = 0, 1, 2, 3, 4, 5, 6, and 7 and 13.5Na&lt;inf&gt;2&lt;/inf&gt;O??zMgO??(13 - z)CaO??1.5Al&lt;inf&gt;2&lt;/inf&gt;O&lt;inf&gt;3&lt;/inf&gt;??72SiO&lt;inf&gt;2&lt;/inf&gt; (mol.%) where z = 1, 3, 5, 7, 9, and 11 have been examined. Raman spectroscopy and nuclear magnetic resonance (NMR) spectroscopy have been used to assess network connectivity. In the first two glass series network connectivity decreases with increasing alkaline earth addition whereas in the third series connectivity tends to be greater for the more magnesia rich glasses suggesting that magnesia does have a different effect to lime on network connectivity, but only when magnesia is the dominant alkaline earth species. Fracture toughness has been measured using bend testing, which avoids many of the questions raised by the widely used indentation technique. Moduli have been assessed using acoustic means. It was found that the mechanical properties tend to decrease with increasing network connectivity for all three glass series. For the MgO-SiO&lt;inf&gt;2&lt;/inf&gt; series and CaO-SiO&lt;inf&gt;2&lt;/inf&gt; glasses increasing the alkaline earth content at the expense of the silica content resulted in increased network depolymerization, whereas for the MgO-CaO series when MgO became the dominant alkaline earth species, network depolymerization was reduced. Thus whilst MgO and CaO both act as network modifiers when more CaO than MgO is present in soda-lime-silica glasses, a difference in behaviour is seen with magnesia rich soda-magnesia-silica glasses. In contradiction to previous data no significant advantage of replacing CaO by MgO is observed. In addition it appears that the glasses with the lowest fracture toughness values may be more resilient to contact damage than those with the higher fracture toughness values.", "author" : [ { "dropping-particle" : "", "family" : "Kilinc", "given" : "Erhan", "non-dropping-particle" : "", "parse-names" : false, "suffix" : "" }, { "dropping-particle" : "", "family" : "Hand", "given" : "Russell J.", "non-dropping-particle" : "", "parse-names" : false, "suffix" : "" } ], "container-title" : "Journal of Non-Crystalline Solids", "id" : "ITEM-1", "issued" : { "date-parts" : [ [ "2015" ] ] }, "page" : "190-197", "publisher" : "Elsevier B.V.", "title" : "Mechanical properties of soda-lime-silica glasses with varying alkaline earth contents", "type" : "article-journal", "volume" : "429" }, "uris" : [ "http://www.mendeley.com/documents/?uuid=e13d0b43-c3bd-445d-9e34-20db699e6c29" ] } ], "mendeley" : { "formattedCitation" : "(Kilinc &amp; Hand, 2015)", "manualFormatting" : "Kilinc &amp; Hand, 2015)", "plainTextFormattedCitation" : "(Kilinc &amp; Hand, 2015)", "previouslyFormattedCitation" : "(Kilinc &amp; Hand, 2015)" }, "properties" : { "noteIndex" : 35 }, "schema" : "https://github.com/citation-style-language/schema/raw/master/csl-citation.json" }</w:instrText>
      </w:r>
      <w:r w:rsidR="00EF2C65">
        <w:rPr>
          <w:b w:val="0"/>
          <w:lang w:val="en-GB"/>
        </w:rPr>
        <w:fldChar w:fldCharType="separate"/>
      </w:r>
      <w:r w:rsidR="00EF2C65" w:rsidRPr="008C1B84">
        <w:rPr>
          <w:b w:val="0"/>
          <w:noProof/>
          <w:lang w:val="en-GB"/>
        </w:rPr>
        <w:t>Kilinc &amp; Hand, 2015)</w:t>
      </w:r>
      <w:r w:rsidR="00EF2C65">
        <w:rPr>
          <w:b w:val="0"/>
          <w:lang w:val="en-GB"/>
        </w:rPr>
        <w:fldChar w:fldCharType="end"/>
      </w:r>
      <w:r w:rsidR="00EF2C65">
        <w:rPr>
          <w:b w:val="0"/>
          <w:lang w:val="en-GB"/>
        </w:rPr>
        <w:t xml:space="preserve">. </w:t>
      </w:r>
    </w:p>
    <w:p w14:paraId="233CAA59" w14:textId="118DB7BD" w:rsidR="00F377D3" w:rsidRDefault="003B115C" w:rsidP="003B115C">
      <w:pPr>
        <w:pStyle w:val="Heading3"/>
        <w:rPr>
          <w:lang w:val="en-GB"/>
        </w:rPr>
      </w:pPr>
      <w:bookmarkStart w:id="130" w:name="_Toc12994945"/>
      <w:r>
        <w:rPr>
          <w:lang w:val="en-GB"/>
        </w:rPr>
        <w:t>2.</w:t>
      </w:r>
      <w:r w:rsidR="007754F1">
        <w:rPr>
          <w:lang w:val="en-GB"/>
        </w:rPr>
        <w:t>10</w:t>
      </w:r>
      <w:r>
        <w:rPr>
          <w:lang w:val="en-GB"/>
        </w:rPr>
        <w:t xml:space="preserve"> Connectivity</w:t>
      </w:r>
      <w:bookmarkEnd w:id="130"/>
    </w:p>
    <w:p w14:paraId="0BCFCCA8" w14:textId="047DF38D" w:rsidR="003B115C" w:rsidRPr="00A968C2" w:rsidRDefault="007754F1" w:rsidP="0049531B">
      <w:pPr>
        <w:spacing w:before="200" w:after="0" w:line="360" w:lineRule="auto"/>
        <w:jc w:val="both"/>
        <w:rPr>
          <w:rFonts w:cs="Times New Roman"/>
          <w:b w:val="0"/>
          <w:szCs w:val="24"/>
        </w:rPr>
      </w:pPr>
      <w:r w:rsidRPr="00A968C2">
        <w:rPr>
          <w:rFonts w:cs="Times New Roman"/>
          <w:b w:val="0"/>
          <w:szCs w:val="24"/>
        </w:rPr>
        <w:t>Connectivity</w:t>
      </w:r>
      <w:r w:rsidR="006F3533" w:rsidRPr="00A968C2">
        <w:rPr>
          <w:rFonts w:cs="Times New Roman"/>
          <w:b w:val="0"/>
          <w:szCs w:val="24"/>
        </w:rPr>
        <w:t xml:space="preserve"> </w:t>
      </w:r>
      <w:r w:rsidR="006F3533" w:rsidRPr="00A968C2">
        <w:rPr>
          <w:b w:val="0"/>
        </w:rPr>
        <w:t xml:space="preserve">of any structure is </w:t>
      </w:r>
      <w:r w:rsidR="00A968C2">
        <w:rPr>
          <w:b w:val="0"/>
        </w:rPr>
        <w:t>formed</w:t>
      </w:r>
      <w:r w:rsidR="00A968C2" w:rsidRPr="00A968C2">
        <w:rPr>
          <w:b w:val="0"/>
        </w:rPr>
        <w:t xml:space="preserve"> </w:t>
      </w:r>
      <w:r w:rsidR="00A968C2">
        <w:rPr>
          <w:b w:val="0"/>
        </w:rPr>
        <w:t>from</w:t>
      </w:r>
      <w:r w:rsidR="00A968C2" w:rsidRPr="00A968C2">
        <w:rPr>
          <w:b w:val="0"/>
        </w:rPr>
        <w:t xml:space="preserve"> </w:t>
      </w:r>
      <w:r w:rsidR="006F3533" w:rsidRPr="00A968C2">
        <w:rPr>
          <w:b w:val="0"/>
        </w:rPr>
        <w:t>various types of bonds</w:t>
      </w:r>
      <w:r w:rsidR="00A968C2">
        <w:rPr>
          <w:b w:val="0"/>
        </w:rPr>
        <w:t xml:space="preserve"> such as </w:t>
      </w:r>
      <w:r w:rsidR="006F3533" w:rsidRPr="00A968C2">
        <w:rPr>
          <w:b w:val="0"/>
        </w:rPr>
        <w:t xml:space="preserve">ion-covalent, </w:t>
      </w:r>
      <w:r w:rsidR="00A968C2" w:rsidRPr="00A968C2">
        <w:rPr>
          <w:b w:val="0"/>
        </w:rPr>
        <w:t xml:space="preserve">hydrogen bonds, </w:t>
      </w:r>
      <w:r w:rsidR="006F3533" w:rsidRPr="00A968C2">
        <w:rPr>
          <w:b w:val="0"/>
        </w:rPr>
        <w:t xml:space="preserve">donor-acceptor, etc. </w:t>
      </w:r>
      <w:r w:rsidR="003B115C" w:rsidRPr="00A968C2">
        <w:rPr>
          <w:rFonts w:cs="Times New Roman"/>
          <w:b w:val="0"/>
          <w:szCs w:val="24"/>
        </w:rPr>
        <w:t>The degree of connectivity of oxide glasses can be calculated as follows (Rouxel, 2007).</w:t>
      </w:r>
    </w:p>
    <w:p w14:paraId="3DEB0880" w14:textId="11A33825" w:rsidR="003B115C" w:rsidRPr="00A968C2" w:rsidRDefault="003B115C" w:rsidP="00364284">
      <w:pPr>
        <w:spacing w:after="0" w:line="360" w:lineRule="auto"/>
        <w:jc w:val="both"/>
        <w:rPr>
          <w:rFonts w:cs="Times New Roman"/>
          <w:b w:val="0"/>
          <w:szCs w:val="24"/>
        </w:rPr>
      </w:pPr>
      <w:r w:rsidRPr="00A968C2">
        <w:rPr>
          <w:rFonts w:cs="Times New Roman"/>
          <w:b w:val="0"/>
          <w:position w:val="-70"/>
          <w:szCs w:val="24"/>
          <w:lang w:val="en-GB"/>
        </w:rPr>
        <w:object w:dxaOrig="3180" w:dyaOrig="1545" w14:anchorId="4E407B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8.25pt;height:79.5pt" o:ole="">
            <v:imagedata r:id="rId21" o:title=""/>
          </v:shape>
          <o:OLEObject Type="Embed" ProgID="Equation.3" ShapeID="_x0000_i1025" DrawAspect="Content" ObjectID="_1626192798" r:id="rId22"/>
        </w:object>
      </w:r>
      <w:r w:rsidRPr="00A968C2">
        <w:rPr>
          <w:rFonts w:cs="Times New Roman"/>
          <w:b w:val="0"/>
          <w:szCs w:val="24"/>
        </w:rPr>
        <w:tab/>
      </w:r>
      <w:r w:rsidRPr="00A968C2">
        <w:rPr>
          <w:rFonts w:cs="Times New Roman"/>
          <w:b w:val="0"/>
          <w:szCs w:val="24"/>
        </w:rPr>
        <w:tab/>
      </w:r>
      <w:r w:rsidRPr="00A968C2">
        <w:rPr>
          <w:rFonts w:cs="Times New Roman"/>
          <w:b w:val="0"/>
          <w:szCs w:val="24"/>
        </w:rPr>
        <w:tab/>
      </w:r>
      <w:r w:rsidRPr="00A968C2">
        <w:rPr>
          <w:rFonts w:cs="Times New Roman"/>
          <w:b w:val="0"/>
          <w:szCs w:val="24"/>
        </w:rPr>
        <w:tab/>
      </w:r>
      <w:r w:rsidRPr="00A968C2">
        <w:rPr>
          <w:rFonts w:cs="Times New Roman"/>
          <w:b w:val="0"/>
          <w:szCs w:val="24"/>
        </w:rPr>
        <w:tab/>
      </w:r>
      <w:r w:rsidRPr="00A968C2">
        <w:rPr>
          <w:rFonts w:cs="Times New Roman"/>
          <w:b w:val="0"/>
          <w:szCs w:val="24"/>
        </w:rPr>
        <w:tab/>
      </w:r>
      <w:r w:rsidR="00396230">
        <w:rPr>
          <w:rFonts w:cs="Times New Roman"/>
          <w:b w:val="0"/>
          <w:szCs w:val="24"/>
        </w:rPr>
        <w:t xml:space="preserve">         Equation 2.</w:t>
      </w:r>
      <w:r w:rsidR="00E857EA">
        <w:rPr>
          <w:rFonts w:cs="Times New Roman"/>
          <w:b w:val="0"/>
          <w:szCs w:val="24"/>
        </w:rPr>
        <w:t>6</w:t>
      </w:r>
    </w:p>
    <w:p w14:paraId="75B0CC0A" w14:textId="6CC90CF0" w:rsidR="003B115C" w:rsidRDefault="003B115C" w:rsidP="0049531B">
      <w:pPr>
        <w:spacing w:after="0" w:line="360" w:lineRule="auto"/>
        <w:jc w:val="both"/>
        <w:rPr>
          <w:rFonts w:cs="Times New Roman"/>
          <w:b w:val="0"/>
          <w:szCs w:val="24"/>
        </w:rPr>
      </w:pPr>
      <w:r w:rsidRPr="00A968C2">
        <w:rPr>
          <w:rFonts w:cs="Times New Roman"/>
          <w:b w:val="0"/>
          <w:szCs w:val="24"/>
        </w:rPr>
        <w:t xml:space="preserve">where </w:t>
      </w:r>
      <w:r w:rsidRPr="00A968C2">
        <w:rPr>
          <w:rFonts w:cs="Times New Roman"/>
          <w:b w:val="0"/>
          <w:position w:val="-12"/>
          <w:szCs w:val="24"/>
          <w:vertAlign w:val="subscript"/>
          <w:lang w:val="en-GB"/>
        </w:rPr>
        <w:object w:dxaOrig="300" w:dyaOrig="360" w14:anchorId="1ACE31E5">
          <v:shape id="_x0000_i1026" type="#_x0000_t75" style="width:14.25pt;height:21.75pt" o:ole="">
            <v:imagedata r:id="rId23" o:title=""/>
          </v:shape>
          <o:OLEObject Type="Embed" ProgID="Equation.3" ShapeID="_x0000_i1026" DrawAspect="Content" ObjectID="_1626192799" r:id="rId24"/>
        </w:object>
      </w:r>
      <w:r w:rsidRPr="00A968C2">
        <w:rPr>
          <w:rFonts w:cs="Times New Roman"/>
          <w:b w:val="0"/>
          <w:szCs w:val="24"/>
        </w:rPr>
        <w:t xml:space="preserve">, </w:t>
      </w:r>
      <w:r w:rsidR="0040421F" w:rsidRPr="0040421F">
        <w:rPr>
          <w:rFonts w:cs="Times New Roman"/>
          <w:b w:val="0"/>
          <w:position w:val="-14"/>
          <w:szCs w:val="24"/>
          <w:lang w:val="en-GB"/>
        </w:rPr>
        <w:object w:dxaOrig="300" w:dyaOrig="380" w14:anchorId="73696F88">
          <v:shape id="_x0000_i1027" type="#_x0000_t75" style="width:14.25pt;height:21.75pt" o:ole="">
            <v:imagedata r:id="rId25" o:title=""/>
          </v:shape>
          <o:OLEObject Type="Embed" ProgID="Equation.3" ShapeID="_x0000_i1027" DrawAspect="Content" ObjectID="_1626192800" r:id="rId26"/>
        </w:object>
      </w:r>
      <w:r w:rsidRPr="00A968C2">
        <w:rPr>
          <w:rFonts w:cs="Times New Roman"/>
          <w:b w:val="0"/>
          <w:szCs w:val="24"/>
        </w:rPr>
        <w:t xml:space="preserve">and </w:t>
      </w:r>
      <w:r w:rsidRPr="00A968C2">
        <w:rPr>
          <w:rFonts w:cs="Times New Roman"/>
          <w:b w:val="0"/>
          <w:position w:val="-12"/>
          <w:szCs w:val="24"/>
          <w:lang w:val="en-GB"/>
        </w:rPr>
        <w:object w:dxaOrig="300" w:dyaOrig="360" w14:anchorId="4C880BE9">
          <v:shape id="_x0000_i1028" type="#_x0000_t75" style="width:14.25pt;height:21.75pt" o:ole="">
            <v:imagedata r:id="rId27" o:title=""/>
          </v:shape>
          <o:OLEObject Type="Embed" ProgID="Equation.3" ShapeID="_x0000_i1028" DrawAspect="Content" ObjectID="_1626192801" r:id="rId28"/>
        </w:object>
      </w:r>
      <w:r w:rsidRPr="00A968C2">
        <w:rPr>
          <w:rFonts w:cs="Times New Roman"/>
          <w:b w:val="0"/>
          <w:szCs w:val="24"/>
        </w:rPr>
        <w:t xml:space="preserve"> </w:t>
      </w:r>
      <w:r w:rsidR="007754F1">
        <w:rPr>
          <w:rFonts w:cs="Times New Roman"/>
          <w:b w:val="0"/>
          <w:szCs w:val="24"/>
        </w:rPr>
        <w:t>are</w:t>
      </w:r>
      <w:r w:rsidRPr="00A968C2">
        <w:rPr>
          <w:rFonts w:cs="Times New Roman"/>
          <w:b w:val="0"/>
          <w:szCs w:val="24"/>
        </w:rPr>
        <w:t xml:space="preserve"> mole fraction</w:t>
      </w:r>
      <w:r w:rsidR="00842896">
        <w:rPr>
          <w:rFonts w:cs="Times New Roman"/>
          <w:b w:val="0"/>
          <w:szCs w:val="24"/>
        </w:rPr>
        <w:t>s</w:t>
      </w:r>
      <w:r w:rsidRPr="00A968C2">
        <w:rPr>
          <w:rFonts w:cs="Times New Roman"/>
          <w:b w:val="0"/>
          <w:szCs w:val="24"/>
        </w:rPr>
        <w:t xml:space="preserve"> of </w:t>
      </w:r>
      <w:r w:rsidR="00284CC3">
        <w:rPr>
          <w:rFonts w:cs="Times New Roman"/>
          <w:b w:val="0"/>
          <w:szCs w:val="24"/>
        </w:rPr>
        <w:t xml:space="preserve">the </w:t>
      </w:r>
      <w:r w:rsidRPr="00A968C2">
        <w:rPr>
          <w:rFonts w:cs="Times New Roman"/>
          <w:b w:val="0"/>
          <w:szCs w:val="24"/>
        </w:rPr>
        <w:t xml:space="preserve">modifier, network former and intermediate oxide cations; and </w:t>
      </w:r>
      <w:r w:rsidRPr="00A968C2">
        <w:rPr>
          <w:rFonts w:cs="Times New Roman"/>
          <w:b w:val="0"/>
          <w:position w:val="-12"/>
          <w:szCs w:val="24"/>
          <w:lang w:val="en-GB"/>
        </w:rPr>
        <w:object w:dxaOrig="300" w:dyaOrig="360" w14:anchorId="1A3DCF2D">
          <v:shape id="_x0000_i1029" type="#_x0000_t75" style="width:14.25pt;height:21.75pt" o:ole="">
            <v:imagedata r:id="rId29" o:title=""/>
          </v:shape>
          <o:OLEObject Type="Embed" ProgID="Equation.3" ShapeID="_x0000_i1029" DrawAspect="Content" ObjectID="_1626192802" r:id="rId30"/>
        </w:object>
      </w:r>
      <w:r w:rsidRPr="00A968C2">
        <w:rPr>
          <w:rFonts w:cs="Times New Roman"/>
          <w:b w:val="0"/>
          <w:szCs w:val="24"/>
        </w:rPr>
        <w:t xml:space="preserve">, </w:t>
      </w:r>
      <w:r w:rsidRPr="00A968C2">
        <w:rPr>
          <w:rFonts w:cs="Times New Roman"/>
          <w:b w:val="0"/>
          <w:position w:val="-14"/>
          <w:szCs w:val="24"/>
          <w:lang w:val="en-GB"/>
        </w:rPr>
        <w:object w:dxaOrig="360" w:dyaOrig="405" w14:anchorId="5041A98B">
          <v:shape id="_x0000_i1030" type="#_x0000_t75" style="width:21.75pt;height:21.75pt" o:ole="">
            <v:imagedata r:id="rId31" o:title=""/>
          </v:shape>
          <o:OLEObject Type="Embed" ProgID="Equation.3" ShapeID="_x0000_i1030" DrawAspect="Content" ObjectID="_1626192803" r:id="rId32"/>
        </w:object>
      </w:r>
      <w:r w:rsidRPr="00A968C2">
        <w:rPr>
          <w:rFonts w:cs="Times New Roman"/>
          <w:b w:val="0"/>
          <w:i/>
          <w:szCs w:val="24"/>
        </w:rPr>
        <w:t xml:space="preserve"> and </w:t>
      </w:r>
      <w:r w:rsidRPr="00A968C2">
        <w:rPr>
          <w:rFonts w:cs="Times New Roman"/>
          <w:b w:val="0"/>
          <w:i/>
          <w:position w:val="-12"/>
          <w:szCs w:val="24"/>
          <w:lang w:val="en-GB"/>
        </w:rPr>
        <w:object w:dxaOrig="300" w:dyaOrig="360" w14:anchorId="02121C2E">
          <v:shape id="_x0000_i1031" type="#_x0000_t75" style="width:14.25pt;height:21.75pt" o:ole="">
            <v:imagedata r:id="rId33" o:title=""/>
          </v:shape>
          <o:OLEObject Type="Embed" ProgID="Equation.3" ShapeID="_x0000_i1031" DrawAspect="Content" ObjectID="_1626192804" r:id="rId34"/>
        </w:object>
      </w:r>
      <w:r w:rsidRPr="00A968C2">
        <w:rPr>
          <w:rFonts w:cs="Times New Roman"/>
          <w:b w:val="0"/>
          <w:i/>
          <w:szCs w:val="24"/>
        </w:rPr>
        <w:t xml:space="preserve"> </w:t>
      </w:r>
      <w:r w:rsidR="007754F1">
        <w:rPr>
          <w:rFonts w:cs="Times New Roman"/>
          <w:b w:val="0"/>
          <w:szCs w:val="24"/>
        </w:rPr>
        <w:t>denotes</w:t>
      </w:r>
      <w:r w:rsidR="007754F1" w:rsidRPr="00A968C2">
        <w:rPr>
          <w:rFonts w:cs="Times New Roman"/>
          <w:b w:val="0"/>
          <w:szCs w:val="24"/>
        </w:rPr>
        <w:t xml:space="preserve"> </w:t>
      </w:r>
      <w:r w:rsidRPr="00A968C2">
        <w:rPr>
          <w:rFonts w:cs="Times New Roman"/>
          <w:b w:val="0"/>
          <w:szCs w:val="24"/>
        </w:rPr>
        <w:t>the valency of the network modifier, network former and intermediate oxide, respectively.</w:t>
      </w:r>
      <w:r w:rsidR="00764551">
        <w:rPr>
          <w:rFonts w:cs="Times New Roman"/>
          <w:b w:val="0"/>
          <w:szCs w:val="24"/>
        </w:rPr>
        <w:t xml:space="preserve"> Network modifier</w:t>
      </w:r>
      <w:r w:rsidR="00370F6C">
        <w:rPr>
          <w:rFonts w:cs="Times New Roman"/>
          <w:b w:val="0"/>
          <w:szCs w:val="24"/>
        </w:rPr>
        <w:t>s</w:t>
      </w:r>
      <w:r w:rsidR="00764551">
        <w:rPr>
          <w:rFonts w:cs="Times New Roman"/>
          <w:b w:val="0"/>
          <w:szCs w:val="24"/>
        </w:rPr>
        <w:t xml:space="preserve"> might compensate the intermediate</w:t>
      </w:r>
      <w:r w:rsidR="00370F6C">
        <w:rPr>
          <w:rFonts w:cs="Times New Roman"/>
          <w:b w:val="0"/>
          <w:szCs w:val="24"/>
        </w:rPr>
        <w:t>s</w:t>
      </w:r>
      <w:r w:rsidR="00764551">
        <w:rPr>
          <w:rFonts w:cs="Times New Roman"/>
          <w:b w:val="0"/>
          <w:szCs w:val="24"/>
        </w:rPr>
        <w:t xml:space="preserve"> and thus </w:t>
      </w:r>
      <w:r w:rsidR="00370F6C">
        <w:rPr>
          <w:rFonts w:cs="Times New Roman"/>
          <w:b w:val="0"/>
          <w:szCs w:val="24"/>
        </w:rPr>
        <w:t xml:space="preserve">the </w:t>
      </w:r>
      <w:r w:rsidR="00764551">
        <w:rPr>
          <w:rFonts w:cs="Times New Roman"/>
          <w:b w:val="0"/>
          <w:szCs w:val="24"/>
        </w:rPr>
        <w:t xml:space="preserve">charge </w:t>
      </w:r>
      <w:r w:rsidR="00370F6C">
        <w:rPr>
          <w:rFonts w:cs="Times New Roman"/>
          <w:b w:val="0"/>
          <w:szCs w:val="24"/>
        </w:rPr>
        <w:t xml:space="preserve">compensation </w:t>
      </w:r>
      <w:r w:rsidR="00764551">
        <w:rPr>
          <w:rFonts w:cs="Times New Roman"/>
          <w:b w:val="0"/>
          <w:szCs w:val="24"/>
        </w:rPr>
        <w:t xml:space="preserve">of </w:t>
      </w:r>
      <w:r w:rsidR="00370F6C">
        <w:rPr>
          <w:rFonts w:cs="Times New Roman"/>
          <w:b w:val="0"/>
          <w:szCs w:val="24"/>
        </w:rPr>
        <w:t xml:space="preserve">the </w:t>
      </w:r>
      <w:r w:rsidR="00764551">
        <w:rPr>
          <w:rFonts w:cs="Times New Roman"/>
          <w:b w:val="0"/>
          <w:szCs w:val="24"/>
        </w:rPr>
        <w:t>modifier cation mole fraction need</w:t>
      </w:r>
      <w:r w:rsidR="00370F6C">
        <w:rPr>
          <w:rFonts w:cs="Times New Roman"/>
          <w:b w:val="0"/>
          <w:szCs w:val="24"/>
        </w:rPr>
        <w:t>s</w:t>
      </w:r>
      <w:r w:rsidR="00764551">
        <w:rPr>
          <w:rFonts w:cs="Times New Roman"/>
          <w:b w:val="0"/>
          <w:szCs w:val="24"/>
        </w:rPr>
        <w:t xml:space="preserve"> to be subtracted from numerator and then added to </w:t>
      </w:r>
      <w:r w:rsidR="00E90DC0">
        <w:rPr>
          <w:rFonts w:cs="Times New Roman"/>
          <w:b w:val="0"/>
          <w:szCs w:val="24"/>
        </w:rPr>
        <w:t xml:space="preserve">denominator in </w:t>
      </w:r>
      <w:r w:rsidR="006F79E6">
        <w:rPr>
          <w:rFonts w:cs="Times New Roman"/>
          <w:b w:val="0"/>
          <w:szCs w:val="24"/>
        </w:rPr>
        <w:t xml:space="preserve">equation </w:t>
      </w:r>
      <w:r w:rsidR="00E90DC0">
        <w:rPr>
          <w:rFonts w:cs="Times New Roman"/>
          <w:b w:val="0"/>
          <w:szCs w:val="24"/>
        </w:rPr>
        <w:t xml:space="preserve">2.6 </w:t>
      </w:r>
      <w:r w:rsidR="00370F6C">
        <w:rPr>
          <w:rFonts w:cs="Times New Roman"/>
          <w:b w:val="0"/>
          <w:szCs w:val="24"/>
        </w:rPr>
        <w:t xml:space="preserve">and </w:t>
      </w:r>
      <w:r w:rsidR="00E90DC0">
        <w:rPr>
          <w:rFonts w:cs="Times New Roman"/>
          <w:b w:val="0"/>
          <w:szCs w:val="24"/>
        </w:rPr>
        <w:t xml:space="preserve">the </w:t>
      </w:r>
      <w:r w:rsidR="00370F6C">
        <w:rPr>
          <w:rFonts w:cs="Times New Roman"/>
          <w:b w:val="0"/>
          <w:szCs w:val="24"/>
        </w:rPr>
        <w:t xml:space="preserve">amount </w:t>
      </w:r>
      <w:r w:rsidR="00E90DC0">
        <w:rPr>
          <w:rFonts w:cs="Times New Roman"/>
          <w:b w:val="0"/>
          <w:szCs w:val="24"/>
        </w:rPr>
        <w:t xml:space="preserve">of tetrahedral coordination </w:t>
      </w:r>
      <w:r w:rsidR="00370F6C">
        <w:rPr>
          <w:rFonts w:cs="Times New Roman"/>
          <w:b w:val="0"/>
          <w:szCs w:val="24"/>
        </w:rPr>
        <w:t>for</w:t>
      </w:r>
      <w:r w:rsidR="00E90DC0">
        <w:rPr>
          <w:rFonts w:cs="Times New Roman"/>
          <w:b w:val="0"/>
          <w:szCs w:val="24"/>
        </w:rPr>
        <w:t xml:space="preserve"> Al and B need</w:t>
      </w:r>
      <w:r w:rsidR="00370F6C">
        <w:rPr>
          <w:rFonts w:cs="Times New Roman"/>
          <w:b w:val="0"/>
          <w:szCs w:val="24"/>
        </w:rPr>
        <w:t>s</w:t>
      </w:r>
      <w:r w:rsidR="00E90DC0">
        <w:rPr>
          <w:rFonts w:cs="Times New Roman"/>
          <w:b w:val="0"/>
          <w:szCs w:val="24"/>
        </w:rPr>
        <w:t xml:space="preserve"> to be considered.  T in </w:t>
      </w:r>
      <w:r w:rsidR="00370F6C">
        <w:rPr>
          <w:rFonts w:cs="Times New Roman"/>
          <w:b w:val="0"/>
          <w:szCs w:val="24"/>
        </w:rPr>
        <w:t xml:space="preserve">equation 2.6 is </w:t>
      </w:r>
      <w:r w:rsidR="00E90DC0">
        <w:rPr>
          <w:rFonts w:cs="Times New Roman"/>
          <w:b w:val="0"/>
          <w:szCs w:val="24"/>
        </w:rPr>
        <w:t xml:space="preserve">equal to 4 for </w:t>
      </w:r>
      <w:r w:rsidR="00674BE7">
        <w:rPr>
          <w:rFonts w:cs="Times New Roman"/>
          <w:b w:val="0"/>
          <w:szCs w:val="24"/>
        </w:rPr>
        <w:t>glasses</w:t>
      </w:r>
      <w:r w:rsidR="00E9638F">
        <w:rPr>
          <w:rFonts w:cs="Times New Roman"/>
          <w:b w:val="0"/>
          <w:szCs w:val="24"/>
        </w:rPr>
        <w:t xml:space="preserve"> which include </w:t>
      </w:r>
      <w:r w:rsidR="00E90DC0" w:rsidRPr="006F79E6">
        <w:rPr>
          <w:rFonts w:cs="Times New Roman"/>
          <w:b w:val="0"/>
          <w:szCs w:val="24"/>
        </w:rPr>
        <w:t xml:space="preserve">Si, Al, </w:t>
      </w:r>
      <w:proofErr w:type="spellStart"/>
      <w:r w:rsidR="00E90DC0" w:rsidRPr="006F79E6">
        <w:rPr>
          <w:rFonts w:cs="Times New Roman"/>
          <w:b w:val="0"/>
          <w:szCs w:val="24"/>
        </w:rPr>
        <w:t>Zr</w:t>
      </w:r>
      <w:proofErr w:type="spellEnd"/>
      <w:r w:rsidR="00E90DC0" w:rsidRPr="006F79E6">
        <w:rPr>
          <w:rFonts w:cs="Times New Roman"/>
          <w:b w:val="0"/>
          <w:szCs w:val="24"/>
        </w:rPr>
        <w:t>, Ge and As</w:t>
      </w:r>
      <w:r w:rsidR="00E9638F">
        <w:rPr>
          <w:rFonts w:cs="Times New Roman"/>
          <w:b w:val="0"/>
          <w:szCs w:val="24"/>
        </w:rPr>
        <w:t>. However</w:t>
      </w:r>
      <w:r w:rsidR="00E90DC0">
        <w:rPr>
          <w:rFonts w:cs="Times New Roman"/>
          <w:b w:val="0"/>
          <w:szCs w:val="24"/>
        </w:rPr>
        <w:t>,</w:t>
      </w:r>
      <w:r w:rsidR="00E9638F">
        <w:rPr>
          <w:rFonts w:cs="Times New Roman"/>
          <w:b w:val="0"/>
          <w:szCs w:val="24"/>
        </w:rPr>
        <w:t xml:space="preserve"> T is 3 for borate and phosphate.</w:t>
      </w:r>
      <w:r w:rsidR="000548FB">
        <w:rPr>
          <w:rFonts w:cs="Times New Roman"/>
          <w:b w:val="0"/>
          <w:szCs w:val="24"/>
        </w:rPr>
        <w:t xml:space="preserve"> This is</w:t>
      </w:r>
      <w:r w:rsidR="00E90DC0">
        <w:rPr>
          <w:rFonts w:cs="Times New Roman"/>
          <w:b w:val="0"/>
          <w:szCs w:val="24"/>
        </w:rPr>
        <w:t xml:space="preserve"> due to the</w:t>
      </w:r>
      <w:r w:rsidR="006F79E6">
        <w:rPr>
          <w:rFonts w:cs="Times New Roman"/>
          <w:b w:val="0"/>
          <w:szCs w:val="24"/>
        </w:rPr>
        <w:t>re</w:t>
      </w:r>
      <w:r w:rsidR="00E90DC0">
        <w:rPr>
          <w:rFonts w:cs="Times New Roman"/>
          <w:b w:val="0"/>
          <w:szCs w:val="24"/>
        </w:rPr>
        <w:t xml:space="preserve"> will be </w:t>
      </w:r>
      <w:r w:rsidR="00040067">
        <w:rPr>
          <w:rFonts w:cs="Times New Roman"/>
          <w:b w:val="0"/>
          <w:szCs w:val="24"/>
        </w:rPr>
        <w:t xml:space="preserve">four </w:t>
      </w:r>
      <w:r w:rsidR="00E90DC0">
        <w:rPr>
          <w:rFonts w:cs="Times New Roman"/>
          <w:b w:val="0"/>
          <w:szCs w:val="24"/>
        </w:rPr>
        <w:t xml:space="preserve">oxygens are links for </w:t>
      </w:r>
      <w:r w:rsidR="00E90DC0" w:rsidRPr="006F79E6">
        <w:rPr>
          <w:rFonts w:cs="Times New Roman"/>
          <w:b w:val="0"/>
          <w:szCs w:val="24"/>
        </w:rPr>
        <w:t xml:space="preserve">Si, Al, </w:t>
      </w:r>
      <w:proofErr w:type="spellStart"/>
      <w:r w:rsidR="00E90DC0" w:rsidRPr="006F79E6">
        <w:rPr>
          <w:rFonts w:cs="Times New Roman"/>
          <w:b w:val="0"/>
          <w:szCs w:val="24"/>
        </w:rPr>
        <w:t>Zr</w:t>
      </w:r>
      <w:proofErr w:type="spellEnd"/>
      <w:r w:rsidR="00E90DC0" w:rsidRPr="006F79E6">
        <w:rPr>
          <w:rFonts w:cs="Times New Roman"/>
          <w:b w:val="0"/>
          <w:szCs w:val="24"/>
        </w:rPr>
        <w:t>, Ge and As</w:t>
      </w:r>
      <w:r w:rsidR="00E90DC0">
        <w:rPr>
          <w:rFonts w:cs="Times New Roman"/>
          <w:b w:val="0"/>
          <w:szCs w:val="24"/>
        </w:rPr>
        <w:t xml:space="preserve"> but only </w:t>
      </w:r>
      <w:r w:rsidR="00040067">
        <w:rPr>
          <w:rFonts w:cs="Times New Roman"/>
          <w:b w:val="0"/>
          <w:szCs w:val="24"/>
        </w:rPr>
        <w:t xml:space="preserve">three </w:t>
      </w:r>
      <w:r w:rsidR="00E90DC0">
        <w:rPr>
          <w:rFonts w:cs="Times New Roman"/>
          <w:b w:val="0"/>
          <w:szCs w:val="24"/>
        </w:rPr>
        <w:t xml:space="preserve">oxygens </w:t>
      </w:r>
      <w:r w:rsidR="000548FB">
        <w:rPr>
          <w:rFonts w:cs="Times New Roman"/>
          <w:b w:val="0"/>
          <w:szCs w:val="24"/>
        </w:rPr>
        <w:t xml:space="preserve">can form bridging oxygens </w:t>
      </w:r>
      <w:r w:rsidR="00E90DC0">
        <w:rPr>
          <w:rFonts w:cs="Times New Roman"/>
          <w:b w:val="0"/>
          <w:szCs w:val="24"/>
        </w:rPr>
        <w:t>with neighbouring tetrahedra for borate and phosphate glass.</w:t>
      </w:r>
    </w:p>
    <w:p w14:paraId="186071AC" w14:textId="7E07A26B" w:rsidR="0064576E" w:rsidRPr="000E2377" w:rsidRDefault="0064576E" w:rsidP="007C3DD8">
      <w:pPr>
        <w:pStyle w:val="Heading3"/>
        <w:rPr>
          <w:rFonts w:eastAsia="Calibri"/>
          <w:lang w:eastAsia="tr-TR"/>
        </w:rPr>
      </w:pPr>
      <w:bookmarkStart w:id="131" w:name="_Toc515398713"/>
      <w:bookmarkStart w:id="132" w:name="_Toc523402876"/>
      <w:bookmarkStart w:id="133" w:name="_Toc525526387"/>
      <w:bookmarkStart w:id="134" w:name="_Toc525707804"/>
      <w:bookmarkStart w:id="135" w:name="_Toc525742468"/>
      <w:bookmarkStart w:id="136" w:name="_Toc12994946"/>
      <w:bookmarkEnd w:id="131"/>
      <w:r w:rsidRPr="000E2377">
        <w:rPr>
          <w:rFonts w:eastAsia="Calibri"/>
          <w:lang w:eastAsia="tr-TR"/>
        </w:rPr>
        <w:lastRenderedPageBreak/>
        <w:t>2.</w:t>
      </w:r>
      <w:r w:rsidR="003B115C">
        <w:rPr>
          <w:rFonts w:eastAsia="Calibri"/>
          <w:lang w:eastAsia="tr-TR"/>
        </w:rPr>
        <w:t>1</w:t>
      </w:r>
      <w:r w:rsidR="007754F1">
        <w:rPr>
          <w:rFonts w:eastAsia="Calibri"/>
          <w:lang w:eastAsia="tr-TR"/>
        </w:rPr>
        <w:t>1</w:t>
      </w:r>
      <w:r w:rsidR="003B115C" w:rsidRPr="000E2377">
        <w:rPr>
          <w:rFonts w:eastAsia="Calibri"/>
          <w:lang w:eastAsia="tr-TR"/>
        </w:rPr>
        <w:t xml:space="preserve"> </w:t>
      </w:r>
      <w:r w:rsidRPr="000E2377">
        <w:rPr>
          <w:rFonts w:eastAsia="Calibri"/>
          <w:lang w:eastAsia="tr-TR"/>
        </w:rPr>
        <w:t>Moduli / Hardness / Toughness / Brittleness of glasses</w:t>
      </w:r>
      <w:bookmarkEnd w:id="132"/>
      <w:bookmarkEnd w:id="133"/>
      <w:bookmarkEnd w:id="134"/>
      <w:bookmarkEnd w:id="135"/>
      <w:bookmarkEnd w:id="136"/>
    </w:p>
    <w:p w14:paraId="46F59160" w14:textId="7DDD7D30" w:rsidR="0064576E" w:rsidRPr="00BF0DEE" w:rsidRDefault="005C7D71" w:rsidP="008F1248">
      <w:pPr>
        <w:spacing w:before="240" w:line="360" w:lineRule="auto"/>
        <w:jc w:val="both"/>
        <w:rPr>
          <w:rFonts w:asciiTheme="majorBidi" w:hAnsiTheme="majorBidi" w:cstheme="majorBidi"/>
          <w:szCs w:val="24"/>
        </w:rPr>
      </w:pPr>
      <w:r w:rsidRPr="000E2377">
        <w:rPr>
          <w:rFonts w:asciiTheme="majorBidi" w:hAnsiTheme="majorBidi" w:cstheme="majorBidi"/>
          <w:b w:val="0"/>
          <w:szCs w:val="24"/>
        </w:rPr>
        <w:t>The m</w:t>
      </w:r>
      <w:r w:rsidR="0064576E" w:rsidRPr="000E2377">
        <w:rPr>
          <w:rFonts w:asciiTheme="majorBidi" w:hAnsiTheme="majorBidi" w:cstheme="majorBidi"/>
          <w:b w:val="0"/>
          <w:szCs w:val="24"/>
        </w:rPr>
        <w:t xml:space="preserve">echanical properties of glasses are very important in many applications. For example, high hardness and scratch resistance are very important for touch screen display applications </w:t>
      </w:r>
      <w:r w:rsidR="0064576E" w:rsidRPr="000E2377">
        <w:rPr>
          <w:rFonts w:asciiTheme="majorBidi" w:hAnsiTheme="majorBidi" w:cstheme="majorBidi"/>
          <w:b w:val="0"/>
          <w:szCs w:val="24"/>
        </w:rPr>
        <w:fldChar w:fldCharType="begin" w:fldLock="1"/>
      </w:r>
      <w:r w:rsidR="00F82BA8">
        <w:rPr>
          <w:rFonts w:asciiTheme="majorBidi" w:hAnsiTheme="majorBidi" w:cstheme="majorBidi"/>
          <w:b w:val="0"/>
          <w:szCs w:val="24"/>
        </w:rPr>
        <w:instrText>ADDIN CSL_CITATION { "citationItems" : [ { "id" : "ITEM-1", "itemData" : { "DOI" : "10.1111/j.1551-2916.2010.04036.x", "author" : [ { "dropping-particle" : "", "family" : "Connelly", "given" : "Andrew J.", "non-dropping-particle" : "", "parse-names" : false, "suffix" : "" }, { "dropping-particle" : "", "family" : "Travis", "given" : "Karl P", "non-dropping-particle" : "", "parse-names" : false, "suffix" : "" }, { "dropping-particle" : "", "family" : "Hand", "given" : "Russell J", "non-dropping-particle" : "", "parse-names" : false, "suffix" : "" }, { "dropping-particle" : "", "family" : "Hyatt", "given" : "Neil C", "non-dropping-particle" : "", "parse-names" : false, "suffix" : "" }, { "dropping-particle" : "", "family" : "Maddrell", "given" : "Ewan", "non-dropping-particle" : "", "parse-names" : false, "suffix" : "" } ], "container-title" : "J. Am. Ceram. Soc", "id" : "ITEM-1", "issue" : "1", "issued" : { "date-parts" : [ [ "2011" ] ] }, "page" : "137-144", "title" : "Composition\u2013Structure Relationships in Simplified Nuclear Waste Glasses: 2. The Effect of ZrO 2 Additions", "type" : "article-journal", "volume" : "94" }, "uris" : [ "http://www.mendeley.com/documents/?uuid=32aa31b6-ec23-4fb1-aa8e-5e1e152fd1a8" ] } ], "mendeley" : { "formattedCitation" : "(Andrew J. Connelly, Travis, Hand, Hyatt, &amp; Maddrell, 2011)", "manualFormatting" : "(Connelly et al., 2011a)", "plainTextFormattedCitation" : "(Andrew J. Connelly, Travis, Hand, Hyatt, &amp; Maddrell, 2011)", "previouslyFormattedCitation" : "(Andrew J. Connelly, Travis, Hand, Hyatt, &amp; Maddrell, 2011)" }, "properties" : { "noteIndex" : 0 }, "schema" : "https://github.com/citation-style-language/schema/raw/master/csl-citation.json" }</w:instrText>
      </w:r>
      <w:r w:rsidR="0064576E" w:rsidRPr="000E2377">
        <w:rPr>
          <w:rFonts w:asciiTheme="majorBidi" w:hAnsiTheme="majorBidi" w:cstheme="majorBidi"/>
          <w:b w:val="0"/>
          <w:szCs w:val="24"/>
        </w:rPr>
        <w:fldChar w:fldCharType="separate"/>
      </w:r>
      <w:r w:rsidR="0064576E" w:rsidRPr="000E2377">
        <w:rPr>
          <w:rFonts w:asciiTheme="majorBidi" w:hAnsiTheme="majorBidi" w:cstheme="majorBidi"/>
          <w:b w:val="0"/>
          <w:noProof/>
          <w:szCs w:val="24"/>
        </w:rPr>
        <w:t>(Connelly et al.</w:t>
      </w:r>
      <w:r w:rsidR="000112FE">
        <w:rPr>
          <w:rFonts w:asciiTheme="majorBidi" w:hAnsiTheme="majorBidi" w:cstheme="majorBidi"/>
          <w:b w:val="0"/>
          <w:noProof/>
          <w:szCs w:val="24"/>
        </w:rPr>
        <w:t>,</w:t>
      </w:r>
      <w:r w:rsidR="0064576E" w:rsidRPr="000E2377">
        <w:rPr>
          <w:rFonts w:asciiTheme="majorBidi" w:hAnsiTheme="majorBidi" w:cstheme="majorBidi"/>
          <w:b w:val="0"/>
          <w:noProof/>
          <w:szCs w:val="24"/>
        </w:rPr>
        <w:t xml:space="preserve"> 2011a)</w:t>
      </w:r>
      <w:r w:rsidR="0064576E" w:rsidRPr="000E2377">
        <w:rPr>
          <w:rFonts w:asciiTheme="majorBidi" w:hAnsiTheme="majorBidi" w:cstheme="majorBidi"/>
          <w:b w:val="0"/>
          <w:szCs w:val="24"/>
        </w:rPr>
        <w:fldChar w:fldCharType="end"/>
      </w:r>
      <w:r w:rsidR="0064576E" w:rsidRPr="000E2377">
        <w:rPr>
          <w:rFonts w:asciiTheme="majorBidi" w:hAnsiTheme="majorBidi" w:cstheme="majorBidi"/>
          <w:b w:val="0"/>
          <w:szCs w:val="24"/>
        </w:rPr>
        <w:t xml:space="preserve">. </w:t>
      </w:r>
      <w:r w:rsidRPr="000E2377">
        <w:rPr>
          <w:rFonts w:asciiTheme="majorBidi" w:hAnsiTheme="majorBidi" w:cstheme="majorBidi"/>
          <w:b w:val="0"/>
          <w:szCs w:val="24"/>
        </w:rPr>
        <w:t>The e</w:t>
      </w:r>
      <w:r w:rsidR="0064576E" w:rsidRPr="000E2377">
        <w:rPr>
          <w:rFonts w:asciiTheme="majorBidi" w:hAnsiTheme="majorBidi" w:cstheme="majorBidi"/>
          <w:b w:val="0"/>
          <w:szCs w:val="24"/>
        </w:rPr>
        <w:t xml:space="preserve">xcellent values of toughness, hardness, brittleness and strength </w:t>
      </w:r>
      <w:r w:rsidRPr="000E2377">
        <w:rPr>
          <w:rFonts w:asciiTheme="majorBidi" w:hAnsiTheme="majorBidi" w:cstheme="majorBidi"/>
          <w:b w:val="0"/>
          <w:szCs w:val="24"/>
        </w:rPr>
        <w:t>seen in</w:t>
      </w:r>
      <w:r w:rsidR="0064576E" w:rsidRPr="000E2377">
        <w:rPr>
          <w:rFonts w:asciiTheme="majorBidi" w:hAnsiTheme="majorBidi" w:cstheme="majorBidi"/>
          <w:b w:val="0"/>
          <w:szCs w:val="24"/>
        </w:rPr>
        <w:t xml:space="preserve"> boroaluminosilicate</w:t>
      </w:r>
      <w:r w:rsidRPr="000E2377">
        <w:rPr>
          <w:rFonts w:asciiTheme="majorBidi" w:hAnsiTheme="majorBidi" w:cstheme="majorBidi"/>
          <w:b w:val="0"/>
          <w:szCs w:val="24"/>
        </w:rPr>
        <w:t xml:space="preserve"> glasses</w:t>
      </w:r>
      <w:r w:rsidR="0064576E" w:rsidRPr="000E2377">
        <w:rPr>
          <w:rFonts w:asciiTheme="majorBidi" w:hAnsiTheme="majorBidi" w:cstheme="majorBidi"/>
          <w:b w:val="0"/>
          <w:szCs w:val="24"/>
        </w:rPr>
        <w:t xml:space="preserve"> enable th</w:t>
      </w:r>
      <w:r w:rsidRPr="000E2377">
        <w:rPr>
          <w:rFonts w:asciiTheme="majorBidi" w:hAnsiTheme="majorBidi" w:cstheme="majorBidi"/>
          <w:b w:val="0"/>
          <w:szCs w:val="24"/>
        </w:rPr>
        <w:t>e</w:t>
      </w:r>
      <w:r w:rsidR="0064576E" w:rsidRPr="000E2377">
        <w:rPr>
          <w:rFonts w:asciiTheme="majorBidi" w:hAnsiTheme="majorBidi" w:cstheme="majorBidi"/>
          <w:b w:val="0"/>
          <w:szCs w:val="24"/>
        </w:rPr>
        <w:t>s</w:t>
      </w:r>
      <w:r w:rsidRPr="000E2377">
        <w:rPr>
          <w:rFonts w:asciiTheme="majorBidi" w:hAnsiTheme="majorBidi" w:cstheme="majorBidi"/>
          <w:b w:val="0"/>
          <w:szCs w:val="24"/>
        </w:rPr>
        <w:t>e</w:t>
      </w:r>
      <w:r w:rsidR="0064576E" w:rsidRPr="000E2377">
        <w:rPr>
          <w:rFonts w:asciiTheme="majorBidi" w:hAnsiTheme="majorBidi" w:cstheme="majorBidi"/>
          <w:b w:val="0"/>
          <w:szCs w:val="24"/>
        </w:rPr>
        <w:t xml:space="preserve"> glass</w:t>
      </w:r>
      <w:r w:rsidRPr="000E2377">
        <w:rPr>
          <w:rFonts w:asciiTheme="majorBidi" w:hAnsiTheme="majorBidi" w:cstheme="majorBidi"/>
          <w:b w:val="0"/>
          <w:szCs w:val="24"/>
        </w:rPr>
        <w:t>es</w:t>
      </w:r>
      <w:r w:rsidR="0064576E" w:rsidRPr="000E2377">
        <w:rPr>
          <w:rFonts w:asciiTheme="majorBidi" w:hAnsiTheme="majorBidi" w:cstheme="majorBidi"/>
          <w:b w:val="0"/>
          <w:szCs w:val="24"/>
        </w:rPr>
        <w:t xml:space="preserve"> to be used in specific applications such as screen displays </w:t>
      </w:r>
      <w:r w:rsidR="0064576E" w:rsidRPr="000E2377">
        <w:rPr>
          <w:rFonts w:asciiTheme="majorBidi" w:hAnsiTheme="majorBidi" w:cstheme="majorBidi"/>
          <w:b w:val="0"/>
          <w:szCs w:val="24"/>
        </w:rPr>
        <w:fldChar w:fldCharType="begin" w:fldLock="1"/>
      </w:r>
      <w:r w:rsidR="002A61DC" w:rsidRPr="000E2377">
        <w:rPr>
          <w:rFonts w:asciiTheme="majorBidi" w:hAnsiTheme="majorBidi" w:cstheme="majorBidi"/>
          <w:b w:val="0"/>
          <w:szCs w:val="24"/>
        </w:rPr>
        <w:instrText>ADDIN CSL_CITATION { "citationItems" : [ { "id" : "ITEM-1", "itemData" : { "author" : [ { "dropping-particle" : "", "family" : "Varshneya", "given" : "Arun K.", "non-dropping-particle" : "", "parse-names" : false, "suffix" : "" } ], "id" : "ITEM-1", "issued" : { "date-parts" : [ [ "2006" ] ] }, "number-of-pages" : "Second Edition", "title" : "Fundamentals of Inorganic Glasses", "type" : "book" }, "uris" : [ "http://www.mendeley.com/documents/?uuid=57f14a0d-57b3-4254-85da-6b8b3b51a80e" ] } ], "mendeley" : { "formattedCitation" : "(Varshneya, 2006)", "plainTextFormattedCitation" : "(Varshneya, 2006)", "previouslyFormattedCitation" : "(Varshneya, 2006)" }, "properties" : { "noteIndex" : 0 }, "schema" : "https://github.com/citation-style-language/schema/raw/master/csl-citation.json" }</w:instrText>
      </w:r>
      <w:r w:rsidR="0064576E" w:rsidRPr="000E2377">
        <w:rPr>
          <w:rFonts w:asciiTheme="majorBidi" w:hAnsiTheme="majorBidi" w:cstheme="majorBidi"/>
          <w:b w:val="0"/>
          <w:szCs w:val="24"/>
        </w:rPr>
        <w:fldChar w:fldCharType="separate"/>
      </w:r>
      <w:r w:rsidR="00793120" w:rsidRPr="000E2377">
        <w:rPr>
          <w:rFonts w:asciiTheme="majorBidi" w:hAnsiTheme="majorBidi" w:cstheme="majorBidi"/>
          <w:b w:val="0"/>
          <w:noProof/>
          <w:szCs w:val="24"/>
        </w:rPr>
        <w:t>(Varshneya, 2006)</w:t>
      </w:r>
      <w:r w:rsidR="0064576E" w:rsidRPr="000E2377">
        <w:rPr>
          <w:rFonts w:asciiTheme="majorBidi" w:hAnsiTheme="majorBidi" w:cstheme="majorBidi"/>
          <w:b w:val="0"/>
          <w:szCs w:val="24"/>
        </w:rPr>
        <w:fldChar w:fldCharType="end"/>
      </w:r>
      <w:r w:rsidR="0064576E" w:rsidRPr="000E2377">
        <w:rPr>
          <w:rFonts w:asciiTheme="majorBidi" w:hAnsiTheme="majorBidi" w:cstheme="majorBidi"/>
          <w:b w:val="0"/>
          <w:szCs w:val="24"/>
        </w:rPr>
        <w:t xml:space="preserve"> while </w:t>
      </w:r>
      <w:r w:rsidRPr="000E2377">
        <w:rPr>
          <w:rFonts w:asciiTheme="majorBidi" w:hAnsiTheme="majorBidi" w:cstheme="majorBidi"/>
          <w:b w:val="0"/>
          <w:szCs w:val="24"/>
        </w:rPr>
        <w:t xml:space="preserve">their </w:t>
      </w:r>
      <w:r w:rsidR="0064576E" w:rsidRPr="000E2377">
        <w:rPr>
          <w:rFonts w:asciiTheme="majorBidi" w:hAnsiTheme="majorBidi" w:cstheme="majorBidi"/>
          <w:b w:val="0"/>
          <w:szCs w:val="24"/>
        </w:rPr>
        <w:t xml:space="preserve">enhanced </w:t>
      </w:r>
      <w:r w:rsidRPr="000E2377">
        <w:rPr>
          <w:rFonts w:asciiTheme="majorBidi" w:hAnsiTheme="majorBidi" w:cstheme="majorBidi"/>
          <w:b w:val="0"/>
          <w:szCs w:val="24"/>
        </w:rPr>
        <w:t xml:space="preserve">chemical </w:t>
      </w:r>
      <w:r w:rsidR="0064576E" w:rsidRPr="000E2377">
        <w:rPr>
          <w:rFonts w:asciiTheme="majorBidi" w:hAnsiTheme="majorBidi" w:cstheme="majorBidi"/>
          <w:b w:val="0"/>
          <w:szCs w:val="24"/>
        </w:rPr>
        <w:t>durability make</w:t>
      </w:r>
      <w:r w:rsidRPr="000E2377">
        <w:rPr>
          <w:rFonts w:asciiTheme="majorBidi" w:hAnsiTheme="majorBidi" w:cstheme="majorBidi"/>
          <w:b w:val="0"/>
          <w:szCs w:val="24"/>
        </w:rPr>
        <w:t>s</w:t>
      </w:r>
      <w:r w:rsidR="0064576E" w:rsidRPr="000E2377">
        <w:rPr>
          <w:rFonts w:asciiTheme="majorBidi" w:hAnsiTheme="majorBidi" w:cstheme="majorBidi"/>
          <w:b w:val="0"/>
          <w:szCs w:val="24"/>
        </w:rPr>
        <w:t xml:space="preserve"> them suitable for use in waste immobilization </w:t>
      </w:r>
      <w:r w:rsidR="0064576E" w:rsidRPr="000E2377">
        <w:rPr>
          <w:rFonts w:asciiTheme="majorBidi" w:hAnsiTheme="majorBidi" w:cstheme="majorBidi"/>
          <w:b w:val="0"/>
          <w:szCs w:val="24"/>
        </w:rPr>
        <w:fldChar w:fldCharType="begin" w:fldLock="1"/>
      </w:r>
      <w:r w:rsidR="002F7727" w:rsidRPr="000E2377">
        <w:rPr>
          <w:rFonts w:asciiTheme="majorBidi" w:hAnsiTheme="majorBidi" w:cstheme="majorBidi"/>
          <w:b w:val="0"/>
          <w:szCs w:val="24"/>
        </w:rPr>
        <w:instrText>ADDIN CSL_CITATION { "citationItems" : [ { "id" : "ITEM-1", "itemData" : { "DOI" : "10.1016/j.jnucmat.2010.11.034", "ISSN" : "00223115", "author" : [ { "dropping-particle" : "", "family" : "Connelly", "given" : "A.J.", "non-dropping-particle" : "", "parse-names" : false, "suffix" : "" }, { "dropping-particle" : "", "family" : "Hand", "given" : "R.J.", "non-dropping-particle" : "", "parse-names" : false, "suffix" : "" }, { "dropping-particle" : "", "family" : "Bingham", "given" : "P.a.", "non-dropping-particle" : "", "parse-names" : false, "suffix" : "" }, { "dropping-particle" : "", "family" : "Hyatt", "given" : "N.C.", "non-dropping-particle" : "", "parse-names" : false, "suffix" : "" } ], "container-title" : "Journal of Nuclear Materials", "id" : "ITEM-1", "issue" : "2", "issued" : { "date-parts" : [ [ "2011", "1" ] ] }, "page" : "188-193", "publisher" : "Elsevier B.V.", "title" : "Mechanical properties of nuclear waste glasses", "type" : "article-journal", "volume" : "408" }, "uris" : [ "http://www.mendeley.com/documents/?uuid=9aa39fdb-e855-4ff8-bc6a-492cfad0aa51" ] } ], "mendeley" : { "formattedCitation" : "(A.J. Connelly et al., 2011)", "manualFormatting" : "(Connelly et al., 2011b)", "plainTextFormattedCitation" : "(A.J. Connelly et al., 2011)", "previouslyFormattedCitation" : "(A.J. Connelly et al., 2011)" }, "properties" : { "noteIndex" : 0 }, "schema" : "https://github.com/citation-style-language/schema/raw/master/csl-citation.json" }</w:instrText>
      </w:r>
      <w:r w:rsidR="0064576E" w:rsidRPr="000E2377">
        <w:rPr>
          <w:rFonts w:asciiTheme="majorBidi" w:hAnsiTheme="majorBidi" w:cstheme="majorBidi"/>
          <w:b w:val="0"/>
          <w:szCs w:val="24"/>
        </w:rPr>
        <w:fldChar w:fldCharType="separate"/>
      </w:r>
      <w:r w:rsidR="0064576E" w:rsidRPr="000E2377">
        <w:rPr>
          <w:rFonts w:asciiTheme="majorBidi" w:hAnsiTheme="majorBidi" w:cstheme="majorBidi"/>
          <w:b w:val="0"/>
          <w:noProof/>
          <w:szCs w:val="24"/>
        </w:rPr>
        <w:t>(Connelly et al.</w:t>
      </w:r>
      <w:r w:rsidR="004E6337" w:rsidRPr="000E2377">
        <w:rPr>
          <w:rFonts w:asciiTheme="majorBidi" w:hAnsiTheme="majorBidi" w:cstheme="majorBidi"/>
          <w:b w:val="0"/>
          <w:noProof/>
          <w:szCs w:val="24"/>
        </w:rPr>
        <w:t>,</w:t>
      </w:r>
      <w:r w:rsidR="0064576E" w:rsidRPr="000E2377">
        <w:rPr>
          <w:rFonts w:asciiTheme="majorBidi" w:hAnsiTheme="majorBidi" w:cstheme="majorBidi"/>
          <w:b w:val="0"/>
          <w:noProof/>
          <w:szCs w:val="24"/>
        </w:rPr>
        <w:t xml:space="preserve"> 2011b)</w:t>
      </w:r>
      <w:r w:rsidR="0064576E" w:rsidRPr="000E2377">
        <w:rPr>
          <w:rFonts w:asciiTheme="majorBidi" w:hAnsiTheme="majorBidi" w:cstheme="majorBidi"/>
          <w:b w:val="0"/>
          <w:szCs w:val="24"/>
        </w:rPr>
        <w:fldChar w:fldCharType="end"/>
      </w:r>
      <w:r w:rsidR="0064576E" w:rsidRPr="000E2377">
        <w:rPr>
          <w:rFonts w:asciiTheme="majorBidi" w:hAnsiTheme="majorBidi" w:cstheme="majorBidi"/>
          <w:b w:val="0"/>
          <w:szCs w:val="24"/>
        </w:rPr>
        <w:t>.</w:t>
      </w:r>
      <w:r w:rsidR="00425492">
        <w:rPr>
          <w:rFonts w:asciiTheme="majorBidi" w:hAnsiTheme="majorBidi" w:cstheme="majorBidi"/>
          <w:b w:val="0"/>
          <w:szCs w:val="24"/>
        </w:rPr>
        <w:t xml:space="preserve"> Table 2.</w:t>
      </w:r>
      <w:r w:rsidR="009F55F3">
        <w:rPr>
          <w:rFonts w:asciiTheme="majorBidi" w:hAnsiTheme="majorBidi" w:cstheme="majorBidi"/>
          <w:b w:val="0"/>
          <w:szCs w:val="24"/>
        </w:rPr>
        <w:t xml:space="preserve">3 </w:t>
      </w:r>
      <w:r w:rsidR="00425492">
        <w:rPr>
          <w:rFonts w:asciiTheme="majorBidi" w:hAnsiTheme="majorBidi" w:cstheme="majorBidi"/>
          <w:b w:val="0"/>
          <w:szCs w:val="24"/>
        </w:rPr>
        <w:t>shows the summary of mechanical properties of different types of glass</w:t>
      </w:r>
      <w:r w:rsidR="008E37C1">
        <w:rPr>
          <w:rFonts w:asciiTheme="majorBidi" w:hAnsiTheme="majorBidi" w:cstheme="majorBidi"/>
          <w:b w:val="0"/>
          <w:szCs w:val="24"/>
        </w:rPr>
        <w:t xml:space="preserve"> </w:t>
      </w:r>
      <w:r w:rsidR="008E37C1" w:rsidRPr="00BF0DEE">
        <w:rPr>
          <w:rFonts w:asciiTheme="majorBidi" w:hAnsiTheme="majorBidi" w:cstheme="majorBidi"/>
          <w:b w:val="0"/>
          <w:szCs w:val="24"/>
        </w:rPr>
        <w:t xml:space="preserve">and </w:t>
      </w:r>
      <w:r w:rsidR="008E37C1" w:rsidRPr="00BF0DEE">
        <w:rPr>
          <w:rFonts w:cs="Times New Roman"/>
          <w:b w:val="0"/>
          <w:szCs w:val="24"/>
        </w:rPr>
        <w:t xml:space="preserve">indicates that </w:t>
      </w:r>
      <w:r w:rsidR="00BF0DEE" w:rsidRPr="00BF0DEE">
        <w:rPr>
          <w:rFonts w:cs="Times New Roman"/>
          <w:b w:val="0"/>
          <w:szCs w:val="24"/>
        </w:rPr>
        <w:t xml:space="preserve">Vickers hardness </w:t>
      </w:r>
      <w:r w:rsidR="008E37C1" w:rsidRPr="00BF0DEE">
        <w:rPr>
          <w:rFonts w:cs="Times New Roman"/>
          <w:b w:val="0"/>
          <w:szCs w:val="24"/>
        </w:rPr>
        <w:t xml:space="preserve">of </w:t>
      </w:r>
      <w:r w:rsidR="00BF0DEE" w:rsidRPr="00BF0DEE">
        <w:rPr>
          <w:rFonts w:cs="Times New Roman"/>
          <w:b w:val="0"/>
          <w:szCs w:val="24"/>
        </w:rPr>
        <w:t xml:space="preserve">boroaluminosilicate are higher </w:t>
      </w:r>
      <w:r w:rsidR="008E37C1" w:rsidRPr="00BF0DEE">
        <w:rPr>
          <w:rFonts w:cs="Times New Roman"/>
          <w:b w:val="0"/>
          <w:szCs w:val="24"/>
        </w:rPr>
        <w:t xml:space="preserve">to those </w:t>
      </w:r>
      <w:r w:rsidR="00BF0DEE" w:rsidRPr="00BF0DEE">
        <w:rPr>
          <w:rFonts w:cs="Times New Roman"/>
          <w:b w:val="0"/>
          <w:szCs w:val="24"/>
        </w:rPr>
        <w:t>other</w:t>
      </w:r>
      <w:r w:rsidR="008E37C1" w:rsidRPr="00BF0DEE">
        <w:rPr>
          <w:rFonts w:cs="Times New Roman"/>
          <w:b w:val="0"/>
          <w:szCs w:val="24"/>
        </w:rPr>
        <w:t xml:space="preserve"> glasses</w:t>
      </w:r>
      <w:r w:rsidR="008F0B12">
        <w:rPr>
          <w:rFonts w:cs="Times New Roman"/>
          <w:b w:val="0"/>
          <w:szCs w:val="24"/>
        </w:rPr>
        <w:t xml:space="preserve">. </w:t>
      </w:r>
      <w:r w:rsidR="00BF0DEE" w:rsidRPr="008F0B12">
        <w:rPr>
          <w:rFonts w:cs="Times New Roman"/>
          <w:b w:val="0"/>
          <w:szCs w:val="24"/>
        </w:rPr>
        <w:t>Hardness and modulus (</w:t>
      </w:r>
      <w:r w:rsidR="00BF0DEE" w:rsidRPr="008F0B12">
        <w:rPr>
          <w:rFonts w:cs="Times New Roman"/>
          <w:b w:val="0"/>
          <w:i/>
          <w:szCs w:val="24"/>
        </w:rPr>
        <w:t>E</w:t>
      </w:r>
      <w:r w:rsidR="00BF0DEE" w:rsidRPr="008F0B12">
        <w:rPr>
          <w:rFonts w:cs="Times New Roman"/>
          <w:b w:val="0"/>
          <w:szCs w:val="24"/>
        </w:rPr>
        <w:t xml:space="preserve">, </w:t>
      </w:r>
      <w:r w:rsidR="00BF0DEE" w:rsidRPr="008F0B12">
        <w:rPr>
          <w:rFonts w:cs="Times New Roman"/>
          <w:b w:val="0"/>
          <w:i/>
          <w:szCs w:val="24"/>
        </w:rPr>
        <w:t>G</w:t>
      </w:r>
      <w:r w:rsidR="00BF0DEE" w:rsidRPr="008F0B12">
        <w:rPr>
          <w:rFonts w:cs="Times New Roman"/>
          <w:b w:val="0"/>
          <w:szCs w:val="24"/>
        </w:rPr>
        <w:t xml:space="preserve"> or </w:t>
      </w:r>
      <w:r w:rsidR="00BF0DEE" w:rsidRPr="008F0B12">
        <w:rPr>
          <w:rFonts w:cs="Times New Roman"/>
          <w:b w:val="0"/>
          <w:i/>
          <w:szCs w:val="24"/>
        </w:rPr>
        <w:t>K</w:t>
      </w:r>
      <w:r w:rsidR="00BF0DEE" w:rsidRPr="008F0B12">
        <w:rPr>
          <w:rFonts w:cs="Times New Roman"/>
          <w:b w:val="0"/>
          <w:szCs w:val="24"/>
        </w:rPr>
        <w:t>) of aluminosilicate glasses are similar to those of soda-lime-silica glasses. Fracture toughness may be similar to, or higher than, that of soda-lime-silica glasses</w:t>
      </w:r>
      <w:r w:rsidR="008F0B12">
        <w:rPr>
          <w:rFonts w:cs="Times New Roman"/>
          <w:b w:val="0"/>
          <w:szCs w:val="24"/>
        </w:rPr>
        <w:t>.</w:t>
      </w:r>
    </w:p>
    <w:p w14:paraId="11876BBE" w14:textId="4705ABD3" w:rsidR="0064576E" w:rsidRPr="000E2377" w:rsidRDefault="00072CB2" w:rsidP="00B56F74">
      <w:pPr>
        <w:pStyle w:val="Caption"/>
        <w:rPr>
          <w:rFonts w:asciiTheme="majorBidi" w:hAnsiTheme="majorBidi" w:cstheme="majorBidi"/>
          <w:b w:val="0"/>
          <w:color w:val="000000" w:themeColor="text1"/>
          <w:szCs w:val="24"/>
        </w:rPr>
      </w:pPr>
      <w:bookmarkStart w:id="137" w:name="_Toc525225324"/>
      <w:bookmarkStart w:id="138" w:name="_Toc525706420"/>
      <w:bookmarkStart w:id="139" w:name="_Toc521483063"/>
      <w:bookmarkStart w:id="140" w:name="_Hlk515393720"/>
      <w:r w:rsidRPr="000E2377">
        <w:t xml:space="preserve">Table </w:t>
      </w:r>
      <w:r w:rsidR="00DE32A9">
        <w:t>2</w:t>
      </w:r>
      <w:r w:rsidRPr="000E2377">
        <w:t>.</w:t>
      </w:r>
      <w:r w:rsidR="009F55F3" w:rsidRPr="00AC7671">
        <w:t>3</w:t>
      </w:r>
      <w:r w:rsidR="0064576E" w:rsidRPr="00AC7671">
        <w:rPr>
          <w:rFonts w:asciiTheme="majorBidi" w:hAnsiTheme="majorBidi" w:cstheme="majorBidi"/>
          <w:color w:val="000000" w:themeColor="text1"/>
          <w:szCs w:val="24"/>
        </w:rPr>
        <w:t>: Summar</w:t>
      </w:r>
      <w:r w:rsidR="005C7D71" w:rsidRPr="00AC7671">
        <w:rPr>
          <w:rFonts w:asciiTheme="majorBidi" w:hAnsiTheme="majorBidi" w:cstheme="majorBidi"/>
          <w:color w:val="000000" w:themeColor="text1"/>
          <w:szCs w:val="24"/>
        </w:rPr>
        <w:t>y</w:t>
      </w:r>
      <w:r w:rsidR="0064576E" w:rsidRPr="00AC7671">
        <w:rPr>
          <w:rFonts w:asciiTheme="majorBidi" w:hAnsiTheme="majorBidi" w:cstheme="majorBidi"/>
          <w:color w:val="000000" w:themeColor="text1"/>
          <w:szCs w:val="24"/>
        </w:rPr>
        <w:t xml:space="preserve"> of </w:t>
      </w:r>
      <w:r w:rsidR="005C7D71" w:rsidRPr="00AC7671">
        <w:rPr>
          <w:rFonts w:asciiTheme="majorBidi" w:hAnsiTheme="majorBidi" w:cstheme="majorBidi"/>
          <w:color w:val="000000" w:themeColor="text1"/>
          <w:szCs w:val="24"/>
        </w:rPr>
        <w:t xml:space="preserve">the mechanical properties of </w:t>
      </w:r>
      <w:r w:rsidR="0064576E" w:rsidRPr="00AC7671">
        <w:rPr>
          <w:rFonts w:asciiTheme="majorBidi" w:hAnsiTheme="majorBidi" w:cstheme="majorBidi"/>
          <w:color w:val="000000" w:themeColor="text1"/>
          <w:szCs w:val="24"/>
        </w:rPr>
        <w:t>different types of glass</w:t>
      </w:r>
      <w:r w:rsidR="008C29E4" w:rsidRPr="00AC7671">
        <w:rPr>
          <w:rFonts w:asciiTheme="majorBidi" w:hAnsiTheme="majorBidi" w:cstheme="majorBidi"/>
          <w:color w:val="000000" w:themeColor="text1"/>
          <w:szCs w:val="24"/>
        </w:rPr>
        <w:t>.</w:t>
      </w:r>
      <w:bookmarkEnd w:id="137"/>
      <w:bookmarkEnd w:id="138"/>
      <w:r w:rsidR="0064576E" w:rsidRPr="000E2377">
        <w:rPr>
          <w:rFonts w:asciiTheme="majorBidi" w:hAnsiTheme="majorBidi" w:cstheme="majorBidi"/>
          <w:b w:val="0"/>
          <w:color w:val="000000" w:themeColor="text1"/>
          <w:szCs w:val="24"/>
        </w:rPr>
        <w:t xml:space="preserve"> </w:t>
      </w:r>
      <w:bookmarkEnd w:id="139"/>
    </w:p>
    <w:tbl>
      <w:tblPr>
        <w:tblW w:w="9356" w:type="dxa"/>
        <w:jc w:val="center"/>
        <w:tblLook w:val="04A0" w:firstRow="1" w:lastRow="0" w:firstColumn="1" w:lastColumn="0" w:noHBand="0" w:noVBand="1"/>
      </w:tblPr>
      <w:tblGrid>
        <w:gridCol w:w="1916"/>
        <w:gridCol w:w="865"/>
        <w:gridCol w:w="54"/>
        <w:gridCol w:w="890"/>
        <w:gridCol w:w="821"/>
        <w:gridCol w:w="821"/>
        <w:gridCol w:w="839"/>
        <w:gridCol w:w="1307"/>
        <w:gridCol w:w="1843"/>
      </w:tblGrid>
      <w:tr w:rsidR="0061788E" w:rsidRPr="000E2377" w14:paraId="5EAE6351" w14:textId="77777777" w:rsidTr="003D5110">
        <w:trPr>
          <w:trHeight w:val="872"/>
          <w:jc w:val="center"/>
        </w:trPr>
        <w:tc>
          <w:tcPr>
            <w:tcW w:w="1916" w:type="dxa"/>
            <w:vMerge w:val="restart"/>
            <w:tcBorders>
              <w:top w:val="single" w:sz="4" w:space="0" w:color="auto"/>
              <w:left w:val="nil"/>
              <w:bottom w:val="single" w:sz="4" w:space="0" w:color="000000"/>
              <w:right w:val="nil"/>
            </w:tcBorders>
            <w:shd w:val="clear" w:color="auto" w:fill="auto"/>
            <w:vAlign w:val="center"/>
            <w:hideMark/>
          </w:tcPr>
          <w:bookmarkEnd w:id="140"/>
          <w:p w14:paraId="6D39F8EC" w14:textId="77777777" w:rsidR="006D1C2C" w:rsidRPr="000E2377" w:rsidRDefault="006D1C2C" w:rsidP="00F913BE">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Types of glass</w:t>
            </w:r>
          </w:p>
        </w:tc>
        <w:tc>
          <w:tcPr>
            <w:tcW w:w="865" w:type="dxa"/>
            <w:tcBorders>
              <w:top w:val="single" w:sz="4" w:space="0" w:color="auto"/>
              <w:left w:val="nil"/>
              <w:bottom w:val="single" w:sz="4" w:space="0" w:color="000000"/>
              <w:right w:val="nil"/>
            </w:tcBorders>
            <w:shd w:val="clear" w:color="auto" w:fill="auto"/>
            <w:vAlign w:val="center"/>
            <w:hideMark/>
          </w:tcPr>
          <w:p w14:paraId="640F6620" w14:textId="77777777" w:rsidR="006D1C2C" w:rsidRPr="000E2377" w:rsidRDefault="006D1C2C" w:rsidP="00F913BE">
            <w:pPr>
              <w:spacing w:after="0" w:line="360" w:lineRule="auto"/>
              <w:jc w:val="center"/>
              <w:rPr>
                <w:rFonts w:eastAsia="Times New Roman" w:cs="Times New Roman"/>
                <w:b w:val="0"/>
                <w:color w:val="000000"/>
                <w:sz w:val="16"/>
                <w:szCs w:val="16"/>
                <w:lang w:eastAsia="en-MY"/>
              </w:rPr>
            </w:pPr>
            <w:proofErr w:type="spellStart"/>
            <w:r w:rsidRPr="000E2377">
              <w:rPr>
                <w:rFonts w:eastAsia="Times New Roman" w:cs="Times New Roman"/>
                <w:b w:val="0"/>
                <w:color w:val="000000"/>
                <w:sz w:val="16"/>
                <w:szCs w:val="16"/>
                <w:lang w:eastAsia="en-MY"/>
              </w:rPr>
              <w:t>Vicker's</w:t>
            </w:r>
            <w:proofErr w:type="spellEnd"/>
            <w:r w:rsidRPr="000E2377">
              <w:rPr>
                <w:rFonts w:eastAsia="Times New Roman" w:cs="Times New Roman"/>
                <w:b w:val="0"/>
                <w:color w:val="000000"/>
                <w:sz w:val="16"/>
                <w:szCs w:val="16"/>
                <w:lang w:eastAsia="en-MY"/>
              </w:rPr>
              <w:t xml:space="preserve"> Hardness</w:t>
            </w:r>
          </w:p>
        </w:tc>
        <w:tc>
          <w:tcPr>
            <w:tcW w:w="944" w:type="dxa"/>
            <w:gridSpan w:val="2"/>
            <w:tcBorders>
              <w:top w:val="single" w:sz="4" w:space="0" w:color="auto"/>
              <w:left w:val="nil"/>
              <w:bottom w:val="single" w:sz="4" w:space="0" w:color="000000"/>
              <w:right w:val="nil"/>
            </w:tcBorders>
            <w:shd w:val="clear" w:color="auto" w:fill="auto"/>
            <w:vAlign w:val="center"/>
            <w:hideMark/>
          </w:tcPr>
          <w:p w14:paraId="3DCDC526" w14:textId="77777777" w:rsidR="006D1C2C" w:rsidRPr="000E2377" w:rsidRDefault="006D1C2C" w:rsidP="00F913BE">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Young's modulus</w:t>
            </w:r>
          </w:p>
        </w:tc>
        <w:tc>
          <w:tcPr>
            <w:tcW w:w="821" w:type="dxa"/>
            <w:tcBorders>
              <w:top w:val="single" w:sz="4" w:space="0" w:color="auto"/>
              <w:left w:val="nil"/>
              <w:bottom w:val="single" w:sz="4" w:space="0" w:color="000000"/>
              <w:right w:val="nil"/>
            </w:tcBorders>
            <w:shd w:val="clear" w:color="auto" w:fill="auto"/>
            <w:vAlign w:val="center"/>
            <w:hideMark/>
          </w:tcPr>
          <w:p w14:paraId="1A110F62" w14:textId="77777777" w:rsidR="006D1C2C" w:rsidRPr="000E2377" w:rsidRDefault="006D1C2C" w:rsidP="00F913BE">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Bulk Modulus</w:t>
            </w:r>
          </w:p>
        </w:tc>
        <w:tc>
          <w:tcPr>
            <w:tcW w:w="821" w:type="dxa"/>
            <w:tcBorders>
              <w:top w:val="single" w:sz="4" w:space="0" w:color="auto"/>
              <w:left w:val="nil"/>
              <w:bottom w:val="single" w:sz="4" w:space="0" w:color="000000"/>
              <w:right w:val="nil"/>
            </w:tcBorders>
            <w:shd w:val="clear" w:color="auto" w:fill="auto"/>
            <w:vAlign w:val="center"/>
            <w:hideMark/>
          </w:tcPr>
          <w:p w14:paraId="1B87EE82" w14:textId="77777777" w:rsidR="006D1C2C" w:rsidRPr="000E2377" w:rsidRDefault="006D1C2C" w:rsidP="00F913BE">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Shear Modulus</w:t>
            </w:r>
          </w:p>
        </w:tc>
        <w:tc>
          <w:tcPr>
            <w:tcW w:w="839" w:type="dxa"/>
            <w:tcBorders>
              <w:top w:val="single" w:sz="4" w:space="0" w:color="auto"/>
              <w:left w:val="nil"/>
              <w:bottom w:val="single" w:sz="4" w:space="0" w:color="000000"/>
              <w:right w:val="nil"/>
            </w:tcBorders>
            <w:shd w:val="clear" w:color="auto" w:fill="auto"/>
            <w:vAlign w:val="center"/>
            <w:hideMark/>
          </w:tcPr>
          <w:p w14:paraId="48D5A4C7" w14:textId="77777777" w:rsidR="006D1C2C" w:rsidRPr="000E2377" w:rsidRDefault="006D1C2C" w:rsidP="00F913BE">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Poisson's ratio</w:t>
            </w:r>
          </w:p>
        </w:tc>
        <w:tc>
          <w:tcPr>
            <w:tcW w:w="1307" w:type="dxa"/>
            <w:tcBorders>
              <w:top w:val="single" w:sz="4" w:space="0" w:color="auto"/>
              <w:left w:val="nil"/>
              <w:bottom w:val="single" w:sz="4" w:space="0" w:color="000000"/>
              <w:right w:val="nil"/>
            </w:tcBorders>
            <w:shd w:val="clear" w:color="auto" w:fill="auto"/>
            <w:vAlign w:val="center"/>
            <w:hideMark/>
          </w:tcPr>
          <w:p w14:paraId="471F3EEF" w14:textId="77777777" w:rsidR="006D1C2C" w:rsidRPr="000E2377" w:rsidRDefault="006D1C2C" w:rsidP="00F913BE">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Indentation Fracture toughness</w:t>
            </w:r>
          </w:p>
        </w:tc>
        <w:tc>
          <w:tcPr>
            <w:tcW w:w="1843" w:type="dxa"/>
            <w:vMerge w:val="restart"/>
            <w:tcBorders>
              <w:top w:val="single" w:sz="4" w:space="0" w:color="auto"/>
              <w:left w:val="nil"/>
              <w:bottom w:val="nil"/>
              <w:right w:val="nil"/>
            </w:tcBorders>
            <w:shd w:val="clear" w:color="auto" w:fill="auto"/>
            <w:vAlign w:val="center"/>
          </w:tcPr>
          <w:p w14:paraId="14BE2C18" w14:textId="5C65EAB7" w:rsidR="006D1C2C" w:rsidRPr="000E2377" w:rsidRDefault="006D1C2C"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Reference</w:t>
            </w:r>
          </w:p>
        </w:tc>
      </w:tr>
      <w:tr w:rsidR="0061788E" w:rsidRPr="000E2377" w14:paraId="113BC269" w14:textId="77777777" w:rsidTr="003D5110">
        <w:trPr>
          <w:trHeight w:val="315"/>
          <w:jc w:val="center"/>
        </w:trPr>
        <w:tc>
          <w:tcPr>
            <w:tcW w:w="1916" w:type="dxa"/>
            <w:vMerge/>
            <w:tcBorders>
              <w:top w:val="single" w:sz="4" w:space="0" w:color="auto"/>
              <w:left w:val="nil"/>
              <w:bottom w:val="single" w:sz="4" w:space="0" w:color="000000"/>
              <w:right w:val="nil"/>
            </w:tcBorders>
            <w:vAlign w:val="center"/>
            <w:hideMark/>
          </w:tcPr>
          <w:p w14:paraId="077F0D5A" w14:textId="77777777" w:rsidR="006D1C2C" w:rsidRPr="000E2377" w:rsidRDefault="006D1C2C" w:rsidP="00F913BE">
            <w:pPr>
              <w:spacing w:after="0" w:line="360" w:lineRule="auto"/>
              <w:rPr>
                <w:rFonts w:eastAsia="Times New Roman" w:cs="Times New Roman"/>
                <w:b w:val="0"/>
                <w:color w:val="000000"/>
                <w:sz w:val="20"/>
                <w:szCs w:val="20"/>
                <w:lang w:eastAsia="en-MY"/>
              </w:rPr>
            </w:pPr>
          </w:p>
        </w:tc>
        <w:tc>
          <w:tcPr>
            <w:tcW w:w="919" w:type="dxa"/>
            <w:gridSpan w:val="2"/>
            <w:tcBorders>
              <w:top w:val="nil"/>
              <w:left w:val="nil"/>
              <w:bottom w:val="single" w:sz="4" w:space="0" w:color="auto"/>
              <w:right w:val="nil"/>
            </w:tcBorders>
            <w:shd w:val="clear" w:color="auto" w:fill="auto"/>
            <w:noWrap/>
            <w:vAlign w:val="center"/>
            <w:hideMark/>
          </w:tcPr>
          <w:p w14:paraId="302FF5E9" w14:textId="77777777" w:rsidR="006D1C2C" w:rsidRPr="000E2377" w:rsidRDefault="006D1C2C" w:rsidP="00F913BE">
            <w:pPr>
              <w:spacing w:after="0" w:line="360" w:lineRule="auto"/>
              <w:jc w:val="center"/>
              <w:rPr>
                <w:rFonts w:eastAsia="Times New Roman" w:cs="Times New Roman"/>
                <w:b w:val="0"/>
                <w:color w:val="000000"/>
                <w:sz w:val="16"/>
                <w:szCs w:val="16"/>
                <w:lang w:eastAsia="en-MY"/>
              </w:rPr>
            </w:pPr>
            <w:proofErr w:type="spellStart"/>
            <w:r w:rsidRPr="000E2377">
              <w:rPr>
                <w:rFonts w:eastAsia="Times New Roman" w:cs="Times New Roman"/>
                <w:b w:val="0"/>
                <w:color w:val="000000"/>
                <w:sz w:val="16"/>
                <w:szCs w:val="16"/>
                <w:lang w:eastAsia="en-MY"/>
              </w:rPr>
              <w:t>Hv</w:t>
            </w:r>
            <w:proofErr w:type="spellEnd"/>
            <w:r w:rsidRPr="000E2377">
              <w:rPr>
                <w:rFonts w:eastAsia="Times New Roman" w:cs="Times New Roman"/>
                <w:b w:val="0"/>
                <w:color w:val="000000"/>
                <w:sz w:val="16"/>
                <w:szCs w:val="16"/>
                <w:lang w:eastAsia="en-MY"/>
              </w:rPr>
              <w:t xml:space="preserve"> (</w:t>
            </w:r>
            <w:proofErr w:type="spellStart"/>
            <w:r w:rsidRPr="000E2377">
              <w:rPr>
                <w:rFonts w:eastAsia="Times New Roman" w:cs="Times New Roman"/>
                <w:b w:val="0"/>
                <w:color w:val="000000"/>
                <w:sz w:val="16"/>
                <w:szCs w:val="16"/>
                <w:lang w:eastAsia="en-MY"/>
              </w:rPr>
              <w:t>GPa</w:t>
            </w:r>
            <w:proofErr w:type="spellEnd"/>
            <w:r w:rsidRPr="000E2377">
              <w:rPr>
                <w:rFonts w:eastAsia="Times New Roman" w:cs="Times New Roman"/>
                <w:b w:val="0"/>
                <w:color w:val="000000"/>
                <w:sz w:val="16"/>
                <w:szCs w:val="16"/>
                <w:lang w:eastAsia="en-MY"/>
              </w:rPr>
              <w:t>)</w:t>
            </w:r>
          </w:p>
        </w:tc>
        <w:tc>
          <w:tcPr>
            <w:tcW w:w="890" w:type="dxa"/>
            <w:tcBorders>
              <w:top w:val="nil"/>
              <w:left w:val="nil"/>
              <w:bottom w:val="single" w:sz="4" w:space="0" w:color="auto"/>
              <w:right w:val="nil"/>
            </w:tcBorders>
            <w:shd w:val="clear" w:color="auto" w:fill="auto"/>
            <w:noWrap/>
            <w:vAlign w:val="center"/>
            <w:hideMark/>
          </w:tcPr>
          <w:p w14:paraId="3AF9B8AC" w14:textId="77777777" w:rsidR="006D1C2C" w:rsidRPr="000E2377" w:rsidRDefault="006D1C2C" w:rsidP="00F913BE">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E (</w:t>
            </w:r>
            <w:proofErr w:type="spellStart"/>
            <w:r w:rsidRPr="000E2377">
              <w:rPr>
                <w:rFonts w:eastAsia="Times New Roman" w:cs="Times New Roman"/>
                <w:b w:val="0"/>
                <w:color w:val="000000"/>
                <w:sz w:val="16"/>
                <w:szCs w:val="16"/>
                <w:lang w:eastAsia="en-MY"/>
              </w:rPr>
              <w:t>GPa</w:t>
            </w:r>
            <w:proofErr w:type="spellEnd"/>
            <w:r w:rsidRPr="000E2377">
              <w:rPr>
                <w:rFonts w:eastAsia="Times New Roman" w:cs="Times New Roman"/>
                <w:b w:val="0"/>
                <w:color w:val="000000"/>
                <w:sz w:val="16"/>
                <w:szCs w:val="16"/>
                <w:lang w:eastAsia="en-MY"/>
              </w:rPr>
              <w:t>)</w:t>
            </w:r>
          </w:p>
        </w:tc>
        <w:tc>
          <w:tcPr>
            <w:tcW w:w="821" w:type="dxa"/>
            <w:tcBorders>
              <w:top w:val="nil"/>
              <w:left w:val="nil"/>
              <w:bottom w:val="single" w:sz="4" w:space="0" w:color="auto"/>
              <w:right w:val="nil"/>
            </w:tcBorders>
            <w:shd w:val="clear" w:color="auto" w:fill="auto"/>
            <w:noWrap/>
            <w:vAlign w:val="center"/>
            <w:hideMark/>
          </w:tcPr>
          <w:p w14:paraId="192E6DD6" w14:textId="77777777" w:rsidR="006D1C2C" w:rsidRPr="000E2377" w:rsidRDefault="006D1C2C" w:rsidP="00F913BE">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K (</w:t>
            </w:r>
            <w:proofErr w:type="spellStart"/>
            <w:r w:rsidRPr="000E2377">
              <w:rPr>
                <w:rFonts w:eastAsia="Times New Roman" w:cs="Times New Roman"/>
                <w:b w:val="0"/>
                <w:color w:val="000000"/>
                <w:sz w:val="16"/>
                <w:szCs w:val="16"/>
                <w:lang w:eastAsia="en-MY"/>
              </w:rPr>
              <w:t>GPa</w:t>
            </w:r>
            <w:proofErr w:type="spellEnd"/>
            <w:r w:rsidRPr="000E2377">
              <w:rPr>
                <w:rFonts w:eastAsia="Times New Roman" w:cs="Times New Roman"/>
                <w:b w:val="0"/>
                <w:color w:val="000000"/>
                <w:sz w:val="16"/>
                <w:szCs w:val="16"/>
                <w:lang w:eastAsia="en-MY"/>
              </w:rPr>
              <w:t>)</w:t>
            </w:r>
          </w:p>
        </w:tc>
        <w:tc>
          <w:tcPr>
            <w:tcW w:w="821" w:type="dxa"/>
            <w:tcBorders>
              <w:top w:val="nil"/>
              <w:left w:val="nil"/>
              <w:bottom w:val="single" w:sz="4" w:space="0" w:color="auto"/>
              <w:right w:val="nil"/>
            </w:tcBorders>
            <w:shd w:val="clear" w:color="auto" w:fill="auto"/>
            <w:noWrap/>
            <w:vAlign w:val="center"/>
            <w:hideMark/>
          </w:tcPr>
          <w:p w14:paraId="25386BEF" w14:textId="77777777" w:rsidR="006D1C2C" w:rsidRPr="000E2377" w:rsidRDefault="006D1C2C" w:rsidP="00F913BE">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G (</w:t>
            </w:r>
            <w:proofErr w:type="spellStart"/>
            <w:r w:rsidRPr="000E2377">
              <w:rPr>
                <w:rFonts w:eastAsia="Times New Roman" w:cs="Times New Roman"/>
                <w:b w:val="0"/>
                <w:color w:val="000000"/>
                <w:sz w:val="16"/>
                <w:szCs w:val="16"/>
                <w:lang w:eastAsia="en-MY"/>
              </w:rPr>
              <w:t>GPa</w:t>
            </w:r>
            <w:proofErr w:type="spellEnd"/>
            <w:r w:rsidRPr="000E2377">
              <w:rPr>
                <w:rFonts w:eastAsia="Times New Roman" w:cs="Times New Roman"/>
                <w:b w:val="0"/>
                <w:color w:val="000000"/>
                <w:sz w:val="16"/>
                <w:szCs w:val="16"/>
                <w:lang w:eastAsia="en-MY"/>
              </w:rPr>
              <w:t xml:space="preserve">) </w:t>
            </w:r>
          </w:p>
        </w:tc>
        <w:tc>
          <w:tcPr>
            <w:tcW w:w="839" w:type="dxa"/>
            <w:tcBorders>
              <w:top w:val="nil"/>
              <w:left w:val="nil"/>
              <w:bottom w:val="single" w:sz="4" w:space="0" w:color="auto"/>
              <w:right w:val="nil"/>
            </w:tcBorders>
            <w:shd w:val="clear" w:color="auto" w:fill="auto"/>
            <w:noWrap/>
            <w:vAlign w:val="center"/>
            <w:hideMark/>
          </w:tcPr>
          <w:p w14:paraId="0091645A" w14:textId="77777777" w:rsidR="006D1C2C" w:rsidRPr="000E2377" w:rsidRDefault="006D1C2C" w:rsidP="00F913BE">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v</w:t>
            </w:r>
          </w:p>
        </w:tc>
        <w:tc>
          <w:tcPr>
            <w:tcW w:w="1307" w:type="dxa"/>
            <w:tcBorders>
              <w:top w:val="nil"/>
              <w:left w:val="nil"/>
              <w:bottom w:val="single" w:sz="4" w:space="0" w:color="auto"/>
              <w:right w:val="nil"/>
            </w:tcBorders>
            <w:shd w:val="clear" w:color="auto" w:fill="auto"/>
            <w:noWrap/>
            <w:vAlign w:val="center"/>
            <w:hideMark/>
          </w:tcPr>
          <w:p w14:paraId="64C390D5" w14:textId="77777777" w:rsidR="006D1C2C" w:rsidRPr="000E2377" w:rsidRDefault="006D1C2C" w:rsidP="00F913BE">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K</w:t>
            </w:r>
            <w:r w:rsidRPr="000E2377">
              <w:rPr>
                <w:rFonts w:eastAsia="Times New Roman" w:cs="Times New Roman"/>
                <w:b w:val="0"/>
                <w:i/>
                <w:iCs/>
                <w:color w:val="000000"/>
                <w:sz w:val="16"/>
                <w:szCs w:val="16"/>
                <w:vertAlign w:val="subscript"/>
                <w:lang w:eastAsia="en-MY"/>
              </w:rPr>
              <w:t>IC</w:t>
            </w:r>
            <w:r w:rsidRPr="000E2377">
              <w:rPr>
                <w:rFonts w:eastAsia="Times New Roman" w:cs="Times New Roman"/>
                <w:b w:val="0"/>
                <w:color w:val="000000"/>
                <w:sz w:val="16"/>
                <w:szCs w:val="16"/>
                <w:lang w:eastAsia="en-MY"/>
              </w:rPr>
              <w:t xml:space="preserve"> (MN m</w:t>
            </w:r>
            <w:r w:rsidRPr="000E2377">
              <w:rPr>
                <w:rFonts w:eastAsia="Times New Roman" w:cs="Times New Roman"/>
                <w:b w:val="0"/>
                <w:color w:val="000000"/>
                <w:sz w:val="16"/>
                <w:szCs w:val="16"/>
                <w:vertAlign w:val="superscript"/>
                <w:lang w:eastAsia="en-MY"/>
              </w:rPr>
              <w:t>-3/2</w:t>
            </w:r>
            <w:r w:rsidRPr="000E2377">
              <w:rPr>
                <w:rFonts w:eastAsia="Times New Roman" w:cs="Times New Roman"/>
                <w:b w:val="0"/>
                <w:color w:val="000000"/>
                <w:sz w:val="16"/>
                <w:szCs w:val="16"/>
                <w:lang w:eastAsia="en-MY"/>
              </w:rPr>
              <w:t>)</w:t>
            </w:r>
          </w:p>
        </w:tc>
        <w:tc>
          <w:tcPr>
            <w:tcW w:w="1843" w:type="dxa"/>
            <w:vMerge/>
            <w:tcBorders>
              <w:left w:val="nil"/>
              <w:bottom w:val="single" w:sz="4" w:space="0" w:color="auto"/>
              <w:right w:val="nil"/>
            </w:tcBorders>
            <w:shd w:val="clear" w:color="auto" w:fill="auto"/>
            <w:noWrap/>
            <w:vAlign w:val="center"/>
          </w:tcPr>
          <w:p w14:paraId="3D9827CD" w14:textId="6FBAB1B8" w:rsidR="006D1C2C" w:rsidRPr="000E2377" w:rsidRDefault="006D1C2C" w:rsidP="00F913BE">
            <w:pPr>
              <w:spacing w:after="0" w:line="360" w:lineRule="auto"/>
              <w:jc w:val="center"/>
              <w:rPr>
                <w:rFonts w:eastAsia="Times New Roman" w:cs="Times New Roman"/>
                <w:b w:val="0"/>
                <w:color w:val="000000"/>
                <w:sz w:val="16"/>
                <w:szCs w:val="16"/>
                <w:lang w:eastAsia="en-MY"/>
              </w:rPr>
            </w:pPr>
          </w:p>
        </w:tc>
      </w:tr>
      <w:tr w:rsidR="00093B0E" w:rsidRPr="000E2377" w14:paraId="219D96D2" w14:textId="77777777" w:rsidTr="003D5110">
        <w:trPr>
          <w:trHeight w:val="300"/>
          <w:jc w:val="center"/>
        </w:trPr>
        <w:tc>
          <w:tcPr>
            <w:tcW w:w="1916" w:type="dxa"/>
            <w:tcBorders>
              <w:top w:val="nil"/>
              <w:left w:val="nil"/>
              <w:bottom w:val="nil"/>
              <w:right w:val="nil"/>
            </w:tcBorders>
            <w:shd w:val="clear" w:color="auto" w:fill="auto"/>
            <w:noWrap/>
            <w:vAlign w:val="center"/>
          </w:tcPr>
          <w:p w14:paraId="40132E92" w14:textId="591AEB06" w:rsidR="00093B0E" w:rsidRPr="000E2377" w:rsidRDefault="00093B0E" w:rsidP="00F913BE">
            <w:pPr>
              <w:spacing w:after="0" w:line="360" w:lineRule="auto"/>
              <w:rPr>
                <w:rFonts w:eastAsia="Times New Roman" w:cs="Times New Roman"/>
                <w:b w:val="0"/>
                <w:color w:val="000000"/>
                <w:sz w:val="20"/>
                <w:szCs w:val="20"/>
                <w:lang w:eastAsia="en-MY"/>
              </w:rPr>
            </w:pPr>
            <w:r>
              <w:rPr>
                <w:rFonts w:eastAsia="Times New Roman" w:cs="Times New Roman"/>
                <w:b w:val="0"/>
                <w:color w:val="000000"/>
                <w:sz w:val="20"/>
                <w:szCs w:val="20"/>
                <w:lang w:eastAsia="en-MY"/>
              </w:rPr>
              <w:t>Vitreous silica</w:t>
            </w:r>
          </w:p>
        </w:tc>
        <w:tc>
          <w:tcPr>
            <w:tcW w:w="919" w:type="dxa"/>
            <w:gridSpan w:val="2"/>
            <w:tcBorders>
              <w:top w:val="nil"/>
              <w:left w:val="nil"/>
              <w:bottom w:val="nil"/>
              <w:right w:val="nil"/>
            </w:tcBorders>
            <w:shd w:val="clear" w:color="auto" w:fill="auto"/>
            <w:noWrap/>
            <w:vAlign w:val="center"/>
          </w:tcPr>
          <w:p w14:paraId="3AEE6005" w14:textId="5BF70861" w:rsidR="00093B0E" w:rsidRDefault="002B1BA8"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6.2</w:t>
            </w:r>
          </w:p>
        </w:tc>
        <w:tc>
          <w:tcPr>
            <w:tcW w:w="890" w:type="dxa"/>
            <w:tcBorders>
              <w:top w:val="nil"/>
              <w:left w:val="nil"/>
              <w:bottom w:val="nil"/>
              <w:right w:val="nil"/>
            </w:tcBorders>
            <w:shd w:val="clear" w:color="auto" w:fill="auto"/>
            <w:noWrap/>
            <w:vAlign w:val="center"/>
          </w:tcPr>
          <w:p w14:paraId="65E67682" w14:textId="02CA48EF" w:rsidR="00093B0E" w:rsidRDefault="002B1BA8"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70</w:t>
            </w:r>
          </w:p>
        </w:tc>
        <w:tc>
          <w:tcPr>
            <w:tcW w:w="821" w:type="dxa"/>
            <w:tcBorders>
              <w:top w:val="nil"/>
              <w:left w:val="nil"/>
              <w:bottom w:val="nil"/>
              <w:right w:val="nil"/>
            </w:tcBorders>
            <w:shd w:val="clear" w:color="auto" w:fill="auto"/>
            <w:noWrap/>
            <w:vAlign w:val="center"/>
          </w:tcPr>
          <w:p w14:paraId="555D3922" w14:textId="4BA354F3" w:rsidR="00093B0E" w:rsidRDefault="002B1BA8"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33.3</w:t>
            </w:r>
          </w:p>
        </w:tc>
        <w:tc>
          <w:tcPr>
            <w:tcW w:w="821" w:type="dxa"/>
            <w:tcBorders>
              <w:top w:val="nil"/>
              <w:left w:val="nil"/>
              <w:bottom w:val="nil"/>
              <w:right w:val="nil"/>
            </w:tcBorders>
            <w:shd w:val="clear" w:color="auto" w:fill="auto"/>
            <w:noWrap/>
            <w:vAlign w:val="center"/>
          </w:tcPr>
          <w:p w14:paraId="7465BA5F" w14:textId="153E0753" w:rsidR="00093B0E" w:rsidRDefault="002B1BA8"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30.4</w:t>
            </w:r>
          </w:p>
        </w:tc>
        <w:tc>
          <w:tcPr>
            <w:tcW w:w="839" w:type="dxa"/>
            <w:tcBorders>
              <w:top w:val="nil"/>
              <w:left w:val="nil"/>
              <w:bottom w:val="nil"/>
              <w:right w:val="nil"/>
            </w:tcBorders>
            <w:shd w:val="clear" w:color="auto" w:fill="auto"/>
            <w:noWrap/>
            <w:vAlign w:val="center"/>
          </w:tcPr>
          <w:p w14:paraId="7DABB35D" w14:textId="50FA3002" w:rsidR="00093B0E" w:rsidRDefault="002B1BA8"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0.15</w:t>
            </w:r>
          </w:p>
        </w:tc>
        <w:tc>
          <w:tcPr>
            <w:tcW w:w="1307" w:type="dxa"/>
            <w:tcBorders>
              <w:top w:val="nil"/>
              <w:left w:val="nil"/>
              <w:bottom w:val="nil"/>
              <w:right w:val="nil"/>
            </w:tcBorders>
            <w:shd w:val="clear" w:color="auto" w:fill="auto"/>
            <w:noWrap/>
            <w:vAlign w:val="center"/>
          </w:tcPr>
          <w:p w14:paraId="3F0CE382" w14:textId="0A189E89" w:rsidR="00093B0E" w:rsidRDefault="002B1BA8"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0.7</w:t>
            </w:r>
          </w:p>
        </w:tc>
        <w:tc>
          <w:tcPr>
            <w:tcW w:w="1843" w:type="dxa"/>
            <w:tcBorders>
              <w:top w:val="nil"/>
              <w:left w:val="nil"/>
              <w:bottom w:val="nil"/>
              <w:right w:val="nil"/>
            </w:tcBorders>
            <w:shd w:val="clear" w:color="auto" w:fill="auto"/>
            <w:noWrap/>
            <w:vAlign w:val="center"/>
          </w:tcPr>
          <w:p w14:paraId="6C80BB47" w14:textId="2D6783D7" w:rsidR="00093B0E" w:rsidRDefault="006B6C3C"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fldChar w:fldCharType="begin" w:fldLock="1"/>
            </w:r>
            <w:r>
              <w:rPr>
                <w:rFonts w:eastAsia="Times New Roman" w:cs="Times New Roman"/>
                <w:b w:val="0"/>
                <w:color w:val="000000"/>
                <w:sz w:val="16"/>
                <w:szCs w:val="16"/>
                <w:lang w:eastAsia="en-MY"/>
              </w:rPr>
              <w:instrText>ADDIN CSL_CITATION { "citationItems" : [ { "id" : "ITEM-1", "itemData" : { "DOI" : "10.1016/C2009-0-21785-5", "ISBN" : "9780080523767", "abstract" : "This volume is a compilation of data on the properties of glasses. The authors have critically examined and correlated the most reliable data on the properties of multicomponent commercial silicate glasses, vitreous silica, and binary and ternary laboratory glasses. Thermodynamic, thermal, mechanical, electrical, and transport properties are covered. Measurement methods and appropriate theories are also discussed.", "author" : [ { "dropping-particle" : "", "family" : "Bansal", "given" : "Narottam P.", "non-dropping-particle" : "", "parse-names" : false, "suffix" : "" }, { "dropping-particle" : "", "family" : "Doremus", "given" : "R. H.", "non-dropping-particle" : "", "parse-names" : false, "suffix" : "" } ], "container-title" : "Handbook of Glass Properties", "id" : "ITEM-1", "issued" : { "date-parts" : [ [ "2013" ] ] }, "page" : "1-680", "title" : "Handbook of Glass Properties", "type" : "article-journal" }, "uris" : [ "http://www.mendeley.com/documents/?uuid=71229538-e1bc-4106-81f6-ac56dd14959b" ] } ], "mendeley" : { "formattedCitation" : "(Bansal &amp; Doremus, 2013)", "plainTextFormattedCitation" : "(Bansal &amp; Doremus, 2013)", "previouslyFormattedCitation" : "(Bansal &amp; Doremus, 2013)" }, "properties" : { "noteIndex" : 35 }, "schema" : "https://github.com/citation-style-language/schema/raw/master/csl-citation.json" }</w:instrText>
            </w:r>
            <w:r>
              <w:rPr>
                <w:rFonts w:eastAsia="Times New Roman" w:cs="Times New Roman"/>
                <w:b w:val="0"/>
                <w:color w:val="000000"/>
                <w:sz w:val="16"/>
                <w:szCs w:val="16"/>
                <w:lang w:eastAsia="en-MY"/>
              </w:rPr>
              <w:fldChar w:fldCharType="separate"/>
            </w:r>
            <w:r w:rsidRPr="006B6C3C">
              <w:rPr>
                <w:rFonts w:eastAsia="Times New Roman" w:cs="Times New Roman"/>
                <w:b w:val="0"/>
                <w:noProof/>
                <w:color w:val="000000"/>
                <w:sz w:val="16"/>
                <w:szCs w:val="16"/>
                <w:lang w:eastAsia="en-MY"/>
              </w:rPr>
              <w:t>(Bansal &amp; Doremus, 2013)</w:t>
            </w:r>
            <w:r>
              <w:rPr>
                <w:rFonts w:eastAsia="Times New Roman" w:cs="Times New Roman"/>
                <w:b w:val="0"/>
                <w:color w:val="000000"/>
                <w:sz w:val="16"/>
                <w:szCs w:val="16"/>
                <w:lang w:eastAsia="en-MY"/>
              </w:rPr>
              <w:fldChar w:fldCharType="end"/>
            </w:r>
          </w:p>
        </w:tc>
      </w:tr>
      <w:tr w:rsidR="0061788E" w:rsidRPr="000E2377" w14:paraId="11581B84" w14:textId="77777777" w:rsidTr="003D5110">
        <w:trPr>
          <w:trHeight w:val="300"/>
          <w:jc w:val="center"/>
        </w:trPr>
        <w:tc>
          <w:tcPr>
            <w:tcW w:w="1916" w:type="dxa"/>
            <w:tcBorders>
              <w:top w:val="nil"/>
              <w:left w:val="nil"/>
              <w:bottom w:val="nil"/>
              <w:right w:val="nil"/>
            </w:tcBorders>
            <w:shd w:val="clear" w:color="auto" w:fill="auto"/>
            <w:noWrap/>
            <w:vAlign w:val="center"/>
            <w:hideMark/>
          </w:tcPr>
          <w:p w14:paraId="1A1B3C87" w14:textId="77777777" w:rsidR="00F913BE" w:rsidRPr="000E2377" w:rsidRDefault="00F913BE" w:rsidP="00F913BE">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Soda lime silicates</w:t>
            </w:r>
          </w:p>
        </w:tc>
        <w:tc>
          <w:tcPr>
            <w:tcW w:w="919" w:type="dxa"/>
            <w:gridSpan w:val="2"/>
            <w:tcBorders>
              <w:top w:val="nil"/>
              <w:left w:val="nil"/>
              <w:bottom w:val="nil"/>
              <w:right w:val="nil"/>
            </w:tcBorders>
            <w:shd w:val="clear" w:color="auto" w:fill="auto"/>
            <w:noWrap/>
            <w:vAlign w:val="center"/>
            <w:hideMark/>
          </w:tcPr>
          <w:p w14:paraId="21EDB653" w14:textId="12AB9FF1" w:rsidR="00F913BE" w:rsidRPr="000E2377" w:rsidRDefault="00075562"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5.16-5.96</w:t>
            </w:r>
          </w:p>
        </w:tc>
        <w:tc>
          <w:tcPr>
            <w:tcW w:w="890" w:type="dxa"/>
            <w:tcBorders>
              <w:top w:val="nil"/>
              <w:left w:val="nil"/>
              <w:bottom w:val="nil"/>
              <w:right w:val="nil"/>
            </w:tcBorders>
            <w:shd w:val="clear" w:color="auto" w:fill="auto"/>
            <w:noWrap/>
            <w:vAlign w:val="center"/>
            <w:hideMark/>
          </w:tcPr>
          <w:p w14:paraId="3778593B" w14:textId="49C914AF" w:rsidR="00F913BE" w:rsidRPr="000E2377" w:rsidRDefault="00E7709A"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7</w:t>
            </w:r>
            <w:r w:rsidR="00075562">
              <w:rPr>
                <w:rFonts w:eastAsia="Times New Roman" w:cs="Times New Roman"/>
                <w:b w:val="0"/>
                <w:color w:val="000000"/>
                <w:sz w:val="16"/>
                <w:szCs w:val="16"/>
                <w:lang w:eastAsia="en-MY"/>
              </w:rPr>
              <w:t>0-76</w:t>
            </w:r>
          </w:p>
        </w:tc>
        <w:tc>
          <w:tcPr>
            <w:tcW w:w="821" w:type="dxa"/>
            <w:tcBorders>
              <w:top w:val="nil"/>
              <w:left w:val="nil"/>
              <w:bottom w:val="nil"/>
              <w:right w:val="nil"/>
            </w:tcBorders>
            <w:shd w:val="clear" w:color="auto" w:fill="auto"/>
            <w:noWrap/>
            <w:vAlign w:val="center"/>
            <w:hideMark/>
          </w:tcPr>
          <w:p w14:paraId="1F04066D" w14:textId="5E8C012B" w:rsidR="00F913BE" w:rsidRPr="000E2377" w:rsidRDefault="00075562"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40-44</w:t>
            </w:r>
          </w:p>
        </w:tc>
        <w:tc>
          <w:tcPr>
            <w:tcW w:w="821" w:type="dxa"/>
            <w:tcBorders>
              <w:top w:val="nil"/>
              <w:left w:val="nil"/>
              <w:bottom w:val="nil"/>
              <w:right w:val="nil"/>
            </w:tcBorders>
            <w:shd w:val="clear" w:color="auto" w:fill="auto"/>
            <w:noWrap/>
            <w:vAlign w:val="center"/>
            <w:hideMark/>
          </w:tcPr>
          <w:p w14:paraId="78773CD7" w14:textId="0BF6E554" w:rsidR="00F913BE" w:rsidRPr="000E2377" w:rsidRDefault="00075562"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29-31</w:t>
            </w:r>
          </w:p>
        </w:tc>
        <w:tc>
          <w:tcPr>
            <w:tcW w:w="839" w:type="dxa"/>
            <w:tcBorders>
              <w:top w:val="nil"/>
              <w:left w:val="nil"/>
              <w:bottom w:val="nil"/>
              <w:right w:val="nil"/>
            </w:tcBorders>
            <w:shd w:val="clear" w:color="auto" w:fill="auto"/>
            <w:noWrap/>
            <w:vAlign w:val="center"/>
            <w:hideMark/>
          </w:tcPr>
          <w:p w14:paraId="1165FB9F" w14:textId="2D9E1353" w:rsidR="00F913BE" w:rsidRPr="000E2377" w:rsidRDefault="00075562"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0.19-</w:t>
            </w:r>
            <w:r w:rsidR="000C037C">
              <w:rPr>
                <w:rFonts w:eastAsia="Times New Roman" w:cs="Times New Roman"/>
                <w:b w:val="0"/>
                <w:color w:val="000000"/>
                <w:sz w:val="16"/>
                <w:szCs w:val="16"/>
                <w:lang w:eastAsia="en-MY"/>
              </w:rPr>
              <w:t>0.21</w:t>
            </w:r>
          </w:p>
        </w:tc>
        <w:tc>
          <w:tcPr>
            <w:tcW w:w="1307" w:type="dxa"/>
            <w:tcBorders>
              <w:top w:val="nil"/>
              <w:left w:val="nil"/>
              <w:bottom w:val="nil"/>
              <w:right w:val="nil"/>
            </w:tcBorders>
            <w:shd w:val="clear" w:color="auto" w:fill="auto"/>
            <w:noWrap/>
            <w:vAlign w:val="center"/>
            <w:hideMark/>
          </w:tcPr>
          <w:p w14:paraId="1072AB73" w14:textId="7D1DA0CF" w:rsidR="00F913BE" w:rsidRPr="000E2377" w:rsidRDefault="00E7709A"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0.</w:t>
            </w:r>
            <w:r w:rsidR="00075562">
              <w:rPr>
                <w:rFonts w:eastAsia="Times New Roman" w:cs="Times New Roman"/>
                <w:b w:val="0"/>
                <w:color w:val="000000"/>
                <w:sz w:val="16"/>
                <w:szCs w:val="16"/>
                <w:lang w:eastAsia="en-MY"/>
              </w:rPr>
              <w:t>73</w:t>
            </w:r>
            <w:r>
              <w:rPr>
                <w:rFonts w:eastAsia="Times New Roman" w:cs="Times New Roman"/>
                <w:b w:val="0"/>
                <w:color w:val="000000"/>
                <w:sz w:val="16"/>
                <w:szCs w:val="16"/>
                <w:lang w:eastAsia="en-MY"/>
              </w:rPr>
              <w:t>-</w:t>
            </w:r>
            <w:r w:rsidR="00075562">
              <w:rPr>
                <w:rFonts w:eastAsia="Times New Roman" w:cs="Times New Roman"/>
                <w:b w:val="0"/>
                <w:color w:val="000000"/>
                <w:sz w:val="16"/>
                <w:szCs w:val="16"/>
                <w:lang w:eastAsia="en-MY"/>
              </w:rPr>
              <w:t>0.89</w:t>
            </w:r>
          </w:p>
        </w:tc>
        <w:tc>
          <w:tcPr>
            <w:tcW w:w="1843" w:type="dxa"/>
            <w:tcBorders>
              <w:top w:val="nil"/>
              <w:left w:val="nil"/>
              <w:bottom w:val="nil"/>
              <w:right w:val="nil"/>
            </w:tcBorders>
            <w:shd w:val="clear" w:color="auto" w:fill="auto"/>
            <w:noWrap/>
            <w:vAlign w:val="center"/>
          </w:tcPr>
          <w:p w14:paraId="1A282675" w14:textId="0A06BF70" w:rsidR="00F913BE" w:rsidRPr="000E2377" w:rsidRDefault="00075562"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fldChar w:fldCharType="begin" w:fldLock="1"/>
            </w:r>
            <w:r>
              <w:rPr>
                <w:rFonts w:eastAsia="Times New Roman" w:cs="Times New Roman"/>
                <w:b w:val="0"/>
                <w:color w:val="000000"/>
                <w:sz w:val="16"/>
                <w:szCs w:val="16"/>
                <w:lang w:eastAsia="en-MY"/>
              </w:rPr>
              <w:instrText>ADDIN CSL_CITATION { "citationItems" : [ { "id" : "ITEM-1", "itemData" : { "DOI" : "10.1016/j.jnoncrysol.2015.08.013", "ISSN" : "00223093", "abstract" : "The effects of varying the alkaline earth oxide content of three series of soda-lime-silica glasses with the general formulae 13.5Na&lt;inf&gt;2&lt;/inf&gt;O??xMgO??10CaO??1.5Al&lt;inf&gt;2&lt;/inf&gt;O&lt;inf&gt;3&lt;/inf&gt;??(75 - x)SiO&lt;inf&gt;2&lt;/inf&gt; (mol.%) where x = 0, 1, 2, 3, 4, 5, 6, and 7; 13.5Na&lt;inf&gt;2&lt;/inf&gt;O??3MgO??(7 + y)CaO??1.5Al&lt;inf&gt;2&lt;/inf&gt;O&lt;inf&gt;3&lt;/inf&gt;??(75 - y)SiO&lt;inf&gt;2&lt;/inf&gt; (mol.%) where y = 0, 1, 2, 3, 4, 5, 6, and 7 and 13.5Na&lt;inf&gt;2&lt;/inf&gt;O??zMgO??(13 - z)CaO??1.5Al&lt;inf&gt;2&lt;/inf&gt;O&lt;inf&gt;3&lt;/inf&gt;??72SiO&lt;inf&gt;2&lt;/inf&gt; (mol.%) where z = 1, 3, 5, 7, 9, and 11 have been examined. Raman spectroscopy and nuclear magnetic resonance (NMR) spectroscopy have been used to assess network connectivity. In the first two glass series network connectivity decreases with increasing alkaline earth addition whereas in the third series connectivity tends to be greater for the more magnesia rich glasses suggesting that magnesia does have a different effect to lime on network connectivity, but only when magnesia is the dominant alkaline earth species. Fracture toughness has been measured using bend testing, which avoids many of the questions raised by the widely used indentation technique. Moduli have been assessed using acoustic means. It was found that the mechanical properties tend to decrease with increasing network connectivity for all three glass series. For the MgO-SiO&lt;inf&gt;2&lt;/inf&gt; series and CaO-SiO&lt;inf&gt;2&lt;/inf&gt; glasses increasing the alkaline earth content at the expense of the silica content resulted in increased network depolymerization, whereas for the MgO-CaO series when MgO became the dominant alkaline earth species, network depolymerization was reduced. Thus whilst MgO and CaO both act as network modifiers when more CaO than MgO is present in soda-lime-silica glasses, a difference in behaviour is seen with magnesia rich soda-magnesia-silica glasses. In contradiction to previous data no significant advantage of replacing CaO by MgO is observed. In addition it appears that the glasses with the lowest fracture toughness values may be more resilient to contact damage than those with the higher fracture toughness values.", "author" : [ { "dropping-particle" : "", "family" : "Kilinc", "given" : "Erhan", "non-dropping-particle" : "", "parse-names" : false, "suffix" : "" }, { "dropping-particle" : "", "family" : "Hand", "given" : "Russell J.", "non-dropping-particle" : "", "parse-names" : false, "suffix" : "" } ], "container-title" : "Journal of Non-Crystalline Solids", "id" : "ITEM-1", "issued" : { "date-parts" : [ [ "2015" ] ] }, "page" : "190-197", "publisher" : "Elsevier B.V.", "title" : "Mechanical properties of soda-lime-silica glasses with varying alkaline earth contents", "type" : "article-journal", "volume" : "429" }, "uris" : [ "http://www.mendeley.com/documents/?uuid=e13d0b43-c3bd-445d-9e34-20db699e6c29" ] } ], "mendeley" : { "formattedCitation" : "(Kilinc &amp; Hand, 2015)", "plainTextFormattedCitation" : "(Kilinc &amp; Hand, 2015)", "previouslyFormattedCitation" : "(Kilinc &amp; Hand, 2015)" }, "properties" : { "noteIndex" : 29 }, "schema" : "https://github.com/citation-style-language/schema/raw/master/csl-citation.json" }</w:instrText>
            </w:r>
            <w:r>
              <w:rPr>
                <w:rFonts w:eastAsia="Times New Roman" w:cs="Times New Roman"/>
                <w:b w:val="0"/>
                <w:color w:val="000000"/>
                <w:sz w:val="16"/>
                <w:szCs w:val="16"/>
                <w:lang w:eastAsia="en-MY"/>
              </w:rPr>
              <w:fldChar w:fldCharType="separate"/>
            </w:r>
            <w:r w:rsidRPr="00075562">
              <w:rPr>
                <w:rFonts w:eastAsia="Times New Roman" w:cs="Times New Roman"/>
                <w:b w:val="0"/>
                <w:noProof/>
                <w:color w:val="000000"/>
                <w:sz w:val="16"/>
                <w:szCs w:val="16"/>
                <w:lang w:eastAsia="en-MY"/>
              </w:rPr>
              <w:t>(Kilinc &amp; Hand, 2015)</w:t>
            </w:r>
            <w:r>
              <w:rPr>
                <w:rFonts w:eastAsia="Times New Roman" w:cs="Times New Roman"/>
                <w:b w:val="0"/>
                <w:color w:val="000000"/>
                <w:sz w:val="16"/>
                <w:szCs w:val="16"/>
                <w:lang w:eastAsia="en-MY"/>
              </w:rPr>
              <w:fldChar w:fldCharType="end"/>
            </w:r>
          </w:p>
        </w:tc>
      </w:tr>
      <w:tr w:rsidR="0061788E" w:rsidRPr="000E2377" w14:paraId="0987FF85" w14:textId="77777777" w:rsidTr="003D5110">
        <w:trPr>
          <w:trHeight w:val="300"/>
          <w:jc w:val="center"/>
        </w:trPr>
        <w:tc>
          <w:tcPr>
            <w:tcW w:w="1916" w:type="dxa"/>
            <w:tcBorders>
              <w:top w:val="nil"/>
              <w:left w:val="nil"/>
              <w:bottom w:val="nil"/>
              <w:right w:val="nil"/>
            </w:tcBorders>
            <w:shd w:val="clear" w:color="auto" w:fill="auto"/>
            <w:noWrap/>
            <w:vAlign w:val="center"/>
            <w:hideMark/>
          </w:tcPr>
          <w:p w14:paraId="160C31F6" w14:textId="45D8694A" w:rsidR="00F913BE" w:rsidRPr="000E2377" w:rsidRDefault="0061788E" w:rsidP="00F913BE">
            <w:pPr>
              <w:spacing w:after="0" w:line="360" w:lineRule="auto"/>
              <w:rPr>
                <w:rFonts w:eastAsia="Times New Roman" w:cs="Times New Roman"/>
                <w:b w:val="0"/>
                <w:color w:val="000000"/>
                <w:sz w:val="20"/>
                <w:szCs w:val="20"/>
                <w:lang w:eastAsia="en-MY"/>
              </w:rPr>
            </w:pPr>
            <w:r>
              <w:rPr>
                <w:rFonts w:eastAsia="Times New Roman" w:cs="Times New Roman"/>
                <w:b w:val="0"/>
                <w:color w:val="000000"/>
                <w:sz w:val="20"/>
                <w:szCs w:val="20"/>
                <w:lang w:eastAsia="en-MY"/>
              </w:rPr>
              <w:t>A</w:t>
            </w:r>
            <w:r w:rsidRPr="000E2377">
              <w:rPr>
                <w:rFonts w:eastAsia="Times New Roman" w:cs="Times New Roman"/>
                <w:b w:val="0"/>
                <w:color w:val="000000"/>
                <w:sz w:val="20"/>
                <w:szCs w:val="20"/>
                <w:lang w:eastAsia="en-MY"/>
              </w:rPr>
              <w:t>luminosilicates</w:t>
            </w:r>
          </w:p>
        </w:tc>
        <w:tc>
          <w:tcPr>
            <w:tcW w:w="919" w:type="dxa"/>
            <w:gridSpan w:val="2"/>
            <w:tcBorders>
              <w:top w:val="nil"/>
              <w:left w:val="nil"/>
              <w:bottom w:val="nil"/>
              <w:right w:val="nil"/>
            </w:tcBorders>
            <w:shd w:val="clear" w:color="auto" w:fill="auto"/>
            <w:noWrap/>
            <w:vAlign w:val="center"/>
          </w:tcPr>
          <w:p w14:paraId="6CE56FF9" w14:textId="7C003585" w:rsidR="00F913BE" w:rsidRPr="000E2377" w:rsidRDefault="002B1BA8"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5.0-6.0</w:t>
            </w:r>
          </w:p>
        </w:tc>
        <w:tc>
          <w:tcPr>
            <w:tcW w:w="890" w:type="dxa"/>
            <w:tcBorders>
              <w:top w:val="nil"/>
              <w:left w:val="nil"/>
              <w:bottom w:val="nil"/>
              <w:right w:val="nil"/>
            </w:tcBorders>
            <w:shd w:val="clear" w:color="auto" w:fill="auto"/>
            <w:noWrap/>
            <w:vAlign w:val="center"/>
          </w:tcPr>
          <w:p w14:paraId="390599D8" w14:textId="366EDFED" w:rsidR="00F913BE" w:rsidRPr="000E2377" w:rsidRDefault="0061788E"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71-74</w:t>
            </w:r>
          </w:p>
        </w:tc>
        <w:tc>
          <w:tcPr>
            <w:tcW w:w="821" w:type="dxa"/>
            <w:tcBorders>
              <w:top w:val="nil"/>
              <w:left w:val="nil"/>
              <w:bottom w:val="nil"/>
              <w:right w:val="nil"/>
            </w:tcBorders>
            <w:shd w:val="clear" w:color="auto" w:fill="auto"/>
            <w:noWrap/>
            <w:vAlign w:val="center"/>
          </w:tcPr>
          <w:p w14:paraId="26EBCD03" w14:textId="194A2EC4" w:rsidR="00F913BE" w:rsidRPr="000E2377" w:rsidRDefault="0061788E"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38-69</w:t>
            </w:r>
          </w:p>
        </w:tc>
        <w:tc>
          <w:tcPr>
            <w:tcW w:w="821" w:type="dxa"/>
            <w:tcBorders>
              <w:top w:val="nil"/>
              <w:left w:val="nil"/>
              <w:bottom w:val="nil"/>
              <w:right w:val="nil"/>
            </w:tcBorders>
            <w:shd w:val="clear" w:color="auto" w:fill="auto"/>
            <w:noWrap/>
            <w:vAlign w:val="center"/>
          </w:tcPr>
          <w:p w14:paraId="3F24A1E4" w14:textId="519D2CC8" w:rsidR="00F913BE" w:rsidRPr="000E2377" w:rsidRDefault="002B1BA8"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32</w:t>
            </w:r>
          </w:p>
        </w:tc>
        <w:tc>
          <w:tcPr>
            <w:tcW w:w="839" w:type="dxa"/>
            <w:tcBorders>
              <w:top w:val="nil"/>
              <w:left w:val="nil"/>
              <w:bottom w:val="nil"/>
              <w:right w:val="nil"/>
            </w:tcBorders>
            <w:shd w:val="clear" w:color="auto" w:fill="auto"/>
            <w:noWrap/>
            <w:vAlign w:val="center"/>
          </w:tcPr>
          <w:p w14:paraId="7B636B56" w14:textId="77B754B2" w:rsidR="00F913BE" w:rsidRPr="000E2377" w:rsidRDefault="0061788E"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0.19-0.28</w:t>
            </w:r>
          </w:p>
        </w:tc>
        <w:tc>
          <w:tcPr>
            <w:tcW w:w="1307" w:type="dxa"/>
            <w:tcBorders>
              <w:top w:val="nil"/>
              <w:left w:val="nil"/>
              <w:bottom w:val="nil"/>
              <w:right w:val="nil"/>
            </w:tcBorders>
            <w:shd w:val="clear" w:color="auto" w:fill="auto"/>
            <w:noWrap/>
            <w:vAlign w:val="center"/>
          </w:tcPr>
          <w:p w14:paraId="3019B555" w14:textId="3457E67B" w:rsidR="00F913BE" w:rsidRPr="000E2377" w:rsidRDefault="002B1BA8"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0.86-0.94</w:t>
            </w:r>
          </w:p>
        </w:tc>
        <w:tc>
          <w:tcPr>
            <w:tcW w:w="1843" w:type="dxa"/>
            <w:tcBorders>
              <w:top w:val="nil"/>
              <w:left w:val="nil"/>
              <w:bottom w:val="nil"/>
              <w:right w:val="nil"/>
            </w:tcBorders>
            <w:shd w:val="clear" w:color="auto" w:fill="auto"/>
            <w:noWrap/>
            <w:vAlign w:val="center"/>
          </w:tcPr>
          <w:p w14:paraId="654E57B7" w14:textId="242DF493" w:rsidR="00F913BE" w:rsidRPr="000E2377" w:rsidRDefault="0061788E"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fldChar w:fldCharType="begin" w:fldLock="1"/>
            </w:r>
            <w:r w:rsidR="002B1BA8">
              <w:rPr>
                <w:rFonts w:eastAsia="Times New Roman" w:cs="Times New Roman"/>
                <w:b w:val="0"/>
                <w:color w:val="000000"/>
                <w:sz w:val="16"/>
                <w:szCs w:val="16"/>
                <w:lang w:eastAsia="en-MY"/>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"manualFormatting" : "( Rouxel, 2007)", "plainTextFormattedCitation" : "(Tanguy Rouxel, 2007)", "previouslyFormattedCitation" : "(Tanguy Rouxel, 2007)" }, "properties" : { "noteIndex" : 29 }, "schema" : "https://github.com/citation-style-language/schema/raw/master/csl-citation.json" }</w:instrText>
            </w:r>
            <w:r>
              <w:rPr>
                <w:rFonts w:eastAsia="Times New Roman" w:cs="Times New Roman"/>
                <w:b w:val="0"/>
                <w:color w:val="000000"/>
                <w:sz w:val="16"/>
                <w:szCs w:val="16"/>
                <w:lang w:eastAsia="en-MY"/>
              </w:rPr>
              <w:fldChar w:fldCharType="separate"/>
            </w:r>
            <w:r w:rsidRPr="0061788E">
              <w:rPr>
                <w:rFonts w:eastAsia="Times New Roman" w:cs="Times New Roman"/>
                <w:b w:val="0"/>
                <w:noProof/>
                <w:color w:val="000000"/>
                <w:sz w:val="16"/>
                <w:szCs w:val="16"/>
                <w:lang w:eastAsia="en-MY"/>
              </w:rPr>
              <w:t>( Rouxel, 2007)</w:t>
            </w:r>
            <w:r>
              <w:rPr>
                <w:rFonts w:eastAsia="Times New Roman" w:cs="Times New Roman"/>
                <w:b w:val="0"/>
                <w:color w:val="000000"/>
                <w:sz w:val="16"/>
                <w:szCs w:val="16"/>
                <w:lang w:eastAsia="en-MY"/>
              </w:rPr>
              <w:fldChar w:fldCharType="end"/>
            </w:r>
          </w:p>
        </w:tc>
      </w:tr>
      <w:tr w:rsidR="0061788E" w:rsidRPr="000E2377" w14:paraId="33500795" w14:textId="77777777" w:rsidTr="0027187B">
        <w:trPr>
          <w:trHeight w:val="586"/>
          <w:jc w:val="center"/>
        </w:trPr>
        <w:tc>
          <w:tcPr>
            <w:tcW w:w="1916" w:type="dxa"/>
            <w:tcBorders>
              <w:top w:val="nil"/>
              <w:left w:val="nil"/>
              <w:bottom w:val="nil"/>
              <w:right w:val="nil"/>
            </w:tcBorders>
            <w:shd w:val="clear" w:color="auto" w:fill="auto"/>
            <w:noWrap/>
            <w:vAlign w:val="center"/>
            <w:hideMark/>
          </w:tcPr>
          <w:p w14:paraId="41624458" w14:textId="77777777" w:rsidR="00F913BE" w:rsidRPr="000E2377" w:rsidRDefault="00F913BE" w:rsidP="00F913BE">
            <w:pPr>
              <w:spacing w:after="0" w:line="360" w:lineRule="auto"/>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Borosilicates</w:t>
            </w:r>
            <w:proofErr w:type="spellEnd"/>
          </w:p>
        </w:tc>
        <w:tc>
          <w:tcPr>
            <w:tcW w:w="919" w:type="dxa"/>
            <w:gridSpan w:val="2"/>
            <w:tcBorders>
              <w:top w:val="nil"/>
              <w:left w:val="nil"/>
              <w:bottom w:val="nil"/>
              <w:right w:val="nil"/>
            </w:tcBorders>
            <w:shd w:val="clear" w:color="auto" w:fill="auto"/>
            <w:noWrap/>
            <w:vAlign w:val="center"/>
          </w:tcPr>
          <w:p w14:paraId="71E4B231" w14:textId="18799375" w:rsidR="00F913BE" w:rsidRPr="000E2377" w:rsidRDefault="002B1BA8"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3.9-5.4</w:t>
            </w:r>
          </w:p>
        </w:tc>
        <w:tc>
          <w:tcPr>
            <w:tcW w:w="890" w:type="dxa"/>
            <w:tcBorders>
              <w:top w:val="nil"/>
              <w:left w:val="nil"/>
              <w:bottom w:val="nil"/>
              <w:right w:val="nil"/>
            </w:tcBorders>
            <w:shd w:val="clear" w:color="auto" w:fill="auto"/>
            <w:noWrap/>
            <w:vAlign w:val="center"/>
          </w:tcPr>
          <w:p w14:paraId="6D94F3EA" w14:textId="120C749C" w:rsidR="00F913BE" w:rsidRPr="000E2377" w:rsidRDefault="0061788E"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26-</w:t>
            </w:r>
            <w:r w:rsidR="002B1BA8">
              <w:rPr>
                <w:rFonts w:eastAsia="Times New Roman" w:cs="Times New Roman"/>
                <w:b w:val="0"/>
                <w:color w:val="000000"/>
                <w:sz w:val="16"/>
                <w:szCs w:val="16"/>
                <w:lang w:eastAsia="en-MY"/>
              </w:rPr>
              <w:t>86</w:t>
            </w:r>
          </w:p>
        </w:tc>
        <w:tc>
          <w:tcPr>
            <w:tcW w:w="821" w:type="dxa"/>
            <w:tcBorders>
              <w:top w:val="nil"/>
              <w:left w:val="nil"/>
              <w:bottom w:val="nil"/>
              <w:right w:val="nil"/>
            </w:tcBorders>
            <w:shd w:val="clear" w:color="auto" w:fill="auto"/>
            <w:noWrap/>
            <w:vAlign w:val="center"/>
          </w:tcPr>
          <w:p w14:paraId="065E4A6D" w14:textId="1426312B" w:rsidR="00F913BE" w:rsidRPr="000E2377" w:rsidRDefault="0061788E"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19-35</w:t>
            </w:r>
          </w:p>
        </w:tc>
        <w:tc>
          <w:tcPr>
            <w:tcW w:w="821" w:type="dxa"/>
            <w:tcBorders>
              <w:top w:val="nil"/>
              <w:left w:val="nil"/>
              <w:bottom w:val="nil"/>
              <w:right w:val="nil"/>
            </w:tcBorders>
            <w:shd w:val="clear" w:color="auto" w:fill="auto"/>
            <w:noWrap/>
            <w:vAlign w:val="center"/>
          </w:tcPr>
          <w:p w14:paraId="6A59F928" w14:textId="31E5F324" w:rsidR="00F913BE" w:rsidRPr="000E2377" w:rsidRDefault="002B1BA8"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20-35</w:t>
            </w:r>
          </w:p>
        </w:tc>
        <w:tc>
          <w:tcPr>
            <w:tcW w:w="839" w:type="dxa"/>
            <w:tcBorders>
              <w:top w:val="nil"/>
              <w:left w:val="nil"/>
              <w:bottom w:val="nil"/>
              <w:right w:val="nil"/>
            </w:tcBorders>
            <w:shd w:val="clear" w:color="auto" w:fill="auto"/>
            <w:noWrap/>
            <w:vAlign w:val="center"/>
          </w:tcPr>
          <w:p w14:paraId="18B87143" w14:textId="02E249E9" w:rsidR="00F913BE" w:rsidRPr="000E2377" w:rsidRDefault="0061788E"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0.2-0.28</w:t>
            </w:r>
          </w:p>
        </w:tc>
        <w:tc>
          <w:tcPr>
            <w:tcW w:w="1307" w:type="dxa"/>
            <w:tcBorders>
              <w:top w:val="nil"/>
              <w:left w:val="nil"/>
              <w:bottom w:val="nil"/>
              <w:right w:val="nil"/>
            </w:tcBorders>
            <w:shd w:val="clear" w:color="auto" w:fill="auto"/>
            <w:noWrap/>
            <w:vAlign w:val="center"/>
          </w:tcPr>
          <w:p w14:paraId="76DDE93C" w14:textId="76CAB1A9" w:rsidR="00F913BE" w:rsidRPr="000E2377" w:rsidRDefault="002B1BA8"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0.46-0.94</w:t>
            </w:r>
          </w:p>
        </w:tc>
        <w:tc>
          <w:tcPr>
            <w:tcW w:w="1843" w:type="dxa"/>
            <w:tcBorders>
              <w:top w:val="nil"/>
              <w:left w:val="nil"/>
              <w:bottom w:val="nil"/>
              <w:right w:val="nil"/>
            </w:tcBorders>
            <w:shd w:val="clear" w:color="auto" w:fill="auto"/>
            <w:noWrap/>
            <w:vAlign w:val="center"/>
          </w:tcPr>
          <w:p w14:paraId="3A499118" w14:textId="2BF18998" w:rsidR="00F913BE" w:rsidRPr="000E2377" w:rsidRDefault="0061788E" w:rsidP="00F913BE">
            <w:pPr>
              <w:spacing w:after="0" w:line="36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fldChar w:fldCharType="begin" w:fldLock="1"/>
            </w:r>
            <w:r w:rsidR="002B1BA8">
              <w:rPr>
                <w:rFonts w:eastAsia="Times New Roman" w:cs="Times New Roman"/>
                <w:b w:val="0"/>
                <w:color w:val="000000"/>
                <w:sz w:val="16"/>
                <w:szCs w:val="16"/>
                <w:lang w:eastAsia="en-MY"/>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"manualFormatting" : "( Rouxel, 2007)", "plainTextFormattedCitation" : "(Tanguy Rouxel, 2007)", "previouslyFormattedCitation" : "(Tanguy Rouxel, 2007)" }, "properties" : { "noteIndex" : 29 }, "schema" : "https://github.com/citation-style-language/schema/raw/master/csl-citation.json" }</w:instrText>
            </w:r>
            <w:r>
              <w:rPr>
                <w:rFonts w:eastAsia="Times New Roman" w:cs="Times New Roman"/>
                <w:b w:val="0"/>
                <w:color w:val="000000"/>
                <w:sz w:val="16"/>
                <w:szCs w:val="16"/>
                <w:lang w:eastAsia="en-MY"/>
              </w:rPr>
              <w:fldChar w:fldCharType="separate"/>
            </w:r>
            <w:r w:rsidRPr="0061788E">
              <w:rPr>
                <w:rFonts w:eastAsia="Times New Roman" w:cs="Times New Roman"/>
                <w:b w:val="0"/>
                <w:noProof/>
                <w:color w:val="000000"/>
                <w:sz w:val="16"/>
                <w:szCs w:val="16"/>
                <w:lang w:eastAsia="en-MY"/>
              </w:rPr>
              <w:t>( Rouxel, 2007)</w:t>
            </w:r>
            <w:r>
              <w:rPr>
                <w:rFonts w:eastAsia="Times New Roman" w:cs="Times New Roman"/>
                <w:b w:val="0"/>
                <w:color w:val="000000"/>
                <w:sz w:val="16"/>
                <w:szCs w:val="16"/>
                <w:lang w:eastAsia="en-MY"/>
              </w:rPr>
              <w:fldChar w:fldCharType="end"/>
            </w:r>
            <w:r w:rsidR="00D55BDC">
              <w:rPr>
                <w:rFonts w:eastAsia="Times New Roman" w:cs="Times New Roman"/>
                <w:b w:val="0"/>
                <w:color w:val="000000"/>
                <w:sz w:val="16"/>
                <w:szCs w:val="16"/>
                <w:lang w:eastAsia="en-MY"/>
              </w:rPr>
              <w:t xml:space="preserve"> </w:t>
            </w:r>
            <w:r w:rsidR="00D55BDC">
              <w:rPr>
                <w:rFonts w:eastAsia="Times New Roman" w:cs="Times New Roman"/>
                <w:b w:val="0"/>
                <w:color w:val="000000"/>
                <w:sz w:val="16"/>
                <w:szCs w:val="16"/>
                <w:lang w:eastAsia="en-MY"/>
              </w:rPr>
              <w:fldChar w:fldCharType="begin" w:fldLock="1"/>
            </w:r>
            <w:r w:rsidR="00930B5D">
              <w:rPr>
                <w:rFonts w:eastAsia="Times New Roman" w:cs="Times New Roman"/>
                <w:b w:val="0"/>
                <w:color w:val="000000"/>
                <w:sz w:val="16"/>
                <w:szCs w:val="16"/>
                <w:lang w:eastAsia="en-MY"/>
              </w:rPr>
              <w:instrText>ADDIN CSL_CITATION { "citationItems" : [ { "id" : "ITEM-1", "itemData" : { "author" : [ { "dropping-particle" : "", "family" : "Oleg Vsevolodovich Mazurin", "given" : "", "non-dropping-particle" : "", "parse-names" : false, "suffix" : "" } ], "id" : "ITEM-1", "issued" : { "date-parts" : [ [ "1987" ] ] }, "page" : "Elsevier", "title" : "Handbook of glass data", "type" : "article" }, "uris" : [ "http://www.mendeley.com/documents/?uuid=47e477c8-8c05-4bce-a689-8b7447585f94" ] } ], "mendeley" : { "formattedCitation" : "(Oleg Vsevolodovich Mazurin, 1987)", "manualFormatting" : "(Mazurin, 1987)", "plainTextFormattedCitation" : "(Oleg Vsevolodovich Mazurin, 1987)", "previouslyFormattedCitation" : "(Oleg Vsevolodovich Mazurin, 1987)" }, "properties" : { "noteIndex" : 35 }, "schema" : "https://github.com/citation-style-language/schema/raw/master/csl-citation.json" }</w:instrText>
            </w:r>
            <w:r w:rsidR="00D55BDC">
              <w:rPr>
                <w:rFonts w:eastAsia="Times New Roman" w:cs="Times New Roman"/>
                <w:b w:val="0"/>
                <w:color w:val="000000"/>
                <w:sz w:val="16"/>
                <w:szCs w:val="16"/>
                <w:lang w:eastAsia="en-MY"/>
              </w:rPr>
              <w:fldChar w:fldCharType="separate"/>
            </w:r>
            <w:r w:rsidR="00D55BDC" w:rsidRPr="00D55BDC">
              <w:rPr>
                <w:rFonts w:eastAsia="Times New Roman" w:cs="Times New Roman"/>
                <w:b w:val="0"/>
                <w:noProof/>
                <w:color w:val="000000"/>
                <w:sz w:val="16"/>
                <w:szCs w:val="16"/>
                <w:lang w:eastAsia="en-MY"/>
              </w:rPr>
              <w:t>(Mazurin, 1987)</w:t>
            </w:r>
            <w:r w:rsidR="00D55BDC">
              <w:rPr>
                <w:rFonts w:eastAsia="Times New Roman" w:cs="Times New Roman"/>
                <w:b w:val="0"/>
                <w:color w:val="000000"/>
                <w:sz w:val="16"/>
                <w:szCs w:val="16"/>
                <w:lang w:eastAsia="en-MY"/>
              </w:rPr>
              <w:fldChar w:fldCharType="end"/>
            </w:r>
          </w:p>
        </w:tc>
      </w:tr>
      <w:tr w:rsidR="0061788E" w:rsidRPr="000E2377" w14:paraId="47E67742" w14:textId="77777777" w:rsidTr="0027187B">
        <w:trPr>
          <w:trHeight w:val="991"/>
          <w:jc w:val="center"/>
        </w:trPr>
        <w:tc>
          <w:tcPr>
            <w:tcW w:w="1916" w:type="dxa"/>
            <w:tcBorders>
              <w:top w:val="nil"/>
              <w:left w:val="nil"/>
              <w:bottom w:val="nil"/>
              <w:right w:val="nil"/>
            </w:tcBorders>
            <w:shd w:val="clear" w:color="auto" w:fill="auto"/>
            <w:noWrap/>
            <w:vAlign w:val="center"/>
            <w:hideMark/>
          </w:tcPr>
          <w:p w14:paraId="203FAC02" w14:textId="77777777" w:rsidR="00F913BE" w:rsidRPr="000E2377" w:rsidRDefault="00F913BE" w:rsidP="00F913BE">
            <w:pPr>
              <w:spacing w:after="0" w:line="360" w:lineRule="auto"/>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Boroaluminosilicates</w:t>
            </w:r>
            <w:proofErr w:type="spellEnd"/>
          </w:p>
        </w:tc>
        <w:tc>
          <w:tcPr>
            <w:tcW w:w="919" w:type="dxa"/>
            <w:gridSpan w:val="2"/>
            <w:tcBorders>
              <w:top w:val="nil"/>
              <w:left w:val="nil"/>
              <w:bottom w:val="nil"/>
              <w:right w:val="nil"/>
            </w:tcBorders>
            <w:shd w:val="clear" w:color="auto" w:fill="auto"/>
            <w:noWrap/>
            <w:vAlign w:val="center"/>
            <w:hideMark/>
          </w:tcPr>
          <w:p w14:paraId="45B68A24" w14:textId="7755A554" w:rsidR="00F913BE" w:rsidRPr="000E2377" w:rsidRDefault="002B1BA8" w:rsidP="00F913BE">
            <w:pPr>
              <w:spacing w:after="0" w:line="360" w:lineRule="auto"/>
              <w:rPr>
                <w:rFonts w:eastAsia="Times New Roman" w:cs="Times New Roman"/>
                <w:b w:val="0"/>
                <w:color w:val="000000"/>
                <w:sz w:val="16"/>
                <w:szCs w:val="16"/>
                <w:lang w:eastAsia="en-MY"/>
              </w:rPr>
            </w:pPr>
            <w:r>
              <w:rPr>
                <w:rFonts w:eastAsia="Times New Roman" w:cs="Times New Roman"/>
                <w:b w:val="0"/>
                <w:color w:val="000000"/>
                <w:sz w:val="16"/>
                <w:szCs w:val="16"/>
                <w:lang w:eastAsia="en-MY"/>
              </w:rPr>
              <w:t>7.4-8.4</w:t>
            </w:r>
          </w:p>
        </w:tc>
        <w:tc>
          <w:tcPr>
            <w:tcW w:w="890" w:type="dxa"/>
            <w:tcBorders>
              <w:top w:val="nil"/>
              <w:left w:val="nil"/>
              <w:bottom w:val="nil"/>
              <w:right w:val="nil"/>
            </w:tcBorders>
            <w:shd w:val="clear" w:color="auto" w:fill="auto"/>
            <w:noWrap/>
            <w:vAlign w:val="center"/>
            <w:hideMark/>
          </w:tcPr>
          <w:p w14:paraId="06DE5083" w14:textId="01C09C37" w:rsidR="00F913BE" w:rsidRPr="000E2377" w:rsidRDefault="00075562" w:rsidP="00F913BE">
            <w:pPr>
              <w:spacing w:after="0" w:line="360" w:lineRule="auto"/>
              <w:jc w:val="center"/>
              <w:rPr>
                <w:rFonts w:eastAsia="Times New Roman" w:cs="Times New Roman"/>
                <w:b w:val="0"/>
                <w:sz w:val="16"/>
                <w:szCs w:val="16"/>
                <w:lang w:eastAsia="en-MY"/>
              </w:rPr>
            </w:pPr>
            <w:r>
              <w:rPr>
                <w:rFonts w:eastAsia="Times New Roman" w:cs="Times New Roman"/>
                <w:b w:val="0"/>
                <w:sz w:val="16"/>
                <w:szCs w:val="16"/>
                <w:lang w:eastAsia="en-MY"/>
              </w:rPr>
              <w:t>67-73</w:t>
            </w:r>
          </w:p>
        </w:tc>
        <w:tc>
          <w:tcPr>
            <w:tcW w:w="821" w:type="dxa"/>
            <w:tcBorders>
              <w:top w:val="nil"/>
              <w:left w:val="nil"/>
              <w:bottom w:val="nil"/>
              <w:right w:val="nil"/>
            </w:tcBorders>
            <w:shd w:val="clear" w:color="auto" w:fill="auto"/>
            <w:noWrap/>
            <w:vAlign w:val="center"/>
            <w:hideMark/>
          </w:tcPr>
          <w:p w14:paraId="19C3655E" w14:textId="118C6AE1" w:rsidR="00F913BE" w:rsidRPr="000E2377" w:rsidRDefault="005C793F" w:rsidP="00F913BE">
            <w:pPr>
              <w:spacing w:after="0" w:line="360" w:lineRule="auto"/>
              <w:jc w:val="center"/>
              <w:rPr>
                <w:rFonts w:eastAsia="Times New Roman" w:cs="Times New Roman"/>
                <w:b w:val="0"/>
                <w:sz w:val="16"/>
                <w:szCs w:val="16"/>
                <w:lang w:eastAsia="en-MY"/>
              </w:rPr>
            </w:pPr>
            <w:r>
              <w:rPr>
                <w:rFonts w:eastAsia="Times New Roman" w:cs="Times New Roman"/>
                <w:b w:val="0"/>
                <w:sz w:val="16"/>
                <w:szCs w:val="16"/>
                <w:lang w:eastAsia="en-MY"/>
              </w:rPr>
              <w:t>41-48</w:t>
            </w:r>
          </w:p>
        </w:tc>
        <w:tc>
          <w:tcPr>
            <w:tcW w:w="821" w:type="dxa"/>
            <w:tcBorders>
              <w:top w:val="nil"/>
              <w:left w:val="nil"/>
              <w:bottom w:val="nil"/>
              <w:right w:val="nil"/>
            </w:tcBorders>
            <w:shd w:val="clear" w:color="auto" w:fill="auto"/>
            <w:noWrap/>
            <w:vAlign w:val="center"/>
            <w:hideMark/>
          </w:tcPr>
          <w:p w14:paraId="78148E54" w14:textId="631C998B" w:rsidR="00F913BE" w:rsidRPr="000E2377" w:rsidRDefault="00075562" w:rsidP="00F913BE">
            <w:pPr>
              <w:spacing w:after="0" w:line="360" w:lineRule="auto"/>
              <w:jc w:val="center"/>
              <w:rPr>
                <w:rFonts w:eastAsia="Times New Roman" w:cs="Times New Roman"/>
                <w:b w:val="0"/>
                <w:sz w:val="16"/>
                <w:szCs w:val="16"/>
                <w:lang w:eastAsia="en-MY"/>
              </w:rPr>
            </w:pPr>
            <w:r>
              <w:rPr>
                <w:rFonts w:eastAsia="Times New Roman" w:cs="Times New Roman"/>
                <w:b w:val="0"/>
                <w:sz w:val="16"/>
                <w:szCs w:val="16"/>
                <w:lang w:eastAsia="en-MY"/>
              </w:rPr>
              <w:t>27-31</w:t>
            </w:r>
            <w:r w:rsidR="00932AEC">
              <w:rPr>
                <w:rFonts w:eastAsia="Times New Roman" w:cs="Times New Roman"/>
                <w:b w:val="0"/>
                <w:sz w:val="16"/>
                <w:szCs w:val="16"/>
                <w:lang w:eastAsia="en-MY"/>
              </w:rPr>
              <w:t xml:space="preserve">                        </w:t>
            </w:r>
          </w:p>
        </w:tc>
        <w:tc>
          <w:tcPr>
            <w:tcW w:w="839" w:type="dxa"/>
            <w:tcBorders>
              <w:top w:val="nil"/>
              <w:left w:val="nil"/>
              <w:bottom w:val="nil"/>
              <w:right w:val="nil"/>
            </w:tcBorders>
            <w:shd w:val="clear" w:color="auto" w:fill="auto"/>
            <w:noWrap/>
            <w:vAlign w:val="center"/>
            <w:hideMark/>
          </w:tcPr>
          <w:p w14:paraId="47A51BC9" w14:textId="5F478432" w:rsidR="00F913BE" w:rsidRPr="00802069" w:rsidRDefault="00802069" w:rsidP="00F913BE">
            <w:pPr>
              <w:spacing w:after="0" w:line="360" w:lineRule="auto"/>
              <w:jc w:val="center"/>
              <w:rPr>
                <w:rFonts w:eastAsia="Times New Roman" w:cs="Times New Roman"/>
                <w:b w:val="0"/>
                <w:sz w:val="16"/>
                <w:szCs w:val="16"/>
                <w:highlight w:val="yellow"/>
                <w:lang w:eastAsia="en-MY"/>
              </w:rPr>
            </w:pPr>
            <w:r w:rsidRPr="00802069">
              <w:rPr>
                <w:rFonts w:eastAsia="Times New Roman" w:cs="Times New Roman"/>
                <w:b w:val="0"/>
                <w:sz w:val="16"/>
                <w:szCs w:val="16"/>
                <w:lang w:eastAsia="en-MY"/>
              </w:rPr>
              <w:t>0.15-0.29</w:t>
            </w:r>
          </w:p>
        </w:tc>
        <w:tc>
          <w:tcPr>
            <w:tcW w:w="1307" w:type="dxa"/>
            <w:tcBorders>
              <w:top w:val="nil"/>
              <w:left w:val="nil"/>
              <w:bottom w:val="nil"/>
              <w:right w:val="nil"/>
            </w:tcBorders>
            <w:shd w:val="clear" w:color="auto" w:fill="auto"/>
            <w:noWrap/>
            <w:vAlign w:val="center"/>
            <w:hideMark/>
          </w:tcPr>
          <w:p w14:paraId="2427BDD2" w14:textId="515FE5A8" w:rsidR="00F913BE" w:rsidRPr="00802069" w:rsidRDefault="00802069" w:rsidP="00F913BE">
            <w:pPr>
              <w:spacing w:after="0" w:line="360" w:lineRule="auto"/>
              <w:jc w:val="center"/>
              <w:rPr>
                <w:rFonts w:eastAsia="Times New Roman" w:cs="Times New Roman"/>
                <w:b w:val="0"/>
                <w:sz w:val="16"/>
                <w:szCs w:val="16"/>
                <w:highlight w:val="yellow"/>
                <w:lang w:eastAsia="en-MY"/>
              </w:rPr>
            </w:pPr>
            <w:r w:rsidRPr="00802069">
              <w:rPr>
                <w:rFonts w:eastAsia="Times New Roman" w:cs="Times New Roman"/>
                <w:b w:val="0"/>
                <w:sz w:val="16"/>
                <w:szCs w:val="16"/>
                <w:lang w:eastAsia="en-MY"/>
              </w:rPr>
              <w:t>0.38-0.94</w:t>
            </w:r>
          </w:p>
        </w:tc>
        <w:tc>
          <w:tcPr>
            <w:tcW w:w="1843" w:type="dxa"/>
            <w:tcBorders>
              <w:top w:val="nil"/>
              <w:left w:val="nil"/>
              <w:bottom w:val="nil"/>
              <w:right w:val="nil"/>
            </w:tcBorders>
            <w:shd w:val="clear" w:color="auto" w:fill="auto"/>
            <w:noWrap/>
            <w:vAlign w:val="center"/>
          </w:tcPr>
          <w:p w14:paraId="11378A49" w14:textId="77777777" w:rsidR="00F913BE" w:rsidRDefault="00075562" w:rsidP="00F913BE">
            <w:pPr>
              <w:spacing w:after="0" w:line="360" w:lineRule="auto"/>
              <w:jc w:val="center"/>
              <w:rPr>
                <w:rFonts w:eastAsia="Times New Roman" w:cs="Times New Roman"/>
                <w:b w:val="0"/>
                <w:sz w:val="16"/>
                <w:szCs w:val="16"/>
                <w:lang w:eastAsia="en-MY"/>
              </w:rPr>
            </w:pPr>
            <w:r>
              <w:rPr>
                <w:rFonts w:eastAsia="Times New Roman" w:cs="Times New Roman"/>
                <w:b w:val="0"/>
                <w:sz w:val="16"/>
                <w:szCs w:val="16"/>
                <w:lang w:eastAsia="en-MY"/>
              </w:rPr>
              <w:fldChar w:fldCharType="begin" w:fldLock="1"/>
            </w:r>
            <w:r w:rsidR="00743CEF">
              <w:rPr>
                <w:rFonts w:eastAsia="Times New Roman" w:cs="Times New Roman"/>
                <w:b w:val="0"/>
                <w:sz w:val="16"/>
                <w:szCs w:val="16"/>
                <w:lang w:eastAsia="en-MY"/>
              </w:rPr>
              <w:instrText>ADDIN CSL_CITATION { "citationItems" : [ { "id" : "ITEM-1", "itemData" : { "DOI" : "10.1016/j.jnoncrysol.2012.01.030", "ISSN" : "00223093", "abstract" : "The complicated structural speciation in boroaluminosilicate glasses leads to a mixed network former effect yielding nonlinear variation in many macroscopic properties as a function of chemical composition. Here we study the composition-structure-property relationships in a series of sodium boroaluminosilicate glasses from peralkaline to peraluminous compositions by substituting Al 2O 3 for SiO 2. Our results reveal a pronounced change in all the measured physical properties (density, elastic moduli, hardness, glass transition temperature, and liquid fragility) around [Al 2O 3]-[Na 2O] = 0. The structural origin of this change is elucidated through nuclear magnetic resonance analyses and topological considerations. Furthermore, we find that addition of 1 mol% Fe 2O 3 exerts a complicated impact on the measured properties. \u00a9 2012 Elsevier B.V. All rights reserved.", "author" : [ { "dropping-particle" : "", "family" : "Zheng", "given" : "Qiuju", "non-dropping-particle" : "", "parse-names" : false, "suffix" : "" }, { "dropping-particle" : "", "family" : "Potuzak", "given" : "Marcel", "non-dropping-particle" : "", "parse-names" : false, "suffix" : "" }, { "dropping-particle" : "", "family" : "Mauro", "given" : "John C.", "non-dropping-particle" : "", "parse-names" : false, "suffix" : "" }, { "dropping-particle" : "", "family" : "Smedskjaer", "given" : "Morten M.", "non-dropping-particle" : "", "parse-names" : false, "suffix" : "" }, { "dropping-particle" : "", "family" : "Youngman", "given" : "Randall E.", "non-dropping-particle" : "", "parse-names" : false, "suffix" : "" }, { "dropping-particle" : "", "family" : "Yue", "given" : "Yuanzheng", "non-dropping-particle" : "", "parse-names" : false, "suffix" : "" } ], "container-title" : "Journal of Non-Crystalline Solids", "id" : "ITEM-1", "issued" : { "date-parts" : [ [ "2012" ] ] }, "page" : "993-1002", "title" : "Composition-structure-property relationships in boroaluminosilicate glasses", "type" : "article-journal", "volume" : "358" }, "uris" : [ "http://www.mendeley.com/documents/?uuid=a9d77658-f38e-4ed9-b871-ba825555933a" ] } ], "mendeley" : { "formattedCitation" : "(Q. Zheng et al., 2012a)", "manualFormatting" : "(Zheng et al., 2012)", "plainTextFormattedCitation" : "(Q. Zheng et al., 2012a)", "previouslyFormattedCitation" : "(Q. Zheng et al., 2012a)" }, "properties" : { "noteIndex" : 29 }, "schema" : "https://github.com/citation-style-language/schema/raw/master/csl-citation.json" }</w:instrText>
            </w:r>
            <w:r>
              <w:rPr>
                <w:rFonts w:eastAsia="Times New Roman" w:cs="Times New Roman"/>
                <w:b w:val="0"/>
                <w:sz w:val="16"/>
                <w:szCs w:val="16"/>
                <w:lang w:eastAsia="en-MY"/>
              </w:rPr>
              <w:fldChar w:fldCharType="separate"/>
            </w:r>
            <w:r w:rsidRPr="00075562">
              <w:rPr>
                <w:rFonts w:eastAsia="Times New Roman" w:cs="Times New Roman"/>
                <w:b w:val="0"/>
                <w:noProof/>
                <w:sz w:val="16"/>
                <w:szCs w:val="16"/>
                <w:lang w:eastAsia="en-MY"/>
              </w:rPr>
              <w:t>(Zheng et al., 2012)</w:t>
            </w:r>
            <w:r>
              <w:rPr>
                <w:rFonts w:eastAsia="Times New Roman" w:cs="Times New Roman"/>
                <w:b w:val="0"/>
                <w:sz w:val="16"/>
                <w:szCs w:val="16"/>
                <w:lang w:eastAsia="en-MY"/>
              </w:rPr>
              <w:fldChar w:fldCharType="end"/>
            </w:r>
            <w:r w:rsidR="002B1BA8">
              <w:rPr>
                <w:rFonts w:eastAsia="Times New Roman" w:cs="Times New Roman"/>
                <w:b w:val="0"/>
                <w:sz w:val="16"/>
                <w:szCs w:val="16"/>
                <w:lang w:eastAsia="en-MY"/>
              </w:rPr>
              <w:t xml:space="preserve"> </w:t>
            </w:r>
            <w:r w:rsidR="002B1BA8">
              <w:rPr>
                <w:rFonts w:eastAsia="Times New Roman" w:cs="Times New Roman"/>
                <w:b w:val="0"/>
                <w:sz w:val="16"/>
                <w:szCs w:val="16"/>
                <w:lang w:eastAsia="en-MY"/>
              </w:rPr>
              <w:fldChar w:fldCharType="begin" w:fldLock="1"/>
            </w:r>
            <w:r w:rsidR="002B1BA8">
              <w:rPr>
                <w:rFonts w:eastAsia="Times New Roman" w:cs="Times New Roman"/>
                <w:b w:val="0"/>
                <w:sz w:val="16"/>
                <w:szCs w:val="16"/>
                <w:lang w:eastAsia="en-MY"/>
              </w:rPr>
              <w:instrText>ADDIN CSL_CITATION { "citationItems" : [ { "id" : "ITEM-1", "itemData" : { "DOI" : "10.3389/fmats.2014.00023", "abstract" : "For various advanced glass applications, it is important to understand the composition dependence of indentation hardness. Boroaluminosilicate glasses form the basis of many industrial products and they exhibit complex structural behavior due to the mixed network-former effect. Based on available structural NMR data and a previously proposed approach, we here establish a temperature-dependent constraint model of indentation hardness of sodium boroaluminosilicate glasses. The model correctly predicts the trends of hardness with varying Si/Al and Na/B ratios, including local minima and maxima at intermediate compositions. This topological approach is thus proving to be a valuable tool for exploring and designing new boroaluminosilicate glass compositions with tailored hardness.", "author" : [ { "dropping-particle" : "", "family" : "Smedskjaer", "given" : "Morten M.", "non-dropping-particle" : "", "parse-names" : false, "suffix" : "" } ], "container-title" : "Frontiers in Materials", "id" : "ITEM-1", "issue" : "October", "issued" : { "date-parts" : [ [ "2014" ] ] }, "page" : "1-6", "title" : "Topological Model for Boroaluminosilicate Glass Hardness", "type" : "article-journal", "volume" : "1" }, "uris" : [ "http://www.mendeley.com/documents/?uuid=0800a604-0876-4ceb-b044-b64f6ee383fb" ] } ], "mendeley" : { "formattedCitation" : "(Smedskjaer, 2014)", "plainTextFormattedCitation" : "(Smedskjaer, 2014)", "previouslyFormattedCitation" : "(Smedskjaer, 2014)" }, "properties" : { "noteIndex" : 35 }, "schema" : "https://github.com/citation-style-language/schema/raw/master/csl-citation.json" }</w:instrText>
            </w:r>
            <w:r w:rsidR="002B1BA8">
              <w:rPr>
                <w:rFonts w:eastAsia="Times New Roman" w:cs="Times New Roman"/>
                <w:b w:val="0"/>
                <w:sz w:val="16"/>
                <w:szCs w:val="16"/>
                <w:lang w:eastAsia="en-MY"/>
              </w:rPr>
              <w:fldChar w:fldCharType="separate"/>
            </w:r>
            <w:r w:rsidR="002B1BA8" w:rsidRPr="002B1BA8">
              <w:rPr>
                <w:rFonts w:eastAsia="Times New Roman" w:cs="Times New Roman"/>
                <w:b w:val="0"/>
                <w:noProof/>
                <w:sz w:val="16"/>
                <w:szCs w:val="16"/>
                <w:lang w:eastAsia="en-MY"/>
              </w:rPr>
              <w:t>(Smedskjaer, 2014)</w:t>
            </w:r>
            <w:r w:rsidR="002B1BA8">
              <w:rPr>
                <w:rFonts w:eastAsia="Times New Roman" w:cs="Times New Roman"/>
                <w:b w:val="0"/>
                <w:sz w:val="16"/>
                <w:szCs w:val="16"/>
                <w:lang w:eastAsia="en-MY"/>
              </w:rPr>
              <w:fldChar w:fldCharType="end"/>
            </w:r>
          </w:p>
          <w:p w14:paraId="23A9E5ED" w14:textId="41BCF84D" w:rsidR="003D5110" w:rsidRPr="000E2377" w:rsidRDefault="003D5110" w:rsidP="00F913BE">
            <w:pPr>
              <w:spacing w:after="0" w:line="360" w:lineRule="auto"/>
              <w:jc w:val="center"/>
              <w:rPr>
                <w:rFonts w:eastAsia="Times New Roman" w:cs="Times New Roman"/>
                <w:b w:val="0"/>
                <w:sz w:val="16"/>
                <w:szCs w:val="16"/>
                <w:lang w:eastAsia="en-MY"/>
              </w:rPr>
            </w:pPr>
            <w:r>
              <w:rPr>
                <w:rFonts w:eastAsia="Times New Roman" w:cs="Times New Roman"/>
                <w:b w:val="0"/>
                <w:sz w:val="16"/>
                <w:szCs w:val="16"/>
                <w:lang w:eastAsia="en-MY"/>
              </w:rPr>
              <w:fldChar w:fldCharType="begin" w:fldLock="1"/>
            </w:r>
            <w:r w:rsidR="008400FF">
              <w:rPr>
                <w:rFonts w:eastAsia="Times New Roman" w:cs="Times New Roman"/>
                <w:b w:val="0"/>
                <w:sz w:val="16"/>
                <w:szCs w:val="16"/>
                <w:lang w:eastAsia="en-MY"/>
              </w:rPr>
              <w:instrText>ADDIN CSL_CITATION { "citationItems" : [ { "id" : "ITEM-1", "itemData" : { "author" : [ { "dropping-particle" : "", "family" : "Potuzak", "given" : "Marcel", "non-dropping-particle" : "", "parse-names" : false, "suffix" : "" }, { "dropping-particle" : "", "family" : "Smedskjaer", "given" : "Morten M", "non-dropping-particle" : "", "parse-names" : false, "suffix" : "" }, { "dropping-particle" : "", "family" : "Chemistry", "given" : "Section", "non-dropping-particle" : "", "parse-names" : false, "suffix" : "" }, { "dropping-particle" : "", "family" : "Aalborg", "given" : "Dk-", "non-dropping-particle" : "", "parse-names" : false, "suffix" : "" } ], "container-title" : "Phys. Chem. Glasses: Eur. J. Glass Sci. Technol. B", "id" : "ITEM-1", "issue" : "1", "issued" : { "date-parts" : [ [ "2014" ] ] }, "page" : "18-24", "title" : "Physical properties of boroaluminosilicate glasses : effect of modifier cation field strength", "type" : "article-journal", "volume" : "55" }, "uris" : [ "http://www.mendeley.com/documents/?uuid=305c255e-fdb7-45b9-b283-37da8b3809b3" ] } ], "mendeley" : { "formattedCitation" : "(Potuzak et al., 2014)", "manualFormatting" : "(Potuzak &amp;Smedskjaer, 2014)", "plainTextFormattedCitation" : "(Potuzak et al., 2014)", "previouslyFormattedCitation" : "(Potuzak et al., 2014)" }, "properties" : { "noteIndex" : 35 }, "schema" : "https://github.com/citation-style-language/schema/raw/master/csl-citation.json" }</w:instrText>
            </w:r>
            <w:r>
              <w:rPr>
                <w:rFonts w:eastAsia="Times New Roman" w:cs="Times New Roman"/>
                <w:b w:val="0"/>
                <w:sz w:val="16"/>
                <w:szCs w:val="16"/>
                <w:lang w:eastAsia="en-MY"/>
              </w:rPr>
              <w:fldChar w:fldCharType="separate"/>
            </w:r>
            <w:r w:rsidRPr="003D5110">
              <w:rPr>
                <w:rFonts w:eastAsia="Times New Roman" w:cs="Times New Roman"/>
                <w:b w:val="0"/>
                <w:noProof/>
                <w:sz w:val="16"/>
                <w:szCs w:val="16"/>
                <w:lang w:eastAsia="en-MY"/>
              </w:rPr>
              <w:t>(Potuzak</w:t>
            </w:r>
            <w:r>
              <w:rPr>
                <w:rFonts w:eastAsia="Times New Roman" w:cs="Times New Roman"/>
                <w:b w:val="0"/>
                <w:noProof/>
                <w:sz w:val="16"/>
                <w:szCs w:val="16"/>
                <w:lang w:eastAsia="en-MY"/>
              </w:rPr>
              <w:t xml:space="preserve"> &amp;</w:t>
            </w:r>
            <w:r w:rsidRPr="003D5110">
              <w:rPr>
                <w:rFonts w:eastAsia="Times New Roman" w:cs="Times New Roman"/>
                <w:b w:val="0"/>
                <w:noProof/>
                <w:sz w:val="16"/>
                <w:szCs w:val="16"/>
                <w:lang w:eastAsia="en-MY"/>
              </w:rPr>
              <w:t>Smedskjaer, 2014)</w:t>
            </w:r>
            <w:r>
              <w:rPr>
                <w:rFonts w:eastAsia="Times New Roman" w:cs="Times New Roman"/>
                <w:b w:val="0"/>
                <w:sz w:val="16"/>
                <w:szCs w:val="16"/>
                <w:lang w:eastAsia="en-MY"/>
              </w:rPr>
              <w:fldChar w:fldCharType="end"/>
            </w:r>
          </w:p>
        </w:tc>
      </w:tr>
      <w:tr w:rsidR="0061788E" w:rsidRPr="000E2377" w14:paraId="303472B3" w14:textId="77777777" w:rsidTr="003D5110">
        <w:trPr>
          <w:trHeight w:val="95"/>
          <w:jc w:val="center"/>
        </w:trPr>
        <w:tc>
          <w:tcPr>
            <w:tcW w:w="1916" w:type="dxa"/>
            <w:tcBorders>
              <w:top w:val="nil"/>
              <w:left w:val="nil"/>
              <w:bottom w:val="single" w:sz="4" w:space="0" w:color="auto"/>
              <w:right w:val="nil"/>
            </w:tcBorders>
            <w:shd w:val="clear" w:color="auto" w:fill="auto"/>
            <w:noWrap/>
            <w:vAlign w:val="center"/>
          </w:tcPr>
          <w:p w14:paraId="70BD5147" w14:textId="5B281A10" w:rsidR="00F913BE" w:rsidRPr="000E2377" w:rsidRDefault="003D5110" w:rsidP="00F913BE">
            <w:pPr>
              <w:spacing w:after="0" w:line="240" w:lineRule="auto"/>
              <w:rPr>
                <w:rFonts w:eastAsia="Times New Roman" w:cs="Times New Roman"/>
                <w:b w:val="0"/>
                <w:color w:val="000000"/>
                <w:sz w:val="20"/>
                <w:szCs w:val="20"/>
                <w:lang w:eastAsia="en-MY"/>
              </w:rPr>
            </w:pPr>
            <w:r>
              <w:rPr>
                <w:rFonts w:eastAsia="Times New Roman" w:cs="Times New Roman"/>
                <w:b w:val="0"/>
                <w:color w:val="000000"/>
                <w:sz w:val="20"/>
                <w:szCs w:val="20"/>
                <w:lang w:eastAsia="en-MY"/>
              </w:rPr>
              <w:t>Phosphates</w:t>
            </w:r>
          </w:p>
        </w:tc>
        <w:tc>
          <w:tcPr>
            <w:tcW w:w="919" w:type="dxa"/>
            <w:gridSpan w:val="2"/>
            <w:tcBorders>
              <w:top w:val="nil"/>
              <w:left w:val="nil"/>
              <w:bottom w:val="single" w:sz="4" w:space="0" w:color="auto"/>
              <w:right w:val="nil"/>
            </w:tcBorders>
            <w:shd w:val="clear" w:color="auto" w:fill="auto"/>
            <w:noWrap/>
            <w:vAlign w:val="center"/>
          </w:tcPr>
          <w:p w14:paraId="29E3F366" w14:textId="67C81AE5" w:rsidR="00F913BE" w:rsidRPr="000E2377" w:rsidRDefault="003D5110" w:rsidP="00F913BE">
            <w:pPr>
              <w:spacing w:after="0" w:line="24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t>2.7-5.0</w:t>
            </w:r>
          </w:p>
        </w:tc>
        <w:tc>
          <w:tcPr>
            <w:tcW w:w="890" w:type="dxa"/>
            <w:tcBorders>
              <w:top w:val="nil"/>
              <w:left w:val="nil"/>
              <w:bottom w:val="single" w:sz="4" w:space="0" w:color="auto"/>
              <w:right w:val="nil"/>
            </w:tcBorders>
            <w:shd w:val="clear" w:color="auto" w:fill="auto"/>
            <w:noWrap/>
            <w:vAlign w:val="center"/>
          </w:tcPr>
          <w:p w14:paraId="28FD6B65" w14:textId="0DFEF595" w:rsidR="00F913BE" w:rsidRPr="000E2377" w:rsidRDefault="003D5110" w:rsidP="00F913BE">
            <w:pPr>
              <w:spacing w:after="0" w:line="240" w:lineRule="auto"/>
              <w:jc w:val="center"/>
              <w:rPr>
                <w:rFonts w:eastAsia="Times New Roman" w:cs="Times New Roman"/>
                <w:b w:val="0"/>
                <w:color w:val="000000"/>
                <w:sz w:val="16"/>
                <w:szCs w:val="16"/>
                <w:lang w:eastAsia="en-MY"/>
              </w:rPr>
            </w:pPr>
            <w:r>
              <w:rPr>
                <w:rFonts w:eastAsia="Times New Roman" w:cs="Times New Roman"/>
                <w:b w:val="0"/>
                <w:sz w:val="16"/>
                <w:szCs w:val="16"/>
                <w:lang w:eastAsia="en-MY"/>
              </w:rPr>
              <w:t>50-70</w:t>
            </w:r>
          </w:p>
        </w:tc>
        <w:tc>
          <w:tcPr>
            <w:tcW w:w="821" w:type="dxa"/>
            <w:tcBorders>
              <w:top w:val="nil"/>
              <w:left w:val="nil"/>
              <w:bottom w:val="single" w:sz="4" w:space="0" w:color="auto"/>
              <w:right w:val="nil"/>
            </w:tcBorders>
            <w:shd w:val="clear" w:color="auto" w:fill="auto"/>
            <w:noWrap/>
            <w:vAlign w:val="center"/>
          </w:tcPr>
          <w:p w14:paraId="1D0DC547" w14:textId="655787FC" w:rsidR="00F913BE" w:rsidRPr="000E2377" w:rsidRDefault="003D5110" w:rsidP="00F913BE">
            <w:pPr>
              <w:spacing w:after="0" w:line="240" w:lineRule="auto"/>
              <w:jc w:val="center"/>
              <w:rPr>
                <w:rFonts w:eastAsia="Times New Roman" w:cs="Times New Roman"/>
                <w:b w:val="0"/>
                <w:color w:val="000000"/>
                <w:sz w:val="16"/>
                <w:szCs w:val="16"/>
                <w:lang w:eastAsia="en-MY"/>
              </w:rPr>
            </w:pPr>
            <w:r>
              <w:rPr>
                <w:rFonts w:eastAsia="Times New Roman" w:cs="Times New Roman"/>
                <w:b w:val="0"/>
                <w:sz w:val="16"/>
                <w:szCs w:val="16"/>
                <w:lang w:eastAsia="en-MY"/>
              </w:rPr>
              <w:t>40-55</w:t>
            </w:r>
          </w:p>
        </w:tc>
        <w:tc>
          <w:tcPr>
            <w:tcW w:w="821" w:type="dxa"/>
            <w:tcBorders>
              <w:top w:val="nil"/>
              <w:left w:val="nil"/>
              <w:bottom w:val="single" w:sz="4" w:space="0" w:color="auto"/>
              <w:right w:val="nil"/>
            </w:tcBorders>
            <w:shd w:val="clear" w:color="auto" w:fill="auto"/>
            <w:noWrap/>
            <w:vAlign w:val="center"/>
          </w:tcPr>
          <w:p w14:paraId="3456087D" w14:textId="3828E89C" w:rsidR="00F913BE" w:rsidRPr="000E2377" w:rsidRDefault="003D5110" w:rsidP="00F913BE">
            <w:pPr>
              <w:spacing w:after="0" w:line="240" w:lineRule="auto"/>
              <w:jc w:val="center"/>
              <w:rPr>
                <w:rFonts w:eastAsia="Times New Roman" w:cs="Times New Roman"/>
                <w:b w:val="0"/>
                <w:color w:val="000000"/>
                <w:sz w:val="16"/>
                <w:szCs w:val="16"/>
                <w:lang w:eastAsia="en-MY"/>
              </w:rPr>
            </w:pPr>
            <w:r>
              <w:rPr>
                <w:rFonts w:eastAsia="Times New Roman" w:cs="Times New Roman"/>
                <w:b w:val="0"/>
                <w:sz w:val="16"/>
                <w:szCs w:val="16"/>
                <w:lang w:eastAsia="en-MY"/>
              </w:rPr>
              <w:t>20-30</w:t>
            </w:r>
          </w:p>
        </w:tc>
        <w:tc>
          <w:tcPr>
            <w:tcW w:w="839" w:type="dxa"/>
            <w:tcBorders>
              <w:top w:val="nil"/>
              <w:left w:val="nil"/>
              <w:bottom w:val="single" w:sz="4" w:space="0" w:color="auto"/>
              <w:right w:val="nil"/>
            </w:tcBorders>
            <w:shd w:val="clear" w:color="auto" w:fill="auto"/>
            <w:noWrap/>
            <w:vAlign w:val="center"/>
          </w:tcPr>
          <w:p w14:paraId="63907920" w14:textId="3A400299" w:rsidR="00F913BE" w:rsidRPr="000E2377" w:rsidRDefault="003D5110" w:rsidP="00F913BE">
            <w:pPr>
              <w:spacing w:after="0" w:line="240" w:lineRule="auto"/>
              <w:jc w:val="center"/>
              <w:rPr>
                <w:rFonts w:eastAsia="Times New Roman" w:cs="Times New Roman"/>
                <w:b w:val="0"/>
                <w:color w:val="000000"/>
                <w:sz w:val="16"/>
                <w:szCs w:val="16"/>
                <w:lang w:eastAsia="en-MY"/>
              </w:rPr>
            </w:pPr>
            <w:r>
              <w:rPr>
                <w:rFonts w:eastAsia="Times New Roman" w:cs="Times New Roman"/>
                <w:b w:val="0"/>
                <w:sz w:val="16"/>
                <w:szCs w:val="16"/>
                <w:lang w:eastAsia="en-MY"/>
              </w:rPr>
              <w:t>0.28-0.31</w:t>
            </w:r>
          </w:p>
        </w:tc>
        <w:tc>
          <w:tcPr>
            <w:tcW w:w="1307" w:type="dxa"/>
            <w:tcBorders>
              <w:top w:val="nil"/>
              <w:left w:val="nil"/>
              <w:bottom w:val="single" w:sz="4" w:space="0" w:color="auto"/>
              <w:right w:val="nil"/>
            </w:tcBorders>
            <w:shd w:val="clear" w:color="auto" w:fill="auto"/>
            <w:noWrap/>
            <w:vAlign w:val="center"/>
          </w:tcPr>
          <w:p w14:paraId="3883B909" w14:textId="5182B6FE" w:rsidR="00F913BE" w:rsidRPr="000E2377" w:rsidRDefault="003D5110" w:rsidP="00F913BE">
            <w:pPr>
              <w:spacing w:after="0" w:line="240" w:lineRule="auto"/>
              <w:jc w:val="center"/>
              <w:rPr>
                <w:rFonts w:eastAsia="Times New Roman" w:cs="Times New Roman"/>
                <w:b w:val="0"/>
                <w:color w:val="000000"/>
                <w:sz w:val="16"/>
                <w:szCs w:val="16"/>
                <w:lang w:eastAsia="en-MY"/>
              </w:rPr>
            </w:pPr>
            <w:r>
              <w:rPr>
                <w:rFonts w:eastAsia="Times New Roman" w:cs="Times New Roman"/>
                <w:b w:val="0"/>
                <w:sz w:val="16"/>
                <w:szCs w:val="16"/>
                <w:lang w:eastAsia="en-MY"/>
              </w:rPr>
              <w:t>0.41-0.86</w:t>
            </w:r>
          </w:p>
        </w:tc>
        <w:tc>
          <w:tcPr>
            <w:tcW w:w="1843" w:type="dxa"/>
            <w:tcBorders>
              <w:top w:val="nil"/>
              <w:left w:val="nil"/>
              <w:bottom w:val="single" w:sz="4" w:space="0" w:color="auto"/>
              <w:right w:val="nil"/>
            </w:tcBorders>
            <w:shd w:val="clear" w:color="auto" w:fill="auto"/>
            <w:noWrap/>
            <w:vAlign w:val="center"/>
          </w:tcPr>
          <w:p w14:paraId="6EF65A27" w14:textId="53591217" w:rsidR="00F913BE" w:rsidRDefault="00F11367" w:rsidP="00F913BE">
            <w:pPr>
              <w:spacing w:after="0" w:line="240" w:lineRule="auto"/>
              <w:jc w:val="center"/>
              <w:rPr>
                <w:rFonts w:eastAsia="Times New Roman" w:cs="Times New Roman"/>
                <w:b w:val="0"/>
                <w:color w:val="000000"/>
                <w:sz w:val="16"/>
                <w:szCs w:val="16"/>
                <w:lang w:eastAsia="en-MY"/>
              </w:rPr>
            </w:pPr>
            <w:r w:rsidRPr="003A7AA3">
              <w:rPr>
                <w:rFonts w:eastAsia="Times New Roman" w:cs="Times New Roman"/>
                <w:b w:val="0"/>
                <w:color w:val="000000"/>
                <w:sz w:val="16"/>
                <w:szCs w:val="16"/>
                <w:lang w:eastAsia="en-MY"/>
              </w:rPr>
              <w:t>(</w:t>
            </w:r>
            <w:r w:rsidR="0001014E" w:rsidRPr="003A7AA3">
              <w:rPr>
                <w:rFonts w:eastAsia="Times New Roman" w:cs="Times New Roman"/>
                <w:b w:val="0"/>
                <w:color w:val="000000"/>
                <w:sz w:val="16"/>
                <w:szCs w:val="16"/>
                <w:lang w:eastAsia="en-MY"/>
              </w:rPr>
              <w:fldChar w:fldCharType="begin" w:fldLock="1"/>
            </w:r>
            <w:r w:rsidRPr="003A7AA3">
              <w:rPr>
                <w:rFonts w:eastAsia="Times New Roman" w:cs="Times New Roman"/>
                <w:b w:val="0"/>
                <w:color w:val="000000"/>
                <w:sz w:val="16"/>
                <w:szCs w:val="16"/>
                <w:lang w:eastAsia="en-MY"/>
              </w:rPr>
              <w:instrText>ADDIN CSL_CITATION { "citationItems" : [ { "id" : "ITEM-1", "itemData" : { "DOI" : "10.1016/j.jnoncrysol.2013.04.063", "ISBN" : "00223093", "ISSN" : "00223093", "abstract" : "Corner cracks were initiated in a series of lithium-magnesium-metaphosphate glasses with different Li-to-Mg ratios by performing Vickers indentation under humid conditions (RH = 50% and RH = 65%) and in dry nitrogen gas atmosphere (RH = 0.01%). Propagation of each crack was observed up to 240 h. Distinct condensation of water at the crack-tip up to 30 ??m occurred in humid environments, which led to a decrease in open crack length, while in dry nitrogen gas atmosphere this phenomenon was absent. A square root of time dependence was observed for the crack-tip condensation (CTC) kinetics as well as for weight gain experiments on crack-free glass specimens. Slow crack growth and CTC were dependent on the Li-to-Mg ratio of the glasses and showed a negative deviation from a linear compositional trend. Deviation of CTC was largest for glasses of Li-to-Mg ratio &gt; 2:1 indicating a mixed mobile ion effect beyond charge neutrality, while the fatigue resistance exhibited a maximum at concentrations of equal charge. On the other hand a positive deviation from additivity was found for hardness and Young's modulus indicating increased resistance against elastic and plastic deformation for glass compositions of mixed Li+ and Mg2 + ions. ?? 2013 Elsevier B.V.", "author" : [ { "dropping-particle" : "", "family" : "Striepe", "given" : "S.", "non-dropping-particle" : "", "parse-names" : false, "suffix" : "" }, { "dropping-particle" : "", "family" : "Deubener", "given" : "J.", "non-dropping-particle" : "", "parse-names" : false, "suffix" : "" } ], "container-title" : "Journal of Non-Crystalline Solids", "id" : "ITEM-1", "issued" : { "date-parts" : [ [ "2013" ] ] }, "page" : "47-54", "publisher" : "Elsevier B.V.", "title" : "Effect of lithium-to-magnesium ratio in metaphosphate glasses on crack-tip condensation and sub-critical crack growth", "type" : "article-journal", "volume" : "375" }, "uris" : [ "http://www.mendeley.com/documents/?uuid=ded760ac-8ab7-411c-b6fa-406bd8498799" ] } ], "mendeley" : { "formattedCitation" : "(S. Striepe &amp; Deubener, 2013)", "manualFormatting" : "Striepe &amp; Deubener, 2013)", "plainTextFormattedCitation" : "(S. Striepe &amp; Deubener, 2013)", "previouslyFormattedCitation" : "(S. Striepe &amp; Deubener, 2013)" }, "properties" : { "noteIndex" : 35 }, "schema" : "https://github.com/citation-style-language/schema/raw/master/csl-citation.json" }</w:instrText>
            </w:r>
            <w:r w:rsidR="0001014E" w:rsidRPr="003A7AA3">
              <w:rPr>
                <w:rFonts w:eastAsia="Times New Roman" w:cs="Times New Roman"/>
                <w:b w:val="0"/>
                <w:color w:val="000000"/>
                <w:sz w:val="16"/>
                <w:szCs w:val="16"/>
                <w:lang w:eastAsia="en-MY"/>
              </w:rPr>
              <w:fldChar w:fldCharType="separate"/>
            </w:r>
            <w:r w:rsidR="0001014E" w:rsidRPr="003A7AA3">
              <w:rPr>
                <w:rFonts w:eastAsia="Times New Roman" w:cs="Times New Roman"/>
                <w:b w:val="0"/>
                <w:noProof/>
                <w:color w:val="000000"/>
                <w:sz w:val="16"/>
                <w:szCs w:val="16"/>
                <w:lang w:eastAsia="en-MY"/>
              </w:rPr>
              <w:t>Striepe &amp; Deubener, 2013)</w:t>
            </w:r>
            <w:r w:rsidR="0001014E" w:rsidRPr="003A7AA3">
              <w:rPr>
                <w:rFonts w:eastAsia="Times New Roman" w:cs="Times New Roman"/>
                <w:b w:val="0"/>
                <w:color w:val="000000"/>
                <w:sz w:val="16"/>
                <w:szCs w:val="16"/>
                <w:lang w:eastAsia="en-MY"/>
              </w:rPr>
              <w:fldChar w:fldCharType="end"/>
            </w:r>
          </w:p>
          <w:p w14:paraId="305E6423" w14:textId="08A6F0E1" w:rsidR="00F11367" w:rsidRPr="000E2377" w:rsidRDefault="00F11367" w:rsidP="00F913BE">
            <w:pPr>
              <w:spacing w:after="0" w:line="240" w:lineRule="auto"/>
              <w:jc w:val="center"/>
              <w:rPr>
                <w:rFonts w:eastAsia="Times New Roman" w:cs="Times New Roman"/>
                <w:b w:val="0"/>
                <w:color w:val="000000"/>
                <w:sz w:val="16"/>
                <w:szCs w:val="16"/>
                <w:lang w:eastAsia="en-MY"/>
              </w:rPr>
            </w:pPr>
            <w:r>
              <w:rPr>
                <w:rFonts w:eastAsia="Times New Roman" w:cs="Times New Roman"/>
                <w:b w:val="0"/>
                <w:color w:val="000000"/>
                <w:sz w:val="16"/>
                <w:szCs w:val="16"/>
                <w:lang w:eastAsia="en-MY"/>
              </w:rPr>
              <w:fldChar w:fldCharType="begin" w:fldLock="1"/>
            </w:r>
            <w:r>
              <w:rPr>
                <w:rFonts w:eastAsia="Times New Roman" w:cs="Times New Roman"/>
                <w:b w:val="0"/>
                <w:color w:val="000000"/>
                <w:sz w:val="16"/>
                <w:szCs w:val="16"/>
                <w:lang w:eastAsia="en-MY"/>
              </w:rPr>
              <w:instrText>ADDIN CSL_CITATION { "citationItems" : [ { "id" : "ITEM-1", "itemData" : { "DOI" : "10.1007/s10853-007-2174-9", "ISSN" : "00222461", "abstract" : "The Vickers indentation behavior of five com- mercial glasses has been investigated as a function of temperature. The glasses included: (i) soda-lime-silica Float glass, (ii) lead-alkali silicate, (iii) 7740 PyrexTM borosili- cate, (iv) potassium phosphate, and (v) lanthanum borate. A recording microindentation system was constructed to allow Vickers indentation testing to be conducted at temperatures significantly above room temperature. TheVickers hardness was observed to decrease continuously with increasing temperature for all glasses, with the exception of the 7740 PyrexTM glass. Decreases in hardness were attributed to decreases in elastic moduli and bond strength with increas- ing temperature. The lengths of median-radial cracks around indentations in several glasses were observed to first increase, and then decrease, with increasing temperature. The first of this behavior was attributed to initial increases of the crack driving force, characterized by the quantity (E/H), as well as to a decrease in fracture surface energy. Viscous flow at higher temperatures was believed responsible for a reduction in the crack driving force and crack tip stress, resulting in an eventual decrease in crack length. Visco- elastic behavior of the Float glass was characterized by a rate-dependent hardness and indentation crack pattern. Loaddisplacement traces indicated an increase in the work of indentation and residual indentation depthwith increasing temperature for all glasses.", "author" : [ { "dropping-particle" : "", "family" : "Wilantewicz", "given" : "Trevor E.", "non-dropping-particle" : "", "parse-names" : false, "suffix" : "" }, { "dropping-particle" : "", "family" : "Varner", "given" : "James R.", "non-dropping-particle" : "", "parse-names" : false, "suffix" : "" } ], "container-title" : "Journal of Materials Science", "id" : "ITEM-1", "issue" : "1", "issued" : { "date-parts" : [ [ "2008" ] ] }, "page" : "281-298", "title" : "Vickers indentation behavior of several commercial glasses at high temperatures", "type" : "article-journal", "volume" : "43" }, "uris" : [ "http://www.mendeley.com/documents/?uuid=f9845a51-6da8-4c20-bc89-befd5bd7ae9e" ] } ], "mendeley" : { "formattedCitation" : "(Wilantewicz &amp; Varner, 2008)", "plainTextFormattedCitation" : "(Wilantewicz &amp; Varner, 2008)", "previouslyFormattedCitation" : "(Wilantewicz &amp; Varner, 2008)" }, "properties" : { "noteIndex" : 35 }, "schema" : "https://github.com/citation-style-language/schema/raw/master/csl-citation.json" }</w:instrText>
            </w:r>
            <w:r>
              <w:rPr>
                <w:rFonts w:eastAsia="Times New Roman" w:cs="Times New Roman"/>
                <w:b w:val="0"/>
                <w:color w:val="000000"/>
                <w:sz w:val="16"/>
                <w:szCs w:val="16"/>
                <w:lang w:eastAsia="en-MY"/>
              </w:rPr>
              <w:fldChar w:fldCharType="separate"/>
            </w:r>
            <w:r w:rsidRPr="00F11367">
              <w:rPr>
                <w:rFonts w:eastAsia="Times New Roman" w:cs="Times New Roman"/>
                <w:b w:val="0"/>
                <w:noProof/>
                <w:color w:val="000000"/>
                <w:sz w:val="16"/>
                <w:szCs w:val="16"/>
                <w:lang w:eastAsia="en-MY"/>
              </w:rPr>
              <w:t>(Wilantewicz &amp; Varner, 2008)</w:t>
            </w:r>
            <w:r>
              <w:rPr>
                <w:rFonts w:eastAsia="Times New Roman" w:cs="Times New Roman"/>
                <w:b w:val="0"/>
                <w:color w:val="000000"/>
                <w:sz w:val="16"/>
                <w:szCs w:val="16"/>
                <w:lang w:eastAsia="en-MY"/>
              </w:rPr>
              <w:fldChar w:fldCharType="end"/>
            </w:r>
          </w:p>
        </w:tc>
      </w:tr>
    </w:tbl>
    <w:p w14:paraId="37B7D1A3" w14:textId="77777777" w:rsidR="008F0B12" w:rsidRDefault="008E37C1" w:rsidP="00601DF4">
      <w:pPr>
        <w:pStyle w:val="Heading4"/>
        <w:spacing w:after="240"/>
        <w:rPr>
          <w:rFonts w:cs="Times New Roman"/>
          <w:szCs w:val="24"/>
        </w:rPr>
      </w:pPr>
      <w:bookmarkStart w:id="141" w:name="_Toc523402877"/>
      <w:bookmarkStart w:id="142" w:name="_Toc525526388"/>
      <w:bookmarkStart w:id="143" w:name="_Toc525707805"/>
      <w:bookmarkStart w:id="144" w:name="_Toc525742469"/>
      <w:bookmarkStart w:id="145" w:name="_Hlk485117690"/>
      <w:r w:rsidRPr="008E37C1">
        <w:rPr>
          <w:rFonts w:cs="Times New Roman"/>
          <w:szCs w:val="24"/>
        </w:rPr>
        <w:t xml:space="preserve"> </w:t>
      </w:r>
    </w:p>
    <w:p w14:paraId="0DE02FC5" w14:textId="29D050C8" w:rsidR="004600FC" w:rsidRPr="000E2377" w:rsidRDefault="004600FC" w:rsidP="00601DF4">
      <w:pPr>
        <w:pStyle w:val="Heading4"/>
        <w:spacing w:after="240"/>
      </w:pPr>
      <w:r w:rsidRPr="000E2377">
        <w:t>2.</w:t>
      </w:r>
      <w:r w:rsidR="003B115C">
        <w:t>1</w:t>
      </w:r>
      <w:r w:rsidR="007754F1">
        <w:t>1</w:t>
      </w:r>
      <w:r w:rsidRPr="000E2377">
        <w:t>.1 Moduli</w:t>
      </w:r>
      <w:bookmarkEnd w:id="141"/>
      <w:bookmarkEnd w:id="142"/>
      <w:bookmarkEnd w:id="143"/>
      <w:bookmarkEnd w:id="144"/>
    </w:p>
    <w:p w14:paraId="44EAD45E" w14:textId="73B25DCC" w:rsidR="001026F6" w:rsidRPr="000E2377" w:rsidRDefault="00C00B75" w:rsidP="001026F6">
      <w:pPr>
        <w:spacing w:line="360" w:lineRule="auto"/>
        <w:jc w:val="both"/>
        <w:rPr>
          <w:rFonts w:eastAsiaTheme="majorEastAsia" w:cs="Times New Roman"/>
          <w:b w:val="0"/>
          <w:bCs/>
          <w:szCs w:val="24"/>
        </w:rPr>
      </w:pPr>
      <w:r w:rsidRPr="000E2377">
        <w:rPr>
          <w:rFonts w:eastAsiaTheme="majorEastAsia" w:cs="Times New Roman"/>
          <w:b w:val="0"/>
          <w:bCs/>
          <w:szCs w:val="24"/>
        </w:rPr>
        <w:t>Young’s modulus (E), bulk modulus (</w:t>
      </w:r>
      <w:r w:rsidRPr="000E2377">
        <w:rPr>
          <w:rFonts w:eastAsiaTheme="majorEastAsia" w:cs="Times New Roman"/>
          <w:b w:val="0"/>
          <w:bCs/>
          <w:i/>
          <w:szCs w:val="24"/>
        </w:rPr>
        <w:t>K</w:t>
      </w:r>
      <w:r w:rsidRPr="000E2377">
        <w:rPr>
          <w:rFonts w:eastAsiaTheme="majorEastAsia" w:cs="Times New Roman"/>
          <w:b w:val="0"/>
          <w:bCs/>
          <w:szCs w:val="24"/>
        </w:rPr>
        <w:t>), shear modulus (</w:t>
      </w:r>
      <w:r w:rsidRPr="000E2377">
        <w:rPr>
          <w:rFonts w:eastAsiaTheme="majorEastAsia" w:cs="Times New Roman"/>
          <w:b w:val="0"/>
          <w:bCs/>
          <w:i/>
          <w:szCs w:val="24"/>
        </w:rPr>
        <w:t>G</w:t>
      </w:r>
      <w:r w:rsidRPr="000E2377">
        <w:rPr>
          <w:rFonts w:eastAsiaTheme="majorEastAsia" w:cs="Times New Roman"/>
          <w:b w:val="0"/>
          <w:bCs/>
          <w:szCs w:val="24"/>
        </w:rPr>
        <w:t>), and Poisson’s ratio (</w:t>
      </w:r>
      <w:r w:rsidRPr="000E2377">
        <w:rPr>
          <w:rFonts w:eastAsiaTheme="majorEastAsia" w:cs="Times New Roman"/>
          <w:b w:val="0"/>
          <w:bCs/>
          <w:i/>
          <w:szCs w:val="24"/>
        </w:rPr>
        <w:t>v</w:t>
      </w:r>
      <w:r w:rsidRPr="000E2377">
        <w:rPr>
          <w:rFonts w:eastAsiaTheme="majorEastAsia" w:cs="Times New Roman"/>
          <w:b w:val="0"/>
          <w:bCs/>
          <w:szCs w:val="24"/>
        </w:rPr>
        <w:t xml:space="preserve">) </w:t>
      </w:r>
      <w:r w:rsidR="007C59CA">
        <w:rPr>
          <w:rFonts w:eastAsiaTheme="majorEastAsia" w:cs="Times New Roman"/>
          <w:b w:val="0"/>
          <w:bCs/>
          <w:szCs w:val="24"/>
        </w:rPr>
        <w:t>are fundamental material</w:t>
      </w:r>
      <w:r w:rsidR="00933CB9">
        <w:rPr>
          <w:rFonts w:eastAsiaTheme="majorEastAsia" w:cs="Times New Roman"/>
          <w:b w:val="0"/>
          <w:bCs/>
          <w:szCs w:val="24"/>
        </w:rPr>
        <w:t xml:space="preserve"> properties</w:t>
      </w:r>
      <w:r w:rsidR="007C59CA">
        <w:rPr>
          <w:rFonts w:eastAsiaTheme="majorEastAsia" w:cs="Times New Roman"/>
          <w:b w:val="0"/>
          <w:bCs/>
          <w:szCs w:val="24"/>
        </w:rPr>
        <w:t xml:space="preserve"> described in more detail below. For an isotropic material such as glass </w:t>
      </w:r>
      <w:r w:rsidR="00D871AB" w:rsidRPr="000E2377">
        <w:rPr>
          <w:rFonts w:eastAsiaTheme="majorEastAsia" w:cs="Times New Roman"/>
          <w:b w:val="0"/>
          <w:bCs/>
          <w:szCs w:val="24"/>
        </w:rPr>
        <w:t xml:space="preserve">once any two of these parameters are </w:t>
      </w:r>
      <w:r w:rsidR="007C59CA">
        <w:rPr>
          <w:rFonts w:eastAsiaTheme="majorEastAsia" w:cs="Times New Roman"/>
          <w:b w:val="0"/>
          <w:bCs/>
          <w:szCs w:val="24"/>
        </w:rPr>
        <w:t>known the</w:t>
      </w:r>
      <w:r w:rsidR="00D871AB" w:rsidRPr="000E2377">
        <w:rPr>
          <w:rFonts w:eastAsiaTheme="majorEastAsia" w:cs="Times New Roman"/>
          <w:b w:val="0"/>
          <w:bCs/>
          <w:szCs w:val="24"/>
        </w:rPr>
        <w:t xml:space="preserve"> others can be calculated</w:t>
      </w:r>
      <w:r w:rsidR="007C59CA">
        <w:rPr>
          <w:rFonts w:eastAsiaTheme="majorEastAsia" w:cs="Times New Roman"/>
          <w:b w:val="0"/>
          <w:bCs/>
          <w:szCs w:val="24"/>
        </w:rPr>
        <w:t xml:space="preserve"> using relationships such a</w:t>
      </w:r>
      <w:r w:rsidR="001026F6" w:rsidRPr="000E2377">
        <w:rPr>
          <w:rFonts w:eastAsiaTheme="majorEastAsia" w:cs="Times New Roman"/>
          <w:b w:val="0"/>
          <w:bCs/>
          <w:szCs w:val="24"/>
        </w:rPr>
        <w:t xml:space="preserve">s </w:t>
      </w:r>
      <w:r w:rsidR="000F5074" w:rsidRPr="000E2377">
        <w:rPr>
          <w:rFonts w:eastAsiaTheme="majorEastAsia" w:cs="Times New Roman"/>
          <w:b w:val="0"/>
          <w:bCs/>
          <w:szCs w:val="24"/>
        </w:rPr>
        <w:t>(</w:t>
      </w:r>
      <w:r w:rsidR="001026F6" w:rsidRPr="000E2377">
        <w:rPr>
          <w:rFonts w:cs="Times New Roman"/>
          <w:b w:val="0"/>
          <w:szCs w:val="24"/>
          <w:lang w:val="en-GB"/>
        </w:rPr>
        <w:t>Green, 1988)</w:t>
      </w:r>
      <w:r w:rsidR="00933CB9">
        <w:rPr>
          <w:rFonts w:cs="Times New Roman"/>
          <w:b w:val="0"/>
          <w:szCs w:val="24"/>
          <w:lang w:val="en-GB"/>
        </w:rPr>
        <w:t>:</w:t>
      </w:r>
    </w:p>
    <w:p w14:paraId="7FE1EC91" w14:textId="1632DFA3" w:rsidR="001026F6" w:rsidRPr="000E2377" w:rsidRDefault="001026F6" w:rsidP="001026F6">
      <w:pPr>
        <w:spacing w:line="360" w:lineRule="auto"/>
        <w:jc w:val="both"/>
        <w:rPr>
          <w:rFonts w:cs="Times New Roman"/>
          <w:b w:val="0"/>
          <w:color w:val="FF0000"/>
          <w:szCs w:val="24"/>
          <w:lang w:val="en-GB"/>
        </w:rPr>
      </w:pPr>
      <w:r w:rsidRPr="000E2377">
        <w:rPr>
          <w:rFonts w:cs="Times New Roman"/>
          <w:b w:val="0"/>
          <w:position w:val="-28"/>
          <w:szCs w:val="24"/>
          <w:lang w:val="en-GB"/>
        </w:rPr>
        <w:object w:dxaOrig="1440" w:dyaOrig="660" w14:anchorId="1602E46C">
          <v:shape id="_x0000_i1032" type="#_x0000_t75" style="width:1in;height:36pt" o:ole="">
            <v:imagedata r:id="rId35" o:title=""/>
          </v:shape>
          <o:OLEObject Type="Embed" ProgID="Equation.3" ShapeID="_x0000_i1032" DrawAspect="Content" ObjectID="_1626192805" r:id="rId36"/>
        </w:object>
      </w:r>
      <w:r w:rsidRPr="000E2377">
        <w:rPr>
          <w:rFonts w:cs="Times New Roman"/>
          <w:b w:val="0"/>
          <w:szCs w:val="24"/>
          <w:lang w:val="en-GB"/>
        </w:rPr>
        <w:tab/>
      </w:r>
      <w:r w:rsidRPr="000E2377">
        <w:rPr>
          <w:rFonts w:cs="Times New Roman"/>
          <w:b w:val="0"/>
          <w:szCs w:val="24"/>
          <w:lang w:val="en-GB"/>
        </w:rPr>
        <w:tab/>
      </w:r>
      <w:r w:rsidRPr="000E2377">
        <w:rPr>
          <w:rFonts w:cs="Times New Roman"/>
          <w:b w:val="0"/>
          <w:szCs w:val="24"/>
          <w:lang w:val="en-GB"/>
        </w:rPr>
        <w:tab/>
      </w:r>
      <w:r w:rsidRPr="000E2377">
        <w:rPr>
          <w:rFonts w:cs="Times New Roman"/>
          <w:b w:val="0"/>
          <w:szCs w:val="24"/>
          <w:lang w:val="en-GB"/>
        </w:rPr>
        <w:tab/>
      </w:r>
      <w:r w:rsidRPr="000E2377">
        <w:rPr>
          <w:rFonts w:cs="Times New Roman"/>
          <w:b w:val="0"/>
          <w:szCs w:val="24"/>
          <w:lang w:val="en-GB"/>
        </w:rPr>
        <w:tab/>
      </w:r>
      <w:r w:rsidRPr="000E2377">
        <w:rPr>
          <w:rFonts w:cs="Times New Roman"/>
          <w:b w:val="0"/>
          <w:szCs w:val="24"/>
          <w:lang w:val="en-GB"/>
        </w:rPr>
        <w:tab/>
      </w:r>
      <w:r w:rsidRPr="000E2377">
        <w:rPr>
          <w:rFonts w:cs="Times New Roman"/>
          <w:b w:val="0"/>
          <w:szCs w:val="24"/>
          <w:lang w:val="en-GB"/>
        </w:rPr>
        <w:tab/>
      </w:r>
      <w:r w:rsidRPr="000E2377">
        <w:rPr>
          <w:rFonts w:cs="Times New Roman"/>
          <w:b w:val="0"/>
          <w:szCs w:val="24"/>
          <w:lang w:val="en-GB"/>
        </w:rPr>
        <w:tab/>
      </w:r>
      <w:r w:rsidR="00541CA4" w:rsidRPr="000E2377">
        <w:rPr>
          <w:rFonts w:cs="Times New Roman"/>
          <w:b w:val="0"/>
          <w:szCs w:val="24"/>
          <w:lang w:val="en-GB"/>
        </w:rPr>
        <w:t xml:space="preserve">         Equation 2.</w:t>
      </w:r>
      <w:r w:rsidR="00E857EA">
        <w:rPr>
          <w:rFonts w:cs="Times New Roman"/>
          <w:b w:val="0"/>
          <w:szCs w:val="24"/>
          <w:lang w:val="en-GB"/>
        </w:rPr>
        <w:t>7</w:t>
      </w:r>
    </w:p>
    <w:p w14:paraId="193D6F63" w14:textId="38BA341A" w:rsidR="001026F6" w:rsidRPr="000E2377" w:rsidRDefault="001026F6" w:rsidP="001026F6">
      <w:pPr>
        <w:spacing w:line="360" w:lineRule="auto"/>
        <w:jc w:val="both"/>
        <w:rPr>
          <w:rFonts w:cs="Times New Roman"/>
          <w:b w:val="0"/>
          <w:szCs w:val="24"/>
          <w:lang w:val="en-GB"/>
        </w:rPr>
      </w:pPr>
      <w:r w:rsidRPr="000E2377">
        <w:rPr>
          <w:rFonts w:cs="Times New Roman"/>
          <w:b w:val="0"/>
          <w:position w:val="-28"/>
          <w:szCs w:val="24"/>
          <w:lang w:val="en-GB"/>
        </w:rPr>
        <w:object w:dxaOrig="1219" w:dyaOrig="660" w14:anchorId="0801B78A">
          <v:shape id="_x0000_i1033" type="#_x0000_t75" style="width:64.8pt;height:36pt" o:ole="">
            <v:imagedata r:id="rId37" o:title=""/>
          </v:shape>
          <o:OLEObject Type="Embed" ProgID="Equation.3" ShapeID="_x0000_i1033" DrawAspect="Content" ObjectID="_1626192806" r:id="rId38"/>
        </w:object>
      </w:r>
      <w:r w:rsidRPr="000E2377">
        <w:rPr>
          <w:rFonts w:cs="Times New Roman"/>
          <w:b w:val="0"/>
          <w:szCs w:val="24"/>
          <w:lang w:val="en-GB"/>
        </w:rPr>
        <w:tab/>
      </w:r>
      <w:r w:rsidRPr="000E2377">
        <w:rPr>
          <w:rFonts w:cs="Times New Roman"/>
          <w:b w:val="0"/>
          <w:szCs w:val="24"/>
          <w:lang w:val="en-GB"/>
        </w:rPr>
        <w:tab/>
      </w:r>
      <w:r w:rsidRPr="000E2377">
        <w:rPr>
          <w:rFonts w:cs="Times New Roman"/>
          <w:b w:val="0"/>
          <w:szCs w:val="24"/>
          <w:lang w:val="en-GB"/>
        </w:rPr>
        <w:tab/>
      </w:r>
      <w:r w:rsidRPr="000E2377">
        <w:rPr>
          <w:rFonts w:cs="Times New Roman"/>
          <w:b w:val="0"/>
          <w:szCs w:val="24"/>
          <w:lang w:val="en-GB"/>
        </w:rPr>
        <w:tab/>
      </w:r>
      <w:r w:rsidRPr="000E2377">
        <w:rPr>
          <w:rFonts w:cs="Times New Roman"/>
          <w:b w:val="0"/>
          <w:szCs w:val="24"/>
          <w:lang w:val="en-GB"/>
        </w:rPr>
        <w:tab/>
      </w:r>
      <w:r w:rsidRPr="000E2377">
        <w:rPr>
          <w:rFonts w:cs="Times New Roman"/>
          <w:b w:val="0"/>
          <w:szCs w:val="24"/>
          <w:lang w:val="en-GB"/>
        </w:rPr>
        <w:tab/>
      </w:r>
      <w:r w:rsidRPr="000E2377">
        <w:rPr>
          <w:rFonts w:cs="Times New Roman"/>
          <w:b w:val="0"/>
          <w:szCs w:val="24"/>
          <w:lang w:val="en-GB"/>
        </w:rPr>
        <w:tab/>
      </w:r>
      <w:r w:rsidRPr="000E2377">
        <w:rPr>
          <w:rFonts w:cs="Times New Roman"/>
          <w:b w:val="0"/>
          <w:szCs w:val="24"/>
          <w:lang w:val="en-GB"/>
        </w:rPr>
        <w:tab/>
      </w:r>
      <w:r w:rsidRPr="000E2377">
        <w:rPr>
          <w:rFonts w:cs="Times New Roman"/>
          <w:b w:val="0"/>
          <w:szCs w:val="24"/>
          <w:lang w:val="en-GB"/>
        </w:rPr>
        <w:tab/>
      </w:r>
      <w:r w:rsidR="00541CA4" w:rsidRPr="000E2377">
        <w:rPr>
          <w:rFonts w:cs="Times New Roman"/>
          <w:b w:val="0"/>
          <w:szCs w:val="24"/>
          <w:lang w:val="en-GB"/>
        </w:rPr>
        <w:t xml:space="preserve">         </w:t>
      </w:r>
      <w:r w:rsidR="00541CA4" w:rsidRPr="000E2377">
        <w:rPr>
          <w:rFonts w:cs="Times New Roman"/>
          <w:b w:val="0"/>
          <w:color w:val="000000" w:themeColor="text1"/>
          <w:szCs w:val="24"/>
          <w:lang w:val="en-GB"/>
        </w:rPr>
        <w:t>Equation 2.</w:t>
      </w:r>
      <w:r w:rsidR="00E857EA">
        <w:rPr>
          <w:rFonts w:cs="Times New Roman"/>
          <w:b w:val="0"/>
          <w:color w:val="000000" w:themeColor="text1"/>
          <w:szCs w:val="24"/>
          <w:lang w:val="en-GB"/>
        </w:rPr>
        <w:t>8</w:t>
      </w:r>
    </w:p>
    <w:p w14:paraId="7BEFAEBD" w14:textId="562BCA9D" w:rsidR="00D871AB" w:rsidRPr="000E2377" w:rsidRDefault="00D871AB" w:rsidP="00601DF4">
      <w:pPr>
        <w:pStyle w:val="Heading4"/>
        <w:spacing w:after="240"/>
      </w:pPr>
      <w:bookmarkStart w:id="146" w:name="_Toc523402878"/>
      <w:bookmarkStart w:id="147" w:name="_Toc525526389"/>
      <w:bookmarkStart w:id="148" w:name="_Toc525707806"/>
      <w:bookmarkStart w:id="149" w:name="_Toc525742470"/>
      <w:r w:rsidRPr="000E2377">
        <w:t>2.</w:t>
      </w:r>
      <w:r w:rsidR="003B115C">
        <w:t>1</w:t>
      </w:r>
      <w:r w:rsidR="007754F1">
        <w:t>1</w:t>
      </w:r>
      <w:r w:rsidRPr="000E2377">
        <w:t xml:space="preserve">.1.1 </w:t>
      </w:r>
      <w:r w:rsidR="004600FC" w:rsidRPr="000E2377">
        <w:t>Young’s modulus</w:t>
      </w:r>
      <w:bookmarkEnd w:id="146"/>
      <w:bookmarkEnd w:id="147"/>
      <w:bookmarkEnd w:id="148"/>
      <w:bookmarkEnd w:id="149"/>
    </w:p>
    <w:p w14:paraId="217908B1" w14:textId="36E3DBB1" w:rsidR="00601DF4" w:rsidRDefault="00D871AB" w:rsidP="00245B3D">
      <w:pPr>
        <w:spacing w:after="0" w:line="360" w:lineRule="auto"/>
        <w:jc w:val="both"/>
        <w:rPr>
          <w:b w:val="0"/>
        </w:rPr>
      </w:pPr>
      <w:r w:rsidRPr="000E2377">
        <w:rPr>
          <w:b w:val="0"/>
        </w:rPr>
        <w:t>Young’s modulus</w:t>
      </w:r>
      <w:r w:rsidR="004600FC" w:rsidRPr="000E2377">
        <w:rPr>
          <w:b w:val="0"/>
        </w:rPr>
        <w:t xml:space="preserve"> </w:t>
      </w:r>
      <w:r w:rsidR="00251E52" w:rsidRPr="000E2377">
        <w:rPr>
          <w:b w:val="0"/>
        </w:rPr>
        <w:t>measure</w:t>
      </w:r>
      <w:r w:rsidR="007C59CA">
        <w:rPr>
          <w:b w:val="0"/>
        </w:rPr>
        <w:t>s</w:t>
      </w:r>
      <w:r w:rsidR="00251E52" w:rsidRPr="000E2377">
        <w:rPr>
          <w:b w:val="0"/>
        </w:rPr>
        <w:t xml:space="preserve"> the stiffness of </w:t>
      </w:r>
      <w:r w:rsidR="007C59CA">
        <w:rPr>
          <w:b w:val="0"/>
        </w:rPr>
        <w:t xml:space="preserve">a </w:t>
      </w:r>
      <w:r w:rsidR="00251E52" w:rsidRPr="000E2377">
        <w:rPr>
          <w:b w:val="0"/>
        </w:rPr>
        <w:t xml:space="preserve">material. </w:t>
      </w:r>
      <w:r w:rsidR="00563FA9" w:rsidRPr="000E2377">
        <w:rPr>
          <w:rFonts w:cs="Times New Roman"/>
          <w:b w:val="0"/>
          <w:szCs w:val="24"/>
        </w:rPr>
        <w:t xml:space="preserve">Young modulus </w:t>
      </w:r>
      <w:r w:rsidR="007C59CA">
        <w:rPr>
          <w:rFonts w:cs="Times New Roman"/>
          <w:b w:val="0"/>
          <w:szCs w:val="24"/>
        </w:rPr>
        <w:t xml:space="preserve">of glasses is determined by </w:t>
      </w:r>
      <w:r w:rsidR="00095FA1" w:rsidRPr="000E2377">
        <w:rPr>
          <w:rFonts w:cs="Times New Roman"/>
          <w:b w:val="0"/>
          <w:szCs w:val="24"/>
        </w:rPr>
        <w:t>t</w:t>
      </w:r>
      <w:r w:rsidR="00563FA9" w:rsidRPr="000E2377">
        <w:rPr>
          <w:rFonts w:cs="Times New Roman"/>
          <w:b w:val="0"/>
          <w:szCs w:val="24"/>
        </w:rPr>
        <w:t xml:space="preserve">he average strength of </w:t>
      </w:r>
      <w:r w:rsidR="007C59CA">
        <w:rPr>
          <w:rFonts w:cs="Times New Roman"/>
          <w:b w:val="0"/>
          <w:szCs w:val="24"/>
        </w:rPr>
        <w:t>the</w:t>
      </w:r>
      <w:r w:rsidR="00563FA9" w:rsidRPr="000E2377">
        <w:rPr>
          <w:rFonts w:cs="Times New Roman"/>
          <w:b w:val="0"/>
          <w:szCs w:val="24"/>
        </w:rPr>
        <w:t xml:space="preserve"> chemical bond</w:t>
      </w:r>
      <w:r w:rsidR="007C59CA">
        <w:rPr>
          <w:rFonts w:cs="Times New Roman"/>
          <w:b w:val="0"/>
          <w:szCs w:val="24"/>
        </w:rPr>
        <w:t>s in the glass</w:t>
      </w:r>
      <w:r w:rsidR="00563FA9" w:rsidRPr="000E2377">
        <w:rPr>
          <w:rFonts w:cs="Times New Roman"/>
          <w:b w:val="0"/>
          <w:szCs w:val="24"/>
        </w:rPr>
        <w:t xml:space="preserve"> and </w:t>
      </w:r>
      <w:r w:rsidR="007C59CA">
        <w:rPr>
          <w:rFonts w:cs="Times New Roman"/>
          <w:b w:val="0"/>
          <w:szCs w:val="24"/>
        </w:rPr>
        <w:t xml:space="preserve">the </w:t>
      </w:r>
      <w:r w:rsidR="00563FA9" w:rsidRPr="000E2377">
        <w:rPr>
          <w:rFonts w:cs="Times New Roman"/>
          <w:b w:val="0"/>
          <w:szCs w:val="24"/>
        </w:rPr>
        <w:t xml:space="preserve">atomic packing density </w:t>
      </w:r>
      <w:r w:rsidR="002F7727" w:rsidRPr="000E2377">
        <w:rPr>
          <w:rFonts w:cs="Times New Roman"/>
          <w:b w:val="0"/>
          <w:szCs w:val="24"/>
        </w:rPr>
        <w:fldChar w:fldCharType="begin" w:fldLock="1"/>
      </w:r>
      <w:r w:rsidR="002F7727" w:rsidRPr="000E2377">
        <w:rPr>
          <w:rFonts w:cs="Times New Roman"/>
          <w:b w:val="0"/>
          <w:szCs w:val="24"/>
        </w:rPr>
        <w:instrText>ADDIN CSL_CITATION { "citationItems" : [ { "id" : "ITEM-1", "itemData" : { "DOI" : "10.1016/0022-3093(73)90053-7", "ISBN" : "0022-3093", "ISSN" : "00223093", "abstract" : "An equation has been derived for the direct calculation of the Young's modulus of oxide glasses from their chemical compositions. The method is based on a consideration of dissociation energy of the oxide constituents per unit volume and the packing density. For borate glasses, the ratio of four-coordinated to three-coordinated borons must be taken into consideration. Excellent agreement is obtained between calculated and measured values of Young's modulus for over thirty different glasses. ?? 1973.", "author" : [ { "dropping-particle" : "", "family" : "Makishima", "given" : "A.", "non-dropping-particle" : "", "parse-names" : false, "suffix" : "" }, { "dropping-particle" : "", "family" : "Mackenzie", "given" : "J. D.", "non-dropping-particle" : "", "parse-names" : false, "suffix" : "" } ], "container-title" : "Journal of Non-Crystalline Solids", "id" : "ITEM-1", "issue" : "1", "issued" : { "date-parts" : [ [ "1973" ] ] }, "page" : "35-45", "title" : "Direct calculation of Young's modulus of glass", "type" : "article-journal", "volume" : "12" }, "uris" : [ "http://www.mendeley.com/documents/?uuid=709d85a3-431f-4e06-aa47-85bbb1a904ab" ] } ], "mendeley" : { "formattedCitation" : "(Makishima &amp; Mackenzie, 1973)", "plainTextFormattedCitation" : "(Makishima &amp; Mackenzie, 1973)", "previouslyFormattedCitation" : "(Makishima &amp; Mackenzie, 1973)" }, "properties" : { "noteIndex" : 28 }, "schema" : "https://github.com/citation-style-language/schema/raw/master/csl-citation.json" }</w:instrText>
      </w:r>
      <w:r w:rsidR="002F7727" w:rsidRPr="000E2377">
        <w:rPr>
          <w:rFonts w:cs="Times New Roman"/>
          <w:b w:val="0"/>
          <w:szCs w:val="24"/>
        </w:rPr>
        <w:fldChar w:fldCharType="separate"/>
      </w:r>
      <w:r w:rsidR="002F7727" w:rsidRPr="000E2377">
        <w:rPr>
          <w:rFonts w:cs="Times New Roman"/>
          <w:b w:val="0"/>
          <w:noProof/>
          <w:szCs w:val="24"/>
        </w:rPr>
        <w:t>(Makishima &amp; Mackenzie, 1973)</w:t>
      </w:r>
      <w:r w:rsidR="002F7727" w:rsidRPr="000E2377">
        <w:rPr>
          <w:rFonts w:cs="Times New Roman"/>
          <w:b w:val="0"/>
          <w:szCs w:val="24"/>
        </w:rPr>
        <w:fldChar w:fldCharType="end"/>
      </w:r>
      <w:r w:rsidR="002F7727" w:rsidRPr="000E2377">
        <w:rPr>
          <w:rFonts w:cs="Times New Roman"/>
          <w:b w:val="0"/>
          <w:szCs w:val="24"/>
        </w:rPr>
        <w:t xml:space="preserve"> </w:t>
      </w:r>
      <w:r w:rsidR="002F7727" w:rsidRPr="000E2377">
        <w:rPr>
          <w:rFonts w:cs="Times New Roman"/>
          <w:b w:val="0"/>
          <w:szCs w:val="24"/>
        </w:rPr>
        <w:fldChar w:fldCharType="begin" w:fldLock="1"/>
      </w:r>
      <w:r w:rsidR="002F7727" w:rsidRPr="000E2377">
        <w:rPr>
          <w:rFonts w:cs="Times New Roman"/>
          <w:b w:val="0"/>
          <w:szCs w:val="24"/>
        </w:rPr>
        <w:instrText>ADDIN CSL_CITATION { "citationItems" : [ { "id" : "ITEM-1", "itemData" : { "DOI" : "10.1016/j.ceramint.2015.12.123", "ISSN" : "02728842", "abstract" : "The elastic properties and the density of ternary glass forming systems within the CaO-SiO2-Al2O3-system (CAS) were evaluated. Different glass compositions near the lowest eutectic (1170 \u00b0C) composition within the CaO-Al2O3-SiO2-system have been melted from pure raw materials. Their target compositions differed not more than 4 wt% for each component. Exact chemical compositions were measured by x-ray fluorescence. The density, and acoustic properties were determined and the Young's Moduli were derived herefrom. It was of special interest to obtain information on these properties and their dependencies upon small variations in the composition. The density values were between 2.600 and 2.667 g cm-3and the packing density factors Vpof the oxides glasses using the ionic radii of Pauling were in the range from 0.559 to 0.571. The determined data were compared to different model calculations. Density model calculations show relative deviations between 2 and 6%. The values calculated from the model for Young's Modulus by Makishima and Mackenzie (1973) [1] were somewhat smaller than the measured ones. The correction by Rocherulle et al. (1989) [3] of the Makishima model showed better agreement with the measured values.", "author" : [ { "dropping-particle" : "", "family" : "Veit", "given" : "Ulrike", "non-dropping-particle" : "", "parse-names" : false, "suffix" : "" }, { "dropping-particle" : "", "family" : "R\u00fcssel", "given" : "Christian", "non-dropping-particle" : "", "parse-names" : false, "suffix" : "" } ], "container-title" : "Ceramics International", "id" : "ITEM-1", "issue" : "5", "issued" : { "date-parts" : [ [ "2016" ] ] }, "page" : "5810-5822", "publisher" : "Elsevier", "title" : "Density and Young's Modulus of ternary glasses close to the eutectic composition in the CaO-Al2O3-SiO2-system", "type" : "article-journal", "volume" : "42" }, "uris" : [ "http://www.mendeley.com/documents/?uuid=052a0713-0f73-47e0-866a-9987c4fc1276" ] } ], "mendeley" : { "formattedCitation" : "(Veit &amp; R\u00fcssel, 2016)", "plainTextFormattedCitation" : "(Veit &amp; R\u00fcssel, 2016)", "previouslyFormattedCitation" : "(Veit &amp; R\u00fcssel, 2016)" }, "properties" : { "noteIndex" : 28 }, "schema" : "https://github.com/citation-style-language/schema/raw/master/csl-citation.json" }</w:instrText>
      </w:r>
      <w:r w:rsidR="002F7727" w:rsidRPr="000E2377">
        <w:rPr>
          <w:rFonts w:cs="Times New Roman"/>
          <w:b w:val="0"/>
          <w:szCs w:val="24"/>
        </w:rPr>
        <w:fldChar w:fldCharType="separate"/>
      </w:r>
      <w:r w:rsidR="002F7727" w:rsidRPr="000E2377">
        <w:rPr>
          <w:rFonts w:cs="Times New Roman"/>
          <w:b w:val="0"/>
          <w:noProof/>
          <w:szCs w:val="24"/>
        </w:rPr>
        <w:t>(Veit &amp; Rüssel, 2016)</w:t>
      </w:r>
      <w:r w:rsidR="002F7727" w:rsidRPr="000E2377">
        <w:rPr>
          <w:rFonts w:cs="Times New Roman"/>
          <w:b w:val="0"/>
          <w:szCs w:val="24"/>
        </w:rPr>
        <w:fldChar w:fldCharType="end"/>
      </w:r>
      <w:r w:rsidR="00095FA1" w:rsidRPr="000E2377">
        <w:rPr>
          <w:rFonts w:cs="Times New Roman"/>
          <w:b w:val="0"/>
          <w:szCs w:val="24"/>
        </w:rPr>
        <w:t xml:space="preserve">. </w:t>
      </w:r>
      <w:r w:rsidR="00DE2573">
        <w:rPr>
          <w:rFonts w:cs="Times New Roman"/>
          <w:b w:val="0"/>
          <w:szCs w:val="24"/>
        </w:rPr>
        <w:t xml:space="preserve">Rouxel also states that the packing density and the atomic bond energy affect moduli </w:t>
      </w:r>
      <w:r w:rsidR="00DE2573" w:rsidRPr="000E2377">
        <w:rPr>
          <w:rFonts w:cs="Times New Roman"/>
          <w:b w:val="0"/>
          <w:szCs w:val="24"/>
        </w:rPr>
        <w:fldChar w:fldCharType="begin" w:fldLock="1"/>
      </w:r>
      <w:r w:rsidR="00DE2573" w:rsidRPr="000E2377">
        <w:rPr>
          <w:rFonts w:cs="Times New Roman"/>
          <w:b w:val="0"/>
          <w:szCs w:val="24"/>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"manualFormatting" : "(Rouxel, 2007)", "plainTextFormattedCitation" : "(Tanguy Rouxel, 2007)", "previouslyFormattedCitation" : "(Tanguy Rouxel, 2007)" }, "properties" : { "noteIndex" : 28 }, "schema" : "https://github.com/citation-style-language/schema/raw/master/csl-citation.json" }</w:instrText>
      </w:r>
      <w:r w:rsidR="00DE2573" w:rsidRPr="000E2377">
        <w:rPr>
          <w:rFonts w:cs="Times New Roman"/>
          <w:b w:val="0"/>
          <w:szCs w:val="24"/>
        </w:rPr>
        <w:fldChar w:fldCharType="separate"/>
      </w:r>
      <w:r w:rsidR="00DE2573" w:rsidRPr="000E2377">
        <w:rPr>
          <w:rFonts w:cs="Times New Roman"/>
          <w:b w:val="0"/>
          <w:noProof/>
          <w:szCs w:val="24"/>
        </w:rPr>
        <w:t>(Rouxel, 2007)</w:t>
      </w:r>
      <w:r w:rsidR="00DE2573" w:rsidRPr="000E2377">
        <w:rPr>
          <w:rFonts w:cs="Times New Roman"/>
          <w:b w:val="0"/>
          <w:szCs w:val="24"/>
        </w:rPr>
        <w:fldChar w:fldCharType="end"/>
      </w:r>
      <w:r w:rsidR="00DE2573" w:rsidRPr="000E2377">
        <w:rPr>
          <w:rFonts w:cs="Times New Roman"/>
          <w:b w:val="0"/>
          <w:szCs w:val="24"/>
        </w:rPr>
        <w:t xml:space="preserve">. </w:t>
      </w:r>
      <w:r w:rsidR="00502550" w:rsidRPr="000E2377">
        <w:rPr>
          <w:rFonts w:cs="Times New Roman"/>
          <w:b w:val="0"/>
          <w:szCs w:val="24"/>
        </w:rPr>
        <w:t xml:space="preserve">However, </w:t>
      </w:r>
      <w:proofErr w:type="spellStart"/>
      <w:r w:rsidR="00502550" w:rsidRPr="000E2377">
        <w:rPr>
          <w:rFonts w:cs="Times New Roman"/>
          <w:b w:val="0"/>
          <w:szCs w:val="24"/>
        </w:rPr>
        <w:t>Rag</w:t>
      </w:r>
      <w:r w:rsidR="00D1157C" w:rsidRPr="000E2377">
        <w:rPr>
          <w:rFonts w:cs="Times New Roman"/>
          <w:b w:val="0"/>
          <w:szCs w:val="24"/>
        </w:rPr>
        <w:t>oe</w:t>
      </w:r>
      <w:r w:rsidR="00502550" w:rsidRPr="000E2377">
        <w:rPr>
          <w:rFonts w:cs="Times New Roman"/>
          <w:b w:val="0"/>
          <w:szCs w:val="24"/>
        </w:rPr>
        <w:t>n</w:t>
      </w:r>
      <w:proofErr w:type="spellEnd"/>
      <w:r w:rsidR="00502550" w:rsidRPr="000E2377">
        <w:rPr>
          <w:rFonts w:cs="Times New Roman"/>
          <w:b w:val="0"/>
          <w:szCs w:val="24"/>
        </w:rPr>
        <w:t xml:space="preserve"> in their study using  (75−x)SiO</w:t>
      </w:r>
      <w:r w:rsidR="00502550" w:rsidRPr="000E2377">
        <w:rPr>
          <w:rFonts w:cs="Times New Roman"/>
          <w:b w:val="0"/>
          <w:szCs w:val="24"/>
          <w:vertAlign w:val="subscript"/>
        </w:rPr>
        <w:t>2</w:t>
      </w:r>
      <w:r w:rsidR="002F7727" w:rsidRPr="000E2377">
        <w:rPr>
          <w:rFonts w:cs="Times New Roman"/>
          <w:b w:val="0"/>
          <w:szCs w:val="24"/>
          <w:vertAlign w:val="subscript"/>
        </w:rPr>
        <w:t xml:space="preserve"> </w:t>
      </w:r>
      <w:r w:rsidR="00502550" w:rsidRPr="000E2377">
        <w:rPr>
          <w:rFonts w:cs="Times New Roman"/>
          <w:b w:val="0"/>
          <w:szCs w:val="24"/>
        </w:rPr>
        <w:t>mol%-25Na</w:t>
      </w:r>
      <w:r w:rsidR="00502550" w:rsidRPr="000E2377">
        <w:rPr>
          <w:rFonts w:cs="Times New Roman"/>
          <w:b w:val="0"/>
          <w:szCs w:val="24"/>
          <w:vertAlign w:val="subscript"/>
        </w:rPr>
        <w:t>2</w:t>
      </w:r>
      <w:r w:rsidR="00502550" w:rsidRPr="000E2377">
        <w:rPr>
          <w:rFonts w:cs="Times New Roman"/>
          <w:b w:val="0"/>
          <w:szCs w:val="24"/>
        </w:rPr>
        <w:t>O-xAl</w:t>
      </w:r>
      <w:r w:rsidR="00502550" w:rsidRPr="000E2377">
        <w:rPr>
          <w:rFonts w:cs="Times New Roman"/>
          <w:b w:val="0"/>
          <w:szCs w:val="24"/>
          <w:vertAlign w:val="subscript"/>
        </w:rPr>
        <w:t>2</w:t>
      </w:r>
      <w:r w:rsidR="00502550" w:rsidRPr="000E2377">
        <w:rPr>
          <w:rFonts w:cs="Times New Roman"/>
          <w:b w:val="0"/>
          <w:szCs w:val="24"/>
        </w:rPr>
        <w:t>O</w:t>
      </w:r>
      <w:r w:rsidR="00502550" w:rsidRPr="000E2377">
        <w:rPr>
          <w:rFonts w:cs="Times New Roman"/>
          <w:b w:val="0"/>
          <w:szCs w:val="24"/>
          <w:vertAlign w:val="subscript"/>
        </w:rPr>
        <w:t>3</w:t>
      </w:r>
      <w:r w:rsidR="00502550" w:rsidRPr="000E2377">
        <w:rPr>
          <w:rFonts w:cs="Times New Roman"/>
          <w:b w:val="0"/>
          <w:szCs w:val="24"/>
        </w:rPr>
        <w:t xml:space="preserve"> </w:t>
      </w:r>
      <w:r w:rsidR="007C59CA">
        <w:rPr>
          <w:rFonts w:cs="Times New Roman"/>
          <w:b w:val="0"/>
          <w:szCs w:val="24"/>
        </w:rPr>
        <w:t>found</w:t>
      </w:r>
      <w:r w:rsidR="007C59CA" w:rsidRPr="000E2377">
        <w:rPr>
          <w:rFonts w:cs="Times New Roman"/>
          <w:b w:val="0"/>
          <w:szCs w:val="24"/>
        </w:rPr>
        <w:t xml:space="preserve"> </w:t>
      </w:r>
      <w:r w:rsidR="007C59CA">
        <w:rPr>
          <w:rFonts w:cs="Times New Roman"/>
          <w:b w:val="0"/>
          <w:szCs w:val="24"/>
        </w:rPr>
        <w:t xml:space="preserve">the </w:t>
      </w:r>
      <w:r w:rsidR="00502550" w:rsidRPr="000E2377">
        <w:rPr>
          <w:rFonts w:cs="Times New Roman"/>
          <w:b w:val="0"/>
          <w:szCs w:val="24"/>
        </w:rPr>
        <w:t xml:space="preserve">opposite behaviour </w:t>
      </w:r>
      <w:r w:rsidR="00FF6169">
        <w:rPr>
          <w:rFonts w:cs="Times New Roman"/>
          <w:b w:val="0"/>
          <w:szCs w:val="24"/>
        </w:rPr>
        <w:t>with</w:t>
      </w:r>
      <w:r w:rsidR="00502550" w:rsidRPr="000E2377">
        <w:rPr>
          <w:rFonts w:cs="Times New Roman"/>
          <w:b w:val="0"/>
          <w:szCs w:val="24"/>
        </w:rPr>
        <w:t xml:space="preserve"> </w:t>
      </w:r>
      <w:r w:rsidR="00986EEC" w:rsidRPr="000E2377">
        <w:rPr>
          <w:rFonts w:cs="Times New Roman"/>
          <w:b w:val="0"/>
          <w:szCs w:val="24"/>
        </w:rPr>
        <w:t>molar volume</w:t>
      </w:r>
      <w:r w:rsidR="00FF6169">
        <w:rPr>
          <w:rFonts w:cs="Times New Roman"/>
          <w:b w:val="0"/>
          <w:szCs w:val="24"/>
        </w:rPr>
        <w:t xml:space="preserve"> because</w:t>
      </w:r>
      <w:r w:rsidR="00986EEC" w:rsidRPr="000E2377">
        <w:rPr>
          <w:rFonts w:cs="Times New Roman"/>
          <w:b w:val="0"/>
          <w:szCs w:val="24"/>
        </w:rPr>
        <w:t xml:space="preserve"> Young</w:t>
      </w:r>
      <w:r w:rsidR="002F7727" w:rsidRPr="000E2377">
        <w:rPr>
          <w:rFonts w:cs="Times New Roman"/>
          <w:b w:val="0"/>
          <w:szCs w:val="24"/>
        </w:rPr>
        <w:t>’</w:t>
      </w:r>
      <w:r w:rsidR="00986EEC" w:rsidRPr="000E2377">
        <w:rPr>
          <w:rFonts w:cs="Times New Roman"/>
          <w:b w:val="0"/>
          <w:szCs w:val="24"/>
        </w:rPr>
        <w:t xml:space="preserve">s modulus </w:t>
      </w:r>
      <w:r w:rsidR="00FF6169">
        <w:rPr>
          <w:rFonts w:cs="Times New Roman"/>
          <w:b w:val="0"/>
          <w:szCs w:val="24"/>
        </w:rPr>
        <w:t>is</w:t>
      </w:r>
      <w:r w:rsidR="00986EEC" w:rsidRPr="000E2377">
        <w:rPr>
          <w:rFonts w:cs="Times New Roman"/>
          <w:b w:val="0"/>
          <w:szCs w:val="24"/>
        </w:rPr>
        <w:t xml:space="preserve"> controlled by both network connectivity and average bond strength</w:t>
      </w:r>
      <w:r w:rsidR="00280380" w:rsidRPr="000E2377">
        <w:rPr>
          <w:rFonts w:cs="Times New Roman"/>
          <w:b w:val="0"/>
          <w:szCs w:val="24"/>
        </w:rPr>
        <w:t xml:space="preserve"> </w:t>
      </w:r>
      <w:r w:rsidR="00251E52" w:rsidRPr="000E2377">
        <w:rPr>
          <w:rFonts w:cs="Times New Roman"/>
          <w:b w:val="0"/>
          <w:szCs w:val="24"/>
        </w:rPr>
        <w:fldChar w:fldCharType="begin" w:fldLock="1"/>
      </w:r>
      <w:r w:rsidR="00251E52" w:rsidRPr="000E2377">
        <w:rPr>
          <w:rFonts w:cs="Times New Roman"/>
          <w:b w:val="0"/>
          <w:szCs w:val="24"/>
        </w:rPr>
        <w:instrText>ADDIN CSL_CITATION { "citationItems" : [ { "id" : "ITEM-1", "itemData" : { "DOI" : "10.1016/j.jnoncrysol.2016.12.019", "ISSN" : "00223093", "author" : [ { "dropping-particle" : "", "family" : "Ragoen", "given" : "C.", "non-dropping-particle" : "", "parse-names" : false, "suffix" : "" }, { "dropping-particle" : "", "family" : "Sen", "given" : "S.", "non-dropping-particle" : "", "parse-names" : false, "suffix" : "" }, { "dropping-particle" : "", "family" : "Lambricht", "given" : "T.", "non-dropping-particle" : "", "parse-names" : false, "suffix" : "" }, { "dropping-particle" : "", "family" : "Godet", "given" : "S.", "non-dropping-particle" : "", "parse-names" : false, "suffix" : "" } ], "container-title" : "Journal of Non-Crystalline Solids", "id" : "ITEM-1", "issued" : { "date-parts" : [ [ "2017" ] ] }, "page" : "129-136", "publisher" : "Elsevier B.V.", "title" : "Effect of Al2O3 content on the mechanical and interdiffusional properties of ion-exchanged Na-aluminosilicate glasses", "type" : "article-journal", "volume" : "458" }, "uris" : [ "http://www.mendeley.com/documents/?uuid=120b5fff-9ce8-4c6f-a743-ccad90970d98" ] } ], "mendeley" : { "formattedCitation" : "(Ragoen, Sen, Lambricht, &amp; Godet, 2017)", "manualFormatting" : "(Ragoen et al., 2017)", "plainTextFormattedCitation" : "(Ragoen, Sen, Lambricht, &amp; Godet, 2017)", "previouslyFormattedCitation" : "(Ragoen, Sen, Lambricht, &amp; Godet, 2017)" }, "properties" : { "noteIndex" : 28 }, "schema" : "https://github.com/citation-style-language/schema/raw/master/csl-citation.json" }</w:instrText>
      </w:r>
      <w:r w:rsidR="00251E52" w:rsidRPr="000E2377">
        <w:rPr>
          <w:rFonts w:cs="Times New Roman"/>
          <w:b w:val="0"/>
          <w:szCs w:val="24"/>
        </w:rPr>
        <w:fldChar w:fldCharType="separate"/>
      </w:r>
      <w:r w:rsidR="00251E52" w:rsidRPr="000E2377">
        <w:rPr>
          <w:rFonts w:cs="Times New Roman"/>
          <w:b w:val="0"/>
          <w:noProof/>
          <w:szCs w:val="24"/>
        </w:rPr>
        <w:t>(Ragoen et al., 2017)</w:t>
      </w:r>
      <w:r w:rsidR="00251E52" w:rsidRPr="000E2377">
        <w:rPr>
          <w:rFonts w:cs="Times New Roman"/>
          <w:b w:val="0"/>
          <w:szCs w:val="24"/>
        </w:rPr>
        <w:fldChar w:fldCharType="end"/>
      </w:r>
      <w:r w:rsidR="00986EEC" w:rsidRPr="000E2377">
        <w:rPr>
          <w:rFonts w:cs="Times New Roman"/>
          <w:b w:val="0"/>
          <w:szCs w:val="24"/>
        </w:rPr>
        <w:t xml:space="preserve">. </w:t>
      </w:r>
      <w:r w:rsidR="00D1157C" w:rsidRPr="000E2377">
        <w:rPr>
          <w:rFonts w:cs="Times New Roman"/>
          <w:b w:val="0"/>
          <w:szCs w:val="24"/>
        </w:rPr>
        <w:t>Meanwhile</w:t>
      </w:r>
      <w:r w:rsidR="00040067">
        <w:rPr>
          <w:rFonts w:cs="Times New Roman"/>
          <w:b w:val="0"/>
          <w:szCs w:val="24"/>
        </w:rPr>
        <w:t>,</w:t>
      </w:r>
      <w:r w:rsidR="00D1157C" w:rsidRPr="000E2377">
        <w:rPr>
          <w:rFonts w:cs="Times New Roman"/>
          <w:b w:val="0"/>
          <w:szCs w:val="24"/>
        </w:rPr>
        <w:t xml:space="preserve"> Shelby, 2005 also mentioned that connectivity and </w:t>
      </w:r>
      <w:r w:rsidR="001472A2" w:rsidRPr="000E2377">
        <w:rPr>
          <w:rFonts w:cs="Times New Roman"/>
          <w:b w:val="0"/>
          <w:szCs w:val="24"/>
        </w:rPr>
        <w:t>dimensionality</w:t>
      </w:r>
      <w:r w:rsidR="00D1157C" w:rsidRPr="000E2377">
        <w:rPr>
          <w:rFonts w:cs="Times New Roman"/>
          <w:b w:val="0"/>
          <w:szCs w:val="24"/>
        </w:rPr>
        <w:t xml:space="preserve"> of the glass structure affect the modulus. </w:t>
      </w:r>
      <w:r w:rsidR="001472A2" w:rsidRPr="000E2377">
        <w:rPr>
          <w:rFonts w:cs="Times New Roman"/>
          <w:b w:val="0"/>
          <w:szCs w:val="24"/>
        </w:rPr>
        <w:t xml:space="preserve">The presence of </w:t>
      </w:r>
      <w:r w:rsidR="00C00B75" w:rsidRPr="000E2377">
        <w:rPr>
          <w:rFonts w:cs="Times New Roman"/>
          <w:b w:val="0"/>
          <w:szCs w:val="24"/>
        </w:rPr>
        <w:t>n</w:t>
      </w:r>
      <w:r w:rsidR="001472A2" w:rsidRPr="000E2377">
        <w:rPr>
          <w:rFonts w:cs="Times New Roman"/>
          <w:b w:val="0"/>
          <w:szCs w:val="24"/>
        </w:rPr>
        <w:t>on-bridging oxygens make</w:t>
      </w:r>
      <w:r w:rsidR="00933CB9">
        <w:rPr>
          <w:rFonts w:cs="Times New Roman"/>
          <w:b w:val="0"/>
          <w:szCs w:val="24"/>
        </w:rPr>
        <w:t>s</w:t>
      </w:r>
      <w:r w:rsidR="001472A2" w:rsidRPr="000E2377">
        <w:rPr>
          <w:rFonts w:cs="Times New Roman"/>
          <w:b w:val="0"/>
          <w:szCs w:val="24"/>
        </w:rPr>
        <w:t xml:space="preserve"> </w:t>
      </w:r>
      <w:r w:rsidR="00FF6169">
        <w:rPr>
          <w:rFonts w:cs="Times New Roman"/>
          <w:b w:val="0"/>
          <w:szCs w:val="24"/>
        </w:rPr>
        <w:t>it</w:t>
      </w:r>
      <w:r w:rsidR="001472A2" w:rsidRPr="000E2377">
        <w:rPr>
          <w:rFonts w:cs="Times New Roman"/>
          <w:b w:val="0"/>
          <w:szCs w:val="24"/>
        </w:rPr>
        <w:t xml:space="preserve"> easy </w:t>
      </w:r>
      <w:r w:rsidR="00FF6169">
        <w:rPr>
          <w:rFonts w:cs="Times New Roman"/>
          <w:b w:val="0"/>
          <w:szCs w:val="24"/>
        </w:rPr>
        <w:t xml:space="preserve">to displace </w:t>
      </w:r>
      <w:r w:rsidR="001472A2" w:rsidRPr="000E2377">
        <w:rPr>
          <w:rFonts w:cs="Times New Roman"/>
          <w:b w:val="0"/>
          <w:szCs w:val="24"/>
        </w:rPr>
        <w:t xml:space="preserve">atoms </w:t>
      </w:r>
      <w:r w:rsidR="00FF6169">
        <w:rPr>
          <w:rFonts w:cs="Times New Roman"/>
          <w:b w:val="0"/>
          <w:szCs w:val="24"/>
        </w:rPr>
        <w:t xml:space="preserve">in a glass </w:t>
      </w:r>
      <w:r w:rsidR="001472A2" w:rsidRPr="000E2377">
        <w:rPr>
          <w:rFonts w:cs="Times New Roman"/>
          <w:b w:val="0"/>
          <w:szCs w:val="24"/>
        </w:rPr>
        <w:t xml:space="preserve">and thus </w:t>
      </w:r>
      <w:r w:rsidR="00C00B75" w:rsidRPr="000E2377">
        <w:rPr>
          <w:rFonts w:cs="Times New Roman"/>
          <w:b w:val="0"/>
          <w:szCs w:val="24"/>
        </w:rPr>
        <w:t>will reduce the elastic modulus</w:t>
      </w:r>
      <w:r w:rsidR="00245B3D" w:rsidRPr="000E2377">
        <w:rPr>
          <w:rFonts w:cs="Times New Roman"/>
          <w:b w:val="0"/>
          <w:szCs w:val="24"/>
        </w:rPr>
        <w:t>.</w:t>
      </w:r>
      <w:r w:rsidR="00DE2573">
        <w:rPr>
          <w:rFonts w:cs="Times New Roman"/>
          <w:b w:val="0"/>
          <w:szCs w:val="24"/>
        </w:rPr>
        <w:t xml:space="preserve"> </w:t>
      </w:r>
      <w:r w:rsidR="00DE2573" w:rsidRPr="000E2377">
        <w:rPr>
          <w:rFonts w:cs="Times New Roman"/>
          <w:b w:val="0"/>
          <w:szCs w:val="24"/>
        </w:rPr>
        <w:t xml:space="preserve">Since </w:t>
      </w:r>
      <w:r w:rsidR="00DE2573" w:rsidRPr="000E2377">
        <w:rPr>
          <w:b w:val="0"/>
        </w:rPr>
        <w:t xml:space="preserve">elastic moduli relate to bond strength, </w:t>
      </w:r>
      <w:r w:rsidR="00DE2573">
        <w:rPr>
          <w:b w:val="0"/>
        </w:rPr>
        <w:t>they</w:t>
      </w:r>
      <w:r w:rsidR="00DE2573" w:rsidRPr="000E2377">
        <w:rPr>
          <w:b w:val="0"/>
        </w:rPr>
        <w:t xml:space="preserve"> can</w:t>
      </w:r>
      <w:r w:rsidR="00DE2573">
        <w:rPr>
          <w:b w:val="0"/>
        </w:rPr>
        <w:t xml:space="preserve"> also</w:t>
      </w:r>
      <w:r w:rsidR="00DE2573" w:rsidRPr="000E2377">
        <w:rPr>
          <w:b w:val="0"/>
        </w:rPr>
        <w:t xml:space="preserve"> be </w:t>
      </w:r>
      <w:r w:rsidR="00DE2573">
        <w:rPr>
          <w:b w:val="0"/>
        </w:rPr>
        <w:t>correlated</w:t>
      </w:r>
      <w:r w:rsidR="00DE2573" w:rsidRPr="000E2377">
        <w:rPr>
          <w:b w:val="0"/>
        </w:rPr>
        <w:t xml:space="preserve"> to the glass transition temperature.</w:t>
      </w:r>
      <w:r w:rsidR="00245B3D" w:rsidRPr="000E2377">
        <w:rPr>
          <w:rFonts w:cs="Times New Roman"/>
          <w:b w:val="0"/>
          <w:szCs w:val="24"/>
        </w:rPr>
        <w:t xml:space="preserve"> </w:t>
      </w:r>
      <w:r w:rsidR="00370F6C">
        <w:rPr>
          <w:rFonts w:cs="Times New Roman"/>
          <w:b w:val="0"/>
          <w:szCs w:val="24"/>
        </w:rPr>
        <w:t>As noted already</w:t>
      </w:r>
      <w:r w:rsidR="00040067">
        <w:rPr>
          <w:rFonts w:cs="Times New Roman"/>
          <w:b w:val="0"/>
          <w:szCs w:val="24"/>
        </w:rPr>
        <w:t>,</w:t>
      </w:r>
      <w:r w:rsidR="00370F6C">
        <w:rPr>
          <w:rFonts w:cs="Times New Roman"/>
          <w:b w:val="0"/>
          <w:szCs w:val="24"/>
        </w:rPr>
        <w:t xml:space="preserve"> the </w:t>
      </w:r>
      <w:r w:rsidR="00334BB2">
        <w:rPr>
          <w:rFonts w:cs="Times New Roman"/>
          <w:b w:val="0"/>
          <w:szCs w:val="24"/>
        </w:rPr>
        <w:t>appearance of NBOs</w:t>
      </w:r>
      <w:r w:rsidR="00A57501">
        <w:rPr>
          <w:rFonts w:cs="Times New Roman"/>
          <w:b w:val="0"/>
          <w:szCs w:val="24"/>
        </w:rPr>
        <w:t xml:space="preserve"> is affect</w:t>
      </w:r>
      <w:r w:rsidR="0029168B">
        <w:rPr>
          <w:rFonts w:cs="Times New Roman"/>
          <w:b w:val="0"/>
          <w:szCs w:val="24"/>
        </w:rPr>
        <w:t>ed</w:t>
      </w:r>
      <w:r w:rsidR="00A57501">
        <w:rPr>
          <w:rFonts w:cs="Times New Roman"/>
          <w:b w:val="0"/>
          <w:szCs w:val="24"/>
        </w:rPr>
        <w:t xml:space="preserve"> </w:t>
      </w:r>
      <w:r w:rsidR="00370F6C">
        <w:rPr>
          <w:rFonts w:cs="Times New Roman"/>
          <w:b w:val="0"/>
          <w:szCs w:val="24"/>
        </w:rPr>
        <w:t>by the</w:t>
      </w:r>
      <w:r w:rsidR="00563FA9" w:rsidRPr="0029168B">
        <w:rPr>
          <w:rFonts w:cs="Times New Roman"/>
          <w:b w:val="0"/>
          <w:szCs w:val="24"/>
        </w:rPr>
        <w:t xml:space="preserve"> </w:t>
      </w:r>
      <w:r w:rsidR="00A20C84" w:rsidRPr="0029168B">
        <w:rPr>
          <w:rFonts w:cs="Times New Roman"/>
          <w:b w:val="0"/>
          <w:szCs w:val="24"/>
        </w:rPr>
        <w:t>concentration of Al</w:t>
      </w:r>
      <w:r w:rsidR="00A20C84" w:rsidRPr="0029168B">
        <w:rPr>
          <w:rFonts w:cs="Times New Roman"/>
          <w:b w:val="0"/>
          <w:szCs w:val="24"/>
          <w:vertAlign w:val="subscript"/>
        </w:rPr>
        <w:t>2</w:t>
      </w:r>
      <w:r w:rsidR="00A20C84" w:rsidRPr="0029168B">
        <w:rPr>
          <w:rFonts w:cs="Times New Roman"/>
          <w:b w:val="0"/>
          <w:szCs w:val="24"/>
        </w:rPr>
        <w:t>O</w:t>
      </w:r>
      <w:r w:rsidR="00A20C84" w:rsidRPr="0029168B">
        <w:rPr>
          <w:rFonts w:cs="Times New Roman"/>
          <w:b w:val="0"/>
          <w:szCs w:val="24"/>
          <w:vertAlign w:val="subscript"/>
        </w:rPr>
        <w:t>3</w:t>
      </w:r>
      <w:r w:rsidR="0029168B">
        <w:rPr>
          <w:rFonts w:cs="Times New Roman"/>
          <w:b w:val="0"/>
          <w:szCs w:val="24"/>
          <w:vertAlign w:val="subscript"/>
        </w:rPr>
        <w:t xml:space="preserve"> </w:t>
      </w:r>
      <w:r w:rsidR="0029168B" w:rsidRPr="0029168B">
        <w:rPr>
          <w:rFonts w:cs="Times New Roman"/>
          <w:b w:val="0"/>
          <w:szCs w:val="24"/>
        </w:rPr>
        <w:t>because</w:t>
      </w:r>
      <w:r w:rsidR="00A57501" w:rsidRPr="0029168B">
        <w:rPr>
          <w:rFonts w:cs="Times New Roman"/>
          <w:b w:val="0"/>
          <w:szCs w:val="24"/>
        </w:rPr>
        <w:t xml:space="preserve"> increasing </w:t>
      </w:r>
      <w:proofErr w:type="spellStart"/>
      <w:r w:rsidR="00A57501" w:rsidRPr="0029168B">
        <w:rPr>
          <w:rFonts w:cs="Times New Roman"/>
          <w:b w:val="0"/>
          <w:szCs w:val="24"/>
        </w:rPr>
        <w:t>Al</w:t>
      </w:r>
      <w:r w:rsidR="00A57501" w:rsidRPr="0029168B">
        <w:rPr>
          <w:rFonts w:cs="Times New Roman"/>
          <w:b w:val="0"/>
          <w:szCs w:val="24"/>
          <w:vertAlign w:val="superscript"/>
        </w:rPr>
        <w:t>IV</w:t>
      </w:r>
      <w:proofErr w:type="spellEnd"/>
      <w:r w:rsidR="00A57501" w:rsidRPr="0029168B">
        <w:rPr>
          <w:rFonts w:cs="Times New Roman"/>
          <w:b w:val="0"/>
          <w:szCs w:val="24"/>
        </w:rPr>
        <w:t xml:space="preserve"> will automatically decrease the</w:t>
      </w:r>
      <w:r w:rsidR="00370F6C">
        <w:rPr>
          <w:rFonts w:cs="Times New Roman"/>
          <w:b w:val="0"/>
          <w:szCs w:val="24"/>
        </w:rPr>
        <w:t xml:space="preserve"> concentration of</w:t>
      </w:r>
      <w:r w:rsidR="00A57501" w:rsidRPr="0029168B">
        <w:rPr>
          <w:rFonts w:cs="Times New Roman"/>
          <w:b w:val="0"/>
          <w:szCs w:val="24"/>
        </w:rPr>
        <w:t xml:space="preserve"> </w:t>
      </w:r>
      <w:r w:rsidR="00A20C84" w:rsidRPr="0029168B">
        <w:rPr>
          <w:rFonts w:cs="Times New Roman"/>
          <w:b w:val="0"/>
          <w:szCs w:val="24"/>
        </w:rPr>
        <w:t>NBO</w:t>
      </w:r>
      <w:r w:rsidR="00C33984">
        <w:rPr>
          <w:rFonts w:cs="Times New Roman"/>
          <w:b w:val="0"/>
          <w:szCs w:val="24"/>
        </w:rPr>
        <w:t>s</w:t>
      </w:r>
      <w:r w:rsidR="0029168B">
        <w:rPr>
          <w:rFonts w:cs="Times New Roman"/>
          <w:b w:val="0"/>
          <w:szCs w:val="24"/>
        </w:rPr>
        <w:t xml:space="preserve">. </w:t>
      </w:r>
      <w:r w:rsidR="00A20C84" w:rsidRPr="000E2377">
        <w:rPr>
          <w:rFonts w:cs="Times New Roman"/>
          <w:b w:val="0"/>
          <w:szCs w:val="24"/>
        </w:rPr>
        <w:t xml:space="preserve">Furthermore, it has </w:t>
      </w:r>
      <w:r w:rsidR="00284CC3">
        <w:rPr>
          <w:rFonts w:cs="Times New Roman"/>
          <w:b w:val="0"/>
          <w:szCs w:val="24"/>
        </w:rPr>
        <w:t xml:space="preserve">a </w:t>
      </w:r>
      <w:r w:rsidR="00A20C84" w:rsidRPr="000E2377">
        <w:rPr>
          <w:rFonts w:cs="Times New Roman"/>
          <w:b w:val="0"/>
          <w:szCs w:val="24"/>
        </w:rPr>
        <w:t>consisten</w:t>
      </w:r>
      <w:r w:rsidR="00095FA1" w:rsidRPr="000E2377">
        <w:rPr>
          <w:rFonts w:cs="Times New Roman"/>
          <w:b w:val="0"/>
          <w:szCs w:val="24"/>
        </w:rPr>
        <w:t>t</w:t>
      </w:r>
      <w:r w:rsidR="00A20C84" w:rsidRPr="000E2377">
        <w:rPr>
          <w:rFonts w:cs="Times New Roman"/>
          <w:b w:val="0"/>
          <w:szCs w:val="24"/>
        </w:rPr>
        <w:t xml:space="preserve"> connection to the </w:t>
      </w:r>
      <w:r w:rsidR="00DE2573">
        <w:rPr>
          <w:rFonts w:cs="Times New Roman"/>
          <w:b w:val="0"/>
          <w:szCs w:val="24"/>
        </w:rPr>
        <w:t>relationship</w:t>
      </w:r>
      <w:r w:rsidR="00DE2573" w:rsidRPr="000E2377">
        <w:rPr>
          <w:rFonts w:cs="Times New Roman"/>
          <w:b w:val="0"/>
          <w:szCs w:val="24"/>
        </w:rPr>
        <w:t xml:space="preserve"> </w:t>
      </w:r>
      <w:r w:rsidR="00A20C84" w:rsidRPr="000E2377">
        <w:rPr>
          <w:rFonts w:cs="Times New Roman"/>
          <w:b w:val="0"/>
          <w:szCs w:val="24"/>
        </w:rPr>
        <w:t>between glass connectivity and Young’s modulus</w:t>
      </w:r>
      <w:r w:rsidR="00095FA1" w:rsidRPr="000E2377">
        <w:rPr>
          <w:rFonts w:cs="Times New Roman"/>
          <w:b w:val="0"/>
          <w:szCs w:val="24"/>
        </w:rPr>
        <w:t xml:space="preserve"> because</w:t>
      </w:r>
      <w:r w:rsidR="00A20C84" w:rsidRPr="000E2377">
        <w:rPr>
          <w:rFonts w:cs="Times New Roman"/>
          <w:b w:val="0"/>
          <w:szCs w:val="24"/>
        </w:rPr>
        <w:t xml:space="preserve"> </w:t>
      </w:r>
      <w:r w:rsidR="00842896">
        <w:rPr>
          <w:rFonts w:cs="Times New Roman"/>
          <w:b w:val="0"/>
          <w:szCs w:val="24"/>
        </w:rPr>
        <w:t>the</w:t>
      </w:r>
      <w:r w:rsidR="00842896" w:rsidRPr="000E2377">
        <w:rPr>
          <w:rFonts w:cs="Times New Roman"/>
          <w:b w:val="0"/>
          <w:szCs w:val="24"/>
        </w:rPr>
        <w:t xml:space="preserve"> </w:t>
      </w:r>
      <w:r w:rsidR="00A20C84" w:rsidRPr="000E2377">
        <w:rPr>
          <w:rFonts w:cs="Times New Roman"/>
          <w:b w:val="0"/>
          <w:szCs w:val="24"/>
        </w:rPr>
        <w:t xml:space="preserve">higher </w:t>
      </w:r>
      <w:r w:rsidR="00842896">
        <w:rPr>
          <w:rFonts w:cs="Times New Roman"/>
          <w:b w:val="0"/>
          <w:szCs w:val="24"/>
        </w:rPr>
        <w:t xml:space="preserve">the </w:t>
      </w:r>
      <w:r w:rsidR="00A20C84" w:rsidRPr="000E2377">
        <w:rPr>
          <w:rFonts w:cs="Times New Roman"/>
          <w:b w:val="0"/>
          <w:szCs w:val="24"/>
        </w:rPr>
        <w:t>NBO concentration</w:t>
      </w:r>
      <w:r w:rsidR="00095FA1" w:rsidRPr="000E2377">
        <w:rPr>
          <w:rFonts w:cs="Times New Roman"/>
          <w:b w:val="0"/>
          <w:szCs w:val="24"/>
        </w:rPr>
        <w:t xml:space="preserve">, the </w:t>
      </w:r>
      <w:r w:rsidR="00842896">
        <w:rPr>
          <w:rFonts w:cs="Times New Roman"/>
          <w:b w:val="0"/>
          <w:szCs w:val="24"/>
        </w:rPr>
        <w:t xml:space="preserve">lower the </w:t>
      </w:r>
      <w:r w:rsidR="00095FA1" w:rsidRPr="000E2377">
        <w:rPr>
          <w:rFonts w:cs="Times New Roman"/>
          <w:b w:val="0"/>
          <w:szCs w:val="24"/>
        </w:rPr>
        <w:t xml:space="preserve">connectivity thus the weaker </w:t>
      </w:r>
      <w:r w:rsidR="00842896">
        <w:rPr>
          <w:rFonts w:cs="Times New Roman"/>
          <w:b w:val="0"/>
          <w:szCs w:val="24"/>
        </w:rPr>
        <w:t xml:space="preserve">the glass </w:t>
      </w:r>
      <w:r w:rsidR="00095FA1" w:rsidRPr="000E2377">
        <w:rPr>
          <w:rFonts w:cs="Times New Roman"/>
          <w:b w:val="0"/>
          <w:szCs w:val="24"/>
        </w:rPr>
        <w:t>network</w:t>
      </w:r>
      <w:r w:rsidR="00DE2573">
        <w:rPr>
          <w:rFonts w:cs="Times New Roman"/>
          <w:b w:val="0"/>
          <w:szCs w:val="24"/>
        </w:rPr>
        <w:t>.</w:t>
      </w:r>
      <w:r w:rsidR="00095FA1" w:rsidRPr="000E2377">
        <w:rPr>
          <w:rFonts w:cs="Times New Roman"/>
          <w:b w:val="0"/>
          <w:szCs w:val="24"/>
        </w:rPr>
        <w:t xml:space="preserve"> </w:t>
      </w:r>
    </w:p>
    <w:p w14:paraId="5BB15149" w14:textId="77777777" w:rsidR="009B6ECB" w:rsidRPr="000E2377" w:rsidRDefault="009B6ECB" w:rsidP="00245B3D">
      <w:pPr>
        <w:spacing w:after="0" w:line="360" w:lineRule="auto"/>
        <w:jc w:val="both"/>
        <w:rPr>
          <w:b w:val="0"/>
        </w:rPr>
      </w:pPr>
    </w:p>
    <w:p w14:paraId="29C3493B" w14:textId="6A7CF0B9" w:rsidR="004600FC" w:rsidRPr="000E2377" w:rsidRDefault="00541CA4" w:rsidP="00F0605E">
      <w:pPr>
        <w:pStyle w:val="Heading4"/>
        <w:spacing w:after="240"/>
      </w:pPr>
      <w:bookmarkStart w:id="150" w:name="_Toc523402879"/>
      <w:bookmarkStart w:id="151" w:name="_Toc525526390"/>
      <w:bookmarkStart w:id="152" w:name="_Toc525707807"/>
      <w:bookmarkStart w:id="153" w:name="_Toc525742471"/>
      <w:r w:rsidRPr="000E2377">
        <w:t>2.</w:t>
      </w:r>
      <w:r w:rsidR="003B115C">
        <w:t>1</w:t>
      </w:r>
      <w:r w:rsidR="007754F1">
        <w:t>1</w:t>
      </w:r>
      <w:r w:rsidRPr="000E2377">
        <w:t xml:space="preserve">.1.2 </w:t>
      </w:r>
      <w:r w:rsidR="00856B1A" w:rsidRPr="000E2377">
        <w:t>Bulk and shear modulus</w:t>
      </w:r>
      <w:bookmarkEnd w:id="150"/>
      <w:bookmarkEnd w:id="151"/>
      <w:bookmarkEnd w:id="152"/>
      <w:bookmarkEnd w:id="153"/>
    </w:p>
    <w:p w14:paraId="13D109EC" w14:textId="433630AC" w:rsidR="00856B1A" w:rsidRDefault="00F0605E" w:rsidP="004600FC">
      <w:pPr>
        <w:spacing w:line="360" w:lineRule="auto"/>
        <w:jc w:val="both"/>
        <w:rPr>
          <w:rFonts w:cs="Times New Roman"/>
          <w:b w:val="0"/>
          <w:szCs w:val="24"/>
        </w:rPr>
      </w:pPr>
      <w:r w:rsidRPr="000E2377">
        <w:rPr>
          <w:rFonts w:cs="Times New Roman"/>
          <w:b w:val="0"/>
          <w:szCs w:val="24"/>
        </w:rPr>
        <w:t xml:space="preserve">Bulk modulus </w:t>
      </w:r>
      <w:r w:rsidR="00FF6169">
        <w:rPr>
          <w:rFonts w:cs="Times New Roman"/>
          <w:b w:val="0"/>
          <w:szCs w:val="24"/>
        </w:rPr>
        <w:t xml:space="preserve">is the stiffness of </w:t>
      </w:r>
      <w:r w:rsidR="00FF6169" w:rsidRPr="000E2377">
        <w:rPr>
          <w:rFonts w:cs="Times New Roman"/>
          <w:b w:val="0"/>
          <w:szCs w:val="24"/>
        </w:rPr>
        <w:t>material</w:t>
      </w:r>
      <w:r w:rsidR="00FF6169">
        <w:rPr>
          <w:rFonts w:cs="Times New Roman"/>
          <w:b w:val="0"/>
          <w:szCs w:val="24"/>
        </w:rPr>
        <w:t xml:space="preserve"> under hydrostatic </w:t>
      </w:r>
      <w:r w:rsidR="007F11E7" w:rsidRPr="000E2377">
        <w:rPr>
          <w:rFonts w:cs="Times New Roman"/>
          <w:b w:val="0"/>
          <w:szCs w:val="24"/>
        </w:rPr>
        <w:t>compress</w:t>
      </w:r>
      <w:r w:rsidR="00FF6169">
        <w:rPr>
          <w:rFonts w:cs="Times New Roman"/>
          <w:b w:val="0"/>
          <w:szCs w:val="24"/>
        </w:rPr>
        <w:t>ion</w:t>
      </w:r>
      <w:r w:rsidR="007F11E7" w:rsidRPr="000E2377">
        <w:rPr>
          <w:rFonts w:cs="Times New Roman"/>
          <w:b w:val="0"/>
          <w:szCs w:val="24"/>
        </w:rPr>
        <w:t xml:space="preserve">. The bulk modulus </w:t>
      </w:r>
      <w:r w:rsidR="00FF6169">
        <w:rPr>
          <w:rFonts w:cs="Times New Roman"/>
          <w:b w:val="0"/>
          <w:szCs w:val="24"/>
        </w:rPr>
        <w:t>is</w:t>
      </w:r>
      <w:r w:rsidR="007F11E7" w:rsidRPr="000E2377">
        <w:rPr>
          <w:rFonts w:cs="Times New Roman"/>
          <w:b w:val="0"/>
          <w:szCs w:val="24"/>
        </w:rPr>
        <w:t xml:space="preserve"> also affect</w:t>
      </w:r>
      <w:r w:rsidR="00FF6169">
        <w:rPr>
          <w:rFonts w:cs="Times New Roman"/>
          <w:b w:val="0"/>
          <w:szCs w:val="24"/>
        </w:rPr>
        <w:t>ed by</w:t>
      </w:r>
      <w:r w:rsidR="007F11E7" w:rsidRPr="000E2377">
        <w:rPr>
          <w:rFonts w:cs="Times New Roman"/>
          <w:b w:val="0"/>
          <w:szCs w:val="24"/>
        </w:rPr>
        <w:t xml:space="preserve"> the short and </w:t>
      </w:r>
      <w:r w:rsidR="00FF6169" w:rsidRPr="000E2377">
        <w:rPr>
          <w:rFonts w:cs="Times New Roman"/>
          <w:b w:val="0"/>
          <w:szCs w:val="24"/>
        </w:rPr>
        <w:t>m</w:t>
      </w:r>
      <w:r w:rsidR="00FF6169">
        <w:rPr>
          <w:rFonts w:cs="Times New Roman"/>
          <w:b w:val="0"/>
          <w:szCs w:val="24"/>
        </w:rPr>
        <w:t>edium</w:t>
      </w:r>
      <w:r w:rsidR="007F11E7" w:rsidRPr="000E2377">
        <w:rPr>
          <w:rFonts w:cs="Times New Roman"/>
          <w:b w:val="0"/>
          <w:szCs w:val="24"/>
        </w:rPr>
        <w:t xml:space="preserve">-range structure and thus it is </w:t>
      </w:r>
      <w:r w:rsidR="00B50B10" w:rsidRPr="000E2377">
        <w:rPr>
          <w:rFonts w:cs="Times New Roman"/>
          <w:b w:val="0"/>
          <w:szCs w:val="24"/>
        </w:rPr>
        <w:t xml:space="preserve">also </w:t>
      </w:r>
      <w:r w:rsidR="007F11E7" w:rsidRPr="000E2377">
        <w:rPr>
          <w:rFonts w:cs="Times New Roman"/>
          <w:b w:val="0"/>
          <w:szCs w:val="24"/>
        </w:rPr>
        <w:t>correlate</w:t>
      </w:r>
      <w:r w:rsidR="00FF6169">
        <w:rPr>
          <w:rFonts w:cs="Times New Roman"/>
          <w:b w:val="0"/>
          <w:szCs w:val="24"/>
        </w:rPr>
        <w:t>d</w:t>
      </w:r>
      <w:r w:rsidR="007F11E7" w:rsidRPr="000E2377">
        <w:rPr>
          <w:rFonts w:cs="Times New Roman"/>
          <w:b w:val="0"/>
          <w:szCs w:val="24"/>
        </w:rPr>
        <w:t xml:space="preserve"> to the packing density and interatomic forces</w:t>
      </w:r>
      <w:r w:rsidR="00B92BB8" w:rsidRPr="000E2377">
        <w:rPr>
          <w:rFonts w:cs="Times New Roman"/>
          <w:b w:val="0"/>
          <w:szCs w:val="24"/>
        </w:rPr>
        <w:t xml:space="preserve"> </w:t>
      </w:r>
      <w:r w:rsidR="00B76CA5" w:rsidRPr="000E2377">
        <w:rPr>
          <w:rFonts w:cs="Times New Roman"/>
          <w:b w:val="0"/>
          <w:szCs w:val="24"/>
        </w:rPr>
        <w:fldChar w:fldCharType="begin" w:fldLock="1"/>
      </w:r>
      <w:r w:rsidR="00FB0717" w:rsidRPr="000E2377">
        <w:rPr>
          <w:rFonts w:cs="Times New Roman"/>
          <w:b w:val="0"/>
          <w:szCs w:val="24"/>
        </w:rPr>
        <w:instrText>ADDIN CSL_CITATION { "citationItems" : [ { "id" : "ITEM-1", "itemData" : { "author" : [ { "dropping-particle" : "", "family" : "Makishma", "given" : "Akio", "non-dropping-particle" : "", "parse-names" : false, "suffix" : "" }, { "dropping-particle" : "", "family" : "Mackenzie", "given" : "John D", "non-dropping-particle" : "", "parse-names" : false, "suffix" : "" } ], "id" : "ITEM-1", "issued" : { "date-parts" : [ [ "1975" ] ] }, "page" : "147-157", "title" : "Calculation of bulk modulus, shear modulus and Poisson's ratio of glass", "type" : "article-journal", "volume" : "17" }, "uris" : [ "http://www.mendeley.com/documents/?uuid=952b18f8-2c24-4960-8242-0e0b9eb8b554" ] } ], "mendeley" : { "formattedCitation" : "(Makishma &amp; Mackenzie, 1975)", "plainTextFormattedCitation" : "(Makishma &amp; Mackenzie, 1975)", "previouslyFormattedCitation" : "(Makishma &amp; Mackenzie, 1975)" }, "properties" : { "noteIndex" : 29 }, "schema" : "https://github.com/citation-style-language/schema/raw/master/csl-citation.json" }</w:instrText>
      </w:r>
      <w:r w:rsidR="00B76CA5" w:rsidRPr="000E2377">
        <w:rPr>
          <w:rFonts w:cs="Times New Roman"/>
          <w:b w:val="0"/>
          <w:szCs w:val="24"/>
        </w:rPr>
        <w:fldChar w:fldCharType="separate"/>
      </w:r>
      <w:r w:rsidR="00B76CA5" w:rsidRPr="000E2377">
        <w:rPr>
          <w:rFonts w:cs="Times New Roman"/>
          <w:b w:val="0"/>
          <w:noProof/>
          <w:szCs w:val="24"/>
        </w:rPr>
        <w:t>(Makishma &amp; Mackenzie, 1975)</w:t>
      </w:r>
      <w:r w:rsidR="00B76CA5" w:rsidRPr="000E2377">
        <w:rPr>
          <w:rFonts w:cs="Times New Roman"/>
          <w:b w:val="0"/>
          <w:szCs w:val="24"/>
        </w:rPr>
        <w:fldChar w:fldCharType="end"/>
      </w:r>
      <w:r w:rsidR="000112FE">
        <w:rPr>
          <w:rFonts w:cs="Times New Roman"/>
          <w:b w:val="0"/>
          <w:szCs w:val="24"/>
        </w:rPr>
        <w:t xml:space="preserve"> </w:t>
      </w:r>
      <w:r w:rsidR="00B76CA5" w:rsidRPr="000E2377">
        <w:rPr>
          <w:rFonts w:cs="Times New Roman"/>
          <w:b w:val="0"/>
          <w:szCs w:val="24"/>
        </w:rPr>
        <w:fldChar w:fldCharType="begin" w:fldLock="1"/>
      </w:r>
      <w:r w:rsidR="00D41899" w:rsidRPr="000E2377">
        <w:rPr>
          <w:rFonts w:cs="Times New Roman"/>
          <w:b w:val="0"/>
          <w:szCs w:val="24"/>
        </w:rPr>
        <w:instrText>ADDIN CSL_CITATION { "citationItems" : [ { "id" : "ITEM-1", "itemData" : { "author" : [ { "dropping-particle" : "", "family" : "Jean Rocherulle, Claude Ecolivet, Marcel Poulain", "given" : "Patrick Verdier and Yves Laurent", "non-dropping-particle" : "", "parse-names" : false, "suffix" : "" } ], "id" : "ITEM-1", "issued" : { "date-parts" : [ [ "1989" ] ] }, "page" : "187-193", "title" : "ELASTIC MODULI OF OXYNITRIDE GLASSES : Extension of Makishima and Mackenzie's theory", "type" : "article-journal", "volume" : "108" }, "uris" : [ "http://www.mendeley.com/documents/?uuid=c1450947-e239-4040-97e5-8551b51de6c7" ] } ], "mendeley" : { "formattedCitation" : "(Jean Rocherulle, Claude Ecolivet, Marcel Poulain, 1989)", "manualFormatting" : "(Rocherulle et al., 1989)", "plainTextFormattedCitation" : "(Jean Rocherulle, Claude Ecolivet, Marcel Poulain, 1989)", "previouslyFormattedCitation" : "(Jean Rocherulle, Claude Ecolivet, Marcel Poulain, 1989)" }, "properties" : { "noteIndex" : 29 }, "schema" : "https://github.com/citation-style-language/schema/raw/master/csl-citation.json" }</w:instrText>
      </w:r>
      <w:r w:rsidR="00B76CA5" w:rsidRPr="000E2377">
        <w:rPr>
          <w:rFonts w:cs="Times New Roman"/>
          <w:b w:val="0"/>
          <w:szCs w:val="24"/>
        </w:rPr>
        <w:fldChar w:fldCharType="separate"/>
      </w:r>
      <w:r w:rsidR="00B76CA5" w:rsidRPr="000E2377">
        <w:rPr>
          <w:rFonts w:cs="Times New Roman"/>
          <w:b w:val="0"/>
          <w:noProof/>
          <w:szCs w:val="24"/>
        </w:rPr>
        <w:t>(</w:t>
      </w:r>
      <w:r w:rsidR="001852C7" w:rsidRPr="000E2377">
        <w:rPr>
          <w:rFonts w:cs="Times New Roman"/>
          <w:b w:val="0"/>
          <w:noProof/>
          <w:szCs w:val="24"/>
        </w:rPr>
        <w:t>Rocherulle</w:t>
      </w:r>
      <w:r w:rsidR="005C375C" w:rsidRPr="000E2377">
        <w:rPr>
          <w:rFonts w:cs="Times New Roman"/>
          <w:b w:val="0"/>
          <w:noProof/>
          <w:szCs w:val="24"/>
        </w:rPr>
        <w:t xml:space="preserve"> et al.</w:t>
      </w:r>
      <w:r w:rsidR="00B76CA5" w:rsidRPr="000E2377">
        <w:rPr>
          <w:rFonts w:cs="Times New Roman"/>
          <w:b w:val="0"/>
          <w:noProof/>
          <w:szCs w:val="24"/>
        </w:rPr>
        <w:t>, 1989)</w:t>
      </w:r>
      <w:r w:rsidR="00B76CA5" w:rsidRPr="000E2377">
        <w:rPr>
          <w:rFonts w:cs="Times New Roman"/>
          <w:b w:val="0"/>
          <w:szCs w:val="24"/>
        </w:rPr>
        <w:fldChar w:fldCharType="end"/>
      </w:r>
      <w:r w:rsidR="007F11E7" w:rsidRPr="000E2377">
        <w:rPr>
          <w:rFonts w:cs="Times New Roman"/>
          <w:b w:val="0"/>
          <w:szCs w:val="24"/>
        </w:rPr>
        <w:t>.</w:t>
      </w:r>
      <w:r w:rsidR="00F65481" w:rsidRPr="000E2377">
        <w:rPr>
          <w:rFonts w:cs="Times New Roman"/>
          <w:b w:val="0"/>
          <w:szCs w:val="24"/>
        </w:rPr>
        <w:t xml:space="preserve"> </w:t>
      </w:r>
      <w:r w:rsidR="00F65481" w:rsidRPr="0029168B">
        <w:rPr>
          <w:rFonts w:cs="Times New Roman"/>
          <w:b w:val="0"/>
          <w:szCs w:val="24"/>
        </w:rPr>
        <w:t xml:space="preserve">The bulk modulus </w:t>
      </w:r>
      <w:r w:rsidR="001E376A" w:rsidRPr="0029168B">
        <w:rPr>
          <w:rFonts w:cs="Times New Roman"/>
          <w:b w:val="0"/>
          <w:szCs w:val="24"/>
        </w:rPr>
        <w:t xml:space="preserve">is </w:t>
      </w:r>
      <w:r w:rsidR="00F65481" w:rsidRPr="0029168B">
        <w:rPr>
          <w:rFonts w:cs="Times New Roman"/>
          <w:b w:val="0"/>
          <w:szCs w:val="24"/>
        </w:rPr>
        <w:t xml:space="preserve">more sensitive to packing density </w:t>
      </w:r>
      <w:r w:rsidR="00004502">
        <w:rPr>
          <w:rFonts w:cs="Times New Roman"/>
          <w:b w:val="0"/>
          <w:szCs w:val="24"/>
        </w:rPr>
        <w:t xml:space="preserve">than Young’s modulus </w:t>
      </w:r>
      <w:r w:rsidR="00F65481" w:rsidRPr="0029168B">
        <w:rPr>
          <w:rFonts w:cs="Times New Roman"/>
          <w:b w:val="0"/>
          <w:szCs w:val="24"/>
        </w:rPr>
        <w:t xml:space="preserve">because </w:t>
      </w:r>
      <w:r w:rsidR="001902EC" w:rsidRPr="0029168B">
        <w:rPr>
          <w:rFonts w:cs="Times New Roman"/>
          <w:b w:val="0"/>
          <w:szCs w:val="24"/>
        </w:rPr>
        <w:t xml:space="preserve">the bulk modulus is defined </w:t>
      </w:r>
      <w:r w:rsidR="00396CDF" w:rsidRPr="0029168B">
        <w:rPr>
          <w:rFonts w:cs="Times New Roman"/>
          <w:b w:val="0"/>
          <w:szCs w:val="24"/>
        </w:rPr>
        <w:t xml:space="preserve">as </w:t>
      </w:r>
      <w:r w:rsidR="00D46661">
        <w:rPr>
          <w:rFonts w:cs="Times New Roman"/>
          <w:b w:val="0"/>
          <w:szCs w:val="24"/>
        </w:rPr>
        <w:t xml:space="preserve">the </w:t>
      </w:r>
      <w:r w:rsidR="00396CDF" w:rsidRPr="0029168B">
        <w:rPr>
          <w:rFonts w:cs="Times New Roman"/>
          <w:b w:val="0"/>
          <w:szCs w:val="24"/>
        </w:rPr>
        <w:t>three dimensional isotropic modulus divide</w:t>
      </w:r>
      <w:r w:rsidR="00D46661">
        <w:rPr>
          <w:rFonts w:cs="Times New Roman"/>
          <w:b w:val="0"/>
          <w:szCs w:val="24"/>
        </w:rPr>
        <w:t>d</w:t>
      </w:r>
      <w:r w:rsidR="00396CDF" w:rsidRPr="0029168B">
        <w:rPr>
          <w:rFonts w:cs="Times New Roman"/>
          <w:b w:val="0"/>
          <w:szCs w:val="24"/>
        </w:rPr>
        <w:t xml:space="preserve"> </w:t>
      </w:r>
      <w:r w:rsidR="00D46661">
        <w:rPr>
          <w:rFonts w:cs="Times New Roman"/>
          <w:b w:val="0"/>
          <w:szCs w:val="24"/>
        </w:rPr>
        <w:t>by</w:t>
      </w:r>
      <w:r w:rsidR="00D46661" w:rsidRPr="0029168B">
        <w:rPr>
          <w:rFonts w:cs="Times New Roman"/>
          <w:b w:val="0"/>
          <w:szCs w:val="24"/>
        </w:rPr>
        <w:t xml:space="preserve"> </w:t>
      </w:r>
      <w:r w:rsidR="00396CDF" w:rsidRPr="0029168B">
        <w:rPr>
          <w:rFonts w:cs="Times New Roman"/>
          <w:b w:val="0"/>
          <w:szCs w:val="24"/>
        </w:rPr>
        <w:t>relative volume change</w:t>
      </w:r>
      <w:r w:rsidR="00F65481" w:rsidRPr="000E2377">
        <w:rPr>
          <w:rFonts w:cs="Times New Roman"/>
          <w:b w:val="0"/>
          <w:szCs w:val="24"/>
        </w:rPr>
        <w:t xml:space="preserve"> </w:t>
      </w:r>
      <w:r w:rsidR="00F65481" w:rsidRPr="000E2377">
        <w:rPr>
          <w:rFonts w:cs="Times New Roman"/>
          <w:b w:val="0"/>
          <w:szCs w:val="24"/>
        </w:rPr>
        <w:fldChar w:fldCharType="begin" w:fldLock="1"/>
      </w:r>
      <w:r w:rsidR="00FB0717" w:rsidRPr="000E2377">
        <w:rPr>
          <w:rFonts w:cs="Times New Roman"/>
          <w:b w:val="0"/>
          <w:szCs w:val="24"/>
        </w:rPr>
        <w:instrText>ADDIN CSL_CITATION { "citationItems" : [ { "id" : "ITEM-1", "itemData" : { "author" : [ { "dropping-particle" : "", "family" : "Makishma", "given" : "Akio", "non-dropping-particle" : "", "parse-names" : false, "suffix" : "" }, { "dropping-particle" : "", "family" : "Mackenzie", "given" : "John D", "non-dropping-particle" : "", "parse-names" : false, "suffix" : "" } ], "id" : "ITEM-1", "issued" : { "date-parts" : [ [ "1975" ] ] }, "page" : "147-157", "title" : "Calculation of bulk modulus, shear modulus and Poisson's ratio of glass", "type" : "article-journal", "volume" : "17" }, "uris" : [ "http://www.mendeley.com/documents/?uuid=952b18f8-2c24-4960-8242-0e0b9eb8b554" ] } ], "mendeley" : { "formattedCitation" : "(Makishma &amp; Mackenzie, 1975)", "plainTextFormattedCitation" : "(Makishma &amp; Mackenzie, 1975)", "previouslyFormattedCitation" : "(Makishma &amp; Mackenzie, 1975)" }, "properties" : { "noteIndex" : 33 }, "schema" : "https://github.com/citation-style-language/schema/raw/master/csl-citation.json" }</w:instrText>
      </w:r>
      <w:r w:rsidR="00F65481" w:rsidRPr="000E2377">
        <w:rPr>
          <w:rFonts w:cs="Times New Roman"/>
          <w:b w:val="0"/>
          <w:szCs w:val="24"/>
        </w:rPr>
        <w:fldChar w:fldCharType="separate"/>
      </w:r>
      <w:r w:rsidR="00F65481" w:rsidRPr="000E2377">
        <w:rPr>
          <w:rFonts w:cs="Times New Roman"/>
          <w:b w:val="0"/>
          <w:noProof/>
          <w:szCs w:val="24"/>
        </w:rPr>
        <w:t>(Makishma &amp; Mackenzie, 1975)</w:t>
      </w:r>
      <w:r w:rsidR="00F65481" w:rsidRPr="000E2377">
        <w:rPr>
          <w:rFonts w:cs="Times New Roman"/>
          <w:b w:val="0"/>
          <w:szCs w:val="24"/>
        </w:rPr>
        <w:fldChar w:fldCharType="end"/>
      </w:r>
      <w:r w:rsidR="00F65481" w:rsidRPr="000E2377">
        <w:rPr>
          <w:rFonts w:cs="Times New Roman"/>
          <w:b w:val="0"/>
          <w:szCs w:val="24"/>
        </w:rPr>
        <w:t xml:space="preserve">. </w:t>
      </w:r>
      <w:r w:rsidR="00004502" w:rsidRPr="0029168B">
        <w:rPr>
          <w:rFonts w:cs="Times New Roman"/>
          <w:b w:val="0"/>
          <w:szCs w:val="24"/>
        </w:rPr>
        <w:fldChar w:fldCharType="begin" w:fldLock="1"/>
      </w:r>
      <w:r w:rsidR="0079398C">
        <w:rPr>
          <w:rFonts w:cs="Times New Roman"/>
          <w:b w:val="0"/>
          <w:szCs w:val="24"/>
        </w:rPr>
        <w:instrText>ADDIN CSL_CITATION { "citationItems" : [ { "id" : "ITEM-1", "itemData" : { "DOI" : "10.1111/j.1151-2916.1966.tb13272.x", "ISSN" : "15512916", "author" : [ { "dropping-particle" : "", "family" : "SOGA", "given" : "NAOHIRO", "non-dropping-particle" : "", "parse-names" : false, "suffix" : "" }, { "dropping-particle" : "", "family" : "ANDERSON", "given" : "ORSON L.", "non-dropping-particle" : "", "parse-names" : false, "suffix" : "" } ], "container-title" : "Journal of the American Ceramic Society", "id" : "ITEM-1", "issue" : "6", "issued" : { "date-parts" : [ [ "1966" ] ] }, "page" : "318-322", "title" : "Simplified Method for Calculating Elastic Moduli of Ceramic Powder from Compressibility and Debye Temperature Data", "type" : "article-journal", "volume" : "49" }, "uris" : [ "http://www.mendeley.com/documents/?uuid=eefe748f-29f0-4a93-94a2-884ff72dadf8" ] } ], "mendeley" : { "formattedCitation" : "(SOGA &amp; ANDERSON, 1966)", "manualFormatting" : "Soga &amp; Anderson, (1966", "plainTextFormattedCitation" : "(SOGA &amp; ANDERSON, 1966)", "previouslyFormattedCitation" : "(SOGA &amp; ANDERSON, 1966)" }, "properties" : { "noteIndex" : 35 }, "schema" : "https://github.com/citation-style-language/schema/raw/master/csl-citation.json" }</w:instrText>
      </w:r>
      <w:r w:rsidR="00004502" w:rsidRPr="0029168B">
        <w:rPr>
          <w:rFonts w:cs="Times New Roman"/>
          <w:b w:val="0"/>
          <w:szCs w:val="24"/>
        </w:rPr>
        <w:fldChar w:fldCharType="separate"/>
      </w:r>
      <w:r w:rsidR="00004502" w:rsidRPr="0029168B">
        <w:rPr>
          <w:rFonts w:cs="Times New Roman"/>
          <w:b w:val="0"/>
          <w:noProof/>
          <w:szCs w:val="24"/>
        </w:rPr>
        <w:t xml:space="preserve">Soga &amp; Anderson, </w:t>
      </w:r>
      <w:r w:rsidR="00004502">
        <w:rPr>
          <w:rFonts w:cs="Times New Roman"/>
          <w:b w:val="0"/>
          <w:noProof/>
          <w:szCs w:val="24"/>
        </w:rPr>
        <w:t>(</w:t>
      </w:r>
      <w:r w:rsidR="00004502" w:rsidRPr="0029168B">
        <w:rPr>
          <w:rFonts w:cs="Times New Roman"/>
          <w:b w:val="0"/>
          <w:noProof/>
          <w:szCs w:val="24"/>
        </w:rPr>
        <w:t>1966</w:t>
      </w:r>
      <w:r w:rsidR="00004502" w:rsidRPr="0029168B">
        <w:rPr>
          <w:rFonts w:cs="Times New Roman"/>
          <w:b w:val="0"/>
          <w:szCs w:val="24"/>
        </w:rPr>
        <w:fldChar w:fldCharType="end"/>
      </w:r>
      <w:r w:rsidR="00004502">
        <w:rPr>
          <w:rFonts w:cs="Times New Roman"/>
          <w:b w:val="0"/>
          <w:szCs w:val="24"/>
        </w:rPr>
        <w:t>),</w:t>
      </w:r>
      <w:r w:rsidR="00004502" w:rsidRPr="000E2377">
        <w:rPr>
          <w:rFonts w:cs="Times New Roman"/>
          <w:b w:val="0"/>
          <w:szCs w:val="24"/>
        </w:rPr>
        <w:t xml:space="preserve"> mentioned that bulk modulus</w:t>
      </w:r>
      <w:r w:rsidR="00004502">
        <w:rPr>
          <w:rFonts w:cs="Times New Roman"/>
          <w:b w:val="0"/>
          <w:szCs w:val="24"/>
        </w:rPr>
        <w:t xml:space="preserve"> (K) is related to mean atomic volume and they suggested that</w:t>
      </w:r>
      <w:r w:rsidR="00004502" w:rsidRPr="000E2377">
        <w:rPr>
          <w:rFonts w:cs="Times New Roman"/>
          <w:b w:val="0"/>
          <w:szCs w:val="24"/>
        </w:rPr>
        <w:t xml:space="preserve"> ln K</w:t>
      </w:r>
      <w:r w:rsidR="00004502">
        <w:rPr>
          <w:rFonts w:cs="Times New Roman"/>
          <w:b w:val="0"/>
          <w:szCs w:val="24"/>
        </w:rPr>
        <w:t xml:space="preserve"> </w:t>
      </w:r>
      <w:r w:rsidR="00004502" w:rsidRPr="000E2377">
        <w:rPr>
          <w:rFonts w:cs="Times New Roman"/>
          <w:b w:val="0"/>
          <w:szCs w:val="24"/>
        </w:rPr>
        <w:t>is inversely proportional to ln(2M/</w:t>
      </w:r>
      <w:proofErr w:type="spellStart"/>
      <w:r w:rsidR="00004502" w:rsidRPr="000E2377">
        <w:rPr>
          <w:rFonts w:cs="Times New Roman"/>
          <w:b w:val="0"/>
          <w:szCs w:val="24"/>
        </w:rPr>
        <w:t>Pρ</w:t>
      </w:r>
      <w:proofErr w:type="spellEnd"/>
      <w:r w:rsidR="00004502" w:rsidRPr="000E2377">
        <w:rPr>
          <w:rFonts w:cs="Times New Roman"/>
          <w:b w:val="0"/>
          <w:szCs w:val="24"/>
        </w:rPr>
        <w:t xml:space="preserve">) </w:t>
      </w:r>
      <w:r w:rsidR="00004502">
        <w:rPr>
          <w:rFonts w:cs="Times New Roman"/>
          <w:b w:val="0"/>
          <w:szCs w:val="24"/>
        </w:rPr>
        <w:t>where</w:t>
      </w:r>
      <w:r w:rsidR="00004502" w:rsidRPr="000E2377">
        <w:rPr>
          <w:rFonts w:cs="Times New Roman"/>
          <w:b w:val="0"/>
          <w:szCs w:val="24"/>
        </w:rPr>
        <w:t xml:space="preserve"> </w:t>
      </w:r>
      <w:r w:rsidR="00306D59">
        <w:rPr>
          <w:rFonts w:cs="Times New Roman"/>
          <w:b w:val="0"/>
          <w:szCs w:val="24"/>
        </w:rPr>
        <w:t xml:space="preserve">the </w:t>
      </w:r>
      <w:r w:rsidR="00004502" w:rsidRPr="000E2377">
        <w:rPr>
          <w:rFonts w:cs="Times New Roman"/>
          <w:b w:val="0"/>
          <w:szCs w:val="24"/>
        </w:rPr>
        <w:t>molecular weight is M, number of ions is P and density, ρ.</w:t>
      </w:r>
      <w:r w:rsidR="00004502">
        <w:rPr>
          <w:rFonts w:cs="Times New Roman"/>
          <w:b w:val="0"/>
          <w:szCs w:val="24"/>
        </w:rPr>
        <w:t xml:space="preserve"> </w:t>
      </w:r>
      <w:r w:rsidR="00004502" w:rsidRPr="000E2377">
        <w:rPr>
          <w:rFonts w:cs="Times New Roman"/>
          <w:b w:val="0"/>
          <w:szCs w:val="24"/>
        </w:rPr>
        <w:t xml:space="preserve"> </w:t>
      </w:r>
      <w:r w:rsidR="002B4FB1">
        <w:rPr>
          <w:rFonts w:cs="Times New Roman"/>
          <w:b w:val="0"/>
          <w:szCs w:val="24"/>
        </w:rPr>
        <w:t>T</w:t>
      </w:r>
      <w:r w:rsidR="002B4FB1" w:rsidRPr="000E2377">
        <w:rPr>
          <w:rFonts w:cs="Times New Roman"/>
          <w:b w:val="0"/>
          <w:szCs w:val="24"/>
        </w:rPr>
        <w:t xml:space="preserve">he bulk modulus </w:t>
      </w:r>
      <w:r w:rsidR="00004502">
        <w:rPr>
          <w:rFonts w:cs="Times New Roman"/>
          <w:b w:val="0"/>
          <w:szCs w:val="24"/>
        </w:rPr>
        <w:t xml:space="preserve">has been </w:t>
      </w:r>
      <w:r w:rsidR="002B4FB1">
        <w:rPr>
          <w:rFonts w:cs="Times New Roman"/>
          <w:b w:val="0"/>
          <w:szCs w:val="24"/>
        </w:rPr>
        <w:t xml:space="preserve">found to </w:t>
      </w:r>
      <w:r w:rsidR="002B4FB1" w:rsidRPr="000E2377">
        <w:rPr>
          <w:rFonts w:cs="Times New Roman"/>
          <w:b w:val="0"/>
          <w:szCs w:val="24"/>
        </w:rPr>
        <w:t>increase</w:t>
      </w:r>
      <w:r w:rsidR="002B4FB1">
        <w:rPr>
          <w:rFonts w:cs="Times New Roman"/>
          <w:b w:val="0"/>
          <w:szCs w:val="24"/>
        </w:rPr>
        <w:t xml:space="preserve"> w</w:t>
      </w:r>
      <w:r w:rsidR="001E376A">
        <w:rPr>
          <w:rFonts w:cs="Times New Roman"/>
          <w:b w:val="0"/>
          <w:szCs w:val="24"/>
        </w:rPr>
        <w:t>hen</w:t>
      </w:r>
      <w:r w:rsidR="00A41786" w:rsidRPr="000E2377">
        <w:rPr>
          <w:rFonts w:cs="Times New Roman"/>
          <w:b w:val="0"/>
          <w:szCs w:val="24"/>
        </w:rPr>
        <w:t xml:space="preserve"> alkaline earth</w:t>
      </w:r>
      <w:r w:rsidR="001E376A">
        <w:rPr>
          <w:rFonts w:cs="Times New Roman"/>
          <w:b w:val="0"/>
          <w:szCs w:val="24"/>
        </w:rPr>
        <w:t>s were added to</w:t>
      </w:r>
      <w:r w:rsidR="001020EE" w:rsidRPr="000E2377">
        <w:rPr>
          <w:rFonts w:cs="Times New Roman"/>
          <w:b w:val="0"/>
          <w:szCs w:val="24"/>
        </w:rPr>
        <w:t xml:space="preserve"> </w:t>
      </w:r>
      <w:r w:rsidR="006D39B2">
        <w:rPr>
          <w:rFonts w:cs="Times New Roman"/>
          <w:b w:val="0"/>
          <w:szCs w:val="24"/>
        </w:rPr>
        <w:t>Na</w:t>
      </w:r>
      <w:r w:rsidR="006D39B2" w:rsidRPr="00E17669">
        <w:rPr>
          <w:rFonts w:cs="Times New Roman"/>
          <w:b w:val="0"/>
          <w:szCs w:val="24"/>
          <w:vertAlign w:val="subscript"/>
        </w:rPr>
        <w:t>2</w:t>
      </w:r>
      <w:r w:rsidR="006D39B2">
        <w:rPr>
          <w:rFonts w:cs="Times New Roman"/>
          <w:b w:val="0"/>
          <w:szCs w:val="24"/>
        </w:rPr>
        <w:t>O</w:t>
      </w:r>
      <w:r w:rsidR="00E17669">
        <w:rPr>
          <w:rFonts w:cs="Times New Roman"/>
          <w:b w:val="0"/>
          <w:szCs w:val="24"/>
        </w:rPr>
        <w:t>-</w:t>
      </w:r>
      <w:r w:rsidR="00E17669">
        <w:rPr>
          <w:rFonts w:cs="Times New Roman"/>
          <w:b w:val="0"/>
          <w:szCs w:val="24"/>
        </w:rPr>
        <w:lastRenderedPageBreak/>
        <w:t>CaO-</w:t>
      </w:r>
      <w:r w:rsidR="001020EE" w:rsidRPr="000E2377">
        <w:rPr>
          <w:rFonts w:cs="Times New Roman"/>
          <w:b w:val="0"/>
          <w:szCs w:val="24"/>
        </w:rPr>
        <w:t>SiO</w:t>
      </w:r>
      <w:r w:rsidR="001020EE" w:rsidRPr="000E2377">
        <w:rPr>
          <w:rFonts w:cs="Times New Roman"/>
          <w:b w:val="0"/>
          <w:szCs w:val="24"/>
          <w:vertAlign w:val="subscript"/>
        </w:rPr>
        <w:t>2</w:t>
      </w:r>
      <w:r w:rsidR="001020EE" w:rsidRPr="000E2377">
        <w:rPr>
          <w:rFonts w:cs="Times New Roman"/>
          <w:b w:val="0"/>
          <w:szCs w:val="24"/>
        </w:rPr>
        <w:t xml:space="preserve"> glasses, </w:t>
      </w:r>
      <w:r w:rsidR="002B4FB1">
        <w:rPr>
          <w:rFonts w:cs="Times New Roman"/>
          <w:b w:val="0"/>
          <w:szCs w:val="24"/>
        </w:rPr>
        <w:t xml:space="preserve">and </w:t>
      </w:r>
      <w:r w:rsidR="00985D00" w:rsidRPr="00985D00">
        <w:rPr>
          <w:rFonts w:cs="Times New Roman"/>
          <w:b w:val="0"/>
          <w:szCs w:val="24"/>
        </w:rPr>
        <w:t>thus increase with decreasing</w:t>
      </w:r>
      <w:r w:rsidR="00985D00" w:rsidRPr="00985D00" w:rsidDel="00985D00">
        <w:rPr>
          <w:rFonts w:cs="Times New Roman"/>
          <w:b w:val="0"/>
          <w:szCs w:val="24"/>
        </w:rPr>
        <w:t xml:space="preserve"> </w:t>
      </w:r>
      <w:r w:rsidR="00E17669">
        <w:rPr>
          <w:rFonts w:cs="Times New Roman"/>
          <w:b w:val="0"/>
          <w:szCs w:val="24"/>
        </w:rPr>
        <w:t xml:space="preserve">network polymerisation and </w:t>
      </w:r>
      <w:r w:rsidR="002B4FB1">
        <w:rPr>
          <w:rFonts w:cs="Times New Roman"/>
          <w:b w:val="0"/>
          <w:szCs w:val="24"/>
        </w:rPr>
        <w:t xml:space="preserve">the increase in modulus </w:t>
      </w:r>
      <w:r w:rsidR="00E17669">
        <w:rPr>
          <w:rFonts w:cs="Times New Roman"/>
          <w:b w:val="0"/>
          <w:szCs w:val="24"/>
        </w:rPr>
        <w:t xml:space="preserve">also because of </w:t>
      </w:r>
      <w:r w:rsidR="00004502">
        <w:rPr>
          <w:rFonts w:cs="Times New Roman"/>
          <w:b w:val="0"/>
          <w:szCs w:val="24"/>
        </w:rPr>
        <w:t xml:space="preserve">increased </w:t>
      </w:r>
      <w:r w:rsidR="00E17669">
        <w:rPr>
          <w:rFonts w:cs="Times New Roman"/>
          <w:b w:val="0"/>
          <w:szCs w:val="24"/>
        </w:rPr>
        <w:t xml:space="preserve">network packing of the glass </w:t>
      </w:r>
      <w:r w:rsidR="00E17669">
        <w:rPr>
          <w:rFonts w:cs="Times New Roman"/>
          <w:b w:val="0"/>
          <w:szCs w:val="24"/>
        </w:rPr>
        <w:fldChar w:fldCharType="begin" w:fldLock="1"/>
      </w:r>
      <w:r w:rsidR="00E17669">
        <w:rPr>
          <w:rFonts w:cs="Times New Roman"/>
          <w:b w:val="0"/>
          <w:szCs w:val="24"/>
        </w:rPr>
        <w:instrText>ADDIN CSL_CITATION { "citationItems" : [ { "id" : "ITEM-1", "itemData" : { "DOI" : "10.1016/j.jnoncrysol.2015.08.013", "ISSN" : "00223093", "abstract" : "The effects of varying the alkaline earth oxide content of three series of soda-lime-silica glasses with the general formulae 13.5Na&lt;inf&gt;2&lt;/inf&gt;O??xMgO??10CaO??1.5Al&lt;inf&gt;2&lt;/inf&gt;O&lt;inf&gt;3&lt;/inf&gt;??(75 - x)SiO&lt;inf&gt;2&lt;/inf&gt; (mol.%) where x = 0, 1, 2, 3, 4, 5, 6, and 7; 13.5Na&lt;inf&gt;2&lt;/inf&gt;O??3MgO??(7 + y)CaO??1.5Al&lt;inf&gt;2&lt;/inf&gt;O&lt;inf&gt;3&lt;/inf&gt;??(75 - y)SiO&lt;inf&gt;2&lt;/inf&gt; (mol.%) where y = 0, 1, 2, 3, 4, 5, 6, and 7 and 13.5Na&lt;inf&gt;2&lt;/inf&gt;O??zMgO??(13 - z)CaO??1.5Al&lt;inf&gt;2&lt;/inf&gt;O&lt;inf&gt;3&lt;/inf&gt;??72SiO&lt;inf&gt;2&lt;/inf&gt; (mol.%) where z = 1, 3, 5, 7, 9, and 11 have been examined. Raman spectroscopy and nuclear magnetic resonance (NMR) spectroscopy have been used to assess network connectivity. In the first two glass series network connectivity decreases with increasing alkaline earth addition whereas in the third series connectivity tends to be greater for the more magnesia rich glasses suggesting that magnesia does have a different effect to lime on network connectivity, but only when magnesia is the dominant alkaline earth species. Fracture toughness has been measured using bend testing, which avoids many of the questions raised by the widely used indentation technique. Moduli have been assessed using acoustic means. It was found that the mechanical properties tend to decrease with increasing network connectivity for all three glass series. For the MgO-SiO&lt;inf&gt;2&lt;/inf&gt; series and CaO-SiO&lt;inf&gt;2&lt;/inf&gt; glasses increasing the alkaline earth content at the expense of the silica content resulted in increased network depolymerization, whereas for the MgO-CaO series when MgO became the dominant alkaline earth species, network depolymerization was reduced. Thus whilst MgO and CaO both act as network modifiers when more CaO than MgO is present in soda-lime-silica glasses, a difference in behaviour is seen with magnesia rich soda-magnesia-silica glasses. In contradiction to previous data no significant advantage of replacing CaO by MgO is observed. In addition it appears that the glasses with the lowest fracture toughness values may be more resilient to contact damage than those with the higher fracture toughness values.", "author" : [ { "dropping-particle" : "", "family" : "Kilinc", "given" : "Erhan", "non-dropping-particle" : "", "parse-names" : false, "suffix" : "" }, { "dropping-particle" : "", "family" : "Hand", "given" : "Russell J.", "non-dropping-particle" : "", "parse-names" : false, "suffix" : "" } ], "container-title" : "Journal of Non-Crystalline Solids", "id" : "ITEM-1", "issued" : { "date-parts" : [ [ "2015" ] ] }, "page" : "190-197", "publisher" : "Elsevier B.V.", "title" : "Mechanical properties of soda-lime-silica glasses with varying alkaline earth contents", "type" : "article-journal", "volume" : "429" }, "uris" : [ "http://www.mendeley.com/documents/?uuid=e13d0b43-c3bd-445d-9e34-20db699e6c29" ] } ], "mendeley" : { "formattedCitation" : "(Kilinc &amp; Hand, 2015)", "plainTextFormattedCitation" : "(Kilinc &amp; Hand, 2015)", "previouslyFormattedCitation" : "(Kilinc &amp; Hand, 2015)" }, "properties" : { "noteIndex" : 30 }, "schema" : "https://github.com/citation-style-language/schema/raw/master/csl-citation.json" }</w:instrText>
      </w:r>
      <w:r w:rsidR="00E17669">
        <w:rPr>
          <w:rFonts w:cs="Times New Roman"/>
          <w:b w:val="0"/>
          <w:szCs w:val="24"/>
        </w:rPr>
        <w:fldChar w:fldCharType="separate"/>
      </w:r>
      <w:r w:rsidR="00E17669" w:rsidRPr="00E17669">
        <w:rPr>
          <w:rFonts w:cs="Times New Roman"/>
          <w:b w:val="0"/>
          <w:noProof/>
          <w:szCs w:val="24"/>
        </w:rPr>
        <w:t>(Kilinc &amp; Hand, 2015)</w:t>
      </w:r>
      <w:r w:rsidR="00E17669">
        <w:rPr>
          <w:rFonts w:cs="Times New Roman"/>
          <w:b w:val="0"/>
          <w:szCs w:val="24"/>
        </w:rPr>
        <w:fldChar w:fldCharType="end"/>
      </w:r>
      <w:r w:rsidR="001E376A">
        <w:rPr>
          <w:rFonts w:cs="Times New Roman"/>
          <w:b w:val="0"/>
          <w:szCs w:val="24"/>
        </w:rPr>
        <w:t>.</w:t>
      </w:r>
      <w:r w:rsidR="00DF654A" w:rsidRPr="000E2377">
        <w:rPr>
          <w:rFonts w:cs="Times New Roman"/>
          <w:b w:val="0"/>
          <w:szCs w:val="24"/>
        </w:rPr>
        <w:t xml:space="preserve"> </w:t>
      </w:r>
    </w:p>
    <w:p w14:paraId="777E347E" w14:textId="0510A454" w:rsidR="00C507C0" w:rsidRPr="000E2377" w:rsidRDefault="003C715E" w:rsidP="003C715E">
      <w:pPr>
        <w:pStyle w:val="Heading4"/>
      </w:pPr>
      <w:bookmarkStart w:id="154" w:name="_Toc523402880"/>
      <w:bookmarkStart w:id="155" w:name="_Toc525526391"/>
      <w:bookmarkStart w:id="156" w:name="_Toc525707808"/>
      <w:bookmarkStart w:id="157" w:name="_Toc525742472"/>
      <w:r w:rsidRPr="000E2377">
        <w:t>2.</w:t>
      </w:r>
      <w:r w:rsidR="003B115C">
        <w:t>1</w:t>
      </w:r>
      <w:r w:rsidR="007754F1">
        <w:t>1</w:t>
      </w:r>
      <w:r w:rsidRPr="000E2377">
        <w:t xml:space="preserve">.1.3 </w:t>
      </w:r>
      <w:r w:rsidR="00C507C0" w:rsidRPr="000E2377">
        <w:t>Poisson’s ratio</w:t>
      </w:r>
      <w:bookmarkEnd w:id="154"/>
      <w:bookmarkEnd w:id="155"/>
      <w:bookmarkEnd w:id="156"/>
      <w:bookmarkEnd w:id="157"/>
    </w:p>
    <w:p w14:paraId="4261EBA9" w14:textId="79F1FA6C" w:rsidR="00017F4A" w:rsidRPr="000E2377" w:rsidRDefault="004600FC" w:rsidP="00ED4492">
      <w:pPr>
        <w:spacing w:after="0" w:line="360" w:lineRule="auto"/>
        <w:jc w:val="both"/>
        <w:rPr>
          <w:rFonts w:cs="Times New Roman"/>
          <w:b w:val="0"/>
          <w:szCs w:val="24"/>
        </w:rPr>
      </w:pPr>
      <w:r w:rsidRPr="000E2377">
        <w:rPr>
          <w:rFonts w:cs="Times New Roman"/>
          <w:b w:val="0"/>
          <w:szCs w:val="24"/>
        </w:rPr>
        <w:t xml:space="preserve">Poisson’s ratio is </w:t>
      </w:r>
      <w:r w:rsidR="00284CC3">
        <w:rPr>
          <w:rFonts w:cs="Times New Roman"/>
          <w:b w:val="0"/>
          <w:szCs w:val="24"/>
        </w:rPr>
        <w:t xml:space="preserve">a </w:t>
      </w:r>
      <w:r w:rsidRPr="000E2377">
        <w:rPr>
          <w:rFonts w:cs="Times New Roman"/>
          <w:b w:val="0"/>
          <w:szCs w:val="24"/>
        </w:rPr>
        <w:t>ratio between transverse strain (</w:t>
      </w:r>
      <w:proofErr w:type="spellStart"/>
      <w:r w:rsidRPr="000E2377">
        <w:rPr>
          <w:rFonts w:cs="Times New Roman"/>
          <w:b w:val="0"/>
          <w:i/>
          <w:szCs w:val="24"/>
        </w:rPr>
        <w:t>Ɛ</w:t>
      </w:r>
      <w:r w:rsidRPr="000E2377">
        <w:rPr>
          <w:rFonts w:cs="Times New Roman"/>
          <w:b w:val="0"/>
          <w:i/>
          <w:szCs w:val="24"/>
          <w:vertAlign w:val="subscript"/>
        </w:rPr>
        <w:t>t</w:t>
      </w:r>
      <w:proofErr w:type="spellEnd"/>
      <w:r w:rsidRPr="000E2377">
        <w:rPr>
          <w:rFonts w:cs="Times New Roman"/>
          <w:b w:val="0"/>
          <w:szCs w:val="24"/>
        </w:rPr>
        <w:t>) and longitudinal strain (</w:t>
      </w:r>
      <w:proofErr w:type="spellStart"/>
      <w:r w:rsidRPr="000E2377">
        <w:rPr>
          <w:rFonts w:cs="Times New Roman"/>
          <w:b w:val="0"/>
          <w:i/>
          <w:szCs w:val="24"/>
        </w:rPr>
        <w:t>Ɛ</w:t>
      </w:r>
      <w:r w:rsidRPr="000E2377">
        <w:rPr>
          <w:rFonts w:cs="Times New Roman"/>
          <w:b w:val="0"/>
          <w:i/>
          <w:szCs w:val="24"/>
          <w:vertAlign w:val="subscript"/>
        </w:rPr>
        <w:t>l</w:t>
      </w:r>
      <w:proofErr w:type="spellEnd"/>
      <w:r w:rsidRPr="000E2377">
        <w:rPr>
          <w:rFonts w:cs="Times New Roman"/>
          <w:b w:val="0"/>
          <w:szCs w:val="24"/>
        </w:rPr>
        <w:t xml:space="preserve">) </w:t>
      </w:r>
      <w:r w:rsidR="001E376A">
        <w:rPr>
          <w:rFonts w:cs="Times New Roman"/>
          <w:b w:val="0"/>
          <w:szCs w:val="24"/>
        </w:rPr>
        <w:t xml:space="preserve">(the strain </w:t>
      </w:r>
      <w:r w:rsidRPr="000E2377">
        <w:rPr>
          <w:rFonts w:cs="Times New Roman"/>
          <w:b w:val="0"/>
          <w:szCs w:val="24"/>
        </w:rPr>
        <w:t>in the direction of elastic loading in pure tension</w:t>
      </w:r>
      <w:r w:rsidR="001E376A">
        <w:rPr>
          <w:rFonts w:cs="Times New Roman"/>
          <w:b w:val="0"/>
          <w:szCs w:val="24"/>
        </w:rPr>
        <w:t>)</w:t>
      </w:r>
      <w:r w:rsidRPr="000E2377">
        <w:rPr>
          <w:rFonts w:cs="Times New Roman"/>
          <w:b w:val="0"/>
          <w:szCs w:val="24"/>
        </w:rPr>
        <w:t xml:space="preserve"> and is a measure of the resistance of a material to volume change upon change of shape </w:t>
      </w:r>
      <w:r w:rsidRPr="000E2377">
        <w:rPr>
          <w:rFonts w:cs="Times New Roman"/>
          <w:b w:val="0"/>
          <w:szCs w:val="24"/>
        </w:rPr>
        <w:fldChar w:fldCharType="begin" w:fldLock="1"/>
      </w:r>
      <w:r w:rsidR="004D23C6">
        <w:rPr>
          <w:rFonts w:cs="Times New Roman"/>
          <w:b w:val="0"/>
          <w:szCs w:val="24"/>
        </w:rPr>
        <w:instrText>ADDIN CSL_CITATION { "citationItems" : [ { "id" : "ITEM-1", "itemData" : { "DOI" : "10.1016/j.jnoncrysol.2010.07.043", "ISBN" : "0022-3093", "ISSN" : "00223093", "abstract" : "Ca and Sr-based oxynitride glasses with very high nitrogen content have been synthesized using metal hydrides as primary precursors. Values of Young's modulus, shear modulus, bulk modulus and Poisson's ratio were determined by means of ultrasonic echography. Vickers micro-indentation has been used to characterize hardness and indentation fracture toughness behaviour. Elastic moduli were found to increase linearly with nitrogen content, with the highest value of Young's modulus at 135 GPa, for a Ca-glass with 58 e/o of nitrogen. The Sr-glasses exhibit lower elastic moduli than Ca glasses. Poisson's ratio, hardness, indentation fracture toughness, crack initiation load and surface damage resistance were found to increase with increasing nitrogen content for both glass series. \u00a9 2010 Elsevier B.V.", "author" : [ { "dropping-particle" : "", "family" : "Sellappan", "given" : "Pathikumar", "non-dropping-particle" : "", "parse-names" : false, "suffix" : "" }, { "dropping-particle" : "", "family" : "Sharafat", "given" : "Ali", "non-dropping-particle" : "", "parse-names" : false, "suffix" : "" }, { "dropping-particle" : "", "family" : "Keryvin", "given" : "Vincent", "non-dropping-particle" : "", "parse-names" : false, "suffix" : "" }, { "dropping-particle" : "", "family" : "Houizot", "given" : "Patrick", "non-dropping-particle" : "", "parse-names" : false, "suffix" : "" }, { "dropping-particle" : "", "family" : "Rouxel", "given" : "Tanguy", "non-dropping-particle" : "", "parse-names" : false, "suffix" : "" }, { "dropping-particle" : "", "family" : "Grins", "given" : "Jekabs", "non-dropping-particle" : "", "parse-names" : false, "suffix" : "" }, { "dropping-particle" : "", "family" : "Esmaeilzadeh", "given" : "Saeid", "non-dropping-particle" : "", "parse-names" : false, "suffix" : "" } ], "container-title" : "Journal of Non-Crystalline Solids", "id" : "ITEM-1", "issue" : "41-42", "issued" : { "date-parts" : [ [ "2010" ] ] }, "page" : "2120-2126", "publisher" : "Elsevier B.V.", "title" : "Elastic properties and surface damage resistance of nitrogen-rich (Ca,Sr)-Si-O-N glasses", "type" : "article-journal", "volume" : "356" }, "uris" : [ "http://www.mendeley.com/documents/?uuid=6a0e94af-0364-46c0-91be-e7a9b3dc5402" ] } ], "mendeley" : { "formattedCitation" : "(Pathikumar Sellappan et al., 2010)", "manualFormatting" : "(Sellappan et al., 2010)", "plainTextFormattedCitation" : "(Pathikumar Sellappan et al., 2010)", "previouslyFormattedCitation" : "(Pathikumar Sellappan et al., 2010)" }, "properties" : { "noteIndex" : 30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(Sellappan et al., 2010)</w:t>
      </w:r>
      <w:r w:rsidRPr="000E2377">
        <w:rPr>
          <w:rFonts w:cs="Times New Roman"/>
          <w:b w:val="0"/>
          <w:szCs w:val="24"/>
        </w:rPr>
        <w:fldChar w:fldCharType="end"/>
      </w:r>
      <w:r w:rsidRPr="000E2377">
        <w:rPr>
          <w:rFonts w:cs="Times New Roman"/>
          <w:b w:val="0"/>
          <w:szCs w:val="24"/>
        </w:rPr>
        <w:t>. For glasses</w:t>
      </w:r>
      <w:r w:rsidR="00284CC3">
        <w:rPr>
          <w:rFonts w:cs="Times New Roman"/>
          <w:b w:val="0"/>
          <w:szCs w:val="24"/>
        </w:rPr>
        <w:t>,</w:t>
      </w:r>
      <w:r w:rsidRPr="000E2377">
        <w:rPr>
          <w:rFonts w:cs="Times New Roman"/>
          <w:b w:val="0"/>
          <w:szCs w:val="24"/>
        </w:rPr>
        <w:t xml:space="preserve"> it has been found that Poisson’s ratio </w:t>
      </w:r>
      <w:r w:rsidR="00D46661">
        <w:rPr>
          <w:rFonts w:cs="Times New Roman"/>
          <w:b w:val="0"/>
          <w:szCs w:val="24"/>
        </w:rPr>
        <w:t>can be correlated</w:t>
      </w:r>
      <w:r w:rsidRPr="000E2377">
        <w:rPr>
          <w:rFonts w:cs="Times New Roman"/>
          <w:b w:val="0"/>
          <w:szCs w:val="24"/>
        </w:rPr>
        <w:t xml:space="preserve"> with the toughness, densification and connectivity. Poisson’s ratio </w:t>
      </w:r>
      <w:r w:rsidR="00D46661">
        <w:rPr>
          <w:rFonts w:cs="Times New Roman"/>
          <w:b w:val="0"/>
          <w:szCs w:val="24"/>
        </w:rPr>
        <w:t xml:space="preserve">also </w:t>
      </w:r>
      <w:r w:rsidR="00D46661" w:rsidRPr="000E2377">
        <w:rPr>
          <w:rFonts w:cs="Times New Roman"/>
          <w:b w:val="0"/>
          <w:szCs w:val="24"/>
        </w:rPr>
        <w:t>increase</w:t>
      </w:r>
      <w:r w:rsidR="00D46661">
        <w:rPr>
          <w:rFonts w:cs="Times New Roman"/>
          <w:b w:val="0"/>
          <w:szCs w:val="24"/>
        </w:rPr>
        <w:t xml:space="preserve">s </w:t>
      </w:r>
      <w:r w:rsidRPr="000E2377">
        <w:rPr>
          <w:rFonts w:cs="Times New Roman"/>
          <w:b w:val="0"/>
          <w:szCs w:val="24"/>
        </w:rPr>
        <w:t>with atomic packing density</w:t>
      </w:r>
      <w:r w:rsidR="00D46661">
        <w:rPr>
          <w:rFonts w:cs="Times New Roman"/>
          <w:b w:val="0"/>
          <w:szCs w:val="24"/>
        </w:rPr>
        <w:t xml:space="preserve">, </w:t>
      </w:r>
      <w:r w:rsidR="00D46661" w:rsidRPr="000E2377">
        <w:rPr>
          <w:rFonts w:cs="Times New Roman"/>
          <w:b w:val="0"/>
          <w:szCs w:val="24"/>
        </w:rPr>
        <w:t>C</w:t>
      </w:r>
      <w:r w:rsidR="00D46661" w:rsidRPr="000E2377">
        <w:rPr>
          <w:rFonts w:cs="Times New Roman"/>
          <w:b w:val="0"/>
          <w:szCs w:val="24"/>
          <w:vertAlign w:val="subscript"/>
        </w:rPr>
        <w:t>g</w:t>
      </w:r>
      <w:r w:rsidR="00D46661">
        <w:rPr>
          <w:rFonts w:cs="Times New Roman"/>
          <w:b w:val="0"/>
          <w:szCs w:val="24"/>
        </w:rPr>
        <w:t>,</w:t>
      </w:r>
      <w:r w:rsidRPr="000E2377">
        <w:rPr>
          <w:rFonts w:cs="Times New Roman"/>
          <w:b w:val="0"/>
          <w:szCs w:val="24"/>
        </w:rPr>
        <w:t xml:space="preserve"> as shown in </w:t>
      </w:r>
      <w:r w:rsidRPr="008E17AF">
        <w:rPr>
          <w:rFonts w:cs="Times New Roman"/>
          <w:b w:val="0"/>
          <w:szCs w:val="24"/>
        </w:rPr>
        <w:t>Figure 2.</w:t>
      </w:r>
      <w:r w:rsidR="008E17AF" w:rsidRPr="008E17AF">
        <w:rPr>
          <w:rFonts w:cs="Times New Roman"/>
          <w:b w:val="0"/>
          <w:szCs w:val="24"/>
        </w:rPr>
        <w:t>7</w:t>
      </w:r>
      <w:r w:rsidRPr="008E17AF">
        <w:rPr>
          <w:rFonts w:cs="Times New Roman"/>
          <w:b w:val="0"/>
          <w:szCs w:val="24"/>
        </w:rPr>
        <w:t xml:space="preserve">.  </w:t>
      </w:r>
      <w:r w:rsidR="00D46661">
        <w:rPr>
          <w:rFonts w:cs="Times New Roman"/>
          <w:b w:val="0"/>
          <w:szCs w:val="24"/>
        </w:rPr>
        <w:t>The packing density</w:t>
      </w:r>
      <w:r w:rsidR="00017F4A" w:rsidRPr="000E2377">
        <w:rPr>
          <w:rFonts w:cs="Times New Roman"/>
          <w:b w:val="0"/>
          <w:szCs w:val="24"/>
        </w:rPr>
        <w:t xml:space="preserve"> can be calculated using</w:t>
      </w:r>
      <w:r w:rsidR="009A4C8C">
        <w:rPr>
          <w:rFonts w:cs="Times New Roman"/>
          <w:b w:val="0"/>
          <w:szCs w:val="24"/>
        </w:rPr>
        <w:t>:</w:t>
      </w:r>
    </w:p>
    <w:p w14:paraId="419A9A52" w14:textId="77F39A0A" w:rsidR="00017F4A" w:rsidRPr="000E2377" w:rsidRDefault="00017F4A" w:rsidP="00ED4492">
      <w:pPr>
        <w:spacing w:after="0" w:line="360" w:lineRule="auto"/>
        <w:jc w:val="both"/>
        <w:rPr>
          <w:b w:val="0"/>
        </w:rPr>
      </w:pPr>
      <w:r w:rsidRPr="000E2377">
        <w:rPr>
          <w:rFonts w:cs="Times New Roman"/>
          <w:b w:val="0"/>
          <w:color w:val="FF0000"/>
          <w:position w:val="-14"/>
          <w:szCs w:val="24"/>
          <w:lang w:val="en-GB"/>
        </w:rPr>
        <w:object w:dxaOrig="2180" w:dyaOrig="380" w14:anchorId="169C14F6">
          <v:shape id="_x0000_i1034" type="#_x0000_t75" style="width:122.4pt;height:21.6pt" o:ole="">
            <v:imagedata r:id="rId39" o:title=""/>
          </v:shape>
          <o:OLEObject Type="Embed" ProgID="Equation.3" ShapeID="_x0000_i1034" DrawAspect="Content" ObjectID="_1626192807" r:id="rId40"/>
        </w:object>
      </w:r>
      <w:r w:rsidRPr="000E2377">
        <w:rPr>
          <w:rFonts w:cs="Times New Roman"/>
          <w:b w:val="0"/>
          <w:color w:val="FF0000"/>
          <w:szCs w:val="24"/>
          <w:lang w:val="en-GB"/>
        </w:rPr>
        <w:tab/>
      </w:r>
      <w:r w:rsidRPr="000E2377">
        <w:rPr>
          <w:rFonts w:cs="Times New Roman"/>
          <w:b w:val="0"/>
          <w:color w:val="FF0000"/>
          <w:szCs w:val="24"/>
          <w:lang w:val="en-GB"/>
        </w:rPr>
        <w:tab/>
      </w:r>
      <w:r w:rsidRPr="000E2377">
        <w:rPr>
          <w:rFonts w:cs="Times New Roman"/>
          <w:b w:val="0"/>
          <w:color w:val="FF0000"/>
          <w:szCs w:val="24"/>
          <w:lang w:val="en-GB"/>
        </w:rPr>
        <w:tab/>
      </w:r>
      <w:r w:rsidRPr="000E2377">
        <w:rPr>
          <w:rFonts w:cs="Times New Roman"/>
          <w:b w:val="0"/>
          <w:color w:val="FF0000"/>
          <w:szCs w:val="24"/>
          <w:lang w:val="en-GB"/>
        </w:rPr>
        <w:tab/>
      </w:r>
      <w:r w:rsidRPr="000E2377">
        <w:rPr>
          <w:rFonts w:cs="Times New Roman"/>
          <w:b w:val="0"/>
          <w:color w:val="FF0000"/>
          <w:szCs w:val="24"/>
          <w:lang w:val="en-GB"/>
        </w:rPr>
        <w:tab/>
      </w:r>
      <w:r w:rsidRPr="000E2377">
        <w:rPr>
          <w:rFonts w:cs="Times New Roman"/>
          <w:b w:val="0"/>
          <w:color w:val="FF0000"/>
          <w:szCs w:val="24"/>
          <w:lang w:val="en-GB"/>
        </w:rPr>
        <w:tab/>
        <w:t xml:space="preserve">          </w:t>
      </w:r>
      <w:r w:rsidRPr="000E2377">
        <w:rPr>
          <w:b w:val="0"/>
          <w:color w:val="FF0000"/>
        </w:rPr>
        <w:tab/>
        <w:t xml:space="preserve">          </w:t>
      </w:r>
      <w:r w:rsidRPr="000E2377">
        <w:rPr>
          <w:b w:val="0"/>
        </w:rPr>
        <w:t>Equation 2.</w:t>
      </w:r>
      <w:r w:rsidR="00E857EA">
        <w:rPr>
          <w:b w:val="0"/>
        </w:rPr>
        <w:t xml:space="preserve">9 </w:t>
      </w:r>
      <w:r w:rsidRPr="000E2377">
        <w:rPr>
          <w:b w:val="0"/>
        </w:rPr>
        <w:t xml:space="preserve">where </w:t>
      </w:r>
      <w:r w:rsidRPr="000E2377">
        <w:rPr>
          <w:b w:val="0"/>
          <w:i/>
        </w:rPr>
        <w:t>d</w:t>
      </w:r>
      <w:r w:rsidRPr="000E2377">
        <w:rPr>
          <w:b w:val="0"/>
        </w:rPr>
        <w:t xml:space="preserve"> is glass specific weight,  </w:t>
      </w:r>
      <w:r w:rsidRPr="000E2377">
        <w:rPr>
          <w:b w:val="0"/>
          <w:i/>
        </w:rPr>
        <w:t>f</w:t>
      </w:r>
      <w:r w:rsidRPr="000E2377">
        <w:rPr>
          <w:b w:val="0"/>
          <w:i/>
          <w:vertAlign w:val="subscript"/>
        </w:rPr>
        <w:t>i</w:t>
      </w:r>
      <w:r w:rsidRPr="000E2377">
        <w:rPr>
          <w:b w:val="0"/>
        </w:rPr>
        <w:t>,</w:t>
      </w:r>
      <w:r w:rsidR="00284CC3">
        <w:rPr>
          <w:b w:val="0"/>
        </w:rPr>
        <w:t xml:space="preserve"> </w:t>
      </w:r>
      <w:r w:rsidRPr="000E2377">
        <w:rPr>
          <w:b w:val="0"/>
        </w:rPr>
        <w:t>is molar fraction</w:t>
      </w:r>
      <w:r w:rsidRPr="000E2377">
        <w:rPr>
          <w:b w:val="0"/>
          <w:i/>
        </w:rPr>
        <w:t xml:space="preserve"> V</w:t>
      </w:r>
      <w:r w:rsidRPr="000E2377">
        <w:rPr>
          <w:b w:val="0"/>
          <w:i/>
          <w:vertAlign w:val="subscript"/>
        </w:rPr>
        <w:t>i</w:t>
      </w:r>
      <w:r w:rsidRPr="000E2377">
        <w:rPr>
          <w:b w:val="0"/>
          <w:vertAlign w:val="subscript"/>
        </w:rPr>
        <w:t xml:space="preserve"> </w:t>
      </w:r>
      <w:r w:rsidRPr="000E2377">
        <w:rPr>
          <w:b w:val="0"/>
        </w:rPr>
        <w:t>is molar volume</w:t>
      </w:r>
      <w:r w:rsidRPr="000E2377">
        <w:rPr>
          <w:b w:val="0"/>
          <w:vertAlign w:val="subscript"/>
        </w:rPr>
        <w:t xml:space="preserve"> </w:t>
      </w:r>
      <w:r w:rsidRPr="000E2377">
        <w:rPr>
          <w:b w:val="0"/>
        </w:rPr>
        <w:t xml:space="preserve">and </w:t>
      </w:r>
      <w:r w:rsidRPr="000E2377">
        <w:rPr>
          <w:b w:val="0"/>
          <w:i/>
        </w:rPr>
        <w:t>M</w:t>
      </w:r>
      <w:r w:rsidRPr="000E2377">
        <w:rPr>
          <w:b w:val="0"/>
          <w:i/>
          <w:vertAlign w:val="subscript"/>
        </w:rPr>
        <w:t xml:space="preserve">i </w:t>
      </w:r>
      <w:r w:rsidRPr="000E2377">
        <w:rPr>
          <w:b w:val="0"/>
        </w:rPr>
        <w:t>is molar weight.</w:t>
      </w:r>
    </w:p>
    <w:p w14:paraId="631F1327" w14:textId="77777777" w:rsidR="00017F4A" w:rsidRPr="000E2377" w:rsidRDefault="00017F4A" w:rsidP="00ED4492">
      <w:pPr>
        <w:spacing w:after="0" w:line="360" w:lineRule="auto"/>
        <w:jc w:val="both"/>
        <w:rPr>
          <w:b w:val="0"/>
        </w:rPr>
      </w:pPr>
      <w:r w:rsidRPr="000E2377">
        <w:rPr>
          <w:b w:val="0"/>
        </w:rPr>
        <w:t xml:space="preserve">and </w:t>
      </w:r>
      <w:r w:rsidRPr="000E2377">
        <w:rPr>
          <w:rFonts w:cs="Times New Roman"/>
          <w:b w:val="0"/>
          <w:position w:val="-12"/>
          <w:szCs w:val="24"/>
          <w:lang w:val="en-GB"/>
        </w:rPr>
        <w:object w:dxaOrig="2320" w:dyaOrig="380" w14:anchorId="7CDCEC4B">
          <v:shape id="_x0000_i1035" type="#_x0000_t75" style="width:129.6pt;height:21.6pt" o:ole="">
            <v:imagedata r:id="rId41" o:title=""/>
          </v:shape>
          <o:OLEObject Type="Embed" ProgID="Equation.3" ShapeID="_x0000_i1035" DrawAspect="Content" ObjectID="_1626192808" r:id="rId42"/>
        </w:object>
      </w:r>
      <w:r w:rsidRPr="000E2377">
        <w:rPr>
          <w:b w:val="0"/>
        </w:rPr>
        <w:t xml:space="preserve">, for </w:t>
      </w:r>
      <w:proofErr w:type="spellStart"/>
      <w:r w:rsidRPr="000E2377">
        <w:rPr>
          <w:b w:val="0"/>
        </w:rPr>
        <w:t>A</w:t>
      </w:r>
      <w:r w:rsidRPr="000E2377">
        <w:rPr>
          <w:b w:val="0"/>
          <w:vertAlign w:val="subscript"/>
        </w:rPr>
        <w:t>x</w:t>
      </w:r>
      <w:r w:rsidRPr="000E2377">
        <w:rPr>
          <w:b w:val="0"/>
        </w:rPr>
        <w:t>O</w:t>
      </w:r>
      <w:r w:rsidRPr="000E2377">
        <w:rPr>
          <w:b w:val="0"/>
          <w:vertAlign w:val="subscript"/>
        </w:rPr>
        <w:t>y</w:t>
      </w:r>
      <w:proofErr w:type="spellEnd"/>
      <w:r w:rsidRPr="000E2377">
        <w:rPr>
          <w:b w:val="0"/>
        </w:rPr>
        <w:t xml:space="preserve"> and N is Avogadro’s number.</w:t>
      </w:r>
    </w:p>
    <w:p w14:paraId="493A29E2" w14:textId="2F119E15" w:rsidR="004600FC" w:rsidRPr="000E2377" w:rsidRDefault="004600FC" w:rsidP="00994893">
      <w:pPr>
        <w:spacing w:line="360" w:lineRule="auto"/>
        <w:contextualSpacing/>
        <w:jc w:val="both"/>
        <w:rPr>
          <w:rFonts w:cs="Times New Roman"/>
          <w:b w:val="0"/>
          <w:szCs w:val="24"/>
        </w:rPr>
      </w:pPr>
      <w:r w:rsidRPr="000E2377">
        <w:rPr>
          <w:rFonts w:cs="Times New Roman"/>
          <w:b w:val="0"/>
          <w:szCs w:val="24"/>
        </w:rPr>
        <w:t xml:space="preserve">The Poisson’s ratio is connected to how </w:t>
      </w:r>
      <w:r w:rsidR="001E376A" w:rsidRPr="000E2377">
        <w:rPr>
          <w:rFonts w:cs="Times New Roman"/>
          <w:b w:val="0"/>
          <w:szCs w:val="24"/>
        </w:rPr>
        <w:t>structur</w:t>
      </w:r>
      <w:r w:rsidR="001E376A">
        <w:rPr>
          <w:rFonts w:cs="Times New Roman"/>
          <w:b w:val="0"/>
          <w:szCs w:val="24"/>
        </w:rPr>
        <w:t>al</w:t>
      </w:r>
      <w:r w:rsidRPr="000E2377">
        <w:rPr>
          <w:rFonts w:cs="Times New Roman"/>
          <w:b w:val="0"/>
          <w:szCs w:val="24"/>
        </w:rPr>
        <w:t xml:space="preserve"> element</w:t>
      </w:r>
      <w:r w:rsidR="001E376A">
        <w:rPr>
          <w:rFonts w:cs="Times New Roman"/>
          <w:b w:val="0"/>
          <w:szCs w:val="24"/>
        </w:rPr>
        <w:t>s</w:t>
      </w:r>
      <w:r w:rsidRPr="000E2377">
        <w:rPr>
          <w:rFonts w:cs="Times New Roman"/>
          <w:b w:val="0"/>
          <w:szCs w:val="24"/>
        </w:rPr>
        <w:t xml:space="preserve"> are packed </w:t>
      </w:r>
      <w:r w:rsidRPr="000E2377">
        <w:rPr>
          <w:rFonts w:cs="Times New Roman"/>
          <w:b w:val="0"/>
          <w:szCs w:val="24"/>
        </w:rPr>
        <w:fldChar w:fldCharType="begin" w:fldLock="1"/>
      </w:r>
      <w:r w:rsidR="00930B5D">
        <w:rPr>
          <w:rFonts w:cs="Times New Roman"/>
          <w:b w:val="0"/>
          <w:szCs w:val="24"/>
        </w:rPr>
        <w:instrText>ADDIN CSL_CITATION { "citationItems" : [ { "id" : "ITEM-1", "itemData" : { "DOI" : "10.1038/nmat3134", "ISBN" : "1476-1122 (Print)\\r1476-1122 (Linking)", "ISSN" : "1476-1122", "PMID" : "22020006", "abstract" : "In comparing a material's resistance to distort under mechanical load rather than to alter in volume, Poisson's ratio offers the fundamental metric by which to compare the performance of any material when strained elastically. The numerical limits are set by (1/2) and -1, between which all stable isotropic materials are found. With new experiments, computational methods and routes to materials synthesis, we assess what Poisson's ratio means in the contemporary understanding of the mechanical characteristics of modern materials. Central to these recent advances, we emphasize the significance of relationships outside the elastic limit between Poisson's ratio and densification, connectivity, ductility and the toughness of solids; and their association with the dynamic properties of the liquids from which they were condensed and into which they melt.", "author" : [ { "dropping-particle" : "", "family" : "Greaves", "given" : "G. N.", "non-dropping-particle" : "", "parse-names" : false, "suffix" : "" }, { "dropping-particle" : "", "family" : "Greer", "given" : "A. L.", "non-dropping-particle" : "", "parse-names" : false, "suffix" : "" }, { "dropping-particle" : "", "family" : "Lakes", "given" : "R. S.", "non-dropping-particle" : "", "parse-names" : false, "suffix" : "" }, { "dropping-particle" : "", "family" : "Rouxel", "given" : "T.", "non-dropping-particle" : "", "parse-names" : false, "suffix" : "" } ], "container-title" : "Nature Materials", "id" : "ITEM-1", "issue" : "11", "issued" : { "date-parts" : [ [ "2011" ] ] }, "page" : "823-837", "title" : "Poisson's ratio and modern materials", "type" : "article-journal", "volume" : "10" }, "uris" : [ "http://www.mendeley.com/documents/?uuid=ffb6431c-aa27-4c66-bb6b-81acc2773512" ] } ], "mendeley" : { "formattedCitation" : "(Greaves, Greer, Lakes, &amp; Rouxel, 2011)", "manualFormatting" : "(Greaves et al., 2011)", "plainTextFormattedCitation" : "(Greaves, Greer, Lakes, &amp; Rouxel, 2011)", "previouslyFormattedCitation" : "(Greaves, Greer, Lakes, &amp; Rouxel, 2011)" }, "properties" : { "noteIndex" : 30 }, "schema" : "https://github.com/citation-style-language/schema/raw/master/csl-citation.json" }</w:instrText>
      </w:r>
      <w:r w:rsidRPr="000E2377">
        <w:rPr>
          <w:rFonts w:cs="Times New Roman"/>
          <w:b w:val="0"/>
          <w:szCs w:val="24"/>
        </w:rPr>
        <w:fldChar w:fldCharType="separate"/>
      </w:r>
      <w:r w:rsidR="00F61595" w:rsidRPr="00F61595">
        <w:rPr>
          <w:rFonts w:cs="Times New Roman"/>
          <w:b w:val="0"/>
          <w:noProof/>
          <w:szCs w:val="24"/>
        </w:rPr>
        <w:t>(Greaves</w:t>
      </w:r>
      <w:r w:rsidR="00482DFB">
        <w:rPr>
          <w:rFonts w:cs="Times New Roman"/>
          <w:b w:val="0"/>
          <w:noProof/>
          <w:szCs w:val="24"/>
        </w:rPr>
        <w:t xml:space="preserve"> et al.,</w:t>
      </w:r>
      <w:r w:rsidR="00F61595" w:rsidRPr="00F61595">
        <w:rPr>
          <w:rFonts w:cs="Times New Roman"/>
          <w:b w:val="0"/>
          <w:noProof/>
          <w:szCs w:val="24"/>
        </w:rPr>
        <w:t xml:space="preserve"> 2011)</w:t>
      </w:r>
      <w:r w:rsidRPr="000E2377">
        <w:rPr>
          <w:rFonts w:cs="Times New Roman"/>
          <w:b w:val="0"/>
          <w:szCs w:val="24"/>
        </w:rPr>
        <w:fldChar w:fldCharType="end"/>
      </w:r>
      <w:r w:rsidRPr="000E2377">
        <w:rPr>
          <w:rFonts w:cs="Times New Roman"/>
          <w:b w:val="0"/>
          <w:szCs w:val="24"/>
        </w:rPr>
        <w:t xml:space="preserve"> </w:t>
      </w:r>
      <w:r w:rsidRPr="000E2377">
        <w:rPr>
          <w:rFonts w:cs="Times New Roman"/>
          <w:b w:val="0"/>
          <w:szCs w:val="24"/>
        </w:rPr>
        <w:fldChar w:fldCharType="begin" w:fldLock="1"/>
      </w:r>
      <w:r w:rsidRPr="000E2377">
        <w:rPr>
          <w:rFonts w:cs="Times New Roman"/>
          <w:b w:val="0"/>
          <w:szCs w:val="24"/>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"manualFormatting" : "(Rouxel, 2007)", "plainTextFormattedCitation" : "(Tanguy Rouxel, 2007)", "previouslyFormattedCitation" : "(Tanguy Rouxel, 2007)" }, "properties" : { "noteIndex" : 42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(Rouxel, 2007)</w:t>
      </w:r>
      <w:r w:rsidRPr="000E2377">
        <w:rPr>
          <w:rFonts w:cs="Times New Roman"/>
          <w:b w:val="0"/>
          <w:szCs w:val="24"/>
        </w:rPr>
        <w:fldChar w:fldCharType="end"/>
      </w:r>
      <w:r w:rsidRPr="000E2377">
        <w:rPr>
          <w:rFonts w:cs="Times New Roman"/>
          <w:b w:val="0"/>
          <w:szCs w:val="24"/>
        </w:rPr>
        <w:t xml:space="preserve">. </w:t>
      </w:r>
      <w:r w:rsidR="00017F4A">
        <w:rPr>
          <w:rFonts w:cs="Times New Roman"/>
          <w:b w:val="0"/>
          <w:szCs w:val="24"/>
        </w:rPr>
        <w:t>Thus</w:t>
      </w:r>
      <w:r w:rsidR="001E376A">
        <w:rPr>
          <w:rFonts w:cs="Times New Roman"/>
          <w:b w:val="0"/>
          <w:szCs w:val="24"/>
        </w:rPr>
        <w:t xml:space="preserve"> features such </w:t>
      </w:r>
      <w:r w:rsidR="00284CC3">
        <w:rPr>
          <w:rFonts w:cs="Times New Roman"/>
          <w:b w:val="0"/>
          <w:szCs w:val="24"/>
        </w:rPr>
        <w:t xml:space="preserve">as </w:t>
      </w:r>
      <w:r w:rsidR="001E376A">
        <w:rPr>
          <w:rFonts w:cs="Times New Roman"/>
          <w:b w:val="0"/>
          <w:szCs w:val="24"/>
        </w:rPr>
        <w:t>the number of</w:t>
      </w:r>
      <w:r w:rsidRPr="000E2377">
        <w:rPr>
          <w:rFonts w:cs="Times New Roman"/>
          <w:b w:val="0"/>
          <w:szCs w:val="24"/>
        </w:rPr>
        <w:t xml:space="preserve"> NBOs affect the packing density of glass </w:t>
      </w:r>
      <w:r w:rsidR="00246E16" w:rsidRPr="000E2377">
        <w:rPr>
          <w:rFonts w:cs="Times New Roman"/>
          <w:b w:val="0"/>
          <w:szCs w:val="24"/>
        </w:rPr>
        <w:t>and the Poisson’s ratio</w:t>
      </w:r>
      <w:r w:rsidRPr="000E2377">
        <w:rPr>
          <w:rFonts w:cs="Times New Roman"/>
          <w:b w:val="0"/>
          <w:szCs w:val="24"/>
        </w:rPr>
        <w:t xml:space="preserve"> </w:t>
      </w:r>
      <w:r w:rsidRPr="000E2377">
        <w:rPr>
          <w:rFonts w:cs="Times New Roman"/>
          <w:b w:val="0"/>
          <w:szCs w:val="24"/>
        </w:rPr>
        <w:fldChar w:fldCharType="begin" w:fldLock="1"/>
      </w:r>
      <w:r w:rsidRPr="000E2377">
        <w:rPr>
          <w:rFonts w:cs="Times New Roman"/>
          <w:b w:val="0"/>
          <w:szCs w:val="24"/>
        </w:rPr>
        <w:instrText>ADDIN CSL_CITATION { "citationItems" : [ { "id" : "ITEM-1", "itemData" : { "DOI" : "10.1016/j.jnoncrysol.2015.02.005", "ISSN" : "00223093", "abstract" : "This study investigates the mechanical response of sodium borosilicate (SBN) glasses as a function of their chemical composition. Vickers's indentation tests provide an estimate of the material hardness (HV) and indentation fracture toughness (KCVIF) plus the amount of densification/shear flow processes. Sodium content significantly impacts the glass behavior under a sharp indenter. Low sodium glasses maintain high connected networks and low Poisson's ratios (??). This entails significant densification processes during deformation. Conversely, glasses with high sodium content, i.e. large ??, partake in a more depolymerized network favoring deformation by shear flow. As a consequence, indentation patterns differ depending on the processes occurring. Densification processes appear to hinder the formation of half-penny median-radial cracks. Increasing ?? favors shear flow and residual stresses enhance the development of half-penny median-radial cracks. Hence, KCVIF decreases linearly with ??.", "author" : [ { "dropping-particle" : "", "family" : "Barlet", "given" : "Marina", "non-dropping-particle" : "", "parse-names" : false, "suffix" : "" }, { "dropping-particle" : "", "family" : "Delaye", "given" : "Jean Marc", "non-dropping-particle" : "", "parse-names" : false, "suffix" : "" }, { "dropping-particle" : "", "family" : "Charpentier", "given" : "Thibault", "non-dropping-particle" : "", "parse-names" : false, "suffix" : "" }, { "dropping-particle" : "", "family" : "Gennisson", "given" : "Mickael", "non-dropping-particle" : "", "parse-names" : false, "suffix" : "" }, { "dropping-particle" : "", "family" : "Bonamy", "given" : "Daniel", "non-dropping-particle" : "", "parse-names" : false, "suffix" : "" }, { "dropping-particle" : "", "family" : "Rouxel", "given" : "Tanguy", "non-dropping-particle" : "", "parse-names" : false, "suffix" : "" }, { "dropping-particle" : "", "family" : "Rountree", "given" : "Cindy L.", "non-dropping-particle" : "", "parse-names" : false, "suffix" : "" } ], "container-title" : "Journal of Non-Crystalline Solids", "id" : "ITEM-1", "issued" : { "date-parts" : [ [ "2015" ] ] }, "page" : "66-79", "publisher" : "Elsevier B.V.", "title" : "Hardness and toughness of sodium borosilicate glasses via Vickers's indentations", "type" : "article-journal", "volume" : "417-418" }, "uris" : [ "http://www.mendeley.com/documents/?uuid=53ec0e49-d67e-43d5-a8f1-5cdffcee86b1" ] } ], "mendeley" : { "formattedCitation" : "(Barlet et al., 2015)", "plainTextFormattedCitation" : "(Barlet et al., 2015)", "previouslyFormattedCitation" : "(Barlet et al., 2015)" }, "properties" : { "noteIndex" : 0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(Barlet et al., 2015)</w:t>
      </w:r>
      <w:r w:rsidRPr="000E2377">
        <w:rPr>
          <w:rFonts w:cs="Times New Roman"/>
          <w:b w:val="0"/>
          <w:szCs w:val="24"/>
        </w:rPr>
        <w:fldChar w:fldCharType="end"/>
      </w:r>
      <w:r w:rsidRPr="000E2377">
        <w:rPr>
          <w:rFonts w:cs="Times New Roman"/>
          <w:b w:val="0"/>
          <w:szCs w:val="24"/>
        </w:rPr>
        <w:t xml:space="preserve">.  </w:t>
      </w:r>
    </w:p>
    <w:p w14:paraId="0134DDA7" w14:textId="6B6D3143" w:rsidR="004600FC" w:rsidRPr="000E2377" w:rsidRDefault="00482DFB" w:rsidP="004600FC">
      <w:pPr>
        <w:spacing w:line="360" w:lineRule="auto"/>
        <w:contextualSpacing/>
        <w:jc w:val="center"/>
        <w:rPr>
          <w:rFonts w:cs="Times New Roman"/>
          <w:b w:val="0"/>
          <w:szCs w:val="24"/>
        </w:rPr>
      </w:pPr>
      <w:r w:rsidRPr="00482DFB">
        <w:rPr>
          <w:noProof/>
          <w:lang w:eastAsia="en-MY"/>
        </w:rPr>
        <w:drawing>
          <wp:inline distT="0" distB="0" distL="0" distR="0" wp14:anchorId="25DDEB93" wp14:editId="40F40D9C">
            <wp:extent cx="4495910" cy="3420000"/>
            <wp:effectExtent l="0" t="0" r="0" b="9525"/>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95910" cy="3420000"/>
                    </a:xfrm>
                    <a:prstGeom prst="rect">
                      <a:avLst/>
                    </a:prstGeom>
                    <a:noFill/>
                    <a:ln>
                      <a:noFill/>
                    </a:ln>
                  </pic:spPr>
                </pic:pic>
              </a:graphicData>
            </a:graphic>
          </wp:inline>
        </w:drawing>
      </w:r>
      <w:r w:rsidRPr="00482DFB">
        <w:rPr>
          <w:rFonts w:cs="Times New Roman"/>
          <w:b w:val="0"/>
          <w:szCs w:val="24"/>
        </w:rPr>
        <w:t xml:space="preserve"> </w:t>
      </w:r>
    </w:p>
    <w:p w14:paraId="64280C95" w14:textId="1C4C4CCA" w:rsidR="004600FC" w:rsidRPr="000E2377" w:rsidRDefault="00087D23" w:rsidP="00087D23">
      <w:pPr>
        <w:pStyle w:val="Caption"/>
        <w:rPr>
          <w:szCs w:val="24"/>
        </w:rPr>
      </w:pPr>
      <w:bookmarkStart w:id="158" w:name="_Toc521420443"/>
      <w:r>
        <w:t xml:space="preserve">Figure 2.7: </w:t>
      </w:r>
      <w:r w:rsidR="004600FC" w:rsidRPr="000E2377">
        <w:rPr>
          <w:szCs w:val="24"/>
        </w:rPr>
        <w:t>Poisson’s ratio as a function of packing density</w:t>
      </w:r>
      <w:r w:rsidR="000F468C">
        <w:rPr>
          <w:szCs w:val="24"/>
        </w:rPr>
        <w:t xml:space="preserve">; based on </w:t>
      </w:r>
      <w:r w:rsidR="004600FC" w:rsidRPr="000E2377">
        <w:rPr>
          <w:szCs w:val="24"/>
        </w:rPr>
        <w:fldChar w:fldCharType="begin" w:fldLock="1"/>
      </w:r>
      <w:r w:rsidR="004600FC" w:rsidRPr="000E2377">
        <w:rPr>
          <w:szCs w:val="24"/>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"manualFormatting" : "(Rouxel, 2007)", "plainTextFormattedCitation" : "(Tanguy Rouxel, 2007)", "previouslyFormattedCitation" : "(Tanguy Rouxel, 2007)" }, "properties" : { "noteIndex" : 42 }, "schema" : "https://github.com/citation-style-language/schema/raw/master/csl-citation.json" }</w:instrText>
      </w:r>
      <w:r w:rsidR="004600FC" w:rsidRPr="000E2377">
        <w:rPr>
          <w:szCs w:val="24"/>
        </w:rPr>
        <w:fldChar w:fldCharType="separate"/>
      </w:r>
      <w:r w:rsidR="004600FC" w:rsidRPr="000E2377">
        <w:rPr>
          <w:noProof/>
          <w:szCs w:val="24"/>
        </w:rPr>
        <w:t>(Rouxel, 2007)</w:t>
      </w:r>
      <w:r w:rsidR="004600FC" w:rsidRPr="000E2377">
        <w:rPr>
          <w:szCs w:val="24"/>
        </w:rPr>
        <w:fldChar w:fldCharType="end"/>
      </w:r>
      <w:r w:rsidR="004600FC" w:rsidRPr="000E2377">
        <w:rPr>
          <w:szCs w:val="24"/>
        </w:rPr>
        <w:t xml:space="preserve"> </w:t>
      </w:r>
      <w:r w:rsidR="004600FC" w:rsidRPr="000E2377">
        <w:rPr>
          <w:szCs w:val="24"/>
        </w:rPr>
        <w:fldChar w:fldCharType="begin" w:fldLock="1"/>
      </w:r>
      <w:r w:rsidR="004600FC" w:rsidRPr="000E2377">
        <w:rPr>
          <w:szCs w:val="24"/>
        </w:rPr>
        <w:instrText>ADDIN CSL_CITATION { "citationItems" : [ { "id" : "ITEM-1", "itemData" : { "DOI" : "10.1016/0022-3093(73)90053-7", "ISBN" : "0022-3093", "ISSN" : "00223093", "abstract" : "An equation has been derived for the direct calculation of the Young's modulus of oxide glasses from their chemical compositions. The method is based on a consideration of dissociation energy of the oxide constituents per unit volume and the packing density. For borate glasses, the ratio of four-coordinated to three-coordinated borons must be taken into consideration. Excellent agreement is obtained between calculated and measured values of Young's modulus for over thirty different glasses. ?? 1973.", "author" : [ { "dropping-particle" : "", "family" : "Makishima", "given" : "A.", "non-dropping-particle" : "", "parse-names" : false, "suffix" : "" }, { "dropping-particle" : "", "family" : "Mackenzie", "given" : "J. D.", "non-dropping-particle" : "", "parse-names" : false, "suffix" : "" } ], "container-title" : "Journal of Non-Crystalline Solids", "id" : "ITEM-1", "issue" : "1", "issued" : { "date-parts" : [ [ "1973" ] ] }, "page" : "35-45", "title" : "Direct calculation of Young's modulus of glass", "type" : "article-journal", "volume" : "12" }, "uris" : [ "http://www.mendeley.com/documents/?uuid=709d85a3-431f-4e06-aa47-85bbb1a904ab" ] } ], "mendeley" : { "formattedCitation" : "(Makishima &amp; Mackenzie, 1973)", "plainTextFormattedCitation" : "(Makishima &amp; Mackenzie, 1973)", "previouslyFormattedCitation" : "(Makishima &amp; Mackenzie, 1973)" }, "properties" : { "noteIndex" : 42 }, "schema" : "https://github.com/citation-style-language/schema/raw/master/csl-citation.json" }</w:instrText>
      </w:r>
      <w:r w:rsidR="004600FC" w:rsidRPr="000E2377">
        <w:rPr>
          <w:szCs w:val="24"/>
        </w:rPr>
        <w:fldChar w:fldCharType="separate"/>
      </w:r>
      <w:r w:rsidR="004600FC" w:rsidRPr="000E2377">
        <w:rPr>
          <w:noProof/>
          <w:szCs w:val="24"/>
        </w:rPr>
        <w:t>(Makishima &amp; Mackenzie, 1973)</w:t>
      </w:r>
      <w:r w:rsidR="004600FC" w:rsidRPr="000E2377">
        <w:rPr>
          <w:szCs w:val="24"/>
        </w:rPr>
        <w:fldChar w:fldCharType="end"/>
      </w:r>
      <w:r w:rsidR="004600FC" w:rsidRPr="000E2377">
        <w:rPr>
          <w:szCs w:val="24"/>
        </w:rPr>
        <w:t>.</w:t>
      </w:r>
      <w:bookmarkEnd w:id="158"/>
    </w:p>
    <w:p w14:paraId="2A2B9BCB" w14:textId="77777777" w:rsidR="008571D5" w:rsidRDefault="008571D5" w:rsidP="006E18BE">
      <w:pPr>
        <w:spacing w:before="240" w:line="360" w:lineRule="auto"/>
        <w:jc w:val="both"/>
        <w:rPr>
          <w:rFonts w:cs="Times New Roman"/>
          <w:b w:val="0"/>
          <w:szCs w:val="24"/>
        </w:rPr>
      </w:pPr>
    </w:p>
    <w:p w14:paraId="1761AC5F" w14:textId="59174042" w:rsidR="006E18BE" w:rsidRDefault="004600FC" w:rsidP="006E18BE">
      <w:pPr>
        <w:spacing w:before="240" w:line="360" w:lineRule="auto"/>
        <w:jc w:val="both"/>
        <w:rPr>
          <w:rFonts w:cs="Times New Roman"/>
          <w:b w:val="0"/>
          <w:szCs w:val="24"/>
        </w:rPr>
      </w:pPr>
      <w:r w:rsidRPr="000E2377">
        <w:rPr>
          <w:rFonts w:cs="Times New Roman"/>
          <w:b w:val="0"/>
          <w:szCs w:val="24"/>
        </w:rPr>
        <w:lastRenderedPageBreak/>
        <w:t>Poisson’s ratio</w:t>
      </w:r>
      <w:r w:rsidR="00246E16" w:rsidRPr="000E2377">
        <w:rPr>
          <w:rFonts w:cs="Times New Roman"/>
          <w:b w:val="0"/>
          <w:szCs w:val="24"/>
        </w:rPr>
        <w:t>s</w:t>
      </w:r>
      <w:r w:rsidRPr="000E2377">
        <w:rPr>
          <w:rFonts w:cs="Times New Roman"/>
          <w:b w:val="0"/>
          <w:szCs w:val="24"/>
        </w:rPr>
        <w:t xml:space="preserve"> </w:t>
      </w:r>
      <w:r w:rsidR="00017F4A">
        <w:rPr>
          <w:rFonts w:cs="Times New Roman"/>
          <w:b w:val="0"/>
          <w:szCs w:val="24"/>
        </w:rPr>
        <w:t xml:space="preserve">of glasses </w:t>
      </w:r>
      <w:r w:rsidR="00246E16" w:rsidRPr="000E2377">
        <w:rPr>
          <w:rFonts w:cs="Times New Roman"/>
          <w:b w:val="0"/>
          <w:szCs w:val="24"/>
        </w:rPr>
        <w:t>lie between</w:t>
      </w:r>
      <w:r w:rsidRPr="000E2377">
        <w:rPr>
          <w:rFonts w:cs="Times New Roman"/>
          <w:b w:val="0"/>
          <w:szCs w:val="24"/>
        </w:rPr>
        <w:t xml:space="preserve"> 0.1 and 0.4</w:t>
      </w:r>
      <w:r w:rsidR="00017F4A">
        <w:rPr>
          <w:rFonts w:cs="Times New Roman"/>
          <w:b w:val="0"/>
          <w:szCs w:val="24"/>
        </w:rPr>
        <w:t xml:space="preserve"> with g</w:t>
      </w:r>
      <w:r w:rsidR="00A95072" w:rsidRPr="000E2377">
        <w:rPr>
          <w:rFonts w:cs="Times New Roman"/>
          <w:b w:val="0"/>
          <w:szCs w:val="24"/>
        </w:rPr>
        <w:t>lass</w:t>
      </w:r>
      <w:r w:rsidR="00017F4A">
        <w:rPr>
          <w:rFonts w:cs="Times New Roman"/>
          <w:b w:val="0"/>
          <w:szCs w:val="24"/>
        </w:rPr>
        <w:t>es with low packing densities</w:t>
      </w:r>
      <w:r w:rsidR="00A95072" w:rsidRPr="000E2377">
        <w:rPr>
          <w:rFonts w:cs="Times New Roman"/>
          <w:b w:val="0"/>
          <w:szCs w:val="24"/>
        </w:rPr>
        <w:t xml:space="preserve"> </w:t>
      </w:r>
      <w:r w:rsidR="00017F4A">
        <w:rPr>
          <w:rFonts w:cs="Times New Roman"/>
          <w:b w:val="0"/>
          <w:szCs w:val="24"/>
        </w:rPr>
        <w:t>having</w:t>
      </w:r>
      <w:r w:rsidR="00A95072" w:rsidRPr="000E2377">
        <w:rPr>
          <w:rFonts w:cs="Times New Roman"/>
          <w:b w:val="0"/>
          <w:szCs w:val="24"/>
        </w:rPr>
        <w:t xml:space="preserve"> </w:t>
      </w:r>
      <w:r w:rsidR="00017F4A">
        <w:rPr>
          <w:rFonts w:cs="Times New Roman"/>
          <w:b w:val="0"/>
          <w:szCs w:val="24"/>
        </w:rPr>
        <w:t>the lower</w:t>
      </w:r>
      <w:r w:rsidR="00A95072" w:rsidRPr="000E2377">
        <w:rPr>
          <w:rFonts w:cs="Times New Roman"/>
          <w:b w:val="0"/>
          <w:szCs w:val="24"/>
        </w:rPr>
        <w:t xml:space="preserve"> value</w:t>
      </w:r>
      <w:r w:rsidR="00017F4A">
        <w:rPr>
          <w:rFonts w:cs="Times New Roman"/>
          <w:b w:val="0"/>
          <w:szCs w:val="24"/>
        </w:rPr>
        <w:t>s.</w:t>
      </w:r>
      <w:r w:rsidR="00A95072" w:rsidRPr="000E2377">
        <w:rPr>
          <w:rFonts w:cs="Times New Roman"/>
          <w:b w:val="0"/>
          <w:szCs w:val="24"/>
        </w:rPr>
        <w:t xml:space="preserve"> </w:t>
      </w:r>
      <w:r w:rsidR="00017F4A">
        <w:rPr>
          <w:rFonts w:cs="Times New Roman"/>
          <w:b w:val="0"/>
          <w:szCs w:val="24"/>
        </w:rPr>
        <w:t>T</w:t>
      </w:r>
      <w:r w:rsidRPr="000E2377">
        <w:rPr>
          <w:b w:val="0"/>
        </w:rPr>
        <w:t>he value of C</w:t>
      </w:r>
      <w:r w:rsidRPr="000E2377">
        <w:rPr>
          <w:b w:val="0"/>
          <w:vertAlign w:val="subscript"/>
        </w:rPr>
        <w:t>g</w:t>
      </w:r>
      <w:r w:rsidRPr="000E2377">
        <w:rPr>
          <w:b w:val="0"/>
        </w:rPr>
        <w:t xml:space="preserve"> depends on </w:t>
      </w:r>
      <w:r w:rsidR="006E18BE">
        <w:rPr>
          <w:b w:val="0"/>
        </w:rPr>
        <w:t xml:space="preserve">the </w:t>
      </w:r>
      <w:r w:rsidRPr="000E2377">
        <w:rPr>
          <w:b w:val="0"/>
        </w:rPr>
        <w:t>chemical system.</w:t>
      </w:r>
      <w:r w:rsidR="006E18BE">
        <w:rPr>
          <w:b w:val="0"/>
        </w:rPr>
        <w:t xml:space="preserve"> </w:t>
      </w:r>
      <w:r w:rsidR="006E18BE">
        <w:rPr>
          <w:rFonts w:cs="Times New Roman"/>
          <w:b w:val="0"/>
          <w:szCs w:val="24"/>
        </w:rPr>
        <w:t xml:space="preserve">A linear dependence of </w:t>
      </w:r>
      <w:r w:rsidR="006E18BE" w:rsidRPr="0027187B">
        <w:rPr>
          <w:rFonts w:cs="Times New Roman"/>
          <w:b w:val="0"/>
          <w:i/>
          <w:szCs w:val="24"/>
        </w:rPr>
        <w:t>v</w:t>
      </w:r>
      <w:r w:rsidR="006E18BE">
        <w:rPr>
          <w:rFonts w:cs="Times New Roman"/>
          <w:b w:val="0"/>
          <w:szCs w:val="24"/>
        </w:rPr>
        <w:t xml:space="preserve"> on C</w:t>
      </w:r>
      <w:r w:rsidR="006E18BE" w:rsidRPr="0027187B">
        <w:rPr>
          <w:rFonts w:cs="Times New Roman"/>
          <w:b w:val="0"/>
          <w:i/>
          <w:szCs w:val="24"/>
          <w:vertAlign w:val="subscript"/>
        </w:rPr>
        <w:t>g</w:t>
      </w:r>
      <w:r w:rsidR="006E18BE">
        <w:rPr>
          <w:rFonts w:cs="Times New Roman"/>
          <w:b w:val="0"/>
          <w:szCs w:val="24"/>
        </w:rPr>
        <w:t xml:space="preserve"> was proposed by </w:t>
      </w:r>
      <w:r w:rsidR="006E18BE" w:rsidRPr="0027187B">
        <w:rPr>
          <w:b w:val="0"/>
          <w:noProof/>
          <w:szCs w:val="24"/>
        </w:rPr>
        <w:t xml:space="preserve">Makishima &amp; Mackenzie </w:t>
      </w:r>
      <w:r w:rsidR="006E18BE">
        <w:rPr>
          <w:b w:val="0"/>
          <w:noProof/>
          <w:szCs w:val="24"/>
        </w:rPr>
        <w:t>(</w:t>
      </w:r>
      <w:r w:rsidR="006E18BE" w:rsidRPr="0027187B">
        <w:rPr>
          <w:b w:val="0"/>
          <w:noProof/>
          <w:szCs w:val="24"/>
        </w:rPr>
        <w:t>1973</w:t>
      </w:r>
      <w:r w:rsidR="006E18BE">
        <w:rPr>
          <w:b w:val="0"/>
          <w:noProof/>
          <w:szCs w:val="24"/>
        </w:rPr>
        <w:t xml:space="preserve">). </w:t>
      </w:r>
      <w:r w:rsidR="006E18BE">
        <w:rPr>
          <w:rFonts w:cs="Times New Roman"/>
          <w:b w:val="0"/>
          <w:szCs w:val="24"/>
        </w:rPr>
        <w:t xml:space="preserve">However, as shown in Figure 2.7 Rouxel found that an S-shaped curve more accurately reflected the correlation between </w:t>
      </w:r>
      <w:r w:rsidR="006E18BE" w:rsidRPr="0027187B">
        <w:rPr>
          <w:rFonts w:cs="Times New Roman"/>
          <w:b w:val="0"/>
          <w:i/>
          <w:szCs w:val="24"/>
        </w:rPr>
        <w:t>v</w:t>
      </w:r>
      <w:r w:rsidR="006E18BE">
        <w:rPr>
          <w:rFonts w:cs="Times New Roman"/>
          <w:b w:val="0"/>
          <w:szCs w:val="24"/>
        </w:rPr>
        <w:t xml:space="preserve"> and C</w:t>
      </w:r>
      <w:r w:rsidR="006E18BE" w:rsidRPr="0027187B">
        <w:rPr>
          <w:rFonts w:cs="Times New Roman"/>
          <w:b w:val="0"/>
          <w:i/>
          <w:szCs w:val="24"/>
          <w:vertAlign w:val="subscript"/>
        </w:rPr>
        <w:t>g</w:t>
      </w:r>
      <w:r w:rsidR="006E18BE">
        <w:rPr>
          <w:rFonts w:cs="Times New Roman"/>
          <w:b w:val="0"/>
          <w:szCs w:val="24"/>
        </w:rPr>
        <w:t xml:space="preserve"> </w:t>
      </w:r>
      <w:r w:rsidR="006E18BE">
        <w:rPr>
          <w:rFonts w:cs="Times New Roman"/>
          <w:b w:val="0"/>
          <w:szCs w:val="24"/>
        </w:rPr>
        <w:fldChar w:fldCharType="begin" w:fldLock="1"/>
      </w:r>
      <w:r w:rsidR="006E18BE">
        <w:rPr>
          <w:rFonts w:cs="Times New Roman"/>
          <w:b w:val="0"/>
          <w:szCs w:val="24"/>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"manualFormatting" : "(Rouxel, 2007)", "plainTextFormattedCitation" : "(Tanguy Rouxel, 2007)", "previouslyFormattedCitation" : "(Tanguy Rouxel, 2007)" }, "properties" : { "noteIndex" : 38 }, "schema" : "https://github.com/citation-style-language/schema/raw/master/csl-citation.json" }</w:instrText>
      </w:r>
      <w:r w:rsidR="006E18BE">
        <w:rPr>
          <w:rFonts w:cs="Times New Roman"/>
          <w:b w:val="0"/>
          <w:szCs w:val="24"/>
        </w:rPr>
        <w:fldChar w:fldCharType="separate"/>
      </w:r>
      <w:r w:rsidR="006E18BE" w:rsidRPr="00EF4DE0">
        <w:rPr>
          <w:rFonts w:cs="Times New Roman"/>
          <w:b w:val="0"/>
          <w:noProof/>
          <w:szCs w:val="24"/>
        </w:rPr>
        <w:t>(Rouxel, 2007)</w:t>
      </w:r>
      <w:r w:rsidR="006E18BE">
        <w:rPr>
          <w:rFonts w:cs="Times New Roman"/>
          <w:b w:val="0"/>
          <w:szCs w:val="24"/>
        </w:rPr>
        <w:fldChar w:fldCharType="end"/>
      </w:r>
      <w:r w:rsidR="006E18BE">
        <w:rPr>
          <w:rFonts w:cs="Times New Roman"/>
          <w:b w:val="0"/>
          <w:szCs w:val="24"/>
        </w:rPr>
        <w:t xml:space="preserve">. </w:t>
      </w:r>
      <w:r w:rsidR="006E18BE">
        <w:rPr>
          <w:b w:val="0"/>
          <w:noProof/>
          <w:szCs w:val="24"/>
        </w:rPr>
        <w:t>I</w:t>
      </w:r>
      <w:proofErr w:type="spellStart"/>
      <w:r w:rsidR="006E18BE">
        <w:rPr>
          <w:rFonts w:cs="Times New Roman"/>
          <w:b w:val="0"/>
          <w:szCs w:val="24"/>
        </w:rPr>
        <w:t>nterestingly</w:t>
      </w:r>
      <w:proofErr w:type="spellEnd"/>
      <w:r w:rsidR="006E18BE">
        <w:rPr>
          <w:rFonts w:cs="Times New Roman"/>
          <w:b w:val="0"/>
          <w:szCs w:val="24"/>
        </w:rPr>
        <w:t>, Figure 2.7 also reveals that polycrystalline carbon steels which have a Poisson’s ratio value in a range between 0.29 and 0.33 with a packing fraction 0.68 (bcc- ferrite) and 0.74 (</w:t>
      </w:r>
      <w:proofErr w:type="spellStart"/>
      <w:r w:rsidR="006E18BE">
        <w:rPr>
          <w:rFonts w:cs="Times New Roman"/>
          <w:b w:val="0"/>
          <w:szCs w:val="24"/>
        </w:rPr>
        <w:t>fcc</w:t>
      </w:r>
      <w:proofErr w:type="spellEnd"/>
      <w:r w:rsidR="006E18BE">
        <w:rPr>
          <w:rFonts w:cs="Times New Roman"/>
          <w:b w:val="0"/>
          <w:szCs w:val="24"/>
        </w:rPr>
        <w:t xml:space="preserve"> – austenite) also fit lie on the S-shaped </w:t>
      </w:r>
      <w:r w:rsidR="006E18BE" w:rsidRPr="0027187B">
        <w:rPr>
          <w:rFonts w:cs="Times New Roman"/>
          <w:b w:val="0"/>
          <w:i/>
          <w:szCs w:val="24"/>
        </w:rPr>
        <w:t>v</w:t>
      </w:r>
      <w:r w:rsidR="006E18BE">
        <w:rPr>
          <w:rFonts w:cs="Times New Roman"/>
          <w:b w:val="0"/>
          <w:szCs w:val="24"/>
        </w:rPr>
        <w:t>(C</w:t>
      </w:r>
      <w:r w:rsidR="006E18BE" w:rsidRPr="0027187B">
        <w:rPr>
          <w:rFonts w:cs="Times New Roman"/>
          <w:b w:val="0"/>
          <w:i/>
          <w:szCs w:val="24"/>
          <w:vertAlign w:val="subscript"/>
        </w:rPr>
        <w:t>g</w:t>
      </w:r>
      <w:r w:rsidR="006E18BE">
        <w:rPr>
          <w:rFonts w:cs="Times New Roman"/>
          <w:b w:val="0"/>
          <w:szCs w:val="24"/>
        </w:rPr>
        <w:t xml:space="preserve">) curve.      </w:t>
      </w:r>
    </w:p>
    <w:p w14:paraId="67F06932" w14:textId="2064010A" w:rsidR="006E18BE" w:rsidRDefault="004600FC" w:rsidP="004B3C39">
      <w:pPr>
        <w:spacing w:line="360" w:lineRule="auto"/>
        <w:jc w:val="both"/>
        <w:rPr>
          <w:rFonts w:cs="Times New Roman"/>
          <w:b w:val="0"/>
          <w:szCs w:val="24"/>
        </w:rPr>
      </w:pPr>
      <w:r w:rsidRPr="000E2377">
        <w:rPr>
          <w:b w:val="0"/>
        </w:rPr>
        <w:t>In alkali silicate glass</w:t>
      </w:r>
      <w:r w:rsidR="00017F4A">
        <w:rPr>
          <w:b w:val="0"/>
        </w:rPr>
        <w:t xml:space="preserve"> increasing the amount of alkali increases</w:t>
      </w:r>
      <w:r w:rsidRPr="000E2377">
        <w:rPr>
          <w:b w:val="0"/>
        </w:rPr>
        <w:t xml:space="preserve"> C</w:t>
      </w:r>
      <w:r w:rsidRPr="000E2377">
        <w:rPr>
          <w:b w:val="0"/>
          <w:vertAlign w:val="subscript"/>
        </w:rPr>
        <w:t>g</w:t>
      </w:r>
      <w:r w:rsidRPr="000E2377">
        <w:rPr>
          <w:b w:val="0"/>
        </w:rPr>
        <w:t xml:space="preserve"> </w:t>
      </w:r>
      <w:r w:rsidR="00017F4A">
        <w:rPr>
          <w:b w:val="0"/>
        </w:rPr>
        <w:t>and thus</w:t>
      </w:r>
      <w:r w:rsidRPr="000E2377">
        <w:rPr>
          <w:b w:val="0"/>
        </w:rPr>
        <w:t xml:space="preserve"> </w:t>
      </w:r>
      <w:r w:rsidR="008F4E98">
        <w:rPr>
          <w:b w:val="0"/>
        </w:rPr>
        <w:t xml:space="preserve">Poisson’s ratio, </w:t>
      </w:r>
      <w:r w:rsidRPr="0027187B">
        <w:rPr>
          <w:b w:val="0"/>
          <w:i/>
        </w:rPr>
        <w:t>v</w:t>
      </w:r>
      <w:r w:rsidRPr="000E2377">
        <w:rPr>
          <w:b w:val="0"/>
        </w:rPr>
        <w:t xml:space="preserve">. Meanwhile in alkali-aluminosilicate glasses, the coordination of Al also </w:t>
      </w:r>
      <w:r w:rsidR="00017F4A">
        <w:rPr>
          <w:b w:val="0"/>
        </w:rPr>
        <w:t>affects the</w:t>
      </w:r>
      <w:r w:rsidRPr="000E2377">
        <w:rPr>
          <w:b w:val="0"/>
        </w:rPr>
        <w:t xml:space="preserve"> value of C</w:t>
      </w:r>
      <w:r w:rsidRPr="000E2377">
        <w:rPr>
          <w:b w:val="0"/>
          <w:vertAlign w:val="subscript"/>
        </w:rPr>
        <w:t>g</w:t>
      </w:r>
      <w:r w:rsidRPr="000E2377">
        <w:rPr>
          <w:b w:val="0"/>
        </w:rPr>
        <w:t xml:space="preserve">. </w:t>
      </w:r>
      <w:r w:rsidR="00017F4A">
        <w:rPr>
          <w:b w:val="0"/>
        </w:rPr>
        <w:t>F</w:t>
      </w:r>
      <w:r w:rsidRPr="000E2377">
        <w:rPr>
          <w:b w:val="0"/>
        </w:rPr>
        <w:t>or example</w:t>
      </w:r>
      <w:r w:rsidR="00040067">
        <w:rPr>
          <w:b w:val="0"/>
        </w:rPr>
        <w:t>,</w:t>
      </w:r>
      <w:r w:rsidRPr="000E2377">
        <w:rPr>
          <w:b w:val="0"/>
        </w:rPr>
        <w:t xml:space="preserve"> when Al</w:t>
      </w:r>
      <w:r w:rsidRPr="000E2377">
        <w:rPr>
          <w:b w:val="0"/>
          <w:vertAlign w:val="subscript"/>
        </w:rPr>
        <w:t>2</w:t>
      </w:r>
      <w:r w:rsidRPr="000E2377">
        <w:rPr>
          <w:b w:val="0"/>
        </w:rPr>
        <w:t>O</w:t>
      </w:r>
      <w:r w:rsidRPr="000E2377">
        <w:rPr>
          <w:b w:val="0"/>
          <w:vertAlign w:val="subscript"/>
        </w:rPr>
        <w:t>3</w:t>
      </w:r>
      <w:r w:rsidRPr="000E2377">
        <w:rPr>
          <w:b w:val="0"/>
        </w:rPr>
        <w:t>/Na</w:t>
      </w:r>
      <w:r w:rsidRPr="000E2377">
        <w:rPr>
          <w:b w:val="0"/>
          <w:vertAlign w:val="subscript"/>
        </w:rPr>
        <w:t>2</w:t>
      </w:r>
      <w:r w:rsidRPr="000E2377">
        <w:rPr>
          <w:b w:val="0"/>
        </w:rPr>
        <w:t>O&lt;1, C</w:t>
      </w:r>
      <w:r w:rsidRPr="000E2377">
        <w:rPr>
          <w:b w:val="0"/>
          <w:vertAlign w:val="subscript"/>
        </w:rPr>
        <w:t xml:space="preserve">g </w:t>
      </w:r>
      <w:r w:rsidR="00334F89">
        <w:rPr>
          <w:b w:val="0"/>
        </w:rPr>
        <w:t>de</w:t>
      </w:r>
      <w:r w:rsidR="00334F89" w:rsidRPr="000E2377">
        <w:rPr>
          <w:b w:val="0"/>
        </w:rPr>
        <w:t>crease</w:t>
      </w:r>
      <w:r w:rsidR="00D46661">
        <w:rPr>
          <w:b w:val="0"/>
        </w:rPr>
        <w:t>s</w:t>
      </w:r>
      <w:r w:rsidR="00334F89" w:rsidRPr="000E2377">
        <w:rPr>
          <w:b w:val="0"/>
        </w:rPr>
        <w:t xml:space="preserve"> </w:t>
      </w:r>
      <w:r w:rsidRPr="000E2377">
        <w:rPr>
          <w:b w:val="0"/>
        </w:rPr>
        <w:t xml:space="preserve">because </w:t>
      </w:r>
      <w:r w:rsidR="00004502">
        <w:rPr>
          <w:b w:val="0"/>
        </w:rPr>
        <w:t xml:space="preserve">of </w:t>
      </w:r>
      <w:r w:rsidRPr="000E2377">
        <w:rPr>
          <w:b w:val="0"/>
        </w:rPr>
        <w:t>the appearance of Al</w:t>
      </w:r>
      <w:r w:rsidR="006A1734">
        <w:rPr>
          <w:b w:val="0"/>
        </w:rPr>
        <w:t xml:space="preserve"> as</w:t>
      </w:r>
      <w:r w:rsidRPr="000E2377">
        <w:rPr>
          <w:b w:val="0"/>
        </w:rPr>
        <w:t xml:space="preserve"> </w:t>
      </w:r>
      <w:r w:rsidR="00004502">
        <w:rPr>
          <w:b w:val="0"/>
        </w:rPr>
        <w:t xml:space="preserve">a </w:t>
      </w:r>
      <w:r w:rsidRPr="000E2377">
        <w:rPr>
          <w:b w:val="0"/>
        </w:rPr>
        <w:t>network former</w:t>
      </w:r>
      <w:r w:rsidR="00040067">
        <w:rPr>
          <w:b w:val="0"/>
        </w:rPr>
        <w:t>, while</w:t>
      </w:r>
      <w:r w:rsidR="00040067" w:rsidRPr="000E2377">
        <w:rPr>
          <w:b w:val="0"/>
        </w:rPr>
        <w:t xml:space="preserve"> </w:t>
      </w:r>
      <w:r w:rsidRPr="000E2377">
        <w:rPr>
          <w:b w:val="0"/>
        </w:rPr>
        <w:t>network modifying atom will enhance C</w:t>
      </w:r>
      <w:r w:rsidRPr="000E2377">
        <w:rPr>
          <w:b w:val="0"/>
          <w:vertAlign w:val="subscript"/>
        </w:rPr>
        <w:t>g</w:t>
      </w:r>
      <w:r w:rsidR="00575546">
        <w:rPr>
          <w:b w:val="0"/>
          <w:vertAlign w:val="subscript"/>
        </w:rPr>
        <w:t xml:space="preserve"> </w:t>
      </w:r>
      <w:r w:rsidR="0079398C" w:rsidRPr="000E2377">
        <w:rPr>
          <w:rFonts w:cs="Times New Roman"/>
          <w:b w:val="0"/>
          <w:szCs w:val="24"/>
        </w:rPr>
        <w:fldChar w:fldCharType="begin" w:fldLock="1"/>
      </w:r>
      <w:r w:rsidR="0079398C">
        <w:rPr>
          <w:rFonts w:cs="Times New Roman"/>
          <w:b w:val="0"/>
          <w:szCs w:val="24"/>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"manualFormatting" : "(Rouxel, 2007", "plainTextFormattedCitation" : "(Tanguy Rouxel, 2007)", "previouslyFormattedCitation" : "(Tanguy Rouxel, 2007)" }, "properties" : { "noteIndex" : 34 }, "schema" : "https://github.com/citation-style-language/schema/raw/master/csl-citation.json" }</w:instrText>
      </w:r>
      <w:r w:rsidR="0079398C" w:rsidRPr="000E2377">
        <w:rPr>
          <w:rFonts w:cs="Times New Roman"/>
          <w:b w:val="0"/>
          <w:szCs w:val="24"/>
        </w:rPr>
        <w:fldChar w:fldCharType="separate"/>
      </w:r>
      <w:r w:rsidR="0079398C" w:rsidRPr="000E2377">
        <w:rPr>
          <w:rFonts w:cs="Times New Roman"/>
          <w:b w:val="0"/>
          <w:noProof/>
          <w:szCs w:val="24"/>
        </w:rPr>
        <w:t>(Rouxel, 2007</w:t>
      </w:r>
      <w:r w:rsidR="0079398C" w:rsidRPr="000E2377">
        <w:rPr>
          <w:rFonts w:cs="Times New Roman"/>
          <w:b w:val="0"/>
          <w:szCs w:val="24"/>
        </w:rPr>
        <w:fldChar w:fldCharType="end"/>
      </w:r>
      <w:r w:rsidR="0079398C">
        <w:rPr>
          <w:rFonts w:cs="Times New Roman"/>
          <w:b w:val="0"/>
          <w:szCs w:val="24"/>
        </w:rPr>
        <w:t>)</w:t>
      </w:r>
      <w:r w:rsidRPr="000E2377">
        <w:rPr>
          <w:b w:val="0"/>
        </w:rPr>
        <w:t xml:space="preserve">. </w:t>
      </w:r>
      <w:r w:rsidR="006E18BE">
        <w:rPr>
          <w:b w:val="0"/>
        </w:rPr>
        <w:t>Whereas</w:t>
      </w:r>
      <w:r w:rsidRPr="000E2377">
        <w:rPr>
          <w:b w:val="0"/>
        </w:rPr>
        <w:t xml:space="preserve"> </w:t>
      </w:r>
      <w:r w:rsidR="006E18BE">
        <w:rPr>
          <w:b w:val="0"/>
        </w:rPr>
        <w:t>for</w:t>
      </w:r>
      <w:r w:rsidR="006E18BE" w:rsidRPr="000E2377">
        <w:rPr>
          <w:b w:val="0"/>
        </w:rPr>
        <w:t xml:space="preserve"> </w:t>
      </w:r>
      <w:r w:rsidRPr="000E2377">
        <w:rPr>
          <w:b w:val="0"/>
        </w:rPr>
        <w:t xml:space="preserve">low Al contents Poisson’s ratio </w:t>
      </w:r>
      <w:r w:rsidR="006E18BE">
        <w:rPr>
          <w:b w:val="0"/>
        </w:rPr>
        <w:t>increases</w:t>
      </w:r>
      <w:r w:rsidRPr="000E2377">
        <w:rPr>
          <w:b w:val="0"/>
        </w:rPr>
        <w:t xml:space="preserve"> with increasing Al until (Al</w:t>
      </w:r>
      <w:r w:rsidRPr="000E2377">
        <w:rPr>
          <w:b w:val="0"/>
          <w:vertAlign w:val="subscript"/>
        </w:rPr>
        <w:t>2</w:t>
      </w:r>
      <w:r w:rsidRPr="000E2377">
        <w:rPr>
          <w:b w:val="0"/>
        </w:rPr>
        <w:t>O</w:t>
      </w:r>
      <w:r w:rsidRPr="000E2377">
        <w:rPr>
          <w:b w:val="0"/>
          <w:vertAlign w:val="subscript"/>
        </w:rPr>
        <w:t>3</w:t>
      </w:r>
      <w:r w:rsidRPr="000E2377">
        <w:rPr>
          <w:b w:val="0"/>
        </w:rPr>
        <w:t>/Na</w:t>
      </w:r>
      <w:r w:rsidRPr="000E2377">
        <w:rPr>
          <w:b w:val="0"/>
          <w:vertAlign w:val="subscript"/>
        </w:rPr>
        <w:t>2</w:t>
      </w:r>
      <w:r w:rsidRPr="000E2377">
        <w:rPr>
          <w:b w:val="0"/>
        </w:rPr>
        <w:t xml:space="preserve">O = 1) </w:t>
      </w:r>
      <w:r w:rsidRPr="000E2377">
        <w:rPr>
          <w:rFonts w:cs="Times New Roman"/>
          <w:b w:val="0"/>
          <w:szCs w:val="24"/>
        </w:rPr>
        <w:fldChar w:fldCharType="begin" w:fldLock="1"/>
      </w:r>
      <w:r w:rsidRPr="000E2377">
        <w:rPr>
          <w:rFonts w:cs="Times New Roman"/>
          <w:b w:val="0"/>
          <w:szCs w:val="24"/>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"manualFormatting" : "(Rouxel, 2007)", "plainTextFormattedCitation" : "(Tanguy Rouxel, 2007)", "previouslyFormattedCitation" : "(Tanguy Rouxel, 2007)" }, "properties" : { "noteIndex" : 34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(Rouxel, 2007)</w:t>
      </w:r>
      <w:r w:rsidRPr="000E2377">
        <w:rPr>
          <w:rFonts w:cs="Times New Roman"/>
          <w:b w:val="0"/>
          <w:szCs w:val="24"/>
        </w:rPr>
        <w:fldChar w:fldCharType="end"/>
      </w:r>
      <w:r w:rsidRPr="000E2377">
        <w:rPr>
          <w:rFonts w:cs="Times New Roman"/>
          <w:b w:val="0"/>
          <w:szCs w:val="24"/>
        </w:rPr>
        <w:t xml:space="preserve">. </w:t>
      </w:r>
      <w:r w:rsidRPr="000E2377">
        <w:rPr>
          <w:b w:val="0"/>
        </w:rPr>
        <w:t>In aluminosili</w:t>
      </w:r>
      <w:r w:rsidR="00A01664">
        <w:rPr>
          <w:b w:val="0"/>
        </w:rPr>
        <w:t>c</w:t>
      </w:r>
      <w:r w:rsidRPr="000E2377">
        <w:rPr>
          <w:b w:val="0"/>
        </w:rPr>
        <w:t>ate glass</w:t>
      </w:r>
      <w:r w:rsidR="00A01664">
        <w:rPr>
          <w:b w:val="0"/>
        </w:rPr>
        <w:t>es</w:t>
      </w:r>
      <w:r w:rsidRPr="000E2377">
        <w:rPr>
          <w:b w:val="0"/>
        </w:rPr>
        <w:t xml:space="preserve">, </w:t>
      </w:r>
      <w:r w:rsidR="00A01664">
        <w:rPr>
          <w:b w:val="0"/>
        </w:rPr>
        <w:t>changing the</w:t>
      </w:r>
      <w:r w:rsidRPr="000E2377">
        <w:rPr>
          <w:b w:val="0"/>
        </w:rPr>
        <w:t xml:space="preserve"> alkaline earth </w:t>
      </w:r>
      <w:r w:rsidR="006E18BE" w:rsidRPr="000E2377">
        <w:rPr>
          <w:b w:val="0"/>
        </w:rPr>
        <w:t>chang</w:t>
      </w:r>
      <w:r w:rsidR="006E18BE">
        <w:rPr>
          <w:b w:val="0"/>
        </w:rPr>
        <w:t xml:space="preserve">es </w:t>
      </w:r>
      <w:r w:rsidR="00A01664">
        <w:rPr>
          <w:b w:val="0"/>
        </w:rPr>
        <w:t>the</w:t>
      </w:r>
      <w:r w:rsidR="00A01664" w:rsidRPr="000E2377">
        <w:rPr>
          <w:b w:val="0"/>
        </w:rPr>
        <w:t xml:space="preserve"> </w:t>
      </w:r>
      <w:r w:rsidRPr="000E2377">
        <w:rPr>
          <w:b w:val="0"/>
        </w:rPr>
        <w:t>value of C</w:t>
      </w:r>
      <w:r w:rsidRPr="00334F89">
        <w:rPr>
          <w:b w:val="0"/>
          <w:vertAlign w:val="subscript"/>
        </w:rPr>
        <w:t>g</w:t>
      </w:r>
      <w:r w:rsidRPr="000E2377">
        <w:rPr>
          <w:b w:val="0"/>
        </w:rPr>
        <w:t>. For example</w:t>
      </w:r>
      <w:r w:rsidR="00040067">
        <w:rPr>
          <w:b w:val="0"/>
        </w:rPr>
        <w:t>,</w:t>
      </w:r>
      <w:r w:rsidRPr="000E2377">
        <w:rPr>
          <w:b w:val="0"/>
        </w:rPr>
        <w:t xml:space="preserve"> when small and lighter atoms such as Mg replace Ca in </w:t>
      </w:r>
      <w:r w:rsidR="006E18BE">
        <w:rPr>
          <w:b w:val="0"/>
        </w:rPr>
        <w:t xml:space="preserve">a glass </w:t>
      </w:r>
      <w:r w:rsidRPr="000E2377">
        <w:rPr>
          <w:b w:val="0"/>
        </w:rPr>
        <w:t>composition, C</w:t>
      </w:r>
      <w:r w:rsidRPr="00334F89">
        <w:rPr>
          <w:b w:val="0"/>
          <w:vertAlign w:val="subscript"/>
        </w:rPr>
        <w:t>g</w:t>
      </w:r>
      <w:r w:rsidRPr="000E2377">
        <w:rPr>
          <w:b w:val="0"/>
        </w:rPr>
        <w:t xml:space="preserve"> and </w:t>
      </w:r>
      <w:r w:rsidR="00A01664">
        <w:rPr>
          <w:b w:val="0"/>
        </w:rPr>
        <w:t xml:space="preserve">thus </w:t>
      </w:r>
      <w:r w:rsidRPr="004C4CEC">
        <w:rPr>
          <w:b w:val="0"/>
          <w:i/>
        </w:rPr>
        <w:t>v</w:t>
      </w:r>
      <w:r w:rsidRPr="000E2377">
        <w:rPr>
          <w:b w:val="0"/>
        </w:rPr>
        <w:t xml:space="preserve"> increased </w:t>
      </w:r>
      <w:r w:rsidRPr="000E2377">
        <w:rPr>
          <w:b w:val="0"/>
        </w:rPr>
        <w:fldChar w:fldCharType="begin" w:fldLock="1"/>
      </w:r>
      <w:r w:rsidR="00F82BA8">
        <w:rPr>
          <w:b w:val="0"/>
        </w:rPr>
        <w:instrText>ADDIN CSL_CITATION { "citationItems" : [ { "id" : "ITEM-1", "itemData" : { "author" : [ { "dropping-particle" : "", "family" : "Deriano", "given" : "S", "non-dropping-particle" : "", "parse-names" : false, "suffix" : "" }, { "dropping-particle" : "", "family" : "Rouxel", "given" : "T", "non-dropping-particle" : "", "parse-names" : false, "suffix" : "" }, { "dropping-particle" : "De", "family" : "Rennes", "given" : "Universit\u00e9", "non-dropping-particle" : "", "parse-names" : false, "suffix" : "" }, { "dropping-particle" : "De", "family" : "Beaulieu", "given" : "Campus", "non-dropping-particle" : "", "parse-names" : false, "suffix" : "" }, { "dropping-particle" : "", "family" : "Lefloch", "given" : "M", "non-dropping-particle" : "", "parse-names" : false, "suffix" : "" }, { "dropping-particle" : "", "family" : "Beaulieu", "given" : "De", "non-dropping-particle" : "", "parse-names" : false, "suffix" : "" }, { "dropping-particle" : "", "family" : "Brillouin", "given" : "Laboratoire L\u00e9on", "non-dropping-particle" : "", "parse-names" : false, "suffix" : "" }, { "dropping-particle" : "", "family" : "Saclay", "given" : "Cnrs-cea", "non-dropping-particle" : "", "parse-names" : false, "suffix" : "" } ], "id" : "ITEM-1", "issue" : "1", "issued" : { "date-parts" : [ [ "2004" ] ] }, "page" : "37-44", "title" : "Structure and mechanical properties of alkali \u2013 alkaline earth \u2013 silicate glasses", "type" : "article-journal", "volume" : "45" }, "uris" : [ "http://www.mendeley.com/documents/?uuid=2bbf787d-390c-4721-a0eb-97f6376fa41a" ] } ], "mendeley" : { "formattedCitation" : "(Deriano, Rouxel, et al., 2004)", "manualFormatting" : "(Deriano et al., 2004)", "plainTextFormattedCitation" : "(Deriano, Rouxel, et al., 2004)", "previouslyFormattedCitation" : "(Deriano, Rouxel, et al., 2004)" }, "properties" : { "noteIndex" : 1 }, "schema" : "https://github.com/citation-style-language/schema/raw/master/csl-citation.json" }</w:instrText>
      </w:r>
      <w:r w:rsidRPr="000E2377">
        <w:rPr>
          <w:b w:val="0"/>
        </w:rPr>
        <w:fldChar w:fldCharType="separate"/>
      </w:r>
      <w:r w:rsidRPr="000E2377">
        <w:rPr>
          <w:b w:val="0"/>
          <w:noProof/>
        </w:rPr>
        <w:t>(Deriano et al., 2004)</w:t>
      </w:r>
      <w:r w:rsidRPr="000E2377">
        <w:rPr>
          <w:b w:val="0"/>
        </w:rPr>
        <w:fldChar w:fldCharType="end"/>
      </w:r>
      <w:r w:rsidRPr="000E2377">
        <w:rPr>
          <w:b w:val="0"/>
        </w:rPr>
        <w:t xml:space="preserve">. </w:t>
      </w:r>
      <w:bookmarkEnd w:id="145"/>
    </w:p>
    <w:p w14:paraId="360896F5" w14:textId="77777777" w:rsidR="006E18BE" w:rsidRPr="000E2377" w:rsidRDefault="006E18BE" w:rsidP="00D915CF">
      <w:pPr>
        <w:spacing w:line="360" w:lineRule="auto"/>
        <w:jc w:val="both"/>
        <w:rPr>
          <w:rFonts w:cs="Times New Roman"/>
          <w:b w:val="0"/>
          <w:color w:val="FF0000"/>
          <w:szCs w:val="24"/>
        </w:rPr>
      </w:pPr>
    </w:p>
    <w:p w14:paraId="5FA8B854" w14:textId="1531E569" w:rsidR="0064576E" w:rsidRPr="000E2377" w:rsidRDefault="0064576E" w:rsidP="00601DF4">
      <w:pPr>
        <w:pStyle w:val="Heading4"/>
      </w:pPr>
      <w:bookmarkStart w:id="159" w:name="_Toc523402881"/>
      <w:bookmarkStart w:id="160" w:name="_Toc525526392"/>
      <w:bookmarkStart w:id="161" w:name="_Toc525707809"/>
      <w:bookmarkStart w:id="162" w:name="_Toc525742473"/>
      <w:r w:rsidRPr="000E2377">
        <w:t>2.</w:t>
      </w:r>
      <w:r w:rsidR="003B115C">
        <w:t>1</w:t>
      </w:r>
      <w:r w:rsidR="007754F1">
        <w:t>1</w:t>
      </w:r>
      <w:r w:rsidRPr="000E2377">
        <w:t>.</w:t>
      </w:r>
      <w:r w:rsidR="006C4A91" w:rsidRPr="000E2377">
        <w:t>2 Hardness</w:t>
      </w:r>
      <w:bookmarkEnd w:id="159"/>
      <w:bookmarkEnd w:id="160"/>
      <w:bookmarkEnd w:id="161"/>
      <w:bookmarkEnd w:id="162"/>
    </w:p>
    <w:p w14:paraId="66B466B3" w14:textId="189736F9" w:rsidR="0064576E" w:rsidRPr="000E2377" w:rsidRDefault="0064576E" w:rsidP="0064576E">
      <w:pPr>
        <w:spacing w:line="360" w:lineRule="auto"/>
        <w:jc w:val="both"/>
        <w:rPr>
          <w:rFonts w:cs="Times New Roman"/>
          <w:b w:val="0"/>
          <w:szCs w:val="24"/>
        </w:rPr>
      </w:pPr>
      <w:r w:rsidRPr="000E2377">
        <w:rPr>
          <w:rFonts w:cs="Times New Roman"/>
          <w:b w:val="0"/>
          <w:szCs w:val="24"/>
        </w:rPr>
        <w:t xml:space="preserve">Hardness is a measure of a material’s resistance to permanent deformation. For crystalline materials, the hardness value </w:t>
      </w:r>
      <w:r w:rsidR="006C4A91" w:rsidRPr="000E2377">
        <w:rPr>
          <w:rFonts w:cs="Times New Roman"/>
          <w:b w:val="0"/>
          <w:szCs w:val="24"/>
        </w:rPr>
        <w:t xml:space="preserve">in principle </w:t>
      </w:r>
      <w:r w:rsidR="00040067" w:rsidRPr="000E2377">
        <w:rPr>
          <w:rFonts w:cs="Times New Roman"/>
          <w:b w:val="0"/>
          <w:szCs w:val="24"/>
        </w:rPr>
        <w:t xml:space="preserve">can </w:t>
      </w:r>
      <w:r w:rsidRPr="000E2377">
        <w:rPr>
          <w:rFonts w:cs="Times New Roman"/>
          <w:b w:val="0"/>
          <w:szCs w:val="24"/>
        </w:rPr>
        <w:t>be predicted but that contrast</w:t>
      </w:r>
      <w:r w:rsidR="006C4A91" w:rsidRPr="000E2377">
        <w:rPr>
          <w:rFonts w:cs="Times New Roman"/>
          <w:b w:val="0"/>
          <w:szCs w:val="24"/>
        </w:rPr>
        <w:t>s</w:t>
      </w:r>
      <w:r w:rsidRPr="000E2377">
        <w:rPr>
          <w:rFonts w:cs="Times New Roman"/>
          <w:b w:val="0"/>
          <w:szCs w:val="24"/>
        </w:rPr>
        <w:t xml:space="preserve"> with glass materials. There </w:t>
      </w:r>
      <w:r w:rsidR="008F4E98">
        <w:rPr>
          <w:rFonts w:cs="Times New Roman"/>
          <w:b w:val="0"/>
          <w:szCs w:val="24"/>
        </w:rPr>
        <w:t>are several</w:t>
      </w:r>
      <w:r w:rsidRPr="000E2377">
        <w:rPr>
          <w:rFonts w:cs="Times New Roman"/>
          <w:b w:val="0"/>
          <w:szCs w:val="24"/>
        </w:rPr>
        <w:t xml:space="preserve"> factors that can affect hardness</w:t>
      </w:r>
      <w:r w:rsidR="008F4E98">
        <w:rPr>
          <w:rFonts w:cs="Times New Roman"/>
          <w:b w:val="0"/>
          <w:szCs w:val="24"/>
        </w:rPr>
        <w:t>:</w:t>
      </w:r>
    </w:p>
    <w:p w14:paraId="31D4C85B" w14:textId="1A18E8FF" w:rsidR="0064576E" w:rsidRPr="000E2377" w:rsidRDefault="0064576E" w:rsidP="005D010C">
      <w:pPr>
        <w:numPr>
          <w:ilvl w:val="0"/>
          <w:numId w:val="5"/>
        </w:numPr>
        <w:spacing w:line="360" w:lineRule="auto"/>
        <w:contextualSpacing/>
        <w:jc w:val="both"/>
        <w:rPr>
          <w:rFonts w:cs="Times New Roman"/>
          <w:b w:val="0"/>
          <w:szCs w:val="24"/>
        </w:rPr>
      </w:pPr>
      <w:r w:rsidRPr="000E2377">
        <w:rPr>
          <w:rFonts w:cs="Times New Roman"/>
          <w:b w:val="0"/>
          <w:szCs w:val="24"/>
        </w:rPr>
        <w:t>The number of bridging oxygen</w:t>
      </w:r>
      <w:r w:rsidR="00D46661">
        <w:rPr>
          <w:rFonts w:cs="Times New Roman"/>
          <w:b w:val="0"/>
          <w:szCs w:val="24"/>
        </w:rPr>
        <w:t>s</w:t>
      </w:r>
      <w:r w:rsidRPr="000E2377">
        <w:rPr>
          <w:rFonts w:cs="Times New Roman"/>
          <w:b w:val="0"/>
          <w:szCs w:val="24"/>
        </w:rPr>
        <w:t xml:space="preserve"> per tetrahedra </w:t>
      </w:r>
      <w:r w:rsidRPr="000E2377">
        <w:rPr>
          <w:rFonts w:cs="Times New Roman"/>
          <w:b w:val="0"/>
          <w:szCs w:val="24"/>
        </w:rPr>
        <w:fldChar w:fldCharType="begin" w:fldLock="1"/>
      </w:r>
      <w:r w:rsidR="002A61DC" w:rsidRPr="000E2377">
        <w:rPr>
          <w:rFonts w:cs="Times New Roman"/>
          <w:b w:val="0"/>
          <w:szCs w:val="24"/>
        </w:rPr>
        <w:instrText>ADDIN CSL_CITATION { "citationItems" : [ { "id" : "ITEM-1", "itemData" : { "DOI" : "10.1016/j.jnoncrysol.2009.12.030", "ISSN" : "00223093", "author" : [ { "dropping-particle" : "", "family" : "Smedskjaer", "given" : "Morten M.", "non-dropping-particle" : "", "parse-names" : false, "suffix" : "" }, { "dropping-particle" : "", "family" : "Jensen", "given" : "Martin", "non-dropping-particle" : "", "parse-names" : false, "suffix" : "" }, { "dropping-particle" : "", "family" : "Yue", "given" : "Yuanzheng", "non-dropping-particle" : "", "parse-names" : false, "suffix" : "" } ], "container-title" : "Journal of Non-Crystalline Solids", "id" : "ITEM-1", "issue" : "18-19", "issued" : { "date-parts" : [ [ "2010", "4" ] ] }, "page" : "893-897", "publisher" : "Elsevier B.V.", "title" : "Effect of thermal history and chemical composition on hardness of silicate glasses", "type" : "article-journal", "volume" : "356" }, "uris" : [ "http://www.mendeley.com/documents/?uuid=4465cdd2-40f6-46b2-abea-6bc84bf1fd69" ] } ], "mendeley" : { "formattedCitation" : "(Smedskjaer, Jensen, &amp; Yue, 2010)", "manualFormatting" : "(Smedskjaer et al., 2010)", "plainTextFormattedCitation" : "(Smedskjaer, Jensen, &amp; Yue, 2010)", "previouslyFormattedCitation" : "(Smedskjaer, Jensen, &amp; Yue, 2010)" }, "properties" : { "noteIndex" : 0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(Smedskjaer et al., 2010)</w:t>
      </w:r>
      <w:r w:rsidRPr="000E2377">
        <w:rPr>
          <w:rFonts w:cs="Times New Roman"/>
          <w:b w:val="0"/>
          <w:szCs w:val="24"/>
        </w:rPr>
        <w:fldChar w:fldCharType="end"/>
      </w:r>
    </w:p>
    <w:p w14:paraId="06977D10" w14:textId="45F2ECC1" w:rsidR="004707F6" w:rsidRDefault="0064576E" w:rsidP="00C64F0A">
      <w:pPr>
        <w:numPr>
          <w:ilvl w:val="0"/>
          <w:numId w:val="5"/>
        </w:numPr>
        <w:spacing w:after="0" w:line="360" w:lineRule="auto"/>
        <w:contextualSpacing/>
        <w:jc w:val="both"/>
        <w:rPr>
          <w:rFonts w:cs="Times New Roman"/>
          <w:b w:val="0"/>
          <w:szCs w:val="24"/>
        </w:rPr>
      </w:pPr>
      <w:r w:rsidRPr="00C64F0A">
        <w:rPr>
          <w:rFonts w:cs="Times New Roman"/>
          <w:b w:val="0"/>
          <w:szCs w:val="24"/>
        </w:rPr>
        <w:t xml:space="preserve">Ionic radius effect. </w:t>
      </w:r>
      <w:r w:rsidR="007E3E40" w:rsidRPr="00C64F0A">
        <w:rPr>
          <w:rFonts w:cs="Times New Roman"/>
          <w:b w:val="0"/>
          <w:szCs w:val="24"/>
        </w:rPr>
        <w:t xml:space="preserve">Different ionic </w:t>
      </w:r>
      <w:r w:rsidR="00004502" w:rsidRPr="00C64F0A">
        <w:rPr>
          <w:rFonts w:cs="Times New Roman"/>
          <w:b w:val="0"/>
          <w:szCs w:val="24"/>
        </w:rPr>
        <w:t>radi</w:t>
      </w:r>
      <w:r w:rsidR="00004502">
        <w:rPr>
          <w:rFonts w:cs="Times New Roman"/>
          <w:b w:val="0"/>
          <w:szCs w:val="24"/>
        </w:rPr>
        <w:t>i</w:t>
      </w:r>
      <w:r w:rsidR="00004502" w:rsidRPr="00C64F0A">
        <w:rPr>
          <w:rFonts w:cs="Times New Roman"/>
          <w:b w:val="0"/>
          <w:szCs w:val="24"/>
        </w:rPr>
        <w:t xml:space="preserve"> </w:t>
      </w:r>
      <w:r w:rsidR="007E3E40" w:rsidRPr="00C64F0A">
        <w:rPr>
          <w:rFonts w:cs="Times New Roman"/>
          <w:b w:val="0"/>
          <w:szCs w:val="24"/>
        </w:rPr>
        <w:t xml:space="preserve">will </w:t>
      </w:r>
      <w:r w:rsidR="00004502">
        <w:rPr>
          <w:rFonts w:cs="Times New Roman"/>
          <w:b w:val="0"/>
          <w:szCs w:val="24"/>
        </w:rPr>
        <w:t>a</w:t>
      </w:r>
      <w:r w:rsidR="00004502" w:rsidRPr="00C64F0A">
        <w:rPr>
          <w:rFonts w:cs="Times New Roman"/>
          <w:b w:val="0"/>
          <w:szCs w:val="24"/>
        </w:rPr>
        <w:t xml:space="preserve">ffect </w:t>
      </w:r>
      <w:r w:rsidR="00004502">
        <w:rPr>
          <w:rFonts w:cs="Times New Roman"/>
          <w:b w:val="0"/>
          <w:szCs w:val="24"/>
        </w:rPr>
        <w:t xml:space="preserve">the </w:t>
      </w:r>
      <w:r w:rsidR="007E3E40" w:rsidRPr="00C64F0A">
        <w:rPr>
          <w:rFonts w:cs="Times New Roman"/>
          <w:b w:val="0"/>
          <w:szCs w:val="24"/>
        </w:rPr>
        <w:t>number of oxygen</w:t>
      </w:r>
      <w:r w:rsidR="00004502">
        <w:rPr>
          <w:rFonts w:cs="Times New Roman"/>
          <w:b w:val="0"/>
          <w:szCs w:val="24"/>
        </w:rPr>
        <w:t>s</w:t>
      </w:r>
      <w:r w:rsidR="007E3E40" w:rsidRPr="00C64F0A">
        <w:rPr>
          <w:rFonts w:cs="Times New Roman"/>
          <w:b w:val="0"/>
          <w:szCs w:val="24"/>
        </w:rPr>
        <w:t xml:space="preserve"> that can fit around alkaline earth as network modifier used</w:t>
      </w:r>
      <w:r w:rsidR="007E3E40" w:rsidRPr="00C64F0A">
        <w:rPr>
          <w:rFonts w:asciiTheme="minorHAnsi" w:hAnsiTheme="minorHAnsi"/>
          <w:b w:val="0"/>
          <w:sz w:val="22"/>
        </w:rPr>
        <w:t xml:space="preserve">. </w:t>
      </w:r>
      <w:r w:rsidRPr="00C64F0A">
        <w:rPr>
          <w:rFonts w:cs="Times New Roman"/>
          <w:b w:val="0"/>
          <w:szCs w:val="24"/>
        </w:rPr>
        <w:fldChar w:fldCharType="begin" w:fldLock="1"/>
      </w:r>
      <w:r w:rsidR="002A61DC" w:rsidRPr="00C64F0A">
        <w:rPr>
          <w:rFonts w:cs="Times New Roman"/>
          <w:b w:val="0"/>
          <w:szCs w:val="24"/>
        </w:rPr>
        <w:instrText>ADDIN CSL_CITATION { "citationItems" : [ { "id" : "ITEM-1", "itemData" : { "DOI" : "10.1016/j.jnoncrysol.2009.12.030", "ISSN" : "00223093", "author" : [ { "dropping-particle" : "", "family" : "Smedskjaer", "given" : "Morten M.", "non-dropping-particle" : "", "parse-names" : false, "suffix" : "" }, { "dropping-particle" : "", "family" : "Jensen", "given" : "Martin", "non-dropping-particle" : "", "parse-names" : false, "suffix" : "" }, { "dropping-particle" : "", "family" : "Yue", "given" : "Yuanzheng", "non-dropping-particle" : "", "parse-names" : false, "suffix" : "" } ], "container-title" : "Journal of Non-Crystalline Solids", "id" : "ITEM-1", "issue" : "18-19", "issued" : { "date-parts" : [ [ "2010", "4" ] ] }, "page" : "893-897", "publisher" : "Elsevier B.V.", "title" : "Effect of thermal history and chemical composition on hardness of silicate glasses", "type" : "article-journal", "volume" : "356" }, "uris" : [ "http://www.mendeley.com/documents/?uuid=4465cdd2-40f6-46b2-abea-6bc84bf1fd69" ] } ], "mendeley" : { "formattedCitation" : "(Smedskjaer et al., 2010)", "plainTextFormattedCitation" : "(Smedskjaer et al., 2010)", "previouslyFormattedCitation" : "(Smedskjaer et al., 2010)" }, "properties" : { "noteIndex" : 0 }, "schema" : "https://github.com/citation-style-language/schema/raw/master/csl-citation.json" }</w:instrText>
      </w:r>
      <w:r w:rsidRPr="00C64F0A">
        <w:rPr>
          <w:rFonts w:cs="Times New Roman"/>
          <w:b w:val="0"/>
          <w:szCs w:val="24"/>
        </w:rPr>
        <w:fldChar w:fldCharType="separate"/>
      </w:r>
      <w:r w:rsidR="00793120" w:rsidRPr="00C64F0A">
        <w:rPr>
          <w:rFonts w:cs="Times New Roman"/>
          <w:b w:val="0"/>
          <w:noProof/>
          <w:szCs w:val="24"/>
        </w:rPr>
        <w:t>(Smedskjaer et al., 2010)</w:t>
      </w:r>
      <w:r w:rsidRPr="00C64F0A">
        <w:rPr>
          <w:rFonts w:cs="Times New Roman"/>
          <w:b w:val="0"/>
          <w:szCs w:val="24"/>
        </w:rPr>
        <w:fldChar w:fldCharType="end"/>
      </w:r>
      <w:r w:rsidRPr="00C64F0A">
        <w:rPr>
          <w:rFonts w:cs="Times New Roman"/>
          <w:b w:val="0"/>
          <w:szCs w:val="24"/>
        </w:rPr>
        <w:t xml:space="preserve">. </w:t>
      </w:r>
    </w:p>
    <w:p w14:paraId="68F3EC9D" w14:textId="119FF704" w:rsidR="007E3E40" w:rsidRPr="00C64F0A" w:rsidRDefault="007E3E40" w:rsidP="00C64F0A">
      <w:pPr>
        <w:numPr>
          <w:ilvl w:val="0"/>
          <w:numId w:val="5"/>
        </w:numPr>
        <w:spacing w:after="0" w:line="360" w:lineRule="auto"/>
        <w:contextualSpacing/>
        <w:jc w:val="both"/>
        <w:rPr>
          <w:rFonts w:cs="Times New Roman"/>
          <w:b w:val="0"/>
          <w:szCs w:val="24"/>
        </w:rPr>
      </w:pPr>
      <w:r w:rsidRPr="00C64F0A">
        <w:rPr>
          <w:rFonts w:cs="Times New Roman"/>
          <w:b w:val="0"/>
          <w:szCs w:val="24"/>
        </w:rPr>
        <w:t xml:space="preserve">Boron speciation </w:t>
      </w:r>
      <w:r w:rsidR="002F2FF5" w:rsidRPr="00C64F0A">
        <w:rPr>
          <w:rFonts w:cs="Times New Roman"/>
          <w:b w:val="0"/>
          <w:szCs w:val="24"/>
        </w:rPr>
        <w:t xml:space="preserve">also contributes </w:t>
      </w:r>
      <w:r w:rsidR="00E71160" w:rsidRPr="00C64F0A">
        <w:rPr>
          <w:rFonts w:cs="Times New Roman"/>
          <w:b w:val="0"/>
          <w:szCs w:val="24"/>
        </w:rPr>
        <w:t xml:space="preserve">to </w:t>
      </w:r>
      <w:r w:rsidR="002F2FF5" w:rsidRPr="00C64F0A">
        <w:rPr>
          <w:rFonts w:cs="Times New Roman"/>
          <w:b w:val="0"/>
          <w:szCs w:val="24"/>
        </w:rPr>
        <w:t xml:space="preserve">controlling </w:t>
      </w:r>
      <w:r w:rsidR="00E71160" w:rsidRPr="00C64F0A">
        <w:rPr>
          <w:rFonts w:cs="Times New Roman"/>
          <w:b w:val="0"/>
          <w:szCs w:val="24"/>
        </w:rPr>
        <w:t xml:space="preserve">the </w:t>
      </w:r>
      <w:r w:rsidR="002F2FF5" w:rsidRPr="00C64F0A">
        <w:rPr>
          <w:rFonts w:cs="Times New Roman"/>
          <w:b w:val="0"/>
          <w:szCs w:val="24"/>
        </w:rPr>
        <w:t>hardness of glass. This is because B</w:t>
      </w:r>
      <w:r w:rsidR="00346CC3" w:rsidRPr="00C64F0A">
        <w:rPr>
          <w:rFonts w:cs="Times New Roman"/>
          <w:b w:val="0"/>
          <w:szCs w:val="24"/>
          <w:vertAlign w:val="superscript"/>
        </w:rPr>
        <w:t>IV</w:t>
      </w:r>
      <w:r w:rsidR="002F2FF5" w:rsidRPr="00C64F0A">
        <w:rPr>
          <w:rFonts w:cs="Times New Roman"/>
          <w:b w:val="0"/>
          <w:szCs w:val="24"/>
        </w:rPr>
        <w:t xml:space="preserve"> contribute</w:t>
      </w:r>
      <w:r w:rsidR="00D46661" w:rsidRPr="00C64F0A">
        <w:rPr>
          <w:rFonts w:cs="Times New Roman"/>
          <w:b w:val="0"/>
          <w:szCs w:val="24"/>
        </w:rPr>
        <w:t>s</w:t>
      </w:r>
      <w:r w:rsidR="002F2FF5" w:rsidRPr="00C64F0A">
        <w:rPr>
          <w:rFonts w:cs="Times New Roman"/>
          <w:b w:val="0"/>
          <w:szCs w:val="24"/>
        </w:rPr>
        <w:t xml:space="preserve"> more constrain</w:t>
      </w:r>
      <w:r w:rsidR="00E71160" w:rsidRPr="00C64F0A">
        <w:rPr>
          <w:rFonts w:cs="Times New Roman"/>
          <w:b w:val="0"/>
          <w:szCs w:val="24"/>
        </w:rPr>
        <w:t>t</w:t>
      </w:r>
      <w:r w:rsidR="002F2FF5" w:rsidRPr="00C64F0A">
        <w:rPr>
          <w:rFonts w:cs="Times New Roman"/>
          <w:b w:val="0"/>
          <w:szCs w:val="24"/>
        </w:rPr>
        <w:t>s</w:t>
      </w:r>
      <w:r w:rsidR="009A4C8C" w:rsidRPr="00C64F0A">
        <w:rPr>
          <w:rFonts w:cs="Times New Roman"/>
          <w:b w:val="0"/>
          <w:szCs w:val="24"/>
        </w:rPr>
        <w:t xml:space="preserve"> </w:t>
      </w:r>
      <w:r w:rsidR="00D46661" w:rsidRPr="00C64F0A">
        <w:rPr>
          <w:rFonts w:cs="Times New Roman"/>
          <w:b w:val="0"/>
          <w:szCs w:val="24"/>
        </w:rPr>
        <w:t>impeding deformation of the</w:t>
      </w:r>
      <w:r w:rsidR="007A3DC4" w:rsidRPr="00C64F0A">
        <w:rPr>
          <w:rFonts w:cs="Times New Roman"/>
          <w:b w:val="0"/>
          <w:szCs w:val="24"/>
        </w:rPr>
        <w:t xml:space="preserve"> structure </w:t>
      </w:r>
      <w:r w:rsidR="002F2FF5" w:rsidRPr="00C64F0A">
        <w:rPr>
          <w:rFonts w:cs="Times New Roman"/>
          <w:b w:val="0"/>
          <w:szCs w:val="24"/>
        </w:rPr>
        <w:t>B</w:t>
      </w:r>
      <w:r w:rsidR="00346CC3" w:rsidRPr="00C64F0A">
        <w:rPr>
          <w:rFonts w:cs="Times New Roman"/>
          <w:b w:val="0"/>
          <w:szCs w:val="24"/>
          <w:vertAlign w:val="superscript"/>
        </w:rPr>
        <w:t>III</w:t>
      </w:r>
      <w:r w:rsidR="002F2FF5" w:rsidRPr="00C64F0A">
        <w:rPr>
          <w:rFonts w:cs="Times New Roman"/>
          <w:b w:val="0"/>
          <w:szCs w:val="24"/>
        </w:rPr>
        <w:t xml:space="preserve"> </w:t>
      </w:r>
      <w:r w:rsidR="002F2FF5" w:rsidRPr="00C64F0A">
        <w:rPr>
          <w:rFonts w:cs="Times New Roman"/>
          <w:b w:val="0"/>
          <w:szCs w:val="24"/>
        </w:rPr>
        <w:fldChar w:fldCharType="begin" w:fldLock="1"/>
      </w:r>
      <w:r w:rsidR="008400FF">
        <w:rPr>
          <w:rFonts w:cs="Times New Roman"/>
          <w:b w:val="0"/>
          <w:szCs w:val="24"/>
        </w:rPr>
        <w:instrText>ADDIN CSL_CITATION { "citationItems" : [ { "id" : "ITEM-1", "itemData" : { "DOI" : "10.1016/j.jnoncrysol.2012.01.030", "ISSN" : "00223093", "abstract" : "The complicated structural speciation in boroaluminosilicate glasses leads to a mixed network former effect yielding nonlinear variation in many macroscopic properties as a function of chemical composition. Here we study the composition\u2013structure\u2013property relationships in a series of sodium boroaluminosilicate glasses from peralkaline to peraluminous compositions by substituting Al2O3 for SiO2. Our results reveal a pro- nounced change in all the measured physical properties (density, elastic moduli, hardness, glass transition temperature, and liquid fragility) around [Al2O3]\u2013[Na2O]=0. The structural origin of this change is elucidat- ed through nuclear magnetic resonance analyses and topological considerations. Furthermore, we find that addition of 1 mol% Fe2O3 exerts a complicated impact on the measured properties", "author" : [ { "dropping-particle" : "", "family" : "Zheng", "given" : "Qiuju", "non-dropping-particle" : "", "parse-names" : false, "suffix" : "" }, { "dropping-particle" : "", "family" : "Potuzak", "given" : "Marcel", "non-dropping-particle" : "", "parse-names" : false, "suffix" : "" }, { "dropping-particle" : "", "family" : "Mauro", "given" : "John C.", "non-dropping-particle" : "", "parse-names" : false, "suffix" : "" }, { "dropping-particle" : "", "family" : "Smedskjaer", "given" : "Morten M.", "non-dropping-particle" : "", "parse-names" : false, "suffix" : "" }, { "dropping-particle" : "", "family" : "Youngman", "given" : "Randall E.", "non-dropping-particle" : "", "parse-names" : false, "suffix" : "" }, { "dropping-particle" : "", "family" : "Yue", "given" : "Yuanzheng", "non-dropping-particle" : "", "parse-names" : false, "suffix" : "" } ], "container-title" : "Journal of Non-Crystalline Solids", "id" : "ITEM-1", "issue" : "6-7", "issued" : { "date-parts" : [ [ "2012", "4" ] ] }, "page" : "993-1002", "publisher" : "Elsevier B.V.", "title" : "Composition\u2013structure\u2013property relationships in boroaluminosilicate glasses", "type" : "article-journal", "volume" : "358" }, "uris" : [ "http://www.mendeley.com/documents/?uuid=8ccfe3eb-f21e-4530-8f05-85b536f7dce8" ] } ], "mendeley" : { "formattedCitation" : "(Q. Zheng et al., 2012)", "manualFormatting" : "( Zheng et al., 2012)", "plainTextFormattedCitation" : "(Q. Zheng et al., 2012)", "previouslyFormattedCitation" : "(Q. Zheng et al., 2012)" }, "properties" : { "noteIndex" : 33 }, "schema" : "https://github.com/citation-style-language/schema/raw/master/csl-citation.json" }</w:instrText>
      </w:r>
      <w:r w:rsidR="002F2FF5" w:rsidRPr="00C64F0A">
        <w:rPr>
          <w:rFonts w:cs="Times New Roman"/>
          <w:b w:val="0"/>
          <w:szCs w:val="24"/>
        </w:rPr>
        <w:fldChar w:fldCharType="separate"/>
      </w:r>
      <w:r w:rsidR="002F2FF5" w:rsidRPr="00C64F0A">
        <w:rPr>
          <w:rFonts w:cs="Times New Roman"/>
          <w:b w:val="0"/>
          <w:noProof/>
          <w:szCs w:val="24"/>
        </w:rPr>
        <w:t>( Zheng et al., 2012)</w:t>
      </w:r>
      <w:r w:rsidR="002F2FF5" w:rsidRPr="00C64F0A">
        <w:rPr>
          <w:rFonts w:cs="Times New Roman"/>
          <w:b w:val="0"/>
          <w:szCs w:val="24"/>
        </w:rPr>
        <w:fldChar w:fldCharType="end"/>
      </w:r>
      <w:r w:rsidR="00C64F0A" w:rsidRPr="00C64F0A">
        <w:rPr>
          <w:rFonts w:cs="Times New Roman"/>
          <w:b w:val="0"/>
          <w:szCs w:val="24"/>
        </w:rPr>
        <w:t>.</w:t>
      </w:r>
    </w:p>
    <w:p w14:paraId="5F3079FF" w14:textId="61C52552" w:rsidR="00C64F0A" w:rsidRDefault="00C64F0A" w:rsidP="004E5388">
      <w:pPr>
        <w:numPr>
          <w:ilvl w:val="0"/>
          <w:numId w:val="5"/>
        </w:numPr>
        <w:spacing w:after="0" w:line="360" w:lineRule="auto"/>
        <w:ind w:left="714" w:hanging="357"/>
        <w:contextualSpacing/>
        <w:jc w:val="both"/>
        <w:rPr>
          <w:rFonts w:cs="Times New Roman"/>
          <w:b w:val="0"/>
          <w:szCs w:val="24"/>
        </w:rPr>
      </w:pPr>
      <w:r w:rsidRPr="00334F89">
        <w:rPr>
          <w:rFonts w:cs="Times New Roman"/>
          <w:b w:val="0"/>
          <w:szCs w:val="24"/>
        </w:rPr>
        <w:t xml:space="preserve">Hardness tends to increase with increasing </w:t>
      </w:r>
      <w:r>
        <w:rPr>
          <w:rFonts w:cs="Times New Roman"/>
          <w:b w:val="0"/>
          <w:szCs w:val="24"/>
        </w:rPr>
        <w:t xml:space="preserve">Young’s </w:t>
      </w:r>
      <w:r w:rsidRPr="00334F89">
        <w:rPr>
          <w:rFonts w:cs="Times New Roman"/>
          <w:b w:val="0"/>
          <w:szCs w:val="24"/>
        </w:rPr>
        <w:t xml:space="preserve">modulus (see </w:t>
      </w:r>
      <w:r>
        <w:rPr>
          <w:rFonts w:cs="Times New Roman"/>
          <w:b w:val="0"/>
          <w:szCs w:val="24"/>
        </w:rPr>
        <w:t>F</w:t>
      </w:r>
      <w:r w:rsidRPr="00334F89">
        <w:rPr>
          <w:rFonts w:cs="Times New Roman"/>
          <w:b w:val="0"/>
          <w:szCs w:val="24"/>
        </w:rPr>
        <w:t>igure 2.</w:t>
      </w:r>
      <w:r>
        <w:rPr>
          <w:rFonts w:cs="Times New Roman"/>
          <w:b w:val="0"/>
          <w:szCs w:val="24"/>
        </w:rPr>
        <w:t>8</w:t>
      </w:r>
      <w:r w:rsidRPr="00334F89">
        <w:rPr>
          <w:rFonts w:cs="Times New Roman"/>
          <w:b w:val="0"/>
          <w:szCs w:val="24"/>
        </w:rPr>
        <w:t>).</w:t>
      </w:r>
    </w:p>
    <w:p w14:paraId="2A079E5C" w14:textId="7578B22F" w:rsidR="0064576E" w:rsidRPr="00C64F0A" w:rsidRDefault="00CE7957" w:rsidP="00C64F0A">
      <w:pPr>
        <w:spacing w:line="360" w:lineRule="auto"/>
        <w:ind w:left="360"/>
        <w:jc w:val="center"/>
        <w:rPr>
          <w:rFonts w:cs="Times New Roman"/>
          <w:b w:val="0"/>
          <w:szCs w:val="24"/>
        </w:rPr>
      </w:pPr>
      <w:r w:rsidRPr="000E2377">
        <w:rPr>
          <w:noProof/>
          <w:lang w:eastAsia="en-MY"/>
        </w:rPr>
        <w:lastRenderedPageBreak/>
        <w:drawing>
          <wp:inline distT="0" distB="0" distL="0" distR="0" wp14:anchorId="7ED94CE7" wp14:editId="72D294C9">
            <wp:extent cx="4137533" cy="3240000"/>
            <wp:effectExtent l="0" t="0" r="0" b="0"/>
            <wp:docPr id="2218" name="Picture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37533" cy="3240000"/>
                    </a:xfrm>
                    <a:prstGeom prst="rect">
                      <a:avLst/>
                    </a:prstGeom>
                    <a:noFill/>
                    <a:ln>
                      <a:noFill/>
                    </a:ln>
                  </pic:spPr>
                </pic:pic>
              </a:graphicData>
            </a:graphic>
          </wp:inline>
        </w:drawing>
      </w:r>
    </w:p>
    <w:p w14:paraId="015307B1" w14:textId="180DF0C5" w:rsidR="0064576E" w:rsidRPr="000E2377" w:rsidRDefault="00DE32A9" w:rsidP="00B56F74">
      <w:pPr>
        <w:pStyle w:val="Caption"/>
        <w:rPr>
          <w:szCs w:val="24"/>
        </w:rPr>
      </w:pPr>
      <w:bookmarkStart w:id="163" w:name="_Hlk493182178"/>
      <w:bookmarkStart w:id="164" w:name="_Toc521420444"/>
      <w:bookmarkStart w:id="165" w:name="_Hlk515393769"/>
      <w:r>
        <w:t>Figure 2</w:t>
      </w:r>
      <w:r w:rsidR="002513FF" w:rsidRPr="000E2377">
        <w:t>.</w:t>
      </w:r>
      <w:r w:rsidR="008E17AF">
        <w:t>8</w:t>
      </w:r>
      <w:r w:rsidR="007C3DD8" w:rsidRPr="000E2377">
        <w:t xml:space="preserve">: </w:t>
      </w:r>
      <w:r w:rsidR="0064576E" w:rsidRPr="000E2377">
        <w:rPr>
          <w:szCs w:val="24"/>
        </w:rPr>
        <w:t>Hardness versus Young’s modulus of various types of glasses</w:t>
      </w:r>
      <w:r w:rsidR="0097195B" w:rsidRPr="0097195B">
        <w:rPr>
          <w:szCs w:val="24"/>
        </w:rPr>
        <w:t xml:space="preserve"> </w:t>
      </w:r>
      <w:r w:rsidR="0097195B">
        <w:rPr>
          <w:szCs w:val="24"/>
        </w:rPr>
        <w:t>and composition (Si, silicate; N/Na, Sodium; B; Boron; Mg, Magnesium and Ca, Calcium)</w:t>
      </w:r>
      <w:r w:rsidR="000F468C">
        <w:rPr>
          <w:szCs w:val="24"/>
        </w:rPr>
        <w:t>; data from</w:t>
      </w:r>
      <w:r w:rsidR="0064576E" w:rsidRPr="000E2377">
        <w:rPr>
          <w:szCs w:val="24"/>
        </w:rPr>
        <w:t xml:space="preserve"> </w:t>
      </w:r>
      <w:bookmarkEnd w:id="163"/>
      <w:r w:rsidR="0064576E" w:rsidRPr="000E2377">
        <w:rPr>
          <w:szCs w:val="24"/>
        </w:rPr>
        <w:fldChar w:fldCharType="begin" w:fldLock="1"/>
      </w:r>
      <w:r w:rsidR="002A61DC" w:rsidRPr="000E2377">
        <w:rPr>
          <w:szCs w:val="24"/>
        </w:rPr>
        <w:instrText>ADDIN CSL_CITATION { "citationItems" : [ { "id" : "ITEM-1", "itemData" : { "DOI" : "10.1016/j.jnoncrysol.2015.08.013", "ISSN" : "00223093", "abstract" : "The effects of varying the alkaline earth oxide content of three series of soda-lime-silica glasses with the general formulae 13.5Na&lt;inf&gt;2&lt;/inf&gt;O??xMgO??10CaO??1.5Al&lt;inf&gt;2&lt;/inf&gt;O&lt;inf&gt;3&lt;/inf&gt;??(75 - x)SiO&lt;inf&gt;2&lt;/inf&gt; (mol.%) where x = 0, 1, 2, 3, 4, 5, 6, and 7; 13.5Na&lt;inf&gt;2&lt;/inf&gt;O??3MgO??(7 + y)CaO??1.5Al&lt;inf&gt;2&lt;/inf&gt;O&lt;inf&gt;3&lt;/inf&gt;??(75 - y)SiO&lt;inf&gt;2&lt;/inf&gt; (mol.%) where y = 0, 1, 2, 3, 4, 5, 6, and 7 and 13.5Na&lt;inf&gt;2&lt;/inf&gt;O??zMgO??(13 - z)CaO??1.5Al&lt;inf&gt;2&lt;/inf&gt;O&lt;inf&gt;3&lt;/inf&gt;??72SiO&lt;inf&gt;2&lt;/inf&gt; (mol.%) where z = 1, 3, 5, 7, 9, and 11 have been examined. Raman spectroscopy and nuclear magnetic resonance (NMR) spectroscopy have been used to assess network connectivity. In the first two glass series network connectivity decreases with increasing alkaline earth addition whereas in the third series connectivity tends to be greater for the more magnesia rich glasses suggesting that magnesia does have a different effect to lime on network connectivity, but only when magnesia is the dominant alkaline earth species. Fracture toughness has been measured using bend testing, which avoids many of the questions raised by the widely used indentation technique. Moduli have been assessed using acoustic means. It was found that the mechanical properties tend to decrease with increasing network connectivity for all three glass series. For the MgO-SiO&lt;inf&gt;2&lt;/inf&gt; series and CaO-SiO&lt;inf&gt;2&lt;/inf&gt; glasses increasing the alkaline earth content at the expense of the silica content resulted in increased network depolymerization, whereas for the MgO-CaO series when MgO became the dominant alkaline earth species, network depolymerization was reduced. Thus whilst MgO and CaO both act as network modifiers when more CaO than MgO is present in soda-lime-silica glasses, a difference in behaviour is seen with magnesia rich soda-magnesia-silica glasses. In contradiction to previous data no significant advantage of replacing CaO by MgO is observed. In addition it appears that the glasses with the lowest fracture toughness values may be more resilient to contact damage than those with the higher fracture toughness values.", "author" : [ { "dropping-particle" : "", "family" : "Kilinc", "given" : "Erhan", "non-dropping-particle" : "", "parse-names" : false, "suffix" : "" }, { "dropping-particle" : "", "family" : "Hand", "given" : "Russell J.", "non-dropping-particle" : "", "parse-names" : false, "suffix" : "" } ], "container-title" : "Journal of Non-Crystalline Solids", "id" : "ITEM-1", "issued" : { "date-parts" : [ [ "2015" ] ] }, "page" : "190-197", "publisher" : "Elsevier B.V.", "title" : "Mechanical properties of soda-lime-silica glasses with varying alkaline earth contents", "type" : "article-journal", "volume" : "429" }, "uris" : [ "http://www.mendeley.com/documents/?uuid=5e3603f4-1f0f-4670-837a-f1bef9fbd8a3" ] } ], "mendeley" : { "formattedCitation" : "(Kilinc &amp; Hand, 2015)", "plainTextFormattedCitation" : "(Kilinc &amp; Hand, 2015)", "previouslyFormattedCitation" : "(Kilinc &amp; Hand, 2015)" }, "properties" : { "noteIndex" : 0 }, "schema" : "https://github.com/citation-style-language/schema/raw/master/csl-citation.json" }</w:instrText>
      </w:r>
      <w:r w:rsidR="0064576E" w:rsidRPr="000E2377">
        <w:rPr>
          <w:szCs w:val="24"/>
        </w:rPr>
        <w:fldChar w:fldCharType="separate"/>
      </w:r>
      <w:r w:rsidR="00793120" w:rsidRPr="000E2377">
        <w:rPr>
          <w:noProof/>
          <w:szCs w:val="24"/>
        </w:rPr>
        <w:t>(Kilinc &amp; Hand, 2015)</w:t>
      </w:r>
      <w:r w:rsidR="0064576E" w:rsidRPr="000E2377">
        <w:rPr>
          <w:szCs w:val="24"/>
        </w:rPr>
        <w:fldChar w:fldCharType="end"/>
      </w:r>
      <w:r w:rsidR="0064576E" w:rsidRPr="000E2377">
        <w:rPr>
          <w:szCs w:val="24"/>
        </w:rPr>
        <w:fldChar w:fldCharType="begin" w:fldLock="1"/>
      </w:r>
      <w:r w:rsidR="002A61DC" w:rsidRPr="000E2377">
        <w:rPr>
          <w:szCs w:val="24"/>
        </w:rPr>
        <w:instrText>ADDIN CSL_CITATION { "citationItems" : [ { "id" : "ITEM-1", "itemData" : { "DOI" : "10.1016/j.jnoncrysol.2015.02.005", "ISSN" : "00223093", "abstract" : "This study investigates the mechanical response of sodium borosilicate (SBN) glasses as a function of their chemical composition. Vickers's indentation tests provide an estimate of the material hardness (HV) and indentation fracture toughness (KCVIF) plus the amount of densification/shear flow processes. Sodium content significantly impacts the glass behavior under a sharp indenter. Low sodium glasses maintain high connected networks and low Poisson's ratios (??). This entails significant densification processes during deformation. Conversely, glasses with high sodium content, i.e. large ??, partake in a more depolymerized network favoring deformation by shear flow. As a consequence, indentation patterns differ depending on the processes occurring. Densification processes appear to hinder the formation of half-penny median-radial cracks. Increasing ?? favors shear flow and residual stresses enhance the development of half-penny median-radial cracks. Hence, KCVIF decreases linearly with ??.", "author" : [ { "dropping-particle" : "", "family" : "Barlet", "given" : "Marina", "non-dropping-particle" : "", "parse-names" : false, "suffix" : "" }, { "dropping-particle" : "", "family" : "Delaye", "given" : "Jean Marc", "non-dropping-particle" : "", "parse-names" : false, "suffix" : "" }, { "dropping-particle" : "", "family" : "Charpentier", "given" : "Thibault", "non-dropping-particle" : "", "parse-names" : false, "suffix" : "" }, { "dropping-particle" : "", "family" : "Gennisson", "given" : "Mickael", "non-dropping-particle" : "", "parse-names" : false, "suffix" : "" }, { "dropping-particle" : "", "family" : "Bonamy", "given" : "Daniel", "non-dropping-particle" : "", "parse-names" : false, "suffix" : "" }, { "dropping-particle" : "", "family" : "Rouxel", "given" : "Tanguy", "non-dropping-particle" : "", "parse-names" : false, "suffix" : "" }, { "dropping-particle" : "", "family" : "Rountree", "given" : "Cindy L.", "non-dropping-particle" : "", "parse-names" : false, "suffix" : "" } ], "container-title" : "Journal of Non-Crystalline Solids", "id" : "ITEM-1", "issued" : { "date-parts" : [ [ "2015" ] ] }, "page" : "66-79", "publisher" : "Elsevier B.V.", "title" : "Hardness and toughness of sodium borosilicate glasses via Vickers's indentations", "type" : "article-journal", "volume" : "417-418" }, "uris" : [ "http://www.mendeley.com/documents/?uuid=53ec0e49-d67e-43d5-a8f1-5cdffcee86b1" ] } ], "mendeley" : { "formattedCitation" : "(Barlet et al., 2015)", "plainTextFormattedCitation" : "(Barlet et al., 2015)", "previouslyFormattedCitation" : "(Barlet et al., 2015)" }, "properties" : { "noteIndex" : 0 }, "schema" : "https://github.com/citation-style-language/schema/raw/master/csl-citation.json" }</w:instrText>
      </w:r>
      <w:r w:rsidR="0064576E" w:rsidRPr="000E2377">
        <w:rPr>
          <w:szCs w:val="24"/>
        </w:rPr>
        <w:fldChar w:fldCharType="separate"/>
      </w:r>
      <w:r w:rsidR="00793120" w:rsidRPr="000E2377">
        <w:rPr>
          <w:noProof/>
          <w:szCs w:val="24"/>
        </w:rPr>
        <w:t>(Barlet et al., 2015)</w:t>
      </w:r>
      <w:r w:rsidR="0064576E" w:rsidRPr="000E2377">
        <w:rPr>
          <w:szCs w:val="24"/>
        </w:rPr>
        <w:fldChar w:fldCharType="end"/>
      </w:r>
      <w:r w:rsidR="0064576E" w:rsidRPr="000E2377">
        <w:rPr>
          <w:szCs w:val="24"/>
        </w:rPr>
        <w:fldChar w:fldCharType="begin" w:fldLock="1"/>
      </w:r>
      <w:r w:rsidR="002A61DC" w:rsidRPr="000E2377">
        <w:rPr>
          <w:szCs w:val="24"/>
        </w:rPr>
        <w:instrText>ADDIN CSL_CITATION { "citationItems" : [ { "id" : "ITEM-1", "itemData" : { "DOI" : "10.1016/j.jnonerysol.2004.07.021", "ISSN" : "00223093", "abstract" : "The fracture toughness of several glasses, including soda-lime-silica and aluminosilicate glasses, was measured by both the indentation fracture (IF) and the single-edge notched beam (SENB) techniques. The flow densification mechanism occurring during indentation for silica-rich compositions leads to discrepancies between the two methods. The influence of the indentation load and the post-indentation fatigue duration on the indentation on the crack length and on the fracture toughness measurement were investigated. Fatigue curves (V-K) were obtained directly from indentation experiments and fatigue parameters were derived. The sub-critical crack growth resistance was found to be improved by increasing the silica content. In comparison with the studied oxide glasses, a Y-SiAlON oxynitride glass exhibits much greater fatigue resistance. The fatigue phenomenon has a major effect on the estimation of KC from indentation-cracking measurements. \u00a9 2004 Published by Elsevier B.V.", "author" : [ { "dropping-particle" : "", "family" : "Deriano", "given" : "S.", "non-dropping-particle" : "", "parse-names" : false, "suffix" : "" }, { "dropping-particle" : "", "family" : "Jarry", "given" : "A", "non-dropping-particle" : "", "parse-names" : false, "suffix" : "" }, { "dropping-particle" : "", "family" : "Rouxel", "given" : "T.", "non-dropping-particle" : "", "parse-names" : false, "suffix" : "" }, { "dropping-particle" : "", "family" : "Sangleboeuf", "given" : "J. C.", "non-dropping-particle" : "", "parse-names" : false, "suffix" : "" }, { "dropping-particle" : "", "family" : "Hampshire", "given" : "S.", "non-dropping-particle" : "", "parse-names" : false, "suffix" : "" } ], "container-title" : "Journal of Non-Crystalline Solids", "id" : "ITEM-1", "issue" : "1-2", "issued" : { "date-parts" : [ [ "2004" ] ] }, "page" : "44-50", "title" : "The indentation fracture toughness (kc) and its parameters: The case of silica-rich glasses", "type" : "article-journal", "volume" : "344" }, "uris" : [ "http://www.mendeley.com/documents/?uuid=6a965cb4-c3aa-4bce-8cbf-0183a0460e17" ] } ], "mendeley" : { "formattedCitation" : "(Deriano, Jarry, Rouxel, Sangleboeuf, &amp; Hampshire, 2004)", "manualFormatting" : "(Deriano et al., 2004)", "plainTextFormattedCitation" : "(Deriano, Jarry, Rouxel, Sangleboeuf, &amp; Hampshire, 2004)", "previouslyFormattedCitation" : "(Deriano, Jarry, Rouxel, Sangleboeuf, &amp; Hampshire, 2004)" }, "properties" : { "noteIndex" : 0 }, "schema" : "https://github.com/citation-style-language/schema/raw/master/csl-citation.json" }</w:instrText>
      </w:r>
      <w:r w:rsidR="0064576E" w:rsidRPr="000E2377">
        <w:rPr>
          <w:szCs w:val="24"/>
        </w:rPr>
        <w:fldChar w:fldCharType="separate"/>
      </w:r>
      <w:r w:rsidR="0064576E" w:rsidRPr="000E2377">
        <w:rPr>
          <w:noProof/>
          <w:szCs w:val="24"/>
        </w:rPr>
        <w:t>(Deriano et al., 2004)</w:t>
      </w:r>
      <w:r w:rsidR="0064576E" w:rsidRPr="000E2377">
        <w:rPr>
          <w:szCs w:val="24"/>
        </w:rPr>
        <w:fldChar w:fldCharType="end"/>
      </w:r>
      <w:r w:rsidR="0064576E" w:rsidRPr="000E2377">
        <w:rPr>
          <w:szCs w:val="24"/>
        </w:rPr>
        <w:t>.</w:t>
      </w:r>
      <w:bookmarkEnd w:id="164"/>
    </w:p>
    <w:bookmarkEnd w:id="165"/>
    <w:p w14:paraId="22A70C5E" w14:textId="623EBB53" w:rsidR="00004502" w:rsidRDefault="006C4A91" w:rsidP="00B56F74">
      <w:pPr>
        <w:pStyle w:val="Caption"/>
        <w:spacing w:line="360" w:lineRule="auto"/>
        <w:jc w:val="both"/>
        <w:rPr>
          <w:b w:val="0"/>
          <w:szCs w:val="24"/>
        </w:rPr>
      </w:pPr>
      <w:proofErr w:type="spellStart"/>
      <w:r w:rsidRPr="000E2377">
        <w:rPr>
          <w:b w:val="0"/>
          <w:szCs w:val="24"/>
        </w:rPr>
        <w:t>T</w:t>
      </w:r>
      <w:r w:rsidRPr="000C7E81">
        <w:rPr>
          <w:b w:val="0"/>
          <w:i/>
          <w:szCs w:val="24"/>
          <w:vertAlign w:val="subscript"/>
        </w:rPr>
        <w:t>g</w:t>
      </w:r>
      <w:proofErr w:type="spellEnd"/>
      <w:r w:rsidRPr="000E2377">
        <w:rPr>
          <w:b w:val="0"/>
          <w:szCs w:val="24"/>
        </w:rPr>
        <w:t xml:space="preserve"> is the glass transition temperature and can be defined as the temperature at which the equilibrium viscosity equals 10</w:t>
      </w:r>
      <w:r w:rsidRPr="000E2377">
        <w:rPr>
          <w:b w:val="0"/>
          <w:szCs w:val="24"/>
          <w:vertAlign w:val="superscript"/>
        </w:rPr>
        <w:t>12</w:t>
      </w:r>
      <w:r w:rsidRPr="000E2377">
        <w:rPr>
          <w:b w:val="0"/>
          <w:szCs w:val="24"/>
        </w:rPr>
        <w:t xml:space="preserve"> </w:t>
      </w:r>
      <w:proofErr w:type="spellStart"/>
      <w:r w:rsidRPr="000E2377">
        <w:rPr>
          <w:b w:val="0"/>
          <w:szCs w:val="24"/>
        </w:rPr>
        <w:t>Pa.s</w:t>
      </w:r>
      <w:proofErr w:type="spellEnd"/>
      <w:r w:rsidRPr="000E2377">
        <w:rPr>
          <w:b w:val="0"/>
          <w:szCs w:val="24"/>
        </w:rPr>
        <w:t xml:space="preserve"> </w:t>
      </w:r>
      <w:r w:rsidRPr="000E2377">
        <w:rPr>
          <w:b w:val="0"/>
          <w:szCs w:val="24"/>
        </w:rPr>
        <w:fldChar w:fldCharType="begin" w:fldLock="1"/>
      </w:r>
      <w:r w:rsidR="008400FF">
        <w:rPr>
          <w:b w:val="0"/>
          <w:szCs w:val="24"/>
        </w:rPr>
        <w:instrText>ADDIN CSL_CITATION { "citationItems" : [ { "id" : "ITEM-1", "itemData" : { "DOI" : "10.1111/jace.12298", "author" : [ { "dropping-particle" : "", "family" : "Smedskjaer", "given" : "Morten M", "non-dropping-particle" : "", "parse-names" : false, "suffix" : "" }, { "dropping-particle" : "", "family" : "Mauro", "given" : "John C", "non-dropping-particle" : "", "parse-names" : false, "suffix" : "" }, { "dropping-particle" : "", "family" : "Kjeldsen", "given" : "Jonas", "non-dropping-particle" : "", "parse-names" : false, "suffix" : "" }, { "dropping-particle" : "", "family" : "Yue", "given" : "Yuanzheng", "non-dropping-particle" : "", "parse-names" : false, "suffix" : "" } ], "id" : "ITEM-1", "issued" : { "date-parts" : [ [ "2013" ] ] }, "page" : "1436-1443", "title" : "Microscopic Origins of Compositional Trends in Aluminosilicate Glass", "type" : "article-journal", "volume" : "1443" }, "uris" : [ "http://www.mendeley.com/documents/?uuid=6b6f00b5-804d-4f22-a4d6-e6433cd646e0" ] } ], "mendeley" : { "formattedCitation" : "(Smedskjaer, Mauro, et al., 2013)", "manualFormatting" : "(Smedskjaer et al., 2013)", "plainTextFormattedCitation" : "(Smedskjaer, Mauro, et al., 2013)", "previouslyFormattedCitation" : "(Smedskjaer, Mauro, et al., 2013)" }, "properties" : { "noteIndex" : 31 }, "schema" : "https://github.com/citation-style-language/schema/raw/master/csl-citation.json" }</w:instrText>
      </w:r>
      <w:r w:rsidRPr="000E2377">
        <w:rPr>
          <w:b w:val="0"/>
          <w:szCs w:val="24"/>
        </w:rPr>
        <w:fldChar w:fldCharType="separate"/>
      </w:r>
      <w:r w:rsidRPr="000E2377">
        <w:rPr>
          <w:b w:val="0"/>
          <w:noProof/>
          <w:szCs w:val="24"/>
        </w:rPr>
        <w:t>(Smedskjaer et al.</w:t>
      </w:r>
      <w:r w:rsidR="000112FE">
        <w:rPr>
          <w:b w:val="0"/>
          <w:noProof/>
          <w:szCs w:val="24"/>
        </w:rPr>
        <w:t>,</w:t>
      </w:r>
      <w:r w:rsidRPr="000E2377">
        <w:rPr>
          <w:b w:val="0"/>
          <w:noProof/>
          <w:szCs w:val="24"/>
        </w:rPr>
        <w:t xml:space="preserve"> 2013)</w:t>
      </w:r>
      <w:r w:rsidRPr="000E2377">
        <w:rPr>
          <w:b w:val="0"/>
          <w:szCs w:val="24"/>
        </w:rPr>
        <w:fldChar w:fldCharType="end"/>
      </w:r>
      <w:r w:rsidRPr="000E2377">
        <w:rPr>
          <w:b w:val="0"/>
          <w:szCs w:val="24"/>
        </w:rPr>
        <w:t>. The glass transition temperature depends on composition because different types and amount of network former and modifier used cause the change of Q species</w:t>
      </w:r>
      <w:r w:rsidR="00004502">
        <w:rPr>
          <w:b w:val="0"/>
          <w:szCs w:val="24"/>
        </w:rPr>
        <w:t xml:space="preserve">. </w:t>
      </w:r>
      <w:r w:rsidR="00004502" w:rsidRPr="000E2377">
        <w:rPr>
          <w:b w:val="0"/>
          <w:szCs w:val="24"/>
        </w:rPr>
        <w:t xml:space="preserve">However, in term of hardness and Young’s modulus connection with </w:t>
      </w:r>
      <w:proofErr w:type="spellStart"/>
      <w:r w:rsidR="00004502" w:rsidRPr="000E2377">
        <w:rPr>
          <w:b w:val="0"/>
          <w:szCs w:val="24"/>
        </w:rPr>
        <w:t>T</w:t>
      </w:r>
      <w:r w:rsidR="00004502" w:rsidRPr="000E2377">
        <w:rPr>
          <w:b w:val="0"/>
          <w:i/>
          <w:szCs w:val="24"/>
          <w:vertAlign w:val="subscript"/>
        </w:rPr>
        <w:t>g</w:t>
      </w:r>
      <w:proofErr w:type="spellEnd"/>
      <w:r w:rsidR="00004502" w:rsidRPr="000E2377">
        <w:rPr>
          <w:b w:val="0"/>
          <w:szCs w:val="24"/>
        </w:rPr>
        <w:t xml:space="preserve">, it gives </w:t>
      </w:r>
      <w:r w:rsidR="00284CC3">
        <w:rPr>
          <w:b w:val="0"/>
          <w:szCs w:val="24"/>
        </w:rPr>
        <w:t xml:space="preserve">a </w:t>
      </w:r>
      <w:r w:rsidR="00004502" w:rsidRPr="000E2377">
        <w:rPr>
          <w:b w:val="0"/>
          <w:szCs w:val="24"/>
        </w:rPr>
        <w:t>direct correlation for most typ</w:t>
      </w:r>
      <w:r w:rsidR="00004502">
        <w:rPr>
          <w:b w:val="0"/>
          <w:szCs w:val="24"/>
        </w:rPr>
        <w:t xml:space="preserve">es of glass as can be seen from Figure 2.9 and Figure 2.10. </w:t>
      </w:r>
      <w:r w:rsidR="00004502" w:rsidRPr="000E2377">
        <w:rPr>
          <w:b w:val="0"/>
          <w:szCs w:val="24"/>
        </w:rPr>
        <w:t xml:space="preserve">Increasing of </w:t>
      </w:r>
      <w:proofErr w:type="spellStart"/>
      <w:r w:rsidR="00004502" w:rsidRPr="000E2377">
        <w:rPr>
          <w:b w:val="0"/>
          <w:szCs w:val="24"/>
        </w:rPr>
        <w:t>T</w:t>
      </w:r>
      <w:r w:rsidR="00004502" w:rsidRPr="000E2377">
        <w:rPr>
          <w:b w:val="0"/>
          <w:i/>
          <w:szCs w:val="24"/>
          <w:vertAlign w:val="subscript"/>
        </w:rPr>
        <w:t>g</w:t>
      </w:r>
      <w:proofErr w:type="spellEnd"/>
      <w:r w:rsidR="00004502">
        <w:rPr>
          <w:b w:val="0"/>
          <w:szCs w:val="24"/>
        </w:rPr>
        <w:t xml:space="preserve"> tends to correlate with increasing hardness because both are related </w:t>
      </w:r>
      <w:r w:rsidR="00004502" w:rsidRPr="000E2377">
        <w:rPr>
          <w:b w:val="0"/>
          <w:szCs w:val="24"/>
        </w:rPr>
        <w:t xml:space="preserve">to the structure of the glass. </w:t>
      </w:r>
      <w:r w:rsidR="00A01664">
        <w:rPr>
          <w:b w:val="0"/>
          <w:szCs w:val="24"/>
        </w:rPr>
        <w:t xml:space="preserve"> </w:t>
      </w:r>
    </w:p>
    <w:p w14:paraId="255D3222" w14:textId="74A58F8B" w:rsidR="006C4A91" w:rsidRPr="000E2377" w:rsidRDefault="006C4A91" w:rsidP="00B56F74">
      <w:pPr>
        <w:pStyle w:val="Caption"/>
        <w:spacing w:line="360" w:lineRule="auto"/>
        <w:jc w:val="both"/>
        <w:rPr>
          <w:b w:val="0"/>
          <w:szCs w:val="24"/>
        </w:rPr>
      </w:pPr>
    </w:p>
    <w:p w14:paraId="0358FFA6" w14:textId="12A0D2D4" w:rsidR="006C4A91" w:rsidRPr="000E2377" w:rsidRDefault="00DC0EF0" w:rsidP="006C4A91">
      <w:pPr>
        <w:tabs>
          <w:tab w:val="left" w:pos="4975"/>
        </w:tabs>
        <w:spacing w:after="0" w:line="360" w:lineRule="auto"/>
        <w:jc w:val="center"/>
        <w:rPr>
          <w:rFonts w:cs="Times New Roman"/>
          <w:b w:val="0"/>
          <w:szCs w:val="24"/>
        </w:rPr>
      </w:pPr>
      <w:r w:rsidRPr="00DC0EF0">
        <w:rPr>
          <w:noProof/>
          <w:lang w:eastAsia="en-MY"/>
        </w:rPr>
        <w:lastRenderedPageBreak/>
        <w:drawing>
          <wp:inline distT="0" distB="0" distL="0" distR="0" wp14:anchorId="6C74C085" wp14:editId="66BB46A4">
            <wp:extent cx="5731510" cy="3324076"/>
            <wp:effectExtent l="0" t="0" r="2540" b="0"/>
            <wp:docPr id="1799" name="Picture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3324076"/>
                    </a:xfrm>
                    <a:prstGeom prst="rect">
                      <a:avLst/>
                    </a:prstGeom>
                    <a:noFill/>
                    <a:ln>
                      <a:noFill/>
                    </a:ln>
                  </pic:spPr>
                </pic:pic>
              </a:graphicData>
            </a:graphic>
          </wp:inline>
        </w:drawing>
      </w:r>
    </w:p>
    <w:p w14:paraId="1F5F4402" w14:textId="675E5FEC" w:rsidR="006C4A91" w:rsidRPr="00087D23" w:rsidRDefault="00087D23" w:rsidP="001F1588">
      <w:pPr>
        <w:pStyle w:val="Caption"/>
        <w:rPr>
          <w:noProof/>
        </w:rPr>
      </w:pPr>
      <w:bookmarkStart w:id="166" w:name="_Toc521420445"/>
      <w:bookmarkStart w:id="167" w:name="_Ref519569138"/>
      <w:r>
        <w:t xml:space="preserve">Figure 2.9: </w:t>
      </w:r>
      <w:r w:rsidR="006C4A91" w:rsidRPr="000E2377">
        <w:rPr>
          <w:szCs w:val="24"/>
        </w:rPr>
        <w:t>Hardness versus glass transition temperature for various types of glasses</w:t>
      </w:r>
      <w:r w:rsidR="004D3403">
        <w:rPr>
          <w:szCs w:val="24"/>
        </w:rPr>
        <w:t xml:space="preserve"> </w:t>
      </w:r>
      <w:r w:rsidR="0097195B">
        <w:rPr>
          <w:szCs w:val="24"/>
        </w:rPr>
        <w:t xml:space="preserve">and composition </w:t>
      </w:r>
      <w:r w:rsidR="004D3403">
        <w:rPr>
          <w:szCs w:val="24"/>
        </w:rPr>
        <w:t>(</w:t>
      </w:r>
      <w:r w:rsidR="00001E4C">
        <w:rPr>
          <w:szCs w:val="24"/>
        </w:rPr>
        <w:t>Si</w:t>
      </w:r>
      <w:r w:rsidR="00151665">
        <w:rPr>
          <w:szCs w:val="24"/>
        </w:rPr>
        <w:t>, silicate; Na, Sodium; B; Boron; Mg, Magnesium and Ca, Calcium)</w:t>
      </w:r>
      <w:r w:rsidR="005908BF">
        <w:rPr>
          <w:szCs w:val="24"/>
        </w:rPr>
        <w:t>; data from</w:t>
      </w:r>
      <w:r w:rsidR="006C4A91" w:rsidRPr="000E2377">
        <w:rPr>
          <w:szCs w:val="24"/>
        </w:rPr>
        <w:t xml:space="preserve"> </w:t>
      </w:r>
      <w:r w:rsidR="006C4A91" w:rsidRPr="000E2377">
        <w:rPr>
          <w:szCs w:val="24"/>
        </w:rPr>
        <w:fldChar w:fldCharType="begin" w:fldLock="1"/>
      </w:r>
      <w:r w:rsidR="006C4A91" w:rsidRPr="000E2377">
        <w:rPr>
          <w:szCs w:val="24"/>
        </w:rPr>
        <w:instrText>ADDIN CSL_CITATION { "citationItems" : [ { "id" : "ITEM-1", "itemData" : { "DOI" : "10.1016/S0022-3093(99)00348-8", "ISSN" : "00223093", "abstract" : "A study seeking to decrease the brittleness of glasses was carried out. The brittleness, defined as the ratio of hardness to fracture toughness, was estimated from the ratio of median crack length to the diagonal length of a deformation impression. The brittleness of various kinds of glasses in the silicate as well as borosilicate systems was investigated as a function of glass properties. The brittleness of the glasses was correlated with densities, i.e., a variation of approximately 1 to approximately 9 ??m-1/2 in brittleness was observed as the density varied from approximately 1.9 to approximately 2.8 g/cm3. The brittleness of normal glasses decreased with decreasing density due to the ease of both plastic flow and densification. On the other hand, the brittleness of anomalous glasses increased with decreasing density due to the lack of plastic flow. In addition, the brittleness of normal glasses was less than that of the anomalous glasses with the same density. We also observed that a 50% decrease in brittleness resulted in an increase of crack initiation load by approximately 15 times.", "author" : [ { "dropping-particle" : "", "family" : "Sehgal", "given" : "Jeetendra", "non-dropping-particle" : "", "parse-names" : false, "suffix" : "" }, { "dropping-particle" : "", "family" : "Ito", "given" : "Setsuro", "non-dropping-particle" : "", "parse-names" : false, "suffix" : "" } ], "container-title" : "Journal of Non-Crystalline Solids", "id" : "ITEM-1", "issue" : "1-3", "issued" : { "date-parts" : [ [ "1999" ] ] }, "page" : "126-132", "title" : "Brittleness of glass", "type" : "article-journal", "volume" : "253" }, "uris" : [ "http://www.mendeley.com/documents/?uuid=97c0428d-f5d8-425f-94e6-c34c36d82652" ] } ], "mendeley" : { "formattedCitation" : "(Sehgal &amp; Ito, 1999)", "plainTextFormattedCitation" : "(Sehgal &amp; Ito, 1999)", "previouslyFormattedCitation" : "(Sehgal &amp; Ito, 1999)" }, "properties" : { "noteIndex" : 44 }, "schema" : "https://github.com/citation-style-language/schema/raw/master/csl-citation.json" }</w:instrText>
      </w:r>
      <w:r w:rsidR="006C4A91" w:rsidRPr="000E2377">
        <w:rPr>
          <w:szCs w:val="24"/>
        </w:rPr>
        <w:fldChar w:fldCharType="separate"/>
      </w:r>
      <w:r w:rsidR="006C4A91" w:rsidRPr="000E2377">
        <w:rPr>
          <w:noProof/>
          <w:szCs w:val="24"/>
        </w:rPr>
        <w:t>(Sehgal &amp; Ito, 1999)</w:t>
      </w:r>
      <w:r w:rsidR="006C4A91" w:rsidRPr="000E2377">
        <w:rPr>
          <w:szCs w:val="24"/>
        </w:rPr>
        <w:fldChar w:fldCharType="end"/>
      </w:r>
      <w:r w:rsidR="006C4A91" w:rsidRPr="000E2377">
        <w:rPr>
          <w:szCs w:val="24"/>
        </w:rPr>
        <w:fldChar w:fldCharType="begin" w:fldLock="1"/>
      </w:r>
      <w:r w:rsidR="006C4A91" w:rsidRPr="000E2377">
        <w:rPr>
          <w:szCs w:val="24"/>
        </w:rPr>
        <w:instrText>ADDIN CSL_CITATION { "citationItems" : [ { "id" : "ITEM-1", "itemData" : { "DOI" : "10.1016/j.jnoncrysol.2015.02.005", "ISSN" : "00223093", "abstract" : "This study investigates the mechanical response of sodium borosilicate (SBN) glasses as a function of their chemical composition. Vickers's indentation tests provide an estimate of the material hardness (HV) and indentation fracture toughness (KCVIF) plus the amount of densification/shear flow processes. Sodium content significantly impacts the glass behavior under a sharp indenter. Low sodium glasses maintain high connected networks and low Poisson's ratios (??). This entails significant densification processes during deformation. Conversely, glasses with high sodium content, i.e. large ??, partake in a more depolymerized network favoring deformation by shear flow. As a consequence, indentation patterns differ depending on the processes occurring. Densification processes appear to hinder the formation of half-penny median-radial cracks. Increasing ?? favors shear flow and residual stresses enhance the development of half-penny median-radial cracks. Hence, KCVIF decreases linearly with ??.", "author" : [ { "dropping-particle" : "", "family" : "Barlet", "given" : "Marina", "non-dropping-particle" : "", "parse-names" : false, "suffix" : "" }, { "dropping-particle" : "", "family" : "Delaye", "given" : "Jean Marc", "non-dropping-particle" : "", "parse-names" : false, "suffix" : "" }, { "dropping-particle" : "", "family" : "Charpentier", "given" : "Thibault", "non-dropping-particle" : "", "parse-names" : false, "suffix" : "" }, { "dropping-particle" : "", "family" : "Gennisson", "given" : "Mickael", "non-dropping-particle" : "", "parse-names" : false, "suffix" : "" }, { "dropping-particle" : "", "family" : "Bonamy", "given" : "Daniel", "non-dropping-particle" : "", "parse-names" : false, "suffix" : "" }, { "dropping-particle" : "", "family" : "Rouxel", "given" : "Tanguy", "non-dropping-particle" : "", "parse-names" : false, "suffix" : "" }, { "dropping-particle" : "", "family" : "Rountree", "given" : "Cindy L.", "non-dropping-particle" : "", "parse-names" : false, "suffix" : "" } ], "container-title" : "Journal of Non-Crystalline Solids", "id" : "ITEM-1", "issued" : { "date-parts" : [ [ "2015" ] ] }, "page" : "66-79", "publisher" : "Elsevier B.V.", "title" : "Hardness and toughness of sodium borosilicate glasses via Vickers's indentations", "type" : "article-journal", "volume" : "417-418" }, "uris" : [ "http://www.mendeley.com/documents/?uuid=53ec0e49-d67e-43d5-a8f1-5cdffcee86b1" ] } ], "mendeley" : { "formattedCitation" : "(Barlet et al., 2015)", "plainTextFormattedCitation" : "(Barlet et al., 2015)", "previouslyFormattedCitation" : "(Barlet et al., 2015)" }, "properties" : { "noteIndex" : 44 }, "schema" : "https://github.com/citation-style-language/schema/raw/master/csl-citation.json" }</w:instrText>
      </w:r>
      <w:r w:rsidR="006C4A91" w:rsidRPr="000E2377">
        <w:rPr>
          <w:szCs w:val="24"/>
        </w:rPr>
        <w:fldChar w:fldCharType="separate"/>
      </w:r>
      <w:r w:rsidR="006C4A91" w:rsidRPr="000E2377">
        <w:rPr>
          <w:noProof/>
          <w:szCs w:val="24"/>
        </w:rPr>
        <w:t>(Barlet et al., 2015)</w:t>
      </w:r>
      <w:r w:rsidR="006C4A91" w:rsidRPr="000E2377">
        <w:rPr>
          <w:szCs w:val="24"/>
        </w:rPr>
        <w:fldChar w:fldCharType="end"/>
      </w:r>
      <w:r w:rsidR="006C4A91" w:rsidRPr="000E2377">
        <w:rPr>
          <w:szCs w:val="24"/>
        </w:rPr>
        <w:fldChar w:fldCharType="begin" w:fldLock="1"/>
      </w:r>
      <w:r w:rsidR="008400FF">
        <w:rPr>
          <w:szCs w:val="24"/>
        </w:rPr>
        <w:instrText>ADDIN CSL_CITATION { "citationItems" : [ { "id" : "ITEM-1", "itemData" : { "DOI" : "10.1016/j.jnonerysol.2004.07.021", "ISSN" : "00223093", "abstract" : "The fracture toughness of several glasses, including soda-lime-silica and aluminosilicate glasses, was measured by both the indentation fracture (IF) and the single-edge notched beam (SENB) techniques. The flow densification mechanism occurring during indentation for silica-rich compositions leads to discrepancies between the two methods. The influence of the indentation load and the post-indentation fatigue duration on the indentation on the crack length and on the fracture toughness measurement were investigated. Fatigue curves (V-K) were obtained directly from indentation experiments and fatigue parameters were derived. The sub-critical crack growth resistance was found to be improved by increasing the silica content. In comparison with the studied oxide glasses, a Y-SiAlON oxynitride glass exhibits much greater fatigue resistance. The fatigue phenomenon has a major effect on the estimation of KC from indentation-cracking measurements. \u00a9 2004 Published by Elsevier B.V.", "author" : [ { "dropping-particle" : "", "family" : "Deriano", "given" : "S.", "non-dropping-particle" : "", "parse-names" : false, "suffix" : "" }, { "dropping-particle" : "", "family" : "Jarry", "given" : "A", "non-dropping-particle" : "", "parse-names" : false, "suffix" : "" }, { "dropping-particle" : "", "family" : "Rouxel", "given" : "T.", "non-dropping-particle" : "", "parse-names" : false, "suffix" : "" }, { "dropping-particle" : "", "family" : "Sangleboeuf", "given" : "J. C.", "non-dropping-particle" : "", "parse-names" : false, "suffix" : "" }, { "dropping-particle" : "", "family" : "Hampshire", "given" : "S.", "non-dropping-particle" : "", "parse-names" : false, "suffix" : "" } ], "container-title" : "Journal of Non-Crystalline Solids", "id" : "ITEM-1", "issue" : "1-2", "issued" : { "date-parts" : [ [ "2004" ] ] }, "page" : "44-50", "title" : "The indentation fracture toughness (kc) and its parameters: The case of silica-rich glasses", "type" : "article-journal", "volume" : "344" }, "uris" : [ "http://www.mendeley.com/documents/?uuid=6a965cb4-c3aa-4bce-8cbf-0183a0460e17" ] } ], "mendeley" : { "formattedCitation" : "(Deriano, Jarry, et al., 2004)", "manualFormatting" : "(Deriano, et al., 2004)", "plainTextFormattedCitation" : "(Deriano, Jarry, et al., 2004)", "previouslyFormattedCitation" : "(Deriano, Jarry, et al., 2004)" }, "properties" : { "noteIndex" : 44 }, "schema" : "https://github.com/citation-style-language/schema/raw/master/csl-citation.json" }</w:instrText>
      </w:r>
      <w:r w:rsidR="006C4A91" w:rsidRPr="000E2377">
        <w:rPr>
          <w:szCs w:val="24"/>
        </w:rPr>
        <w:fldChar w:fldCharType="separate"/>
      </w:r>
      <w:r w:rsidR="006C4A91" w:rsidRPr="000E2377">
        <w:rPr>
          <w:noProof/>
          <w:szCs w:val="24"/>
        </w:rPr>
        <w:t>(Deriano, et al., 2004)</w:t>
      </w:r>
      <w:r w:rsidR="006C4A91" w:rsidRPr="000E2377">
        <w:rPr>
          <w:szCs w:val="24"/>
        </w:rPr>
        <w:fldChar w:fldCharType="end"/>
      </w:r>
      <w:r w:rsidR="006C4A91" w:rsidRPr="000E2377">
        <w:rPr>
          <w:szCs w:val="24"/>
        </w:rPr>
        <w:fldChar w:fldCharType="begin" w:fldLock="1"/>
      </w:r>
      <w:r w:rsidR="006C4A91" w:rsidRPr="000E2377">
        <w:rPr>
          <w:szCs w:val="24"/>
        </w:rPr>
        <w:instrText>ADDIN CSL_CITATION { "citationItems" : [ { "id" : "ITEM-1", "itemData" : { "DOI" : "10.1016/j.jnoncrysol.2012.03.029", "ISSN" : "00223093", "abstract" : "Vickers indentation measurements were carried out on borate, silicate and aluminophosphate glasses, each series comprised of samples of different relative alkali ratios (Na/Na + Li). All the glass series exhibited nonlinear variations of hardness with relative alkali ratio, which was attributed to the reduced plastic flow of mixed alkali glasses. The mixed alkali effect was also present in the length of radial cracks although less strongly than in hardness. Using a semi-empirical model, the variations of residual stresses and fracture toughness were estimated. ?? 2012 Elsevier B.V. All rights reserved.", "author" : [ { "dropping-particle" : "", "family" : "Mohajerani", "given" : "a.", "non-dropping-particle" : "", "parse-names" : false, "suffix" : "" }, { "dropping-particle" : "", "family" : "Zwanziger", "given" : "J. W.", "non-dropping-particle" : "", "parse-names" : false, "suffix" : "" } ], "container-title" : "Journal of Non-Crystalline Solids", "id" : "ITEM-1", "issue" : "12-13", "issued" : { "date-parts" : [ [ "2012" ] ] }, "page" : "1474-1479", "publisher" : "Elsevier B.V.", "title" : "Mixed alkali effect on Vickers hardness and cracking", "type" : "article-journal", "volume" : "358" }, "uris" : [ "http://www.mendeley.com/documents/?uuid=6997a2cc-2cf4-4533-9ac5-7b2e0ddd5e97" ] } ], "mendeley" : { "formattedCitation" : "(Mohajerani &amp; Zwanziger, 2012)", "manualFormatting" : "(Mohajerani &amp; Zwanziger, 2012).\r", "plainTextFormattedCitation" : "(Mohajerani &amp; Zwanziger, 2012)", "previouslyFormattedCitation" : "(Mohajerani &amp; Zwanziger, 2012)" }, "properties" : { "noteIndex" : 44 }, "schema" : "https://github.com/citation-style-language/schema/raw/master/csl-citation.json" }</w:instrText>
      </w:r>
      <w:r w:rsidR="006C4A91" w:rsidRPr="000E2377">
        <w:rPr>
          <w:szCs w:val="24"/>
        </w:rPr>
        <w:fldChar w:fldCharType="separate"/>
      </w:r>
      <w:r w:rsidR="006C4A91" w:rsidRPr="000E2377">
        <w:rPr>
          <w:noProof/>
          <w:szCs w:val="24"/>
        </w:rPr>
        <w:t>(Mohajerani &amp; Zwanziger, 2012).</w:t>
      </w:r>
      <w:bookmarkEnd w:id="166"/>
    </w:p>
    <w:p w14:paraId="24C0B34E" w14:textId="24C1FFAA" w:rsidR="006C4A91" w:rsidRPr="000E2377" w:rsidRDefault="006C4A91" w:rsidP="006C4A91">
      <w:pPr>
        <w:tabs>
          <w:tab w:val="left" w:pos="4975"/>
        </w:tabs>
        <w:spacing w:after="0" w:line="360" w:lineRule="auto"/>
        <w:jc w:val="center"/>
        <w:rPr>
          <w:szCs w:val="24"/>
        </w:rPr>
      </w:pPr>
      <w:r w:rsidRPr="000E2377">
        <w:rPr>
          <w:szCs w:val="24"/>
        </w:rPr>
        <w:fldChar w:fldCharType="end"/>
      </w:r>
      <w:bookmarkEnd w:id="167"/>
      <w:r w:rsidR="00E440A1" w:rsidRPr="00E440A1">
        <w:rPr>
          <w:noProof/>
          <w:lang w:eastAsia="en-MY"/>
        </w:rPr>
        <w:drawing>
          <wp:inline distT="0" distB="0" distL="0" distR="0" wp14:anchorId="20C0B07F" wp14:editId="175A280D">
            <wp:extent cx="5415429" cy="3060000"/>
            <wp:effectExtent l="0" t="0" r="0" b="7620"/>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15429" cy="3060000"/>
                    </a:xfrm>
                    <a:prstGeom prst="rect">
                      <a:avLst/>
                    </a:prstGeom>
                    <a:noFill/>
                    <a:ln>
                      <a:noFill/>
                    </a:ln>
                  </pic:spPr>
                </pic:pic>
              </a:graphicData>
            </a:graphic>
          </wp:inline>
        </w:drawing>
      </w:r>
    </w:p>
    <w:p w14:paraId="0FAB821E" w14:textId="1EF7A269" w:rsidR="006C4A91" w:rsidRDefault="001175BB" w:rsidP="00B56F74">
      <w:pPr>
        <w:pStyle w:val="Caption"/>
        <w:rPr>
          <w:szCs w:val="24"/>
        </w:rPr>
      </w:pPr>
      <w:bookmarkStart w:id="168" w:name="_Toc521420446"/>
      <w:bookmarkStart w:id="169" w:name="_Ref519569174"/>
      <w:bookmarkStart w:id="170" w:name="_Toc525223181"/>
      <w:bookmarkStart w:id="171" w:name="_Toc525528329"/>
      <w:bookmarkStart w:id="172" w:name="_Toc525706344"/>
      <w:r w:rsidRPr="000E2377">
        <w:t xml:space="preserve">Figure </w:t>
      </w:r>
      <w:r w:rsidR="00DE32A9">
        <w:t>2</w:t>
      </w:r>
      <w:r w:rsidR="002513FF" w:rsidRPr="000E2377">
        <w:t>.</w:t>
      </w:r>
      <w:r w:rsidR="003A7455">
        <w:t>10</w:t>
      </w:r>
      <w:r w:rsidRPr="000E2377">
        <w:t xml:space="preserve">: </w:t>
      </w:r>
      <w:r w:rsidR="006C4A91" w:rsidRPr="000E2377">
        <w:rPr>
          <w:szCs w:val="24"/>
        </w:rPr>
        <w:t>Young’s modulus versus glass transition temperature for various types of glasses</w:t>
      </w:r>
      <w:r w:rsidR="0097195B">
        <w:rPr>
          <w:szCs w:val="24"/>
        </w:rPr>
        <w:t xml:space="preserve"> and composition</w:t>
      </w:r>
      <w:r w:rsidR="007A3991">
        <w:rPr>
          <w:szCs w:val="24"/>
        </w:rPr>
        <w:t xml:space="preserve"> (Si, </w:t>
      </w:r>
      <w:r w:rsidR="0097195B">
        <w:rPr>
          <w:szCs w:val="24"/>
        </w:rPr>
        <w:t>S</w:t>
      </w:r>
      <w:r w:rsidR="007A3991">
        <w:rPr>
          <w:szCs w:val="24"/>
        </w:rPr>
        <w:t>ilicate; Na, Sodium; B; Boron; Mg, Magnesium and Ca, Calcium)</w:t>
      </w:r>
      <w:r w:rsidR="005908BF">
        <w:rPr>
          <w:szCs w:val="24"/>
        </w:rPr>
        <w:t>;</w:t>
      </w:r>
      <w:r w:rsidR="006C4A91" w:rsidRPr="000E2377">
        <w:rPr>
          <w:szCs w:val="24"/>
        </w:rPr>
        <w:t xml:space="preserve"> </w:t>
      </w:r>
      <w:r w:rsidR="005908BF">
        <w:rPr>
          <w:szCs w:val="24"/>
        </w:rPr>
        <w:t xml:space="preserve">data from </w:t>
      </w:r>
      <w:r w:rsidR="006C4A91" w:rsidRPr="000E2377">
        <w:rPr>
          <w:szCs w:val="24"/>
        </w:rPr>
        <w:fldChar w:fldCharType="begin" w:fldLock="1"/>
      </w:r>
      <w:r w:rsidR="006C4A91" w:rsidRPr="000E2377">
        <w:rPr>
          <w:szCs w:val="24"/>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"manualFormatting" : "(Rouxel, 2007)", "plainTextFormattedCitation" : "(Tanguy Rouxel, 2007)", "previouslyFormattedCitation" : "(Tanguy Rouxel, 2007)" }, "properties" : { "noteIndex" : 45 }, "schema" : "https://github.com/citation-style-language/schema/raw/master/csl-citation.json" }</w:instrText>
      </w:r>
      <w:r w:rsidR="006C4A91" w:rsidRPr="000E2377">
        <w:rPr>
          <w:szCs w:val="24"/>
        </w:rPr>
        <w:fldChar w:fldCharType="separate"/>
      </w:r>
      <w:r w:rsidR="006C4A91" w:rsidRPr="000E2377">
        <w:rPr>
          <w:noProof/>
          <w:szCs w:val="24"/>
        </w:rPr>
        <w:t>(Rouxel, 2007)</w:t>
      </w:r>
      <w:r w:rsidR="006C4A91" w:rsidRPr="000E2377">
        <w:rPr>
          <w:szCs w:val="24"/>
        </w:rPr>
        <w:fldChar w:fldCharType="end"/>
      </w:r>
      <w:r w:rsidR="006C4A91" w:rsidRPr="000E2377">
        <w:rPr>
          <w:szCs w:val="24"/>
        </w:rPr>
        <w:fldChar w:fldCharType="begin" w:fldLock="1"/>
      </w:r>
      <w:r w:rsidR="006C4A91" w:rsidRPr="000E2377">
        <w:rPr>
          <w:szCs w:val="24"/>
        </w:rPr>
        <w:instrText>ADDIN CSL_CITATION { "citationItems" : [ { "id" : "ITEM-1", "itemData" : { "DOI" : "10.1016/S0022-3093(99)00348-8", "ISSN" : "00223093", "abstract" : "A study seeking to decrease the brittleness of glasses was carried out. The brittleness, defined as the ratio of hardness to fracture toughness, was estimated from the ratio of median crack length to the diagonal length of a deformation impression. The brittleness of various kinds of glasses in the silicate as well as borosilicate systems was investigated as a function of glass properties. The brittleness of the glasses was correlated with densities, i.e., a variation of approximately 1 to approximately 9 ??m-1/2 in brittleness was observed as the density varied from approximately 1.9 to approximately 2.8 g/cm3. The brittleness of normal glasses decreased with decreasing density due to the ease of both plastic flow and densification. On the other hand, the brittleness of anomalous glasses increased with decreasing density due to the lack of plastic flow. In addition, the brittleness of normal glasses was less than that of the anomalous glasses with the same density. We also observed that a 50% decrease in brittleness resulted in an increase of crack initiation load by approximately 15 times.", "author" : [ { "dropping-particle" : "", "family" : "Sehgal", "given" : "Jeetendra", "non-dropping-particle" : "", "parse-names" : false, "suffix" : "" }, { "dropping-particle" : "", "family" : "Ito", "given" : "Setsuro", "non-dropping-particle" : "", "parse-names" : false, "suffix" : "" } ], "container-title" : "Journal of Non-Crystalline Solids", "id" : "ITEM-1", "issue" : "1-3", "issued" : { "date-parts" : [ [ "1999" ] ] }, "page" : "126-132", "title" : "Brittleness of glass", "type" : "article-journal", "volume" : "253" }, "uris" : [ "http://www.mendeley.com/documents/?uuid=97c0428d-f5d8-425f-94e6-c34c36d82652" ] } ], "mendeley" : { "formattedCitation" : "(Sehgal &amp; Ito, 1999)", "plainTextFormattedCitation" : "(Sehgal &amp; Ito, 1999)", "previouslyFormattedCitation" : "(Sehgal &amp; Ito, 1999)" }, "properties" : { "noteIndex" : 44 }, "schema" : "https://github.com/citation-style-language/schema/raw/master/csl-citation.json" }</w:instrText>
      </w:r>
      <w:r w:rsidR="006C4A91" w:rsidRPr="000E2377">
        <w:rPr>
          <w:szCs w:val="24"/>
        </w:rPr>
        <w:fldChar w:fldCharType="separate"/>
      </w:r>
      <w:r w:rsidR="006C4A91" w:rsidRPr="000E2377">
        <w:rPr>
          <w:noProof/>
          <w:szCs w:val="24"/>
        </w:rPr>
        <w:t>(Sehgal &amp; Ito, 1999)</w:t>
      </w:r>
      <w:r w:rsidR="006C4A91" w:rsidRPr="000E2377">
        <w:rPr>
          <w:szCs w:val="24"/>
        </w:rPr>
        <w:fldChar w:fldCharType="end"/>
      </w:r>
      <w:r w:rsidR="006C4A91" w:rsidRPr="000E2377">
        <w:rPr>
          <w:szCs w:val="24"/>
        </w:rPr>
        <w:fldChar w:fldCharType="begin" w:fldLock="1"/>
      </w:r>
      <w:r w:rsidR="006C4A91" w:rsidRPr="000E2377">
        <w:rPr>
          <w:szCs w:val="24"/>
        </w:rPr>
        <w:instrText>ADDIN CSL_CITATION { "citationItems" : [ { "id" : "ITEM-1", "itemData" : { "DOI" : "10.1016/j.jnoncrysol.2015.02.005", "ISSN" : "00223093", "abstract" : "This study investigates the mechanical response of sodium borosilicate (SBN) glasses as a function of their chemical composition. Vickers's indentation tests provide an estimate of the material hardness (HV) and indentation fracture toughness (KCVIF) plus the amount of densification/shear flow processes. Sodium content significantly impacts the glass behavior under a sharp indenter. Low sodium glasses maintain high connected networks and low Poisson's ratios (??). This entails significant densification processes during deformation. Conversely, glasses with high sodium content, i.e. large ??, partake in a more depolymerized network favoring deformation by shear flow. As a consequence, indentation patterns differ depending on the processes occurring. Densification processes appear to hinder the formation of half-penny median-radial cracks. Increasing ?? favors shear flow and residual stresses enhance the development of half-penny median-radial cracks. Hence, KCVIF decreases linearly with ??.", "author" : [ { "dropping-particle" : "", "family" : "Barlet", "given" : "Marina", "non-dropping-particle" : "", "parse-names" : false, "suffix" : "" }, { "dropping-particle" : "", "family" : "Delaye", "given" : "Jean Marc", "non-dropping-particle" : "", "parse-names" : false, "suffix" : "" }, { "dropping-particle" : "", "family" : "Charpentier", "given" : "Thibault", "non-dropping-particle" : "", "parse-names" : false, "suffix" : "" }, { "dropping-particle" : "", "family" : "Gennisson", "given" : "Mickael", "non-dropping-particle" : "", "parse-names" : false, "suffix" : "" }, { "dropping-particle" : "", "family" : "Bonamy", "given" : "Daniel", "non-dropping-particle" : "", "parse-names" : false, "suffix" : "" }, { "dropping-particle" : "", "family" : "Rouxel", "given" : "Tanguy", "non-dropping-particle" : "", "parse-names" : false, "suffix" : "" }, { "dropping-particle" : "", "family" : "Rountree", "given" : "Cindy L.", "non-dropping-particle" : "", "parse-names" : false, "suffix" : "" } ], "container-title" : "Journal of Non-Crystalline Solids", "id" : "ITEM-1", "issued" : { "date-parts" : [ [ "2015" ] ] }, "page" : "66-79", "publisher" : "Elsevier B.V.", "title" : "Hardness and toughness of sodium borosilicate glasses via Vickers's indentations", "type" : "article-journal", "volume" : "417-418" }, "uris" : [ "http://www.mendeley.com/documents/?uuid=53ec0e49-d67e-43d5-a8f1-5cdffcee86b1" ] } ], "mendeley" : { "formattedCitation" : "(Barlet et al., 2015)", "plainTextFormattedCitation" : "(Barlet et al., 2015)", "previouslyFormattedCitation" : "(Barlet et al., 2015)" }, "properties" : { "noteIndex" : 44 }, "schema" : "https://github.com/citation-style-language/schema/raw/master/csl-citation.json" }</w:instrText>
      </w:r>
      <w:r w:rsidR="006C4A91" w:rsidRPr="000E2377">
        <w:rPr>
          <w:szCs w:val="24"/>
        </w:rPr>
        <w:fldChar w:fldCharType="separate"/>
      </w:r>
      <w:r w:rsidR="006C4A91" w:rsidRPr="000E2377">
        <w:rPr>
          <w:noProof/>
          <w:szCs w:val="24"/>
        </w:rPr>
        <w:t>(Barlet et al., 2015)</w:t>
      </w:r>
      <w:r w:rsidR="006C4A91" w:rsidRPr="000E2377">
        <w:rPr>
          <w:szCs w:val="24"/>
        </w:rPr>
        <w:fldChar w:fldCharType="end"/>
      </w:r>
      <w:r w:rsidR="006C4A91" w:rsidRPr="000E2377">
        <w:rPr>
          <w:szCs w:val="24"/>
        </w:rPr>
        <w:fldChar w:fldCharType="begin" w:fldLock="1"/>
      </w:r>
      <w:r w:rsidR="008400FF">
        <w:rPr>
          <w:szCs w:val="24"/>
        </w:rPr>
        <w:instrText>ADDIN CSL_CITATION { "citationItems" : [ { "id" : "ITEM-1", "itemData" : { "DOI" : "10.1016/j.jnonerysol.2004.07.021", "ISSN" : "00223093", "abstract" : "The fracture toughness of several glasses, including soda-lime-silica and aluminosilicate glasses, was measured by both the indentation fracture (IF) and the single-edge notched beam (SENB) techniques. The flow densification mechanism occurring during indentation for silica-rich compositions leads to discrepancies between the two methods. The influence of the indentation load and the post-indentation fatigue duration on the indentation on the crack length and on the fracture toughness measurement were investigated. Fatigue curves (V-K) were obtained directly from indentation experiments and fatigue parameters were derived. The sub-critical crack growth resistance was found to be improved by increasing the silica content. In comparison with the studied oxide glasses, a Y-SiAlON oxynitride glass exhibits much greater fatigue resistance. The fatigue phenomenon has a major effect on the estimation of KC from indentation-cracking measurements. \u00a9 2004 Published by Elsevier B.V.", "author" : [ { "dropping-particle" : "", "family" : "Deriano", "given" : "S.", "non-dropping-particle" : "", "parse-names" : false, "suffix" : "" }, { "dropping-particle" : "", "family" : "Jarry", "given" : "A", "non-dropping-particle" : "", "parse-names" : false, "suffix" : "" }, { "dropping-particle" : "", "family" : "Rouxel", "given" : "T.", "non-dropping-particle" : "", "parse-names" : false, "suffix" : "" }, { "dropping-particle" : "", "family" : "Sangleboeuf", "given" : "J. C.", "non-dropping-particle" : "", "parse-names" : false, "suffix" : "" }, { "dropping-particle" : "", "family" : "Hampshire", "given" : "S.", "non-dropping-particle" : "", "parse-names" : false, "suffix" : "" } ], "container-title" : "Journal of Non-Crystalline Solids", "id" : "ITEM-1", "issue" : "1-2", "issued" : { "date-parts" : [ [ "2004" ] ] }, "page" : "44-50", "title" : "The indentation fracture toughness (kc) and its parameters: The case of silica-rich glasses", "type" : "article-journal", "volume" : "344" }, "uris" : [ "http://www.mendeley.com/documents/?uuid=6a965cb4-c3aa-4bce-8cbf-0183a0460e17" ] } ], "mendeley" : { "formattedCitation" : "(Deriano, Jarry, et al., 2004)", "manualFormatting" : "(Deriano, et al., 2004)", "plainTextFormattedCitation" : "(Deriano, Jarry, et al., 2004)", "previouslyFormattedCitation" : "(Deriano, Jarry, et al., 2004)" }, "properties" : { "noteIndex" : 44 }, "schema" : "https://github.com/citation-style-language/schema/raw/master/csl-citation.json" }</w:instrText>
      </w:r>
      <w:r w:rsidR="006C4A91" w:rsidRPr="000E2377">
        <w:rPr>
          <w:szCs w:val="24"/>
        </w:rPr>
        <w:fldChar w:fldCharType="separate"/>
      </w:r>
      <w:r w:rsidR="006C4A91" w:rsidRPr="000E2377">
        <w:rPr>
          <w:noProof/>
          <w:szCs w:val="24"/>
        </w:rPr>
        <w:t>(Deriano, et al., 2004)</w:t>
      </w:r>
      <w:r w:rsidR="006C4A91" w:rsidRPr="000E2377">
        <w:rPr>
          <w:szCs w:val="24"/>
        </w:rPr>
        <w:fldChar w:fldCharType="end"/>
      </w:r>
      <w:r w:rsidR="006C4A91" w:rsidRPr="000E2377">
        <w:rPr>
          <w:szCs w:val="24"/>
        </w:rPr>
        <w:fldChar w:fldCharType="begin" w:fldLock="1"/>
      </w:r>
      <w:r w:rsidR="006C4A91" w:rsidRPr="000E2377">
        <w:rPr>
          <w:szCs w:val="24"/>
        </w:rPr>
        <w:instrText>ADDIN CSL_CITATION { "citationItems" : [ { "id" : "ITEM-1", "itemData" : { "DOI" : "10.1016/j.jnoncrysol.2012.03.029", "ISSN" : "00223093", "abstract" : "Vickers indentation measurements were carried out on borate, silicate and aluminophosphate glasses, each series comprised of samples of different relative alkali ratios (Na/Na + Li). All the glass series exhibited nonlinear variations of hardness with relative alkali ratio, which was attributed to the reduced plastic flow of mixed alkali glasses. The mixed alkali effect was also present in the length of radial cracks although less strongly than in hardness. Using a semi-empirical model, the variations of residual stresses and fracture toughness were estimated. ?? 2012 Elsevier B.V. All rights reserved.", "author" : [ { "dropping-particle" : "", "family" : "Mohajerani", "given" : "a.", "non-dropping-particle" : "", "parse-names" : false, "suffix" : "" }, { "dropping-particle" : "", "family" : "Zwanziger", "given" : "J. W.", "non-dropping-particle" : "", "parse-names" : false, "suffix" : "" } ], "container-title" : "Journal of Non-Crystalline Solids", "id" : "ITEM-1", "issue" : "12-13", "issued" : { "date-parts" : [ [ "2012" ] ] }, "page" : "1474-1479", "publisher" : "Elsevier B.V.", "title" : "Mixed alkali effect on Vickers hardness and cracking", "type" : "article-journal", "volume" : "358" }, "uris" : [ "http://www.mendeley.com/documents/?uuid=6997a2cc-2cf4-4533-9ac5-7b2e0ddd5e97" ] } ], "mendeley" : { "formattedCitation" : "(Mohajerani &amp; Zwanziger, 2012)", "plainTextFormattedCitation" : "(Mohajerani &amp; Zwanziger, 2012)", "previouslyFormattedCitation" : "(Mohajerani &amp; Zwanziger, 2012)" }, "properties" : { "noteIndex" : 44 }, "schema" : "https://github.com/citation-style-language/schema/raw/master/csl-citation.json" }</w:instrText>
      </w:r>
      <w:r w:rsidR="006C4A91" w:rsidRPr="000E2377">
        <w:rPr>
          <w:szCs w:val="24"/>
        </w:rPr>
        <w:fldChar w:fldCharType="separate"/>
      </w:r>
      <w:r w:rsidR="006C4A91" w:rsidRPr="000E2377">
        <w:rPr>
          <w:noProof/>
          <w:szCs w:val="24"/>
        </w:rPr>
        <w:t>(Mohajerani &amp; Zwanziger, 2012)</w:t>
      </w:r>
      <w:bookmarkEnd w:id="168"/>
      <w:r w:rsidR="006C4A91" w:rsidRPr="000E2377">
        <w:rPr>
          <w:szCs w:val="24"/>
        </w:rPr>
        <w:fldChar w:fldCharType="end"/>
      </w:r>
      <w:bookmarkEnd w:id="169"/>
      <w:r w:rsidR="008B51EA" w:rsidRPr="000E2377">
        <w:rPr>
          <w:szCs w:val="24"/>
        </w:rPr>
        <w:t>.</w:t>
      </w:r>
      <w:bookmarkEnd w:id="170"/>
      <w:bookmarkEnd w:id="171"/>
      <w:bookmarkEnd w:id="172"/>
    </w:p>
    <w:p w14:paraId="066AFA95" w14:textId="77777777" w:rsidR="004707F6" w:rsidRPr="004707F6" w:rsidRDefault="004707F6" w:rsidP="004707F6">
      <w:pPr>
        <w:rPr>
          <w:lang w:val="en-GB"/>
        </w:rPr>
      </w:pPr>
    </w:p>
    <w:p w14:paraId="6A019E2E" w14:textId="10F60397" w:rsidR="006C4A91" w:rsidRPr="000E2377" w:rsidRDefault="006C4A91" w:rsidP="006C4A91">
      <w:pPr>
        <w:tabs>
          <w:tab w:val="left" w:pos="4975"/>
        </w:tabs>
        <w:spacing w:line="360" w:lineRule="auto"/>
        <w:jc w:val="both"/>
        <w:rPr>
          <w:rFonts w:cs="Times New Roman"/>
          <w:szCs w:val="24"/>
        </w:rPr>
      </w:pPr>
      <w:r w:rsidRPr="000E2377">
        <w:rPr>
          <w:rFonts w:cs="Times New Roman"/>
          <w:b w:val="0"/>
          <w:szCs w:val="24"/>
        </w:rPr>
        <w:lastRenderedPageBreak/>
        <w:t xml:space="preserve">Young’s modulus </w:t>
      </w:r>
      <w:r w:rsidR="00004502">
        <w:rPr>
          <w:rFonts w:cs="Times New Roman"/>
          <w:b w:val="0"/>
          <w:szCs w:val="24"/>
        </w:rPr>
        <w:t xml:space="preserve">also </w:t>
      </w:r>
      <w:r w:rsidR="002D0F0C">
        <w:rPr>
          <w:rFonts w:cs="Times New Roman"/>
          <w:b w:val="0"/>
          <w:szCs w:val="24"/>
        </w:rPr>
        <w:t>generally increases with</w:t>
      </w:r>
      <w:r w:rsidR="00361D71">
        <w:rPr>
          <w:rFonts w:cs="Times New Roman"/>
          <w:b w:val="0"/>
          <w:szCs w:val="24"/>
        </w:rPr>
        <w:t xml:space="preserve"> </w:t>
      </w:r>
      <w:r w:rsidR="00306D59">
        <w:rPr>
          <w:rFonts w:cs="Times New Roman"/>
          <w:b w:val="0"/>
          <w:szCs w:val="24"/>
        </w:rPr>
        <w:t xml:space="preserve">the </w:t>
      </w:r>
      <w:r w:rsidR="00361D71">
        <w:rPr>
          <w:rFonts w:cs="Times New Roman"/>
          <w:b w:val="0"/>
          <w:szCs w:val="24"/>
        </w:rPr>
        <w:t>glass transition temperature</w:t>
      </w:r>
      <w:r w:rsidR="002D0F0C" w:rsidRPr="000E2377">
        <w:rPr>
          <w:rFonts w:cs="Times New Roman"/>
          <w:b w:val="0"/>
          <w:szCs w:val="24"/>
        </w:rPr>
        <w:t xml:space="preserve"> </w:t>
      </w:r>
      <w:r w:rsidRPr="000E2377">
        <w:rPr>
          <w:b w:val="0"/>
        </w:rPr>
        <w:fldChar w:fldCharType="begin" w:fldLock="1"/>
      </w:r>
      <w:r w:rsidRPr="000E2377">
        <w:rPr>
          <w:b w:val="0"/>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"manualFormatting" : "(Rouxel, 2007)", "plainTextFormattedCitation" : "(Tanguy Rouxel, 2007)", "previouslyFormattedCitation" : "(Tanguy Rouxel, 2007)" }, "properties" : { "noteIndex" : 35 }, "schema" : "https://github.com/citation-style-language/schema/raw/master/csl-citation.json" }</w:instrText>
      </w:r>
      <w:r w:rsidRPr="000E2377">
        <w:rPr>
          <w:b w:val="0"/>
        </w:rPr>
        <w:fldChar w:fldCharType="separate"/>
      </w:r>
      <w:r w:rsidRPr="000E2377">
        <w:rPr>
          <w:b w:val="0"/>
          <w:noProof/>
        </w:rPr>
        <w:t>(Rouxel, 2007)</w:t>
      </w:r>
      <w:r w:rsidRPr="000E2377">
        <w:rPr>
          <w:b w:val="0"/>
        </w:rPr>
        <w:fldChar w:fldCharType="end"/>
      </w:r>
      <w:r w:rsidRPr="000E2377">
        <w:rPr>
          <w:b w:val="0"/>
        </w:rPr>
        <w:t xml:space="preserve">. </w:t>
      </w:r>
      <w:r w:rsidR="002D0F0C">
        <w:rPr>
          <w:b w:val="0"/>
        </w:rPr>
        <w:t>T</w:t>
      </w:r>
      <w:r w:rsidRPr="000E2377">
        <w:rPr>
          <w:b w:val="0"/>
        </w:rPr>
        <w:t>he atomic packing density (C</w:t>
      </w:r>
      <w:r w:rsidRPr="000E2377">
        <w:rPr>
          <w:b w:val="0"/>
          <w:vertAlign w:val="subscript"/>
        </w:rPr>
        <w:t>g</w:t>
      </w:r>
      <w:r w:rsidRPr="000E2377">
        <w:rPr>
          <w:b w:val="0"/>
        </w:rPr>
        <w:t>) and bond strength</w:t>
      </w:r>
      <w:r w:rsidR="002D0F0C">
        <w:rPr>
          <w:b w:val="0"/>
        </w:rPr>
        <w:t xml:space="preserve"> are interconnected</w:t>
      </w:r>
      <w:r w:rsidR="00284CC3">
        <w:rPr>
          <w:b w:val="0"/>
        </w:rPr>
        <w:t>. H</w:t>
      </w:r>
      <w:r w:rsidR="00284CC3" w:rsidRPr="000E2377">
        <w:rPr>
          <w:b w:val="0"/>
        </w:rPr>
        <w:t>owever</w:t>
      </w:r>
      <w:r w:rsidR="00284CC3">
        <w:rPr>
          <w:b w:val="0"/>
        </w:rPr>
        <w:t>,</w:t>
      </w:r>
      <w:r w:rsidR="00284CC3" w:rsidRPr="000E2377">
        <w:rPr>
          <w:b w:val="0"/>
        </w:rPr>
        <w:t xml:space="preserve"> </w:t>
      </w:r>
      <w:r w:rsidRPr="000E2377">
        <w:rPr>
          <w:b w:val="0"/>
        </w:rPr>
        <w:t xml:space="preserve">it is difficult to have both high </w:t>
      </w:r>
      <w:r w:rsidR="002D0F0C">
        <w:rPr>
          <w:b w:val="0"/>
        </w:rPr>
        <w:t xml:space="preserve">packing </w:t>
      </w:r>
      <w:r w:rsidRPr="000E2377">
        <w:rPr>
          <w:b w:val="0"/>
        </w:rPr>
        <w:t>density and strong bonding at the same time</w:t>
      </w:r>
      <w:r w:rsidR="002D0F0C">
        <w:rPr>
          <w:b w:val="0"/>
        </w:rPr>
        <w:t>.</w:t>
      </w:r>
      <w:r w:rsidR="00AD5D4B">
        <w:rPr>
          <w:b w:val="0"/>
        </w:rPr>
        <w:t xml:space="preserve"> </w:t>
      </w:r>
      <w:r w:rsidR="00AD5D4B" w:rsidRPr="00AD5D4B">
        <w:rPr>
          <w:b w:val="0"/>
        </w:rPr>
        <w:t xml:space="preserve">As a consequence of this </w:t>
      </w:r>
      <w:r w:rsidR="00471299">
        <w:rPr>
          <w:b w:val="0"/>
        </w:rPr>
        <w:t xml:space="preserve">difficulty </w:t>
      </w:r>
      <w:r w:rsidR="000961E1">
        <w:rPr>
          <w:b w:val="0"/>
        </w:rPr>
        <w:t xml:space="preserve">in interconnection, the </w:t>
      </w:r>
      <w:proofErr w:type="spellStart"/>
      <w:r w:rsidR="000961E1">
        <w:rPr>
          <w:b w:val="0"/>
        </w:rPr>
        <w:t>T</w:t>
      </w:r>
      <w:r w:rsidR="000961E1" w:rsidRPr="000961E1">
        <w:rPr>
          <w:b w:val="0"/>
          <w:vertAlign w:val="subscript"/>
        </w:rPr>
        <w:t>g</w:t>
      </w:r>
      <w:proofErr w:type="spellEnd"/>
      <w:r w:rsidR="000961E1">
        <w:rPr>
          <w:b w:val="0"/>
        </w:rPr>
        <w:t xml:space="preserve"> is </w:t>
      </w:r>
      <w:r w:rsidR="00471299">
        <w:rPr>
          <w:b w:val="0"/>
        </w:rPr>
        <w:t xml:space="preserve">decreased </w:t>
      </w:r>
      <w:r w:rsidR="000961E1">
        <w:rPr>
          <w:b w:val="0"/>
        </w:rPr>
        <w:t xml:space="preserve">as the fraction of weakens bond </w:t>
      </w:r>
      <w:r w:rsidR="00AD52D8">
        <w:rPr>
          <w:b w:val="0"/>
        </w:rPr>
        <w:t>increases</w:t>
      </w:r>
      <w:r w:rsidR="000961E1">
        <w:rPr>
          <w:b w:val="0"/>
        </w:rPr>
        <w:t>.</w:t>
      </w:r>
      <w:r w:rsidR="00C57250">
        <w:rPr>
          <w:b w:val="0"/>
        </w:rPr>
        <w:t xml:space="preserve">  </w:t>
      </w:r>
      <w:r w:rsidR="002D0F0C">
        <w:rPr>
          <w:b w:val="0"/>
        </w:rPr>
        <w:t>For</w:t>
      </w:r>
      <w:r w:rsidRPr="000E2377">
        <w:rPr>
          <w:b w:val="0"/>
        </w:rPr>
        <w:t xml:space="preserve"> example</w:t>
      </w:r>
      <w:r w:rsidR="00284CC3">
        <w:rPr>
          <w:b w:val="0"/>
        </w:rPr>
        <w:t>,</w:t>
      </w:r>
      <w:r w:rsidRPr="000E2377">
        <w:rPr>
          <w:b w:val="0"/>
        </w:rPr>
        <w:t xml:space="preserve"> a-SiO</w:t>
      </w:r>
      <w:r w:rsidRPr="000E2377">
        <w:rPr>
          <w:b w:val="0"/>
          <w:vertAlign w:val="subscript"/>
        </w:rPr>
        <w:t>2</w:t>
      </w:r>
      <w:r w:rsidRPr="000E2377">
        <w:rPr>
          <w:b w:val="0"/>
        </w:rPr>
        <w:t xml:space="preserve"> </w:t>
      </w:r>
      <w:r w:rsidR="002D0F0C" w:rsidRPr="000E2377">
        <w:rPr>
          <w:b w:val="0"/>
        </w:rPr>
        <w:t>ha</w:t>
      </w:r>
      <w:r w:rsidR="002D0F0C">
        <w:rPr>
          <w:b w:val="0"/>
        </w:rPr>
        <w:t>s a</w:t>
      </w:r>
      <w:r w:rsidR="002D0F0C" w:rsidRPr="000E2377">
        <w:rPr>
          <w:b w:val="0"/>
        </w:rPr>
        <w:t xml:space="preserve"> </w:t>
      </w:r>
      <w:r w:rsidRPr="000E2377">
        <w:rPr>
          <w:b w:val="0"/>
        </w:rPr>
        <w:t>low packing density</w:t>
      </w:r>
      <w:r w:rsidR="002D0F0C">
        <w:rPr>
          <w:b w:val="0"/>
        </w:rPr>
        <w:t xml:space="preserve"> of </w:t>
      </w:r>
      <w:r w:rsidR="002D0F0C" w:rsidRPr="000E2377">
        <w:rPr>
          <w:b w:val="0"/>
        </w:rPr>
        <w:t>C</w:t>
      </w:r>
      <w:r w:rsidR="002D0F0C" w:rsidRPr="00836EDA">
        <w:rPr>
          <w:b w:val="0"/>
          <w:vertAlign w:val="subscript"/>
        </w:rPr>
        <w:t xml:space="preserve">g </w:t>
      </w:r>
      <w:r w:rsidR="002D0F0C" w:rsidRPr="000E2377">
        <w:rPr>
          <w:b w:val="0"/>
        </w:rPr>
        <w:t>~0.45</w:t>
      </w:r>
      <w:r w:rsidRPr="000E2377">
        <w:rPr>
          <w:b w:val="0"/>
        </w:rPr>
        <w:t xml:space="preserve">, </w:t>
      </w:r>
      <w:r w:rsidR="002D0F0C">
        <w:rPr>
          <w:b w:val="0"/>
        </w:rPr>
        <w:t>with</w:t>
      </w:r>
      <w:r w:rsidRPr="000E2377">
        <w:rPr>
          <w:b w:val="0"/>
        </w:rPr>
        <w:t xml:space="preserve"> strong </w:t>
      </w:r>
      <w:r w:rsidR="002D0F0C" w:rsidRPr="000E2377">
        <w:rPr>
          <w:b w:val="0"/>
        </w:rPr>
        <w:t>atom</w:t>
      </w:r>
      <w:r w:rsidR="002D0F0C">
        <w:rPr>
          <w:b w:val="0"/>
        </w:rPr>
        <w:t>ic</w:t>
      </w:r>
      <w:r w:rsidR="002D0F0C" w:rsidRPr="000E2377">
        <w:rPr>
          <w:b w:val="0"/>
        </w:rPr>
        <w:t xml:space="preserve"> </w:t>
      </w:r>
      <w:r w:rsidRPr="000E2377">
        <w:rPr>
          <w:b w:val="0"/>
        </w:rPr>
        <w:t>bonding (U</w:t>
      </w:r>
      <w:r w:rsidRPr="000E2377">
        <w:rPr>
          <w:b w:val="0"/>
          <w:vertAlign w:val="subscript"/>
        </w:rPr>
        <w:t>oSi-O</w:t>
      </w:r>
      <w:r w:rsidRPr="000E2377">
        <w:rPr>
          <w:b w:val="0"/>
        </w:rPr>
        <w:t xml:space="preserve">~800 kJ/mol). </w:t>
      </w:r>
      <w:r w:rsidR="002D0F0C">
        <w:rPr>
          <w:rFonts w:cs="Times New Roman"/>
          <w:b w:val="0"/>
          <w:szCs w:val="24"/>
        </w:rPr>
        <w:t xml:space="preserve">Thus when </w:t>
      </w:r>
      <w:r w:rsidR="002D0F0C" w:rsidRPr="000E2377">
        <w:rPr>
          <w:rFonts w:cs="Times New Roman"/>
          <w:b w:val="0"/>
          <w:szCs w:val="24"/>
        </w:rPr>
        <w:t xml:space="preserve">Ca </w:t>
      </w:r>
      <w:r w:rsidR="002D0F0C">
        <w:rPr>
          <w:rFonts w:cs="Times New Roman"/>
          <w:b w:val="0"/>
          <w:szCs w:val="24"/>
        </w:rPr>
        <w:t xml:space="preserve">was substituted </w:t>
      </w:r>
      <w:r w:rsidR="002D0F0C" w:rsidRPr="000E2377">
        <w:rPr>
          <w:rFonts w:cs="Times New Roman"/>
          <w:b w:val="0"/>
          <w:szCs w:val="24"/>
        </w:rPr>
        <w:t>by Mg</w:t>
      </w:r>
      <w:r w:rsidR="002D0F0C">
        <w:rPr>
          <w:rFonts w:cs="Times New Roman"/>
          <w:b w:val="0"/>
          <w:szCs w:val="24"/>
        </w:rPr>
        <w:t xml:space="preserve"> in a</w:t>
      </w:r>
      <w:r w:rsidR="002D0F0C" w:rsidRPr="000E2377">
        <w:rPr>
          <w:rFonts w:cs="Times New Roman"/>
          <w:b w:val="0"/>
          <w:szCs w:val="24"/>
        </w:rPr>
        <w:t xml:space="preserve"> </w:t>
      </w:r>
      <w:r w:rsidRPr="000E2377">
        <w:rPr>
          <w:rFonts w:cs="Times New Roman"/>
          <w:b w:val="0"/>
          <w:szCs w:val="24"/>
        </w:rPr>
        <w:t>soda-lime-silica glass with 15 mol % Na</w:t>
      </w:r>
      <w:r w:rsidRPr="000E2377">
        <w:rPr>
          <w:rFonts w:cs="Times New Roman"/>
          <w:b w:val="0"/>
          <w:szCs w:val="24"/>
          <w:vertAlign w:val="subscript"/>
        </w:rPr>
        <w:t>2</w:t>
      </w:r>
      <w:r w:rsidRPr="000E2377">
        <w:rPr>
          <w:rFonts w:cs="Times New Roman"/>
          <w:b w:val="0"/>
          <w:szCs w:val="24"/>
        </w:rPr>
        <w:t>O and 78 mol % SiO</w:t>
      </w:r>
      <w:r w:rsidRPr="000E2377">
        <w:rPr>
          <w:rFonts w:cs="Times New Roman"/>
          <w:b w:val="0"/>
          <w:szCs w:val="24"/>
          <w:vertAlign w:val="subscript"/>
        </w:rPr>
        <w:t>2</w:t>
      </w:r>
      <w:r w:rsidR="00E71160">
        <w:rPr>
          <w:rFonts w:cs="Times New Roman"/>
          <w:b w:val="0"/>
          <w:szCs w:val="24"/>
        </w:rPr>
        <w:t>,</w:t>
      </w:r>
      <w:r w:rsidR="002D0F0C">
        <w:rPr>
          <w:rFonts w:cs="Times New Roman"/>
          <w:b w:val="0"/>
          <w:szCs w:val="24"/>
        </w:rPr>
        <w:t xml:space="preserve"> although </w:t>
      </w:r>
      <w:proofErr w:type="spellStart"/>
      <w:r w:rsidRPr="000E2377">
        <w:rPr>
          <w:rFonts w:cs="Times New Roman"/>
          <w:b w:val="0"/>
          <w:szCs w:val="24"/>
        </w:rPr>
        <w:t>U</w:t>
      </w:r>
      <w:r w:rsidRPr="000E2377">
        <w:rPr>
          <w:rFonts w:cs="Times New Roman"/>
          <w:b w:val="0"/>
          <w:szCs w:val="24"/>
          <w:vertAlign w:val="subscript"/>
        </w:rPr>
        <w:t>oMg</w:t>
      </w:r>
      <w:proofErr w:type="spellEnd"/>
      <w:r w:rsidRPr="000E2377">
        <w:rPr>
          <w:rFonts w:cs="Times New Roman"/>
          <w:b w:val="0"/>
          <w:szCs w:val="24"/>
          <w:vertAlign w:val="subscript"/>
        </w:rPr>
        <w:t>–O</w:t>
      </w:r>
      <w:r w:rsidRPr="000E2377">
        <w:rPr>
          <w:rFonts w:cs="Times New Roman"/>
          <w:b w:val="0"/>
          <w:szCs w:val="24"/>
        </w:rPr>
        <w:t>&gt;</w:t>
      </w:r>
      <w:proofErr w:type="spellStart"/>
      <w:r w:rsidRPr="000E2377">
        <w:rPr>
          <w:rFonts w:cs="Times New Roman"/>
          <w:b w:val="0"/>
          <w:szCs w:val="24"/>
        </w:rPr>
        <w:t>U</w:t>
      </w:r>
      <w:r w:rsidRPr="000E2377">
        <w:rPr>
          <w:rFonts w:cs="Times New Roman"/>
          <w:b w:val="0"/>
          <w:szCs w:val="24"/>
          <w:vertAlign w:val="subscript"/>
        </w:rPr>
        <w:t>oCa</w:t>
      </w:r>
      <w:proofErr w:type="spellEnd"/>
      <w:r w:rsidRPr="000E2377">
        <w:rPr>
          <w:rFonts w:cs="Times New Roman"/>
          <w:b w:val="0"/>
          <w:szCs w:val="24"/>
          <w:vertAlign w:val="subscript"/>
        </w:rPr>
        <w:t>–O</w:t>
      </w:r>
      <w:r w:rsidR="00E71160">
        <w:rPr>
          <w:rFonts w:cs="Times New Roman"/>
          <w:b w:val="0"/>
          <w:szCs w:val="24"/>
        </w:rPr>
        <w:t>,</w:t>
      </w:r>
      <w:r w:rsidRPr="000E2377">
        <w:rPr>
          <w:rFonts w:cs="Times New Roman"/>
          <w:b w:val="0"/>
          <w:szCs w:val="24"/>
        </w:rPr>
        <w:t xml:space="preserve"> </w:t>
      </w:r>
      <w:r w:rsidR="002D0F0C">
        <w:rPr>
          <w:rFonts w:cs="Times New Roman"/>
          <w:b w:val="0"/>
          <w:szCs w:val="24"/>
        </w:rPr>
        <w:t>both</w:t>
      </w:r>
      <w:r w:rsidRPr="000E2377">
        <w:rPr>
          <w:rFonts w:cs="Times New Roman"/>
          <w:b w:val="0"/>
          <w:szCs w:val="24"/>
        </w:rPr>
        <w:t xml:space="preserve"> E and </w:t>
      </w:r>
      <w:proofErr w:type="spellStart"/>
      <w:r w:rsidRPr="000E2377">
        <w:rPr>
          <w:rFonts w:cs="Times New Roman"/>
          <w:b w:val="0"/>
          <w:szCs w:val="24"/>
        </w:rPr>
        <w:t>T</w:t>
      </w:r>
      <w:r w:rsidRPr="003126FF">
        <w:rPr>
          <w:rFonts w:cs="Times New Roman"/>
          <w:b w:val="0"/>
          <w:i/>
          <w:szCs w:val="24"/>
          <w:vertAlign w:val="subscript"/>
        </w:rPr>
        <w:t>g</w:t>
      </w:r>
      <w:proofErr w:type="spellEnd"/>
      <w:r w:rsidRPr="000E2377">
        <w:rPr>
          <w:rFonts w:cs="Times New Roman"/>
          <w:b w:val="0"/>
          <w:szCs w:val="24"/>
          <w:vertAlign w:val="subscript"/>
        </w:rPr>
        <w:t xml:space="preserve"> </w:t>
      </w:r>
      <w:r w:rsidRPr="000E2377">
        <w:rPr>
          <w:rFonts w:cs="Times New Roman"/>
          <w:b w:val="0"/>
          <w:szCs w:val="24"/>
        </w:rPr>
        <w:t>were decreased from 6</w:t>
      </w:r>
      <w:r w:rsidR="006B3C25">
        <w:rPr>
          <w:rFonts w:cs="Times New Roman"/>
          <w:b w:val="0"/>
          <w:szCs w:val="24"/>
        </w:rPr>
        <w:t>8.9</w:t>
      </w:r>
      <w:r w:rsidRPr="000E2377">
        <w:rPr>
          <w:rFonts w:cs="Times New Roman"/>
          <w:b w:val="0"/>
          <w:szCs w:val="24"/>
        </w:rPr>
        <w:t xml:space="preserve"> to 66</w:t>
      </w:r>
      <w:r w:rsidR="006B3C25">
        <w:rPr>
          <w:rFonts w:cs="Times New Roman"/>
          <w:b w:val="0"/>
          <w:szCs w:val="24"/>
        </w:rPr>
        <w:t>.6</w:t>
      </w:r>
      <w:r w:rsidRPr="000E2377">
        <w:rPr>
          <w:rFonts w:cs="Times New Roman"/>
          <w:b w:val="0"/>
          <w:szCs w:val="24"/>
        </w:rPr>
        <w:t xml:space="preserve"> </w:t>
      </w:r>
      <w:proofErr w:type="spellStart"/>
      <w:r w:rsidRPr="000E2377">
        <w:rPr>
          <w:rFonts w:cs="Times New Roman"/>
          <w:b w:val="0"/>
          <w:szCs w:val="24"/>
        </w:rPr>
        <w:t>GPa</w:t>
      </w:r>
      <w:proofErr w:type="spellEnd"/>
      <w:r w:rsidRPr="000E2377">
        <w:rPr>
          <w:rFonts w:cs="Times New Roman"/>
          <w:b w:val="0"/>
          <w:szCs w:val="24"/>
        </w:rPr>
        <w:t xml:space="preserve"> and</w:t>
      </w:r>
      <w:r w:rsidR="006B3C25">
        <w:rPr>
          <w:rFonts w:cs="Times New Roman"/>
          <w:b w:val="0"/>
          <w:szCs w:val="24"/>
        </w:rPr>
        <w:t xml:space="preserve"> </w:t>
      </w:r>
      <w:r w:rsidR="00D44D4B">
        <w:rPr>
          <w:rFonts w:cs="Times New Roman"/>
          <w:b w:val="0"/>
          <w:szCs w:val="24"/>
        </w:rPr>
        <w:t xml:space="preserve">from </w:t>
      </w:r>
      <w:r w:rsidR="006B3C25">
        <w:rPr>
          <w:rFonts w:cs="Times New Roman"/>
          <w:b w:val="0"/>
          <w:szCs w:val="24"/>
        </w:rPr>
        <w:t>512</w:t>
      </w:r>
      <w:r w:rsidR="00D44D4B" w:rsidRPr="00D44D4B">
        <w:rPr>
          <w:rFonts w:cs="Times New Roman"/>
          <w:b w:val="0"/>
          <w:szCs w:val="24"/>
        </w:rPr>
        <w:t xml:space="preserve"> </w:t>
      </w:r>
      <w:r w:rsidR="00D44D4B">
        <w:rPr>
          <w:rFonts w:cs="Times New Roman"/>
          <w:b w:val="0"/>
          <w:szCs w:val="24"/>
        </w:rPr>
        <w:t xml:space="preserve">ºC to </w:t>
      </w:r>
      <w:r w:rsidR="006B3C25">
        <w:rPr>
          <w:rFonts w:cs="Times New Roman"/>
          <w:b w:val="0"/>
          <w:szCs w:val="24"/>
        </w:rPr>
        <w:t>490 ºC</w:t>
      </w:r>
      <w:r w:rsidR="00D44D4B">
        <w:rPr>
          <w:rFonts w:cs="Times New Roman"/>
          <w:b w:val="0"/>
          <w:szCs w:val="24"/>
        </w:rPr>
        <w:t>,</w:t>
      </w:r>
      <w:r w:rsidRPr="000E2377">
        <w:rPr>
          <w:rFonts w:cs="Times New Roman"/>
          <w:b w:val="0"/>
          <w:szCs w:val="24"/>
        </w:rPr>
        <w:t xml:space="preserve"> respectively </w:t>
      </w:r>
      <w:r w:rsidRPr="000E2377">
        <w:rPr>
          <w:rFonts w:cs="Times New Roman"/>
          <w:b w:val="0"/>
          <w:szCs w:val="24"/>
        </w:rPr>
        <w:fldChar w:fldCharType="begin" w:fldLock="1"/>
      </w:r>
      <w:r w:rsidR="00AC61F6">
        <w:rPr>
          <w:rFonts w:cs="Times New Roman"/>
          <w:b w:val="0"/>
          <w:szCs w:val="24"/>
        </w:rPr>
        <w:instrText>ADDIN CSL_CITATION { "citationItems" : [ { "id" : "ITEM-1", "itemData" : { "author" : [ { "dropping-particle" : "", "family" : "Deriano", "given" : "S", "non-dropping-particle" : "", "parse-names" : false, "suffix" : "" }, { "dropping-particle" : "", "family" : "Rouxel", "given" : "T", "non-dropping-particle" : "", "parse-names" : false, "suffix" : "" }, { "dropping-particle" : "De", "family" : "Rennes", "given" : "Universit\u00e9", "non-dropping-particle" : "", "parse-names" : false, "suffix" : "" }, { "dropping-particle" : "De", "family" : "Beaulieu", "given" : "Campus", "non-dropping-particle" : "", "parse-names" : false, "suffix" : "" }, { "dropping-particle" : "", "family" : "Lefloch", "given" : "M", "non-dropping-particle" : "", "parse-names" : false, "suffix" : "" }, { "dropping-particle" : "", "family" : "Beaulieu", "given" : "De", "non-dropping-particle" : "", "parse-names" : false, "suffix" : "" }, { "dropping-particle" : "", "family" : "Brillouin", "given" : "Laboratoire L\u00e9on", "non-dropping-particle" : "", "parse-names" : false, "suffix" : "" }, { "dropping-particle" : "", "family" : "Saclay", "given" : "Cnrs-cea", "non-dropping-particle" : "", "parse-names" : false, "suffix" : "" } ], "id" : "ITEM-1", "issue" : "1", "issued" : { "date-parts" : [ [ "2004" ] ] }, "page" : "37-44", "title" : "Structure and mechanical properties of alkali \u2013 alkaline earth \u2013 silicate glasses", "type" : "article-journal", "volume" : "45" }, "uris" : [ "http://www.mendeley.com/documents/?uuid=2bbf787d-390c-4721-a0eb-97f6376fa41a" ] } ], "mendeley" : { "formattedCitation" : "(Deriano, Rouxel, et al., 2004)", "manualFormatting" : "(Deriano et al., 2004)", "plainTextFormattedCitation" : "(Deriano, Rouxel, et al., 2004)", "previouslyFormattedCitation" : "(Deriano, Rouxel, et al., 2004)" }, "properties" : { "noteIndex" : 35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(Deriano et al., 2004)</w:t>
      </w:r>
      <w:r w:rsidRPr="000E2377">
        <w:rPr>
          <w:rFonts w:cs="Times New Roman"/>
          <w:b w:val="0"/>
          <w:szCs w:val="24"/>
        </w:rPr>
        <w:fldChar w:fldCharType="end"/>
      </w:r>
      <w:r w:rsidRPr="000E2377">
        <w:rPr>
          <w:rFonts w:cs="Times New Roman"/>
          <w:b w:val="0"/>
          <w:szCs w:val="24"/>
        </w:rPr>
        <w:t>.</w:t>
      </w:r>
    </w:p>
    <w:p w14:paraId="5AF7CC4E" w14:textId="2D270B3E" w:rsidR="006C4A91" w:rsidRPr="000E2377" w:rsidRDefault="006C4A91" w:rsidP="00601DF4">
      <w:pPr>
        <w:pStyle w:val="Heading4"/>
      </w:pPr>
      <w:bookmarkStart w:id="173" w:name="_Toc523402882"/>
      <w:bookmarkStart w:id="174" w:name="_Toc525526393"/>
      <w:bookmarkStart w:id="175" w:name="_Toc525707810"/>
      <w:bookmarkStart w:id="176" w:name="_Toc525742474"/>
      <w:r w:rsidRPr="000E2377">
        <w:t>2.</w:t>
      </w:r>
      <w:r w:rsidR="003B115C">
        <w:t>1</w:t>
      </w:r>
      <w:r w:rsidR="007754F1">
        <w:t>1</w:t>
      </w:r>
      <w:r w:rsidRPr="000E2377">
        <w:t>.3 Fracture toughness</w:t>
      </w:r>
      <w:bookmarkEnd w:id="173"/>
      <w:bookmarkEnd w:id="174"/>
      <w:bookmarkEnd w:id="175"/>
      <w:bookmarkEnd w:id="176"/>
    </w:p>
    <w:p w14:paraId="4CE7049B" w14:textId="3D8E753C" w:rsidR="00204D45" w:rsidRPr="000E2377" w:rsidRDefault="00204D45" w:rsidP="00204D45">
      <w:pPr>
        <w:spacing w:after="0" w:line="360" w:lineRule="auto"/>
        <w:contextualSpacing/>
        <w:jc w:val="both"/>
        <w:rPr>
          <w:rFonts w:cs="Times New Roman"/>
          <w:b w:val="0"/>
          <w:szCs w:val="24"/>
          <w:lang w:val="en-GB"/>
        </w:rPr>
      </w:pPr>
      <w:r w:rsidRPr="000E2377">
        <w:rPr>
          <w:rFonts w:cs="Times New Roman"/>
          <w:b w:val="0"/>
          <w:szCs w:val="24"/>
        </w:rPr>
        <w:t>Fracture toughness is</w:t>
      </w:r>
      <w:r w:rsidR="00E45095" w:rsidRPr="000E2377">
        <w:rPr>
          <w:rFonts w:cs="Times New Roman"/>
          <w:b w:val="0"/>
          <w:szCs w:val="24"/>
        </w:rPr>
        <w:t xml:space="preserve"> </w:t>
      </w:r>
      <w:r w:rsidR="00B56F74" w:rsidRPr="000E2377">
        <w:rPr>
          <w:rFonts w:cs="Times New Roman"/>
          <w:b w:val="0"/>
          <w:szCs w:val="24"/>
        </w:rPr>
        <w:t xml:space="preserve">a </w:t>
      </w:r>
      <w:r w:rsidR="00E45095" w:rsidRPr="000E2377">
        <w:rPr>
          <w:rFonts w:cs="Times New Roman"/>
          <w:b w:val="0"/>
          <w:szCs w:val="24"/>
        </w:rPr>
        <w:t xml:space="preserve">macroscopic </w:t>
      </w:r>
      <w:r w:rsidR="00E71160" w:rsidRPr="000E2377">
        <w:rPr>
          <w:rFonts w:cs="Times New Roman"/>
          <w:b w:val="0"/>
          <w:szCs w:val="24"/>
        </w:rPr>
        <w:t>propert</w:t>
      </w:r>
      <w:r w:rsidR="00E71160">
        <w:rPr>
          <w:rFonts w:cs="Times New Roman"/>
          <w:b w:val="0"/>
          <w:szCs w:val="24"/>
        </w:rPr>
        <w:t>y</w:t>
      </w:r>
      <w:r w:rsidR="00E71160" w:rsidRPr="000E2377">
        <w:rPr>
          <w:rFonts w:cs="Times New Roman"/>
          <w:b w:val="0"/>
          <w:szCs w:val="24"/>
        </w:rPr>
        <w:t xml:space="preserve"> </w:t>
      </w:r>
      <w:r w:rsidR="002D0F0C">
        <w:rPr>
          <w:rFonts w:cs="Times New Roman"/>
          <w:b w:val="0"/>
          <w:szCs w:val="24"/>
        </w:rPr>
        <w:t xml:space="preserve">that </w:t>
      </w:r>
      <w:r w:rsidR="00C76D17" w:rsidRPr="000E2377">
        <w:rPr>
          <w:rFonts w:cs="Times New Roman"/>
          <w:b w:val="0"/>
          <w:szCs w:val="24"/>
        </w:rPr>
        <w:t>describe</w:t>
      </w:r>
      <w:r w:rsidR="00E71160">
        <w:rPr>
          <w:rFonts w:cs="Times New Roman"/>
          <w:b w:val="0"/>
          <w:szCs w:val="24"/>
        </w:rPr>
        <w:t>s</w:t>
      </w:r>
      <w:r w:rsidR="00C76D17" w:rsidRPr="000E2377">
        <w:rPr>
          <w:rFonts w:cs="Times New Roman"/>
          <w:b w:val="0"/>
          <w:szCs w:val="24"/>
        </w:rPr>
        <w:t xml:space="preserve"> the ease of </w:t>
      </w:r>
      <w:r w:rsidR="002D0F0C">
        <w:rPr>
          <w:rFonts w:cs="Times New Roman"/>
          <w:b w:val="0"/>
          <w:szCs w:val="24"/>
        </w:rPr>
        <w:t>crack</w:t>
      </w:r>
      <w:r w:rsidR="00C76D17" w:rsidRPr="000E2377">
        <w:rPr>
          <w:rFonts w:cs="Times New Roman"/>
          <w:b w:val="0"/>
          <w:szCs w:val="24"/>
        </w:rPr>
        <w:t xml:space="preserve"> </w:t>
      </w:r>
      <w:r w:rsidR="002D0F0C" w:rsidRPr="000E2377">
        <w:rPr>
          <w:rFonts w:cs="Times New Roman"/>
          <w:b w:val="0"/>
          <w:szCs w:val="24"/>
        </w:rPr>
        <w:t>propagat</w:t>
      </w:r>
      <w:r w:rsidR="002D0F0C">
        <w:rPr>
          <w:rFonts w:cs="Times New Roman"/>
          <w:b w:val="0"/>
          <w:szCs w:val="24"/>
        </w:rPr>
        <w:t>ion in a</w:t>
      </w:r>
      <w:r w:rsidR="002D0F0C" w:rsidRPr="000E2377">
        <w:rPr>
          <w:rFonts w:cs="Times New Roman"/>
          <w:b w:val="0"/>
          <w:szCs w:val="24"/>
        </w:rPr>
        <w:t xml:space="preserve"> </w:t>
      </w:r>
      <w:r w:rsidR="00C76D17" w:rsidRPr="000E2377">
        <w:rPr>
          <w:rFonts w:cs="Times New Roman"/>
          <w:b w:val="0"/>
          <w:szCs w:val="24"/>
        </w:rPr>
        <w:t xml:space="preserve">material. </w:t>
      </w:r>
      <w:r w:rsidR="00E71160">
        <w:rPr>
          <w:rFonts w:cs="Times New Roman"/>
          <w:b w:val="0"/>
          <w:szCs w:val="24"/>
        </w:rPr>
        <w:t xml:space="preserve">Fracture mechanics shows that </w:t>
      </w:r>
      <w:r w:rsidR="002D0F0C">
        <w:rPr>
          <w:rFonts w:cs="Times New Roman"/>
          <w:b w:val="0"/>
          <w:szCs w:val="24"/>
        </w:rPr>
        <w:t>f</w:t>
      </w:r>
      <w:r w:rsidRPr="000E2377">
        <w:rPr>
          <w:rFonts w:cs="Times New Roman"/>
          <w:b w:val="0"/>
          <w:szCs w:val="24"/>
        </w:rPr>
        <w:t>racture toughness</w:t>
      </w:r>
      <w:r w:rsidR="00235837">
        <w:rPr>
          <w:rFonts w:cs="Times New Roman"/>
          <w:b w:val="0"/>
          <w:szCs w:val="24"/>
        </w:rPr>
        <w:t xml:space="preserve"> (K</w:t>
      </w:r>
      <w:r w:rsidR="00235837" w:rsidRPr="00235837">
        <w:rPr>
          <w:rFonts w:cs="Times New Roman"/>
          <w:b w:val="0"/>
          <w:i/>
          <w:sz w:val="18"/>
          <w:szCs w:val="18"/>
          <w:vertAlign w:val="subscript"/>
        </w:rPr>
        <w:t>IC</w:t>
      </w:r>
      <w:r w:rsidR="00235837">
        <w:rPr>
          <w:rFonts w:cs="Times New Roman"/>
          <w:b w:val="0"/>
          <w:szCs w:val="24"/>
        </w:rPr>
        <w:t>)</w:t>
      </w:r>
      <w:r w:rsidR="002D0F0C">
        <w:rPr>
          <w:rFonts w:cs="Times New Roman"/>
          <w:b w:val="0"/>
          <w:szCs w:val="24"/>
        </w:rPr>
        <w:t xml:space="preserve"> is related to modulus </w:t>
      </w:r>
      <w:r w:rsidR="00E71160">
        <w:rPr>
          <w:rFonts w:cs="Times New Roman"/>
          <w:b w:val="0"/>
          <w:szCs w:val="24"/>
        </w:rPr>
        <w:t xml:space="preserve">hence for glasses </w:t>
      </w:r>
      <w:r w:rsidR="002D0F0C">
        <w:rPr>
          <w:rFonts w:cs="Times New Roman"/>
          <w:b w:val="0"/>
          <w:szCs w:val="24"/>
        </w:rPr>
        <w:t>it must</w:t>
      </w:r>
      <w:r w:rsidRPr="000E2377">
        <w:rPr>
          <w:rFonts w:cs="Times New Roman"/>
          <w:b w:val="0"/>
          <w:szCs w:val="24"/>
        </w:rPr>
        <w:t xml:space="preserve"> also </w:t>
      </w:r>
      <w:r w:rsidR="002D0F0C">
        <w:rPr>
          <w:rFonts w:cs="Times New Roman"/>
          <w:b w:val="0"/>
          <w:szCs w:val="24"/>
        </w:rPr>
        <w:t xml:space="preserve">be </w:t>
      </w:r>
      <w:r w:rsidRPr="000E2377">
        <w:rPr>
          <w:rFonts w:cs="Times New Roman"/>
          <w:b w:val="0"/>
          <w:szCs w:val="24"/>
        </w:rPr>
        <w:t>related to packing density</w:t>
      </w:r>
      <w:r w:rsidR="00B14469">
        <w:rPr>
          <w:rFonts w:cs="Times New Roman"/>
          <w:b w:val="0"/>
          <w:szCs w:val="24"/>
        </w:rPr>
        <w:t xml:space="preserve"> </w:t>
      </w:r>
      <w:r w:rsidR="00B14469" w:rsidRPr="00A85FC3">
        <w:rPr>
          <w:rFonts w:cs="Times New Roman"/>
          <w:b w:val="0"/>
          <w:szCs w:val="24"/>
        </w:rPr>
        <w:t>(Griffith, 1921)</w:t>
      </w:r>
      <w:r w:rsidR="00A85FC3">
        <w:rPr>
          <w:rFonts w:cs="Times New Roman"/>
          <w:b w:val="0"/>
          <w:szCs w:val="24"/>
        </w:rPr>
        <w:t>(</w:t>
      </w:r>
      <w:r w:rsidR="00A85FC3" w:rsidRPr="00A85FC3">
        <w:rPr>
          <w:rFonts w:cs="Times New Roman"/>
          <w:b w:val="0"/>
          <w:szCs w:val="24"/>
        </w:rPr>
        <w:t>Irwin</w:t>
      </w:r>
      <w:r w:rsidR="00A85FC3">
        <w:rPr>
          <w:rFonts w:cs="Times New Roman"/>
          <w:b w:val="0"/>
          <w:szCs w:val="24"/>
        </w:rPr>
        <w:t xml:space="preserve">, </w:t>
      </w:r>
      <w:r w:rsidR="00A85FC3" w:rsidRPr="00A85FC3">
        <w:rPr>
          <w:rFonts w:cs="Times New Roman"/>
          <w:b w:val="0"/>
          <w:szCs w:val="24"/>
        </w:rPr>
        <w:t>1957)</w:t>
      </w:r>
      <w:r w:rsidR="00A85FC3">
        <w:rPr>
          <w:rFonts w:cs="Times New Roman"/>
          <w:szCs w:val="24"/>
        </w:rPr>
        <w:fldChar w:fldCharType="begin" w:fldLock="1"/>
      </w:r>
      <w:r w:rsidR="00A85FC3">
        <w:rPr>
          <w:rFonts w:cs="Times New Roman"/>
          <w:szCs w:val="24"/>
        </w:rPr>
        <w:instrText>ADDIN CSL_CITATION { "citationItems" : [ { "id" : "ITEM-1", "itemData" : { "DOI" : "10.1016/j.jnoncrysol.2010.05.007", "ISSN" : "00223093", "author" : [ { "dropping-particle" : "", "family" : "Hand", "given" : "Russell J.", "non-dropping-particle" : "", "parse-names" : false, "suffix" : "" }, { "dropping-particle" : "", "family" : "Tadjiev", "given" : "Damir R.", "non-dropping-particle" : "", "parse-names" : false, "suffix" : "" } ], "container-title" : "Journal of Non-Crystalline Solids", "id" : "ITEM-1", "issue" : "44-49", "issued" : { "date-parts" : [ [ "2010", "10" ] ] }, "page" : "2417-2423", "publisher" : "Elsevier B.V.", "title" : "Mechanical properties of silicate glasses as a function of composition", "type" : "article-journal", "volume" : "356" }, "uris" : [ "http://www.mendeley.com/documents/?uuid=f8df0232-a385-494d-80d7-5c933b1d8e38" ] } ], "mendeley" : { "formattedCitation" : "(Hand &amp; Tadjiev, 2010)", "plainTextFormattedCitation" : "(Hand &amp; Tadjiev, 2010)", "previouslyFormattedCitation" : "(Hand &amp; Tadjiev, 2010)" }, "properties" : { "noteIndex" : 33 }, "schema" : "https://github.com/citation-style-language/schema/raw/master/csl-citation.json" }</w:instrText>
      </w:r>
      <w:r w:rsidR="00A85FC3">
        <w:rPr>
          <w:rFonts w:cs="Times New Roman"/>
          <w:szCs w:val="24"/>
        </w:rPr>
        <w:fldChar w:fldCharType="separate"/>
      </w:r>
      <w:r w:rsidR="00A85FC3" w:rsidRPr="00A85FC3">
        <w:rPr>
          <w:rFonts w:cs="Times New Roman"/>
          <w:b w:val="0"/>
          <w:noProof/>
          <w:szCs w:val="24"/>
        </w:rPr>
        <w:t>(Hand &amp; Tadjiev, 2010)</w:t>
      </w:r>
      <w:r w:rsidR="00A85FC3">
        <w:rPr>
          <w:rFonts w:cs="Times New Roman"/>
          <w:szCs w:val="24"/>
        </w:rPr>
        <w:fldChar w:fldCharType="end"/>
      </w:r>
      <w:r w:rsidR="002D0F0C">
        <w:rPr>
          <w:rFonts w:cs="Times New Roman"/>
          <w:b w:val="0"/>
          <w:szCs w:val="24"/>
        </w:rPr>
        <w:t>:</w:t>
      </w:r>
    </w:p>
    <w:p w14:paraId="3DFD45A8" w14:textId="7FD16314" w:rsidR="00204D45" w:rsidRDefault="00204D45" w:rsidP="00204D45">
      <w:pPr>
        <w:spacing w:after="0" w:line="360" w:lineRule="auto"/>
        <w:jc w:val="both"/>
        <w:rPr>
          <w:rFonts w:cs="Times New Roman"/>
          <w:b w:val="0"/>
          <w:szCs w:val="24"/>
          <w:lang w:val="en-GB"/>
        </w:rPr>
      </w:pPr>
      <w:r w:rsidRPr="000E2377">
        <w:rPr>
          <w:rFonts w:cs="Times New Roman"/>
          <w:b w:val="0"/>
          <w:szCs w:val="24"/>
          <w:lang w:val="en-GB"/>
        </w:rPr>
        <w:t xml:space="preserve">Fracture toughness, </w:t>
      </w:r>
      <w:r w:rsidRPr="000E2377">
        <w:rPr>
          <w:rFonts w:cs="Times New Roman"/>
          <w:b w:val="0"/>
          <w:position w:val="-16"/>
          <w:szCs w:val="24"/>
          <w:lang w:val="en-GB"/>
        </w:rPr>
        <w:object w:dxaOrig="2040" w:dyaOrig="440" w14:anchorId="61DF7FC2">
          <v:shape id="_x0000_i1036" type="#_x0000_t75" style="width:115.2pt;height:21.6pt" o:ole="">
            <v:imagedata r:id="rId47" o:title=""/>
          </v:shape>
          <o:OLEObject Type="Embed" ProgID="Equation.3" ShapeID="_x0000_i1036" DrawAspect="Content" ObjectID="_1626192809" r:id="rId48"/>
        </w:object>
      </w:r>
      <w:r w:rsidRPr="000E2377">
        <w:rPr>
          <w:rFonts w:cs="Times New Roman"/>
          <w:b w:val="0"/>
          <w:szCs w:val="24"/>
          <w:lang w:val="en-GB"/>
        </w:rPr>
        <w:tab/>
      </w:r>
      <w:r w:rsidRPr="000E2377">
        <w:rPr>
          <w:rFonts w:cs="Times New Roman"/>
          <w:b w:val="0"/>
          <w:szCs w:val="24"/>
          <w:lang w:val="en-GB"/>
        </w:rPr>
        <w:tab/>
      </w:r>
      <w:r w:rsidRPr="000E2377">
        <w:rPr>
          <w:rFonts w:cs="Times New Roman"/>
          <w:b w:val="0"/>
          <w:szCs w:val="24"/>
          <w:lang w:val="en-GB"/>
        </w:rPr>
        <w:tab/>
      </w:r>
      <w:r w:rsidRPr="000E2377">
        <w:rPr>
          <w:rFonts w:cs="Times New Roman"/>
          <w:b w:val="0"/>
          <w:szCs w:val="24"/>
          <w:lang w:val="en-GB"/>
        </w:rPr>
        <w:tab/>
        <w:t xml:space="preserve">                    Equation 2.</w:t>
      </w:r>
      <w:r w:rsidR="00E857EA">
        <w:rPr>
          <w:rFonts w:cs="Times New Roman"/>
          <w:b w:val="0"/>
          <w:szCs w:val="24"/>
          <w:lang w:val="en-GB"/>
        </w:rPr>
        <w:t>10</w:t>
      </w:r>
    </w:p>
    <w:p w14:paraId="38661DCA" w14:textId="43246CC5" w:rsidR="00204D45" w:rsidRPr="000E2377" w:rsidRDefault="00CF23ED" w:rsidP="00204D45">
      <w:pPr>
        <w:spacing w:after="0" w:line="360" w:lineRule="auto"/>
        <w:jc w:val="both"/>
        <w:rPr>
          <w:rFonts w:cs="Times New Roman"/>
          <w:b w:val="0"/>
          <w:szCs w:val="24"/>
          <w:lang w:val="en-GB"/>
        </w:rPr>
      </w:pPr>
      <w:r>
        <w:rPr>
          <w:rFonts w:cs="Times New Roman"/>
          <w:b w:val="0"/>
          <w:szCs w:val="24"/>
          <w:lang w:val="en-GB"/>
        </w:rPr>
        <w:t>with</w:t>
      </w:r>
      <w:r w:rsidR="00B70B05" w:rsidRPr="00B70B05">
        <w:rPr>
          <w:rFonts w:cs="Times New Roman"/>
          <w:b w:val="0"/>
          <w:szCs w:val="24"/>
          <w:lang w:val="en-GB"/>
        </w:rPr>
        <w:t>,</w:t>
      </w:r>
      <w:r w:rsidR="00B70B05" w:rsidRPr="00B70B05">
        <w:rPr>
          <w:rFonts w:cs="Times New Roman"/>
          <w:b w:val="0"/>
          <w:position w:val="-12"/>
          <w:szCs w:val="24"/>
        </w:rPr>
        <w:object w:dxaOrig="279" w:dyaOrig="360" w14:anchorId="66572AD7">
          <v:shape id="_x0000_i1037" type="#_x0000_t75" style="width:14.4pt;height:21.6pt" o:ole="">
            <v:imagedata r:id="rId49" o:title=""/>
          </v:shape>
          <o:OLEObject Type="Embed" ProgID="Equation.3" ShapeID="_x0000_i1037" DrawAspect="Content" ObjectID="_1626192810" r:id="rId50"/>
        </w:object>
      </w:r>
      <w:r w:rsidR="00B70B05" w:rsidRPr="00B70B05">
        <w:rPr>
          <w:rFonts w:cs="Times New Roman"/>
          <w:b w:val="0"/>
          <w:szCs w:val="24"/>
        </w:rPr>
        <w:t xml:space="preserve">is elastic surface energy of glass and </w:t>
      </w:r>
      <w:r w:rsidR="00B70B05" w:rsidRPr="00B70B05">
        <w:rPr>
          <w:rStyle w:val="apple-converted-space"/>
          <w:rFonts w:cs="Times New Roman"/>
          <w:b w:val="0"/>
          <w:szCs w:val="24"/>
          <w:shd w:val="clear" w:color="auto" w:fill="FFFFFF"/>
        </w:rPr>
        <w:t> </w:t>
      </w:r>
      <w:r w:rsidR="00B70B05" w:rsidRPr="00B70B05">
        <w:rPr>
          <w:rFonts w:cs="Times New Roman"/>
          <w:b w:val="0"/>
          <w:position w:val="-14"/>
          <w:szCs w:val="24"/>
        </w:rPr>
        <w:object w:dxaOrig="279" w:dyaOrig="380" w14:anchorId="21FA51FE">
          <v:shape id="_x0000_i1038" type="#_x0000_t75" style="width:14.4pt;height:21.6pt" o:ole="">
            <v:imagedata r:id="rId51" o:title=""/>
          </v:shape>
          <o:OLEObject Type="Embed" ProgID="Equation.3" ShapeID="_x0000_i1038" DrawAspect="Content" ObjectID="_1626192811" r:id="rId52"/>
        </w:object>
      </w:r>
      <w:r w:rsidR="00B70B05" w:rsidRPr="00B70B05">
        <w:rPr>
          <w:rFonts w:cs="Times New Roman"/>
          <w:b w:val="0"/>
          <w:szCs w:val="24"/>
          <w:shd w:val="clear" w:color="auto" w:fill="FFFFFF"/>
        </w:rPr>
        <w:t xml:space="preserve"> is plastic surface energy.</w:t>
      </w:r>
    </w:p>
    <w:p w14:paraId="4091AD78" w14:textId="46B4F93D" w:rsidR="00204D45" w:rsidRPr="000E2377" w:rsidRDefault="00B70B05" w:rsidP="00204D45">
      <w:pPr>
        <w:spacing w:after="0" w:line="360" w:lineRule="auto"/>
        <w:jc w:val="both"/>
        <w:rPr>
          <w:rFonts w:cs="Times New Roman"/>
          <w:b w:val="0"/>
          <w:szCs w:val="24"/>
          <w:lang w:val="en-GB"/>
        </w:rPr>
      </w:pPr>
      <w:r>
        <w:rPr>
          <w:rFonts w:cs="Times New Roman"/>
          <w:b w:val="0"/>
          <w:szCs w:val="24"/>
          <w:lang w:val="en-GB"/>
        </w:rPr>
        <w:t>And, p</w:t>
      </w:r>
      <w:r w:rsidR="00204D45" w:rsidRPr="000E2377">
        <w:rPr>
          <w:rFonts w:cs="Times New Roman"/>
          <w:b w:val="0"/>
          <w:szCs w:val="24"/>
          <w:lang w:val="en-GB"/>
        </w:rPr>
        <w:t xml:space="preserve">lane strain modulus, </w:t>
      </w:r>
      <w:r w:rsidR="00204D45" w:rsidRPr="000E2377">
        <w:rPr>
          <w:rFonts w:cs="Times New Roman"/>
          <w:b w:val="0"/>
          <w:position w:val="-28"/>
          <w:szCs w:val="24"/>
          <w:lang w:val="en-GB"/>
        </w:rPr>
        <w:object w:dxaOrig="2260" w:dyaOrig="700" w14:anchorId="56351156">
          <v:shape id="_x0000_i1039" type="#_x0000_t75" style="width:108pt;height:36pt" o:ole="">
            <v:imagedata r:id="rId53" o:title=""/>
          </v:shape>
          <o:OLEObject Type="Embed" ProgID="Equation.3" ShapeID="_x0000_i1039" DrawAspect="Content" ObjectID="_1626192812" r:id="rId54"/>
        </w:object>
      </w:r>
      <w:r w:rsidR="00204D45" w:rsidRPr="000E2377">
        <w:rPr>
          <w:rFonts w:cs="Times New Roman"/>
          <w:b w:val="0"/>
          <w:szCs w:val="24"/>
          <w:lang w:val="en-GB"/>
        </w:rPr>
        <w:tab/>
      </w:r>
      <w:r w:rsidR="00AC1E0D">
        <w:rPr>
          <w:rFonts w:cs="Times New Roman"/>
          <w:b w:val="0"/>
          <w:szCs w:val="24"/>
          <w:lang w:val="en-GB"/>
        </w:rPr>
        <w:t xml:space="preserve"> </w:t>
      </w:r>
      <w:r w:rsidR="00433646">
        <w:rPr>
          <w:rFonts w:cs="Times New Roman"/>
          <w:b w:val="0"/>
          <w:szCs w:val="24"/>
          <w:lang w:val="en-GB"/>
        </w:rPr>
        <w:tab/>
      </w:r>
      <w:r w:rsidR="00433646">
        <w:rPr>
          <w:rFonts w:cs="Times New Roman"/>
          <w:b w:val="0"/>
          <w:szCs w:val="24"/>
          <w:lang w:val="en-GB"/>
        </w:rPr>
        <w:tab/>
      </w:r>
      <w:r w:rsidR="00433646">
        <w:rPr>
          <w:rFonts w:cs="Times New Roman"/>
          <w:b w:val="0"/>
          <w:szCs w:val="24"/>
          <w:lang w:val="en-GB"/>
        </w:rPr>
        <w:tab/>
      </w:r>
      <w:r>
        <w:rPr>
          <w:rFonts w:cs="Times New Roman"/>
          <w:b w:val="0"/>
          <w:szCs w:val="24"/>
          <w:lang w:val="en-GB"/>
        </w:rPr>
        <w:t xml:space="preserve">        </w:t>
      </w:r>
      <w:r w:rsidR="00204D45" w:rsidRPr="000E2377">
        <w:rPr>
          <w:rFonts w:cs="Times New Roman"/>
          <w:b w:val="0"/>
          <w:szCs w:val="24"/>
          <w:lang w:val="en-GB"/>
        </w:rPr>
        <w:t>Equation 2.</w:t>
      </w:r>
      <w:r w:rsidR="00E857EA">
        <w:rPr>
          <w:rFonts w:cs="Times New Roman"/>
          <w:b w:val="0"/>
          <w:szCs w:val="24"/>
          <w:lang w:val="en-GB"/>
        </w:rPr>
        <w:t>11</w:t>
      </w:r>
    </w:p>
    <w:p w14:paraId="2D2D618C" w14:textId="5E31B5AE" w:rsidR="006C4A91" w:rsidRPr="00903013" w:rsidRDefault="00433646" w:rsidP="004600FC">
      <w:pPr>
        <w:spacing w:line="360" w:lineRule="auto"/>
        <w:jc w:val="both"/>
        <w:rPr>
          <w:rFonts w:cs="Times New Roman"/>
          <w:b w:val="0"/>
          <w:szCs w:val="24"/>
          <w:shd w:val="clear" w:color="auto" w:fill="FFFFFF"/>
        </w:rPr>
      </w:pPr>
      <w:r>
        <w:rPr>
          <w:rFonts w:cs="Times New Roman"/>
          <w:b w:val="0"/>
          <w:szCs w:val="24"/>
        </w:rPr>
        <w:t xml:space="preserve">With </w:t>
      </w:r>
      <w:proofErr w:type="spellStart"/>
      <w:r>
        <w:rPr>
          <w:rFonts w:cs="Times New Roman"/>
          <w:b w:val="0"/>
          <w:szCs w:val="24"/>
        </w:rPr>
        <w:t>D</w:t>
      </w:r>
      <w:r w:rsidRPr="00433646">
        <w:rPr>
          <w:rFonts w:cs="Times New Roman"/>
          <w:b w:val="0"/>
          <w:szCs w:val="24"/>
          <w:vertAlign w:val="subscript"/>
        </w:rPr>
        <w:t>av</w:t>
      </w:r>
      <w:proofErr w:type="spellEnd"/>
      <w:r>
        <w:rPr>
          <w:rFonts w:cs="Times New Roman"/>
          <w:b w:val="0"/>
          <w:szCs w:val="24"/>
        </w:rPr>
        <w:t xml:space="preserve"> </w:t>
      </w:r>
      <w:r w:rsidRPr="00433646">
        <w:rPr>
          <w:rFonts w:cs="Times New Roman"/>
          <w:b w:val="0"/>
          <w:szCs w:val="24"/>
        </w:rPr>
        <w:t>is average dissociation energy per unit volume</w:t>
      </w:r>
      <w:r w:rsidR="00251720">
        <w:rPr>
          <w:rFonts w:cs="Times New Roman"/>
          <w:b w:val="0"/>
          <w:szCs w:val="24"/>
        </w:rPr>
        <w:t>.</w:t>
      </w:r>
      <w:r w:rsidR="00004502">
        <w:rPr>
          <w:rFonts w:cs="Times New Roman"/>
          <w:b w:val="0"/>
          <w:szCs w:val="24"/>
        </w:rPr>
        <w:t xml:space="preserve"> </w:t>
      </w:r>
      <w:r w:rsidR="00251720">
        <w:rPr>
          <w:rFonts w:cs="Times New Roman"/>
          <w:b w:val="0"/>
          <w:szCs w:val="24"/>
        </w:rPr>
        <w:t>H</w:t>
      </w:r>
      <w:r w:rsidR="00004502">
        <w:rPr>
          <w:rFonts w:cs="Times New Roman"/>
          <w:b w:val="0"/>
          <w:szCs w:val="24"/>
        </w:rPr>
        <w:t>ence</w:t>
      </w:r>
      <w:r w:rsidR="005C50A1">
        <w:rPr>
          <w:rFonts w:cs="Times New Roman"/>
          <w:b w:val="0"/>
          <w:szCs w:val="24"/>
        </w:rPr>
        <w:t xml:space="preserve">, the crack propagation may impede from the plastic deformation of materials from a crack tip </w:t>
      </w:r>
      <w:r w:rsidR="00251720" w:rsidRPr="005C50A1">
        <w:rPr>
          <w:rFonts w:cs="Times New Roman"/>
          <w:b w:val="0"/>
          <w:szCs w:val="24"/>
          <w:shd w:val="clear" w:color="auto" w:fill="FFFFFF"/>
        </w:rPr>
        <w:t>which</w:t>
      </w:r>
      <w:r w:rsidR="00251720" w:rsidRPr="004313DB">
        <w:rPr>
          <w:rFonts w:cs="Times New Roman"/>
          <w:szCs w:val="24"/>
          <w:shd w:val="clear" w:color="auto" w:fill="FFFFFF"/>
        </w:rPr>
        <w:t xml:space="preserve"> </w:t>
      </w:r>
      <w:r w:rsidR="00251720" w:rsidRPr="00903013">
        <w:rPr>
          <w:rFonts w:cs="Times New Roman"/>
          <w:b w:val="0"/>
          <w:szCs w:val="24"/>
          <w:shd w:val="clear" w:color="auto" w:fill="FFFFFF"/>
        </w:rPr>
        <w:t xml:space="preserve">can scale linearly with </w:t>
      </w:r>
      <w:r w:rsidR="00251720" w:rsidRPr="00903013">
        <w:rPr>
          <w:rFonts w:cs="Times New Roman"/>
          <w:b w:val="0"/>
          <w:position w:val="-14"/>
          <w:szCs w:val="24"/>
        </w:rPr>
        <w:object w:dxaOrig="279" w:dyaOrig="380" w14:anchorId="73CF97F9">
          <v:shape id="_x0000_i1040" type="#_x0000_t75" style="width:14.4pt;height:21.6pt" o:ole="">
            <v:imagedata r:id="rId55" o:title=""/>
          </v:shape>
          <o:OLEObject Type="Embed" ProgID="Equation.3" ShapeID="_x0000_i1040" DrawAspect="Content" ObjectID="_1626192813" r:id="rId56"/>
        </w:object>
      </w:r>
      <w:r w:rsidR="00251720" w:rsidRPr="00903013">
        <w:rPr>
          <w:rStyle w:val="apple-converted-space"/>
          <w:rFonts w:cs="Times New Roman"/>
          <w:b w:val="0"/>
          <w:szCs w:val="24"/>
          <w:shd w:val="clear" w:color="auto" w:fill="FFFFFF"/>
        </w:rPr>
        <w:t> </w:t>
      </w:r>
      <w:r w:rsidR="00903013" w:rsidRPr="00903013">
        <w:rPr>
          <w:rStyle w:val="apple-converted-space"/>
          <w:rFonts w:cs="Times New Roman"/>
          <w:b w:val="0"/>
          <w:szCs w:val="24"/>
          <w:shd w:val="clear" w:color="auto" w:fill="FFFFFF"/>
        </w:rPr>
        <w:t xml:space="preserve">and </w:t>
      </w:r>
      <w:r w:rsidR="00251720" w:rsidRPr="00903013">
        <w:rPr>
          <w:rFonts w:cs="Times New Roman"/>
          <w:b w:val="0"/>
          <w:szCs w:val="24"/>
          <w:shd w:val="clear" w:color="auto" w:fill="FFFFFF"/>
        </w:rPr>
        <w:t>can</w:t>
      </w:r>
      <w:r w:rsidR="00251720" w:rsidRPr="00903013">
        <w:rPr>
          <w:rStyle w:val="apple-converted-space"/>
          <w:rFonts w:cs="Times New Roman"/>
          <w:b w:val="0"/>
          <w:szCs w:val="24"/>
          <w:shd w:val="clear" w:color="auto" w:fill="FFFFFF"/>
        </w:rPr>
        <w:t> </w:t>
      </w:r>
      <w:r w:rsidR="00251720" w:rsidRPr="00903013">
        <w:rPr>
          <w:rFonts w:cs="Times New Roman"/>
          <w:b w:val="0"/>
          <w:szCs w:val="24"/>
          <w:shd w:val="clear" w:color="auto" w:fill="FFFFFF"/>
        </w:rPr>
        <w:t xml:space="preserve">expend contact loading energy. </w:t>
      </w:r>
    </w:p>
    <w:p w14:paraId="5831EA94" w14:textId="170CBAA0" w:rsidR="006C4A91" w:rsidRPr="000E2377" w:rsidRDefault="006C4A91" w:rsidP="000E132A">
      <w:pPr>
        <w:pStyle w:val="Heading4"/>
      </w:pPr>
      <w:bookmarkStart w:id="177" w:name="_Toc525742475"/>
      <w:r w:rsidRPr="000E2377">
        <w:t>2.</w:t>
      </w:r>
      <w:r w:rsidR="003B115C">
        <w:t>1</w:t>
      </w:r>
      <w:r w:rsidR="007754F1">
        <w:t>1</w:t>
      </w:r>
      <w:r w:rsidRPr="000E2377">
        <w:t>.4 Brittleness</w:t>
      </w:r>
      <w:bookmarkEnd w:id="177"/>
    </w:p>
    <w:p w14:paraId="17E2DD8F" w14:textId="4CE9A2BD" w:rsidR="004600FC" w:rsidRPr="000E2377" w:rsidRDefault="004600FC" w:rsidP="000648E6">
      <w:pPr>
        <w:spacing w:after="0" w:line="360" w:lineRule="auto"/>
        <w:jc w:val="both"/>
        <w:rPr>
          <w:rFonts w:cs="Times New Roman"/>
          <w:b w:val="0"/>
          <w:szCs w:val="24"/>
        </w:rPr>
      </w:pPr>
      <w:r w:rsidRPr="000E2377">
        <w:rPr>
          <w:rFonts w:cs="Times New Roman"/>
          <w:b w:val="0"/>
          <w:szCs w:val="24"/>
        </w:rPr>
        <w:t>Brittleness is the ratio of hardness to fracture toughness.</w:t>
      </w:r>
    </w:p>
    <w:p w14:paraId="755A69BF" w14:textId="77777777" w:rsidR="004600FC" w:rsidRPr="000E2377" w:rsidRDefault="004600FC" w:rsidP="009B6ECB">
      <w:pPr>
        <w:spacing w:after="0" w:line="360" w:lineRule="auto"/>
        <w:rPr>
          <w:rFonts w:cs="Times New Roman"/>
          <w:b w:val="0"/>
          <w:szCs w:val="24"/>
        </w:rPr>
      </w:pPr>
      <w:r w:rsidRPr="000E2377">
        <w:rPr>
          <w:rFonts w:cs="Times New Roman"/>
          <w:b w:val="0"/>
          <w:noProof/>
          <w:szCs w:val="24"/>
          <w:lang w:eastAsia="en-MY"/>
        </w:rPr>
        <mc:AlternateContent>
          <mc:Choice Requires="wps">
            <w:drawing>
              <wp:anchor distT="0" distB="0" distL="114300" distR="114300" simplePos="0" relativeHeight="251787264" behindDoc="0" locked="0" layoutInCell="1" allowOverlap="1" wp14:anchorId="06F31926" wp14:editId="27379CE3">
                <wp:simplePos x="0" y="0"/>
                <wp:positionH relativeFrom="margin">
                  <wp:posOffset>4230624</wp:posOffset>
                </wp:positionH>
                <wp:positionV relativeFrom="paragraph">
                  <wp:posOffset>16764</wp:posOffset>
                </wp:positionV>
                <wp:extent cx="1597152" cy="256032"/>
                <wp:effectExtent l="0" t="0" r="0" b="0"/>
                <wp:wrapNone/>
                <wp:docPr id="1481" name="Text Box 1481"/>
                <wp:cNvGraphicFramePr/>
                <a:graphic xmlns:a="http://schemas.openxmlformats.org/drawingml/2006/main">
                  <a:graphicData uri="http://schemas.microsoft.com/office/word/2010/wordprocessingShape">
                    <wps:wsp>
                      <wps:cNvSpPr txBox="1"/>
                      <wps:spPr>
                        <a:xfrm>
                          <a:off x="0" y="0"/>
                          <a:ext cx="1597152" cy="256032"/>
                        </a:xfrm>
                        <a:prstGeom prst="rect">
                          <a:avLst/>
                        </a:prstGeom>
                        <a:noFill/>
                        <a:ln w="6350">
                          <a:noFill/>
                        </a:ln>
                      </wps:spPr>
                      <wps:txbx>
                        <w:txbxContent>
                          <w:p w14:paraId="479737AC" w14:textId="163AF73A" w:rsidR="00230AB9" w:rsidRPr="008D33EB" w:rsidRDefault="00230AB9" w:rsidP="004600FC">
                            <w:pPr>
                              <w:jc w:val="right"/>
                              <w:rPr>
                                <w:rFonts w:cs="Times New Roman"/>
                                <w:b w:val="0"/>
                                <w:szCs w:val="24"/>
                              </w:rPr>
                            </w:pPr>
                            <w:r w:rsidRPr="008D33EB">
                              <w:rPr>
                                <w:rFonts w:cs="Times New Roman"/>
                                <w:b w:val="0"/>
                                <w:szCs w:val="24"/>
                              </w:rPr>
                              <w:t>Equation 2.</w:t>
                            </w:r>
                            <w:r>
                              <w:rPr>
                                <w:rFonts w:cs="Times New Roman"/>
                                <w:b w:val="0"/>
                                <w:szCs w:val="24"/>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31926" id="Text Box 1481" o:spid="_x0000_s1069" type="#_x0000_t202" style="position:absolute;margin-left:333.1pt;margin-top:1.3pt;width:125.75pt;height:20.1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" filled="f" stroked="f" strokeweight=".5pt">
                <v:textbox>
                  <w:txbxContent>
                    <w:p w14:paraId="479737AC" w14:textId="163AF73A" w:rsidR="00230AB9" w:rsidRPr="008D33EB" w:rsidRDefault="00230AB9" w:rsidP="004600FC">
                      <w:pPr>
                        <w:jc w:val="right"/>
                        <w:rPr>
                          <w:rFonts w:cs="Times New Roman"/>
                          <w:b w:val="0"/>
                          <w:szCs w:val="24"/>
                        </w:rPr>
                      </w:pPr>
                      <w:r w:rsidRPr="008D33EB">
                        <w:rPr>
                          <w:rFonts w:cs="Times New Roman"/>
                          <w:b w:val="0"/>
                          <w:szCs w:val="24"/>
                        </w:rPr>
                        <w:t>Equation 2.</w:t>
                      </w:r>
                      <w:r>
                        <w:rPr>
                          <w:rFonts w:cs="Times New Roman"/>
                          <w:b w:val="0"/>
                          <w:szCs w:val="24"/>
                        </w:rPr>
                        <w:t>12</w:t>
                      </w:r>
                    </w:p>
                  </w:txbxContent>
                </v:textbox>
                <w10:wrap anchorx="margin"/>
              </v:shape>
            </w:pict>
          </mc:Fallback>
        </mc:AlternateContent>
      </w:r>
      <w:r w:rsidRPr="000E2377">
        <w:rPr>
          <w:rFonts w:cs="Times New Roman"/>
          <w:b w:val="0"/>
          <w:position w:val="-30"/>
          <w:sz w:val="22"/>
        </w:rPr>
        <w:object w:dxaOrig="859" w:dyaOrig="700" w14:anchorId="0AE67EB2">
          <v:shape id="_x0000_i1041" type="#_x0000_t75" style="width:43.2pt;height:36pt" o:ole="">
            <v:imagedata r:id="rId57" o:title=""/>
          </v:shape>
          <o:OLEObject Type="Embed" ProgID="Equation.3" ShapeID="_x0000_i1041" DrawAspect="Content" ObjectID="_1626192814" r:id="rId58"/>
        </w:object>
      </w:r>
    </w:p>
    <w:p w14:paraId="2897CA6F" w14:textId="7E45D9FA" w:rsidR="004600FC" w:rsidRPr="000E2377" w:rsidRDefault="004600FC" w:rsidP="000648E6">
      <w:pPr>
        <w:spacing w:after="0" w:line="360" w:lineRule="auto"/>
        <w:rPr>
          <w:rFonts w:cs="Times New Roman"/>
          <w:b w:val="0"/>
          <w:szCs w:val="24"/>
        </w:rPr>
      </w:pPr>
      <w:r w:rsidRPr="000E2377">
        <w:rPr>
          <w:rFonts w:cs="Times New Roman"/>
          <w:b w:val="0"/>
          <w:szCs w:val="24"/>
        </w:rPr>
        <w:t xml:space="preserve">The </w:t>
      </w:r>
      <w:r w:rsidR="00E71160">
        <w:rPr>
          <w:rFonts w:cs="Times New Roman"/>
          <w:b w:val="0"/>
          <w:szCs w:val="24"/>
        </w:rPr>
        <w:t>following have been found to affect</w:t>
      </w:r>
      <w:r w:rsidR="00E71160" w:rsidRPr="000E2377">
        <w:rPr>
          <w:rFonts w:cs="Times New Roman"/>
          <w:b w:val="0"/>
          <w:szCs w:val="24"/>
        </w:rPr>
        <w:t xml:space="preserve"> </w:t>
      </w:r>
      <w:r w:rsidRPr="000E2377">
        <w:rPr>
          <w:rFonts w:cs="Times New Roman"/>
          <w:b w:val="0"/>
          <w:szCs w:val="24"/>
        </w:rPr>
        <w:t>the brittleness of glass.</w:t>
      </w:r>
    </w:p>
    <w:p w14:paraId="623DDC83" w14:textId="43BF28A1" w:rsidR="004600FC" w:rsidRPr="000E2377" w:rsidRDefault="004600FC" w:rsidP="005D010C">
      <w:pPr>
        <w:numPr>
          <w:ilvl w:val="0"/>
          <w:numId w:val="4"/>
        </w:numPr>
        <w:spacing w:line="360" w:lineRule="auto"/>
        <w:contextualSpacing/>
        <w:jc w:val="both"/>
        <w:rPr>
          <w:rFonts w:cs="Times New Roman"/>
          <w:b w:val="0"/>
          <w:szCs w:val="24"/>
        </w:rPr>
      </w:pPr>
      <w:r w:rsidRPr="000E2377">
        <w:rPr>
          <w:rFonts w:cs="Times New Roman"/>
          <w:b w:val="0"/>
          <w:szCs w:val="24"/>
        </w:rPr>
        <w:t xml:space="preserve">Brittleness </w:t>
      </w:r>
      <w:r w:rsidR="00B70062">
        <w:rPr>
          <w:rFonts w:cs="Times New Roman"/>
          <w:b w:val="0"/>
          <w:szCs w:val="24"/>
        </w:rPr>
        <w:t xml:space="preserve">has been found to </w:t>
      </w:r>
      <w:r w:rsidRPr="000E2377">
        <w:rPr>
          <w:rFonts w:cs="Times New Roman"/>
          <w:b w:val="0"/>
          <w:szCs w:val="24"/>
        </w:rPr>
        <w:t xml:space="preserve">correlate </w:t>
      </w:r>
      <w:r w:rsidR="00B70062">
        <w:rPr>
          <w:rFonts w:cs="Times New Roman"/>
          <w:b w:val="0"/>
          <w:szCs w:val="24"/>
        </w:rPr>
        <w:t>with</w:t>
      </w:r>
      <w:r w:rsidRPr="000E2377">
        <w:rPr>
          <w:rFonts w:cs="Times New Roman"/>
          <w:b w:val="0"/>
          <w:szCs w:val="24"/>
        </w:rPr>
        <w:t xml:space="preserve"> densit</w:t>
      </w:r>
      <w:r w:rsidR="00B70062">
        <w:rPr>
          <w:rFonts w:cs="Times New Roman"/>
          <w:b w:val="0"/>
          <w:szCs w:val="24"/>
        </w:rPr>
        <w:t>y</w:t>
      </w:r>
      <w:r w:rsidRPr="000E2377">
        <w:rPr>
          <w:rFonts w:cs="Times New Roman"/>
          <w:b w:val="0"/>
          <w:szCs w:val="24"/>
        </w:rPr>
        <w:t xml:space="preserve">. For </w:t>
      </w:r>
      <w:r w:rsidR="00DC42B4">
        <w:rPr>
          <w:rFonts w:cs="Times New Roman"/>
          <w:b w:val="0"/>
          <w:szCs w:val="24"/>
        </w:rPr>
        <w:t xml:space="preserve">so-called </w:t>
      </w:r>
      <w:r w:rsidRPr="000E2377">
        <w:rPr>
          <w:rFonts w:cs="Times New Roman"/>
          <w:b w:val="0"/>
          <w:szCs w:val="24"/>
        </w:rPr>
        <w:t>normal glass</w:t>
      </w:r>
      <w:r w:rsidR="00DC42B4">
        <w:rPr>
          <w:rFonts w:cs="Times New Roman"/>
          <w:b w:val="0"/>
          <w:szCs w:val="24"/>
        </w:rPr>
        <w:t>es</w:t>
      </w:r>
      <w:r w:rsidRPr="000E2377">
        <w:rPr>
          <w:rFonts w:cs="Times New Roman"/>
          <w:b w:val="0"/>
          <w:szCs w:val="24"/>
        </w:rPr>
        <w:t xml:space="preserve">, the brittleness </w:t>
      </w:r>
      <w:r w:rsidR="00DC42B4" w:rsidRPr="000E2377">
        <w:rPr>
          <w:rFonts w:cs="Times New Roman"/>
          <w:b w:val="0"/>
          <w:szCs w:val="24"/>
        </w:rPr>
        <w:t>increase</w:t>
      </w:r>
      <w:r w:rsidR="00DC42B4">
        <w:rPr>
          <w:rFonts w:cs="Times New Roman"/>
          <w:b w:val="0"/>
          <w:szCs w:val="24"/>
        </w:rPr>
        <w:t>s</w:t>
      </w:r>
      <w:r w:rsidR="007E7610">
        <w:rPr>
          <w:rFonts w:cs="Times New Roman"/>
          <w:b w:val="0"/>
          <w:szCs w:val="24"/>
        </w:rPr>
        <w:t xml:space="preserve"> </w:t>
      </w:r>
      <w:r w:rsidRPr="000E2377">
        <w:rPr>
          <w:rFonts w:cs="Times New Roman"/>
          <w:b w:val="0"/>
          <w:szCs w:val="24"/>
        </w:rPr>
        <w:t xml:space="preserve">with increasing density due to densification and plastic flow </w:t>
      </w:r>
      <w:r w:rsidRPr="000E2377">
        <w:rPr>
          <w:rFonts w:cs="Times New Roman"/>
          <w:b w:val="0"/>
          <w:szCs w:val="24"/>
        </w:rPr>
        <w:fldChar w:fldCharType="begin" w:fldLock="1"/>
      </w:r>
      <w:r w:rsidRPr="000E2377">
        <w:rPr>
          <w:rFonts w:cs="Times New Roman"/>
          <w:b w:val="0"/>
          <w:szCs w:val="24"/>
        </w:rPr>
        <w:instrText>ADDIN CSL_CITATION { "citationItems" : [ { "id" : "ITEM-1", "itemData" : { "DOI" : "10.1016/S0022-3093(99)00348-8", "ISSN" : "00223093", "abstract" : "A study seeking to decrease the brittleness of glasses was carried out. The brittleness, defined as the ratio of hardness to fracture toughness, was estimated from the ratio of median crack length to the diagonal length of a deformation impression. The brittleness of various kinds of glasses in the silicate as well as borosilicate systems was investigated as a function of glass properties. The brittleness of the glasses was correlated with densities, i.e., a variation of approximately 1 to approximately 9 ??m-1/2 in brittleness was observed as the density varied from approximately 1.9 to approximately 2.8 g/cm3. The brittleness of normal glasses decreased with decreasing density due to the ease of both plastic flow and densification. On the other hand, the brittleness of anomalous glasses increased with decreasing density due to the lack of plastic flow. In addition, the brittleness of normal glasses was less than that of the anomalous glasses with the same density. We also observed that a 50% decrease in brittleness resulted in an increase of crack initiation load by approximately 15 times.", "author" : [ { "dropping-particle" : "", "family" : "Sehgal", "given" : "Jeetendra", "non-dropping-particle" : "", "parse-names" : false, "suffix" : "" }, { "dropping-particle" : "", "family" : "Ito", "given" : "Setsuro", "non-dropping-particle" : "", "parse-names" : false, "suffix" : "" } ], "container-title" : "Journal of Non-Crystalline Solids", "id" : "ITEM-1", "issue" : "1-3", "issued" : { "date-parts" : [ [ "1999" ] ] }, "page" : "126-132", "title" : "Brittleness of glass", "type" : "article-journal", "volume" : "253" }, "uris" : [ "http://www.mendeley.com/documents/?uuid=97c0428d-f5d8-425f-94e6-c34c36d82652" ] } ], "mendeley" : { "formattedCitation" : "(Sehgal &amp; Ito, 1999)", "plainTextFormattedCitation" : "(Sehgal &amp; Ito, 1999)", "previouslyFormattedCitation" : "(Sehgal &amp; Ito, 1999)" }, "properties" : { "noteIndex" : 0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(Sehgal &amp; Ito, 1999)</w:t>
      </w:r>
      <w:r w:rsidRPr="000E2377">
        <w:rPr>
          <w:rFonts w:cs="Times New Roman"/>
          <w:b w:val="0"/>
          <w:szCs w:val="24"/>
        </w:rPr>
        <w:fldChar w:fldCharType="end"/>
      </w:r>
      <w:r w:rsidRPr="000E2377">
        <w:rPr>
          <w:rFonts w:cs="Times New Roman"/>
          <w:b w:val="0"/>
          <w:szCs w:val="24"/>
        </w:rPr>
        <w:t>.</w:t>
      </w:r>
    </w:p>
    <w:p w14:paraId="7A4185C6" w14:textId="7C24A91F" w:rsidR="004600FC" w:rsidRPr="000E2377" w:rsidRDefault="00DC42B4" w:rsidP="005D010C">
      <w:pPr>
        <w:numPr>
          <w:ilvl w:val="0"/>
          <w:numId w:val="4"/>
        </w:numPr>
        <w:spacing w:line="360" w:lineRule="auto"/>
        <w:contextualSpacing/>
        <w:jc w:val="both"/>
        <w:rPr>
          <w:rFonts w:cs="Times New Roman"/>
          <w:b w:val="0"/>
          <w:szCs w:val="24"/>
        </w:rPr>
      </w:pPr>
      <w:r>
        <w:rPr>
          <w:rFonts w:cs="Times New Roman"/>
          <w:b w:val="0"/>
          <w:szCs w:val="24"/>
        </w:rPr>
        <w:t>The a</w:t>
      </w:r>
      <w:r w:rsidRPr="000E2377">
        <w:rPr>
          <w:rFonts w:cs="Times New Roman"/>
          <w:b w:val="0"/>
          <w:szCs w:val="24"/>
        </w:rPr>
        <w:t xml:space="preserve">mount </w:t>
      </w:r>
      <w:r w:rsidR="004600FC" w:rsidRPr="000E2377">
        <w:rPr>
          <w:rFonts w:cs="Times New Roman"/>
          <w:b w:val="0"/>
          <w:szCs w:val="24"/>
        </w:rPr>
        <w:t>of B</w:t>
      </w:r>
      <w:r w:rsidR="004600FC" w:rsidRPr="000E2377">
        <w:rPr>
          <w:rFonts w:cs="Times New Roman"/>
          <w:b w:val="0"/>
          <w:szCs w:val="24"/>
          <w:vertAlign w:val="subscript"/>
        </w:rPr>
        <w:t>2</w:t>
      </w:r>
      <w:r w:rsidR="004600FC" w:rsidRPr="000E2377">
        <w:rPr>
          <w:rFonts w:cs="Times New Roman"/>
          <w:b w:val="0"/>
          <w:szCs w:val="24"/>
        </w:rPr>
        <w:t>O</w:t>
      </w:r>
      <w:r w:rsidR="004600FC" w:rsidRPr="000E2377">
        <w:rPr>
          <w:rFonts w:cs="Times New Roman"/>
          <w:b w:val="0"/>
          <w:szCs w:val="24"/>
          <w:vertAlign w:val="subscript"/>
        </w:rPr>
        <w:t>3</w:t>
      </w:r>
      <w:r w:rsidR="004600FC" w:rsidRPr="000E2377">
        <w:rPr>
          <w:rFonts w:cs="Times New Roman"/>
          <w:b w:val="0"/>
          <w:szCs w:val="24"/>
        </w:rPr>
        <w:t xml:space="preserve"> in </w:t>
      </w:r>
      <w:r w:rsidR="00284CC3">
        <w:rPr>
          <w:rFonts w:cs="Times New Roman"/>
          <w:b w:val="0"/>
          <w:szCs w:val="24"/>
        </w:rPr>
        <w:t xml:space="preserve">the </w:t>
      </w:r>
      <w:r w:rsidR="004600FC" w:rsidRPr="000E2377">
        <w:rPr>
          <w:rFonts w:cs="Times New Roman"/>
          <w:b w:val="0"/>
          <w:szCs w:val="24"/>
        </w:rPr>
        <w:t>glass. Regular silica based glass</w:t>
      </w:r>
      <w:r w:rsidR="00D44D4B">
        <w:rPr>
          <w:rFonts w:cs="Times New Roman"/>
          <w:b w:val="0"/>
          <w:szCs w:val="24"/>
        </w:rPr>
        <w:t>es</w:t>
      </w:r>
      <w:r w:rsidR="004600FC" w:rsidRPr="000E2377">
        <w:rPr>
          <w:rFonts w:cs="Times New Roman"/>
          <w:b w:val="0"/>
          <w:szCs w:val="24"/>
        </w:rPr>
        <w:t xml:space="preserve"> have </w:t>
      </w:r>
      <w:r w:rsidR="00D44D4B">
        <w:rPr>
          <w:rFonts w:cs="Times New Roman"/>
          <w:b w:val="0"/>
          <w:szCs w:val="24"/>
        </w:rPr>
        <w:t>high</w:t>
      </w:r>
      <w:r w:rsidR="004600FC" w:rsidRPr="000E2377">
        <w:rPr>
          <w:rFonts w:cs="Times New Roman"/>
          <w:b w:val="0"/>
          <w:szCs w:val="24"/>
        </w:rPr>
        <w:t xml:space="preserve"> brittleness when </w:t>
      </w:r>
      <w:r w:rsidR="00B70062">
        <w:rPr>
          <w:rFonts w:cs="Times New Roman"/>
          <w:b w:val="0"/>
          <w:szCs w:val="24"/>
        </w:rPr>
        <w:t xml:space="preserve">the </w:t>
      </w:r>
      <w:r w:rsidR="004600FC" w:rsidRPr="000E2377">
        <w:rPr>
          <w:rFonts w:cs="Times New Roman"/>
          <w:b w:val="0"/>
          <w:szCs w:val="24"/>
        </w:rPr>
        <w:t xml:space="preserve">density </w:t>
      </w:r>
      <w:r w:rsidR="00B70062">
        <w:rPr>
          <w:rFonts w:cs="Times New Roman"/>
          <w:b w:val="0"/>
          <w:szCs w:val="24"/>
        </w:rPr>
        <w:t>is</w:t>
      </w:r>
      <w:r w:rsidR="00B70062" w:rsidRPr="000E2377">
        <w:rPr>
          <w:rFonts w:cs="Times New Roman"/>
          <w:b w:val="0"/>
          <w:szCs w:val="24"/>
        </w:rPr>
        <w:t xml:space="preserve"> </w:t>
      </w:r>
      <w:r w:rsidR="004600FC" w:rsidRPr="000E2377">
        <w:rPr>
          <w:rFonts w:cs="Times New Roman"/>
          <w:b w:val="0"/>
          <w:szCs w:val="24"/>
        </w:rPr>
        <w:t>less than 2.4</w:t>
      </w:r>
      <w:r w:rsidR="00243C38">
        <w:rPr>
          <w:rFonts w:cs="Times New Roman"/>
          <w:b w:val="0"/>
          <w:szCs w:val="24"/>
        </w:rPr>
        <w:t xml:space="preserve"> </w:t>
      </w:r>
      <w:r w:rsidR="004600FC" w:rsidRPr="000E2377">
        <w:rPr>
          <w:rFonts w:cs="Times New Roman"/>
          <w:b w:val="0"/>
          <w:szCs w:val="24"/>
        </w:rPr>
        <w:t>g/cm</w:t>
      </w:r>
      <w:r w:rsidR="004600FC" w:rsidRPr="000E2377">
        <w:rPr>
          <w:rFonts w:cs="Times New Roman"/>
          <w:b w:val="0"/>
          <w:szCs w:val="24"/>
          <w:vertAlign w:val="superscript"/>
        </w:rPr>
        <w:t>3</w:t>
      </w:r>
      <w:r w:rsidR="004600FC" w:rsidRPr="000E2377">
        <w:rPr>
          <w:rFonts w:cs="Times New Roman"/>
          <w:b w:val="0"/>
          <w:szCs w:val="24"/>
        </w:rPr>
        <w:t>. However</w:t>
      </w:r>
      <w:r w:rsidR="00040067">
        <w:rPr>
          <w:rFonts w:cs="Times New Roman"/>
          <w:b w:val="0"/>
          <w:szCs w:val="24"/>
        </w:rPr>
        <w:t>,</w:t>
      </w:r>
      <w:r w:rsidR="004600FC" w:rsidRPr="000E2377">
        <w:rPr>
          <w:rFonts w:cs="Times New Roman"/>
          <w:b w:val="0"/>
          <w:szCs w:val="24"/>
        </w:rPr>
        <w:t xml:space="preserve"> for glass</w:t>
      </w:r>
      <w:r>
        <w:rPr>
          <w:rFonts w:cs="Times New Roman"/>
          <w:b w:val="0"/>
          <w:szCs w:val="24"/>
        </w:rPr>
        <w:t>es</w:t>
      </w:r>
      <w:r w:rsidR="004600FC" w:rsidRPr="000E2377">
        <w:rPr>
          <w:rFonts w:cs="Times New Roman"/>
          <w:b w:val="0"/>
          <w:szCs w:val="24"/>
        </w:rPr>
        <w:t xml:space="preserve"> contain B</w:t>
      </w:r>
      <w:r w:rsidR="004600FC" w:rsidRPr="000E2377">
        <w:rPr>
          <w:rFonts w:cs="Times New Roman"/>
          <w:b w:val="0"/>
          <w:szCs w:val="24"/>
          <w:vertAlign w:val="subscript"/>
        </w:rPr>
        <w:t>2</w:t>
      </w:r>
      <w:r w:rsidR="004600FC" w:rsidRPr="000E2377">
        <w:rPr>
          <w:rFonts w:cs="Times New Roman"/>
          <w:b w:val="0"/>
          <w:szCs w:val="24"/>
        </w:rPr>
        <w:t>O</w:t>
      </w:r>
      <w:r w:rsidR="004600FC" w:rsidRPr="000E2377">
        <w:rPr>
          <w:rFonts w:cs="Times New Roman"/>
          <w:b w:val="0"/>
          <w:szCs w:val="24"/>
          <w:vertAlign w:val="subscript"/>
        </w:rPr>
        <w:t>3</w:t>
      </w:r>
      <w:r w:rsidR="008B7C42">
        <w:rPr>
          <w:rFonts w:cs="Times New Roman"/>
          <w:b w:val="0"/>
          <w:szCs w:val="24"/>
        </w:rPr>
        <w:t>, the density is</w:t>
      </w:r>
      <w:r w:rsidR="004600FC" w:rsidRPr="000E2377">
        <w:rPr>
          <w:rFonts w:cs="Times New Roman"/>
          <w:b w:val="0"/>
          <w:szCs w:val="24"/>
          <w:vertAlign w:val="subscript"/>
        </w:rPr>
        <w:t xml:space="preserve"> </w:t>
      </w:r>
      <w:r w:rsidR="004600FC" w:rsidRPr="000E2377">
        <w:rPr>
          <w:rFonts w:cs="Times New Roman"/>
          <w:b w:val="0"/>
          <w:szCs w:val="24"/>
        </w:rPr>
        <w:t>around 2.2</w:t>
      </w:r>
      <w:r w:rsidR="00243C38">
        <w:rPr>
          <w:rFonts w:cs="Times New Roman"/>
          <w:b w:val="0"/>
          <w:szCs w:val="24"/>
        </w:rPr>
        <w:t xml:space="preserve"> </w:t>
      </w:r>
      <w:r w:rsidR="004600FC" w:rsidRPr="000E2377">
        <w:rPr>
          <w:rFonts w:cs="Times New Roman"/>
          <w:b w:val="0"/>
          <w:szCs w:val="24"/>
        </w:rPr>
        <w:t>g/cm</w:t>
      </w:r>
      <w:r w:rsidR="004600FC" w:rsidRPr="000E2377">
        <w:rPr>
          <w:rFonts w:cs="Times New Roman"/>
          <w:b w:val="0"/>
          <w:szCs w:val="24"/>
          <w:vertAlign w:val="superscript"/>
        </w:rPr>
        <w:t>3</w:t>
      </w:r>
      <w:r w:rsidR="000A6299">
        <w:rPr>
          <w:rFonts w:cs="Times New Roman"/>
          <w:b w:val="0"/>
          <w:szCs w:val="24"/>
        </w:rPr>
        <w:t xml:space="preserve"> and</w:t>
      </w:r>
      <w:r w:rsidR="004600FC" w:rsidRPr="000E2377">
        <w:rPr>
          <w:rFonts w:cs="Times New Roman"/>
          <w:b w:val="0"/>
          <w:szCs w:val="24"/>
        </w:rPr>
        <w:t xml:space="preserve"> the brittleness is extremely small </w:t>
      </w:r>
      <w:r w:rsidR="004600FC" w:rsidRPr="000E2377">
        <w:rPr>
          <w:rFonts w:cs="Times New Roman"/>
          <w:b w:val="0"/>
          <w:szCs w:val="24"/>
        </w:rPr>
        <w:fldChar w:fldCharType="begin" w:fldLock="1"/>
      </w:r>
      <w:r w:rsidR="004600FC" w:rsidRPr="000E2377">
        <w:rPr>
          <w:rFonts w:cs="Times New Roman"/>
          <w:b w:val="0"/>
          <w:szCs w:val="24"/>
        </w:rPr>
        <w:instrText>ADDIN CSL_CITATION { "citationItems" : [ { "id" : "ITEM-1", "itemData" : { "DOI" : "10.1016/S0022-3093(99)00348-8", "ISSN" : "00223093", "abstract" : "A study seeking to decrease the brittleness of glasses was carried out. The brittleness, defined as the ratio of hardness to fracture toughness, was estimated from the ratio of median crack length to the diagonal length of a deformation impression. The brittleness of various kinds of glasses in the silicate as well as borosilicate systems was investigated as a function of glass properties. The brittleness of the glasses was correlated with densities, i.e., a variation of approximately 1 to approximately 9 ??m-1/2 in brittleness was observed as the density varied from approximately 1.9 to approximately 2.8 g/cm3. The brittleness of normal glasses decreased with decreasing density due to the ease of both plastic flow and densification. On the other hand, the brittleness of anomalous glasses increased with decreasing density due to the lack of plastic flow. In addition, the brittleness of normal glasses was less than that of the anomalous glasses with the same density. We also observed that a 50% decrease in brittleness resulted in an increase of crack initiation load by approximately 15 times.", "author" : [ { "dropping-particle" : "", "family" : "Sehgal", "given" : "Jeetendra", "non-dropping-particle" : "", "parse-names" : false, "suffix" : "" }, { "dropping-particle" : "", "family" : "Ito", "given" : "Setsuro", "non-dropping-particle" : "", "parse-names" : false, "suffix" : "" } ], "container-title" : "Journal of Non-Crystalline Solids", "id" : "ITEM-1", "issue" : "1-3", "issued" : { "date-parts" : [ [ "1999" ] ] }, "page" : "126-132", "title" : "Brittleness of glass", "type" : "article-journal", "volume" : "253" }, "uris" : [ "http://www.mendeley.com/documents/?uuid=97c0428d-f5d8-425f-94e6-c34c36d82652" ] } ], "mendeley" : { "formattedCitation" : "(Sehgal &amp; Ito, 1999)", "plainTextFormattedCitation" : "(Sehgal &amp; Ito, 1999)", "previouslyFormattedCitation" : "(Sehgal &amp; Ito, 1999)" }, "properties" : { "noteIndex" : 0 }, "schema" : "https://github.com/citation-style-language/schema/raw/master/csl-citation.json" }</w:instrText>
      </w:r>
      <w:r w:rsidR="004600FC" w:rsidRPr="000E2377">
        <w:rPr>
          <w:rFonts w:cs="Times New Roman"/>
          <w:b w:val="0"/>
          <w:szCs w:val="24"/>
        </w:rPr>
        <w:fldChar w:fldCharType="separate"/>
      </w:r>
      <w:r w:rsidR="004600FC" w:rsidRPr="000E2377">
        <w:rPr>
          <w:rFonts w:cs="Times New Roman"/>
          <w:b w:val="0"/>
          <w:noProof/>
          <w:szCs w:val="24"/>
        </w:rPr>
        <w:t>(Sehgal &amp; Ito, 1999)</w:t>
      </w:r>
      <w:r w:rsidR="004600FC" w:rsidRPr="000E2377">
        <w:rPr>
          <w:rFonts w:cs="Times New Roman"/>
          <w:b w:val="0"/>
          <w:szCs w:val="24"/>
        </w:rPr>
        <w:fldChar w:fldCharType="end"/>
      </w:r>
      <w:r w:rsidR="000A6299">
        <w:rPr>
          <w:rFonts w:cs="Times New Roman"/>
          <w:b w:val="0"/>
          <w:szCs w:val="24"/>
        </w:rPr>
        <w:t xml:space="preserve"> due to </w:t>
      </w:r>
      <w:r w:rsidR="000A6299">
        <w:rPr>
          <w:rFonts w:cs="Times New Roman"/>
          <w:b w:val="0"/>
          <w:szCs w:val="24"/>
        </w:rPr>
        <w:lastRenderedPageBreak/>
        <w:t>the boron structure</w:t>
      </w:r>
      <w:r w:rsidR="004600FC" w:rsidRPr="000E2377">
        <w:rPr>
          <w:rFonts w:cs="Times New Roman"/>
          <w:b w:val="0"/>
          <w:szCs w:val="24"/>
        </w:rPr>
        <w:t>. When BO</w:t>
      </w:r>
      <w:r w:rsidR="004600FC" w:rsidRPr="000E2377">
        <w:rPr>
          <w:rFonts w:cs="Times New Roman"/>
          <w:b w:val="0"/>
          <w:szCs w:val="24"/>
          <w:vertAlign w:val="subscript"/>
        </w:rPr>
        <w:t>3</w:t>
      </w:r>
      <w:r w:rsidR="004600FC" w:rsidRPr="000E2377">
        <w:rPr>
          <w:rFonts w:cs="Times New Roman"/>
          <w:b w:val="0"/>
          <w:szCs w:val="24"/>
        </w:rPr>
        <w:t xml:space="preserve"> is </w:t>
      </w:r>
      <w:r w:rsidR="00E71160">
        <w:rPr>
          <w:rFonts w:cs="Times New Roman"/>
          <w:b w:val="0"/>
          <w:szCs w:val="24"/>
        </w:rPr>
        <w:t xml:space="preserve">in </w:t>
      </w:r>
      <w:r w:rsidR="004600FC" w:rsidRPr="000E2377">
        <w:rPr>
          <w:rFonts w:cs="Times New Roman"/>
          <w:b w:val="0"/>
          <w:szCs w:val="24"/>
        </w:rPr>
        <w:t>tri</w:t>
      </w:r>
      <w:r w:rsidR="00E71160">
        <w:rPr>
          <w:rFonts w:cs="Times New Roman"/>
          <w:b w:val="0"/>
          <w:szCs w:val="24"/>
        </w:rPr>
        <w:t>gonal units</w:t>
      </w:r>
      <w:r w:rsidR="004600FC" w:rsidRPr="000E2377">
        <w:rPr>
          <w:rFonts w:cs="Times New Roman"/>
          <w:b w:val="0"/>
          <w:szCs w:val="24"/>
        </w:rPr>
        <w:t xml:space="preserve"> or </w:t>
      </w:r>
      <w:proofErr w:type="spellStart"/>
      <w:r w:rsidR="004600FC" w:rsidRPr="000E2377">
        <w:rPr>
          <w:rFonts w:cs="Times New Roman"/>
          <w:b w:val="0"/>
          <w:szCs w:val="24"/>
        </w:rPr>
        <w:t>boroxyl</w:t>
      </w:r>
      <w:proofErr w:type="spellEnd"/>
      <w:r w:rsidR="004600FC" w:rsidRPr="000E2377">
        <w:rPr>
          <w:rFonts w:cs="Times New Roman"/>
          <w:b w:val="0"/>
          <w:szCs w:val="24"/>
        </w:rPr>
        <w:t xml:space="preserve"> </w:t>
      </w:r>
      <w:r w:rsidR="00E71160">
        <w:rPr>
          <w:rFonts w:cs="Times New Roman"/>
          <w:b w:val="0"/>
          <w:szCs w:val="24"/>
        </w:rPr>
        <w:t>rings</w:t>
      </w:r>
      <w:r w:rsidR="00E71160" w:rsidRPr="000E2377">
        <w:rPr>
          <w:rFonts w:cs="Times New Roman"/>
          <w:b w:val="0"/>
          <w:szCs w:val="24"/>
        </w:rPr>
        <w:t xml:space="preserve"> </w:t>
      </w:r>
      <w:r w:rsidR="00B70062">
        <w:rPr>
          <w:rFonts w:cs="Times New Roman"/>
          <w:b w:val="0"/>
          <w:szCs w:val="24"/>
        </w:rPr>
        <w:t>then</w:t>
      </w:r>
      <w:r w:rsidR="004600FC" w:rsidRPr="000E2377">
        <w:rPr>
          <w:rFonts w:cs="Times New Roman"/>
          <w:b w:val="0"/>
          <w:szCs w:val="24"/>
        </w:rPr>
        <w:t xml:space="preserve"> sliding of </w:t>
      </w:r>
      <w:r w:rsidR="00B70062">
        <w:rPr>
          <w:rFonts w:cs="Times New Roman"/>
          <w:b w:val="0"/>
          <w:szCs w:val="24"/>
        </w:rPr>
        <w:t xml:space="preserve">these planar </w:t>
      </w:r>
      <w:r w:rsidR="004600FC" w:rsidRPr="000E2377">
        <w:rPr>
          <w:rFonts w:cs="Times New Roman"/>
          <w:b w:val="0"/>
          <w:szCs w:val="24"/>
        </w:rPr>
        <w:t>structure</w:t>
      </w:r>
      <w:r w:rsidR="00B70062">
        <w:rPr>
          <w:rFonts w:cs="Times New Roman"/>
          <w:b w:val="0"/>
          <w:szCs w:val="24"/>
        </w:rPr>
        <w:t>s</w:t>
      </w:r>
      <w:r w:rsidR="004600FC" w:rsidRPr="000E2377">
        <w:rPr>
          <w:rFonts w:cs="Times New Roman"/>
          <w:b w:val="0"/>
          <w:szCs w:val="24"/>
        </w:rPr>
        <w:t xml:space="preserve"> </w:t>
      </w:r>
      <w:r w:rsidR="00B70062">
        <w:rPr>
          <w:rFonts w:cs="Times New Roman"/>
          <w:b w:val="0"/>
          <w:szCs w:val="24"/>
        </w:rPr>
        <w:t>aid</w:t>
      </w:r>
      <w:r w:rsidR="004600FC" w:rsidRPr="000E2377">
        <w:rPr>
          <w:rFonts w:cs="Times New Roman"/>
          <w:b w:val="0"/>
          <w:szCs w:val="24"/>
        </w:rPr>
        <w:t xml:space="preserve"> plastic flow </w:t>
      </w:r>
      <w:r w:rsidR="004600FC" w:rsidRPr="000E2377">
        <w:rPr>
          <w:rFonts w:cs="Times New Roman"/>
          <w:b w:val="0"/>
          <w:szCs w:val="24"/>
        </w:rPr>
        <w:fldChar w:fldCharType="begin" w:fldLock="1"/>
      </w:r>
      <w:r w:rsidR="004600FC" w:rsidRPr="000E2377">
        <w:rPr>
          <w:rFonts w:cs="Times New Roman"/>
          <w:b w:val="0"/>
          <w:szCs w:val="24"/>
        </w:rPr>
        <w:instrText>ADDIN CSL_CITATION { "citationItems" : [ { "id" : "ITEM-1", "itemData" : { "author" : [ { "dropping-particle" : "", "family" : "Kazuyuki Hirao", "given" : "Jun Matsuoka and Naohiro Soga", "non-dropping-particle" : "", "parse-names" : false, "suffix" : "" } ], "container-title" : "Journal of Non-Crystalline Solids", "id" : "ITEM-1", "issued" : { "date-parts" : [ [ "1989" ] ] }, "page" : "336-340", "title" : "Inelastic deformation and structure of borate glass", "type" : "article-journal", "volume" : "112" }, "uris" : [ "http://www.mendeley.com/documents/?uuid=0f2d7f79-313d-41de-9c65-1a6f4d0de9f2" ] } ], "mendeley" : { "formattedCitation" : "(Kazuyuki Hirao, 1989)", "manualFormatting" : "(Hirao, 1989)", "plainTextFormattedCitation" : "(Kazuyuki Hirao, 1989)", "previouslyFormattedCitation" : "(Kazuyuki Hirao, 1989)" }, "properties" : { "noteIndex" : 0 }, "schema" : "https://github.com/citation-style-language/schema/raw/master/csl-citation.json" }</w:instrText>
      </w:r>
      <w:r w:rsidR="004600FC" w:rsidRPr="000E2377">
        <w:rPr>
          <w:rFonts w:cs="Times New Roman"/>
          <w:b w:val="0"/>
          <w:szCs w:val="24"/>
        </w:rPr>
        <w:fldChar w:fldCharType="separate"/>
      </w:r>
      <w:r w:rsidR="004600FC" w:rsidRPr="000E2377">
        <w:rPr>
          <w:rFonts w:cs="Times New Roman"/>
          <w:b w:val="0"/>
          <w:noProof/>
          <w:szCs w:val="24"/>
        </w:rPr>
        <w:t>(Hirao, 1989)</w:t>
      </w:r>
      <w:r w:rsidR="004600FC" w:rsidRPr="000E2377">
        <w:rPr>
          <w:rFonts w:cs="Times New Roman"/>
          <w:b w:val="0"/>
          <w:szCs w:val="24"/>
        </w:rPr>
        <w:fldChar w:fldCharType="end"/>
      </w:r>
      <w:r w:rsidR="004600FC" w:rsidRPr="000E2377">
        <w:rPr>
          <w:rFonts w:cs="Times New Roman"/>
          <w:b w:val="0"/>
          <w:szCs w:val="24"/>
        </w:rPr>
        <w:t xml:space="preserve">. </w:t>
      </w:r>
    </w:p>
    <w:p w14:paraId="3EB5E442" w14:textId="5E5A5B4F" w:rsidR="004600FC" w:rsidRPr="000E2377" w:rsidRDefault="004600FC" w:rsidP="005D010C">
      <w:pPr>
        <w:numPr>
          <w:ilvl w:val="0"/>
          <w:numId w:val="4"/>
        </w:numPr>
        <w:spacing w:line="360" w:lineRule="auto"/>
        <w:contextualSpacing/>
        <w:jc w:val="both"/>
        <w:rPr>
          <w:rFonts w:cs="Times New Roman"/>
          <w:b w:val="0"/>
          <w:szCs w:val="24"/>
        </w:rPr>
      </w:pPr>
      <w:r w:rsidRPr="000E2377">
        <w:rPr>
          <w:rFonts w:cs="Times New Roman"/>
          <w:b w:val="0"/>
          <w:szCs w:val="24"/>
        </w:rPr>
        <w:t xml:space="preserve">The brittleness of glass </w:t>
      </w:r>
      <w:r w:rsidR="00BE6308">
        <w:rPr>
          <w:rFonts w:cs="Times New Roman"/>
          <w:b w:val="0"/>
          <w:szCs w:val="24"/>
        </w:rPr>
        <w:t xml:space="preserve">can </w:t>
      </w:r>
      <w:r w:rsidRPr="000E2377">
        <w:rPr>
          <w:rFonts w:cs="Times New Roman"/>
          <w:b w:val="0"/>
          <w:szCs w:val="24"/>
        </w:rPr>
        <w:t xml:space="preserve">also be </w:t>
      </w:r>
      <w:r w:rsidR="00BE6308">
        <w:rPr>
          <w:rFonts w:cs="Times New Roman"/>
          <w:b w:val="0"/>
          <w:szCs w:val="24"/>
        </w:rPr>
        <w:t>modified</w:t>
      </w:r>
      <w:r w:rsidR="00BE6308" w:rsidRPr="000E2377">
        <w:rPr>
          <w:rFonts w:cs="Times New Roman"/>
          <w:b w:val="0"/>
          <w:szCs w:val="24"/>
        </w:rPr>
        <w:t xml:space="preserve"> </w:t>
      </w:r>
      <w:r w:rsidRPr="000E2377">
        <w:rPr>
          <w:rFonts w:cs="Times New Roman"/>
          <w:b w:val="0"/>
          <w:szCs w:val="24"/>
        </w:rPr>
        <w:t>by controlling</w:t>
      </w:r>
      <w:r w:rsidR="00BE6308">
        <w:rPr>
          <w:rFonts w:cs="Times New Roman"/>
          <w:b w:val="0"/>
          <w:szCs w:val="24"/>
        </w:rPr>
        <w:t xml:space="preserve"> the</w:t>
      </w:r>
      <w:r w:rsidRPr="000E2377">
        <w:rPr>
          <w:rFonts w:cs="Times New Roman"/>
          <w:b w:val="0"/>
          <w:szCs w:val="24"/>
        </w:rPr>
        <w:t xml:space="preserve"> mobility of network modifier ions, amount</w:t>
      </w:r>
      <w:r w:rsidR="00BE6308">
        <w:rPr>
          <w:rFonts w:cs="Times New Roman"/>
          <w:b w:val="0"/>
          <w:szCs w:val="24"/>
        </w:rPr>
        <w:t>s</w:t>
      </w:r>
      <w:r w:rsidRPr="000E2377">
        <w:rPr>
          <w:rFonts w:cs="Times New Roman"/>
          <w:b w:val="0"/>
          <w:szCs w:val="24"/>
        </w:rPr>
        <w:t xml:space="preserve"> of non-bridging oxygens or ring size distribution</w:t>
      </w:r>
      <w:r w:rsidR="00BE6308">
        <w:rPr>
          <w:rFonts w:cs="Times New Roman"/>
          <w:b w:val="0"/>
          <w:szCs w:val="24"/>
        </w:rPr>
        <w:t>s</w:t>
      </w:r>
      <w:r w:rsidRPr="000E2377">
        <w:rPr>
          <w:rFonts w:cs="Times New Roman"/>
          <w:b w:val="0"/>
          <w:szCs w:val="24"/>
        </w:rPr>
        <w:t xml:space="preserve"> </w:t>
      </w:r>
      <w:r w:rsidRPr="000E2377">
        <w:rPr>
          <w:rFonts w:cs="Times New Roman"/>
          <w:b w:val="0"/>
          <w:szCs w:val="24"/>
        </w:rPr>
        <w:fldChar w:fldCharType="begin" w:fldLock="1"/>
      </w:r>
      <w:r w:rsidRPr="000E2377">
        <w:rPr>
          <w:rFonts w:cs="Times New Roman"/>
          <w:b w:val="0"/>
          <w:szCs w:val="24"/>
        </w:rPr>
        <w:instrText>ADDIN CSL_CITATION { "citationItems" : [ { "id" : "ITEM-1", "itemData" : { "DOI" : "10.1016/j.jnoncrysol.2014.10.012", "ISSN" : "00223093", "abstract" : "Data on micromechanical properties of ancient and medieval glass fragments and glasses of early modern and today's manufacturing were compiled to offer a tentative look on changes in the brittleness of glass over the past 2000 years. Chronology of glass making was based on glass chemistry using rare earth element (REE) pattern, fluxing agents and provenance analysis while cracking and brittleness were evaluated from Vickers indentation in the course of the mean crack initiation load CR and the crack length-to-half diagonal ratio c/a. A structural analysis revealed that CR increases and c/a decreases with increasing molar volume i.e. decreasing atomic packing fraction, which allows us to classify periods of high and low crack-resistant and brittle glasses along the time line of historic glass technology.", "author" : [ { "dropping-particle" : "", "family" : "Hasdemir", "given" : "Ilhan", "non-dropping-particle" : "", "parse-names" : false, "suffix" : "" }, { "dropping-particle" : "", "family" : "Striepe", "given" : "Simon", "non-dropping-particle" : "", "parse-names" : false, "suffix" : "" }, { "dropping-particle" : "", "family" : "Deubener", "given" : "Joachim", "non-dropping-particle" : "", "parse-names" : false, "suffix" : "" }, { "dropping-particle" : "", "family" : "Simon", "given" : "Klaus", "non-dropping-particle" : "", "parse-names" : false, "suffix" : "" } ], "container-title" : "Journal of Non-Crystalline Solids", "id" : "ITEM-1", "issued" : { "date-parts" : [ [ "2015" ] ] }, "page" : "51-56", "publisher" : "Elsevier B.V.", "title" : "A 2000-year perspective on indentation crack resistance and brittleness of glass", "type" : "article-journal", "volume" : "408" }, "uris" : [ "http://www.mendeley.com/documents/?uuid=d050bc6c-5fd2-4854-b76b-a8122a60be78" ] } ], "mendeley" : { "formattedCitation" : "(Hasdemir, Striepe, Deubener, &amp; Simon, 2015)", "manualFormatting" : "(Hasdemir et al., 2015)", "plainTextFormattedCitation" : "(Hasdemir, Striepe, Deubener, &amp; Simon, 2015)", "previouslyFormattedCitation" : "(Hasdemir, Striepe, Deubener, &amp; Simon, 2015)" }, "properties" : { "noteIndex" : 0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(Hasdemir et al., 2015)</w:t>
      </w:r>
      <w:r w:rsidRPr="000E2377">
        <w:rPr>
          <w:rFonts w:cs="Times New Roman"/>
          <w:b w:val="0"/>
          <w:szCs w:val="24"/>
        </w:rPr>
        <w:fldChar w:fldCharType="end"/>
      </w:r>
      <w:r w:rsidRPr="000E2377">
        <w:rPr>
          <w:rFonts w:cs="Times New Roman"/>
          <w:b w:val="0"/>
          <w:szCs w:val="24"/>
        </w:rPr>
        <w:t xml:space="preserve"> </w:t>
      </w:r>
      <w:r w:rsidR="00433646">
        <w:rPr>
          <w:rFonts w:cs="Times New Roman"/>
          <w:b w:val="0"/>
          <w:szCs w:val="24"/>
        </w:rPr>
        <w:t xml:space="preserve">and </w:t>
      </w:r>
      <w:r w:rsidR="00DC42B4">
        <w:rPr>
          <w:rFonts w:cs="Times New Roman"/>
          <w:b w:val="0"/>
          <w:szCs w:val="24"/>
        </w:rPr>
        <w:t>i</w:t>
      </w:r>
      <w:r w:rsidR="00433646">
        <w:rPr>
          <w:rFonts w:cs="Times New Roman"/>
          <w:b w:val="0"/>
          <w:szCs w:val="24"/>
        </w:rPr>
        <w:t>t is correlate</w:t>
      </w:r>
      <w:r w:rsidR="00DC42B4">
        <w:rPr>
          <w:rFonts w:cs="Times New Roman"/>
          <w:b w:val="0"/>
          <w:szCs w:val="24"/>
        </w:rPr>
        <w:t>d</w:t>
      </w:r>
      <w:r w:rsidRPr="000E2377">
        <w:rPr>
          <w:rFonts w:cs="Times New Roman"/>
          <w:b w:val="0"/>
          <w:szCs w:val="24"/>
        </w:rPr>
        <w:t xml:space="preserve"> to packing density and Poisson’s ratio </w:t>
      </w:r>
      <w:r w:rsidRPr="000E2377">
        <w:rPr>
          <w:rFonts w:cs="Times New Roman"/>
          <w:b w:val="0"/>
          <w:szCs w:val="24"/>
        </w:rPr>
        <w:fldChar w:fldCharType="begin" w:fldLock="1"/>
      </w:r>
      <w:r w:rsidRPr="000E2377">
        <w:rPr>
          <w:rFonts w:cs="Times New Roman"/>
          <w:b w:val="0"/>
          <w:szCs w:val="24"/>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"manualFormatting" : "(Rouxel, 2007)", "plainTextFormattedCitation" : "(Tanguy Rouxel, 2007)", "previouslyFormattedCitation" : "(Tanguy Rouxel, 2007)" }, "properties" : { "noteIndex" : 0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(Rouxel, 2007)</w:t>
      </w:r>
      <w:r w:rsidRPr="000E2377">
        <w:rPr>
          <w:rFonts w:cs="Times New Roman"/>
          <w:b w:val="0"/>
          <w:szCs w:val="24"/>
        </w:rPr>
        <w:fldChar w:fldCharType="end"/>
      </w:r>
      <w:r w:rsidRPr="000E2377">
        <w:rPr>
          <w:rFonts w:cs="Times New Roman"/>
          <w:b w:val="0"/>
          <w:szCs w:val="24"/>
        </w:rPr>
        <w:t>.</w:t>
      </w:r>
    </w:p>
    <w:p w14:paraId="63027E08" w14:textId="25AB5DF8" w:rsidR="004600FC" w:rsidRPr="000E2377" w:rsidRDefault="004600FC" w:rsidP="000648E6">
      <w:pPr>
        <w:spacing w:after="0" w:line="360" w:lineRule="auto"/>
        <w:jc w:val="both"/>
        <w:rPr>
          <w:rFonts w:cs="Times New Roman"/>
          <w:b w:val="0"/>
          <w:szCs w:val="24"/>
        </w:rPr>
      </w:pPr>
      <w:r w:rsidRPr="000E2377">
        <w:rPr>
          <w:rFonts w:cs="Times New Roman"/>
          <w:b w:val="0"/>
          <w:szCs w:val="24"/>
        </w:rPr>
        <w:t>Figure</w:t>
      </w:r>
      <w:r w:rsidR="00B70062">
        <w:rPr>
          <w:rFonts w:cs="Times New Roman"/>
          <w:b w:val="0"/>
          <w:szCs w:val="24"/>
        </w:rPr>
        <w:t>s</w:t>
      </w:r>
      <w:r w:rsidRPr="000E2377">
        <w:rPr>
          <w:rFonts w:cs="Times New Roman"/>
          <w:b w:val="0"/>
          <w:szCs w:val="24"/>
        </w:rPr>
        <w:t xml:space="preserve"> 2.</w:t>
      </w:r>
      <w:r w:rsidR="008E17AF" w:rsidRPr="000E2377">
        <w:rPr>
          <w:rFonts w:cs="Times New Roman"/>
          <w:b w:val="0"/>
          <w:szCs w:val="24"/>
        </w:rPr>
        <w:t>1</w:t>
      </w:r>
      <w:r w:rsidR="008E17AF">
        <w:rPr>
          <w:rFonts w:cs="Times New Roman"/>
          <w:b w:val="0"/>
          <w:szCs w:val="24"/>
        </w:rPr>
        <w:t>1</w:t>
      </w:r>
      <w:r w:rsidRPr="000E2377">
        <w:rPr>
          <w:rFonts w:cs="Times New Roman"/>
          <w:b w:val="0"/>
          <w:szCs w:val="24"/>
        </w:rPr>
        <w:t>-2.</w:t>
      </w:r>
      <w:r w:rsidR="008E17AF" w:rsidRPr="000E2377">
        <w:rPr>
          <w:rFonts w:cs="Times New Roman"/>
          <w:b w:val="0"/>
          <w:szCs w:val="24"/>
        </w:rPr>
        <w:t>1</w:t>
      </w:r>
      <w:r w:rsidR="008E17AF">
        <w:rPr>
          <w:rFonts w:cs="Times New Roman"/>
          <w:b w:val="0"/>
          <w:szCs w:val="24"/>
        </w:rPr>
        <w:t xml:space="preserve">3 </w:t>
      </w:r>
      <w:r w:rsidR="00B70062">
        <w:rPr>
          <w:rFonts w:cs="Times New Roman"/>
          <w:b w:val="0"/>
          <w:szCs w:val="24"/>
        </w:rPr>
        <w:t>show that</w:t>
      </w:r>
      <w:r w:rsidRPr="000E2377">
        <w:rPr>
          <w:rFonts w:cs="Times New Roman"/>
          <w:b w:val="0"/>
          <w:szCs w:val="24"/>
        </w:rPr>
        <w:t xml:space="preserve"> brittleness </w:t>
      </w:r>
      <w:r w:rsidR="00B70062">
        <w:rPr>
          <w:rFonts w:cs="Times New Roman"/>
          <w:b w:val="0"/>
          <w:szCs w:val="24"/>
        </w:rPr>
        <w:t>increases with increasing</w:t>
      </w:r>
      <w:r w:rsidRPr="000E2377">
        <w:rPr>
          <w:rFonts w:cs="Times New Roman"/>
          <w:b w:val="0"/>
          <w:szCs w:val="24"/>
        </w:rPr>
        <w:t xml:space="preserve"> Young’s modulus, Poisson’s ratio and density. </w:t>
      </w:r>
    </w:p>
    <w:p w14:paraId="71A9F2BD" w14:textId="29359F6E" w:rsidR="004600FC" w:rsidRPr="000E2377" w:rsidRDefault="00E31A91" w:rsidP="000648E6">
      <w:pPr>
        <w:spacing w:after="0" w:line="240" w:lineRule="auto"/>
        <w:ind w:left="1080"/>
        <w:jc w:val="center"/>
        <w:rPr>
          <w:rFonts w:asciiTheme="minorHAnsi" w:hAnsiTheme="minorHAnsi"/>
          <w:b w:val="0"/>
          <w:sz w:val="22"/>
        </w:rPr>
      </w:pPr>
      <w:r w:rsidRPr="000E2377">
        <w:rPr>
          <w:noProof/>
          <w:lang w:eastAsia="en-MY"/>
        </w:rPr>
        <w:drawing>
          <wp:inline distT="0" distB="0" distL="0" distR="0" wp14:anchorId="29278C5C" wp14:editId="4A67F85A">
            <wp:extent cx="3738513" cy="2844000"/>
            <wp:effectExtent l="0" t="0" r="0" b="0"/>
            <wp:docPr id="1788" name="Picture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38513" cy="2844000"/>
                    </a:xfrm>
                    <a:prstGeom prst="rect">
                      <a:avLst/>
                    </a:prstGeom>
                    <a:noFill/>
                    <a:ln>
                      <a:noFill/>
                    </a:ln>
                  </pic:spPr>
                </pic:pic>
              </a:graphicData>
            </a:graphic>
          </wp:inline>
        </w:drawing>
      </w:r>
    </w:p>
    <w:p w14:paraId="1FD223D7" w14:textId="0308D29D" w:rsidR="004600FC" w:rsidRPr="000E2377" w:rsidRDefault="001175BB" w:rsidP="00DC0EF0">
      <w:pPr>
        <w:pStyle w:val="Caption"/>
        <w:spacing w:after="0"/>
        <w:rPr>
          <w:szCs w:val="24"/>
        </w:rPr>
      </w:pPr>
      <w:bookmarkStart w:id="178" w:name="_Toc521420447"/>
      <w:bookmarkStart w:id="179" w:name="_Toc525223182"/>
      <w:bookmarkStart w:id="180" w:name="_Toc525528330"/>
      <w:bookmarkStart w:id="181" w:name="_Toc525706345"/>
      <w:r w:rsidRPr="000E2377">
        <w:t xml:space="preserve">Figure </w:t>
      </w:r>
      <w:r w:rsidR="00DE32A9">
        <w:t>2</w:t>
      </w:r>
      <w:r w:rsidR="002513FF" w:rsidRPr="000E2377">
        <w:t>.</w:t>
      </w:r>
      <w:r w:rsidR="003A7455">
        <w:t>11</w:t>
      </w:r>
      <w:r w:rsidRPr="000E2377">
        <w:t xml:space="preserve">: </w:t>
      </w:r>
      <w:r w:rsidR="004600FC" w:rsidRPr="000E2377">
        <w:rPr>
          <w:szCs w:val="24"/>
        </w:rPr>
        <w:t xml:space="preserve">Young’s modulus </w:t>
      </w:r>
      <w:r w:rsidR="00E31A91" w:rsidRPr="000E2377">
        <w:rPr>
          <w:szCs w:val="24"/>
        </w:rPr>
        <w:t xml:space="preserve">versus brittleness </w:t>
      </w:r>
      <w:r w:rsidR="004600FC" w:rsidRPr="000E2377">
        <w:rPr>
          <w:szCs w:val="24"/>
        </w:rPr>
        <w:t>of various types of glasses</w:t>
      </w:r>
      <w:r w:rsidR="0097195B">
        <w:rPr>
          <w:szCs w:val="24"/>
        </w:rPr>
        <w:t xml:space="preserve"> and composition</w:t>
      </w:r>
      <w:r w:rsidR="007A3991">
        <w:rPr>
          <w:szCs w:val="24"/>
        </w:rPr>
        <w:t xml:space="preserve"> (Si, silicate; Na, Sodium; B; Boron; M, Magnesium and Ca, Calcium)</w:t>
      </w:r>
      <w:r w:rsidR="00B70062">
        <w:rPr>
          <w:szCs w:val="24"/>
        </w:rPr>
        <w:t>; data from</w:t>
      </w:r>
      <w:r w:rsidR="004600FC" w:rsidRPr="000E2377">
        <w:rPr>
          <w:szCs w:val="24"/>
        </w:rPr>
        <w:t xml:space="preserve"> </w:t>
      </w:r>
      <w:r w:rsidR="004600FC" w:rsidRPr="000E2377">
        <w:rPr>
          <w:szCs w:val="24"/>
        </w:rPr>
        <w:fldChar w:fldCharType="begin" w:fldLock="1"/>
      </w:r>
      <w:r w:rsidR="004600FC" w:rsidRPr="000E2377">
        <w:rPr>
          <w:szCs w:val="24"/>
        </w:rPr>
        <w:instrText>ADDIN CSL_CITATION { "citationItems" : [ { "id" : "ITEM-1", "itemData" : { "DOI" : "10.1016/j.jnoncrysol.2015.08.013", "ISSN" : "00223093", "abstract" : "The effects of varying the alkaline earth oxide content of three series of soda-lime-silica glasses with the general formulae 13.5Na&lt;inf&gt;2&lt;/inf&gt;O??xMgO??10CaO??1.5Al&lt;inf&gt;2&lt;/inf&gt;O&lt;inf&gt;3&lt;/inf&gt;??(75 - x)SiO&lt;inf&gt;2&lt;/inf&gt; (mol.%) where x = 0, 1, 2, 3, 4, 5, 6, and 7; 13.5Na&lt;inf&gt;2&lt;/inf&gt;O??3MgO??(7 + y)CaO??1.5Al&lt;inf&gt;2&lt;/inf&gt;O&lt;inf&gt;3&lt;/inf&gt;??(75 - y)SiO&lt;inf&gt;2&lt;/inf&gt; (mol.%) where y = 0, 1, 2, 3, 4, 5, 6, and 7 and 13.5Na&lt;inf&gt;2&lt;/inf&gt;O??zMgO??(13 - z)CaO??1.5Al&lt;inf&gt;2&lt;/inf&gt;O&lt;inf&gt;3&lt;/inf&gt;??72SiO&lt;inf&gt;2&lt;/inf&gt; (mol.%) where z = 1, 3, 5, 7, 9, and 11 have been examined. Raman spectroscopy and nuclear magnetic resonance (NMR) spectroscopy have been used to assess network connectivity. In the first two glass series network connectivity decreases with increasing alkaline earth addition whereas in the third series connectivity tends to be greater for the more magnesia rich glasses suggesting that magnesia does have a different effect to lime on network connectivity, but only when magnesia is the dominant alkaline earth species. Fracture toughness has been measured using bend testing, which avoids many of the questions raised by the widely used indentation technique. Moduli have been assessed using acoustic means. It was found that the mechanical properties tend to decrease with increasing network connectivity for all three glass series. For the MgO-SiO&lt;inf&gt;2&lt;/inf&gt; series and CaO-SiO&lt;inf&gt;2&lt;/inf&gt; glasses increasing the alkaline earth content at the expense of the silica content resulted in increased network depolymerization, whereas for the MgO-CaO series when MgO became the dominant alkaline earth species, network depolymerization was reduced. Thus whilst MgO and CaO both act as network modifiers when more CaO than MgO is present in soda-lime-silica glasses, a difference in behaviour is seen with magnesia rich soda-magnesia-silica glasses. In contradiction to previous data no significant advantage of replacing CaO by MgO is observed. In addition it appears that the glasses with the lowest fracture toughness values may be more resilient to contact damage than those with the higher fracture toughness values.", "author" : [ { "dropping-particle" : "", "family" : "Kilinc", "given" : "Erhan", "non-dropping-particle" : "", "parse-names" : false, "suffix" : "" }, { "dropping-particle" : "", "family" : "Hand", "given" : "Russell J.", "non-dropping-particle" : "", "parse-names" : false, "suffix" : "" } ], "container-title" : "Journal of Non-Crystalline Solids", "id" : "ITEM-1", "issued" : { "date-parts" : [ [ "2015" ] ] }, "page" : "190-197", "publisher" : "Elsevier B.V.", "title" : "Mechanical properties of soda-lime-silica glasses with varying alkaline earth contents", "type" : "article-journal", "volume" : "429" }, "uris" : [ "http://www.mendeley.com/documents/?uuid=5e3603f4-1f0f-4670-837a-f1bef9fbd8a3" ] } ], "mendeley" : { "formattedCitation" : "(Kilinc &amp; Hand, 2015)", "plainTextFormattedCitation" : "(Kilinc &amp; Hand, 2015)", "previouslyFormattedCitation" : "(Kilinc &amp; Hand, 2015)" }, "properties" : { "noteIndex" : 0 }, "schema" : "https://github.com/citation-style-language/schema/raw/master/csl-citation.json" }</w:instrText>
      </w:r>
      <w:r w:rsidR="004600FC" w:rsidRPr="000E2377">
        <w:rPr>
          <w:szCs w:val="24"/>
        </w:rPr>
        <w:fldChar w:fldCharType="separate"/>
      </w:r>
      <w:r w:rsidR="004600FC" w:rsidRPr="000E2377">
        <w:rPr>
          <w:noProof/>
          <w:szCs w:val="24"/>
        </w:rPr>
        <w:t>(Kilinc &amp; Hand, 2015)</w:t>
      </w:r>
      <w:r w:rsidR="004600FC" w:rsidRPr="000E2377">
        <w:rPr>
          <w:szCs w:val="24"/>
        </w:rPr>
        <w:fldChar w:fldCharType="end"/>
      </w:r>
      <w:r w:rsidR="004600FC" w:rsidRPr="000E2377">
        <w:rPr>
          <w:szCs w:val="24"/>
        </w:rPr>
        <w:fldChar w:fldCharType="begin" w:fldLock="1"/>
      </w:r>
      <w:r w:rsidR="004600FC" w:rsidRPr="000E2377">
        <w:rPr>
          <w:szCs w:val="24"/>
        </w:rPr>
        <w:instrText>ADDIN CSL_CITATION { "citationItems" : [ { "id" : "ITEM-1", "itemData" : { "DOI" : "10.1111/j.1151-2916.1998.tb02649.x", "ISSN" : "1551-2916", "abstract" : "In the soda\u2013lime\u2013silica glass family, the effect of each constituent of the composition on the brittleness was first investigated. Vickers indentation was employed to estimate the brittleness (ratio of harness (H) to fracture toughness (Kc)) by measuring the C/a ratios (where C and a are the characteristic crack and indentation diagonal lengths, respectively). It was observed that a higher silica content and a lower lime content helped to lower the brittleness. Substitution of potash and magnesia for soda and calcia, respectively, was effective in lowering the brittleness. From these results, a higher molar volume was found to be a key factor for reducing the brittleness. A new low-brittleness glass was then developed with a brittleness as low as 5.1 \u03bcm\u22121/2 as compared with the brittleness of 7.1 \u03bcm\u22121/2 for commercial soda\u2013lime\u2013silica glass. The crack initiation load (P*), measured by the Vickers indentation method, for this new low-brittleness glass was almost 10 times as high as P* of commercial soda\u2013lime\u2013silica glass. The new glass shows lower hardness and higher fracture toughness than the commercial soda\u2013lime\u2013silica glass.", "author" : [ { "dropping-particle" : "", "family" : "Sehgal", "given" : "Jeetendra", "non-dropping-particle" : "", "parse-names" : false, "suffix" : "" }, { "dropping-particle" : "", "family" : "Ito", "given" : "Setsuro", "non-dropping-particle" : "", "parse-names" : false, "suffix" : "" } ], "container-title" : "Journal of the American Ceramic Society", "id" : "ITEM-1", "issue" : "9", "issued" : { "date-parts" : [ [ "1998" ] ] }, "page" : "2485-2488", "title" : "A New Low-Brittleness Glass in the Soda \u2013 Lime \u2013 Silica Glass Family", "type" : "article-journal", "volume" : "81" }, "uris" : [ "http://www.mendeley.com/documents/?uuid=d1ef5862-ddf2-4193-a520-ab000d20209f" ] } ], "mendeley" : { "formattedCitation" : "(Sehgal &amp; Ito, 1998)", "plainTextFormattedCitation" : "(Sehgal &amp; Ito, 1998)", "previouslyFormattedCitation" : "(Sehgal &amp; Ito, 1998)" }, "properties" : { "noteIndex" : 0 }, "schema" : "https://github.com/citation-style-language/schema/raw/master/csl-citation.json" }</w:instrText>
      </w:r>
      <w:r w:rsidR="004600FC" w:rsidRPr="000E2377">
        <w:rPr>
          <w:szCs w:val="24"/>
        </w:rPr>
        <w:fldChar w:fldCharType="separate"/>
      </w:r>
      <w:r w:rsidR="004600FC" w:rsidRPr="000E2377">
        <w:rPr>
          <w:noProof/>
          <w:szCs w:val="24"/>
        </w:rPr>
        <w:t>(Sehgal &amp; Ito, 1998)</w:t>
      </w:r>
      <w:r w:rsidR="004600FC" w:rsidRPr="000E2377">
        <w:rPr>
          <w:szCs w:val="24"/>
        </w:rPr>
        <w:fldChar w:fldCharType="end"/>
      </w:r>
      <w:r w:rsidR="004600FC" w:rsidRPr="000E2377">
        <w:rPr>
          <w:szCs w:val="24"/>
        </w:rPr>
        <w:t xml:space="preserve"> </w:t>
      </w:r>
      <w:r w:rsidR="004600FC" w:rsidRPr="000E2377">
        <w:rPr>
          <w:szCs w:val="24"/>
        </w:rPr>
        <w:fldChar w:fldCharType="begin" w:fldLock="1"/>
      </w:r>
      <w:r w:rsidR="004600FC" w:rsidRPr="000E2377">
        <w:rPr>
          <w:szCs w:val="24"/>
        </w:rPr>
        <w:instrText>ADDIN CSL_CITATION { "citationItems" : [ { "id" : "ITEM-1", "itemData" : { "DOI" : "10.1016/j.msea.2011.11.012", "ISSN" : "09215093", "abstract" : "From thermal treatment of indentations made on glass, the densification contribution to the total indentation deformation can be estimated. In this work, we studied the physico-mechanical properties and low-temperature indentation recovery of soda-lime silicate glasses with the composition of (in wt%) 73SiO 2-12CaO-15Na 2O-xTiO 2 (ZrO 2 or HfO 2), where x is 0, 1, 2, 4 and 8. The obtained results demonstrated that the addition of group IV B metal oxides (TiO 2, ZrO 2 and HfO 2) into soda-lime silicate glass increased density, elastic moduli, Vickers hardness and brittleness due to the higher atomic weight of additives, increased network connectivity, higher strength of individual bonds formed and lower molar volume, respectively. Indentation recovery of glass samples containing 8 wt% TiO 2 (G5), 8 wt% ZrO 2 (G9) and 8 wt% HfO 2 (G13) was comparatively estimated with that of a pure soda-lime silicate glass (G1), as a reference, on the basis of the depth change of indentation impressions at low temperatures, 25??C and 100??C, for different periods with a maximum of 48h. It was found that the higher indentation recovery for all four samples was observed at both temperatures within the first 6h due to stored strain energy in deformation zone but equilibrium was not reached even after 48h because of low thermal treatment temperatures, which generally provide a thermodynamic driving force to recover. According to the glass composition, the indentation recovery rate follows the order: G13&lt;G9&lt;G5&lt;G1, which is mainly attributed to the decrease in densification with the increase the size of tetravalent metal cations introduced into soda-lime silicate glass. All the indentations made on the experimental glasses exhibited three common features: elasticity, viscoelasticity and plasticity. ?? 2011 Elsevier B.V.", "author" : [ { "dropping-particle" : "", "family" : "Hojamberdiev", "given" : "Mirabbos", "non-dropping-particle" : "", "parse-names" : false, "suffix" : "" }, { "dropping-particle" : "", "family" : "Stevens", "given" : "Harrie J.", "non-dropping-particle" : "", "parse-names" : false, "suffix" : "" } ], "container-title" : "Materials Science and Engineering A", "id" : "ITEM-1", "issued" : { "date-parts" : [ [ "2012" ] ] }, "page" : "456-461", "publisher" : "Elsevier B.V.", "title" : "Indentation recovery of soda-lime silicate glasses containing titania, zirconia and hafnia at low temperatures", "type" : "article-journal", "volume" : "532" }, "uris" : [ "http://www.mendeley.com/documents/?uuid=942f748b-a2ed-4872-b012-3ed579939333" ] } ], "mendeley" : { "formattedCitation" : "(Hojamberdiev &amp; Stevens, 2012)", "plainTextFormattedCitation" : "(Hojamberdiev &amp; Stevens, 2012)", "previouslyFormattedCitation" : "(Hojamberdiev &amp; Stevens, 2012)" }, "properties" : { "noteIndex" : 39 }, "schema" : "https://github.com/citation-style-language/schema/raw/master/csl-citation.json" }</w:instrText>
      </w:r>
      <w:r w:rsidR="004600FC" w:rsidRPr="000E2377">
        <w:rPr>
          <w:szCs w:val="24"/>
        </w:rPr>
        <w:fldChar w:fldCharType="separate"/>
      </w:r>
      <w:r w:rsidR="004600FC" w:rsidRPr="000E2377">
        <w:rPr>
          <w:noProof/>
          <w:szCs w:val="24"/>
        </w:rPr>
        <w:t>(Hojamberdiev &amp; Stevens, 2012)</w:t>
      </w:r>
      <w:bookmarkEnd w:id="178"/>
      <w:r w:rsidR="004600FC" w:rsidRPr="000E2377">
        <w:rPr>
          <w:szCs w:val="24"/>
        </w:rPr>
        <w:fldChar w:fldCharType="end"/>
      </w:r>
      <w:r w:rsidR="008B51EA" w:rsidRPr="000E2377">
        <w:rPr>
          <w:szCs w:val="24"/>
        </w:rPr>
        <w:t>.</w:t>
      </w:r>
      <w:bookmarkEnd w:id="179"/>
      <w:bookmarkEnd w:id="180"/>
      <w:bookmarkEnd w:id="181"/>
      <w:r w:rsidR="004600FC" w:rsidRPr="000E2377">
        <w:rPr>
          <w:szCs w:val="24"/>
        </w:rPr>
        <w:t xml:space="preserve"> </w:t>
      </w:r>
    </w:p>
    <w:p w14:paraId="5BB5A73A" w14:textId="77777777" w:rsidR="004600FC" w:rsidRPr="000E2377" w:rsidRDefault="004600FC" w:rsidP="00846F2D">
      <w:pPr>
        <w:spacing w:after="0"/>
        <w:ind w:left="1080"/>
        <w:jc w:val="center"/>
        <w:rPr>
          <w:rFonts w:asciiTheme="minorHAnsi" w:hAnsiTheme="minorHAnsi"/>
          <w:b w:val="0"/>
          <w:sz w:val="22"/>
        </w:rPr>
      </w:pPr>
      <w:r w:rsidRPr="000E2377">
        <w:rPr>
          <w:noProof/>
          <w:lang w:eastAsia="en-MY"/>
        </w:rPr>
        <w:drawing>
          <wp:inline distT="0" distB="0" distL="0" distR="0" wp14:anchorId="16B9B4E8" wp14:editId="03135407">
            <wp:extent cx="3625545" cy="2880000"/>
            <wp:effectExtent l="0" t="0" r="0" b="0"/>
            <wp:docPr id="1500" name="Pictur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25545" cy="2880000"/>
                    </a:xfrm>
                    <a:prstGeom prst="rect">
                      <a:avLst/>
                    </a:prstGeom>
                    <a:noFill/>
                    <a:ln>
                      <a:noFill/>
                    </a:ln>
                  </pic:spPr>
                </pic:pic>
              </a:graphicData>
            </a:graphic>
          </wp:inline>
        </w:drawing>
      </w:r>
    </w:p>
    <w:p w14:paraId="62DD37C8" w14:textId="6B7B630B" w:rsidR="004600FC" w:rsidRPr="000E2377" w:rsidRDefault="004600FC" w:rsidP="00F75A9F">
      <w:pPr>
        <w:pStyle w:val="Caption"/>
        <w:rPr>
          <w:szCs w:val="24"/>
        </w:rPr>
      </w:pPr>
      <w:r w:rsidRPr="000E2377">
        <w:rPr>
          <w:rFonts w:asciiTheme="minorHAnsi" w:hAnsiTheme="minorHAnsi"/>
          <w:sz w:val="22"/>
        </w:rPr>
        <w:t xml:space="preserve">       </w:t>
      </w:r>
      <w:bookmarkStart w:id="182" w:name="_Toc521420448"/>
      <w:bookmarkStart w:id="183" w:name="_Toc525223183"/>
      <w:bookmarkStart w:id="184" w:name="_Toc525528331"/>
      <w:bookmarkStart w:id="185" w:name="_Toc525706346"/>
      <w:r w:rsidR="001175BB" w:rsidRPr="000E2377">
        <w:t xml:space="preserve">Figure </w:t>
      </w:r>
      <w:r w:rsidR="00DE32A9">
        <w:t>2</w:t>
      </w:r>
      <w:r w:rsidR="002513FF" w:rsidRPr="000E2377">
        <w:t>.</w:t>
      </w:r>
      <w:r w:rsidR="003A7455">
        <w:t>12</w:t>
      </w:r>
      <w:r w:rsidR="001175BB" w:rsidRPr="000E2377">
        <w:t xml:space="preserve">: </w:t>
      </w:r>
      <w:r w:rsidRPr="000E2377">
        <w:rPr>
          <w:szCs w:val="24"/>
        </w:rPr>
        <w:t>Brittleness versus density for various types of glasses</w:t>
      </w:r>
      <w:r w:rsidR="00F20CF3">
        <w:rPr>
          <w:szCs w:val="24"/>
        </w:rPr>
        <w:t xml:space="preserve"> and composition (Si, </w:t>
      </w:r>
      <w:r w:rsidR="0097195B">
        <w:rPr>
          <w:szCs w:val="24"/>
        </w:rPr>
        <w:t>S</w:t>
      </w:r>
      <w:r w:rsidR="00F20CF3">
        <w:rPr>
          <w:szCs w:val="24"/>
        </w:rPr>
        <w:t>ilicate; Na, Sodium; B; Boron; M, Magnesium</w:t>
      </w:r>
      <w:r w:rsidR="0097195B">
        <w:rPr>
          <w:szCs w:val="24"/>
        </w:rPr>
        <w:t xml:space="preserve"> and</w:t>
      </w:r>
      <w:r w:rsidR="00F20CF3">
        <w:rPr>
          <w:szCs w:val="24"/>
        </w:rPr>
        <w:t xml:space="preserve"> Ca, Calcium)</w:t>
      </w:r>
      <w:r w:rsidR="00B70062">
        <w:rPr>
          <w:szCs w:val="24"/>
        </w:rPr>
        <w:t>; data from</w:t>
      </w:r>
      <w:r w:rsidRPr="000E2377">
        <w:rPr>
          <w:szCs w:val="24"/>
        </w:rPr>
        <w:t xml:space="preserve"> </w:t>
      </w:r>
      <w:r w:rsidRPr="000E2377">
        <w:rPr>
          <w:szCs w:val="24"/>
        </w:rPr>
        <w:fldChar w:fldCharType="begin" w:fldLock="1"/>
      </w:r>
      <w:r w:rsidRPr="000E2377">
        <w:rPr>
          <w:szCs w:val="24"/>
        </w:rPr>
        <w:instrText>ADDIN CSL_CITATION { "citationItems" : [ { "id" : "ITEM-1", "itemData" : { "DOI" : "10.1016/j.jnoncrysol.2015.08.013", "ISSN" : "00223093", "abstract" : "The effects of varying the alkaline earth oxide content of three series of soda-lime-silica glasses with the general formulae 13.5Na&lt;inf&gt;2&lt;/inf&gt;O??xMgO??10CaO??1.5Al&lt;inf&gt;2&lt;/inf&gt;O&lt;inf&gt;3&lt;/inf&gt;??(75 - x)SiO&lt;inf&gt;2&lt;/inf&gt; (mol.%) where x = 0, 1, 2, 3, 4, 5, 6, and 7; 13.5Na&lt;inf&gt;2&lt;/inf&gt;O??3MgO??(7 + y)CaO??1.5Al&lt;inf&gt;2&lt;/inf&gt;O&lt;inf&gt;3&lt;/inf&gt;??(75 - y)SiO&lt;inf&gt;2&lt;/inf&gt; (mol.%) where y = 0, 1, 2, 3, 4, 5, 6, and 7 and 13.5Na&lt;inf&gt;2&lt;/inf&gt;O??zMgO??(13 - z)CaO??1.5Al&lt;inf&gt;2&lt;/inf&gt;O&lt;inf&gt;3&lt;/inf&gt;??72SiO&lt;inf&gt;2&lt;/inf&gt; (mol.%) where z = 1, 3, 5, 7, 9, and 11 have been examined. Raman spectroscopy and nuclear magnetic resonance (NMR) spectroscopy have been used to assess network connectivity. In the first two glass series network connectivity decreases with increasing alkaline earth addition whereas in the third series connectivity tends to be greater for the more magnesia rich glasses suggesting that magnesia does have a different effect to lime on network connectivity, but only when magnesia is the dominant alkaline earth species. Fracture toughness has been measured using bend testing, which avoids many of the questions raised by the widely used indentation technique. Moduli have been assessed using acoustic means. It was found that the mechanical properties tend to decrease with increasing network connectivity for all three glass series. For the MgO-SiO&lt;inf&gt;2&lt;/inf&gt; series and CaO-SiO&lt;inf&gt;2&lt;/inf&gt; glasses increasing the alkaline earth content at the expense of the silica content resulted in increased network depolymerization, whereas for the MgO-CaO series when MgO became the dominant alkaline earth species, network depolymerization was reduced. Thus whilst MgO and CaO both act as network modifiers when more CaO than MgO is present in soda-lime-silica glasses, a difference in behaviour is seen with magnesia rich soda-magnesia-silica glasses. In contradiction to previous data no significant advantage of replacing CaO by MgO is observed. In addition it appears that the glasses with the lowest fracture toughness values may be more resilient to contact damage than those with the higher fracture toughness values.", "author" : [ { "dropping-particle" : "", "family" : "Kilinc", "given" : "Erhan", "non-dropping-particle" : "", "parse-names" : false, "suffix" : "" }, { "dropping-particle" : "", "family" : "Hand", "given" : "Russell J.", "non-dropping-particle" : "", "parse-names" : false, "suffix" : "" } ], "container-title" : "Journal of Non-Crystalline Solids", "id" : "ITEM-1", "issued" : { "date-parts" : [ [ "2015" ] ] }, "page" : "190-197", "publisher" : "Elsevier B.V.", "title" : "Mechanical properties of soda-lime-silica glasses with varying alkaline earth contents", "type" : "article-journal", "volume" : "429" }, "uris" : [ "http://www.mendeley.com/documents/?uuid=5e3603f4-1f0f-4670-837a-f1bef9fbd8a3" ] } ], "mendeley" : { "formattedCitation" : "(Kilinc &amp; Hand, 2015)", "plainTextFormattedCitation" : "(Kilinc &amp; Hand, 2015)", "previouslyFormattedCitation" : "(Kilinc &amp; Hand, 2015)" }, "properties" : { "noteIndex" : 0 }, "schema" : "https://github.com/citation-style-language/schema/raw/master/csl-citation.json" }</w:instrText>
      </w:r>
      <w:r w:rsidRPr="000E2377">
        <w:rPr>
          <w:szCs w:val="24"/>
        </w:rPr>
        <w:fldChar w:fldCharType="separate"/>
      </w:r>
      <w:r w:rsidRPr="000E2377">
        <w:rPr>
          <w:noProof/>
          <w:szCs w:val="24"/>
        </w:rPr>
        <w:t>(Kilinc &amp; Hand, 2015)</w:t>
      </w:r>
      <w:r w:rsidRPr="000E2377">
        <w:rPr>
          <w:szCs w:val="24"/>
        </w:rPr>
        <w:fldChar w:fldCharType="end"/>
      </w:r>
      <w:r w:rsidRPr="000E2377">
        <w:rPr>
          <w:szCs w:val="24"/>
        </w:rPr>
        <w:t xml:space="preserve"> </w:t>
      </w:r>
      <w:r w:rsidRPr="00F20CF3">
        <w:rPr>
          <w:szCs w:val="24"/>
        </w:rPr>
        <w:fldChar w:fldCharType="begin" w:fldLock="1"/>
      </w:r>
      <w:r w:rsidRPr="00F20CF3">
        <w:rPr>
          <w:szCs w:val="24"/>
        </w:rPr>
        <w:instrText>ADDIN CSL_CITATION { "citationItems" : [ { "id" : "ITEM-1", "itemData" : { "DOI" : "10.1016/S0022-3093(99)00348-8", "ISSN" : "00223093", "abstract" : "A study seeking to decrease the brittleness of glasses was carried out. The brittleness, defined as the ratio of hardness to fracture toughness, was estimated from the ratio of median crack length to the diagonal length of a deformation impression. The brittleness of various kinds of glasses in the silicate as well as borosilicate systems was investigated as a function of glass properties. The brittleness of the glasses was correlated with densities, i.e., a variation of approximately 1 to approximately 9 ??m-1/2 in brittleness was observed as the density varied from approximately 1.9 to approximately 2.8 g/cm3. The brittleness of normal glasses decreased with decreasing density due to the ease of both plastic flow and densification. On the other hand, the brittleness of anomalous glasses increased with decreasing density due to the lack of plastic flow. In addition, the brittleness of normal glasses was less than that of the anomalous glasses with the same density. We also observed that a 50% decrease in brittleness resulted in an increase of crack initiation load by approximately 15 times.", "author" : [ { "dropping-particle" : "", "family" : "Sehgal", "given" : "Jeetendra", "non-dropping-particle" : "", "parse-names" : false, "suffix" : "" }, { "dropping-particle" : "", "family" : "Ito", "given" : "Setsuro", "non-dropping-particle" : "", "parse-names" : false, "suffix" : "" } ], "container-title" : "Journal of Non-Crystalline Solids", "id" : "ITEM-1", "issue" : "1-3", "issued" : { "date-parts" : [ [ "1999" ] ] }, "page" : "126-132", "title" : "Brittleness of glass", "type" : "article-journal", "volume" : "253" }, "uris" : [ "http://www.mendeley.com/documents/?uuid=97c0428d-f5d8-425f-94e6-c34c36d82652" ] } ], "mendeley" : { "formattedCitation" : "(Sehgal &amp; Ito, 1999)", "plainTextFormattedCitation" : "(Sehgal &amp; Ito, 1999)", "previouslyFormattedCitation" : "(Sehgal &amp; Ito, 1999)" }, "properties" : { "noteIndex" : 40 }, "schema" : "https://github.com/citation-style-language/schema/raw/master/csl-citation.json" }</w:instrText>
      </w:r>
      <w:r w:rsidRPr="00F20CF3">
        <w:rPr>
          <w:szCs w:val="24"/>
        </w:rPr>
        <w:fldChar w:fldCharType="separate"/>
      </w:r>
      <w:r w:rsidRPr="00F20CF3">
        <w:rPr>
          <w:noProof/>
          <w:szCs w:val="24"/>
        </w:rPr>
        <w:t>(Sehgal &amp; Ito, 1999)</w:t>
      </w:r>
      <w:r w:rsidRPr="00F20CF3">
        <w:rPr>
          <w:szCs w:val="24"/>
        </w:rPr>
        <w:fldChar w:fldCharType="end"/>
      </w:r>
      <w:r w:rsidRPr="00BE5EC6">
        <w:rPr>
          <w:szCs w:val="24"/>
        </w:rPr>
        <w:fldChar w:fldCharType="begin" w:fldLock="1"/>
      </w:r>
      <w:r w:rsidR="008400FF">
        <w:rPr>
          <w:szCs w:val="24"/>
        </w:rPr>
        <w:instrText>ADDIN CSL_CITATION { "citationItems" : [ { "id" : "ITEM-1", "itemData" : { "DOI" : "10.1016/j.jnoncrysol.2014.10.012", "ISSN" : "00223093", "abstract" : "Data on micromechanical properties of ancient and medieval glass fragments and glasses of early modern and today's manufacturing were compiled to offer a tentative look on changes in the brittleness of glass over the past 2000 years. Chronology of glass making was based on glass chemistry using rare earth element (REE) pattern, fluxing agents and provenance analysis while cracking and brittleness were evaluated from Vickers indentation in the course of the mean crack initiation load CR and the crack length-to-half diagonal ratio c/a. A structural analysis revealed that CR increases and c/a decreases with increasing molar volume i.e. decreasing atomic packing fraction, which allows us to classify periods of high and low crack-resistant and brittle glasses along the time line of historic glass technology.", "author" : [ { "dropping-particle" : "", "family" : "Hasdemir", "given" : "Ilhan", "non-dropping-particle" : "", "parse-names" : false, "suffix" : "" }, { "dropping-particle" : "", "family" : "Striepe", "given" : "Simon", "non-dropping-particle" : "", "parse-names" : false, "suffix" : "" }, { "dropping-particle" : "", "family" : "Deubener", "given" : "Joachim", "non-dropping-particle" : "", "parse-names" : false, "suffix" : "" }, { "dropping-particle" : "", "family" : "Simon", "given" : "Klaus", "non-dropping-particle" : "", "parse-names" : false, "suffix" : "" } ], "container-title" : "Journal of Non-Crystalline Solids", "id" : "ITEM-1", "issued" : { "date-parts" : [ [ "2015" ] ] }, "page" : "51-56", "publisher" : "Elsevier B.V.", "title" : "A 2000-year perspective on indentation crack resistance and brittleness of glass", "type" : "article-journal", "volume" : "408" }, "uris" : [ "http://www.mendeley.com/documents/?uuid=d050bc6c-5fd2-4854-b76b-a8122a60be78" ] } ], "mendeley" : { "formattedCitation" : "(Hasdemir et al., 2015)", "manualFormatting" : "(Hasdemir et al., 2015)", "plainTextFormattedCitation" : "(Hasdemir et al., 2015)", "previouslyFormattedCitation" : "(Hasdemir et al., 2015)" }, "properties" : { "noteIndex" : 40 }, "schema" : "https://github.com/citation-style-language/schema/raw/master/csl-citation.json" }</w:instrText>
      </w:r>
      <w:r w:rsidRPr="00BE5EC6">
        <w:rPr>
          <w:szCs w:val="24"/>
        </w:rPr>
        <w:fldChar w:fldCharType="separate"/>
      </w:r>
      <w:r w:rsidR="0003369E" w:rsidRPr="00BE5EC6">
        <w:rPr>
          <w:noProof/>
          <w:szCs w:val="24"/>
        </w:rPr>
        <w:t>(Hasdemir</w:t>
      </w:r>
      <w:r w:rsidR="00BE5EC6" w:rsidRPr="00BE5EC6">
        <w:rPr>
          <w:noProof/>
          <w:szCs w:val="24"/>
        </w:rPr>
        <w:t xml:space="preserve"> et al.,</w:t>
      </w:r>
      <w:r w:rsidR="0003369E" w:rsidRPr="00BE5EC6">
        <w:rPr>
          <w:noProof/>
          <w:szCs w:val="24"/>
        </w:rPr>
        <w:t xml:space="preserve"> 2015)</w:t>
      </w:r>
      <w:r w:rsidRPr="00BE5EC6">
        <w:rPr>
          <w:szCs w:val="24"/>
        </w:rPr>
        <w:fldChar w:fldCharType="end"/>
      </w:r>
      <w:r w:rsidRPr="000E2377">
        <w:rPr>
          <w:szCs w:val="24"/>
        </w:rPr>
        <w:fldChar w:fldCharType="begin" w:fldLock="1"/>
      </w:r>
      <w:r w:rsidRPr="000E2377">
        <w:rPr>
          <w:szCs w:val="24"/>
        </w:rPr>
        <w:instrText>ADDIN CSL_CITATION { "citationItems" : [ { "id" : "ITEM-1", "itemData" : { "DOI" : "10.1111/j.1151-2916.1998.tb02649.x", "ISSN" : "1551-2916", "abstract" : "In the soda\u2013lime\u2013silica glass family, the effect of each constituent of the composition on the brittleness was first investigated. Vickers indentation was employed to estimate the brittleness (ratio of harness (H) to fracture toughness (Kc)) by measuring the C/a ratios (where C and a are the characteristic crack and indentation diagonal lengths, respectively). It was observed that a higher silica content and a lower lime content helped to lower the brittleness. Substitution of potash and magnesia for soda and calcia, respectively, was effective in lowering the brittleness. From these results, a higher molar volume was found to be a key factor for reducing the brittleness. A new low-brittleness glass was then developed with a brittleness as low as 5.1 \u03bcm\u22121/2 as compared with the brittleness of 7.1 \u03bcm\u22121/2 for commercial soda\u2013lime\u2013silica glass. The crack initiation load (P*), measured by the Vickers indentation method, for this new low-brittleness glass was almost 10 times as high as P* of commercial soda\u2013lime\u2013silica glass. The new glass shows lower hardness and higher fracture toughness than the commercial soda\u2013lime\u2013silica glass.", "author" : [ { "dropping-particle" : "", "family" : "Sehgal", "given" : "Jeetendra", "non-dropping-particle" : "", "parse-names" : false, "suffix" : "" }, { "dropping-particle" : "", "family" : "Ito", "given" : "Setsuro", "non-dropping-particle" : "", "parse-names" : false, "suffix" : "" } ], "container-title" : "Journal of the American Ceramic Society", "id" : "ITEM-1", "issue" : "9", "issued" : { "date-parts" : [ [ "1998" ] ] }, "page" : "2485-2488", "title" : "A New Low-Brittleness Glass in the Soda \u2013 Lime \u2013 Silica Glass Family", "type" : "article-journal", "volume" : "81" }, "uris" : [ "http://www.mendeley.com/documents/?uuid=d1ef5862-ddf2-4193-a520-ab000d20209f" ] } ], "mendeley" : { "formattedCitation" : "(Sehgal &amp; Ito, 1998)", "plainTextFormattedCitation" : "(Sehgal &amp; Ito, 1998)", "previouslyFormattedCitation" : "(Sehgal &amp; Ito, 1998)" }, "properties" : { "noteIndex" : 40 }, "schema" : "https://github.com/citation-style-language/schema/raw/master/csl-citation.json" }</w:instrText>
      </w:r>
      <w:r w:rsidRPr="000E2377">
        <w:rPr>
          <w:szCs w:val="24"/>
        </w:rPr>
        <w:fldChar w:fldCharType="separate"/>
      </w:r>
      <w:r w:rsidRPr="000E2377">
        <w:rPr>
          <w:noProof/>
          <w:szCs w:val="24"/>
        </w:rPr>
        <w:t>(Sehgal &amp; Ito, 1998)</w:t>
      </w:r>
      <w:r w:rsidRPr="000E2377">
        <w:rPr>
          <w:szCs w:val="24"/>
        </w:rPr>
        <w:fldChar w:fldCharType="end"/>
      </w:r>
      <w:r w:rsidRPr="000E2377">
        <w:rPr>
          <w:szCs w:val="24"/>
        </w:rPr>
        <w:fldChar w:fldCharType="begin" w:fldLock="1"/>
      </w:r>
      <w:r w:rsidRPr="000E2377">
        <w:rPr>
          <w:szCs w:val="24"/>
        </w:rPr>
        <w:instrText>ADDIN CSL_CITATION { "citationItems" : [ { "id" : "ITEM-1", "itemData" : { "DOI" : "10.1016/j.msea.2011.11.012", "ISSN" : "09215093", "abstract" : "From thermal treatment of indentations made on glass, the densification contribution to the total indentation deformation can be estimated. In this work, we studied the physico-mechanical properties and low-temperature indentation recovery of soda-lime silicate glasses with the composition of (in wt%) 73SiO 2-12CaO-15Na 2O-xTiO 2 (ZrO 2 or HfO 2), where x is 0, 1, 2, 4 and 8. The obtained results demonstrated that the addition of group IV B metal oxides (TiO 2, ZrO 2 and HfO 2) into soda-lime silicate glass increased density, elastic moduli, Vickers hardness and brittleness due to the higher atomic weight of additives, increased network connectivity, higher strength of individual bonds formed and lower molar volume, respectively. Indentation recovery of glass samples containing 8 wt% TiO 2 (G5), 8 wt% ZrO 2 (G9) and 8 wt% HfO 2 (G13) was comparatively estimated with that of a pure soda-lime silicate glass (G1), as a reference, on the basis of the depth change of indentation impressions at low temperatures, 25??C and 100??C, for different periods with a maximum of 48h. It was found that the higher indentation recovery for all four samples was observed at both temperatures within the first 6h due to stored strain energy in deformation zone but equilibrium was not reached even after 48h because of low thermal treatment temperatures, which generally provide a thermodynamic driving force to recover. According to the glass composition, the indentation recovery rate follows the order: G13&lt;G9&lt;G5&lt;G1, which is mainly attributed to the decrease in densification with the increase the size of tetravalent metal cations introduced into soda-lime silicate glass. All the indentations made on the experimental glasses exhibited three common features: elasticity, viscoelasticity and plasticity. ?? 2011 Elsevier B.V.", "author" : [ { "dropping-particle" : "", "family" : "Hojamberdiev", "given" : "Mirabbos", "non-dropping-particle" : "", "parse-names" : false, "suffix" : "" }, { "dropping-particle" : "", "family" : "Stevens", "given" : "Harrie J.", "non-dropping-particle" : "", "parse-names" : false, "suffix" : "" } ], "container-title" : "Materials Science and Engineering A", "id" : "ITEM-1", "issued" : { "date-parts" : [ [ "2012" ] ] }, "page" : "456-461", "publisher" : "Elsevier B.V.", "title" : "Indentation recovery of soda-lime silicate glasses containing titania, zirconia and hafnia at low temperatures", "type" : "article-journal", "volume" : "532" }, "uris" : [ "http://www.mendeley.com/documents/?uuid=942f748b-a2ed-4872-b012-3ed579939333" ] } ], "mendeley" : { "formattedCitation" : "(Hojamberdiev &amp; Stevens, 2012)", "plainTextFormattedCitation" : "(Hojamberdiev &amp; Stevens, 2012)", "previouslyFormattedCitation" : "(Hojamberdiev &amp; Stevens, 2012)" }, "properties" : { "noteIndex" : 40 }, "schema" : "https://github.com/citation-style-language/schema/raw/master/csl-citation.json" }</w:instrText>
      </w:r>
      <w:r w:rsidRPr="000E2377">
        <w:rPr>
          <w:szCs w:val="24"/>
        </w:rPr>
        <w:fldChar w:fldCharType="separate"/>
      </w:r>
      <w:r w:rsidRPr="000E2377">
        <w:rPr>
          <w:noProof/>
          <w:szCs w:val="24"/>
        </w:rPr>
        <w:t>(Hojamberdiev &amp; Stevens, 2012)</w:t>
      </w:r>
      <w:r w:rsidRPr="000E2377">
        <w:rPr>
          <w:szCs w:val="24"/>
        </w:rPr>
        <w:fldChar w:fldCharType="end"/>
      </w:r>
      <w:r w:rsidRPr="000E2377">
        <w:rPr>
          <w:szCs w:val="24"/>
        </w:rPr>
        <w:t>.</w:t>
      </w:r>
      <w:bookmarkEnd w:id="182"/>
      <w:bookmarkEnd w:id="183"/>
      <w:bookmarkEnd w:id="184"/>
      <w:bookmarkEnd w:id="185"/>
      <w:r w:rsidRPr="000E2377">
        <w:rPr>
          <w:szCs w:val="24"/>
        </w:rPr>
        <w:t xml:space="preserve"> </w:t>
      </w:r>
    </w:p>
    <w:p w14:paraId="5BB1DA15" w14:textId="7E7C9084" w:rsidR="004600FC" w:rsidRPr="000E2377" w:rsidRDefault="004600FC" w:rsidP="00E31A91">
      <w:pPr>
        <w:tabs>
          <w:tab w:val="left" w:pos="4975"/>
        </w:tabs>
        <w:jc w:val="center"/>
        <w:rPr>
          <w:rFonts w:asciiTheme="minorHAnsi" w:hAnsiTheme="minorHAnsi"/>
          <w:b w:val="0"/>
          <w:sz w:val="22"/>
        </w:rPr>
      </w:pPr>
      <w:r w:rsidRPr="000E2377">
        <w:rPr>
          <w:noProof/>
          <w:lang w:eastAsia="en-MY"/>
        </w:rPr>
        <w:lastRenderedPageBreak/>
        <w:drawing>
          <wp:inline distT="0" distB="0" distL="0" distR="0" wp14:anchorId="48E6438E" wp14:editId="6A96EFCC">
            <wp:extent cx="4096673" cy="3240000"/>
            <wp:effectExtent l="0" t="0" r="0" b="0"/>
            <wp:docPr id="1501" name="Pictur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096673" cy="3240000"/>
                    </a:xfrm>
                    <a:prstGeom prst="rect">
                      <a:avLst/>
                    </a:prstGeom>
                    <a:noFill/>
                    <a:ln>
                      <a:noFill/>
                    </a:ln>
                  </pic:spPr>
                </pic:pic>
              </a:graphicData>
            </a:graphic>
          </wp:inline>
        </w:drawing>
      </w:r>
    </w:p>
    <w:p w14:paraId="51083D15" w14:textId="4C316DC6" w:rsidR="004600FC" w:rsidRPr="000E2377" w:rsidRDefault="001175BB" w:rsidP="00F75A9F">
      <w:pPr>
        <w:pStyle w:val="Caption"/>
        <w:rPr>
          <w:szCs w:val="24"/>
        </w:rPr>
      </w:pPr>
      <w:bookmarkStart w:id="186" w:name="_Toc521420449"/>
      <w:bookmarkStart w:id="187" w:name="_Toc525223184"/>
      <w:bookmarkStart w:id="188" w:name="_Toc525528332"/>
      <w:bookmarkStart w:id="189" w:name="_Toc525706347"/>
      <w:r w:rsidRPr="000E2377">
        <w:t xml:space="preserve">Figure </w:t>
      </w:r>
      <w:r w:rsidR="00DE32A9">
        <w:t>2</w:t>
      </w:r>
      <w:r w:rsidR="002513FF" w:rsidRPr="000E2377">
        <w:t>.</w:t>
      </w:r>
      <w:r w:rsidR="00486175">
        <w:t>1</w:t>
      </w:r>
      <w:r w:rsidR="003A7455">
        <w:t>3</w:t>
      </w:r>
      <w:r w:rsidRPr="000E2377">
        <w:t xml:space="preserve">: </w:t>
      </w:r>
      <w:r w:rsidR="004600FC" w:rsidRPr="000E2377">
        <w:rPr>
          <w:szCs w:val="24"/>
        </w:rPr>
        <w:t>Poisson’s ratio versus brittleness of various types of glasses</w:t>
      </w:r>
      <w:r w:rsidR="00F20CF3">
        <w:rPr>
          <w:szCs w:val="24"/>
        </w:rPr>
        <w:t xml:space="preserve"> and composition (Si, </w:t>
      </w:r>
      <w:r w:rsidR="0097195B">
        <w:rPr>
          <w:szCs w:val="24"/>
        </w:rPr>
        <w:t>S</w:t>
      </w:r>
      <w:r w:rsidR="00F20CF3">
        <w:rPr>
          <w:szCs w:val="24"/>
        </w:rPr>
        <w:t>ilicate; Na, Sodium; B; Boron; M, Magnesium and Ca, Calcium)</w:t>
      </w:r>
      <w:r w:rsidR="00B70062">
        <w:rPr>
          <w:szCs w:val="24"/>
        </w:rPr>
        <w:t>;</w:t>
      </w:r>
      <w:r w:rsidR="004600FC" w:rsidRPr="000E2377">
        <w:rPr>
          <w:szCs w:val="24"/>
        </w:rPr>
        <w:t xml:space="preserve"> </w:t>
      </w:r>
      <w:r w:rsidR="00B70062">
        <w:rPr>
          <w:szCs w:val="24"/>
        </w:rPr>
        <w:t xml:space="preserve">data from </w:t>
      </w:r>
      <w:r w:rsidR="004600FC" w:rsidRPr="000E2377">
        <w:rPr>
          <w:szCs w:val="24"/>
        </w:rPr>
        <w:fldChar w:fldCharType="begin" w:fldLock="1"/>
      </w:r>
      <w:r w:rsidR="004600FC" w:rsidRPr="000E2377">
        <w:rPr>
          <w:szCs w:val="24"/>
        </w:rPr>
        <w:instrText>ADDIN CSL_CITATION { "citationItems" : [ { "id" : "ITEM-1", "itemData" : { "DOI" : "10.1016/j.jnoncrysol.2015.08.013", "ISSN" : "00223093", "abstract" : "The effects of varying the alkaline earth oxide content of three series of soda-lime-silica glasses with the general formulae 13.5Na&lt;inf&gt;2&lt;/inf&gt;O??xMgO??10CaO??1.5Al&lt;inf&gt;2&lt;/inf&gt;O&lt;inf&gt;3&lt;/inf&gt;??(75 - x)SiO&lt;inf&gt;2&lt;/inf&gt; (mol.%) where x = 0, 1, 2, 3, 4, 5, 6, and 7; 13.5Na&lt;inf&gt;2&lt;/inf&gt;O??3MgO??(7 + y)CaO??1.5Al&lt;inf&gt;2&lt;/inf&gt;O&lt;inf&gt;3&lt;/inf&gt;??(75 - y)SiO&lt;inf&gt;2&lt;/inf&gt; (mol.%) where y = 0, 1, 2, 3, 4, 5, 6, and 7 and 13.5Na&lt;inf&gt;2&lt;/inf&gt;O??zMgO??(13 - z)CaO??1.5Al&lt;inf&gt;2&lt;/inf&gt;O&lt;inf&gt;3&lt;/inf&gt;??72SiO&lt;inf&gt;2&lt;/inf&gt; (mol.%) where z = 1, 3, 5, 7, 9, and 11 have been examined. Raman spectroscopy and nuclear magnetic resonance (NMR) spectroscopy have been used to assess network connectivity. In the first two glass series network connectivity decreases with increasing alkaline earth addition whereas in the third series connectivity tends to be greater for the more magnesia rich glasses suggesting that magnesia does have a different effect to lime on network connectivity, but only when magnesia is the dominant alkaline earth species. Fracture toughness has been measured using bend testing, which avoids many of the questions raised by the widely used indentation technique. Moduli have been assessed using acoustic means. It was found that the mechanical properties tend to decrease with increasing network connectivity for all three glass series. For the MgO-SiO&lt;inf&gt;2&lt;/inf&gt; series and CaO-SiO&lt;inf&gt;2&lt;/inf&gt; glasses increasing the alkaline earth content at the expense of the silica content resulted in increased network depolymerization, whereas for the MgO-CaO series when MgO became the dominant alkaline earth species, network depolymerization was reduced. Thus whilst MgO and CaO both act as network modifiers when more CaO than MgO is present in soda-lime-silica glasses, a difference in behaviour is seen with magnesia rich soda-magnesia-silica glasses. In contradiction to previous data no significant advantage of replacing CaO by MgO is observed. In addition it appears that the glasses with the lowest fracture toughness values may be more resilient to contact damage than those with the higher fracture toughness values.", "author" : [ { "dropping-particle" : "", "family" : "Kilinc", "given" : "Erhan", "non-dropping-particle" : "", "parse-names" : false, "suffix" : "" }, { "dropping-particle" : "", "family" : "Hand", "given" : "Russell J.", "non-dropping-particle" : "", "parse-names" : false, "suffix" : "" } ], "container-title" : "Journal of Non-Crystalline Solids", "id" : "ITEM-1", "issued" : { "date-parts" : [ [ "2015" ] ] }, "page" : "190-197", "publisher" : "Elsevier B.V.", "title" : "Mechanical properties of soda-lime-silica glasses with varying alkaline earth contents", "type" : "article-journal", "volume" : "429" }, "uris" : [ "http://www.mendeley.com/documents/?uuid=9f1c2e71-3e60-4782-b1b2-26adb31dc508" ] } ], "mendeley" : { "formattedCitation" : "(Kilinc &amp; Hand, 2015)", "plainTextFormattedCitation" : "(Kilinc &amp; Hand, 2015)", "previouslyFormattedCitation" : "(Kilinc &amp; Hand, 2015)" }, "properties" : { "noteIndex" : 41 }, "schema" : "https://github.com/citation-style-language/schema/raw/master/csl-citation.json" }</w:instrText>
      </w:r>
      <w:r w:rsidR="004600FC" w:rsidRPr="000E2377">
        <w:rPr>
          <w:szCs w:val="24"/>
        </w:rPr>
        <w:fldChar w:fldCharType="separate"/>
      </w:r>
      <w:r w:rsidR="004600FC" w:rsidRPr="000E2377">
        <w:rPr>
          <w:noProof/>
          <w:szCs w:val="24"/>
        </w:rPr>
        <w:t>(Kilinc &amp; Hand, 2015)</w:t>
      </w:r>
      <w:r w:rsidR="004600FC" w:rsidRPr="000E2377">
        <w:rPr>
          <w:szCs w:val="24"/>
        </w:rPr>
        <w:fldChar w:fldCharType="end"/>
      </w:r>
      <w:r w:rsidR="004600FC" w:rsidRPr="000E2377">
        <w:rPr>
          <w:szCs w:val="24"/>
        </w:rPr>
        <w:t xml:space="preserve"> </w:t>
      </w:r>
      <w:r w:rsidR="004600FC" w:rsidRPr="000E2377">
        <w:rPr>
          <w:szCs w:val="24"/>
        </w:rPr>
        <w:fldChar w:fldCharType="begin" w:fldLock="1"/>
      </w:r>
      <w:r w:rsidR="004600FC" w:rsidRPr="000E2377">
        <w:rPr>
          <w:szCs w:val="24"/>
        </w:rPr>
        <w:instrText>ADDIN CSL_CITATION { "citationItems" : [ { "id" : "ITEM-1", "itemData" : { "DOI" : "10.1016/j.msea.2011.11.012", "ISSN" : "09215093", "abstract" : "From thermal treatment of indentations made on glass, the densification contribution to the total indentation deformation can be estimated. In this work, we studied the physico-mechanical properties and low-temperature indentation recovery of soda-lime silicate glasses with the composition of (in wt%) 73SiO 2-12CaO-15Na 2O-xTiO 2 (ZrO 2 or HfO 2), where x is 0, 1, 2, 4 and 8. The obtained results demonstrated that the addition of group IV B metal oxides (TiO 2, ZrO 2 and HfO 2) into soda-lime silicate glass increased density, elastic moduli, Vickers hardness and brittleness due to the higher atomic weight of additives, increased network connectivity, higher strength of individual bonds formed and lower molar volume, respectively. Indentation recovery of glass samples containing 8 wt% TiO 2 (G5), 8 wt% ZrO 2 (G9) and 8 wt% HfO 2 (G13) was comparatively estimated with that of a pure soda-lime silicate glass (G1), as a reference, on the basis of the depth change of indentation impressions at low temperatures, 25??C and 100??C, for different periods with a maximum of 48h. It was found that the higher indentation recovery for all four samples was observed at both temperatures within the first 6h due to stored strain energy in deformation zone but equilibrium was not reached even after 48h because of low thermal treatment temperatures, which generally provide a thermodynamic driving force to recover. According to the glass composition, the indentation recovery rate follows the order: G13&lt;G9&lt;G5&lt;G1, which is mainly attributed to the decrease in densification with the increase the size of tetravalent metal cations introduced into soda-lime silicate glass. All the indentations made on the experimental glasses exhibited three common features: elasticity, viscoelasticity and plasticity. ?? 2011 Elsevier B.V.", "author" : [ { "dropping-particle" : "", "family" : "Hojamberdiev", "given" : "Mirabbos", "non-dropping-particle" : "", "parse-names" : false, "suffix" : "" }, { "dropping-particle" : "", "family" : "Stevens", "given" : "Harrie J.", "non-dropping-particle" : "", "parse-names" : false, "suffix" : "" } ], "container-title" : "Materials Science and Engineering A", "id" : "ITEM-1", "issued" : { "date-parts" : [ [ "2012" ] ] }, "page" : "456-461", "publisher" : "Elsevier B.V.", "title" : "Indentation recovery of soda-lime silicate glasses containing titania, zirconia and hafnia at low temperatures", "type" : "article-journal", "volume" : "532" }, "uris" : [ "http://www.mendeley.com/documents/?uuid=942f748b-a2ed-4872-b012-3ed579939333" ] } ], "mendeley" : { "formattedCitation" : "(Hojamberdiev &amp; Stevens, 2012)", "plainTextFormattedCitation" : "(Hojamberdiev &amp; Stevens, 2012)", "previouslyFormattedCitation" : "(Hojamberdiev &amp; Stevens, 2012)" }, "properties" : { "noteIndex" : 41 }, "schema" : "https://github.com/citation-style-language/schema/raw/master/csl-citation.json" }</w:instrText>
      </w:r>
      <w:r w:rsidR="004600FC" w:rsidRPr="000E2377">
        <w:rPr>
          <w:szCs w:val="24"/>
        </w:rPr>
        <w:fldChar w:fldCharType="separate"/>
      </w:r>
      <w:r w:rsidR="004600FC" w:rsidRPr="000E2377">
        <w:rPr>
          <w:noProof/>
          <w:szCs w:val="24"/>
        </w:rPr>
        <w:t>(Hojamberdiev &amp; Stevens, 2012)</w:t>
      </w:r>
      <w:bookmarkEnd w:id="186"/>
      <w:r w:rsidR="004600FC" w:rsidRPr="000E2377">
        <w:rPr>
          <w:szCs w:val="24"/>
        </w:rPr>
        <w:fldChar w:fldCharType="end"/>
      </w:r>
      <w:r w:rsidR="008B51EA" w:rsidRPr="000E2377">
        <w:rPr>
          <w:szCs w:val="24"/>
        </w:rPr>
        <w:t>.</w:t>
      </w:r>
      <w:bookmarkEnd w:id="187"/>
      <w:bookmarkEnd w:id="188"/>
      <w:bookmarkEnd w:id="189"/>
    </w:p>
    <w:p w14:paraId="441C2638" w14:textId="77777777" w:rsidR="004600FC" w:rsidRPr="000E2377" w:rsidRDefault="004600FC" w:rsidP="004600FC">
      <w:pPr>
        <w:tabs>
          <w:tab w:val="left" w:pos="4975"/>
        </w:tabs>
        <w:jc w:val="center"/>
        <w:rPr>
          <w:rFonts w:cs="Times New Roman"/>
          <w:b w:val="0"/>
          <w:szCs w:val="24"/>
        </w:rPr>
      </w:pPr>
    </w:p>
    <w:p w14:paraId="1EC006FC" w14:textId="77777777" w:rsidR="0064576E" w:rsidRPr="000E2377" w:rsidRDefault="0064576E" w:rsidP="0064576E">
      <w:pPr>
        <w:keepNext/>
        <w:keepLines/>
        <w:numPr>
          <w:ilvl w:val="2"/>
          <w:numId w:val="1"/>
        </w:numPr>
        <w:spacing w:before="40" w:after="0" w:line="360" w:lineRule="auto"/>
        <w:outlineLvl w:val="2"/>
        <w:rPr>
          <w:rFonts w:eastAsiaTheme="majorEastAsia" w:cstheme="majorBidi"/>
          <w:vanish/>
          <w:color w:val="000000" w:themeColor="text1"/>
          <w:szCs w:val="24"/>
        </w:rPr>
      </w:pPr>
      <w:bookmarkStart w:id="190" w:name="_Toc515398714"/>
      <w:bookmarkStart w:id="191" w:name="_Toc523153561"/>
      <w:bookmarkStart w:id="192" w:name="_Toc523402883"/>
      <w:bookmarkStart w:id="193" w:name="_Toc525222352"/>
      <w:bookmarkStart w:id="194" w:name="_Toc525526394"/>
      <w:bookmarkStart w:id="195" w:name="_Toc525703720"/>
      <w:bookmarkStart w:id="196" w:name="_Toc525707522"/>
      <w:bookmarkStart w:id="197" w:name="_Toc525707811"/>
      <w:bookmarkStart w:id="198" w:name="_Toc525742476"/>
      <w:bookmarkStart w:id="199" w:name="_Toc10983082"/>
      <w:bookmarkStart w:id="200" w:name="_Toc12994947"/>
      <w:bookmarkEnd w:id="190"/>
      <w:bookmarkEnd w:id="191"/>
      <w:bookmarkEnd w:id="192"/>
      <w:bookmarkEnd w:id="193"/>
      <w:bookmarkEnd w:id="194"/>
      <w:bookmarkEnd w:id="195"/>
      <w:bookmarkEnd w:id="196"/>
      <w:bookmarkEnd w:id="197"/>
      <w:bookmarkEnd w:id="198"/>
      <w:bookmarkEnd w:id="199"/>
      <w:bookmarkEnd w:id="200"/>
    </w:p>
    <w:p w14:paraId="47D8BB6D" w14:textId="77777777" w:rsidR="0064576E" w:rsidRPr="000E2377" w:rsidRDefault="0064576E" w:rsidP="0064576E">
      <w:pPr>
        <w:keepNext/>
        <w:keepLines/>
        <w:numPr>
          <w:ilvl w:val="3"/>
          <w:numId w:val="1"/>
        </w:numPr>
        <w:spacing w:before="40" w:after="0" w:line="360" w:lineRule="auto"/>
        <w:outlineLvl w:val="3"/>
        <w:rPr>
          <w:rFonts w:eastAsiaTheme="majorEastAsia" w:cstheme="majorBidi"/>
          <w:iCs/>
          <w:vanish/>
          <w:color w:val="000000" w:themeColor="text1"/>
        </w:rPr>
      </w:pPr>
      <w:bookmarkStart w:id="201" w:name="_Toc523153562"/>
      <w:bookmarkStart w:id="202" w:name="_Toc523402780"/>
      <w:bookmarkStart w:id="203" w:name="_Toc523402884"/>
      <w:bookmarkStart w:id="204" w:name="_Toc525222353"/>
      <w:bookmarkStart w:id="205" w:name="_Toc525526395"/>
      <w:bookmarkStart w:id="206" w:name="_Toc525703721"/>
      <w:bookmarkStart w:id="207" w:name="_Toc525707523"/>
      <w:bookmarkStart w:id="208" w:name="_Toc525707812"/>
      <w:bookmarkStart w:id="209" w:name="_Toc525742477"/>
      <w:bookmarkEnd w:id="201"/>
      <w:bookmarkEnd w:id="202"/>
      <w:bookmarkEnd w:id="203"/>
      <w:bookmarkEnd w:id="204"/>
      <w:bookmarkEnd w:id="205"/>
      <w:bookmarkEnd w:id="206"/>
      <w:bookmarkEnd w:id="207"/>
      <w:bookmarkEnd w:id="208"/>
      <w:bookmarkEnd w:id="209"/>
    </w:p>
    <w:p w14:paraId="609B222E" w14:textId="5D977913" w:rsidR="0064576E" w:rsidRPr="000E2377" w:rsidRDefault="0064576E" w:rsidP="00100A5B">
      <w:pPr>
        <w:keepNext/>
        <w:keepLines/>
        <w:spacing w:before="40" w:line="360" w:lineRule="auto"/>
        <w:jc w:val="both"/>
        <w:outlineLvl w:val="3"/>
        <w:rPr>
          <w:rFonts w:eastAsia="Calibri" w:cstheme="majorBidi"/>
          <w:iCs/>
          <w:color w:val="000000" w:themeColor="text1"/>
          <w:lang w:eastAsia="tr-TR"/>
        </w:rPr>
      </w:pPr>
      <w:bookmarkStart w:id="210" w:name="_Toc523402885"/>
      <w:bookmarkStart w:id="211" w:name="_Toc525526396"/>
      <w:bookmarkStart w:id="212" w:name="_Toc525707813"/>
      <w:bookmarkStart w:id="213" w:name="_Toc525742478"/>
      <w:r w:rsidRPr="000E2377">
        <w:rPr>
          <w:rFonts w:eastAsia="Calibri" w:cstheme="majorBidi"/>
          <w:iCs/>
          <w:color w:val="000000" w:themeColor="text1"/>
          <w:lang w:eastAsia="tr-TR"/>
        </w:rPr>
        <w:t>2.</w:t>
      </w:r>
      <w:r w:rsidR="003B115C">
        <w:rPr>
          <w:rFonts w:eastAsia="Calibri" w:cstheme="majorBidi"/>
          <w:iCs/>
          <w:color w:val="000000" w:themeColor="text1"/>
          <w:lang w:eastAsia="tr-TR"/>
        </w:rPr>
        <w:t>1</w:t>
      </w:r>
      <w:r w:rsidR="007754F1">
        <w:rPr>
          <w:rFonts w:eastAsia="Calibri" w:cstheme="majorBidi"/>
          <w:iCs/>
          <w:color w:val="000000" w:themeColor="text1"/>
          <w:lang w:eastAsia="tr-TR"/>
        </w:rPr>
        <w:t>1</w:t>
      </w:r>
      <w:r w:rsidRPr="000E2377">
        <w:rPr>
          <w:rFonts w:eastAsia="Calibri" w:cstheme="majorBidi"/>
          <w:iCs/>
          <w:color w:val="000000" w:themeColor="text1"/>
          <w:lang w:eastAsia="tr-TR"/>
        </w:rPr>
        <w:t>.</w:t>
      </w:r>
      <w:r w:rsidR="00303BFB">
        <w:rPr>
          <w:rFonts w:eastAsia="Calibri" w:cstheme="majorBidi"/>
          <w:iCs/>
          <w:color w:val="000000" w:themeColor="text1"/>
          <w:lang w:eastAsia="tr-TR"/>
        </w:rPr>
        <w:t>5</w:t>
      </w:r>
      <w:r w:rsidR="008F5046" w:rsidRPr="000E2377">
        <w:rPr>
          <w:rFonts w:eastAsia="Calibri" w:cstheme="majorBidi"/>
          <w:iCs/>
          <w:color w:val="000000" w:themeColor="text1"/>
          <w:lang w:eastAsia="tr-TR"/>
        </w:rPr>
        <w:t xml:space="preserve"> </w:t>
      </w:r>
      <w:r w:rsidR="006C4A91" w:rsidRPr="000E2377">
        <w:rPr>
          <w:rFonts w:eastAsia="Calibri" w:cstheme="majorBidi"/>
          <w:iCs/>
          <w:color w:val="000000" w:themeColor="text1"/>
          <w:lang w:eastAsia="tr-TR"/>
        </w:rPr>
        <w:t xml:space="preserve">Mechanical properties </w:t>
      </w:r>
      <w:r w:rsidRPr="000E2377">
        <w:rPr>
          <w:rFonts w:eastAsia="Calibri" w:cstheme="majorBidi"/>
          <w:iCs/>
          <w:color w:val="000000" w:themeColor="text1"/>
          <w:lang w:eastAsia="tr-TR"/>
        </w:rPr>
        <w:t>of boroaluminosilicate glass</w:t>
      </w:r>
      <w:r w:rsidR="006C4A91" w:rsidRPr="000E2377">
        <w:rPr>
          <w:rFonts w:eastAsia="Calibri" w:cstheme="majorBidi"/>
          <w:iCs/>
          <w:color w:val="000000" w:themeColor="text1"/>
          <w:lang w:eastAsia="tr-TR"/>
        </w:rPr>
        <w:t>es</w:t>
      </w:r>
      <w:r w:rsidRPr="000E2377">
        <w:rPr>
          <w:rFonts w:eastAsia="Calibri" w:cstheme="majorBidi"/>
          <w:iCs/>
          <w:color w:val="000000" w:themeColor="text1"/>
          <w:lang w:eastAsia="tr-TR"/>
        </w:rPr>
        <w:t xml:space="preserve"> and relationships with structure</w:t>
      </w:r>
      <w:bookmarkEnd w:id="210"/>
      <w:bookmarkEnd w:id="211"/>
      <w:bookmarkEnd w:id="212"/>
      <w:bookmarkEnd w:id="213"/>
    </w:p>
    <w:p w14:paraId="3A7B39E5" w14:textId="1E951AB1" w:rsidR="0064576E" w:rsidRPr="000E2377" w:rsidRDefault="0064576E" w:rsidP="0064576E">
      <w:pPr>
        <w:spacing w:line="360" w:lineRule="auto"/>
        <w:jc w:val="both"/>
        <w:rPr>
          <w:rFonts w:asciiTheme="majorBidi" w:hAnsiTheme="majorBidi" w:cstheme="majorBidi"/>
          <w:b w:val="0"/>
          <w:color w:val="000000" w:themeColor="text1"/>
          <w:szCs w:val="24"/>
        </w:rPr>
      </w:pPr>
      <w:r w:rsidRPr="000E2377">
        <w:rPr>
          <w:rFonts w:asciiTheme="majorBidi" w:hAnsiTheme="majorBidi" w:cstheme="majorBidi"/>
          <w:b w:val="0"/>
          <w:szCs w:val="24"/>
        </w:rPr>
        <w:t xml:space="preserve">Boron speciation </w:t>
      </w:r>
      <w:r w:rsidR="00B70062">
        <w:rPr>
          <w:rFonts w:asciiTheme="majorBidi" w:hAnsiTheme="majorBidi" w:cstheme="majorBidi"/>
          <w:b w:val="0"/>
          <w:szCs w:val="24"/>
        </w:rPr>
        <w:t>a</w:t>
      </w:r>
      <w:r w:rsidR="00B70062" w:rsidRPr="000E2377">
        <w:rPr>
          <w:rFonts w:asciiTheme="majorBidi" w:hAnsiTheme="majorBidi" w:cstheme="majorBidi"/>
          <w:b w:val="0"/>
          <w:szCs w:val="24"/>
        </w:rPr>
        <w:t>ffect</w:t>
      </w:r>
      <w:r w:rsidR="00B70062">
        <w:rPr>
          <w:rFonts w:asciiTheme="majorBidi" w:hAnsiTheme="majorBidi" w:cstheme="majorBidi"/>
          <w:b w:val="0"/>
          <w:szCs w:val="24"/>
        </w:rPr>
        <w:t>s</w:t>
      </w:r>
      <w:r w:rsidR="00B70062" w:rsidRPr="000E2377">
        <w:rPr>
          <w:rFonts w:asciiTheme="majorBidi" w:hAnsiTheme="majorBidi" w:cstheme="majorBidi"/>
          <w:b w:val="0"/>
          <w:szCs w:val="24"/>
        </w:rPr>
        <w:t xml:space="preserve"> </w:t>
      </w:r>
      <w:r w:rsidRPr="000E2377">
        <w:rPr>
          <w:rFonts w:asciiTheme="majorBidi" w:hAnsiTheme="majorBidi" w:cstheme="majorBidi"/>
          <w:b w:val="0"/>
          <w:szCs w:val="24"/>
        </w:rPr>
        <w:t>t</w:t>
      </w:r>
      <w:r w:rsidR="00B70062">
        <w:rPr>
          <w:rFonts w:asciiTheme="majorBidi" w:hAnsiTheme="majorBidi" w:cstheme="majorBidi"/>
          <w:b w:val="0"/>
          <w:szCs w:val="24"/>
        </w:rPr>
        <w:t>he</w:t>
      </w:r>
      <w:r w:rsidRPr="000E2377">
        <w:rPr>
          <w:rFonts w:asciiTheme="majorBidi" w:hAnsiTheme="majorBidi" w:cstheme="majorBidi"/>
          <w:b w:val="0"/>
          <w:szCs w:val="24"/>
        </w:rPr>
        <w:t xml:space="preserve"> mechanical properties</w:t>
      </w:r>
      <w:r w:rsidR="00B70062">
        <w:rPr>
          <w:rFonts w:asciiTheme="majorBidi" w:hAnsiTheme="majorBidi" w:cstheme="majorBidi"/>
          <w:b w:val="0"/>
          <w:szCs w:val="24"/>
        </w:rPr>
        <w:t xml:space="preserve"> of gla</w:t>
      </w:r>
      <w:r w:rsidR="00040067">
        <w:rPr>
          <w:rFonts w:asciiTheme="majorBidi" w:hAnsiTheme="majorBidi" w:cstheme="majorBidi"/>
          <w:b w:val="0"/>
          <w:szCs w:val="24"/>
        </w:rPr>
        <w:t>s</w:t>
      </w:r>
      <w:r w:rsidR="00B70062">
        <w:rPr>
          <w:rFonts w:asciiTheme="majorBidi" w:hAnsiTheme="majorBidi" w:cstheme="majorBidi"/>
          <w:b w:val="0"/>
          <w:szCs w:val="24"/>
        </w:rPr>
        <w:t>ses</w:t>
      </w:r>
      <w:r w:rsidRPr="000E2377">
        <w:rPr>
          <w:rFonts w:asciiTheme="majorBidi" w:hAnsiTheme="majorBidi" w:cstheme="majorBidi"/>
          <w:b w:val="0"/>
          <w:szCs w:val="24"/>
        </w:rPr>
        <w:t>. For example</w:t>
      </w:r>
      <w:r w:rsidR="00040067">
        <w:rPr>
          <w:rFonts w:asciiTheme="majorBidi" w:hAnsiTheme="majorBidi" w:cstheme="majorBidi"/>
          <w:b w:val="0"/>
          <w:szCs w:val="24"/>
        </w:rPr>
        <w:t>,</w:t>
      </w:r>
      <w:r w:rsidR="00651D73" w:rsidRPr="000E2377">
        <w:rPr>
          <w:rFonts w:asciiTheme="majorBidi" w:hAnsiTheme="majorBidi" w:cstheme="majorBidi"/>
          <w:b w:val="0"/>
          <w:szCs w:val="24"/>
        </w:rPr>
        <w:t xml:space="preserve"> in</w:t>
      </w:r>
      <w:r w:rsidR="00703251">
        <w:rPr>
          <w:rFonts w:asciiTheme="majorBidi" w:hAnsiTheme="majorBidi" w:cstheme="majorBidi"/>
          <w:b w:val="0"/>
          <w:szCs w:val="24"/>
        </w:rPr>
        <w:t xml:space="preserve"> ternary</w:t>
      </w:r>
      <w:r w:rsidR="00651D73" w:rsidRPr="000E2377">
        <w:rPr>
          <w:rFonts w:asciiTheme="majorBidi" w:hAnsiTheme="majorBidi" w:cstheme="majorBidi"/>
          <w:b w:val="0"/>
          <w:szCs w:val="24"/>
        </w:rPr>
        <w:t xml:space="preserve"> </w:t>
      </w:r>
      <w:r w:rsidR="0004698D" w:rsidRPr="000E2377">
        <w:rPr>
          <w:rFonts w:asciiTheme="majorBidi" w:hAnsiTheme="majorBidi" w:cstheme="majorBidi"/>
          <w:b w:val="0"/>
          <w:szCs w:val="24"/>
        </w:rPr>
        <w:t>SiO</w:t>
      </w:r>
      <w:r w:rsidR="0004698D" w:rsidRPr="000E2377">
        <w:rPr>
          <w:rFonts w:asciiTheme="majorBidi" w:hAnsiTheme="majorBidi" w:cstheme="majorBidi"/>
          <w:b w:val="0"/>
          <w:szCs w:val="24"/>
          <w:vertAlign w:val="subscript"/>
        </w:rPr>
        <w:t>2</w:t>
      </w:r>
      <w:r w:rsidR="0004698D" w:rsidRPr="000E2377">
        <w:rPr>
          <w:rFonts w:asciiTheme="majorBidi" w:hAnsiTheme="majorBidi" w:cstheme="majorBidi"/>
          <w:b w:val="0"/>
          <w:szCs w:val="24"/>
        </w:rPr>
        <w:t>-B</w:t>
      </w:r>
      <w:r w:rsidR="0004698D" w:rsidRPr="000E2377">
        <w:rPr>
          <w:rFonts w:asciiTheme="majorBidi" w:hAnsiTheme="majorBidi" w:cstheme="majorBidi"/>
          <w:b w:val="0"/>
          <w:szCs w:val="24"/>
          <w:vertAlign w:val="subscript"/>
        </w:rPr>
        <w:t>2</w:t>
      </w:r>
      <w:r w:rsidR="0004698D" w:rsidRPr="000E2377">
        <w:rPr>
          <w:rFonts w:asciiTheme="majorBidi" w:hAnsiTheme="majorBidi" w:cstheme="majorBidi"/>
          <w:b w:val="0"/>
          <w:szCs w:val="24"/>
        </w:rPr>
        <w:t>O</w:t>
      </w:r>
      <w:r w:rsidR="0004698D" w:rsidRPr="000E2377">
        <w:rPr>
          <w:rFonts w:asciiTheme="majorBidi" w:hAnsiTheme="majorBidi" w:cstheme="majorBidi"/>
          <w:b w:val="0"/>
          <w:szCs w:val="24"/>
          <w:vertAlign w:val="subscript"/>
        </w:rPr>
        <w:t>3</w:t>
      </w:r>
      <w:r w:rsidR="0004698D" w:rsidRPr="000E2377">
        <w:rPr>
          <w:rFonts w:asciiTheme="majorBidi" w:hAnsiTheme="majorBidi" w:cstheme="majorBidi"/>
          <w:b w:val="0"/>
          <w:szCs w:val="24"/>
        </w:rPr>
        <w:t>-Na</w:t>
      </w:r>
      <w:r w:rsidR="0004698D" w:rsidRPr="000E2377">
        <w:rPr>
          <w:rFonts w:asciiTheme="majorBidi" w:hAnsiTheme="majorBidi" w:cstheme="majorBidi"/>
          <w:b w:val="0"/>
          <w:szCs w:val="24"/>
          <w:vertAlign w:val="subscript"/>
        </w:rPr>
        <w:t>2</w:t>
      </w:r>
      <w:r w:rsidR="0004698D" w:rsidRPr="000E2377">
        <w:rPr>
          <w:rFonts w:asciiTheme="majorBidi" w:hAnsiTheme="majorBidi" w:cstheme="majorBidi"/>
          <w:b w:val="0"/>
          <w:szCs w:val="24"/>
        </w:rPr>
        <w:t>O</w:t>
      </w:r>
      <w:r w:rsidR="00B70062">
        <w:rPr>
          <w:rFonts w:asciiTheme="majorBidi" w:hAnsiTheme="majorBidi" w:cstheme="majorBidi"/>
          <w:b w:val="0"/>
          <w:szCs w:val="24"/>
        </w:rPr>
        <w:t xml:space="preserve"> glasses</w:t>
      </w:r>
      <w:r w:rsidR="00040067">
        <w:rPr>
          <w:rFonts w:asciiTheme="majorBidi" w:hAnsiTheme="majorBidi" w:cstheme="majorBidi"/>
          <w:b w:val="0"/>
          <w:szCs w:val="24"/>
        </w:rPr>
        <w:t>,</w:t>
      </w:r>
      <w:r w:rsidR="00B70062" w:rsidRPr="000E2377">
        <w:rPr>
          <w:rFonts w:asciiTheme="majorBidi" w:hAnsiTheme="majorBidi" w:cstheme="majorBidi"/>
          <w:b w:val="0"/>
          <w:szCs w:val="24"/>
        </w:rPr>
        <w:t xml:space="preserve"> </w:t>
      </w:r>
      <w:r w:rsidRPr="000E2377">
        <w:rPr>
          <w:rFonts w:asciiTheme="majorBidi" w:hAnsiTheme="majorBidi" w:cstheme="majorBidi"/>
          <w:b w:val="0"/>
          <w:szCs w:val="24"/>
        </w:rPr>
        <w:t xml:space="preserve">the densification and crack resistance value increase with </w:t>
      </w:r>
      <w:r w:rsidR="00B70062" w:rsidRPr="000E2377">
        <w:rPr>
          <w:rFonts w:asciiTheme="majorBidi" w:hAnsiTheme="majorBidi" w:cstheme="majorBidi"/>
          <w:b w:val="0"/>
          <w:szCs w:val="24"/>
        </w:rPr>
        <w:t>increas</w:t>
      </w:r>
      <w:r w:rsidR="00B70062">
        <w:rPr>
          <w:rFonts w:asciiTheme="majorBidi" w:hAnsiTheme="majorBidi" w:cstheme="majorBidi"/>
          <w:b w:val="0"/>
          <w:szCs w:val="24"/>
        </w:rPr>
        <w:t>ing</w:t>
      </w:r>
      <w:r w:rsidRPr="000E2377">
        <w:rPr>
          <w:rFonts w:asciiTheme="majorBidi" w:hAnsiTheme="majorBidi" w:cstheme="majorBidi"/>
          <w:b w:val="0"/>
          <w:szCs w:val="24"/>
        </w:rPr>
        <w:t xml:space="preserve"> three-fold </w:t>
      </w:r>
      <w:r w:rsidR="00B70062" w:rsidRPr="000E2377">
        <w:rPr>
          <w:rFonts w:asciiTheme="majorBidi" w:hAnsiTheme="majorBidi" w:cstheme="majorBidi"/>
          <w:b w:val="0"/>
          <w:szCs w:val="24"/>
        </w:rPr>
        <w:t>coordinat</w:t>
      </w:r>
      <w:r w:rsidR="00B70062">
        <w:rPr>
          <w:rFonts w:asciiTheme="majorBidi" w:hAnsiTheme="majorBidi" w:cstheme="majorBidi"/>
          <w:b w:val="0"/>
          <w:szCs w:val="24"/>
        </w:rPr>
        <w:t>ed</w:t>
      </w:r>
      <w:r w:rsidR="00B70062" w:rsidRPr="000E2377">
        <w:rPr>
          <w:rFonts w:asciiTheme="majorBidi" w:hAnsiTheme="majorBidi" w:cstheme="majorBidi"/>
          <w:b w:val="0"/>
          <w:szCs w:val="24"/>
        </w:rPr>
        <w:t xml:space="preserve"> </w:t>
      </w:r>
      <w:r w:rsidRPr="000E2377">
        <w:rPr>
          <w:rFonts w:asciiTheme="majorBidi" w:hAnsiTheme="majorBidi" w:cstheme="majorBidi"/>
          <w:b w:val="0"/>
          <w:szCs w:val="24"/>
        </w:rPr>
        <w:t>boron</w:t>
      </w:r>
      <w:r w:rsidR="00B70062">
        <w:rPr>
          <w:rFonts w:asciiTheme="majorBidi" w:hAnsiTheme="majorBidi" w:cstheme="majorBidi"/>
          <w:b w:val="0"/>
          <w:szCs w:val="24"/>
        </w:rPr>
        <w:t xml:space="preserve">, whereas </w:t>
      </w:r>
      <w:r w:rsidRPr="000E2377">
        <w:rPr>
          <w:rFonts w:asciiTheme="majorBidi" w:hAnsiTheme="majorBidi" w:cstheme="majorBidi"/>
          <w:b w:val="0"/>
          <w:szCs w:val="24"/>
        </w:rPr>
        <w:t>four-fold coordinated boron decreased the densification and crack resistance</w:t>
      </w:r>
      <w:r w:rsidR="0004698D" w:rsidRPr="000E2377">
        <w:rPr>
          <w:rFonts w:asciiTheme="majorBidi" w:hAnsiTheme="majorBidi" w:cstheme="majorBidi"/>
          <w:b w:val="0"/>
          <w:szCs w:val="24"/>
        </w:rPr>
        <w:t xml:space="preserve"> </w:t>
      </w:r>
      <w:r w:rsidR="0004698D" w:rsidRPr="000E2377">
        <w:rPr>
          <w:rFonts w:asciiTheme="majorBidi" w:hAnsiTheme="majorBidi" w:cstheme="majorBidi"/>
          <w:b w:val="0"/>
          <w:szCs w:val="24"/>
        </w:rPr>
        <w:fldChar w:fldCharType="begin" w:fldLock="1"/>
      </w:r>
      <w:r w:rsidR="00DA078F" w:rsidRPr="000E2377">
        <w:rPr>
          <w:rFonts w:asciiTheme="majorBidi" w:hAnsiTheme="majorBidi" w:cstheme="majorBidi"/>
          <w:b w:val="0"/>
          <w:szCs w:val="24"/>
        </w:rPr>
        <w:instrText>ADDIN CSL_CITATION { "citationItems" : [ { "id" : "ITEM-1", "itemData" : { "DOI" : "10.2109/jcersj2.118.792", "ISBN" : "1882-0743", "ISSN" : "1882-0743", "abstract" : "Effect of B2O3 content on crack resistance was investigated by indentation tests of glass samples with various compositions of B2O3. The ternary SiO2\u2013B2O3\u2013Na2O glass system (SBN series) and non-alkaline aluminoborosilicate glass system (SAB series). When B2O3 is substituted with SiO2 in the SBN system (\u201cSBN1\u201d series), crack resistance has a relationship with density. In a series of the SBN system where density did not change with B2O3 content (\u201cSBN2\u201d series), crack resistance decreased with increasing B2O3 content. On the other hand, crack resistance increased with increasing B2O3 content in the SAB series, where density did not change. According to the results of NMR measurement, boron in 4-cordination state ([4]B) increased in the SBN2 series while boron in 3-cordination state ([3]B) increased in the SAB series with increasing B2O3 content. Therefore, crack resistance increases with increasing [3]B and decreases with increasing [4]B. The difference in structure between [3]B and [4]B containing glasses leads to different effect on residual stress around the indentation, resulting in difference in crack resistance.", "author" : [ { "dropping-particle" : "", "family" : "Kato", "given" : "Yoshinari", "non-dropping-particle" : "", "parse-names" : false, "suffix" : "" }, { "dropping-particle" : "", "family" : "Yamazaki", "given" : "Hiroki", "non-dropping-particle" : "", "parse-names" : false, "suffix" : "" }, { "dropping-particle" : "", "family" : "Kubo", "given" : "Yoshihiro", "non-dropping-particle" : "", "parse-names" : false, "suffix" : "" }, { "dropping-particle" : "", "family" : "Yosyida", "given" : "Satoshi", "non-dropping-particle" : "", "parse-names" : false, "suffix" : "" }, { "dropping-particle" : "", "family" : "Matsuoko", "given" : "Jun", "non-dropping-particle" : "", "parse-names" : false, "suffix" : "" }, { "dropping-particle" : "", "family" : "Akai", "given" : "Tomoko", "non-dropping-particle" : "", "parse-names" : false, "suffix" : "" } ], "container-title" : "Journal of the Ceramic Society of Japan", "id" : "ITEM-1", "issue" : "1381", "issued" : { "date-parts" : [ [ "2010" ] ] }, "page" : "792-798", "title" : "Effect of B2O3 content on crack initiation under Vickers indentation test", "type" : "article-journal", "volume" : "118" }, "uris" : [ "http://www.mendeley.com/documents/?uuid=c0571df8-f8e5-4254-bd20-8c680e088ed4" ] } ], "mendeley" : { "formattedCitation" : "(Yoshinari Kato et al., 2010)", "manualFormatting" : "(Kato et al., 2010)", "plainTextFormattedCitation" : "(Yoshinari Kato et al., 2010)", "previouslyFormattedCitation" : "(Yoshinari Kato et al., 2010)" }, "properties" : { "noteIndex" : 41 }, "schema" : "https://github.com/citation-style-language/schema/raw/master/csl-citation.json" }</w:instrText>
      </w:r>
      <w:r w:rsidR="0004698D" w:rsidRPr="000E2377">
        <w:rPr>
          <w:rFonts w:asciiTheme="majorBidi" w:hAnsiTheme="majorBidi" w:cstheme="majorBidi"/>
          <w:b w:val="0"/>
          <w:szCs w:val="24"/>
        </w:rPr>
        <w:fldChar w:fldCharType="separate"/>
      </w:r>
      <w:r w:rsidR="0004698D" w:rsidRPr="000E2377">
        <w:rPr>
          <w:rFonts w:asciiTheme="majorBidi" w:hAnsiTheme="majorBidi" w:cstheme="majorBidi"/>
          <w:b w:val="0"/>
          <w:noProof/>
          <w:szCs w:val="24"/>
        </w:rPr>
        <w:t>(Kato et al., 2010)</w:t>
      </w:r>
      <w:r w:rsidR="0004698D" w:rsidRPr="000E2377">
        <w:rPr>
          <w:rFonts w:asciiTheme="majorBidi" w:hAnsiTheme="majorBidi" w:cstheme="majorBidi"/>
          <w:b w:val="0"/>
          <w:szCs w:val="24"/>
        </w:rPr>
        <w:fldChar w:fldCharType="end"/>
      </w:r>
      <w:r w:rsidRPr="000E2377">
        <w:rPr>
          <w:rFonts w:asciiTheme="majorBidi" w:hAnsiTheme="majorBidi" w:cstheme="majorBidi"/>
          <w:b w:val="0"/>
          <w:szCs w:val="24"/>
        </w:rPr>
        <w:t xml:space="preserve">. </w:t>
      </w:r>
      <w:r w:rsidR="009C149B" w:rsidRPr="000E2377">
        <w:rPr>
          <w:rFonts w:asciiTheme="majorBidi" w:hAnsiTheme="majorBidi" w:cstheme="majorBidi"/>
          <w:b w:val="0"/>
          <w:szCs w:val="24"/>
        </w:rPr>
        <w:t xml:space="preserve">This is because the </w:t>
      </w:r>
      <w:r w:rsidR="00BE6308" w:rsidRPr="000E2377">
        <w:rPr>
          <w:rFonts w:asciiTheme="majorBidi" w:hAnsiTheme="majorBidi" w:cstheme="majorBidi"/>
          <w:b w:val="0"/>
          <w:szCs w:val="24"/>
        </w:rPr>
        <w:t>prese</w:t>
      </w:r>
      <w:r w:rsidR="00BE6308">
        <w:rPr>
          <w:rFonts w:asciiTheme="majorBidi" w:hAnsiTheme="majorBidi" w:cstheme="majorBidi"/>
          <w:b w:val="0"/>
          <w:szCs w:val="24"/>
        </w:rPr>
        <w:t>nce</w:t>
      </w:r>
      <w:r w:rsidR="0049789B">
        <w:rPr>
          <w:rFonts w:asciiTheme="majorBidi" w:hAnsiTheme="majorBidi" w:cstheme="majorBidi"/>
          <w:b w:val="0"/>
          <w:szCs w:val="24"/>
        </w:rPr>
        <w:t xml:space="preserve"> </w:t>
      </w:r>
      <w:r w:rsidR="009C149B" w:rsidRPr="000E2377">
        <w:rPr>
          <w:rFonts w:asciiTheme="majorBidi" w:hAnsiTheme="majorBidi" w:cstheme="majorBidi"/>
          <w:b w:val="0"/>
          <w:szCs w:val="24"/>
        </w:rPr>
        <w:t>of three-fold co</w:t>
      </w:r>
      <w:r w:rsidR="004021E0" w:rsidRPr="000E2377">
        <w:rPr>
          <w:rFonts w:asciiTheme="majorBidi" w:hAnsiTheme="majorBidi" w:cstheme="majorBidi"/>
          <w:b w:val="0"/>
          <w:szCs w:val="24"/>
        </w:rPr>
        <w:t>ordination</w:t>
      </w:r>
      <w:r w:rsidR="009C149B" w:rsidRPr="000E2377">
        <w:rPr>
          <w:rFonts w:asciiTheme="majorBidi" w:hAnsiTheme="majorBidi" w:cstheme="majorBidi"/>
          <w:b w:val="0"/>
          <w:szCs w:val="24"/>
        </w:rPr>
        <w:t xml:space="preserve"> will produce </w:t>
      </w:r>
      <w:r w:rsidR="00B70062">
        <w:rPr>
          <w:rFonts w:asciiTheme="majorBidi" w:hAnsiTheme="majorBidi" w:cstheme="majorBidi"/>
          <w:b w:val="0"/>
          <w:szCs w:val="24"/>
        </w:rPr>
        <w:t xml:space="preserve">a </w:t>
      </w:r>
      <w:r w:rsidR="00BE6308">
        <w:rPr>
          <w:rFonts w:asciiTheme="majorBidi" w:hAnsiTheme="majorBidi" w:cstheme="majorBidi"/>
          <w:b w:val="0"/>
          <w:szCs w:val="24"/>
        </w:rPr>
        <w:t xml:space="preserve">more open and </w:t>
      </w:r>
      <w:r w:rsidR="009C149B" w:rsidRPr="000E2377">
        <w:rPr>
          <w:rFonts w:asciiTheme="majorBidi" w:hAnsiTheme="majorBidi" w:cstheme="majorBidi"/>
          <w:b w:val="0"/>
          <w:szCs w:val="24"/>
        </w:rPr>
        <w:t>less rigi</w:t>
      </w:r>
      <w:r w:rsidR="004021E0" w:rsidRPr="000E2377">
        <w:rPr>
          <w:rFonts w:asciiTheme="majorBidi" w:hAnsiTheme="majorBidi" w:cstheme="majorBidi"/>
          <w:b w:val="0"/>
          <w:szCs w:val="24"/>
        </w:rPr>
        <w:t xml:space="preserve">d network </w:t>
      </w:r>
      <w:r w:rsidR="00B70062">
        <w:rPr>
          <w:rFonts w:asciiTheme="majorBidi" w:hAnsiTheme="majorBidi" w:cstheme="majorBidi"/>
          <w:b w:val="0"/>
          <w:szCs w:val="24"/>
        </w:rPr>
        <w:t>which</w:t>
      </w:r>
      <w:r w:rsidR="004021E0" w:rsidRPr="000E2377">
        <w:rPr>
          <w:rFonts w:asciiTheme="majorBidi" w:hAnsiTheme="majorBidi" w:cstheme="majorBidi"/>
          <w:b w:val="0"/>
          <w:szCs w:val="24"/>
        </w:rPr>
        <w:t xml:space="preserve"> enhance</w:t>
      </w:r>
      <w:r w:rsidR="00B70062">
        <w:rPr>
          <w:rFonts w:asciiTheme="majorBidi" w:hAnsiTheme="majorBidi" w:cstheme="majorBidi"/>
          <w:b w:val="0"/>
          <w:szCs w:val="24"/>
        </w:rPr>
        <w:t>s</w:t>
      </w:r>
      <w:r w:rsidR="004021E0" w:rsidRPr="000E2377">
        <w:rPr>
          <w:rFonts w:asciiTheme="majorBidi" w:hAnsiTheme="majorBidi" w:cstheme="majorBidi"/>
          <w:b w:val="0"/>
          <w:szCs w:val="24"/>
        </w:rPr>
        <w:t xml:space="preserve"> densification and crack resistance. </w:t>
      </w:r>
      <w:r w:rsidRPr="000E2377">
        <w:rPr>
          <w:rFonts w:asciiTheme="majorBidi" w:hAnsiTheme="majorBidi" w:cstheme="majorBidi"/>
          <w:b w:val="0"/>
          <w:szCs w:val="24"/>
        </w:rPr>
        <w:t xml:space="preserve">The brittleness and fracture toughness were found to be correlated to the pressure applied and the molar volume of boron </w:t>
      </w:r>
      <w:r w:rsidRPr="000E2377">
        <w:rPr>
          <w:rFonts w:asciiTheme="majorBidi" w:hAnsiTheme="majorBidi" w:cstheme="majorBidi"/>
          <w:b w:val="0"/>
          <w:szCs w:val="24"/>
        </w:rPr>
        <w:fldChar w:fldCharType="begin" w:fldLock="1"/>
      </w:r>
      <w:r w:rsidR="006B07E6">
        <w:rPr>
          <w:rFonts w:asciiTheme="majorBidi" w:hAnsiTheme="majorBidi" w:cstheme="majorBidi"/>
          <w:b w:val="0"/>
          <w:szCs w:val="24"/>
        </w:rPr>
        <w:instrText>ADDIN CSL_CITATION { "citationItems" : [ { "id" : "ITEM-1", "itemData" : { "DOI" : "10.1016/j.jnoncrysol.2013.01.009", "ISSN" : "00223093", "author" : [ { "dropping-particle" : "", "family" : "Striepe", "given" : "Simon", "non-dropping-particle" : "", "parse-names" : false, "suffix" : "" }, { "dropping-particle" : "", "family" : "Smedskjaer", "given" : "Morten M.", "non-dropping-particle" : "", "parse-names" : false, "suffix" : "" }, { "dropping-particle" : "", "family" : "Deubener", "given" : "Joachim", "non-dropping-particle" : "", "parse-names" : false, "suffix" : "" }, { "dropping-particle" : "", "family" : "Bauer", "given" : "Ute", "non-dropping-particle" : "", "parse-names" : false, "suffix" : "" }, { "dropping-particle" : "", "family" : "Behrens", "given" : "Harald", "non-dropping-particle" : "", "parse-names" : false, "suffix" : "" }, { "dropping-particle" : "", "family" : "Potuzak", "given" : "Marcel", "non-dropping-particle" : "", "parse-names" : false, "suffix" : "" }, { "dropping-particle" : "", "family" : "Youngman", "given" : "Randall E.", "non-dropping-particle" : "", "parse-names" : false, "suffix" : "" }, { "dropping-particle" : "", "family" : "Mauro", "given" : "John C.", "non-dropping-particle" : "", "parse-names" : false, "suffix" : "" }, { "dropping-particle" : "", "family" : "Yue", "given" : "Yuanzheng", "non-dropping-particle" : "", "parse-names" : false, "suffix" : "" } ], "container-title" : "Journal of Non-Crystalline Solids", "id" : "ITEM-1", "issued" : { "date-parts" : [ [ "2013", "3" ] ] }, "page" : "44-52", "publisher" : "Elsevier B.V.", "title" : "Elastic and micromechanical properties of isostatically compressed soda\u2013lime\u2013borate glasses", "type" : "article-journal", "volume" : "364" }, "uris" : [ "http://www.mendeley.com/documents/?uuid=c3d4722b-9b71-4726-9ce0-8b081a4bf02e" ] } ], "mendeley" : { "formattedCitation" : "(Simon Striepe et al., 2013)", "manualFormatting" : "(Striepe et al., 2013)", "plainTextFormattedCitation" : "(Simon Striepe et al., 2013)", "previouslyFormattedCitation" : "(Simon Striepe et al., 2013)" }, "properties" : { "noteIndex" : 0 }, "schema" : "https://github.com/citation-style-language/schema/raw/master/csl-citation.json" }</w:instrText>
      </w:r>
      <w:r w:rsidRPr="000E2377">
        <w:rPr>
          <w:rFonts w:asciiTheme="majorBidi" w:hAnsiTheme="majorBidi" w:cstheme="majorBidi"/>
          <w:b w:val="0"/>
          <w:szCs w:val="24"/>
        </w:rPr>
        <w:fldChar w:fldCharType="separate"/>
      </w:r>
      <w:r w:rsidR="0001014E" w:rsidRPr="0001014E">
        <w:rPr>
          <w:rFonts w:asciiTheme="majorBidi" w:hAnsiTheme="majorBidi" w:cstheme="majorBidi"/>
          <w:b w:val="0"/>
          <w:noProof/>
          <w:szCs w:val="24"/>
        </w:rPr>
        <w:t>(Striepe et al., 2013)</w:t>
      </w:r>
      <w:r w:rsidRPr="000E2377">
        <w:rPr>
          <w:rFonts w:asciiTheme="majorBidi" w:hAnsiTheme="majorBidi" w:cstheme="majorBidi"/>
          <w:b w:val="0"/>
          <w:szCs w:val="24"/>
        </w:rPr>
        <w:fldChar w:fldCharType="end"/>
      </w:r>
      <w:r w:rsidRPr="000E2377">
        <w:rPr>
          <w:rFonts w:asciiTheme="majorBidi" w:hAnsiTheme="majorBidi" w:cstheme="majorBidi"/>
          <w:b w:val="0"/>
          <w:szCs w:val="24"/>
        </w:rPr>
        <w:t xml:space="preserve">. </w:t>
      </w:r>
      <w:r w:rsidRPr="000E2377">
        <w:rPr>
          <w:rFonts w:asciiTheme="majorBidi" w:hAnsiTheme="majorBidi" w:cstheme="majorBidi"/>
          <w:b w:val="0"/>
          <w:color w:val="000000" w:themeColor="text1"/>
          <w:szCs w:val="24"/>
        </w:rPr>
        <w:t>For ternary lead borosilicate</w:t>
      </w:r>
      <w:r w:rsidR="00B70062">
        <w:rPr>
          <w:rFonts w:asciiTheme="majorBidi" w:hAnsiTheme="majorBidi" w:cstheme="majorBidi"/>
          <w:b w:val="0"/>
          <w:color w:val="000000" w:themeColor="text1"/>
          <w:szCs w:val="24"/>
        </w:rPr>
        <w:t xml:space="preserve"> glasses</w:t>
      </w:r>
      <w:r w:rsidR="00B70062" w:rsidRPr="000E2377">
        <w:rPr>
          <w:rFonts w:asciiTheme="majorBidi" w:hAnsiTheme="majorBidi" w:cstheme="majorBidi"/>
          <w:b w:val="0"/>
          <w:color w:val="000000" w:themeColor="text1"/>
          <w:szCs w:val="24"/>
        </w:rPr>
        <w:t xml:space="preserve"> </w:t>
      </w:r>
      <w:r w:rsidRPr="000E2377">
        <w:rPr>
          <w:rFonts w:asciiTheme="majorBidi" w:hAnsiTheme="majorBidi" w:cstheme="majorBidi"/>
          <w:b w:val="0"/>
          <w:color w:val="000000" w:themeColor="text1"/>
          <w:szCs w:val="24"/>
        </w:rPr>
        <w:t>the value of thermal expansion coefficient and glass transition temperature decreased when SiO</w:t>
      </w:r>
      <w:r w:rsidRPr="000E2377">
        <w:rPr>
          <w:rFonts w:asciiTheme="majorBidi" w:hAnsiTheme="majorBidi" w:cstheme="majorBidi"/>
          <w:b w:val="0"/>
          <w:color w:val="000000" w:themeColor="text1"/>
          <w:szCs w:val="24"/>
          <w:vertAlign w:val="subscript"/>
        </w:rPr>
        <w:t>2</w:t>
      </w:r>
      <w:r w:rsidRPr="000E2377">
        <w:rPr>
          <w:rFonts w:asciiTheme="majorBidi" w:hAnsiTheme="majorBidi" w:cstheme="majorBidi"/>
          <w:b w:val="0"/>
          <w:color w:val="000000" w:themeColor="text1"/>
          <w:szCs w:val="24"/>
        </w:rPr>
        <w:t xml:space="preserve"> was replaced with B</w:t>
      </w:r>
      <w:r w:rsidRPr="000E2377">
        <w:rPr>
          <w:rFonts w:asciiTheme="majorBidi" w:hAnsiTheme="majorBidi" w:cstheme="majorBidi"/>
          <w:b w:val="0"/>
          <w:color w:val="000000" w:themeColor="text1"/>
          <w:szCs w:val="24"/>
          <w:vertAlign w:val="subscript"/>
        </w:rPr>
        <w:t>2</w:t>
      </w:r>
      <w:r w:rsidRPr="000E2377">
        <w:rPr>
          <w:rFonts w:asciiTheme="majorBidi" w:hAnsiTheme="majorBidi" w:cstheme="majorBidi"/>
          <w:b w:val="0"/>
          <w:color w:val="000000" w:themeColor="text1"/>
          <w:szCs w:val="24"/>
        </w:rPr>
        <w:t>O</w:t>
      </w:r>
      <w:r w:rsidRPr="000E2377">
        <w:rPr>
          <w:rFonts w:asciiTheme="majorBidi" w:hAnsiTheme="majorBidi" w:cstheme="majorBidi"/>
          <w:b w:val="0"/>
          <w:color w:val="000000" w:themeColor="text1"/>
          <w:szCs w:val="24"/>
          <w:vertAlign w:val="subscript"/>
        </w:rPr>
        <w:t>3</w:t>
      </w:r>
      <w:r w:rsidRPr="000E2377">
        <w:rPr>
          <w:rFonts w:asciiTheme="majorBidi" w:hAnsiTheme="majorBidi" w:cstheme="majorBidi"/>
          <w:b w:val="0"/>
          <w:color w:val="000000" w:themeColor="text1"/>
          <w:szCs w:val="24"/>
        </w:rPr>
        <w:t xml:space="preserve"> due to</w:t>
      </w:r>
      <w:r w:rsidR="00B70062">
        <w:rPr>
          <w:rFonts w:asciiTheme="majorBidi" w:hAnsiTheme="majorBidi" w:cstheme="majorBidi"/>
          <w:b w:val="0"/>
          <w:color w:val="000000" w:themeColor="text1"/>
          <w:szCs w:val="24"/>
        </w:rPr>
        <w:t xml:space="preserve"> the</w:t>
      </w:r>
      <w:r w:rsidRPr="000E2377">
        <w:rPr>
          <w:rFonts w:asciiTheme="majorBidi" w:hAnsiTheme="majorBidi" w:cstheme="majorBidi"/>
          <w:b w:val="0"/>
          <w:color w:val="000000" w:themeColor="text1"/>
          <w:szCs w:val="24"/>
        </w:rPr>
        <w:t xml:space="preserve"> increased number of Si–O–B linkages </w:t>
      </w:r>
      <w:r w:rsidRPr="000E2377">
        <w:rPr>
          <w:rFonts w:asciiTheme="majorBidi" w:hAnsiTheme="majorBidi" w:cstheme="majorBidi"/>
          <w:b w:val="0"/>
          <w:color w:val="000000" w:themeColor="text1"/>
          <w:szCs w:val="24"/>
        </w:rPr>
        <w:fldChar w:fldCharType="begin" w:fldLock="1"/>
      </w:r>
      <w:r w:rsidR="00AC61F6">
        <w:rPr>
          <w:rFonts w:asciiTheme="majorBidi" w:hAnsiTheme="majorBidi" w:cstheme="majorBidi"/>
          <w:b w:val="0"/>
          <w:color w:val="000000" w:themeColor="text1"/>
          <w:szCs w:val="24"/>
        </w:rPr>
        <w:instrText>ADDIN CSL_CITATION { "citationItems" : [ { "id" : "ITEM-1", "itemData" : { "author" : [ { "dropping-particle" : "", "family" : "Sudarsan", "given" : "V", "non-dropping-particle" : "", "parse-names" : false, "suffix" : "" }, { "dropping-particle" : "", "family" : "Shrikhande", "given" : "VK", "non-dropping-particle" : "", "parse-names" : false, "suffix" : "" }, { "dropping-particle" : "", "family" : "Kothiyal", "given" : "G P", "non-dropping-particle" : "", "parse-names" : false, "suffix" : "" }, { "dropping-particle" : "", "family" : "Kulshreshtha", "given" : "K", "non-dropping-particle" : "", "parse-names" : false, "suffix" : "" } ], "container-title" : "J. Phys.: Condens. Matter 14", "id" : "ITEM-1", "issued" : { "date-parts" : [ [ "2002" ] ] }, "page" : "6553-6565", "title" : "Structural aspects of B 2 O 3 -substituted (PbO)0.5(SiO2)0.5 glasses", "type" : "article-journal" }, "uris" : [ "http://www.mendeley.com/documents/?uuid=491445cb-5a8c-40f6-b94e-9876a7c16e2b" ] } ], "mendeley" : { "formattedCitation" : "(Sudarsan, Shrikhande, Kothiyal, &amp; Kulshreshtha, 2002)", "manualFormatting" : "(Sudarsan et al., 2002)", "plainTextFormattedCitation" : "(Sudarsan, Shrikhande, Kothiyal, &amp; Kulshreshtha, 2002)", "previouslyFormattedCitation" : "(Sudarsan, Shrikhande, Kothiyal, &amp; Kulshreshtha, 2002)" }, "properties" : { "noteIndex" : 0 }, "schema" : "https://github.com/citation-style-language/schema/raw/master/csl-citation.json" }</w:instrText>
      </w:r>
      <w:r w:rsidRPr="000E2377">
        <w:rPr>
          <w:rFonts w:asciiTheme="majorBidi" w:hAnsiTheme="majorBidi" w:cstheme="majorBidi"/>
          <w:b w:val="0"/>
          <w:color w:val="000000" w:themeColor="text1"/>
          <w:szCs w:val="24"/>
        </w:rPr>
        <w:fldChar w:fldCharType="separate"/>
      </w:r>
      <w:r w:rsidR="0003369E" w:rsidRPr="0003369E">
        <w:rPr>
          <w:rFonts w:asciiTheme="majorBidi" w:hAnsiTheme="majorBidi" w:cstheme="majorBidi"/>
          <w:b w:val="0"/>
          <w:noProof/>
          <w:color w:val="000000" w:themeColor="text1"/>
          <w:szCs w:val="24"/>
        </w:rPr>
        <w:t>(Sudarsan</w:t>
      </w:r>
      <w:r w:rsidR="00BE5EC6">
        <w:rPr>
          <w:rFonts w:asciiTheme="majorBidi" w:hAnsiTheme="majorBidi" w:cstheme="majorBidi"/>
          <w:b w:val="0"/>
          <w:noProof/>
          <w:color w:val="000000" w:themeColor="text1"/>
          <w:szCs w:val="24"/>
        </w:rPr>
        <w:t xml:space="preserve"> et al., </w:t>
      </w:r>
      <w:r w:rsidR="0003369E" w:rsidRPr="0003369E">
        <w:rPr>
          <w:rFonts w:asciiTheme="majorBidi" w:hAnsiTheme="majorBidi" w:cstheme="majorBidi"/>
          <w:b w:val="0"/>
          <w:noProof/>
          <w:color w:val="000000" w:themeColor="text1"/>
          <w:szCs w:val="24"/>
        </w:rPr>
        <w:t>2002)</w:t>
      </w:r>
      <w:r w:rsidRPr="000E2377">
        <w:rPr>
          <w:rFonts w:asciiTheme="majorBidi" w:hAnsiTheme="majorBidi" w:cstheme="majorBidi"/>
          <w:b w:val="0"/>
          <w:color w:val="000000" w:themeColor="text1"/>
          <w:szCs w:val="24"/>
        </w:rPr>
        <w:fldChar w:fldCharType="end"/>
      </w:r>
      <w:r w:rsidRPr="000E2377">
        <w:rPr>
          <w:rFonts w:asciiTheme="majorBidi" w:hAnsiTheme="majorBidi" w:cstheme="majorBidi"/>
          <w:b w:val="0"/>
          <w:color w:val="000000" w:themeColor="text1"/>
          <w:szCs w:val="24"/>
        </w:rPr>
        <w:t xml:space="preserve">. </w:t>
      </w:r>
    </w:p>
    <w:p w14:paraId="6433FDED" w14:textId="77777777" w:rsidR="0064576E" w:rsidRPr="000E2377" w:rsidRDefault="0064576E" w:rsidP="004707F6">
      <w:pPr>
        <w:spacing w:after="0" w:line="360" w:lineRule="auto"/>
        <w:jc w:val="both"/>
        <w:rPr>
          <w:rFonts w:asciiTheme="majorBidi" w:hAnsiTheme="majorBidi" w:cstheme="majorBidi"/>
          <w:b w:val="0"/>
          <w:color w:val="000000" w:themeColor="text1"/>
          <w:szCs w:val="24"/>
        </w:rPr>
      </w:pPr>
      <w:r w:rsidRPr="000E2377">
        <w:rPr>
          <w:b w:val="0"/>
          <w:noProof/>
          <w:lang w:eastAsia="en-MY"/>
        </w:rPr>
        <w:lastRenderedPageBreak/>
        <w:drawing>
          <wp:inline distT="0" distB="0" distL="0" distR="0" wp14:anchorId="351D8239" wp14:editId="11AEFA8D">
            <wp:extent cx="2764877" cy="1656000"/>
            <wp:effectExtent l="0" t="0" r="0" b="1905"/>
            <wp:docPr id="2182" name="Picture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64877" cy="1656000"/>
                    </a:xfrm>
                    <a:prstGeom prst="rect">
                      <a:avLst/>
                    </a:prstGeom>
                    <a:noFill/>
                    <a:ln>
                      <a:noFill/>
                    </a:ln>
                  </pic:spPr>
                </pic:pic>
              </a:graphicData>
            </a:graphic>
          </wp:inline>
        </w:drawing>
      </w:r>
      <w:r w:rsidRPr="000E2377">
        <w:rPr>
          <w:b w:val="0"/>
          <w:noProof/>
          <w:lang w:eastAsia="en-MY"/>
        </w:rPr>
        <w:drawing>
          <wp:inline distT="0" distB="0" distL="0" distR="0" wp14:anchorId="17FE6864" wp14:editId="08E38741">
            <wp:extent cx="2764877" cy="1656000"/>
            <wp:effectExtent l="0" t="0" r="0" b="1905"/>
            <wp:docPr id="2183" name="Picture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64877" cy="1656000"/>
                    </a:xfrm>
                    <a:prstGeom prst="rect">
                      <a:avLst/>
                    </a:prstGeom>
                    <a:noFill/>
                    <a:ln>
                      <a:noFill/>
                    </a:ln>
                  </pic:spPr>
                </pic:pic>
              </a:graphicData>
            </a:graphic>
          </wp:inline>
        </w:drawing>
      </w:r>
    </w:p>
    <w:p w14:paraId="39A14896" w14:textId="77777777" w:rsidR="0064576E" w:rsidRPr="000E2377" w:rsidRDefault="0064576E" w:rsidP="004707F6">
      <w:pPr>
        <w:spacing w:after="0"/>
        <w:jc w:val="center"/>
        <w:rPr>
          <w:b w:val="0"/>
        </w:rPr>
      </w:pPr>
      <w:r w:rsidRPr="000E2377">
        <w:rPr>
          <w:b w:val="0"/>
          <w:noProof/>
          <w:lang w:eastAsia="en-MY"/>
        </w:rPr>
        <w:drawing>
          <wp:inline distT="0" distB="0" distL="0" distR="0" wp14:anchorId="528DC211" wp14:editId="25B14340">
            <wp:extent cx="2764877" cy="1656000"/>
            <wp:effectExtent l="0" t="0" r="0" b="1905"/>
            <wp:docPr id="2184" name="Pictur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64877" cy="1656000"/>
                    </a:xfrm>
                    <a:prstGeom prst="rect">
                      <a:avLst/>
                    </a:prstGeom>
                    <a:noFill/>
                    <a:ln>
                      <a:noFill/>
                    </a:ln>
                  </pic:spPr>
                </pic:pic>
              </a:graphicData>
            </a:graphic>
          </wp:inline>
        </w:drawing>
      </w:r>
    </w:p>
    <w:p w14:paraId="7B6A7403" w14:textId="6DF5D5C8" w:rsidR="0064576E" w:rsidRPr="000E2377" w:rsidRDefault="001175BB" w:rsidP="00F75A9F">
      <w:pPr>
        <w:pStyle w:val="Caption"/>
      </w:pPr>
      <w:bookmarkStart w:id="214" w:name="_Toc521420450"/>
      <w:bookmarkStart w:id="215" w:name="_Toc525223185"/>
      <w:bookmarkStart w:id="216" w:name="_Toc525528333"/>
      <w:bookmarkStart w:id="217" w:name="_Toc525706348"/>
      <w:bookmarkStart w:id="218" w:name="_Hlk515393856"/>
      <w:r w:rsidRPr="000E2377">
        <w:t xml:space="preserve">Figure </w:t>
      </w:r>
      <w:r w:rsidR="00DE32A9">
        <w:t>2</w:t>
      </w:r>
      <w:r w:rsidR="002513FF" w:rsidRPr="000E2377">
        <w:t>.</w:t>
      </w:r>
      <w:r w:rsidR="003A7455">
        <w:t>14</w:t>
      </w:r>
      <w:r w:rsidRPr="000E2377">
        <w:t xml:space="preserve">: </w:t>
      </w:r>
      <w:r w:rsidR="0064576E" w:rsidRPr="000E2377">
        <w:t>Composition-structure-properties of boroaluminosilicate glass</w:t>
      </w:r>
      <w:r w:rsidR="00861558" w:rsidRPr="000E2377">
        <w:t xml:space="preserve"> (Na</w:t>
      </w:r>
      <w:r w:rsidR="00861558" w:rsidRPr="000E2377">
        <w:rPr>
          <w:vertAlign w:val="subscript"/>
        </w:rPr>
        <w:t>2</w:t>
      </w:r>
      <w:r w:rsidR="00861558" w:rsidRPr="000E2377">
        <w:t>O-Al</w:t>
      </w:r>
      <w:r w:rsidR="00861558" w:rsidRPr="000E2377">
        <w:rPr>
          <w:vertAlign w:val="subscript"/>
        </w:rPr>
        <w:t>2</w:t>
      </w:r>
      <w:r w:rsidR="00861558" w:rsidRPr="000E2377">
        <w:t>O</w:t>
      </w:r>
      <w:r w:rsidR="00861558" w:rsidRPr="000E2377">
        <w:rPr>
          <w:vertAlign w:val="subscript"/>
        </w:rPr>
        <w:t>3</w:t>
      </w:r>
      <w:r w:rsidR="00861558" w:rsidRPr="000E2377">
        <w:t>-B</w:t>
      </w:r>
      <w:r w:rsidR="00861558" w:rsidRPr="000E2377">
        <w:rPr>
          <w:vertAlign w:val="subscript"/>
        </w:rPr>
        <w:t>2</w:t>
      </w:r>
      <w:r w:rsidR="00861558" w:rsidRPr="000E2377">
        <w:t>O</w:t>
      </w:r>
      <w:r w:rsidR="00861558" w:rsidRPr="000E2377">
        <w:rPr>
          <w:vertAlign w:val="subscript"/>
        </w:rPr>
        <w:t>3</w:t>
      </w:r>
      <w:r w:rsidR="00861558" w:rsidRPr="000E2377">
        <w:t>-SiO</w:t>
      </w:r>
      <w:r w:rsidR="00861558" w:rsidRPr="000E2377">
        <w:rPr>
          <w:vertAlign w:val="subscript"/>
        </w:rPr>
        <w:t>2</w:t>
      </w:r>
      <w:r w:rsidR="00861558" w:rsidRPr="000E2377">
        <w:t>)</w:t>
      </w:r>
      <w:r w:rsidR="00B70062">
        <w:t>; data from</w:t>
      </w:r>
      <w:r w:rsidR="0064576E" w:rsidRPr="000E2377">
        <w:t xml:space="preserve"> </w:t>
      </w:r>
      <w:r w:rsidR="0064576E" w:rsidRPr="000E2377">
        <w:fldChar w:fldCharType="begin" w:fldLock="1"/>
      </w:r>
      <w:r w:rsidR="008400FF">
        <w:instrText>ADDIN CSL_CITATION { "citationItems" : [ { "id" : "ITEM-1", "itemData" : { "DOI" : "10.1016/j.jnoncrysol.2012.01.030", "ISSN" : "00223093", "abstract" : "The complicated structural speciation in boroaluminosilicate glasses leads to a mixed network former effect yielding nonlinear variation in many macroscopic properties as a function of chemical composition. Here we study the composition\u2013structure\u2013property relationships in a series of sodium boroaluminosilicate glasses from peralkaline to peraluminous compositions by substituting Al2O3 for SiO2. Our results reveal a pro- nounced change in all the measured physical properties (density, elastic moduli, hardness, glass transition temperature, and liquid fragility) around [Al2O3]\u2013[Na2O]=0. The structural origin of this change is elucidat- ed through nuclear magnetic resonance analyses and topological considerations. Furthermore, we find that addition of 1 mol% Fe2O3 exerts a complicated impact on the measured properties", "author" : [ { "dropping-particle" : "", "family" : "Zheng", "given" : "Qiuju", "non-dropping-particle" : "", "parse-names" : false, "suffix" : "" }, { "dropping-particle" : "", "family" : "Potuzak", "given" : "Marcel", "non-dropping-particle" : "", "parse-names" : false, "suffix" : "" }, { "dropping-particle" : "", "family" : "Mauro", "given" : "John C.", "non-dropping-particle" : "", "parse-names" : false, "suffix" : "" }, { "dropping-particle" : "", "family" : "Smedskjaer", "given" : "Morten M.", "non-dropping-particle" : "", "parse-names" : false, "suffix" : "" }, { "dropping-particle" : "", "family" : "Youngman", "given" : "Randall E.", "non-dropping-particle" : "", "parse-names" : false, "suffix" : "" }, { "dropping-particle" : "", "family" : "Yue", "given" : "Yuanzheng", "non-dropping-particle" : "", "parse-names" : false, "suffix" : "" } ], "container-title" : "Journal of Non-Crystalline Solids", "id" : "ITEM-1", "issue" : "6-7", "issued" : { "date-parts" : [ [ "2012", "4" ] ] }, "page" : "993-1002", "publisher" : "Elsevier B.V.", "title" : "Composition\u2013structure\u2013property relationships in boroaluminosilicate glasses", "type" : "article-journal", "volume" : "358" }, "uris" : [ "http://www.mendeley.com/documents/?uuid=8ccfe3eb-f21e-4530-8f05-85b536f7dce8" ] } ], "mendeley" : { "formattedCitation" : "(Q. Zheng et al., 2012)", "manualFormatting" : "(Zheng et al., 2012)", "plainTextFormattedCitation" : "(Q. Zheng et al., 2012)", "previouslyFormattedCitation" : "(Q. Zheng et al., 2012)" }, "properties" : { "noteIndex" : 29 }, "schema" : "https://github.com/citation-style-language/schema/raw/master/csl-citation.json" }</w:instrText>
      </w:r>
      <w:r w:rsidR="0064576E" w:rsidRPr="000E2377">
        <w:fldChar w:fldCharType="separate"/>
      </w:r>
      <w:r w:rsidR="0064576E" w:rsidRPr="000E2377">
        <w:rPr>
          <w:noProof/>
        </w:rPr>
        <w:t>(Zheng et al., 2012)</w:t>
      </w:r>
      <w:bookmarkEnd w:id="214"/>
      <w:bookmarkEnd w:id="215"/>
      <w:bookmarkEnd w:id="216"/>
      <w:bookmarkEnd w:id="217"/>
      <w:r w:rsidR="0064576E" w:rsidRPr="000E2377">
        <w:fldChar w:fldCharType="end"/>
      </w:r>
    </w:p>
    <w:bookmarkEnd w:id="218"/>
    <w:p w14:paraId="4D0E3E74" w14:textId="115FEC07" w:rsidR="00B10BB7" w:rsidRPr="004707F6" w:rsidRDefault="00BE6308" w:rsidP="004E5388">
      <w:pPr>
        <w:spacing w:line="360" w:lineRule="auto"/>
        <w:jc w:val="both"/>
        <w:rPr>
          <w:b w:val="0"/>
        </w:rPr>
      </w:pPr>
      <w:r>
        <w:rPr>
          <w:rFonts w:asciiTheme="majorBidi" w:hAnsiTheme="majorBidi" w:cstheme="majorBidi"/>
          <w:b w:val="0"/>
          <w:color w:val="000000" w:themeColor="text1"/>
          <w:szCs w:val="24"/>
        </w:rPr>
        <w:t>I</w:t>
      </w:r>
      <w:r w:rsidRPr="000E2377">
        <w:rPr>
          <w:rFonts w:asciiTheme="majorBidi" w:hAnsiTheme="majorBidi" w:cstheme="majorBidi"/>
          <w:b w:val="0"/>
          <w:color w:val="000000" w:themeColor="text1"/>
          <w:szCs w:val="24"/>
        </w:rPr>
        <w:t xml:space="preserve">n their studies </w:t>
      </w:r>
      <w:r>
        <w:rPr>
          <w:rFonts w:asciiTheme="majorBidi" w:hAnsiTheme="majorBidi" w:cstheme="majorBidi"/>
          <w:b w:val="0"/>
          <w:color w:val="000000" w:themeColor="text1"/>
          <w:szCs w:val="24"/>
        </w:rPr>
        <w:t>o</w:t>
      </w:r>
      <w:r w:rsidRPr="000E2377">
        <w:rPr>
          <w:rFonts w:asciiTheme="majorBidi" w:hAnsiTheme="majorBidi" w:cstheme="majorBidi"/>
          <w:b w:val="0"/>
          <w:color w:val="000000" w:themeColor="text1"/>
          <w:szCs w:val="24"/>
        </w:rPr>
        <w:t>n boroaluminosilicate glass</w:t>
      </w:r>
      <w:r>
        <w:rPr>
          <w:rFonts w:asciiTheme="majorBidi" w:hAnsiTheme="majorBidi" w:cstheme="majorBidi"/>
          <w:b w:val="0"/>
          <w:color w:val="000000" w:themeColor="text1"/>
          <w:szCs w:val="24"/>
        </w:rPr>
        <w:t>,</w:t>
      </w:r>
      <w:r w:rsidRPr="000E2377">
        <w:rPr>
          <w:rFonts w:asciiTheme="majorBidi" w:hAnsiTheme="majorBidi" w:cstheme="majorBidi"/>
          <w:b w:val="0"/>
          <w:color w:val="000000" w:themeColor="text1"/>
          <w:szCs w:val="24"/>
        </w:rPr>
        <w:t xml:space="preserve"> </w:t>
      </w:r>
      <w:r w:rsidR="0064576E" w:rsidRPr="000E2377">
        <w:rPr>
          <w:rFonts w:asciiTheme="majorBidi" w:hAnsiTheme="majorBidi" w:cstheme="majorBidi"/>
          <w:b w:val="0"/>
          <w:color w:val="000000" w:themeColor="text1"/>
          <w:szCs w:val="24"/>
        </w:rPr>
        <w:t xml:space="preserve">Zheng et al </w:t>
      </w:r>
      <w:r>
        <w:rPr>
          <w:rFonts w:asciiTheme="majorBidi" w:hAnsiTheme="majorBidi" w:cstheme="majorBidi"/>
          <w:b w:val="0"/>
          <w:color w:val="000000" w:themeColor="text1"/>
          <w:szCs w:val="24"/>
        </w:rPr>
        <w:t>(</w:t>
      </w:r>
      <w:r w:rsidR="0064576E" w:rsidRPr="000E2377">
        <w:rPr>
          <w:rFonts w:asciiTheme="majorBidi" w:hAnsiTheme="majorBidi" w:cstheme="majorBidi"/>
          <w:b w:val="0"/>
          <w:color w:val="000000" w:themeColor="text1"/>
          <w:szCs w:val="24"/>
        </w:rPr>
        <w:t>2012</w:t>
      </w:r>
      <w:r>
        <w:rPr>
          <w:rFonts w:asciiTheme="majorBidi" w:hAnsiTheme="majorBidi" w:cstheme="majorBidi"/>
          <w:b w:val="0"/>
          <w:color w:val="000000" w:themeColor="text1"/>
          <w:szCs w:val="24"/>
        </w:rPr>
        <w:t>)</w:t>
      </w:r>
      <w:r w:rsidR="0064576E" w:rsidRPr="000E2377">
        <w:rPr>
          <w:rFonts w:asciiTheme="majorBidi" w:hAnsiTheme="majorBidi" w:cstheme="majorBidi"/>
          <w:b w:val="0"/>
          <w:color w:val="000000" w:themeColor="text1"/>
          <w:szCs w:val="24"/>
        </w:rPr>
        <w:t xml:space="preserve"> </w:t>
      </w:r>
      <w:r w:rsidR="00BB7624" w:rsidRPr="000E2377">
        <w:rPr>
          <w:rFonts w:asciiTheme="majorBidi" w:hAnsiTheme="majorBidi" w:cstheme="majorBidi"/>
          <w:b w:val="0"/>
          <w:color w:val="000000" w:themeColor="text1"/>
          <w:szCs w:val="24"/>
        </w:rPr>
        <w:t>found that as</w:t>
      </w:r>
      <w:r w:rsidR="0064576E" w:rsidRPr="000E2377">
        <w:rPr>
          <w:b w:val="0"/>
        </w:rPr>
        <w:t xml:space="preserve"> Al</w:t>
      </w:r>
      <w:r w:rsidR="0064576E" w:rsidRPr="000E2377">
        <w:rPr>
          <w:b w:val="0"/>
          <w:vertAlign w:val="subscript"/>
        </w:rPr>
        <w:t>2</w:t>
      </w:r>
      <w:r w:rsidR="0064576E" w:rsidRPr="000E2377">
        <w:rPr>
          <w:b w:val="0"/>
        </w:rPr>
        <w:t>O</w:t>
      </w:r>
      <w:r w:rsidR="0064576E" w:rsidRPr="000E2377">
        <w:rPr>
          <w:b w:val="0"/>
          <w:vertAlign w:val="subscript"/>
        </w:rPr>
        <w:t>3</w:t>
      </w:r>
      <w:r w:rsidR="00BB7624" w:rsidRPr="000E2377">
        <w:rPr>
          <w:b w:val="0"/>
          <w:vertAlign w:val="subscript"/>
        </w:rPr>
        <w:t xml:space="preserve"> </w:t>
      </w:r>
      <w:r w:rsidR="00BB7624" w:rsidRPr="000E2377">
        <w:rPr>
          <w:b w:val="0"/>
        </w:rPr>
        <w:t>increased</w:t>
      </w:r>
      <w:r w:rsidR="0064576E" w:rsidRPr="000E2377">
        <w:rPr>
          <w:b w:val="0"/>
        </w:rPr>
        <w:t>, N</w:t>
      </w:r>
      <w:r w:rsidR="0064576E" w:rsidRPr="000E2377">
        <w:rPr>
          <w:b w:val="0"/>
          <w:vertAlign w:val="subscript"/>
        </w:rPr>
        <w:t xml:space="preserve">4 </w:t>
      </w:r>
      <w:r w:rsidR="0064576E" w:rsidRPr="000E2377">
        <w:rPr>
          <w:b w:val="0"/>
        </w:rPr>
        <w:t xml:space="preserve">dramatically decreased as the </w:t>
      </w:r>
      <w:r w:rsidR="00BB7624" w:rsidRPr="000E2377">
        <w:rPr>
          <w:b w:val="0"/>
        </w:rPr>
        <w:t>modifiers</w:t>
      </w:r>
      <w:r w:rsidR="0064576E" w:rsidRPr="000E2377">
        <w:rPr>
          <w:b w:val="0"/>
        </w:rPr>
        <w:t xml:space="preserve"> are used to compensate </w:t>
      </w:r>
      <w:proofErr w:type="spellStart"/>
      <w:r w:rsidR="0064576E" w:rsidRPr="000E2377">
        <w:rPr>
          <w:b w:val="0"/>
        </w:rPr>
        <w:t>Al</w:t>
      </w:r>
      <w:r w:rsidR="0064576E" w:rsidRPr="000E2377">
        <w:rPr>
          <w:b w:val="0"/>
          <w:vertAlign w:val="superscript"/>
        </w:rPr>
        <w:t>IV</w:t>
      </w:r>
      <w:proofErr w:type="spellEnd"/>
      <w:r w:rsidR="00BB7624" w:rsidRPr="000E2377">
        <w:rPr>
          <w:b w:val="0"/>
        </w:rPr>
        <w:t>,</w:t>
      </w:r>
      <w:r w:rsidR="0064576E" w:rsidRPr="000E2377">
        <w:rPr>
          <w:b w:val="0"/>
        </w:rPr>
        <w:t xml:space="preserve"> and </w:t>
      </w:r>
      <w:r w:rsidR="00BB7624" w:rsidRPr="000E2377">
        <w:rPr>
          <w:b w:val="0"/>
        </w:rPr>
        <w:t>N</w:t>
      </w:r>
      <w:r w:rsidR="00BB7624" w:rsidRPr="000E2377">
        <w:rPr>
          <w:b w:val="0"/>
          <w:vertAlign w:val="subscript"/>
        </w:rPr>
        <w:t>4</w:t>
      </w:r>
      <w:r w:rsidR="00BB7624" w:rsidRPr="000E2377">
        <w:rPr>
          <w:b w:val="0"/>
        </w:rPr>
        <w:t xml:space="preserve"> ~ </w:t>
      </w:r>
      <w:r w:rsidR="0064576E" w:rsidRPr="000E2377">
        <w:rPr>
          <w:b w:val="0"/>
        </w:rPr>
        <w:t>0 when [Al</w:t>
      </w:r>
      <w:r w:rsidR="0064576E" w:rsidRPr="000E2377">
        <w:rPr>
          <w:b w:val="0"/>
          <w:vertAlign w:val="subscript"/>
        </w:rPr>
        <w:t>2</w:t>
      </w:r>
      <w:r w:rsidR="0064576E" w:rsidRPr="000E2377">
        <w:rPr>
          <w:b w:val="0"/>
        </w:rPr>
        <w:t>O</w:t>
      </w:r>
      <w:r w:rsidR="0064576E" w:rsidRPr="000E2377">
        <w:rPr>
          <w:b w:val="0"/>
          <w:vertAlign w:val="subscript"/>
        </w:rPr>
        <w:t>3</w:t>
      </w:r>
      <w:r w:rsidR="0064576E" w:rsidRPr="000E2377">
        <w:rPr>
          <w:b w:val="0"/>
        </w:rPr>
        <w:t>]-[Na</w:t>
      </w:r>
      <w:r w:rsidR="0064576E" w:rsidRPr="000E2377">
        <w:rPr>
          <w:b w:val="0"/>
          <w:vertAlign w:val="subscript"/>
        </w:rPr>
        <w:t>2</w:t>
      </w:r>
      <w:r w:rsidR="0064576E" w:rsidRPr="000E2377">
        <w:rPr>
          <w:b w:val="0"/>
        </w:rPr>
        <w:t>O] = 0</w:t>
      </w:r>
      <w:r w:rsidR="007E249A">
        <w:rPr>
          <w:b w:val="0"/>
        </w:rPr>
        <w:t xml:space="preserve"> (see Figure 2.14)</w:t>
      </w:r>
      <w:r w:rsidR="0064576E" w:rsidRPr="000E2377">
        <w:rPr>
          <w:b w:val="0"/>
        </w:rPr>
        <w:t xml:space="preserve">. Thus the glass transition </w:t>
      </w:r>
      <w:r w:rsidR="00B70062">
        <w:rPr>
          <w:b w:val="0"/>
        </w:rPr>
        <w:t>temperature</w:t>
      </w:r>
      <w:r w:rsidR="00B70062" w:rsidRPr="000E2377">
        <w:rPr>
          <w:b w:val="0"/>
        </w:rPr>
        <w:t xml:space="preserve"> </w:t>
      </w:r>
      <w:r w:rsidR="0064576E" w:rsidRPr="000E2377">
        <w:rPr>
          <w:b w:val="0"/>
        </w:rPr>
        <w:t xml:space="preserve">increased </w:t>
      </w:r>
      <w:r w:rsidR="00BB7624" w:rsidRPr="000E2377">
        <w:rPr>
          <w:b w:val="0"/>
        </w:rPr>
        <w:t xml:space="preserve">with </w:t>
      </w:r>
      <w:r w:rsidRPr="000E2377">
        <w:rPr>
          <w:b w:val="0"/>
        </w:rPr>
        <w:t>increas</w:t>
      </w:r>
      <w:r>
        <w:rPr>
          <w:b w:val="0"/>
        </w:rPr>
        <w:t>ing</w:t>
      </w:r>
      <w:r w:rsidRPr="000E2377">
        <w:rPr>
          <w:b w:val="0"/>
        </w:rPr>
        <w:t xml:space="preserve"> </w:t>
      </w:r>
      <w:r w:rsidR="00BB7624" w:rsidRPr="000E2377">
        <w:rPr>
          <w:b w:val="0"/>
        </w:rPr>
        <w:t>alumina content</w:t>
      </w:r>
      <w:r w:rsidR="0064576E" w:rsidRPr="000E2377">
        <w:rPr>
          <w:b w:val="0"/>
        </w:rPr>
        <w:t>. Meanwhile</w:t>
      </w:r>
      <w:r w:rsidR="00284CC3">
        <w:rPr>
          <w:b w:val="0"/>
        </w:rPr>
        <w:t>,</w:t>
      </w:r>
      <w:r w:rsidR="0064576E" w:rsidRPr="000E2377">
        <w:rPr>
          <w:b w:val="0"/>
        </w:rPr>
        <w:t xml:space="preserve"> </w:t>
      </w:r>
      <w:r w:rsidR="00B70062">
        <w:rPr>
          <w:b w:val="0"/>
        </w:rPr>
        <w:t>both</w:t>
      </w:r>
      <w:r w:rsidR="00B70062" w:rsidRPr="000E2377">
        <w:rPr>
          <w:b w:val="0"/>
        </w:rPr>
        <w:t xml:space="preserve"> </w:t>
      </w:r>
      <w:r w:rsidR="0064576E" w:rsidRPr="000E2377">
        <w:rPr>
          <w:b w:val="0"/>
        </w:rPr>
        <w:t xml:space="preserve">density and Young’s modulus decreased with </w:t>
      </w:r>
      <w:r w:rsidRPr="000E2377">
        <w:rPr>
          <w:b w:val="0"/>
        </w:rPr>
        <w:t>increas</w:t>
      </w:r>
      <w:r>
        <w:rPr>
          <w:b w:val="0"/>
        </w:rPr>
        <w:t>ing</w:t>
      </w:r>
      <w:r w:rsidRPr="000E2377">
        <w:rPr>
          <w:b w:val="0"/>
        </w:rPr>
        <w:t xml:space="preserve"> </w:t>
      </w:r>
      <w:r w:rsidR="0064576E" w:rsidRPr="000E2377">
        <w:rPr>
          <w:b w:val="0"/>
        </w:rPr>
        <w:t>N</w:t>
      </w:r>
      <w:r w:rsidR="0064576E" w:rsidRPr="000E2377">
        <w:rPr>
          <w:b w:val="0"/>
          <w:vertAlign w:val="subscript"/>
        </w:rPr>
        <w:t>4.</w:t>
      </w:r>
      <w:r w:rsidR="0064576E" w:rsidRPr="000E2377">
        <w:rPr>
          <w:b w:val="0"/>
        </w:rPr>
        <w:t xml:space="preserve"> </w:t>
      </w:r>
      <w:r w:rsidR="00277AA1">
        <w:rPr>
          <w:b w:val="0"/>
        </w:rPr>
        <w:t>M</w:t>
      </w:r>
      <w:r w:rsidR="0064576E" w:rsidRPr="000E2377">
        <w:rPr>
          <w:b w:val="0"/>
        </w:rPr>
        <w:t>odul</w:t>
      </w:r>
      <w:r w:rsidR="00F73C29">
        <w:rPr>
          <w:b w:val="0"/>
        </w:rPr>
        <w:t>us</w:t>
      </w:r>
      <w:r w:rsidR="0064576E" w:rsidRPr="000E2377">
        <w:rPr>
          <w:b w:val="0"/>
        </w:rPr>
        <w:t xml:space="preserve"> start</w:t>
      </w:r>
      <w:r w:rsidR="00284CC3">
        <w:rPr>
          <w:b w:val="0"/>
        </w:rPr>
        <w:t>s</w:t>
      </w:r>
      <w:r w:rsidR="0064576E" w:rsidRPr="000E2377">
        <w:rPr>
          <w:b w:val="0"/>
        </w:rPr>
        <w:t xml:space="preserve"> to </w:t>
      </w:r>
      <w:r w:rsidR="00277AA1">
        <w:rPr>
          <w:b w:val="0"/>
        </w:rPr>
        <w:t>de</w:t>
      </w:r>
      <w:r w:rsidR="00277AA1" w:rsidRPr="000E2377">
        <w:rPr>
          <w:b w:val="0"/>
        </w:rPr>
        <w:t xml:space="preserve">crease </w:t>
      </w:r>
      <w:r w:rsidR="00B70062">
        <w:rPr>
          <w:b w:val="0"/>
        </w:rPr>
        <w:t>when the</w:t>
      </w:r>
      <w:r w:rsidR="00B70062" w:rsidRPr="000E2377">
        <w:rPr>
          <w:b w:val="0"/>
        </w:rPr>
        <w:t xml:space="preserve"> </w:t>
      </w:r>
      <w:r w:rsidR="0064576E" w:rsidRPr="000E2377">
        <w:rPr>
          <w:b w:val="0"/>
        </w:rPr>
        <w:t>concentration of B</w:t>
      </w:r>
      <w:r w:rsidR="0064576E" w:rsidRPr="000E2377">
        <w:rPr>
          <w:b w:val="0"/>
          <w:vertAlign w:val="superscript"/>
        </w:rPr>
        <w:t>III</w:t>
      </w:r>
      <w:r w:rsidR="0064576E" w:rsidRPr="000E2377">
        <w:rPr>
          <w:b w:val="0"/>
        </w:rPr>
        <w:t xml:space="preserve"> is increased </w:t>
      </w:r>
      <w:r w:rsidR="00B70062">
        <w:rPr>
          <w:b w:val="0"/>
        </w:rPr>
        <w:t>because</w:t>
      </w:r>
      <w:r w:rsidR="00B70062" w:rsidRPr="000E2377">
        <w:rPr>
          <w:b w:val="0"/>
        </w:rPr>
        <w:t xml:space="preserve"> </w:t>
      </w:r>
      <w:r w:rsidR="0064576E" w:rsidRPr="000E2377">
        <w:rPr>
          <w:b w:val="0"/>
        </w:rPr>
        <w:t>B</w:t>
      </w:r>
      <w:r w:rsidR="0064576E" w:rsidRPr="000E2377">
        <w:rPr>
          <w:b w:val="0"/>
          <w:vertAlign w:val="superscript"/>
        </w:rPr>
        <w:t xml:space="preserve">III </w:t>
      </w:r>
      <w:r w:rsidR="0064576E" w:rsidRPr="000E2377">
        <w:rPr>
          <w:b w:val="0"/>
        </w:rPr>
        <w:t>species make the glass structure less densely packed. However</w:t>
      </w:r>
      <w:r w:rsidR="005D2943" w:rsidRPr="000E2377">
        <w:rPr>
          <w:b w:val="0"/>
        </w:rPr>
        <w:t>,</w:t>
      </w:r>
      <w:r w:rsidR="0064576E" w:rsidRPr="000E2377">
        <w:rPr>
          <w:b w:val="0"/>
        </w:rPr>
        <w:t xml:space="preserve"> the </w:t>
      </w:r>
      <w:r w:rsidR="00F73C29">
        <w:rPr>
          <w:b w:val="0"/>
        </w:rPr>
        <w:t>density and Young’s modulus</w:t>
      </w:r>
      <w:r w:rsidR="00F73C29" w:rsidRPr="000E2377">
        <w:rPr>
          <w:b w:val="0"/>
        </w:rPr>
        <w:t xml:space="preserve"> </w:t>
      </w:r>
      <w:r w:rsidR="0064576E" w:rsidRPr="000E2377">
        <w:rPr>
          <w:b w:val="0"/>
        </w:rPr>
        <w:t xml:space="preserve">start to </w:t>
      </w:r>
      <w:r w:rsidR="00BB7624" w:rsidRPr="000E2377">
        <w:rPr>
          <w:b w:val="0"/>
        </w:rPr>
        <w:t xml:space="preserve">increase </w:t>
      </w:r>
      <w:r w:rsidR="0064576E" w:rsidRPr="000E2377">
        <w:rPr>
          <w:b w:val="0"/>
        </w:rPr>
        <w:t>when [Al</w:t>
      </w:r>
      <w:r w:rsidR="0064576E" w:rsidRPr="000E2377">
        <w:rPr>
          <w:b w:val="0"/>
          <w:vertAlign w:val="subscript"/>
        </w:rPr>
        <w:t>2</w:t>
      </w:r>
      <w:r w:rsidR="0064576E" w:rsidRPr="000E2377">
        <w:rPr>
          <w:b w:val="0"/>
        </w:rPr>
        <w:t>O</w:t>
      </w:r>
      <w:r w:rsidR="0064576E" w:rsidRPr="000E2377">
        <w:rPr>
          <w:b w:val="0"/>
          <w:vertAlign w:val="subscript"/>
        </w:rPr>
        <w:t>3</w:t>
      </w:r>
      <w:r w:rsidR="0064576E" w:rsidRPr="000E2377">
        <w:rPr>
          <w:b w:val="0"/>
        </w:rPr>
        <w:t>]-[Na</w:t>
      </w:r>
      <w:r w:rsidR="0064576E" w:rsidRPr="000E2377">
        <w:rPr>
          <w:b w:val="0"/>
          <w:vertAlign w:val="subscript"/>
        </w:rPr>
        <w:t>2</w:t>
      </w:r>
      <w:r w:rsidR="0064576E" w:rsidRPr="000E2377">
        <w:rPr>
          <w:b w:val="0"/>
        </w:rPr>
        <w:t>O] &gt;</w:t>
      </w:r>
      <w:r w:rsidR="005D2943" w:rsidRPr="000E2377">
        <w:rPr>
          <w:b w:val="0"/>
        </w:rPr>
        <w:t xml:space="preserve"> 0</w:t>
      </w:r>
      <w:r w:rsidR="0064576E" w:rsidRPr="000E2377">
        <w:rPr>
          <w:b w:val="0"/>
        </w:rPr>
        <w:t xml:space="preserve"> due to </w:t>
      </w:r>
      <w:r w:rsidR="00284CC3">
        <w:rPr>
          <w:b w:val="0"/>
        </w:rPr>
        <w:t xml:space="preserve">the </w:t>
      </w:r>
      <w:r w:rsidR="00B70062" w:rsidRPr="000E2377">
        <w:rPr>
          <w:b w:val="0"/>
        </w:rPr>
        <w:t>presen</w:t>
      </w:r>
      <w:r w:rsidR="00B70062">
        <w:rPr>
          <w:b w:val="0"/>
        </w:rPr>
        <w:t>ce</w:t>
      </w:r>
      <w:r w:rsidR="00B70062" w:rsidRPr="000E2377">
        <w:rPr>
          <w:b w:val="0"/>
        </w:rPr>
        <w:t xml:space="preserve"> </w:t>
      </w:r>
      <w:r w:rsidR="0064576E" w:rsidRPr="000E2377">
        <w:rPr>
          <w:b w:val="0"/>
        </w:rPr>
        <w:t>of Al</w:t>
      </w:r>
      <w:r w:rsidR="0064576E" w:rsidRPr="000E2377">
        <w:rPr>
          <w:b w:val="0"/>
          <w:vertAlign w:val="superscript"/>
        </w:rPr>
        <w:t>V</w:t>
      </w:r>
      <w:r w:rsidR="00040067">
        <w:rPr>
          <w:b w:val="0"/>
        </w:rPr>
        <w:t>,</w:t>
      </w:r>
      <w:r w:rsidR="0064576E" w:rsidRPr="000E2377">
        <w:rPr>
          <w:b w:val="0"/>
        </w:rPr>
        <w:t xml:space="preserve"> which cause</w:t>
      </w:r>
      <w:r w:rsidR="00B70062">
        <w:rPr>
          <w:b w:val="0"/>
        </w:rPr>
        <w:t>s</w:t>
      </w:r>
      <w:r w:rsidR="0064576E" w:rsidRPr="000E2377">
        <w:rPr>
          <w:b w:val="0"/>
        </w:rPr>
        <w:t xml:space="preserve"> increased network connectivity </w:t>
      </w:r>
      <w:r w:rsidR="00B70062">
        <w:rPr>
          <w:b w:val="0"/>
        </w:rPr>
        <w:t>and hence</w:t>
      </w:r>
      <w:r w:rsidR="00B70062" w:rsidRPr="000E2377">
        <w:rPr>
          <w:b w:val="0"/>
        </w:rPr>
        <w:t xml:space="preserve"> </w:t>
      </w:r>
      <w:r w:rsidR="0064576E" w:rsidRPr="000E2377">
        <w:rPr>
          <w:b w:val="0"/>
        </w:rPr>
        <w:t>increased elastic moduli.</w:t>
      </w:r>
      <w:r w:rsidR="004707F6">
        <w:rPr>
          <w:b w:val="0"/>
        </w:rPr>
        <w:t xml:space="preserve"> </w:t>
      </w:r>
      <w:r w:rsidR="003F559C" w:rsidRPr="000E2377">
        <w:rPr>
          <w:rFonts w:asciiTheme="majorBidi" w:hAnsiTheme="majorBidi" w:cstheme="majorBidi"/>
          <w:b w:val="0"/>
          <w:color w:val="000000" w:themeColor="text1"/>
          <w:szCs w:val="24"/>
        </w:rPr>
        <w:t xml:space="preserve">Meanwhile </w:t>
      </w:r>
      <w:r w:rsidR="003F559C" w:rsidRPr="000E2377">
        <w:rPr>
          <w:rFonts w:asciiTheme="majorBidi" w:hAnsiTheme="majorBidi" w:cstheme="majorBidi"/>
          <w:b w:val="0"/>
          <w:color w:val="000000" w:themeColor="text1"/>
          <w:szCs w:val="24"/>
        </w:rPr>
        <w:fldChar w:fldCharType="begin" w:fldLock="1"/>
      </w:r>
      <w:r w:rsidR="002A61DC" w:rsidRPr="000E2377">
        <w:rPr>
          <w:rFonts w:asciiTheme="majorBidi" w:hAnsiTheme="majorBidi" w:cstheme="majorBidi"/>
          <w:b w:val="0"/>
          <w:color w:val="000000" w:themeColor="text1"/>
          <w:szCs w:val="24"/>
        </w:rPr>
        <w:instrText>ADDIN CSL_CITATION { "citationItems" : [ { "id" : "ITEM-1", "itemData" : { "DOI" : "10.1016/j.jnoncrysol.2007.10.005", "ISSN" : "00223093", "author" : [ { "dropping-particle" : "", "family" : "Ramkumar", "given" : "Jayshree", "non-dropping-particle" : "", "parse-names" : false, "suffix" : "" }, { "dropping-particle" : "", "family" : "Sudarsan", "given" : "V.", "non-dropping-particle" : "", "parse-names" : false, "suffix" : "" }, { "dropping-particle" : "", "family" : "Chandramouleeswaran", "given" : "S.", "non-dropping-particle" : "", "parse-names" : false, "suffix" : "" }, { "dropping-particle" : "", "family" : "Shrikhande", "given" : "V.K.", "non-dropping-particle" : "", "parse-names" : false, "suffix" : "" }, { "dropping-particle" : "", "family" : "Kothiyal", "given" : "G.P.", "non-dropping-particle" : "", "parse-names" : false, "suffix" : "" }, { "dropping-particle" : "", "family" : "Ravindran", "given" : "P.V.", "non-dropping-particle" : "", "parse-names" : false, "suffix" : "" }, { "dropping-particle" : "", "family" : "Kulshreshtha", "given" : "S.K.", "non-dropping-particle" : "", "parse-names" : false, "suffix" : "" }, { "dropping-particle" : "", "family" : "Mukherjee", "given" : "T.", "non-dropping-particle" : "", "parse-names" : false, "suffix" : "" } ], "container-title" : "Journal of Non-Crystalline Solids", "id" : "ITEM-1", "issue" : "15-16", "issued" : { "date-parts" : [ [ "2008", "3" ] ] }, "page" : "1591-1597", "title" : "Structural studies on boroaluminosilicate glasses", "type" : "article-journal", "volume" : "354" }, "uris" : [ "http://www.mendeley.com/documents/?uuid=fbc8bb9e-c05e-4d4f-81e0-a3b2abf5a5a8" ] } ], "mendeley" : { "formattedCitation" : "(Ramkumar et al., 2008)", "manualFormatting" : "Ramkumar et al., (2008)", "plainTextFormattedCitation" : "(Ramkumar et al., 2008)", "previouslyFormattedCitation" : "(Ramkumar et al., 2008)" }, "properties" : { "noteIndex" : 38 }, "schema" : "https://github.com/citation-style-language/schema/raw/master/csl-citation.json" }</w:instrText>
      </w:r>
      <w:r w:rsidR="003F559C" w:rsidRPr="000E2377">
        <w:rPr>
          <w:rFonts w:asciiTheme="majorBidi" w:hAnsiTheme="majorBidi" w:cstheme="majorBidi"/>
          <w:b w:val="0"/>
          <w:color w:val="000000" w:themeColor="text1"/>
          <w:szCs w:val="24"/>
        </w:rPr>
        <w:fldChar w:fldCharType="separate"/>
      </w:r>
      <w:r w:rsidR="003F559C" w:rsidRPr="000E2377">
        <w:rPr>
          <w:rFonts w:asciiTheme="majorBidi" w:hAnsiTheme="majorBidi" w:cstheme="majorBidi"/>
          <w:b w:val="0"/>
          <w:noProof/>
          <w:color w:val="000000" w:themeColor="text1"/>
          <w:szCs w:val="24"/>
        </w:rPr>
        <w:t>Ramkumar et al., (2008)</w:t>
      </w:r>
      <w:r w:rsidR="003F559C" w:rsidRPr="000E2377">
        <w:rPr>
          <w:rFonts w:asciiTheme="majorBidi" w:hAnsiTheme="majorBidi" w:cstheme="majorBidi"/>
          <w:b w:val="0"/>
          <w:color w:val="000000" w:themeColor="text1"/>
          <w:szCs w:val="24"/>
        </w:rPr>
        <w:fldChar w:fldCharType="end"/>
      </w:r>
      <w:r w:rsidR="003F559C" w:rsidRPr="000E2377">
        <w:rPr>
          <w:rFonts w:asciiTheme="majorBidi" w:hAnsiTheme="majorBidi" w:cstheme="majorBidi"/>
          <w:b w:val="0"/>
          <w:color w:val="000000" w:themeColor="text1"/>
          <w:szCs w:val="24"/>
        </w:rPr>
        <w:t xml:space="preserve">, </w:t>
      </w:r>
      <w:r w:rsidR="00B70062">
        <w:rPr>
          <w:rFonts w:asciiTheme="majorBidi" w:hAnsiTheme="majorBidi" w:cstheme="majorBidi"/>
          <w:b w:val="0"/>
          <w:color w:val="000000" w:themeColor="text1"/>
          <w:szCs w:val="24"/>
        </w:rPr>
        <w:t xml:space="preserve">also </w:t>
      </w:r>
      <w:r w:rsidR="00CE4468" w:rsidRPr="000E2377">
        <w:rPr>
          <w:rFonts w:asciiTheme="majorBidi" w:hAnsiTheme="majorBidi" w:cstheme="majorBidi"/>
          <w:b w:val="0"/>
          <w:color w:val="000000" w:themeColor="text1"/>
          <w:szCs w:val="24"/>
        </w:rPr>
        <w:t>f</w:t>
      </w:r>
      <w:r w:rsidR="00B70062">
        <w:rPr>
          <w:rFonts w:asciiTheme="majorBidi" w:hAnsiTheme="majorBidi" w:cstheme="majorBidi"/>
          <w:b w:val="0"/>
          <w:color w:val="000000" w:themeColor="text1"/>
          <w:szCs w:val="24"/>
        </w:rPr>
        <w:t>oun</w:t>
      </w:r>
      <w:r w:rsidR="00CE4468" w:rsidRPr="000E2377">
        <w:rPr>
          <w:rFonts w:asciiTheme="majorBidi" w:hAnsiTheme="majorBidi" w:cstheme="majorBidi"/>
          <w:b w:val="0"/>
          <w:color w:val="000000" w:themeColor="text1"/>
          <w:szCs w:val="24"/>
        </w:rPr>
        <w:t xml:space="preserve">d that there is </w:t>
      </w:r>
      <w:r w:rsidR="00B70062">
        <w:rPr>
          <w:rFonts w:asciiTheme="majorBidi" w:hAnsiTheme="majorBidi" w:cstheme="majorBidi"/>
          <w:b w:val="0"/>
          <w:color w:val="000000" w:themeColor="text1"/>
          <w:szCs w:val="24"/>
        </w:rPr>
        <w:t xml:space="preserve">a </w:t>
      </w:r>
      <w:r w:rsidR="00CE4468" w:rsidRPr="000E2377">
        <w:rPr>
          <w:rFonts w:asciiTheme="majorBidi" w:hAnsiTheme="majorBidi" w:cstheme="majorBidi"/>
          <w:b w:val="0"/>
          <w:color w:val="000000" w:themeColor="text1"/>
          <w:szCs w:val="24"/>
        </w:rPr>
        <w:t>correlation between structure and microhardness in</w:t>
      </w:r>
      <w:r w:rsidR="003F559C" w:rsidRPr="000E2377">
        <w:rPr>
          <w:rFonts w:asciiTheme="majorBidi" w:hAnsiTheme="majorBidi" w:cstheme="majorBidi"/>
          <w:b w:val="0"/>
          <w:color w:val="000000" w:themeColor="text1"/>
          <w:szCs w:val="24"/>
        </w:rPr>
        <w:t xml:space="preserve"> (Na</w:t>
      </w:r>
      <w:r w:rsidR="003F559C" w:rsidRPr="000E2377">
        <w:rPr>
          <w:rFonts w:asciiTheme="majorBidi" w:hAnsiTheme="majorBidi" w:cstheme="majorBidi"/>
          <w:b w:val="0"/>
          <w:color w:val="000000" w:themeColor="text1"/>
          <w:szCs w:val="24"/>
          <w:vertAlign w:val="subscript"/>
        </w:rPr>
        <w:t>2</w:t>
      </w:r>
      <w:r w:rsidR="003F559C" w:rsidRPr="000E2377">
        <w:rPr>
          <w:rFonts w:asciiTheme="majorBidi" w:hAnsiTheme="majorBidi" w:cstheme="majorBidi"/>
          <w:b w:val="0"/>
          <w:color w:val="000000" w:themeColor="text1"/>
          <w:szCs w:val="24"/>
        </w:rPr>
        <w:t>O)</w:t>
      </w:r>
      <w:r w:rsidR="003F559C" w:rsidRPr="000E2377">
        <w:rPr>
          <w:rFonts w:asciiTheme="majorBidi" w:hAnsiTheme="majorBidi" w:cstheme="majorBidi"/>
          <w:b w:val="0"/>
          <w:color w:val="000000" w:themeColor="text1"/>
          <w:szCs w:val="24"/>
          <w:vertAlign w:val="subscript"/>
        </w:rPr>
        <w:t>0.27-x</w:t>
      </w:r>
      <w:r w:rsidR="003F559C" w:rsidRPr="000E2377">
        <w:rPr>
          <w:rFonts w:asciiTheme="majorBidi" w:hAnsiTheme="majorBidi" w:cstheme="majorBidi"/>
          <w:b w:val="0"/>
          <w:color w:val="000000" w:themeColor="text1"/>
          <w:szCs w:val="24"/>
        </w:rPr>
        <w:t>(K</w:t>
      </w:r>
      <w:r w:rsidR="003F559C" w:rsidRPr="000E2377">
        <w:rPr>
          <w:rFonts w:asciiTheme="majorBidi" w:hAnsiTheme="majorBidi" w:cstheme="majorBidi"/>
          <w:b w:val="0"/>
          <w:color w:val="000000" w:themeColor="text1"/>
          <w:szCs w:val="24"/>
          <w:vertAlign w:val="subscript"/>
        </w:rPr>
        <w:t>2</w:t>
      </w:r>
      <w:r w:rsidR="003F559C" w:rsidRPr="000E2377">
        <w:rPr>
          <w:rFonts w:asciiTheme="majorBidi" w:hAnsiTheme="majorBidi" w:cstheme="majorBidi"/>
          <w:b w:val="0"/>
          <w:color w:val="000000" w:themeColor="text1"/>
          <w:szCs w:val="24"/>
        </w:rPr>
        <w:t>O)</w:t>
      </w:r>
      <w:r w:rsidR="003F559C" w:rsidRPr="000E2377">
        <w:rPr>
          <w:rFonts w:asciiTheme="majorBidi" w:hAnsiTheme="majorBidi" w:cstheme="majorBidi"/>
          <w:b w:val="0"/>
          <w:color w:val="000000" w:themeColor="text1"/>
          <w:szCs w:val="24"/>
          <w:vertAlign w:val="subscript"/>
        </w:rPr>
        <w:t>0.029</w:t>
      </w:r>
      <w:r w:rsidR="003F559C" w:rsidRPr="000E2377">
        <w:rPr>
          <w:rFonts w:asciiTheme="majorBidi" w:hAnsiTheme="majorBidi" w:cstheme="majorBidi"/>
          <w:b w:val="0"/>
          <w:color w:val="000000" w:themeColor="text1"/>
          <w:szCs w:val="24"/>
        </w:rPr>
        <w:t>(B</w:t>
      </w:r>
      <w:r w:rsidR="003F559C" w:rsidRPr="000E2377">
        <w:rPr>
          <w:rFonts w:asciiTheme="majorBidi" w:hAnsiTheme="majorBidi" w:cstheme="majorBidi"/>
          <w:b w:val="0"/>
          <w:color w:val="000000" w:themeColor="text1"/>
          <w:szCs w:val="24"/>
          <w:vertAlign w:val="subscript"/>
        </w:rPr>
        <w:t>2</w:t>
      </w:r>
      <w:r w:rsidR="003F559C" w:rsidRPr="000E2377">
        <w:rPr>
          <w:rFonts w:asciiTheme="majorBidi" w:hAnsiTheme="majorBidi" w:cstheme="majorBidi"/>
          <w:b w:val="0"/>
          <w:color w:val="000000" w:themeColor="text1"/>
          <w:szCs w:val="24"/>
        </w:rPr>
        <w:t>O</w:t>
      </w:r>
      <w:r w:rsidR="003F559C" w:rsidRPr="000E2377">
        <w:rPr>
          <w:rFonts w:asciiTheme="majorBidi" w:hAnsiTheme="majorBidi" w:cstheme="majorBidi"/>
          <w:b w:val="0"/>
          <w:color w:val="000000" w:themeColor="text1"/>
          <w:szCs w:val="24"/>
          <w:vertAlign w:val="subscript"/>
        </w:rPr>
        <w:t>3</w:t>
      </w:r>
      <w:r w:rsidR="003F559C" w:rsidRPr="000E2377">
        <w:rPr>
          <w:rFonts w:asciiTheme="majorBidi" w:hAnsiTheme="majorBidi" w:cstheme="majorBidi"/>
          <w:b w:val="0"/>
          <w:color w:val="000000" w:themeColor="text1"/>
          <w:szCs w:val="24"/>
        </w:rPr>
        <w:t>)</w:t>
      </w:r>
      <w:r w:rsidR="003F559C" w:rsidRPr="000E2377">
        <w:rPr>
          <w:rFonts w:asciiTheme="majorBidi" w:hAnsiTheme="majorBidi" w:cstheme="majorBidi"/>
          <w:b w:val="0"/>
          <w:color w:val="000000" w:themeColor="text1"/>
          <w:szCs w:val="24"/>
          <w:vertAlign w:val="subscript"/>
        </w:rPr>
        <w:t>x</w:t>
      </w:r>
      <w:r w:rsidR="003F559C" w:rsidRPr="000E2377">
        <w:rPr>
          <w:rFonts w:asciiTheme="majorBidi" w:hAnsiTheme="majorBidi" w:cstheme="majorBidi"/>
          <w:b w:val="0"/>
          <w:color w:val="000000" w:themeColor="text1"/>
          <w:szCs w:val="24"/>
        </w:rPr>
        <w:t>(SiO</w:t>
      </w:r>
      <w:r w:rsidR="003F559C" w:rsidRPr="000E2377">
        <w:rPr>
          <w:rFonts w:asciiTheme="majorBidi" w:hAnsiTheme="majorBidi" w:cstheme="majorBidi"/>
          <w:b w:val="0"/>
          <w:color w:val="000000" w:themeColor="text1"/>
          <w:szCs w:val="24"/>
          <w:vertAlign w:val="subscript"/>
        </w:rPr>
        <w:t>2</w:t>
      </w:r>
      <w:r w:rsidR="003F559C" w:rsidRPr="000E2377">
        <w:rPr>
          <w:rFonts w:asciiTheme="majorBidi" w:hAnsiTheme="majorBidi" w:cstheme="majorBidi"/>
          <w:b w:val="0"/>
          <w:color w:val="000000" w:themeColor="text1"/>
          <w:szCs w:val="24"/>
        </w:rPr>
        <w:t>)</w:t>
      </w:r>
      <w:r w:rsidR="003F559C" w:rsidRPr="000E2377">
        <w:rPr>
          <w:rFonts w:asciiTheme="majorBidi" w:hAnsiTheme="majorBidi" w:cstheme="majorBidi"/>
          <w:b w:val="0"/>
          <w:color w:val="000000" w:themeColor="text1"/>
          <w:szCs w:val="24"/>
          <w:vertAlign w:val="subscript"/>
        </w:rPr>
        <w:t>0.69</w:t>
      </w:r>
      <w:r w:rsidR="003F559C" w:rsidRPr="000E2377">
        <w:rPr>
          <w:rFonts w:asciiTheme="majorBidi" w:hAnsiTheme="majorBidi" w:cstheme="majorBidi"/>
          <w:b w:val="0"/>
          <w:color w:val="000000" w:themeColor="text1"/>
          <w:szCs w:val="24"/>
        </w:rPr>
        <w:t>(Al</w:t>
      </w:r>
      <w:r w:rsidR="003F559C" w:rsidRPr="000E2377">
        <w:rPr>
          <w:rFonts w:asciiTheme="majorBidi" w:hAnsiTheme="majorBidi" w:cstheme="majorBidi"/>
          <w:b w:val="0"/>
          <w:color w:val="000000" w:themeColor="text1"/>
          <w:szCs w:val="24"/>
          <w:vertAlign w:val="subscript"/>
        </w:rPr>
        <w:t>2</w:t>
      </w:r>
      <w:r w:rsidR="003F559C" w:rsidRPr="000E2377">
        <w:rPr>
          <w:rFonts w:asciiTheme="majorBidi" w:hAnsiTheme="majorBidi" w:cstheme="majorBidi"/>
          <w:b w:val="0"/>
          <w:color w:val="000000" w:themeColor="text1"/>
          <w:szCs w:val="24"/>
        </w:rPr>
        <w:t>O</w:t>
      </w:r>
      <w:r w:rsidR="003F559C" w:rsidRPr="000E2377">
        <w:rPr>
          <w:rFonts w:asciiTheme="majorBidi" w:hAnsiTheme="majorBidi" w:cstheme="majorBidi"/>
          <w:b w:val="0"/>
          <w:color w:val="000000" w:themeColor="text1"/>
          <w:szCs w:val="24"/>
          <w:vertAlign w:val="subscript"/>
        </w:rPr>
        <w:t>3</w:t>
      </w:r>
      <w:r w:rsidR="003F559C" w:rsidRPr="000E2377">
        <w:rPr>
          <w:rFonts w:asciiTheme="majorBidi" w:hAnsiTheme="majorBidi" w:cstheme="majorBidi"/>
          <w:b w:val="0"/>
          <w:color w:val="000000" w:themeColor="text1"/>
          <w:szCs w:val="24"/>
        </w:rPr>
        <w:t>)</w:t>
      </w:r>
      <w:r w:rsidR="003F559C" w:rsidRPr="000E2377">
        <w:rPr>
          <w:rFonts w:asciiTheme="majorBidi" w:hAnsiTheme="majorBidi" w:cstheme="majorBidi"/>
          <w:b w:val="0"/>
          <w:color w:val="000000" w:themeColor="text1"/>
          <w:szCs w:val="24"/>
          <w:vertAlign w:val="subscript"/>
        </w:rPr>
        <w:t>0.011</w:t>
      </w:r>
      <w:r w:rsidR="003F559C" w:rsidRPr="000E2377">
        <w:rPr>
          <w:rFonts w:asciiTheme="majorBidi" w:hAnsiTheme="majorBidi" w:cstheme="majorBidi"/>
          <w:b w:val="0"/>
          <w:color w:val="000000" w:themeColor="text1"/>
          <w:szCs w:val="24"/>
        </w:rPr>
        <w:t xml:space="preserve"> </w:t>
      </w:r>
      <w:r w:rsidR="00CE4468" w:rsidRPr="000E2377">
        <w:rPr>
          <w:rFonts w:asciiTheme="majorBidi" w:hAnsiTheme="majorBidi" w:cstheme="majorBidi"/>
          <w:b w:val="0"/>
          <w:color w:val="000000" w:themeColor="text1"/>
          <w:szCs w:val="24"/>
        </w:rPr>
        <w:t>glass</w:t>
      </w:r>
      <w:r w:rsidR="000521AD">
        <w:rPr>
          <w:rFonts w:asciiTheme="majorBidi" w:hAnsiTheme="majorBidi" w:cstheme="majorBidi"/>
          <w:b w:val="0"/>
          <w:color w:val="000000" w:themeColor="text1"/>
          <w:szCs w:val="24"/>
        </w:rPr>
        <w:t>es</w:t>
      </w:r>
      <w:r w:rsidR="00CE4468" w:rsidRPr="000E2377">
        <w:rPr>
          <w:rFonts w:asciiTheme="majorBidi" w:hAnsiTheme="majorBidi" w:cstheme="majorBidi"/>
          <w:b w:val="0"/>
          <w:color w:val="000000" w:themeColor="text1"/>
          <w:szCs w:val="24"/>
        </w:rPr>
        <w:t>.</w:t>
      </w:r>
      <w:r w:rsidR="004707F6">
        <w:rPr>
          <w:rFonts w:asciiTheme="majorBidi" w:hAnsiTheme="majorBidi" w:cstheme="majorBidi"/>
          <w:b w:val="0"/>
          <w:color w:val="000000" w:themeColor="text1"/>
          <w:szCs w:val="24"/>
        </w:rPr>
        <w:t xml:space="preserve"> </w:t>
      </w:r>
      <w:r w:rsidR="00CE4468" w:rsidRPr="000E2377">
        <w:rPr>
          <w:rFonts w:asciiTheme="majorBidi" w:hAnsiTheme="majorBidi" w:cstheme="majorBidi"/>
          <w:b w:val="0"/>
          <w:color w:val="000000" w:themeColor="text1"/>
          <w:szCs w:val="24"/>
        </w:rPr>
        <w:t>The d</w:t>
      </w:r>
      <w:r w:rsidR="0058782B" w:rsidRPr="000E2377">
        <w:rPr>
          <w:rFonts w:asciiTheme="majorBidi" w:hAnsiTheme="majorBidi" w:cstheme="majorBidi"/>
          <w:b w:val="0"/>
          <w:color w:val="000000" w:themeColor="text1"/>
          <w:szCs w:val="24"/>
        </w:rPr>
        <w:t>i</w:t>
      </w:r>
      <w:r w:rsidR="00CE4468" w:rsidRPr="000E2377">
        <w:rPr>
          <w:rFonts w:asciiTheme="majorBidi" w:hAnsiTheme="majorBidi" w:cstheme="majorBidi"/>
          <w:b w:val="0"/>
          <w:color w:val="000000" w:themeColor="text1"/>
          <w:szCs w:val="24"/>
        </w:rPr>
        <w:t xml:space="preserve">fferent value of microhardness in their studies depends on </w:t>
      </w:r>
      <w:r w:rsidR="000521AD">
        <w:rPr>
          <w:rFonts w:asciiTheme="majorBidi" w:hAnsiTheme="majorBidi" w:cstheme="majorBidi"/>
          <w:b w:val="0"/>
          <w:color w:val="000000" w:themeColor="text1"/>
          <w:szCs w:val="24"/>
        </w:rPr>
        <w:t xml:space="preserve">whether </w:t>
      </w:r>
      <w:r w:rsidR="00CE4468" w:rsidRPr="000E2377">
        <w:rPr>
          <w:rFonts w:asciiTheme="majorBidi" w:hAnsiTheme="majorBidi" w:cstheme="majorBidi"/>
          <w:b w:val="0"/>
          <w:color w:val="000000" w:themeColor="text1"/>
          <w:szCs w:val="24"/>
        </w:rPr>
        <w:t xml:space="preserve">boron </w:t>
      </w:r>
      <w:r w:rsidR="000521AD">
        <w:rPr>
          <w:rFonts w:asciiTheme="majorBidi" w:hAnsiTheme="majorBidi" w:cstheme="majorBidi"/>
          <w:b w:val="0"/>
          <w:color w:val="000000" w:themeColor="text1"/>
          <w:szCs w:val="24"/>
        </w:rPr>
        <w:t xml:space="preserve">is present in </w:t>
      </w:r>
      <w:r w:rsidR="00CE4468" w:rsidRPr="000E2377">
        <w:rPr>
          <w:rFonts w:asciiTheme="majorBidi" w:hAnsiTheme="majorBidi" w:cstheme="majorBidi"/>
          <w:b w:val="0"/>
          <w:color w:val="000000" w:themeColor="text1"/>
          <w:szCs w:val="24"/>
        </w:rPr>
        <w:t>B</w:t>
      </w:r>
      <w:r w:rsidR="003D3837" w:rsidRPr="00BE5EC6">
        <w:rPr>
          <w:rFonts w:asciiTheme="majorBidi" w:hAnsiTheme="majorBidi" w:cstheme="majorBidi"/>
          <w:b w:val="0"/>
          <w:color w:val="000000" w:themeColor="text1"/>
          <w:szCs w:val="24"/>
          <w:vertAlign w:val="superscript"/>
        </w:rPr>
        <w:t>III</w:t>
      </w:r>
      <w:r w:rsidR="00CE4468" w:rsidRPr="000E2377">
        <w:rPr>
          <w:rFonts w:asciiTheme="majorBidi" w:hAnsiTheme="majorBidi" w:cstheme="majorBidi"/>
          <w:b w:val="0"/>
          <w:color w:val="000000" w:themeColor="text1"/>
          <w:szCs w:val="24"/>
        </w:rPr>
        <w:t xml:space="preserve"> or B</w:t>
      </w:r>
      <w:r w:rsidR="003D3837" w:rsidRPr="00BE5EC6">
        <w:rPr>
          <w:rFonts w:asciiTheme="majorBidi" w:hAnsiTheme="majorBidi" w:cstheme="majorBidi"/>
          <w:b w:val="0"/>
          <w:color w:val="000000" w:themeColor="text1"/>
          <w:szCs w:val="24"/>
          <w:vertAlign w:val="superscript"/>
        </w:rPr>
        <w:t>IV</w:t>
      </w:r>
      <w:r w:rsidR="00CE4468" w:rsidRPr="000E2377">
        <w:rPr>
          <w:rFonts w:asciiTheme="majorBidi" w:hAnsiTheme="majorBidi" w:cstheme="majorBidi"/>
          <w:b w:val="0"/>
          <w:color w:val="000000" w:themeColor="text1"/>
          <w:szCs w:val="24"/>
        </w:rPr>
        <w:t xml:space="preserve"> structural units</w:t>
      </w:r>
      <w:r w:rsidR="005029B6" w:rsidRPr="000E2377">
        <w:rPr>
          <w:rFonts w:asciiTheme="majorBidi" w:hAnsiTheme="majorBidi" w:cstheme="majorBidi"/>
          <w:b w:val="0"/>
          <w:color w:val="000000" w:themeColor="text1"/>
          <w:szCs w:val="24"/>
        </w:rPr>
        <w:t xml:space="preserve"> </w:t>
      </w:r>
      <w:r w:rsidR="000521AD">
        <w:rPr>
          <w:rFonts w:asciiTheme="majorBidi" w:hAnsiTheme="majorBidi" w:cstheme="majorBidi"/>
          <w:b w:val="0"/>
          <w:color w:val="000000" w:themeColor="text1"/>
          <w:szCs w:val="24"/>
        </w:rPr>
        <w:t xml:space="preserve">in the </w:t>
      </w:r>
      <w:r w:rsidR="005029B6" w:rsidRPr="000E2377">
        <w:rPr>
          <w:rFonts w:asciiTheme="majorBidi" w:hAnsiTheme="majorBidi" w:cstheme="majorBidi"/>
          <w:b w:val="0"/>
          <w:color w:val="000000" w:themeColor="text1"/>
          <w:szCs w:val="24"/>
        </w:rPr>
        <w:t>glass network</w:t>
      </w:r>
      <w:r w:rsidR="00CE4468" w:rsidRPr="000E2377">
        <w:rPr>
          <w:rFonts w:asciiTheme="majorBidi" w:hAnsiTheme="majorBidi" w:cstheme="majorBidi"/>
          <w:b w:val="0"/>
          <w:color w:val="000000" w:themeColor="text1"/>
          <w:szCs w:val="24"/>
        </w:rPr>
        <w:t>.</w:t>
      </w:r>
      <w:r w:rsidR="00652E69" w:rsidRPr="000E2377">
        <w:rPr>
          <w:rFonts w:asciiTheme="majorBidi" w:hAnsiTheme="majorBidi" w:cstheme="majorBidi"/>
          <w:b w:val="0"/>
          <w:color w:val="000000" w:themeColor="text1"/>
          <w:szCs w:val="24"/>
        </w:rPr>
        <w:t xml:space="preserve"> In their glass series, the Na</w:t>
      </w:r>
      <w:r w:rsidR="00652E69" w:rsidRPr="000E2377">
        <w:rPr>
          <w:rFonts w:asciiTheme="majorBidi" w:hAnsiTheme="majorBidi" w:cstheme="majorBidi"/>
          <w:b w:val="0"/>
          <w:color w:val="000000" w:themeColor="text1"/>
          <w:szCs w:val="24"/>
          <w:vertAlign w:val="subscript"/>
        </w:rPr>
        <w:t>2</w:t>
      </w:r>
      <w:r w:rsidR="00652E69" w:rsidRPr="000E2377">
        <w:rPr>
          <w:rFonts w:asciiTheme="majorBidi" w:hAnsiTheme="majorBidi" w:cstheme="majorBidi"/>
          <w:b w:val="0"/>
          <w:color w:val="000000" w:themeColor="text1"/>
          <w:szCs w:val="24"/>
        </w:rPr>
        <w:t>O tend to convert B</w:t>
      </w:r>
      <w:r w:rsidR="003D3837" w:rsidRPr="00BE5EC6">
        <w:rPr>
          <w:rFonts w:asciiTheme="majorBidi" w:hAnsiTheme="majorBidi" w:cstheme="majorBidi"/>
          <w:b w:val="0"/>
          <w:color w:val="000000" w:themeColor="text1"/>
          <w:szCs w:val="24"/>
          <w:vertAlign w:val="superscript"/>
        </w:rPr>
        <w:t>III</w:t>
      </w:r>
      <w:r w:rsidR="0058782B" w:rsidRPr="000E2377">
        <w:rPr>
          <w:rFonts w:asciiTheme="majorBidi" w:hAnsiTheme="majorBidi" w:cstheme="majorBidi"/>
          <w:b w:val="0"/>
          <w:color w:val="000000" w:themeColor="text1"/>
          <w:szCs w:val="24"/>
        </w:rPr>
        <w:t xml:space="preserve"> </w:t>
      </w:r>
      <w:r w:rsidR="00652E69" w:rsidRPr="000E2377">
        <w:rPr>
          <w:rFonts w:asciiTheme="majorBidi" w:hAnsiTheme="majorBidi" w:cstheme="majorBidi"/>
          <w:b w:val="0"/>
          <w:color w:val="000000" w:themeColor="text1"/>
          <w:szCs w:val="24"/>
        </w:rPr>
        <w:t>to B</w:t>
      </w:r>
      <w:r w:rsidR="003D3837" w:rsidRPr="00BE5EC6">
        <w:rPr>
          <w:rFonts w:asciiTheme="majorBidi" w:hAnsiTheme="majorBidi" w:cstheme="majorBidi"/>
          <w:b w:val="0"/>
          <w:color w:val="000000" w:themeColor="text1"/>
          <w:szCs w:val="24"/>
          <w:vertAlign w:val="superscript"/>
        </w:rPr>
        <w:t>IV</w:t>
      </w:r>
      <w:r w:rsidR="00652E69" w:rsidRPr="000E2377">
        <w:rPr>
          <w:rFonts w:asciiTheme="majorBidi" w:hAnsiTheme="majorBidi" w:cstheme="majorBidi"/>
          <w:b w:val="0"/>
          <w:color w:val="000000" w:themeColor="text1"/>
          <w:szCs w:val="24"/>
        </w:rPr>
        <w:t xml:space="preserve"> when B</w:t>
      </w:r>
      <w:r w:rsidR="00652E69" w:rsidRPr="000E2377">
        <w:rPr>
          <w:rFonts w:asciiTheme="majorBidi" w:hAnsiTheme="majorBidi" w:cstheme="majorBidi"/>
          <w:b w:val="0"/>
          <w:color w:val="000000" w:themeColor="text1"/>
          <w:szCs w:val="24"/>
          <w:vertAlign w:val="subscript"/>
        </w:rPr>
        <w:t>2</w:t>
      </w:r>
      <w:r w:rsidR="00652E69" w:rsidRPr="000E2377">
        <w:rPr>
          <w:rFonts w:asciiTheme="majorBidi" w:hAnsiTheme="majorBidi" w:cstheme="majorBidi"/>
          <w:b w:val="0"/>
          <w:color w:val="000000" w:themeColor="text1"/>
          <w:szCs w:val="24"/>
        </w:rPr>
        <w:t>O</w:t>
      </w:r>
      <w:r w:rsidR="00652E69" w:rsidRPr="000E2377">
        <w:rPr>
          <w:rFonts w:asciiTheme="majorBidi" w:hAnsiTheme="majorBidi" w:cstheme="majorBidi"/>
          <w:b w:val="0"/>
          <w:color w:val="000000" w:themeColor="text1"/>
          <w:szCs w:val="24"/>
          <w:vertAlign w:val="subscript"/>
        </w:rPr>
        <w:t>3</w:t>
      </w:r>
      <w:r w:rsidR="00652E69" w:rsidRPr="000E2377">
        <w:rPr>
          <w:rFonts w:asciiTheme="majorBidi" w:hAnsiTheme="majorBidi" w:cstheme="majorBidi"/>
          <w:b w:val="0"/>
          <w:color w:val="000000" w:themeColor="text1"/>
          <w:szCs w:val="24"/>
        </w:rPr>
        <w:t xml:space="preserve"> </w:t>
      </w:r>
      <w:r w:rsidR="00B70062">
        <w:rPr>
          <w:rFonts w:asciiTheme="majorBidi" w:hAnsiTheme="majorBidi" w:cstheme="majorBidi"/>
          <w:b w:val="0"/>
          <w:color w:val="000000" w:themeColor="text1"/>
          <w:szCs w:val="24"/>
        </w:rPr>
        <w:t>wa</w:t>
      </w:r>
      <w:r w:rsidR="00B70062" w:rsidRPr="000E2377">
        <w:rPr>
          <w:rFonts w:asciiTheme="majorBidi" w:hAnsiTheme="majorBidi" w:cstheme="majorBidi"/>
          <w:b w:val="0"/>
          <w:color w:val="000000" w:themeColor="text1"/>
          <w:szCs w:val="24"/>
        </w:rPr>
        <w:t xml:space="preserve">s </w:t>
      </w:r>
      <w:r w:rsidR="00652E69" w:rsidRPr="000E2377">
        <w:rPr>
          <w:rFonts w:asciiTheme="majorBidi" w:hAnsiTheme="majorBidi" w:cstheme="majorBidi"/>
          <w:b w:val="0"/>
          <w:color w:val="000000" w:themeColor="text1"/>
          <w:szCs w:val="24"/>
        </w:rPr>
        <w:t xml:space="preserve">below 15 mol% and also </w:t>
      </w:r>
      <w:r w:rsidR="00BB7624" w:rsidRPr="000E2377">
        <w:rPr>
          <w:rFonts w:asciiTheme="majorBidi" w:hAnsiTheme="majorBidi" w:cstheme="majorBidi"/>
          <w:b w:val="0"/>
          <w:color w:val="000000" w:themeColor="text1"/>
          <w:szCs w:val="24"/>
        </w:rPr>
        <w:t xml:space="preserve">to </w:t>
      </w:r>
      <w:r w:rsidR="00652E69" w:rsidRPr="000E2377">
        <w:rPr>
          <w:rFonts w:asciiTheme="majorBidi" w:hAnsiTheme="majorBidi" w:cstheme="majorBidi"/>
          <w:b w:val="0"/>
          <w:color w:val="000000" w:themeColor="text1"/>
          <w:szCs w:val="24"/>
        </w:rPr>
        <w:t>convert Q</w:t>
      </w:r>
      <w:r w:rsidR="00652E69" w:rsidRPr="000E2377">
        <w:rPr>
          <w:rFonts w:asciiTheme="majorBidi" w:hAnsiTheme="majorBidi" w:cstheme="majorBidi"/>
          <w:b w:val="0"/>
          <w:color w:val="000000" w:themeColor="text1"/>
          <w:szCs w:val="24"/>
          <w:vertAlign w:val="superscript"/>
        </w:rPr>
        <w:t>3</w:t>
      </w:r>
      <w:r w:rsidR="00652E69" w:rsidRPr="000E2377">
        <w:rPr>
          <w:rFonts w:asciiTheme="majorBidi" w:hAnsiTheme="majorBidi" w:cstheme="majorBidi"/>
          <w:b w:val="0"/>
          <w:color w:val="000000" w:themeColor="text1"/>
          <w:szCs w:val="24"/>
        </w:rPr>
        <w:t xml:space="preserve"> to Q</w:t>
      </w:r>
      <w:r w:rsidR="00652E69" w:rsidRPr="000E2377">
        <w:rPr>
          <w:rFonts w:asciiTheme="majorBidi" w:hAnsiTheme="majorBidi" w:cstheme="majorBidi"/>
          <w:b w:val="0"/>
          <w:color w:val="000000" w:themeColor="text1"/>
          <w:szCs w:val="24"/>
          <w:vertAlign w:val="superscript"/>
        </w:rPr>
        <w:t>4</w:t>
      </w:r>
      <w:r w:rsidR="00652E69" w:rsidRPr="000E2377">
        <w:rPr>
          <w:rFonts w:asciiTheme="majorBidi" w:hAnsiTheme="majorBidi" w:cstheme="majorBidi"/>
          <w:b w:val="0"/>
          <w:color w:val="000000" w:themeColor="text1"/>
          <w:szCs w:val="24"/>
        </w:rPr>
        <w:t>. The microhardness tend</w:t>
      </w:r>
      <w:r w:rsidR="00B70062">
        <w:rPr>
          <w:rFonts w:asciiTheme="majorBidi" w:hAnsiTheme="majorBidi" w:cstheme="majorBidi"/>
          <w:b w:val="0"/>
          <w:color w:val="000000" w:themeColor="text1"/>
          <w:szCs w:val="24"/>
        </w:rPr>
        <w:t>ed</w:t>
      </w:r>
      <w:r w:rsidR="00652E69" w:rsidRPr="000E2377">
        <w:rPr>
          <w:rFonts w:asciiTheme="majorBidi" w:hAnsiTheme="majorBidi" w:cstheme="majorBidi"/>
          <w:b w:val="0"/>
          <w:color w:val="000000" w:themeColor="text1"/>
          <w:szCs w:val="24"/>
        </w:rPr>
        <w:t xml:space="preserve"> to increase</w:t>
      </w:r>
      <w:r w:rsidR="00144984" w:rsidRPr="000E2377">
        <w:rPr>
          <w:rFonts w:asciiTheme="majorBidi" w:hAnsiTheme="majorBidi" w:cstheme="majorBidi"/>
          <w:b w:val="0"/>
          <w:color w:val="000000" w:themeColor="text1"/>
          <w:szCs w:val="24"/>
        </w:rPr>
        <w:t xml:space="preserve"> until 15 mol% </w:t>
      </w:r>
      <w:r w:rsidR="00BB7624" w:rsidRPr="000E2377">
        <w:rPr>
          <w:rFonts w:asciiTheme="majorBidi" w:hAnsiTheme="majorBidi" w:cstheme="majorBidi"/>
          <w:b w:val="0"/>
          <w:color w:val="000000" w:themeColor="text1"/>
          <w:szCs w:val="24"/>
        </w:rPr>
        <w:t>B</w:t>
      </w:r>
      <w:r w:rsidR="00BB7624" w:rsidRPr="000E2377">
        <w:rPr>
          <w:rFonts w:asciiTheme="majorBidi" w:hAnsiTheme="majorBidi" w:cstheme="majorBidi"/>
          <w:b w:val="0"/>
          <w:color w:val="000000" w:themeColor="text1"/>
          <w:szCs w:val="24"/>
          <w:vertAlign w:val="subscript"/>
        </w:rPr>
        <w:t>2</w:t>
      </w:r>
      <w:r w:rsidR="00BB7624" w:rsidRPr="000E2377">
        <w:rPr>
          <w:rFonts w:asciiTheme="majorBidi" w:hAnsiTheme="majorBidi" w:cstheme="majorBidi"/>
          <w:b w:val="0"/>
          <w:color w:val="000000" w:themeColor="text1"/>
          <w:szCs w:val="24"/>
        </w:rPr>
        <w:t>O</w:t>
      </w:r>
      <w:r w:rsidR="00BB7624" w:rsidRPr="000E2377">
        <w:rPr>
          <w:rFonts w:asciiTheme="majorBidi" w:hAnsiTheme="majorBidi" w:cstheme="majorBidi"/>
          <w:b w:val="0"/>
          <w:color w:val="000000" w:themeColor="text1"/>
          <w:szCs w:val="24"/>
          <w:vertAlign w:val="subscript"/>
        </w:rPr>
        <w:t>3</w:t>
      </w:r>
      <w:r w:rsidR="00BB7624" w:rsidRPr="000E2377">
        <w:rPr>
          <w:rFonts w:asciiTheme="majorBidi" w:hAnsiTheme="majorBidi" w:cstheme="majorBidi"/>
          <w:b w:val="0"/>
          <w:color w:val="000000" w:themeColor="text1"/>
          <w:szCs w:val="24"/>
        </w:rPr>
        <w:t xml:space="preserve"> </w:t>
      </w:r>
      <w:r w:rsidR="00144984" w:rsidRPr="000E2377">
        <w:rPr>
          <w:rFonts w:asciiTheme="majorBidi" w:hAnsiTheme="majorBidi" w:cstheme="majorBidi"/>
          <w:b w:val="0"/>
          <w:color w:val="000000" w:themeColor="text1"/>
          <w:szCs w:val="24"/>
        </w:rPr>
        <w:t>then decreased ab</w:t>
      </w:r>
      <w:r w:rsidR="00A34585" w:rsidRPr="000E2377">
        <w:rPr>
          <w:rFonts w:asciiTheme="majorBidi" w:hAnsiTheme="majorBidi" w:cstheme="majorBidi"/>
          <w:b w:val="0"/>
          <w:color w:val="000000" w:themeColor="text1"/>
          <w:szCs w:val="24"/>
        </w:rPr>
        <w:t>ov</w:t>
      </w:r>
      <w:r w:rsidR="00A92A62" w:rsidRPr="000E2377">
        <w:rPr>
          <w:rFonts w:asciiTheme="majorBidi" w:hAnsiTheme="majorBidi" w:cstheme="majorBidi"/>
          <w:b w:val="0"/>
          <w:color w:val="000000" w:themeColor="text1"/>
          <w:szCs w:val="24"/>
        </w:rPr>
        <w:t xml:space="preserve">e </w:t>
      </w:r>
      <w:r w:rsidR="00B70062">
        <w:rPr>
          <w:rFonts w:asciiTheme="majorBidi" w:hAnsiTheme="majorBidi" w:cstheme="majorBidi"/>
          <w:b w:val="0"/>
          <w:color w:val="000000" w:themeColor="text1"/>
          <w:szCs w:val="24"/>
        </w:rPr>
        <w:t>for greater boron contents</w:t>
      </w:r>
      <w:r w:rsidR="00144984" w:rsidRPr="000E2377">
        <w:rPr>
          <w:rFonts w:asciiTheme="majorBidi" w:hAnsiTheme="majorBidi" w:cstheme="majorBidi"/>
          <w:b w:val="0"/>
          <w:color w:val="000000" w:themeColor="text1"/>
          <w:szCs w:val="24"/>
        </w:rPr>
        <w:t>.</w:t>
      </w:r>
      <w:r w:rsidR="00731A54" w:rsidRPr="000E2377">
        <w:rPr>
          <w:rFonts w:asciiTheme="majorBidi" w:hAnsiTheme="majorBidi" w:cstheme="majorBidi"/>
          <w:b w:val="0"/>
          <w:color w:val="000000" w:themeColor="text1"/>
          <w:szCs w:val="24"/>
        </w:rPr>
        <w:t xml:space="preserve"> </w:t>
      </w:r>
      <w:r w:rsidR="00E51D41" w:rsidRPr="000E2377">
        <w:rPr>
          <w:rFonts w:asciiTheme="majorBidi" w:hAnsiTheme="majorBidi" w:cstheme="majorBidi"/>
          <w:b w:val="0"/>
          <w:color w:val="000000" w:themeColor="text1"/>
          <w:szCs w:val="24"/>
        </w:rPr>
        <w:t>Below 15 mol% B</w:t>
      </w:r>
      <w:r w:rsidR="00E51D41" w:rsidRPr="000E2377">
        <w:rPr>
          <w:rFonts w:asciiTheme="majorBidi" w:hAnsiTheme="majorBidi" w:cstheme="majorBidi"/>
          <w:b w:val="0"/>
          <w:color w:val="000000" w:themeColor="text1"/>
          <w:szCs w:val="24"/>
          <w:vertAlign w:val="subscript"/>
        </w:rPr>
        <w:t>2</w:t>
      </w:r>
      <w:r w:rsidR="00E51D41" w:rsidRPr="000E2377">
        <w:rPr>
          <w:rFonts w:asciiTheme="majorBidi" w:hAnsiTheme="majorBidi" w:cstheme="majorBidi"/>
          <w:b w:val="0"/>
          <w:color w:val="000000" w:themeColor="text1"/>
          <w:szCs w:val="24"/>
        </w:rPr>
        <w:t>O</w:t>
      </w:r>
      <w:r w:rsidR="00E51D41" w:rsidRPr="000E2377">
        <w:rPr>
          <w:rFonts w:asciiTheme="majorBidi" w:hAnsiTheme="majorBidi" w:cstheme="majorBidi"/>
          <w:b w:val="0"/>
          <w:color w:val="000000" w:themeColor="text1"/>
          <w:szCs w:val="24"/>
          <w:vertAlign w:val="subscript"/>
        </w:rPr>
        <w:t>3</w:t>
      </w:r>
      <w:r w:rsidR="00E51D41" w:rsidRPr="000E2377">
        <w:rPr>
          <w:rFonts w:asciiTheme="majorBidi" w:hAnsiTheme="majorBidi" w:cstheme="majorBidi"/>
          <w:b w:val="0"/>
          <w:color w:val="000000" w:themeColor="text1"/>
          <w:szCs w:val="24"/>
        </w:rPr>
        <w:t xml:space="preserve">, the microhardness </w:t>
      </w:r>
      <w:r w:rsidR="00B70062">
        <w:rPr>
          <w:rFonts w:asciiTheme="majorBidi" w:hAnsiTheme="majorBidi" w:cstheme="majorBidi"/>
          <w:b w:val="0"/>
          <w:color w:val="000000" w:themeColor="text1"/>
          <w:szCs w:val="24"/>
        </w:rPr>
        <w:t>values we</w:t>
      </w:r>
      <w:r w:rsidR="00E51D41" w:rsidRPr="000E2377">
        <w:rPr>
          <w:rFonts w:asciiTheme="majorBidi" w:hAnsiTheme="majorBidi" w:cstheme="majorBidi"/>
          <w:b w:val="0"/>
          <w:color w:val="000000" w:themeColor="text1"/>
          <w:szCs w:val="24"/>
        </w:rPr>
        <w:t xml:space="preserve">re increased because of </w:t>
      </w:r>
      <w:r w:rsidR="00CB6DB4">
        <w:rPr>
          <w:rFonts w:asciiTheme="majorBidi" w:hAnsiTheme="majorBidi" w:cstheme="majorBidi"/>
          <w:b w:val="0"/>
          <w:color w:val="000000" w:themeColor="text1"/>
          <w:szCs w:val="24"/>
        </w:rPr>
        <w:t xml:space="preserve">the </w:t>
      </w:r>
      <w:r w:rsidR="00E51D41" w:rsidRPr="000E2377">
        <w:rPr>
          <w:rFonts w:asciiTheme="majorBidi" w:hAnsiTheme="majorBidi" w:cstheme="majorBidi"/>
          <w:b w:val="0"/>
          <w:color w:val="000000" w:themeColor="text1"/>
          <w:szCs w:val="24"/>
        </w:rPr>
        <w:t>interaction of B</w:t>
      </w:r>
      <w:r w:rsidR="00E51D41" w:rsidRPr="000E2377">
        <w:rPr>
          <w:rFonts w:asciiTheme="majorBidi" w:hAnsiTheme="majorBidi" w:cstheme="majorBidi"/>
          <w:b w:val="0"/>
          <w:color w:val="000000" w:themeColor="text1"/>
          <w:szCs w:val="24"/>
          <w:vertAlign w:val="subscript"/>
        </w:rPr>
        <w:t>2</w:t>
      </w:r>
      <w:r w:rsidR="00E51D41" w:rsidRPr="000E2377">
        <w:rPr>
          <w:rFonts w:asciiTheme="majorBidi" w:hAnsiTheme="majorBidi" w:cstheme="majorBidi"/>
          <w:b w:val="0"/>
          <w:color w:val="000000" w:themeColor="text1"/>
          <w:szCs w:val="24"/>
        </w:rPr>
        <w:t>O</w:t>
      </w:r>
      <w:r w:rsidR="00E51D41" w:rsidRPr="000E2377">
        <w:rPr>
          <w:rFonts w:asciiTheme="majorBidi" w:hAnsiTheme="majorBidi" w:cstheme="majorBidi"/>
          <w:b w:val="0"/>
          <w:color w:val="000000" w:themeColor="text1"/>
          <w:szCs w:val="24"/>
          <w:vertAlign w:val="subscript"/>
        </w:rPr>
        <w:t>3</w:t>
      </w:r>
      <w:r w:rsidR="00E51D41" w:rsidRPr="000E2377">
        <w:rPr>
          <w:rFonts w:asciiTheme="majorBidi" w:hAnsiTheme="majorBidi" w:cstheme="majorBidi"/>
          <w:b w:val="0"/>
          <w:color w:val="000000" w:themeColor="text1"/>
          <w:szCs w:val="24"/>
        </w:rPr>
        <w:t xml:space="preserve"> with Na</w:t>
      </w:r>
      <w:r w:rsidR="00E51D41" w:rsidRPr="000E2377">
        <w:rPr>
          <w:rFonts w:asciiTheme="majorBidi" w:hAnsiTheme="majorBidi" w:cstheme="majorBidi"/>
          <w:b w:val="0"/>
          <w:color w:val="000000" w:themeColor="text1"/>
          <w:szCs w:val="24"/>
          <w:vertAlign w:val="subscript"/>
        </w:rPr>
        <w:t>2</w:t>
      </w:r>
      <w:r w:rsidR="00E51D41" w:rsidRPr="000E2377">
        <w:rPr>
          <w:rFonts w:asciiTheme="majorBidi" w:hAnsiTheme="majorBidi" w:cstheme="majorBidi"/>
          <w:b w:val="0"/>
          <w:color w:val="000000" w:themeColor="text1"/>
          <w:szCs w:val="24"/>
        </w:rPr>
        <w:t>O to convert B</w:t>
      </w:r>
      <w:r w:rsidR="003D3837" w:rsidRPr="00BE5EC6">
        <w:rPr>
          <w:rFonts w:asciiTheme="majorBidi" w:hAnsiTheme="majorBidi" w:cstheme="majorBidi"/>
          <w:b w:val="0"/>
          <w:color w:val="000000" w:themeColor="text1"/>
          <w:szCs w:val="24"/>
          <w:vertAlign w:val="superscript"/>
        </w:rPr>
        <w:t>III</w:t>
      </w:r>
      <w:r w:rsidR="00E51D41" w:rsidRPr="000E2377">
        <w:rPr>
          <w:rFonts w:asciiTheme="majorBidi" w:hAnsiTheme="majorBidi" w:cstheme="majorBidi"/>
          <w:b w:val="0"/>
          <w:color w:val="000000" w:themeColor="text1"/>
          <w:szCs w:val="24"/>
        </w:rPr>
        <w:t xml:space="preserve"> to B</w:t>
      </w:r>
      <w:r w:rsidR="003D3837" w:rsidRPr="00BE5EC6">
        <w:rPr>
          <w:rFonts w:asciiTheme="majorBidi" w:hAnsiTheme="majorBidi" w:cstheme="majorBidi"/>
          <w:b w:val="0"/>
          <w:color w:val="000000" w:themeColor="text1"/>
          <w:szCs w:val="24"/>
          <w:vertAlign w:val="superscript"/>
        </w:rPr>
        <w:t>IV</w:t>
      </w:r>
      <w:r w:rsidR="00E51D41" w:rsidRPr="000E2377">
        <w:rPr>
          <w:rFonts w:asciiTheme="majorBidi" w:hAnsiTheme="majorBidi" w:cstheme="majorBidi"/>
          <w:b w:val="0"/>
          <w:color w:val="000000" w:themeColor="text1"/>
          <w:szCs w:val="24"/>
        </w:rPr>
        <w:t xml:space="preserve"> and also convert Q</w:t>
      </w:r>
      <w:r w:rsidR="00E51D41" w:rsidRPr="000E2377">
        <w:rPr>
          <w:rFonts w:asciiTheme="majorBidi" w:hAnsiTheme="majorBidi" w:cstheme="majorBidi"/>
          <w:b w:val="0"/>
          <w:color w:val="000000" w:themeColor="text1"/>
          <w:szCs w:val="24"/>
          <w:vertAlign w:val="superscript"/>
        </w:rPr>
        <w:t>3</w:t>
      </w:r>
      <w:r w:rsidR="00E51D41" w:rsidRPr="000E2377">
        <w:rPr>
          <w:rFonts w:asciiTheme="majorBidi" w:hAnsiTheme="majorBidi" w:cstheme="majorBidi"/>
          <w:b w:val="0"/>
          <w:color w:val="000000" w:themeColor="text1"/>
          <w:szCs w:val="24"/>
        </w:rPr>
        <w:t xml:space="preserve"> to Q</w:t>
      </w:r>
      <w:r w:rsidR="00E51D41" w:rsidRPr="000E2377">
        <w:rPr>
          <w:rFonts w:asciiTheme="majorBidi" w:hAnsiTheme="majorBidi" w:cstheme="majorBidi"/>
          <w:b w:val="0"/>
          <w:color w:val="000000" w:themeColor="text1"/>
          <w:szCs w:val="24"/>
          <w:vertAlign w:val="superscript"/>
        </w:rPr>
        <w:t>4</w:t>
      </w:r>
      <w:r w:rsidR="009E6461" w:rsidRPr="000E2377">
        <w:rPr>
          <w:rFonts w:asciiTheme="majorBidi" w:hAnsiTheme="majorBidi" w:cstheme="majorBidi"/>
          <w:b w:val="0"/>
          <w:color w:val="000000" w:themeColor="text1"/>
          <w:szCs w:val="24"/>
        </w:rPr>
        <w:t>. However, above 15 mol %</w:t>
      </w:r>
      <w:r w:rsidR="00284CC3">
        <w:rPr>
          <w:rFonts w:asciiTheme="majorBidi" w:hAnsiTheme="majorBidi" w:cstheme="majorBidi"/>
          <w:b w:val="0"/>
          <w:color w:val="000000" w:themeColor="text1"/>
          <w:szCs w:val="24"/>
        </w:rPr>
        <w:t>,</w:t>
      </w:r>
      <w:r w:rsidR="009E6461" w:rsidRPr="000E2377">
        <w:rPr>
          <w:rFonts w:asciiTheme="majorBidi" w:hAnsiTheme="majorBidi" w:cstheme="majorBidi"/>
          <w:b w:val="0"/>
          <w:color w:val="000000" w:themeColor="text1"/>
          <w:szCs w:val="24"/>
        </w:rPr>
        <w:t xml:space="preserve"> the remaining concentration of Na</w:t>
      </w:r>
      <w:r w:rsidR="009E6461" w:rsidRPr="000E2377">
        <w:rPr>
          <w:rFonts w:asciiTheme="majorBidi" w:hAnsiTheme="majorBidi" w:cstheme="majorBidi"/>
          <w:b w:val="0"/>
          <w:color w:val="000000" w:themeColor="text1"/>
          <w:szCs w:val="24"/>
          <w:vertAlign w:val="subscript"/>
        </w:rPr>
        <w:t>2</w:t>
      </w:r>
      <w:r w:rsidR="009E6461" w:rsidRPr="000E2377">
        <w:rPr>
          <w:rFonts w:asciiTheme="majorBidi" w:hAnsiTheme="majorBidi" w:cstheme="majorBidi"/>
          <w:b w:val="0"/>
          <w:color w:val="000000" w:themeColor="text1"/>
          <w:szCs w:val="24"/>
        </w:rPr>
        <w:t xml:space="preserve">O is </w:t>
      </w:r>
      <w:r w:rsidR="00CB6DB4">
        <w:rPr>
          <w:rFonts w:asciiTheme="majorBidi" w:hAnsiTheme="majorBidi" w:cstheme="majorBidi"/>
          <w:b w:val="0"/>
          <w:color w:val="000000" w:themeColor="text1"/>
          <w:szCs w:val="24"/>
        </w:rPr>
        <w:t>insufficient</w:t>
      </w:r>
      <w:r w:rsidR="009E6461" w:rsidRPr="000E2377">
        <w:rPr>
          <w:rFonts w:asciiTheme="majorBidi" w:hAnsiTheme="majorBidi" w:cstheme="majorBidi"/>
          <w:b w:val="0"/>
          <w:color w:val="000000" w:themeColor="text1"/>
          <w:szCs w:val="24"/>
        </w:rPr>
        <w:t xml:space="preserve"> for </w:t>
      </w:r>
      <w:r w:rsidR="00284CC3">
        <w:rPr>
          <w:rFonts w:asciiTheme="majorBidi" w:hAnsiTheme="majorBidi" w:cstheme="majorBidi"/>
          <w:b w:val="0"/>
          <w:color w:val="000000" w:themeColor="text1"/>
          <w:szCs w:val="24"/>
        </w:rPr>
        <w:t xml:space="preserve">the </w:t>
      </w:r>
      <w:r w:rsidR="009E6461" w:rsidRPr="000E2377">
        <w:rPr>
          <w:rFonts w:asciiTheme="majorBidi" w:hAnsiTheme="majorBidi" w:cstheme="majorBidi"/>
          <w:b w:val="0"/>
          <w:color w:val="000000" w:themeColor="text1"/>
          <w:szCs w:val="24"/>
        </w:rPr>
        <w:t>conversion of B</w:t>
      </w:r>
      <w:r w:rsidR="00F23E18" w:rsidRPr="00994893">
        <w:rPr>
          <w:rFonts w:asciiTheme="majorBidi" w:hAnsiTheme="majorBidi" w:cstheme="majorBidi"/>
          <w:b w:val="0"/>
          <w:color w:val="000000" w:themeColor="text1"/>
          <w:szCs w:val="24"/>
          <w:vertAlign w:val="superscript"/>
        </w:rPr>
        <w:t>III</w:t>
      </w:r>
      <w:r w:rsidR="009E6461" w:rsidRPr="000E2377">
        <w:rPr>
          <w:rFonts w:asciiTheme="majorBidi" w:hAnsiTheme="majorBidi" w:cstheme="majorBidi"/>
          <w:b w:val="0"/>
          <w:color w:val="000000" w:themeColor="text1"/>
          <w:szCs w:val="24"/>
          <w:vertAlign w:val="subscript"/>
        </w:rPr>
        <w:t xml:space="preserve"> </w:t>
      </w:r>
      <w:r w:rsidR="009E6461" w:rsidRPr="000E2377">
        <w:rPr>
          <w:rFonts w:asciiTheme="majorBidi" w:hAnsiTheme="majorBidi" w:cstheme="majorBidi"/>
          <w:b w:val="0"/>
          <w:color w:val="000000" w:themeColor="text1"/>
          <w:szCs w:val="24"/>
        </w:rPr>
        <w:t>to B</w:t>
      </w:r>
      <w:r w:rsidR="00F23E18" w:rsidRPr="000538A8">
        <w:rPr>
          <w:rFonts w:asciiTheme="majorBidi" w:hAnsiTheme="majorBidi" w:cstheme="majorBidi"/>
          <w:b w:val="0"/>
          <w:color w:val="000000" w:themeColor="text1"/>
          <w:szCs w:val="24"/>
          <w:vertAlign w:val="superscript"/>
        </w:rPr>
        <w:t>IV</w:t>
      </w:r>
      <w:r w:rsidR="009E6461" w:rsidRPr="000E2377">
        <w:rPr>
          <w:rFonts w:asciiTheme="majorBidi" w:hAnsiTheme="majorBidi" w:cstheme="majorBidi"/>
          <w:b w:val="0"/>
          <w:color w:val="000000" w:themeColor="text1"/>
          <w:szCs w:val="24"/>
        </w:rPr>
        <w:t xml:space="preserve"> </w:t>
      </w:r>
      <w:r w:rsidR="00CB6DB4">
        <w:rPr>
          <w:rFonts w:asciiTheme="majorBidi" w:hAnsiTheme="majorBidi" w:cstheme="majorBidi"/>
          <w:b w:val="0"/>
          <w:color w:val="000000" w:themeColor="text1"/>
          <w:szCs w:val="24"/>
        </w:rPr>
        <w:t>and thus</w:t>
      </w:r>
      <w:r w:rsidR="00CB6DB4" w:rsidRPr="000E2377">
        <w:rPr>
          <w:rFonts w:asciiTheme="majorBidi" w:hAnsiTheme="majorBidi" w:cstheme="majorBidi"/>
          <w:b w:val="0"/>
          <w:color w:val="000000" w:themeColor="text1"/>
          <w:szCs w:val="24"/>
        </w:rPr>
        <w:t xml:space="preserve"> </w:t>
      </w:r>
      <w:r w:rsidR="009E6461" w:rsidRPr="000E2377">
        <w:rPr>
          <w:rFonts w:asciiTheme="majorBidi" w:hAnsiTheme="majorBidi" w:cstheme="majorBidi"/>
          <w:b w:val="0"/>
          <w:color w:val="000000" w:themeColor="text1"/>
          <w:szCs w:val="24"/>
        </w:rPr>
        <w:t>B</w:t>
      </w:r>
      <w:r w:rsidR="003D3837" w:rsidRPr="000538A8">
        <w:rPr>
          <w:rFonts w:asciiTheme="majorBidi" w:hAnsiTheme="majorBidi" w:cstheme="majorBidi"/>
          <w:b w:val="0"/>
          <w:color w:val="000000" w:themeColor="text1"/>
          <w:szCs w:val="24"/>
          <w:vertAlign w:val="superscript"/>
        </w:rPr>
        <w:t>III</w:t>
      </w:r>
      <w:r w:rsidR="009E6461" w:rsidRPr="000E2377">
        <w:rPr>
          <w:rFonts w:asciiTheme="majorBidi" w:hAnsiTheme="majorBidi" w:cstheme="majorBidi"/>
          <w:b w:val="0"/>
          <w:color w:val="000000" w:themeColor="text1"/>
          <w:szCs w:val="24"/>
        </w:rPr>
        <w:t xml:space="preserve"> is increased and the amount of Q</w:t>
      </w:r>
      <w:r w:rsidR="009E6461" w:rsidRPr="000E2377">
        <w:rPr>
          <w:rFonts w:asciiTheme="majorBidi" w:hAnsiTheme="majorBidi" w:cstheme="majorBidi"/>
          <w:b w:val="0"/>
          <w:color w:val="000000" w:themeColor="text1"/>
          <w:szCs w:val="24"/>
          <w:vertAlign w:val="superscript"/>
        </w:rPr>
        <w:t>3</w:t>
      </w:r>
      <w:r w:rsidR="009E6461" w:rsidRPr="000E2377">
        <w:rPr>
          <w:rFonts w:asciiTheme="majorBidi" w:hAnsiTheme="majorBidi" w:cstheme="majorBidi"/>
          <w:b w:val="0"/>
          <w:color w:val="000000" w:themeColor="text1"/>
          <w:szCs w:val="24"/>
        </w:rPr>
        <w:t xml:space="preserve"> and Q</w:t>
      </w:r>
      <w:r w:rsidR="009E6461" w:rsidRPr="000E2377">
        <w:rPr>
          <w:rFonts w:asciiTheme="majorBidi" w:hAnsiTheme="majorBidi" w:cstheme="majorBidi"/>
          <w:b w:val="0"/>
          <w:color w:val="000000" w:themeColor="text1"/>
          <w:szCs w:val="24"/>
          <w:vertAlign w:val="superscript"/>
        </w:rPr>
        <w:t>4</w:t>
      </w:r>
      <w:r w:rsidR="009E6461" w:rsidRPr="000E2377">
        <w:rPr>
          <w:rFonts w:asciiTheme="majorBidi" w:hAnsiTheme="majorBidi" w:cstheme="majorBidi"/>
          <w:b w:val="0"/>
          <w:color w:val="000000" w:themeColor="text1"/>
          <w:szCs w:val="24"/>
        </w:rPr>
        <w:t xml:space="preserve"> silicon structural units are not affected. </w:t>
      </w:r>
      <w:r w:rsidR="00DC357C">
        <w:rPr>
          <w:rFonts w:asciiTheme="majorBidi" w:hAnsiTheme="majorBidi" w:cstheme="majorBidi"/>
          <w:b w:val="0"/>
          <w:color w:val="000000" w:themeColor="text1"/>
          <w:szCs w:val="24"/>
        </w:rPr>
        <w:t xml:space="preserve">The microhardness </w:t>
      </w:r>
      <w:r w:rsidR="006660D1">
        <w:rPr>
          <w:rFonts w:asciiTheme="majorBidi" w:hAnsiTheme="majorBidi" w:cstheme="majorBidi"/>
          <w:b w:val="0"/>
          <w:color w:val="000000" w:themeColor="text1"/>
          <w:szCs w:val="24"/>
        </w:rPr>
        <w:t xml:space="preserve">value </w:t>
      </w:r>
      <w:r w:rsidR="00284CC3">
        <w:rPr>
          <w:rFonts w:asciiTheme="majorBidi" w:hAnsiTheme="majorBidi" w:cstheme="majorBidi"/>
          <w:b w:val="0"/>
          <w:color w:val="000000" w:themeColor="text1"/>
          <w:szCs w:val="24"/>
        </w:rPr>
        <w:t>is</w:t>
      </w:r>
      <w:r w:rsidR="006660D1">
        <w:rPr>
          <w:rFonts w:asciiTheme="majorBidi" w:hAnsiTheme="majorBidi" w:cstheme="majorBidi"/>
          <w:b w:val="0"/>
          <w:color w:val="000000" w:themeColor="text1"/>
          <w:szCs w:val="24"/>
        </w:rPr>
        <w:t xml:space="preserve"> decreased above 15 mol% of B</w:t>
      </w:r>
      <w:r w:rsidR="006660D1" w:rsidRPr="006660D1">
        <w:rPr>
          <w:rFonts w:asciiTheme="majorBidi" w:hAnsiTheme="majorBidi" w:cstheme="majorBidi"/>
          <w:b w:val="0"/>
          <w:color w:val="000000" w:themeColor="text1"/>
          <w:szCs w:val="24"/>
          <w:vertAlign w:val="subscript"/>
        </w:rPr>
        <w:t>2</w:t>
      </w:r>
      <w:r w:rsidR="006660D1">
        <w:rPr>
          <w:rFonts w:asciiTheme="majorBidi" w:hAnsiTheme="majorBidi" w:cstheme="majorBidi"/>
          <w:b w:val="0"/>
          <w:color w:val="000000" w:themeColor="text1"/>
          <w:szCs w:val="24"/>
        </w:rPr>
        <w:t>O</w:t>
      </w:r>
      <w:r w:rsidR="006660D1" w:rsidRPr="006660D1">
        <w:rPr>
          <w:rFonts w:asciiTheme="majorBidi" w:hAnsiTheme="majorBidi" w:cstheme="majorBidi"/>
          <w:b w:val="0"/>
          <w:color w:val="000000" w:themeColor="text1"/>
          <w:szCs w:val="24"/>
          <w:vertAlign w:val="subscript"/>
        </w:rPr>
        <w:t>3</w:t>
      </w:r>
      <w:r w:rsidR="006660D1">
        <w:rPr>
          <w:rFonts w:asciiTheme="majorBidi" w:hAnsiTheme="majorBidi" w:cstheme="majorBidi"/>
          <w:b w:val="0"/>
          <w:color w:val="000000" w:themeColor="text1"/>
          <w:szCs w:val="24"/>
        </w:rPr>
        <w:t>.</w:t>
      </w:r>
    </w:p>
    <w:p w14:paraId="7FC1318A" w14:textId="22405ECB" w:rsidR="00114D0F" w:rsidRPr="000E2377" w:rsidRDefault="0091639C" w:rsidP="008A3F4E">
      <w:pPr>
        <w:pStyle w:val="Heading4"/>
      </w:pPr>
      <w:bookmarkStart w:id="219" w:name="_Toc523402886"/>
      <w:bookmarkStart w:id="220" w:name="_Toc525526397"/>
      <w:bookmarkStart w:id="221" w:name="_Toc525707814"/>
      <w:bookmarkStart w:id="222" w:name="_Toc525742479"/>
      <w:r w:rsidRPr="000E2377">
        <w:lastRenderedPageBreak/>
        <w:t>2.</w:t>
      </w:r>
      <w:r w:rsidR="003B115C">
        <w:t>1</w:t>
      </w:r>
      <w:r w:rsidR="007754F1">
        <w:t>1</w:t>
      </w:r>
      <w:r w:rsidRPr="000E2377">
        <w:t>.</w:t>
      </w:r>
      <w:r w:rsidR="00303BFB">
        <w:t>6</w:t>
      </w:r>
      <w:r w:rsidRPr="000E2377">
        <w:t xml:space="preserve"> Effect of network </w:t>
      </w:r>
      <w:r w:rsidR="00620988">
        <w:t xml:space="preserve">charge </w:t>
      </w:r>
      <w:r w:rsidRPr="000E2377">
        <w:t xml:space="preserve">balance </w:t>
      </w:r>
      <w:r w:rsidR="00620988">
        <w:t>on</w:t>
      </w:r>
      <w:r w:rsidR="00620988" w:rsidRPr="000E2377">
        <w:t xml:space="preserve"> </w:t>
      </w:r>
      <w:r w:rsidRPr="000E2377">
        <w:t>mechanical properties</w:t>
      </w:r>
      <w:bookmarkEnd w:id="219"/>
      <w:bookmarkEnd w:id="220"/>
      <w:bookmarkEnd w:id="221"/>
      <w:bookmarkEnd w:id="222"/>
    </w:p>
    <w:p w14:paraId="391A371C" w14:textId="14177074" w:rsidR="00311A33" w:rsidRPr="000E2377" w:rsidRDefault="00AF791D" w:rsidP="004707F6">
      <w:pPr>
        <w:spacing w:after="0" w:line="240" w:lineRule="auto"/>
        <w:jc w:val="center"/>
        <w:rPr>
          <w:b w:val="0"/>
          <w:lang w:eastAsia="tr-TR"/>
        </w:rPr>
      </w:pPr>
      <w:r w:rsidRPr="000E2377">
        <w:rPr>
          <w:noProof/>
          <w:lang w:eastAsia="en-MY"/>
        </w:rPr>
        <mc:AlternateContent>
          <mc:Choice Requires="wps">
            <w:drawing>
              <wp:anchor distT="0" distB="0" distL="114300" distR="114300" simplePos="0" relativeHeight="251924480" behindDoc="0" locked="0" layoutInCell="1" allowOverlap="1" wp14:anchorId="6919F239" wp14:editId="09BA02EE">
                <wp:simplePos x="0" y="0"/>
                <wp:positionH relativeFrom="column">
                  <wp:posOffset>3499556</wp:posOffset>
                </wp:positionH>
                <wp:positionV relativeFrom="paragraph">
                  <wp:posOffset>2830266</wp:posOffset>
                </wp:positionV>
                <wp:extent cx="0" cy="1659466"/>
                <wp:effectExtent l="0" t="0" r="38100" b="36195"/>
                <wp:wrapNone/>
                <wp:docPr id="1772" name="Straight Connector 1772"/>
                <wp:cNvGraphicFramePr/>
                <a:graphic xmlns:a="http://schemas.openxmlformats.org/drawingml/2006/main">
                  <a:graphicData uri="http://schemas.microsoft.com/office/word/2010/wordprocessingShape">
                    <wps:wsp>
                      <wps:cNvCnPr/>
                      <wps:spPr>
                        <a:xfrm>
                          <a:off x="0" y="0"/>
                          <a:ext cx="0" cy="1659466"/>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6CF36F" id="Straight Connector 1772" o:spid="_x0000_s1026" style="position:absolute;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55pt,222.85pt" to="275.55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" strokecolor="black [3040]">
                <v:stroke dashstyle="dash"/>
              </v:line>
            </w:pict>
          </mc:Fallback>
        </mc:AlternateContent>
      </w:r>
      <w:r w:rsidRPr="000E2377">
        <w:rPr>
          <w:noProof/>
          <w:lang w:eastAsia="en-MY"/>
        </w:rPr>
        <mc:AlternateContent>
          <mc:Choice Requires="wps">
            <w:drawing>
              <wp:anchor distT="0" distB="0" distL="114300" distR="114300" simplePos="0" relativeHeight="251923456" behindDoc="0" locked="0" layoutInCell="1" allowOverlap="1" wp14:anchorId="0304AAD7" wp14:editId="0DCD5934">
                <wp:simplePos x="0" y="0"/>
                <wp:positionH relativeFrom="column">
                  <wp:posOffset>3443111</wp:posOffset>
                </wp:positionH>
                <wp:positionV relativeFrom="paragraph">
                  <wp:posOffset>369288</wp:posOffset>
                </wp:positionV>
                <wp:extent cx="11289" cy="1603022"/>
                <wp:effectExtent l="0" t="0" r="27305" b="0"/>
                <wp:wrapNone/>
                <wp:docPr id="1771" name="Straight Connector 1771"/>
                <wp:cNvGraphicFramePr/>
                <a:graphic xmlns:a="http://schemas.openxmlformats.org/drawingml/2006/main">
                  <a:graphicData uri="http://schemas.microsoft.com/office/word/2010/wordprocessingShape">
                    <wps:wsp>
                      <wps:cNvCnPr/>
                      <wps:spPr>
                        <a:xfrm flipH="1">
                          <a:off x="0" y="0"/>
                          <a:ext cx="11289" cy="1603022"/>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0BA8AC" id="Straight Connector 1771" o:spid="_x0000_s1026" style="position:absolute;flip:x;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1pt,29.1pt" to="272pt,1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" strokecolor="black [3040]">
                <v:stroke dashstyle="dash"/>
              </v:line>
            </w:pict>
          </mc:Fallback>
        </mc:AlternateContent>
      </w:r>
      <w:r w:rsidR="00296156" w:rsidRPr="000E2377">
        <w:rPr>
          <w:noProof/>
          <w:lang w:eastAsia="en-MY"/>
        </w:rPr>
        <mc:AlternateContent>
          <mc:Choice Requires="wps">
            <w:drawing>
              <wp:anchor distT="0" distB="0" distL="114300" distR="114300" simplePos="0" relativeHeight="251928576" behindDoc="0" locked="0" layoutInCell="1" allowOverlap="1" wp14:anchorId="22C01CD9" wp14:editId="5976CE2A">
                <wp:simplePos x="0" y="0"/>
                <wp:positionH relativeFrom="column">
                  <wp:posOffset>2952838</wp:posOffset>
                </wp:positionH>
                <wp:positionV relativeFrom="paragraph">
                  <wp:posOffset>2572516</wp:posOffset>
                </wp:positionV>
                <wp:extent cx="1199408" cy="344104"/>
                <wp:effectExtent l="0" t="0" r="0" b="0"/>
                <wp:wrapNone/>
                <wp:docPr id="1776" name="Text Box 1776"/>
                <wp:cNvGraphicFramePr/>
                <a:graphic xmlns:a="http://schemas.openxmlformats.org/drawingml/2006/main">
                  <a:graphicData uri="http://schemas.microsoft.com/office/word/2010/wordprocessingShape">
                    <wps:wsp>
                      <wps:cNvSpPr txBox="1"/>
                      <wps:spPr>
                        <a:xfrm>
                          <a:off x="0" y="0"/>
                          <a:ext cx="1199408" cy="344104"/>
                        </a:xfrm>
                        <a:prstGeom prst="rect">
                          <a:avLst/>
                        </a:prstGeom>
                        <a:noFill/>
                        <a:ln w="6350">
                          <a:noFill/>
                        </a:ln>
                      </wps:spPr>
                      <wps:txbx>
                        <w:txbxContent>
                          <w:p w14:paraId="388B3714" w14:textId="77777777" w:rsidR="00230AB9" w:rsidRPr="002513FF" w:rsidRDefault="00230AB9" w:rsidP="002513FF">
                            <w:pPr>
                              <w:jc w:val="center"/>
                              <w:rPr>
                                <w:b w:val="0"/>
                                <w:sz w:val="16"/>
                                <w:szCs w:val="16"/>
                              </w:rPr>
                            </w:pPr>
                            <w:r w:rsidRPr="002513FF">
                              <w:rPr>
                                <w:b w:val="0"/>
                                <w:sz w:val="16"/>
                                <w:szCs w:val="16"/>
                              </w:rPr>
                              <w:t>[Al</w:t>
                            </w:r>
                            <w:r w:rsidRPr="002513FF">
                              <w:rPr>
                                <w:b w:val="0"/>
                                <w:sz w:val="16"/>
                                <w:szCs w:val="16"/>
                                <w:vertAlign w:val="subscript"/>
                              </w:rPr>
                              <w:t>2</w:t>
                            </w:r>
                            <w:r w:rsidRPr="002513FF">
                              <w:rPr>
                                <w:b w:val="0"/>
                                <w:sz w:val="16"/>
                                <w:szCs w:val="16"/>
                              </w:rPr>
                              <w:t>O</w:t>
                            </w:r>
                            <w:r w:rsidRPr="002513FF">
                              <w:rPr>
                                <w:b w:val="0"/>
                                <w:sz w:val="16"/>
                                <w:szCs w:val="16"/>
                                <w:vertAlign w:val="subscript"/>
                              </w:rPr>
                              <w:t>3</w:t>
                            </w:r>
                            <w:r w:rsidRPr="002513FF">
                              <w:rPr>
                                <w:b w:val="0"/>
                                <w:sz w:val="16"/>
                                <w:szCs w:val="16"/>
                              </w:rPr>
                              <w:t>]=[Na</w:t>
                            </w:r>
                            <w:r w:rsidRPr="002513FF">
                              <w:rPr>
                                <w:b w:val="0"/>
                                <w:sz w:val="16"/>
                                <w:szCs w:val="16"/>
                                <w:vertAlign w:val="subscript"/>
                              </w:rPr>
                              <w:t>2</w:t>
                            </w:r>
                            <w:r w:rsidRPr="002513FF">
                              <w:rPr>
                                <w:b w:val="0"/>
                                <w:sz w:val="16"/>
                                <w:szCs w:val="16"/>
                              </w:rPr>
                              <w:t>O]+[RO]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01CD9" id="Text Box 1776" o:spid="_x0000_s1070" type="#_x0000_t202" style="position:absolute;left:0;text-align:left;margin-left:232.5pt;margin-top:202.55pt;width:94.45pt;height:27.1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" filled="f" stroked="f" strokeweight=".5pt">
                <v:textbox>
                  <w:txbxContent>
                    <w:p w14:paraId="388B3714" w14:textId="77777777" w:rsidR="00230AB9" w:rsidRPr="002513FF" w:rsidRDefault="00230AB9" w:rsidP="002513FF">
                      <w:pPr>
                        <w:jc w:val="center"/>
                        <w:rPr>
                          <w:b w:val="0"/>
                          <w:sz w:val="16"/>
                          <w:szCs w:val="16"/>
                        </w:rPr>
                      </w:pPr>
                      <w:r w:rsidRPr="002513FF">
                        <w:rPr>
                          <w:b w:val="0"/>
                          <w:sz w:val="16"/>
                          <w:szCs w:val="16"/>
                        </w:rPr>
                        <w:t>[Al</w:t>
                      </w:r>
                      <w:r w:rsidRPr="002513FF">
                        <w:rPr>
                          <w:b w:val="0"/>
                          <w:sz w:val="16"/>
                          <w:szCs w:val="16"/>
                          <w:vertAlign w:val="subscript"/>
                        </w:rPr>
                        <w:t>2</w:t>
                      </w:r>
                      <w:r w:rsidRPr="002513FF">
                        <w:rPr>
                          <w:b w:val="0"/>
                          <w:sz w:val="16"/>
                          <w:szCs w:val="16"/>
                        </w:rPr>
                        <w:t>O</w:t>
                      </w:r>
                      <w:r w:rsidRPr="002513FF">
                        <w:rPr>
                          <w:b w:val="0"/>
                          <w:sz w:val="16"/>
                          <w:szCs w:val="16"/>
                          <w:vertAlign w:val="subscript"/>
                        </w:rPr>
                        <w:t>3</w:t>
                      </w:r>
                      <w:r w:rsidRPr="002513FF">
                        <w:rPr>
                          <w:b w:val="0"/>
                          <w:sz w:val="16"/>
                          <w:szCs w:val="16"/>
                        </w:rPr>
                        <w:t>]=[Na</w:t>
                      </w:r>
                      <w:r w:rsidRPr="002513FF">
                        <w:rPr>
                          <w:b w:val="0"/>
                          <w:sz w:val="16"/>
                          <w:szCs w:val="16"/>
                          <w:vertAlign w:val="subscript"/>
                        </w:rPr>
                        <w:t>2</w:t>
                      </w:r>
                      <w:r w:rsidRPr="002513FF">
                        <w:rPr>
                          <w:b w:val="0"/>
                          <w:sz w:val="16"/>
                          <w:szCs w:val="16"/>
                        </w:rPr>
                        <w:t>O]+[RO]</w:t>
                      </w:r>
                    </w:p>
                  </w:txbxContent>
                </v:textbox>
              </v:shape>
            </w:pict>
          </mc:Fallback>
        </mc:AlternateContent>
      </w:r>
      <w:r w:rsidR="00296156" w:rsidRPr="000E2377">
        <w:rPr>
          <w:noProof/>
          <w:lang w:eastAsia="en-MY"/>
        </w:rPr>
        <mc:AlternateContent>
          <mc:Choice Requires="wps">
            <w:drawing>
              <wp:anchor distT="0" distB="0" distL="114300" distR="114300" simplePos="0" relativeHeight="251926528" behindDoc="0" locked="0" layoutInCell="1" allowOverlap="1" wp14:anchorId="3EB1C56D" wp14:editId="5F44696B">
                <wp:simplePos x="0" y="0"/>
                <wp:positionH relativeFrom="column">
                  <wp:posOffset>2861351</wp:posOffset>
                </wp:positionH>
                <wp:positionV relativeFrom="paragraph">
                  <wp:posOffset>83061</wp:posOffset>
                </wp:positionV>
                <wp:extent cx="1199408" cy="332039"/>
                <wp:effectExtent l="0" t="0" r="0" b="0"/>
                <wp:wrapNone/>
                <wp:docPr id="1775" name="Text Box 1775"/>
                <wp:cNvGraphicFramePr/>
                <a:graphic xmlns:a="http://schemas.openxmlformats.org/drawingml/2006/main">
                  <a:graphicData uri="http://schemas.microsoft.com/office/word/2010/wordprocessingShape">
                    <wps:wsp>
                      <wps:cNvSpPr txBox="1"/>
                      <wps:spPr>
                        <a:xfrm>
                          <a:off x="0" y="0"/>
                          <a:ext cx="1199408" cy="332039"/>
                        </a:xfrm>
                        <a:prstGeom prst="rect">
                          <a:avLst/>
                        </a:prstGeom>
                        <a:noFill/>
                        <a:ln w="6350">
                          <a:noFill/>
                        </a:ln>
                      </wps:spPr>
                      <wps:txbx>
                        <w:txbxContent>
                          <w:p w14:paraId="488205B0" w14:textId="43C11235" w:rsidR="00230AB9" w:rsidRPr="002513FF" w:rsidRDefault="00230AB9" w:rsidP="002513FF">
                            <w:pPr>
                              <w:jc w:val="center"/>
                              <w:rPr>
                                <w:b w:val="0"/>
                                <w:sz w:val="16"/>
                                <w:szCs w:val="16"/>
                              </w:rPr>
                            </w:pPr>
                            <w:r w:rsidRPr="002513FF">
                              <w:rPr>
                                <w:b w:val="0"/>
                                <w:sz w:val="16"/>
                                <w:szCs w:val="16"/>
                              </w:rPr>
                              <w:t>[Al</w:t>
                            </w:r>
                            <w:r w:rsidRPr="002513FF">
                              <w:rPr>
                                <w:b w:val="0"/>
                                <w:sz w:val="16"/>
                                <w:szCs w:val="16"/>
                                <w:vertAlign w:val="subscript"/>
                              </w:rPr>
                              <w:t>2</w:t>
                            </w:r>
                            <w:r w:rsidRPr="002513FF">
                              <w:rPr>
                                <w:b w:val="0"/>
                                <w:sz w:val="16"/>
                                <w:szCs w:val="16"/>
                              </w:rPr>
                              <w:t>O</w:t>
                            </w:r>
                            <w:r w:rsidRPr="002513FF">
                              <w:rPr>
                                <w:b w:val="0"/>
                                <w:sz w:val="16"/>
                                <w:szCs w:val="16"/>
                                <w:vertAlign w:val="subscript"/>
                              </w:rPr>
                              <w:t>3</w:t>
                            </w:r>
                            <w:r w:rsidRPr="002513FF">
                              <w:rPr>
                                <w:b w:val="0"/>
                                <w:sz w:val="16"/>
                                <w:szCs w:val="16"/>
                              </w:rPr>
                              <w:t>]=[Na</w:t>
                            </w:r>
                            <w:r w:rsidRPr="002513FF">
                              <w:rPr>
                                <w:b w:val="0"/>
                                <w:sz w:val="16"/>
                                <w:szCs w:val="16"/>
                                <w:vertAlign w:val="subscript"/>
                              </w:rPr>
                              <w:t>2</w:t>
                            </w:r>
                            <w:r w:rsidRPr="002513FF">
                              <w:rPr>
                                <w:b w:val="0"/>
                                <w:sz w:val="16"/>
                                <w:szCs w:val="16"/>
                              </w:rPr>
                              <w:t>O]+[RO]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1C56D" id="Text Box 1775" o:spid="_x0000_s1071" type="#_x0000_t202" style="position:absolute;left:0;text-align:left;margin-left:225.3pt;margin-top:6.55pt;width:94.45pt;height:26.1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" filled="f" stroked="f" strokeweight=".5pt">
                <v:textbox>
                  <w:txbxContent>
                    <w:p w14:paraId="488205B0" w14:textId="43C11235" w:rsidR="00230AB9" w:rsidRPr="002513FF" w:rsidRDefault="00230AB9" w:rsidP="002513FF">
                      <w:pPr>
                        <w:jc w:val="center"/>
                        <w:rPr>
                          <w:b w:val="0"/>
                          <w:sz w:val="16"/>
                          <w:szCs w:val="16"/>
                        </w:rPr>
                      </w:pPr>
                      <w:r w:rsidRPr="002513FF">
                        <w:rPr>
                          <w:b w:val="0"/>
                          <w:sz w:val="16"/>
                          <w:szCs w:val="16"/>
                        </w:rPr>
                        <w:t>[Al</w:t>
                      </w:r>
                      <w:r w:rsidRPr="002513FF">
                        <w:rPr>
                          <w:b w:val="0"/>
                          <w:sz w:val="16"/>
                          <w:szCs w:val="16"/>
                          <w:vertAlign w:val="subscript"/>
                        </w:rPr>
                        <w:t>2</w:t>
                      </w:r>
                      <w:r w:rsidRPr="002513FF">
                        <w:rPr>
                          <w:b w:val="0"/>
                          <w:sz w:val="16"/>
                          <w:szCs w:val="16"/>
                        </w:rPr>
                        <w:t>O</w:t>
                      </w:r>
                      <w:r w:rsidRPr="002513FF">
                        <w:rPr>
                          <w:b w:val="0"/>
                          <w:sz w:val="16"/>
                          <w:szCs w:val="16"/>
                          <w:vertAlign w:val="subscript"/>
                        </w:rPr>
                        <w:t>3</w:t>
                      </w:r>
                      <w:r w:rsidRPr="002513FF">
                        <w:rPr>
                          <w:b w:val="0"/>
                          <w:sz w:val="16"/>
                          <w:szCs w:val="16"/>
                        </w:rPr>
                        <w:t>]=[Na</w:t>
                      </w:r>
                      <w:r w:rsidRPr="002513FF">
                        <w:rPr>
                          <w:b w:val="0"/>
                          <w:sz w:val="16"/>
                          <w:szCs w:val="16"/>
                          <w:vertAlign w:val="subscript"/>
                        </w:rPr>
                        <w:t>2</w:t>
                      </w:r>
                      <w:r w:rsidRPr="002513FF">
                        <w:rPr>
                          <w:b w:val="0"/>
                          <w:sz w:val="16"/>
                          <w:szCs w:val="16"/>
                        </w:rPr>
                        <w:t>O]+[RO]</w:t>
                      </w:r>
                    </w:p>
                  </w:txbxContent>
                </v:textbox>
              </v:shape>
            </w:pict>
          </mc:Fallback>
        </mc:AlternateContent>
      </w:r>
      <w:r w:rsidR="000838FB" w:rsidRPr="000E2377">
        <w:rPr>
          <w:noProof/>
          <w:lang w:eastAsia="en-MY"/>
        </w:rPr>
        <w:drawing>
          <wp:inline distT="0" distB="0" distL="0" distR="0" wp14:anchorId="628BB20D" wp14:editId="5013BEF4">
            <wp:extent cx="3192681" cy="2520000"/>
            <wp:effectExtent l="0" t="0" r="8255" b="0"/>
            <wp:docPr id="1766" name="Picture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92681" cy="2520000"/>
                    </a:xfrm>
                    <a:prstGeom prst="rect">
                      <a:avLst/>
                    </a:prstGeom>
                    <a:noFill/>
                    <a:ln>
                      <a:noFill/>
                    </a:ln>
                  </pic:spPr>
                </pic:pic>
              </a:graphicData>
            </a:graphic>
          </wp:inline>
        </w:drawing>
      </w:r>
      <w:r w:rsidR="000838FB" w:rsidRPr="000E2377">
        <w:rPr>
          <w:noProof/>
          <w:lang w:eastAsia="en-MY"/>
        </w:rPr>
        <w:drawing>
          <wp:inline distT="0" distB="0" distL="0" distR="0" wp14:anchorId="06C118AF" wp14:editId="73759AFE">
            <wp:extent cx="3093914" cy="2520000"/>
            <wp:effectExtent l="0" t="0" r="0" b="0"/>
            <wp:docPr id="1767" name="Pictur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93914" cy="2520000"/>
                    </a:xfrm>
                    <a:prstGeom prst="rect">
                      <a:avLst/>
                    </a:prstGeom>
                    <a:noFill/>
                    <a:ln>
                      <a:noFill/>
                    </a:ln>
                  </pic:spPr>
                </pic:pic>
              </a:graphicData>
            </a:graphic>
          </wp:inline>
        </w:drawing>
      </w:r>
    </w:p>
    <w:p w14:paraId="15A05109" w14:textId="2E3B20BA" w:rsidR="000838FB" w:rsidRPr="000E2377" w:rsidRDefault="00296156" w:rsidP="004707F6">
      <w:pPr>
        <w:spacing w:line="240" w:lineRule="auto"/>
        <w:jc w:val="center"/>
        <w:rPr>
          <w:b w:val="0"/>
          <w:lang w:eastAsia="tr-TR"/>
        </w:rPr>
      </w:pPr>
      <w:r w:rsidRPr="000E2377">
        <w:rPr>
          <w:noProof/>
          <w:lang w:eastAsia="en-MY"/>
        </w:rPr>
        <mc:AlternateContent>
          <mc:Choice Requires="wps">
            <w:drawing>
              <wp:anchor distT="0" distB="0" distL="114300" distR="114300" simplePos="0" relativeHeight="251925504" behindDoc="0" locked="0" layoutInCell="1" allowOverlap="1" wp14:anchorId="7C06B8EA" wp14:editId="615E4481">
                <wp:simplePos x="0" y="0"/>
                <wp:positionH relativeFrom="column">
                  <wp:posOffset>3499556</wp:posOffset>
                </wp:positionH>
                <wp:positionV relativeFrom="paragraph">
                  <wp:posOffset>297039</wp:posOffset>
                </wp:positionV>
                <wp:extent cx="0" cy="1682044"/>
                <wp:effectExtent l="0" t="0" r="38100" b="33020"/>
                <wp:wrapNone/>
                <wp:docPr id="1773" name="Straight Connector 1773"/>
                <wp:cNvGraphicFramePr/>
                <a:graphic xmlns:a="http://schemas.openxmlformats.org/drawingml/2006/main">
                  <a:graphicData uri="http://schemas.microsoft.com/office/word/2010/wordprocessingShape">
                    <wps:wsp>
                      <wps:cNvCnPr/>
                      <wps:spPr>
                        <a:xfrm>
                          <a:off x="0" y="0"/>
                          <a:ext cx="0" cy="1682044"/>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517273BF" id="Straight Connector 1773" o:spid="_x0000_s1026" style="position:absolute;z-index:25192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5.55pt,23.4pt" to="275.55pt,1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" strokecolor="black [3040]">
                <v:stroke dashstyle="dash"/>
              </v:line>
            </w:pict>
          </mc:Fallback>
        </mc:AlternateContent>
      </w:r>
      <w:r w:rsidR="002513FF" w:rsidRPr="000E2377">
        <w:rPr>
          <w:noProof/>
          <w:lang w:eastAsia="en-MY"/>
        </w:rPr>
        <mc:AlternateContent>
          <mc:Choice Requires="wps">
            <w:drawing>
              <wp:anchor distT="0" distB="0" distL="114300" distR="114300" simplePos="0" relativeHeight="251930624" behindDoc="0" locked="0" layoutInCell="1" allowOverlap="1" wp14:anchorId="1FA4AA6C" wp14:editId="4568AD2A">
                <wp:simplePos x="0" y="0"/>
                <wp:positionH relativeFrom="column">
                  <wp:posOffset>2945081</wp:posOffset>
                </wp:positionH>
                <wp:positionV relativeFrom="paragraph">
                  <wp:posOffset>48301</wp:posOffset>
                </wp:positionV>
                <wp:extent cx="1199408" cy="295844"/>
                <wp:effectExtent l="0" t="0" r="0" b="0"/>
                <wp:wrapNone/>
                <wp:docPr id="1777" name="Text Box 1777"/>
                <wp:cNvGraphicFramePr/>
                <a:graphic xmlns:a="http://schemas.openxmlformats.org/drawingml/2006/main">
                  <a:graphicData uri="http://schemas.microsoft.com/office/word/2010/wordprocessingShape">
                    <wps:wsp>
                      <wps:cNvSpPr txBox="1"/>
                      <wps:spPr>
                        <a:xfrm>
                          <a:off x="0" y="0"/>
                          <a:ext cx="1199408" cy="295844"/>
                        </a:xfrm>
                        <a:prstGeom prst="rect">
                          <a:avLst/>
                        </a:prstGeom>
                        <a:noFill/>
                        <a:ln w="6350">
                          <a:noFill/>
                        </a:ln>
                      </wps:spPr>
                      <wps:txbx>
                        <w:txbxContent>
                          <w:p w14:paraId="5E689DE1" w14:textId="77777777" w:rsidR="00230AB9" w:rsidRPr="002513FF" w:rsidRDefault="00230AB9" w:rsidP="002513FF">
                            <w:pPr>
                              <w:jc w:val="center"/>
                              <w:rPr>
                                <w:b w:val="0"/>
                                <w:sz w:val="16"/>
                                <w:szCs w:val="16"/>
                              </w:rPr>
                            </w:pPr>
                            <w:r w:rsidRPr="002513FF">
                              <w:rPr>
                                <w:b w:val="0"/>
                                <w:sz w:val="16"/>
                                <w:szCs w:val="16"/>
                              </w:rPr>
                              <w:t>[Al</w:t>
                            </w:r>
                            <w:r w:rsidRPr="002513FF">
                              <w:rPr>
                                <w:b w:val="0"/>
                                <w:sz w:val="16"/>
                                <w:szCs w:val="16"/>
                                <w:vertAlign w:val="subscript"/>
                              </w:rPr>
                              <w:t>2</w:t>
                            </w:r>
                            <w:r w:rsidRPr="002513FF">
                              <w:rPr>
                                <w:b w:val="0"/>
                                <w:sz w:val="16"/>
                                <w:szCs w:val="16"/>
                              </w:rPr>
                              <w:t>O</w:t>
                            </w:r>
                            <w:r w:rsidRPr="002513FF">
                              <w:rPr>
                                <w:b w:val="0"/>
                                <w:sz w:val="16"/>
                                <w:szCs w:val="16"/>
                                <w:vertAlign w:val="subscript"/>
                              </w:rPr>
                              <w:t>3</w:t>
                            </w:r>
                            <w:r w:rsidRPr="002513FF">
                              <w:rPr>
                                <w:b w:val="0"/>
                                <w:sz w:val="16"/>
                                <w:szCs w:val="16"/>
                              </w:rPr>
                              <w:t>]=[Na</w:t>
                            </w:r>
                            <w:r w:rsidRPr="002513FF">
                              <w:rPr>
                                <w:b w:val="0"/>
                                <w:sz w:val="16"/>
                                <w:szCs w:val="16"/>
                                <w:vertAlign w:val="subscript"/>
                              </w:rPr>
                              <w:t>2</w:t>
                            </w:r>
                            <w:r w:rsidRPr="002513FF">
                              <w:rPr>
                                <w:b w:val="0"/>
                                <w:sz w:val="16"/>
                                <w:szCs w:val="16"/>
                              </w:rPr>
                              <w:t>O]+[RO]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4AA6C" id="Text Box 1777" o:spid="_x0000_s1072" type="#_x0000_t202" style="position:absolute;left:0;text-align:left;margin-left:231.9pt;margin-top:3.8pt;width:94.45pt;height:23.3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" filled="f" stroked="f" strokeweight=".5pt">
                <v:textbox>
                  <w:txbxContent>
                    <w:p w14:paraId="5E689DE1" w14:textId="77777777" w:rsidR="00230AB9" w:rsidRPr="002513FF" w:rsidRDefault="00230AB9" w:rsidP="002513FF">
                      <w:pPr>
                        <w:jc w:val="center"/>
                        <w:rPr>
                          <w:b w:val="0"/>
                          <w:sz w:val="16"/>
                          <w:szCs w:val="16"/>
                        </w:rPr>
                      </w:pPr>
                      <w:r w:rsidRPr="002513FF">
                        <w:rPr>
                          <w:b w:val="0"/>
                          <w:sz w:val="16"/>
                          <w:szCs w:val="16"/>
                        </w:rPr>
                        <w:t>[Al</w:t>
                      </w:r>
                      <w:r w:rsidRPr="002513FF">
                        <w:rPr>
                          <w:b w:val="0"/>
                          <w:sz w:val="16"/>
                          <w:szCs w:val="16"/>
                          <w:vertAlign w:val="subscript"/>
                        </w:rPr>
                        <w:t>2</w:t>
                      </w:r>
                      <w:r w:rsidRPr="002513FF">
                        <w:rPr>
                          <w:b w:val="0"/>
                          <w:sz w:val="16"/>
                          <w:szCs w:val="16"/>
                        </w:rPr>
                        <w:t>O</w:t>
                      </w:r>
                      <w:r w:rsidRPr="002513FF">
                        <w:rPr>
                          <w:b w:val="0"/>
                          <w:sz w:val="16"/>
                          <w:szCs w:val="16"/>
                          <w:vertAlign w:val="subscript"/>
                        </w:rPr>
                        <w:t>3</w:t>
                      </w:r>
                      <w:r w:rsidRPr="002513FF">
                        <w:rPr>
                          <w:b w:val="0"/>
                          <w:sz w:val="16"/>
                          <w:szCs w:val="16"/>
                        </w:rPr>
                        <w:t>]=[Na</w:t>
                      </w:r>
                      <w:r w:rsidRPr="002513FF">
                        <w:rPr>
                          <w:b w:val="0"/>
                          <w:sz w:val="16"/>
                          <w:szCs w:val="16"/>
                          <w:vertAlign w:val="subscript"/>
                        </w:rPr>
                        <w:t>2</w:t>
                      </w:r>
                      <w:r w:rsidRPr="002513FF">
                        <w:rPr>
                          <w:b w:val="0"/>
                          <w:sz w:val="16"/>
                          <w:szCs w:val="16"/>
                        </w:rPr>
                        <w:t>O]+[RO]</w:t>
                      </w:r>
                    </w:p>
                  </w:txbxContent>
                </v:textbox>
              </v:shape>
            </w:pict>
          </mc:Fallback>
        </mc:AlternateContent>
      </w:r>
      <w:r w:rsidR="000838FB" w:rsidRPr="000E2377">
        <w:rPr>
          <w:noProof/>
          <w:lang w:eastAsia="en-MY"/>
        </w:rPr>
        <w:drawing>
          <wp:inline distT="0" distB="0" distL="0" distR="0" wp14:anchorId="635AC36B" wp14:editId="1738FC38">
            <wp:extent cx="3093914" cy="2520000"/>
            <wp:effectExtent l="0" t="0" r="0" b="0"/>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93914" cy="2520000"/>
                    </a:xfrm>
                    <a:prstGeom prst="rect">
                      <a:avLst/>
                    </a:prstGeom>
                    <a:noFill/>
                    <a:ln>
                      <a:noFill/>
                    </a:ln>
                  </pic:spPr>
                </pic:pic>
              </a:graphicData>
            </a:graphic>
          </wp:inline>
        </w:drawing>
      </w:r>
    </w:p>
    <w:p w14:paraId="513C1DCA" w14:textId="58A54808" w:rsidR="002513FF" w:rsidRPr="000E2377" w:rsidRDefault="002513FF" w:rsidP="00311A33">
      <w:pPr>
        <w:pStyle w:val="Caption"/>
      </w:pPr>
      <w:bookmarkStart w:id="223" w:name="_Toc521420452"/>
      <w:bookmarkStart w:id="224" w:name="_Toc525223187"/>
      <w:bookmarkStart w:id="225" w:name="_Toc525528334"/>
      <w:bookmarkStart w:id="226" w:name="_Toc525706349"/>
      <w:r w:rsidRPr="000E2377">
        <w:t xml:space="preserve">Figure </w:t>
      </w:r>
      <w:r w:rsidR="00DE32A9">
        <w:t>2</w:t>
      </w:r>
      <w:r w:rsidRPr="000E2377">
        <w:t>.</w:t>
      </w:r>
      <w:r w:rsidR="003A7455">
        <w:t>15</w:t>
      </w:r>
      <w:r w:rsidRPr="000E2377">
        <w:t>: Compositional dependence</w:t>
      </w:r>
      <w:r w:rsidR="00311A33" w:rsidRPr="000E2377">
        <w:t xml:space="preserve"> </w:t>
      </w:r>
      <w:r w:rsidR="00620988">
        <w:t>of bulk</w:t>
      </w:r>
      <w:r w:rsidR="00620988" w:rsidRPr="000E2377">
        <w:t xml:space="preserve"> </w:t>
      </w:r>
      <w:r w:rsidR="00311A33" w:rsidRPr="000E2377">
        <w:t xml:space="preserve">modulus </w:t>
      </w:r>
      <w:r w:rsidRPr="000E2377">
        <w:t>of sodium boroaluminosilicate glass</w:t>
      </w:r>
      <w:r w:rsidR="00620988">
        <w:t>es</w:t>
      </w:r>
      <w:r w:rsidR="00311A33" w:rsidRPr="000E2377">
        <w:t xml:space="preserve"> (76−x)SiO</w:t>
      </w:r>
      <w:r w:rsidR="00311A33" w:rsidRPr="000E2377">
        <w:rPr>
          <w:vertAlign w:val="subscript"/>
        </w:rPr>
        <w:t>2</w:t>
      </w:r>
      <w:r w:rsidR="00311A33" w:rsidRPr="000E2377">
        <w:t>.xAl</w:t>
      </w:r>
      <w:r w:rsidR="00311A33" w:rsidRPr="000E2377">
        <w:rPr>
          <w:vertAlign w:val="subscript"/>
        </w:rPr>
        <w:t>2</w:t>
      </w:r>
      <w:r w:rsidR="00311A33" w:rsidRPr="000E2377">
        <w:t>O</w:t>
      </w:r>
      <w:r w:rsidR="00311A33" w:rsidRPr="000E2377">
        <w:rPr>
          <w:vertAlign w:val="subscript"/>
        </w:rPr>
        <w:t>3</w:t>
      </w:r>
      <w:r w:rsidR="00311A33" w:rsidRPr="000E2377">
        <w:t>.6B</w:t>
      </w:r>
      <w:r w:rsidR="00311A33" w:rsidRPr="000E2377">
        <w:rPr>
          <w:vertAlign w:val="subscript"/>
        </w:rPr>
        <w:t>2</w:t>
      </w:r>
      <w:r w:rsidR="00311A33" w:rsidRPr="000E2377">
        <w:t>O</w:t>
      </w:r>
      <w:r w:rsidR="00311A33" w:rsidRPr="000E2377">
        <w:rPr>
          <w:vertAlign w:val="subscript"/>
        </w:rPr>
        <w:t>3</w:t>
      </w:r>
      <w:r w:rsidR="00311A33" w:rsidRPr="000E2377">
        <w:t>.12Na</w:t>
      </w:r>
      <w:r w:rsidR="00311A33" w:rsidRPr="000E2377">
        <w:rPr>
          <w:vertAlign w:val="subscript"/>
        </w:rPr>
        <w:t>2</w:t>
      </w:r>
      <w:r w:rsidR="00311A33" w:rsidRPr="000E2377">
        <w:t>O.6RO with x=0, 3, 6, 9, 12, 15, 18, 21, and 24 for R=Mg, Ca, Sr, and Ba</w:t>
      </w:r>
      <w:r w:rsidR="00620988">
        <w:t>; data from</w:t>
      </w:r>
      <w:r w:rsidR="00311A33" w:rsidRPr="000E2377">
        <w:t xml:space="preserve"> </w:t>
      </w:r>
      <w:r w:rsidR="00311A33" w:rsidRPr="000E2377">
        <w:fldChar w:fldCharType="begin" w:fldLock="1"/>
      </w:r>
      <w:r w:rsidR="008400FF">
        <w:instrText>ADDIN CSL_CITATION { "citationItems" : [ { "id" : "ITEM-1", "itemData" : { "author" : [ { "dropping-particle" : "", "family" : "Potuzak", "given" : "Marcel", "non-dropping-particle" : "", "parse-names" : false, "suffix" : "" }, { "dropping-particle" : "", "family" : "Smedskjaer", "given" : "Morten M", "non-dropping-particle" : "", "parse-names" : false, "suffix" : "" }, { "dropping-particle" : "", "family" : "Chemistry", "given" : "Section", "non-dropping-particle" : "", "parse-names" : false, "suffix" : "" }, { "dropping-particle" : "", "family" : "Aalborg", "given" : "Dk-", "non-dropping-particle" : "", "parse-names" : false, "suffix" : "" } ], "container-title" : "Phys. Chem. Glasses: Eur. J. Glass Sci. Technol. B", "id" : "ITEM-1", "issue" : "1", "issued" : { "date-parts" : [ [ "2014" ] ] }, "page" : "18-24", "title" : "Physical properties of boroaluminosilicate glasses : effect of modifier cation field strength", "type" : "article-journal", "volume" : "55" }, "uris" : [ "http://www.mendeley.com/documents/?uuid=305c255e-fdb7-45b9-b283-37da8b3809b3" ] } ], "mendeley" : { "formattedCitation" : "(Potuzak et al., 2014)", "manualFormatting" : "(Potuzak &amp; Smedskjaer, 2014)", "plainTextFormattedCitation" : "(Potuzak et al., 2014)", "previouslyFormattedCitation" : "(Potuzak et al., 2014)" }, "properties" : { "noteIndex" : 39 }, "schema" : "https://github.com/citation-style-language/schema/raw/master/csl-citation.json" }</w:instrText>
      </w:r>
      <w:r w:rsidR="00311A33" w:rsidRPr="000E2377">
        <w:fldChar w:fldCharType="separate"/>
      </w:r>
      <w:r w:rsidR="00311A33" w:rsidRPr="000E2377">
        <w:rPr>
          <w:noProof/>
        </w:rPr>
        <w:t>(Potuzak &amp; Smedskjaer, 2014)</w:t>
      </w:r>
      <w:r w:rsidR="00311A33" w:rsidRPr="000E2377">
        <w:fldChar w:fldCharType="end"/>
      </w:r>
      <w:r w:rsidR="00311A33" w:rsidRPr="000E2377">
        <w:t>.</w:t>
      </w:r>
      <w:bookmarkEnd w:id="223"/>
      <w:bookmarkEnd w:id="224"/>
      <w:bookmarkEnd w:id="225"/>
      <w:bookmarkEnd w:id="226"/>
    </w:p>
    <w:p w14:paraId="3543C5DE" w14:textId="5032021F" w:rsidR="00311A33" w:rsidRDefault="00620988" w:rsidP="00311A33">
      <w:pPr>
        <w:spacing w:line="360" w:lineRule="auto"/>
        <w:jc w:val="both"/>
        <w:rPr>
          <w:b w:val="0"/>
          <w:lang w:eastAsia="tr-TR"/>
        </w:rPr>
      </w:pPr>
      <w:r>
        <w:rPr>
          <w:b w:val="0"/>
          <w:lang w:eastAsia="tr-TR"/>
        </w:rPr>
        <w:lastRenderedPageBreak/>
        <w:t>N</w:t>
      </w:r>
      <w:r w:rsidR="00311A33" w:rsidRPr="000E2377">
        <w:rPr>
          <w:b w:val="0"/>
          <w:lang w:eastAsia="tr-TR"/>
        </w:rPr>
        <w:t>etwork</w:t>
      </w:r>
      <w:r>
        <w:rPr>
          <w:b w:val="0"/>
          <w:lang w:eastAsia="tr-TR"/>
        </w:rPr>
        <w:t xml:space="preserve"> charge</w:t>
      </w:r>
      <w:r w:rsidR="00311A33" w:rsidRPr="000E2377">
        <w:rPr>
          <w:b w:val="0"/>
          <w:lang w:eastAsia="tr-TR"/>
        </w:rPr>
        <w:t xml:space="preserve"> balance is </w:t>
      </w:r>
      <w:r>
        <w:rPr>
          <w:b w:val="0"/>
          <w:lang w:eastAsia="tr-TR"/>
        </w:rPr>
        <w:t xml:space="preserve">the </w:t>
      </w:r>
      <w:r w:rsidR="00311A33" w:rsidRPr="000E2377">
        <w:rPr>
          <w:b w:val="0"/>
          <w:lang w:eastAsia="tr-TR"/>
        </w:rPr>
        <w:t>balance of cation</w:t>
      </w:r>
      <w:r>
        <w:rPr>
          <w:b w:val="0"/>
          <w:lang w:eastAsia="tr-TR"/>
        </w:rPr>
        <w:t>s</w:t>
      </w:r>
      <w:r w:rsidR="00311A33" w:rsidRPr="000E2377">
        <w:rPr>
          <w:b w:val="0"/>
          <w:lang w:eastAsia="tr-TR"/>
        </w:rPr>
        <w:t xml:space="preserve"> after full charge </w:t>
      </w:r>
      <w:r w:rsidRPr="000E2377">
        <w:rPr>
          <w:b w:val="0"/>
          <w:lang w:eastAsia="tr-TR"/>
        </w:rPr>
        <w:t>stabiliz</w:t>
      </w:r>
      <w:r>
        <w:rPr>
          <w:b w:val="0"/>
          <w:lang w:eastAsia="tr-TR"/>
        </w:rPr>
        <w:t>ation</w:t>
      </w:r>
      <w:r w:rsidRPr="000E2377">
        <w:rPr>
          <w:b w:val="0"/>
          <w:lang w:eastAsia="tr-TR"/>
        </w:rPr>
        <w:t xml:space="preserve"> </w:t>
      </w:r>
      <w:r w:rsidR="00311A33" w:rsidRPr="000E2377">
        <w:rPr>
          <w:b w:val="0"/>
          <w:lang w:eastAsia="tr-TR"/>
        </w:rPr>
        <w:t>of Al</w:t>
      </w:r>
      <w:r w:rsidR="00311A33" w:rsidRPr="000E2377">
        <w:rPr>
          <w:b w:val="0"/>
          <w:vertAlign w:val="superscript"/>
          <w:lang w:eastAsia="tr-TR"/>
        </w:rPr>
        <w:t>3+</w:t>
      </w:r>
      <w:r w:rsidR="00311A33" w:rsidRPr="000E2377">
        <w:rPr>
          <w:b w:val="0"/>
          <w:lang w:eastAsia="tr-TR"/>
        </w:rPr>
        <w:t xml:space="preserve"> and B</w:t>
      </w:r>
      <w:r w:rsidR="00311A33" w:rsidRPr="000E2377">
        <w:rPr>
          <w:b w:val="0"/>
          <w:vertAlign w:val="superscript"/>
          <w:lang w:eastAsia="tr-TR"/>
        </w:rPr>
        <w:t>3+</w:t>
      </w:r>
      <w:r w:rsidR="00311A33" w:rsidRPr="000E2377">
        <w:rPr>
          <w:b w:val="0"/>
          <w:lang w:eastAsia="tr-TR"/>
        </w:rPr>
        <w:t xml:space="preserve"> in tetrahedral configuration.</w:t>
      </w:r>
      <w:r w:rsidR="00311A33" w:rsidRPr="000E2377">
        <w:rPr>
          <w:lang w:eastAsia="tr-TR"/>
        </w:rPr>
        <w:t xml:space="preserve"> </w:t>
      </w:r>
      <w:proofErr w:type="spellStart"/>
      <w:r w:rsidR="00311A33" w:rsidRPr="000E2377">
        <w:rPr>
          <w:b w:val="0"/>
          <w:lang w:eastAsia="tr-TR"/>
        </w:rPr>
        <w:t>Potuzak</w:t>
      </w:r>
      <w:proofErr w:type="spellEnd"/>
      <w:r w:rsidR="00311A33" w:rsidRPr="000E2377">
        <w:rPr>
          <w:b w:val="0"/>
          <w:lang w:eastAsia="tr-TR"/>
        </w:rPr>
        <w:t xml:space="preserve"> and </w:t>
      </w:r>
      <w:proofErr w:type="spellStart"/>
      <w:r w:rsidR="00311A33" w:rsidRPr="000E2377">
        <w:rPr>
          <w:b w:val="0"/>
          <w:lang w:eastAsia="tr-TR"/>
        </w:rPr>
        <w:t>Smedskjaer</w:t>
      </w:r>
      <w:proofErr w:type="spellEnd"/>
      <w:r w:rsidR="00311A33" w:rsidRPr="000E2377">
        <w:rPr>
          <w:b w:val="0"/>
          <w:lang w:eastAsia="tr-TR"/>
        </w:rPr>
        <w:t xml:space="preserve"> </w:t>
      </w:r>
      <w:r w:rsidRPr="000E2377">
        <w:rPr>
          <w:b w:val="0"/>
          <w:lang w:eastAsia="tr-TR"/>
        </w:rPr>
        <w:t>studie</w:t>
      </w:r>
      <w:r>
        <w:rPr>
          <w:b w:val="0"/>
          <w:lang w:eastAsia="tr-TR"/>
        </w:rPr>
        <w:t>d</w:t>
      </w:r>
      <w:r w:rsidRPr="000E2377">
        <w:rPr>
          <w:b w:val="0"/>
          <w:lang w:eastAsia="tr-TR"/>
        </w:rPr>
        <w:t xml:space="preserve"> </w:t>
      </w:r>
      <w:r w:rsidR="00311A33" w:rsidRPr="000E2377">
        <w:rPr>
          <w:b w:val="0"/>
          <w:lang w:eastAsia="tr-TR"/>
        </w:rPr>
        <w:t xml:space="preserve">36 alkaline-earth sodium boroaluminosilicate by types of alkaline earth used (MgO, </w:t>
      </w:r>
      <w:proofErr w:type="spellStart"/>
      <w:r w:rsidR="00311A33" w:rsidRPr="000E2377">
        <w:rPr>
          <w:b w:val="0"/>
          <w:lang w:eastAsia="tr-TR"/>
        </w:rPr>
        <w:t>CaO</w:t>
      </w:r>
      <w:proofErr w:type="spellEnd"/>
      <w:r w:rsidR="00311A33" w:rsidRPr="000E2377">
        <w:rPr>
          <w:b w:val="0"/>
          <w:lang w:eastAsia="tr-TR"/>
        </w:rPr>
        <w:t xml:space="preserve">, </w:t>
      </w:r>
      <w:proofErr w:type="spellStart"/>
      <w:r w:rsidR="00311A33" w:rsidRPr="000E2377">
        <w:rPr>
          <w:b w:val="0"/>
          <w:lang w:eastAsia="tr-TR"/>
        </w:rPr>
        <w:t>SrO</w:t>
      </w:r>
      <w:proofErr w:type="spellEnd"/>
      <w:r w:rsidR="00311A33" w:rsidRPr="000E2377">
        <w:rPr>
          <w:b w:val="0"/>
          <w:lang w:eastAsia="tr-TR"/>
        </w:rPr>
        <w:t xml:space="preserve"> and </w:t>
      </w:r>
      <w:proofErr w:type="spellStart"/>
      <w:r w:rsidR="00311A33" w:rsidRPr="000E2377">
        <w:rPr>
          <w:b w:val="0"/>
          <w:lang w:eastAsia="tr-TR"/>
        </w:rPr>
        <w:t>BaO</w:t>
      </w:r>
      <w:proofErr w:type="spellEnd"/>
      <w:r w:rsidR="00311A33" w:rsidRPr="000E2377">
        <w:rPr>
          <w:b w:val="0"/>
          <w:lang w:eastAsia="tr-TR"/>
        </w:rPr>
        <w:t xml:space="preserve">) and </w:t>
      </w:r>
      <w:r>
        <w:rPr>
          <w:b w:val="0"/>
          <w:lang w:eastAsia="tr-TR"/>
        </w:rPr>
        <w:t xml:space="preserve">the </w:t>
      </w:r>
      <w:r w:rsidR="00311A33" w:rsidRPr="000E2377">
        <w:rPr>
          <w:b w:val="0"/>
          <w:lang w:eastAsia="tr-TR"/>
        </w:rPr>
        <w:t xml:space="preserve">ratio of Si/Al to understand </w:t>
      </w:r>
      <w:r>
        <w:rPr>
          <w:b w:val="0"/>
          <w:lang w:eastAsia="tr-TR"/>
        </w:rPr>
        <w:t xml:space="preserve">the </w:t>
      </w:r>
      <w:r w:rsidR="00311A33" w:rsidRPr="000E2377">
        <w:rPr>
          <w:b w:val="0"/>
          <w:lang w:eastAsia="tr-TR"/>
        </w:rPr>
        <w:t xml:space="preserve">effect of composition </w:t>
      </w:r>
      <w:r>
        <w:rPr>
          <w:b w:val="0"/>
          <w:lang w:eastAsia="tr-TR"/>
        </w:rPr>
        <w:t>on</w:t>
      </w:r>
      <w:r w:rsidRPr="000E2377">
        <w:rPr>
          <w:b w:val="0"/>
          <w:lang w:eastAsia="tr-TR"/>
        </w:rPr>
        <w:t xml:space="preserve"> </w:t>
      </w:r>
      <w:r w:rsidR="00311A33" w:rsidRPr="000E2377">
        <w:rPr>
          <w:b w:val="0"/>
          <w:lang w:eastAsia="tr-TR"/>
        </w:rPr>
        <w:t>physical properties. The</w:t>
      </w:r>
      <w:r>
        <w:rPr>
          <w:b w:val="0"/>
          <w:lang w:eastAsia="tr-TR"/>
        </w:rPr>
        <w:t>ir</w:t>
      </w:r>
      <w:r w:rsidR="00311A33" w:rsidRPr="000E2377">
        <w:rPr>
          <w:b w:val="0"/>
          <w:lang w:eastAsia="tr-TR"/>
        </w:rPr>
        <w:t xml:space="preserve"> results </w:t>
      </w:r>
      <w:r w:rsidR="000521AD">
        <w:rPr>
          <w:b w:val="0"/>
          <w:lang w:eastAsia="tr-TR"/>
        </w:rPr>
        <w:t>showed</w:t>
      </w:r>
      <w:r w:rsidR="000521AD" w:rsidRPr="000E2377">
        <w:rPr>
          <w:b w:val="0"/>
          <w:lang w:eastAsia="tr-TR"/>
        </w:rPr>
        <w:t xml:space="preserve"> </w:t>
      </w:r>
      <w:r w:rsidR="00311A33" w:rsidRPr="000E2377">
        <w:rPr>
          <w:b w:val="0"/>
          <w:lang w:eastAsia="tr-TR"/>
        </w:rPr>
        <w:t xml:space="preserve">that when </w:t>
      </w:r>
      <w:r w:rsidR="000521AD">
        <w:rPr>
          <w:b w:val="0"/>
          <w:lang w:eastAsia="tr-TR"/>
        </w:rPr>
        <w:t xml:space="preserve">the </w:t>
      </w:r>
      <w:r w:rsidR="00311A33" w:rsidRPr="000E2377">
        <w:rPr>
          <w:b w:val="0"/>
          <w:lang w:eastAsia="tr-TR"/>
        </w:rPr>
        <w:t xml:space="preserve">charge </w:t>
      </w:r>
      <w:r w:rsidR="000521AD" w:rsidRPr="000E2377">
        <w:rPr>
          <w:b w:val="0"/>
          <w:lang w:eastAsia="tr-TR"/>
        </w:rPr>
        <w:t>compensat</w:t>
      </w:r>
      <w:r w:rsidR="000521AD">
        <w:rPr>
          <w:b w:val="0"/>
          <w:lang w:eastAsia="tr-TR"/>
        </w:rPr>
        <w:t>ion</w:t>
      </w:r>
      <w:r w:rsidR="000521AD" w:rsidRPr="000E2377">
        <w:rPr>
          <w:b w:val="0"/>
          <w:lang w:eastAsia="tr-TR"/>
        </w:rPr>
        <w:t xml:space="preserve"> </w:t>
      </w:r>
      <w:r w:rsidR="000521AD">
        <w:rPr>
          <w:b w:val="0"/>
          <w:lang w:eastAsia="tr-TR"/>
        </w:rPr>
        <w:t>falls</w:t>
      </w:r>
      <w:r w:rsidR="000521AD" w:rsidRPr="000E2377">
        <w:rPr>
          <w:b w:val="0"/>
          <w:lang w:eastAsia="tr-TR"/>
        </w:rPr>
        <w:t xml:space="preserve"> </w:t>
      </w:r>
      <w:r w:rsidR="00E72AC2" w:rsidRPr="000E2377">
        <w:rPr>
          <w:b w:val="0"/>
          <w:lang w:eastAsia="tr-TR"/>
        </w:rPr>
        <w:t>below</w:t>
      </w:r>
      <w:r w:rsidR="00311A33" w:rsidRPr="000E2377">
        <w:rPr>
          <w:b w:val="0"/>
          <w:lang w:eastAsia="tr-TR"/>
        </w:rPr>
        <w:t xml:space="preserve"> zero</w:t>
      </w:r>
      <w:r w:rsidR="00E72AC2" w:rsidRPr="000E2377">
        <w:rPr>
          <w:b w:val="0"/>
          <w:lang w:eastAsia="tr-TR"/>
        </w:rPr>
        <w:t xml:space="preserve"> [(Al</w:t>
      </w:r>
      <w:r w:rsidR="00E72AC2" w:rsidRPr="000E2377">
        <w:rPr>
          <w:b w:val="0"/>
          <w:vertAlign w:val="subscript"/>
          <w:lang w:eastAsia="tr-TR"/>
        </w:rPr>
        <w:t>2</w:t>
      </w:r>
      <w:r w:rsidR="00E72AC2" w:rsidRPr="000E2377">
        <w:rPr>
          <w:b w:val="0"/>
          <w:lang w:eastAsia="tr-TR"/>
        </w:rPr>
        <w:t>O</w:t>
      </w:r>
      <w:r w:rsidR="00E72AC2" w:rsidRPr="000E2377">
        <w:rPr>
          <w:b w:val="0"/>
          <w:vertAlign w:val="subscript"/>
          <w:lang w:eastAsia="tr-TR"/>
        </w:rPr>
        <w:t>3</w:t>
      </w:r>
      <w:r w:rsidR="00E72AC2" w:rsidRPr="000E2377">
        <w:rPr>
          <w:b w:val="0"/>
          <w:lang w:eastAsia="tr-TR"/>
        </w:rPr>
        <w:t>)-(Na</w:t>
      </w:r>
      <w:r w:rsidR="00E72AC2" w:rsidRPr="000E2377">
        <w:rPr>
          <w:b w:val="0"/>
          <w:vertAlign w:val="subscript"/>
          <w:lang w:eastAsia="tr-TR"/>
        </w:rPr>
        <w:t>2</w:t>
      </w:r>
      <w:r w:rsidR="00E72AC2" w:rsidRPr="000E2377">
        <w:rPr>
          <w:b w:val="0"/>
          <w:lang w:eastAsia="tr-TR"/>
        </w:rPr>
        <w:t>O)&gt;0</w:t>
      </w:r>
      <w:r w:rsidR="000521AD">
        <w:rPr>
          <w:b w:val="0"/>
          <w:lang w:eastAsia="tr-TR"/>
        </w:rPr>
        <w:t>]</w:t>
      </w:r>
      <w:r w:rsidR="000521AD" w:rsidRPr="000E2377">
        <w:rPr>
          <w:b w:val="0"/>
          <w:lang w:eastAsia="tr-TR"/>
        </w:rPr>
        <w:t xml:space="preserve">, </w:t>
      </w:r>
      <w:r w:rsidR="000521AD">
        <w:rPr>
          <w:b w:val="0"/>
          <w:lang w:eastAsia="tr-TR"/>
        </w:rPr>
        <w:t>a</w:t>
      </w:r>
      <w:r w:rsidR="00311A33" w:rsidRPr="000E2377">
        <w:rPr>
          <w:b w:val="0"/>
          <w:lang w:eastAsia="tr-TR"/>
        </w:rPr>
        <w:t xml:space="preserve"> sudden change </w:t>
      </w:r>
      <w:r w:rsidR="000521AD">
        <w:rPr>
          <w:b w:val="0"/>
          <w:lang w:eastAsia="tr-TR"/>
        </w:rPr>
        <w:t>in</w:t>
      </w:r>
      <w:r w:rsidR="000521AD" w:rsidRPr="000E2377">
        <w:rPr>
          <w:b w:val="0"/>
          <w:lang w:eastAsia="tr-TR"/>
        </w:rPr>
        <w:t xml:space="preserve"> </w:t>
      </w:r>
      <w:r w:rsidR="00311A33" w:rsidRPr="000E2377">
        <w:rPr>
          <w:b w:val="0"/>
          <w:lang w:eastAsia="tr-TR"/>
        </w:rPr>
        <w:t>Young’s and shear modulus</w:t>
      </w:r>
      <w:r w:rsidR="000521AD">
        <w:rPr>
          <w:b w:val="0"/>
          <w:lang w:eastAsia="tr-TR"/>
        </w:rPr>
        <w:t xml:space="preserve"> was observed</w:t>
      </w:r>
      <w:r w:rsidR="00311A33" w:rsidRPr="000E2377">
        <w:rPr>
          <w:b w:val="0"/>
          <w:lang w:eastAsia="tr-TR"/>
        </w:rPr>
        <w:t>. Figure 2.</w:t>
      </w:r>
      <w:r w:rsidR="007E249A" w:rsidRPr="000E2377">
        <w:rPr>
          <w:b w:val="0"/>
          <w:lang w:eastAsia="tr-TR"/>
        </w:rPr>
        <w:t>1</w:t>
      </w:r>
      <w:r w:rsidR="007E249A">
        <w:rPr>
          <w:b w:val="0"/>
          <w:lang w:eastAsia="tr-TR"/>
        </w:rPr>
        <w:t>5</w:t>
      </w:r>
      <w:r w:rsidR="007E249A" w:rsidRPr="000E2377">
        <w:rPr>
          <w:b w:val="0"/>
          <w:lang w:eastAsia="tr-TR"/>
        </w:rPr>
        <w:t xml:space="preserve"> </w:t>
      </w:r>
      <w:r w:rsidR="00311A33" w:rsidRPr="000E2377">
        <w:rPr>
          <w:b w:val="0"/>
          <w:lang w:eastAsia="tr-TR"/>
        </w:rPr>
        <w:t xml:space="preserve">shows the </w:t>
      </w:r>
      <w:r w:rsidR="000521AD">
        <w:rPr>
          <w:b w:val="0"/>
          <w:lang w:eastAsia="tr-TR"/>
        </w:rPr>
        <w:t xml:space="preserve">effect of </w:t>
      </w:r>
      <w:r w:rsidR="00311A33" w:rsidRPr="000E2377">
        <w:rPr>
          <w:b w:val="0"/>
          <w:lang w:eastAsia="tr-TR"/>
        </w:rPr>
        <w:t xml:space="preserve">composition </w:t>
      </w:r>
      <w:r w:rsidR="000521AD">
        <w:rPr>
          <w:b w:val="0"/>
          <w:lang w:eastAsia="tr-TR"/>
        </w:rPr>
        <w:t>on the various</w:t>
      </w:r>
      <w:r w:rsidR="00311A33" w:rsidRPr="000E2377">
        <w:rPr>
          <w:b w:val="0"/>
          <w:lang w:eastAsia="tr-TR"/>
        </w:rPr>
        <w:t xml:space="preserve"> modul</w:t>
      </w:r>
      <w:r w:rsidR="000521AD">
        <w:rPr>
          <w:b w:val="0"/>
          <w:lang w:eastAsia="tr-TR"/>
        </w:rPr>
        <w:t>i.</w:t>
      </w:r>
      <w:r w:rsidR="00E72AC2" w:rsidRPr="000E2377">
        <w:rPr>
          <w:b w:val="0"/>
          <w:lang w:eastAsia="tr-TR"/>
        </w:rPr>
        <w:t xml:space="preserve"> </w:t>
      </w:r>
    </w:p>
    <w:p w14:paraId="13FBF753" w14:textId="3E1C9462" w:rsidR="0030559D" w:rsidRPr="000E2377" w:rsidRDefault="008F5046" w:rsidP="007C3DD8">
      <w:pPr>
        <w:pStyle w:val="Heading3"/>
      </w:pPr>
      <w:bookmarkStart w:id="227" w:name="_Toc523402887"/>
      <w:bookmarkStart w:id="228" w:name="_Toc525526398"/>
      <w:bookmarkStart w:id="229" w:name="_Toc525707815"/>
      <w:bookmarkStart w:id="230" w:name="_Toc525742480"/>
      <w:bookmarkStart w:id="231" w:name="_Toc12994948"/>
      <w:r w:rsidRPr="000E2377">
        <w:t>2.</w:t>
      </w:r>
      <w:r w:rsidR="003B115C" w:rsidRPr="000E2377">
        <w:t>1</w:t>
      </w:r>
      <w:r w:rsidR="007754F1">
        <w:t>2</w:t>
      </w:r>
      <w:r w:rsidR="003B115C" w:rsidRPr="000E2377">
        <w:t xml:space="preserve"> </w:t>
      </w:r>
      <w:r w:rsidR="00F67450" w:rsidRPr="000E2377">
        <w:t>Summary of literature</w:t>
      </w:r>
      <w:bookmarkEnd w:id="227"/>
      <w:bookmarkEnd w:id="228"/>
      <w:bookmarkEnd w:id="229"/>
      <w:bookmarkEnd w:id="230"/>
      <w:bookmarkEnd w:id="231"/>
    </w:p>
    <w:p w14:paraId="3751D68C" w14:textId="5BAAA4EA" w:rsidR="00FD5331" w:rsidRDefault="0057201A" w:rsidP="0064576E">
      <w:pPr>
        <w:spacing w:line="360" w:lineRule="auto"/>
        <w:jc w:val="both"/>
        <w:rPr>
          <w:rFonts w:asciiTheme="majorBidi" w:hAnsiTheme="majorBidi" w:cstheme="majorBidi"/>
          <w:b w:val="0"/>
          <w:szCs w:val="24"/>
        </w:rPr>
      </w:pPr>
      <w:r w:rsidRPr="000E2377">
        <w:rPr>
          <w:rFonts w:asciiTheme="majorBidi" w:hAnsiTheme="majorBidi" w:cstheme="majorBidi"/>
          <w:b w:val="0"/>
          <w:szCs w:val="24"/>
        </w:rPr>
        <w:t xml:space="preserve">Alumina and boron impact </w:t>
      </w:r>
      <w:r w:rsidR="00620988">
        <w:rPr>
          <w:rFonts w:asciiTheme="majorBidi" w:hAnsiTheme="majorBidi" w:cstheme="majorBidi"/>
          <w:b w:val="0"/>
          <w:szCs w:val="24"/>
        </w:rPr>
        <w:t>both</w:t>
      </w:r>
      <w:r w:rsidRPr="000E2377">
        <w:rPr>
          <w:rFonts w:asciiTheme="majorBidi" w:hAnsiTheme="majorBidi" w:cstheme="majorBidi"/>
          <w:b w:val="0"/>
          <w:szCs w:val="24"/>
        </w:rPr>
        <w:t xml:space="preserve"> structure and </w:t>
      </w:r>
      <w:r w:rsidR="009D0D52" w:rsidRPr="000E2377">
        <w:rPr>
          <w:rFonts w:asciiTheme="majorBidi" w:hAnsiTheme="majorBidi" w:cstheme="majorBidi"/>
          <w:b w:val="0"/>
          <w:szCs w:val="24"/>
        </w:rPr>
        <w:t>properties</w:t>
      </w:r>
      <w:r w:rsidR="00620988">
        <w:rPr>
          <w:rFonts w:asciiTheme="majorBidi" w:hAnsiTheme="majorBidi" w:cstheme="majorBidi"/>
          <w:b w:val="0"/>
          <w:szCs w:val="24"/>
        </w:rPr>
        <w:t xml:space="preserve"> of glasses</w:t>
      </w:r>
      <w:r w:rsidR="00284CC3">
        <w:rPr>
          <w:rFonts w:asciiTheme="majorBidi" w:hAnsiTheme="majorBidi" w:cstheme="majorBidi"/>
          <w:b w:val="0"/>
          <w:szCs w:val="24"/>
        </w:rPr>
        <w:t xml:space="preserve"> </w:t>
      </w:r>
      <w:r w:rsidR="009E13EA">
        <w:rPr>
          <w:rFonts w:asciiTheme="majorBidi" w:hAnsiTheme="majorBidi" w:cstheme="majorBidi"/>
          <w:b w:val="0"/>
          <w:szCs w:val="24"/>
        </w:rPr>
        <w:t>and often lead to</w:t>
      </w:r>
      <w:r w:rsidR="009D0D52" w:rsidRPr="000E2377">
        <w:rPr>
          <w:rFonts w:asciiTheme="majorBidi" w:hAnsiTheme="majorBidi" w:cstheme="majorBidi"/>
          <w:b w:val="0"/>
          <w:szCs w:val="24"/>
        </w:rPr>
        <w:t xml:space="preserve"> nonlinear correlation</w:t>
      </w:r>
      <w:r w:rsidR="009E13EA">
        <w:rPr>
          <w:rFonts w:asciiTheme="majorBidi" w:hAnsiTheme="majorBidi" w:cstheme="majorBidi"/>
          <w:b w:val="0"/>
          <w:szCs w:val="24"/>
        </w:rPr>
        <w:t xml:space="preserve">s </w:t>
      </w:r>
      <w:r w:rsidR="00284CC3">
        <w:rPr>
          <w:rFonts w:asciiTheme="majorBidi" w:hAnsiTheme="majorBidi" w:cstheme="majorBidi"/>
          <w:b w:val="0"/>
          <w:szCs w:val="24"/>
        </w:rPr>
        <w:t xml:space="preserve">between </w:t>
      </w:r>
      <w:r w:rsidR="009E13EA">
        <w:rPr>
          <w:rFonts w:asciiTheme="majorBidi" w:hAnsiTheme="majorBidi" w:cstheme="majorBidi"/>
          <w:b w:val="0"/>
          <w:szCs w:val="24"/>
        </w:rPr>
        <w:t>composition and</w:t>
      </w:r>
      <w:r w:rsidR="00F36A19">
        <w:rPr>
          <w:rFonts w:asciiTheme="majorBidi" w:hAnsiTheme="majorBidi" w:cstheme="majorBidi"/>
          <w:b w:val="0"/>
          <w:szCs w:val="24"/>
        </w:rPr>
        <w:t xml:space="preserve"> mechanical properties</w:t>
      </w:r>
      <w:r w:rsidR="009D0D52" w:rsidRPr="000E2377">
        <w:rPr>
          <w:rFonts w:asciiTheme="majorBidi" w:hAnsiTheme="majorBidi" w:cstheme="majorBidi"/>
          <w:b w:val="0"/>
          <w:szCs w:val="24"/>
        </w:rPr>
        <w:t xml:space="preserve">. </w:t>
      </w:r>
      <w:r w:rsidR="00620988">
        <w:rPr>
          <w:rFonts w:asciiTheme="majorBidi" w:hAnsiTheme="majorBidi" w:cstheme="majorBidi"/>
          <w:b w:val="0"/>
          <w:szCs w:val="24"/>
        </w:rPr>
        <w:t>A</w:t>
      </w:r>
      <w:r w:rsidR="00D41899" w:rsidRPr="000E2377">
        <w:rPr>
          <w:rFonts w:asciiTheme="majorBidi" w:hAnsiTheme="majorBidi" w:cstheme="majorBidi"/>
          <w:b w:val="0"/>
          <w:szCs w:val="24"/>
        </w:rPr>
        <w:t xml:space="preserve">lumina may lead to </w:t>
      </w:r>
      <w:r w:rsidR="00620988">
        <w:rPr>
          <w:rFonts w:asciiTheme="majorBidi" w:hAnsiTheme="majorBidi" w:cstheme="majorBidi"/>
          <w:b w:val="0"/>
          <w:szCs w:val="24"/>
        </w:rPr>
        <w:t xml:space="preserve">an </w:t>
      </w:r>
      <w:r w:rsidR="00D41899" w:rsidRPr="000E2377">
        <w:rPr>
          <w:rFonts w:asciiTheme="majorBidi" w:hAnsiTheme="majorBidi" w:cstheme="majorBidi"/>
          <w:b w:val="0"/>
          <w:szCs w:val="24"/>
        </w:rPr>
        <w:t>increase in</w:t>
      </w:r>
      <w:r w:rsidR="00620988">
        <w:rPr>
          <w:rFonts w:asciiTheme="majorBidi" w:hAnsiTheme="majorBidi" w:cstheme="majorBidi"/>
          <w:b w:val="0"/>
          <w:szCs w:val="24"/>
        </w:rPr>
        <w:t xml:space="preserve"> the</w:t>
      </w:r>
      <w:r w:rsidR="00D41899" w:rsidRPr="000E2377">
        <w:rPr>
          <w:rFonts w:asciiTheme="majorBidi" w:hAnsiTheme="majorBidi" w:cstheme="majorBidi"/>
          <w:b w:val="0"/>
          <w:szCs w:val="24"/>
        </w:rPr>
        <w:t xml:space="preserve"> </w:t>
      </w:r>
      <w:r w:rsidR="00620988" w:rsidRPr="000E2377">
        <w:rPr>
          <w:rFonts w:asciiTheme="majorBidi" w:hAnsiTheme="majorBidi" w:cstheme="majorBidi"/>
          <w:b w:val="0"/>
          <w:szCs w:val="24"/>
        </w:rPr>
        <w:t>polymeris</w:t>
      </w:r>
      <w:r w:rsidR="00620988">
        <w:rPr>
          <w:rFonts w:asciiTheme="majorBidi" w:hAnsiTheme="majorBidi" w:cstheme="majorBidi"/>
          <w:b w:val="0"/>
          <w:szCs w:val="24"/>
        </w:rPr>
        <w:t>ation</w:t>
      </w:r>
      <w:r w:rsidR="00620988" w:rsidRPr="000E2377">
        <w:rPr>
          <w:rFonts w:asciiTheme="majorBidi" w:hAnsiTheme="majorBidi" w:cstheme="majorBidi"/>
          <w:b w:val="0"/>
          <w:szCs w:val="24"/>
        </w:rPr>
        <w:t xml:space="preserve"> </w:t>
      </w:r>
      <w:r w:rsidR="00D41899" w:rsidRPr="000E2377">
        <w:rPr>
          <w:rFonts w:asciiTheme="majorBidi" w:hAnsiTheme="majorBidi" w:cstheme="majorBidi"/>
          <w:b w:val="0"/>
          <w:szCs w:val="24"/>
        </w:rPr>
        <w:t xml:space="preserve">of glass, glass transition temperature, density and hardness. </w:t>
      </w:r>
      <w:r w:rsidR="00031E55">
        <w:rPr>
          <w:rFonts w:asciiTheme="majorBidi" w:hAnsiTheme="majorBidi" w:cstheme="majorBidi"/>
          <w:b w:val="0"/>
          <w:szCs w:val="24"/>
        </w:rPr>
        <w:t xml:space="preserve">Both </w:t>
      </w:r>
      <w:r w:rsidR="00D41899" w:rsidRPr="000E2377">
        <w:rPr>
          <w:rFonts w:asciiTheme="majorBidi" w:hAnsiTheme="majorBidi" w:cstheme="majorBidi"/>
          <w:b w:val="0"/>
          <w:szCs w:val="24"/>
        </w:rPr>
        <w:t xml:space="preserve">boron </w:t>
      </w:r>
      <w:r w:rsidR="00031E55">
        <w:rPr>
          <w:rFonts w:asciiTheme="majorBidi" w:hAnsiTheme="majorBidi" w:cstheme="majorBidi"/>
          <w:b w:val="0"/>
          <w:szCs w:val="24"/>
        </w:rPr>
        <w:t>oxide and</w:t>
      </w:r>
      <w:r w:rsidR="00D41899" w:rsidRPr="000E2377">
        <w:rPr>
          <w:rFonts w:asciiTheme="majorBidi" w:hAnsiTheme="majorBidi" w:cstheme="majorBidi"/>
          <w:b w:val="0"/>
          <w:szCs w:val="24"/>
        </w:rPr>
        <w:t xml:space="preserve"> alumina </w:t>
      </w:r>
      <w:r w:rsidR="00031E55">
        <w:rPr>
          <w:rFonts w:asciiTheme="majorBidi" w:hAnsiTheme="majorBidi" w:cstheme="majorBidi"/>
          <w:b w:val="0"/>
          <w:szCs w:val="24"/>
        </w:rPr>
        <w:t>require charge balancing to form tetrahedral units and this gives rise to non-linear dependencies of properties on composition when these species are added to</w:t>
      </w:r>
      <w:r w:rsidR="00031E55" w:rsidRPr="000E2377">
        <w:rPr>
          <w:rFonts w:asciiTheme="majorBidi" w:hAnsiTheme="majorBidi" w:cstheme="majorBidi"/>
          <w:b w:val="0"/>
          <w:szCs w:val="24"/>
        </w:rPr>
        <w:t xml:space="preserve"> </w:t>
      </w:r>
      <w:r w:rsidR="00D41899" w:rsidRPr="000E2377">
        <w:rPr>
          <w:rFonts w:asciiTheme="majorBidi" w:hAnsiTheme="majorBidi" w:cstheme="majorBidi"/>
          <w:b w:val="0"/>
          <w:szCs w:val="24"/>
        </w:rPr>
        <w:t>silica</w:t>
      </w:r>
      <w:r w:rsidR="00031E55">
        <w:rPr>
          <w:rFonts w:asciiTheme="majorBidi" w:hAnsiTheme="majorBidi" w:cstheme="majorBidi"/>
          <w:b w:val="0"/>
          <w:szCs w:val="24"/>
        </w:rPr>
        <w:t>te</w:t>
      </w:r>
      <w:r w:rsidR="00D41899" w:rsidRPr="000E2377">
        <w:rPr>
          <w:rFonts w:asciiTheme="majorBidi" w:hAnsiTheme="majorBidi" w:cstheme="majorBidi"/>
          <w:b w:val="0"/>
          <w:szCs w:val="24"/>
        </w:rPr>
        <w:t xml:space="preserve"> glass</w:t>
      </w:r>
      <w:r w:rsidR="00031E55">
        <w:rPr>
          <w:rFonts w:asciiTheme="majorBidi" w:hAnsiTheme="majorBidi" w:cstheme="majorBidi"/>
          <w:b w:val="0"/>
          <w:szCs w:val="24"/>
        </w:rPr>
        <w:t xml:space="preserve">es. Only limited mechanical properties of </w:t>
      </w:r>
      <w:r w:rsidR="00BE5EC6">
        <w:rPr>
          <w:rFonts w:asciiTheme="majorBidi" w:hAnsiTheme="majorBidi" w:cstheme="majorBidi"/>
          <w:b w:val="0"/>
          <w:szCs w:val="24"/>
        </w:rPr>
        <w:t>boroaluminosilicate</w:t>
      </w:r>
      <w:r w:rsidR="00031E55">
        <w:rPr>
          <w:rFonts w:asciiTheme="majorBidi" w:hAnsiTheme="majorBidi" w:cstheme="majorBidi"/>
          <w:b w:val="0"/>
          <w:szCs w:val="24"/>
        </w:rPr>
        <w:t xml:space="preserve"> glasses have been reported in the literature. This thesis is therefore intended to investigate the relationships between mechanical properties and composition in </w:t>
      </w:r>
      <w:r w:rsidR="00BE5EC6">
        <w:rPr>
          <w:rFonts w:asciiTheme="majorBidi" w:hAnsiTheme="majorBidi" w:cstheme="majorBidi"/>
          <w:b w:val="0"/>
          <w:szCs w:val="24"/>
        </w:rPr>
        <w:t>boroaluminosilicate</w:t>
      </w:r>
      <w:r w:rsidR="00031E55">
        <w:rPr>
          <w:rFonts w:asciiTheme="majorBidi" w:hAnsiTheme="majorBidi" w:cstheme="majorBidi"/>
          <w:b w:val="0"/>
          <w:szCs w:val="24"/>
        </w:rPr>
        <w:t xml:space="preserve"> glasses in some detail. </w:t>
      </w:r>
      <w:r w:rsidR="00D41899" w:rsidRPr="000E2377">
        <w:rPr>
          <w:rFonts w:asciiTheme="majorBidi" w:hAnsiTheme="majorBidi" w:cstheme="majorBidi"/>
          <w:b w:val="0"/>
          <w:szCs w:val="24"/>
        </w:rPr>
        <w:t xml:space="preserve"> </w:t>
      </w:r>
    </w:p>
    <w:p w14:paraId="0898D9E6" w14:textId="6AEBFEAE" w:rsidR="004F3ABC" w:rsidRDefault="004F3ABC" w:rsidP="0064576E">
      <w:pPr>
        <w:spacing w:line="360" w:lineRule="auto"/>
        <w:jc w:val="both"/>
        <w:rPr>
          <w:rFonts w:asciiTheme="majorBidi" w:hAnsiTheme="majorBidi" w:cstheme="majorBidi"/>
          <w:b w:val="0"/>
          <w:szCs w:val="24"/>
        </w:rPr>
      </w:pPr>
    </w:p>
    <w:p w14:paraId="7A9646E7" w14:textId="722B091F" w:rsidR="004F3ABC" w:rsidRDefault="004F3ABC" w:rsidP="0064576E">
      <w:pPr>
        <w:spacing w:line="360" w:lineRule="auto"/>
        <w:jc w:val="both"/>
        <w:rPr>
          <w:rFonts w:asciiTheme="majorBidi" w:hAnsiTheme="majorBidi" w:cstheme="majorBidi"/>
          <w:b w:val="0"/>
          <w:szCs w:val="24"/>
        </w:rPr>
      </w:pPr>
    </w:p>
    <w:p w14:paraId="7809D82E" w14:textId="2CB74889" w:rsidR="004F3ABC" w:rsidRDefault="004F3ABC" w:rsidP="0064576E">
      <w:pPr>
        <w:spacing w:line="360" w:lineRule="auto"/>
        <w:jc w:val="both"/>
        <w:rPr>
          <w:rFonts w:asciiTheme="majorBidi" w:hAnsiTheme="majorBidi" w:cstheme="majorBidi"/>
          <w:b w:val="0"/>
          <w:szCs w:val="24"/>
        </w:rPr>
      </w:pPr>
    </w:p>
    <w:p w14:paraId="0E6671EF" w14:textId="0B2DA037" w:rsidR="004F3ABC" w:rsidRDefault="004F3ABC" w:rsidP="0064576E">
      <w:pPr>
        <w:spacing w:line="360" w:lineRule="auto"/>
        <w:jc w:val="both"/>
        <w:rPr>
          <w:rFonts w:asciiTheme="majorBidi" w:hAnsiTheme="majorBidi" w:cstheme="majorBidi"/>
          <w:b w:val="0"/>
          <w:szCs w:val="24"/>
        </w:rPr>
      </w:pPr>
    </w:p>
    <w:p w14:paraId="70680EE8" w14:textId="6310CB92" w:rsidR="004F3ABC" w:rsidRDefault="004F3ABC" w:rsidP="0064576E">
      <w:pPr>
        <w:spacing w:line="360" w:lineRule="auto"/>
        <w:jc w:val="both"/>
        <w:rPr>
          <w:rFonts w:asciiTheme="majorBidi" w:hAnsiTheme="majorBidi" w:cstheme="majorBidi"/>
          <w:b w:val="0"/>
          <w:szCs w:val="24"/>
        </w:rPr>
      </w:pPr>
    </w:p>
    <w:p w14:paraId="165E9275" w14:textId="452553FE" w:rsidR="004F3ABC" w:rsidRDefault="004F3ABC" w:rsidP="0064576E">
      <w:pPr>
        <w:spacing w:line="360" w:lineRule="auto"/>
        <w:jc w:val="both"/>
        <w:rPr>
          <w:rFonts w:asciiTheme="majorBidi" w:hAnsiTheme="majorBidi" w:cstheme="majorBidi"/>
          <w:b w:val="0"/>
          <w:szCs w:val="24"/>
        </w:rPr>
      </w:pPr>
    </w:p>
    <w:p w14:paraId="441407AC" w14:textId="0BB49D0B" w:rsidR="004F3ABC" w:rsidRDefault="004F3ABC" w:rsidP="0064576E">
      <w:pPr>
        <w:spacing w:line="360" w:lineRule="auto"/>
        <w:jc w:val="both"/>
        <w:rPr>
          <w:rFonts w:asciiTheme="majorBidi" w:hAnsiTheme="majorBidi" w:cstheme="majorBidi"/>
          <w:b w:val="0"/>
          <w:szCs w:val="24"/>
        </w:rPr>
      </w:pPr>
    </w:p>
    <w:p w14:paraId="2AF96C97" w14:textId="3DC79C2C" w:rsidR="00D740DC" w:rsidRDefault="00D740DC" w:rsidP="0064576E">
      <w:pPr>
        <w:spacing w:line="360" w:lineRule="auto"/>
        <w:jc w:val="both"/>
        <w:rPr>
          <w:rFonts w:asciiTheme="majorBidi" w:hAnsiTheme="majorBidi" w:cstheme="majorBidi"/>
          <w:b w:val="0"/>
          <w:szCs w:val="24"/>
        </w:rPr>
      </w:pPr>
    </w:p>
    <w:p w14:paraId="2DBF0A1E" w14:textId="14F3FB57" w:rsidR="00D740DC" w:rsidRDefault="00D740DC" w:rsidP="0064576E">
      <w:pPr>
        <w:spacing w:line="360" w:lineRule="auto"/>
        <w:jc w:val="both"/>
        <w:rPr>
          <w:rFonts w:asciiTheme="majorBidi" w:hAnsiTheme="majorBidi" w:cstheme="majorBidi"/>
          <w:b w:val="0"/>
          <w:szCs w:val="24"/>
        </w:rPr>
      </w:pPr>
    </w:p>
    <w:p w14:paraId="6EFDF54B" w14:textId="1FB84365" w:rsidR="00D740DC" w:rsidRDefault="00D740DC" w:rsidP="0064576E">
      <w:pPr>
        <w:spacing w:line="360" w:lineRule="auto"/>
        <w:jc w:val="both"/>
        <w:rPr>
          <w:rFonts w:asciiTheme="majorBidi" w:hAnsiTheme="majorBidi" w:cstheme="majorBidi"/>
          <w:b w:val="0"/>
          <w:szCs w:val="24"/>
        </w:rPr>
      </w:pPr>
    </w:p>
    <w:p w14:paraId="7AFE4AFC" w14:textId="088FA8D3" w:rsidR="00D740DC" w:rsidRDefault="00D740DC" w:rsidP="0064576E">
      <w:pPr>
        <w:spacing w:line="360" w:lineRule="auto"/>
        <w:jc w:val="both"/>
        <w:rPr>
          <w:rFonts w:asciiTheme="majorBidi" w:hAnsiTheme="majorBidi" w:cstheme="majorBidi"/>
          <w:b w:val="0"/>
          <w:szCs w:val="24"/>
        </w:rPr>
      </w:pPr>
    </w:p>
    <w:p w14:paraId="26563562" w14:textId="77777777" w:rsidR="00D740DC" w:rsidRPr="002B3766" w:rsidRDefault="00D740DC" w:rsidP="00D740DC">
      <w:pPr>
        <w:pStyle w:val="Heading1"/>
      </w:pPr>
      <w:bookmarkStart w:id="232" w:name="_Toc523402888"/>
      <w:bookmarkStart w:id="233" w:name="_Toc525526399"/>
      <w:bookmarkStart w:id="234" w:name="_Toc525707816"/>
      <w:bookmarkStart w:id="235" w:name="_Toc525742481"/>
      <w:bookmarkStart w:id="236" w:name="_Toc12994949"/>
      <w:r w:rsidRPr="002B3766">
        <w:lastRenderedPageBreak/>
        <w:t>CHAPTER 3</w:t>
      </w:r>
      <w:bookmarkEnd w:id="232"/>
      <w:bookmarkEnd w:id="233"/>
      <w:bookmarkEnd w:id="234"/>
      <w:bookmarkEnd w:id="235"/>
      <w:bookmarkEnd w:id="236"/>
    </w:p>
    <w:p w14:paraId="544AC379" w14:textId="77777777" w:rsidR="00D740DC" w:rsidRPr="000E2377" w:rsidRDefault="00D740DC" w:rsidP="00D740DC">
      <w:pPr>
        <w:keepNext/>
        <w:keepLines/>
        <w:spacing w:before="480" w:after="480" w:line="360" w:lineRule="auto"/>
        <w:jc w:val="center"/>
        <w:outlineLvl w:val="1"/>
        <w:rPr>
          <w:rFonts w:eastAsia="Calibri" w:cs="Times New Roman"/>
          <w:caps/>
          <w:color w:val="000000" w:themeColor="text1"/>
          <w:szCs w:val="24"/>
        </w:rPr>
      </w:pPr>
      <w:bookmarkStart w:id="237" w:name="_Toc515398716"/>
      <w:bookmarkStart w:id="238" w:name="_Toc523402889"/>
      <w:bookmarkStart w:id="239" w:name="_Toc525526400"/>
      <w:bookmarkStart w:id="240" w:name="_Toc525707817"/>
      <w:bookmarkStart w:id="241" w:name="_Toc525742482"/>
      <w:bookmarkStart w:id="242" w:name="_Toc12994950"/>
      <w:r w:rsidRPr="000E2377">
        <w:rPr>
          <w:rFonts w:eastAsia="Calibri" w:cs="Times New Roman"/>
          <w:caps/>
          <w:color w:val="000000" w:themeColor="text1"/>
          <w:szCs w:val="24"/>
        </w:rPr>
        <w:t>Methodology</w:t>
      </w:r>
      <w:bookmarkEnd w:id="237"/>
      <w:bookmarkEnd w:id="238"/>
      <w:bookmarkEnd w:id="239"/>
      <w:bookmarkEnd w:id="240"/>
      <w:bookmarkEnd w:id="241"/>
      <w:bookmarkEnd w:id="242"/>
    </w:p>
    <w:p w14:paraId="5339CEC0" w14:textId="77777777" w:rsidR="00D740DC" w:rsidRPr="000E2377" w:rsidRDefault="00D740DC" w:rsidP="00D740DC">
      <w:pPr>
        <w:keepNext/>
        <w:keepLines/>
        <w:spacing w:before="40" w:after="0" w:line="360" w:lineRule="auto"/>
        <w:jc w:val="both"/>
        <w:outlineLvl w:val="2"/>
        <w:rPr>
          <w:rFonts w:eastAsia="Calibri" w:cstheme="majorBidi"/>
          <w:iCs/>
          <w:color w:val="000000" w:themeColor="text1"/>
          <w:szCs w:val="24"/>
          <w:lang w:eastAsia="tr-TR"/>
        </w:rPr>
      </w:pPr>
      <w:bookmarkStart w:id="243" w:name="_Toc515398717"/>
      <w:bookmarkStart w:id="244" w:name="_Toc515398718"/>
      <w:bookmarkStart w:id="245" w:name="_Toc523402890"/>
      <w:bookmarkStart w:id="246" w:name="_Toc525526401"/>
      <w:bookmarkStart w:id="247" w:name="_Toc525707818"/>
      <w:bookmarkStart w:id="248" w:name="_Toc525742483"/>
      <w:bookmarkStart w:id="249" w:name="_Toc12994951"/>
      <w:bookmarkEnd w:id="243"/>
      <w:r w:rsidRPr="000E2377">
        <w:rPr>
          <w:rFonts w:eastAsia="Calibri" w:cstheme="majorBidi"/>
          <w:iCs/>
          <w:color w:val="000000" w:themeColor="text1"/>
          <w:szCs w:val="24"/>
          <w:lang w:eastAsia="tr-TR"/>
        </w:rPr>
        <w:t>3.1 Glass composition and design</w:t>
      </w:r>
      <w:bookmarkEnd w:id="244"/>
      <w:bookmarkEnd w:id="245"/>
      <w:bookmarkEnd w:id="246"/>
      <w:bookmarkEnd w:id="247"/>
      <w:bookmarkEnd w:id="248"/>
      <w:bookmarkEnd w:id="249"/>
    </w:p>
    <w:p w14:paraId="6BBD74C3" w14:textId="16821BB7" w:rsidR="00D740DC" w:rsidRPr="000E2377" w:rsidRDefault="00D740DC" w:rsidP="00D740DC">
      <w:pPr>
        <w:spacing w:line="360" w:lineRule="auto"/>
        <w:jc w:val="both"/>
        <w:rPr>
          <w:rFonts w:cs="Times New Roman"/>
          <w:b w:val="0"/>
          <w:szCs w:val="24"/>
        </w:rPr>
      </w:pPr>
      <w:r w:rsidRPr="000E2377">
        <w:rPr>
          <w:rFonts w:cs="Times New Roman"/>
          <w:b w:val="0"/>
          <w:szCs w:val="24"/>
        </w:rPr>
        <w:t xml:space="preserve">10 series of borosilicate glass compositions have been investigated to see the major effects of the three network formers in these glasses. The </w:t>
      </w:r>
      <w:r>
        <w:rPr>
          <w:rFonts w:cs="Times New Roman"/>
          <w:b w:val="0"/>
          <w:szCs w:val="24"/>
        </w:rPr>
        <w:t xml:space="preserve">first set of </w:t>
      </w:r>
      <w:r w:rsidRPr="000E2377">
        <w:rPr>
          <w:rFonts w:cs="Times New Roman"/>
          <w:b w:val="0"/>
          <w:szCs w:val="24"/>
        </w:rPr>
        <w:t xml:space="preserve">boroaluminosilicate glasses for this study were derived from a composition given by </w:t>
      </w:r>
      <w:r w:rsidRPr="000E2377">
        <w:rPr>
          <w:rFonts w:cs="Times New Roman"/>
          <w:b w:val="0"/>
          <w:szCs w:val="24"/>
        </w:rPr>
        <w:fldChar w:fldCharType="begin" w:fldLock="1"/>
      </w:r>
      <w:r w:rsidRPr="000E2377">
        <w:rPr>
          <w:rFonts w:cs="Times New Roman"/>
          <w:b w:val="0"/>
          <w:szCs w:val="24"/>
        </w:rPr>
        <w:instrText>ADDIN CSL_CITATION { "citationItems" : [ { "id" : "ITEM-1", "itemData" : { "author" : [ { "dropping-particle" : "", "family" : "Heath", "given" : "Paul G", "non-dropping-particle" : "", "parse-names" : false, "suffix" : "" }, { "dropping-particle" : "", "family" : "Stennett", "given" : "Martin C", "non-dropping-particle" : "", "parse-names" : false, "suffix" : "" }, { "dropping-particle" : "", "family" : "Mcgann", "given" : "Owen J", "non-dropping-particle" : "", "parse-names" : false, "suffix" : "" }, { "dropping-particle" : "", "family" : "Hand", "given" : "Russell J", "non-dropping-particle" : "", "parse-names" : false, "suffix" : "" }, { "dropping-particle" : "", "family" : "Hyatt", "given" : "Neil C", "non-dropping-particle" : "", "parse-names" : false, "suffix" : "" } ], "container-title" : "Materials Research Society Symposium Proceeding", "id" : "ITEM-1", "issued" : { "date-parts" : [ [ "2013" ] ] }, "page" : "1-5", "title" : "The Use of High Durability Alumino-Borosilicate Glass for the Encapsulation of High Temperature Reactor (HTR) Fuel", "type" : "article-journal", "volume" : "1518" }, "uris" : [ "http://www.mendeley.com/documents/?uuid=22a95d13-f4a7-405a-aaa0-4d0b91fc183b" ] } ], "mendeley" : { "formattedCitation" : "(Heath, Stennett, Mcgann, Hand, &amp; Hyatt, 2013)", "manualFormatting" : "Heath et al., (2013", "plainTextFormattedCitation" : "(Heath, Stennett, Mcgann, Hand, &amp; Hyatt, 2013)", "previouslyFormattedCitation" : "(Heath, Stennett, Mcgann, Hand, &amp; Hyatt, 2013)" }, "properties" : { "noteIndex" : 39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Heath et al., (2013</w:t>
      </w:r>
      <w:r w:rsidRPr="000E2377">
        <w:rPr>
          <w:rFonts w:cs="Times New Roman"/>
          <w:b w:val="0"/>
          <w:szCs w:val="24"/>
        </w:rPr>
        <w:fldChar w:fldCharType="end"/>
      </w:r>
      <w:r w:rsidRPr="000E2377">
        <w:rPr>
          <w:rFonts w:cs="Times New Roman"/>
          <w:b w:val="0"/>
          <w:szCs w:val="24"/>
        </w:rPr>
        <w:t>) i.e., 7.6 Na</w:t>
      </w:r>
      <w:r w:rsidRPr="000E2377">
        <w:rPr>
          <w:rFonts w:cs="Times New Roman"/>
          <w:b w:val="0"/>
          <w:szCs w:val="24"/>
          <w:vertAlign w:val="subscript"/>
        </w:rPr>
        <w:t>2</w:t>
      </w:r>
      <w:r w:rsidRPr="000E2377">
        <w:rPr>
          <w:rFonts w:cs="Times New Roman"/>
          <w:b w:val="0"/>
          <w:szCs w:val="24"/>
        </w:rPr>
        <w:t xml:space="preserve">O – 1.1 MgO – 3 </w:t>
      </w:r>
      <w:proofErr w:type="spellStart"/>
      <w:r w:rsidRPr="000E2377">
        <w:rPr>
          <w:rFonts w:cs="Times New Roman"/>
          <w:b w:val="0"/>
          <w:szCs w:val="24"/>
        </w:rPr>
        <w:t>CaO</w:t>
      </w:r>
      <w:proofErr w:type="spellEnd"/>
      <w:r w:rsidRPr="000E2377">
        <w:rPr>
          <w:rFonts w:cs="Times New Roman"/>
          <w:b w:val="0"/>
          <w:szCs w:val="24"/>
        </w:rPr>
        <w:t xml:space="preserve"> – 5.2 Al</w:t>
      </w:r>
      <w:r w:rsidRPr="000E2377">
        <w:rPr>
          <w:rFonts w:cs="Times New Roman"/>
          <w:b w:val="0"/>
          <w:szCs w:val="24"/>
          <w:vertAlign w:val="subscript"/>
        </w:rPr>
        <w:t>2</w:t>
      </w:r>
      <w:r w:rsidRPr="000E2377">
        <w:rPr>
          <w:rFonts w:cs="Times New Roman"/>
          <w:b w:val="0"/>
          <w:szCs w:val="24"/>
        </w:rPr>
        <w:t>O</w:t>
      </w:r>
      <w:r w:rsidRPr="000E2377">
        <w:rPr>
          <w:rFonts w:cs="Times New Roman"/>
          <w:b w:val="0"/>
          <w:szCs w:val="24"/>
          <w:vertAlign w:val="subscript"/>
        </w:rPr>
        <w:t>3</w:t>
      </w:r>
      <w:r w:rsidRPr="000E2377">
        <w:rPr>
          <w:rFonts w:cs="Times New Roman"/>
          <w:b w:val="0"/>
          <w:szCs w:val="24"/>
        </w:rPr>
        <w:t xml:space="preserve"> – 7.6 B</w:t>
      </w:r>
      <w:r w:rsidRPr="000E2377">
        <w:rPr>
          <w:rFonts w:cs="Times New Roman"/>
          <w:b w:val="0"/>
          <w:szCs w:val="24"/>
          <w:vertAlign w:val="subscript"/>
        </w:rPr>
        <w:t>2</w:t>
      </w:r>
      <w:r w:rsidRPr="000E2377">
        <w:rPr>
          <w:rFonts w:cs="Times New Roman"/>
          <w:b w:val="0"/>
          <w:szCs w:val="24"/>
        </w:rPr>
        <w:t>O –  75.5 SiO</w:t>
      </w:r>
      <w:r w:rsidRPr="000E2377">
        <w:rPr>
          <w:rFonts w:cs="Times New Roman"/>
          <w:b w:val="0"/>
          <w:szCs w:val="24"/>
          <w:vertAlign w:val="subscript"/>
        </w:rPr>
        <w:t>2</w:t>
      </w:r>
      <w:r w:rsidRPr="000E2377">
        <w:rPr>
          <w:rFonts w:cs="Times New Roman"/>
          <w:b w:val="0"/>
          <w:szCs w:val="24"/>
        </w:rPr>
        <w:t>.  The effect of alkaline earths was also examined by using two different alkaline earths in the composition</w:t>
      </w:r>
      <w:r w:rsidR="00040067">
        <w:rPr>
          <w:rFonts w:cs="Times New Roman"/>
          <w:b w:val="0"/>
          <w:szCs w:val="24"/>
        </w:rPr>
        <w:t>,</w:t>
      </w:r>
      <w:r w:rsidRPr="000E2377">
        <w:rPr>
          <w:rFonts w:cs="Times New Roman"/>
          <w:b w:val="0"/>
          <w:szCs w:val="24"/>
        </w:rPr>
        <w:t xml:space="preserve"> namely barium oxide and calcium oxide. The full details of the compositions are presented in Table 3.1. </w:t>
      </w:r>
    </w:p>
    <w:p w14:paraId="5E3554F3" w14:textId="5546A291" w:rsidR="00D740DC" w:rsidRDefault="00D740DC" w:rsidP="00D740DC">
      <w:pPr>
        <w:pStyle w:val="Caption"/>
        <w:spacing w:after="0"/>
        <w:rPr>
          <w:szCs w:val="24"/>
        </w:rPr>
      </w:pPr>
      <w:bookmarkStart w:id="250" w:name="_Toc521483064"/>
      <w:bookmarkStart w:id="251" w:name="_Toc525225325"/>
      <w:bookmarkStart w:id="252" w:name="_Toc525706421"/>
      <w:r w:rsidRPr="000E2377">
        <w:t xml:space="preserve">Table </w:t>
      </w:r>
      <w:r>
        <w:t>3</w:t>
      </w:r>
      <w:r w:rsidRPr="000E2377">
        <w:t>.</w:t>
      </w:r>
      <w:r w:rsidRPr="000E2377">
        <w:fldChar w:fldCharType="begin"/>
      </w:r>
      <w:r w:rsidRPr="000E2377">
        <w:instrText xml:space="preserve"> SEQ Table \* ARABIC \s 1 </w:instrText>
      </w:r>
      <w:r w:rsidRPr="000E2377">
        <w:fldChar w:fldCharType="separate"/>
      </w:r>
      <w:r w:rsidR="00C827AE">
        <w:rPr>
          <w:noProof/>
        </w:rPr>
        <w:t>1</w:t>
      </w:r>
      <w:r w:rsidRPr="000E2377">
        <w:fldChar w:fldCharType="end"/>
      </w:r>
      <w:r w:rsidRPr="000E2377">
        <w:rPr>
          <w:b w:val="0"/>
          <w:szCs w:val="24"/>
        </w:rPr>
        <w:t xml:space="preserve"> </w:t>
      </w:r>
      <w:r w:rsidRPr="000E2377">
        <w:rPr>
          <w:szCs w:val="24"/>
        </w:rPr>
        <w:t xml:space="preserve">Batched compositions of the </w:t>
      </w:r>
      <w:r>
        <w:rPr>
          <w:szCs w:val="24"/>
        </w:rPr>
        <w:t>boroaluminosilicate</w:t>
      </w:r>
      <w:r w:rsidRPr="000E2377">
        <w:rPr>
          <w:szCs w:val="24"/>
        </w:rPr>
        <w:t xml:space="preserve"> glasses studied</w:t>
      </w:r>
      <w:bookmarkStart w:id="253" w:name="_Hlk515393885"/>
      <w:bookmarkStart w:id="254" w:name="_Hlk517707880"/>
      <w:bookmarkEnd w:id="250"/>
      <w:r>
        <w:rPr>
          <w:szCs w:val="24"/>
        </w:rPr>
        <w:t>.</w:t>
      </w:r>
      <w:r w:rsidRPr="000E2377">
        <w:rPr>
          <w:szCs w:val="24"/>
        </w:rPr>
        <w:t xml:space="preserve"> (</w:t>
      </w:r>
      <w:r>
        <w:rPr>
          <w:i/>
          <w:szCs w:val="24"/>
        </w:rPr>
        <w:t>C</w:t>
      </w:r>
      <w:r w:rsidRPr="00AC7671">
        <w:rPr>
          <w:i/>
          <w:szCs w:val="24"/>
        </w:rPr>
        <w:t>ontinue</w:t>
      </w:r>
      <w:r>
        <w:rPr>
          <w:i/>
          <w:szCs w:val="24"/>
        </w:rPr>
        <w:t>d on</w:t>
      </w:r>
      <w:r w:rsidRPr="00AC7671">
        <w:rPr>
          <w:i/>
          <w:szCs w:val="24"/>
        </w:rPr>
        <w:t xml:space="preserve"> next page</w:t>
      </w:r>
      <w:r w:rsidRPr="000E2377">
        <w:rPr>
          <w:szCs w:val="24"/>
        </w:rPr>
        <w:t>)</w:t>
      </w:r>
      <w:bookmarkEnd w:id="251"/>
      <w:bookmarkEnd w:id="252"/>
    </w:p>
    <w:tbl>
      <w:tblPr>
        <w:tblW w:w="8640" w:type="dxa"/>
        <w:tblLook w:val="04A0" w:firstRow="1" w:lastRow="0" w:firstColumn="1" w:lastColumn="0" w:noHBand="0" w:noVBand="1"/>
      </w:tblPr>
      <w:tblGrid>
        <w:gridCol w:w="1950"/>
        <w:gridCol w:w="2069"/>
        <w:gridCol w:w="715"/>
        <w:gridCol w:w="709"/>
        <w:gridCol w:w="714"/>
        <w:gridCol w:w="714"/>
        <w:gridCol w:w="725"/>
        <w:gridCol w:w="702"/>
        <w:gridCol w:w="714"/>
      </w:tblGrid>
      <w:tr w:rsidR="00D740DC" w:rsidRPr="00865679" w14:paraId="68A62607" w14:textId="77777777" w:rsidTr="00B11F5F">
        <w:trPr>
          <w:trHeight w:val="315"/>
        </w:trPr>
        <w:tc>
          <w:tcPr>
            <w:tcW w:w="1764" w:type="dxa"/>
            <w:vMerge w:val="restart"/>
            <w:tcBorders>
              <w:top w:val="single" w:sz="8" w:space="0" w:color="auto"/>
              <w:left w:val="nil"/>
              <w:bottom w:val="single" w:sz="8" w:space="0" w:color="000000"/>
              <w:right w:val="nil"/>
            </w:tcBorders>
            <w:shd w:val="clear" w:color="auto" w:fill="auto"/>
            <w:noWrap/>
            <w:vAlign w:val="center"/>
            <w:hideMark/>
          </w:tcPr>
          <w:p w14:paraId="3F08CEB6"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Glass Series</w:t>
            </w:r>
          </w:p>
        </w:tc>
        <w:tc>
          <w:tcPr>
            <w:tcW w:w="1883" w:type="dxa"/>
            <w:vMerge w:val="restart"/>
            <w:tcBorders>
              <w:top w:val="single" w:sz="8" w:space="0" w:color="auto"/>
              <w:left w:val="nil"/>
              <w:bottom w:val="single" w:sz="8" w:space="0" w:color="000000"/>
              <w:right w:val="nil"/>
            </w:tcBorders>
            <w:shd w:val="clear" w:color="auto" w:fill="auto"/>
            <w:noWrap/>
            <w:vAlign w:val="center"/>
            <w:hideMark/>
          </w:tcPr>
          <w:p w14:paraId="4FEEED30"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Glass ID</w:t>
            </w:r>
          </w:p>
        </w:tc>
        <w:tc>
          <w:tcPr>
            <w:tcW w:w="4993" w:type="dxa"/>
            <w:gridSpan w:val="7"/>
            <w:tcBorders>
              <w:top w:val="single" w:sz="8" w:space="0" w:color="auto"/>
              <w:left w:val="nil"/>
              <w:bottom w:val="single" w:sz="8" w:space="0" w:color="auto"/>
              <w:right w:val="nil"/>
            </w:tcBorders>
            <w:shd w:val="clear" w:color="auto" w:fill="auto"/>
            <w:vAlign w:val="center"/>
            <w:hideMark/>
          </w:tcPr>
          <w:p w14:paraId="1C0E38CF" w14:textId="77777777" w:rsidR="00D740DC" w:rsidRPr="00865679" w:rsidRDefault="00D740DC" w:rsidP="00B11F5F">
            <w:pPr>
              <w:spacing w:after="0" w:line="240" w:lineRule="auto"/>
              <w:jc w:val="center"/>
              <w:rPr>
                <w:rFonts w:eastAsia="Times New Roman" w:cs="Times New Roman"/>
                <w:b w:val="0"/>
                <w:color w:val="000000"/>
                <w:sz w:val="16"/>
                <w:szCs w:val="16"/>
                <w:lang w:eastAsia="en-MY"/>
              </w:rPr>
            </w:pPr>
            <w:r w:rsidRPr="00865679">
              <w:rPr>
                <w:rFonts w:eastAsia="Times New Roman" w:cs="Times New Roman"/>
                <w:b w:val="0"/>
                <w:color w:val="000000"/>
                <w:sz w:val="16"/>
                <w:szCs w:val="16"/>
                <w:lang w:eastAsia="en-MY"/>
              </w:rPr>
              <w:t>Batched Composition (mol %)</w:t>
            </w:r>
          </w:p>
        </w:tc>
      </w:tr>
      <w:tr w:rsidR="00D740DC" w:rsidRPr="00865679" w14:paraId="20766F8C" w14:textId="77777777" w:rsidTr="00B11F5F">
        <w:trPr>
          <w:trHeight w:val="315"/>
        </w:trPr>
        <w:tc>
          <w:tcPr>
            <w:tcW w:w="1764" w:type="dxa"/>
            <w:vMerge/>
            <w:tcBorders>
              <w:top w:val="single" w:sz="8" w:space="0" w:color="auto"/>
              <w:left w:val="nil"/>
              <w:bottom w:val="single" w:sz="8" w:space="0" w:color="000000"/>
              <w:right w:val="nil"/>
            </w:tcBorders>
            <w:vAlign w:val="center"/>
            <w:hideMark/>
          </w:tcPr>
          <w:p w14:paraId="490DC9A9"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1883" w:type="dxa"/>
            <w:vMerge/>
            <w:tcBorders>
              <w:top w:val="single" w:sz="8" w:space="0" w:color="auto"/>
              <w:left w:val="nil"/>
              <w:bottom w:val="single" w:sz="8" w:space="0" w:color="000000"/>
              <w:right w:val="nil"/>
            </w:tcBorders>
            <w:vAlign w:val="center"/>
            <w:hideMark/>
          </w:tcPr>
          <w:p w14:paraId="30FE408C"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715" w:type="dxa"/>
            <w:tcBorders>
              <w:top w:val="nil"/>
              <w:left w:val="nil"/>
              <w:bottom w:val="single" w:sz="8" w:space="0" w:color="auto"/>
              <w:right w:val="nil"/>
            </w:tcBorders>
            <w:shd w:val="clear" w:color="auto" w:fill="auto"/>
            <w:vAlign w:val="center"/>
            <w:hideMark/>
          </w:tcPr>
          <w:p w14:paraId="24FF00C5" w14:textId="77777777" w:rsidR="00D740DC" w:rsidRPr="00865679" w:rsidRDefault="00D740DC" w:rsidP="00B11F5F">
            <w:pPr>
              <w:spacing w:after="0" w:line="240" w:lineRule="auto"/>
              <w:jc w:val="center"/>
              <w:rPr>
                <w:rFonts w:eastAsia="Times New Roman" w:cs="Times New Roman"/>
                <w:b w:val="0"/>
                <w:color w:val="000000"/>
                <w:sz w:val="16"/>
                <w:szCs w:val="16"/>
                <w:lang w:eastAsia="en-MY"/>
              </w:rPr>
            </w:pPr>
            <w:r w:rsidRPr="00865679">
              <w:rPr>
                <w:rFonts w:eastAsia="Times New Roman" w:cs="Times New Roman"/>
                <w:b w:val="0"/>
                <w:color w:val="000000"/>
                <w:sz w:val="16"/>
                <w:szCs w:val="16"/>
                <w:lang w:eastAsia="en-MY"/>
              </w:rPr>
              <w:t>Na</w:t>
            </w:r>
            <w:r w:rsidRPr="00865679">
              <w:rPr>
                <w:rFonts w:eastAsia="Times New Roman" w:cs="Times New Roman"/>
                <w:b w:val="0"/>
                <w:color w:val="000000"/>
                <w:sz w:val="16"/>
                <w:szCs w:val="16"/>
                <w:vertAlign w:val="subscript"/>
                <w:lang w:eastAsia="en-MY"/>
              </w:rPr>
              <w:t>2</w:t>
            </w:r>
            <w:r w:rsidRPr="00865679">
              <w:rPr>
                <w:rFonts w:eastAsia="Times New Roman" w:cs="Times New Roman"/>
                <w:b w:val="0"/>
                <w:color w:val="000000"/>
                <w:sz w:val="16"/>
                <w:szCs w:val="16"/>
                <w:lang w:eastAsia="en-MY"/>
              </w:rPr>
              <w:t>O</w:t>
            </w:r>
          </w:p>
        </w:tc>
        <w:tc>
          <w:tcPr>
            <w:tcW w:w="709" w:type="dxa"/>
            <w:tcBorders>
              <w:top w:val="nil"/>
              <w:left w:val="nil"/>
              <w:bottom w:val="single" w:sz="8" w:space="0" w:color="auto"/>
              <w:right w:val="nil"/>
            </w:tcBorders>
            <w:shd w:val="clear" w:color="auto" w:fill="auto"/>
            <w:vAlign w:val="center"/>
            <w:hideMark/>
          </w:tcPr>
          <w:p w14:paraId="65CD4B19" w14:textId="77777777" w:rsidR="00D740DC" w:rsidRPr="00865679" w:rsidRDefault="00D740DC" w:rsidP="00B11F5F">
            <w:pPr>
              <w:spacing w:after="0" w:line="240" w:lineRule="auto"/>
              <w:jc w:val="center"/>
              <w:rPr>
                <w:rFonts w:eastAsia="Times New Roman" w:cs="Times New Roman"/>
                <w:b w:val="0"/>
                <w:color w:val="000000"/>
                <w:sz w:val="16"/>
                <w:szCs w:val="16"/>
                <w:lang w:eastAsia="en-MY"/>
              </w:rPr>
            </w:pPr>
            <w:r w:rsidRPr="00865679">
              <w:rPr>
                <w:rFonts w:eastAsia="Times New Roman" w:cs="Times New Roman"/>
                <w:b w:val="0"/>
                <w:color w:val="000000"/>
                <w:sz w:val="16"/>
                <w:szCs w:val="16"/>
                <w:lang w:eastAsia="en-MY"/>
              </w:rPr>
              <w:t>MgO</w:t>
            </w:r>
          </w:p>
        </w:tc>
        <w:tc>
          <w:tcPr>
            <w:tcW w:w="714" w:type="dxa"/>
            <w:tcBorders>
              <w:top w:val="nil"/>
              <w:left w:val="nil"/>
              <w:bottom w:val="single" w:sz="8" w:space="0" w:color="auto"/>
              <w:right w:val="nil"/>
            </w:tcBorders>
            <w:shd w:val="clear" w:color="auto" w:fill="auto"/>
            <w:vAlign w:val="center"/>
            <w:hideMark/>
          </w:tcPr>
          <w:p w14:paraId="0FC6ED81" w14:textId="77777777" w:rsidR="00D740DC" w:rsidRPr="00865679" w:rsidRDefault="00D740DC" w:rsidP="00B11F5F">
            <w:pPr>
              <w:spacing w:after="0" w:line="240" w:lineRule="auto"/>
              <w:jc w:val="center"/>
              <w:rPr>
                <w:rFonts w:eastAsia="Times New Roman" w:cs="Times New Roman"/>
                <w:b w:val="0"/>
                <w:color w:val="000000"/>
                <w:sz w:val="16"/>
                <w:szCs w:val="16"/>
                <w:lang w:eastAsia="en-MY"/>
              </w:rPr>
            </w:pPr>
            <w:proofErr w:type="spellStart"/>
            <w:r w:rsidRPr="00865679">
              <w:rPr>
                <w:rFonts w:eastAsia="Times New Roman" w:cs="Times New Roman"/>
                <w:b w:val="0"/>
                <w:color w:val="000000"/>
                <w:sz w:val="16"/>
                <w:szCs w:val="16"/>
                <w:lang w:eastAsia="en-MY"/>
              </w:rPr>
              <w:t>CaO</w:t>
            </w:r>
            <w:proofErr w:type="spellEnd"/>
          </w:p>
        </w:tc>
        <w:tc>
          <w:tcPr>
            <w:tcW w:w="714" w:type="dxa"/>
            <w:tcBorders>
              <w:top w:val="nil"/>
              <w:left w:val="nil"/>
              <w:bottom w:val="single" w:sz="8" w:space="0" w:color="auto"/>
              <w:right w:val="nil"/>
            </w:tcBorders>
            <w:shd w:val="clear" w:color="auto" w:fill="auto"/>
            <w:vAlign w:val="center"/>
            <w:hideMark/>
          </w:tcPr>
          <w:p w14:paraId="5D922529" w14:textId="77777777" w:rsidR="00D740DC" w:rsidRPr="00865679" w:rsidRDefault="00D740DC" w:rsidP="00B11F5F">
            <w:pPr>
              <w:spacing w:after="0" w:line="240" w:lineRule="auto"/>
              <w:jc w:val="center"/>
              <w:rPr>
                <w:rFonts w:eastAsia="Times New Roman" w:cs="Times New Roman"/>
                <w:b w:val="0"/>
                <w:color w:val="000000"/>
                <w:sz w:val="16"/>
                <w:szCs w:val="16"/>
                <w:lang w:eastAsia="en-MY"/>
              </w:rPr>
            </w:pPr>
            <w:proofErr w:type="spellStart"/>
            <w:r w:rsidRPr="00865679">
              <w:rPr>
                <w:rFonts w:eastAsia="Times New Roman" w:cs="Times New Roman"/>
                <w:b w:val="0"/>
                <w:color w:val="000000"/>
                <w:sz w:val="16"/>
                <w:szCs w:val="16"/>
                <w:lang w:eastAsia="en-MY"/>
              </w:rPr>
              <w:t>BaO</w:t>
            </w:r>
            <w:proofErr w:type="spellEnd"/>
          </w:p>
        </w:tc>
        <w:tc>
          <w:tcPr>
            <w:tcW w:w="725" w:type="dxa"/>
            <w:tcBorders>
              <w:top w:val="nil"/>
              <w:left w:val="nil"/>
              <w:bottom w:val="single" w:sz="8" w:space="0" w:color="auto"/>
              <w:right w:val="nil"/>
            </w:tcBorders>
            <w:shd w:val="clear" w:color="auto" w:fill="auto"/>
            <w:vAlign w:val="center"/>
            <w:hideMark/>
          </w:tcPr>
          <w:p w14:paraId="4AA871AE" w14:textId="77777777" w:rsidR="00D740DC" w:rsidRPr="00865679" w:rsidRDefault="00D740DC" w:rsidP="00B11F5F">
            <w:pPr>
              <w:spacing w:after="0" w:line="240" w:lineRule="auto"/>
              <w:jc w:val="center"/>
              <w:rPr>
                <w:rFonts w:eastAsia="Times New Roman" w:cs="Times New Roman"/>
                <w:b w:val="0"/>
                <w:color w:val="000000"/>
                <w:sz w:val="16"/>
                <w:szCs w:val="16"/>
                <w:lang w:eastAsia="en-MY"/>
              </w:rPr>
            </w:pPr>
            <w:r w:rsidRPr="00865679">
              <w:rPr>
                <w:rFonts w:eastAsia="Times New Roman" w:cs="Times New Roman"/>
                <w:b w:val="0"/>
                <w:color w:val="000000"/>
                <w:sz w:val="16"/>
                <w:szCs w:val="16"/>
                <w:lang w:eastAsia="en-MY"/>
              </w:rPr>
              <w:t>Al</w:t>
            </w:r>
            <w:r w:rsidRPr="00865679">
              <w:rPr>
                <w:rFonts w:eastAsia="Times New Roman" w:cs="Times New Roman"/>
                <w:b w:val="0"/>
                <w:color w:val="000000"/>
                <w:sz w:val="16"/>
                <w:szCs w:val="16"/>
                <w:vertAlign w:val="subscript"/>
                <w:lang w:eastAsia="en-MY"/>
              </w:rPr>
              <w:t>2</w:t>
            </w:r>
            <w:r w:rsidRPr="00865679">
              <w:rPr>
                <w:rFonts w:eastAsia="Times New Roman" w:cs="Times New Roman"/>
                <w:b w:val="0"/>
                <w:color w:val="000000"/>
                <w:sz w:val="16"/>
                <w:szCs w:val="16"/>
                <w:lang w:eastAsia="en-MY"/>
              </w:rPr>
              <w:t>O</w:t>
            </w:r>
            <w:r w:rsidRPr="00865679">
              <w:rPr>
                <w:rFonts w:eastAsia="Times New Roman" w:cs="Times New Roman"/>
                <w:b w:val="0"/>
                <w:color w:val="000000"/>
                <w:sz w:val="16"/>
                <w:szCs w:val="16"/>
                <w:vertAlign w:val="subscript"/>
                <w:lang w:eastAsia="en-MY"/>
              </w:rPr>
              <w:t>3</w:t>
            </w:r>
          </w:p>
        </w:tc>
        <w:tc>
          <w:tcPr>
            <w:tcW w:w="702" w:type="dxa"/>
            <w:tcBorders>
              <w:top w:val="nil"/>
              <w:left w:val="nil"/>
              <w:bottom w:val="single" w:sz="8" w:space="0" w:color="auto"/>
              <w:right w:val="nil"/>
            </w:tcBorders>
            <w:shd w:val="clear" w:color="auto" w:fill="auto"/>
            <w:vAlign w:val="center"/>
            <w:hideMark/>
          </w:tcPr>
          <w:p w14:paraId="3B1E0D9B" w14:textId="77777777" w:rsidR="00D740DC" w:rsidRPr="00865679" w:rsidRDefault="00D740DC" w:rsidP="00B11F5F">
            <w:pPr>
              <w:spacing w:after="0" w:line="240" w:lineRule="auto"/>
              <w:jc w:val="center"/>
              <w:rPr>
                <w:rFonts w:eastAsia="Times New Roman" w:cs="Times New Roman"/>
                <w:b w:val="0"/>
                <w:color w:val="000000"/>
                <w:sz w:val="16"/>
                <w:szCs w:val="16"/>
                <w:lang w:eastAsia="en-MY"/>
              </w:rPr>
            </w:pPr>
            <w:r w:rsidRPr="00865679">
              <w:rPr>
                <w:rFonts w:eastAsia="Times New Roman" w:cs="Times New Roman"/>
                <w:b w:val="0"/>
                <w:color w:val="000000"/>
                <w:sz w:val="16"/>
                <w:szCs w:val="16"/>
                <w:lang w:eastAsia="en-MY"/>
              </w:rPr>
              <w:t>B</w:t>
            </w:r>
            <w:r w:rsidRPr="00865679">
              <w:rPr>
                <w:rFonts w:eastAsia="Times New Roman" w:cs="Times New Roman"/>
                <w:b w:val="0"/>
                <w:color w:val="000000"/>
                <w:sz w:val="16"/>
                <w:szCs w:val="16"/>
                <w:vertAlign w:val="subscript"/>
                <w:lang w:eastAsia="en-MY"/>
              </w:rPr>
              <w:t>2</w:t>
            </w:r>
            <w:r w:rsidRPr="00865679">
              <w:rPr>
                <w:rFonts w:eastAsia="Times New Roman" w:cs="Times New Roman"/>
                <w:b w:val="0"/>
                <w:color w:val="000000"/>
                <w:sz w:val="16"/>
                <w:szCs w:val="16"/>
                <w:lang w:eastAsia="en-MY"/>
              </w:rPr>
              <w:t>O</w:t>
            </w:r>
            <w:r w:rsidRPr="00865679">
              <w:rPr>
                <w:rFonts w:eastAsia="Times New Roman" w:cs="Times New Roman"/>
                <w:b w:val="0"/>
                <w:color w:val="000000"/>
                <w:sz w:val="16"/>
                <w:szCs w:val="16"/>
                <w:vertAlign w:val="subscript"/>
                <w:lang w:eastAsia="en-MY"/>
              </w:rPr>
              <w:t>3</w:t>
            </w:r>
          </w:p>
        </w:tc>
        <w:tc>
          <w:tcPr>
            <w:tcW w:w="714" w:type="dxa"/>
            <w:tcBorders>
              <w:top w:val="nil"/>
              <w:left w:val="nil"/>
              <w:bottom w:val="single" w:sz="8" w:space="0" w:color="auto"/>
              <w:right w:val="nil"/>
            </w:tcBorders>
            <w:shd w:val="clear" w:color="auto" w:fill="auto"/>
            <w:vAlign w:val="center"/>
            <w:hideMark/>
          </w:tcPr>
          <w:p w14:paraId="0AFCD4A5" w14:textId="77777777" w:rsidR="00D740DC" w:rsidRPr="00865679" w:rsidRDefault="00D740DC" w:rsidP="00B11F5F">
            <w:pPr>
              <w:spacing w:after="0" w:line="240" w:lineRule="auto"/>
              <w:jc w:val="center"/>
              <w:rPr>
                <w:rFonts w:eastAsia="Times New Roman" w:cs="Times New Roman"/>
                <w:b w:val="0"/>
                <w:color w:val="000000"/>
                <w:sz w:val="16"/>
                <w:szCs w:val="16"/>
                <w:lang w:eastAsia="en-MY"/>
              </w:rPr>
            </w:pPr>
            <w:r w:rsidRPr="00865679">
              <w:rPr>
                <w:rFonts w:eastAsia="Times New Roman" w:cs="Times New Roman"/>
                <w:b w:val="0"/>
                <w:color w:val="000000"/>
                <w:sz w:val="16"/>
                <w:szCs w:val="16"/>
                <w:lang w:eastAsia="en-MY"/>
              </w:rPr>
              <w:t>SiO</w:t>
            </w:r>
            <w:r w:rsidRPr="00865679">
              <w:rPr>
                <w:rFonts w:eastAsia="Times New Roman" w:cs="Times New Roman"/>
                <w:b w:val="0"/>
                <w:color w:val="000000"/>
                <w:sz w:val="16"/>
                <w:szCs w:val="16"/>
                <w:vertAlign w:val="subscript"/>
                <w:lang w:eastAsia="en-MY"/>
              </w:rPr>
              <w:t>2</w:t>
            </w:r>
          </w:p>
        </w:tc>
      </w:tr>
      <w:tr w:rsidR="00D740DC" w:rsidRPr="00865679" w14:paraId="1B64AF93" w14:textId="77777777" w:rsidTr="00B11F5F">
        <w:trPr>
          <w:trHeight w:val="383"/>
        </w:trPr>
        <w:tc>
          <w:tcPr>
            <w:tcW w:w="1764" w:type="dxa"/>
            <w:vMerge w:val="restart"/>
            <w:tcBorders>
              <w:top w:val="nil"/>
              <w:left w:val="nil"/>
              <w:bottom w:val="single" w:sz="8" w:space="0" w:color="000000"/>
              <w:right w:val="nil"/>
            </w:tcBorders>
            <w:shd w:val="clear" w:color="auto" w:fill="auto"/>
            <w:vAlign w:val="center"/>
            <w:hideMark/>
          </w:tcPr>
          <w:p w14:paraId="7AA20AC6"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M</w:t>
            </w:r>
            <w:r w:rsidRPr="00865679">
              <w:rPr>
                <w:rFonts w:eastAsia="Times New Roman" w:cs="Times New Roman"/>
                <w:b w:val="0"/>
                <w:color w:val="000000"/>
                <w:sz w:val="20"/>
                <w:szCs w:val="20"/>
                <w:vertAlign w:val="subscript"/>
                <w:lang w:eastAsia="en-MY"/>
              </w:rPr>
              <w:t>1.1</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3</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x</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80.7-x</w:t>
            </w:r>
            <w:r w:rsidRPr="00865679">
              <w:rPr>
                <w:rFonts w:eastAsia="Times New Roman" w:cs="Times New Roman"/>
                <w:b w:val="0"/>
                <w:color w:val="000000"/>
                <w:sz w:val="20"/>
                <w:szCs w:val="20"/>
                <w:lang w:eastAsia="en-MY"/>
              </w:rPr>
              <w:t xml:space="preserve"> </w:t>
            </w:r>
          </w:p>
        </w:tc>
        <w:tc>
          <w:tcPr>
            <w:tcW w:w="1883" w:type="dxa"/>
            <w:tcBorders>
              <w:top w:val="nil"/>
              <w:left w:val="nil"/>
              <w:bottom w:val="nil"/>
              <w:right w:val="nil"/>
            </w:tcBorders>
            <w:shd w:val="clear" w:color="auto" w:fill="auto"/>
            <w:vAlign w:val="center"/>
            <w:hideMark/>
          </w:tcPr>
          <w:p w14:paraId="3584419F"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M</w:t>
            </w:r>
            <w:r w:rsidRPr="00865679">
              <w:rPr>
                <w:rFonts w:eastAsia="Times New Roman" w:cs="Times New Roman"/>
                <w:b w:val="0"/>
                <w:color w:val="000000"/>
                <w:sz w:val="20"/>
                <w:szCs w:val="20"/>
                <w:vertAlign w:val="subscript"/>
                <w:lang w:eastAsia="en-MY"/>
              </w:rPr>
              <w:t>1.1</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3</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1</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79.7</w:t>
            </w:r>
          </w:p>
        </w:tc>
        <w:tc>
          <w:tcPr>
            <w:tcW w:w="715" w:type="dxa"/>
            <w:tcBorders>
              <w:top w:val="nil"/>
              <w:left w:val="nil"/>
              <w:bottom w:val="nil"/>
              <w:right w:val="nil"/>
            </w:tcBorders>
            <w:shd w:val="clear" w:color="auto" w:fill="auto"/>
            <w:noWrap/>
            <w:vAlign w:val="center"/>
            <w:hideMark/>
          </w:tcPr>
          <w:p w14:paraId="2DD6359F"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09" w:type="dxa"/>
            <w:tcBorders>
              <w:top w:val="nil"/>
              <w:left w:val="nil"/>
              <w:bottom w:val="nil"/>
              <w:right w:val="nil"/>
            </w:tcBorders>
            <w:shd w:val="clear" w:color="auto" w:fill="auto"/>
            <w:noWrap/>
            <w:vAlign w:val="center"/>
            <w:hideMark/>
          </w:tcPr>
          <w:p w14:paraId="0DD3EBD5"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1.1</w:t>
            </w:r>
          </w:p>
        </w:tc>
        <w:tc>
          <w:tcPr>
            <w:tcW w:w="714" w:type="dxa"/>
            <w:tcBorders>
              <w:top w:val="nil"/>
              <w:left w:val="nil"/>
              <w:bottom w:val="nil"/>
              <w:right w:val="nil"/>
            </w:tcBorders>
            <w:shd w:val="clear" w:color="auto" w:fill="auto"/>
            <w:noWrap/>
            <w:vAlign w:val="center"/>
            <w:hideMark/>
          </w:tcPr>
          <w:p w14:paraId="160B0068"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3</w:t>
            </w:r>
          </w:p>
        </w:tc>
        <w:tc>
          <w:tcPr>
            <w:tcW w:w="714" w:type="dxa"/>
            <w:tcBorders>
              <w:top w:val="nil"/>
              <w:left w:val="nil"/>
              <w:bottom w:val="nil"/>
              <w:right w:val="nil"/>
            </w:tcBorders>
            <w:shd w:val="clear" w:color="auto" w:fill="auto"/>
            <w:noWrap/>
            <w:vAlign w:val="center"/>
            <w:hideMark/>
          </w:tcPr>
          <w:p w14:paraId="3F1B47D5"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nil"/>
              <w:right w:val="nil"/>
            </w:tcBorders>
            <w:shd w:val="clear" w:color="auto" w:fill="auto"/>
            <w:noWrap/>
            <w:vAlign w:val="center"/>
            <w:hideMark/>
          </w:tcPr>
          <w:p w14:paraId="149F9D1C"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w:t>
            </w:r>
          </w:p>
        </w:tc>
        <w:tc>
          <w:tcPr>
            <w:tcW w:w="702" w:type="dxa"/>
            <w:tcBorders>
              <w:top w:val="nil"/>
              <w:left w:val="nil"/>
              <w:bottom w:val="nil"/>
              <w:right w:val="nil"/>
            </w:tcBorders>
            <w:shd w:val="clear" w:color="auto" w:fill="auto"/>
            <w:noWrap/>
            <w:vAlign w:val="center"/>
            <w:hideMark/>
          </w:tcPr>
          <w:p w14:paraId="4A5AEFC5"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14" w:type="dxa"/>
            <w:tcBorders>
              <w:top w:val="nil"/>
              <w:left w:val="nil"/>
              <w:bottom w:val="nil"/>
              <w:right w:val="nil"/>
            </w:tcBorders>
            <w:shd w:val="clear" w:color="auto" w:fill="auto"/>
            <w:noWrap/>
            <w:vAlign w:val="center"/>
            <w:hideMark/>
          </w:tcPr>
          <w:p w14:paraId="1DAD460A"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79.7</w:t>
            </w:r>
          </w:p>
        </w:tc>
      </w:tr>
      <w:tr w:rsidR="00D740DC" w:rsidRPr="00865679" w14:paraId="170E0B88" w14:textId="77777777" w:rsidTr="00B11F5F">
        <w:trPr>
          <w:trHeight w:val="275"/>
        </w:trPr>
        <w:tc>
          <w:tcPr>
            <w:tcW w:w="1764" w:type="dxa"/>
            <w:vMerge/>
            <w:tcBorders>
              <w:top w:val="nil"/>
              <w:left w:val="nil"/>
              <w:bottom w:val="single" w:sz="8" w:space="0" w:color="000000"/>
              <w:right w:val="nil"/>
            </w:tcBorders>
            <w:vAlign w:val="center"/>
            <w:hideMark/>
          </w:tcPr>
          <w:p w14:paraId="00B047E3"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1883" w:type="dxa"/>
            <w:tcBorders>
              <w:top w:val="nil"/>
              <w:left w:val="nil"/>
              <w:bottom w:val="nil"/>
              <w:right w:val="nil"/>
            </w:tcBorders>
            <w:shd w:val="clear" w:color="auto" w:fill="auto"/>
            <w:vAlign w:val="center"/>
            <w:hideMark/>
          </w:tcPr>
          <w:p w14:paraId="05C28CC3"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M</w:t>
            </w:r>
            <w:r w:rsidRPr="00865679">
              <w:rPr>
                <w:rFonts w:eastAsia="Times New Roman" w:cs="Times New Roman"/>
                <w:b w:val="0"/>
                <w:color w:val="000000"/>
                <w:sz w:val="20"/>
                <w:szCs w:val="20"/>
                <w:vertAlign w:val="subscript"/>
                <w:lang w:eastAsia="en-MY"/>
              </w:rPr>
              <w:t>1.1</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3</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2.5</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78.2</w:t>
            </w:r>
            <w:r w:rsidRPr="00865679">
              <w:rPr>
                <w:rFonts w:eastAsia="Times New Roman" w:cs="Times New Roman"/>
                <w:b w:val="0"/>
                <w:color w:val="000000"/>
                <w:sz w:val="20"/>
                <w:szCs w:val="20"/>
                <w:lang w:eastAsia="en-MY"/>
              </w:rPr>
              <w:t xml:space="preserve"> </w:t>
            </w:r>
          </w:p>
        </w:tc>
        <w:tc>
          <w:tcPr>
            <w:tcW w:w="715" w:type="dxa"/>
            <w:tcBorders>
              <w:top w:val="nil"/>
              <w:left w:val="nil"/>
              <w:bottom w:val="nil"/>
              <w:right w:val="nil"/>
            </w:tcBorders>
            <w:shd w:val="clear" w:color="auto" w:fill="auto"/>
            <w:noWrap/>
            <w:vAlign w:val="center"/>
            <w:hideMark/>
          </w:tcPr>
          <w:p w14:paraId="139EB849"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09" w:type="dxa"/>
            <w:tcBorders>
              <w:top w:val="nil"/>
              <w:left w:val="nil"/>
              <w:bottom w:val="nil"/>
              <w:right w:val="nil"/>
            </w:tcBorders>
            <w:shd w:val="clear" w:color="auto" w:fill="auto"/>
            <w:noWrap/>
            <w:vAlign w:val="center"/>
            <w:hideMark/>
          </w:tcPr>
          <w:p w14:paraId="4B108445"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1.1</w:t>
            </w:r>
          </w:p>
        </w:tc>
        <w:tc>
          <w:tcPr>
            <w:tcW w:w="714" w:type="dxa"/>
            <w:tcBorders>
              <w:top w:val="nil"/>
              <w:left w:val="nil"/>
              <w:bottom w:val="nil"/>
              <w:right w:val="nil"/>
            </w:tcBorders>
            <w:shd w:val="clear" w:color="auto" w:fill="auto"/>
            <w:noWrap/>
            <w:vAlign w:val="center"/>
            <w:hideMark/>
          </w:tcPr>
          <w:p w14:paraId="53AF2B08"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3</w:t>
            </w:r>
          </w:p>
        </w:tc>
        <w:tc>
          <w:tcPr>
            <w:tcW w:w="714" w:type="dxa"/>
            <w:tcBorders>
              <w:top w:val="nil"/>
              <w:left w:val="nil"/>
              <w:bottom w:val="nil"/>
              <w:right w:val="nil"/>
            </w:tcBorders>
            <w:shd w:val="clear" w:color="auto" w:fill="auto"/>
            <w:noWrap/>
            <w:vAlign w:val="center"/>
            <w:hideMark/>
          </w:tcPr>
          <w:p w14:paraId="0212A767"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nil"/>
              <w:right w:val="nil"/>
            </w:tcBorders>
            <w:shd w:val="clear" w:color="auto" w:fill="auto"/>
            <w:noWrap/>
            <w:vAlign w:val="center"/>
            <w:hideMark/>
          </w:tcPr>
          <w:p w14:paraId="20ACD790"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2.5</w:t>
            </w:r>
          </w:p>
        </w:tc>
        <w:tc>
          <w:tcPr>
            <w:tcW w:w="702" w:type="dxa"/>
            <w:tcBorders>
              <w:top w:val="nil"/>
              <w:left w:val="nil"/>
              <w:bottom w:val="nil"/>
              <w:right w:val="nil"/>
            </w:tcBorders>
            <w:shd w:val="clear" w:color="auto" w:fill="auto"/>
            <w:noWrap/>
            <w:vAlign w:val="center"/>
            <w:hideMark/>
          </w:tcPr>
          <w:p w14:paraId="21D66B2F"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14" w:type="dxa"/>
            <w:tcBorders>
              <w:top w:val="nil"/>
              <w:left w:val="nil"/>
              <w:bottom w:val="nil"/>
              <w:right w:val="nil"/>
            </w:tcBorders>
            <w:shd w:val="clear" w:color="auto" w:fill="auto"/>
            <w:noWrap/>
            <w:vAlign w:val="center"/>
            <w:hideMark/>
          </w:tcPr>
          <w:p w14:paraId="39DAB993"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78.2</w:t>
            </w:r>
          </w:p>
        </w:tc>
      </w:tr>
      <w:tr w:rsidR="00D740DC" w:rsidRPr="00865679" w14:paraId="58412CDE" w14:textId="77777777" w:rsidTr="00B11F5F">
        <w:trPr>
          <w:trHeight w:val="264"/>
        </w:trPr>
        <w:tc>
          <w:tcPr>
            <w:tcW w:w="1764" w:type="dxa"/>
            <w:vMerge/>
            <w:tcBorders>
              <w:top w:val="nil"/>
              <w:left w:val="nil"/>
              <w:bottom w:val="single" w:sz="8" w:space="0" w:color="000000"/>
              <w:right w:val="nil"/>
            </w:tcBorders>
            <w:vAlign w:val="center"/>
            <w:hideMark/>
          </w:tcPr>
          <w:p w14:paraId="10DD0CB1"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1883" w:type="dxa"/>
            <w:tcBorders>
              <w:top w:val="nil"/>
              <w:left w:val="nil"/>
              <w:bottom w:val="nil"/>
              <w:right w:val="nil"/>
            </w:tcBorders>
            <w:shd w:val="clear" w:color="auto" w:fill="auto"/>
            <w:vAlign w:val="center"/>
            <w:hideMark/>
          </w:tcPr>
          <w:p w14:paraId="0B3CA331"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M</w:t>
            </w:r>
            <w:r w:rsidRPr="00865679">
              <w:rPr>
                <w:rFonts w:eastAsia="Times New Roman" w:cs="Times New Roman"/>
                <w:b w:val="0"/>
                <w:color w:val="000000"/>
                <w:sz w:val="20"/>
                <w:szCs w:val="20"/>
                <w:vertAlign w:val="subscript"/>
                <w:lang w:eastAsia="en-MY"/>
              </w:rPr>
              <w:t>1.1</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3</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5</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75.7</w:t>
            </w:r>
            <w:r w:rsidRPr="00865679">
              <w:rPr>
                <w:rFonts w:eastAsia="Times New Roman" w:cs="Times New Roman"/>
                <w:b w:val="0"/>
                <w:color w:val="000000"/>
                <w:sz w:val="20"/>
                <w:szCs w:val="20"/>
                <w:lang w:eastAsia="en-MY"/>
              </w:rPr>
              <w:t xml:space="preserve"> </w:t>
            </w:r>
          </w:p>
        </w:tc>
        <w:tc>
          <w:tcPr>
            <w:tcW w:w="715" w:type="dxa"/>
            <w:tcBorders>
              <w:top w:val="nil"/>
              <w:left w:val="nil"/>
              <w:bottom w:val="nil"/>
              <w:right w:val="nil"/>
            </w:tcBorders>
            <w:shd w:val="clear" w:color="auto" w:fill="auto"/>
            <w:noWrap/>
            <w:vAlign w:val="center"/>
            <w:hideMark/>
          </w:tcPr>
          <w:p w14:paraId="304D4DD1"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09" w:type="dxa"/>
            <w:tcBorders>
              <w:top w:val="nil"/>
              <w:left w:val="nil"/>
              <w:bottom w:val="nil"/>
              <w:right w:val="nil"/>
            </w:tcBorders>
            <w:shd w:val="clear" w:color="auto" w:fill="auto"/>
            <w:noWrap/>
            <w:vAlign w:val="center"/>
            <w:hideMark/>
          </w:tcPr>
          <w:p w14:paraId="20AF1B8D"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1.1</w:t>
            </w:r>
          </w:p>
        </w:tc>
        <w:tc>
          <w:tcPr>
            <w:tcW w:w="714" w:type="dxa"/>
            <w:tcBorders>
              <w:top w:val="nil"/>
              <w:left w:val="nil"/>
              <w:bottom w:val="nil"/>
              <w:right w:val="nil"/>
            </w:tcBorders>
            <w:shd w:val="clear" w:color="auto" w:fill="auto"/>
            <w:noWrap/>
            <w:vAlign w:val="center"/>
            <w:hideMark/>
          </w:tcPr>
          <w:p w14:paraId="78C0B4C7"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3</w:t>
            </w:r>
          </w:p>
        </w:tc>
        <w:tc>
          <w:tcPr>
            <w:tcW w:w="714" w:type="dxa"/>
            <w:tcBorders>
              <w:top w:val="nil"/>
              <w:left w:val="nil"/>
              <w:bottom w:val="nil"/>
              <w:right w:val="nil"/>
            </w:tcBorders>
            <w:shd w:val="clear" w:color="auto" w:fill="auto"/>
            <w:noWrap/>
            <w:vAlign w:val="center"/>
            <w:hideMark/>
          </w:tcPr>
          <w:p w14:paraId="13E43E37"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nil"/>
              <w:right w:val="nil"/>
            </w:tcBorders>
            <w:shd w:val="clear" w:color="auto" w:fill="auto"/>
            <w:noWrap/>
            <w:vAlign w:val="center"/>
            <w:hideMark/>
          </w:tcPr>
          <w:p w14:paraId="36338AA4"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5</w:t>
            </w:r>
          </w:p>
        </w:tc>
        <w:tc>
          <w:tcPr>
            <w:tcW w:w="702" w:type="dxa"/>
            <w:tcBorders>
              <w:top w:val="nil"/>
              <w:left w:val="nil"/>
              <w:bottom w:val="nil"/>
              <w:right w:val="nil"/>
            </w:tcBorders>
            <w:shd w:val="clear" w:color="auto" w:fill="auto"/>
            <w:noWrap/>
            <w:vAlign w:val="center"/>
            <w:hideMark/>
          </w:tcPr>
          <w:p w14:paraId="725A7411"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14" w:type="dxa"/>
            <w:tcBorders>
              <w:top w:val="nil"/>
              <w:left w:val="nil"/>
              <w:bottom w:val="nil"/>
              <w:right w:val="nil"/>
            </w:tcBorders>
            <w:shd w:val="clear" w:color="auto" w:fill="auto"/>
            <w:noWrap/>
            <w:vAlign w:val="center"/>
            <w:hideMark/>
          </w:tcPr>
          <w:p w14:paraId="13239CC0"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75.7</w:t>
            </w:r>
          </w:p>
        </w:tc>
      </w:tr>
      <w:tr w:rsidR="00D740DC" w:rsidRPr="00865679" w14:paraId="14971FC2" w14:textId="77777777" w:rsidTr="00B11F5F">
        <w:trPr>
          <w:trHeight w:val="257"/>
        </w:trPr>
        <w:tc>
          <w:tcPr>
            <w:tcW w:w="1764" w:type="dxa"/>
            <w:vMerge/>
            <w:tcBorders>
              <w:top w:val="nil"/>
              <w:left w:val="nil"/>
              <w:bottom w:val="single" w:sz="8" w:space="0" w:color="000000"/>
              <w:right w:val="nil"/>
            </w:tcBorders>
            <w:vAlign w:val="center"/>
            <w:hideMark/>
          </w:tcPr>
          <w:p w14:paraId="5763268D"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1883" w:type="dxa"/>
            <w:tcBorders>
              <w:top w:val="nil"/>
              <w:left w:val="nil"/>
              <w:bottom w:val="nil"/>
              <w:right w:val="nil"/>
            </w:tcBorders>
            <w:shd w:val="clear" w:color="auto" w:fill="auto"/>
            <w:vAlign w:val="center"/>
            <w:hideMark/>
          </w:tcPr>
          <w:p w14:paraId="11CACA44"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M</w:t>
            </w:r>
            <w:r w:rsidRPr="00865679">
              <w:rPr>
                <w:rFonts w:eastAsia="Times New Roman" w:cs="Times New Roman"/>
                <w:b w:val="0"/>
                <w:color w:val="000000"/>
                <w:sz w:val="20"/>
                <w:szCs w:val="20"/>
                <w:vertAlign w:val="subscript"/>
                <w:lang w:eastAsia="en-MY"/>
              </w:rPr>
              <w:t>1.1</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3</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5.2</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75.5</w:t>
            </w:r>
          </w:p>
        </w:tc>
        <w:tc>
          <w:tcPr>
            <w:tcW w:w="715" w:type="dxa"/>
            <w:tcBorders>
              <w:top w:val="nil"/>
              <w:left w:val="nil"/>
              <w:bottom w:val="nil"/>
              <w:right w:val="nil"/>
            </w:tcBorders>
            <w:shd w:val="clear" w:color="auto" w:fill="auto"/>
            <w:noWrap/>
            <w:vAlign w:val="center"/>
            <w:hideMark/>
          </w:tcPr>
          <w:p w14:paraId="2BBE3A6B"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09" w:type="dxa"/>
            <w:tcBorders>
              <w:top w:val="nil"/>
              <w:left w:val="nil"/>
              <w:bottom w:val="nil"/>
              <w:right w:val="nil"/>
            </w:tcBorders>
            <w:shd w:val="clear" w:color="auto" w:fill="auto"/>
            <w:noWrap/>
            <w:vAlign w:val="center"/>
            <w:hideMark/>
          </w:tcPr>
          <w:p w14:paraId="3BD3D8B0"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1.1</w:t>
            </w:r>
          </w:p>
        </w:tc>
        <w:tc>
          <w:tcPr>
            <w:tcW w:w="714" w:type="dxa"/>
            <w:tcBorders>
              <w:top w:val="nil"/>
              <w:left w:val="nil"/>
              <w:bottom w:val="nil"/>
              <w:right w:val="nil"/>
            </w:tcBorders>
            <w:shd w:val="clear" w:color="auto" w:fill="auto"/>
            <w:noWrap/>
            <w:vAlign w:val="center"/>
            <w:hideMark/>
          </w:tcPr>
          <w:p w14:paraId="492CAC28"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3</w:t>
            </w:r>
          </w:p>
        </w:tc>
        <w:tc>
          <w:tcPr>
            <w:tcW w:w="714" w:type="dxa"/>
            <w:tcBorders>
              <w:top w:val="nil"/>
              <w:left w:val="nil"/>
              <w:bottom w:val="nil"/>
              <w:right w:val="nil"/>
            </w:tcBorders>
            <w:shd w:val="clear" w:color="auto" w:fill="auto"/>
            <w:noWrap/>
            <w:vAlign w:val="center"/>
            <w:hideMark/>
          </w:tcPr>
          <w:p w14:paraId="51D55AAA"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nil"/>
              <w:right w:val="nil"/>
            </w:tcBorders>
            <w:shd w:val="clear" w:color="auto" w:fill="auto"/>
            <w:noWrap/>
            <w:vAlign w:val="center"/>
            <w:hideMark/>
          </w:tcPr>
          <w:p w14:paraId="01040753"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5.2</w:t>
            </w:r>
          </w:p>
        </w:tc>
        <w:tc>
          <w:tcPr>
            <w:tcW w:w="702" w:type="dxa"/>
            <w:tcBorders>
              <w:top w:val="nil"/>
              <w:left w:val="nil"/>
              <w:bottom w:val="nil"/>
              <w:right w:val="nil"/>
            </w:tcBorders>
            <w:shd w:val="clear" w:color="auto" w:fill="auto"/>
            <w:noWrap/>
            <w:vAlign w:val="center"/>
            <w:hideMark/>
          </w:tcPr>
          <w:p w14:paraId="1299AD48"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14" w:type="dxa"/>
            <w:tcBorders>
              <w:top w:val="nil"/>
              <w:left w:val="nil"/>
              <w:bottom w:val="nil"/>
              <w:right w:val="nil"/>
            </w:tcBorders>
            <w:shd w:val="clear" w:color="auto" w:fill="auto"/>
            <w:noWrap/>
            <w:vAlign w:val="center"/>
            <w:hideMark/>
          </w:tcPr>
          <w:p w14:paraId="2C996A7E"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75.5</w:t>
            </w:r>
          </w:p>
        </w:tc>
      </w:tr>
      <w:tr w:rsidR="00D740DC" w:rsidRPr="00865679" w14:paraId="28F18A53" w14:textId="77777777" w:rsidTr="00B11F5F">
        <w:trPr>
          <w:trHeight w:val="272"/>
        </w:trPr>
        <w:tc>
          <w:tcPr>
            <w:tcW w:w="1764" w:type="dxa"/>
            <w:vMerge/>
            <w:tcBorders>
              <w:top w:val="nil"/>
              <w:left w:val="nil"/>
              <w:bottom w:val="single" w:sz="8" w:space="0" w:color="000000"/>
              <w:right w:val="nil"/>
            </w:tcBorders>
            <w:vAlign w:val="center"/>
            <w:hideMark/>
          </w:tcPr>
          <w:p w14:paraId="04AA053F"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1883" w:type="dxa"/>
            <w:tcBorders>
              <w:top w:val="nil"/>
              <w:left w:val="nil"/>
              <w:bottom w:val="nil"/>
              <w:right w:val="nil"/>
            </w:tcBorders>
            <w:shd w:val="clear" w:color="auto" w:fill="auto"/>
            <w:vAlign w:val="center"/>
            <w:hideMark/>
          </w:tcPr>
          <w:p w14:paraId="099800B8"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M</w:t>
            </w:r>
            <w:r w:rsidRPr="00865679">
              <w:rPr>
                <w:rFonts w:eastAsia="Times New Roman" w:cs="Times New Roman"/>
                <w:b w:val="0"/>
                <w:color w:val="000000"/>
                <w:sz w:val="20"/>
                <w:szCs w:val="20"/>
                <w:vertAlign w:val="subscript"/>
                <w:lang w:eastAsia="en-MY"/>
              </w:rPr>
              <w:t>1.1</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3</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7.5</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73.2</w:t>
            </w:r>
          </w:p>
        </w:tc>
        <w:tc>
          <w:tcPr>
            <w:tcW w:w="715" w:type="dxa"/>
            <w:tcBorders>
              <w:top w:val="nil"/>
              <w:left w:val="nil"/>
              <w:bottom w:val="nil"/>
              <w:right w:val="nil"/>
            </w:tcBorders>
            <w:shd w:val="clear" w:color="auto" w:fill="auto"/>
            <w:noWrap/>
            <w:vAlign w:val="center"/>
            <w:hideMark/>
          </w:tcPr>
          <w:p w14:paraId="27603EDE"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09" w:type="dxa"/>
            <w:tcBorders>
              <w:top w:val="nil"/>
              <w:left w:val="nil"/>
              <w:bottom w:val="nil"/>
              <w:right w:val="nil"/>
            </w:tcBorders>
            <w:shd w:val="clear" w:color="auto" w:fill="auto"/>
            <w:noWrap/>
            <w:vAlign w:val="center"/>
            <w:hideMark/>
          </w:tcPr>
          <w:p w14:paraId="32588654"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1.1</w:t>
            </w:r>
          </w:p>
        </w:tc>
        <w:tc>
          <w:tcPr>
            <w:tcW w:w="714" w:type="dxa"/>
            <w:tcBorders>
              <w:top w:val="nil"/>
              <w:left w:val="nil"/>
              <w:bottom w:val="nil"/>
              <w:right w:val="nil"/>
            </w:tcBorders>
            <w:shd w:val="clear" w:color="auto" w:fill="auto"/>
            <w:noWrap/>
            <w:vAlign w:val="center"/>
            <w:hideMark/>
          </w:tcPr>
          <w:p w14:paraId="09262524"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3</w:t>
            </w:r>
          </w:p>
        </w:tc>
        <w:tc>
          <w:tcPr>
            <w:tcW w:w="714" w:type="dxa"/>
            <w:tcBorders>
              <w:top w:val="nil"/>
              <w:left w:val="nil"/>
              <w:bottom w:val="nil"/>
              <w:right w:val="nil"/>
            </w:tcBorders>
            <w:shd w:val="clear" w:color="auto" w:fill="auto"/>
            <w:noWrap/>
            <w:vAlign w:val="center"/>
            <w:hideMark/>
          </w:tcPr>
          <w:p w14:paraId="176B7F07"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nil"/>
              <w:right w:val="nil"/>
            </w:tcBorders>
            <w:shd w:val="clear" w:color="auto" w:fill="auto"/>
            <w:noWrap/>
            <w:vAlign w:val="center"/>
            <w:hideMark/>
          </w:tcPr>
          <w:p w14:paraId="11F5006E"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7.5</w:t>
            </w:r>
          </w:p>
        </w:tc>
        <w:tc>
          <w:tcPr>
            <w:tcW w:w="702" w:type="dxa"/>
            <w:tcBorders>
              <w:top w:val="nil"/>
              <w:left w:val="nil"/>
              <w:bottom w:val="nil"/>
              <w:right w:val="nil"/>
            </w:tcBorders>
            <w:shd w:val="clear" w:color="auto" w:fill="auto"/>
            <w:noWrap/>
            <w:vAlign w:val="center"/>
            <w:hideMark/>
          </w:tcPr>
          <w:p w14:paraId="7F1E45B9"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14" w:type="dxa"/>
            <w:tcBorders>
              <w:top w:val="nil"/>
              <w:left w:val="nil"/>
              <w:bottom w:val="nil"/>
              <w:right w:val="nil"/>
            </w:tcBorders>
            <w:shd w:val="clear" w:color="auto" w:fill="auto"/>
            <w:noWrap/>
            <w:vAlign w:val="center"/>
            <w:hideMark/>
          </w:tcPr>
          <w:p w14:paraId="4765D6E3"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73.2</w:t>
            </w:r>
          </w:p>
        </w:tc>
      </w:tr>
      <w:tr w:rsidR="00D740DC" w:rsidRPr="00865679" w14:paraId="4F46FF81" w14:textId="77777777" w:rsidTr="00B11F5F">
        <w:trPr>
          <w:trHeight w:val="249"/>
        </w:trPr>
        <w:tc>
          <w:tcPr>
            <w:tcW w:w="1764" w:type="dxa"/>
            <w:vMerge/>
            <w:tcBorders>
              <w:top w:val="nil"/>
              <w:left w:val="nil"/>
              <w:bottom w:val="single" w:sz="8" w:space="0" w:color="000000"/>
              <w:right w:val="nil"/>
            </w:tcBorders>
            <w:vAlign w:val="center"/>
            <w:hideMark/>
          </w:tcPr>
          <w:p w14:paraId="55544D0C"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1883" w:type="dxa"/>
            <w:tcBorders>
              <w:top w:val="nil"/>
              <w:left w:val="nil"/>
              <w:bottom w:val="nil"/>
              <w:right w:val="nil"/>
            </w:tcBorders>
            <w:shd w:val="clear" w:color="auto" w:fill="auto"/>
            <w:vAlign w:val="center"/>
            <w:hideMark/>
          </w:tcPr>
          <w:p w14:paraId="1E1C965C"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M</w:t>
            </w:r>
            <w:r w:rsidRPr="00865679">
              <w:rPr>
                <w:rFonts w:eastAsia="Times New Roman" w:cs="Times New Roman"/>
                <w:b w:val="0"/>
                <w:color w:val="000000"/>
                <w:sz w:val="20"/>
                <w:szCs w:val="20"/>
                <w:vertAlign w:val="subscript"/>
                <w:lang w:eastAsia="en-MY"/>
              </w:rPr>
              <w:t>1.1</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3</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10</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70.7</w:t>
            </w:r>
          </w:p>
        </w:tc>
        <w:tc>
          <w:tcPr>
            <w:tcW w:w="715" w:type="dxa"/>
            <w:tcBorders>
              <w:top w:val="nil"/>
              <w:left w:val="nil"/>
              <w:bottom w:val="nil"/>
              <w:right w:val="nil"/>
            </w:tcBorders>
            <w:shd w:val="clear" w:color="auto" w:fill="auto"/>
            <w:noWrap/>
            <w:vAlign w:val="center"/>
            <w:hideMark/>
          </w:tcPr>
          <w:p w14:paraId="49C10876"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09" w:type="dxa"/>
            <w:tcBorders>
              <w:top w:val="nil"/>
              <w:left w:val="nil"/>
              <w:bottom w:val="nil"/>
              <w:right w:val="nil"/>
            </w:tcBorders>
            <w:shd w:val="clear" w:color="auto" w:fill="auto"/>
            <w:noWrap/>
            <w:vAlign w:val="center"/>
            <w:hideMark/>
          </w:tcPr>
          <w:p w14:paraId="0D6E63D2"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1.1</w:t>
            </w:r>
          </w:p>
        </w:tc>
        <w:tc>
          <w:tcPr>
            <w:tcW w:w="714" w:type="dxa"/>
            <w:tcBorders>
              <w:top w:val="nil"/>
              <w:left w:val="nil"/>
              <w:bottom w:val="nil"/>
              <w:right w:val="nil"/>
            </w:tcBorders>
            <w:shd w:val="clear" w:color="auto" w:fill="auto"/>
            <w:noWrap/>
            <w:vAlign w:val="center"/>
            <w:hideMark/>
          </w:tcPr>
          <w:p w14:paraId="5EF837AB"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3</w:t>
            </w:r>
          </w:p>
        </w:tc>
        <w:tc>
          <w:tcPr>
            <w:tcW w:w="714" w:type="dxa"/>
            <w:tcBorders>
              <w:top w:val="nil"/>
              <w:left w:val="nil"/>
              <w:bottom w:val="nil"/>
              <w:right w:val="nil"/>
            </w:tcBorders>
            <w:shd w:val="clear" w:color="auto" w:fill="auto"/>
            <w:noWrap/>
            <w:vAlign w:val="center"/>
            <w:hideMark/>
          </w:tcPr>
          <w:p w14:paraId="737C86CA"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nil"/>
              <w:right w:val="nil"/>
            </w:tcBorders>
            <w:shd w:val="clear" w:color="auto" w:fill="auto"/>
            <w:noWrap/>
            <w:vAlign w:val="center"/>
            <w:hideMark/>
          </w:tcPr>
          <w:p w14:paraId="0B4BF443"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10</w:t>
            </w:r>
          </w:p>
        </w:tc>
        <w:tc>
          <w:tcPr>
            <w:tcW w:w="702" w:type="dxa"/>
            <w:tcBorders>
              <w:top w:val="nil"/>
              <w:left w:val="nil"/>
              <w:bottom w:val="nil"/>
              <w:right w:val="nil"/>
            </w:tcBorders>
            <w:shd w:val="clear" w:color="auto" w:fill="auto"/>
            <w:noWrap/>
            <w:vAlign w:val="center"/>
            <w:hideMark/>
          </w:tcPr>
          <w:p w14:paraId="7BE671FF"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14" w:type="dxa"/>
            <w:tcBorders>
              <w:top w:val="nil"/>
              <w:left w:val="nil"/>
              <w:bottom w:val="nil"/>
              <w:right w:val="nil"/>
            </w:tcBorders>
            <w:shd w:val="clear" w:color="auto" w:fill="auto"/>
            <w:noWrap/>
            <w:vAlign w:val="center"/>
            <w:hideMark/>
          </w:tcPr>
          <w:p w14:paraId="52B044AA"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70.7</w:t>
            </w:r>
          </w:p>
        </w:tc>
      </w:tr>
      <w:tr w:rsidR="00D740DC" w:rsidRPr="00865679" w14:paraId="7039C3D9" w14:textId="77777777" w:rsidTr="00B11F5F">
        <w:trPr>
          <w:trHeight w:val="280"/>
        </w:trPr>
        <w:tc>
          <w:tcPr>
            <w:tcW w:w="1764" w:type="dxa"/>
            <w:vMerge/>
            <w:tcBorders>
              <w:top w:val="nil"/>
              <w:left w:val="nil"/>
              <w:bottom w:val="single" w:sz="8" w:space="0" w:color="000000"/>
              <w:right w:val="nil"/>
            </w:tcBorders>
            <w:vAlign w:val="center"/>
            <w:hideMark/>
          </w:tcPr>
          <w:p w14:paraId="71C4D838"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1883" w:type="dxa"/>
            <w:tcBorders>
              <w:top w:val="nil"/>
              <w:left w:val="nil"/>
              <w:bottom w:val="nil"/>
              <w:right w:val="nil"/>
            </w:tcBorders>
            <w:shd w:val="clear" w:color="auto" w:fill="auto"/>
            <w:vAlign w:val="center"/>
            <w:hideMark/>
          </w:tcPr>
          <w:p w14:paraId="27A7CCD0"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M</w:t>
            </w:r>
            <w:r w:rsidRPr="00865679">
              <w:rPr>
                <w:rFonts w:eastAsia="Times New Roman" w:cs="Times New Roman"/>
                <w:b w:val="0"/>
                <w:color w:val="000000"/>
                <w:sz w:val="20"/>
                <w:szCs w:val="20"/>
                <w:vertAlign w:val="subscript"/>
                <w:lang w:eastAsia="en-MY"/>
              </w:rPr>
              <w:t>1.1</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3</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12.5</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68.2</w:t>
            </w:r>
          </w:p>
        </w:tc>
        <w:tc>
          <w:tcPr>
            <w:tcW w:w="715" w:type="dxa"/>
            <w:tcBorders>
              <w:top w:val="nil"/>
              <w:left w:val="nil"/>
              <w:bottom w:val="nil"/>
              <w:right w:val="nil"/>
            </w:tcBorders>
            <w:shd w:val="clear" w:color="auto" w:fill="auto"/>
            <w:noWrap/>
            <w:vAlign w:val="center"/>
            <w:hideMark/>
          </w:tcPr>
          <w:p w14:paraId="6B6913C3"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09" w:type="dxa"/>
            <w:tcBorders>
              <w:top w:val="nil"/>
              <w:left w:val="nil"/>
              <w:bottom w:val="nil"/>
              <w:right w:val="nil"/>
            </w:tcBorders>
            <w:shd w:val="clear" w:color="auto" w:fill="auto"/>
            <w:noWrap/>
            <w:vAlign w:val="center"/>
            <w:hideMark/>
          </w:tcPr>
          <w:p w14:paraId="392815A1"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1.1</w:t>
            </w:r>
          </w:p>
        </w:tc>
        <w:tc>
          <w:tcPr>
            <w:tcW w:w="714" w:type="dxa"/>
            <w:tcBorders>
              <w:top w:val="nil"/>
              <w:left w:val="nil"/>
              <w:bottom w:val="nil"/>
              <w:right w:val="nil"/>
            </w:tcBorders>
            <w:shd w:val="clear" w:color="auto" w:fill="auto"/>
            <w:noWrap/>
            <w:vAlign w:val="center"/>
            <w:hideMark/>
          </w:tcPr>
          <w:p w14:paraId="51D289A5"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3</w:t>
            </w:r>
          </w:p>
        </w:tc>
        <w:tc>
          <w:tcPr>
            <w:tcW w:w="714" w:type="dxa"/>
            <w:tcBorders>
              <w:top w:val="nil"/>
              <w:left w:val="nil"/>
              <w:bottom w:val="nil"/>
              <w:right w:val="nil"/>
            </w:tcBorders>
            <w:shd w:val="clear" w:color="auto" w:fill="auto"/>
            <w:noWrap/>
            <w:vAlign w:val="center"/>
            <w:hideMark/>
          </w:tcPr>
          <w:p w14:paraId="14F755B6"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nil"/>
              <w:right w:val="nil"/>
            </w:tcBorders>
            <w:shd w:val="clear" w:color="auto" w:fill="auto"/>
            <w:noWrap/>
            <w:vAlign w:val="center"/>
            <w:hideMark/>
          </w:tcPr>
          <w:p w14:paraId="6F9FE7A1"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12.5</w:t>
            </w:r>
          </w:p>
        </w:tc>
        <w:tc>
          <w:tcPr>
            <w:tcW w:w="702" w:type="dxa"/>
            <w:tcBorders>
              <w:top w:val="nil"/>
              <w:left w:val="nil"/>
              <w:bottom w:val="nil"/>
              <w:right w:val="nil"/>
            </w:tcBorders>
            <w:shd w:val="clear" w:color="auto" w:fill="auto"/>
            <w:noWrap/>
            <w:vAlign w:val="center"/>
            <w:hideMark/>
          </w:tcPr>
          <w:p w14:paraId="6485F463"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14" w:type="dxa"/>
            <w:tcBorders>
              <w:top w:val="nil"/>
              <w:left w:val="nil"/>
              <w:bottom w:val="nil"/>
              <w:right w:val="nil"/>
            </w:tcBorders>
            <w:shd w:val="clear" w:color="auto" w:fill="auto"/>
            <w:noWrap/>
            <w:vAlign w:val="center"/>
            <w:hideMark/>
          </w:tcPr>
          <w:p w14:paraId="01FD5F32"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68.2</w:t>
            </w:r>
          </w:p>
        </w:tc>
      </w:tr>
      <w:tr w:rsidR="00D740DC" w:rsidRPr="00865679" w14:paraId="3B69A35C" w14:textId="77777777" w:rsidTr="00B11F5F">
        <w:trPr>
          <w:trHeight w:val="273"/>
        </w:trPr>
        <w:tc>
          <w:tcPr>
            <w:tcW w:w="1764" w:type="dxa"/>
            <w:vMerge/>
            <w:tcBorders>
              <w:top w:val="nil"/>
              <w:left w:val="nil"/>
              <w:bottom w:val="single" w:sz="8" w:space="0" w:color="000000"/>
              <w:right w:val="nil"/>
            </w:tcBorders>
            <w:vAlign w:val="center"/>
            <w:hideMark/>
          </w:tcPr>
          <w:p w14:paraId="731B4EFF"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1883" w:type="dxa"/>
            <w:tcBorders>
              <w:top w:val="nil"/>
              <w:left w:val="nil"/>
              <w:bottom w:val="nil"/>
              <w:right w:val="nil"/>
            </w:tcBorders>
            <w:shd w:val="clear" w:color="auto" w:fill="auto"/>
            <w:vAlign w:val="center"/>
            <w:hideMark/>
          </w:tcPr>
          <w:p w14:paraId="79B28472"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M</w:t>
            </w:r>
            <w:r w:rsidRPr="00865679">
              <w:rPr>
                <w:rFonts w:eastAsia="Times New Roman" w:cs="Times New Roman"/>
                <w:b w:val="0"/>
                <w:color w:val="000000"/>
                <w:sz w:val="20"/>
                <w:szCs w:val="20"/>
                <w:vertAlign w:val="subscript"/>
                <w:lang w:eastAsia="en-MY"/>
              </w:rPr>
              <w:t>1.1</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3</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65.7</w:t>
            </w:r>
          </w:p>
        </w:tc>
        <w:tc>
          <w:tcPr>
            <w:tcW w:w="715" w:type="dxa"/>
            <w:tcBorders>
              <w:top w:val="nil"/>
              <w:left w:val="nil"/>
              <w:bottom w:val="nil"/>
              <w:right w:val="nil"/>
            </w:tcBorders>
            <w:shd w:val="clear" w:color="auto" w:fill="auto"/>
            <w:noWrap/>
            <w:vAlign w:val="center"/>
            <w:hideMark/>
          </w:tcPr>
          <w:p w14:paraId="508FF456"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09" w:type="dxa"/>
            <w:tcBorders>
              <w:top w:val="nil"/>
              <w:left w:val="nil"/>
              <w:bottom w:val="nil"/>
              <w:right w:val="nil"/>
            </w:tcBorders>
            <w:shd w:val="clear" w:color="auto" w:fill="auto"/>
            <w:noWrap/>
            <w:vAlign w:val="center"/>
            <w:hideMark/>
          </w:tcPr>
          <w:p w14:paraId="3D9D68E0"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1.1</w:t>
            </w:r>
          </w:p>
        </w:tc>
        <w:tc>
          <w:tcPr>
            <w:tcW w:w="714" w:type="dxa"/>
            <w:tcBorders>
              <w:top w:val="nil"/>
              <w:left w:val="nil"/>
              <w:bottom w:val="nil"/>
              <w:right w:val="nil"/>
            </w:tcBorders>
            <w:shd w:val="clear" w:color="auto" w:fill="auto"/>
            <w:noWrap/>
            <w:vAlign w:val="center"/>
            <w:hideMark/>
          </w:tcPr>
          <w:p w14:paraId="5ACD26D9"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3</w:t>
            </w:r>
          </w:p>
        </w:tc>
        <w:tc>
          <w:tcPr>
            <w:tcW w:w="714" w:type="dxa"/>
            <w:tcBorders>
              <w:top w:val="nil"/>
              <w:left w:val="nil"/>
              <w:bottom w:val="nil"/>
              <w:right w:val="nil"/>
            </w:tcBorders>
            <w:shd w:val="clear" w:color="auto" w:fill="auto"/>
            <w:noWrap/>
            <w:vAlign w:val="center"/>
            <w:hideMark/>
          </w:tcPr>
          <w:p w14:paraId="0B584BFF"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nil"/>
              <w:right w:val="nil"/>
            </w:tcBorders>
            <w:shd w:val="clear" w:color="auto" w:fill="auto"/>
            <w:noWrap/>
            <w:vAlign w:val="center"/>
            <w:hideMark/>
          </w:tcPr>
          <w:p w14:paraId="55681E19"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15</w:t>
            </w:r>
          </w:p>
        </w:tc>
        <w:tc>
          <w:tcPr>
            <w:tcW w:w="702" w:type="dxa"/>
            <w:tcBorders>
              <w:top w:val="nil"/>
              <w:left w:val="nil"/>
              <w:bottom w:val="nil"/>
              <w:right w:val="nil"/>
            </w:tcBorders>
            <w:shd w:val="clear" w:color="auto" w:fill="auto"/>
            <w:noWrap/>
            <w:vAlign w:val="center"/>
            <w:hideMark/>
          </w:tcPr>
          <w:p w14:paraId="16578239"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14" w:type="dxa"/>
            <w:tcBorders>
              <w:top w:val="nil"/>
              <w:left w:val="nil"/>
              <w:bottom w:val="nil"/>
              <w:right w:val="nil"/>
            </w:tcBorders>
            <w:shd w:val="clear" w:color="auto" w:fill="auto"/>
            <w:noWrap/>
            <w:vAlign w:val="center"/>
            <w:hideMark/>
          </w:tcPr>
          <w:p w14:paraId="362B6FB8"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65.7</w:t>
            </w:r>
          </w:p>
        </w:tc>
      </w:tr>
      <w:tr w:rsidR="00D740DC" w:rsidRPr="00865679" w14:paraId="6B72DD32" w14:textId="77777777" w:rsidTr="00B11F5F">
        <w:trPr>
          <w:trHeight w:val="246"/>
        </w:trPr>
        <w:tc>
          <w:tcPr>
            <w:tcW w:w="1764" w:type="dxa"/>
            <w:vMerge/>
            <w:tcBorders>
              <w:top w:val="nil"/>
              <w:left w:val="nil"/>
              <w:bottom w:val="single" w:sz="8" w:space="0" w:color="000000"/>
              <w:right w:val="nil"/>
            </w:tcBorders>
            <w:vAlign w:val="center"/>
            <w:hideMark/>
          </w:tcPr>
          <w:p w14:paraId="5EACDF21"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1883" w:type="dxa"/>
            <w:tcBorders>
              <w:top w:val="nil"/>
              <w:left w:val="nil"/>
              <w:bottom w:val="single" w:sz="8" w:space="0" w:color="auto"/>
              <w:right w:val="nil"/>
            </w:tcBorders>
            <w:shd w:val="clear" w:color="auto" w:fill="auto"/>
            <w:vAlign w:val="center"/>
            <w:hideMark/>
          </w:tcPr>
          <w:p w14:paraId="28F8E59B"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M</w:t>
            </w:r>
            <w:r w:rsidRPr="00865679">
              <w:rPr>
                <w:rFonts w:eastAsia="Times New Roman" w:cs="Times New Roman"/>
                <w:b w:val="0"/>
                <w:color w:val="000000"/>
                <w:sz w:val="20"/>
                <w:szCs w:val="20"/>
                <w:vertAlign w:val="subscript"/>
                <w:lang w:eastAsia="en-MY"/>
              </w:rPr>
              <w:t>1.1</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3</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17.5</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7.6</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63.2</w:t>
            </w:r>
          </w:p>
        </w:tc>
        <w:tc>
          <w:tcPr>
            <w:tcW w:w="715" w:type="dxa"/>
            <w:tcBorders>
              <w:top w:val="nil"/>
              <w:left w:val="nil"/>
              <w:bottom w:val="single" w:sz="8" w:space="0" w:color="auto"/>
              <w:right w:val="nil"/>
            </w:tcBorders>
            <w:shd w:val="clear" w:color="auto" w:fill="auto"/>
            <w:noWrap/>
            <w:vAlign w:val="center"/>
            <w:hideMark/>
          </w:tcPr>
          <w:p w14:paraId="6F8D455F"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09" w:type="dxa"/>
            <w:tcBorders>
              <w:top w:val="nil"/>
              <w:left w:val="nil"/>
              <w:bottom w:val="single" w:sz="8" w:space="0" w:color="auto"/>
              <w:right w:val="nil"/>
            </w:tcBorders>
            <w:shd w:val="clear" w:color="auto" w:fill="auto"/>
            <w:noWrap/>
            <w:vAlign w:val="center"/>
            <w:hideMark/>
          </w:tcPr>
          <w:p w14:paraId="19AB3417"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1.1</w:t>
            </w:r>
          </w:p>
        </w:tc>
        <w:tc>
          <w:tcPr>
            <w:tcW w:w="714" w:type="dxa"/>
            <w:tcBorders>
              <w:top w:val="nil"/>
              <w:left w:val="nil"/>
              <w:bottom w:val="single" w:sz="8" w:space="0" w:color="auto"/>
              <w:right w:val="nil"/>
            </w:tcBorders>
            <w:shd w:val="clear" w:color="auto" w:fill="auto"/>
            <w:noWrap/>
            <w:vAlign w:val="center"/>
            <w:hideMark/>
          </w:tcPr>
          <w:p w14:paraId="57FA2375"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3</w:t>
            </w:r>
          </w:p>
        </w:tc>
        <w:tc>
          <w:tcPr>
            <w:tcW w:w="714" w:type="dxa"/>
            <w:tcBorders>
              <w:top w:val="nil"/>
              <w:left w:val="nil"/>
              <w:bottom w:val="single" w:sz="8" w:space="0" w:color="auto"/>
              <w:right w:val="nil"/>
            </w:tcBorders>
            <w:shd w:val="clear" w:color="auto" w:fill="auto"/>
            <w:noWrap/>
            <w:vAlign w:val="center"/>
            <w:hideMark/>
          </w:tcPr>
          <w:p w14:paraId="322F15D3"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single" w:sz="8" w:space="0" w:color="auto"/>
              <w:right w:val="nil"/>
            </w:tcBorders>
            <w:shd w:val="clear" w:color="auto" w:fill="auto"/>
            <w:noWrap/>
            <w:vAlign w:val="center"/>
            <w:hideMark/>
          </w:tcPr>
          <w:p w14:paraId="5364FCB8"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17.5</w:t>
            </w:r>
          </w:p>
        </w:tc>
        <w:tc>
          <w:tcPr>
            <w:tcW w:w="702" w:type="dxa"/>
            <w:tcBorders>
              <w:top w:val="nil"/>
              <w:left w:val="nil"/>
              <w:bottom w:val="single" w:sz="8" w:space="0" w:color="auto"/>
              <w:right w:val="nil"/>
            </w:tcBorders>
            <w:shd w:val="clear" w:color="auto" w:fill="auto"/>
            <w:noWrap/>
            <w:vAlign w:val="center"/>
            <w:hideMark/>
          </w:tcPr>
          <w:p w14:paraId="643FFA1B"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7.6</w:t>
            </w:r>
          </w:p>
        </w:tc>
        <w:tc>
          <w:tcPr>
            <w:tcW w:w="714" w:type="dxa"/>
            <w:tcBorders>
              <w:top w:val="nil"/>
              <w:left w:val="nil"/>
              <w:bottom w:val="single" w:sz="8" w:space="0" w:color="auto"/>
              <w:right w:val="nil"/>
            </w:tcBorders>
            <w:shd w:val="clear" w:color="auto" w:fill="auto"/>
            <w:noWrap/>
            <w:vAlign w:val="center"/>
            <w:hideMark/>
          </w:tcPr>
          <w:p w14:paraId="056AC0CB"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63.2</w:t>
            </w:r>
          </w:p>
        </w:tc>
      </w:tr>
      <w:tr w:rsidR="00D740DC" w:rsidRPr="00865679" w14:paraId="6E1B23A4" w14:textId="77777777" w:rsidTr="00B11F5F">
        <w:trPr>
          <w:trHeight w:val="265"/>
        </w:trPr>
        <w:tc>
          <w:tcPr>
            <w:tcW w:w="1764" w:type="dxa"/>
            <w:vMerge w:val="restart"/>
            <w:tcBorders>
              <w:top w:val="nil"/>
              <w:left w:val="nil"/>
              <w:bottom w:val="single" w:sz="8" w:space="0" w:color="000000"/>
              <w:right w:val="nil"/>
            </w:tcBorders>
            <w:shd w:val="clear" w:color="auto" w:fill="auto"/>
            <w:vAlign w:val="center"/>
            <w:hideMark/>
          </w:tcPr>
          <w:p w14:paraId="309CC2DF"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5</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x</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10-x</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70</w:t>
            </w:r>
          </w:p>
        </w:tc>
        <w:tc>
          <w:tcPr>
            <w:tcW w:w="1883" w:type="dxa"/>
            <w:tcBorders>
              <w:top w:val="nil"/>
              <w:left w:val="nil"/>
              <w:bottom w:val="nil"/>
              <w:right w:val="nil"/>
            </w:tcBorders>
            <w:shd w:val="clear" w:color="auto" w:fill="auto"/>
            <w:vAlign w:val="center"/>
            <w:hideMark/>
          </w:tcPr>
          <w:p w14:paraId="08ECBAA9"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5</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0</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10</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70</w:t>
            </w:r>
          </w:p>
        </w:tc>
        <w:tc>
          <w:tcPr>
            <w:tcW w:w="715" w:type="dxa"/>
            <w:tcBorders>
              <w:top w:val="nil"/>
              <w:left w:val="nil"/>
              <w:bottom w:val="nil"/>
              <w:right w:val="nil"/>
            </w:tcBorders>
            <w:shd w:val="clear" w:color="auto" w:fill="auto"/>
            <w:noWrap/>
            <w:vAlign w:val="center"/>
            <w:hideMark/>
          </w:tcPr>
          <w:p w14:paraId="7CC18A1B"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15</w:t>
            </w:r>
          </w:p>
        </w:tc>
        <w:tc>
          <w:tcPr>
            <w:tcW w:w="709" w:type="dxa"/>
            <w:tcBorders>
              <w:top w:val="nil"/>
              <w:left w:val="nil"/>
              <w:bottom w:val="nil"/>
              <w:right w:val="nil"/>
            </w:tcBorders>
            <w:shd w:val="clear" w:color="auto" w:fill="auto"/>
            <w:noWrap/>
            <w:vAlign w:val="center"/>
            <w:hideMark/>
          </w:tcPr>
          <w:p w14:paraId="27DC2E2A"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14" w:type="dxa"/>
            <w:tcBorders>
              <w:top w:val="nil"/>
              <w:left w:val="nil"/>
              <w:bottom w:val="nil"/>
              <w:right w:val="nil"/>
            </w:tcBorders>
            <w:shd w:val="clear" w:color="auto" w:fill="auto"/>
            <w:noWrap/>
            <w:vAlign w:val="center"/>
            <w:hideMark/>
          </w:tcPr>
          <w:p w14:paraId="44E3BA94"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5</w:t>
            </w:r>
          </w:p>
        </w:tc>
        <w:tc>
          <w:tcPr>
            <w:tcW w:w="714" w:type="dxa"/>
            <w:tcBorders>
              <w:top w:val="nil"/>
              <w:left w:val="nil"/>
              <w:bottom w:val="nil"/>
              <w:right w:val="nil"/>
            </w:tcBorders>
            <w:shd w:val="clear" w:color="auto" w:fill="auto"/>
            <w:noWrap/>
            <w:vAlign w:val="center"/>
            <w:hideMark/>
          </w:tcPr>
          <w:p w14:paraId="6F7997E1"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nil"/>
              <w:right w:val="nil"/>
            </w:tcBorders>
            <w:shd w:val="clear" w:color="auto" w:fill="auto"/>
            <w:noWrap/>
            <w:vAlign w:val="center"/>
            <w:hideMark/>
          </w:tcPr>
          <w:p w14:paraId="26C483F5"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02" w:type="dxa"/>
            <w:tcBorders>
              <w:top w:val="nil"/>
              <w:left w:val="nil"/>
              <w:bottom w:val="nil"/>
              <w:right w:val="nil"/>
            </w:tcBorders>
            <w:shd w:val="clear" w:color="auto" w:fill="auto"/>
            <w:noWrap/>
            <w:vAlign w:val="center"/>
            <w:hideMark/>
          </w:tcPr>
          <w:p w14:paraId="5C071329"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10</w:t>
            </w:r>
          </w:p>
        </w:tc>
        <w:tc>
          <w:tcPr>
            <w:tcW w:w="714" w:type="dxa"/>
            <w:tcBorders>
              <w:top w:val="nil"/>
              <w:left w:val="nil"/>
              <w:bottom w:val="nil"/>
              <w:right w:val="nil"/>
            </w:tcBorders>
            <w:shd w:val="clear" w:color="auto" w:fill="auto"/>
            <w:noWrap/>
            <w:vAlign w:val="center"/>
            <w:hideMark/>
          </w:tcPr>
          <w:p w14:paraId="1676FED6"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70</w:t>
            </w:r>
          </w:p>
        </w:tc>
      </w:tr>
      <w:tr w:rsidR="00D740DC" w:rsidRPr="00865679" w14:paraId="4E0464CF" w14:textId="77777777" w:rsidTr="00B11F5F">
        <w:trPr>
          <w:trHeight w:val="269"/>
        </w:trPr>
        <w:tc>
          <w:tcPr>
            <w:tcW w:w="1764" w:type="dxa"/>
            <w:vMerge/>
            <w:tcBorders>
              <w:top w:val="nil"/>
              <w:left w:val="nil"/>
              <w:bottom w:val="single" w:sz="8" w:space="0" w:color="000000"/>
              <w:right w:val="nil"/>
            </w:tcBorders>
            <w:vAlign w:val="center"/>
            <w:hideMark/>
          </w:tcPr>
          <w:p w14:paraId="22334ADC"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1883" w:type="dxa"/>
            <w:tcBorders>
              <w:top w:val="nil"/>
              <w:left w:val="nil"/>
              <w:bottom w:val="single" w:sz="8" w:space="0" w:color="auto"/>
              <w:right w:val="nil"/>
            </w:tcBorders>
            <w:shd w:val="clear" w:color="auto" w:fill="auto"/>
            <w:vAlign w:val="center"/>
            <w:hideMark/>
          </w:tcPr>
          <w:p w14:paraId="24CB8C33"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5</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5</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5</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70</w:t>
            </w:r>
          </w:p>
        </w:tc>
        <w:tc>
          <w:tcPr>
            <w:tcW w:w="715" w:type="dxa"/>
            <w:tcBorders>
              <w:top w:val="nil"/>
              <w:left w:val="nil"/>
              <w:bottom w:val="single" w:sz="8" w:space="0" w:color="auto"/>
              <w:right w:val="nil"/>
            </w:tcBorders>
            <w:shd w:val="clear" w:color="auto" w:fill="auto"/>
            <w:noWrap/>
            <w:vAlign w:val="center"/>
            <w:hideMark/>
          </w:tcPr>
          <w:p w14:paraId="2FCE55CC"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15</w:t>
            </w:r>
          </w:p>
        </w:tc>
        <w:tc>
          <w:tcPr>
            <w:tcW w:w="709" w:type="dxa"/>
            <w:tcBorders>
              <w:top w:val="nil"/>
              <w:left w:val="nil"/>
              <w:bottom w:val="single" w:sz="8" w:space="0" w:color="auto"/>
              <w:right w:val="nil"/>
            </w:tcBorders>
            <w:shd w:val="clear" w:color="auto" w:fill="auto"/>
            <w:noWrap/>
            <w:vAlign w:val="center"/>
            <w:hideMark/>
          </w:tcPr>
          <w:p w14:paraId="19BE41B6"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14" w:type="dxa"/>
            <w:tcBorders>
              <w:top w:val="nil"/>
              <w:left w:val="nil"/>
              <w:bottom w:val="single" w:sz="8" w:space="0" w:color="auto"/>
              <w:right w:val="nil"/>
            </w:tcBorders>
            <w:shd w:val="clear" w:color="auto" w:fill="auto"/>
            <w:noWrap/>
            <w:vAlign w:val="center"/>
            <w:hideMark/>
          </w:tcPr>
          <w:p w14:paraId="32EBAB59"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5</w:t>
            </w:r>
          </w:p>
        </w:tc>
        <w:tc>
          <w:tcPr>
            <w:tcW w:w="714" w:type="dxa"/>
            <w:tcBorders>
              <w:top w:val="nil"/>
              <w:left w:val="nil"/>
              <w:bottom w:val="single" w:sz="8" w:space="0" w:color="auto"/>
              <w:right w:val="nil"/>
            </w:tcBorders>
            <w:shd w:val="clear" w:color="auto" w:fill="auto"/>
            <w:noWrap/>
            <w:vAlign w:val="center"/>
            <w:hideMark/>
          </w:tcPr>
          <w:p w14:paraId="16195312"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single" w:sz="8" w:space="0" w:color="auto"/>
              <w:right w:val="nil"/>
            </w:tcBorders>
            <w:shd w:val="clear" w:color="auto" w:fill="auto"/>
            <w:noWrap/>
            <w:vAlign w:val="center"/>
            <w:hideMark/>
          </w:tcPr>
          <w:p w14:paraId="649495EE"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5</w:t>
            </w:r>
          </w:p>
        </w:tc>
        <w:tc>
          <w:tcPr>
            <w:tcW w:w="702" w:type="dxa"/>
            <w:tcBorders>
              <w:top w:val="nil"/>
              <w:left w:val="nil"/>
              <w:bottom w:val="single" w:sz="8" w:space="0" w:color="auto"/>
              <w:right w:val="nil"/>
            </w:tcBorders>
            <w:shd w:val="clear" w:color="auto" w:fill="auto"/>
            <w:noWrap/>
            <w:vAlign w:val="center"/>
            <w:hideMark/>
          </w:tcPr>
          <w:p w14:paraId="3348B4BC"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5</w:t>
            </w:r>
          </w:p>
        </w:tc>
        <w:tc>
          <w:tcPr>
            <w:tcW w:w="714" w:type="dxa"/>
            <w:tcBorders>
              <w:top w:val="nil"/>
              <w:left w:val="nil"/>
              <w:bottom w:val="single" w:sz="8" w:space="0" w:color="auto"/>
              <w:right w:val="nil"/>
            </w:tcBorders>
            <w:shd w:val="clear" w:color="auto" w:fill="auto"/>
            <w:noWrap/>
            <w:vAlign w:val="center"/>
            <w:hideMark/>
          </w:tcPr>
          <w:p w14:paraId="074A7202"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70</w:t>
            </w:r>
          </w:p>
        </w:tc>
      </w:tr>
      <w:tr w:rsidR="00D740DC" w:rsidRPr="00865679" w14:paraId="4EF5BC68" w14:textId="77777777" w:rsidTr="00B11F5F">
        <w:trPr>
          <w:trHeight w:val="261"/>
        </w:trPr>
        <w:tc>
          <w:tcPr>
            <w:tcW w:w="1764" w:type="dxa"/>
            <w:vMerge w:val="restart"/>
            <w:tcBorders>
              <w:top w:val="nil"/>
              <w:left w:val="nil"/>
              <w:bottom w:val="single" w:sz="8" w:space="0" w:color="000000"/>
              <w:right w:val="nil"/>
            </w:tcBorders>
            <w:shd w:val="clear" w:color="auto" w:fill="auto"/>
            <w:vAlign w:val="center"/>
            <w:hideMark/>
          </w:tcPr>
          <w:p w14:paraId="199C27E0"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5</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x</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20-x</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60</w:t>
            </w:r>
          </w:p>
        </w:tc>
        <w:tc>
          <w:tcPr>
            <w:tcW w:w="1883" w:type="dxa"/>
            <w:tcBorders>
              <w:top w:val="nil"/>
              <w:left w:val="nil"/>
              <w:bottom w:val="nil"/>
              <w:right w:val="nil"/>
            </w:tcBorders>
            <w:shd w:val="clear" w:color="auto" w:fill="auto"/>
            <w:vAlign w:val="center"/>
            <w:hideMark/>
          </w:tcPr>
          <w:p w14:paraId="16B28B94"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5</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5</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60</w:t>
            </w:r>
          </w:p>
        </w:tc>
        <w:tc>
          <w:tcPr>
            <w:tcW w:w="715" w:type="dxa"/>
            <w:tcBorders>
              <w:top w:val="nil"/>
              <w:left w:val="nil"/>
              <w:bottom w:val="nil"/>
              <w:right w:val="nil"/>
            </w:tcBorders>
            <w:shd w:val="clear" w:color="auto" w:fill="auto"/>
            <w:noWrap/>
            <w:vAlign w:val="center"/>
            <w:hideMark/>
          </w:tcPr>
          <w:p w14:paraId="5AA16004"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15</w:t>
            </w:r>
          </w:p>
        </w:tc>
        <w:tc>
          <w:tcPr>
            <w:tcW w:w="709" w:type="dxa"/>
            <w:tcBorders>
              <w:top w:val="nil"/>
              <w:left w:val="nil"/>
              <w:bottom w:val="nil"/>
              <w:right w:val="nil"/>
            </w:tcBorders>
            <w:shd w:val="clear" w:color="auto" w:fill="auto"/>
            <w:noWrap/>
            <w:vAlign w:val="center"/>
            <w:hideMark/>
          </w:tcPr>
          <w:p w14:paraId="7BED5C94"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14" w:type="dxa"/>
            <w:tcBorders>
              <w:top w:val="nil"/>
              <w:left w:val="nil"/>
              <w:bottom w:val="nil"/>
              <w:right w:val="nil"/>
            </w:tcBorders>
            <w:shd w:val="clear" w:color="auto" w:fill="auto"/>
            <w:noWrap/>
            <w:vAlign w:val="center"/>
            <w:hideMark/>
          </w:tcPr>
          <w:p w14:paraId="5C05A5E1"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5</w:t>
            </w:r>
          </w:p>
        </w:tc>
        <w:tc>
          <w:tcPr>
            <w:tcW w:w="714" w:type="dxa"/>
            <w:tcBorders>
              <w:top w:val="nil"/>
              <w:left w:val="nil"/>
              <w:bottom w:val="nil"/>
              <w:right w:val="nil"/>
            </w:tcBorders>
            <w:shd w:val="clear" w:color="auto" w:fill="auto"/>
            <w:noWrap/>
            <w:vAlign w:val="center"/>
            <w:hideMark/>
          </w:tcPr>
          <w:p w14:paraId="5FB99C5A"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nil"/>
              <w:right w:val="nil"/>
            </w:tcBorders>
            <w:shd w:val="clear" w:color="auto" w:fill="auto"/>
            <w:noWrap/>
            <w:vAlign w:val="center"/>
            <w:hideMark/>
          </w:tcPr>
          <w:p w14:paraId="6EB00CF2"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5</w:t>
            </w:r>
          </w:p>
        </w:tc>
        <w:tc>
          <w:tcPr>
            <w:tcW w:w="702" w:type="dxa"/>
            <w:tcBorders>
              <w:top w:val="nil"/>
              <w:left w:val="nil"/>
              <w:bottom w:val="nil"/>
              <w:right w:val="nil"/>
            </w:tcBorders>
            <w:shd w:val="clear" w:color="auto" w:fill="auto"/>
            <w:noWrap/>
            <w:vAlign w:val="center"/>
            <w:hideMark/>
          </w:tcPr>
          <w:p w14:paraId="72EDA176"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15</w:t>
            </w:r>
          </w:p>
        </w:tc>
        <w:tc>
          <w:tcPr>
            <w:tcW w:w="714" w:type="dxa"/>
            <w:tcBorders>
              <w:top w:val="nil"/>
              <w:left w:val="nil"/>
              <w:bottom w:val="nil"/>
              <w:right w:val="nil"/>
            </w:tcBorders>
            <w:shd w:val="clear" w:color="auto" w:fill="auto"/>
            <w:noWrap/>
            <w:vAlign w:val="center"/>
            <w:hideMark/>
          </w:tcPr>
          <w:p w14:paraId="21582E52"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60</w:t>
            </w:r>
          </w:p>
        </w:tc>
      </w:tr>
      <w:tr w:rsidR="00D740DC" w:rsidRPr="00865679" w14:paraId="0FFB7C22" w14:textId="77777777" w:rsidTr="00B11F5F">
        <w:trPr>
          <w:trHeight w:val="264"/>
        </w:trPr>
        <w:tc>
          <w:tcPr>
            <w:tcW w:w="1764" w:type="dxa"/>
            <w:vMerge/>
            <w:tcBorders>
              <w:top w:val="nil"/>
              <w:left w:val="nil"/>
              <w:bottom w:val="single" w:sz="8" w:space="0" w:color="000000"/>
              <w:right w:val="nil"/>
            </w:tcBorders>
            <w:vAlign w:val="center"/>
            <w:hideMark/>
          </w:tcPr>
          <w:p w14:paraId="4449B999"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1883" w:type="dxa"/>
            <w:tcBorders>
              <w:top w:val="nil"/>
              <w:left w:val="nil"/>
              <w:bottom w:val="nil"/>
              <w:right w:val="nil"/>
            </w:tcBorders>
            <w:shd w:val="clear" w:color="auto" w:fill="auto"/>
            <w:vAlign w:val="center"/>
            <w:hideMark/>
          </w:tcPr>
          <w:p w14:paraId="5B61F7ED"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5</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10</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10</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60</w:t>
            </w:r>
          </w:p>
        </w:tc>
        <w:tc>
          <w:tcPr>
            <w:tcW w:w="715" w:type="dxa"/>
            <w:tcBorders>
              <w:top w:val="nil"/>
              <w:left w:val="nil"/>
              <w:bottom w:val="nil"/>
              <w:right w:val="nil"/>
            </w:tcBorders>
            <w:shd w:val="clear" w:color="auto" w:fill="auto"/>
            <w:noWrap/>
            <w:vAlign w:val="center"/>
            <w:hideMark/>
          </w:tcPr>
          <w:p w14:paraId="587114AA"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15</w:t>
            </w:r>
          </w:p>
        </w:tc>
        <w:tc>
          <w:tcPr>
            <w:tcW w:w="709" w:type="dxa"/>
            <w:tcBorders>
              <w:top w:val="nil"/>
              <w:left w:val="nil"/>
              <w:bottom w:val="nil"/>
              <w:right w:val="nil"/>
            </w:tcBorders>
            <w:shd w:val="clear" w:color="auto" w:fill="auto"/>
            <w:noWrap/>
            <w:vAlign w:val="center"/>
            <w:hideMark/>
          </w:tcPr>
          <w:p w14:paraId="0532A83C"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14" w:type="dxa"/>
            <w:tcBorders>
              <w:top w:val="nil"/>
              <w:left w:val="nil"/>
              <w:bottom w:val="nil"/>
              <w:right w:val="nil"/>
            </w:tcBorders>
            <w:shd w:val="clear" w:color="auto" w:fill="auto"/>
            <w:noWrap/>
            <w:vAlign w:val="center"/>
            <w:hideMark/>
          </w:tcPr>
          <w:p w14:paraId="036CBD8C"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5</w:t>
            </w:r>
          </w:p>
        </w:tc>
        <w:tc>
          <w:tcPr>
            <w:tcW w:w="714" w:type="dxa"/>
            <w:tcBorders>
              <w:top w:val="nil"/>
              <w:left w:val="nil"/>
              <w:bottom w:val="nil"/>
              <w:right w:val="nil"/>
            </w:tcBorders>
            <w:shd w:val="clear" w:color="auto" w:fill="auto"/>
            <w:noWrap/>
            <w:vAlign w:val="center"/>
            <w:hideMark/>
          </w:tcPr>
          <w:p w14:paraId="7DB05CBA"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nil"/>
              <w:right w:val="nil"/>
            </w:tcBorders>
            <w:shd w:val="clear" w:color="auto" w:fill="auto"/>
            <w:noWrap/>
            <w:vAlign w:val="center"/>
            <w:hideMark/>
          </w:tcPr>
          <w:p w14:paraId="71E2469A"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10</w:t>
            </w:r>
          </w:p>
        </w:tc>
        <w:tc>
          <w:tcPr>
            <w:tcW w:w="702" w:type="dxa"/>
            <w:tcBorders>
              <w:top w:val="nil"/>
              <w:left w:val="nil"/>
              <w:bottom w:val="nil"/>
              <w:right w:val="nil"/>
            </w:tcBorders>
            <w:shd w:val="clear" w:color="auto" w:fill="auto"/>
            <w:noWrap/>
            <w:vAlign w:val="center"/>
            <w:hideMark/>
          </w:tcPr>
          <w:p w14:paraId="10BB65AE"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10</w:t>
            </w:r>
          </w:p>
        </w:tc>
        <w:tc>
          <w:tcPr>
            <w:tcW w:w="714" w:type="dxa"/>
            <w:tcBorders>
              <w:top w:val="nil"/>
              <w:left w:val="nil"/>
              <w:bottom w:val="nil"/>
              <w:right w:val="nil"/>
            </w:tcBorders>
            <w:shd w:val="clear" w:color="auto" w:fill="auto"/>
            <w:noWrap/>
            <w:vAlign w:val="center"/>
            <w:hideMark/>
          </w:tcPr>
          <w:p w14:paraId="00386EB3"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60</w:t>
            </w:r>
          </w:p>
        </w:tc>
      </w:tr>
      <w:tr w:rsidR="00D740DC" w:rsidRPr="00865679" w14:paraId="73EAFC8C" w14:textId="77777777" w:rsidTr="00B11F5F">
        <w:trPr>
          <w:trHeight w:val="255"/>
        </w:trPr>
        <w:tc>
          <w:tcPr>
            <w:tcW w:w="1764" w:type="dxa"/>
            <w:vMerge/>
            <w:tcBorders>
              <w:top w:val="nil"/>
              <w:left w:val="nil"/>
              <w:bottom w:val="single" w:sz="8" w:space="0" w:color="000000"/>
              <w:right w:val="nil"/>
            </w:tcBorders>
            <w:vAlign w:val="center"/>
            <w:hideMark/>
          </w:tcPr>
          <w:p w14:paraId="3DD5D32F"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1883" w:type="dxa"/>
            <w:tcBorders>
              <w:top w:val="nil"/>
              <w:left w:val="nil"/>
              <w:bottom w:val="single" w:sz="8" w:space="0" w:color="auto"/>
              <w:right w:val="nil"/>
            </w:tcBorders>
            <w:shd w:val="clear" w:color="auto" w:fill="auto"/>
            <w:vAlign w:val="center"/>
            <w:hideMark/>
          </w:tcPr>
          <w:p w14:paraId="4F138813"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5</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5</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60</w:t>
            </w:r>
          </w:p>
        </w:tc>
        <w:tc>
          <w:tcPr>
            <w:tcW w:w="715" w:type="dxa"/>
            <w:tcBorders>
              <w:top w:val="nil"/>
              <w:left w:val="nil"/>
              <w:bottom w:val="single" w:sz="8" w:space="0" w:color="auto"/>
              <w:right w:val="nil"/>
            </w:tcBorders>
            <w:shd w:val="clear" w:color="auto" w:fill="auto"/>
            <w:noWrap/>
            <w:vAlign w:val="center"/>
            <w:hideMark/>
          </w:tcPr>
          <w:p w14:paraId="3B581054"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15</w:t>
            </w:r>
          </w:p>
        </w:tc>
        <w:tc>
          <w:tcPr>
            <w:tcW w:w="709" w:type="dxa"/>
            <w:tcBorders>
              <w:top w:val="nil"/>
              <w:left w:val="nil"/>
              <w:bottom w:val="single" w:sz="8" w:space="0" w:color="auto"/>
              <w:right w:val="nil"/>
            </w:tcBorders>
            <w:shd w:val="clear" w:color="auto" w:fill="auto"/>
            <w:noWrap/>
            <w:vAlign w:val="center"/>
            <w:hideMark/>
          </w:tcPr>
          <w:p w14:paraId="3C772EAC"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14" w:type="dxa"/>
            <w:tcBorders>
              <w:top w:val="nil"/>
              <w:left w:val="nil"/>
              <w:bottom w:val="single" w:sz="8" w:space="0" w:color="auto"/>
              <w:right w:val="nil"/>
            </w:tcBorders>
            <w:shd w:val="clear" w:color="auto" w:fill="auto"/>
            <w:noWrap/>
            <w:vAlign w:val="center"/>
            <w:hideMark/>
          </w:tcPr>
          <w:p w14:paraId="43465340"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5</w:t>
            </w:r>
          </w:p>
        </w:tc>
        <w:tc>
          <w:tcPr>
            <w:tcW w:w="714" w:type="dxa"/>
            <w:tcBorders>
              <w:top w:val="nil"/>
              <w:left w:val="nil"/>
              <w:bottom w:val="single" w:sz="8" w:space="0" w:color="auto"/>
              <w:right w:val="nil"/>
            </w:tcBorders>
            <w:shd w:val="clear" w:color="auto" w:fill="auto"/>
            <w:noWrap/>
            <w:vAlign w:val="center"/>
            <w:hideMark/>
          </w:tcPr>
          <w:p w14:paraId="7BF4A520"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single" w:sz="8" w:space="0" w:color="auto"/>
              <w:right w:val="nil"/>
            </w:tcBorders>
            <w:shd w:val="clear" w:color="auto" w:fill="auto"/>
            <w:noWrap/>
            <w:vAlign w:val="center"/>
            <w:hideMark/>
          </w:tcPr>
          <w:p w14:paraId="736FA586"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15</w:t>
            </w:r>
          </w:p>
        </w:tc>
        <w:tc>
          <w:tcPr>
            <w:tcW w:w="702" w:type="dxa"/>
            <w:tcBorders>
              <w:top w:val="nil"/>
              <w:left w:val="nil"/>
              <w:bottom w:val="single" w:sz="8" w:space="0" w:color="auto"/>
              <w:right w:val="nil"/>
            </w:tcBorders>
            <w:shd w:val="clear" w:color="auto" w:fill="auto"/>
            <w:noWrap/>
            <w:vAlign w:val="center"/>
            <w:hideMark/>
          </w:tcPr>
          <w:p w14:paraId="1D2DEAE9"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5</w:t>
            </w:r>
          </w:p>
        </w:tc>
        <w:tc>
          <w:tcPr>
            <w:tcW w:w="714" w:type="dxa"/>
            <w:tcBorders>
              <w:top w:val="nil"/>
              <w:left w:val="nil"/>
              <w:bottom w:val="single" w:sz="8" w:space="0" w:color="auto"/>
              <w:right w:val="nil"/>
            </w:tcBorders>
            <w:shd w:val="clear" w:color="auto" w:fill="auto"/>
            <w:noWrap/>
            <w:vAlign w:val="center"/>
            <w:hideMark/>
          </w:tcPr>
          <w:p w14:paraId="0599AF69"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60</w:t>
            </w:r>
          </w:p>
        </w:tc>
      </w:tr>
      <w:tr w:rsidR="00D740DC" w:rsidRPr="00865679" w14:paraId="640A075A" w14:textId="77777777" w:rsidTr="00B11F5F">
        <w:trPr>
          <w:trHeight w:val="273"/>
        </w:trPr>
        <w:tc>
          <w:tcPr>
            <w:tcW w:w="1764" w:type="dxa"/>
            <w:vMerge w:val="restart"/>
            <w:tcBorders>
              <w:top w:val="nil"/>
              <w:left w:val="nil"/>
              <w:bottom w:val="single" w:sz="8" w:space="0" w:color="000000"/>
              <w:right w:val="nil"/>
            </w:tcBorders>
            <w:shd w:val="clear" w:color="auto" w:fill="auto"/>
            <w:vAlign w:val="center"/>
            <w:hideMark/>
          </w:tcPr>
          <w:p w14:paraId="18E789E9"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x</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15-x</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10</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60</w:t>
            </w:r>
          </w:p>
        </w:tc>
        <w:tc>
          <w:tcPr>
            <w:tcW w:w="1883" w:type="dxa"/>
            <w:tcBorders>
              <w:top w:val="nil"/>
              <w:left w:val="nil"/>
              <w:bottom w:val="nil"/>
              <w:right w:val="nil"/>
            </w:tcBorders>
            <w:shd w:val="clear" w:color="auto" w:fill="auto"/>
            <w:vAlign w:val="center"/>
            <w:hideMark/>
          </w:tcPr>
          <w:p w14:paraId="05A27DA6"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7.5</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7.5</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10</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60</w:t>
            </w:r>
          </w:p>
        </w:tc>
        <w:tc>
          <w:tcPr>
            <w:tcW w:w="715" w:type="dxa"/>
            <w:tcBorders>
              <w:top w:val="nil"/>
              <w:left w:val="nil"/>
              <w:bottom w:val="nil"/>
              <w:right w:val="nil"/>
            </w:tcBorders>
            <w:shd w:val="clear" w:color="auto" w:fill="auto"/>
            <w:noWrap/>
            <w:vAlign w:val="center"/>
            <w:hideMark/>
          </w:tcPr>
          <w:p w14:paraId="45BB0027"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15</w:t>
            </w:r>
          </w:p>
        </w:tc>
        <w:tc>
          <w:tcPr>
            <w:tcW w:w="709" w:type="dxa"/>
            <w:tcBorders>
              <w:top w:val="nil"/>
              <w:left w:val="nil"/>
              <w:bottom w:val="nil"/>
              <w:right w:val="nil"/>
            </w:tcBorders>
            <w:shd w:val="clear" w:color="auto" w:fill="auto"/>
            <w:noWrap/>
            <w:vAlign w:val="center"/>
            <w:hideMark/>
          </w:tcPr>
          <w:p w14:paraId="3201B082"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14" w:type="dxa"/>
            <w:tcBorders>
              <w:top w:val="nil"/>
              <w:left w:val="nil"/>
              <w:bottom w:val="nil"/>
              <w:right w:val="nil"/>
            </w:tcBorders>
            <w:shd w:val="clear" w:color="auto" w:fill="auto"/>
            <w:noWrap/>
            <w:vAlign w:val="center"/>
            <w:hideMark/>
          </w:tcPr>
          <w:p w14:paraId="05DD4AFD"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7.5</w:t>
            </w:r>
          </w:p>
        </w:tc>
        <w:tc>
          <w:tcPr>
            <w:tcW w:w="714" w:type="dxa"/>
            <w:tcBorders>
              <w:top w:val="nil"/>
              <w:left w:val="nil"/>
              <w:bottom w:val="nil"/>
              <w:right w:val="nil"/>
            </w:tcBorders>
            <w:shd w:val="clear" w:color="auto" w:fill="auto"/>
            <w:noWrap/>
            <w:vAlign w:val="center"/>
            <w:hideMark/>
          </w:tcPr>
          <w:p w14:paraId="159284A2"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nil"/>
              <w:right w:val="nil"/>
            </w:tcBorders>
            <w:shd w:val="clear" w:color="auto" w:fill="auto"/>
            <w:noWrap/>
            <w:vAlign w:val="center"/>
            <w:hideMark/>
          </w:tcPr>
          <w:p w14:paraId="30F70196"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7.5</w:t>
            </w:r>
          </w:p>
        </w:tc>
        <w:tc>
          <w:tcPr>
            <w:tcW w:w="702" w:type="dxa"/>
            <w:tcBorders>
              <w:top w:val="nil"/>
              <w:left w:val="nil"/>
              <w:bottom w:val="nil"/>
              <w:right w:val="nil"/>
            </w:tcBorders>
            <w:shd w:val="clear" w:color="auto" w:fill="auto"/>
            <w:noWrap/>
            <w:vAlign w:val="center"/>
            <w:hideMark/>
          </w:tcPr>
          <w:p w14:paraId="0F049CF4"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10</w:t>
            </w:r>
          </w:p>
        </w:tc>
        <w:tc>
          <w:tcPr>
            <w:tcW w:w="714" w:type="dxa"/>
            <w:tcBorders>
              <w:top w:val="nil"/>
              <w:left w:val="nil"/>
              <w:bottom w:val="nil"/>
              <w:right w:val="nil"/>
            </w:tcBorders>
            <w:shd w:val="clear" w:color="auto" w:fill="auto"/>
            <w:noWrap/>
            <w:vAlign w:val="center"/>
            <w:hideMark/>
          </w:tcPr>
          <w:p w14:paraId="3F05FEBA"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60</w:t>
            </w:r>
          </w:p>
        </w:tc>
      </w:tr>
      <w:tr w:rsidR="00D740DC" w:rsidRPr="00865679" w14:paraId="1DD83F7B" w14:textId="77777777" w:rsidTr="00B11F5F">
        <w:trPr>
          <w:trHeight w:val="265"/>
        </w:trPr>
        <w:tc>
          <w:tcPr>
            <w:tcW w:w="1764" w:type="dxa"/>
            <w:vMerge/>
            <w:tcBorders>
              <w:top w:val="nil"/>
              <w:left w:val="nil"/>
              <w:bottom w:val="single" w:sz="8" w:space="0" w:color="000000"/>
              <w:right w:val="nil"/>
            </w:tcBorders>
            <w:vAlign w:val="center"/>
            <w:hideMark/>
          </w:tcPr>
          <w:p w14:paraId="6FC8E31B"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1883" w:type="dxa"/>
            <w:tcBorders>
              <w:top w:val="nil"/>
              <w:left w:val="nil"/>
              <w:bottom w:val="nil"/>
              <w:right w:val="nil"/>
            </w:tcBorders>
            <w:shd w:val="clear" w:color="auto" w:fill="auto"/>
            <w:vAlign w:val="center"/>
            <w:hideMark/>
          </w:tcPr>
          <w:p w14:paraId="08BD73BB"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10</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5</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10</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60</w:t>
            </w:r>
          </w:p>
        </w:tc>
        <w:tc>
          <w:tcPr>
            <w:tcW w:w="715" w:type="dxa"/>
            <w:tcBorders>
              <w:top w:val="nil"/>
              <w:left w:val="nil"/>
              <w:bottom w:val="nil"/>
              <w:right w:val="nil"/>
            </w:tcBorders>
            <w:shd w:val="clear" w:color="auto" w:fill="auto"/>
            <w:noWrap/>
            <w:vAlign w:val="center"/>
            <w:hideMark/>
          </w:tcPr>
          <w:p w14:paraId="670D7638"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15</w:t>
            </w:r>
          </w:p>
        </w:tc>
        <w:tc>
          <w:tcPr>
            <w:tcW w:w="709" w:type="dxa"/>
            <w:tcBorders>
              <w:top w:val="nil"/>
              <w:left w:val="nil"/>
              <w:bottom w:val="nil"/>
              <w:right w:val="nil"/>
            </w:tcBorders>
            <w:shd w:val="clear" w:color="auto" w:fill="auto"/>
            <w:noWrap/>
            <w:vAlign w:val="center"/>
            <w:hideMark/>
          </w:tcPr>
          <w:p w14:paraId="0A7D1F69"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14" w:type="dxa"/>
            <w:tcBorders>
              <w:top w:val="nil"/>
              <w:left w:val="nil"/>
              <w:bottom w:val="nil"/>
              <w:right w:val="nil"/>
            </w:tcBorders>
            <w:shd w:val="clear" w:color="auto" w:fill="auto"/>
            <w:noWrap/>
            <w:vAlign w:val="center"/>
            <w:hideMark/>
          </w:tcPr>
          <w:p w14:paraId="7D2AA32E"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10</w:t>
            </w:r>
          </w:p>
        </w:tc>
        <w:tc>
          <w:tcPr>
            <w:tcW w:w="714" w:type="dxa"/>
            <w:tcBorders>
              <w:top w:val="nil"/>
              <w:left w:val="nil"/>
              <w:bottom w:val="nil"/>
              <w:right w:val="nil"/>
            </w:tcBorders>
            <w:shd w:val="clear" w:color="auto" w:fill="auto"/>
            <w:noWrap/>
            <w:vAlign w:val="center"/>
            <w:hideMark/>
          </w:tcPr>
          <w:p w14:paraId="67C32A13"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nil"/>
              <w:right w:val="nil"/>
            </w:tcBorders>
            <w:shd w:val="clear" w:color="auto" w:fill="auto"/>
            <w:noWrap/>
            <w:vAlign w:val="center"/>
            <w:hideMark/>
          </w:tcPr>
          <w:p w14:paraId="4531F93D"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5</w:t>
            </w:r>
          </w:p>
        </w:tc>
        <w:tc>
          <w:tcPr>
            <w:tcW w:w="702" w:type="dxa"/>
            <w:tcBorders>
              <w:top w:val="nil"/>
              <w:left w:val="nil"/>
              <w:bottom w:val="nil"/>
              <w:right w:val="nil"/>
            </w:tcBorders>
            <w:shd w:val="clear" w:color="auto" w:fill="auto"/>
            <w:noWrap/>
            <w:vAlign w:val="center"/>
            <w:hideMark/>
          </w:tcPr>
          <w:p w14:paraId="293366F0"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10</w:t>
            </w:r>
          </w:p>
        </w:tc>
        <w:tc>
          <w:tcPr>
            <w:tcW w:w="714" w:type="dxa"/>
            <w:tcBorders>
              <w:top w:val="nil"/>
              <w:left w:val="nil"/>
              <w:bottom w:val="nil"/>
              <w:right w:val="nil"/>
            </w:tcBorders>
            <w:shd w:val="clear" w:color="auto" w:fill="auto"/>
            <w:noWrap/>
            <w:vAlign w:val="center"/>
            <w:hideMark/>
          </w:tcPr>
          <w:p w14:paraId="3400CD7F"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60</w:t>
            </w:r>
          </w:p>
        </w:tc>
      </w:tr>
      <w:tr w:rsidR="00D740DC" w:rsidRPr="00865679" w14:paraId="008F5020" w14:textId="77777777" w:rsidTr="00B11F5F">
        <w:trPr>
          <w:trHeight w:val="255"/>
        </w:trPr>
        <w:tc>
          <w:tcPr>
            <w:tcW w:w="1764" w:type="dxa"/>
            <w:vMerge/>
            <w:tcBorders>
              <w:top w:val="nil"/>
              <w:left w:val="nil"/>
              <w:bottom w:val="single" w:sz="8" w:space="0" w:color="000000"/>
              <w:right w:val="nil"/>
            </w:tcBorders>
            <w:vAlign w:val="center"/>
            <w:hideMark/>
          </w:tcPr>
          <w:p w14:paraId="0C0809F5"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1883" w:type="dxa"/>
            <w:tcBorders>
              <w:top w:val="nil"/>
              <w:left w:val="nil"/>
              <w:bottom w:val="single" w:sz="8" w:space="0" w:color="auto"/>
              <w:right w:val="nil"/>
            </w:tcBorders>
            <w:shd w:val="clear" w:color="auto" w:fill="auto"/>
            <w:vAlign w:val="center"/>
            <w:hideMark/>
          </w:tcPr>
          <w:p w14:paraId="2B72BF4B"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C</w:t>
            </w:r>
            <w:r w:rsidRPr="00865679">
              <w:rPr>
                <w:rFonts w:eastAsia="Times New Roman" w:cs="Times New Roman"/>
                <w:b w:val="0"/>
                <w:color w:val="000000"/>
                <w:sz w:val="20"/>
                <w:szCs w:val="20"/>
                <w:vertAlign w:val="subscript"/>
                <w:lang w:eastAsia="en-MY"/>
              </w:rPr>
              <w:t>12.5</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2.5</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10</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60</w:t>
            </w:r>
          </w:p>
        </w:tc>
        <w:tc>
          <w:tcPr>
            <w:tcW w:w="715" w:type="dxa"/>
            <w:tcBorders>
              <w:top w:val="nil"/>
              <w:left w:val="nil"/>
              <w:bottom w:val="single" w:sz="8" w:space="0" w:color="auto"/>
              <w:right w:val="nil"/>
            </w:tcBorders>
            <w:shd w:val="clear" w:color="auto" w:fill="auto"/>
            <w:noWrap/>
            <w:vAlign w:val="center"/>
            <w:hideMark/>
          </w:tcPr>
          <w:p w14:paraId="6C215811"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15</w:t>
            </w:r>
          </w:p>
        </w:tc>
        <w:tc>
          <w:tcPr>
            <w:tcW w:w="709" w:type="dxa"/>
            <w:tcBorders>
              <w:top w:val="nil"/>
              <w:left w:val="nil"/>
              <w:bottom w:val="single" w:sz="8" w:space="0" w:color="auto"/>
              <w:right w:val="nil"/>
            </w:tcBorders>
            <w:shd w:val="clear" w:color="auto" w:fill="auto"/>
            <w:noWrap/>
            <w:vAlign w:val="center"/>
            <w:hideMark/>
          </w:tcPr>
          <w:p w14:paraId="563C6A60"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14" w:type="dxa"/>
            <w:tcBorders>
              <w:top w:val="nil"/>
              <w:left w:val="nil"/>
              <w:bottom w:val="single" w:sz="8" w:space="0" w:color="auto"/>
              <w:right w:val="nil"/>
            </w:tcBorders>
            <w:shd w:val="clear" w:color="auto" w:fill="auto"/>
            <w:noWrap/>
            <w:vAlign w:val="center"/>
            <w:hideMark/>
          </w:tcPr>
          <w:p w14:paraId="66C9DBC9"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12.5</w:t>
            </w:r>
          </w:p>
        </w:tc>
        <w:tc>
          <w:tcPr>
            <w:tcW w:w="714" w:type="dxa"/>
            <w:tcBorders>
              <w:top w:val="nil"/>
              <w:left w:val="nil"/>
              <w:bottom w:val="single" w:sz="8" w:space="0" w:color="auto"/>
              <w:right w:val="nil"/>
            </w:tcBorders>
            <w:shd w:val="clear" w:color="auto" w:fill="auto"/>
            <w:noWrap/>
            <w:vAlign w:val="center"/>
            <w:hideMark/>
          </w:tcPr>
          <w:p w14:paraId="690191F9"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25" w:type="dxa"/>
            <w:tcBorders>
              <w:top w:val="nil"/>
              <w:left w:val="nil"/>
              <w:bottom w:val="single" w:sz="8" w:space="0" w:color="auto"/>
              <w:right w:val="nil"/>
            </w:tcBorders>
            <w:shd w:val="clear" w:color="auto" w:fill="auto"/>
            <w:noWrap/>
            <w:vAlign w:val="center"/>
            <w:hideMark/>
          </w:tcPr>
          <w:p w14:paraId="7C49E322"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2.5</w:t>
            </w:r>
          </w:p>
        </w:tc>
        <w:tc>
          <w:tcPr>
            <w:tcW w:w="702" w:type="dxa"/>
            <w:tcBorders>
              <w:top w:val="nil"/>
              <w:left w:val="nil"/>
              <w:bottom w:val="single" w:sz="8" w:space="0" w:color="auto"/>
              <w:right w:val="nil"/>
            </w:tcBorders>
            <w:shd w:val="clear" w:color="auto" w:fill="auto"/>
            <w:noWrap/>
            <w:vAlign w:val="center"/>
            <w:hideMark/>
          </w:tcPr>
          <w:p w14:paraId="399B7BD9"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10</w:t>
            </w:r>
          </w:p>
        </w:tc>
        <w:tc>
          <w:tcPr>
            <w:tcW w:w="714" w:type="dxa"/>
            <w:tcBorders>
              <w:top w:val="nil"/>
              <w:left w:val="nil"/>
              <w:bottom w:val="single" w:sz="8" w:space="0" w:color="auto"/>
              <w:right w:val="nil"/>
            </w:tcBorders>
            <w:shd w:val="clear" w:color="auto" w:fill="auto"/>
            <w:noWrap/>
            <w:vAlign w:val="center"/>
            <w:hideMark/>
          </w:tcPr>
          <w:p w14:paraId="1CEB0E46"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60</w:t>
            </w:r>
          </w:p>
        </w:tc>
      </w:tr>
      <w:tr w:rsidR="00D740DC" w:rsidRPr="00865679" w14:paraId="66E85A6A" w14:textId="77777777" w:rsidTr="00B11F5F">
        <w:trPr>
          <w:trHeight w:val="273"/>
        </w:trPr>
        <w:tc>
          <w:tcPr>
            <w:tcW w:w="1764" w:type="dxa"/>
            <w:vMerge w:val="restart"/>
            <w:tcBorders>
              <w:top w:val="nil"/>
              <w:left w:val="nil"/>
              <w:bottom w:val="single" w:sz="8" w:space="0" w:color="000000"/>
              <w:right w:val="nil"/>
            </w:tcBorders>
            <w:shd w:val="clear" w:color="auto" w:fill="auto"/>
            <w:vAlign w:val="center"/>
            <w:hideMark/>
          </w:tcPr>
          <w:p w14:paraId="1501940D"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Ba</w:t>
            </w:r>
            <w:r w:rsidRPr="00865679">
              <w:rPr>
                <w:rFonts w:eastAsia="Times New Roman" w:cs="Times New Roman"/>
                <w:b w:val="0"/>
                <w:color w:val="000000"/>
                <w:sz w:val="20"/>
                <w:szCs w:val="20"/>
                <w:vertAlign w:val="subscript"/>
                <w:lang w:eastAsia="en-MY"/>
              </w:rPr>
              <w:t>x</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15-x</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10</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60</w:t>
            </w:r>
          </w:p>
        </w:tc>
        <w:tc>
          <w:tcPr>
            <w:tcW w:w="1883" w:type="dxa"/>
            <w:tcBorders>
              <w:top w:val="nil"/>
              <w:left w:val="nil"/>
              <w:bottom w:val="nil"/>
              <w:right w:val="nil"/>
            </w:tcBorders>
            <w:shd w:val="clear" w:color="auto" w:fill="auto"/>
            <w:vAlign w:val="center"/>
            <w:hideMark/>
          </w:tcPr>
          <w:p w14:paraId="78996194"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Ba</w:t>
            </w:r>
            <w:r w:rsidRPr="00865679">
              <w:rPr>
                <w:rFonts w:eastAsia="Times New Roman" w:cs="Times New Roman"/>
                <w:b w:val="0"/>
                <w:color w:val="000000"/>
                <w:sz w:val="20"/>
                <w:szCs w:val="20"/>
                <w:vertAlign w:val="subscript"/>
                <w:lang w:eastAsia="en-MY"/>
              </w:rPr>
              <w:t>7.5</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7.5</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10</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60</w:t>
            </w:r>
          </w:p>
        </w:tc>
        <w:tc>
          <w:tcPr>
            <w:tcW w:w="715" w:type="dxa"/>
            <w:tcBorders>
              <w:top w:val="nil"/>
              <w:left w:val="nil"/>
              <w:bottom w:val="nil"/>
              <w:right w:val="nil"/>
            </w:tcBorders>
            <w:shd w:val="clear" w:color="auto" w:fill="auto"/>
            <w:noWrap/>
            <w:vAlign w:val="center"/>
            <w:hideMark/>
          </w:tcPr>
          <w:p w14:paraId="2F417293"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15</w:t>
            </w:r>
          </w:p>
        </w:tc>
        <w:tc>
          <w:tcPr>
            <w:tcW w:w="709" w:type="dxa"/>
            <w:tcBorders>
              <w:top w:val="nil"/>
              <w:left w:val="nil"/>
              <w:bottom w:val="nil"/>
              <w:right w:val="nil"/>
            </w:tcBorders>
            <w:shd w:val="clear" w:color="auto" w:fill="auto"/>
            <w:noWrap/>
            <w:vAlign w:val="center"/>
            <w:hideMark/>
          </w:tcPr>
          <w:p w14:paraId="7CD540BF"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14" w:type="dxa"/>
            <w:tcBorders>
              <w:top w:val="nil"/>
              <w:left w:val="nil"/>
              <w:bottom w:val="nil"/>
              <w:right w:val="nil"/>
            </w:tcBorders>
            <w:shd w:val="clear" w:color="auto" w:fill="auto"/>
            <w:noWrap/>
            <w:vAlign w:val="center"/>
            <w:hideMark/>
          </w:tcPr>
          <w:p w14:paraId="1C21ED4E"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14" w:type="dxa"/>
            <w:tcBorders>
              <w:top w:val="nil"/>
              <w:left w:val="nil"/>
              <w:bottom w:val="nil"/>
              <w:right w:val="nil"/>
            </w:tcBorders>
            <w:shd w:val="clear" w:color="auto" w:fill="auto"/>
            <w:noWrap/>
            <w:vAlign w:val="center"/>
            <w:hideMark/>
          </w:tcPr>
          <w:p w14:paraId="5C997E02"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7.5</w:t>
            </w:r>
          </w:p>
        </w:tc>
        <w:tc>
          <w:tcPr>
            <w:tcW w:w="725" w:type="dxa"/>
            <w:tcBorders>
              <w:top w:val="nil"/>
              <w:left w:val="nil"/>
              <w:bottom w:val="nil"/>
              <w:right w:val="nil"/>
            </w:tcBorders>
            <w:shd w:val="clear" w:color="auto" w:fill="auto"/>
            <w:noWrap/>
            <w:vAlign w:val="center"/>
            <w:hideMark/>
          </w:tcPr>
          <w:p w14:paraId="0784072B"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7.5</w:t>
            </w:r>
          </w:p>
        </w:tc>
        <w:tc>
          <w:tcPr>
            <w:tcW w:w="702" w:type="dxa"/>
            <w:tcBorders>
              <w:top w:val="nil"/>
              <w:left w:val="nil"/>
              <w:bottom w:val="nil"/>
              <w:right w:val="nil"/>
            </w:tcBorders>
            <w:shd w:val="clear" w:color="auto" w:fill="auto"/>
            <w:noWrap/>
            <w:vAlign w:val="center"/>
            <w:hideMark/>
          </w:tcPr>
          <w:p w14:paraId="6F13BA6F"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10</w:t>
            </w:r>
          </w:p>
        </w:tc>
        <w:tc>
          <w:tcPr>
            <w:tcW w:w="714" w:type="dxa"/>
            <w:tcBorders>
              <w:top w:val="nil"/>
              <w:left w:val="nil"/>
              <w:bottom w:val="nil"/>
              <w:right w:val="nil"/>
            </w:tcBorders>
            <w:shd w:val="clear" w:color="auto" w:fill="auto"/>
            <w:noWrap/>
            <w:vAlign w:val="center"/>
            <w:hideMark/>
          </w:tcPr>
          <w:p w14:paraId="62E42EE8"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60</w:t>
            </w:r>
          </w:p>
        </w:tc>
      </w:tr>
      <w:tr w:rsidR="00D740DC" w:rsidRPr="00865679" w14:paraId="63B0BA78" w14:textId="77777777" w:rsidTr="00B11F5F">
        <w:trPr>
          <w:trHeight w:val="263"/>
        </w:trPr>
        <w:tc>
          <w:tcPr>
            <w:tcW w:w="1764" w:type="dxa"/>
            <w:vMerge/>
            <w:tcBorders>
              <w:top w:val="nil"/>
              <w:left w:val="nil"/>
              <w:bottom w:val="single" w:sz="8" w:space="0" w:color="000000"/>
              <w:right w:val="nil"/>
            </w:tcBorders>
            <w:vAlign w:val="center"/>
            <w:hideMark/>
          </w:tcPr>
          <w:p w14:paraId="7AE17011"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1883" w:type="dxa"/>
            <w:tcBorders>
              <w:top w:val="nil"/>
              <w:left w:val="nil"/>
              <w:bottom w:val="nil"/>
              <w:right w:val="nil"/>
            </w:tcBorders>
            <w:shd w:val="clear" w:color="auto" w:fill="auto"/>
            <w:vAlign w:val="center"/>
            <w:hideMark/>
          </w:tcPr>
          <w:p w14:paraId="35953B08"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Ba</w:t>
            </w:r>
            <w:r w:rsidRPr="00865679">
              <w:rPr>
                <w:rFonts w:eastAsia="Times New Roman" w:cs="Times New Roman"/>
                <w:b w:val="0"/>
                <w:color w:val="000000"/>
                <w:sz w:val="20"/>
                <w:szCs w:val="20"/>
                <w:vertAlign w:val="subscript"/>
                <w:lang w:eastAsia="en-MY"/>
              </w:rPr>
              <w:t>10</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5</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10</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60</w:t>
            </w:r>
          </w:p>
        </w:tc>
        <w:tc>
          <w:tcPr>
            <w:tcW w:w="715" w:type="dxa"/>
            <w:tcBorders>
              <w:top w:val="nil"/>
              <w:left w:val="nil"/>
              <w:bottom w:val="nil"/>
              <w:right w:val="nil"/>
            </w:tcBorders>
            <w:shd w:val="clear" w:color="auto" w:fill="auto"/>
            <w:noWrap/>
            <w:vAlign w:val="center"/>
            <w:hideMark/>
          </w:tcPr>
          <w:p w14:paraId="39066950"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15</w:t>
            </w:r>
          </w:p>
        </w:tc>
        <w:tc>
          <w:tcPr>
            <w:tcW w:w="709" w:type="dxa"/>
            <w:tcBorders>
              <w:top w:val="nil"/>
              <w:left w:val="nil"/>
              <w:bottom w:val="nil"/>
              <w:right w:val="nil"/>
            </w:tcBorders>
            <w:shd w:val="clear" w:color="auto" w:fill="auto"/>
            <w:noWrap/>
            <w:vAlign w:val="center"/>
            <w:hideMark/>
          </w:tcPr>
          <w:p w14:paraId="4602FFDF"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14" w:type="dxa"/>
            <w:tcBorders>
              <w:top w:val="nil"/>
              <w:left w:val="nil"/>
              <w:bottom w:val="nil"/>
              <w:right w:val="nil"/>
            </w:tcBorders>
            <w:shd w:val="clear" w:color="auto" w:fill="auto"/>
            <w:noWrap/>
            <w:vAlign w:val="center"/>
            <w:hideMark/>
          </w:tcPr>
          <w:p w14:paraId="7C1EF7BB"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14" w:type="dxa"/>
            <w:tcBorders>
              <w:top w:val="nil"/>
              <w:left w:val="nil"/>
              <w:bottom w:val="nil"/>
              <w:right w:val="nil"/>
            </w:tcBorders>
            <w:shd w:val="clear" w:color="auto" w:fill="auto"/>
            <w:noWrap/>
            <w:vAlign w:val="center"/>
            <w:hideMark/>
          </w:tcPr>
          <w:p w14:paraId="4B12CC73"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10</w:t>
            </w:r>
          </w:p>
        </w:tc>
        <w:tc>
          <w:tcPr>
            <w:tcW w:w="725" w:type="dxa"/>
            <w:tcBorders>
              <w:top w:val="nil"/>
              <w:left w:val="nil"/>
              <w:bottom w:val="nil"/>
              <w:right w:val="nil"/>
            </w:tcBorders>
            <w:shd w:val="clear" w:color="auto" w:fill="auto"/>
            <w:noWrap/>
            <w:vAlign w:val="center"/>
            <w:hideMark/>
          </w:tcPr>
          <w:p w14:paraId="2B3A3A03"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5</w:t>
            </w:r>
          </w:p>
        </w:tc>
        <w:tc>
          <w:tcPr>
            <w:tcW w:w="702" w:type="dxa"/>
            <w:tcBorders>
              <w:top w:val="nil"/>
              <w:left w:val="nil"/>
              <w:bottom w:val="nil"/>
              <w:right w:val="nil"/>
            </w:tcBorders>
            <w:shd w:val="clear" w:color="auto" w:fill="auto"/>
            <w:noWrap/>
            <w:vAlign w:val="center"/>
            <w:hideMark/>
          </w:tcPr>
          <w:p w14:paraId="73D03D95"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10</w:t>
            </w:r>
          </w:p>
        </w:tc>
        <w:tc>
          <w:tcPr>
            <w:tcW w:w="714" w:type="dxa"/>
            <w:tcBorders>
              <w:top w:val="nil"/>
              <w:left w:val="nil"/>
              <w:bottom w:val="nil"/>
              <w:right w:val="nil"/>
            </w:tcBorders>
            <w:shd w:val="clear" w:color="auto" w:fill="auto"/>
            <w:noWrap/>
            <w:vAlign w:val="center"/>
            <w:hideMark/>
          </w:tcPr>
          <w:p w14:paraId="16D77BB0"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60</w:t>
            </w:r>
          </w:p>
        </w:tc>
      </w:tr>
      <w:tr w:rsidR="00D740DC" w:rsidRPr="00865679" w14:paraId="025ACBAB" w14:textId="77777777" w:rsidTr="00B11F5F">
        <w:trPr>
          <w:trHeight w:val="264"/>
        </w:trPr>
        <w:tc>
          <w:tcPr>
            <w:tcW w:w="1764" w:type="dxa"/>
            <w:vMerge/>
            <w:tcBorders>
              <w:top w:val="nil"/>
              <w:left w:val="nil"/>
              <w:bottom w:val="single" w:sz="8" w:space="0" w:color="000000"/>
              <w:right w:val="nil"/>
            </w:tcBorders>
            <w:vAlign w:val="center"/>
            <w:hideMark/>
          </w:tcPr>
          <w:p w14:paraId="0DEE7BE4" w14:textId="77777777" w:rsidR="00D740DC" w:rsidRPr="00865679" w:rsidRDefault="00D740DC" w:rsidP="00B11F5F">
            <w:pPr>
              <w:spacing w:after="0" w:line="240" w:lineRule="auto"/>
              <w:rPr>
                <w:rFonts w:eastAsia="Times New Roman" w:cs="Times New Roman"/>
                <w:b w:val="0"/>
                <w:color w:val="000000"/>
                <w:sz w:val="20"/>
                <w:szCs w:val="20"/>
                <w:lang w:eastAsia="en-MY"/>
              </w:rPr>
            </w:pPr>
          </w:p>
        </w:tc>
        <w:tc>
          <w:tcPr>
            <w:tcW w:w="1883" w:type="dxa"/>
            <w:tcBorders>
              <w:top w:val="nil"/>
              <w:left w:val="nil"/>
              <w:bottom w:val="single" w:sz="8" w:space="0" w:color="auto"/>
              <w:right w:val="nil"/>
            </w:tcBorders>
            <w:shd w:val="clear" w:color="auto" w:fill="auto"/>
            <w:vAlign w:val="center"/>
            <w:hideMark/>
          </w:tcPr>
          <w:p w14:paraId="11139BB1" w14:textId="77777777" w:rsidR="00D740DC" w:rsidRPr="00865679" w:rsidRDefault="00D740DC" w:rsidP="00B11F5F">
            <w:pPr>
              <w:spacing w:after="0" w:line="240" w:lineRule="auto"/>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N</w:t>
            </w:r>
            <w:r w:rsidRPr="00865679">
              <w:rPr>
                <w:rFonts w:eastAsia="Times New Roman" w:cs="Times New Roman"/>
                <w:b w:val="0"/>
                <w:color w:val="000000"/>
                <w:sz w:val="20"/>
                <w:szCs w:val="20"/>
                <w:vertAlign w:val="subscript"/>
                <w:lang w:eastAsia="en-MY"/>
              </w:rPr>
              <w:t>15</w:t>
            </w:r>
            <w:r w:rsidRPr="00865679">
              <w:rPr>
                <w:rFonts w:eastAsia="Times New Roman" w:cs="Times New Roman"/>
                <w:b w:val="0"/>
                <w:color w:val="000000"/>
                <w:sz w:val="20"/>
                <w:szCs w:val="20"/>
                <w:lang w:eastAsia="en-MY"/>
              </w:rPr>
              <w:t>Ba</w:t>
            </w:r>
            <w:r w:rsidRPr="00865679">
              <w:rPr>
                <w:rFonts w:eastAsia="Times New Roman" w:cs="Times New Roman"/>
                <w:b w:val="0"/>
                <w:color w:val="000000"/>
                <w:sz w:val="20"/>
                <w:szCs w:val="20"/>
                <w:vertAlign w:val="subscript"/>
                <w:lang w:eastAsia="en-MY"/>
              </w:rPr>
              <w:t>12.5</w:t>
            </w:r>
            <w:r w:rsidRPr="00865679">
              <w:rPr>
                <w:rFonts w:eastAsia="Times New Roman" w:cs="Times New Roman"/>
                <w:b w:val="0"/>
                <w:color w:val="000000"/>
                <w:sz w:val="20"/>
                <w:szCs w:val="20"/>
                <w:lang w:eastAsia="en-MY"/>
              </w:rPr>
              <w:t>A</w:t>
            </w:r>
            <w:r w:rsidRPr="00865679">
              <w:rPr>
                <w:rFonts w:eastAsia="Times New Roman" w:cs="Times New Roman"/>
                <w:b w:val="0"/>
                <w:color w:val="000000"/>
                <w:sz w:val="20"/>
                <w:szCs w:val="20"/>
                <w:vertAlign w:val="subscript"/>
                <w:lang w:eastAsia="en-MY"/>
              </w:rPr>
              <w:t>2.5</w:t>
            </w:r>
            <w:r w:rsidRPr="00865679">
              <w:rPr>
                <w:rFonts w:eastAsia="Times New Roman" w:cs="Times New Roman"/>
                <w:b w:val="0"/>
                <w:color w:val="000000"/>
                <w:sz w:val="20"/>
                <w:szCs w:val="20"/>
                <w:lang w:eastAsia="en-MY"/>
              </w:rPr>
              <w:t>B</w:t>
            </w:r>
            <w:r w:rsidRPr="00865679">
              <w:rPr>
                <w:rFonts w:eastAsia="Times New Roman" w:cs="Times New Roman"/>
                <w:b w:val="0"/>
                <w:color w:val="000000"/>
                <w:sz w:val="20"/>
                <w:szCs w:val="20"/>
                <w:vertAlign w:val="subscript"/>
                <w:lang w:eastAsia="en-MY"/>
              </w:rPr>
              <w:t>10</w:t>
            </w:r>
            <w:r w:rsidRPr="00865679">
              <w:rPr>
                <w:rFonts w:eastAsia="Times New Roman" w:cs="Times New Roman"/>
                <w:b w:val="0"/>
                <w:color w:val="000000"/>
                <w:sz w:val="20"/>
                <w:szCs w:val="20"/>
                <w:lang w:eastAsia="en-MY"/>
              </w:rPr>
              <w:t>S</w:t>
            </w:r>
            <w:r w:rsidRPr="00865679">
              <w:rPr>
                <w:rFonts w:eastAsia="Times New Roman" w:cs="Times New Roman"/>
                <w:b w:val="0"/>
                <w:color w:val="000000"/>
                <w:sz w:val="20"/>
                <w:szCs w:val="20"/>
                <w:vertAlign w:val="subscript"/>
                <w:lang w:eastAsia="en-MY"/>
              </w:rPr>
              <w:t>60</w:t>
            </w:r>
          </w:p>
        </w:tc>
        <w:tc>
          <w:tcPr>
            <w:tcW w:w="715" w:type="dxa"/>
            <w:tcBorders>
              <w:top w:val="nil"/>
              <w:left w:val="nil"/>
              <w:bottom w:val="single" w:sz="8" w:space="0" w:color="auto"/>
              <w:right w:val="nil"/>
            </w:tcBorders>
            <w:shd w:val="clear" w:color="auto" w:fill="auto"/>
            <w:noWrap/>
            <w:vAlign w:val="center"/>
            <w:hideMark/>
          </w:tcPr>
          <w:p w14:paraId="3848A22E"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15</w:t>
            </w:r>
          </w:p>
        </w:tc>
        <w:tc>
          <w:tcPr>
            <w:tcW w:w="709" w:type="dxa"/>
            <w:tcBorders>
              <w:top w:val="nil"/>
              <w:left w:val="nil"/>
              <w:bottom w:val="single" w:sz="8" w:space="0" w:color="auto"/>
              <w:right w:val="nil"/>
            </w:tcBorders>
            <w:shd w:val="clear" w:color="auto" w:fill="auto"/>
            <w:noWrap/>
            <w:vAlign w:val="center"/>
            <w:hideMark/>
          </w:tcPr>
          <w:p w14:paraId="5582801F"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14" w:type="dxa"/>
            <w:tcBorders>
              <w:top w:val="nil"/>
              <w:left w:val="nil"/>
              <w:bottom w:val="single" w:sz="8" w:space="0" w:color="auto"/>
              <w:right w:val="nil"/>
            </w:tcBorders>
            <w:shd w:val="clear" w:color="auto" w:fill="auto"/>
            <w:noWrap/>
            <w:vAlign w:val="center"/>
            <w:hideMark/>
          </w:tcPr>
          <w:p w14:paraId="0A7A150F"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0</w:t>
            </w:r>
          </w:p>
        </w:tc>
        <w:tc>
          <w:tcPr>
            <w:tcW w:w="714" w:type="dxa"/>
            <w:tcBorders>
              <w:top w:val="nil"/>
              <w:left w:val="nil"/>
              <w:bottom w:val="single" w:sz="8" w:space="0" w:color="auto"/>
              <w:right w:val="nil"/>
            </w:tcBorders>
            <w:shd w:val="clear" w:color="auto" w:fill="auto"/>
            <w:noWrap/>
            <w:vAlign w:val="center"/>
            <w:hideMark/>
          </w:tcPr>
          <w:p w14:paraId="0886943A"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12.5</w:t>
            </w:r>
          </w:p>
        </w:tc>
        <w:tc>
          <w:tcPr>
            <w:tcW w:w="725" w:type="dxa"/>
            <w:tcBorders>
              <w:top w:val="nil"/>
              <w:left w:val="nil"/>
              <w:bottom w:val="single" w:sz="8" w:space="0" w:color="auto"/>
              <w:right w:val="nil"/>
            </w:tcBorders>
            <w:shd w:val="clear" w:color="auto" w:fill="auto"/>
            <w:noWrap/>
            <w:vAlign w:val="center"/>
            <w:hideMark/>
          </w:tcPr>
          <w:p w14:paraId="2DF13C41"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2.5</w:t>
            </w:r>
          </w:p>
        </w:tc>
        <w:tc>
          <w:tcPr>
            <w:tcW w:w="702" w:type="dxa"/>
            <w:tcBorders>
              <w:top w:val="nil"/>
              <w:left w:val="nil"/>
              <w:bottom w:val="single" w:sz="8" w:space="0" w:color="auto"/>
              <w:right w:val="nil"/>
            </w:tcBorders>
            <w:shd w:val="clear" w:color="auto" w:fill="auto"/>
            <w:noWrap/>
            <w:vAlign w:val="center"/>
            <w:hideMark/>
          </w:tcPr>
          <w:p w14:paraId="1AA15285"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10</w:t>
            </w:r>
          </w:p>
        </w:tc>
        <w:tc>
          <w:tcPr>
            <w:tcW w:w="714" w:type="dxa"/>
            <w:tcBorders>
              <w:top w:val="nil"/>
              <w:left w:val="nil"/>
              <w:bottom w:val="single" w:sz="8" w:space="0" w:color="auto"/>
              <w:right w:val="nil"/>
            </w:tcBorders>
            <w:shd w:val="clear" w:color="auto" w:fill="auto"/>
            <w:noWrap/>
            <w:vAlign w:val="center"/>
            <w:hideMark/>
          </w:tcPr>
          <w:p w14:paraId="39E7880A" w14:textId="77777777" w:rsidR="00D740DC" w:rsidRPr="00865679" w:rsidRDefault="00D740DC" w:rsidP="00B11F5F">
            <w:pPr>
              <w:spacing w:after="0" w:line="240" w:lineRule="auto"/>
              <w:jc w:val="center"/>
              <w:rPr>
                <w:rFonts w:eastAsia="Times New Roman" w:cs="Times New Roman"/>
                <w:b w:val="0"/>
                <w:color w:val="000000"/>
                <w:sz w:val="20"/>
                <w:szCs w:val="20"/>
                <w:lang w:eastAsia="en-MY"/>
              </w:rPr>
            </w:pPr>
            <w:r w:rsidRPr="00865679">
              <w:rPr>
                <w:rFonts w:eastAsia="Times New Roman" w:cs="Times New Roman"/>
                <w:b w:val="0"/>
                <w:color w:val="000000"/>
                <w:sz w:val="20"/>
                <w:szCs w:val="20"/>
                <w:lang w:eastAsia="en-MY"/>
              </w:rPr>
              <w:t>60</w:t>
            </w:r>
          </w:p>
        </w:tc>
      </w:tr>
    </w:tbl>
    <w:p w14:paraId="7043FF0A" w14:textId="77777777" w:rsidR="00D740DC" w:rsidRDefault="00D740DC" w:rsidP="00D740DC">
      <w:pPr>
        <w:rPr>
          <w:lang w:val="en-GB"/>
        </w:rPr>
      </w:pPr>
    </w:p>
    <w:p w14:paraId="7B9C0B02" w14:textId="77777777" w:rsidR="00D740DC" w:rsidRDefault="00D740DC" w:rsidP="00D740DC">
      <w:pPr>
        <w:rPr>
          <w:lang w:val="en-GB"/>
        </w:rPr>
      </w:pPr>
    </w:p>
    <w:p w14:paraId="2C5F3D8B" w14:textId="11AF62C6" w:rsidR="00D740DC" w:rsidRDefault="00D740DC" w:rsidP="00D740DC">
      <w:pPr>
        <w:rPr>
          <w:lang w:val="en-GB"/>
        </w:rPr>
      </w:pPr>
    </w:p>
    <w:p w14:paraId="106D03C0" w14:textId="77777777" w:rsidR="000648E6" w:rsidRDefault="000648E6" w:rsidP="00D740DC">
      <w:pPr>
        <w:rPr>
          <w:lang w:val="en-GB"/>
        </w:rPr>
      </w:pPr>
    </w:p>
    <w:p w14:paraId="5CC8D409" w14:textId="27BBD009" w:rsidR="00D740DC" w:rsidRPr="000E2377" w:rsidRDefault="00D740DC" w:rsidP="00D740DC">
      <w:pPr>
        <w:pStyle w:val="Caption"/>
        <w:rPr>
          <w:szCs w:val="24"/>
        </w:rPr>
      </w:pPr>
      <w:bookmarkStart w:id="255" w:name="_Toc525225326"/>
      <w:bookmarkStart w:id="256" w:name="_Toc525706422"/>
      <w:r w:rsidRPr="000E2377">
        <w:lastRenderedPageBreak/>
        <w:t xml:space="preserve">Table </w:t>
      </w:r>
      <w:r>
        <w:t>3</w:t>
      </w:r>
      <w:r w:rsidRPr="000E2377">
        <w:t>.</w:t>
      </w:r>
      <w:r>
        <w:t>1</w:t>
      </w:r>
      <w:r w:rsidRPr="000E2377">
        <w:rPr>
          <w:b w:val="0"/>
          <w:szCs w:val="24"/>
        </w:rPr>
        <w:t xml:space="preserve"> </w:t>
      </w:r>
      <w:r w:rsidRPr="000E2377">
        <w:rPr>
          <w:szCs w:val="24"/>
        </w:rPr>
        <w:t xml:space="preserve">Batched compositions of the </w:t>
      </w:r>
      <w:r>
        <w:rPr>
          <w:szCs w:val="24"/>
        </w:rPr>
        <w:t>boroaluminosilicate</w:t>
      </w:r>
      <w:r w:rsidRPr="000E2377">
        <w:rPr>
          <w:szCs w:val="24"/>
        </w:rPr>
        <w:t xml:space="preserve"> glasses studied</w:t>
      </w:r>
      <w:bookmarkEnd w:id="255"/>
      <w:bookmarkEnd w:id="256"/>
      <w:r>
        <w:rPr>
          <w:szCs w:val="24"/>
        </w:rPr>
        <w:t>.</w:t>
      </w:r>
    </w:p>
    <w:tbl>
      <w:tblPr>
        <w:tblW w:w="9571" w:type="dxa"/>
        <w:tblLook w:val="04A0" w:firstRow="1" w:lastRow="0" w:firstColumn="1" w:lastColumn="0" w:noHBand="0" w:noVBand="1"/>
      </w:tblPr>
      <w:tblGrid>
        <w:gridCol w:w="1734"/>
        <w:gridCol w:w="2048"/>
        <w:gridCol w:w="933"/>
        <w:gridCol w:w="809"/>
        <w:gridCol w:w="812"/>
        <w:gridCol w:w="798"/>
        <w:gridCol w:w="819"/>
        <w:gridCol w:w="806"/>
        <w:gridCol w:w="812"/>
      </w:tblGrid>
      <w:tr w:rsidR="00D740DC" w:rsidRPr="000E2377" w14:paraId="310AB1AD" w14:textId="77777777" w:rsidTr="00B11F5F">
        <w:trPr>
          <w:trHeight w:val="315"/>
        </w:trPr>
        <w:tc>
          <w:tcPr>
            <w:tcW w:w="1734" w:type="dxa"/>
            <w:vMerge w:val="restart"/>
            <w:tcBorders>
              <w:top w:val="single" w:sz="8" w:space="0" w:color="auto"/>
              <w:left w:val="nil"/>
              <w:bottom w:val="single" w:sz="8" w:space="0" w:color="000000"/>
              <w:right w:val="nil"/>
            </w:tcBorders>
            <w:shd w:val="clear" w:color="auto" w:fill="auto"/>
            <w:noWrap/>
            <w:vAlign w:val="center"/>
            <w:hideMark/>
          </w:tcPr>
          <w:p w14:paraId="1F7B559B"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Glass Series</w:t>
            </w:r>
          </w:p>
        </w:tc>
        <w:tc>
          <w:tcPr>
            <w:tcW w:w="2048" w:type="dxa"/>
            <w:vMerge w:val="restart"/>
            <w:tcBorders>
              <w:top w:val="single" w:sz="8" w:space="0" w:color="auto"/>
              <w:left w:val="nil"/>
              <w:bottom w:val="single" w:sz="8" w:space="0" w:color="000000"/>
              <w:right w:val="nil"/>
            </w:tcBorders>
            <w:shd w:val="clear" w:color="auto" w:fill="auto"/>
            <w:noWrap/>
            <w:vAlign w:val="center"/>
            <w:hideMark/>
          </w:tcPr>
          <w:p w14:paraId="598FEA35"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Glass ID</w:t>
            </w:r>
          </w:p>
        </w:tc>
        <w:tc>
          <w:tcPr>
            <w:tcW w:w="5789" w:type="dxa"/>
            <w:gridSpan w:val="7"/>
            <w:tcBorders>
              <w:top w:val="single" w:sz="8" w:space="0" w:color="auto"/>
              <w:left w:val="nil"/>
              <w:bottom w:val="single" w:sz="8" w:space="0" w:color="auto"/>
              <w:right w:val="nil"/>
            </w:tcBorders>
            <w:shd w:val="clear" w:color="auto" w:fill="auto"/>
            <w:vAlign w:val="center"/>
            <w:hideMark/>
          </w:tcPr>
          <w:p w14:paraId="0118D75D" w14:textId="77777777" w:rsidR="00D740DC" w:rsidRPr="000E2377" w:rsidRDefault="00D740DC" w:rsidP="00B11F5F">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Batched Composition</w:t>
            </w:r>
            <w:r>
              <w:rPr>
                <w:rFonts w:eastAsia="Times New Roman" w:cs="Times New Roman"/>
                <w:b w:val="0"/>
                <w:color w:val="000000"/>
                <w:sz w:val="16"/>
                <w:szCs w:val="16"/>
                <w:lang w:eastAsia="en-MY"/>
              </w:rPr>
              <w:t xml:space="preserve"> (mol%)</w:t>
            </w:r>
          </w:p>
        </w:tc>
      </w:tr>
      <w:tr w:rsidR="00D740DC" w:rsidRPr="000E2377" w14:paraId="3024B67E" w14:textId="77777777" w:rsidTr="00B11F5F">
        <w:trPr>
          <w:trHeight w:val="315"/>
        </w:trPr>
        <w:tc>
          <w:tcPr>
            <w:tcW w:w="1734" w:type="dxa"/>
            <w:vMerge/>
            <w:tcBorders>
              <w:top w:val="single" w:sz="8" w:space="0" w:color="auto"/>
              <w:left w:val="nil"/>
              <w:bottom w:val="single" w:sz="8" w:space="0" w:color="000000"/>
              <w:right w:val="nil"/>
            </w:tcBorders>
            <w:vAlign w:val="center"/>
            <w:hideMark/>
          </w:tcPr>
          <w:p w14:paraId="024EF7BE" w14:textId="77777777" w:rsidR="00D740DC" w:rsidRPr="000E2377" w:rsidRDefault="00D740DC" w:rsidP="00B11F5F">
            <w:pPr>
              <w:spacing w:after="0" w:line="360" w:lineRule="auto"/>
              <w:rPr>
                <w:rFonts w:eastAsia="Times New Roman" w:cs="Times New Roman"/>
                <w:b w:val="0"/>
                <w:color w:val="000000"/>
                <w:sz w:val="20"/>
                <w:szCs w:val="20"/>
                <w:lang w:eastAsia="en-MY"/>
              </w:rPr>
            </w:pPr>
          </w:p>
        </w:tc>
        <w:tc>
          <w:tcPr>
            <w:tcW w:w="2048" w:type="dxa"/>
            <w:vMerge/>
            <w:tcBorders>
              <w:top w:val="single" w:sz="8" w:space="0" w:color="auto"/>
              <w:left w:val="nil"/>
              <w:bottom w:val="single" w:sz="8" w:space="0" w:color="000000"/>
              <w:right w:val="nil"/>
            </w:tcBorders>
            <w:vAlign w:val="center"/>
            <w:hideMark/>
          </w:tcPr>
          <w:p w14:paraId="2A82F45A" w14:textId="77777777" w:rsidR="00D740DC" w:rsidRPr="000E2377" w:rsidRDefault="00D740DC" w:rsidP="00B11F5F">
            <w:pPr>
              <w:spacing w:after="0" w:line="360" w:lineRule="auto"/>
              <w:rPr>
                <w:rFonts w:eastAsia="Times New Roman" w:cs="Times New Roman"/>
                <w:b w:val="0"/>
                <w:color w:val="000000"/>
                <w:sz w:val="20"/>
                <w:szCs w:val="20"/>
                <w:lang w:eastAsia="en-MY"/>
              </w:rPr>
            </w:pPr>
          </w:p>
        </w:tc>
        <w:tc>
          <w:tcPr>
            <w:tcW w:w="933" w:type="dxa"/>
            <w:tcBorders>
              <w:top w:val="nil"/>
              <w:left w:val="nil"/>
              <w:bottom w:val="single" w:sz="8" w:space="0" w:color="auto"/>
              <w:right w:val="nil"/>
            </w:tcBorders>
            <w:shd w:val="clear" w:color="auto" w:fill="auto"/>
            <w:vAlign w:val="center"/>
            <w:hideMark/>
          </w:tcPr>
          <w:p w14:paraId="7CE4E4FE" w14:textId="77777777" w:rsidR="00D740DC" w:rsidRPr="000E2377" w:rsidRDefault="00D740DC" w:rsidP="00B11F5F">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Na</w:t>
            </w:r>
            <w:r w:rsidRPr="000E2377">
              <w:rPr>
                <w:rFonts w:eastAsia="Times New Roman" w:cs="Times New Roman"/>
                <w:b w:val="0"/>
                <w:color w:val="000000"/>
                <w:sz w:val="16"/>
                <w:szCs w:val="16"/>
                <w:vertAlign w:val="subscript"/>
                <w:lang w:eastAsia="en-MY"/>
              </w:rPr>
              <w:t>2</w:t>
            </w:r>
            <w:r w:rsidRPr="000E2377">
              <w:rPr>
                <w:rFonts w:eastAsia="Times New Roman" w:cs="Times New Roman"/>
                <w:b w:val="0"/>
                <w:color w:val="000000"/>
                <w:sz w:val="16"/>
                <w:szCs w:val="16"/>
                <w:lang w:eastAsia="en-MY"/>
              </w:rPr>
              <w:t>O</w:t>
            </w:r>
          </w:p>
        </w:tc>
        <w:tc>
          <w:tcPr>
            <w:tcW w:w="809" w:type="dxa"/>
            <w:tcBorders>
              <w:top w:val="nil"/>
              <w:left w:val="nil"/>
              <w:bottom w:val="single" w:sz="8" w:space="0" w:color="auto"/>
              <w:right w:val="nil"/>
            </w:tcBorders>
            <w:shd w:val="clear" w:color="auto" w:fill="auto"/>
            <w:vAlign w:val="center"/>
            <w:hideMark/>
          </w:tcPr>
          <w:p w14:paraId="7431D79F" w14:textId="77777777" w:rsidR="00D740DC" w:rsidRPr="000E2377" w:rsidRDefault="00D740DC" w:rsidP="00B11F5F">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MgO</w:t>
            </w:r>
          </w:p>
        </w:tc>
        <w:tc>
          <w:tcPr>
            <w:tcW w:w="812" w:type="dxa"/>
            <w:tcBorders>
              <w:top w:val="nil"/>
              <w:left w:val="nil"/>
              <w:bottom w:val="single" w:sz="8" w:space="0" w:color="auto"/>
              <w:right w:val="nil"/>
            </w:tcBorders>
            <w:shd w:val="clear" w:color="auto" w:fill="auto"/>
            <w:vAlign w:val="center"/>
            <w:hideMark/>
          </w:tcPr>
          <w:p w14:paraId="3729F436" w14:textId="77777777" w:rsidR="00D740DC" w:rsidRPr="000E2377" w:rsidRDefault="00D740DC" w:rsidP="00B11F5F">
            <w:pPr>
              <w:spacing w:after="0" w:line="360" w:lineRule="auto"/>
              <w:jc w:val="center"/>
              <w:rPr>
                <w:rFonts w:eastAsia="Times New Roman" w:cs="Times New Roman"/>
                <w:b w:val="0"/>
                <w:color w:val="000000"/>
                <w:sz w:val="16"/>
                <w:szCs w:val="16"/>
                <w:lang w:eastAsia="en-MY"/>
              </w:rPr>
            </w:pPr>
            <w:proofErr w:type="spellStart"/>
            <w:r w:rsidRPr="000E2377">
              <w:rPr>
                <w:rFonts w:eastAsia="Times New Roman" w:cs="Times New Roman"/>
                <w:b w:val="0"/>
                <w:color w:val="000000"/>
                <w:sz w:val="16"/>
                <w:szCs w:val="16"/>
                <w:lang w:eastAsia="en-MY"/>
              </w:rPr>
              <w:t>CaO</w:t>
            </w:r>
            <w:proofErr w:type="spellEnd"/>
          </w:p>
        </w:tc>
        <w:tc>
          <w:tcPr>
            <w:tcW w:w="798" w:type="dxa"/>
            <w:tcBorders>
              <w:top w:val="nil"/>
              <w:left w:val="nil"/>
              <w:bottom w:val="single" w:sz="8" w:space="0" w:color="auto"/>
              <w:right w:val="nil"/>
            </w:tcBorders>
            <w:shd w:val="clear" w:color="auto" w:fill="auto"/>
            <w:vAlign w:val="center"/>
            <w:hideMark/>
          </w:tcPr>
          <w:p w14:paraId="5F8A826C" w14:textId="77777777" w:rsidR="00D740DC" w:rsidRPr="000E2377" w:rsidRDefault="00D740DC" w:rsidP="00B11F5F">
            <w:pPr>
              <w:spacing w:after="0" w:line="360" w:lineRule="auto"/>
              <w:jc w:val="center"/>
              <w:rPr>
                <w:rFonts w:eastAsia="Times New Roman" w:cs="Times New Roman"/>
                <w:b w:val="0"/>
                <w:color w:val="000000"/>
                <w:sz w:val="16"/>
                <w:szCs w:val="16"/>
                <w:lang w:eastAsia="en-MY"/>
              </w:rPr>
            </w:pPr>
            <w:proofErr w:type="spellStart"/>
            <w:r w:rsidRPr="000E2377">
              <w:rPr>
                <w:rFonts w:eastAsia="Times New Roman" w:cs="Times New Roman"/>
                <w:b w:val="0"/>
                <w:color w:val="000000"/>
                <w:sz w:val="16"/>
                <w:szCs w:val="16"/>
                <w:lang w:eastAsia="en-MY"/>
              </w:rPr>
              <w:t>BaO</w:t>
            </w:r>
            <w:proofErr w:type="spellEnd"/>
          </w:p>
        </w:tc>
        <w:tc>
          <w:tcPr>
            <w:tcW w:w="819" w:type="dxa"/>
            <w:tcBorders>
              <w:top w:val="nil"/>
              <w:left w:val="nil"/>
              <w:bottom w:val="single" w:sz="8" w:space="0" w:color="auto"/>
              <w:right w:val="nil"/>
            </w:tcBorders>
            <w:shd w:val="clear" w:color="auto" w:fill="auto"/>
            <w:vAlign w:val="center"/>
            <w:hideMark/>
          </w:tcPr>
          <w:p w14:paraId="5FBA5C06" w14:textId="77777777" w:rsidR="00D740DC" w:rsidRPr="000E2377" w:rsidRDefault="00D740DC" w:rsidP="00B11F5F">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Al</w:t>
            </w:r>
            <w:r w:rsidRPr="000E2377">
              <w:rPr>
                <w:rFonts w:eastAsia="Times New Roman" w:cs="Times New Roman"/>
                <w:b w:val="0"/>
                <w:color w:val="000000"/>
                <w:sz w:val="16"/>
                <w:szCs w:val="16"/>
                <w:vertAlign w:val="subscript"/>
                <w:lang w:eastAsia="en-MY"/>
              </w:rPr>
              <w:t>2</w:t>
            </w:r>
            <w:r w:rsidRPr="000E2377">
              <w:rPr>
                <w:rFonts w:eastAsia="Times New Roman" w:cs="Times New Roman"/>
                <w:b w:val="0"/>
                <w:color w:val="000000"/>
                <w:sz w:val="16"/>
                <w:szCs w:val="16"/>
                <w:lang w:eastAsia="en-MY"/>
              </w:rPr>
              <w:t>O</w:t>
            </w:r>
            <w:r w:rsidRPr="000E2377">
              <w:rPr>
                <w:rFonts w:eastAsia="Times New Roman" w:cs="Times New Roman"/>
                <w:b w:val="0"/>
                <w:color w:val="000000"/>
                <w:sz w:val="16"/>
                <w:szCs w:val="16"/>
                <w:vertAlign w:val="subscript"/>
                <w:lang w:eastAsia="en-MY"/>
              </w:rPr>
              <w:t>3</w:t>
            </w:r>
          </w:p>
        </w:tc>
        <w:tc>
          <w:tcPr>
            <w:tcW w:w="806" w:type="dxa"/>
            <w:tcBorders>
              <w:top w:val="nil"/>
              <w:left w:val="nil"/>
              <w:bottom w:val="single" w:sz="8" w:space="0" w:color="auto"/>
              <w:right w:val="nil"/>
            </w:tcBorders>
            <w:shd w:val="clear" w:color="auto" w:fill="auto"/>
            <w:vAlign w:val="center"/>
            <w:hideMark/>
          </w:tcPr>
          <w:p w14:paraId="0B693683" w14:textId="77777777" w:rsidR="00D740DC" w:rsidRPr="000E2377" w:rsidRDefault="00D740DC" w:rsidP="00B11F5F">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B</w:t>
            </w:r>
            <w:r w:rsidRPr="000E2377">
              <w:rPr>
                <w:rFonts w:eastAsia="Times New Roman" w:cs="Times New Roman"/>
                <w:b w:val="0"/>
                <w:color w:val="000000"/>
                <w:sz w:val="16"/>
                <w:szCs w:val="16"/>
                <w:vertAlign w:val="subscript"/>
                <w:lang w:eastAsia="en-MY"/>
              </w:rPr>
              <w:t>2</w:t>
            </w:r>
            <w:r w:rsidRPr="000E2377">
              <w:rPr>
                <w:rFonts w:eastAsia="Times New Roman" w:cs="Times New Roman"/>
                <w:b w:val="0"/>
                <w:color w:val="000000"/>
                <w:sz w:val="16"/>
                <w:szCs w:val="16"/>
                <w:lang w:eastAsia="en-MY"/>
              </w:rPr>
              <w:t>O</w:t>
            </w:r>
            <w:r w:rsidRPr="000E2377">
              <w:rPr>
                <w:rFonts w:eastAsia="Times New Roman" w:cs="Times New Roman"/>
                <w:b w:val="0"/>
                <w:color w:val="000000"/>
                <w:sz w:val="16"/>
                <w:szCs w:val="16"/>
                <w:vertAlign w:val="subscript"/>
                <w:lang w:eastAsia="en-MY"/>
              </w:rPr>
              <w:t>3</w:t>
            </w:r>
          </w:p>
        </w:tc>
        <w:tc>
          <w:tcPr>
            <w:tcW w:w="812" w:type="dxa"/>
            <w:tcBorders>
              <w:top w:val="nil"/>
              <w:left w:val="nil"/>
              <w:bottom w:val="single" w:sz="8" w:space="0" w:color="auto"/>
              <w:right w:val="nil"/>
            </w:tcBorders>
            <w:shd w:val="clear" w:color="auto" w:fill="auto"/>
            <w:vAlign w:val="center"/>
            <w:hideMark/>
          </w:tcPr>
          <w:p w14:paraId="5E5CFB62" w14:textId="77777777" w:rsidR="00D740DC" w:rsidRPr="000E2377" w:rsidRDefault="00D740DC" w:rsidP="00B11F5F">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SiO</w:t>
            </w:r>
            <w:r w:rsidRPr="000E2377">
              <w:rPr>
                <w:rFonts w:eastAsia="Times New Roman" w:cs="Times New Roman"/>
                <w:b w:val="0"/>
                <w:color w:val="000000"/>
                <w:sz w:val="16"/>
                <w:szCs w:val="16"/>
                <w:vertAlign w:val="subscript"/>
                <w:lang w:eastAsia="en-MY"/>
              </w:rPr>
              <w:t>2</w:t>
            </w:r>
          </w:p>
        </w:tc>
      </w:tr>
      <w:tr w:rsidR="00D740DC" w:rsidRPr="000E2377" w14:paraId="366D8670" w14:textId="77777777" w:rsidTr="00B11F5F">
        <w:trPr>
          <w:trHeight w:val="300"/>
        </w:trPr>
        <w:tc>
          <w:tcPr>
            <w:tcW w:w="1734" w:type="dxa"/>
            <w:vMerge w:val="restart"/>
            <w:tcBorders>
              <w:top w:val="nil"/>
              <w:left w:val="nil"/>
              <w:right w:val="nil"/>
            </w:tcBorders>
            <w:shd w:val="clear" w:color="auto" w:fill="auto"/>
            <w:vAlign w:val="center"/>
            <w:hideMark/>
          </w:tcPr>
          <w:p w14:paraId="0B79DC17" w14:textId="77777777" w:rsidR="00D740DC" w:rsidRDefault="00D740DC" w:rsidP="00B11F5F">
            <w:pPr>
              <w:spacing w:after="0" w:line="360" w:lineRule="auto"/>
              <w:jc w:val="center"/>
              <w:rPr>
                <w:rFonts w:eastAsia="Times New Roman" w:cs="Times New Roman"/>
                <w:b w:val="0"/>
                <w:color w:val="000000"/>
                <w:sz w:val="20"/>
                <w:szCs w:val="20"/>
                <w:lang w:eastAsia="en-MY"/>
              </w:rPr>
            </w:pPr>
          </w:p>
          <w:p w14:paraId="5CFD0970"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x</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20-x</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p w14:paraId="725FF888" w14:textId="77777777" w:rsidR="00D740DC" w:rsidRPr="000E2377" w:rsidRDefault="00D740DC" w:rsidP="00B11F5F">
            <w:pPr>
              <w:spacing w:after="0" w:line="36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20"/>
                <w:szCs w:val="20"/>
                <w:lang w:eastAsia="en-MY"/>
              </w:rPr>
              <w:t> </w:t>
            </w:r>
          </w:p>
        </w:tc>
        <w:tc>
          <w:tcPr>
            <w:tcW w:w="2048" w:type="dxa"/>
            <w:tcBorders>
              <w:top w:val="nil"/>
              <w:left w:val="nil"/>
              <w:bottom w:val="nil"/>
              <w:right w:val="nil"/>
            </w:tcBorders>
            <w:shd w:val="clear" w:color="auto" w:fill="auto"/>
            <w:vAlign w:val="center"/>
            <w:hideMark/>
          </w:tcPr>
          <w:p w14:paraId="66CE7A5B" w14:textId="77777777" w:rsidR="00D740DC" w:rsidRPr="000E2377" w:rsidRDefault="00D740DC" w:rsidP="00B11F5F">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2.5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17.5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933" w:type="dxa"/>
            <w:tcBorders>
              <w:top w:val="nil"/>
              <w:left w:val="nil"/>
              <w:bottom w:val="nil"/>
              <w:right w:val="nil"/>
            </w:tcBorders>
            <w:shd w:val="clear" w:color="auto" w:fill="auto"/>
            <w:noWrap/>
            <w:vAlign w:val="center"/>
            <w:hideMark/>
          </w:tcPr>
          <w:p w14:paraId="1A38E621"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09" w:type="dxa"/>
            <w:tcBorders>
              <w:top w:val="nil"/>
              <w:left w:val="nil"/>
              <w:bottom w:val="nil"/>
              <w:right w:val="nil"/>
            </w:tcBorders>
            <w:shd w:val="clear" w:color="auto" w:fill="auto"/>
            <w:noWrap/>
            <w:vAlign w:val="center"/>
            <w:hideMark/>
          </w:tcPr>
          <w:p w14:paraId="13E13723"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2" w:type="dxa"/>
            <w:tcBorders>
              <w:top w:val="nil"/>
              <w:left w:val="nil"/>
              <w:bottom w:val="nil"/>
              <w:right w:val="nil"/>
            </w:tcBorders>
            <w:shd w:val="clear" w:color="auto" w:fill="auto"/>
            <w:noWrap/>
            <w:vAlign w:val="center"/>
            <w:hideMark/>
          </w:tcPr>
          <w:p w14:paraId="420D0791"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2.5</w:t>
            </w:r>
          </w:p>
        </w:tc>
        <w:tc>
          <w:tcPr>
            <w:tcW w:w="798" w:type="dxa"/>
            <w:tcBorders>
              <w:top w:val="nil"/>
              <w:left w:val="nil"/>
              <w:bottom w:val="nil"/>
              <w:right w:val="nil"/>
            </w:tcBorders>
            <w:shd w:val="clear" w:color="auto" w:fill="auto"/>
            <w:noWrap/>
            <w:vAlign w:val="center"/>
            <w:hideMark/>
          </w:tcPr>
          <w:p w14:paraId="08E814F4"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9" w:type="dxa"/>
            <w:tcBorders>
              <w:top w:val="nil"/>
              <w:left w:val="nil"/>
              <w:bottom w:val="nil"/>
              <w:right w:val="nil"/>
            </w:tcBorders>
            <w:shd w:val="clear" w:color="auto" w:fill="auto"/>
            <w:noWrap/>
            <w:vAlign w:val="center"/>
            <w:hideMark/>
          </w:tcPr>
          <w:p w14:paraId="4A788EDC"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17.5</w:t>
            </w:r>
          </w:p>
        </w:tc>
        <w:tc>
          <w:tcPr>
            <w:tcW w:w="806" w:type="dxa"/>
            <w:tcBorders>
              <w:top w:val="nil"/>
              <w:left w:val="nil"/>
              <w:bottom w:val="nil"/>
              <w:right w:val="nil"/>
            </w:tcBorders>
            <w:shd w:val="clear" w:color="auto" w:fill="auto"/>
            <w:noWrap/>
            <w:vAlign w:val="center"/>
            <w:hideMark/>
          </w:tcPr>
          <w:p w14:paraId="0E0D6CEF"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12" w:type="dxa"/>
            <w:tcBorders>
              <w:top w:val="nil"/>
              <w:left w:val="nil"/>
              <w:bottom w:val="nil"/>
              <w:right w:val="nil"/>
            </w:tcBorders>
            <w:shd w:val="clear" w:color="auto" w:fill="auto"/>
            <w:noWrap/>
            <w:vAlign w:val="center"/>
            <w:hideMark/>
          </w:tcPr>
          <w:p w14:paraId="3418CC97"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60</w:t>
            </w:r>
          </w:p>
        </w:tc>
      </w:tr>
      <w:tr w:rsidR="00D740DC" w:rsidRPr="000E2377" w14:paraId="32CA9D96" w14:textId="77777777" w:rsidTr="00B11F5F">
        <w:trPr>
          <w:trHeight w:val="300"/>
        </w:trPr>
        <w:tc>
          <w:tcPr>
            <w:tcW w:w="1734" w:type="dxa"/>
            <w:vMerge/>
            <w:tcBorders>
              <w:left w:val="nil"/>
              <w:right w:val="nil"/>
            </w:tcBorders>
            <w:shd w:val="clear" w:color="auto" w:fill="auto"/>
            <w:vAlign w:val="center"/>
            <w:hideMark/>
          </w:tcPr>
          <w:p w14:paraId="22CB3867"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p>
        </w:tc>
        <w:tc>
          <w:tcPr>
            <w:tcW w:w="2048" w:type="dxa"/>
            <w:tcBorders>
              <w:top w:val="nil"/>
              <w:left w:val="nil"/>
              <w:bottom w:val="nil"/>
              <w:right w:val="nil"/>
            </w:tcBorders>
            <w:shd w:val="clear" w:color="auto" w:fill="auto"/>
            <w:vAlign w:val="center"/>
            <w:hideMark/>
          </w:tcPr>
          <w:p w14:paraId="693F865B" w14:textId="77777777" w:rsidR="00D740DC" w:rsidRPr="000E2377" w:rsidRDefault="00D740DC" w:rsidP="00B11F5F">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933" w:type="dxa"/>
            <w:tcBorders>
              <w:top w:val="nil"/>
              <w:left w:val="nil"/>
              <w:bottom w:val="nil"/>
              <w:right w:val="nil"/>
            </w:tcBorders>
            <w:shd w:val="clear" w:color="auto" w:fill="auto"/>
            <w:noWrap/>
            <w:vAlign w:val="center"/>
            <w:hideMark/>
          </w:tcPr>
          <w:p w14:paraId="45124114"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09" w:type="dxa"/>
            <w:tcBorders>
              <w:top w:val="nil"/>
              <w:left w:val="nil"/>
              <w:bottom w:val="nil"/>
              <w:right w:val="nil"/>
            </w:tcBorders>
            <w:shd w:val="clear" w:color="auto" w:fill="auto"/>
            <w:noWrap/>
            <w:vAlign w:val="center"/>
            <w:hideMark/>
          </w:tcPr>
          <w:p w14:paraId="685764F2"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2" w:type="dxa"/>
            <w:tcBorders>
              <w:top w:val="nil"/>
              <w:left w:val="nil"/>
              <w:bottom w:val="nil"/>
              <w:right w:val="nil"/>
            </w:tcBorders>
            <w:shd w:val="clear" w:color="auto" w:fill="auto"/>
            <w:noWrap/>
            <w:vAlign w:val="center"/>
            <w:hideMark/>
          </w:tcPr>
          <w:p w14:paraId="7BC87918"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w:t>
            </w:r>
          </w:p>
        </w:tc>
        <w:tc>
          <w:tcPr>
            <w:tcW w:w="798" w:type="dxa"/>
            <w:tcBorders>
              <w:top w:val="nil"/>
              <w:left w:val="nil"/>
              <w:bottom w:val="nil"/>
              <w:right w:val="nil"/>
            </w:tcBorders>
            <w:shd w:val="clear" w:color="auto" w:fill="auto"/>
            <w:noWrap/>
            <w:vAlign w:val="center"/>
            <w:hideMark/>
          </w:tcPr>
          <w:p w14:paraId="54DA7E1C"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9" w:type="dxa"/>
            <w:tcBorders>
              <w:top w:val="nil"/>
              <w:left w:val="nil"/>
              <w:bottom w:val="nil"/>
              <w:right w:val="nil"/>
            </w:tcBorders>
            <w:shd w:val="clear" w:color="auto" w:fill="auto"/>
            <w:noWrap/>
            <w:vAlign w:val="center"/>
            <w:hideMark/>
          </w:tcPr>
          <w:p w14:paraId="5D24E3B1"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15</w:t>
            </w:r>
          </w:p>
        </w:tc>
        <w:tc>
          <w:tcPr>
            <w:tcW w:w="806" w:type="dxa"/>
            <w:tcBorders>
              <w:top w:val="nil"/>
              <w:left w:val="nil"/>
              <w:bottom w:val="nil"/>
              <w:right w:val="nil"/>
            </w:tcBorders>
            <w:shd w:val="clear" w:color="auto" w:fill="auto"/>
            <w:noWrap/>
            <w:vAlign w:val="center"/>
            <w:hideMark/>
          </w:tcPr>
          <w:p w14:paraId="6B3FF03D"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12" w:type="dxa"/>
            <w:tcBorders>
              <w:top w:val="nil"/>
              <w:left w:val="nil"/>
              <w:bottom w:val="nil"/>
              <w:right w:val="nil"/>
            </w:tcBorders>
            <w:shd w:val="clear" w:color="auto" w:fill="auto"/>
            <w:noWrap/>
            <w:vAlign w:val="center"/>
            <w:hideMark/>
          </w:tcPr>
          <w:p w14:paraId="0EF0466E"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60</w:t>
            </w:r>
          </w:p>
        </w:tc>
      </w:tr>
      <w:tr w:rsidR="00D740DC" w:rsidRPr="000E2377" w14:paraId="5E15DFC9" w14:textId="77777777" w:rsidTr="00B11F5F">
        <w:trPr>
          <w:trHeight w:val="315"/>
        </w:trPr>
        <w:tc>
          <w:tcPr>
            <w:tcW w:w="1734" w:type="dxa"/>
            <w:vMerge/>
            <w:tcBorders>
              <w:left w:val="nil"/>
              <w:bottom w:val="single" w:sz="8" w:space="0" w:color="auto"/>
              <w:right w:val="nil"/>
            </w:tcBorders>
            <w:shd w:val="clear" w:color="auto" w:fill="auto"/>
            <w:vAlign w:val="center"/>
            <w:hideMark/>
          </w:tcPr>
          <w:p w14:paraId="220C631A"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p>
        </w:tc>
        <w:tc>
          <w:tcPr>
            <w:tcW w:w="2048" w:type="dxa"/>
            <w:tcBorders>
              <w:top w:val="nil"/>
              <w:left w:val="nil"/>
              <w:bottom w:val="single" w:sz="8" w:space="0" w:color="auto"/>
              <w:right w:val="nil"/>
            </w:tcBorders>
            <w:shd w:val="clear" w:color="auto" w:fill="auto"/>
            <w:vAlign w:val="center"/>
            <w:hideMark/>
          </w:tcPr>
          <w:p w14:paraId="5042AD98" w14:textId="77777777" w:rsidR="00D740DC" w:rsidRPr="000E2377" w:rsidRDefault="00D740DC" w:rsidP="00B11F5F">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7.5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12.5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933" w:type="dxa"/>
            <w:tcBorders>
              <w:top w:val="nil"/>
              <w:left w:val="nil"/>
              <w:bottom w:val="single" w:sz="8" w:space="0" w:color="auto"/>
              <w:right w:val="nil"/>
            </w:tcBorders>
            <w:shd w:val="clear" w:color="auto" w:fill="auto"/>
            <w:noWrap/>
            <w:vAlign w:val="center"/>
            <w:hideMark/>
          </w:tcPr>
          <w:p w14:paraId="290A6F32"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09" w:type="dxa"/>
            <w:tcBorders>
              <w:top w:val="nil"/>
              <w:left w:val="nil"/>
              <w:bottom w:val="single" w:sz="8" w:space="0" w:color="auto"/>
              <w:right w:val="nil"/>
            </w:tcBorders>
            <w:shd w:val="clear" w:color="auto" w:fill="auto"/>
            <w:noWrap/>
            <w:vAlign w:val="center"/>
            <w:hideMark/>
          </w:tcPr>
          <w:p w14:paraId="105895E0"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2" w:type="dxa"/>
            <w:tcBorders>
              <w:top w:val="nil"/>
              <w:left w:val="nil"/>
              <w:bottom w:val="single" w:sz="8" w:space="0" w:color="auto"/>
              <w:right w:val="nil"/>
            </w:tcBorders>
            <w:shd w:val="clear" w:color="auto" w:fill="auto"/>
            <w:noWrap/>
            <w:vAlign w:val="center"/>
            <w:hideMark/>
          </w:tcPr>
          <w:p w14:paraId="317A7B82"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7.5</w:t>
            </w:r>
          </w:p>
        </w:tc>
        <w:tc>
          <w:tcPr>
            <w:tcW w:w="798" w:type="dxa"/>
            <w:tcBorders>
              <w:top w:val="nil"/>
              <w:left w:val="nil"/>
              <w:bottom w:val="single" w:sz="8" w:space="0" w:color="auto"/>
              <w:right w:val="nil"/>
            </w:tcBorders>
            <w:shd w:val="clear" w:color="auto" w:fill="auto"/>
            <w:noWrap/>
            <w:vAlign w:val="center"/>
            <w:hideMark/>
          </w:tcPr>
          <w:p w14:paraId="42E0E87E"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9" w:type="dxa"/>
            <w:tcBorders>
              <w:top w:val="nil"/>
              <w:left w:val="nil"/>
              <w:bottom w:val="single" w:sz="8" w:space="0" w:color="auto"/>
              <w:right w:val="nil"/>
            </w:tcBorders>
            <w:shd w:val="clear" w:color="auto" w:fill="auto"/>
            <w:noWrap/>
            <w:vAlign w:val="center"/>
            <w:hideMark/>
          </w:tcPr>
          <w:p w14:paraId="49440170"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12.5</w:t>
            </w:r>
          </w:p>
        </w:tc>
        <w:tc>
          <w:tcPr>
            <w:tcW w:w="806" w:type="dxa"/>
            <w:tcBorders>
              <w:top w:val="nil"/>
              <w:left w:val="nil"/>
              <w:bottom w:val="single" w:sz="8" w:space="0" w:color="auto"/>
              <w:right w:val="nil"/>
            </w:tcBorders>
            <w:shd w:val="clear" w:color="auto" w:fill="auto"/>
            <w:noWrap/>
            <w:vAlign w:val="center"/>
            <w:hideMark/>
          </w:tcPr>
          <w:p w14:paraId="50F81375"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12" w:type="dxa"/>
            <w:tcBorders>
              <w:top w:val="nil"/>
              <w:left w:val="nil"/>
              <w:bottom w:val="single" w:sz="8" w:space="0" w:color="auto"/>
              <w:right w:val="nil"/>
            </w:tcBorders>
            <w:shd w:val="clear" w:color="auto" w:fill="auto"/>
            <w:noWrap/>
            <w:vAlign w:val="center"/>
            <w:hideMark/>
          </w:tcPr>
          <w:p w14:paraId="580F4D50"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60</w:t>
            </w:r>
          </w:p>
        </w:tc>
      </w:tr>
      <w:tr w:rsidR="00D740DC" w:rsidRPr="000E2377" w14:paraId="3E9658D6" w14:textId="77777777" w:rsidTr="00B11F5F">
        <w:trPr>
          <w:trHeight w:val="300"/>
        </w:trPr>
        <w:tc>
          <w:tcPr>
            <w:tcW w:w="1734" w:type="dxa"/>
            <w:vMerge w:val="restart"/>
            <w:tcBorders>
              <w:top w:val="nil"/>
              <w:left w:val="nil"/>
              <w:right w:val="nil"/>
            </w:tcBorders>
            <w:shd w:val="clear" w:color="auto" w:fill="auto"/>
            <w:vAlign w:val="center"/>
            <w:hideMark/>
          </w:tcPr>
          <w:p w14:paraId="0837072D" w14:textId="77777777" w:rsidR="00D740DC" w:rsidRDefault="00D740DC" w:rsidP="00B11F5F">
            <w:pPr>
              <w:spacing w:after="0" w:line="360" w:lineRule="auto"/>
              <w:jc w:val="center"/>
              <w:rPr>
                <w:rFonts w:eastAsia="Times New Roman" w:cs="Times New Roman"/>
                <w:b w:val="0"/>
                <w:color w:val="000000"/>
                <w:sz w:val="20"/>
                <w:szCs w:val="20"/>
                <w:lang w:eastAsia="en-MY"/>
              </w:rPr>
            </w:pPr>
          </w:p>
          <w:p w14:paraId="421B0511"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x</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20-x</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p w14:paraId="219E2E1A"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 </w:t>
            </w:r>
          </w:p>
        </w:tc>
        <w:tc>
          <w:tcPr>
            <w:tcW w:w="2048" w:type="dxa"/>
            <w:tcBorders>
              <w:top w:val="nil"/>
              <w:left w:val="nil"/>
              <w:bottom w:val="nil"/>
              <w:right w:val="nil"/>
            </w:tcBorders>
            <w:shd w:val="clear" w:color="auto" w:fill="auto"/>
            <w:vAlign w:val="center"/>
            <w:hideMark/>
          </w:tcPr>
          <w:p w14:paraId="4C5B5584" w14:textId="77777777" w:rsidR="00D740DC" w:rsidRPr="000E2377" w:rsidRDefault="00D740DC" w:rsidP="00B11F5F">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2.5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17.5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933" w:type="dxa"/>
            <w:tcBorders>
              <w:top w:val="nil"/>
              <w:left w:val="nil"/>
              <w:bottom w:val="nil"/>
              <w:right w:val="nil"/>
            </w:tcBorders>
            <w:shd w:val="clear" w:color="auto" w:fill="auto"/>
            <w:noWrap/>
            <w:vAlign w:val="center"/>
            <w:hideMark/>
          </w:tcPr>
          <w:p w14:paraId="66EC7A06"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09" w:type="dxa"/>
            <w:tcBorders>
              <w:top w:val="nil"/>
              <w:left w:val="nil"/>
              <w:bottom w:val="nil"/>
              <w:right w:val="nil"/>
            </w:tcBorders>
            <w:shd w:val="clear" w:color="auto" w:fill="auto"/>
            <w:noWrap/>
            <w:vAlign w:val="center"/>
            <w:hideMark/>
          </w:tcPr>
          <w:p w14:paraId="1912268D"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2" w:type="dxa"/>
            <w:tcBorders>
              <w:top w:val="nil"/>
              <w:left w:val="nil"/>
              <w:bottom w:val="nil"/>
              <w:right w:val="nil"/>
            </w:tcBorders>
            <w:shd w:val="clear" w:color="auto" w:fill="auto"/>
            <w:noWrap/>
            <w:vAlign w:val="center"/>
            <w:hideMark/>
          </w:tcPr>
          <w:p w14:paraId="685DB80D"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798" w:type="dxa"/>
            <w:tcBorders>
              <w:top w:val="nil"/>
              <w:left w:val="nil"/>
              <w:bottom w:val="nil"/>
              <w:right w:val="nil"/>
            </w:tcBorders>
            <w:shd w:val="clear" w:color="auto" w:fill="auto"/>
            <w:noWrap/>
            <w:vAlign w:val="center"/>
            <w:hideMark/>
          </w:tcPr>
          <w:p w14:paraId="6E6AB9D7"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2.5</w:t>
            </w:r>
          </w:p>
        </w:tc>
        <w:tc>
          <w:tcPr>
            <w:tcW w:w="819" w:type="dxa"/>
            <w:tcBorders>
              <w:top w:val="nil"/>
              <w:left w:val="nil"/>
              <w:bottom w:val="nil"/>
              <w:right w:val="nil"/>
            </w:tcBorders>
            <w:shd w:val="clear" w:color="auto" w:fill="auto"/>
            <w:noWrap/>
            <w:vAlign w:val="center"/>
            <w:hideMark/>
          </w:tcPr>
          <w:p w14:paraId="0F685542"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17.5</w:t>
            </w:r>
          </w:p>
        </w:tc>
        <w:tc>
          <w:tcPr>
            <w:tcW w:w="806" w:type="dxa"/>
            <w:tcBorders>
              <w:top w:val="nil"/>
              <w:left w:val="nil"/>
              <w:bottom w:val="nil"/>
              <w:right w:val="nil"/>
            </w:tcBorders>
            <w:shd w:val="clear" w:color="auto" w:fill="auto"/>
            <w:noWrap/>
            <w:vAlign w:val="center"/>
            <w:hideMark/>
          </w:tcPr>
          <w:p w14:paraId="309B8B09"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12" w:type="dxa"/>
            <w:tcBorders>
              <w:top w:val="nil"/>
              <w:left w:val="nil"/>
              <w:bottom w:val="nil"/>
              <w:right w:val="nil"/>
            </w:tcBorders>
            <w:shd w:val="clear" w:color="auto" w:fill="auto"/>
            <w:noWrap/>
            <w:vAlign w:val="center"/>
            <w:hideMark/>
          </w:tcPr>
          <w:p w14:paraId="5A31ABBD"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60</w:t>
            </w:r>
          </w:p>
        </w:tc>
      </w:tr>
      <w:tr w:rsidR="00D740DC" w:rsidRPr="000E2377" w14:paraId="0CD74004" w14:textId="77777777" w:rsidTr="00B11F5F">
        <w:trPr>
          <w:trHeight w:val="285"/>
        </w:trPr>
        <w:tc>
          <w:tcPr>
            <w:tcW w:w="1734" w:type="dxa"/>
            <w:vMerge/>
            <w:tcBorders>
              <w:left w:val="nil"/>
              <w:right w:val="nil"/>
            </w:tcBorders>
            <w:shd w:val="clear" w:color="auto" w:fill="auto"/>
            <w:vAlign w:val="center"/>
            <w:hideMark/>
          </w:tcPr>
          <w:p w14:paraId="28DAE827"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p>
        </w:tc>
        <w:tc>
          <w:tcPr>
            <w:tcW w:w="2048" w:type="dxa"/>
            <w:tcBorders>
              <w:top w:val="nil"/>
              <w:left w:val="nil"/>
              <w:bottom w:val="nil"/>
              <w:right w:val="nil"/>
            </w:tcBorders>
            <w:shd w:val="clear" w:color="auto" w:fill="auto"/>
            <w:vAlign w:val="center"/>
            <w:hideMark/>
          </w:tcPr>
          <w:p w14:paraId="7108F4E9" w14:textId="77777777" w:rsidR="00D740DC" w:rsidRPr="000E2377" w:rsidRDefault="00D740DC" w:rsidP="00B11F5F">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933" w:type="dxa"/>
            <w:tcBorders>
              <w:top w:val="nil"/>
              <w:left w:val="nil"/>
              <w:bottom w:val="nil"/>
              <w:right w:val="nil"/>
            </w:tcBorders>
            <w:shd w:val="clear" w:color="auto" w:fill="auto"/>
            <w:noWrap/>
            <w:vAlign w:val="center"/>
            <w:hideMark/>
          </w:tcPr>
          <w:p w14:paraId="7FA87930"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09" w:type="dxa"/>
            <w:tcBorders>
              <w:top w:val="nil"/>
              <w:left w:val="nil"/>
              <w:bottom w:val="nil"/>
              <w:right w:val="nil"/>
            </w:tcBorders>
            <w:shd w:val="clear" w:color="auto" w:fill="auto"/>
            <w:noWrap/>
            <w:vAlign w:val="center"/>
            <w:hideMark/>
          </w:tcPr>
          <w:p w14:paraId="7D3E3207"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2" w:type="dxa"/>
            <w:tcBorders>
              <w:top w:val="nil"/>
              <w:left w:val="nil"/>
              <w:bottom w:val="nil"/>
              <w:right w:val="nil"/>
            </w:tcBorders>
            <w:shd w:val="clear" w:color="auto" w:fill="auto"/>
            <w:noWrap/>
            <w:vAlign w:val="center"/>
            <w:hideMark/>
          </w:tcPr>
          <w:p w14:paraId="56121FAB"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798" w:type="dxa"/>
            <w:tcBorders>
              <w:top w:val="nil"/>
              <w:left w:val="nil"/>
              <w:bottom w:val="nil"/>
              <w:right w:val="nil"/>
            </w:tcBorders>
            <w:shd w:val="clear" w:color="auto" w:fill="auto"/>
            <w:noWrap/>
            <w:vAlign w:val="center"/>
            <w:hideMark/>
          </w:tcPr>
          <w:p w14:paraId="1055B6F8"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w:t>
            </w:r>
          </w:p>
        </w:tc>
        <w:tc>
          <w:tcPr>
            <w:tcW w:w="819" w:type="dxa"/>
            <w:tcBorders>
              <w:top w:val="nil"/>
              <w:left w:val="nil"/>
              <w:bottom w:val="nil"/>
              <w:right w:val="nil"/>
            </w:tcBorders>
            <w:shd w:val="clear" w:color="auto" w:fill="auto"/>
            <w:noWrap/>
            <w:vAlign w:val="center"/>
            <w:hideMark/>
          </w:tcPr>
          <w:p w14:paraId="43590563"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15</w:t>
            </w:r>
          </w:p>
        </w:tc>
        <w:tc>
          <w:tcPr>
            <w:tcW w:w="806" w:type="dxa"/>
            <w:tcBorders>
              <w:top w:val="nil"/>
              <w:left w:val="nil"/>
              <w:bottom w:val="nil"/>
              <w:right w:val="nil"/>
            </w:tcBorders>
            <w:shd w:val="clear" w:color="auto" w:fill="auto"/>
            <w:noWrap/>
            <w:vAlign w:val="center"/>
            <w:hideMark/>
          </w:tcPr>
          <w:p w14:paraId="493070C5"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12" w:type="dxa"/>
            <w:tcBorders>
              <w:top w:val="nil"/>
              <w:left w:val="nil"/>
              <w:bottom w:val="nil"/>
              <w:right w:val="nil"/>
            </w:tcBorders>
            <w:shd w:val="clear" w:color="auto" w:fill="auto"/>
            <w:noWrap/>
            <w:vAlign w:val="center"/>
            <w:hideMark/>
          </w:tcPr>
          <w:p w14:paraId="62630C2F"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60</w:t>
            </w:r>
          </w:p>
        </w:tc>
      </w:tr>
      <w:tr w:rsidR="00D740DC" w:rsidRPr="000E2377" w14:paraId="715F2CF1" w14:textId="77777777" w:rsidTr="00B11F5F">
        <w:trPr>
          <w:trHeight w:val="270"/>
        </w:trPr>
        <w:tc>
          <w:tcPr>
            <w:tcW w:w="1734" w:type="dxa"/>
            <w:vMerge/>
            <w:tcBorders>
              <w:left w:val="nil"/>
              <w:bottom w:val="single" w:sz="8" w:space="0" w:color="auto"/>
              <w:right w:val="nil"/>
            </w:tcBorders>
            <w:shd w:val="clear" w:color="auto" w:fill="auto"/>
            <w:vAlign w:val="center"/>
            <w:hideMark/>
          </w:tcPr>
          <w:p w14:paraId="38BFA43B"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p>
        </w:tc>
        <w:tc>
          <w:tcPr>
            <w:tcW w:w="2048" w:type="dxa"/>
            <w:tcBorders>
              <w:top w:val="nil"/>
              <w:left w:val="nil"/>
              <w:bottom w:val="single" w:sz="8" w:space="0" w:color="auto"/>
              <w:right w:val="nil"/>
            </w:tcBorders>
            <w:shd w:val="clear" w:color="auto" w:fill="auto"/>
            <w:vAlign w:val="center"/>
            <w:hideMark/>
          </w:tcPr>
          <w:p w14:paraId="2B0C4FEA" w14:textId="77777777" w:rsidR="00D740DC" w:rsidRPr="000E2377" w:rsidRDefault="00D740DC" w:rsidP="00B11F5F">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7.5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12.5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933" w:type="dxa"/>
            <w:tcBorders>
              <w:top w:val="nil"/>
              <w:left w:val="nil"/>
              <w:bottom w:val="single" w:sz="8" w:space="0" w:color="auto"/>
              <w:right w:val="nil"/>
            </w:tcBorders>
            <w:shd w:val="clear" w:color="auto" w:fill="auto"/>
            <w:noWrap/>
            <w:vAlign w:val="center"/>
            <w:hideMark/>
          </w:tcPr>
          <w:p w14:paraId="12628DBE"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09" w:type="dxa"/>
            <w:tcBorders>
              <w:top w:val="nil"/>
              <w:left w:val="nil"/>
              <w:bottom w:val="single" w:sz="8" w:space="0" w:color="auto"/>
              <w:right w:val="nil"/>
            </w:tcBorders>
            <w:shd w:val="clear" w:color="auto" w:fill="auto"/>
            <w:noWrap/>
            <w:vAlign w:val="center"/>
            <w:hideMark/>
          </w:tcPr>
          <w:p w14:paraId="69E45B4F"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2" w:type="dxa"/>
            <w:tcBorders>
              <w:top w:val="nil"/>
              <w:left w:val="nil"/>
              <w:bottom w:val="single" w:sz="8" w:space="0" w:color="auto"/>
              <w:right w:val="nil"/>
            </w:tcBorders>
            <w:shd w:val="clear" w:color="auto" w:fill="auto"/>
            <w:noWrap/>
            <w:vAlign w:val="center"/>
            <w:hideMark/>
          </w:tcPr>
          <w:p w14:paraId="788FC2C2"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798" w:type="dxa"/>
            <w:tcBorders>
              <w:top w:val="nil"/>
              <w:left w:val="nil"/>
              <w:bottom w:val="single" w:sz="8" w:space="0" w:color="auto"/>
              <w:right w:val="nil"/>
            </w:tcBorders>
            <w:shd w:val="clear" w:color="auto" w:fill="auto"/>
            <w:noWrap/>
            <w:vAlign w:val="center"/>
            <w:hideMark/>
          </w:tcPr>
          <w:p w14:paraId="3E2F7D3E"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7.5</w:t>
            </w:r>
          </w:p>
        </w:tc>
        <w:tc>
          <w:tcPr>
            <w:tcW w:w="819" w:type="dxa"/>
            <w:tcBorders>
              <w:top w:val="nil"/>
              <w:left w:val="nil"/>
              <w:bottom w:val="single" w:sz="8" w:space="0" w:color="auto"/>
              <w:right w:val="nil"/>
            </w:tcBorders>
            <w:shd w:val="clear" w:color="auto" w:fill="auto"/>
            <w:noWrap/>
            <w:vAlign w:val="center"/>
            <w:hideMark/>
          </w:tcPr>
          <w:p w14:paraId="3EE49B99"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12.5</w:t>
            </w:r>
          </w:p>
        </w:tc>
        <w:tc>
          <w:tcPr>
            <w:tcW w:w="806" w:type="dxa"/>
            <w:tcBorders>
              <w:top w:val="nil"/>
              <w:left w:val="nil"/>
              <w:bottom w:val="single" w:sz="8" w:space="0" w:color="auto"/>
              <w:right w:val="nil"/>
            </w:tcBorders>
            <w:shd w:val="clear" w:color="auto" w:fill="auto"/>
            <w:noWrap/>
            <w:vAlign w:val="center"/>
            <w:hideMark/>
          </w:tcPr>
          <w:p w14:paraId="633221E2"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12" w:type="dxa"/>
            <w:tcBorders>
              <w:top w:val="nil"/>
              <w:left w:val="nil"/>
              <w:bottom w:val="single" w:sz="8" w:space="0" w:color="auto"/>
              <w:right w:val="nil"/>
            </w:tcBorders>
            <w:shd w:val="clear" w:color="auto" w:fill="auto"/>
            <w:noWrap/>
            <w:vAlign w:val="center"/>
            <w:hideMark/>
          </w:tcPr>
          <w:p w14:paraId="154ACB1F"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60</w:t>
            </w:r>
          </w:p>
        </w:tc>
      </w:tr>
      <w:tr w:rsidR="00D740DC" w:rsidRPr="000E2377" w14:paraId="50B7F361" w14:textId="77777777" w:rsidTr="00B11F5F">
        <w:trPr>
          <w:trHeight w:val="255"/>
        </w:trPr>
        <w:tc>
          <w:tcPr>
            <w:tcW w:w="1734" w:type="dxa"/>
            <w:vMerge w:val="restart"/>
            <w:tcBorders>
              <w:top w:val="nil"/>
              <w:left w:val="nil"/>
              <w:right w:val="nil"/>
            </w:tcBorders>
            <w:shd w:val="clear" w:color="auto" w:fill="auto"/>
            <w:vAlign w:val="center"/>
            <w:hideMark/>
          </w:tcPr>
          <w:p w14:paraId="6B4BFABB" w14:textId="77777777" w:rsidR="00D740DC" w:rsidRDefault="00D740DC" w:rsidP="00B11F5F">
            <w:pPr>
              <w:spacing w:after="0" w:line="360" w:lineRule="auto"/>
              <w:jc w:val="center"/>
              <w:rPr>
                <w:rFonts w:eastAsia="Times New Roman" w:cs="Times New Roman"/>
                <w:b w:val="0"/>
                <w:color w:val="000000"/>
                <w:sz w:val="20"/>
                <w:szCs w:val="20"/>
                <w:lang w:eastAsia="en-MY"/>
              </w:rPr>
            </w:pPr>
          </w:p>
          <w:p w14:paraId="5CDEC866"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x</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78-x</w:t>
            </w:r>
          </w:p>
          <w:p w14:paraId="69BAE39E"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 </w:t>
            </w:r>
          </w:p>
        </w:tc>
        <w:tc>
          <w:tcPr>
            <w:tcW w:w="2048" w:type="dxa"/>
            <w:tcBorders>
              <w:top w:val="nil"/>
              <w:left w:val="nil"/>
              <w:bottom w:val="nil"/>
              <w:right w:val="nil"/>
            </w:tcBorders>
            <w:shd w:val="clear" w:color="auto" w:fill="auto"/>
            <w:vAlign w:val="center"/>
            <w:hideMark/>
          </w:tcPr>
          <w:p w14:paraId="41BB1A30" w14:textId="77777777" w:rsidR="00D740DC" w:rsidRPr="000E2377" w:rsidRDefault="00D740DC" w:rsidP="00B11F5F">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2.5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75.5</w:t>
            </w:r>
          </w:p>
        </w:tc>
        <w:tc>
          <w:tcPr>
            <w:tcW w:w="933" w:type="dxa"/>
            <w:tcBorders>
              <w:top w:val="nil"/>
              <w:left w:val="nil"/>
              <w:bottom w:val="nil"/>
              <w:right w:val="nil"/>
            </w:tcBorders>
            <w:shd w:val="clear" w:color="auto" w:fill="auto"/>
            <w:noWrap/>
            <w:vAlign w:val="center"/>
            <w:hideMark/>
          </w:tcPr>
          <w:p w14:paraId="41E86B98"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09" w:type="dxa"/>
            <w:tcBorders>
              <w:top w:val="nil"/>
              <w:left w:val="nil"/>
              <w:bottom w:val="nil"/>
              <w:right w:val="nil"/>
            </w:tcBorders>
            <w:shd w:val="clear" w:color="auto" w:fill="auto"/>
            <w:noWrap/>
            <w:vAlign w:val="center"/>
            <w:hideMark/>
          </w:tcPr>
          <w:p w14:paraId="0C747CFD"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2" w:type="dxa"/>
            <w:tcBorders>
              <w:top w:val="nil"/>
              <w:left w:val="nil"/>
              <w:bottom w:val="nil"/>
              <w:right w:val="nil"/>
            </w:tcBorders>
            <w:shd w:val="clear" w:color="auto" w:fill="auto"/>
            <w:noWrap/>
            <w:vAlign w:val="center"/>
            <w:hideMark/>
          </w:tcPr>
          <w:p w14:paraId="6BEBB66C"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2.5</w:t>
            </w:r>
          </w:p>
        </w:tc>
        <w:tc>
          <w:tcPr>
            <w:tcW w:w="798" w:type="dxa"/>
            <w:tcBorders>
              <w:top w:val="nil"/>
              <w:left w:val="nil"/>
              <w:bottom w:val="nil"/>
              <w:right w:val="nil"/>
            </w:tcBorders>
            <w:shd w:val="clear" w:color="auto" w:fill="auto"/>
            <w:noWrap/>
            <w:vAlign w:val="center"/>
            <w:hideMark/>
          </w:tcPr>
          <w:p w14:paraId="4CC23622"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9" w:type="dxa"/>
            <w:tcBorders>
              <w:top w:val="nil"/>
              <w:left w:val="nil"/>
              <w:bottom w:val="nil"/>
              <w:right w:val="nil"/>
            </w:tcBorders>
            <w:shd w:val="clear" w:color="auto" w:fill="auto"/>
            <w:noWrap/>
            <w:vAlign w:val="center"/>
            <w:hideMark/>
          </w:tcPr>
          <w:p w14:paraId="51A39B94"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w:t>
            </w:r>
          </w:p>
        </w:tc>
        <w:tc>
          <w:tcPr>
            <w:tcW w:w="806" w:type="dxa"/>
            <w:tcBorders>
              <w:top w:val="nil"/>
              <w:left w:val="nil"/>
              <w:bottom w:val="nil"/>
              <w:right w:val="nil"/>
            </w:tcBorders>
            <w:shd w:val="clear" w:color="auto" w:fill="auto"/>
            <w:noWrap/>
            <w:vAlign w:val="center"/>
            <w:hideMark/>
          </w:tcPr>
          <w:p w14:paraId="0C9465D2"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12" w:type="dxa"/>
            <w:tcBorders>
              <w:top w:val="nil"/>
              <w:left w:val="nil"/>
              <w:bottom w:val="nil"/>
              <w:right w:val="nil"/>
            </w:tcBorders>
            <w:shd w:val="clear" w:color="auto" w:fill="auto"/>
            <w:noWrap/>
            <w:vAlign w:val="center"/>
            <w:hideMark/>
          </w:tcPr>
          <w:p w14:paraId="3412CFBA"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75.5</w:t>
            </w:r>
          </w:p>
        </w:tc>
      </w:tr>
      <w:tr w:rsidR="00D740DC" w:rsidRPr="000E2377" w14:paraId="338F02A1" w14:textId="77777777" w:rsidTr="00B11F5F">
        <w:trPr>
          <w:trHeight w:val="285"/>
        </w:trPr>
        <w:tc>
          <w:tcPr>
            <w:tcW w:w="1734" w:type="dxa"/>
            <w:vMerge/>
            <w:tcBorders>
              <w:left w:val="nil"/>
              <w:right w:val="nil"/>
            </w:tcBorders>
            <w:shd w:val="clear" w:color="auto" w:fill="auto"/>
            <w:vAlign w:val="center"/>
            <w:hideMark/>
          </w:tcPr>
          <w:p w14:paraId="3C009DCA"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p>
        </w:tc>
        <w:tc>
          <w:tcPr>
            <w:tcW w:w="2048" w:type="dxa"/>
            <w:tcBorders>
              <w:top w:val="nil"/>
              <w:left w:val="nil"/>
              <w:bottom w:val="nil"/>
              <w:right w:val="nil"/>
            </w:tcBorders>
            <w:shd w:val="clear" w:color="auto" w:fill="auto"/>
            <w:vAlign w:val="center"/>
            <w:hideMark/>
          </w:tcPr>
          <w:p w14:paraId="7EB22825" w14:textId="77777777" w:rsidR="00D740DC" w:rsidRPr="000E2377" w:rsidRDefault="00D740DC" w:rsidP="00B11F5F">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73</w:t>
            </w:r>
          </w:p>
        </w:tc>
        <w:tc>
          <w:tcPr>
            <w:tcW w:w="933" w:type="dxa"/>
            <w:tcBorders>
              <w:top w:val="nil"/>
              <w:left w:val="nil"/>
              <w:bottom w:val="nil"/>
              <w:right w:val="nil"/>
            </w:tcBorders>
            <w:shd w:val="clear" w:color="auto" w:fill="auto"/>
            <w:noWrap/>
            <w:vAlign w:val="center"/>
            <w:hideMark/>
          </w:tcPr>
          <w:p w14:paraId="13BB0483"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09" w:type="dxa"/>
            <w:tcBorders>
              <w:top w:val="nil"/>
              <w:left w:val="nil"/>
              <w:bottom w:val="nil"/>
              <w:right w:val="nil"/>
            </w:tcBorders>
            <w:shd w:val="clear" w:color="auto" w:fill="auto"/>
            <w:noWrap/>
            <w:vAlign w:val="center"/>
            <w:hideMark/>
          </w:tcPr>
          <w:p w14:paraId="08A8CCD1"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2" w:type="dxa"/>
            <w:tcBorders>
              <w:top w:val="nil"/>
              <w:left w:val="nil"/>
              <w:bottom w:val="nil"/>
              <w:right w:val="nil"/>
            </w:tcBorders>
            <w:shd w:val="clear" w:color="auto" w:fill="auto"/>
            <w:noWrap/>
            <w:vAlign w:val="center"/>
            <w:hideMark/>
          </w:tcPr>
          <w:p w14:paraId="4EC61C61"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w:t>
            </w:r>
          </w:p>
        </w:tc>
        <w:tc>
          <w:tcPr>
            <w:tcW w:w="798" w:type="dxa"/>
            <w:tcBorders>
              <w:top w:val="nil"/>
              <w:left w:val="nil"/>
              <w:bottom w:val="nil"/>
              <w:right w:val="nil"/>
            </w:tcBorders>
            <w:shd w:val="clear" w:color="auto" w:fill="auto"/>
            <w:noWrap/>
            <w:vAlign w:val="center"/>
            <w:hideMark/>
          </w:tcPr>
          <w:p w14:paraId="213BA6C2"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9" w:type="dxa"/>
            <w:tcBorders>
              <w:top w:val="nil"/>
              <w:left w:val="nil"/>
              <w:bottom w:val="nil"/>
              <w:right w:val="nil"/>
            </w:tcBorders>
            <w:shd w:val="clear" w:color="auto" w:fill="auto"/>
            <w:noWrap/>
            <w:vAlign w:val="center"/>
            <w:hideMark/>
          </w:tcPr>
          <w:p w14:paraId="08791B13"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w:t>
            </w:r>
          </w:p>
        </w:tc>
        <w:tc>
          <w:tcPr>
            <w:tcW w:w="806" w:type="dxa"/>
            <w:tcBorders>
              <w:top w:val="nil"/>
              <w:left w:val="nil"/>
              <w:bottom w:val="nil"/>
              <w:right w:val="nil"/>
            </w:tcBorders>
            <w:shd w:val="clear" w:color="auto" w:fill="auto"/>
            <w:noWrap/>
            <w:vAlign w:val="center"/>
            <w:hideMark/>
          </w:tcPr>
          <w:p w14:paraId="29105D07"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12" w:type="dxa"/>
            <w:tcBorders>
              <w:top w:val="nil"/>
              <w:left w:val="nil"/>
              <w:bottom w:val="nil"/>
              <w:right w:val="nil"/>
            </w:tcBorders>
            <w:shd w:val="clear" w:color="auto" w:fill="auto"/>
            <w:noWrap/>
            <w:vAlign w:val="center"/>
            <w:hideMark/>
          </w:tcPr>
          <w:p w14:paraId="73CDA710"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73</w:t>
            </w:r>
          </w:p>
        </w:tc>
      </w:tr>
      <w:tr w:rsidR="00D740DC" w:rsidRPr="000E2377" w14:paraId="47661325" w14:textId="77777777" w:rsidTr="00B11F5F">
        <w:trPr>
          <w:trHeight w:val="300"/>
        </w:trPr>
        <w:tc>
          <w:tcPr>
            <w:tcW w:w="1734" w:type="dxa"/>
            <w:vMerge/>
            <w:tcBorders>
              <w:left w:val="nil"/>
              <w:bottom w:val="single" w:sz="8" w:space="0" w:color="auto"/>
              <w:right w:val="nil"/>
            </w:tcBorders>
            <w:shd w:val="clear" w:color="auto" w:fill="auto"/>
            <w:vAlign w:val="center"/>
            <w:hideMark/>
          </w:tcPr>
          <w:p w14:paraId="1064B109"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p>
        </w:tc>
        <w:tc>
          <w:tcPr>
            <w:tcW w:w="2048" w:type="dxa"/>
            <w:tcBorders>
              <w:top w:val="nil"/>
              <w:left w:val="nil"/>
              <w:bottom w:val="single" w:sz="8" w:space="0" w:color="auto"/>
              <w:right w:val="nil"/>
            </w:tcBorders>
            <w:shd w:val="clear" w:color="auto" w:fill="auto"/>
            <w:vAlign w:val="center"/>
            <w:hideMark/>
          </w:tcPr>
          <w:p w14:paraId="01E851E2" w14:textId="77777777" w:rsidR="00D740DC" w:rsidRPr="000E2377" w:rsidRDefault="00D740DC" w:rsidP="00B11F5F">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7.5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70.5</w:t>
            </w:r>
          </w:p>
        </w:tc>
        <w:tc>
          <w:tcPr>
            <w:tcW w:w="933" w:type="dxa"/>
            <w:tcBorders>
              <w:top w:val="nil"/>
              <w:left w:val="nil"/>
              <w:bottom w:val="single" w:sz="8" w:space="0" w:color="auto"/>
              <w:right w:val="nil"/>
            </w:tcBorders>
            <w:shd w:val="clear" w:color="auto" w:fill="auto"/>
            <w:noWrap/>
            <w:vAlign w:val="center"/>
            <w:hideMark/>
          </w:tcPr>
          <w:p w14:paraId="4899F3A3"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09" w:type="dxa"/>
            <w:tcBorders>
              <w:top w:val="nil"/>
              <w:left w:val="nil"/>
              <w:bottom w:val="single" w:sz="8" w:space="0" w:color="auto"/>
              <w:right w:val="nil"/>
            </w:tcBorders>
            <w:shd w:val="clear" w:color="auto" w:fill="auto"/>
            <w:noWrap/>
            <w:vAlign w:val="center"/>
            <w:hideMark/>
          </w:tcPr>
          <w:p w14:paraId="55249852"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2" w:type="dxa"/>
            <w:tcBorders>
              <w:top w:val="nil"/>
              <w:left w:val="nil"/>
              <w:bottom w:val="single" w:sz="8" w:space="0" w:color="auto"/>
              <w:right w:val="nil"/>
            </w:tcBorders>
            <w:shd w:val="clear" w:color="auto" w:fill="auto"/>
            <w:noWrap/>
            <w:vAlign w:val="center"/>
            <w:hideMark/>
          </w:tcPr>
          <w:p w14:paraId="77F4660A"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7.5</w:t>
            </w:r>
          </w:p>
        </w:tc>
        <w:tc>
          <w:tcPr>
            <w:tcW w:w="798" w:type="dxa"/>
            <w:tcBorders>
              <w:top w:val="nil"/>
              <w:left w:val="nil"/>
              <w:bottom w:val="single" w:sz="8" w:space="0" w:color="auto"/>
              <w:right w:val="nil"/>
            </w:tcBorders>
            <w:shd w:val="clear" w:color="auto" w:fill="auto"/>
            <w:noWrap/>
            <w:vAlign w:val="center"/>
            <w:hideMark/>
          </w:tcPr>
          <w:p w14:paraId="75FB8F2E"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9" w:type="dxa"/>
            <w:tcBorders>
              <w:top w:val="nil"/>
              <w:left w:val="nil"/>
              <w:bottom w:val="single" w:sz="8" w:space="0" w:color="auto"/>
              <w:right w:val="nil"/>
            </w:tcBorders>
            <w:shd w:val="clear" w:color="auto" w:fill="auto"/>
            <w:noWrap/>
            <w:vAlign w:val="center"/>
            <w:hideMark/>
          </w:tcPr>
          <w:p w14:paraId="4EB0DA29"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w:t>
            </w:r>
          </w:p>
        </w:tc>
        <w:tc>
          <w:tcPr>
            <w:tcW w:w="806" w:type="dxa"/>
            <w:tcBorders>
              <w:top w:val="nil"/>
              <w:left w:val="nil"/>
              <w:bottom w:val="single" w:sz="8" w:space="0" w:color="auto"/>
              <w:right w:val="nil"/>
            </w:tcBorders>
            <w:shd w:val="clear" w:color="auto" w:fill="auto"/>
            <w:noWrap/>
            <w:vAlign w:val="center"/>
            <w:hideMark/>
          </w:tcPr>
          <w:p w14:paraId="71AE39DF"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12" w:type="dxa"/>
            <w:tcBorders>
              <w:top w:val="nil"/>
              <w:left w:val="nil"/>
              <w:bottom w:val="single" w:sz="8" w:space="0" w:color="auto"/>
              <w:right w:val="nil"/>
            </w:tcBorders>
            <w:shd w:val="clear" w:color="auto" w:fill="auto"/>
            <w:noWrap/>
            <w:vAlign w:val="center"/>
            <w:hideMark/>
          </w:tcPr>
          <w:p w14:paraId="43EF1E31"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70.5</w:t>
            </w:r>
          </w:p>
        </w:tc>
      </w:tr>
      <w:tr w:rsidR="00D740DC" w:rsidRPr="000E2377" w14:paraId="312256AD" w14:textId="77777777" w:rsidTr="00B11F5F">
        <w:trPr>
          <w:trHeight w:val="270"/>
        </w:trPr>
        <w:tc>
          <w:tcPr>
            <w:tcW w:w="1734" w:type="dxa"/>
            <w:vMerge w:val="restart"/>
            <w:tcBorders>
              <w:top w:val="nil"/>
              <w:left w:val="nil"/>
              <w:right w:val="nil"/>
            </w:tcBorders>
            <w:shd w:val="clear" w:color="auto" w:fill="auto"/>
            <w:vAlign w:val="center"/>
            <w:hideMark/>
          </w:tcPr>
          <w:p w14:paraId="31F94803" w14:textId="77777777" w:rsidR="00D740DC" w:rsidRDefault="00D740DC" w:rsidP="00B11F5F">
            <w:pPr>
              <w:spacing w:after="0" w:line="360" w:lineRule="auto"/>
              <w:jc w:val="center"/>
              <w:rPr>
                <w:rFonts w:eastAsia="Times New Roman" w:cs="Times New Roman"/>
                <w:b w:val="0"/>
                <w:color w:val="000000"/>
                <w:sz w:val="20"/>
                <w:szCs w:val="20"/>
                <w:lang w:eastAsia="en-MY"/>
              </w:rPr>
            </w:pPr>
          </w:p>
          <w:p w14:paraId="434C5F33"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x</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73-x</w:t>
            </w:r>
          </w:p>
          <w:p w14:paraId="63ED05A3"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 </w:t>
            </w:r>
          </w:p>
        </w:tc>
        <w:tc>
          <w:tcPr>
            <w:tcW w:w="2048" w:type="dxa"/>
            <w:tcBorders>
              <w:top w:val="nil"/>
              <w:left w:val="nil"/>
              <w:bottom w:val="nil"/>
              <w:right w:val="nil"/>
            </w:tcBorders>
            <w:shd w:val="clear" w:color="auto" w:fill="auto"/>
            <w:vAlign w:val="center"/>
            <w:hideMark/>
          </w:tcPr>
          <w:p w14:paraId="16FE1D74" w14:textId="77777777" w:rsidR="00D740DC" w:rsidRPr="000E2377" w:rsidRDefault="00D740DC" w:rsidP="00B11F5F">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7.5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65.5</w:t>
            </w:r>
          </w:p>
        </w:tc>
        <w:tc>
          <w:tcPr>
            <w:tcW w:w="933" w:type="dxa"/>
            <w:tcBorders>
              <w:top w:val="nil"/>
              <w:left w:val="nil"/>
              <w:bottom w:val="nil"/>
              <w:right w:val="nil"/>
            </w:tcBorders>
            <w:shd w:val="clear" w:color="auto" w:fill="auto"/>
            <w:noWrap/>
            <w:vAlign w:val="center"/>
            <w:hideMark/>
          </w:tcPr>
          <w:p w14:paraId="2DBC9973"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15</w:t>
            </w:r>
          </w:p>
        </w:tc>
        <w:tc>
          <w:tcPr>
            <w:tcW w:w="809" w:type="dxa"/>
            <w:tcBorders>
              <w:top w:val="nil"/>
              <w:left w:val="nil"/>
              <w:bottom w:val="nil"/>
              <w:right w:val="nil"/>
            </w:tcBorders>
            <w:shd w:val="clear" w:color="auto" w:fill="auto"/>
            <w:noWrap/>
            <w:vAlign w:val="center"/>
            <w:hideMark/>
          </w:tcPr>
          <w:p w14:paraId="37578DFF"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2" w:type="dxa"/>
            <w:tcBorders>
              <w:top w:val="nil"/>
              <w:left w:val="nil"/>
              <w:bottom w:val="nil"/>
              <w:right w:val="nil"/>
            </w:tcBorders>
            <w:shd w:val="clear" w:color="auto" w:fill="auto"/>
            <w:noWrap/>
            <w:vAlign w:val="center"/>
            <w:hideMark/>
          </w:tcPr>
          <w:p w14:paraId="34EF3279"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7.5</w:t>
            </w:r>
          </w:p>
        </w:tc>
        <w:tc>
          <w:tcPr>
            <w:tcW w:w="798" w:type="dxa"/>
            <w:tcBorders>
              <w:top w:val="nil"/>
              <w:left w:val="nil"/>
              <w:bottom w:val="nil"/>
              <w:right w:val="nil"/>
            </w:tcBorders>
            <w:shd w:val="clear" w:color="auto" w:fill="auto"/>
            <w:noWrap/>
            <w:vAlign w:val="center"/>
            <w:hideMark/>
          </w:tcPr>
          <w:p w14:paraId="577026B2"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9" w:type="dxa"/>
            <w:tcBorders>
              <w:top w:val="nil"/>
              <w:left w:val="nil"/>
              <w:bottom w:val="nil"/>
              <w:right w:val="nil"/>
            </w:tcBorders>
            <w:shd w:val="clear" w:color="auto" w:fill="auto"/>
            <w:noWrap/>
            <w:vAlign w:val="center"/>
            <w:hideMark/>
          </w:tcPr>
          <w:p w14:paraId="0489533C"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w:t>
            </w:r>
          </w:p>
        </w:tc>
        <w:tc>
          <w:tcPr>
            <w:tcW w:w="806" w:type="dxa"/>
            <w:tcBorders>
              <w:top w:val="nil"/>
              <w:left w:val="nil"/>
              <w:bottom w:val="nil"/>
              <w:right w:val="nil"/>
            </w:tcBorders>
            <w:shd w:val="clear" w:color="auto" w:fill="auto"/>
            <w:noWrap/>
            <w:vAlign w:val="center"/>
            <w:hideMark/>
          </w:tcPr>
          <w:p w14:paraId="234ACCBC"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12" w:type="dxa"/>
            <w:tcBorders>
              <w:top w:val="nil"/>
              <w:left w:val="nil"/>
              <w:bottom w:val="nil"/>
              <w:right w:val="nil"/>
            </w:tcBorders>
            <w:shd w:val="clear" w:color="auto" w:fill="auto"/>
            <w:noWrap/>
            <w:vAlign w:val="center"/>
            <w:hideMark/>
          </w:tcPr>
          <w:p w14:paraId="079D1B05"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65.5</w:t>
            </w:r>
          </w:p>
        </w:tc>
      </w:tr>
      <w:tr w:rsidR="00D740DC" w:rsidRPr="000E2377" w14:paraId="28B43E45" w14:textId="77777777" w:rsidTr="00B11F5F">
        <w:trPr>
          <w:trHeight w:val="285"/>
        </w:trPr>
        <w:tc>
          <w:tcPr>
            <w:tcW w:w="1734" w:type="dxa"/>
            <w:vMerge/>
            <w:tcBorders>
              <w:left w:val="nil"/>
              <w:right w:val="nil"/>
            </w:tcBorders>
            <w:shd w:val="clear" w:color="auto" w:fill="auto"/>
            <w:vAlign w:val="center"/>
            <w:hideMark/>
          </w:tcPr>
          <w:p w14:paraId="0D63E5BF"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p>
        </w:tc>
        <w:tc>
          <w:tcPr>
            <w:tcW w:w="2048" w:type="dxa"/>
            <w:tcBorders>
              <w:top w:val="nil"/>
              <w:left w:val="nil"/>
              <w:bottom w:val="nil"/>
              <w:right w:val="nil"/>
            </w:tcBorders>
            <w:shd w:val="clear" w:color="auto" w:fill="auto"/>
            <w:vAlign w:val="center"/>
            <w:hideMark/>
          </w:tcPr>
          <w:p w14:paraId="4C717B05" w14:textId="77777777" w:rsidR="00D740DC" w:rsidRPr="000E2377" w:rsidRDefault="00D740DC" w:rsidP="00B11F5F">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63</w:t>
            </w:r>
          </w:p>
        </w:tc>
        <w:tc>
          <w:tcPr>
            <w:tcW w:w="933" w:type="dxa"/>
            <w:tcBorders>
              <w:top w:val="nil"/>
              <w:left w:val="nil"/>
              <w:bottom w:val="nil"/>
              <w:right w:val="nil"/>
            </w:tcBorders>
            <w:shd w:val="clear" w:color="auto" w:fill="auto"/>
            <w:noWrap/>
            <w:vAlign w:val="center"/>
            <w:hideMark/>
          </w:tcPr>
          <w:p w14:paraId="38895638"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15</w:t>
            </w:r>
          </w:p>
        </w:tc>
        <w:tc>
          <w:tcPr>
            <w:tcW w:w="809" w:type="dxa"/>
            <w:tcBorders>
              <w:top w:val="nil"/>
              <w:left w:val="nil"/>
              <w:bottom w:val="nil"/>
              <w:right w:val="nil"/>
            </w:tcBorders>
            <w:shd w:val="clear" w:color="auto" w:fill="auto"/>
            <w:noWrap/>
            <w:vAlign w:val="center"/>
            <w:hideMark/>
          </w:tcPr>
          <w:p w14:paraId="07BD6F4D"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2" w:type="dxa"/>
            <w:tcBorders>
              <w:top w:val="nil"/>
              <w:left w:val="nil"/>
              <w:bottom w:val="nil"/>
              <w:right w:val="nil"/>
            </w:tcBorders>
            <w:shd w:val="clear" w:color="auto" w:fill="auto"/>
            <w:noWrap/>
            <w:vAlign w:val="center"/>
            <w:hideMark/>
          </w:tcPr>
          <w:p w14:paraId="09637EFE"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798" w:type="dxa"/>
            <w:tcBorders>
              <w:top w:val="nil"/>
              <w:left w:val="nil"/>
              <w:bottom w:val="nil"/>
              <w:right w:val="nil"/>
            </w:tcBorders>
            <w:shd w:val="clear" w:color="auto" w:fill="auto"/>
            <w:noWrap/>
            <w:vAlign w:val="center"/>
            <w:hideMark/>
          </w:tcPr>
          <w:p w14:paraId="490B9B95"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9" w:type="dxa"/>
            <w:tcBorders>
              <w:top w:val="nil"/>
              <w:left w:val="nil"/>
              <w:bottom w:val="nil"/>
              <w:right w:val="nil"/>
            </w:tcBorders>
            <w:shd w:val="clear" w:color="auto" w:fill="auto"/>
            <w:noWrap/>
            <w:vAlign w:val="center"/>
            <w:hideMark/>
          </w:tcPr>
          <w:p w14:paraId="5D5C7DA4"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w:t>
            </w:r>
          </w:p>
        </w:tc>
        <w:tc>
          <w:tcPr>
            <w:tcW w:w="806" w:type="dxa"/>
            <w:tcBorders>
              <w:top w:val="nil"/>
              <w:left w:val="nil"/>
              <w:bottom w:val="nil"/>
              <w:right w:val="nil"/>
            </w:tcBorders>
            <w:shd w:val="clear" w:color="auto" w:fill="auto"/>
            <w:noWrap/>
            <w:vAlign w:val="center"/>
            <w:hideMark/>
          </w:tcPr>
          <w:p w14:paraId="404CE69A"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12" w:type="dxa"/>
            <w:tcBorders>
              <w:top w:val="nil"/>
              <w:left w:val="nil"/>
              <w:bottom w:val="nil"/>
              <w:right w:val="nil"/>
            </w:tcBorders>
            <w:shd w:val="clear" w:color="auto" w:fill="auto"/>
            <w:noWrap/>
            <w:vAlign w:val="center"/>
            <w:hideMark/>
          </w:tcPr>
          <w:p w14:paraId="61377C9B"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63</w:t>
            </w:r>
          </w:p>
        </w:tc>
      </w:tr>
      <w:tr w:rsidR="00D740DC" w:rsidRPr="000E2377" w14:paraId="583A50E4" w14:textId="77777777" w:rsidTr="00B11F5F">
        <w:trPr>
          <w:trHeight w:val="270"/>
        </w:trPr>
        <w:tc>
          <w:tcPr>
            <w:tcW w:w="1734" w:type="dxa"/>
            <w:vMerge/>
            <w:tcBorders>
              <w:left w:val="nil"/>
              <w:bottom w:val="single" w:sz="8" w:space="0" w:color="auto"/>
              <w:right w:val="nil"/>
            </w:tcBorders>
            <w:shd w:val="clear" w:color="auto" w:fill="auto"/>
            <w:vAlign w:val="center"/>
            <w:hideMark/>
          </w:tcPr>
          <w:p w14:paraId="25C5AF7D"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p>
        </w:tc>
        <w:tc>
          <w:tcPr>
            <w:tcW w:w="2048" w:type="dxa"/>
            <w:tcBorders>
              <w:top w:val="nil"/>
              <w:left w:val="nil"/>
              <w:bottom w:val="single" w:sz="8" w:space="0" w:color="auto"/>
              <w:right w:val="nil"/>
            </w:tcBorders>
            <w:shd w:val="clear" w:color="auto" w:fill="auto"/>
            <w:vAlign w:val="center"/>
            <w:hideMark/>
          </w:tcPr>
          <w:p w14:paraId="2BEA20C2" w14:textId="77777777" w:rsidR="00D740DC" w:rsidRPr="000E2377" w:rsidRDefault="00D740DC" w:rsidP="00B11F5F">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12.5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60.5</w:t>
            </w:r>
          </w:p>
        </w:tc>
        <w:tc>
          <w:tcPr>
            <w:tcW w:w="933" w:type="dxa"/>
            <w:tcBorders>
              <w:top w:val="nil"/>
              <w:left w:val="nil"/>
              <w:bottom w:val="single" w:sz="8" w:space="0" w:color="auto"/>
              <w:right w:val="nil"/>
            </w:tcBorders>
            <w:shd w:val="clear" w:color="auto" w:fill="auto"/>
            <w:noWrap/>
            <w:vAlign w:val="center"/>
            <w:hideMark/>
          </w:tcPr>
          <w:p w14:paraId="4FF77DDB"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15</w:t>
            </w:r>
          </w:p>
        </w:tc>
        <w:tc>
          <w:tcPr>
            <w:tcW w:w="809" w:type="dxa"/>
            <w:tcBorders>
              <w:top w:val="nil"/>
              <w:left w:val="nil"/>
              <w:bottom w:val="single" w:sz="8" w:space="0" w:color="auto"/>
              <w:right w:val="nil"/>
            </w:tcBorders>
            <w:shd w:val="clear" w:color="auto" w:fill="auto"/>
            <w:noWrap/>
            <w:vAlign w:val="center"/>
            <w:hideMark/>
          </w:tcPr>
          <w:p w14:paraId="64A40A0E"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2" w:type="dxa"/>
            <w:tcBorders>
              <w:top w:val="nil"/>
              <w:left w:val="nil"/>
              <w:bottom w:val="single" w:sz="8" w:space="0" w:color="auto"/>
              <w:right w:val="nil"/>
            </w:tcBorders>
            <w:shd w:val="clear" w:color="auto" w:fill="auto"/>
            <w:noWrap/>
            <w:vAlign w:val="center"/>
            <w:hideMark/>
          </w:tcPr>
          <w:p w14:paraId="0422B094"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12.5</w:t>
            </w:r>
          </w:p>
        </w:tc>
        <w:tc>
          <w:tcPr>
            <w:tcW w:w="798" w:type="dxa"/>
            <w:tcBorders>
              <w:top w:val="nil"/>
              <w:left w:val="nil"/>
              <w:bottom w:val="single" w:sz="8" w:space="0" w:color="auto"/>
              <w:right w:val="nil"/>
            </w:tcBorders>
            <w:shd w:val="clear" w:color="auto" w:fill="auto"/>
            <w:noWrap/>
            <w:vAlign w:val="center"/>
            <w:hideMark/>
          </w:tcPr>
          <w:p w14:paraId="41DCCA0C"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9" w:type="dxa"/>
            <w:tcBorders>
              <w:top w:val="nil"/>
              <w:left w:val="nil"/>
              <w:bottom w:val="single" w:sz="8" w:space="0" w:color="auto"/>
              <w:right w:val="nil"/>
            </w:tcBorders>
            <w:shd w:val="clear" w:color="auto" w:fill="auto"/>
            <w:noWrap/>
            <w:vAlign w:val="center"/>
            <w:hideMark/>
          </w:tcPr>
          <w:p w14:paraId="4E40159C"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w:t>
            </w:r>
          </w:p>
        </w:tc>
        <w:tc>
          <w:tcPr>
            <w:tcW w:w="806" w:type="dxa"/>
            <w:tcBorders>
              <w:top w:val="nil"/>
              <w:left w:val="nil"/>
              <w:bottom w:val="single" w:sz="8" w:space="0" w:color="auto"/>
              <w:right w:val="nil"/>
            </w:tcBorders>
            <w:shd w:val="clear" w:color="auto" w:fill="auto"/>
            <w:noWrap/>
            <w:vAlign w:val="center"/>
            <w:hideMark/>
          </w:tcPr>
          <w:p w14:paraId="0B89E70E"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12" w:type="dxa"/>
            <w:tcBorders>
              <w:top w:val="nil"/>
              <w:left w:val="nil"/>
              <w:bottom w:val="single" w:sz="8" w:space="0" w:color="auto"/>
              <w:right w:val="nil"/>
            </w:tcBorders>
            <w:shd w:val="clear" w:color="auto" w:fill="auto"/>
            <w:noWrap/>
            <w:vAlign w:val="center"/>
            <w:hideMark/>
          </w:tcPr>
          <w:p w14:paraId="4471AE58"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60.5</w:t>
            </w:r>
          </w:p>
        </w:tc>
      </w:tr>
      <w:tr w:rsidR="00D740DC" w:rsidRPr="000E2377" w14:paraId="377EF11E" w14:textId="77777777" w:rsidTr="00B11F5F">
        <w:trPr>
          <w:trHeight w:val="210"/>
        </w:trPr>
        <w:tc>
          <w:tcPr>
            <w:tcW w:w="1734" w:type="dxa"/>
            <w:vMerge w:val="restart"/>
            <w:tcBorders>
              <w:top w:val="nil"/>
              <w:left w:val="nil"/>
              <w:right w:val="nil"/>
            </w:tcBorders>
            <w:shd w:val="clear" w:color="auto" w:fill="auto"/>
            <w:vAlign w:val="center"/>
            <w:hideMark/>
          </w:tcPr>
          <w:p w14:paraId="503E1C62" w14:textId="77777777" w:rsidR="00D740DC" w:rsidRDefault="00D740DC" w:rsidP="00B11F5F">
            <w:pPr>
              <w:spacing w:after="0" w:line="360" w:lineRule="auto"/>
              <w:jc w:val="center"/>
              <w:rPr>
                <w:rFonts w:eastAsia="Times New Roman" w:cs="Times New Roman"/>
                <w:b w:val="0"/>
                <w:color w:val="000000"/>
                <w:sz w:val="20"/>
                <w:szCs w:val="20"/>
                <w:lang w:eastAsia="en-MY"/>
              </w:rPr>
            </w:pPr>
          </w:p>
          <w:p w14:paraId="79D3C878"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x</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y</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78-x-y</w:t>
            </w:r>
          </w:p>
          <w:p w14:paraId="4CBEA0E0"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 </w:t>
            </w:r>
          </w:p>
        </w:tc>
        <w:tc>
          <w:tcPr>
            <w:tcW w:w="2048" w:type="dxa"/>
            <w:tcBorders>
              <w:top w:val="nil"/>
              <w:left w:val="nil"/>
              <w:bottom w:val="nil"/>
              <w:right w:val="nil"/>
            </w:tcBorders>
            <w:shd w:val="clear" w:color="auto" w:fill="auto"/>
            <w:vAlign w:val="center"/>
            <w:hideMark/>
          </w:tcPr>
          <w:p w14:paraId="482E7FD3" w14:textId="77777777" w:rsidR="00D740DC" w:rsidRPr="000E2377" w:rsidRDefault="00D740DC" w:rsidP="00B11F5F">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2.4</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5.7</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69.9</w:t>
            </w:r>
          </w:p>
        </w:tc>
        <w:tc>
          <w:tcPr>
            <w:tcW w:w="933" w:type="dxa"/>
            <w:tcBorders>
              <w:top w:val="nil"/>
              <w:left w:val="nil"/>
              <w:bottom w:val="nil"/>
              <w:right w:val="nil"/>
            </w:tcBorders>
            <w:shd w:val="clear" w:color="auto" w:fill="auto"/>
            <w:noWrap/>
            <w:vAlign w:val="center"/>
            <w:hideMark/>
          </w:tcPr>
          <w:p w14:paraId="3AEAA24F"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09" w:type="dxa"/>
            <w:tcBorders>
              <w:top w:val="nil"/>
              <w:left w:val="nil"/>
              <w:bottom w:val="nil"/>
              <w:right w:val="nil"/>
            </w:tcBorders>
            <w:shd w:val="clear" w:color="auto" w:fill="auto"/>
            <w:noWrap/>
            <w:vAlign w:val="center"/>
            <w:hideMark/>
          </w:tcPr>
          <w:p w14:paraId="566196AD"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2" w:type="dxa"/>
            <w:tcBorders>
              <w:top w:val="nil"/>
              <w:left w:val="nil"/>
              <w:bottom w:val="nil"/>
              <w:right w:val="nil"/>
            </w:tcBorders>
            <w:shd w:val="clear" w:color="auto" w:fill="auto"/>
            <w:noWrap/>
            <w:vAlign w:val="center"/>
            <w:hideMark/>
          </w:tcPr>
          <w:p w14:paraId="78DE4CDA"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2.4</w:t>
            </w:r>
          </w:p>
        </w:tc>
        <w:tc>
          <w:tcPr>
            <w:tcW w:w="798" w:type="dxa"/>
            <w:tcBorders>
              <w:top w:val="nil"/>
              <w:left w:val="nil"/>
              <w:bottom w:val="nil"/>
              <w:right w:val="nil"/>
            </w:tcBorders>
            <w:shd w:val="clear" w:color="auto" w:fill="auto"/>
            <w:noWrap/>
            <w:vAlign w:val="center"/>
            <w:hideMark/>
          </w:tcPr>
          <w:p w14:paraId="03373784"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w:t>
            </w:r>
          </w:p>
        </w:tc>
        <w:tc>
          <w:tcPr>
            <w:tcW w:w="819" w:type="dxa"/>
            <w:tcBorders>
              <w:top w:val="nil"/>
              <w:left w:val="nil"/>
              <w:bottom w:val="nil"/>
              <w:right w:val="nil"/>
            </w:tcBorders>
            <w:shd w:val="clear" w:color="auto" w:fill="auto"/>
            <w:noWrap/>
            <w:vAlign w:val="center"/>
            <w:hideMark/>
          </w:tcPr>
          <w:p w14:paraId="78598137"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5.7</w:t>
            </w:r>
          </w:p>
        </w:tc>
        <w:tc>
          <w:tcPr>
            <w:tcW w:w="806" w:type="dxa"/>
            <w:tcBorders>
              <w:top w:val="nil"/>
              <w:left w:val="nil"/>
              <w:bottom w:val="nil"/>
              <w:right w:val="nil"/>
            </w:tcBorders>
            <w:shd w:val="clear" w:color="auto" w:fill="auto"/>
            <w:noWrap/>
            <w:vAlign w:val="center"/>
            <w:hideMark/>
          </w:tcPr>
          <w:p w14:paraId="1CBF1904"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12" w:type="dxa"/>
            <w:tcBorders>
              <w:top w:val="nil"/>
              <w:left w:val="nil"/>
              <w:bottom w:val="nil"/>
              <w:right w:val="nil"/>
            </w:tcBorders>
            <w:shd w:val="clear" w:color="auto" w:fill="auto"/>
            <w:noWrap/>
            <w:vAlign w:val="center"/>
            <w:hideMark/>
          </w:tcPr>
          <w:p w14:paraId="6A2F6692"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69.9</w:t>
            </w:r>
          </w:p>
        </w:tc>
      </w:tr>
      <w:tr w:rsidR="00D740DC" w:rsidRPr="000E2377" w14:paraId="53043C7C" w14:textId="77777777" w:rsidTr="00B11F5F">
        <w:trPr>
          <w:trHeight w:val="240"/>
        </w:trPr>
        <w:tc>
          <w:tcPr>
            <w:tcW w:w="1734" w:type="dxa"/>
            <w:vMerge/>
            <w:tcBorders>
              <w:left w:val="nil"/>
              <w:right w:val="nil"/>
            </w:tcBorders>
            <w:shd w:val="clear" w:color="auto" w:fill="auto"/>
            <w:vAlign w:val="center"/>
            <w:hideMark/>
          </w:tcPr>
          <w:p w14:paraId="1BF4CBF7"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p>
        </w:tc>
        <w:tc>
          <w:tcPr>
            <w:tcW w:w="2048" w:type="dxa"/>
            <w:tcBorders>
              <w:top w:val="nil"/>
              <w:left w:val="nil"/>
              <w:bottom w:val="nil"/>
              <w:right w:val="nil"/>
            </w:tcBorders>
            <w:shd w:val="clear" w:color="auto" w:fill="auto"/>
            <w:vAlign w:val="center"/>
            <w:hideMark/>
          </w:tcPr>
          <w:p w14:paraId="194181D3" w14:textId="77777777" w:rsidR="00D740DC" w:rsidRPr="000E2377" w:rsidRDefault="00D740DC" w:rsidP="00B11F5F">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3.6</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10.1</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64.3</w:t>
            </w:r>
          </w:p>
        </w:tc>
        <w:tc>
          <w:tcPr>
            <w:tcW w:w="933" w:type="dxa"/>
            <w:tcBorders>
              <w:top w:val="nil"/>
              <w:left w:val="nil"/>
              <w:bottom w:val="nil"/>
              <w:right w:val="nil"/>
            </w:tcBorders>
            <w:shd w:val="clear" w:color="auto" w:fill="auto"/>
            <w:noWrap/>
            <w:vAlign w:val="center"/>
            <w:hideMark/>
          </w:tcPr>
          <w:p w14:paraId="011E2CE2"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09" w:type="dxa"/>
            <w:tcBorders>
              <w:top w:val="nil"/>
              <w:left w:val="nil"/>
              <w:bottom w:val="nil"/>
              <w:right w:val="nil"/>
            </w:tcBorders>
            <w:shd w:val="clear" w:color="auto" w:fill="auto"/>
            <w:noWrap/>
            <w:vAlign w:val="center"/>
            <w:hideMark/>
          </w:tcPr>
          <w:p w14:paraId="7DAC9A89"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2" w:type="dxa"/>
            <w:tcBorders>
              <w:top w:val="nil"/>
              <w:left w:val="nil"/>
              <w:bottom w:val="nil"/>
              <w:right w:val="nil"/>
            </w:tcBorders>
            <w:shd w:val="clear" w:color="auto" w:fill="auto"/>
            <w:noWrap/>
            <w:vAlign w:val="center"/>
            <w:hideMark/>
          </w:tcPr>
          <w:p w14:paraId="61B18210"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3.6</w:t>
            </w:r>
          </w:p>
        </w:tc>
        <w:tc>
          <w:tcPr>
            <w:tcW w:w="798" w:type="dxa"/>
            <w:tcBorders>
              <w:top w:val="nil"/>
              <w:left w:val="nil"/>
              <w:bottom w:val="nil"/>
              <w:right w:val="nil"/>
            </w:tcBorders>
            <w:shd w:val="clear" w:color="auto" w:fill="auto"/>
            <w:noWrap/>
            <w:vAlign w:val="center"/>
            <w:hideMark/>
          </w:tcPr>
          <w:p w14:paraId="71D794C6"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w:t>
            </w:r>
          </w:p>
        </w:tc>
        <w:tc>
          <w:tcPr>
            <w:tcW w:w="819" w:type="dxa"/>
            <w:tcBorders>
              <w:top w:val="nil"/>
              <w:left w:val="nil"/>
              <w:bottom w:val="nil"/>
              <w:right w:val="nil"/>
            </w:tcBorders>
            <w:shd w:val="clear" w:color="auto" w:fill="auto"/>
            <w:noWrap/>
            <w:vAlign w:val="center"/>
            <w:hideMark/>
          </w:tcPr>
          <w:p w14:paraId="76735E85"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10.1</w:t>
            </w:r>
          </w:p>
        </w:tc>
        <w:tc>
          <w:tcPr>
            <w:tcW w:w="806" w:type="dxa"/>
            <w:tcBorders>
              <w:top w:val="nil"/>
              <w:left w:val="nil"/>
              <w:bottom w:val="nil"/>
              <w:right w:val="nil"/>
            </w:tcBorders>
            <w:shd w:val="clear" w:color="auto" w:fill="auto"/>
            <w:noWrap/>
            <w:vAlign w:val="center"/>
            <w:hideMark/>
          </w:tcPr>
          <w:p w14:paraId="42FE186A"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12" w:type="dxa"/>
            <w:tcBorders>
              <w:top w:val="nil"/>
              <w:left w:val="nil"/>
              <w:bottom w:val="nil"/>
              <w:right w:val="nil"/>
            </w:tcBorders>
            <w:shd w:val="clear" w:color="auto" w:fill="auto"/>
            <w:noWrap/>
            <w:vAlign w:val="center"/>
            <w:hideMark/>
          </w:tcPr>
          <w:p w14:paraId="28FB7D57"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64.3</w:t>
            </w:r>
          </w:p>
        </w:tc>
      </w:tr>
      <w:tr w:rsidR="00D740DC" w:rsidRPr="000E2377" w14:paraId="4100BCFD" w14:textId="77777777" w:rsidTr="00B11F5F">
        <w:trPr>
          <w:trHeight w:val="255"/>
        </w:trPr>
        <w:tc>
          <w:tcPr>
            <w:tcW w:w="1734" w:type="dxa"/>
            <w:vMerge/>
            <w:tcBorders>
              <w:left w:val="nil"/>
              <w:right w:val="nil"/>
            </w:tcBorders>
            <w:shd w:val="clear" w:color="auto" w:fill="auto"/>
            <w:vAlign w:val="center"/>
            <w:hideMark/>
          </w:tcPr>
          <w:p w14:paraId="64913EA1"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p>
        </w:tc>
        <w:tc>
          <w:tcPr>
            <w:tcW w:w="2048" w:type="dxa"/>
            <w:tcBorders>
              <w:top w:val="nil"/>
              <w:left w:val="nil"/>
              <w:bottom w:val="nil"/>
              <w:right w:val="nil"/>
            </w:tcBorders>
            <w:shd w:val="clear" w:color="auto" w:fill="auto"/>
            <w:vAlign w:val="center"/>
            <w:hideMark/>
          </w:tcPr>
          <w:p w14:paraId="331CA1AC" w14:textId="77777777" w:rsidR="00D740DC" w:rsidRPr="000E2377" w:rsidRDefault="00D740DC" w:rsidP="00B11F5F">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4.9</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7.1</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66</w:t>
            </w:r>
          </w:p>
        </w:tc>
        <w:tc>
          <w:tcPr>
            <w:tcW w:w="933" w:type="dxa"/>
            <w:tcBorders>
              <w:top w:val="nil"/>
              <w:left w:val="nil"/>
              <w:bottom w:val="nil"/>
              <w:right w:val="nil"/>
            </w:tcBorders>
            <w:shd w:val="clear" w:color="auto" w:fill="auto"/>
            <w:noWrap/>
            <w:vAlign w:val="center"/>
            <w:hideMark/>
          </w:tcPr>
          <w:p w14:paraId="6C730EA3"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09" w:type="dxa"/>
            <w:tcBorders>
              <w:top w:val="nil"/>
              <w:left w:val="nil"/>
              <w:bottom w:val="nil"/>
              <w:right w:val="nil"/>
            </w:tcBorders>
            <w:shd w:val="clear" w:color="auto" w:fill="auto"/>
            <w:noWrap/>
            <w:vAlign w:val="center"/>
            <w:hideMark/>
          </w:tcPr>
          <w:p w14:paraId="1505642D"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2" w:type="dxa"/>
            <w:tcBorders>
              <w:top w:val="nil"/>
              <w:left w:val="nil"/>
              <w:bottom w:val="nil"/>
              <w:right w:val="nil"/>
            </w:tcBorders>
            <w:shd w:val="clear" w:color="auto" w:fill="auto"/>
            <w:noWrap/>
            <w:vAlign w:val="center"/>
            <w:hideMark/>
          </w:tcPr>
          <w:p w14:paraId="0AE0C7A0"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4.9</w:t>
            </w:r>
          </w:p>
        </w:tc>
        <w:tc>
          <w:tcPr>
            <w:tcW w:w="798" w:type="dxa"/>
            <w:tcBorders>
              <w:top w:val="nil"/>
              <w:left w:val="nil"/>
              <w:bottom w:val="nil"/>
              <w:right w:val="nil"/>
            </w:tcBorders>
            <w:shd w:val="clear" w:color="auto" w:fill="auto"/>
            <w:noWrap/>
            <w:vAlign w:val="center"/>
            <w:hideMark/>
          </w:tcPr>
          <w:p w14:paraId="6C56FE38"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w:t>
            </w:r>
          </w:p>
        </w:tc>
        <w:tc>
          <w:tcPr>
            <w:tcW w:w="819" w:type="dxa"/>
            <w:tcBorders>
              <w:top w:val="nil"/>
              <w:left w:val="nil"/>
              <w:bottom w:val="nil"/>
              <w:right w:val="nil"/>
            </w:tcBorders>
            <w:shd w:val="clear" w:color="auto" w:fill="auto"/>
            <w:noWrap/>
            <w:vAlign w:val="center"/>
            <w:hideMark/>
          </w:tcPr>
          <w:p w14:paraId="606393EB"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7.1</w:t>
            </w:r>
          </w:p>
        </w:tc>
        <w:tc>
          <w:tcPr>
            <w:tcW w:w="806" w:type="dxa"/>
            <w:tcBorders>
              <w:top w:val="nil"/>
              <w:left w:val="nil"/>
              <w:bottom w:val="nil"/>
              <w:right w:val="nil"/>
            </w:tcBorders>
            <w:shd w:val="clear" w:color="auto" w:fill="auto"/>
            <w:noWrap/>
            <w:vAlign w:val="center"/>
            <w:hideMark/>
          </w:tcPr>
          <w:p w14:paraId="672E75A9"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12" w:type="dxa"/>
            <w:tcBorders>
              <w:top w:val="nil"/>
              <w:left w:val="nil"/>
              <w:bottom w:val="nil"/>
              <w:right w:val="nil"/>
            </w:tcBorders>
            <w:shd w:val="clear" w:color="auto" w:fill="auto"/>
            <w:noWrap/>
            <w:vAlign w:val="center"/>
            <w:hideMark/>
          </w:tcPr>
          <w:p w14:paraId="7C64C5AF"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66</w:t>
            </w:r>
          </w:p>
        </w:tc>
      </w:tr>
      <w:tr w:rsidR="00D740DC" w:rsidRPr="000E2377" w14:paraId="6B25CF35" w14:textId="77777777" w:rsidTr="00B11F5F">
        <w:trPr>
          <w:trHeight w:val="240"/>
        </w:trPr>
        <w:tc>
          <w:tcPr>
            <w:tcW w:w="1734" w:type="dxa"/>
            <w:vMerge/>
            <w:tcBorders>
              <w:left w:val="nil"/>
              <w:bottom w:val="single" w:sz="8" w:space="0" w:color="auto"/>
              <w:right w:val="nil"/>
            </w:tcBorders>
            <w:shd w:val="clear" w:color="auto" w:fill="auto"/>
            <w:vAlign w:val="center"/>
            <w:hideMark/>
          </w:tcPr>
          <w:p w14:paraId="545F1DD6"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p>
        </w:tc>
        <w:tc>
          <w:tcPr>
            <w:tcW w:w="2048" w:type="dxa"/>
            <w:tcBorders>
              <w:top w:val="nil"/>
              <w:left w:val="nil"/>
              <w:bottom w:val="single" w:sz="8" w:space="0" w:color="auto"/>
              <w:right w:val="nil"/>
            </w:tcBorders>
            <w:shd w:val="clear" w:color="auto" w:fill="auto"/>
            <w:vAlign w:val="center"/>
            <w:hideMark/>
          </w:tcPr>
          <w:p w14:paraId="6008721B" w14:textId="77777777" w:rsidR="00D740DC" w:rsidRPr="000E2377" w:rsidRDefault="00D740DC" w:rsidP="00B11F5F">
            <w:pPr>
              <w:spacing w:after="0" w:line="36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2.5</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12.5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63</w:t>
            </w:r>
          </w:p>
        </w:tc>
        <w:tc>
          <w:tcPr>
            <w:tcW w:w="933" w:type="dxa"/>
            <w:tcBorders>
              <w:top w:val="nil"/>
              <w:left w:val="nil"/>
              <w:bottom w:val="single" w:sz="8" w:space="0" w:color="auto"/>
              <w:right w:val="nil"/>
            </w:tcBorders>
            <w:shd w:val="clear" w:color="auto" w:fill="auto"/>
            <w:noWrap/>
            <w:vAlign w:val="center"/>
            <w:hideMark/>
          </w:tcPr>
          <w:p w14:paraId="3F0E6E12"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09" w:type="dxa"/>
            <w:tcBorders>
              <w:top w:val="nil"/>
              <w:left w:val="nil"/>
              <w:bottom w:val="single" w:sz="8" w:space="0" w:color="auto"/>
              <w:right w:val="nil"/>
            </w:tcBorders>
            <w:shd w:val="clear" w:color="auto" w:fill="auto"/>
            <w:noWrap/>
            <w:vAlign w:val="center"/>
            <w:hideMark/>
          </w:tcPr>
          <w:p w14:paraId="27A17079"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w:t>
            </w:r>
          </w:p>
        </w:tc>
        <w:tc>
          <w:tcPr>
            <w:tcW w:w="812" w:type="dxa"/>
            <w:tcBorders>
              <w:top w:val="nil"/>
              <w:left w:val="nil"/>
              <w:bottom w:val="single" w:sz="8" w:space="0" w:color="auto"/>
              <w:right w:val="nil"/>
            </w:tcBorders>
            <w:shd w:val="clear" w:color="auto" w:fill="auto"/>
            <w:noWrap/>
            <w:vAlign w:val="center"/>
            <w:hideMark/>
          </w:tcPr>
          <w:p w14:paraId="776493D1"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2.5</w:t>
            </w:r>
          </w:p>
        </w:tc>
        <w:tc>
          <w:tcPr>
            <w:tcW w:w="798" w:type="dxa"/>
            <w:tcBorders>
              <w:top w:val="nil"/>
              <w:left w:val="nil"/>
              <w:bottom w:val="single" w:sz="8" w:space="0" w:color="auto"/>
              <w:right w:val="nil"/>
            </w:tcBorders>
            <w:shd w:val="clear" w:color="auto" w:fill="auto"/>
            <w:noWrap/>
            <w:vAlign w:val="center"/>
            <w:hideMark/>
          </w:tcPr>
          <w:p w14:paraId="6887AC2A"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w:t>
            </w:r>
          </w:p>
        </w:tc>
        <w:tc>
          <w:tcPr>
            <w:tcW w:w="819" w:type="dxa"/>
            <w:tcBorders>
              <w:top w:val="nil"/>
              <w:left w:val="nil"/>
              <w:bottom w:val="single" w:sz="8" w:space="0" w:color="auto"/>
              <w:right w:val="nil"/>
            </w:tcBorders>
            <w:shd w:val="clear" w:color="auto" w:fill="auto"/>
            <w:noWrap/>
            <w:vAlign w:val="center"/>
            <w:hideMark/>
          </w:tcPr>
          <w:p w14:paraId="37E4AF2F"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12.5</w:t>
            </w:r>
          </w:p>
        </w:tc>
        <w:tc>
          <w:tcPr>
            <w:tcW w:w="806" w:type="dxa"/>
            <w:tcBorders>
              <w:top w:val="nil"/>
              <w:left w:val="nil"/>
              <w:bottom w:val="single" w:sz="8" w:space="0" w:color="auto"/>
              <w:right w:val="nil"/>
            </w:tcBorders>
            <w:shd w:val="clear" w:color="auto" w:fill="auto"/>
            <w:noWrap/>
            <w:vAlign w:val="center"/>
            <w:hideMark/>
          </w:tcPr>
          <w:p w14:paraId="5B217570"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w:t>
            </w:r>
          </w:p>
        </w:tc>
        <w:tc>
          <w:tcPr>
            <w:tcW w:w="812" w:type="dxa"/>
            <w:tcBorders>
              <w:top w:val="nil"/>
              <w:left w:val="nil"/>
              <w:bottom w:val="single" w:sz="8" w:space="0" w:color="auto"/>
              <w:right w:val="nil"/>
            </w:tcBorders>
            <w:shd w:val="clear" w:color="auto" w:fill="auto"/>
            <w:noWrap/>
            <w:vAlign w:val="center"/>
            <w:hideMark/>
          </w:tcPr>
          <w:p w14:paraId="2DA341F3" w14:textId="77777777" w:rsidR="00D740DC" w:rsidRPr="000E2377" w:rsidRDefault="00D740DC" w:rsidP="00B11F5F">
            <w:pPr>
              <w:spacing w:after="0" w:line="36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63</w:t>
            </w:r>
          </w:p>
        </w:tc>
      </w:tr>
    </w:tbl>
    <w:p w14:paraId="248B0C7B" w14:textId="77777777" w:rsidR="00D740DC" w:rsidRPr="000E2377" w:rsidRDefault="00D740DC" w:rsidP="00D740DC">
      <w:pPr>
        <w:spacing w:after="0" w:line="360" w:lineRule="auto"/>
        <w:jc w:val="both"/>
        <w:rPr>
          <w:rFonts w:cs="Times New Roman"/>
          <w:b w:val="0"/>
          <w:szCs w:val="24"/>
        </w:rPr>
      </w:pPr>
    </w:p>
    <w:p w14:paraId="056A97A4" w14:textId="77777777" w:rsidR="00D740DC" w:rsidRPr="000E2377" w:rsidRDefault="00D740DC" w:rsidP="00D740DC">
      <w:pPr>
        <w:keepNext/>
        <w:keepLines/>
        <w:spacing w:before="40" w:after="0" w:line="360" w:lineRule="auto"/>
        <w:ind w:left="360" w:hanging="360"/>
        <w:outlineLvl w:val="2"/>
        <w:rPr>
          <w:rFonts w:eastAsia="Calibri" w:cstheme="majorBidi"/>
          <w:iCs/>
          <w:color w:val="000000" w:themeColor="text1"/>
          <w:szCs w:val="24"/>
          <w:lang w:eastAsia="tr-TR"/>
        </w:rPr>
      </w:pPr>
      <w:bookmarkStart w:id="257" w:name="_Toc515398719"/>
      <w:bookmarkStart w:id="258" w:name="_Toc523402891"/>
      <w:bookmarkStart w:id="259" w:name="_Toc525526402"/>
      <w:bookmarkStart w:id="260" w:name="_Toc525707819"/>
      <w:bookmarkStart w:id="261" w:name="_Toc525742484"/>
      <w:bookmarkStart w:id="262" w:name="_Toc12994952"/>
      <w:bookmarkEnd w:id="253"/>
      <w:bookmarkEnd w:id="254"/>
      <w:r w:rsidRPr="000E2377">
        <w:rPr>
          <w:rFonts w:eastAsia="Calibri" w:cstheme="majorBidi"/>
          <w:iCs/>
          <w:color w:val="000000" w:themeColor="text1"/>
          <w:szCs w:val="24"/>
          <w:lang w:eastAsia="tr-TR"/>
        </w:rPr>
        <w:t>3.2 Glass batching</w:t>
      </w:r>
      <w:bookmarkEnd w:id="257"/>
      <w:r w:rsidRPr="000E2377">
        <w:rPr>
          <w:rFonts w:eastAsia="Calibri" w:cstheme="majorBidi"/>
          <w:iCs/>
          <w:color w:val="000000" w:themeColor="text1"/>
          <w:szCs w:val="24"/>
          <w:lang w:eastAsia="tr-TR"/>
        </w:rPr>
        <w:t xml:space="preserve"> and melting</w:t>
      </w:r>
      <w:bookmarkEnd w:id="258"/>
      <w:bookmarkEnd w:id="259"/>
      <w:bookmarkEnd w:id="260"/>
      <w:bookmarkEnd w:id="261"/>
      <w:bookmarkEnd w:id="262"/>
    </w:p>
    <w:p w14:paraId="65481098" w14:textId="3C857ED9" w:rsidR="00D740DC" w:rsidRPr="00673A9A" w:rsidRDefault="00D740DC" w:rsidP="00D740DC">
      <w:pPr>
        <w:spacing w:line="360" w:lineRule="auto"/>
        <w:jc w:val="both"/>
        <w:rPr>
          <w:rFonts w:ascii="Arial" w:hAnsi="Arial" w:cs="Arial"/>
          <w:b w:val="0"/>
          <w:szCs w:val="24"/>
          <w:lang w:val="en-GB"/>
        </w:rPr>
      </w:pPr>
      <w:r w:rsidRPr="000E2377">
        <w:rPr>
          <w:rFonts w:cs="Times New Roman"/>
          <w:b w:val="0"/>
          <w:szCs w:val="24"/>
        </w:rPr>
        <w:t xml:space="preserve">Glasses were prepared by melting </w:t>
      </w:r>
      <w:r>
        <w:rPr>
          <w:rFonts w:cs="Times New Roman"/>
          <w:b w:val="0"/>
          <w:szCs w:val="24"/>
        </w:rPr>
        <w:t xml:space="preserve">appropriate </w:t>
      </w:r>
      <w:r w:rsidRPr="000E2377">
        <w:rPr>
          <w:rFonts w:cs="Times New Roman"/>
          <w:b w:val="0"/>
          <w:szCs w:val="24"/>
        </w:rPr>
        <w:t>mixtures of oxide</w:t>
      </w:r>
      <w:r>
        <w:rPr>
          <w:rFonts w:cs="Times New Roman"/>
          <w:b w:val="0"/>
          <w:szCs w:val="24"/>
        </w:rPr>
        <w:t xml:space="preserve"> and</w:t>
      </w:r>
      <w:r w:rsidRPr="000E2377">
        <w:rPr>
          <w:rFonts w:cs="Times New Roman"/>
          <w:b w:val="0"/>
          <w:szCs w:val="24"/>
        </w:rPr>
        <w:t xml:space="preserve"> carbonate </w:t>
      </w:r>
      <w:r>
        <w:rPr>
          <w:rFonts w:cs="Times New Roman"/>
          <w:b w:val="0"/>
          <w:szCs w:val="24"/>
        </w:rPr>
        <w:t>raw materials</w:t>
      </w:r>
      <w:r w:rsidRPr="000E2377">
        <w:rPr>
          <w:rFonts w:cs="Times New Roman"/>
          <w:b w:val="0"/>
          <w:szCs w:val="24"/>
        </w:rPr>
        <w:t xml:space="preserve">. </w:t>
      </w:r>
      <w:r>
        <w:rPr>
          <w:rFonts w:cs="Times New Roman"/>
          <w:b w:val="0"/>
          <w:szCs w:val="24"/>
        </w:rPr>
        <w:t>D</w:t>
      </w:r>
      <w:r w:rsidRPr="000E2377">
        <w:rPr>
          <w:rFonts w:cs="Times New Roman"/>
          <w:b w:val="0"/>
          <w:szCs w:val="24"/>
        </w:rPr>
        <w:t xml:space="preserve">etails of </w:t>
      </w:r>
      <w:r>
        <w:rPr>
          <w:rFonts w:cs="Times New Roman"/>
          <w:b w:val="0"/>
          <w:szCs w:val="24"/>
        </w:rPr>
        <w:t xml:space="preserve">the </w:t>
      </w:r>
      <w:r w:rsidRPr="000E2377">
        <w:rPr>
          <w:rFonts w:cs="Times New Roman"/>
          <w:b w:val="0"/>
          <w:szCs w:val="24"/>
        </w:rPr>
        <w:t>raw materials used are given in Table 3.2.</w:t>
      </w:r>
      <w:r w:rsidRPr="000E2377">
        <w:rPr>
          <w:rFonts w:cs="Times New Roman"/>
          <w:b w:val="0"/>
          <w:color w:val="E36C0A" w:themeColor="accent6" w:themeShade="BF"/>
          <w:szCs w:val="24"/>
        </w:rPr>
        <w:t xml:space="preserve"> </w:t>
      </w:r>
      <w:r w:rsidRPr="00673A9A">
        <w:rPr>
          <w:rFonts w:cs="Times New Roman"/>
          <w:b w:val="0"/>
          <w:szCs w:val="24"/>
        </w:rPr>
        <w:t xml:space="preserve">The sodium sulphate </w:t>
      </w:r>
      <w:r w:rsidR="00284CC3">
        <w:rPr>
          <w:rFonts w:cs="Times New Roman"/>
          <w:b w:val="0"/>
          <w:szCs w:val="24"/>
          <w:lang w:val="en-GB"/>
        </w:rPr>
        <w:t>was</w:t>
      </w:r>
      <w:r w:rsidR="00284CC3" w:rsidRPr="00673A9A">
        <w:rPr>
          <w:rFonts w:cs="Times New Roman"/>
          <w:b w:val="0"/>
          <w:szCs w:val="24"/>
          <w:lang w:val="en-GB"/>
        </w:rPr>
        <w:t xml:space="preserve"> </w:t>
      </w:r>
      <w:r w:rsidRPr="00673A9A">
        <w:rPr>
          <w:rFonts w:cs="Times New Roman"/>
          <w:b w:val="0"/>
          <w:szCs w:val="24"/>
          <w:lang w:val="en-GB"/>
        </w:rPr>
        <w:t xml:space="preserve">used as a small source of materials for Na </w:t>
      </w:r>
      <w:r>
        <w:rPr>
          <w:rFonts w:cs="Times New Roman"/>
          <w:b w:val="0"/>
          <w:szCs w:val="24"/>
          <w:lang w:val="en-GB"/>
        </w:rPr>
        <w:t>which is</w:t>
      </w:r>
      <w:r w:rsidRPr="00673A9A">
        <w:rPr>
          <w:rFonts w:cs="Times New Roman"/>
          <w:b w:val="0"/>
          <w:szCs w:val="24"/>
          <w:lang w:val="en-GB"/>
        </w:rPr>
        <w:t xml:space="preserve"> about 2</w:t>
      </w:r>
      <w:r>
        <w:rPr>
          <w:rFonts w:cs="Times New Roman"/>
          <w:b w:val="0"/>
          <w:szCs w:val="24"/>
          <w:lang w:val="en-GB"/>
        </w:rPr>
        <w:t xml:space="preserve"> </w:t>
      </w:r>
      <w:proofErr w:type="spellStart"/>
      <w:r w:rsidRPr="00673A9A">
        <w:rPr>
          <w:rFonts w:cs="Times New Roman"/>
          <w:b w:val="0"/>
          <w:szCs w:val="24"/>
          <w:lang w:val="en-GB"/>
        </w:rPr>
        <w:t>wt</w:t>
      </w:r>
      <w:proofErr w:type="spellEnd"/>
      <w:r w:rsidRPr="00673A9A">
        <w:rPr>
          <w:rFonts w:cs="Times New Roman"/>
          <w:b w:val="0"/>
          <w:szCs w:val="24"/>
          <w:lang w:val="en-GB"/>
        </w:rPr>
        <w:t xml:space="preserve">% from </w:t>
      </w:r>
      <w:r w:rsidR="00284CC3">
        <w:rPr>
          <w:rFonts w:cs="Times New Roman"/>
          <w:b w:val="0"/>
          <w:szCs w:val="24"/>
          <w:lang w:val="en-GB"/>
        </w:rPr>
        <w:t xml:space="preserve">the </w:t>
      </w:r>
      <w:r w:rsidRPr="00673A9A">
        <w:rPr>
          <w:rFonts w:cs="Times New Roman"/>
          <w:b w:val="0"/>
          <w:szCs w:val="24"/>
          <w:lang w:val="en-GB"/>
        </w:rPr>
        <w:t xml:space="preserve">total of Na needed in composition and used </w:t>
      </w:r>
      <w:r w:rsidRPr="00673A9A">
        <w:rPr>
          <w:rFonts w:cs="Times New Roman"/>
          <w:b w:val="0"/>
          <w:szCs w:val="24"/>
        </w:rPr>
        <w:t xml:space="preserve">to provide </w:t>
      </w:r>
      <w:r w:rsidR="00284CC3">
        <w:rPr>
          <w:rFonts w:cs="Times New Roman"/>
          <w:b w:val="0"/>
          <w:szCs w:val="24"/>
        </w:rPr>
        <w:t xml:space="preserve">a </w:t>
      </w:r>
      <w:r w:rsidRPr="00673A9A">
        <w:rPr>
          <w:rFonts w:cs="Times New Roman"/>
          <w:b w:val="0"/>
          <w:szCs w:val="24"/>
        </w:rPr>
        <w:t>small amount of sulphur in the composition.</w:t>
      </w:r>
    </w:p>
    <w:p w14:paraId="18B182E5" w14:textId="77777777" w:rsidR="00D740DC" w:rsidRPr="000E2377" w:rsidRDefault="00D740DC" w:rsidP="00D740DC">
      <w:pPr>
        <w:pStyle w:val="Caption"/>
        <w:rPr>
          <w:color w:val="000000" w:themeColor="text1"/>
          <w:szCs w:val="24"/>
        </w:rPr>
      </w:pPr>
      <w:bookmarkStart w:id="263" w:name="_Toc521483065"/>
      <w:bookmarkStart w:id="264" w:name="_Toc525225327"/>
      <w:bookmarkStart w:id="265" w:name="_Toc525706423"/>
      <w:bookmarkStart w:id="266" w:name="_Hlk515393897"/>
      <w:r w:rsidRPr="000E2377">
        <w:t xml:space="preserve">Table </w:t>
      </w:r>
      <w:r>
        <w:t>3</w:t>
      </w:r>
      <w:r w:rsidRPr="000E2377">
        <w:t>.</w:t>
      </w:r>
      <w:r>
        <w:t>2</w:t>
      </w:r>
      <w:r w:rsidRPr="000E2377">
        <w:rPr>
          <w:szCs w:val="24"/>
        </w:rPr>
        <w:t xml:space="preserve">: Raw </w:t>
      </w:r>
      <w:r w:rsidRPr="000E2377">
        <w:rPr>
          <w:color w:val="000000" w:themeColor="text1"/>
          <w:szCs w:val="24"/>
        </w:rPr>
        <w:t>materials used</w:t>
      </w:r>
      <w:bookmarkEnd w:id="263"/>
      <w:bookmarkEnd w:id="264"/>
      <w:bookmarkEnd w:id="265"/>
      <w:r>
        <w:rPr>
          <w:color w:val="000000" w:themeColor="text1"/>
          <w:szCs w:val="24"/>
        </w:rPr>
        <w:t>.</w:t>
      </w:r>
    </w:p>
    <w:tbl>
      <w:tblPr>
        <w:tblW w:w="9099" w:type="dxa"/>
        <w:jc w:val="center"/>
        <w:tblLook w:val="04A0" w:firstRow="1" w:lastRow="0" w:firstColumn="1" w:lastColumn="0" w:noHBand="0" w:noVBand="1"/>
      </w:tblPr>
      <w:tblGrid>
        <w:gridCol w:w="1336"/>
        <w:gridCol w:w="3980"/>
        <w:gridCol w:w="1242"/>
        <w:gridCol w:w="2541"/>
      </w:tblGrid>
      <w:tr w:rsidR="00D740DC" w:rsidRPr="000E2377" w14:paraId="6D334183" w14:textId="77777777" w:rsidTr="00B11F5F">
        <w:trPr>
          <w:trHeight w:val="300"/>
          <w:jc w:val="center"/>
        </w:trPr>
        <w:tc>
          <w:tcPr>
            <w:tcW w:w="1336" w:type="dxa"/>
            <w:tcBorders>
              <w:top w:val="single" w:sz="4" w:space="0" w:color="auto"/>
              <w:left w:val="nil"/>
              <w:bottom w:val="single" w:sz="4" w:space="0" w:color="auto"/>
              <w:right w:val="single" w:sz="4" w:space="0" w:color="auto"/>
            </w:tcBorders>
            <w:shd w:val="clear" w:color="auto" w:fill="auto"/>
            <w:noWrap/>
            <w:vAlign w:val="bottom"/>
            <w:hideMark/>
          </w:tcPr>
          <w:bookmarkEnd w:id="266"/>
          <w:p w14:paraId="6CF73F57" w14:textId="77777777" w:rsidR="00D740DC" w:rsidRPr="000E2377" w:rsidRDefault="00D740DC" w:rsidP="00B11F5F">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Component</w:t>
            </w:r>
          </w:p>
        </w:tc>
        <w:tc>
          <w:tcPr>
            <w:tcW w:w="3980" w:type="dxa"/>
            <w:tcBorders>
              <w:top w:val="single" w:sz="4" w:space="0" w:color="auto"/>
              <w:left w:val="nil"/>
              <w:bottom w:val="single" w:sz="4" w:space="0" w:color="auto"/>
              <w:right w:val="nil"/>
            </w:tcBorders>
            <w:shd w:val="clear" w:color="auto" w:fill="auto"/>
            <w:noWrap/>
            <w:vAlign w:val="bottom"/>
            <w:hideMark/>
          </w:tcPr>
          <w:p w14:paraId="6445D6A1" w14:textId="77777777" w:rsidR="00D740DC" w:rsidRPr="000E2377" w:rsidRDefault="00D740DC" w:rsidP="00B11F5F">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Raw chemicals</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47B939" w14:textId="77777777" w:rsidR="00D740DC" w:rsidRPr="000E2377" w:rsidRDefault="00D740DC" w:rsidP="00B11F5F">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Purity (%)</w:t>
            </w:r>
          </w:p>
        </w:tc>
        <w:tc>
          <w:tcPr>
            <w:tcW w:w="2541" w:type="dxa"/>
            <w:tcBorders>
              <w:top w:val="single" w:sz="4" w:space="0" w:color="auto"/>
              <w:left w:val="nil"/>
              <w:bottom w:val="single" w:sz="4" w:space="0" w:color="auto"/>
              <w:right w:val="nil"/>
            </w:tcBorders>
            <w:shd w:val="clear" w:color="auto" w:fill="auto"/>
            <w:noWrap/>
            <w:vAlign w:val="bottom"/>
            <w:hideMark/>
          </w:tcPr>
          <w:p w14:paraId="6899BEA2" w14:textId="77777777" w:rsidR="00D740DC" w:rsidRPr="000E2377" w:rsidRDefault="00D740DC" w:rsidP="00B11F5F">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Supplier</w:t>
            </w:r>
          </w:p>
        </w:tc>
      </w:tr>
      <w:tr w:rsidR="00D740DC" w:rsidRPr="000E2377" w14:paraId="02705361" w14:textId="77777777" w:rsidTr="00B11F5F">
        <w:trPr>
          <w:trHeight w:val="360"/>
          <w:jc w:val="center"/>
        </w:trPr>
        <w:tc>
          <w:tcPr>
            <w:tcW w:w="1336" w:type="dxa"/>
            <w:tcBorders>
              <w:top w:val="nil"/>
              <w:left w:val="nil"/>
              <w:bottom w:val="nil"/>
              <w:right w:val="single" w:sz="4" w:space="0" w:color="auto"/>
            </w:tcBorders>
            <w:shd w:val="clear" w:color="auto" w:fill="auto"/>
            <w:noWrap/>
            <w:vAlign w:val="bottom"/>
            <w:hideMark/>
          </w:tcPr>
          <w:p w14:paraId="626537AC"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SiO</w:t>
            </w:r>
            <w:r w:rsidRPr="000E2377">
              <w:rPr>
                <w:rFonts w:eastAsia="Times New Roman" w:cs="Times New Roman"/>
                <w:b w:val="0"/>
                <w:color w:val="000000"/>
                <w:szCs w:val="24"/>
                <w:vertAlign w:val="subscript"/>
                <w:lang w:eastAsia="en-MY"/>
              </w:rPr>
              <w:t>2</w:t>
            </w:r>
          </w:p>
        </w:tc>
        <w:tc>
          <w:tcPr>
            <w:tcW w:w="3980" w:type="dxa"/>
            <w:tcBorders>
              <w:top w:val="nil"/>
              <w:left w:val="nil"/>
              <w:bottom w:val="nil"/>
              <w:right w:val="nil"/>
            </w:tcBorders>
            <w:shd w:val="clear" w:color="auto" w:fill="auto"/>
            <w:noWrap/>
            <w:vAlign w:val="bottom"/>
            <w:hideMark/>
          </w:tcPr>
          <w:p w14:paraId="6015AFB4"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High purity silica, SiO</w:t>
            </w:r>
            <w:r w:rsidRPr="000E2377">
              <w:rPr>
                <w:rFonts w:eastAsia="Times New Roman" w:cs="Times New Roman"/>
                <w:b w:val="0"/>
                <w:color w:val="000000"/>
                <w:szCs w:val="24"/>
                <w:vertAlign w:val="subscript"/>
                <w:lang w:eastAsia="en-MY"/>
              </w:rPr>
              <w:t>2</w:t>
            </w:r>
          </w:p>
        </w:tc>
        <w:tc>
          <w:tcPr>
            <w:tcW w:w="1242" w:type="dxa"/>
            <w:tcBorders>
              <w:top w:val="nil"/>
              <w:left w:val="single" w:sz="4" w:space="0" w:color="auto"/>
              <w:bottom w:val="nil"/>
              <w:right w:val="single" w:sz="4" w:space="0" w:color="auto"/>
            </w:tcBorders>
            <w:shd w:val="clear" w:color="auto" w:fill="auto"/>
            <w:noWrap/>
            <w:vAlign w:val="bottom"/>
            <w:hideMark/>
          </w:tcPr>
          <w:p w14:paraId="3B026DA6" w14:textId="77777777" w:rsidR="00D740DC" w:rsidRPr="000E2377" w:rsidRDefault="00D740DC" w:rsidP="00B11F5F">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99.5</w:t>
            </w:r>
          </w:p>
        </w:tc>
        <w:tc>
          <w:tcPr>
            <w:tcW w:w="2541" w:type="dxa"/>
            <w:tcBorders>
              <w:top w:val="nil"/>
              <w:left w:val="nil"/>
              <w:bottom w:val="nil"/>
              <w:right w:val="nil"/>
            </w:tcBorders>
            <w:shd w:val="clear" w:color="auto" w:fill="auto"/>
            <w:noWrap/>
            <w:vAlign w:val="bottom"/>
            <w:hideMark/>
          </w:tcPr>
          <w:p w14:paraId="67354A4D"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cs="Times New Roman"/>
                <w:b w:val="0"/>
                <w:szCs w:val="24"/>
              </w:rPr>
              <w:t xml:space="preserve">Glassworks </w:t>
            </w:r>
            <w:r>
              <w:rPr>
                <w:rFonts w:cs="Times New Roman"/>
                <w:b w:val="0"/>
                <w:szCs w:val="24"/>
              </w:rPr>
              <w:t>S</w:t>
            </w:r>
            <w:r w:rsidRPr="000E2377">
              <w:rPr>
                <w:rFonts w:cs="Times New Roman"/>
                <w:b w:val="0"/>
                <w:szCs w:val="24"/>
              </w:rPr>
              <w:t>ervices</w:t>
            </w:r>
          </w:p>
        </w:tc>
      </w:tr>
      <w:tr w:rsidR="00D740DC" w:rsidRPr="000E2377" w14:paraId="44AFA111" w14:textId="77777777" w:rsidTr="00B11F5F">
        <w:trPr>
          <w:trHeight w:val="360"/>
          <w:jc w:val="center"/>
        </w:trPr>
        <w:tc>
          <w:tcPr>
            <w:tcW w:w="1336" w:type="dxa"/>
            <w:tcBorders>
              <w:top w:val="nil"/>
              <w:left w:val="nil"/>
              <w:bottom w:val="nil"/>
              <w:right w:val="single" w:sz="4" w:space="0" w:color="auto"/>
            </w:tcBorders>
            <w:shd w:val="clear" w:color="auto" w:fill="auto"/>
            <w:noWrap/>
            <w:vAlign w:val="bottom"/>
            <w:hideMark/>
          </w:tcPr>
          <w:p w14:paraId="2A3B56D4"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Al</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O</w:t>
            </w:r>
            <w:r w:rsidRPr="000E2377">
              <w:rPr>
                <w:rFonts w:eastAsia="Times New Roman" w:cs="Times New Roman"/>
                <w:b w:val="0"/>
                <w:color w:val="000000"/>
                <w:szCs w:val="24"/>
                <w:vertAlign w:val="subscript"/>
                <w:lang w:eastAsia="en-MY"/>
              </w:rPr>
              <w:t>3</w:t>
            </w:r>
          </w:p>
        </w:tc>
        <w:tc>
          <w:tcPr>
            <w:tcW w:w="3980" w:type="dxa"/>
            <w:tcBorders>
              <w:top w:val="nil"/>
              <w:left w:val="nil"/>
              <w:bottom w:val="nil"/>
              <w:right w:val="nil"/>
            </w:tcBorders>
            <w:shd w:val="clear" w:color="auto" w:fill="auto"/>
            <w:noWrap/>
            <w:vAlign w:val="bottom"/>
            <w:hideMark/>
          </w:tcPr>
          <w:p w14:paraId="417ECB66"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Aluminium oxide, Al</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O</w:t>
            </w:r>
            <w:r w:rsidRPr="000E2377">
              <w:rPr>
                <w:rFonts w:eastAsia="Times New Roman" w:cs="Times New Roman"/>
                <w:b w:val="0"/>
                <w:color w:val="000000"/>
                <w:szCs w:val="24"/>
                <w:vertAlign w:val="subscript"/>
                <w:lang w:eastAsia="en-MY"/>
              </w:rPr>
              <w:t>3</w:t>
            </w:r>
          </w:p>
        </w:tc>
        <w:tc>
          <w:tcPr>
            <w:tcW w:w="1242" w:type="dxa"/>
            <w:tcBorders>
              <w:top w:val="nil"/>
              <w:left w:val="single" w:sz="4" w:space="0" w:color="auto"/>
              <w:bottom w:val="nil"/>
              <w:right w:val="single" w:sz="4" w:space="0" w:color="auto"/>
            </w:tcBorders>
            <w:shd w:val="clear" w:color="auto" w:fill="auto"/>
            <w:noWrap/>
            <w:vAlign w:val="bottom"/>
            <w:hideMark/>
          </w:tcPr>
          <w:p w14:paraId="384DE45E" w14:textId="77777777" w:rsidR="00D740DC" w:rsidRPr="000E2377" w:rsidRDefault="00D740DC" w:rsidP="00B11F5F">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99.9</w:t>
            </w:r>
          </w:p>
        </w:tc>
        <w:tc>
          <w:tcPr>
            <w:tcW w:w="2541" w:type="dxa"/>
            <w:tcBorders>
              <w:top w:val="nil"/>
              <w:left w:val="nil"/>
              <w:bottom w:val="nil"/>
              <w:right w:val="nil"/>
            </w:tcBorders>
            <w:shd w:val="clear" w:color="auto" w:fill="auto"/>
            <w:noWrap/>
            <w:vAlign w:val="bottom"/>
            <w:hideMark/>
          </w:tcPr>
          <w:p w14:paraId="1F3EBB99"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cs="Times New Roman"/>
                <w:b w:val="0"/>
                <w:szCs w:val="24"/>
              </w:rPr>
              <w:t>Sigma Aldrich</w:t>
            </w:r>
          </w:p>
        </w:tc>
      </w:tr>
      <w:tr w:rsidR="00D740DC" w:rsidRPr="000E2377" w14:paraId="4D918A86" w14:textId="77777777" w:rsidTr="00B11F5F">
        <w:trPr>
          <w:trHeight w:val="360"/>
          <w:jc w:val="center"/>
        </w:trPr>
        <w:tc>
          <w:tcPr>
            <w:tcW w:w="1336" w:type="dxa"/>
            <w:tcBorders>
              <w:top w:val="nil"/>
              <w:left w:val="nil"/>
              <w:bottom w:val="nil"/>
              <w:right w:val="single" w:sz="4" w:space="0" w:color="auto"/>
            </w:tcBorders>
            <w:shd w:val="clear" w:color="auto" w:fill="auto"/>
            <w:noWrap/>
            <w:vAlign w:val="bottom"/>
            <w:hideMark/>
          </w:tcPr>
          <w:p w14:paraId="20C2E3C4"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O</w:t>
            </w:r>
            <w:r w:rsidRPr="000E2377">
              <w:rPr>
                <w:rFonts w:eastAsia="Times New Roman" w:cs="Times New Roman"/>
                <w:b w:val="0"/>
                <w:color w:val="000000"/>
                <w:szCs w:val="24"/>
                <w:vertAlign w:val="subscript"/>
                <w:lang w:eastAsia="en-MY"/>
              </w:rPr>
              <w:t>3</w:t>
            </w:r>
          </w:p>
        </w:tc>
        <w:tc>
          <w:tcPr>
            <w:tcW w:w="3980" w:type="dxa"/>
            <w:tcBorders>
              <w:top w:val="nil"/>
              <w:left w:val="nil"/>
              <w:bottom w:val="nil"/>
              <w:right w:val="nil"/>
            </w:tcBorders>
            <w:shd w:val="clear" w:color="auto" w:fill="auto"/>
            <w:noWrap/>
            <w:vAlign w:val="bottom"/>
            <w:hideMark/>
          </w:tcPr>
          <w:p w14:paraId="6FA8A0D4"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Boric acid, H</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BO</w:t>
            </w:r>
            <w:r w:rsidRPr="000E2377">
              <w:rPr>
                <w:rFonts w:eastAsia="Times New Roman" w:cs="Times New Roman"/>
                <w:b w:val="0"/>
                <w:color w:val="000000"/>
                <w:szCs w:val="24"/>
                <w:vertAlign w:val="subscript"/>
                <w:lang w:eastAsia="en-MY"/>
              </w:rPr>
              <w:t>3</w:t>
            </w:r>
          </w:p>
        </w:tc>
        <w:tc>
          <w:tcPr>
            <w:tcW w:w="1242" w:type="dxa"/>
            <w:tcBorders>
              <w:top w:val="nil"/>
              <w:left w:val="single" w:sz="4" w:space="0" w:color="auto"/>
              <w:bottom w:val="nil"/>
              <w:right w:val="single" w:sz="4" w:space="0" w:color="auto"/>
            </w:tcBorders>
            <w:shd w:val="clear" w:color="auto" w:fill="auto"/>
            <w:noWrap/>
            <w:vAlign w:val="bottom"/>
            <w:hideMark/>
          </w:tcPr>
          <w:p w14:paraId="332EE1EC" w14:textId="77777777" w:rsidR="00D740DC" w:rsidRPr="000E2377" w:rsidRDefault="00D740DC" w:rsidP="00B11F5F">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99.5</w:t>
            </w:r>
          </w:p>
        </w:tc>
        <w:tc>
          <w:tcPr>
            <w:tcW w:w="2541" w:type="dxa"/>
            <w:tcBorders>
              <w:top w:val="nil"/>
              <w:left w:val="nil"/>
              <w:bottom w:val="nil"/>
              <w:right w:val="nil"/>
            </w:tcBorders>
            <w:shd w:val="clear" w:color="auto" w:fill="auto"/>
            <w:noWrap/>
            <w:vAlign w:val="bottom"/>
            <w:hideMark/>
          </w:tcPr>
          <w:p w14:paraId="289DECC8"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cs="Times New Roman"/>
                <w:b w:val="0"/>
                <w:szCs w:val="24"/>
              </w:rPr>
              <w:t>Sigma Aldrich</w:t>
            </w:r>
          </w:p>
        </w:tc>
      </w:tr>
      <w:tr w:rsidR="00D740DC" w:rsidRPr="000E2377" w14:paraId="2DE84A8A" w14:textId="77777777" w:rsidTr="00B11F5F">
        <w:trPr>
          <w:trHeight w:val="300"/>
          <w:jc w:val="center"/>
        </w:trPr>
        <w:tc>
          <w:tcPr>
            <w:tcW w:w="1336" w:type="dxa"/>
            <w:tcBorders>
              <w:top w:val="nil"/>
              <w:left w:val="nil"/>
              <w:bottom w:val="nil"/>
              <w:right w:val="single" w:sz="4" w:space="0" w:color="auto"/>
            </w:tcBorders>
            <w:shd w:val="clear" w:color="auto" w:fill="auto"/>
            <w:noWrap/>
            <w:vAlign w:val="bottom"/>
            <w:hideMark/>
          </w:tcPr>
          <w:p w14:paraId="637C16A9" w14:textId="77777777" w:rsidR="00D740DC" w:rsidRPr="000E2377" w:rsidRDefault="00D740DC" w:rsidP="00B11F5F">
            <w:pPr>
              <w:spacing w:after="0" w:line="240" w:lineRule="auto"/>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CaO</w:t>
            </w:r>
            <w:proofErr w:type="spellEnd"/>
          </w:p>
        </w:tc>
        <w:tc>
          <w:tcPr>
            <w:tcW w:w="3980" w:type="dxa"/>
            <w:tcBorders>
              <w:top w:val="nil"/>
              <w:left w:val="nil"/>
              <w:bottom w:val="nil"/>
              <w:right w:val="nil"/>
            </w:tcBorders>
            <w:shd w:val="clear" w:color="auto" w:fill="auto"/>
            <w:noWrap/>
            <w:vAlign w:val="bottom"/>
            <w:hideMark/>
          </w:tcPr>
          <w:p w14:paraId="2A7E4563"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Calcium carbonate, CaCO</w:t>
            </w:r>
            <w:r w:rsidRPr="000E2377">
              <w:rPr>
                <w:rFonts w:eastAsia="Times New Roman" w:cs="Times New Roman"/>
                <w:b w:val="0"/>
                <w:color w:val="000000"/>
                <w:szCs w:val="24"/>
                <w:vertAlign w:val="subscript"/>
                <w:lang w:eastAsia="en-MY"/>
              </w:rPr>
              <w:t>3</w:t>
            </w:r>
          </w:p>
        </w:tc>
        <w:tc>
          <w:tcPr>
            <w:tcW w:w="1242" w:type="dxa"/>
            <w:tcBorders>
              <w:top w:val="nil"/>
              <w:left w:val="single" w:sz="4" w:space="0" w:color="auto"/>
              <w:bottom w:val="nil"/>
              <w:right w:val="single" w:sz="4" w:space="0" w:color="auto"/>
            </w:tcBorders>
            <w:shd w:val="clear" w:color="auto" w:fill="auto"/>
            <w:noWrap/>
            <w:vAlign w:val="bottom"/>
            <w:hideMark/>
          </w:tcPr>
          <w:p w14:paraId="4938A155" w14:textId="77777777" w:rsidR="00D740DC" w:rsidRPr="000E2377" w:rsidRDefault="00D740DC" w:rsidP="00B11F5F">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99.3</w:t>
            </w:r>
          </w:p>
        </w:tc>
        <w:tc>
          <w:tcPr>
            <w:tcW w:w="2541" w:type="dxa"/>
            <w:tcBorders>
              <w:top w:val="nil"/>
              <w:left w:val="nil"/>
              <w:bottom w:val="nil"/>
              <w:right w:val="nil"/>
            </w:tcBorders>
            <w:shd w:val="clear" w:color="auto" w:fill="auto"/>
            <w:noWrap/>
            <w:vAlign w:val="bottom"/>
            <w:hideMark/>
          </w:tcPr>
          <w:p w14:paraId="1C9226D4"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cs="Times New Roman"/>
                <w:b w:val="0"/>
                <w:szCs w:val="24"/>
              </w:rPr>
              <w:t xml:space="preserve">Glassworks </w:t>
            </w:r>
            <w:r>
              <w:rPr>
                <w:rFonts w:cs="Times New Roman"/>
                <w:b w:val="0"/>
                <w:szCs w:val="24"/>
              </w:rPr>
              <w:t>S</w:t>
            </w:r>
            <w:r w:rsidRPr="000E2377">
              <w:rPr>
                <w:rFonts w:cs="Times New Roman"/>
                <w:b w:val="0"/>
                <w:szCs w:val="24"/>
              </w:rPr>
              <w:t>ervices</w:t>
            </w:r>
          </w:p>
        </w:tc>
      </w:tr>
      <w:tr w:rsidR="00D740DC" w:rsidRPr="000E2377" w14:paraId="1E5FDC9A" w14:textId="77777777" w:rsidTr="00B11F5F">
        <w:trPr>
          <w:trHeight w:val="360"/>
          <w:jc w:val="center"/>
        </w:trPr>
        <w:tc>
          <w:tcPr>
            <w:tcW w:w="1336" w:type="dxa"/>
            <w:tcBorders>
              <w:top w:val="nil"/>
              <w:left w:val="nil"/>
              <w:bottom w:val="nil"/>
              <w:right w:val="single" w:sz="4" w:space="0" w:color="auto"/>
            </w:tcBorders>
            <w:shd w:val="clear" w:color="auto" w:fill="auto"/>
            <w:noWrap/>
            <w:vAlign w:val="bottom"/>
            <w:hideMark/>
          </w:tcPr>
          <w:p w14:paraId="43805A76" w14:textId="77777777" w:rsidR="00D740DC" w:rsidRPr="000E2377" w:rsidRDefault="00D740DC" w:rsidP="00B11F5F">
            <w:pPr>
              <w:spacing w:after="0" w:line="240" w:lineRule="auto"/>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BaO</w:t>
            </w:r>
            <w:proofErr w:type="spellEnd"/>
          </w:p>
        </w:tc>
        <w:tc>
          <w:tcPr>
            <w:tcW w:w="3980" w:type="dxa"/>
            <w:tcBorders>
              <w:top w:val="nil"/>
              <w:left w:val="nil"/>
              <w:bottom w:val="nil"/>
              <w:right w:val="nil"/>
            </w:tcBorders>
            <w:shd w:val="clear" w:color="auto" w:fill="auto"/>
            <w:noWrap/>
            <w:vAlign w:val="bottom"/>
            <w:hideMark/>
          </w:tcPr>
          <w:p w14:paraId="2E1B41E7"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Barium carbonate (BaCO</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w:t>
            </w:r>
          </w:p>
        </w:tc>
        <w:tc>
          <w:tcPr>
            <w:tcW w:w="1242" w:type="dxa"/>
            <w:tcBorders>
              <w:top w:val="nil"/>
              <w:left w:val="single" w:sz="4" w:space="0" w:color="auto"/>
              <w:bottom w:val="nil"/>
              <w:right w:val="single" w:sz="4" w:space="0" w:color="auto"/>
            </w:tcBorders>
            <w:shd w:val="clear" w:color="auto" w:fill="auto"/>
            <w:noWrap/>
            <w:vAlign w:val="bottom"/>
            <w:hideMark/>
          </w:tcPr>
          <w:p w14:paraId="66BBF702" w14:textId="77777777" w:rsidR="00D740DC" w:rsidRPr="000E2377" w:rsidRDefault="00D740DC" w:rsidP="00B11F5F">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99.9</w:t>
            </w:r>
          </w:p>
        </w:tc>
        <w:tc>
          <w:tcPr>
            <w:tcW w:w="2541" w:type="dxa"/>
            <w:tcBorders>
              <w:top w:val="nil"/>
              <w:left w:val="nil"/>
              <w:bottom w:val="nil"/>
              <w:right w:val="nil"/>
            </w:tcBorders>
            <w:shd w:val="clear" w:color="auto" w:fill="auto"/>
            <w:noWrap/>
            <w:vAlign w:val="bottom"/>
            <w:hideMark/>
          </w:tcPr>
          <w:p w14:paraId="53FFFB7D"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cs="Times New Roman"/>
                <w:b w:val="0"/>
                <w:szCs w:val="24"/>
              </w:rPr>
              <w:t xml:space="preserve">Alfa </w:t>
            </w:r>
            <w:proofErr w:type="spellStart"/>
            <w:r w:rsidRPr="000E2377">
              <w:rPr>
                <w:rFonts w:cs="Times New Roman"/>
                <w:b w:val="0"/>
                <w:szCs w:val="24"/>
              </w:rPr>
              <w:t>Aesar</w:t>
            </w:r>
            <w:proofErr w:type="spellEnd"/>
          </w:p>
        </w:tc>
      </w:tr>
      <w:tr w:rsidR="00D740DC" w:rsidRPr="000E2377" w14:paraId="5D7694D9" w14:textId="77777777" w:rsidTr="00B11F5F">
        <w:trPr>
          <w:trHeight w:val="300"/>
          <w:jc w:val="center"/>
        </w:trPr>
        <w:tc>
          <w:tcPr>
            <w:tcW w:w="1336" w:type="dxa"/>
            <w:tcBorders>
              <w:top w:val="nil"/>
              <w:left w:val="nil"/>
              <w:bottom w:val="nil"/>
              <w:right w:val="single" w:sz="4" w:space="0" w:color="auto"/>
            </w:tcBorders>
            <w:shd w:val="clear" w:color="auto" w:fill="auto"/>
            <w:noWrap/>
            <w:vAlign w:val="bottom"/>
            <w:hideMark/>
          </w:tcPr>
          <w:p w14:paraId="5E9ED2E4"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MgO</w:t>
            </w:r>
          </w:p>
        </w:tc>
        <w:tc>
          <w:tcPr>
            <w:tcW w:w="3980" w:type="dxa"/>
            <w:tcBorders>
              <w:top w:val="nil"/>
              <w:left w:val="nil"/>
              <w:bottom w:val="nil"/>
              <w:right w:val="nil"/>
            </w:tcBorders>
            <w:shd w:val="clear" w:color="auto" w:fill="auto"/>
            <w:noWrap/>
            <w:vAlign w:val="bottom"/>
            <w:hideMark/>
          </w:tcPr>
          <w:p w14:paraId="0E0D5198"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cs="Times New Roman"/>
                <w:b w:val="0"/>
                <w:szCs w:val="24"/>
              </w:rPr>
              <w:t>Anhydrous magnesium carbonate</w:t>
            </w:r>
          </w:p>
        </w:tc>
        <w:tc>
          <w:tcPr>
            <w:tcW w:w="1242" w:type="dxa"/>
            <w:tcBorders>
              <w:top w:val="nil"/>
              <w:left w:val="single" w:sz="4" w:space="0" w:color="auto"/>
              <w:bottom w:val="nil"/>
              <w:right w:val="single" w:sz="4" w:space="0" w:color="auto"/>
            </w:tcBorders>
            <w:shd w:val="clear" w:color="auto" w:fill="auto"/>
            <w:noWrap/>
            <w:vAlign w:val="bottom"/>
            <w:hideMark/>
          </w:tcPr>
          <w:p w14:paraId="2FFFE2C0" w14:textId="77777777" w:rsidR="00D740DC" w:rsidRPr="000E2377" w:rsidRDefault="00D740DC" w:rsidP="00B11F5F">
            <w:pPr>
              <w:spacing w:after="0" w:line="240" w:lineRule="auto"/>
              <w:jc w:val="center"/>
              <w:rPr>
                <w:rFonts w:eastAsia="Times New Roman" w:cs="Times New Roman"/>
                <w:b w:val="0"/>
                <w:color w:val="000000"/>
                <w:szCs w:val="24"/>
                <w:lang w:eastAsia="en-MY"/>
              </w:rPr>
            </w:pPr>
            <w:r w:rsidRPr="000E2377">
              <w:rPr>
                <w:rFonts w:eastAsia="Times New Roman" w:cs="Times New Roman"/>
                <w:b w:val="0"/>
                <w:szCs w:val="24"/>
                <w:lang w:eastAsia="tr-TR"/>
              </w:rPr>
              <w:t>≥ 99.0</w:t>
            </w:r>
          </w:p>
        </w:tc>
        <w:tc>
          <w:tcPr>
            <w:tcW w:w="2541" w:type="dxa"/>
            <w:tcBorders>
              <w:top w:val="nil"/>
              <w:left w:val="nil"/>
              <w:bottom w:val="nil"/>
              <w:right w:val="nil"/>
            </w:tcBorders>
            <w:shd w:val="clear" w:color="auto" w:fill="auto"/>
            <w:noWrap/>
            <w:vAlign w:val="bottom"/>
            <w:hideMark/>
          </w:tcPr>
          <w:p w14:paraId="06AAB1E0"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cs="Times New Roman"/>
                <w:b w:val="0"/>
                <w:szCs w:val="24"/>
              </w:rPr>
              <w:t>Sigma Aldrich</w:t>
            </w:r>
          </w:p>
        </w:tc>
      </w:tr>
      <w:tr w:rsidR="00D740DC" w:rsidRPr="000E2377" w14:paraId="43638815" w14:textId="77777777" w:rsidTr="00B11F5F">
        <w:trPr>
          <w:trHeight w:val="300"/>
          <w:jc w:val="center"/>
        </w:trPr>
        <w:tc>
          <w:tcPr>
            <w:tcW w:w="1336" w:type="dxa"/>
            <w:vMerge w:val="restart"/>
            <w:tcBorders>
              <w:top w:val="nil"/>
              <w:left w:val="nil"/>
              <w:right w:val="single" w:sz="4" w:space="0" w:color="auto"/>
            </w:tcBorders>
            <w:shd w:val="clear" w:color="auto" w:fill="auto"/>
            <w:noWrap/>
            <w:vAlign w:val="center"/>
            <w:hideMark/>
          </w:tcPr>
          <w:p w14:paraId="293924B2"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O</w:t>
            </w:r>
          </w:p>
        </w:tc>
        <w:tc>
          <w:tcPr>
            <w:tcW w:w="3980" w:type="dxa"/>
            <w:tcBorders>
              <w:top w:val="nil"/>
              <w:left w:val="nil"/>
              <w:bottom w:val="nil"/>
              <w:right w:val="nil"/>
            </w:tcBorders>
            <w:shd w:val="clear" w:color="auto" w:fill="auto"/>
            <w:noWrap/>
            <w:vAlign w:val="bottom"/>
            <w:hideMark/>
          </w:tcPr>
          <w:p w14:paraId="10418EAB"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Sodium carbonate, Na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CO</w:t>
            </w:r>
            <w:r w:rsidRPr="000E2377">
              <w:rPr>
                <w:rFonts w:eastAsia="Times New Roman" w:cs="Times New Roman"/>
                <w:b w:val="0"/>
                <w:color w:val="000000"/>
                <w:szCs w:val="24"/>
                <w:vertAlign w:val="subscript"/>
                <w:lang w:eastAsia="en-MY"/>
              </w:rPr>
              <w:t>3</w:t>
            </w:r>
          </w:p>
        </w:tc>
        <w:tc>
          <w:tcPr>
            <w:tcW w:w="1242" w:type="dxa"/>
            <w:tcBorders>
              <w:top w:val="nil"/>
              <w:left w:val="single" w:sz="4" w:space="0" w:color="auto"/>
              <w:bottom w:val="nil"/>
              <w:right w:val="single" w:sz="4" w:space="0" w:color="auto"/>
            </w:tcBorders>
            <w:shd w:val="clear" w:color="auto" w:fill="auto"/>
            <w:noWrap/>
            <w:vAlign w:val="bottom"/>
            <w:hideMark/>
          </w:tcPr>
          <w:p w14:paraId="3E0AECF8" w14:textId="77777777" w:rsidR="00D740DC" w:rsidRPr="000E2377" w:rsidRDefault="00D740DC" w:rsidP="00B11F5F">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99.1</w:t>
            </w:r>
          </w:p>
        </w:tc>
        <w:tc>
          <w:tcPr>
            <w:tcW w:w="2541" w:type="dxa"/>
            <w:tcBorders>
              <w:top w:val="nil"/>
              <w:left w:val="nil"/>
              <w:bottom w:val="nil"/>
              <w:right w:val="nil"/>
            </w:tcBorders>
            <w:shd w:val="clear" w:color="auto" w:fill="auto"/>
            <w:noWrap/>
            <w:vAlign w:val="bottom"/>
            <w:hideMark/>
          </w:tcPr>
          <w:p w14:paraId="4431BE6F"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cs="Times New Roman"/>
                <w:b w:val="0"/>
                <w:szCs w:val="24"/>
              </w:rPr>
              <w:t xml:space="preserve">Glassworks </w:t>
            </w:r>
            <w:r>
              <w:rPr>
                <w:rFonts w:cs="Times New Roman"/>
                <w:b w:val="0"/>
                <w:szCs w:val="24"/>
              </w:rPr>
              <w:t>S</w:t>
            </w:r>
            <w:r w:rsidRPr="000E2377">
              <w:rPr>
                <w:rFonts w:cs="Times New Roman"/>
                <w:b w:val="0"/>
                <w:szCs w:val="24"/>
              </w:rPr>
              <w:t>ervices</w:t>
            </w:r>
          </w:p>
        </w:tc>
      </w:tr>
      <w:tr w:rsidR="00D740DC" w:rsidRPr="000E2377" w14:paraId="4E2CF37F" w14:textId="77777777" w:rsidTr="00B11F5F">
        <w:trPr>
          <w:trHeight w:val="300"/>
          <w:jc w:val="center"/>
        </w:trPr>
        <w:tc>
          <w:tcPr>
            <w:tcW w:w="1336" w:type="dxa"/>
            <w:vMerge/>
            <w:tcBorders>
              <w:left w:val="nil"/>
              <w:bottom w:val="single" w:sz="4" w:space="0" w:color="auto"/>
              <w:right w:val="single" w:sz="4" w:space="0" w:color="auto"/>
            </w:tcBorders>
            <w:shd w:val="clear" w:color="auto" w:fill="auto"/>
            <w:noWrap/>
            <w:vAlign w:val="bottom"/>
            <w:hideMark/>
          </w:tcPr>
          <w:p w14:paraId="5C686CB6" w14:textId="77777777" w:rsidR="00D740DC" w:rsidRPr="000E2377" w:rsidRDefault="00D740DC" w:rsidP="00B11F5F">
            <w:pPr>
              <w:spacing w:after="0" w:line="240" w:lineRule="auto"/>
              <w:rPr>
                <w:rFonts w:eastAsia="Times New Roman" w:cs="Times New Roman"/>
                <w:b w:val="0"/>
                <w:color w:val="000000"/>
                <w:szCs w:val="24"/>
                <w:lang w:eastAsia="en-MY"/>
              </w:rPr>
            </w:pPr>
          </w:p>
        </w:tc>
        <w:tc>
          <w:tcPr>
            <w:tcW w:w="3980" w:type="dxa"/>
            <w:tcBorders>
              <w:top w:val="nil"/>
              <w:left w:val="nil"/>
              <w:bottom w:val="single" w:sz="4" w:space="0" w:color="auto"/>
              <w:right w:val="nil"/>
            </w:tcBorders>
            <w:shd w:val="clear" w:color="auto" w:fill="auto"/>
            <w:noWrap/>
            <w:vAlign w:val="bottom"/>
            <w:hideMark/>
          </w:tcPr>
          <w:p w14:paraId="2D1F6F37" w14:textId="77777777" w:rsidR="00D740DC" w:rsidRPr="000E2377" w:rsidRDefault="00D740DC" w:rsidP="00B11F5F">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Sodium sul</w:t>
            </w:r>
            <w:r>
              <w:rPr>
                <w:rFonts w:eastAsia="Times New Roman" w:cs="Times New Roman"/>
                <w:b w:val="0"/>
                <w:color w:val="000000"/>
                <w:szCs w:val="24"/>
                <w:lang w:eastAsia="en-MY"/>
              </w:rPr>
              <w:t>ph</w:t>
            </w:r>
            <w:r w:rsidRPr="000E2377">
              <w:rPr>
                <w:rFonts w:eastAsia="Times New Roman" w:cs="Times New Roman"/>
                <w:b w:val="0"/>
                <w:color w:val="000000"/>
                <w:szCs w:val="24"/>
                <w:lang w:eastAsia="en-MY"/>
              </w:rPr>
              <w:t>ate anhydrous, Na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SO</w:t>
            </w:r>
            <w:r w:rsidRPr="000E2377">
              <w:rPr>
                <w:rFonts w:eastAsia="Times New Roman" w:cs="Times New Roman"/>
                <w:b w:val="0"/>
                <w:color w:val="000000"/>
                <w:szCs w:val="24"/>
                <w:vertAlign w:val="subscript"/>
                <w:lang w:eastAsia="en-MY"/>
              </w:rPr>
              <w:t>4</w:t>
            </w:r>
          </w:p>
        </w:tc>
        <w:tc>
          <w:tcPr>
            <w:tcW w:w="1242" w:type="dxa"/>
            <w:tcBorders>
              <w:top w:val="nil"/>
              <w:left w:val="single" w:sz="4" w:space="0" w:color="auto"/>
              <w:bottom w:val="single" w:sz="4" w:space="0" w:color="auto"/>
              <w:right w:val="single" w:sz="4" w:space="0" w:color="auto"/>
            </w:tcBorders>
            <w:shd w:val="clear" w:color="auto" w:fill="auto"/>
            <w:noWrap/>
            <w:vAlign w:val="bottom"/>
            <w:hideMark/>
          </w:tcPr>
          <w:p w14:paraId="29FA5671" w14:textId="77777777" w:rsidR="00D740DC" w:rsidRPr="000E2377" w:rsidRDefault="00D740DC" w:rsidP="00B11F5F">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99</w:t>
            </w:r>
          </w:p>
        </w:tc>
        <w:tc>
          <w:tcPr>
            <w:tcW w:w="2541" w:type="dxa"/>
            <w:tcBorders>
              <w:top w:val="nil"/>
              <w:left w:val="nil"/>
              <w:bottom w:val="single" w:sz="4" w:space="0" w:color="auto"/>
              <w:right w:val="nil"/>
            </w:tcBorders>
            <w:shd w:val="clear" w:color="auto" w:fill="auto"/>
            <w:noWrap/>
            <w:vAlign w:val="bottom"/>
            <w:hideMark/>
          </w:tcPr>
          <w:p w14:paraId="03D2EF24" w14:textId="77777777" w:rsidR="00D740DC" w:rsidRPr="000E2377" w:rsidRDefault="00D740DC" w:rsidP="00B11F5F">
            <w:pPr>
              <w:spacing w:after="0" w:line="240" w:lineRule="auto"/>
              <w:rPr>
                <w:rFonts w:eastAsia="Times New Roman" w:cs="Times New Roman"/>
                <w:b w:val="0"/>
                <w:color w:val="000000"/>
                <w:szCs w:val="24"/>
                <w:lang w:eastAsia="en-MY"/>
              </w:rPr>
            </w:pPr>
            <w:proofErr w:type="spellStart"/>
            <w:r w:rsidRPr="000E2377">
              <w:rPr>
                <w:rFonts w:cs="Times New Roman"/>
                <w:b w:val="0"/>
                <w:szCs w:val="24"/>
              </w:rPr>
              <w:t>Acros</w:t>
            </w:r>
            <w:proofErr w:type="spellEnd"/>
            <w:r w:rsidRPr="000E2377">
              <w:rPr>
                <w:rFonts w:cs="Times New Roman"/>
                <w:b w:val="0"/>
                <w:szCs w:val="24"/>
              </w:rPr>
              <w:t xml:space="preserve"> Organics</w:t>
            </w:r>
          </w:p>
        </w:tc>
      </w:tr>
    </w:tbl>
    <w:p w14:paraId="2D862A8D" w14:textId="77777777" w:rsidR="00D740DC" w:rsidRDefault="00D740DC" w:rsidP="00D740DC">
      <w:pPr>
        <w:spacing w:line="360" w:lineRule="auto"/>
        <w:jc w:val="both"/>
        <w:rPr>
          <w:rFonts w:cs="Times New Roman"/>
          <w:b w:val="0"/>
          <w:szCs w:val="24"/>
        </w:rPr>
      </w:pPr>
    </w:p>
    <w:p w14:paraId="0F1B2DC8" w14:textId="508BD841" w:rsidR="00D740DC" w:rsidRPr="000E2377" w:rsidRDefault="00D740DC" w:rsidP="00D740DC">
      <w:pPr>
        <w:spacing w:line="360" w:lineRule="auto"/>
        <w:jc w:val="both"/>
        <w:rPr>
          <w:rFonts w:cs="Times New Roman"/>
          <w:b w:val="0"/>
          <w:szCs w:val="24"/>
        </w:rPr>
      </w:pPr>
      <w:r w:rsidRPr="000E2377">
        <w:rPr>
          <w:rFonts w:cs="Times New Roman"/>
          <w:b w:val="0"/>
          <w:szCs w:val="24"/>
        </w:rPr>
        <w:lastRenderedPageBreak/>
        <w:t xml:space="preserve">A small amount of </w:t>
      </w:r>
      <w:r>
        <w:rPr>
          <w:rFonts w:cs="Times New Roman"/>
          <w:b w:val="0"/>
          <w:szCs w:val="24"/>
        </w:rPr>
        <w:t xml:space="preserve">sodium </w:t>
      </w:r>
      <w:r w:rsidRPr="000E2377">
        <w:rPr>
          <w:rFonts w:cs="Times New Roman"/>
          <w:b w:val="0"/>
          <w:szCs w:val="24"/>
        </w:rPr>
        <w:t xml:space="preserve">sulphate was used in the composition to facilitate bubble removal during melting. The compounds were weighed using </w:t>
      </w:r>
      <w:r>
        <w:rPr>
          <w:rFonts w:cs="Times New Roman"/>
          <w:b w:val="0"/>
          <w:szCs w:val="24"/>
        </w:rPr>
        <w:t xml:space="preserve">an </w:t>
      </w:r>
      <w:r w:rsidRPr="000E2377">
        <w:rPr>
          <w:rFonts w:cs="Times New Roman"/>
          <w:b w:val="0"/>
          <w:szCs w:val="24"/>
        </w:rPr>
        <w:t xml:space="preserve">electronic scale with </w:t>
      </w:r>
      <w:r w:rsidR="00284CC3">
        <w:rPr>
          <w:rFonts w:cs="Times New Roman"/>
          <w:b w:val="0"/>
          <w:szCs w:val="24"/>
        </w:rPr>
        <w:t xml:space="preserve">an </w:t>
      </w:r>
      <w:r w:rsidRPr="000E2377">
        <w:rPr>
          <w:rFonts w:cs="Times New Roman"/>
          <w:b w:val="0"/>
          <w:szCs w:val="24"/>
        </w:rPr>
        <w:t>accuracy of weighing ~0.01 then mixed using spatula under extraction. The batches</w:t>
      </w:r>
      <w:r>
        <w:rPr>
          <w:rFonts w:cs="Times New Roman"/>
          <w:b w:val="0"/>
          <w:szCs w:val="24"/>
        </w:rPr>
        <w:t xml:space="preserve"> were</w:t>
      </w:r>
      <w:r w:rsidRPr="000E2377">
        <w:rPr>
          <w:rFonts w:cs="Times New Roman"/>
          <w:b w:val="0"/>
          <w:szCs w:val="24"/>
        </w:rPr>
        <w:t xml:space="preserve"> then transferred into the sealed plastic bag before melting. 200 to 300 g of glass was produced of each composition. </w:t>
      </w:r>
    </w:p>
    <w:p w14:paraId="20B7FADE" w14:textId="77777777" w:rsidR="00D740DC" w:rsidRPr="000E2377" w:rsidRDefault="00D740DC" w:rsidP="00D740DC">
      <w:pPr>
        <w:keepNext/>
        <w:keepLines/>
        <w:numPr>
          <w:ilvl w:val="2"/>
          <w:numId w:val="1"/>
        </w:numPr>
        <w:spacing w:before="40" w:after="0" w:line="360" w:lineRule="auto"/>
        <w:outlineLvl w:val="2"/>
        <w:rPr>
          <w:rFonts w:eastAsiaTheme="majorEastAsia" w:cstheme="majorBidi"/>
          <w:vanish/>
          <w:color w:val="000000" w:themeColor="text1"/>
          <w:szCs w:val="24"/>
        </w:rPr>
      </w:pPr>
      <w:bookmarkStart w:id="267" w:name="_Toc515398720"/>
      <w:bookmarkStart w:id="268" w:name="_Toc523153570"/>
      <w:bookmarkStart w:id="269" w:name="_Toc523402892"/>
      <w:bookmarkStart w:id="270" w:name="_Toc525222361"/>
      <w:bookmarkStart w:id="271" w:name="_Toc525526403"/>
      <w:bookmarkStart w:id="272" w:name="_Toc525703729"/>
      <w:bookmarkStart w:id="273" w:name="_Toc525707531"/>
      <w:bookmarkStart w:id="274" w:name="_Toc525707820"/>
      <w:bookmarkStart w:id="275" w:name="_Toc525742485"/>
      <w:bookmarkStart w:id="276" w:name="_Toc10983088"/>
      <w:bookmarkStart w:id="277" w:name="_Toc12994953"/>
      <w:bookmarkEnd w:id="267"/>
      <w:bookmarkEnd w:id="268"/>
      <w:bookmarkEnd w:id="269"/>
      <w:bookmarkEnd w:id="270"/>
      <w:bookmarkEnd w:id="271"/>
      <w:bookmarkEnd w:id="272"/>
      <w:bookmarkEnd w:id="273"/>
      <w:bookmarkEnd w:id="274"/>
      <w:bookmarkEnd w:id="275"/>
      <w:bookmarkEnd w:id="276"/>
      <w:bookmarkEnd w:id="277"/>
    </w:p>
    <w:p w14:paraId="4D1FECBE" w14:textId="77777777" w:rsidR="00D740DC" w:rsidRPr="000E2377" w:rsidRDefault="00D740DC" w:rsidP="00D740DC">
      <w:pPr>
        <w:keepNext/>
        <w:keepLines/>
        <w:numPr>
          <w:ilvl w:val="3"/>
          <w:numId w:val="1"/>
        </w:numPr>
        <w:spacing w:before="40" w:after="0" w:line="360" w:lineRule="auto"/>
        <w:outlineLvl w:val="3"/>
        <w:rPr>
          <w:rFonts w:eastAsiaTheme="majorEastAsia" w:cstheme="majorBidi"/>
          <w:iCs/>
          <w:vanish/>
          <w:color w:val="000000" w:themeColor="text1"/>
        </w:rPr>
      </w:pPr>
      <w:bookmarkStart w:id="278" w:name="_Toc523153571"/>
      <w:bookmarkStart w:id="279" w:name="_Toc523402789"/>
      <w:bookmarkStart w:id="280" w:name="_Toc523402893"/>
      <w:bookmarkStart w:id="281" w:name="_Toc525222362"/>
      <w:bookmarkStart w:id="282" w:name="_Toc525526404"/>
      <w:bookmarkStart w:id="283" w:name="_Toc525703730"/>
      <w:bookmarkStart w:id="284" w:name="_Toc525707532"/>
      <w:bookmarkStart w:id="285" w:name="_Toc525707821"/>
      <w:bookmarkStart w:id="286" w:name="_Toc525742486"/>
      <w:bookmarkEnd w:id="278"/>
      <w:bookmarkEnd w:id="279"/>
      <w:bookmarkEnd w:id="280"/>
      <w:bookmarkEnd w:id="281"/>
      <w:bookmarkEnd w:id="282"/>
      <w:bookmarkEnd w:id="283"/>
      <w:bookmarkEnd w:id="284"/>
      <w:bookmarkEnd w:id="285"/>
      <w:bookmarkEnd w:id="286"/>
    </w:p>
    <w:p w14:paraId="5CCA038C" w14:textId="3C7CB0CC" w:rsidR="00D740DC" w:rsidRPr="000E2377" w:rsidRDefault="00D740DC" w:rsidP="00D740DC">
      <w:pPr>
        <w:spacing w:line="360" w:lineRule="auto"/>
        <w:jc w:val="both"/>
        <w:rPr>
          <w:rFonts w:eastAsiaTheme="majorEastAsia" w:cs="Times New Roman"/>
          <w:b w:val="0"/>
          <w:bCs/>
          <w:color w:val="000000" w:themeColor="text1"/>
          <w:szCs w:val="24"/>
        </w:rPr>
      </w:pPr>
      <w:r w:rsidRPr="000E2377">
        <w:rPr>
          <w:rFonts w:cs="Times New Roman"/>
          <w:b w:val="0"/>
          <w:szCs w:val="24"/>
        </w:rPr>
        <w:t xml:space="preserve">The prepared batch was transferred into an alumina crucible, then pre-heated </w:t>
      </w:r>
      <w:r>
        <w:rPr>
          <w:rFonts w:cs="Times New Roman"/>
          <w:b w:val="0"/>
          <w:szCs w:val="24"/>
        </w:rPr>
        <w:t>to</w:t>
      </w:r>
      <w:r w:rsidRPr="000E2377">
        <w:rPr>
          <w:rFonts w:cs="Times New Roman"/>
          <w:b w:val="0"/>
          <w:szCs w:val="24"/>
        </w:rPr>
        <w:t xml:space="preserve"> 1100</w:t>
      </w:r>
      <w:r>
        <w:rPr>
          <w:rFonts w:cs="Times New Roman"/>
          <w:b w:val="0"/>
          <w:szCs w:val="24"/>
        </w:rPr>
        <w:t xml:space="preserve"> </w:t>
      </w:r>
      <w:r w:rsidRPr="000E2377">
        <w:rPr>
          <w:rFonts w:cs="Times New Roman"/>
          <w:b w:val="0"/>
          <w:szCs w:val="24"/>
        </w:rPr>
        <w:t xml:space="preserve">°C </w:t>
      </w:r>
      <w:r>
        <w:rPr>
          <w:rFonts w:cs="Times New Roman"/>
          <w:b w:val="0"/>
          <w:szCs w:val="24"/>
        </w:rPr>
        <w:t xml:space="preserve">at </w:t>
      </w:r>
      <w:r w:rsidRPr="000E2377">
        <w:rPr>
          <w:rFonts w:cs="Times New Roman"/>
          <w:b w:val="0"/>
          <w:szCs w:val="24"/>
        </w:rPr>
        <w:t>1</w:t>
      </w:r>
      <w:r>
        <w:rPr>
          <w:rFonts w:cs="Times New Roman"/>
          <w:b w:val="0"/>
          <w:szCs w:val="24"/>
        </w:rPr>
        <w:t xml:space="preserve"> </w:t>
      </w:r>
      <w:r w:rsidRPr="000E2377">
        <w:rPr>
          <w:rFonts w:cs="Times New Roman"/>
          <w:b w:val="0"/>
          <w:szCs w:val="24"/>
        </w:rPr>
        <w:t xml:space="preserve">°C/min in a </w:t>
      </w:r>
      <w:proofErr w:type="spellStart"/>
      <w:r w:rsidRPr="000E2377">
        <w:rPr>
          <w:rFonts w:cs="Times New Roman"/>
          <w:b w:val="0"/>
          <w:szCs w:val="24"/>
        </w:rPr>
        <w:t>Carbolite</w:t>
      </w:r>
      <w:proofErr w:type="spellEnd"/>
      <w:r w:rsidRPr="000E2377">
        <w:rPr>
          <w:rFonts w:cs="Times New Roman"/>
          <w:b w:val="0"/>
          <w:szCs w:val="24"/>
        </w:rPr>
        <w:t xml:space="preserve"> </w:t>
      </w:r>
      <w:r w:rsidRPr="000E2377">
        <w:rPr>
          <w:rFonts w:cs="Times New Roman"/>
          <w:b w:val="0"/>
          <w:color w:val="000000" w:themeColor="text1"/>
          <w:szCs w:val="24"/>
        </w:rPr>
        <w:t xml:space="preserve">furnace. </w:t>
      </w:r>
      <w:r w:rsidRPr="000E2377">
        <w:rPr>
          <w:rFonts w:cs="Times New Roman"/>
          <w:b w:val="0"/>
          <w:szCs w:val="24"/>
        </w:rPr>
        <w:t>The pre-heated mixtures then were placed in a gas furnace and the temperature increased to 1200</w:t>
      </w:r>
      <w:r>
        <w:rPr>
          <w:rFonts w:cs="Times New Roman"/>
          <w:b w:val="0"/>
          <w:szCs w:val="24"/>
        </w:rPr>
        <w:t xml:space="preserve"> </w:t>
      </w:r>
      <w:r w:rsidRPr="000E2377">
        <w:rPr>
          <w:rFonts w:cs="Times New Roman"/>
          <w:b w:val="0"/>
          <w:szCs w:val="24"/>
        </w:rPr>
        <w:t xml:space="preserve">ºC </w:t>
      </w:r>
      <w:r>
        <w:rPr>
          <w:rFonts w:cs="Times New Roman"/>
          <w:b w:val="0"/>
          <w:szCs w:val="24"/>
        </w:rPr>
        <w:t>–</w:t>
      </w:r>
      <w:r w:rsidRPr="000E2377">
        <w:rPr>
          <w:rFonts w:cs="Times New Roman"/>
          <w:b w:val="0"/>
          <w:szCs w:val="24"/>
        </w:rPr>
        <w:t xml:space="preserve"> 1600</w:t>
      </w:r>
      <w:r>
        <w:rPr>
          <w:rFonts w:cs="Times New Roman"/>
          <w:b w:val="0"/>
          <w:szCs w:val="24"/>
        </w:rPr>
        <w:t xml:space="preserve"> </w:t>
      </w:r>
      <w:r w:rsidRPr="000E2377">
        <w:rPr>
          <w:rFonts w:cs="Times New Roman"/>
          <w:b w:val="0"/>
          <w:szCs w:val="24"/>
        </w:rPr>
        <w:t xml:space="preserve">°C for 5 hours (Figure 3.1a) with the </w:t>
      </w:r>
      <w:r>
        <w:rPr>
          <w:rFonts w:cs="Times New Roman"/>
          <w:b w:val="0"/>
          <w:szCs w:val="24"/>
        </w:rPr>
        <w:t xml:space="preserve">precise </w:t>
      </w:r>
      <w:r w:rsidRPr="000E2377">
        <w:rPr>
          <w:rFonts w:cs="Times New Roman"/>
          <w:b w:val="0"/>
          <w:szCs w:val="24"/>
        </w:rPr>
        <w:t xml:space="preserve">melting temperature </w:t>
      </w:r>
      <w:r>
        <w:rPr>
          <w:rFonts w:cs="Times New Roman"/>
          <w:b w:val="0"/>
          <w:szCs w:val="24"/>
        </w:rPr>
        <w:t xml:space="preserve">in each case </w:t>
      </w:r>
      <w:r w:rsidRPr="000E2377">
        <w:rPr>
          <w:rFonts w:cs="Times New Roman"/>
          <w:b w:val="0"/>
          <w:szCs w:val="24"/>
        </w:rPr>
        <w:t xml:space="preserve">depending on the composition (see </w:t>
      </w:r>
      <w:r>
        <w:rPr>
          <w:rFonts w:cs="Times New Roman"/>
          <w:b w:val="0"/>
          <w:szCs w:val="24"/>
        </w:rPr>
        <w:t>T</w:t>
      </w:r>
      <w:r w:rsidRPr="000E2377">
        <w:rPr>
          <w:rFonts w:cs="Times New Roman"/>
          <w:b w:val="0"/>
          <w:szCs w:val="24"/>
        </w:rPr>
        <w:t>able 3.3).  Six batches were melted at one time. The melts then were poured into heated stainless steel moulds (Figure 3.2), allowed to cool sufficiently to solidify and then the cast glass was transferred to an annealing furnace at 600°C</w:t>
      </w:r>
      <w:r w:rsidRPr="000E2377">
        <w:rPr>
          <w:rFonts w:eastAsiaTheme="majorEastAsia" w:cs="Times New Roman"/>
          <w:b w:val="0"/>
          <w:color w:val="000000" w:themeColor="text1"/>
          <w:szCs w:val="24"/>
        </w:rPr>
        <w:t xml:space="preserve"> (Figure 3.1b).</w:t>
      </w:r>
      <w:r w:rsidRPr="000E2377">
        <w:rPr>
          <w:rFonts w:eastAsiaTheme="majorEastAsia" w:cs="Times New Roman"/>
          <w:b w:val="0"/>
          <w:bCs/>
          <w:color w:val="000000" w:themeColor="text1"/>
          <w:szCs w:val="24"/>
        </w:rPr>
        <w:t xml:space="preserve"> After annealing</w:t>
      </w:r>
      <w:r w:rsidR="00040067">
        <w:rPr>
          <w:rFonts w:eastAsiaTheme="majorEastAsia" w:cs="Times New Roman"/>
          <w:b w:val="0"/>
          <w:bCs/>
          <w:color w:val="000000" w:themeColor="text1"/>
          <w:szCs w:val="24"/>
        </w:rPr>
        <w:t>,</w:t>
      </w:r>
      <w:r w:rsidRPr="000E2377">
        <w:rPr>
          <w:rFonts w:eastAsiaTheme="majorEastAsia" w:cs="Times New Roman"/>
          <w:b w:val="0"/>
          <w:bCs/>
          <w:color w:val="000000" w:themeColor="text1"/>
          <w:szCs w:val="24"/>
        </w:rPr>
        <w:t xml:space="preserve"> the glass samples produced were checked for defects. </w:t>
      </w:r>
    </w:p>
    <w:p w14:paraId="4CF6F97C" w14:textId="77777777" w:rsidR="00D740DC" w:rsidRPr="000E2377" w:rsidRDefault="00D740DC" w:rsidP="00D740DC">
      <w:pPr>
        <w:spacing w:line="360" w:lineRule="auto"/>
        <w:jc w:val="both"/>
        <w:rPr>
          <w:rFonts w:cs="Times New Roman"/>
          <w:b w:val="0"/>
          <w:szCs w:val="24"/>
        </w:rPr>
      </w:pPr>
      <w:bookmarkStart w:id="287" w:name="_Toc450436552"/>
      <w:r w:rsidRPr="000E2377">
        <w:rPr>
          <w:rFonts w:cs="Times New Roman"/>
          <w:b w:val="0"/>
          <w:noProof/>
          <w:szCs w:val="24"/>
          <w:lang w:eastAsia="en-MY"/>
        </w:rPr>
        <mc:AlternateContent>
          <mc:Choice Requires="wpg">
            <w:drawing>
              <wp:anchor distT="0" distB="0" distL="114300" distR="114300" simplePos="0" relativeHeight="252219392" behindDoc="0" locked="0" layoutInCell="1" allowOverlap="1" wp14:anchorId="726181BC" wp14:editId="21BAF678">
                <wp:simplePos x="0" y="0"/>
                <wp:positionH relativeFrom="column">
                  <wp:posOffset>-154379</wp:posOffset>
                </wp:positionH>
                <wp:positionV relativeFrom="paragraph">
                  <wp:posOffset>-4173</wp:posOffset>
                </wp:positionV>
                <wp:extent cx="5504180" cy="1658026"/>
                <wp:effectExtent l="0" t="38100" r="96520" b="0"/>
                <wp:wrapNone/>
                <wp:docPr id="1141" name="Group 1141"/>
                <wp:cNvGraphicFramePr/>
                <a:graphic xmlns:a="http://schemas.openxmlformats.org/drawingml/2006/main">
                  <a:graphicData uri="http://schemas.microsoft.com/office/word/2010/wordprocessingGroup">
                    <wpg:wgp>
                      <wpg:cNvGrpSpPr/>
                      <wpg:grpSpPr>
                        <a:xfrm>
                          <a:off x="0" y="0"/>
                          <a:ext cx="5504180" cy="1658026"/>
                          <a:chOff x="0" y="0"/>
                          <a:chExt cx="5504546" cy="1658856"/>
                        </a:xfrm>
                      </wpg:grpSpPr>
                      <wps:wsp>
                        <wps:cNvPr id="1043" name="Straight Connector 1043"/>
                        <wps:cNvCnPr/>
                        <wps:spPr>
                          <a:xfrm flipV="1">
                            <a:off x="442127" y="422031"/>
                            <a:ext cx="1146412" cy="1078059"/>
                          </a:xfrm>
                          <a:prstGeom prst="line">
                            <a:avLst/>
                          </a:prstGeom>
                          <a:noFill/>
                          <a:ln w="9525" cap="flat" cmpd="sng" algn="ctr">
                            <a:solidFill>
                              <a:sysClr val="windowText" lastClr="000000"/>
                            </a:solidFill>
                            <a:prstDash val="solid"/>
                          </a:ln>
                          <a:effectLst/>
                        </wps:spPr>
                        <wps:bodyPr/>
                      </wps:wsp>
                      <wps:wsp>
                        <wps:cNvPr id="1049" name="Straight Arrow Connector 1049"/>
                        <wps:cNvCnPr/>
                        <wps:spPr>
                          <a:xfrm flipV="1">
                            <a:off x="442127" y="1507253"/>
                            <a:ext cx="2265917" cy="578"/>
                          </a:xfrm>
                          <a:prstGeom prst="straightConnector1">
                            <a:avLst/>
                          </a:prstGeom>
                          <a:noFill/>
                          <a:ln w="9525" cap="flat" cmpd="sng" algn="ctr">
                            <a:solidFill>
                              <a:sysClr val="windowText" lastClr="000000"/>
                            </a:solidFill>
                            <a:prstDash val="solid"/>
                            <a:tailEnd type="arrow"/>
                          </a:ln>
                          <a:effectLst/>
                        </wps:spPr>
                        <wps:bodyPr/>
                      </wps:wsp>
                      <wps:wsp>
                        <wps:cNvPr id="1050" name="Straight Arrow Connector 1050"/>
                        <wps:cNvCnPr/>
                        <wps:spPr>
                          <a:xfrm flipV="1">
                            <a:off x="3406391" y="0"/>
                            <a:ext cx="0" cy="1501254"/>
                          </a:xfrm>
                          <a:prstGeom prst="straightConnector1">
                            <a:avLst/>
                          </a:prstGeom>
                          <a:noFill/>
                          <a:ln w="9525" cap="flat" cmpd="sng" algn="ctr">
                            <a:solidFill>
                              <a:sysClr val="windowText" lastClr="000000"/>
                            </a:solidFill>
                            <a:prstDash val="solid"/>
                            <a:tailEnd type="arrow"/>
                          </a:ln>
                          <a:effectLst/>
                        </wps:spPr>
                        <wps:bodyPr/>
                      </wps:wsp>
                      <wps:wsp>
                        <wps:cNvPr id="1051" name="Straight Arrow Connector 1051"/>
                        <wps:cNvCnPr/>
                        <wps:spPr>
                          <a:xfrm flipV="1">
                            <a:off x="3416439" y="1507253"/>
                            <a:ext cx="2088107" cy="578"/>
                          </a:xfrm>
                          <a:prstGeom prst="straightConnector1">
                            <a:avLst/>
                          </a:prstGeom>
                          <a:noFill/>
                          <a:ln w="9525" cap="flat" cmpd="sng" algn="ctr">
                            <a:solidFill>
                              <a:sysClr val="windowText" lastClr="000000"/>
                            </a:solidFill>
                            <a:prstDash val="solid"/>
                            <a:tailEnd type="arrow"/>
                          </a:ln>
                          <a:effectLst/>
                        </wps:spPr>
                        <wps:bodyPr/>
                      </wps:wsp>
                      <wps:wsp>
                        <wps:cNvPr id="1067" name="Text Box 1067"/>
                        <wps:cNvSpPr txBox="1"/>
                        <wps:spPr>
                          <a:xfrm>
                            <a:off x="0" y="301451"/>
                            <a:ext cx="995680" cy="518160"/>
                          </a:xfrm>
                          <a:prstGeom prst="rect">
                            <a:avLst/>
                          </a:prstGeom>
                          <a:noFill/>
                          <a:ln w="6350">
                            <a:noFill/>
                          </a:ln>
                          <a:effectLst/>
                        </wps:spPr>
                        <wps:txbx>
                          <w:txbxContent>
                            <w:p w14:paraId="31C23168" w14:textId="77777777" w:rsidR="00230AB9" w:rsidRPr="00825BBE" w:rsidRDefault="00230AB9" w:rsidP="00D740DC">
                              <w:pPr>
                                <w:rPr>
                                  <w:sz w:val="16"/>
                                  <w:szCs w:val="16"/>
                                </w:rPr>
                              </w:pPr>
                              <w:r>
                                <w:rPr>
                                  <w:sz w:val="16"/>
                                  <w:szCs w:val="16"/>
                                </w:rPr>
                                <w:t>16</w:t>
                              </w:r>
                              <w:r w:rsidRPr="00825BBE">
                                <w:rPr>
                                  <w:sz w:val="16"/>
                                  <w:szCs w:val="16"/>
                                </w:rPr>
                                <w:t>00</w:t>
                              </w:r>
                              <w:r w:rsidRPr="00825BBE">
                                <w:rPr>
                                  <w:rFonts w:cstheme="majorBidi"/>
                                  <w:sz w:val="16"/>
                                  <w:szCs w:val="16"/>
                                </w:rPr>
                                <w:t>°</w:t>
                              </w:r>
                              <w:r w:rsidRPr="00825BBE">
                                <w:rPr>
                                  <w:sz w:val="16"/>
                                  <w:szCs w:val="1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8" name="Text Box 1068"/>
                        <wps:cNvSpPr txBox="1"/>
                        <wps:spPr>
                          <a:xfrm>
                            <a:off x="2994409" y="813917"/>
                            <a:ext cx="995680" cy="518160"/>
                          </a:xfrm>
                          <a:prstGeom prst="rect">
                            <a:avLst/>
                          </a:prstGeom>
                          <a:noFill/>
                          <a:ln w="6350">
                            <a:noFill/>
                          </a:ln>
                          <a:effectLst/>
                        </wps:spPr>
                        <wps:txbx>
                          <w:txbxContent>
                            <w:p w14:paraId="29764A02" w14:textId="77777777" w:rsidR="00230AB9" w:rsidRPr="00825BBE" w:rsidRDefault="00230AB9" w:rsidP="00D740DC">
                              <w:pPr>
                                <w:rPr>
                                  <w:sz w:val="16"/>
                                  <w:szCs w:val="16"/>
                                </w:rPr>
                              </w:pPr>
                              <w:r>
                                <w:rPr>
                                  <w:sz w:val="16"/>
                                  <w:szCs w:val="16"/>
                                </w:rPr>
                                <w:t>6</w:t>
                              </w:r>
                              <w:r w:rsidRPr="00825BBE">
                                <w:rPr>
                                  <w:sz w:val="16"/>
                                  <w:szCs w:val="16"/>
                                </w:rPr>
                                <w:t>00</w:t>
                              </w:r>
                              <w:r w:rsidRPr="00825BBE">
                                <w:rPr>
                                  <w:rFonts w:cstheme="majorBidi"/>
                                  <w:sz w:val="16"/>
                                  <w:szCs w:val="16"/>
                                </w:rPr>
                                <w:t>°</w:t>
                              </w:r>
                              <w:r w:rsidRPr="00825BBE">
                                <w:rPr>
                                  <w:sz w:val="16"/>
                                  <w:szCs w:val="1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9" name="Text Box 1069"/>
                        <wps:cNvSpPr txBox="1"/>
                        <wps:spPr>
                          <a:xfrm>
                            <a:off x="344407" y="884255"/>
                            <a:ext cx="995680" cy="518160"/>
                          </a:xfrm>
                          <a:prstGeom prst="rect">
                            <a:avLst/>
                          </a:prstGeom>
                          <a:noFill/>
                          <a:ln w="6350">
                            <a:noFill/>
                          </a:ln>
                          <a:effectLst/>
                        </wps:spPr>
                        <wps:txbx>
                          <w:txbxContent>
                            <w:p w14:paraId="779A332E" w14:textId="77777777" w:rsidR="00230AB9" w:rsidRPr="00825BBE" w:rsidRDefault="00230AB9" w:rsidP="00D740DC">
                              <w:pPr>
                                <w:rPr>
                                  <w:sz w:val="20"/>
                                  <w:szCs w:val="20"/>
                                </w:rPr>
                              </w:pPr>
                              <w:r w:rsidRPr="00825BBE">
                                <w:rPr>
                                  <w:sz w:val="20"/>
                                  <w:szCs w:val="20"/>
                                </w:rPr>
                                <w:t>Preheat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0" name="Text Box 1070"/>
                        <wps:cNvSpPr txBox="1"/>
                        <wps:spPr>
                          <a:xfrm>
                            <a:off x="1617784" y="427726"/>
                            <a:ext cx="995680" cy="518160"/>
                          </a:xfrm>
                          <a:prstGeom prst="rect">
                            <a:avLst/>
                          </a:prstGeom>
                          <a:noFill/>
                          <a:ln w="6350">
                            <a:noFill/>
                          </a:ln>
                          <a:effectLst/>
                        </wps:spPr>
                        <wps:txbx>
                          <w:txbxContent>
                            <w:p w14:paraId="310C2C6A" w14:textId="77777777" w:rsidR="00230AB9" w:rsidRPr="00825BBE" w:rsidRDefault="00230AB9" w:rsidP="00D740DC">
                              <w:pPr>
                                <w:jc w:val="center"/>
                                <w:rPr>
                                  <w:sz w:val="20"/>
                                  <w:szCs w:val="20"/>
                                </w:rPr>
                              </w:pPr>
                              <w:r>
                                <w:rPr>
                                  <w:sz w:val="20"/>
                                  <w:szCs w:val="20"/>
                                </w:rPr>
                                <w:t>5hr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1" name="Text Box 1071"/>
                        <wps:cNvSpPr txBox="1"/>
                        <wps:spPr>
                          <a:xfrm>
                            <a:off x="671316" y="1140696"/>
                            <a:ext cx="995680" cy="518160"/>
                          </a:xfrm>
                          <a:prstGeom prst="rect">
                            <a:avLst/>
                          </a:prstGeom>
                          <a:noFill/>
                          <a:ln w="6350">
                            <a:noFill/>
                          </a:ln>
                          <a:effectLst/>
                        </wps:spPr>
                        <wps:txbx>
                          <w:txbxContent>
                            <w:p w14:paraId="0AF30637" w14:textId="77777777" w:rsidR="00230AB9" w:rsidRPr="00825BBE" w:rsidRDefault="00230AB9" w:rsidP="00D740DC">
                              <w:pPr>
                                <w:rPr>
                                  <w:sz w:val="20"/>
                                  <w:szCs w:val="20"/>
                                </w:rPr>
                              </w:pPr>
                              <w:r w:rsidRPr="00825BBE">
                                <w:rPr>
                                  <w:sz w:val="20"/>
                                  <w:szCs w:val="20"/>
                                </w:rPr>
                                <w:t>1</w:t>
                              </w:r>
                              <w:r w:rsidRPr="00825BBE">
                                <w:rPr>
                                  <w:rFonts w:cstheme="majorBidi"/>
                                  <w:sz w:val="20"/>
                                  <w:szCs w:val="20"/>
                                </w:rPr>
                                <w:t>°</w:t>
                              </w:r>
                              <w:r w:rsidRPr="00825BBE">
                                <w:rPr>
                                  <w:sz w:val="20"/>
                                  <w:szCs w:val="20"/>
                                </w:rPr>
                                <w:t>C/min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2" name="Text Box 1072"/>
                        <wps:cNvSpPr txBox="1"/>
                        <wps:spPr>
                          <a:xfrm>
                            <a:off x="1562699" y="592853"/>
                            <a:ext cx="995680" cy="518160"/>
                          </a:xfrm>
                          <a:prstGeom prst="rect">
                            <a:avLst/>
                          </a:prstGeom>
                          <a:noFill/>
                          <a:ln w="6350">
                            <a:noFill/>
                          </a:ln>
                          <a:effectLst/>
                        </wps:spPr>
                        <wps:txbx>
                          <w:txbxContent>
                            <w:p w14:paraId="0C92539C" w14:textId="77777777" w:rsidR="00230AB9" w:rsidRPr="00825BBE" w:rsidRDefault="00230AB9" w:rsidP="00D740DC">
                              <w:pPr>
                                <w:rPr>
                                  <w:sz w:val="20"/>
                                  <w:szCs w:val="20"/>
                                </w:rPr>
                              </w:pPr>
                              <w:r w:rsidRPr="00825BBE">
                                <w:rPr>
                                  <w:rFonts w:cstheme="majorBidi"/>
                                  <w:sz w:val="20"/>
                                  <w:szCs w:val="20"/>
                                </w:rPr>
                                <w:t>~</w:t>
                              </w:r>
                              <w:r w:rsidRPr="00825BBE">
                                <w:rPr>
                                  <w:sz w:val="20"/>
                                  <w:szCs w:val="20"/>
                                </w:rPr>
                                <w:t>3</w:t>
                              </w:r>
                              <w:r w:rsidRPr="00825BBE">
                                <w:rPr>
                                  <w:rFonts w:cstheme="majorBidi"/>
                                  <w:sz w:val="20"/>
                                  <w:szCs w:val="20"/>
                                </w:rPr>
                                <w:t>°</w:t>
                              </w:r>
                              <w:r w:rsidRPr="00825BBE">
                                <w:rPr>
                                  <w:sz w:val="20"/>
                                  <w:szCs w:val="20"/>
                                </w:rPr>
                                <w:t>C/min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 name="Text Box 1073"/>
                        <wps:cNvSpPr txBox="1"/>
                        <wps:spPr>
                          <a:xfrm>
                            <a:off x="3416439" y="884255"/>
                            <a:ext cx="573206" cy="518160"/>
                          </a:xfrm>
                          <a:prstGeom prst="rect">
                            <a:avLst/>
                          </a:prstGeom>
                          <a:noFill/>
                          <a:ln w="6350">
                            <a:noFill/>
                          </a:ln>
                          <a:effectLst/>
                        </wps:spPr>
                        <wps:txbx>
                          <w:txbxContent>
                            <w:p w14:paraId="25896FE4" w14:textId="77777777" w:rsidR="00230AB9" w:rsidRPr="00825BBE" w:rsidRDefault="00230AB9" w:rsidP="00D740DC">
                              <w:pPr>
                                <w:jc w:val="center"/>
                                <w:rPr>
                                  <w:sz w:val="20"/>
                                  <w:szCs w:val="20"/>
                                </w:rPr>
                              </w:pPr>
                              <w:r>
                                <w:rPr>
                                  <w:sz w:val="20"/>
                                  <w:szCs w:val="20"/>
                                </w:rPr>
                                <w:t>1hr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4" name="Text Box 1074"/>
                        <wps:cNvSpPr txBox="1"/>
                        <wps:spPr>
                          <a:xfrm>
                            <a:off x="502417" y="10049"/>
                            <a:ext cx="995680" cy="518160"/>
                          </a:xfrm>
                          <a:prstGeom prst="rect">
                            <a:avLst/>
                          </a:prstGeom>
                          <a:noFill/>
                          <a:ln w="6350">
                            <a:noFill/>
                          </a:ln>
                          <a:effectLst/>
                        </wps:spPr>
                        <wps:txbx>
                          <w:txbxContent>
                            <w:p w14:paraId="35C25766" w14:textId="77777777" w:rsidR="00230AB9" w:rsidRPr="00825BBE" w:rsidRDefault="00230AB9" w:rsidP="00D740DC">
                              <w:pPr>
                                <w:rPr>
                                  <w:sz w:val="20"/>
                                  <w:szCs w:val="20"/>
                                </w:rPr>
                              </w:pPr>
                              <w:r>
                                <w:rPr>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5" name="Text Box 1075"/>
                        <wps:cNvSpPr txBox="1"/>
                        <wps:spPr>
                          <a:xfrm>
                            <a:off x="3416439" y="80387"/>
                            <a:ext cx="995680" cy="518160"/>
                          </a:xfrm>
                          <a:prstGeom prst="rect">
                            <a:avLst/>
                          </a:prstGeom>
                          <a:noFill/>
                          <a:ln w="6350">
                            <a:noFill/>
                          </a:ln>
                          <a:effectLst/>
                        </wps:spPr>
                        <wps:txbx>
                          <w:txbxContent>
                            <w:p w14:paraId="3919D950" w14:textId="77777777" w:rsidR="00230AB9" w:rsidRPr="00825BBE" w:rsidRDefault="00230AB9" w:rsidP="00D740DC">
                              <w:pPr>
                                <w:rPr>
                                  <w:sz w:val="20"/>
                                  <w:szCs w:val="20"/>
                                </w:rPr>
                              </w:pPr>
                              <w:r>
                                <w:rPr>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26181BC" id="Group 1141" o:spid="_x0000_s1073" style="position:absolute;left:0;text-align:left;margin-left:-12.15pt;margin-top:-.35pt;width:433.4pt;height:130.55pt;z-index:252219392;mso-height-relative:margin" coordsize="55045,16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">
                <v:line id="Straight Connector 1043" o:spid="_x0000_s1074" style="position:absolute;flip:y;visibility:visible;mso-wrap-style:square" from="4421,4220" to="15885,15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" strokecolor="windowText"/>
                <v:shapetype id="_x0000_t32" coordsize="21600,21600" o:spt="32" o:oned="t" path="m,l21600,21600e" filled="f">
                  <v:path arrowok="t" fillok="f" o:connecttype="none"/>
                  <o:lock v:ext="edit" shapetype="t"/>
                </v:shapetype>
                <v:shape id="Straight Arrow Connector 1049" o:spid="_x0000_s1075" type="#_x0000_t32" style="position:absolute;left:4421;top:15072;width:22659;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" strokecolor="windowText">
                  <v:stroke endarrow="open"/>
                </v:shape>
                <v:shape id="Straight Arrow Connector 1050" o:spid="_x0000_s1076" type="#_x0000_t32" style="position:absolute;left:34063;width:0;height:1501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" strokecolor="windowText">
                  <v:stroke endarrow="open"/>
                </v:shape>
                <v:shape id="Straight Arrow Connector 1051" o:spid="_x0000_s1077" type="#_x0000_t32" style="position:absolute;left:34164;top:15072;width:20881;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" strokecolor="windowText">
                  <v:stroke endarrow="open"/>
                </v:shape>
                <v:shape id="Text Box 1067" o:spid="_x0000_s1078" type="#_x0000_t202" style="position:absolute;top:3014;width:9956;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" filled="f" stroked="f" strokeweight=".5pt">
                  <v:textbox>
                    <w:txbxContent>
                      <w:p w14:paraId="31C23168" w14:textId="77777777" w:rsidR="00230AB9" w:rsidRPr="00825BBE" w:rsidRDefault="00230AB9" w:rsidP="00D740DC">
                        <w:pPr>
                          <w:rPr>
                            <w:sz w:val="16"/>
                            <w:szCs w:val="16"/>
                          </w:rPr>
                        </w:pPr>
                        <w:r>
                          <w:rPr>
                            <w:sz w:val="16"/>
                            <w:szCs w:val="16"/>
                          </w:rPr>
                          <w:t>16</w:t>
                        </w:r>
                        <w:r w:rsidRPr="00825BBE">
                          <w:rPr>
                            <w:sz w:val="16"/>
                            <w:szCs w:val="16"/>
                          </w:rPr>
                          <w:t>00</w:t>
                        </w:r>
                        <w:r w:rsidRPr="00825BBE">
                          <w:rPr>
                            <w:rFonts w:cstheme="majorBidi"/>
                            <w:sz w:val="16"/>
                            <w:szCs w:val="16"/>
                          </w:rPr>
                          <w:t>°</w:t>
                        </w:r>
                        <w:r w:rsidRPr="00825BBE">
                          <w:rPr>
                            <w:sz w:val="16"/>
                            <w:szCs w:val="16"/>
                          </w:rPr>
                          <w:t>C</w:t>
                        </w:r>
                      </w:p>
                    </w:txbxContent>
                  </v:textbox>
                </v:shape>
                <v:shape id="Text Box 1068" o:spid="_x0000_s1079" type="#_x0000_t202" style="position:absolute;left:29944;top:8139;width:9956;height:5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" filled="f" stroked="f" strokeweight=".5pt">
                  <v:textbox>
                    <w:txbxContent>
                      <w:p w14:paraId="29764A02" w14:textId="77777777" w:rsidR="00230AB9" w:rsidRPr="00825BBE" w:rsidRDefault="00230AB9" w:rsidP="00D740DC">
                        <w:pPr>
                          <w:rPr>
                            <w:sz w:val="16"/>
                            <w:szCs w:val="16"/>
                          </w:rPr>
                        </w:pPr>
                        <w:r>
                          <w:rPr>
                            <w:sz w:val="16"/>
                            <w:szCs w:val="16"/>
                          </w:rPr>
                          <w:t>6</w:t>
                        </w:r>
                        <w:r w:rsidRPr="00825BBE">
                          <w:rPr>
                            <w:sz w:val="16"/>
                            <w:szCs w:val="16"/>
                          </w:rPr>
                          <w:t>00</w:t>
                        </w:r>
                        <w:r w:rsidRPr="00825BBE">
                          <w:rPr>
                            <w:rFonts w:cstheme="majorBidi"/>
                            <w:sz w:val="16"/>
                            <w:szCs w:val="16"/>
                          </w:rPr>
                          <w:t>°</w:t>
                        </w:r>
                        <w:r w:rsidRPr="00825BBE">
                          <w:rPr>
                            <w:sz w:val="16"/>
                            <w:szCs w:val="16"/>
                          </w:rPr>
                          <w:t>C</w:t>
                        </w:r>
                      </w:p>
                    </w:txbxContent>
                  </v:textbox>
                </v:shape>
                <v:shape id="Text Box 1069" o:spid="_x0000_s1080" type="#_x0000_t202" style="position:absolute;left:3444;top:8842;width:9956;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" filled="f" stroked="f" strokeweight=".5pt">
                  <v:textbox>
                    <w:txbxContent>
                      <w:p w14:paraId="779A332E" w14:textId="77777777" w:rsidR="00230AB9" w:rsidRPr="00825BBE" w:rsidRDefault="00230AB9" w:rsidP="00D740DC">
                        <w:pPr>
                          <w:rPr>
                            <w:sz w:val="20"/>
                            <w:szCs w:val="20"/>
                          </w:rPr>
                        </w:pPr>
                        <w:r w:rsidRPr="00825BBE">
                          <w:rPr>
                            <w:sz w:val="20"/>
                            <w:szCs w:val="20"/>
                          </w:rPr>
                          <w:t>Preheat</w:t>
                        </w:r>
                      </w:p>
                    </w:txbxContent>
                  </v:textbox>
                </v:shape>
                <v:shape id="Text Box 1070" o:spid="_x0000_s1081" type="#_x0000_t202" style="position:absolute;left:16177;top:4277;width:9957;height:5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" filled="f" stroked="f" strokeweight=".5pt">
                  <v:textbox>
                    <w:txbxContent>
                      <w:p w14:paraId="310C2C6A" w14:textId="77777777" w:rsidR="00230AB9" w:rsidRPr="00825BBE" w:rsidRDefault="00230AB9" w:rsidP="00D740DC">
                        <w:pPr>
                          <w:jc w:val="center"/>
                          <w:rPr>
                            <w:sz w:val="20"/>
                            <w:szCs w:val="20"/>
                          </w:rPr>
                        </w:pPr>
                        <w:r>
                          <w:rPr>
                            <w:sz w:val="20"/>
                            <w:szCs w:val="20"/>
                          </w:rPr>
                          <w:t>5hr</w:t>
                        </w:r>
                      </w:p>
                    </w:txbxContent>
                  </v:textbox>
                </v:shape>
                <v:shape id="Text Box 1071" o:spid="_x0000_s1082" type="#_x0000_t202" style="position:absolute;left:6713;top:11406;width:9956;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" filled="f" stroked="f" strokeweight=".5pt">
                  <v:textbox>
                    <w:txbxContent>
                      <w:p w14:paraId="0AF30637" w14:textId="77777777" w:rsidR="00230AB9" w:rsidRPr="00825BBE" w:rsidRDefault="00230AB9" w:rsidP="00D740DC">
                        <w:pPr>
                          <w:rPr>
                            <w:sz w:val="20"/>
                            <w:szCs w:val="20"/>
                          </w:rPr>
                        </w:pPr>
                        <w:r w:rsidRPr="00825BBE">
                          <w:rPr>
                            <w:sz w:val="20"/>
                            <w:szCs w:val="20"/>
                          </w:rPr>
                          <w:t>1</w:t>
                        </w:r>
                        <w:r w:rsidRPr="00825BBE">
                          <w:rPr>
                            <w:rFonts w:cstheme="majorBidi"/>
                            <w:sz w:val="20"/>
                            <w:szCs w:val="20"/>
                          </w:rPr>
                          <w:t>°</w:t>
                        </w:r>
                        <w:r w:rsidRPr="00825BBE">
                          <w:rPr>
                            <w:sz w:val="20"/>
                            <w:szCs w:val="20"/>
                          </w:rPr>
                          <w:t>C/min</w:t>
                        </w:r>
                      </w:p>
                    </w:txbxContent>
                  </v:textbox>
                </v:shape>
                <v:shape id="Text Box 1072" o:spid="_x0000_s1083" type="#_x0000_t202" style="position:absolute;left:15626;top:5928;width:9957;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" filled="f" stroked="f" strokeweight=".5pt">
                  <v:textbox>
                    <w:txbxContent>
                      <w:p w14:paraId="0C92539C" w14:textId="77777777" w:rsidR="00230AB9" w:rsidRPr="00825BBE" w:rsidRDefault="00230AB9" w:rsidP="00D740DC">
                        <w:pPr>
                          <w:rPr>
                            <w:sz w:val="20"/>
                            <w:szCs w:val="20"/>
                          </w:rPr>
                        </w:pPr>
                        <w:r w:rsidRPr="00825BBE">
                          <w:rPr>
                            <w:rFonts w:cstheme="majorBidi"/>
                            <w:sz w:val="20"/>
                            <w:szCs w:val="20"/>
                          </w:rPr>
                          <w:t>~</w:t>
                        </w:r>
                        <w:r w:rsidRPr="00825BBE">
                          <w:rPr>
                            <w:sz w:val="20"/>
                            <w:szCs w:val="20"/>
                          </w:rPr>
                          <w:t>3</w:t>
                        </w:r>
                        <w:r w:rsidRPr="00825BBE">
                          <w:rPr>
                            <w:rFonts w:cstheme="majorBidi"/>
                            <w:sz w:val="20"/>
                            <w:szCs w:val="20"/>
                          </w:rPr>
                          <w:t>°</w:t>
                        </w:r>
                        <w:r w:rsidRPr="00825BBE">
                          <w:rPr>
                            <w:sz w:val="20"/>
                            <w:szCs w:val="20"/>
                          </w:rPr>
                          <w:t>C/min</w:t>
                        </w:r>
                      </w:p>
                    </w:txbxContent>
                  </v:textbox>
                </v:shape>
                <v:shape id="Text Box 1073" o:spid="_x0000_s1084" type="#_x0000_t202" style="position:absolute;left:34164;top:8842;width:5732;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" filled="f" stroked="f" strokeweight=".5pt">
                  <v:textbox>
                    <w:txbxContent>
                      <w:p w14:paraId="25896FE4" w14:textId="77777777" w:rsidR="00230AB9" w:rsidRPr="00825BBE" w:rsidRDefault="00230AB9" w:rsidP="00D740DC">
                        <w:pPr>
                          <w:jc w:val="center"/>
                          <w:rPr>
                            <w:sz w:val="20"/>
                            <w:szCs w:val="20"/>
                          </w:rPr>
                        </w:pPr>
                        <w:r>
                          <w:rPr>
                            <w:sz w:val="20"/>
                            <w:szCs w:val="20"/>
                          </w:rPr>
                          <w:t>1hr</w:t>
                        </w:r>
                      </w:p>
                    </w:txbxContent>
                  </v:textbox>
                </v:shape>
                <v:shape id="Text Box 1074" o:spid="_x0000_s1085" type="#_x0000_t202" style="position:absolute;left:5024;top:100;width:9956;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" filled="f" stroked="f" strokeweight=".5pt">
                  <v:textbox>
                    <w:txbxContent>
                      <w:p w14:paraId="35C25766" w14:textId="77777777" w:rsidR="00230AB9" w:rsidRPr="00825BBE" w:rsidRDefault="00230AB9" w:rsidP="00D740DC">
                        <w:pPr>
                          <w:rPr>
                            <w:sz w:val="20"/>
                            <w:szCs w:val="20"/>
                          </w:rPr>
                        </w:pPr>
                        <w:r>
                          <w:rPr>
                            <w:sz w:val="20"/>
                            <w:szCs w:val="20"/>
                          </w:rPr>
                          <w:t>(a)</w:t>
                        </w:r>
                      </w:p>
                    </w:txbxContent>
                  </v:textbox>
                </v:shape>
                <v:shape id="Text Box 1075" o:spid="_x0000_s1086" type="#_x0000_t202" style="position:absolute;left:34164;top:803;width:9957;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" filled="f" stroked="f" strokeweight=".5pt">
                  <v:textbox>
                    <w:txbxContent>
                      <w:p w14:paraId="3919D950" w14:textId="77777777" w:rsidR="00230AB9" w:rsidRPr="00825BBE" w:rsidRDefault="00230AB9" w:rsidP="00D740DC">
                        <w:pPr>
                          <w:rPr>
                            <w:sz w:val="20"/>
                            <w:szCs w:val="20"/>
                          </w:rPr>
                        </w:pPr>
                        <w:r>
                          <w:rPr>
                            <w:sz w:val="20"/>
                            <w:szCs w:val="20"/>
                          </w:rPr>
                          <w:t>(b)</w:t>
                        </w:r>
                      </w:p>
                    </w:txbxContent>
                  </v:textbox>
                </v:shape>
              </v:group>
            </w:pict>
          </mc:Fallback>
        </mc:AlternateContent>
      </w:r>
      <w:r w:rsidRPr="000E2377">
        <w:rPr>
          <w:rFonts w:cs="Times New Roman"/>
          <w:b w:val="0"/>
          <w:noProof/>
          <w:szCs w:val="24"/>
          <w:lang w:eastAsia="en-MY"/>
        </w:rPr>
        <mc:AlternateContent>
          <mc:Choice Requires="wps">
            <w:drawing>
              <wp:anchor distT="0" distB="0" distL="114300" distR="114300" simplePos="0" relativeHeight="252213248" behindDoc="0" locked="0" layoutInCell="1" allowOverlap="1" wp14:anchorId="1C8E2619" wp14:editId="14585205">
                <wp:simplePos x="0" y="0"/>
                <wp:positionH relativeFrom="column">
                  <wp:posOffset>280144</wp:posOffset>
                </wp:positionH>
                <wp:positionV relativeFrom="paragraph">
                  <wp:posOffset>-526</wp:posOffset>
                </wp:positionV>
                <wp:extent cx="0" cy="1501140"/>
                <wp:effectExtent l="95250" t="38100" r="57150" b="22860"/>
                <wp:wrapNone/>
                <wp:docPr id="1048" name="Straight Arrow Connector 1048"/>
                <wp:cNvGraphicFramePr/>
                <a:graphic xmlns:a="http://schemas.openxmlformats.org/drawingml/2006/main">
                  <a:graphicData uri="http://schemas.microsoft.com/office/word/2010/wordprocessingShape">
                    <wps:wsp>
                      <wps:cNvCnPr/>
                      <wps:spPr>
                        <a:xfrm flipV="1">
                          <a:off x="0" y="0"/>
                          <a:ext cx="0" cy="150114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w14:anchorId="52FECD03" id="Straight Arrow Connector 1048" o:spid="_x0000_s1026" type="#_x0000_t32" style="position:absolute;margin-left:22.05pt;margin-top:-.05pt;width:0;height:118.2pt;flip:y;z-index:252213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" strokecolor="windowText">
                <v:stroke endarrow="open"/>
              </v:shape>
            </w:pict>
          </mc:Fallback>
        </mc:AlternateContent>
      </w:r>
    </w:p>
    <w:p w14:paraId="39CDEBE7" w14:textId="77777777" w:rsidR="00D740DC" w:rsidRPr="000E2377" w:rsidRDefault="00D740DC" w:rsidP="00D740DC">
      <w:pPr>
        <w:spacing w:line="360" w:lineRule="auto"/>
        <w:jc w:val="both"/>
        <w:rPr>
          <w:rFonts w:cs="Times New Roman"/>
          <w:b w:val="0"/>
          <w:szCs w:val="24"/>
        </w:rPr>
      </w:pPr>
      <w:bookmarkStart w:id="288" w:name="_Toc450436554"/>
      <w:r w:rsidRPr="000E2377">
        <w:rPr>
          <w:rFonts w:cs="Times New Roman"/>
          <w:b w:val="0"/>
          <w:noProof/>
          <w:szCs w:val="24"/>
          <w:lang w:eastAsia="en-MY"/>
        </w:rPr>
        <mc:AlternateContent>
          <mc:Choice Requires="wps">
            <w:drawing>
              <wp:anchor distT="0" distB="0" distL="114300" distR="114300" simplePos="0" relativeHeight="252218368" behindDoc="0" locked="0" layoutInCell="1" allowOverlap="1" wp14:anchorId="1B4F417E" wp14:editId="4A9030AD">
                <wp:simplePos x="0" y="0"/>
                <wp:positionH relativeFrom="column">
                  <wp:posOffset>-148969</wp:posOffset>
                </wp:positionH>
                <wp:positionV relativeFrom="paragraph">
                  <wp:posOffset>222885</wp:posOffset>
                </wp:positionV>
                <wp:extent cx="995680" cy="518160"/>
                <wp:effectExtent l="0" t="0" r="0" b="0"/>
                <wp:wrapNone/>
                <wp:docPr id="1066" name="Text Box 1066"/>
                <wp:cNvGraphicFramePr/>
                <a:graphic xmlns:a="http://schemas.openxmlformats.org/drawingml/2006/main">
                  <a:graphicData uri="http://schemas.microsoft.com/office/word/2010/wordprocessingShape">
                    <wps:wsp>
                      <wps:cNvSpPr txBox="1"/>
                      <wps:spPr>
                        <a:xfrm>
                          <a:off x="0" y="0"/>
                          <a:ext cx="995680" cy="518160"/>
                        </a:xfrm>
                        <a:prstGeom prst="rect">
                          <a:avLst/>
                        </a:prstGeom>
                        <a:noFill/>
                        <a:ln w="6350">
                          <a:noFill/>
                        </a:ln>
                        <a:effectLst/>
                      </wps:spPr>
                      <wps:txbx>
                        <w:txbxContent>
                          <w:p w14:paraId="756B03B9" w14:textId="77777777" w:rsidR="00230AB9" w:rsidRPr="00825BBE" w:rsidRDefault="00230AB9" w:rsidP="00D740DC">
                            <w:pPr>
                              <w:rPr>
                                <w:sz w:val="16"/>
                                <w:szCs w:val="16"/>
                              </w:rPr>
                            </w:pPr>
                            <w:r w:rsidRPr="00825BBE">
                              <w:rPr>
                                <w:sz w:val="16"/>
                                <w:szCs w:val="16"/>
                              </w:rPr>
                              <w:t>1</w:t>
                            </w:r>
                            <w:r>
                              <w:rPr>
                                <w:sz w:val="16"/>
                                <w:szCs w:val="16"/>
                              </w:rPr>
                              <w:t>1</w:t>
                            </w:r>
                            <w:r w:rsidRPr="00825BBE">
                              <w:rPr>
                                <w:sz w:val="16"/>
                                <w:szCs w:val="16"/>
                              </w:rPr>
                              <w:t>00</w:t>
                            </w:r>
                            <w:r w:rsidRPr="00825BBE">
                              <w:rPr>
                                <w:rFonts w:cstheme="majorBidi"/>
                                <w:sz w:val="16"/>
                                <w:szCs w:val="16"/>
                              </w:rPr>
                              <w:t>°</w:t>
                            </w:r>
                            <w:r w:rsidRPr="00825BBE">
                              <w:rPr>
                                <w:sz w:val="16"/>
                                <w:szCs w:val="1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F417E" id="Text Box 1066" o:spid="_x0000_s1087" type="#_x0000_t202" style="position:absolute;left:0;text-align:left;margin-left:-11.75pt;margin-top:17.55pt;width:78.4pt;height:40.8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" filled="f" stroked="f" strokeweight=".5pt">
                <v:textbox>
                  <w:txbxContent>
                    <w:p w14:paraId="756B03B9" w14:textId="77777777" w:rsidR="00230AB9" w:rsidRPr="00825BBE" w:rsidRDefault="00230AB9" w:rsidP="00D740DC">
                      <w:pPr>
                        <w:rPr>
                          <w:sz w:val="16"/>
                          <w:szCs w:val="16"/>
                        </w:rPr>
                      </w:pPr>
                      <w:r w:rsidRPr="00825BBE">
                        <w:rPr>
                          <w:sz w:val="16"/>
                          <w:szCs w:val="16"/>
                        </w:rPr>
                        <w:t>1</w:t>
                      </w:r>
                      <w:r>
                        <w:rPr>
                          <w:sz w:val="16"/>
                          <w:szCs w:val="16"/>
                        </w:rPr>
                        <w:t>1</w:t>
                      </w:r>
                      <w:r w:rsidRPr="00825BBE">
                        <w:rPr>
                          <w:sz w:val="16"/>
                          <w:szCs w:val="16"/>
                        </w:rPr>
                        <w:t>00</w:t>
                      </w:r>
                      <w:r w:rsidRPr="00825BBE">
                        <w:rPr>
                          <w:rFonts w:cstheme="majorBidi"/>
                          <w:sz w:val="16"/>
                          <w:szCs w:val="16"/>
                        </w:rPr>
                        <w:t>°</w:t>
                      </w:r>
                      <w:r w:rsidRPr="00825BBE">
                        <w:rPr>
                          <w:sz w:val="16"/>
                          <w:szCs w:val="16"/>
                        </w:rPr>
                        <w:t>C</w:t>
                      </w:r>
                    </w:p>
                  </w:txbxContent>
                </v:textbox>
              </v:shape>
            </w:pict>
          </mc:Fallback>
        </mc:AlternateContent>
      </w:r>
      <w:r w:rsidRPr="000E2377">
        <w:rPr>
          <w:rFonts w:cs="Times New Roman"/>
          <w:b w:val="0"/>
          <w:noProof/>
          <w:szCs w:val="24"/>
          <w:lang w:eastAsia="en-MY"/>
        </w:rPr>
        <mc:AlternateContent>
          <mc:Choice Requires="wps">
            <w:drawing>
              <wp:anchor distT="0" distB="0" distL="114300" distR="114300" simplePos="0" relativeHeight="252216320" behindDoc="0" locked="0" layoutInCell="1" allowOverlap="1" wp14:anchorId="18A835A4" wp14:editId="081E916C">
                <wp:simplePos x="0" y="0"/>
                <wp:positionH relativeFrom="column">
                  <wp:posOffset>283210</wp:posOffset>
                </wp:positionH>
                <wp:positionV relativeFrom="paragraph">
                  <wp:posOffset>363220</wp:posOffset>
                </wp:positionV>
                <wp:extent cx="777875" cy="0"/>
                <wp:effectExtent l="0" t="0" r="22225" b="19050"/>
                <wp:wrapNone/>
                <wp:docPr id="1056" name="Straight Connector 1056"/>
                <wp:cNvGraphicFramePr/>
                <a:graphic xmlns:a="http://schemas.openxmlformats.org/drawingml/2006/main">
                  <a:graphicData uri="http://schemas.microsoft.com/office/word/2010/wordprocessingShape">
                    <wps:wsp>
                      <wps:cNvCnPr/>
                      <wps:spPr>
                        <a:xfrm flipH="1">
                          <a:off x="0" y="0"/>
                          <a:ext cx="777875" cy="0"/>
                        </a:xfrm>
                        <a:prstGeom prst="line">
                          <a:avLst/>
                        </a:prstGeom>
                        <a:noFill/>
                        <a:ln w="9525" cap="flat" cmpd="sng" algn="ctr">
                          <a:solidFill>
                            <a:sysClr val="windowText" lastClr="000000"/>
                          </a:solidFill>
                          <a:prstDash val="dash"/>
                        </a:ln>
                        <a:effectLst/>
                      </wps:spPr>
                      <wps:bodyPr/>
                    </wps:wsp>
                  </a:graphicData>
                </a:graphic>
              </wp:anchor>
            </w:drawing>
          </mc:Choice>
          <mc:Fallback>
            <w:pict>
              <v:line w14:anchorId="7428F904" id="Straight Connector 1056" o:spid="_x0000_s1026" style="position:absolute;flip:x;z-index:252216320;visibility:visible;mso-wrap-style:square;mso-wrap-distance-left:9pt;mso-wrap-distance-top:0;mso-wrap-distance-right:9pt;mso-wrap-distance-bottom:0;mso-position-horizontal:absolute;mso-position-horizontal-relative:text;mso-position-vertical:absolute;mso-position-vertical-relative:text" from="22.3pt,28.6pt" to="83.55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" strokecolor="windowText">
                <v:stroke dashstyle="dash"/>
              </v:line>
            </w:pict>
          </mc:Fallback>
        </mc:AlternateContent>
      </w:r>
      <w:bookmarkEnd w:id="288"/>
      <w:r w:rsidRPr="000E2377">
        <w:rPr>
          <w:rFonts w:cs="Times New Roman"/>
          <w:b w:val="0"/>
          <w:noProof/>
          <w:szCs w:val="24"/>
          <w:lang w:eastAsia="en-MY"/>
        </w:rPr>
        <mc:AlternateContent>
          <mc:Choice Requires="wps">
            <w:drawing>
              <wp:anchor distT="0" distB="0" distL="114300" distR="114300" simplePos="0" relativeHeight="252214272" behindDoc="0" locked="0" layoutInCell="1" allowOverlap="1" wp14:anchorId="17BDA298" wp14:editId="61136A32">
                <wp:simplePos x="0" y="0"/>
                <wp:positionH relativeFrom="column">
                  <wp:posOffset>1074420</wp:posOffset>
                </wp:positionH>
                <wp:positionV relativeFrom="paragraph">
                  <wp:posOffset>365760</wp:posOffset>
                </wp:positionV>
                <wp:extent cx="0" cy="744855"/>
                <wp:effectExtent l="0" t="0" r="19050" b="17145"/>
                <wp:wrapNone/>
                <wp:docPr id="1052" name="Straight Connector 1052"/>
                <wp:cNvGraphicFramePr/>
                <a:graphic xmlns:a="http://schemas.openxmlformats.org/drawingml/2006/main">
                  <a:graphicData uri="http://schemas.microsoft.com/office/word/2010/wordprocessingShape">
                    <wps:wsp>
                      <wps:cNvCnPr/>
                      <wps:spPr>
                        <a:xfrm>
                          <a:off x="0" y="0"/>
                          <a:ext cx="0" cy="744855"/>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47A975A2" id="Straight Connector 1052" o:spid="_x0000_s1026" style="position:absolute;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6pt,28.8pt" to="84.6pt,8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" strokecolor="windowText">
                <v:stroke dashstyle="dash"/>
              </v:line>
            </w:pict>
          </mc:Fallback>
        </mc:AlternateContent>
      </w:r>
      <w:r w:rsidRPr="000E2377">
        <w:rPr>
          <w:rFonts w:cs="Times New Roman"/>
          <w:b w:val="0"/>
          <w:noProof/>
          <w:szCs w:val="24"/>
          <w:lang w:eastAsia="en-MY"/>
        </w:rPr>
        <mc:AlternateContent>
          <mc:Choice Requires="wps">
            <w:drawing>
              <wp:anchor distT="0" distB="0" distL="114300" distR="114300" simplePos="0" relativeHeight="252217344" behindDoc="0" locked="0" layoutInCell="1" allowOverlap="1" wp14:anchorId="40DDFD38" wp14:editId="1F482D41">
                <wp:simplePos x="0" y="0"/>
                <wp:positionH relativeFrom="column">
                  <wp:posOffset>302260</wp:posOffset>
                </wp:positionH>
                <wp:positionV relativeFrom="paragraph">
                  <wp:posOffset>29210</wp:posOffset>
                </wp:positionV>
                <wp:extent cx="1146175" cy="0"/>
                <wp:effectExtent l="0" t="0" r="15875" b="19050"/>
                <wp:wrapNone/>
                <wp:docPr id="1065" name="Straight Connector 1065"/>
                <wp:cNvGraphicFramePr/>
                <a:graphic xmlns:a="http://schemas.openxmlformats.org/drawingml/2006/main">
                  <a:graphicData uri="http://schemas.microsoft.com/office/word/2010/wordprocessingShape">
                    <wps:wsp>
                      <wps:cNvCnPr/>
                      <wps:spPr>
                        <a:xfrm flipH="1">
                          <a:off x="0" y="0"/>
                          <a:ext cx="1146175" cy="0"/>
                        </a:xfrm>
                        <a:prstGeom prst="line">
                          <a:avLst/>
                        </a:prstGeom>
                        <a:noFill/>
                        <a:ln w="9525" cap="flat" cmpd="sng" algn="ctr">
                          <a:solidFill>
                            <a:sysClr val="windowText" lastClr="000000"/>
                          </a:solidFill>
                          <a:prstDash val="dash"/>
                        </a:ln>
                        <a:effectLst/>
                      </wps:spPr>
                      <wps:bodyPr/>
                    </wps:wsp>
                  </a:graphicData>
                </a:graphic>
              </wp:anchor>
            </w:drawing>
          </mc:Choice>
          <mc:Fallback>
            <w:pict>
              <v:line w14:anchorId="19768BF2" id="Straight Connector 1065" o:spid="_x0000_s1026" style="position:absolute;flip:x;z-index:252217344;visibility:visible;mso-wrap-style:square;mso-wrap-distance-left:9pt;mso-wrap-distance-top:0;mso-wrap-distance-right:9pt;mso-wrap-distance-bottom:0;mso-position-horizontal:absolute;mso-position-horizontal-relative:text;mso-position-vertical:absolute;mso-position-vertical-relative:text" from="23.8pt,2.3pt" to="114.0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" strokecolor="windowText">
                <v:stroke dashstyle="dash"/>
              </v:line>
            </w:pict>
          </mc:Fallback>
        </mc:AlternateContent>
      </w:r>
      <w:r w:rsidRPr="000E2377">
        <w:rPr>
          <w:rFonts w:cs="Times New Roman"/>
          <w:b w:val="0"/>
          <w:noProof/>
          <w:szCs w:val="24"/>
          <w:lang w:eastAsia="en-MY"/>
        </w:rPr>
        <mc:AlternateContent>
          <mc:Choice Requires="wps">
            <w:drawing>
              <wp:anchor distT="0" distB="0" distL="114300" distR="114300" simplePos="0" relativeHeight="252210176" behindDoc="0" locked="0" layoutInCell="1" allowOverlap="1" wp14:anchorId="2EFCDD46" wp14:editId="35C184EC">
                <wp:simplePos x="0" y="0"/>
                <wp:positionH relativeFrom="column">
                  <wp:posOffset>1451610</wp:posOffset>
                </wp:positionH>
                <wp:positionV relativeFrom="paragraph">
                  <wp:posOffset>30480</wp:posOffset>
                </wp:positionV>
                <wp:extent cx="955040" cy="0"/>
                <wp:effectExtent l="0" t="0" r="16510" b="19050"/>
                <wp:wrapNone/>
                <wp:docPr id="1044" name="Straight Connector 1044"/>
                <wp:cNvGraphicFramePr/>
                <a:graphic xmlns:a="http://schemas.openxmlformats.org/drawingml/2006/main">
                  <a:graphicData uri="http://schemas.microsoft.com/office/word/2010/wordprocessingShape">
                    <wps:wsp>
                      <wps:cNvCnPr/>
                      <wps:spPr>
                        <a:xfrm>
                          <a:off x="0" y="0"/>
                          <a:ext cx="955040"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w14:anchorId="2E5411C3" id="Straight Connector 1044" o:spid="_x0000_s1026" style="position:absolute;z-index:252210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4.3pt,2.4pt" to="18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" strokecolor="windowText"/>
            </w:pict>
          </mc:Fallback>
        </mc:AlternateContent>
      </w:r>
      <w:r w:rsidRPr="000E2377">
        <w:rPr>
          <w:rFonts w:cs="Times New Roman"/>
          <w:b w:val="0"/>
          <w:noProof/>
          <w:szCs w:val="24"/>
          <w:lang w:eastAsia="en-MY"/>
        </w:rPr>
        <mc:AlternateContent>
          <mc:Choice Requires="wps">
            <w:drawing>
              <wp:anchor distT="0" distB="0" distL="114300" distR="114300" simplePos="0" relativeHeight="252215296" behindDoc="0" locked="0" layoutInCell="1" allowOverlap="1" wp14:anchorId="5C1517F1" wp14:editId="304459F5">
                <wp:simplePos x="0" y="0"/>
                <wp:positionH relativeFrom="column">
                  <wp:posOffset>1446530</wp:posOffset>
                </wp:positionH>
                <wp:positionV relativeFrom="paragraph">
                  <wp:posOffset>21590</wp:posOffset>
                </wp:positionV>
                <wp:extent cx="0" cy="1077595"/>
                <wp:effectExtent l="0" t="0" r="19050" b="27305"/>
                <wp:wrapNone/>
                <wp:docPr id="1054" name="Straight Connector 1054"/>
                <wp:cNvGraphicFramePr/>
                <a:graphic xmlns:a="http://schemas.openxmlformats.org/drawingml/2006/main">
                  <a:graphicData uri="http://schemas.microsoft.com/office/word/2010/wordprocessingShape">
                    <wps:wsp>
                      <wps:cNvCnPr/>
                      <wps:spPr>
                        <a:xfrm>
                          <a:off x="0" y="0"/>
                          <a:ext cx="0" cy="1077595"/>
                        </a:xfrm>
                        <a:prstGeom prst="line">
                          <a:avLst/>
                        </a:prstGeom>
                        <a:noFill/>
                        <a:ln w="9525" cap="flat" cmpd="sng" algn="ctr">
                          <a:solidFill>
                            <a:sysClr val="windowText" lastClr="000000"/>
                          </a:solidFill>
                          <a:prstDash val="dash"/>
                        </a:ln>
                        <a:effectLst/>
                      </wps:spPr>
                      <wps:bodyPr/>
                    </wps:wsp>
                  </a:graphicData>
                </a:graphic>
              </wp:anchor>
            </w:drawing>
          </mc:Choice>
          <mc:Fallback>
            <w:pict>
              <v:line w14:anchorId="751F6A5E" id="Straight Connector 1054" o:spid="_x0000_s1026" style="position:absolute;z-index:252215296;visibility:visible;mso-wrap-style:square;mso-wrap-distance-left:9pt;mso-wrap-distance-top:0;mso-wrap-distance-right:9pt;mso-wrap-distance-bottom:0;mso-position-horizontal:absolute;mso-position-horizontal-relative:text;mso-position-vertical:absolute;mso-position-vertical-relative:text" from="113.9pt,1.7pt" to="113.9pt,8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" strokecolor="windowText">
                <v:stroke dashstyle="dash"/>
              </v:line>
            </w:pict>
          </mc:Fallback>
        </mc:AlternateContent>
      </w:r>
    </w:p>
    <w:bookmarkStart w:id="289" w:name="_Toc450436553"/>
    <w:p w14:paraId="2BDFDF4D" w14:textId="77777777" w:rsidR="00D740DC" w:rsidRPr="000E2377" w:rsidRDefault="00D740DC" w:rsidP="00D740DC">
      <w:pPr>
        <w:spacing w:line="360" w:lineRule="auto"/>
        <w:jc w:val="both"/>
        <w:rPr>
          <w:rFonts w:cs="Times New Roman"/>
          <w:b w:val="0"/>
          <w:szCs w:val="24"/>
        </w:rPr>
      </w:pPr>
      <w:r w:rsidRPr="000E2377">
        <w:rPr>
          <w:rFonts w:cs="Times New Roman"/>
          <w:b w:val="0"/>
          <w:noProof/>
          <w:szCs w:val="24"/>
          <w:lang w:eastAsia="en-MY"/>
        </w:rPr>
        <mc:AlternateContent>
          <mc:Choice Requires="wps">
            <w:drawing>
              <wp:anchor distT="0" distB="0" distL="114300" distR="114300" simplePos="0" relativeHeight="252212224" behindDoc="0" locked="0" layoutInCell="1" allowOverlap="1" wp14:anchorId="493BEAF0" wp14:editId="1AB0D859">
                <wp:simplePos x="0" y="0"/>
                <wp:positionH relativeFrom="column">
                  <wp:posOffset>3827145</wp:posOffset>
                </wp:positionH>
                <wp:positionV relativeFrom="paragraph">
                  <wp:posOffset>124460</wp:posOffset>
                </wp:positionV>
                <wp:extent cx="1059815" cy="595630"/>
                <wp:effectExtent l="0" t="0" r="26035" b="33020"/>
                <wp:wrapNone/>
                <wp:docPr id="1046" name="Straight Connector 1046"/>
                <wp:cNvGraphicFramePr/>
                <a:graphic xmlns:a="http://schemas.openxmlformats.org/drawingml/2006/main">
                  <a:graphicData uri="http://schemas.microsoft.com/office/word/2010/wordprocessingShape">
                    <wps:wsp>
                      <wps:cNvCnPr/>
                      <wps:spPr>
                        <a:xfrm>
                          <a:off x="0" y="0"/>
                          <a:ext cx="1059815" cy="595630"/>
                        </a:xfrm>
                        <a:prstGeom prst="line">
                          <a:avLst/>
                        </a:prstGeom>
                        <a:noFill/>
                        <a:ln w="952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w14:anchorId="63D770E4" id="Straight Connector 1046" o:spid="_x0000_s1026" style="position:absolute;z-index:252212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1.35pt,9.8pt" to="384.8pt,5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" strokecolor="windowText"/>
            </w:pict>
          </mc:Fallback>
        </mc:AlternateContent>
      </w:r>
      <w:r w:rsidRPr="000E2377">
        <w:rPr>
          <w:rFonts w:cs="Times New Roman"/>
          <w:b w:val="0"/>
          <w:noProof/>
          <w:szCs w:val="24"/>
          <w:lang w:eastAsia="en-MY"/>
        </w:rPr>
        <mc:AlternateContent>
          <mc:Choice Requires="wps">
            <w:drawing>
              <wp:anchor distT="0" distB="0" distL="114300" distR="114300" simplePos="0" relativeHeight="252211200" behindDoc="0" locked="0" layoutInCell="1" allowOverlap="1" wp14:anchorId="0D689C09" wp14:editId="0136C69C">
                <wp:simplePos x="0" y="0"/>
                <wp:positionH relativeFrom="column">
                  <wp:posOffset>3255010</wp:posOffset>
                </wp:positionH>
                <wp:positionV relativeFrom="paragraph">
                  <wp:posOffset>112395</wp:posOffset>
                </wp:positionV>
                <wp:extent cx="572770" cy="0"/>
                <wp:effectExtent l="0" t="0" r="17780" b="19050"/>
                <wp:wrapNone/>
                <wp:docPr id="1045" name="Straight Connector 1045"/>
                <wp:cNvGraphicFramePr/>
                <a:graphic xmlns:a="http://schemas.openxmlformats.org/drawingml/2006/main">
                  <a:graphicData uri="http://schemas.microsoft.com/office/word/2010/wordprocessingShape">
                    <wps:wsp>
                      <wps:cNvCnPr/>
                      <wps:spPr>
                        <a:xfrm>
                          <a:off x="0" y="0"/>
                          <a:ext cx="57277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7BB325B7" id="Straight Connector 1045" o:spid="_x0000_s1026" style="position:absolute;z-index:252211200;visibility:visible;mso-wrap-style:square;mso-wrap-distance-left:9pt;mso-wrap-distance-top:0;mso-wrap-distance-right:9pt;mso-wrap-distance-bottom:0;mso-position-horizontal:absolute;mso-position-horizontal-relative:text;mso-position-vertical:absolute;mso-position-vertical-relative:text" from="256.3pt,8.85pt" to="301.4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" strokecolor="windowText"/>
            </w:pict>
          </mc:Fallback>
        </mc:AlternateContent>
      </w:r>
      <w:bookmarkEnd w:id="289"/>
    </w:p>
    <w:p w14:paraId="46865368" w14:textId="77777777" w:rsidR="00D740DC" w:rsidRPr="000E2377" w:rsidRDefault="00D740DC" w:rsidP="00D740DC">
      <w:pPr>
        <w:spacing w:line="360" w:lineRule="auto"/>
        <w:jc w:val="both"/>
        <w:rPr>
          <w:rFonts w:cs="Times New Roman"/>
          <w:b w:val="0"/>
          <w:szCs w:val="24"/>
        </w:rPr>
      </w:pPr>
    </w:p>
    <w:p w14:paraId="2A3A8CBB" w14:textId="20DB4541" w:rsidR="00D740DC" w:rsidRPr="000E2377" w:rsidRDefault="00D740DC" w:rsidP="00D740DC">
      <w:pPr>
        <w:pStyle w:val="Caption"/>
        <w:rPr>
          <w:rFonts w:eastAsiaTheme="majorEastAsia"/>
          <w:szCs w:val="24"/>
        </w:rPr>
      </w:pPr>
      <w:bookmarkStart w:id="290" w:name="_Toc450436818"/>
      <w:bookmarkStart w:id="291" w:name="_Toc450502353"/>
      <w:bookmarkStart w:id="292" w:name="_Toc450503409"/>
      <w:bookmarkStart w:id="293" w:name="_Toc450506337"/>
      <w:bookmarkStart w:id="294" w:name="_Toc521420453"/>
      <w:bookmarkStart w:id="295" w:name="_Toc525223188"/>
      <w:bookmarkStart w:id="296" w:name="_Toc525528335"/>
      <w:bookmarkStart w:id="297" w:name="_Toc525706350"/>
      <w:bookmarkEnd w:id="287"/>
      <w:r w:rsidRPr="000E2377">
        <w:t xml:space="preserve">Figure </w:t>
      </w:r>
      <w:r>
        <w:t>3</w:t>
      </w:r>
      <w:r w:rsidRPr="000E2377">
        <w:t>.</w:t>
      </w:r>
      <w:r w:rsidRPr="000E2377">
        <w:fldChar w:fldCharType="begin"/>
      </w:r>
      <w:r w:rsidRPr="000E2377">
        <w:instrText xml:space="preserve"> SEQ Figure \* ARABIC \s 1 </w:instrText>
      </w:r>
      <w:r w:rsidRPr="000E2377">
        <w:fldChar w:fldCharType="separate"/>
      </w:r>
      <w:r w:rsidR="00C827AE">
        <w:rPr>
          <w:noProof/>
        </w:rPr>
        <w:t>1</w:t>
      </w:r>
      <w:r w:rsidRPr="000E2377">
        <w:fldChar w:fldCharType="end"/>
      </w:r>
      <w:r w:rsidRPr="000E2377">
        <w:t xml:space="preserve">: </w:t>
      </w:r>
      <w:r w:rsidRPr="000E2377">
        <w:rPr>
          <w:rFonts w:eastAsiaTheme="majorEastAsia"/>
          <w:szCs w:val="24"/>
        </w:rPr>
        <w:t>Heating profile (a) melting process and (b) annealing process</w:t>
      </w:r>
      <w:bookmarkEnd w:id="290"/>
      <w:bookmarkEnd w:id="291"/>
      <w:bookmarkEnd w:id="292"/>
      <w:bookmarkEnd w:id="293"/>
      <w:r w:rsidRPr="000E2377">
        <w:rPr>
          <w:rFonts w:eastAsiaTheme="majorEastAsia"/>
          <w:szCs w:val="24"/>
        </w:rPr>
        <w:t>.</w:t>
      </w:r>
      <w:bookmarkEnd w:id="294"/>
      <w:bookmarkEnd w:id="295"/>
      <w:bookmarkEnd w:id="296"/>
      <w:bookmarkEnd w:id="297"/>
    </w:p>
    <w:p w14:paraId="2335B482" w14:textId="77777777" w:rsidR="00D740DC" w:rsidRPr="000E2377" w:rsidRDefault="00D740DC" w:rsidP="00D740DC">
      <w:pPr>
        <w:pStyle w:val="Caption"/>
        <w:rPr>
          <w:rFonts w:eastAsiaTheme="majorEastAsia"/>
          <w:szCs w:val="24"/>
        </w:rPr>
      </w:pPr>
      <w:bookmarkStart w:id="298" w:name="_Toc521483066"/>
      <w:bookmarkStart w:id="299" w:name="_Toc525225328"/>
      <w:bookmarkStart w:id="300" w:name="_Toc525706424"/>
      <w:bookmarkStart w:id="301" w:name="_Hlk10985488"/>
      <w:r w:rsidRPr="000E2377">
        <w:t xml:space="preserve">Table </w:t>
      </w:r>
      <w:r>
        <w:t>3</w:t>
      </w:r>
      <w:r w:rsidRPr="000E2377">
        <w:t>.</w:t>
      </w:r>
      <w:r>
        <w:t>3</w:t>
      </w:r>
      <w:r w:rsidRPr="000E2377">
        <w:rPr>
          <w:rFonts w:eastAsiaTheme="majorEastAsia"/>
          <w:szCs w:val="24"/>
        </w:rPr>
        <w:t>: Melting temperature of glass series</w:t>
      </w:r>
      <w:bookmarkEnd w:id="298"/>
      <w:bookmarkEnd w:id="299"/>
      <w:bookmarkEnd w:id="300"/>
      <w:r>
        <w:rPr>
          <w:rFonts w:eastAsiaTheme="majorEastAsia"/>
          <w:szCs w:val="24"/>
        </w:rPr>
        <w:t>.</w:t>
      </w:r>
    </w:p>
    <w:tbl>
      <w:tblPr>
        <w:tblW w:w="7800" w:type="dxa"/>
        <w:jc w:val="center"/>
        <w:tblLook w:val="04A0" w:firstRow="1" w:lastRow="0" w:firstColumn="1" w:lastColumn="0" w:noHBand="0" w:noVBand="1"/>
      </w:tblPr>
      <w:tblGrid>
        <w:gridCol w:w="2835"/>
        <w:gridCol w:w="2475"/>
        <w:gridCol w:w="2490"/>
      </w:tblGrid>
      <w:tr w:rsidR="00D740DC" w:rsidRPr="000E2377" w14:paraId="668DAA8D" w14:textId="77777777" w:rsidTr="00B11F5F">
        <w:trPr>
          <w:trHeight w:val="300"/>
          <w:jc w:val="center"/>
        </w:trPr>
        <w:tc>
          <w:tcPr>
            <w:tcW w:w="2835" w:type="dxa"/>
            <w:tcBorders>
              <w:top w:val="single" w:sz="4" w:space="0" w:color="auto"/>
              <w:left w:val="nil"/>
              <w:bottom w:val="single" w:sz="4" w:space="0" w:color="auto"/>
              <w:right w:val="single" w:sz="4" w:space="0" w:color="auto"/>
            </w:tcBorders>
            <w:shd w:val="clear" w:color="auto" w:fill="auto"/>
            <w:noWrap/>
            <w:vAlign w:val="center"/>
            <w:hideMark/>
          </w:tcPr>
          <w:bookmarkEnd w:id="301"/>
          <w:p w14:paraId="5E5A9925" w14:textId="77777777" w:rsidR="00D740DC" w:rsidRPr="000E2377" w:rsidRDefault="00D740DC" w:rsidP="00B11F5F">
            <w:pPr>
              <w:spacing w:before="240"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Series</w:t>
            </w:r>
          </w:p>
        </w:tc>
        <w:tc>
          <w:tcPr>
            <w:tcW w:w="2475" w:type="dxa"/>
            <w:tcBorders>
              <w:top w:val="single" w:sz="4" w:space="0" w:color="auto"/>
              <w:left w:val="nil"/>
              <w:bottom w:val="single" w:sz="4" w:space="0" w:color="auto"/>
              <w:right w:val="nil"/>
            </w:tcBorders>
            <w:shd w:val="clear" w:color="auto" w:fill="auto"/>
            <w:noWrap/>
            <w:vAlign w:val="center"/>
            <w:hideMark/>
          </w:tcPr>
          <w:p w14:paraId="54B209F1" w14:textId="77777777" w:rsidR="00D740DC" w:rsidRPr="000E2377" w:rsidRDefault="00D740DC" w:rsidP="00B11F5F">
            <w:pPr>
              <w:spacing w:before="240"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Melting temperature (ºC)</w:t>
            </w:r>
          </w:p>
        </w:tc>
        <w:tc>
          <w:tcPr>
            <w:tcW w:w="2490" w:type="dxa"/>
            <w:tcBorders>
              <w:top w:val="single" w:sz="4" w:space="0" w:color="auto"/>
              <w:left w:val="nil"/>
              <w:bottom w:val="single" w:sz="4" w:space="0" w:color="auto"/>
              <w:right w:val="nil"/>
            </w:tcBorders>
          </w:tcPr>
          <w:p w14:paraId="4D3432CC" w14:textId="77777777" w:rsidR="00D740DC" w:rsidRPr="000E2377" w:rsidRDefault="00D740DC" w:rsidP="00B11F5F">
            <w:pPr>
              <w:spacing w:before="240"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Annealing temperature (ºC)</w:t>
            </w:r>
          </w:p>
        </w:tc>
      </w:tr>
      <w:tr w:rsidR="00D740DC" w:rsidRPr="000E2377" w14:paraId="6FE7D9A1" w14:textId="77777777" w:rsidTr="00B11F5F">
        <w:trPr>
          <w:trHeight w:val="315"/>
          <w:jc w:val="center"/>
        </w:trPr>
        <w:tc>
          <w:tcPr>
            <w:tcW w:w="2835" w:type="dxa"/>
            <w:tcBorders>
              <w:top w:val="nil"/>
              <w:left w:val="nil"/>
              <w:bottom w:val="nil"/>
              <w:right w:val="single" w:sz="4" w:space="0" w:color="auto"/>
            </w:tcBorders>
            <w:shd w:val="clear" w:color="auto" w:fill="auto"/>
            <w:vAlign w:val="center"/>
            <w:hideMark/>
          </w:tcPr>
          <w:p w14:paraId="63D4D962"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eastAsia="Times New Roman" w:cs="Times New Roman"/>
                <w:b w:val="0"/>
                <w:color w:val="000000"/>
                <w:szCs w:val="24"/>
                <w:lang w:eastAsia="en-MY"/>
              </w:rPr>
              <w:t xml:space="preserve">           </w:t>
            </w:r>
          </w:p>
        </w:tc>
        <w:tc>
          <w:tcPr>
            <w:tcW w:w="2475" w:type="dxa"/>
            <w:tcBorders>
              <w:top w:val="nil"/>
              <w:left w:val="nil"/>
              <w:bottom w:val="nil"/>
              <w:right w:val="nil"/>
            </w:tcBorders>
            <w:shd w:val="clear" w:color="auto" w:fill="auto"/>
            <w:noWrap/>
            <w:vAlign w:val="bottom"/>
            <w:hideMark/>
          </w:tcPr>
          <w:p w14:paraId="77A46F99"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 xml:space="preserve">1600 </w:t>
            </w:r>
          </w:p>
        </w:tc>
        <w:tc>
          <w:tcPr>
            <w:tcW w:w="2490" w:type="dxa"/>
            <w:tcBorders>
              <w:top w:val="nil"/>
              <w:left w:val="nil"/>
              <w:bottom w:val="nil"/>
              <w:right w:val="nil"/>
            </w:tcBorders>
          </w:tcPr>
          <w:p w14:paraId="7A5A291B"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600</w:t>
            </w:r>
          </w:p>
        </w:tc>
      </w:tr>
      <w:tr w:rsidR="00D740DC" w:rsidRPr="000E2377" w14:paraId="1614861E" w14:textId="77777777" w:rsidTr="00B11F5F">
        <w:trPr>
          <w:trHeight w:val="315"/>
          <w:jc w:val="center"/>
        </w:trPr>
        <w:tc>
          <w:tcPr>
            <w:tcW w:w="2835" w:type="dxa"/>
            <w:tcBorders>
              <w:top w:val="nil"/>
              <w:left w:val="nil"/>
              <w:bottom w:val="nil"/>
              <w:right w:val="single" w:sz="4" w:space="0" w:color="auto"/>
            </w:tcBorders>
            <w:shd w:val="clear" w:color="auto" w:fill="auto"/>
            <w:vAlign w:val="center"/>
            <w:hideMark/>
          </w:tcPr>
          <w:p w14:paraId="2C94FA30"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p>
        </w:tc>
        <w:tc>
          <w:tcPr>
            <w:tcW w:w="2475" w:type="dxa"/>
            <w:tcBorders>
              <w:top w:val="nil"/>
              <w:left w:val="nil"/>
              <w:bottom w:val="nil"/>
              <w:right w:val="nil"/>
            </w:tcBorders>
            <w:shd w:val="clear" w:color="auto" w:fill="auto"/>
            <w:noWrap/>
            <w:vAlign w:val="bottom"/>
            <w:hideMark/>
          </w:tcPr>
          <w:p w14:paraId="6A4ED149"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 xml:space="preserve">1600 </w:t>
            </w:r>
          </w:p>
        </w:tc>
        <w:tc>
          <w:tcPr>
            <w:tcW w:w="2490" w:type="dxa"/>
            <w:tcBorders>
              <w:top w:val="nil"/>
              <w:left w:val="nil"/>
              <w:bottom w:val="nil"/>
              <w:right w:val="nil"/>
            </w:tcBorders>
          </w:tcPr>
          <w:p w14:paraId="6CBFD328"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600</w:t>
            </w:r>
          </w:p>
        </w:tc>
      </w:tr>
      <w:tr w:rsidR="00D740DC" w:rsidRPr="000E2377" w14:paraId="41878BBE" w14:textId="77777777" w:rsidTr="00B11F5F">
        <w:trPr>
          <w:trHeight w:val="315"/>
          <w:jc w:val="center"/>
        </w:trPr>
        <w:tc>
          <w:tcPr>
            <w:tcW w:w="2835" w:type="dxa"/>
            <w:tcBorders>
              <w:top w:val="nil"/>
              <w:left w:val="nil"/>
              <w:bottom w:val="nil"/>
              <w:right w:val="single" w:sz="4" w:space="0" w:color="auto"/>
            </w:tcBorders>
            <w:shd w:val="clear" w:color="auto" w:fill="auto"/>
            <w:vAlign w:val="center"/>
          </w:tcPr>
          <w:p w14:paraId="2C69E59F"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2475" w:type="dxa"/>
            <w:tcBorders>
              <w:top w:val="nil"/>
              <w:left w:val="nil"/>
              <w:bottom w:val="nil"/>
              <w:right w:val="nil"/>
            </w:tcBorders>
            <w:shd w:val="clear" w:color="auto" w:fill="auto"/>
            <w:noWrap/>
            <w:vAlign w:val="bottom"/>
          </w:tcPr>
          <w:p w14:paraId="759ACB7E"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1600</w:t>
            </w:r>
          </w:p>
        </w:tc>
        <w:tc>
          <w:tcPr>
            <w:tcW w:w="2490" w:type="dxa"/>
            <w:tcBorders>
              <w:top w:val="nil"/>
              <w:left w:val="nil"/>
              <w:bottom w:val="nil"/>
              <w:right w:val="nil"/>
            </w:tcBorders>
          </w:tcPr>
          <w:p w14:paraId="4E7D8C98"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600</w:t>
            </w:r>
          </w:p>
        </w:tc>
      </w:tr>
      <w:tr w:rsidR="00D740DC" w:rsidRPr="000E2377" w14:paraId="47C75544" w14:textId="77777777" w:rsidTr="00B11F5F">
        <w:trPr>
          <w:trHeight w:val="315"/>
          <w:jc w:val="center"/>
        </w:trPr>
        <w:tc>
          <w:tcPr>
            <w:tcW w:w="2835" w:type="dxa"/>
            <w:tcBorders>
              <w:top w:val="nil"/>
              <w:left w:val="nil"/>
              <w:bottom w:val="nil"/>
              <w:right w:val="single" w:sz="4" w:space="0" w:color="auto"/>
            </w:tcBorders>
            <w:shd w:val="clear" w:color="auto" w:fill="auto"/>
            <w:vAlign w:val="center"/>
            <w:hideMark/>
          </w:tcPr>
          <w:p w14:paraId="0808E0C7"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2475" w:type="dxa"/>
            <w:tcBorders>
              <w:top w:val="nil"/>
              <w:left w:val="nil"/>
              <w:bottom w:val="nil"/>
              <w:right w:val="nil"/>
            </w:tcBorders>
            <w:shd w:val="clear" w:color="auto" w:fill="auto"/>
            <w:noWrap/>
            <w:vAlign w:val="bottom"/>
            <w:hideMark/>
          </w:tcPr>
          <w:p w14:paraId="57A3E338"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 xml:space="preserve">1200 </w:t>
            </w:r>
          </w:p>
        </w:tc>
        <w:tc>
          <w:tcPr>
            <w:tcW w:w="2490" w:type="dxa"/>
            <w:tcBorders>
              <w:top w:val="nil"/>
              <w:left w:val="nil"/>
              <w:bottom w:val="nil"/>
              <w:right w:val="nil"/>
            </w:tcBorders>
          </w:tcPr>
          <w:p w14:paraId="4550CCA3"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550</w:t>
            </w:r>
          </w:p>
        </w:tc>
      </w:tr>
      <w:tr w:rsidR="00D740DC" w:rsidRPr="000E2377" w14:paraId="681C033B" w14:textId="77777777" w:rsidTr="00B11F5F">
        <w:trPr>
          <w:trHeight w:val="315"/>
          <w:jc w:val="center"/>
        </w:trPr>
        <w:tc>
          <w:tcPr>
            <w:tcW w:w="2835" w:type="dxa"/>
            <w:tcBorders>
              <w:top w:val="nil"/>
              <w:left w:val="nil"/>
              <w:bottom w:val="nil"/>
              <w:right w:val="single" w:sz="4" w:space="0" w:color="auto"/>
            </w:tcBorders>
            <w:shd w:val="clear" w:color="auto" w:fill="auto"/>
            <w:vAlign w:val="center"/>
          </w:tcPr>
          <w:p w14:paraId="451EF98E"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2475" w:type="dxa"/>
            <w:tcBorders>
              <w:top w:val="nil"/>
              <w:left w:val="nil"/>
              <w:bottom w:val="nil"/>
              <w:right w:val="nil"/>
            </w:tcBorders>
            <w:shd w:val="clear" w:color="auto" w:fill="auto"/>
            <w:noWrap/>
            <w:vAlign w:val="bottom"/>
          </w:tcPr>
          <w:p w14:paraId="50588CFC"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1200</w:t>
            </w:r>
          </w:p>
        </w:tc>
        <w:tc>
          <w:tcPr>
            <w:tcW w:w="2490" w:type="dxa"/>
            <w:tcBorders>
              <w:top w:val="nil"/>
              <w:left w:val="nil"/>
              <w:bottom w:val="nil"/>
              <w:right w:val="nil"/>
            </w:tcBorders>
          </w:tcPr>
          <w:p w14:paraId="70257590"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550</w:t>
            </w:r>
          </w:p>
        </w:tc>
      </w:tr>
      <w:tr w:rsidR="00D740DC" w:rsidRPr="000E2377" w14:paraId="706905A1" w14:textId="77777777" w:rsidTr="00B11F5F">
        <w:trPr>
          <w:trHeight w:val="315"/>
          <w:jc w:val="center"/>
        </w:trPr>
        <w:tc>
          <w:tcPr>
            <w:tcW w:w="2835" w:type="dxa"/>
            <w:tcBorders>
              <w:top w:val="nil"/>
              <w:left w:val="nil"/>
              <w:bottom w:val="nil"/>
              <w:right w:val="single" w:sz="4" w:space="0" w:color="auto"/>
            </w:tcBorders>
            <w:shd w:val="clear" w:color="auto" w:fill="auto"/>
            <w:vAlign w:val="center"/>
            <w:hideMark/>
          </w:tcPr>
          <w:p w14:paraId="15B4DA42"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2475" w:type="dxa"/>
            <w:tcBorders>
              <w:top w:val="nil"/>
              <w:left w:val="nil"/>
              <w:bottom w:val="nil"/>
              <w:right w:val="nil"/>
            </w:tcBorders>
            <w:shd w:val="clear" w:color="auto" w:fill="auto"/>
            <w:noWrap/>
            <w:vAlign w:val="bottom"/>
            <w:hideMark/>
          </w:tcPr>
          <w:p w14:paraId="5625D810"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 xml:space="preserve">1600 </w:t>
            </w:r>
          </w:p>
        </w:tc>
        <w:tc>
          <w:tcPr>
            <w:tcW w:w="2490" w:type="dxa"/>
            <w:tcBorders>
              <w:top w:val="nil"/>
              <w:left w:val="nil"/>
              <w:bottom w:val="nil"/>
              <w:right w:val="nil"/>
            </w:tcBorders>
          </w:tcPr>
          <w:p w14:paraId="04DEBF99"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600</w:t>
            </w:r>
          </w:p>
        </w:tc>
      </w:tr>
      <w:tr w:rsidR="00D740DC" w:rsidRPr="000E2377" w14:paraId="118ABCBD" w14:textId="77777777" w:rsidTr="00B11F5F">
        <w:trPr>
          <w:trHeight w:val="315"/>
          <w:jc w:val="center"/>
        </w:trPr>
        <w:tc>
          <w:tcPr>
            <w:tcW w:w="2835" w:type="dxa"/>
            <w:tcBorders>
              <w:top w:val="nil"/>
              <w:left w:val="nil"/>
              <w:bottom w:val="nil"/>
              <w:right w:val="single" w:sz="4" w:space="0" w:color="auto"/>
            </w:tcBorders>
            <w:shd w:val="clear" w:color="auto" w:fill="auto"/>
            <w:vAlign w:val="center"/>
          </w:tcPr>
          <w:p w14:paraId="0809E269"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2475" w:type="dxa"/>
            <w:tcBorders>
              <w:top w:val="nil"/>
              <w:left w:val="nil"/>
              <w:bottom w:val="nil"/>
              <w:right w:val="nil"/>
            </w:tcBorders>
            <w:shd w:val="clear" w:color="auto" w:fill="auto"/>
            <w:noWrap/>
            <w:vAlign w:val="bottom"/>
          </w:tcPr>
          <w:p w14:paraId="7E3F7F6D"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1600</w:t>
            </w:r>
          </w:p>
        </w:tc>
        <w:tc>
          <w:tcPr>
            <w:tcW w:w="2490" w:type="dxa"/>
            <w:tcBorders>
              <w:top w:val="nil"/>
              <w:left w:val="nil"/>
              <w:bottom w:val="nil"/>
              <w:right w:val="nil"/>
            </w:tcBorders>
          </w:tcPr>
          <w:p w14:paraId="65087C05"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600</w:t>
            </w:r>
          </w:p>
        </w:tc>
      </w:tr>
      <w:tr w:rsidR="00D740DC" w:rsidRPr="000E2377" w14:paraId="7DAF4280" w14:textId="77777777" w:rsidTr="00B11F5F">
        <w:trPr>
          <w:trHeight w:val="315"/>
          <w:jc w:val="center"/>
        </w:trPr>
        <w:tc>
          <w:tcPr>
            <w:tcW w:w="2835" w:type="dxa"/>
            <w:tcBorders>
              <w:top w:val="nil"/>
              <w:left w:val="nil"/>
              <w:bottom w:val="nil"/>
              <w:right w:val="single" w:sz="4" w:space="0" w:color="auto"/>
            </w:tcBorders>
            <w:shd w:val="clear" w:color="auto" w:fill="auto"/>
            <w:vAlign w:val="center"/>
            <w:hideMark/>
          </w:tcPr>
          <w:p w14:paraId="127747E0"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78-x</w:t>
            </w:r>
          </w:p>
        </w:tc>
        <w:tc>
          <w:tcPr>
            <w:tcW w:w="2475" w:type="dxa"/>
            <w:tcBorders>
              <w:top w:val="nil"/>
              <w:left w:val="nil"/>
              <w:bottom w:val="nil"/>
              <w:right w:val="nil"/>
            </w:tcBorders>
            <w:shd w:val="clear" w:color="auto" w:fill="auto"/>
            <w:noWrap/>
            <w:vAlign w:val="bottom"/>
            <w:hideMark/>
          </w:tcPr>
          <w:p w14:paraId="050D0C1C"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 xml:space="preserve">1450 </w:t>
            </w:r>
          </w:p>
        </w:tc>
        <w:tc>
          <w:tcPr>
            <w:tcW w:w="2490" w:type="dxa"/>
            <w:tcBorders>
              <w:top w:val="nil"/>
              <w:left w:val="nil"/>
              <w:bottom w:val="nil"/>
              <w:right w:val="nil"/>
            </w:tcBorders>
          </w:tcPr>
          <w:p w14:paraId="60963655"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550</w:t>
            </w:r>
          </w:p>
        </w:tc>
      </w:tr>
      <w:tr w:rsidR="00D740DC" w:rsidRPr="000E2377" w14:paraId="0DBC0099" w14:textId="77777777" w:rsidTr="00B11F5F">
        <w:trPr>
          <w:trHeight w:val="315"/>
          <w:jc w:val="center"/>
        </w:trPr>
        <w:tc>
          <w:tcPr>
            <w:tcW w:w="2835" w:type="dxa"/>
            <w:tcBorders>
              <w:top w:val="nil"/>
              <w:left w:val="nil"/>
              <w:bottom w:val="nil"/>
              <w:right w:val="single" w:sz="4" w:space="0" w:color="auto"/>
            </w:tcBorders>
            <w:shd w:val="clear" w:color="auto" w:fill="auto"/>
            <w:noWrap/>
            <w:vAlign w:val="center"/>
            <w:hideMark/>
          </w:tcPr>
          <w:p w14:paraId="479730B8"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 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73-x</w:t>
            </w:r>
          </w:p>
        </w:tc>
        <w:tc>
          <w:tcPr>
            <w:tcW w:w="2475" w:type="dxa"/>
            <w:tcBorders>
              <w:top w:val="nil"/>
              <w:left w:val="nil"/>
              <w:bottom w:val="nil"/>
              <w:right w:val="nil"/>
            </w:tcBorders>
            <w:shd w:val="clear" w:color="auto" w:fill="auto"/>
            <w:noWrap/>
            <w:vAlign w:val="bottom"/>
            <w:hideMark/>
          </w:tcPr>
          <w:p w14:paraId="0E34E561"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1300</w:t>
            </w:r>
          </w:p>
        </w:tc>
        <w:tc>
          <w:tcPr>
            <w:tcW w:w="2490" w:type="dxa"/>
            <w:tcBorders>
              <w:top w:val="nil"/>
              <w:left w:val="nil"/>
              <w:bottom w:val="nil"/>
              <w:right w:val="nil"/>
            </w:tcBorders>
          </w:tcPr>
          <w:p w14:paraId="1E50683F"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550</w:t>
            </w:r>
          </w:p>
        </w:tc>
      </w:tr>
      <w:tr w:rsidR="00D740DC" w:rsidRPr="000E2377" w14:paraId="629CE2B7" w14:textId="77777777" w:rsidTr="00B11F5F">
        <w:trPr>
          <w:trHeight w:val="315"/>
          <w:jc w:val="center"/>
        </w:trPr>
        <w:tc>
          <w:tcPr>
            <w:tcW w:w="2835" w:type="dxa"/>
            <w:tcBorders>
              <w:top w:val="nil"/>
              <w:left w:val="nil"/>
              <w:bottom w:val="single" w:sz="4" w:space="0" w:color="auto"/>
              <w:right w:val="single" w:sz="4" w:space="0" w:color="auto"/>
            </w:tcBorders>
            <w:shd w:val="clear" w:color="auto" w:fill="auto"/>
            <w:vAlign w:val="center"/>
            <w:hideMark/>
          </w:tcPr>
          <w:p w14:paraId="006F9A8B"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y</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78-x-y</w:t>
            </w:r>
          </w:p>
        </w:tc>
        <w:tc>
          <w:tcPr>
            <w:tcW w:w="2475" w:type="dxa"/>
            <w:tcBorders>
              <w:top w:val="nil"/>
              <w:left w:val="nil"/>
              <w:bottom w:val="single" w:sz="4" w:space="0" w:color="auto"/>
              <w:right w:val="nil"/>
            </w:tcBorders>
            <w:shd w:val="clear" w:color="auto" w:fill="auto"/>
            <w:noWrap/>
            <w:vAlign w:val="bottom"/>
            <w:hideMark/>
          </w:tcPr>
          <w:p w14:paraId="5488795F"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1600</w:t>
            </w:r>
          </w:p>
        </w:tc>
        <w:tc>
          <w:tcPr>
            <w:tcW w:w="2490" w:type="dxa"/>
            <w:tcBorders>
              <w:top w:val="nil"/>
              <w:left w:val="nil"/>
              <w:bottom w:val="single" w:sz="4" w:space="0" w:color="auto"/>
              <w:right w:val="nil"/>
            </w:tcBorders>
          </w:tcPr>
          <w:p w14:paraId="12A5182B" w14:textId="77777777" w:rsidR="00D740DC" w:rsidRPr="000E2377" w:rsidRDefault="00D740DC" w:rsidP="00B11F5F">
            <w:pPr>
              <w:spacing w:after="0"/>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600</w:t>
            </w:r>
          </w:p>
        </w:tc>
      </w:tr>
    </w:tbl>
    <w:p w14:paraId="37B2700E" w14:textId="77777777" w:rsidR="00D740DC" w:rsidRPr="000E2377" w:rsidRDefault="00D740DC" w:rsidP="00D740DC">
      <w:pPr>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5381A04D" w14:textId="77777777" w:rsidR="00D740DC" w:rsidRPr="000E2377" w:rsidRDefault="00D740DC" w:rsidP="00D740DC">
      <w:pPr>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2EEF944C" w14:textId="77777777" w:rsidR="00D740DC" w:rsidRPr="000E2377" w:rsidRDefault="00D740DC" w:rsidP="00D740DC">
      <w:pPr>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3818F7C9" w14:textId="77777777" w:rsidR="00D740DC" w:rsidRPr="000E2377" w:rsidRDefault="00D740DC" w:rsidP="00D740DC">
      <w:pPr>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30E69B22" w14:textId="77777777" w:rsidR="00D740DC" w:rsidRPr="000E2377" w:rsidRDefault="00D740DC" w:rsidP="00D740DC">
      <w:pPr>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19DA3B46" w14:textId="77777777" w:rsidR="00D740DC" w:rsidRPr="000E2377" w:rsidRDefault="00D740DC" w:rsidP="00D740DC">
      <w:pPr>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6420B0B0" w14:textId="77777777" w:rsidR="00D740DC" w:rsidRPr="000E2377" w:rsidRDefault="00D740DC" w:rsidP="00D740DC">
      <w:pPr>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55273BFC" w14:textId="77777777" w:rsidR="00D740DC" w:rsidRPr="000E2377" w:rsidRDefault="00D740DC" w:rsidP="00D740DC">
      <w:pPr>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5D35098A" w14:textId="77777777" w:rsidR="00D740DC" w:rsidRPr="000E2377" w:rsidRDefault="00D740DC" w:rsidP="00D740DC">
      <w:pPr>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56BBC88D" w14:textId="77777777" w:rsidR="00D740DC" w:rsidRPr="000E2377" w:rsidRDefault="00D740DC" w:rsidP="00D740DC">
      <w:pPr>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7D09A5C1" w14:textId="77777777" w:rsidR="00D740DC" w:rsidRPr="000E2377" w:rsidRDefault="00D740DC" w:rsidP="00D740DC">
      <w:pPr>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7628E9D3" w14:textId="77777777" w:rsidR="00D740DC" w:rsidRPr="000E2377" w:rsidRDefault="00D740DC" w:rsidP="00D740DC">
      <w:pPr>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1A9F48A7" w14:textId="77777777" w:rsidR="00D740DC" w:rsidRPr="000E2377" w:rsidRDefault="00D740DC" w:rsidP="00D740DC">
      <w:pPr>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6BB2F207" w14:textId="77777777" w:rsidR="00D740DC" w:rsidRPr="000E2377" w:rsidRDefault="00D740DC" w:rsidP="00D740DC">
      <w:pPr>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4AFBDBB2" w14:textId="77777777" w:rsidR="00D740DC" w:rsidRPr="000E2377" w:rsidRDefault="00D740DC" w:rsidP="00D740DC">
      <w:pPr>
        <w:spacing w:line="360" w:lineRule="auto"/>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3B281DE5" w14:textId="77777777" w:rsidR="00D740DC" w:rsidRPr="000E2377" w:rsidRDefault="00D740DC" w:rsidP="00D740DC">
      <w:pPr>
        <w:spacing w:line="360" w:lineRule="auto"/>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0D0FB90E" w14:textId="77777777" w:rsidR="00D740DC" w:rsidRPr="000E2377" w:rsidRDefault="00D740DC" w:rsidP="00D740DC">
      <w:pPr>
        <w:spacing w:line="360" w:lineRule="auto"/>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2F3AFFEA" w14:textId="77777777" w:rsidR="00D740DC" w:rsidRPr="000E2377" w:rsidRDefault="00D740DC" w:rsidP="00D740DC">
      <w:pPr>
        <w:spacing w:line="360" w:lineRule="auto"/>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057885D5" w14:textId="77777777" w:rsidR="00D740DC" w:rsidRPr="000E2377" w:rsidRDefault="00D740DC" w:rsidP="00D740DC">
      <w:pPr>
        <w:spacing w:line="360" w:lineRule="auto"/>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7BB2FD57" w14:textId="77777777" w:rsidR="00D740DC" w:rsidRPr="000E2377" w:rsidRDefault="00D740DC" w:rsidP="00D740DC">
      <w:pPr>
        <w:spacing w:line="360" w:lineRule="auto"/>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1CADDEF4" w14:textId="77777777" w:rsidR="00D740DC" w:rsidRPr="000E2377" w:rsidRDefault="00D740DC" w:rsidP="00D740DC">
      <w:pPr>
        <w:spacing w:line="360" w:lineRule="auto"/>
        <w:ind w:left="720"/>
        <w:contextualSpacing/>
        <w:jc w:val="both"/>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554F034B" w14:textId="77777777" w:rsidR="00D740DC" w:rsidRPr="000E2377" w:rsidRDefault="00D740DC" w:rsidP="00D740DC">
      <w:pPr>
        <w:spacing w:line="360" w:lineRule="auto"/>
        <w:ind w:left="720"/>
        <w:contextualSpacing/>
        <w:jc w:val="center"/>
        <w:rPr>
          <w:rFonts w:eastAsia="Times New Roman" w:cs="Times New Roman"/>
          <w:snapToGrid w:val="0"/>
          <w:color w:val="000000"/>
          <w:w w:val="0"/>
          <w:sz w:val="0"/>
          <w:szCs w:val="0"/>
          <w:u w:color="000000"/>
          <w:bdr w:val="none" w:sz="0" w:space="0" w:color="000000"/>
          <w:shd w:val="clear" w:color="000000" w:fill="000000"/>
          <w:lang w:val="x-none" w:eastAsia="x-none" w:bidi="x-none"/>
        </w:rPr>
      </w:pPr>
      <w:r w:rsidRPr="000E2377">
        <w:rPr>
          <w:rFonts w:cs="Times New Roman"/>
          <w:b w:val="0"/>
          <w:noProof/>
          <w:color w:val="FF0000"/>
          <w:szCs w:val="24"/>
          <w:lang w:eastAsia="en-MY"/>
        </w:rPr>
        <w:lastRenderedPageBreak/>
        <w:drawing>
          <wp:inline distT="0" distB="0" distL="0" distR="0" wp14:anchorId="2D6E1122" wp14:editId="7294239C">
            <wp:extent cx="2879470" cy="2160000"/>
            <wp:effectExtent l="0" t="2223" r="0" b="0"/>
            <wp:docPr id="2167" name="Picture 2167" descr="C:\Users\Asus A450L\Downloads\IMG_8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C:\Users\Asus A450L\Downloads\IMG_886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2879470" cy="2160000"/>
                    </a:xfrm>
                    <a:prstGeom prst="rect">
                      <a:avLst/>
                    </a:prstGeom>
                    <a:noFill/>
                    <a:ln>
                      <a:noFill/>
                    </a:ln>
                  </pic:spPr>
                </pic:pic>
              </a:graphicData>
            </a:graphic>
          </wp:inline>
        </w:drawing>
      </w:r>
      <w:r w:rsidRPr="000E2377">
        <w:rPr>
          <w:rFonts w:cs="Times New Roman"/>
          <w:b w:val="0"/>
          <w:noProof/>
          <w:color w:val="FF0000"/>
          <w:szCs w:val="24"/>
          <w:lang w:eastAsia="en-MY"/>
        </w:rPr>
        <w:drawing>
          <wp:inline distT="0" distB="0" distL="0" distR="0" wp14:anchorId="38271058" wp14:editId="4DAADB28">
            <wp:extent cx="2879471" cy="2160000"/>
            <wp:effectExtent l="0" t="2223" r="0" b="0"/>
            <wp:docPr id="2168" name="Picture 2168" descr="C:\Users\Asus A450L\Downloads\IMG_8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C:\Users\Asus A450L\Downloads\IMG_887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2879471" cy="2160000"/>
                    </a:xfrm>
                    <a:prstGeom prst="rect">
                      <a:avLst/>
                    </a:prstGeom>
                    <a:noFill/>
                    <a:ln>
                      <a:noFill/>
                    </a:ln>
                  </pic:spPr>
                </pic:pic>
              </a:graphicData>
            </a:graphic>
          </wp:inline>
        </w:drawing>
      </w:r>
    </w:p>
    <w:p w14:paraId="533E271E" w14:textId="676F0DD0" w:rsidR="00D740DC" w:rsidRPr="000E2377" w:rsidRDefault="00D740DC" w:rsidP="00D740DC">
      <w:pPr>
        <w:pStyle w:val="Caption"/>
        <w:rPr>
          <w:b w:val="0"/>
          <w:color w:val="FF0000"/>
          <w:szCs w:val="24"/>
        </w:rPr>
      </w:pPr>
      <w:bookmarkStart w:id="302" w:name="_Toc521420454"/>
      <w:bookmarkStart w:id="303" w:name="_Toc525223189"/>
      <w:bookmarkStart w:id="304" w:name="_Toc525528336"/>
      <w:bookmarkStart w:id="305" w:name="_Toc525706351"/>
      <w:bookmarkStart w:id="306" w:name="_Hlk515393922"/>
      <w:r w:rsidRPr="000E2377">
        <w:t xml:space="preserve">Figure </w:t>
      </w:r>
      <w:r>
        <w:t>3</w:t>
      </w:r>
      <w:r w:rsidRPr="000E2377">
        <w:t>.</w:t>
      </w:r>
      <w:r w:rsidRPr="000E2377">
        <w:fldChar w:fldCharType="begin"/>
      </w:r>
      <w:r w:rsidRPr="000E2377">
        <w:instrText xml:space="preserve"> SEQ Figure \* ARABIC \s 1 </w:instrText>
      </w:r>
      <w:r w:rsidRPr="000E2377">
        <w:fldChar w:fldCharType="separate"/>
      </w:r>
      <w:r w:rsidR="00C827AE">
        <w:rPr>
          <w:noProof/>
        </w:rPr>
        <w:t>2</w:t>
      </w:r>
      <w:r w:rsidRPr="000E2377">
        <w:fldChar w:fldCharType="end"/>
      </w:r>
      <w:r w:rsidRPr="000E2377">
        <w:t xml:space="preserve">: </w:t>
      </w:r>
      <w:r w:rsidRPr="000E2377">
        <w:rPr>
          <w:szCs w:val="24"/>
        </w:rPr>
        <w:t>Casting glass into a preheated stainless steel mould</w:t>
      </w:r>
      <w:bookmarkEnd w:id="302"/>
      <w:bookmarkEnd w:id="303"/>
      <w:bookmarkEnd w:id="304"/>
      <w:bookmarkEnd w:id="305"/>
      <w:r w:rsidR="008E6A19">
        <w:rPr>
          <w:szCs w:val="24"/>
        </w:rPr>
        <w:t>.</w:t>
      </w:r>
    </w:p>
    <w:p w14:paraId="126F7FB2" w14:textId="77777777" w:rsidR="00D740DC" w:rsidRPr="000E2377" w:rsidRDefault="00D740DC" w:rsidP="00D740DC">
      <w:bookmarkStart w:id="307" w:name="_Toc515398721"/>
      <w:bookmarkEnd w:id="306"/>
    </w:p>
    <w:p w14:paraId="5A828250" w14:textId="77777777" w:rsidR="00D740DC" w:rsidRPr="000E2377" w:rsidRDefault="00D740DC" w:rsidP="00D740DC">
      <w:pPr>
        <w:keepNext/>
        <w:keepLines/>
        <w:spacing w:before="40" w:after="0" w:line="360" w:lineRule="auto"/>
        <w:jc w:val="both"/>
        <w:outlineLvl w:val="2"/>
        <w:rPr>
          <w:rFonts w:eastAsiaTheme="majorEastAsia" w:cstheme="majorBidi"/>
          <w:color w:val="000000" w:themeColor="text1"/>
          <w:szCs w:val="24"/>
        </w:rPr>
      </w:pPr>
      <w:bookmarkStart w:id="308" w:name="_Toc523402894"/>
      <w:bookmarkStart w:id="309" w:name="_Toc525526405"/>
      <w:bookmarkStart w:id="310" w:name="_Toc525707822"/>
      <w:bookmarkStart w:id="311" w:name="_Toc525742487"/>
      <w:bookmarkStart w:id="312" w:name="_Toc12994954"/>
      <w:r w:rsidRPr="000E2377">
        <w:rPr>
          <w:rFonts w:eastAsiaTheme="majorEastAsia" w:cstheme="majorBidi"/>
          <w:color w:val="000000" w:themeColor="text1"/>
          <w:szCs w:val="24"/>
        </w:rPr>
        <w:t>3.3 Sample preparation</w:t>
      </w:r>
      <w:bookmarkEnd w:id="307"/>
      <w:bookmarkEnd w:id="308"/>
      <w:bookmarkEnd w:id="309"/>
      <w:bookmarkEnd w:id="310"/>
      <w:bookmarkEnd w:id="311"/>
      <w:bookmarkEnd w:id="312"/>
    </w:p>
    <w:p w14:paraId="5BCE2F2C" w14:textId="77777777" w:rsidR="00D740DC" w:rsidRPr="000E2377" w:rsidRDefault="00D740DC" w:rsidP="00D740DC">
      <w:pPr>
        <w:keepNext/>
        <w:keepLines/>
        <w:spacing w:before="40" w:after="0" w:line="360" w:lineRule="auto"/>
        <w:outlineLvl w:val="3"/>
        <w:rPr>
          <w:rFonts w:eastAsia="Calibri" w:cstheme="majorBidi"/>
          <w:iCs/>
          <w:color w:val="000000" w:themeColor="text1"/>
          <w:lang w:eastAsia="tr-TR"/>
        </w:rPr>
      </w:pPr>
      <w:bookmarkStart w:id="313" w:name="_Toc523402895"/>
      <w:bookmarkStart w:id="314" w:name="_Toc525526406"/>
      <w:bookmarkStart w:id="315" w:name="_Toc525707823"/>
      <w:bookmarkStart w:id="316" w:name="_Toc525742488"/>
      <w:r w:rsidRPr="000E2377">
        <w:rPr>
          <w:rFonts w:eastAsia="Calibri" w:cstheme="majorBidi"/>
          <w:iCs/>
          <w:color w:val="000000" w:themeColor="text1"/>
          <w:lang w:eastAsia="tr-TR"/>
        </w:rPr>
        <w:t>3.3.1 Sectioning and crushing</w:t>
      </w:r>
      <w:bookmarkEnd w:id="313"/>
      <w:bookmarkEnd w:id="314"/>
      <w:bookmarkEnd w:id="315"/>
      <w:bookmarkEnd w:id="316"/>
    </w:p>
    <w:p w14:paraId="0FF48B58" w14:textId="66569244" w:rsidR="00D740DC" w:rsidRPr="000E2377" w:rsidRDefault="00D740DC" w:rsidP="00D740DC">
      <w:pPr>
        <w:spacing w:line="360" w:lineRule="auto"/>
        <w:jc w:val="both"/>
        <w:rPr>
          <w:b w:val="0"/>
          <w:szCs w:val="24"/>
        </w:rPr>
      </w:pPr>
      <w:r w:rsidRPr="000E2377">
        <w:rPr>
          <w:b w:val="0"/>
          <w:szCs w:val="24"/>
        </w:rPr>
        <w:t xml:space="preserve">Samples were prepared in two forms, bulk and powder. For bulk samples, 2 specific sizes of </w:t>
      </w:r>
      <w:r w:rsidR="00284CC3">
        <w:rPr>
          <w:b w:val="0"/>
          <w:szCs w:val="24"/>
        </w:rPr>
        <w:t xml:space="preserve">the </w:t>
      </w:r>
      <w:r w:rsidRPr="000E2377">
        <w:rPr>
          <w:b w:val="0"/>
          <w:szCs w:val="24"/>
        </w:rPr>
        <w:t>sample were used: ~20 x 20 x (5-10) mm for hardness and modulus testing, and ~45 x 35 x 40 mm for bend testing. Samples were cut to size using a S</w:t>
      </w:r>
      <w:r>
        <w:rPr>
          <w:b w:val="0"/>
          <w:szCs w:val="24"/>
        </w:rPr>
        <w:t>e</w:t>
      </w:r>
      <w:r w:rsidRPr="000E2377">
        <w:rPr>
          <w:b w:val="0"/>
          <w:szCs w:val="24"/>
        </w:rPr>
        <w:t>cotom-50</w:t>
      </w:r>
      <w:r>
        <w:rPr>
          <w:b w:val="0"/>
          <w:szCs w:val="24"/>
        </w:rPr>
        <w:t xml:space="preserve"> from </w:t>
      </w:r>
      <w:proofErr w:type="spellStart"/>
      <w:r>
        <w:rPr>
          <w:b w:val="0"/>
          <w:szCs w:val="24"/>
        </w:rPr>
        <w:t>Struers</w:t>
      </w:r>
      <w:proofErr w:type="spellEnd"/>
      <w:r w:rsidRPr="000E2377">
        <w:rPr>
          <w:b w:val="0"/>
          <w:szCs w:val="24"/>
        </w:rPr>
        <w:t>. For powder samples, the glass</w:t>
      </w:r>
      <w:r>
        <w:rPr>
          <w:b w:val="0"/>
          <w:szCs w:val="24"/>
        </w:rPr>
        <w:t>es</w:t>
      </w:r>
      <w:r w:rsidRPr="000E2377">
        <w:rPr>
          <w:b w:val="0"/>
          <w:szCs w:val="24"/>
        </w:rPr>
        <w:t xml:space="preserve"> were crushed using </w:t>
      </w:r>
      <w:r>
        <w:rPr>
          <w:b w:val="0"/>
          <w:szCs w:val="24"/>
        </w:rPr>
        <w:t xml:space="preserve">a </w:t>
      </w:r>
      <w:r w:rsidRPr="000E2377">
        <w:rPr>
          <w:b w:val="0"/>
          <w:szCs w:val="24"/>
        </w:rPr>
        <w:t xml:space="preserve">percussion mortar then sieved between two sizes, &lt;150 µm and &lt;75 µm. </w:t>
      </w:r>
    </w:p>
    <w:p w14:paraId="33927913" w14:textId="77777777" w:rsidR="00D740DC" w:rsidRPr="000E2377" w:rsidRDefault="00D740DC" w:rsidP="00D740DC">
      <w:pPr>
        <w:keepNext/>
        <w:keepLines/>
        <w:numPr>
          <w:ilvl w:val="2"/>
          <w:numId w:val="1"/>
        </w:numPr>
        <w:spacing w:before="40" w:after="0" w:line="360" w:lineRule="auto"/>
        <w:outlineLvl w:val="2"/>
        <w:rPr>
          <w:rFonts w:eastAsiaTheme="majorEastAsia" w:cstheme="majorBidi"/>
          <w:vanish/>
          <w:color w:val="000000" w:themeColor="text1"/>
          <w:szCs w:val="24"/>
        </w:rPr>
      </w:pPr>
      <w:bookmarkStart w:id="317" w:name="_Toc515398722"/>
      <w:bookmarkStart w:id="318" w:name="_Toc523153574"/>
      <w:bookmarkStart w:id="319" w:name="_Toc523402896"/>
      <w:bookmarkStart w:id="320" w:name="_Toc525222365"/>
      <w:bookmarkStart w:id="321" w:name="_Toc525526407"/>
      <w:bookmarkStart w:id="322" w:name="_Toc525703733"/>
      <w:bookmarkStart w:id="323" w:name="_Toc525707535"/>
      <w:bookmarkStart w:id="324" w:name="_Toc525707824"/>
      <w:bookmarkStart w:id="325" w:name="_Toc525742489"/>
      <w:bookmarkStart w:id="326" w:name="_Toc10983090"/>
      <w:bookmarkStart w:id="327" w:name="_Toc12994955"/>
      <w:bookmarkEnd w:id="317"/>
      <w:bookmarkEnd w:id="318"/>
      <w:bookmarkEnd w:id="319"/>
      <w:bookmarkEnd w:id="320"/>
      <w:bookmarkEnd w:id="321"/>
      <w:bookmarkEnd w:id="322"/>
      <w:bookmarkEnd w:id="323"/>
      <w:bookmarkEnd w:id="324"/>
      <w:bookmarkEnd w:id="325"/>
      <w:bookmarkEnd w:id="326"/>
      <w:bookmarkEnd w:id="327"/>
    </w:p>
    <w:p w14:paraId="153B9A08" w14:textId="77777777" w:rsidR="00D740DC" w:rsidRPr="000E2377" w:rsidRDefault="00D740DC" w:rsidP="00D740DC">
      <w:pPr>
        <w:keepNext/>
        <w:keepLines/>
        <w:numPr>
          <w:ilvl w:val="3"/>
          <w:numId w:val="1"/>
        </w:numPr>
        <w:spacing w:before="40" w:after="0" w:line="360" w:lineRule="auto"/>
        <w:outlineLvl w:val="3"/>
        <w:rPr>
          <w:rFonts w:eastAsiaTheme="majorEastAsia" w:cstheme="majorBidi"/>
          <w:iCs/>
          <w:vanish/>
          <w:color w:val="000000" w:themeColor="text1"/>
        </w:rPr>
      </w:pPr>
      <w:bookmarkStart w:id="328" w:name="_Toc523153575"/>
      <w:bookmarkStart w:id="329" w:name="_Toc523402793"/>
      <w:bookmarkStart w:id="330" w:name="_Toc523402897"/>
      <w:bookmarkStart w:id="331" w:name="_Toc525222366"/>
      <w:bookmarkStart w:id="332" w:name="_Toc525526408"/>
      <w:bookmarkStart w:id="333" w:name="_Toc525703734"/>
      <w:bookmarkStart w:id="334" w:name="_Toc525707536"/>
      <w:bookmarkStart w:id="335" w:name="_Toc525707825"/>
      <w:bookmarkStart w:id="336" w:name="_Toc525742490"/>
      <w:bookmarkEnd w:id="328"/>
      <w:bookmarkEnd w:id="329"/>
      <w:bookmarkEnd w:id="330"/>
      <w:bookmarkEnd w:id="331"/>
      <w:bookmarkEnd w:id="332"/>
      <w:bookmarkEnd w:id="333"/>
      <w:bookmarkEnd w:id="334"/>
      <w:bookmarkEnd w:id="335"/>
      <w:bookmarkEnd w:id="336"/>
    </w:p>
    <w:p w14:paraId="2A90ED5D" w14:textId="77777777" w:rsidR="00D740DC" w:rsidRPr="000E2377" w:rsidRDefault="00D740DC" w:rsidP="00D740DC">
      <w:pPr>
        <w:keepNext/>
        <w:keepLines/>
        <w:spacing w:before="40" w:after="0" w:line="360" w:lineRule="auto"/>
        <w:outlineLvl w:val="3"/>
        <w:rPr>
          <w:rFonts w:eastAsia="Calibri" w:cstheme="majorBidi"/>
          <w:iCs/>
          <w:color w:val="000000" w:themeColor="text1"/>
          <w:lang w:eastAsia="tr-TR"/>
        </w:rPr>
      </w:pPr>
      <w:bookmarkStart w:id="337" w:name="_Toc523402898"/>
      <w:bookmarkStart w:id="338" w:name="_Toc525526409"/>
      <w:bookmarkStart w:id="339" w:name="_Toc525707826"/>
      <w:bookmarkStart w:id="340" w:name="_Toc525742491"/>
      <w:r w:rsidRPr="000E2377">
        <w:rPr>
          <w:rFonts w:eastAsia="Calibri" w:cstheme="majorBidi"/>
          <w:iCs/>
          <w:color w:val="000000" w:themeColor="text1"/>
          <w:lang w:eastAsia="tr-TR"/>
        </w:rPr>
        <w:t>3.3.2 Grinding and polishing</w:t>
      </w:r>
      <w:bookmarkEnd w:id="337"/>
      <w:bookmarkEnd w:id="338"/>
      <w:bookmarkEnd w:id="339"/>
      <w:bookmarkEnd w:id="340"/>
    </w:p>
    <w:p w14:paraId="14EED511" w14:textId="2F81A1E2" w:rsidR="00D740DC" w:rsidRPr="000E2377" w:rsidRDefault="00D740DC" w:rsidP="00D740DC">
      <w:pPr>
        <w:spacing w:line="360" w:lineRule="auto"/>
        <w:jc w:val="both"/>
        <w:rPr>
          <w:rFonts w:eastAsia="Times New Roman" w:cs="Times New Roman"/>
          <w:b w:val="0"/>
          <w:szCs w:val="24"/>
          <w:lang w:eastAsia="tr-TR"/>
        </w:rPr>
      </w:pPr>
      <w:r w:rsidRPr="000E2377">
        <w:rPr>
          <w:rFonts w:cs="Times New Roman"/>
          <w:b w:val="0"/>
          <w:szCs w:val="24"/>
        </w:rPr>
        <w:t>For hardness measurements</w:t>
      </w:r>
      <w:r w:rsidR="00284CC3">
        <w:rPr>
          <w:rFonts w:cs="Times New Roman"/>
          <w:b w:val="0"/>
          <w:szCs w:val="24"/>
        </w:rPr>
        <w:t>,</w:t>
      </w:r>
      <w:r w:rsidRPr="000E2377">
        <w:rPr>
          <w:rFonts w:cs="Times New Roman"/>
          <w:b w:val="0"/>
          <w:szCs w:val="24"/>
        </w:rPr>
        <w:t xml:space="preserve"> the </w:t>
      </w:r>
      <w:r>
        <w:rPr>
          <w:rFonts w:cs="Times New Roman"/>
          <w:b w:val="0"/>
          <w:szCs w:val="24"/>
        </w:rPr>
        <w:t xml:space="preserve">sectioned </w:t>
      </w:r>
      <w:r w:rsidRPr="000E2377">
        <w:rPr>
          <w:rFonts w:cs="Times New Roman"/>
          <w:b w:val="0"/>
          <w:szCs w:val="24"/>
        </w:rPr>
        <w:t xml:space="preserve">glasses were ground using </w:t>
      </w:r>
      <w:proofErr w:type="spellStart"/>
      <w:r w:rsidRPr="000E2377">
        <w:rPr>
          <w:rFonts w:cs="Times New Roman"/>
          <w:b w:val="0"/>
          <w:szCs w:val="24"/>
        </w:rPr>
        <w:t>MetPrep</w:t>
      </w:r>
      <w:proofErr w:type="spellEnd"/>
      <w:r w:rsidRPr="000E2377">
        <w:rPr>
          <w:rFonts w:cs="Times New Roman"/>
          <w:b w:val="0"/>
          <w:szCs w:val="24"/>
        </w:rPr>
        <w:t xml:space="preserve"> 120, 240, 400, 600, 800 and 1200 </w:t>
      </w:r>
      <w:proofErr w:type="spellStart"/>
      <w:r w:rsidRPr="000E2377">
        <w:rPr>
          <w:rFonts w:cs="Times New Roman"/>
          <w:b w:val="0"/>
          <w:szCs w:val="24"/>
        </w:rPr>
        <w:t>SiC</w:t>
      </w:r>
      <w:proofErr w:type="spellEnd"/>
      <w:r w:rsidRPr="000E2377">
        <w:rPr>
          <w:rFonts w:cs="Times New Roman"/>
          <w:b w:val="0"/>
          <w:szCs w:val="24"/>
        </w:rPr>
        <w:t xml:space="preserve"> grit papers and then polished using oil based </w:t>
      </w:r>
      <w:r w:rsidRPr="000E2377">
        <w:rPr>
          <w:rFonts w:eastAsia="Times New Roman" w:cs="Times New Roman"/>
          <w:b w:val="0"/>
          <w:szCs w:val="24"/>
          <w:lang w:eastAsia="tr-TR"/>
        </w:rPr>
        <w:t xml:space="preserve">6 </w:t>
      </w:r>
      <w:proofErr w:type="spellStart"/>
      <w:r w:rsidRPr="000E2377">
        <w:rPr>
          <w:rFonts w:eastAsia="Times New Roman" w:cs="Times New Roman"/>
          <w:b w:val="0"/>
          <w:szCs w:val="24"/>
          <w:lang w:eastAsia="tr-TR"/>
        </w:rPr>
        <w:t>μm</w:t>
      </w:r>
      <w:proofErr w:type="spellEnd"/>
      <w:r w:rsidRPr="000E2377">
        <w:rPr>
          <w:rFonts w:eastAsia="Times New Roman" w:cs="Times New Roman"/>
          <w:b w:val="0"/>
          <w:szCs w:val="24"/>
          <w:lang w:eastAsia="tr-TR"/>
        </w:rPr>
        <w:t xml:space="preserve">, 3 </w:t>
      </w:r>
      <w:proofErr w:type="spellStart"/>
      <w:r w:rsidRPr="000E2377">
        <w:rPr>
          <w:rFonts w:eastAsia="Times New Roman" w:cs="Times New Roman"/>
          <w:b w:val="0"/>
          <w:szCs w:val="24"/>
          <w:lang w:eastAsia="tr-TR"/>
        </w:rPr>
        <w:t>μm</w:t>
      </w:r>
      <w:proofErr w:type="spellEnd"/>
      <w:r w:rsidRPr="000E2377">
        <w:rPr>
          <w:rFonts w:eastAsia="Times New Roman" w:cs="Times New Roman"/>
          <w:b w:val="0"/>
          <w:szCs w:val="24"/>
          <w:lang w:eastAsia="tr-TR"/>
        </w:rPr>
        <w:t xml:space="preserve"> and 1 </w:t>
      </w:r>
      <w:proofErr w:type="spellStart"/>
      <w:r w:rsidRPr="000E2377">
        <w:rPr>
          <w:rFonts w:eastAsia="Times New Roman" w:cs="Times New Roman"/>
          <w:b w:val="0"/>
          <w:szCs w:val="24"/>
          <w:lang w:eastAsia="tr-TR"/>
        </w:rPr>
        <w:t>μm</w:t>
      </w:r>
      <w:proofErr w:type="spellEnd"/>
      <w:r w:rsidRPr="000E2377">
        <w:rPr>
          <w:rFonts w:eastAsia="Times New Roman" w:cs="Times New Roman"/>
          <w:b w:val="0"/>
          <w:szCs w:val="24"/>
          <w:lang w:eastAsia="tr-TR"/>
        </w:rPr>
        <w:t xml:space="preserve"> monocrystalline diamond suspensions to obtain a mirror</w:t>
      </w:r>
      <w:r w:rsidR="00284CC3">
        <w:rPr>
          <w:rFonts w:eastAsia="Times New Roman" w:cs="Times New Roman"/>
          <w:b w:val="0"/>
          <w:szCs w:val="24"/>
          <w:lang w:eastAsia="tr-TR"/>
        </w:rPr>
        <w:t>-</w:t>
      </w:r>
      <w:r w:rsidRPr="000E2377">
        <w:rPr>
          <w:rFonts w:eastAsia="Times New Roman" w:cs="Times New Roman"/>
          <w:b w:val="0"/>
          <w:szCs w:val="24"/>
          <w:lang w:eastAsia="tr-TR"/>
        </w:rPr>
        <w:t xml:space="preserve">like finish at the end of polishing. To release the residual stress after grinding and polishing, glass samples were </w:t>
      </w:r>
      <w:r>
        <w:rPr>
          <w:rFonts w:eastAsia="Times New Roman" w:cs="Times New Roman"/>
          <w:b w:val="0"/>
          <w:szCs w:val="24"/>
          <w:lang w:eastAsia="tr-TR"/>
        </w:rPr>
        <w:t>re-</w:t>
      </w:r>
      <w:r w:rsidRPr="000E2377">
        <w:rPr>
          <w:rFonts w:eastAsia="Times New Roman" w:cs="Times New Roman"/>
          <w:b w:val="0"/>
          <w:szCs w:val="24"/>
          <w:lang w:eastAsia="tr-TR"/>
        </w:rPr>
        <w:t>annealed at their glass transition temperature for 1 hour then cooled to room temperature at 1</w:t>
      </w:r>
      <w:r>
        <w:rPr>
          <w:rFonts w:eastAsia="Times New Roman" w:cs="Times New Roman"/>
          <w:b w:val="0"/>
          <w:szCs w:val="24"/>
          <w:lang w:eastAsia="tr-TR"/>
        </w:rPr>
        <w:t xml:space="preserve"> </w:t>
      </w:r>
      <w:r w:rsidRPr="000E2377">
        <w:rPr>
          <w:rFonts w:eastAsia="Times New Roman" w:cs="Times New Roman"/>
          <w:b w:val="0"/>
          <w:szCs w:val="24"/>
          <w:lang w:eastAsia="tr-TR"/>
        </w:rPr>
        <w:t xml:space="preserve">°C/min (see </w:t>
      </w:r>
      <w:r>
        <w:rPr>
          <w:rFonts w:eastAsia="Times New Roman" w:cs="Times New Roman"/>
          <w:b w:val="0"/>
          <w:szCs w:val="24"/>
          <w:lang w:eastAsia="tr-TR"/>
        </w:rPr>
        <w:t>T</w:t>
      </w:r>
      <w:r w:rsidRPr="000E2377">
        <w:rPr>
          <w:rFonts w:eastAsia="Times New Roman" w:cs="Times New Roman"/>
          <w:b w:val="0"/>
          <w:szCs w:val="24"/>
          <w:lang w:eastAsia="tr-TR"/>
        </w:rPr>
        <w:t xml:space="preserve">able 3.2). A polariscope was used to check the residual stresses had been fully removed after re-annealing. </w:t>
      </w:r>
    </w:p>
    <w:p w14:paraId="29709D35" w14:textId="77777777" w:rsidR="00D740DC" w:rsidRPr="000E2377" w:rsidRDefault="00D740DC" w:rsidP="00D740DC">
      <w:pPr>
        <w:keepNext/>
        <w:keepLines/>
        <w:spacing w:before="40" w:after="0" w:line="360" w:lineRule="auto"/>
        <w:jc w:val="both"/>
        <w:outlineLvl w:val="2"/>
        <w:rPr>
          <w:rFonts w:eastAsiaTheme="majorEastAsia" w:cstheme="majorBidi"/>
          <w:color w:val="000000" w:themeColor="text1"/>
          <w:szCs w:val="24"/>
        </w:rPr>
      </w:pPr>
      <w:bookmarkStart w:id="341" w:name="_Toc515398723"/>
      <w:bookmarkStart w:id="342" w:name="_Toc523402899"/>
      <w:bookmarkStart w:id="343" w:name="_Toc525526410"/>
      <w:bookmarkStart w:id="344" w:name="_Toc525707827"/>
      <w:bookmarkStart w:id="345" w:name="_Toc525742492"/>
      <w:bookmarkStart w:id="346" w:name="_Toc12994956"/>
      <w:r w:rsidRPr="000E2377">
        <w:rPr>
          <w:rFonts w:eastAsiaTheme="majorEastAsia" w:cstheme="majorBidi"/>
          <w:color w:val="000000" w:themeColor="text1"/>
          <w:szCs w:val="24"/>
        </w:rPr>
        <w:lastRenderedPageBreak/>
        <w:t>3.4 Chemical and physical measurement</w:t>
      </w:r>
      <w:bookmarkEnd w:id="341"/>
      <w:bookmarkEnd w:id="342"/>
      <w:bookmarkEnd w:id="343"/>
      <w:bookmarkEnd w:id="344"/>
      <w:bookmarkEnd w:id="345"/>
      <w:bookmarkEnd w:id="346"/>
    </w:p>
    <w:p w14:paraId="604BBE4A" w14:textId="77777777" w:rsidR="00D740DC" w:rsidRPr="000E2377" w:rsidRDefault="00D740DC" w:rsidP="00D740DC">
      <w:pPr>
        <w:keepNext/>
        <w:keepLines/>
        <w:spacing w:before="40" w:after="0" w:line="360" w:lineRule="auto"/>
        <w:outlineLvl w:val="3"/>
        <w:rPr>
          <w:rFonts w:eastAsia="Calibri" w:cstheme="majorBidi"/>
          <w:iCs/>
          <w:color w:val="000000" w:themeColor="text1"/>
          <w:lang w:eastAsia="tr-TR"/>
        </w:rPr>
      </w:pPr>
      <w:bookmarkStart w:id="347" w:name="_Toc523402900"/>
      <w:bookmarkStart w:id="348" w:name="_Toc525526411"/>
      <w:bookmarkStart w:id="349" w:name="_Toc525707828"/>
      <w:bookmarkStart w:id="350" w:name="_Toc525742493"/>
      <w:r w:rsidRPr="000E2377">
        <w:rPr>
          <w:rFonts w:eastAsia="Calibri" w:cstheme="majorBidi"/>
          <w:iCs/>
          <w:color w:val="000000" w:themeColor="text1"/>
          <w:lang w:eastAsia="tr-TR"/>
        </w:rPr>
        <w:t>3.4.1 Density</w:t>
      </w:r>
      <w:bookmarkEnd w:id="347"/>
      <w:bookmarkEnd w:id="348"/>
      <w:bookmarkEnd w:id="349"/>
      <w:bookmarkEnd w:id="350"/>
    </w:p>
    <w:p w14:paraId="54CFF406" w14:textId="3F88B9A5" w:rsidR="00D740DC" w:rsidRPr="000E2377" w:rsidRDefault="00D740DC" w:rsidP="00D740DC">
      <w:pPr>
        <w:spacing w:line="360" w:lineRule="auto"/>
        <w:jc w:val="both"/>
        <w:rPr>
          <w:rFonts w:cs="Times New Roman"/>
          <w:b w:val="0"/>
          <w:szCs w:val="24"/>
        </w:rPr>
      </w:pPr>
      <w:bookmarkStart w:id="351" w:name="_Toc450436557"/>
      <w:r w:rsidRPr="000E2377">
        <w:rPr>
          <w:rFonts w:cs="Times New Roman"/>
          <w:b w:val="0"/>
          <w:szCs w:val="24"/>
        </w:rPr>
        <w:t xml:space="preserve">The densities were determined using a pycnometer (Micromeritics </w:t>
      </w:r>
      <w:proofErr w:type="spellStart"/>
      <w:r w:rsidRPr="000E2377">
        <w:rPr>
          <w:rFonts w:cs="Times New Roman"/>
          <w:b w:val="0"/>
          <w:szCs w:val="24"/>
        </w:rPr>
        <w:t>AccuPyc</w:t>
      </w:r>
      <w:proofErr w:type="spellEnd"/>
      <w:r w:rsidRPr="000E2377">
        <w:rPr>
          <w:rFonts w:cs="Times New Roman"/>
          <w:b w:val="0"/>
          <w:szCs w:val="24"/>
        </w:rPr>
        <w:t xml:space="preserve"> 1340) which uses a gas displacement technique for accurate volume measurement. Helium gas at 12 psi was used as the displacement medium to remove water and volatiles by filling the pores. ~5 g of glass powder (&lt;75 µm) were inserted into the 1 cm</w:t>
      </w:r>
      <w:r w:rsidRPr="000E2377">
        <w:rPr>
          <w:rFonts w:cs="Times New Roman"/>
          <w:b w:val="0"/>
          <w:szCs w:val="24"/>
          <w:vertAlign w:val="superscript"/>
        </w:rPr>
        <w:t>3</w:t>
      </w:r>
      <w:r w:rsidRPr="000E2377">
        <w:rPr>
          <w:rFonts w:cs="Times New Roman"/>
          <w:b w:val="0"/>
          <w:szCs w:val="24"/>
        </w:rPr>
        <w:t xml:space="preserve"> cylinder steel</w:t>
      </w:r>
      <w:r>
        <w:rPr>
          <w:rFonts w:cs="Times New Roman"/>
          <w:b w:val="0"/>
          <w:szCs w:val="24"/>
        </w:rPr>
        <w:t>, with</w:t>
      </w:r>
      <w:r w:rsidRPr="000E2377">
        <w:rPr>
          <w:rFonts w:cs="Times New Roman"/>
          <w:b w:val="0"/>
          <w:szCs w:val="24"/>
        </w:rPr>
        <w:t xml:space="preserve"> 25 cycles of measurement </w:t>
      </w:r>
      <w:r>
        <w:rPr>
          <w:rFonts w:cs="Times New Roman"/>
          <w:b w:val="0"/>
          <w:szCs w:val="24"/>
        </w:rPr>
        <w:t>performed</w:t>
      </w:r>
      <w:r w:rsidRPr="000E2377">
        <w:rPr>
          <w:rFonts w:cs="Times New Roman"/>
          <w:b w:val="0"/>
          <w:szCs w:val="24"/>
        </w:rPr>
        <w:t xml:space="preserve"> to improve accuracy. The operating principle of this machine (Figure 3.3) is as follows: 1) the inert glass flows into the chamber (where the sample placed) when valve </w:t>
      </w:r>
      <w:r w:rsidRPr="000E2377">
        <w:rPr>
          <w:rFonts w:cs="Times New Roman"/>
          <w:szCs w:val="24"/>
        </w:rPr>
        <w:t>a</w:t>
      </w:r>
      <w:r w:rsidRPr="000E2377">
        <w:rPr>
          <w:rFonts w:cs="Times New Roman"/>
          <w:b w:val="0"/>
          <w:szCs w:val="24"/>
        </w:rPr>
        <w:t xml:space="preserve"> is opened; 2) equilibrium is reached with the pressure calculated when filling the sample chamber; 3) </w:t>
      </w:r>
      <w:r w:rsidRPr="000E2377">
        <w:rPr>
          <w:b w:val="0"/>
        </w:rPr>
        <w:t>solid phase</w:t>
      </w:r>
      <w:r w:rsidRPr="000E2377">
        <w:t xml:space="preserve"> </w:t>
      </w:r>
      <w:r w:rsidRPr="000E2377">
        <w:rPr>
          <w:rFonts w:cs="Times New Roman"/>
          <w:b w:val="0"/>
          <w:szCs w:val="24"/>
        </w:rPr>
        <w:t xml:space="preserve">volume measurement is made when the gas flows into the second chamber on opening valve </w:t>
      </w:r>
      <w:r w:rsidRPr="000E2377">
        <w:rPr>
          <w:rFonts w:cs="Times New Roman"/>
          <w:szCs w:val="24"/>
        </w:rPr>
        <w:t>b</w:t>
      </w:r>
      <w:r w:rsidRPr="000E2377">
        <w:rPr>
          <w:rFonts w:cs="Times New Roman"/>
          <w:b w:val="0"/>
          <w:szCs w:val="24"/>
        </w:rPr>
        <w:t xml:space="preserve">; 4) equilibrium is reached again and then 5) the density is determined from the sample weight divided by the measured volume.  The gas used is released to </w:t>
      </w:r>
      <w:r w:rsidR="00202044">
        <w:rPr>
          <w:rFonts w:cs="Times New Roman"/>
          <w:b w:val="0"/>
          <w:szCs w:val="24"/>
        </w:rPr>
        <w:t xml:space="preserve">the </w:t>
      </w:r>
      <w:r w:rsidRPr="000E2377">
        <w:rPr>
          <w:rFonts w:cs="Times New Roman"/>
          <w:b w:val="0"/>
          <w:szCs w:val="24"/>
        </w:rPr>
        <w:t xml:space="preserve">atmosphere when valve </w:t>
      </w:r>
      <w:r w:rsidRPr="000E2377">
        <w:rPr>
          <w:rFonts w:cs="Times New Roman"/>
          <w:szCs w:val="24"/>
        </w:rPr>
        <w:t>c</w:t>
      </w:r>
      <w:r w:rsidRPr="000E2377">
        <w:rPr>
          <w:rFonts w:cs="Times New Roman"/>
          <w:b w:val="0"/>
          <w:szCs w:val="24"/>
        </w:rPr>
        <w:t xml:space="preserve"> is opened.</w:t>
      </w:r>
      <w:bookmarkEnd w:id="351"/>
      <w:r w:rsidRPr="000E2377">
        <w:rPr>
          <w:rFonts w:cs="Times New Roman"/>
          <w:b w:val="0"/>
          <w:szCs w:val="24"/>
        </w:rPr>
        <w:t xml:space="preserve"> </w:t>
      </w:r>
    </w:p>
    <w:p w14:paraId="48D16D89" w14:textId="77777777" w:rsidR="00D740DC" w:rsidRPr="000E2377" w:rsidRDefault="00D740DC" w:rsidP="00D740DC">
      <w:pPr>
        <w:spacing w:line="360" w:lineRule="auto"/>
        <w:jc w:val="center"/>
        <w:rPr>
          <w:rFonts w:cs="Times New Roman"/>
          <w:szCs w:val="24"/>
        </w:rPr>
      </w:pPr>
      <w:r w:rsidRPr="000E2377">
        <w:rPr>
          <w:rFonts w:cs="Times New Roman"/>
          <w:noProof/>
          <w:szCs w:val="24"/>
          <w:lang w:eastAsia="en-MY"/>
        </w:rPr>
        <mc:AlternateContent>
          <mc:Choice Requires="wps">
            <w:drawing>
              <wp:anchor distT="0" distB="0" distL="114300" distR="114300" simplePos="0" relativeHeight="252220416" behindDoc="0" locked="0" layoutInCell="1" allowOverlap="1" wp14:anchorId="2EA6698B" wp14:editId="412BD56F">
                <wp:simplePos x="0" y="0"/>
                <wp:positionH relativeFrom="column">
                  <wp:posOffset>273050</wp:posOffset>
                </wp:positionH>
                <wp:positionV relativeFrom="paragraph">
                  <wp:posOffset>160655</wp:posOffset>
                </wp:positionV>
                <wp:extent cx="5129530" cy="1982470"/>
                <wp:effectExtent l="0" t="0" r="13970" b="17780"/>
                <wp:wrapNone/>
                <wp:docPr id="3" name="Text Box 3"/>
                <wp:cNvGraphicFramePr/>
                <a:graphic xmlns:a="http://schemas.openxmlformats.org/drawingml/2006/main">
                  <a:graphicData uri="http://schemas.microsoft.com/office/word/2010/wordprocessingShape">
                    <wps:wsp>
                      <wps:cNvSpPr txBox="1"/>
                      <wps:spPr>
                        <a:xfrm>
                          <a:off x="0" y="0"/>
                          <a:ext cx="5129530" cy="1982470"/>
                        </a:xfrm>
                        <a:prstGeom prst="rect">
                          <a:avLst/>
                        </a:prstGeom>
                        <a:solidFill>
                          <a:sysClr val="window" lastClr="FFFFFF"/>
                        </a:solidFill>
                        <a:ln w="6350">
                          <a:solidFill>
                            <a:prstClr val="black"/>
                          </a:solidFill>
                        </a:ln>
                        <a:effectLst/>
                      </wps:spPr>
                      <wps:txbx>
                        <w:txbxContent>
                          <w:p w14:paraId="73666037" w14:textId="77777777" w:rsidR="00230AB9" w:rsidRDefault="00230AB9" w:rsidP="00D740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6698B" id="Text Box 3" o:spid="_x0000_s1088" type="#_x0000_t202" style="position:absolute;left:0;text-align:left;margin-left:21.5pt;margin-top:12.65pt;width:403.9pt;height:156.1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" fillcolor="window" strokeweight=".5pt">
                <v:textbox>
                  <w:txbxContent>
                    <w:p w14:paraId="73666037" w14:textId="77777777" w:rsidR="00230AB9" w:rsidRDefault="00230AB9" w:rsidP="00D740DC"/>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32704" behindDoc="0" locked="0" layoutInCell="1" allowOverlap="1" wp14:anchorId="49A7D84B" wp14:editId="47218E56">
                <wp:simplePos x="0" y="0"/>
                <wp:positionH relativeFrom="column">
                  <wp:posOffset>2149434</wp:posOffset>
                </wp:positionH>
                <wp:positionV relativeFrom="paragraph">
                  <wp:posOffset>339098</wp:posOffset>
                </wp:positionV>
                <wp:extent cx="819397" cy="95003"/>
                <wp:effectExtent l="76200" t="38100" r="57150" b="114935"/>
                <wp:wrapNone/>
                <wp:docPr id="1128" name="Rounded Rectangle 1128"/>
                <wp:cNvGraphicFramePr/>
                <a:graphic xmlns:a="http://schemas.openxmlformats.org/drawingml/2006/main">
                  <a:graphicData uri="http://schemas.microsoft.com/office/word/2010/wordprocessingShape">
                    <wps:wsp>
                      <wps:cNvSpPr/>
                      <wps:spPr>
                        <a:xfrm>
                          <a:off x="0" y="0"/>
                          <a:ext cx="819397" cy="95003"/>
                        </a:xfrm>
                        <a:prstGeom prst="roundRect">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8A22C7E" id="Rounded Rectangle 1128" o:spid="_x0000_s1026" style="position:absolute;margin-left:169.25pt;margin-top:26.7pt;width:64.5pt;height:7.5pt;z-index:252232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" fillcolor="black" stroked="f">
                <v:fill color2="black" rotate="t" angle="180" focus="80%" type="gradient">
                  <o:fill v:ext="view" type="gradientUnscaled"/>
                </v:fill>
                <v:shadow on="t" color="black" opacity="22937f" origin=",.5" offset="0,.63889mm"/>
              </v:roundrect>
            </w:pict>
          </mc:Fallback>
        </mc:AlternateContent>
      </w:r>
    </w:p>
    <w:p w14:paraId="2563F511" w14:textId="77777777" w:rsidR="00D740DC" w:rsidRPr="000E2377" w:rsidRDefault="00D740DC" w:rsidP="00D740DC">
      <w:pPr>
        <w:spacing w:line="360" w:lineRule="auto"/>
        <w:jc w:val="both"/>
        <w:rPr>
          <w:rFonts w:cs="Times New Roman"/>
          <w:szCs w:val="24"/>
        </w:rPr>
      </w:pPr>
      <w:r w:rsidRPr="000E2377">
        <w:rPr>
          <w:rFonts w:cs="Times New Roman"/>
          <w:noProof/>
          <w:szCs w:val="24"/>
          <w:lang w:eastAsia="en-MY"/>
        </w:rPr>
        <mc:AlternateContent>
          <mc:Choice Requires="wps">
            <w:drawing>
              <wp:anchor distT="0" distB="0" distL="114300" distR="114300" simplePos="0" relativeHeight="252238848" behindDoc="0" locked="0" layoutInCell="1" allowOverlap="1" wp14:anchorId="6D5E51F4" wp14:editId="567B003D">
                <wp:simplePos x="0" y="0"/>
                <wp:positionH relativeFrom="column">
                  <wp:posOffset>3348768</wp:posOffset>
                </wp:positionH>
                <wp:positionV relativeFrom="paragraph">
                  <wp:posOffset>318011</wp:posOffset>
                </wp:positionV>
                <wp:extent cx="355600" cy="306070"/>
                <wp:effectExtent l="0" t="0" r="0" b="0"/>
                <wp:wrapNone/>
                <wp:docPr id="1134" name="Text Box 1134"/>
                <wp:cNvGraphicFramePr/>
                <a:graphic xmlns:a="http://schemas.openxmlformats.org/drawingml/2006/main">
                  <a:graphicData uri="http://schemas.microsoft.com/office/word/2010/wordprocessingShape">
                    <wps:wsp>
                      <wps:cNvSpPr txBox="1"/>
                      <wps:spPr>
                        <a:xfrm>
                          <a:off x="0" y="0"/>
                          <a:ext cx="355600" cy="306070"/>
                        </a:xfrm>
                        <a:prstGeom prst="rect">
                          <a:avLst/>
                        </a:prstGeom>
                        <a:noFill/>
                        <a:ln w="6350">
                          <a:noFill/>
                        </a:ln>
                        <a:effectLst/>
                      </wps:spPr>
                      <wps:txbx>
                        <w:txbxContent>
                          <w:p w14:paraId="69D91BE4" w14:textId="77777777" w:rsidR="00230AB9" w:rsidRPr="00010B6C" w:rsidRDefault="00230AB9" w:rsidP="00D740DC">
                            <w:pPr>
                              <w:rPr>
                                <w:b w:val="0"/>
                                <w:sz w:val="28"/>
                                <w:szCs w:val="28"/>
                              </w:rPr>
                            </w:pPr>
                            <w:r w:rsidRPr="00B11C97">
                              <w:rPr>
                                <w:sz w:val="28"/>
                                <w:szCs w:val="28"/>
                                <w:highlight w:val="lightGray"/>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5E51F4" id="Text Box 1134" o:spid="_x0000_s1089" type="#_x0000_t202" style="position:absolute;left:0;text-align:left;margin-left:263.7pt;margin-top:25.05pt;width:28pt;height:24.1pt;z-index:25223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" filled="f" stroked="f" strokeweight=".5pt">
                <v:textbox>
                  <w:txbxContent>
                    <w:p w14:paraId="69D91BE4" w14:textId="77777777" w:rsidR="00230AB9" w:rsidRPr="00010B6C" w:rsidRDefault="00230AB9" w:rsidP="00D740DC">
                      <w:pPr>
                        <w:rPr>
                          <w:b w:val="0"/>
                          <w:sz w:val="28"/>
                          <w:szCs w:val="28"/>
                        </w:rPr>
                      </w:pPr>
                      <w:r w:rsidRPr="00B11C97">
                        <w:rPr>
                          <w:sz w:val="28"/>
                          <w:szCs w:val="28"/>
                          <w:highlight w:val="lightGray"/>
                        </w:rPr>
                        <w:t>4</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36800" behindDoc="0" locked="0" layoutInCell="1" allowOverlap="1" wp14:anchorId="47C51514" wp14:editId="6EC66FD6">
                <wp:simplePos x="0" y="0"/>
                <wp:positionH relativeFrom="column">
                  <wp:posOffset>3098165</wp:posOffset>
                </wp:positionH>
                <wp:positionV relativeFrom="paragraph">
                  <wp:posOffset>327660</wp:posOffset>
                </wp:positionV>
                <wp:extent cx="391795" cy="320040"/>
                <wp:effectExtent l="0" t="0" r="0" b="3810"/>
                <wp:wrapNone/>
                <wp:docPr id="1132" name="Text Box 1132"/>
                <wp:cNvGraphicFramePr/>
                <a:graphic xmlns:a="http://schemas.openxmlformats.org/drawingml/2006/main">
                  <a:graphicData uri="http://schemas.microsoft.com/office/word/2010/wordprocessingShape">
                    <wps:wsp>
                      <wps:cNvSpPr txBox="1"/>
                      <wps:spPr>
                        <a:xfrm>
                          <a:off x="0" y="0"/>
                          <a:ext cx="391795" cy="320040"/>
                        </a:xfrm>
                        <a:prstGeom prst="rect">
                          <a:avLst/>
                        </a:prstGeom>
                        <a:noFill/>
                        <a:ln w="6350">
                          <a:noFill/>
                        </a:ln>
                        <a:effectLst/>
                      </wps:spPr>
                      <wps:txbx>
                        <w:txbxContent>
                          <w:p w14:paraId="00EA2545" w14:textId="77777777" w:rsidR="00230AB9" w:rsidRPr="00010B6C" w:rsidRDefault="00230AB9" w:rsidP="00D740DC">
                            <w:pPr>
                              <w:rPr>
                                <w:rFonts w:cs="Aharoni"/>
                                <w:b w:val="0"/>
                                <w:sz w:val="28"/>
                                <w:szCs w:val="28"/>
                              </w:rPr>
                            </w:pPr>
                            <w:r w:rsidRPr="00B11C97">
                              <w:rPr>
                                <w:rFonts w:cs="Aharoni"/>
                                <w:sz w:val="28"/>
                                <w:szCs w:val="28"/>
                                <w:highlight w:val="lightGray"/>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C51514" id="Text Box 1132" o:spid="_x0000_s1090" type="#_x0000_t202" style="position:absolute;left:0;text-align:left;margin-left:243.95pt;margin-top:25.8pt;width:30.85pt;height:25.2pt;z-index:25223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" filled="f" stroked="f" strokeweight=".5pt">
                <v:textbox>
                  <w:txbxContent>
                    <w:p w14:paraId="00EA2545" w14:textId="77777777" w:rsidR="00230AB9" w:rsidRPr="00010B6C" w:rsidRDefault="00230AB9" w:rsidP="00D740DC">
                      <w:pPr>
                        <w:rPr>
                          <w:rFonts w:cs="Aharoni"/>
                          <w:b w:val="0"/>
                          <w:sz w:val="28"/>
                          <w:szCs w:val="28"/>
                        </w:rPr>
                      </w:pPr>
                      <w:r w:rsidRPr="00B11C97">
                        <w:rPr>
                          <w:rFonts w:cs="Aharoni"/>
                          <w:sz w:val="28"/>
                          <w:szCs w:val="28"/>
                          <w:highlight w:val="lightGray"/>
                        </w:rPr>
                        <w:t>2</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39872" behindDoc="0" locked="0" layoutInCell="1" allowOverlap="1" wp14:anchorId="4DBD6133" wp14:editId="7546B020">
                <wp:simplePos x="0" y="0"/>
                <wp:positionH relativeFrom="column">
                  <wp:posOffset>4868883</wp:posOffset>
                </wp:positionH>
                <wp:positionV relativeFrom="paragraph">
                  <wp:posOffset>362849</wp:posOffset>
                </wp:positionV>
                <wp:extent cx="403761" cy="308165"/>
                <wp:effectExtent l="0" t="0" r="0" b="0"/>
                <wp:wrapNone/>
                <wp:docPr id="1135" name="Text Box 1135"/>
                <wp:cNvGraphicFramePr/>
                <a:graphic xmlns:a="http://schemas.openxmlformats.org/drawingml/2006/main">
                  <a:graphicData uri="http://schemas.microsoft.com/office/word/2010/wordprocessingShape">
                    <wps:wsp>
                      <wps:cNvSpPr txBox="1"/>
                      <wps:spPr>
                        <a:xfrm>
                          <a:off x="0" y="0"/>
                          <a:ext cx="403761" cy="308165"/>
                        </a:xfrm>
                        <a:prstGeom prst="rect">
                          <a:avLst/>
                        </a:prstGeom>
                        <a:noFill/>
                        <a:ln w="6350">
                          <a:noFill/>
                        </a:ln>
                        <a:effectLst/>
                      </wps:spPr>
                      <wps:txbx>
                        <w:txbxContent>
                          <w:p w14:paraId="0CCE4490" w14:textId="77777777" w:rsidR="00230AB9" w:rsidRPr="00010B6C" w:rsidRDefault="00230AB9" w:rsidP="00D740DC">
                            <w:pPr>
                              <w:rPr>
                                <w:b w:val="0"/>
                                <w:sz w:val="28"/>
                                <w:szCs w:val="28"/>
                              </w:rPr>
                            </w:pPr>
                            <w:r w:rsidRPr="00B11C97">
                              <w:rPr>
                                <w:sz w:val="28"/>
                                <w:szCs w:val="28"/>
                                <w:highlight w:val="lightGray"/>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BD6133" id="Text Box 1135" o:spid="_x0000_s1091" type="#_x0000_t202" style="position:absolute;left:0;text-align:left;margin-left:383.4pt;margin-top:28.55pt;width:31.8pt;height:24.25pt;z-index:25223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" filled="f" stroked="f" strokeweight=".5pt">
                <v:textbox>
                  <w:txbxContent>
                    <w:p w14:paraId="0CCE4490" w14:textId="77777777" w:rsidR="00230AB9" w:rsidRPr="00010B6C" w:rsidRDefault="00230AB9" w:rsidP="00D740DC">
                      <w:pPr>
                        <w:rPr>
                          <w:b w:val="0"/>
                          <w:sz w:val="28"/>
                          <w:szCs w:val="28"/>
                        </w:rPr>
                      </w:pPr>
                      <w:r w:rsidRPr="00B11C97">
                        <w:rPr>
                          <w:sz w:val="28"/>
                          <w:szCs w:val="28"/>
                          <w:highlight w:val="lightGray"/>
                        </w:rPr>
                        <w:t>5</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37824" behindDoc="0" locked="0" layoutInCell="1" allowOverlap="1" wp14:anchorId="33DFAA38" wp14:editId="26920415">
                <wp:simplePos x="0" y="0"/>
                <wp:positionH relativeFrom="column">
                  <wp:posOffset>3728192</wp:posOffset>
                </wp:positionH>
                <wp:positionV relativeFrom="paragraph">
                  <wp:posOffset>350974</wp:posOffset>
                </wp:positionV>
                <wp:extent cx="511068" cy="436880"/>
                <wp:effectExtent l="0" t="0" r="0" b="1270"/>
                <wp:wrapNone/>
                <wp:docPr id="1133" name="Text Box 1133"/>
                <wp:cNvGraphicFramePr/>
                <a:graphic xmlns:a="http://schemas.openxmlformats.org/drawingml/2006/main">
                  <a:graphicData uri="http://schemas.microsoft.com/office/word/2010/wordprocessingShape">
                    <wps:wsp>
                      <wps:cNvSpPr txBox="1"/>
                      <wps:spPr>
                        <a:xfrm>
                          <a:off x="0" y="0"/>
                          <a:ext cx="511068" cy="436880"/>
                        </a:xfrm>
                        <a:prstGeom prst="rect">
                          <a:avLst/>
                        </a:prstGeom>
                        <a:noFill/>
                        <a:ln w="6350">
                          <a:noFill/>
                        </a:ln>
                        <a:effectLst/>
                      </wps:spPr>
                      <wps:txbx>
                        <w:txbxContent>
                          <w:p w14:paraId="1FB93156" w14:textId="77777777" w:rsidR="00230AB9" w:rsidRPr="00010B6C" w:rsidRDefault="00230AB9" w:rsidP="00D740DC">
                            <w:pPr>
                              <w:rPr>
                                <w:b w:val="0"/>
                                <w:sz w:val="28"/>
                                <w:szCs w:val="28"/>
                              </w:rPr>
                            </w:pPr>
                            <w:r w:rsidRPr="00B11C97">
                              <w:rPr>
                                <w:sz w:val="28"/>
                                <w:szCs w:val="28"/>
                                <w:highlight w:val="lightGray"/>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DFAA38" id="Text Box 1133" o:spid="_x0000_s1092" type="#_x0000_t202" style="position:absolute;left:0;text-align:left;margin-left:293.55pt;margin-top:27.65pt;width:40.25pt;height:34.4pt;z-index:252237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" filled="f" stroked="f" strokeweight=".5pt">
                <v:textbox>
                  <w:txbxContent>
                    <w:p w14:paraId="1FB93156" w14:textId="77777777" w:rsidR="00230AB9" w:rsidRPr="00010B6C" w:rsidRDefault="00230AB9" w:rsidP="00D740DC">
                      <w:pPr>
                        <w:rPr>
                          <w:b w:val="0"/>
                          <w:sz w:val="28"/>
                          <w:szCs w:val="28"/>
                        </w:rPr>
                      </w:pPr>
                      <w:r w:rsidRPr="00B11C97">
                        <w:rPr>
                          <w:sz w:val="28"/>
                          <w:szCs w:val="28"/>
                          <w:highlight w:val="lightGray"/>
                        </w:rPr>
                        <w:t>3</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31680" behindDoc="0" locked="0" layoutInCell="1" allowOverlap="1" wp14:anchorId="4AB35605" wp14:editId="5CF7E717">
                <wp:simplePos x="0" y="0"/>
                <wp:positionH relativeFrom="column">
                  <wp:posOffset>2375064</wp:posOffset>
                </wp:positionH>
                <wp:positionV relativeFrom="paragraph">
                  <wp:posOffset>44211</wp:posOffset>
                </wp:positionV>
                <wp:extent cx="427033" cy="83127"/>
                <wp:effectExtent l="76200" t="38100" r="68580" b="107950"/>
                <wp:wrapNone/>
                <wp:docPr id="1126" name="Rectangle 1126"/>
                <wp:cNvGraphicFramePr/>
                <a:graphic xmlns:a="http://schemas.openxmlformats.org/drawingml/2006/main">
                  <a:graphicData uri="http://schemas.microsoft.com/office/word/2010/wordprocessingShape">
                    <wps:wsp>
                      <wps:cNvSpPr/>
                      <wps:spPr>
                        <a:xfrm>
                          <a:off x="0" y="0"/>
                          <a:ext cx="427033" cy="83127"/>
                        </a:xfrm>
                        <a:prstGeom prst="rect">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0915025" id="Rectangle 1126" o:spid="_x0000_s1026" style="position:absolute;margin-left:187pt;margin-top:3.5pt;width:33.6pt;height:6.55pt;z-index:252231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" fillcolor="black" stroked="f">
                <v:fill color2="black" rotate="t" angle="180" focus="80%" type="gradient">
                  <o:fill v:ext="view" type="gradientUnscaled"/>
                </v:fill>
                <v:shadow on="t" color="black" opacity="22937f" origin=",.5" offset="0,.63889mm"/>
              </v:rect>
            </w:pict>
          </mc:Fallback>
        </mc:AlternateContent>
      </w:r>
      <w:r w:rsidRPr="000E2377">
        <w:rPr>
          <w:rFonts w:cs="Times New Roman"/>
          <w:noProof/>
          <w:szCs w:val="24"/>
          <w:lang w:eastAsia="en-MY"/>
        </w:rPr>
        <mc:AlternateContent>
          <mc:Choice Requires="wps">
            <w:drawing>
              <wp:anchor distT="0" distB="0" distL="114300" distR="114300" simplePos="0" relativeHeight="252230656" behindDoc="0" locked="0" layoutInCell="1" allowOverlap="1" wp14:anchorId="2D693F10" wp14:editId="39A51D42">
                <wp:simplePos x="0" y="0"/>
                <wp:positionH relativeFrom="column">
                  <wp:posOffset>1911474</wp:posOffset>
                </wp:positionH>
                <wp:positionV relativeFrom="paragraph">
                  <wp:posOffset>127512</wp:posOffset>
                </wp:positionV>
                <wp:extent cx="1341911" cy="59377"/>
                <wp:effectExtent l="76200" t="38100" r="86995" b="112395"/>
                <wp:wrapNone/>
                <wp:docPr id="1125" name="Rectangle 1125"/>
                <wp:cNvGraphicFramePr/>
                <a:graphic xmlns:a="http://schemas.openxmlformats.org/drawingml/2006/main">
                  <a:graphicData uri="http://schemas.microsoft.com/office/word/2010/wordprocessingShape">
                    <wps:wsp>
                      <wps:cNvSpPr/>
                      <wps:spPr>
                        <a:xfrm>
                          <a:off x="0" y="0"/>
                          <a:ext cx="1341911" cy="59377"/>
                        </a:xfrm>
                        <a:prstGeom prst="rect">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6AE7C" id="Rectangle 1125" o:spid="_x0000_s1026" style="position:absolute;margin-left:150.5pt;margin-top:10.05pt;width:105.65pt;height:4.7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" fillcolor="black" stroked="f">
                <v:fill color2="black" rotate="t" angle="180" focus="80%" type="gradient">
                  <o:fill v:ext="view" type="gradientUnscaled"/>
                </v:fill>
                <v:shadow on="t" color="black" opacity="22937f" origin=",.5" offset="0,.63889mm"/>
              </v:rect>
            </w:pict>
          </mc:Fallback>
        </mc:AlternateContent>
      </w:r>
      <w:r w:rsidRPr="000E2377">
        <w:rPr>
          <w:rFonts w:cs="Times New Roman"/>
          <w:noProof/>
          <w:szCs w:val="24"/>
          <w:lang w:eastAsia="en-MY"/>
        </w:rPr>
        <mc:AlternateContent>
          <mc:Choice Requires="wps">
            <w:drawing>
              <wp:anchor distT="0" distB="0" distL="114300" distR="114300" simplePos="0" relativeHeight="252222464" behindDoc="0" locked="0" layoutInCell="1" allowOverlap="1" wp14:anchorId="0E603BA8" wp14:editId="1CDD44DF">
                <wp:simplePos x="0" y="0"/>
                <wp:positionH relativeFrom="column">
                  <wp:posOffset>1330036</wp:posOffset>
                </wp:positionH>
                <wp:positionV relativeFrom="paragraph">
                  <wp:posOffset>184719</wp:posOffset>
                </wp:positionV>
                <wp:extent cx="3455720" cy="1448790"/>
                <wp:effectExtent l="0" t="0" r="11430" b="18415"/>
                <wp:wrapNone/>
                <wp:docPr id="4" name="Rectangle 4"/>
                <wp:cNvGraphicFramePr/>
                <a:graphic xmlns:a="http://schemas.openxmlformats.org/drawingml/2006/main">
                  <a:graphicData uri="http://schemas.microsoft.com/office/word/2010/wordprocessingShape">
                    <wps:wsp>
                      <wps:cNvSpPr/>
                      <wps:spPr>
                        <a:xfrm>
                          <a:off x="0" y="0"/>
                          <a:ext cx="3455720" cy="144879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5739F1" id="Rectangle 4" o:spid="_x0000_s1026" style="position:absolute;margin-left:104.75pt;margin-top:14.55pt;width:272.1pt;height:114.1pt;z-index:25222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" filled="f" strokecolor="windowText" strokeweight="2pt"/>
            </w:pict>
          </mc:Fallback>
        </mc:AlternateContent>
      </w:r>
    </w:p>
    <w:p w14:paraId="06BD4DEB" w14:textId="77777777" w:rsidR="00D740DC" w:rsidRPr="000E2377" w:rsidRDefault="00D740DC" w:rsidP="00D740DC">
      <w:pPr>
        <w:spacing w:line="360" w:lineRule="auto"/>
        <w:jc w:val="both"/>
        <w:rPr>
          <w:rFonts w:cs="Times New Roman"/>
          <w:szCs w:val="24"/>
        </w:rPr>
      </w:pPr>
      <w:r w:rsidRPr="000E2377">
        <w:rPr>
          <w:rFonts w:cs="Times New Roman"/>
          <w:noProof/>
          <w:szCs w:val="24"/>
          <w:lang w:eastAsia="en-MY"/>
        </w:rPr>
        <mc:AlternateContent>
          <mc:Choice Requires="wps">
            <w:drawing>
              <wp:anchor distT="0" distB="0" distL="114300" distR="114300" simplePos="0" relativeHeight="252255232" behindDoc="0" locked="0" layoutInCell="1" allowOverlap="1" wp14:anchorId="6FA7D243" wp14:editId="143A3779">
                <wp:simplePos x="0" y="0"/>
                <wp:positionH relativeFrom="column">
                  <wp:posOffset>4749635</wp:posOffset>
                </wp:positionH>
                <wp:positionV relativeFrom="paragraph">
                  <wp:posOffset>215767</wp:posOffset>
                </wp:positionV>
                <wp:extent cx="783772" cy="247748"/>
                <wp:effectExtent l="0" t="0" r="0" b="0"/>
                <wp:wrapNone/>
                <wp:docPr id="1127" name="Text Box 1127"/>
                <wp:cNvGraphicFramePr/>
                <a:graphic xmlns:a="http://schemas.openxmlformats.org/drawingml/2006/main">
                  <a:graphicData uri="http://schemas.microsoft.com/office/word/2010/wordprocessingShape">
                    <wps:wsp>
                      <wps:cNvSpPr txBox="1"/>
                      <wps:spPr>
                        <a:xfrm>
                          <a:off x="0" y="0"/>
                          <a:ext cx="783772" cy="247748"/>
                        </a:xfrm>
                        <a:prstGeom prst="rect">
                          <a:avLst/>
                        </a:prstGeom>
                        <a:noFill/>
                        <a:ln w="6350">
                          <a:noFill/>
                        </a:ln>
                        <a:effectLst/>
                      </wps:spPr>
                      <wps:txbx>
                        <w:txbxContent>
                          <w:p w14:paraId="7390D5E1" w14:textId="77777777" w:rsidR="00230AB9" w:rsidRPr="008348BD" w:rsidRDefault="00230AB9" w:rsidP="00D740DC">
                            <w:pPr>
                              <w:rPr>
                                <w:sz w:val="18"/>
                                <w:szCs w:val="18"/>
                              </w:rPr>
                            </w:pPr>
                            <w:r w:rsidRPr="008348BD">
                              <w:rPr>
                                <w:sz w:val="18"/>
                                <w:szCs w:val="18"/>
                              </w:rPr>
                              <w:t>Density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A7D243" id="Text Box 1127" o:spid="_x0000_s1093" type="#_x0000_t202" style="position:absolute;left:0;text-align:left;margin-left:374pt;margin-top:17pt;width:61.7pt;height:19.5pt;z-index:25225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" filled="f" stroked="f" strokeweight=".5pt">
                <v:textbox>
                  <w:txbxContent>
                    <w:p w14:paraId="7390D5E1" w14:textId="77777777" w:rsidR="00230AB9" w:rsidRPr="008348BD" w:rsidRDefault="00230AB9" w:rsidP="00D740DC">
                      <w:pPr>
                        <w:rPr>
                          <w:sz w:val="18"/>
                          <w:szCs w:val="18"/>
                        </w:rPr>
                      </w:pPr>
                      <w:r w:rsidRPr="008348BD">
                        <w:rPr>
                          <w:sz w:val="18"/>
                          <w:szCs w:val="18"/>
                        </w:rPr>
                        <w:t>Density</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25536" behindDoc="0" locked="0" layoutInCell="1" allowOverlap="1" wp14:anchorId="186EDC6D" wp14:editId="700AEF4D">
                <wp:simplePos x="0" y="0"/>
                <wp:positionH relativeFrom="column">
                  <wp:posOffset>3726180</wp:posOffset>
                </wp:positionH>
                <wp:positionV relativeFrom="paragraph">
                  <wp:posOffset>257810</wp:posOffset>
                </wp:positionV>
                <wp:extent cx="415290" cy="779780"/>
                <wp:effectExtent l="0" t="0" r="22860" b="20320"/>
                <wp:wrapNone/>
                <wp:docPr id="9" name="Flowchart: Magnetic Disk 9"/>
                <wp:cNvGraphicFramePr/>
                <a:graphic xmlns:a="http://schemas.openxmlformats.org/drawingml/2006/main">
                  <a:graphicData uri="http://schemas.microsoft.com/office/word/2010/wordprocessingShape">
                    <wps:wsp>
                      <wps:cNvSpPr/>
                      <wps:spPr>
                        <a:xfrm>
                          <a:off x="0" y="0"/>
                          <a:ext cx="415290" cy="779780"/>
                        </a:xfrm>
                        <a:prstGeom prst="flowChartMagneticDisk">
                          <a:avLst/>
                        </a:prstGeom>
                        <a:solidFill>
                          <a:sysClr val="windowText" lastClr="000000">
                            <a:lumMod val="50000"/>
                            <a:lumOff val="50000"/>
                          </a:sysClr>
                        </a:solidFill>
                        <a:ln w="25400" cap="flat" cmpd="sng" algn="ctr">
                          <a:solidFill>
                            <a:sysClr val="window" lastClr="FFFFFF">
                              <a:lumMod val="7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F540F28"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9" o:spid="_x0000_s1026" type="#_x0000_t132" style="position:absolute;margin-left:293.4pt;margin-top:20.3pt;width:32.7pt;height:61.4pt;z-index:252225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" fillcolor="#7f7f7f" strokecolor="#bfbfbf" strokeweight="2pt"/>
            </w:pict>
          </mc:Fallback>
        </mc:AlternateContent>
      </w:r>
      <w:r w:rsidRPr="000E2377">
        <w:rPr>
          <w:rFonts w:cs="Times New Roman"/>
          <w:noProof/>
          <w:szCs w:val="24"/>
          <w:lang w:eastAsia="en-MY"/>
        </w:rPr>
        <mc:AlternateContent>
          <mc:Choice Requires="wps">
            <w:drawing>
              <wp:anchor distT="0" distB="0" distL="114300" distR="114300" simplePos="0" relativeHeight="252244992" behindDoc="0" locked="0" layoutInCell="1" allowOverlap="1" wp14:anchorId="6E8B5588" wp14:editId="725D2648">
                <wp:simplePos x="0" y="0"/>
                <wp:positionH relativeFrom="column">
                  <wp:posOffset>3170712</wp:posOffset>
                </wp:positionH>
                <wp:positionV relativeFrom="paragraph">
                  <wp:posOffset>186715</wp:posOffset>
                </wp:positionV>
                <wp:extent cx="486888" cy="201617"/>
                <wp:effectExtent l="76200" t="38100" r="46990" b="122555"/>
                <wp:wrapNone/>
                <wp:docPr id="1077" name="Curved Down Arrow 1077"/>
                <wp:cNvGraphicFramePr/>
                <a:graphic xmlns:a="http://schemas.openxmlformats.org/drawingml/2006/main">
                  <a:graphicData uri="http://schemas.microsoft.com/office/word/2010/wordprocessingShape">
                    <wps:wsp>
                      <wps:cNvSpPr/>
                      <wps:spPr>
                        <a:xfrm>
                          <a:off x="0" y="0"/>
                          <a:ext cx="486888" cy="201617"/>
                        </a:xfrm>
                        <a:prstGeom prst="curvedDownArrow">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EED966"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1077" o:spid="_x0000_s1026" type="#_x0000_t105" style="position:absolute;margin-left:249.65pt;margin-top:14.7pt;width:38.35pt;height:15.9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" adj="17128,20482,16200" fillcolor="#769535" stroked="f">
                <v:fill color2="#9cc746" rotate="t" angle="180" colors="0 #769535;52429f #9bc348;1 #9cc746" focus="100%" type="gradient">
                  <o:fill v:ext="view" type="gradientUnscaled"/>
                </v:fill>
                <v:shadow on="t" color="black" opacity="22937f" origin=",.5" offset="0,.63889mm"/>
              </v:shape>
            </w:pict>
          </mc:Fallback>
        </mc:AlternateContent>
      </w:r>
      <w:r w:rsidRPr="000E2377">
        <w:rPr>
          <w:rFonts w:cs="Times New Roman"/>
          <w:noProof/>
          <w:szCs w:val="24"/>
          <w:lang w:eastAsia="en-MY"/>
        </w:rPr>
        <mc:AlternateContent>
          <mc:Choice Requires="wps">
            <w:drawing>
              <wp:anchor distT="0" distB="0" distL="114300" distR="114300" simplePos="0" relativeHeight="252243968" behindDoc="0" locked="0" layoutInCell="1" allowOverlap="1" wp14:anchorId="7A929D4D" wp14:editId="65A98AA2">
                <wp:simplePos x="0" y="0"/>
                <wp:positionH relativeFrom="column">
                  <wp:posOffset>3096895</wp:posOffset>
                </wp:positionH>
                <wp:positionV relativeFrom="paragraph">
                  <wp:posOffset>276225</wp:posOffset>
                </wp:positionV>
                <wp:extent cx="819150" cy="474980"/>
                <wp:effectExtent l="0" t="0" r="0" b="1270"/>
                <wp:wrapNone/>
                <wp:docPr id="1076" name="Text Box 1076"/>
                <wp:cNvGraphicFramePr/>
                <a:graphic xmlns:a="http://schemas.openxmlformats.org/drawingml/2006/main">
                  <a:graphicData uri="http://schemas.microsoft.com/office/word/2010/wordprocessingShape">
                    <wps:wsp>
                      <wps:cNvSpPr txBox="1"/>
                      <wps:spPr>
                        <a:xfrm>
                          <a:off x="0" y="0"/>
                          <a:ext cx="819150" cy="474980"/>
                        </a:xfrm>
                        <a:prstGeom prst="rect">
                          <a:avLst/>
                        </a:prstGeom>
                        <a:noFill/>
                        <a:ln w="6350">
                          <a:noFill/>
                        </a:ln>
                        <a:effectLst/>
                      </wps:spPr>
                      <wps:txbx>
                        <w:txbxContent>
                          <w:p w14:paraId="7DBC1932" w14:textId="77777777" w:rsidR="00230AB9" w:rsidRPr="007A0CC5" w:rsidRDefault="00230AB9" w:rsidP="00D740DC">
                            <w:pPr>
                              <w:spacing w:after="0" w:line="240" w:lineRule="auto"/>
                              <w:rPr>
                                <w:b w:val="0"/>
                              </w:rPr>
                            </w:pPr>
                            <w:r w:rsidRPr="007A0CC5">
                              <w:t>Pressure 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29D4D" id="Text Box 1076" o:spid="_x0000_s1094" type="#_x0000_t202" style="position:absolute;left:0;text-align:left;margin-left:243.85pt;margin-top:21.75pt;width:64.5pt;height:37.4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" filled="f" stroked="f" strokeweight=".5pt">
                <v:textbox>
                  <w:txbxContent>
                    <w:p w14:paraId="7DBC1932" w14:textId="77777777" w:rsidR="00230AB9" w:rsidRPr="007A0CC5" w:rsidRDefault="00230AB9" w:rsidP="00D740DC">
                      <w:pPr>
                        <w:spacing w:after="0" w:line="240" w:lineRule="auto"/>
                        <w:rPr>
                          <w:b w:val="0"/>
                        </w:rPr>
                      </w:pPr>
                      <w:r w:rsidRPr="007A0CC5">
                        <w:t>Pressure meter</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28608" behindDoc="0" locked="0" layoutInCell="1" allowOverlap="1" wp14:anchorId="343845D7" wp14:editId="6DDC0C8A">
                <wp:simplePos x="0" y="0"/>
                <wp:positionH relativeFrom="column">
                  <wp:posOffset>3253105</wp:posOffset>
                </wp:positionH>
                <wp:positionV relativeFrom="paragraph">
                  <wp:posOffset>328930</wp:posOffset>
                </wp:positionV>
                <wp:extent cx="308610" cy="332105"/>
                <wp:effectExtent l="0" t="0" r="15240" b="10795"/>
                <wp:wrapNone/>
                <wp:docPr id="12" name="Oval 12"/>
                <wp:cNvGraphicFramePr/>
                <a:graphic xmlns:a="http://schemas.openxmlformats.org/drawingml/2006/main">
                  <a:graphicData uri="http://schemas.microsoft.com/office/word/2010/wordprocessingShape">
                    <wps:wsp>
                      <wps:cNvSpPr/>
                      <wps:spPr>
                        <a:xfrm>
                          <a:off x="0" y="0"/>
                          <a:ext cx="308610" cy="332105"/>
                        </a:xfrm>
                        <a:prstGeom prst="ellipse">
                          <a:avLst/>
                        </a:prstGeom>
                        <a:no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1B7BF5" id="Oval 12" o:spid="_x0000_s1026" style="position:absolute;margin-left:256.15pt;margin-top:25.9pt;width:24.3pt;height:26.1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" filled="f" strokecolor="#7f7f7f" strokeweight="2pt"/>
            </w:pict>
          </mc:Fallback>
        </mc:AlternateContent>
      </w:r>
      <w:r w:rsidRPr="000E2377">
        <w:rPr>
          <w:rFonts w:cs="Times New Roman"/>
          <w:noProof/>
          <w:szCs w:val="24"/>
          <w:lang w:eastAsia="en-MY"/>
        </w:rPr>
        <mc:AlternateContent>
          <mc:Choice Requires="wps">
            <w:drawing>
              <wp:anchor distT="0" distB="0" distL="114300" distR="114300" simplePos="0" relativeHeight="252224512" behindDoc="0" locked="0" layoutInCell="1" allowOverlap="1" wp14:anchorId="2DD9F641" wp14:editId="1DC8F9A7">
                <wp:simplePos x="0" y="0"/>
                <wp:positionH relativeFrom="column">
                  <wp:posOffset>2148840</wp:posOffset>
                </wp:positionH>
                <wp:positionV relativeFrom="paragraph">
                  <wp:posOffset>186690</wp:posOffset>
                </wp:positionV>
                <wp:extent cx="914400" cy="948690"/>
                <wp:effectExtent l="0" t="0" r="19050" b="22860"/>
                <wp:wrapNone/>
                <wp:docPr id="6" name="Flowchart: Magnetic Disk 6"/>
                <wp:cNvGraphicFramePr/>
                <a:graphic xmlns:a="http://schemas.openxmlformats.org/drawingml/2006/main">
                  <a:graphicData uri="http://schemas.microsoft.com/office/word/2010/wordprocessingShape">
                    <wps:wsp>
                      <wps:cNvSpPr/>
                      <wps:spPr>
                        <a:xfrm>
                          <a:off x="0" y="0"/>
                          <a:ext cx="914400" cy="948690"/>
                        </a:xfrm>
                        <a:prstGeom prst="flowChartMagneticDisk">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6F522" id="Flowchart: Magnetic Disk 6" o:spid="_x0000_s1026" type="#_x0000_t132" style="position:absolute;margin-left:169.2pt;margin-top:14.7pt;width:1in;height:74.7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" filled="f" strokecolor="#385d8a" strokeweight="2pt"/>
            </w:pict>
          </mc:Fallback>
        </mc:AlternateContent>
      </w:r>
      <w:r w:rsidRPr="000E2377">
        <w:rPr>
          <w:rFonts w:cs="Times New Roman"/>
          <w:noProof/>
          <w:szCs w:val="24"/>
          <w:lang w:eastAsia="en-MY"/>
        </w:rPr>
        <mc:AlternateContent>
          <mc:Choice Requires="wps">
            <w:drawing>
              <wp:anchor distT="0" distB="0" distL="114300" distR="114300" simplePos="0" relativeHeight="252223488" behindDoc="0" locked="0" layoutInCell="1" allowOverlap="1" wp14:anchorId="421E2D92" wp14:editId="1AC712D5">
                <wp:simplePos x="0" y="0"/>
                <wp:positionH relativeFrom="column">
                  <wp:posOffset>2374900</wp:posOffset>
                </wp:positionH>
                <wp:positionV relativeFrom="paragraph">
                  <wp:posOffset>257810</wp:posOffset>
                </wp:positionV>
                <wp:extent cx="426720" cy="779780"/>
                <wp:effectExtent l="0" t="0" r="11430" b="20320"/>
                <wp:wrapNone/>
                <wp:docPr id="5" name="Flowchart: Magnetic Disk 5"/>
                <wp:cNvGraphicFramePr/>
                <a:graphic xmlns:a="http://schemas.openxmlformats.org/drawingml/2006/main">
                  <a:graphicData uri="http://schemas.microsoft.com/office/word/2010/wordprocessingShape">
                    <wps:wsp>
                      <wps:cNvSpPr/>
                      <wps:spPr>
                        <a:xfrm>
                          <a:off x="0" y="0"/>
                          <a:ext cx="426720" cy="779780"/>
                        </a:xfrm>
                        <a:prstGeom prst="flowChartMagneticDisk">
                          <a:avLst/>
                        </a:prstGeom>
                        <a:solidFill>
                          <a:sysClr val="windowText" lastClr="000000">
                            <a:lumMod val="50000"/>
                            <a:lumOff val="50000"/>
                          </a:sysClr>
                        </a:solidFill>
                        <a:ln w="25400" cap="flat" cmpd="sng" algn="ctr">
                          <a:solidFill>
                            <a:sysClr val="window" lastClr="FFFFFF">
                              <a:lumMod val="7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9D03C" id="Flowchart: Magnetic Disk 5" o:spid="_x0000_s1026" type="#_x0000_t132" style="position:absolute;margin-left:187pt;margin-top:20.3pt;width:33.6pt;height:61.4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" fillcolor="#7f7f7f" strokecolor="#bfbfbf" strokeweight="2pt"/>
            </w:pict>
          </mc:Fallback>
        </mc:AlternateContent>
      </w:r>
    </w:p>
    <w:p w14:paraId="2762E173" w14:textId="77777777" w:rsidR="00D740DC" w:rsidRPr="000E2377" w:rsidRDefault="00D740DC" w:rsidP="00D740DC">
      <w:pPr>
        <w:spacing w:line="360" w:lineRule="auto"/>
        <w:jc w:val="both"/>
        <w:rPr>
          <w:rFonts w:cs="Times New Roman"/>
          <w:szCs w:val="24"/>
        </w:rPr>
      </w:pPr>
      <w:r w:rsidRPr="000E2377">
        <w:rPr>
          <w:rFonts w:cs="Times New Roman"/>
          <w:noProof/>
          <w:szCs w:val="24"/>
          <w:lang w:eastAsia="en-MY"/>
        </w:rPr>
        <mc:AlternateContent>
          <mc:Choice Requires="wps">
            <w:drawing>
              <wp:anchor distT="0" distB="0" distL="114300" distR="114300" simplePos="0" relativeHeight="252227584" behindDoc="0" locked="0" layoutInCell="1" allowOverlap="1" wp14:anchorId="622A3238" wp14:editId="07D57B12">
                <wp:simplePos x="0" y="0"/>
                <wp:positionH relativeFrom="column">
                  <wp:posOffset>2802255</wp:posOffset>
                </wp:positionH>
                <wp:positionV relativeFrom="paragraph">
                  <wp:posOffset>93980</wp:posOffset>
                </wp:positionV>
                <wp:extent cx="450850" cy="45085"/>
                <wp:effectExtent l="0" t="0" r="25400" b="12065"/>
                <wp:wrapNone/>
                <wp:docPr id="11" name="Rectangle 11"/>
                <wp:cNvGraphicFramePr/>
                <a:graphic xmlns:a="http://schemas.openxmlformats.org/drawingml/2006/main">
                  <a:graphicData uri="http://schemas.microsoft.com/office/word/2010/wordprocessingShape">
                    <wps:wsp>
                      <wps:cNvSpPr/>
                      <wps:spPr>
                        <a:xfrm>
                          <a:off x="0" y="0"/>
                          <a:ext cx="450850" cy="45085"/>
                        </a:xfrm>
                        <a:prstGeom prst="rect">
                          <a:avLst/>
                        </a:prstGeom>
                        <a:solidFill>
                          <a:srgbClr val="F79646"/>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40B4C4" id="Rectangle 11" o:spid="_x0000_s1026" style="position:absolute;margin-left:220.65pt;margin-top:7.4pt;width:35.5pt;height:3.5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" fillcolor="#f79646" strokecolor="#fac090" strokeweight="2pt"/>
            </w:pict>
          </mc:Fallback>
        </mc:AlternateContent>
      </w:r>
      <w:r w:rsidRPr="000E2377">
        <w:rPr>
          <w:rFonts w:cs="Times New Roman"/>
          <w:noProof/>
          <w:szCs w:val="24"/>
          <w:lang w:eastAsia="en-MY"/>
        </w:rPr>
        <mc:AlternateContent>
          <mc:Choice Requires="wps">
            <w:drawing>
              <wp:anchor distT="0" distB="0" distL="114300" distR="114300" simplePos="0" relativeHeight="252242944" behindDoc="0" locked="0" layoutInCell="1" allowOverlap="1" wp14:anchorId="23DF0428" wp14:editId="3DAF4939">
                <wp:simplePos x="0" y="0"/>
                <wp:positionH relativeFrom="column">
                  <wp:posOffset>2730987</wp:posOffset>
                </wp:positionH>
                <wp:positionV relativeFrom="paragraph">
                  <wp:posOffset>141844</wp:posOffset>
                </wp:positionV>
                <wp:extent cx="0" cy="82542"/>
                <wp:effectExtent l="95250" t="38100" r="114300" b="32385"/>
                <wp:wrapNone/>
                <wp:docPr id="1063" name="Straight Arrow Connector 1063"/>
                <wp:cNvGraphicFramePr/>
                <a:graphic xmlns:a="http://schemas.openxmlformats.org/drawingml/2006/main">
                  <a:graphicData uri="http://schemas.microsoft.com/office/word/2010/wordprocessingShape">
                    <wps:wsp>
                      <wps:cNvCnPr/>
                      <wps:spPr>
                        <a:xfrm flipV="1">
                          <a:off x="0" y="0"/>
                          <a:ext cx="0" cy="82542"/>
                        </a:xfrm>
                        <a:prstGeom prst="straightConnector1">
                          <a:avLst/>
                        </a:prstGeom>
                        <a:noFill/>
                        <a:ln w="9525" cap="flat" cmpd="sng" algn="ctr">
                          <a:solidFill>
                            <a:srgbClr val="9BBB59">
                              <a:shade val="95000"/>
                              <a:satMod val="105000"/>
                            </a:srgbClr>
                          </a:solidFill>
                          <a:prstDash val="solid"/>
                          <a:tailEnd type="arrow"/>
                        </a:ln>
                        <a:effectLst/>
                      </wps:spPr>
                      <wps:bodyPr/>
                    </wps:wsp>
                  </a:graphicData>
                </a:graphic>
              </wp:anchor>
            </w:drawing>
          </mc:Choice>
          <mc:Fallback>
            <w:pict>
              <v:shape w14:anchorId="2A81466D" id="Straight Arrow Connector 1063" o:spid="_x0000_s1026" type="#_x0000_t32" style="position:absolute;margin-left:215.05pt;margin-top:11.15pt;width:0;height:6.5pt;flip:y;z-index:252242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" strokecolor="#98b954">
                <v:stroke endarrow="open"/>
              </v:shape>
            </w:pict>
          </mc:Fallback>
        </mc:AlternateContent>
      </w:r>
      <w:r w:rsidRPr="000E2377">
        <w:rPr>
          <w:rFonts w:cs="Times New Roman"/>
          <w:noProof/>
          <w:szCs w:val="24"/>
          <w:lang w:eastAsia="en-MY"/>
        </w:rPr>
        <mc:AlternateContent>
          <mc:Choice Requires="wps">
            <w:drawing>
              <wp:anchor distT="0" distB="0" distL="114300" distR="114300" simplePos="0" relativeHeight="252241920" behindDoc="0" locked="0" layoutInCell="1" allowOverlap="1" wp14:anchorId="0898EF9E" wp14:editId="6E2D470E">
                <wp:simplePos x="0" y="0"/>
                <wp:positionH relativeFrom="column">
                  <wp:posOffset>2434442</wp:posOffset>
                </wp:positionH>
                <wp:positionV relativeFrom="paragraph">
                  <wp:posOffset>139428</wp:posOffset>
                </wp:positionV>
                <wp:extent cx="0" cy="91308"/>
                <wp:effectExtent l="95250" t="38100" r="114300" b="23495"/>
                <wp:wrapNone/>
                <wp:docPr id="1140" name="Straight Arrow Connector 1140"/>
                <wp:cNvGraphicFramePr/>
                <a:graphic xmlns:a="http://schemas.openxmlformats.org/drawingml/2006/main">
                  <a:graphicData uri="http://schemas.microsoft.com/office/word/2010/wordprocessingShape">
                    <wps:wsp>
                      <wps:cNvCnPr/>
                      <wps:spPr>
                        <a:xfrm flipV="1">
                          <a:off x="0" y="0"/>
                          <a:ext cx="0" cy="91308"/>
                        </a:xfrm>
                        <a:prstGeom prst="straightConnector1">
                          <a:avLst/>
                        </a:prstGeom>
                        <a:noFill/>
                        <a:ln w="9525" cap="flat" cmpd="sng" algn="ctr">
                          <a:solidFill>
                            <a:srgbClr val="9BBB59">
                              <a:shade val="95000"/>
                              <a:satMod val="105000"/>
                            </a:srgbClr>
                          </a:solidFill>
                          <a:prstDash val="solid"/>
                          <a:tailEnd type="arrow"/>
                        </a:ln>
                        <a:effectLst/>
                      </wps:spPr>
                      <wps:bodyPr/>
                    </wps:wsp>
                  </a:graphicData>
                </a:graphic>
              </wp:anchor>
            </w:drawing>
          </mc:Choice>
          <mc:Fallback>
            <w:pict>
              <v:shape w14:anchorId="03824C59" id="Straight Arrow Connector 1140" o:spid="_x0000_s1026" type="#_x0000_t32" style="position:absolute;margin-left:191.7pt;margin-top:11pt;width:0;height:7.2pt;flip:y;z-index:252241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" strokecolor="#98b954">
                <v:stroke endarrow="open"/>
              </v:shape>
            </w:pict>
          </mc:Fallback>
        </mc:AlternateContent>
      </w:r>
      <w:r w:rsidRPr="000E2377">
        <w:rPr>
          <w:rFonts w:cs="Times New Roman"/>
          <w:noProof/>
          <w:szCs w:val="24"/>
          <w:lang w:eastAsia="en-MY"/>
        </w:rPr>
        <mc:AlternateContent>
          <mc:Choice Requires="wps">
            <w:drawing>
              <wp:anchor distT="0" distB="0" distL="114300" distR="114300" simplePos="0" relativeHeight="252240896" behindDoc="0" locked="0" layoutInCell="1" allowOverlap="1" wp14:anchorId="5A0BC8F0" wp14:editId="11288BE9">
                <wp:simplePos x="0" y="0"/>
                <wp:positionH relativeFrom="column">
                  <wp:posOffset>2576451</wp:posOffset>
                </wp:positionH>
                <wp:positionV relativeFrom="paragraph">
                  <wp:posOffset>20130</wp:posOffset>
                </wp:positionV>
                <wp:extent cx="0" cy="208247"/>
                <wp:effectExtent l="95250" t="38100" r="57150" b="20955"/>
                <wp:wrapNone/>
                <wp:docPr id="1139" name="Straight Arrow Connector 1139"/>
                <wp:cNvGraphicFramePr/>
                <a:graphic xmlns:a="http://schemas.openxmlformats.org/drawingml/2006/main">
                  <a:graphicData uri="http://schemas.microsoft.com/office/word/2010/wordprocessingShape">
                    <wps:wsp>
                      <wps:cNvCnPr/>
                      <wps:spPr>
                        <a:xfrm flipV="1">
                          <a:off x="0" y="0"/>
                          <a:ext cx="0" cy="208247"/>
                        </a:xfrm>
                        <a:prstGeom prst="straightConnector1">
                          <a:avLst/>
                        </a:prstGeom>
                        <a:noFill/>
                        <a:ln w="9525" cap="flat" cmpd="sng" algn="ctr">
                          <a:solidFill>
                            <a:srgbClr val="9BBB59">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0B979C5" id="Straight Arrow Connector 1139" o:spid="_x0000_s1026" type="#_x0000_t32" style="position:absolute;margin-left:202.85pt;margin-top:1.6pt;width:0;height:16.4pt;flip:y;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" strokecolor="#98b954">
                <v:stroke endarrow="open"/>
              </v:shape>
            </w:pict>
          </mc:Fallback>
        </mc:AlternateContent>
      </w:r>
      <w:r w:rsidRPr="000E2377">
        <w:rPr>
          <w:rFonts w:cs="Times New Roman"/>
          <w:noProof/>
          <w:szCs w:val="24"/>
          <w:lang w:eastAsia="en-MY"/>
        </w:rPr>
        <mc:AlternateContent>
          <mc:Choice Requires="wps">
            <w:drawing>
              <wp:anchor distT="0" distB="0" distL="114300" distR="114300" simplePos="0" relativeHeight="252233728" behindDoc="0" locked="0" layoutInCell="1" allowOverlap="1" wp14:anchorId="5B8C32A0" wp14:editId="2C7EFAD2">
                <wp:simplePos x="0" y="0"/>
                <wp:positionH relativeFrom="column">
                  <wp:posOffset>640715</wp:posOffset>
                </wp:positionH>
                <wp:positionV relativeFrom="paragraph">
                  <wp:posOffset>210820</wp:posOffset>
                </wp:positionV>
                <wp:extent cx="248920" cy="308610"/>
                <wp:effectExtent l="0" t="0" r="0" b="0"/>
                <wp:wrapNone/>
                <wp:docPr id="1129" name="Text Box 1129"/>
                <wp:cNvGraphicFramePr/>
                <a:graphic xmlns:a="http://schemas.openxmlformats.org/drawingml/2006/main">
                  <a:graphicData uri="http://schemas.microsoft.com/office/word/2010/wordprocessingShape">
                    <wps:wsp>
                      <wps:cNvSpPr txBox="1"/>
                      <wps:spPr>
                        <a:xfrm>
                          <a:off x="0" y="0"/>
                          <a:ext cx="248920" cy="308610"/>
                        </a:xfrm>
                        <a:prstGeom prst="rect">
                          <a:avLst/>
                        </a:prstGeom>
                        <a:noFill/>
                        <a:ln w="6350">
                          <a:noFill/>
                        </a:ln>
                        <a:effectLst/>
                      </wps:spPr>
                      <wps:txbx>
                        <w:txbxContent>
                          <w:p w14:paraId="39EF7446" w14:textId="77777777" w:rsidR="00230AB9" w:rsidRPr="00010B6C" w:rsidRDefault="00230AB9" w:rsidP="00D740DC">
                            <w:pPr>
                              <w:rPr>
                                <w:rFonts w:cs="Aharoni"/>
                                <w:b w:val="0"/>
                                <w:sz w:val="28"/>
                                <w:szCs w:val="28"/>
                              </w:rPr>
                            </w:pPr>
                            <w:r w:rsidRPr="00B11C97">
                              <w:rPr>
                                <w:rFonts w:cs="Aharoni"/>
                                <w:sz w:val="28"/>
                                <w:szCs w:val="28"/>
                                <w:highlight w:val="lightGray"/>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8C32A0" id="Text Box 1129" o:spid="_x0000_s1095" type="#_x0000_t202" style="position:absolute;left:0;text-align:left;margin-left:50.45pt;margin-top:16.6pt;width:19.6pt;height:24.3pt;z-index:25223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" filled="f" stroked="f" strokeweight=".5pt">
                <v:textbox>
                  <w:txbxContent>
                    <w:p w14:paraId="39EF7446" w14:textId="77777777" w:rsidR="00230AB9" w:rsidRPr="00010B6C" w:rsidRDefault="00230AB9" w:rsidP="00D740DC">
                      <w:pPr>
                        <w:rPr>
                          <w:rFonts w:cs="Aharoni"/>
                          <w:b w:val="0"/>
                          <w:sz w:val="28"/>
                          <w:szCs w:val="28"/>
                        </w:rPr>
                      </w:pPr>
                      <w:r w:rsidRPr="00B11C97">
                        <w:rPr>
                          <w:rFonts w:cs="Aharoni"/>
                          <w:sz w:val="28"/>
                          <w:szCs w:val="28"/>
                          <w:highlight w:val="lightGray"/>
                        </w:rPr>
                        <w:t>1</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35776" behindDoc="0" locked="0" layoutInCell="1" allowOverlap="1" wp14:anchorId="1E6903D6" wp14:editId="3DC4EF66">
                <wp:simplePos x="0" y="0"/>
                <wp:positionH relativeFrom="column">
                  <wp:posOffset>2255520</wp:posOffset>
                </wp:positionH>
                <wp:positionV relativeFrom="paragraph">
                  <wp:posOffset>292100</wp:posOffset>
                </wp:positionV>
                <wp:extent cx="914400" cy="273050"/>
                <wp:effectExtent l="0" t="0" r="0" b="0"/>
                <wp:wrapNone/>
                <wp:docPr id="1131" name="Text Box 1131"/>
                <wp:cNvGraphicFramePr/>
                <a:graphic xmlns:a="http://schemas.openxmlformats.org/drawingml/2006/main">
                  <a:graphicData uri="http://schemas.microsoft.com/office/word/2010/wordprocessingShape">
                    <wps:wsp>
                      <wps:cNvSpPr txBox="1"/>
                      <wps:spPr>
                        <a:xfrm>
                          <a:off x="0" y="0"/>
                          <a:ext cx="914400" cy="273050"/>
                        </a:xfrm>
                        <a:prstGeom prst="rect">
                          <a:avLst/>
                        </a:prstGeom>
                        <a:noFill/>
                        <a:ln w="6350">
                          <a:noFill/>
                        </a:ln>
                        <a:effectLst/>
                      </wps:spPr>
                      <wps:txbx>
                        <w:txbxContent>
                          <w:p w14:paraId="39BA87E8" w14:textId="77777777" w:rsidR="00230AB9" w:rsidRPr="00010B6C" w:rsidRDefault="00230AB9" w:rsidP="00D740DC">
                            <w:pPr>
                              <w:rPr>
                                <w:b w:val="0"/>
                              </w:rPr>
                            </w:pPr>
                            <w:r w:rsidRPr="00010B6C">
                              <w:t>Sample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6903D6" id="Text Box 1131" o:spid="_x0000_s1096" type="#_x0000_t202" style="position:absolute;left:0;text-align:left;margin-left:177.6pt;margin-top:23pt;width:1in;height:21.5pt;z-index:2522357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" filled="f" stroked="f" strokeweight=".5pt">
                <v:textbox>
                  <w:txbxContent>
                    <w:p w14:paraId="39BA87E8" w14:textId="77777777" w:rsidR="00230AB9" w:rsidRPr="00010B6C" w:rsidRDefault="00230AB9" w:rsidP="00D740DC">
                      <w:pPr>
                        <w:rPr>
                          <w:b w:val="0"/>
                        </w:rPr>
                      </w:pPr>
                      <w:r w:rsidRPr="00010B6C">
                        <w:t>Sample</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34752" behindDoc="0" locked="0" layoutInCell="1" allowOverlap="1" wp14:anchorId="472100E8" wp14:editId="582CB0DA">
                <wp:simplePos x="0" y="0"/>
                <wp:positionH relativeFrom="column">
                  <wp:posOffset>2434442</wp:posOffset>
                </wp:positionH>
                <wp:positionV relativeFrom="paragraph">
                  <wp:posOffset>295588</wp:posOffset>
                </wp:positionV>
                <wp:extent cx="296883" cy="258841"/>
                <wp:effectExtent l="0" t="0" r="27305" b="27305"/>
                <wp:wrapNone/>
                <wp:docPr id="1130" name="Rounded Rectangle 1130"/>
                <wp:cNvGraphicFramePr/>
                <a:graphic xmlns:a="http://schemas.openxmlformats.org/drawingml/2006/main">
                  <a:graphicData uri="http://schemas.microsoft.com/office/word/2010/wordprocessingShape">
                    <wps:wsp>
                      <wps:cNvSpPr/>
                      <wps:spPr>
                        <a:xfrm>
                          <a:off x="0" y="0"/>
                          <a:ext cx="296883" cy="258841"/>
                        </a:xfrm>
                        <a:prstGeom prst="roundRect">
                          <a:avLst/>
                        </a:prstGeom>
                        <a:solidFill>
                          <a:srgbClr val="F79646"/>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714AAC" id="Rounded Rectangle 1130" o:spid="_x0000_s1026" style="position:absolute;margin-left:191.7pt;margin-top:23.25pt;width:23.4pt;height:20.4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" fillcolor="#f79646" strokecolor="#385d8a" strokeweight="2pt"/>
            </w:pict>
          </mc:Fallback>
        </mc:AlternateContent>
      </w:r>
    </w:p>
    <w:p w14:paraId="176FD1A5" w14:textId="77777777" w:rsidR="00D740DC" w:rsidRPr="000E2377" w:rsidRDefault="00D740DC" w:rsidP="00D740DC">
      <w:pPr>
        <w:spacing w:line="360" w:lineRule="auto"/>
        <w:jc w:val="both"/>
        <w:rPr>
          <w:rFonts w:cs="Times New Roman"/>
          <w:szCs w:val="24"/>
        </w:rPr>
      </w:pPr>
      <w:r w:rsidRPr="000E2377">
        <w:rPr>
          <w:rFonts w:cs="Times New Roman"/>
          <w:noProof/>
          <w:szCs w:val="24"/>
          <w:lang w:eastAsia="en-MY"/>
        </w:rPr>
        <mc:AlternateContent>
          <mc:Choice Requires="wps">
            <w:drawing>
              <wp:anchor distT="0" distB="0" distL="114300" distR="114300" simplePos="0" relativeHeight="252254208" behindDoc="0" locked="0" layoutInCell="1" allowOverlap="1" wp14:anchorId="45897C9A" wp14:editId="467DFEE1">
                <wp:simplePos x="0" y="0"/>
                <wp:positionH relativeFrom="column">
                  <wp:posOffset>4322379</wp:posOffset>
                </wp:positionH>
                <wp:positionV relativeFrom="paragraph">
                  <wp:posOffset>253802</wp:posOffset>
                </wp:positionV>
                <wp:extent cx="427462" cy="405097"/>
                <wp:effectExtent l="0" t="0" r="0" b="0"/>
                <wp:wrapNone/>
                <wp:docPr id="1124" name="Text Box 1124"/>
                <wp:cNvGraphicFramePr/>
                <a:graphic xmlns:a="http://schemas.openxmlformats.org/drawingml/2006/main">
                  <a:graphicData uri="http://schemas.microsoft.com/office/word/2010/wordprocessingShape">
                    <wps:wsp>
                      <wps:cNvSpPr txBox="1"/>
                      <wps:spPr>
                        <a:xfrm>
                          <a:off x="0" y="0"/>
                          <a:ext cx="427462" cy="405097"/>
                        </a:xfrm>
                        <a:prstGeom prst="rect">
                          <a:avLst/>
                        </a:prstGeom>
                        <a:noFill/>
                        <a:ln w="6350">
                          <a:noFill/>
                        </a:ln>
                        <a:effectLst/>
                      </wps:spPr>
                      <wps:txbx>
                        <w:txbxContent>
                          <w:p w14:paraId="4B95629A" w14:textId="77777777" w:rsidR="00230AB9" w:rsidRDefault="00230AB9" w:rsidP="00D740DC">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897C9A" id="Text Box 1124" o:spid="_x0000_s1097" type="#_x0000_t202" style="position:absolute;left:0;text-align:left;margin-left:340.35pt;margin-top:20pt;width:33.65pt;height:31.9pt;z-index:25225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" filled="f" stroked="f" strokeweight=".5pt">
                <v:textbox>
                  <w:txbxContent>
                    <w:p w14:paraId="4B95629A" w14:textId="77777777" w:rsidR="00230AB9" w:rsidRDefault="00230AB9" w:rsidP="00D740DC">
                      <w:r>
                        <w:t>c</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53184" behindDoc="0" locked="0" layoutInCell="1" allowOverlap="1" wp14:anchorId="6AA7DCE5" wp14:editId="44D23141">
                <wp:simplePos x="0" y="0"/>
                <wp:positionH relativeFrom="column">
                  <wp:posOffset>3336423</wp:posOffset>
                </wp:positionH>
                <wp:positionV relativeFrom="paragraph">
                  <wp:posOffset>242842</wp:posOffset>
                </wp:positionV>
                <wp:extent cx="463137" cy="382938"/>
                <wp:effectExtent l="0" t="0" r="0" b="0"/>
                <wp:wrapNone/>
                <wp:docPr id="1122" name="Text Box 1122"/>
                <wp:cNvGraphicFramePr/>
                <a:graphic xmlns:a="http://schemas.openxmlformats.org/drawingml/2006/main">
                  <a:graphicData uri="http://schemas.microsoft.com/office/word/2010/wordprocessingShape">
                    <wps:wsp>
                      <wps:cNvSpPr txBox="1"/>
                      <wps:spPr>
                        <a:xfrm>
                          <a:off x="0" y="0"/>
                          <a:ext cx="463137" cy="382938"/>
                        </a:xfrm>
                        <a:prstGeom prst="rect">
                          <a:avLst/>
                        </a:prstGeom>
                        <a:noFill/>
                        <a:ln w="6350">
                          <a:noFill/>
                        </a:ln>
                        <a:effectLst/>
                      </wps:spPr>
                      <wps:txbx>
                        <w:txbxContent>
                          <w:p w14:paraId="0CA81495" w14:textId="77777777" w:rsidR="00230AB9" w:rsidRDefault="00230AB9" w:rsidP="00D740D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A7DCE5" id="Text Box 1122" o:spid="_x0000_s1098" type="#_x0000_t202" style="position:absolute;left:0;text-align:left;margin-left:262.7pt;margin-top:19.1pt;width:36.45pt;height:30.15pt;z-index:25225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" filled="f" stroked="f" strokeweight=".5pt">
                <v:textbox>
                  <w:txbxContent>
                    <w:p w14:paraId="0CA81495" w14:textId="77777777" w:rsidR="00230AB9" w:rsidRDefault="00230AB9" w:rsidP="00D740DC">
                      <w:r>
                        <w:t>b</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52160" behindDoc="0" locked="0" layoutInCell="1" allowOverlap="1" wp14:anchorId="4EB87250" wp14:editId="15064FE4">
                <wp:simplePos x="0" y="0"/>
                <wp:positionH relativeFrom="column">
                  <wp:posOffset>4417621</wp:posOffset>
                </wp:positionH>
                <wp:positionV relativeFrom="paragraph">
                  <wp:posOffset>65512</wp:posOffset>
                </wp:positionV>
                <wp:extent cx="94928" cy="106796"/>
                <wp:effectExtent l="0" t="0" r="19685" b="26670"/>
                <wp:wrapNone/>
                <wp:docPr id="1121" name="Oval 1121"/>
                <wp:cNvGraphicFramePr/>
                <a:graphic xmlns:a="http://schemas.openxmlformats.org/drawingml/2006/main">
                  <a:graphicData uri="http://schemas.microsoft.com/office/word/2010/wordprocessingShape">
                    <wps:wsp>
                      <wps:cNvSpPr/>
                      <wps:spPr>
                        <a:xfrm>
                          <a:off x="0" y="0"/>
                          <a:ext cx="94928" cy="106796"/>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CD39F7" id="Oval 1121" o:spid="_x0000_s1026" style="position:absolute;margin-left:347.85pt;margin-top:5.15pt;width:7.45pt;height:8.4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" fillcolor="#4f81bd" strokecolor="#385d8a" strokeweight="2pt"/>
            </w:pict>
          </mc:Fallback>
        </mc:AlternateContent>
      </w:r>
      <w:r w:rsidRPr="000E2377">
        <w:rPr>
          <w:rFonts w:cs="Times New Roman"/>
          <w:noProof/>
          <w:szCs w:val="24"/>
          <w:lang w:eastAsia="en-MY"/>
        </w:rPr>
        <mc:AlternateContent>
          <mc:Choice Requires="wps">
            <w:drawing>
              <wp:anchor distT="0" distB="0" distL="114300" distR="114300" simplePos="0" relativeHeight="252251136" behindDoc="0" locked="0" layoutInCell="1" allowOverlap="1" wp14:anchorId="2E3395BA" wp14:editId="0C03C762">
                <wp:simplePos x="0" y="0"/>
                <wp:positionH relativeFrom="column">
                  <wp:posOffset>3384468</wp:posOffset>
                </wp:positionH>
                <wp:positionV relativeFrom="paragraph">
                  <wp:posOffset>65512</wp:posOffset>
                </wp:positionV>
                <wp:extent cx="106787" cy="106796"/>
                <wp:effectExtent l="0" t="0" r="26670" b="26670"/>
                <wp:wrapNone/>
                <wp:docPr id="18" name="Oval 18"/>
                <wp:cNvGraphicFramePr/>
                <a:graphic xmlns:a="http://schemas.openxmlformats.org/drawingml/2006/main">
                  <a:graphicData uri="http://schemas.microsoft.com/office/word/2010/wordprocessingShape">
                    <wps:wsp>
                      <wps:cNvSpPr/>
                      <wps:spPr>
                        <a:xfrm>
                          <a:off x="0" y="0"/>
                          <a:ext cx="106787" cy="106796"/>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46D0CD" id="Oval 18" o:spid="_x0000_s1026" style="position:absolute;margin-left:266.5pt;margin-top:5.15pt;width:8.4pt;height:8.4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" fillcolor="#4f81bd" strokecolor="#385d8a" strokeweight="2pt"/>
            </w:pict>
          </mc:Fallback>
        </mc:AlternateContent>
      </w:r>
      <w:r w:rsidRPr="000E2377">
        <w:rPr>
          <w:rFonts w:cs="Times New Roman"/>
          <w:noProof/>
          <w:szCs w:val="24"/>
          <w:lang w:eastAsia="en-MY"/>
        </w:rPr>
        <mc:AlternateContent>
          <mc:Choice Requires="wps">
            <w:drawing>
              <wp:anchor distT="0" distB="0" distL="114300" distR="114300" simplePos="0" relativeHeight="252250112" behindDoc="0" locked="0" layoutInCell="1" allowOverlap="1" wp14:anchorId="0804A0AB" wp14:editId="34947E16">
                <wp:simplePos x="0" y="0"/>
                <wp:positionH relativeFrom="column">
                  <wp:posOffset>1685925</wp:posOffset>
                </wp:positionH>
                <wp:positionV relativeFrom="paragraph">
                  <wp:posOffset>65009</wp:posOffset>
                </wp:positionV>
                <wp:extent cx="106878" cy="106877"/>
                <wp:effectExtent l="0" t="0" r="26670" b="26670"/>
                <wp:wrapNone/>
                <wp:docPr id="7" name="Oval 7"/>
                <wp:cNvGraphicFramePr/>
                <a:graphic xmlns:a="http://schemas.openxmlformats.org/drawingml/2006/main">
                  <a:graphicData uri="http://schemas.microsoft.com/office/word/2010/wordprocessingShape">
                    <wps:wsp>
                      <wps:cNvSpPr/>
                      <wps:spPr>
                        <a:xfrm>
                          <a:off x="0" y="0"/>
                          <a:ext cx="106878" cy="106877"/>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37AEE7" id="Oval 7" o:spid="_x0000_s1026" style="position:absolute;margin-left:132.75pt;margin-top:5.1pt;width:8.4pt;height:8.4pt;z-index:25225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" fillcolor="#4f81bd" strokecolor="#385d8a" strokeweight="2pt"/>
            </w:pict>
          </mc:Fallback>
        </mc:AlternateContent>
      </w:r>
      <w:r w:rsidRPr="000E2377">
        <w:rPr>
          <w:rFonts w:cs="Times New Roman"/>
          <w:noProof/>
          <w:szCs w:val="24"/>
          <w:lang w:eastAsia="en-MY"/>
        </w:rPr>
        <mc:AlternateContent>
          <mc:Choice Requires="wps">
            <w:drawing>
              <wp:anchor distT="0" distB="0" distL="114300" distR="114300" simplePos="0" relativeHeight="252249088" behindDoc="0" locked="0" layoutInCell="1" allowOverlap="1" wp14:anchorId="3FB5F426" wp14:editId="42642DB2">
                <wp:simplePos x="0" y="0"/>
                <wp:positionH relativeFrom="column">
                  <wp:posOffset>1615044</wp:posOffset>
                </wp:positionH>
                <wp:positionV relativeFrom="paragraph">
                  <wp:posOffset>124740</wp:posOffset>
                </wp:positionV>
                <wp:extent cx="296883" cy="288381"/>
                <wp:effectExtent l="0" t="0" r="0" b="0"/>
                <wp:wrapNone/>
                <wp:docPr id="8" name="Text Box 8"/>
                <wp:cNvGraphicFramePr/>
                <a:graphic xmlns:a="http://schemas.openxmlformats.org/drawingml/2006/main">
                  <a:graphicData uri="http://schemas.microsoft.com/office/word/2010/wordprocessingShape">
                    <wps:wsp>
                      <wps:cNvSpPr txBox="1"/>
                      <wps:spPr>
                        <a:xfrm>
                          <a:off x="0" y="0"/>
                          <a:ext cx="296883" cy="288381"/>
                        </a:xfrm>
                        <a:prstGeom prst="rect">
                          <a:avLst/>
                        </a:prstGeom>
                        <a:noFill/>
                        <a:ln w="6350">
                          <a:noFill/>
                        </a:ln>
                        <a:effectLst/>
                      </wps:spPr>
                      <wps:txbx>
                        <w:txbxContent>
                          <w:p w14:paraId="1D1925AE" w14:textId="77777777" w:rsidR="00230AB9" w:rsidRDefault="00230AB9" w:rsidP="00D740D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B5F426" id="Text Box 8" o:spid="_x0000_s1099" type="#_x0000_t202" style="position:absolute;left:0;text-align:left;margin-left:127.15pt;margin-top:9.8pt;width:23.4pt;height:22.7pt;z-index:252249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" filled="f" stroked="f" strokeweight=".5pt">
                <v:textbox>
                  <w:txbxContent>
                    <w:p w14:paraId="1D1925AE" w14:textId="77777777" w:rsidR="00230AB9" w:rsidRDefault="00230AB9" w:rsidP="00D740DC">
                      <w:r>
                        <w:t>a</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47040" behindDoc="0" locked="0" layoutInCell="1" allowOverlap="1" wp14:anchorId="1839E1FA" wp14:editId="7F9F0544">
                <wp:simplePos x="0" y="0"/>
                <wp:positionH relativeFrom="column">
                  <wp:posOffset>4238839</wp:posOffset>
                </wp:positionH>
                <wp:positionV relativeFrom="paragraph">
                  <wp:posOffset>215645</wp:posOffset>
                </wp:positionV>
                <wp:extent cx="356235" cy="104140"/>
                <wp:effectExtent l="76200" t="19050" r="43815" b="105410"/>
                <wp:wrapNone/>
                <wp:docPr id="1079" name="Right Arrow 1079"/>
                <wp:cNvGraphicFramePr/>
                <a:graphic xmlns:a="http://schemas.openxmlformats.org/drawingml/2006/main">
                  <a:graphicData uri="http://schemas.microsoft.com/office/word/2010/wordprocessingShape">
                    <wps:wsp>
                      <wps:cNvSpPr/>
                      <wps:spPr>
                        <a:xfrm>
                          <a:off x="0" y="0"/>
                          <a:ext cx="356235" cy="104140"/>
                        </a:xfrm>
                        <a:prstGeom prst="rightArrow">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E779BE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79" o:spid="_x0000_s1026" type="#_x0000_t13" style="position:absolute;margin-left:333.75pt;margin-top:17pt;width:28.05pt;height:8.2pt;z-index:25224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" adj="18443" fillcolor="#769535" stroked="f">
                <v:fill color2="#9cc746" rotate="t" angle="180" colors="0 #769535;52429f #9bc348;1 #9cc746" focus="100%" type="gradient">
                  <o:fill v:ext="view" type="gradientUnscaled"/>
                </v:fill>
                <v:shadow on="t" color="black" opacity="22937f" origin=",.5" offset="0,.63889mm"/>
              </v:shape>
            </w:pict>
          </mc:Fallback>
        </mc:AlternateContent>
      </w:r>
      <w:r w:rsidRPr="000E2377">
        <w:rPr>
          <w:rFonts w:cs="Times New Roman"/>
          <w:noProof/>
          <w:szCs w:val="24"/>
          <w:lang w:eastAsia="en-MY"/>
        </w:rPr>
        <mc:AlternateContent>
          <mc:Choice Requires="wps">
            <w:drawing>
              <wp:anchor distT="0" distB="0" distL="114300" distR="114300" simplePos="0" relativeHeight="252248064" behindDoc="0" locked="0" layoutInCell="1" allowOverlap="1" wp14:anchorId="1299EC8E" wp14:editId="3614B7F6">
                <wp:simplePos x="0" y="0"/>
                <wp:positionH relativeFrom="column">
                  <wp:posOffset>3217545</wp:posOffset>
                </wp:positionH>
                <wp:positionV relativeFrom="paragraph">
                  <wp:posOffset>212090</wp:posOffset>
                </wp:positionV>
                <wp:extent cx="403225" cy="92075"/>
                <wp:effectExtent l="76200" t="19050" r="34925" b="117475"/>
                <wp:wrapNone/>
                <wp:docPr id="1080" name="Right Arrow 1080"/>
                <wp:cNvGraphicFramePr/>
                <a:graphic xmlns:a="http://schemas.openxmlformats.org/drawingml/2006/main">
                  <a:graphicData uri="http://schemas.microsoft.com/office/word/2010/wordprocessingShape">
                    <wps:wsp>
                      <wps:cNvSpPr/>
                      <wps:spPr>
                        <a:xfrm>
                          <a:off x="0" y="0"/>
                          <a:ext cx="403225" cy="92075"/>
                        </a:xfrm>
                        <a:prstGeom prst="rightArrow">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9C29B97" id="Right Arrow 1080" o:spid="_x0000_s1026" type="#_x0000_t13" style="position:absolute;margin-left:253.35pt;margin-top:16.7pt;width:31.75pt;height:7.25pt;z-index:25224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" adj="19134" fillcolor="#769535" stroked="f">
                <v:fill color2="#9cc746" rotate="t" angle="180" colors="0 #769535;52429f #9bc348;1 #9cc746" focus="100%" type="gradient">
                  <o:fill v:ext="view" type="gradientUnscaled"/>
                </v:fill>
                <v:shadow on="t" color="black" opacity="22937f" origin=",.5" offset="0,.63889mm"/>
              </v:shape>
            </w:pict>
          </mc:Fallback>
        </mc:AlternateContent>
      </w:r>
      <w:r w:rsidRPr="000E2377">
        <w:rPr>
          <w:rFonts w:cs="Times New Roman"/>
          <w:noProof/>
          <w:szCs w:val="24"/>
          <w:lang w:eastAsia="en-MY"/>
        </w:rPr>
        <mc:AlternateContent>
          <mc:Choice Requires="wps">
            <w:drawing>
              <wp:anchor distT="0" distB="0" distL="114300" distR="114300" simplePos="0" relativeHeight="252246016" behindDoc="0" locked="0" layoutInCell="1" allowOverlap="1" wp14:anchorId="53E230EE" wp14:editId="277C0F20">
                <wp:simplePos x="0" y="0"/>
                <wp:positionH relativeFrom="column">
                  <wp:posOffset>712239</wp:posOffset>
                </wp:positionH>
                <wp:positionV relativeFrom="paragraph">
                  <wp:posOffset>214564</wp:posOffset>
                </wp:positionV>
                <wp:extent cx="261258" cy="105542"/>
                <wp:effectExtent l="76200" t="19050" r="43815" b="104140"/>
                <wp:wrapNone/>
                <wp:docPr id="1078" name="Right Arrow 1078"/>
                <wp:cNvGraphicFramePr/>
                <a:graphic xmlns:a="http://schemas.openxmlformats.org/drawingml/2006/main">
                  <a:graphicData uri="http://schemas.microsoft.com/office/word/2010/wordprocessingShape">
                    <wps:wsp>
                      <wps:cNvSpPr/>
                      <wps:spPr>
                        <a:xfrm>
                          <a:off x="0" y="0"/>
                          <a:ext cx="261258" cy="105542"/>
                        </a:xfrm>
                        <a:prstGeom prst="rightArrow">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374440" id="Right Arrow 1078" o:spid="_x0000_s1026" type="#_x0000_t13" style="position:absolute;margin-left:56.1pt;margin-top:16.9pt;width:20.55pt;height:8.3pt;z-index:25224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" adj="17237" fillcolor="#769535" stroked="f">
                <v:fill color2="#9cc746" rotate="t" angle="180" colors="0 #769535;52429f #9bc348;1 #9cc746" focus="100%" type="gradient">
                  <o:fill v:ext="view" type="gradientUnscaled"/>
                </v:fill>
                <v:shadow on="t" color="black" opacity="22937f" origin=",.5" offset="0,.63889mm"/>
              </v:shape>
            </w:pict>
          </mc:Fallback>
        </mc:AlternateContent>
      </w:r>
      <w:r w:rsidRPr="000E2377">
        <w:rPr>
          <w:rFonts w:cs="Times New Roman"/>
          <w:noProof/>
          <w:szCs w:val="24"/>
          <w:lang w:eastAsia="en-MY"/>
        </w:rPr>
        <mc:AlternateContent>
          <mc:Choice Requires="wps">
            <w:drawing>
              <wp:anchor distT="0" distB="0" distL="114300" distR="114300" simplePos="0" relativeHeight="252221440" behindDoc="0" locked="0" layoutInCell="1" allowOverlap="1" wp14:anchorId="5D5D1158" wp14:editId="566F4B30">
                <wp:simplePos x="0" y="0"/>
                <wp:positionH relativeFrom="column">
                  <wp:posOffset>498475</wp:posOffset>
                </wp:positionH>
                <wp:positionV relativeFrom="paragraph">
                  <wp:posOffset>107950</wp:posOffset>
                </wp:positionV>
                <wp:extent cx="3205480" cy="45085"/>
                <wp:effectExtent l="0" t="0" r="13970" b="12065"/>
                <wp:wrapNone/>
                <wp:docPr id="10" name="Rectangle 10"/>
                <wp:cNvGraphicFramePr/>
                <a:graphic xmlns:a="http://schemas.openxmlformats.org/drawingml/2006/main">
                  <a:graphicData uri="http://schemas.microsoft.com/office/word/2010/wordprocessingShape">
                    <wps:wsp>
                      <wps:cNvSpPr/>
                      <wps:spPr>
                        <a:xfrm>
                          <a:off x="0" y="0"/>
                          <a:ext cx="3205480" cy="45085"/>
                        </a:xfrm>
                        <a:prstGeom prst="rect">
                          <a:avLst/>
                        </a:prstGeom>
                        <a:solidFill>
                          <a:srgbClr val="F79646"/>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0D45A0" id="Rectangle 10" o:spid="_x0000_s1026" style="position:absolute;margin-left:39.25pt;margin-top:8.5pt;width:252.4pt;height:3.55pt;z-index:25222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" fillcolor="#f79646" strokecolor="#fac090" strokeweight="2pt"/>
            </w:pict>
          </mc:Fallback>
        </mc:AlternateContent>
      </w:r>
      <w:r w:rsidRPr="000E2377">
        <w:rPr>
          <w:rFonts w:cs="Times New Roman"/>
          <w:noProof/>
          <w:szCs w:val="24"/>
          <w:lang w:eastAsia="en-MY"/>
        </w:rPr>
        <mc:AlternateContent>
          <mc:Choice Requires="wps">
            <w:drawing>
              <wp:anchor distT="0" distB="0" distL="114300" distR="114300" simplePos="0" relativeHeight="252226560" behindDoc="0" locked="0" layoutInCell="1" allowOverlap="1" wp14:anchorId="06A451B3" wp14:editId="68DEEAA9">
                <wp:simplePos x="0" y="0"/>
                <wp:positionH relativeFrom="column">
                  <wp:posOffset>4073236</wp:posOffset>
                </wp:positionH>
                <wp:positionV relativeFrom="paragraph">
                  <wp:posOffset>109575</wp:posOffset>
                </wp:positionV>
                <wp:extent cx="712470" cy="45719"/>
                <wp:effectExtent l="0" t="0" r="11430" b="12065"/>
                <wp:wrapNone/>
                <wp:docPr id="13" name="Rectangle 13"/>
                <wp:cNvGraphicFramePr/>
                <a:graphic xmlns:a="http://schemas.openxmlformats.org/drawingml/2006/main">
                  <a:graphicData uri="http://schemas.microsoft.com/office/word/2010/wordprocessingShape">
                    <wps:wsp>
                      <wps:cNvSpPr/>
                      <wps:spPr>
                        <a:xfrm>
                          <a:off x="0" y="0"/>
                          <a:ext cx="712470" cy="45719"/>
                        </a:xfrm>
                        <a:prstGeom prst="rect">
                          <a:avLst/>
                        </a:prstGeom>
                        <a:solidFill>
                          <a:sysClr val="window" lastClr="FFFFFF">
                            <a:lumMod val="85000"/>
                          </a:sysClr>
                        </a:solidFill>
                        <a:ln w="25400" cap="flat" cmpd="sng" algn="ctr">
                          <a:solidFill>
                            <a:sysClr val="window" lastClr="FFFFFF">
                              <a:lumMod val="7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A24F0B" id="Rectangle 13" o:spid="_x0000_s1026" style="position:absolute;margin-left:320.75pt;margin-top:8.65pt;width:56.1pt;height:3.6pt;z-index:252226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" fillcolor="#d9d9d9" strokecolor="#bfbfbf" strokeweight="2pt"/>
            </w:pict>
          </mc:Fallback>
        </mc:AlternateContent>
      </w:r>
      <w:r w:rsidRPr="000E2377">
        <w:rPr>
          <w:rFonts w:cs="Times New Roman"/>
          <w:noProof/>
          <w:szCs w:val="24"/>
          <w:lang w:eastAsia="en-MY"/>
        </w:rPr>
        <mc:AlternateContent>
          <mc:Choice Requires="wps">
            <w:drawing>
              <wp:anchor distT="0" distB="0" distL="114300" distR="114300" simplePos="0" relativeHeight="252229632" behindDoc="0" locked="0" layoutInCell="1" allowOverlap="1" wp14:anchorId="4ADD3CCC" wp14:editId="24722B10">
                <wp:simplePos x="0" y="0"/>
                <wp:positionH relativeFrom="column">
                  <wp:posOffset>498764</wp:posOffset>
                </wp:positionH>
                <wp:positionV relativeFrom="paragraph">
                  <wp:posOffset>259962</wp:posOffset>
                </wp:positionV>
                <wp:extent cx="914400" cy="320634"/>
                <wp:effectExtent l="0" t="0" r="0" b="3810"/>
                <wp:wrapNone/>
                <wp:docPr id="1123" name="Text Box 1123"/>
                <wp:cNvGraphicFramePr/>
                <a:graphic xmlns:a="http://schemas.openxmlformats.org/drawingml/2006/main">
                  <a:graphicData uri="http://schemas.microsoft.com/office/word/2010/wordprocessingShape">
                    <wps:wsp>
                      <wps:cNvSpPr txBox="1"/>
                      <wps:spPr>
                        <a:xfrm>
                          <a:off x="0" y="0"/>
                          <a:ext cx="914400" cy="320634"/>
                        </a:xfrm>
                        <a:prstGeom prst="rect">
                          <a:avLst/>
                        </a:prstGeom>
                        <a:noFill/>
                        <a:ln w="6350">
                          <a:noFill/>
                        </a:ln>
                        <a:effectLst/>
                      </wps:spPr>
                      <wps:txbx>
                        <w:txbxContent>
                          <w:p w14:paraId="410BA5F1" w14:textId="77777777" w:rsidR="00230AB9" w:rsidRDefault="00230AB9" w:rsidP="00D740DC">
                            <w:r>
                              <w:t>Inert gas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DD3CCC" id="Text Box 1123" o:spid="_x0000_s1100" type="#_x0000_t202" style="position:absolute;left:0;text-align:left;margin-left:39.25pt;margin-top:20.45pt;width:1in;height:25.25pt;z-index:252229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" filled="f" stroked="f" strokeweight=".5pt">
                <v:textbox>
                  <w:txbxContent>
                    <w:p w14:paraId="410BA5F1" w14:textId="77777777" w:rsidR="00230AB9" w:rsidRDefault="00230AB9" w:rsidP="00D740DC">
                      <w:r>
                        <w:t>Inert gas</w:t>
                      </w:r>
                    </w:p>
                  </w:txbxContent>
                </v:textbox>
              </v:shape>
            </w:pict>
          </mc:Fallback>
        </mc:AlternateContent>
      </w:r>
    </w:p>
    <w:p w14:paraId="37CA6AC1" w14:textId="77777777" w:rsidR="00D740DC" w:rsidRPr="000E2377" w:rsidRDefault="00D740DC" w:rsidP="00D740DC">
      <w:pPr>
        <w:spacing w:line="360" w:lineRule="auto"/>
        <w:jc w:val="both"/>
        <w:rPr>
          <w:rFonts w:cs="Times New Roman"/>
          <w:szCs w:val="24"/>
        </w:rPr>
      </w:pPr>
    </w:p>
    <w:p w14:paraId="6B6E3059" w14:textId="6A01F69E" w:rsidR="00D740DC" w:rsidRPr="000E2377" w:rsidRDefault="00D740DC" w:rsidP="00D740DC">
      <w:pPr>
        <w:pStyle w:val="Caption"/>
        <w:rPr>
          <w:szCs w:val="24"/>
        </w:rPr>
      </w:pPr>
      <w:bookmarkStart w:id="352" w:name="_Toc450436819"/>
      <w:bookmarkStart w:id="353" w:name="_Toc450502354"/>
      <w:bookmarkStart w:id="354" w:name="_Toc450503410"/>
      <w:bookmarkStart w:id="355" w:name="_Toc450506338"/>
      <w:bookmarkStart w:id="356" w:name="_Toc521420455"/>
      <w:bookmarkStart w:id="357" w:name="_Toc525223190"/>
      <w:bookmarkStart w:id="358" w:name="_Toc525528337"/>
      <w:bookmarkStart w:id="359" w:name="_Toc525706352"/>
      <w:r w:rsidRPr="000E2377">
        <w:t xml:space="preserve">Figure </w:t>
      </w:r>
      <w:r>
        <w:t>3</w:t>
      </w:r>
      <w:r w:rsidRPr="000E2377">
        <w:t>.</w:t>
      </w:r>
      <w:r w:rsidRPr="000E2377">
        <w:fldChar w:fldCharType="begin"/>
      </w:r>
      <w:r w:rsidRPr="000E2377">
        <w:instrText xml:space="preserve"> SEQ Figure \* ARABIC \s 1 </w:instrText>
      </w:r>
      <w:r w:rsidRPr="000E2377">
        <w:fldChar w:fldCharType="separate"/>
      </w:r>
      <w:r w:rsidR="00C827AE">
        <w:rPr>
          <w:noProof/>
        </w:rPr>
        <w:t>3</w:t>
      </w:r>
      <w:r w:rsidRPr="000E2377">
        <w:fldChar w:fldCharType="end"/>
      </w:r>
      <w:r w:rsidRPr="000E2377">
        <w:t xml:space="preserve">: </w:t>
      </w:r>
      <w:r w:rsidRPr="000E2377">
        <w:rPr>
          <w:szCs w:val="24"/>
        </w:rPr>
        <w:t xml:space="preserve">Operation principle of Micromeritics </w:t>
      </w:r>
      <w:proofErr w:type="spellStart"/>
      <w:r w:rsidRPr="000E2377">
        <w:rPr>
          <w:szCs w:val="24"/>
        </w:rPr>
        <w:t>AccuPyc</w:t>
      </w:r>
      <w:proofErr w:type="spellEnd"/>
      <w:r w:rsidRPr="000E2377">
        <w:rPr>
          <w:szCs w:val="24"/>
        </w:rPr>
        <w:t xml:space="preserve"> 1340</w:t>
      </w:r>
      <w:bookmarkEnd w:id="352"/>
      <w:bookmarkEnd w:id="353"/>
      <w:bookmarkEnd w:id="354"/>
      <w:r w:rsidRPr="000E2377">
        <w:rPr>
          <w:szCs w:val="24"/>
        </w:rPr>
        <w:t>.</w:t>
      </w:r>
      <w:bookmarkEnd w:id="355"/>
      <w:bookmarkEnd w:id="356"/>
      <w:bookmarkEnd w:id="357"/>
      <w:bookmarkEnd w:id="358"/>
      <w:bookmarkEnd w:id="359"/>
      <w:r w:rsidRPr="000E2377">
        <w:rPr>
          <w:szCs w:val="24"/>
        </w:rPr>
        <w:t xml:space="preserve"> </w:t>
      </w:r>
    </w:p>
    <w:p w14:paraId="7D41B60C" w14:textId="77777777" w:rsidR="00D740DC" w:rsidRPr="000E2377" w:rsidRDefault="00D740DC" w:rsidP="00D740DC">
      <w:pPr>
        <w:rPr>
          <w:lang w:val="en-GB"/>
        </w:rPr>
      </w:pPr>
    </w:p>
    <w:p w14:paraId="5CF1E3F7" w14:textId="77777777" w:rsidR="00D740DC" w:rsidRPr="000E2377" w:rsidRDefault="00D740DC" w:rsidP="00D740DC">
      <w:pPr>
        <w:keepNext/>
        <w:keepLines/>
        <w:numPr>
          <w:ilvl w:val="2"/>
          <w:numId w:val="1"/>
        </w:numPr>
        <w:spacing w:before="40" w:after="0" w:line="360" w:lineRule="auto"/>
        <w:outlineLvl w:val="2"/>
        <w:rPr>
          <w:rFonts w:eastAsiaTheme="majorEastAsia" w:cstheme="majorBidi"/>
          <w:vanish/>
          <w:color w:val="000000" w:themeColor="text1"/>
          <w:szCs w:val="24"/>
        </w:rPr>
      </w:pPr>
      <w:bookmarkStart w:id="360" w:name="_Toc515398724"/>
      <w:bookmarkStart w:id="361" w:name="_Toc523153579"/>
      <w:bookmarkStart w:id="362" w:name="_Toc523402901"/>
      <w:bookmarkStart w:id="363" w:name="_Toc525222370"/>
      <w:bookmarkStart w:id="364" w:name="_Toc525526412"/>
      <w:bookmarkStart w:id="365" w:name="_Toc525703738"/>
      <w:bookmarkStart w:id="366" w:name="_Toc525707540"/>
      <w:bookmarkStart w:id="367" w:name="_Toc525707829"/>
      <w:bookmarkStart w:id="368" w:name="_Toc525742494"/>
      <w:bookmarkStart w:id="369" w:name="_Toc10983092"/>
      <w:bookmarkStart w:id="370" w:name="_Toc12994957"/>
      <w:bookmarkEnd w:id="360"/>
      <w:bookmarkEnd w:id="361"/>
      <w:bookmarkEnd w:id="362"/>
      <w:bookmarkEnd w:id="363"/>
      <w:bookmarkEnd w:id="364"/>
      <w:bookmarkEnd w:id="365"/>
      <w:bookmarkEnd w:id="366"/>
      <w:bookmarkEnd w:id="367"/>
      <w:bookmarkEnd w:id="368"/>
      <w:bookmarkEnd w:id="369"/>
      <w:bookmarkEnd w:id="370"/>
    </w:p>
    <w:p w14:paraId="46C37371" w14:textId="77777777" w:rsidR="00D740DC" w:rsidRPr="000E2377" w:rsidRDefault="00D740DC" w:rsidP="00D740DC">
      <w:pPr>
        <w:keepNext/>
        <w:keepLines/>
        <w:numPr>
          <w:ilvl w:val="3"/>
          <w:numId w:val="1"/>
        </w:numPr>
        <w:spacing w:before="40" w:after="0" w:line="360" w:lineRule="auto"/>
        <w:outlineLvl w:val="3"/>
        <w:rPr>
          <w:rFonts w:eastAsiaTheme="majorEastAsia" w:cstheme="majorBidi"/>
          <w:iCs/>
          <w:vanish/>
          <w:color w:val="000000" w:themeColor="text1"/>
        </w:rPr>
      </w:pPr>
      <w:bookmarkStart w:id="371" w:name="_Toc523153580"/>
      <w:bookmarkStart w:id="372" w:name="_Toc523402798"/>
      <w:bookmarkStart w:id="373" w:name="_Toc523402902"/>
      <w:bookmarkStart w:id="374" w:name="_Toc525222371"/>
      <w:bookmarkStart w:id="375" w:name="_Toc525526413"/>
      <w:bookmarkStart w:id="376" w:name="_Toc525703739"/>
      <w:bookmarkStart w:id="377" w:name="_Toc525707541"/>
      <w:bookmarkStart w:id="378" w:name="_Toc525707830"/>
      <w:bookmarkStart w:id="379" w:name="_Toc525742495"/>
      <w:bookmarkEnd w:id="371"/>
      <w:bookmarkEnd w:id="372"/>
      <w:bookmarkEnd w:id="373"/>
      <w:bookmarkEnd w:id="374"/>
      <w:bookmarkEnd w:id="375"/>
      <w:bookmarkEnd w:id="376"/>
      <w:bookmarkEnd w:id="377"/>
      <w:bookmarkEnd w:id="378"/>
      <w:bookmarkEnd w:id="379"/>
    </w:p>
    <w:p w14:paraId="5330816E" w14:textId="77777777" w:rsidR="00D740DC" w:rsidRPr="000E2377" w:rsidRDefault="00D740DC" w:rsidP="00D740DC">
      <w:pPr>
        <w:keepNext/>
        <w:keepLines/>
        <w:spacing w:before="40" w:after="0" w:line="360" w:lineRule="auto"/>
        <w:outlineLvl w:val="3"/>
        <w:rPr>
          <w:rFonts w:eastAsia="Calibri" w:cstheme="majorBidi"/>
          <w:iCs/>
          <w:color w:val="000000" w:themeColor="text1"/>
          <w:lang w:eastAsia="tr-TR"/>
        </w:rPr>
      </w:pPr>
      <w:bookmarkStart w:id="380" w:name="_Toc523402903"/>
      <w:bookmarkStart w:id="381" w:name="_Toc525526414"/>
      <w:bookmarkStart w:id="382" w:name="_Toc525707831"/>
      <w:bookmarkStart w:id="383" w:name="_Toc525742496"/>
      <w:r w:rsidRPr="000E2377">
        <w:rPr>
          <w:rFonts w:eastAsia="Calibri" w:cstheme="majorBidi"/>
          <w:iCs/>
          <w:color w:val="000000" w:themeColor="text1"/>
          <w:lang w:eastAsia="tr-TR"/>
        </w:rPr>
        <w:t>3.4.2 Differential thermal analysis (DTA)</w:t>
      </w:r>
      <w:bookmarkEnd w:id="380"/>
      <w:bookmarkEnd w:id="381"/>
      <w:bookmarkEnd w:id="382"/>
      <w:bookmarkEnd w:id="383"/>
    </w:p>
    <w:p w14:paraId="06E22877" w14:textId="77777777" w:rsidR="00D740DC" w:rsidRPr="000E2377" w:rsidRDefault="00D740DC" w:rsidP="002B5521">
      <w:pPr>
        <w:spacing w:after="0" w:line="360" w:lineRule="auto"/>
        <w:jc w:val="both"/>
        <w:rPr>
          <w:rFonts w:cs="Times New Roman"/>
          <w:b w:val="0"/>
          <w:szCs w:val="24"/>
        </w:rPr>
      </w:pPr>
      <w:r w:rsidRPr="000E2377">
        <w:rPr>
          <w:rFonts w:cs="Times New Roman"/>
          <w:b w:val="0"/>
          <w:szCs w:val="24"/>
        </w:rPr>
        <w:t>The glass transition temperatures (</w:t>
      </w:r>
      <w:proofErr w:type="spellStart"/>
      <w:r w:rsidRPr="000E2377">
        <w:rPr>
          <w:rFonts w:cs="Times New Roman"/>
          <w:b w:val="0"/>
          <w:szCs w:val="24"/>
        </w:rPr>
        <w:t>T</w:t>
      </w:r>
      <w:r w:rsidRPr="000E2377">
        <w:rPr>
          <w:rFonts w:cs="Times New Roman"/>
          <w:b w:val="0"/>
          <w:i/>
          <w:szCs w:val="24"/>
          <w:vertAlign w:val="subscript"/>
        </w:rPr>
        <w:t>g</w:t>
      </w:r>
      <w:proofErr w:type="spellEnd"/>
      <w:r w:rsidRPr="000E2377">
        <w:rPr>
          <w:rFonts w:cs="Times New Roman"/>
          <w:b w:val="0"/>
          <w:szCs w:val="24"/>
        </w:rPr>
        <w:t>) of the glasses were obtained using differential thermal analysis (Perkin Elmer STA 8000).  The samples were compared to an alumina reference by recording the difference in temperature between these materials when subjected to the same heating profile. There will be no difference in temperature until a thermal process such as decomposition or melting occurs. When a thermal event happen</w:t>
      </w:r>
      <w:r>
        <w:rPr>
          <w:rFonts w:cs="Times New Roman"/>
          <w:b w:val="0"/>
          <w:szCs w:val="24"/>
        </w:rPr>
        <w:t>s</w:t>
      </w:r>
      <w:r w:rsidRPr="000E2377">
        <w:rPr>
          <w:rFonts w:cs="Times New Roman"/>
          <w:b w:val="0"/>
          <w:szCs w:val="24"/>
        </w:rPr>
        <w:t>, an endothermic or exothermic peak will be obtained. The measurements were conducted in air. Approximately 25 g of sieved glass samples (&lt;75</w:t>
      </w:r>
      <w:r>
        <w:rPr>
          <w:rFonts w:cs="Times New Roman"/>
          <w:b w:val="0"/>
          <w:szCs w:val="24"/>
        </w:rPr>
        <w:t xml:space="preserve"> </w:t>
      </w:r>
      <w:r w:rsidRPr="000E2377">
        <w:rPr>
          <w:rFonts w:cs="Times New Roman"/>
          <w:b w:val="0"/>
          <w:szCs w:val="24"/>
        </w:rPr>
        <w:t>µm) were heated at 10</w:t>
      </w:r>
      <w:r>
        <w:rPr>
          <w:rFonts w:cs="Times New Roman"/>
          <w:b w:val="0"/>
          <w:szCs w:val="24"/>
        </w:rPr>
        <w:t xml:space="preserve"> </w:t>
      </w:r>
      <w:r w:rsidRPr="000E2377">
        <w:rPr>
          <w:rFonts w:cs="Times New Roman"/>
          <w:b w:val="0"/>
          <w:szCs w:val="24"/>
        </w:rPr>
        <w:t>°C/min to 1000</w:t>
      </w:r>
      <w:r>
        <w:rPr>
          <w:rFonts w:cs="Times New Roman"/>
          <w:b w:val="0"/>
          <w:szCs w:val="24"/>
        </w:rPr>
        <w:t xml:space="preserve"> </w:t>
      </w:r>
      <w:r w:rsidRPr="000E2377">
        <w:rPr>
          <w:rFonts w:cs="Times New Roman"/>
          <w:b w:val="0"/>
          <w:szCs w:val="24"/>
        </w:rPr>
        <w:t>°C in order to fully relax the sample, then cooled at 10</w:t>
      </w:r>
      <w:r>
        <w:rPr>
          <w:rFonts w:cs="Times New Roman"/>
          <w:b w:val="0"/>
          <w:szCs w:val="24"/>
        </w:rPr>
        <w:t xml:space="preserve"> </w:t>
      </w:r>
      <w:r w:rsidRPr="000E2377">
        <w:rPr>
          <w:rFonts w:cs="Times New Roman"/>
          <w:b w:val="0"/>
          <w:szCs w:val="24"/>
        </w:rPr>
        <w:t xml:space="preserve">°C/min. The samples were then subjected to another heating at </w:t>
      </w:r>
      <w:r w:rsidRPr="000E2377">
        <w:rPr>
          <w:rFonts w:cs="Times New Roman"/>
          <w:b w:val="0"/>
          <w:szCs w:val="24"/>
        </w:rPr>
        <w:lastRenderedPageBreak/>
        <w:t>10</w:t>
      </w:r>
      <w:r>
        <w:rPr>
          <w:rFonts w:cs="Times New Roman"/>
          <w:b w:val="0"/>
          <w:szCs w:val="24"/>
        </w:rPr>
        <w:t xml:space="preserve"> </w:t>
      </w:r>
      <w:r w:rsidRPr="000E2377">
        <w:rPr>
          <w:rFonts w:cs="Times New Roman"/>
          <w:b w:val="0"/>
          <w:szCs w:val="24"/>
        </w:rPr>
        <w:t>°C/min to 1000</w:t>
      </w:r>
      <w:r>
        <w:rPr>
          <w:rFonts w:cs="Times New Roman"/>
          <w:b w:val="0"/>
          <w:szCs w:val="24"/>
        </w:rPr>
        <w:t xml:space="preserve"> </w:t>
      </w:r>
      <w:r w:rsidRPr="000E2377">
        <w:rPr>
          <w:rFonts w:cs="Times New Roman"/>
          <w:b w:val="0"/>
          <w:szCs w:val="24"/>
        </w:rPr>
        <w:t>°C. The recorded heat flow on the first heat</w:t>
      </w:r>
      <w:r>
        <w:rPr>
          <w:rFonts w:cs="Times New Roman"/>
          <w:b w:val="0"/>
          <w:szCs w:val="24"/>
        </w:rPr>
        <w:t>ing cycle</w:t>
      </w:r>
      <w:r w:rsidRPr="000E2377">
        <w:rPr>
          <w:rFonts w:cs="Times New Roman"/>
          <w:b w:val="0"/>
          <w:szCs w:val="24"/>
        </w:rPr>
        <w:t xml:space="preserve"> reflects the enthalpy response of a sample with an unknown thermal history, whereas the second heating refle</w:t>
      </w:r>
      <w:r>
        <w:rPr>
          <w:rFonts w:cs="Times New Roman"/>
          <w:b w:val="0"/>
          <w:szCs w:val="24"/>
        </w:rPr>
        <w:t>ct</w:t>
      </w:r>
      <w:r w:rsidRPr="000E2377">
        <w:rPr>
          <w:rFonts w:cs="Times New Roman"/>
          <w:b w:val="0"/>
          <w:szCs w:val="24"/>
        </w:rPr>
        <w:t xml:space="preserve">s the enthalpy response of the sample with a well-defined thermal history and thus is more reproducible. </w:t>
      </w:r>
      <w:proofErr w:type="spellStart"/>
      <w:r w:rsidRPr="000E2377">
        <w:rPr>
          <w:rFonts w:cs="Times New Roman"/>
          <w:b w:val="0"/>
          <w:szCs w:val="24"/>
        </w:rPr>
        <w:t>T</w:t>
      </w:r>
      <w:r w:rsidRPr="000E2377">
        <w:rPr>
          <w:rFonts w:cs="Times New Roman"/>
          <w:b w:val="0"/>
          <w:i/>
          <w:szCs w:val="24"/>
          <w:vertAlign w:val="subscript"/>
        </w:rPr>
        <w:t>g</w:t>
      </w:r>
      <w:proofErr w:type="spellEnd"/>
      <w:r w:rsidRPr="000E2377">
        <w:rPr>
          <w:rFonts w:cs="Times New Roman"/>
          <w:b w:val="0"/>
          <w:szCs w:val="24"/>
        </w:rPr>
        <w:t xml:space="preserve"> </w:t>
      </w:r>
      <w:r>
        <w:rPr>
          <w:rFonts w:cs="Times New Roman"/>
          <w:b w:val="0"/>
          <w:szCs w:val="24"/>
        </w:rPr>
        <w:t xml:space="preserve">values </w:t>
      </w:r>
      <w:r w:rsidRPr="000E2377">
        <w:rPr>
          <w:rFonts w:cs="Times New Roman"/>
          <w:b w:val="0"/>
          <w:szCs w:val="24"/>
        </w:rPr>
        <w:t xml:space="preserve">were carefully identified directly from the </w:t>
      </w:r>
      <w:proofErr w:type="spellStart"/>
      <w:r w:rsidRPr="000E2377">
        <w:rPr>
          <w:rFonts w:cs="Times New Roman"/>
          <w:b w:val="0"/>
          <w:szCs w:val="24"/>
        </w:rPr>
        <w:t>Pyris</w:t>
      </w:r>
      <w:proofErr w:type="spellEnd"/>
      <w:r w:rsidRPr="000E2377">
        <w:rPr>
          <w:rFonts w:cs="Times New Roman"/>
          <w:b w:val="0"/>
          <w:szCs w:val="24"/>
        </w:rPr>
        <w:t xml:space="preserve"> software on DTA machine as shown in Figure 3.4 using the extrapolated onset of the first endothermic peak on the curve.</w:t>
      </w:r>
    </w:p>
    <w:p w14:paraId="2D3705FE" w14:textId="77777777" w:rsidR="00D740DC" w:rsidRPr="000E2377" w:rsidRDefault="00D740DC" w:rsidP="00D740DC">
      <w:pPr>
        <w:spacing w:line="360" w:lineRule="auto"/>
        <w:jc w:val="center"/>
        <w:rPr>
          <w:rFonts w:cs="Times New Roman"/>
          <w:b w:val="0"/>
          <w:color w:val="FF0000"/>
          <w:szCs w:val="24"/>
        </w:rPr>
      </w:pPr>
      <w:r w:rsidRPr="000E2377">
        <w:rPr>
          <w:b w:val="0"/>
          <w:noProof/>
          <w:lang w:eastAsia="en-MY"/>
        </w:rPr>
        <mc:AlternateContent>
          <mc:Choice Requires="wps">
            <w:drawing>
              <wp:anchor distT="0" distB="0" distL="114300" distR="114300" simplePos="0" relativeHeight="252392448" behindDoc="0" locked="0" layoutInCell="1" allowOverlap="1" wp14:anchorId="4AEACD31" wp14:editId="2CCEBC79">
                <wp:simplePos x="0" y="0"/>
                <wp:positionH relativeFrom="column">
                  <wp:posOffset>2114550</wp:posOffset>
                </wp:positionH>
                <wp:positionV relativeFrom="paragraph">
                  <wp:posOffset>3602990</wp:posOffset>
                </wp:positionV>
                <wp:extent cx="1796415" cy="361315"/>
                <wp:effectExtent l="0" t="0" r="0" b="635"/>
                <wp:wrapNone/>
                <wp:docPr id="37" name="Text Box 37"/>
                <wp:cNvGraphicFramePr/>
                <a:graphic xmlns:a="http://schemas.openxmlformats.org/drawingml/2006/main">
                  <a:graphicData uri="http://schemas.microsoft.com/office/word/2010/wordprocessingShape">
                    <wps:wsp>
                      <wps:cNvSpPr txBox="1"/>
                      <wps:spPr>
                        <a:xfrm>
                          <a:off x="0" y="0"/>
                          <a:ext cx="1796415" cy="361315"/>
                        </a:xfrm>
                        <a:prstGeom prst="rect">
                          <a:avLst/>
                        </a:prstGeom>
                        <a:noFill/>
                        <a:ln w="6350">
                          <a:noFill/>
                        </a:ln>
                        <a:effectLst/>
                      </wps:spPr>
                      <wps:txbx>
                        <w:txbxContent>
                          <w:p w14:paraId="05C47EAB" w14:textId="77777777" w:rsidR="00230AB9" w:rsidRDefault="00230AB9" w:rsidP="00D740DC">
                            <w:pPr>
                              <w:jc w:val="center"/>
                              <w:rPr>
                                <w:rFonts w:cs="Times New Roman"/>
                                <w:szCs w:val="24"/>
                              </w:rPr>
                            </w:pPr>
                            <w:r>
                              <w:rPr>
                                <w:rFonts w:cs="Times New Roman"/>
                                <w:szCs w:val="24"/>
                              </w:rPr>
                              <w:t>Temperature (ºC)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AEACD31" id="Text Box 37" o:spid="_x0000_s1101" type="#_x0000_t202" style="position:absolute;left:0;text-align:left;margin-left:166.5pt;margin-top:283.7pt;width:141.45pt;height:28.4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" filled="f" stroked="f" strokeweight=".5pt">
                <v:textbox>
                  <w:txbxContent>
                    <w:p w14:paraId="05C47EAB" w14:textId="77777777" w:rsidR="00230AB9" w:rsidRDefault="00230AB9" w:rsidP="00D740DC">
                      <w:pPr>
                        <w:jc w:val="center"/>
                        <w:rPr>
                          <w:rFonts w:cs="Times New Roman"/>
                          <w:szCs w:val="24"/>
                        </w:rPr>
                      </w:pPr>
                      <w:r>
                        <w:rPr>
                          <w:rFonts w:cs="Times New Roman"/>
                          <w:szCs w:val="24"/>
                        </w:rPr>
                        <w:t>Temperature (ºC)</w:t>
                      </w:r>
                    </w:p>
                  </w:txbxContent>
                </v:textbox>
              </v:shape>
            </w:pict>
          </mc:Fallback>
        </mc:AlternateContent>
      </w:r>
      <w:r w:rsidRPr="000E2377">
        <w:rPr>
          <w:b w:val="0"/>
          <w:noProof/>
          <w:lang w:eastAsia="en-MY"/>
        </w:rPr>
        <mc:AlternateContent>
          <mc:Choice Requires="wps">
            <w:drawing>
              <wp:anchor distT="0" distB="0" distL="114300" distR="114300" simplePos="0" relativeHeight="252400640" behindDoc="0" locked="0" layoutInCell="1" allowOverlap="1" wp14:anchorId="12214879" wp14:editId="21E60D9F">
                <wp:simplePos x="0" y="0"/>
                <wp:positionH relativeFrom="column">
                  <wp:posOffset>1297305</wp:posOffset>
                </wp:positionH>
                <wp:positionV relativeFrom="paragraph">
                  <wp:posOffset>818515</wp:posOffset>
                </wp:positionV>
                <wp:extent cx="170180" cy="159385"/>
                <wp:effectExtent l="38100" t="0" r="20320" b="50165"/>
                <wp:wrapNone/>
                <wp:docPr id="36" name="Straight Arrow Connector 36"/>
                <wp:cNvGraphicFramePr/>
                <a:graphic xmlns:a="http://schemas.openxmlformats.org/drawingml/2006/main">
                  <a:graphicData uri="http://schemas.microsoft.com/office/word/2010/wordprocessingShape">
                    <wps:wsp>
                      <wps:cNvCnPr/>
                      <wps:spPr>
                        <a:xfrm flipH="1">
                          <a:off x="0" y="0"/>
                          <a:ext cx="169545" cy="15938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5D1F7F10" id="Straight Arrow Connector 36" o:spid="_x0000_s1026" type="#_x0000_t32" style="position:absolute;margin-left:102.15pt;margin-top:64.45pt;width:13.4pt;height:12.55pt;flip:x;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">
                <v:stroke endarrow="open"/>
              </v:shape>
            </w:pict>
          </mc:Fallback>
        </mc:AlternateContent>
      </w:r>
      <w:r w:rsidRPr="000E2377">
        <w:rPr>
          <w:b w:val="0"/>
          <w:noProof/>
          <w:lang w:eastAsia="en-MY"/>
        </w:rPr>
        <mc:AlternateContent>
          <mc:Choice Requires="wps">
            <w:drawing>
              <wp:anchor distT="0" distB="0" distL="114300" distR="114300" simplePos="0" relativeHeight="252399616" behindDoc="0" locked="0" layoutInCell="1" allowOverlap="1" wp14:anchorId="11A54111" wp14:editId="0BBDD46A">
                <wp:simplePos x="0" y="0"/>
                <wp:positionH relativeFrom="column">
                  <wp:posOffset>1466850</wp:posOffset>
                </wp:positionH>
                <wp:positionV relativeFrom="paragraph">
                  <wp:posOffset>669290</wp:posOffset>
                </wp:positionV>
                <wp:extent cx="2785745" cy="510540"/>
                <wp:effectExtent l="0" t="0" r="0" b="3810"/>
                <wp:wrapNone/>
                <wp:docPr id="35" name="Text Box 35"/>
                <wp:cNvGraphicFramePr/>
                <a:graphic xmlns:a="http://schemas.openxmlformats.org/drawingml/2006/main">
                  <a:graphicData uri="http://schemas.microsoft.com/office/word/2010/wordprocessingShape">
                    <wps:wsp>
                      <wps:cNvSpPr txBox="1"/>
                      <wps:spPr>
                        <a:xfrm>
                          <a:off x="0" y="0"/>
                          <a:ext cx="2785110" cy="509905"/>
                        </a:xfrm>
                        <a:prstGeom prst="rect">
                          <a:avLst/>
                        </a:prstGeom>
                        <a:noFill/>
                        <a:ln w="6350">
                          <a:noFill/>
                        </a:ln>
                        <a:effectLst/>
                      </wps:spPr>
                      <wps:txbx>
                        <w:txbxContent>
                          <w:p w14:paraId="43C2C7D7" w14:textId="77777777" w:rsidR="00230AB9" w:rsidRDefault="00230AB9" w:rsidP="00D740DC">
                            <w:pPr>
                              <w:rPr>
                                <w:rFonts w:cs="Times New Roman"/>
                                <w:szCs w:val="24"/>
                              </w:rPr>
                            </w:pPr>
                            <w:r>
                              <w:rPr>
                                <w:rFonts w:cs="Times New Roman"/>
                                <w:szCs w:val="24"/>
                              </w:rPr>
                              <w:t xml:space="preserve">Original DTA curve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1A54111" id="Text Box 35" o:spid="_x0000_s1102" type="#_x0000_t202" style="position:absolute;left:0;text-align:left;margin-left:115.5pt;margin-top:52.7pt;width:219.35pt;height:40.2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" filled="f" stroked="f" strokeweight=".5pt">
                <v:textbox>
                  <w:txbxContent>
                    <w:p w14:paraId="43C2C7D7" w14:textId="77777777" w:rsidR="00230AB9" w:rsidRDefault="00230AB9" w:rsidP="00D740DC">
                      <w:pPr>
                        <w:rPr>
                          <w:rFonts w:cs="Times New Roman"/>
                          <w:szCs w:val="24"/>
                        </w:rPr>
                      </w:pPr>
                      <w:r>
                        <w:rPr>
                          <w:rFonts w:cs="Times New Roman"/>
                          <w:szCs w:val="24"/>
                        </w:rPr>
                        <w:t xml:space="preserve">Original DTA curve </w:t>
                      </w:r>
                    </w:p>
                  </w:txbxContent>
                </v:textbox>
              </v:shape>
            </w:pict>
          </mc:Fallback>
        </mc:AlternateContent>
      </w:r>
      <w:r w:rsidRPr="000E2377">
        <w:rPr>
          <w:b w:val="0"/>
          <w:noProof/>
          <w:lang w:eastAsia="en-MY"/>
        </w:rPr>
        <mc:AlternateContent>
          <mc:Choice Requires="wps">
            <w:drawing>
              <wp:anchor distT="0" distB="0" distL="114300" distR="114300" simplePos="0" relativeHeight="252398592" behindDoc="0" locked="0" layoutInCell="1" allowOverlap="1" wp14:anchorId="0C8A9292" wp14:editId="3B259706">
                <wp:simplePos x="0" y="0"/>
                <wp:positionH relativeFrom="column">
                  <wp:posOffset>2753995</wp:posOffset>
                </wp:positionH>
                <wp:positionV relativeFrom="paragraph">
                  <wp:posOffset>1541780</wp:posOffset>
                </wp:positionV>
                <wp:extent cx="265430" cy="170180"/>
                <wp:effectExtent l="38100" t="0" r="20320" b="58420"/>
                <wp:wrapNone/>
                <wp:docPr id="34" name="Straight Arrow Connector 34"/>
                <wp:cNvGraphicFramePr/>
                <a:graphic xmlns:a="http://schemas.openxmlformats.org/drawingml/2006/main">
                  <a:graphicData uri="http://schemas.microsoft.com/office/word/2010/wordprocessingShape">
                    <wps:wsp>
                      <wps:cNvCnPr/>
                      <wps:spPr>
                        <a:xfrm flipH="1">
                          <a:off x="0" y="0"/>
                          <a:ext cx="265430" cy="16954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6744EE27" id="Straight Arrow Connector 34" o:spid="_x0000_s1026" type="#_x0000_t32" style="position:absolute;margin-left:216.85pt;margin-top:121.4pt;width:20.9pt;height:13.4pt;flip:x;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">
                <v:stroke endarrow="open"/>
              </v:shape>
            </w:pict>
          </mc:Fallback>
        </mc:AlternateContent>
      </w:r>
      <w:r w:rsidRPr="000E2377">
        <w:rPr>
          <w:b w:val="0"/>
          <w:noProof/>
          <w:lang w:eastAsia="en-MY"/>
        </w:rPr>
        <mc:AlternateContent>
          <mc:Choice Requires="wps">
            <w:drawing>
              <wp:anchor distT="0" distB="0" distL="114300" distR="114300" simplePos="0" relativeHeight="252397568" behindDoc="0" locked="0" layoutInCell="1" allowOverlap="1" wp14:anchorId="2C1F8C8F" wp14:editId="51601973">
                <wp:simplePos x="0" y="0"/>
                <wp:positionH relativeFrom="column">
                  <wp:posOffset>2573020</wp:posOffset>
                </wp:positionH>
                <wp:positionV relativeFrom="paragraph">
                  <wp:posOffset>1339850</wp:posOffset>
                </wp:positionV>
                <wp:extent cx="41910" cy="201930"/>
                <wp:effectExtent l="76200" t="0" r="72390" b="64770"/>
                <wp:wrapNone/>
                <wp:docPr id="33" name="Straight Arrow Connector 33"/>
                <wp:cNvGraphicFramePr/>
                <a:graphic xmlns:a="http://schemas.openxmlformats.org/drawingml/2006/main">
                  <a:graphicData uri="http://schemas.microsoft.com/office/word/2010/wordprocessingShape">
                    <wps:wsp>
                      <wps:cNvCnPr/>
                      <wps:spPr>
                        <a:xfrm flipH="1">
                          <a:off x="0" y="0"/>
                          <a:ext cx="41910" cy="20193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4726F518" id="Straight Arrow Connector 33" o:spid="_x0000_s1026" type="#_x0000_t32" style="position:absolute;margin-left:202.6pt;margin-top:105.5pt;width:3.3pt;height:15.9pt;flip:x;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">
                <v:stroke endarrow="open"/>
              </v:shape>
            </w:pict>
          </mc:Fallback>
        </mc:AlternateContent>
      </w:r>
      <w:r w:rsidRPr="000E2377">
        <w:rPr>
          <w:b w:val="0"/>
          <w:noProof/>
          <w:lang w:eastAsia="en-MY"/>
        </w:rPr>
        <mc:AlternateContent>
          <mc:Choice Requires="wps">
            <w:drawing>
              <wp:anchor distT="0" distB="0" distL="114300" distR="114300" simplePos="0" relativeHeight="252396544" behindDoc="0" locked="0" layoutInCell="1" allowOverlap="1" wp14:anchorId="6EBD1FE6" wp14:editId="687DB390">
                <wp:simplePos x="0" y="0"/>
                <wp:positionH relativeFrom="column">
                  <wp:posOffset>2306955</wp:posOffset>
                </wp:positionH>
                <wp:positionV relativeFrom="paragraph">
                  <wp:posOffset>1637665</wp:posOffset>
                </wp:positionV>
                <wp:extent cx="159385" cy="159385"/>
                <wp:effectExtent l="0" t="38100" r="50165" b="31115"/>
                <wp:wrapNone/>
                <wp:docPr id="32" name="Straight Arrow Connector 32"/>
                <wp:cNvGraphicFramePr/>
                <a:graphic xmlns:a="http://schemas.openxmlformats.org/drawingml/2006/main">
                  <a:graphicData uri="http://schemas.microsoft.com/office/word/2010/wordprocessingShape">
                    <wps:wsp>
                      <wps:cNvCnPr/>
                      <wps:spPr>
                        <a:xfrm flipV="1">
                          <a:off x="0" y="0"/>
                          <a:ext cx="158750" cy="15938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70959AC2" id="Straight Arrow Connector 32" o:spid="_x0000_s1026" type="#_x0000_t32" style="position:absolute;margin-left:181.65pt;margin-top:128.95pt;width:12.55pt;height:12.55pt;flip:y;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">
                <v:stroke endarrow="open"/>
              </v:shape>
            </w:pict>
          </mc:Fallback>
        </mc:AlternateContent>
      </w:r>
      <w:r w:rsidRPr="000E2377">
        <w:rPr>
          <w:b w:val="0"/>
          <w:noProof/>
          <w:lang w:eastAsia="en-MY"/>
        </w:rPr>
        <mc:AlternateContent>
          <mc:Choice Requires="wps">
            <w:drawing>
              <wp:anchor distT="0" distB="0" distL="114300" distR="114300" simplePos="0" relativeHeight="252393472" behindDoc="0" locked="0" layoutInCell="1" allowOverlap="1" wp14:anchorId="395E82A4" wp14:editId="79C6938F">
                <wp:simplePos x="0" y="0"/>
                <wp:positionH relativeFrom="column">
                  <wp:posOffset>2465705</wp:posOffset>
                </wp:positionH>
                <wp:positionV relativeFrom="paragraph">
                  <wp:posOffset>1115695</wp:posOffset>
                </wp:positionV>
                <wp:extent cx="393065" cy="372110"/>
                <wp:effectExtent l="0" t="0" r="0" b="0"/>
                <wp:wrapNone/>
                <wp:docPr id="1406" name="Text Box 1406"/>
                <wp:cNvGraphicFramePr/>
                <a:graphic xmlns:a="http://schemas.openxmlformats.org/drawingml/2006/main">
                  <a:graphicData uri="http://schemas.microsoft.com/office/word/2010/wordprocessingShape">
                    <wps:wsp>
                      <wps:cNvSpPr txBox="1"/>
                      <wps:spPr>
                        <a:xfrm>
                          <a:off x="0" y="0"/>
                          <a:ext cx="393065" cy="372110"/>
                        </a:xfrm>
                        <a:prstGeom prst="rect">
                          <a:avLst/>
                        </a:prstGeom>
                        <a:noFill/>
                        <a:ln w="6350">
                          <a:noFill/>
                        </a:ln>
                        <a:effectLst/>
                      </wps:spPr>
                      <wps:txbx>
                        <w:txbxContent>
                          <w:p w14:paraId="2312570E" w14:textId="77777777" w:rsidR="00230AB9" w:rsidRDefault="00230AB9" w:rsidP="00D740DC">
                            <w:pPr>
                              <w:rPr>
                                <w:rFonts w:cs="Times New Roman"/>
                                <w:szCs w:val="24"/>
                              </w:rPr>
                            </w:pPr>
                            <w:r>
                              <w:rPr>
                                <w:rFonts w:cs="Times New Roman"/>
                                <w:szCs w:val="24"/>
                              </w:rPr>
                              <w:t>T</w:t>
                            </w:r>
                            <w:r>
                              <w:rPr>
                                <w:rFonts w:cs="Times New Roman"/>
                                <w:szCs w:val="24"/>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5E82A4" id="Text Box 1406" o:spid="_x0000_s1103" type="#_x0000_t202" style="position:absolute;left:0;text-align:left;margin-left:194.15pt;margin-top:87.85pt;width:30.95pt;height:29.3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" filled="f" stroked="f" strokeweight=".5pt">
                <v:textbox>
                  <w:txbxContent>
                    <w:p w14:paraId="2312570E" w14:textId="77777777" w:rsidR="00230AB9" w:rsidRDefault="00230AB9" w:rsidP="00D740DC">
                      <w:pPr>
                        <w:rPr>
                          <w:rFonts w:cs="Times New Roman"/>
                          <w:szCs w:val="24"/>
                        </w:rPr>
                      </w:pPr>
                      <w:r>
                        <w:rPr>
                          <w:rFonts w:cs="Times New Roman"/>
                          <w:szCs w:val="24"/>
                        </w:rPr>
                        <w:t>T</w:t>
                      </w:r>
                      <w:r>
                        <w:rPr>
                          <w:rFonts w:cs="Times New Roman"/>
                          <w:szCs w:val="24"/>
                          <w:vertAlign w:val="subscript"/>
                        </w:rPr>
                        <w:t>2</w:t>
                      </w:r>
                    </w:p>
                  </w:txbxContent>
                </v:textbox>
              </v:shape>
            </w:pict>
          </mc:Fallback>
        </mc:AlternateContent>
      </w:r>
      <w:r w:rsidRPr="000E2377">
        <w:rPr>
          <w:b w:val="0"/>
          <w:noProof/>
          <w:lang w:eastAsia="en-MY"/>
        </w:rPr>
        <mc:AlternateContent>
          <mc:Choice Requires="wps">
            <w:drawing>
              <wp:anchor distT="0" distB="0" distL="114300" distR="114300" simplePos="0" relativeHeight="252394496" behindDoc="0" locked="0" layoutInCell="1" allowOverlap="1" wp14:anchorId="5217C7D0" wp14:editId="755961EF">
                <wp:simplePos x="0" y="0"/>
                <wp:positionH relativeFrom="column">
                  <wp:posOffset>3021965</wp:posOffset>
                </wp:positionH>
                <wp:positionV relativeFrom="paragraph">
                  <wp:posOffset>1343025</wp:posOffset>
                </wp:positionV>
                <wp:extent cx="393065" cy="372110"/>
                <wp:effectExtent l="0" t="0" r="0" b="0"/>
                <wp:wrapNone/>
                <wp:docPr id="1402" name="Text Box 1402"/>
                <wp:cNvGraphicFramePr/>
                <a:graphic xmlns:a="http://schemas.openxmlformats.org/drawingml/2006/main">
                  <a:graphicData uri="http://schemas.microsoft.com/office/word/2010/wordprocessingShape">
                    <wps:wsp>
                      <wps:cNvSpPr txBox="1"/>
                      <wps:spPr>
                        <a:xfrm>
                          <a:off x="0" y="0"/>
                          <a:ext cx="393065" cy="372110"/>
                        </a:xfrm>
                        <a:prstGeom prst="rect">
                          <a:avLst/>
                        </a:prstGeom>
                        <a:noFill/>
                        <a:ln w="6350">
                          <a:noFill/>
                        </a:ln>
                        <a:effectLst/>
                      </wps:spPr>
                      <wps:txbx>
                        <w:txbxContent>
                          <w:p w14:paraId="23231AAB" w14:textId="77777777" w:rsidR="00230AB9" w:rsidRDefault="00230AB9" w:rsidP="00D740DC">
                            <w:pPr>
                              <w:rPr>
                                <w:rFonts w:cs="Times New Roman"/>
                                <w:szCs w:val="24"/>
                              </w:rPr>
                            </w:pPr>
                            <w:proofErr w:type="spellStart"/>
                            <w:r>
                              <w:rPr>
                                <w:rFonts w:cs="Times New Roman"/>
                                <w:szCs w:val="24"/>
                              </w:rPr>
                              <w:t>T</w:t>
                            </w:r>
                            <w:r>
                              <w:rPr>
                                <w:rFonts w:cs="Times New Roman"/>
                                <w:szCs w:val="24"/>
                                <w:vertAlign w:val="subscript"/>
                              </w:rPr>
                              <w:t>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217C7D0" id="Text Box 1402" o:spid="_x0000_s1104" type="#_x0000_t202" style="position:absolute;left:0;text-align:left;margin-left:237.95pt;margin-top:105.75pt;width:30.95pt;height:29.3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" filled="f" stroked="f" strokeweight=".5pt">
                <v:textbox>
                  <w:txbxContent>
                    <w:p w14:paraId="23231AAB" w14:textId="77777777" w:rsidR="00230AB9" w:rsidRDefault="00230AB9" w:rsidP="00D740DC">
                      <w:pPr>
                        <w:rPr>
                          <w:rFonts w:cs="Times New Roman"/>
                          <w:szCs w:val="24"/>
                        </w:rPr>
                      </w:pPr>
                      <w:proofErr w:type="spellStart"/>
                      <w:r>
                        <w:rPr>
                          <w:rFonts w:cs="Times New Roman"/>
                          <w:szCs w:val="24"/>
                        </w:rPr>
                        <w:t>T</w:t>
                      </w:r>
                      <w:r>
                        <w:rPr>
                          <w:rFonts w:cs="Times New Roman"/>
                          <w:szCs w:val="24"/>
                          <w:vertAlign w:val="subscript"/>
                        </w:rPr>
                        <w:t>g</w:t>
                      </w:r>
                      <w:proofErr w:type="spellEnd"/>
                    </w:p>
                  </w:txbxContent>
                </v:textbox>
              </v:shape>
            </w:pict>
          </mc:Fallback>
        </mc:AlternateContent>
      </w:r>
      <w:r w:rsidRPr="000E2377">
        <w:rPr>
          <w:b w:val="0"/>
          <w:noProof/>
          <w:lang w:eastAsia="en-MY"/>
        </w:rPr>
        <mc:AlternateContent>
          <mc:Choice Requires="wps">
            <w:drawing>
              <wp:anchor distT="0" distB="0" distL="114300" distR="114300" simplePos="0" relativeHeight="252395520" behindDoc="0" locked="0" layoutInCell="1" allowOverlap="1" wp14:anchorId="010EF2D5" wp14:editId="35868329">
                <wp:simplePos x="0" y="0"/>
                <wp:positionH relativeFrom="column">
                  <wp:posOffset>2068830</wp:posOffset>
                </wp:positionH>
                <wp:positionV relativeFrom="paragraph">
                  <wp:posOffset>1729105</wp:posOffset>
                </wp:positionV>
                <wp:extent cx="393065" cy="372110"/>
                <wp:effectExtent l="0" t="0" r="0" b="0"/>
                <wp:wrapNone/>
                <wp:docPr id="1396" name="Text Box 1396"/>
                <wp:cNvGraphicFramePr/>
                <a:graphic xmlns:a="http://schemas.openxmlformats.org/drawingml/2006/main">
                  <a:graphicData uri="http://schemas.microsoft.com/office/word/2010/wordprocessingShape">
                    <wps:wsp>
                      <wps:cNvSpPr txBox="1"/>
                      <wps:spPr>
                        <a:xfrm>
                          <a:off x="0" y="0"/>
                          <a:ext cx="393065" cy="372110"/>
                        </a:xfrm>
                        <a:prstGeom prst="rect">
                          <a:avLst/>
                        </a:prstGeom>
                        <a:noFill/>
                        <a:ln w="6350">
                          <a:noFill/>
                        </a:ln>
                        <a:effectLst/>
                      </wps:spPr>
                      <wps:txbx>
                        <w:txbxContent>
                          <w:p w14:paraId="14255694" w14:textId="77777777" w:rsidR="00230AB9" w:rsidRDefault="00230AB9" w:rsidP="00D740DC">
                            <w:pPr>
                              <w:rPr>
                                <w:rFonts w:cs="Times New Roman"/>
                                <w:szCs w:val="24"/>
                              </w:rPr>
                            </w:pPr>
                            <w:r>
                              <w:rPr>
                                <w:rFonts w:cs="Times New Roman"/>
                                <w:szCs w:val="24"/>
                              </w:rPr>
                              <w:t>T</w:t>
                            </w:r>
                            <w:r>
                              <w:rPr>
                                <w:rFonts w:cs="Times New Roman"/>
                                <w:szCs w:val="24"/>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0EF2D5" id="Text Box 1396" o:spid="_x0000_s1105" type="#_x0000_t202" style="position:absolute;left:0;text-align:left;margin-left:162.9pt;margin-top:136.15pt;width:30.95pt;height:29.3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" filled="f" stroked="f" strokeweight=".5pt">
                <v:textbox>
                  <w:txbxContent>
                    <w:p w14:paraId="14255694" w14:textId="77777777" w:rsidR="00230AB9" w:rsidRDefault="00230AB9" w:rsidP="00D740DC">
                      <w:pPr>
                        <w:rPr>
                          <w:rFonts w:cs="Times New Roman"/>
                          <w:szCs w:val="24"/>
                        </w:rPr>
                      </w:pPr>
                      <w:r>
                        <w:rPr>
                          <w:rFonts w:cs="Times New Roman"/>
                          <w:szCs w:val="24"/>
                        </w:rPr>
                        <w:t>T</w:t>
                      </w:r>
                      <w:r>
                        <w:rPr>
                          <w:rFonts w:cs="Times New Roman"/>
                          <w:szCs w:val="24"/>
                          <w:vertAlign w:val="subscript"/>
                        </w:rPr>
                        <w:t>1</w:t>
                      </w:r>
                    </w:p>
                  </w:txbxContent>
                </v:textbox>
              </v:shape>
            </w:pict>
          </mc:Fallback>
        </mc:AlternateContent>
      </w:r>
      <w:r w:rsidRPr="000E2377">
        <w:rPr>
          <w:rFonts w:cs="Times New Roman"/>
          <w:noProof/>
          <w:color w:val="FF0000"/>
          <w:szCs w:val="24"/>
          <w:lang w:eastAsia="en-MY"/>
        </w:rPr>
        <w:drawing>
          <wp:inline distT="0" distB="0" distL="0" distR="0" wp14:anchorId="04629510" wp14:editId="54FD4B99">
            <wp:extent cx="4923790" cy="3604895"/>
            <wp:effectExtent l="0" t="0" r="0" b="0"/>
            <wp:docPr id="1394" name="Picture 1394" descr="Cap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Cap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23790" cy="3604895"/>
                    </a:xfrm>
                    <a:prstGeom prst="rect">
                      <a:avLst/>
                    </a:prstGeom>
                    <a:noFill/>
                    <a:ln>
                      <a:noFill/>
                    </a:ln>
                  </pic:spPr>
                </pic:pic>
              </a:graphicData>
            </a:graphic>
          </wp:inline>
        </w:drawing>
      </w:r>
      <w:r w:rsidRPr="000E2377">
        <w:rPr>
          <w:b w:val="0"/>
          <w:noProof/>
          <w:lang w:eastAsia="en-MY"/>
        </w:rPr>
        <mc:AlternateContent>
          <mc:Choice Requires="wps">
            <w:drawing>
              <wp:anchor distT="0" distB="0" distL="114300" distR="114300" simplePos="0" relativeHeight="252391424" behindDoc="0" locked="0" layoutInCell="1" allowOverlap="1" wp14:anchorId="1449FCAF" wp14:editId="756F7FB7">
                <wp:simplePos x="0" y="0"/>
                <wp:positionH relativeFrom="column">
                  <wp:posOffset>-909320</wp:posOffset>
                </wp:positionH>
                <wp:positionV relativeFrom="paragraph">
                  <wp:posOffset>1525905</wp:posOffset>
                </wp:positionV>
                <wp:extent cx="2434590" cy="276225"/>
                <wp:effectExtent l="0" t="0" r="0" b="0"/>
                <wp:wrapNone/>
                <wp:docPr id="1395" name="Text Box 1395"/>
                <wp:cNvGraphicFramePr/>
                <a:graphic xmlns:a="http://schemas.openxmlformats.org/drawingml/2006/main">
                  <a:graphicData uri="http://schemas.microsoft.com/office/word/2010/wordprocessingShape">
                    <wps:wsp>
                      <wps:cNvSpPr txBox="1"/>
                      <wps:spPr>
                        <a:xfrm rot="16200000">
                          <a:off x="0" y="0"/>
                          <a:ext cx="2434590" cy="276225"/>
                        </a:xfrm>
                        <a:prstGeom prst="rect">
                          <a:avLst/>
                        </a:prstGeom>
                        <a:noFill/>
                        <a:ln w="6350">
                          <a:noFill/>
                        </a:ln>
                        <a:effectLst/>
                      </wps:spPr>
                      <wps:txbx>
                        <w:txbxContent>
                          <w:p w14:paraId="30695A06" w14:textId="77777777" w:rsidR="00230AB9" w:rsidRDefault="00230AB9" w:rsidP="00D740DC">
                            <w:pPr>
                              <w:jc w:val="center"/>
                              <w:rPr>
                                <w:rFonts w:cs="Times New Roman"/>
                                <w:szCs w:val="24"/>
                              </w:rPr>
                            </w:pPr>
                            <w:r>
                              <w:rPr>
                                <w:rFonts w:cs="Times New Roman"/>
                                <w:szCs w:val="24"/>
                              </w:rPr>
                              <w:t>Delta Endo Down (ºC)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9FCAF" id="Text Box 1395" o:spid="_x0000_s1106" type="#_x0000_t202" style="position:absolute;left:0;text-align:left;margin-left:-71.6pt;margin-top:120.15pt;width:191.7pt;height:21.75pt;rotation:-90;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" filled="f" stroked="f" strokeweight=".5pt">
                <v:textbox>
                  <w:txbxContent>
                    <w:p w14:paraId="30695A06" w14:textId="77777777" w:rsidR="00230AB9" w:rsidRDefault="00230AB9" w:rsidP="00D740DC">
                      <w:pPr>
                        <w:jc w:val="center"/>
                        <w:rPr>
                          <w:rFonts w:cs="Times New Roman"/>
                          <w:szCs w:val="24"/>
                        </w:rPr>
                      </w:pPr>
                      <w:r>
                        <w:rPr>
                          <w:rFonts w:cs="Times New Roman"/>
                          <w:szCs w:val="24"/>
                        </w:rPr>
                        <w:t>Delta Endo Down (ºC)</w:t>
                      </w:r>
                    </w:p>
                  </w:txbxContent>
                </v:textbox>
              </v:shape>
            </w:pict>
          </mc:Fallback>
        </mc:AlternateContent>
      </w:r>
    </w:p>
    <w:p w14:paraId="32EDB3EC" w14:textId="77777777" w:rsidR="00D740DC" w:rsidRPr="000E2377" w:rsidRDefault="00D740DC" w:rsidP="00D740DC">
      <w:pPr>
        <w:rPr>
          <w:rFonts w:cs="Times New Roman"/>
          <w:b w:val="0"/>
          <w:szCs w:val="24"/>
        </w:rPr>
      </w:pPr>
    </w:p>
    <w:p w14:paraId="641C259F" w14:textId="32B48DF8" w:rsidR="00D740DC" w:rsidRPr="000E2377" w:rsidRDefault="00D740DC" w:rsidP="002B5521">
      <w:pPr>
        <w:pStyle w:val="Caption"/>
        <w:spacing w:after="0"/>
        <w:rPr>
          <w:rFonts w:eastAsia="Times New Roman"/>
          <w:b w:val="0"/>
          <w:noProof/>
          <w:szCs w:val="24"/>
        </w:rPr>
      </w:pPr>
      <w:bookmarkStart w:id="384" w:name="_Toc453771025"/>
      <w:bookmarkStart w:id="385" w:name="_Toc521420456"/>
      <w:bookmarkStart w:id="386" w:name="_Toc525223191"/>
      <w:bookmarkStart w:id="387" w:name="_Toc525528338"/>
      <w:bookmarkStart w:id="388" w:name="_Toc525706353"/>
      <w:r w:rsidRPr="000E2377">
        <w:t xml:space="preserve">Figure </w:t>
      </w:r>
      <w:r>
        <w:t>3</w:t>
      </w:r>
      <w:r w:rsidRPr="000E2377">
        <w:t>.</w:t>
      </w:r>
      <w:r w:rsidRPr="000E2377">
        <w:fldChar w:fldCharType="begin"/>
      </w:r>
      <w:r w:rsidRPr="000E2377">
        <w:instrText xml:space="preserve"> SEQ Figure \* ARABIC \s 1 </w:instrText>
      </w:r>
      <w:r w:rsidRPr="000E2377">
        <w:fldChar w:fldCharType="separate"/>
      </w:r>
      <w:r w:rsidR="00C827AE">
        <w:rPr>
          <w:noProof/>
        </w:rPr>
        <w:t>4</w:t>
      </w:r>
      <w:r w:rsidRPr="000E2377">
        <w:fldChar w:fldCharType="end"/>
      </w:r>
      <w:r w:rsidRPr="000E2377">
        <w:t xml:space="preserve">: </w:t>
      </w:r>
      <w:r w:rsidRPr="000E2377">
        <w:rPr>
          <w:bCs w:val="0"/>
          <w:szCs w:val="24"/>
        </w:rPr>
        <w:t xml:space="preserve">DTA analysis of </w:t>
      </w:r>
      <w:r w:rsidRPr="000E2377">
        <w:rPr>
          <w:rFonts w:eastAsia="Times New Roman"/>
          <w:color w:val="000000"/>
          <w:szCs w:val="24"/>
          <w:lang w:eastAsia="en-MY"/>
        </w:rPr>
        <w:t>N</w:t>
      </w:r>
      <w:r w:rsidRPr="000E2377">
        <w:rPr>
          <w:rFonts w:eastAsia="Times New Roman"/>
          <w:color w:val="000000"/>
          <w:szCs w:val="24"/>
          <w:vertAlign w:val="subscript"/>
          <w:lang w:eastAsia="en-MY"/>
        </w:rPr>
        <w:t>15</w:t>
      </w:r>
      <w:r w:rsidRPr="000E2377">
        <w:rPr>
          <w:rFonts w:eastAsia="Times New Roman"/>
          <w:color w:val="000000"/>
          <w:szCs w:val="24"/>
          <w:lang w:eastAsia="en-MY"/>
        </w:rPr>
        <w:t>C</w:t>
      </w:r>
      <w:r w:rsidRPr="000E2377">
        <w:rPr>
          <w:rFonts w:eastAsia="Times New Roman"/>
          <w:color w:val="000000"/>
          <w:szCs w:val="24"/>
          <w:vertAlign w:val="subscript"/>
          <w:lang w:eastAsia="en-MY"/>
        </w:rPr>
        <w:t>5</w:t>
      </w:r>
      <w:r w:rsidRPr="000E2377">
        <w:rPr>
          <w:rFonts w:eastAsia="Times New Roman"/>
          <w:color w:val="000000"/>
          <w:szCs w:val="24"/>
          <w:lang w:eastAsia="en-MY"/>
        </w:rPr>
        <w:t>A</w:t>
      </w:r>
      <w:r w:rsidRPr="000E2377">
        <w:rPr>
          <w:rFonts w:eastAsia="Times New Roman"/>
          <w:color w:val="000000"/>
          <w:szCs w:val="24"/>
          <w:vertAlign w:val="subscript"/>
          <w:lang w:eastAsia="en-MY"/>
        </w:rPr>
        <w:t>0</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70</w:t>
      </w:r>
      <w:r w:rsidRPr="000E2377">
        <w:rPr>
          <w:bCs w:val="0"/>
          <w:szCs w:val="24"/>
        </w:rPr>
        <w:t xml:space="preserve"> glass. </w:t>
      </w:r>
      <w:bookmarkEnd w:id="384"/>
      <w:r w:rsidRPr="000E2377">
        <w:rPr>
          <w:bCs w:val="0"/>
          <w:szCs w:val="24"/>
        </w:rPr>
        <w:t>Original and differentiated DTA curves</w:t>
      </w:r>
      <w:r w:rsidRPr="000E2377">
        <w:rPr>
          <w:rFonts w:eastAsia="Times New Roman"/>
          <w:bCs w:val="0"/>
          <w:noProof/>
          <w:szCs w:val="24"/>
        </w:rPr>
        <w:t xml:space="preserve"> in Sigma Plot software</w:t>
      </w:r>
      <w:r w:rsidRPr="000E2377">
        <w:rPr>
          <w:rFonts w:eastAsia="Times New Roman"/>
          <w:b w:val="0"/>
          <w:bCs w:val="0"/>
          <w:noProof/>
          <w:szCs w:val="24"/>
        </w:rPr>
        <w:t>.</w:t>
      </w:r>
      <w:bookmarkEnd w:id="385"/>
      <w:bookmarkEnd w:id="386"/>
      <w:bookmarkEnd w:id="387"/>
      <w:bookmarkEnd w:id="388"/>
    </w:p>
    <w:p w14:paraId="26DC2A24" w14:textId="77777777" w:rsidR="00D740DC" w:rsidRPr="000E2377" w:rsidRDefault="00D740DC" w:rsidP="002B5521">
      <w:pPr>
        <w:spacing w:after="0" w:line="240" w:lineRule="auto"/>
        <w:jc w:val="center"/>
        <w:rPr>
          <w:rFonts w:eastAsia="Times New Roman" w:cs="Times New Roman"/>
          <w:bCs/>
          <w:noProof/>
          <w:szCs w:val="24"/>
          <w:lang w:val="en-GB"/>
        </w:rPr>
      </w:pPr>
    </w:p>
    <w:p w14:paraId="674977B3" w14:textId="77777777" w:rsidR="00D740DC" w:rsidRDefault="00D740DC" w:rsidP="00D740DC">
      <w:pPr>
        <w:spacing w:line="360" w:lineRule="auto"/>
        <w:jc w:val="both"/>
        <w:rPr>
          <w:rFonts w:eastAsia="Calibri" w:cs="Times New Roman"/>
          <w:position w:val="-30"/>
          <w:szCs w:val="24"/>
          <w:lang w:val="tr-TR" w:eastAsia="tr-TR"/>
        </w:rPr>
      </w:pPr>
      <w:r>
        <w:rPr>
          <w:rFonts w:eastAsia="Calibri" w:cs="Times New Roman"/>
          <w:position w:val="-30"/>
          <w:szCs w:val="24"/>
          <w:lang w:val="tr-TR" w:eastAsia="tr-TR"/>
        </w:rPr>
        <w:t xml:space="preserve">3.4.3 Packing density </w:t>
      </w:r>
    </w:p>
    <w:p w14:paraId="0881F8F4" w14:textId="65B11CA2" w:rsidR="00D740DC" w:rsidRPr="004C53A7" w:rsidRDefault="00D740DC" w:rsidP="002B5521">
      <w:pPr>
        <w:spacing w:after="0" w:line="360" w:lineRule="auto"/>
        <w:jc w:val="both"/>
        <w:rPr>
          <w:rFonts w:eastAsia="Calibri" w:cs="Times New Roman"/>
          <w:b w:val="0"/>
          <w:position w:val="-30"/>
          <w:szCs w:val="24"/>
          <w:lang w:val="tr-TR" w:eastAsia="tr-TR"/>
        </w:rPr>
      </w:pPr>
      <w:r w:rsidRPr="004C53A7">
        <w:rPr>
          <w:rFonts w:eastAsia="Calibri" w:cs="Times New Roman"/>
          <w:b w:val="0"/>
          <w:position w:val="-30"/>
          <w:szCs w:val="24"/>
          <w:lang w:val="tr-TR" w:eastAsia="tr-TR"/>
        </w:rPr>
        <w:t xml:space="preserve">Packing density is a ratio between minimum </w:t>
      </w:r>
      <w:r w:rsidR="00202044" w:rsidRPr="004C53A7">
        <w:rPr>
          <w:rFonts w:eastAsia="Calibri" w:cs="Times New Roman"/>
          <w:b w:val="0"/>
          <w:position w:val="-30"/>
          <w:szCs w:val="24"/>
          <w:lang w:val="tr-TR" w:eastAsia="tr-TR"/>
        </w:rPr>
        <w:t>theor</w:t>
      </w:r>
      <w:r w:rsidR="00202044">
        <w:rPr>
          <w:rFonts w:eastAsia="Calibri" w:cs="Times New Roman"/>
          <w:b w:val="0"/>
          <w:position w:val="-30"/>
          <w:szCs w:val="24"/>
          <w:lang w:val="tr-TR" w:eastAsia="tr-TR"/>
        </w:rPr>
        <w:t>e</w:t>
      </w:r>
      <w:r w:rsidR="00202044" w:rsidRPr="004C53A7">
        <w:rPr>
          <w:rFonts w:eastAsia="Calibri" w:cs="Times New Roman"/>
          <w:b w:val="0"/>
          <w:position w:val="-30"/>
          <w:szCs w:val="24"/>
          <w:lang w:val="tr-TR" w:eastAsia="tr-TR"/>
        </w:rPr>
        <w:t xml:space="preserve">tical </w:t>
      </w:r>
      <w:r w:rsidRPr="004C53A7">
        <w:rPr>
          <w:rFonts w:eastAsia="Calibri" w:cs="Times New Roman"/>
          <w:b w:val="0"/>
          <w:position w:val="-30"/>
          <w:szCs w:val="24"/>
          <w:lang w:val="tr-TR" w:eastAsia="tr-TR"/>
        </w:rPr>
        <w:t xml:space="preserve">volume occupied by the ions and the corresponding ionic of glass (El-Moneim &amp; Alenezy, 2013). The calculation of packing density </w:t>
      </w:r>
      <w:r>
        <w:rPr>
          <w:rFonts w:eastAsia="Calibri" w:cs="Times New Roman"/>
          <w:b w:val="0"/>
          <w:position w:val="-30"/>
          <w:szCs w:val="24"/>
          <w:lang w:val="tr-TR" w:eastAsia="tr-TR"/>
        </w:rPr>
        <w:t>was undertaken using (</w:t>
      </w:r>
      <w:r w:rsidRPr="004C53A7">
        <w:rPr>
          <w:rFonts w:eastAsia="Calibri" w:cs="Times New Roman"/>
          <w:b w:val="0"/>
          <w:position w:val="-30"/>
          <w:szCs w:val="24"/>
          <w:lang w:val="tr-TR" w:eastAsia="tr-TR"/>
        </w:rPr>
        <w:t>Inaba &amp; Fujino (2010)</w:t>
      </w:r>
      <w:r>
        <w:rPr>
          <w:rFonts w:eastAsia="Calibri" w:cs="Times New Roman"/>
          <w:b w:val="0"/>
          <w:position w:val="-30"/>
          <w:szCs w:val="24"/>
          <w:lang w:val="tr-TR" w:eastAsia="tr-TR"/>
        </w:rPr>
        <w:t>)</w:t>
      </w:r>
      <w:r w:rsidRPr="004C53A7">
        <w:rPr>
          <w:rFonts w:eastAsia="Calibri" w:cs="Times New Roman"/>
          <w:b w:val="0"/>
          <w:position w:val="-30"/>
          <w:szCs w:val="24"/>
          <w:lang w:val="tr-TR" w:eastAsia="tr-TR"/>
        </w:rPr>
        <w:t>:</w:t>
      </w:r>
    </w:p>
    <w:p w14:paraId="7D3863D5" w14:textId="77777777" w:rsidR="00D740DC" w:rsidRDefault="00D740DC" w:rsidP="00D740DC">
      <w:pPr>
        <w:spacing w:line="360" w:lineRule="auto"/>
        <w:jc w:val="both"/>
        <w:rPr>
          <w:rFonts w:eastAsia="Calibri" w:cs="Times New Roman"/>
          <w:position w:val="-30"/>
          <w:szCs w:val="24"/>
          <w:lang w:val="tr-TR" w:eastAsia="tr-TR"/>
        </w:rPr>
      </w:pPr>
      <w:r w:rsidRPr="007F56F2">
        <w:rPr>
          <w:rFonts w:eastAsia="Calibri" w:cs="Times New Roman"/>
          <w:position w:val="-32"/>
          <w:szCs w:val="24"/>
          <w:lang w:val="tr-TR" w:eastAsia="tr-TR"/>
        </w:rPr>
        <w:object w:dxaOrig="1860" w:dyaOrig="700" w14:anchorId="1D467D91">
          <v:shape id="_x0000_i1042" type="#_x0000_t75" style="width:93pt;height:36.75pt" o:ole="">
            <v:imagedata r:id="rId71" o:title=""/>
          </v:shape>
          <o:OLEObject Type="Embed" ProgID="Equation.3" ShapeID="_x0000_i1042" DrawAspect="Content" ObjectID="_1626192815" r:id="rId72"/>
        </w:object>
      </w:r>
      <w:r>
        <w:rPr>
          <w:rFonts w:eastAsia="Calibri" w:cs="Times New Roman"/>
          <w:szCs w:val="24"/>
          <w:lang w:val="tr-TR" w:eastAsia="tr-TR"/>
        </w:rPr>
        <w:t xml:space="preserve">  </w:t>
      </w:r>
      <w:r w:rsidRPr="007F56F2">
        <w:rPr>
          <w:rFonts w:eastAsia="Calibri" w:cs="Times New Roman"/>
          <w:position w:val="-34"/>
          <w:szCs w:val="24"/>
          <w:lang w:val="tr-TR" w:eastAsia="tr-TR"/>
        </w:rPr>
        <w:object w:dxaOrig="1760" w:dyaOrig="800" w14:anchorId="344BF44D">
          <v:shape id="_x0000_i1043" type="#_x0000_t75" style="width:93pt;height:43.5pt" o:ole="">
            <v:imagedata r:id="rId73" o:title=""/>
          </v:shape>
          <o:OLEObject Type="Embed" ProgID="Equation.3" ShapeID="_x0000_i1043" DrawAspect="Content" ObjectID="_1626192816" r:id="rId74"/>
        </w:object>
      </w:r>
      <w:r>
        <w:rPr>
          <w:rFonts w:eastAsia="Calibri" w:cs="Times New Roman"/>
          <w:szCs w:val="24"/>
          <w:lang w:val="tr-TR" w:eastAsia="tr-TR"/>
        </w:rPr>
        <w:t xml:space="preserve"> </w:t>
      </w:r>
      <w:r>
        <w:rPr>
          <w:rFonts w:eastAsia="Calibri" w:cs="Times New Roman"/>
          <w:szCs w:val="24"/>
          <w:lang w:val="tr-TR" w:eastAsia="tr-TR"/>
        </w:rPr>
        <w:tab/>
      </w:r>
      <w:r>
        <w:rPr>
          <w:rFonts w:eastAsia="Calibri" w:cs="Times New Roman"/>
          <w:szCs w:val="24"/>
          <w:lang w:val="tr-TR" w:eastAsia="tr-TR"/>
        </w:rPr>
        <w:tab/>
      </w:r>
      <w:r>
        <w:rPr>
          <w:rFonts w:eastAsia="Calibri" w:cs="Times New Roman"/>
          <w:szCs w:val="24"/>
          <w:lang w:val="tr-TR" w:eastAsia="tr-TR"/>
        </w:rPr>
        <w:tab/>
      </w:r>
      <w:r>
        <w:rPr>
          <w:rFonts w:eastAsia="Calibri" w:cs="Times New Roman"/>
          <w:szCs w:val="24"/>
          <w:lang w:val="tr-TR" w:eastAsia="tr-TR"/>
        </w:rPr>
        <w:tab/>
      </w:r>
      <w:r>
        <w:rPr>
          <w:rFonts w:eastAsia="Calibri" w:cs="Times New Roman"/>
          <w:szCs w:val="24"/>
          <w:lang w:val="tr-TR" w:eastAsia="tr-TR"/>
        </w:rPr>
        <w:tab/>
        <w:t xml:space="preserve">        </w:t>
      </w:r>
      <w:r w:rsidRPr="000E2377">
        <w:rPr>
          <w:rFonts w:eastAsia="Calibri" w:cs="Times New Roman"/>
          <w:b w:val="0"/>
          <w:szCs w:val="24"/>
          <w:lang w:eastAsia="tr-TR"/>
        </w:rPr>
        <w:t>Equation 3.</w:t>
      </w:r>
      <w:r>
        <w:rPr>
          <w:rFonts w:eastAsia="Calibri" w:cs="Times New Roman"/>
          <w:b w:val="0"/>
          <w:szCs w:val="24"/>
          <w:lang w:eastAsia="tr-TR"/>
        </w:rPr>
        <w:t>1</w:t>
      </w:r>
    </w:p>
    <w:p w14:paraId="775ACF3F" w14:textId="7E6B6EA5" w:rsidR="00D740DC" w:rsidRPr="000E2377" w:rsidRDefault="00D740DC" w:rsidP="00D740DC">
      <w:pPr>
        <w:spacing w:line="360" w:lineRule="auto"/>
        <w:jc w:val="both"/>
        <w:rPr>
          <w:rFonts w:eastAsia="Times New Roman" w:cs="Times New Roman"/>
          <w:bCs/>
          <w:noProof/>
          <w:szCs w:val="24"/>
          <w:lang w:val="en-GB"/>
        </w:rPr>
      </w:pPr>
      <w:r w:rsidRPr="004C53A7">
        <w:rPr>
          <w:b w:val="0"/>
          <w:lang w:eastAsia="tr-TR"/>
        </w:rPr>
        <w:t>Where</w:t>
      </w:r>
      <w:r>
        <w:rPr>
          <w:b w:val="0"/>
          <w:lang w:eastAsia="tr-TR"/>
        </w:rPr>
        <w:t xml:space="preserve"> </w:t>
      </w:r>
      <w:proofErr w:type="spellStart"/>
      <w:r>
        <w:rPr>
          <w:b w:val="0"/>
          <w:lang w:eastAsia="tr-TR"/>
        </w:rPr>
        <w:t>Vp</w:t>
      </w:r>
      <w:proofErr w:type="spellEnd"/>
      <w:r>
        <w:rPr>
          <w:b w:val="0"/>
          <w:lang w:eastAsia="tr-TR"/>
        </w:rPr>
        <w:t xml:space="preserve"> is packing factor (packing density), M is the molar mass of glass, </w:t>
      </w:r>
      <w:r w:rsidRPr="004C53A7">
        <w:rPr>
          <w:b w:val="0"/>
          <w:i/>
          <w:lang w:eastAsia="tr-TR"/>
        </w:rPr>
        <w:t>Mi</w:t>
      </w:r>
      <w:r>
        <w:rPr>
          <w:b w:val="0"/>
          <w:lang w:eastAsia="tr-TR"/>
        </w:rPr>
        <w:t xml:space="preserve"> and </w:t>
      </w:r>
      <w:r w:rsidRPr="004C53A7">
        <w:rPr>
          <w:b w:val="0"/>
          <w:i/>
          <w:lang w:eastAsia="tr-TR"/>
        </w:rPr>
        <w:t>xi</w:t>
      </w:r>
      <w:r>
        <w:rPr>
          <w:b w:val="0"/>
          <w:lang w:eastAsia="tr-TR"/>
        </w:rPr>
        <w:t xml:space="preserve"> are the molar fraction of </w:t>
      </w:r>
      <w:proofErr w:type="spellStart"/>
      <w:r w:rsidRPr="004C53A7">
        <w:rPr>
          <w:b w:val="0"/>
          <w:i/>
          <w:lang w:eastAsia="tr-TR"/>
        </w:rPr>
        <w:t>i</w:t>
      </w:r>
      <w:r>
        <w:rPr>
          <w:b w:val="0"/>
          <w:lang w:eastAsia="tr-TR"/>
        </w:rPr>
        <w:t>th</w:t>
      </w:r>
      <w:proofErr w:type="spellEnd"/>
      <w:r>
        <w:rPr>
          <w:b w:val="0"/>
          <w:lang w:eastAsia="tr-TR"/>
        </w:rPr>
        <w:t xml:space="preserve"> component and </w:t>
      </w:r>
      <w:r w:rsidRPr="001F2BA2">
        <w:rPr>
          <w:b w:val="0"/>
          <w:i/>
          <w:lang w:eastAsia="tr-TR"/>
        </w:rPr>
        <w:t>vi</w:t>
      </w:r>
      <w:r>
        <w:rPr>
          <w:b w:val="0"/>
          <w:lang w:eastAsia="tr-TR"/>
        </w:rPr>
        <w:t xml:space="preserve"> is the packing density parameter.</w:t>
      </w:r>
    </w:p>
    <w:p w14:paraId="71CDA13D" w14:textId="77777777" w:rsidR="00D740DC" w:rsidRPr="000E2377" w:rsidRDefault="00D740DC" w:rsidP="00D740DC">
      <w:pPr>
        <w:keepNext/>
        <w:keepLines/>
        <w:spacing w:before="40" w:after="0" w:line="360" w:lineRule="auto"/>
        <w:jc w:val="both"/>
        <w:outlineLvl w:val="2"/>
        <w:rPr>
          <w:rFonts w:eastAsiaTheme="majorEastAsia" w:cstheme="majorBidi"/>
          <w:color w:val="000000" w:themeColor="text1"/>
          <w:szCs w:val="24"/>
        </w:rPr>
      </w:pPr>
      <w:bookmarkStart w:id="389" w:name="_Toc515398725"/>
      <w:bookmarkStart w:id="390" w:name="_Toc523402904"/>
      <w:bookmarkStart w:id="391" w:name="_Toc525526415"/>
      <w:bookmarkStart w:id="392" w:name="_Toc525707832"/>
      <w:bookmarkStart w:id="393" w:name="_Toc525742497"/>
      <w:bookmarkStart w:id="394" w:name="_Toc12994958"/>
      <w:r w:rsidRPr="000E2377">
        <w:rPr>
          <w:rFonts w:eastAsiaTheme="majorEastAsia" w:cstheme="majorBidi"/>
          <w:color w:val="000000" w:themeColor="text1"/>
          <w:szCs w:val="24"/>
        </w:rPr>
        <w:lastRenderedPageBreak/>
        <w:t>3.5 Chemical and structural analysis</w:t>
      </w:r>
      <w:bookmarkEnd w:id="389"/>
      <w:bookmarkEnd w:id="390"/>
      <w:bookmarkEnd w:id="391"/>
      <w:bookmarkEnd w:id="392"/>
      <w:bookmarkEnd w:id="393"/>
      <w:bookmarkEnd w:id="394"/>
    </w:p>
    <w:p w14:paraId="78AF9D03" w14:textId="77777777" w:rsidR="00D740DC" w:rsidRPr="000E2377" w:rsidRDefault="00D740DC" w:rsidP="00D740DC">
      <w:pPr>
        <w:keepNext/>
        <w:keepLines/>
        <w:spacing w:before="40" w:after="0" w:line="360" w:lineRule="auto"/>
        <w:outlineLvl w:val="3"/>
        <w:rPr>
          <w:rFonts w:eastAsia="Calibri" w:cstheme="majorBidi"/>
          <w:iCs/>
          <w:color w:val="000000" w:themeColor="text1"/>
          <w:lang w:eastAsia="tr-TR"/>
        </w:rPr>
      </w:pPr>
      <w:bookmarkStart w:id="395" w:name="_Toc523402905"/>
      <w:bookmarkStart w:id="396" w:name="_Toc525526416"/>
      <w:bookmarkStart w:id="397" w:name="_Toc525707833"/>
      <w:bookmarkStart w:id="398" w:name="_Toc525742498"/>
      <w:r w:rsidRPr="000E2377">
        <w:rPr>
          <w:rFonts w:eastAsia="Calibri" w:cstheme="majorBidi"/>
          <w:iCs/>
          <w:color w:val="000000" w:themeColor="text1"/>
          <w:lang w:eastAsia="tr-TR"/>
        </w:rPr>
        <w:t>3.5.1 X-Ray fluorescence (XRF)</w:t>
      </w:r>
      <w:bookmarkEnd w:id="395"/>
      <w:bookmarkEnd w:id="396"/>
      <w:bookmarkEnd w:id="397"/>
      <w:bookmarkEnd w:id="398"/>
      <w:r>
        <w:rPr>
          <w:rFonts w:eastAsia="Calibri" w:cstheme="majorBidi"/>
          <w:iCs/>
          <w:color w:val="000000" w:themeColor="text1"/>
          <w:lang w:eastAsia="tr-TR"/>
        </w:rPr>
        <w:t xml:space="preserve"> </w:t>
      </w:r>
    </w:p>
    <w:p w14:paraId="04278609" w14:textId="4507B10B" w:rsidR="00D740DC" w:rsidRPr="000E2377" w:rsidRDefault="00D740DC" w:rsidP="00D740DC">
      <w:pPr>
        <w:spacing w:line="360" w:lineRule="auto"/>
        <w:jc w:val="both"/>
        <w:rPr>
          <w:rFonts w:cs="Times New Roman"/>
          <w:b w:val="0"/>
          <w:szCs w:val="24"/>
        </w:rPr>
      </w:pPr>
      <w:r w:rsidRPr="000E2377">
        <w:rPr>
          <w:rFonts w:cs="Times New Roman"/>
          <w:b w:val="0"/>
          <w:szCs w:val="24"/>
        </w:rPr>
        <w:t xml:space="preserve">X-Ray fluorescence (XRF) was used to analyse composition (elements and concentrations) in </w:t>
      </w:r>
      <w:r>
        <w:rPr>
          <w:rFonts w:cs="Times New Roman"/>
          <w:b w:val="0"/>
          <w:szCs w:val="24"/>
        </w:rPr>
        <w:t xml:space="preserve">the </w:t>
      </w:r>
      <w:r w:rsidRPr="000E2377">
        <w:rPr>
          <w:rFonts w:cs="Times New Roman"/>
          <w:b w:val="0"/>
          <w:szCs w:val="24"/>
        </w:rPr>
        <w:t>glass</w:t>
      </w:r>
      <w:r>
        <w:rPr>
          <w:rFonts w:cs="Times New Roman"/>
          <w:b w:val="0"/>
          <w:szCs w:val="24"/>
        </w:rPr>
        <w:t>es</w:t>
      </w:r>
      <w:r w:rsidRPr="000E2377">
        <w:rPr>
          <w:rFonts w:cs="Times New Roman"/>
          <w:b w:val="0"/>
          <w:szCs w:val="24"/>
        </w:rPr>
        <w:t xml:space="preserve"> produced. XRF data were obtained using a </w:t>
      </w:r>
      <w:proofErr w:type="spellStart"/>
      <w:r w:rsidRPr="000E2377">
        <w:rPr>
          <w:rFonts w:cs="Times New Roman"/>
          <w:b w:val="0"/>
          <w:szCs w:val="24"/>
        </w:rPr>
        <w:t>PanAnalytical</w:t>
      </w:r>
      <w:proofErr w:type="spellEnd"/>
      <w:r w:rsidRPr="000E2377">
        <w:rPr>
          <w:rFonts w:cs="Times New Roman"/>
          <w:b w:val="0"/>
          <w:szCs w:val="24"/>
        </w:rPr>
        <w:t xml:space="preserve"> </w:t>
      </w:r>
      <w:proofErr w:type="spellStart"/>
      <w:r w:rsidRPr="000E2377">
        <w:rPr>
          <w:rFonts w:cs="Times New Roman"/>
          <w:b w:val="0"/>
          <w:szCs w:val="24"/>
        </w:rPr>
        <w:t>Zetium</w:t>
      </w:r>
      <w:proofErr w:type="spellEnd"/>
      <w:r w:rsidRPr="000E2377">
        <w:rPr>
          <w:rFonts w:cs="Times New Roman"/>
          <w:b w:val="0"/>
          <w:szCs w:val="24"/>
        </w:rPr>
        <w:t xml:space="preserve">. Bulk samples were used. Split measurements were done between boron and other elements due to the boron detection being more complicated. Both were run in </w:t>
      </w:r>
      <w:r w:rsidR="00202044">
        <w:rPr>
          <w:rFonts w:cs="Times New Roman"/>
          <w:b w:val="0"/>
          <w:szCs w:val="24"/>
        </w:rPr>
        <w:t xml:space="preserve">a </w:t>
      </w:r>
      <w:r w:rsidRPr="000E2377">
        <w:rPr>
          <w:rFonts w:cs="Times New Roman"/>
          <w:b w:val="0"/>
          <w:szCs w:val="24"/>
        </w:rPr>
        <w:t xml:space="preserve">vacuum because </w:t>
      </w:r>
      <w:r w:rsidR="00202044">
        <w:rPr>
          <w:rFonts w:cs="Times New Roman"/>
          <w:b w:val="0"/>
          <w:szCs w:val="24"/>
        </w:rPr>
        <w:t xml:space="preserve">the </w:t>
      </w:r>
      <w:r w:rsidRPr="000E2377">
        <w:rPr>
          <w:rFonts w:cs="Times New Roman"/>
          <w:b w:val="0"/>
          <w:szCs w:val="24"/>
        </w:rPr>
        <w:t xml:space="preserve">air would absorb X-Rays. The glass samples were cleaned with isopropanol to prevent any defects or contamination and then were placed within the cup and placed in the machine.  </w:t>
      </w:r>
    </w:p>
    <w:p w14:paraId="7B4DCA2D" w14:textId="03B799CD" w:rsidR="00D740DC" w:rsidRPr="000E2377" w:rsidRDefault="00D740DC" w:rsidP="00D740DC">
      <w:pPr>
        <w:spacing w:line="360" w:lineRule="auto"/>
        <w:jc w:val="both"/>
        <w:rPr>
          <w:rFonts w:cs="Times New Roman"/>
          <w:b w:val="0"/>
          <w:szCs w:val="24"/>
        </w:rPr>
      </w:pPr>
      <w:r>
        <w:rPr>
          <w:rFonts w:cs="Times New Roman"/>
          <w:b w:val="0"/>
          <w:szCs w:val="24"/>
        </w:rPr>
        <w:t>X-ray fluorescence</w:t>
      </w:r>
      <w:r w:rsidRPr="000E2377">
        <w:rPr>
          <w:rFonts w:cs="Times New Roman"/>
          <w:b w:val="0"/>
          <w:szCs w:val="24"/>
        </w:rPr>
        <w:t xml:space="preserve"> occur</w:t>
      </w:r>
      <w:r>
        <w:rPr>
          <w:rFonts w:cs="Times New Roman"/>
          <w:b w:val="0"/>
          <w:szCs w:val="24"/>
        </w:rPr>
        <w:t>s</w:t>
      </w:r>
      <w:r w:rsidRPr="000E2377">
        <w:rPr>
          <w:rFonts w:cs="Times New Roman"/>
          <w:b w:val="0"/>
          <w:szCs w:val="24"/>
        </w:rPr>
        <w:t xml:space="preserve"> when </w:t>
      </w:r>
      <w:r>
        <w:rPr>
          <w:rFonts w:cs="Times New Roman"/>
          <w:b w:val="0"/>
          <w:szCs w:val="24"/>
        </w:rPr>
        <w:t xml:space="preserve">an </w:t>
      </w:r>
      <w:r w:rsidRPr="000E2377">
        <w:rPr>
          <w:rFonts w:cs="Times New Roman"/>
          <w:b w:val="0"/>
          <w:szCs w:val="24"/>
        </w:rPr>
        <w:t xml:space="preserve">intense X-ray beam (also known as </w:t>
      </w:r>
      <w:r>
        <w:rPr>
          <w:rFonts w:cs="Times New Roman"/>
          <w:b w:val="0"/>
          <w:szCs w:val="24"/>
        </w:rPr>
        <w:t xml:space="preserve">the </w:t>
      </w:r>
      <w:r w:rsidRPr="000E2377">
        <w:rPr>
          <w:rFonts w:cs="Times New Roman"/>
          <w:b w:val="0"/>
          <w:szCs w:val="24"/>
        </w:rPr>
        <w:t>incident beam) illuminat</w:t>
      </w:r>
      <w:r>
        <w:rPr>
          <w:rFonts w:cs="Times New Roman"/>
          <w:b w:val="0"/>
          <w:szCs w:val="24"/>
        </w:rPr>
        <w:t>ing a</w:t>
      </w:r>
      <w:r w:rsidRPr="000E2377">
        <w:rPr>
          <w:rFonts w:cs="Times New Roman"/>
          <w:b w:val="0"/>
          <w:szCs w:val="24"/>
        </w:rPr>
        <w:t xml:space="preserve"> sample </w:t>
      </w:r>
      <w:r>
        <w:rPr>
          <w:rFonts w:cs="Times New Roman"/>
          <w:b w:val="0"/>
          <w:szCs w:val="24"/>
        </w:rPr>
        <w:t>is</w:t>
      </w:r>
      <w:r w:rsidRPr="000E2377">
        <w:rPr>
          <w:rFonts w:cs="Times New Roman"/>
          <w:b w:val="0"/>
          <w:szCs w:val="24"/>
        </w:rPr>
        <w:t xml:space="preserve"> split into two with some amount of energy </w:t>
      </w:r>
      <w:r>
        <w:rPr>
          <w:rFonts w:cs="Times New Roman"/>
          <w:b w:val="0"/>
          <w:szCs w:val="24"/>
        </w:rPr>
        <w:t xml:space="preserve">being </w:t>
      </w:r>
      <w:r w:rsidRPr="000E2377">
        <w:rPr>
          <w:rFonts w:cs="Times New Roman"/>
          <w:b w:val="0"/>
          <w:szCs w:val="24"/>
        </w:rPr>
        <w:t xml:space="preserve">scattered and some </w:t>
      </w:r>
      <w:r>
        <w:rPr>
          <w:rFonts w:cs="Times New Roman"/>
          <w:b w:val="0"/>
          <w:szCs w:val="24"/>
        </w:rPr>
        <w:t>being</w:t>
      </w:r>
      <w:r w:rsidRPr="000E2377">
        <w:rPr>
          <w:rFonts w:cs="Times New Roman"/>
          <w:b w:val="0"/>
          <w:szCs w:val="24"/>
        </w:rPr>
        <w:t xml:space="preserve"> absorbed into the sample. The X-ray energy </w:t>
      </w:r>
      <w:r>
        <w:rPr>
          <w:rFonts w:cs="Times New Roman"/>
          <w:b w:val="0"/>
          <w:szCs w:val="24"/>
        </w:rPr>
        <w:t>is</w:t>
      </w:r>
      <w:r w:rsidRPr="000E2377">
        <w:rPr>
          <w:rFonts w:cs="Times New Roman"/>
          <w:b w:val="0"/>
          <w:szCs w:val="24"/>
        </w:rPr>
        <w:t xml:space="preserve"> absorb</w:t>
      </w:r>
      <w:r>
        <w:rPr>
          <w:rFonts w:cs="Times New Roman"/>
          <w:b w:val="0"/>
          <w:szCs w:val="24"/>
        </w:rPr>
        <w:t>ed</w:t>
      </w:r>
      <w:r w:rsidRPr="000E2377">
        <w:rPr>
          <w:rFonts w:cs="Times New Roman"/>
          <w:b w:val="0"/>
          <w:szCs w:val="24"/>
        </w:rPr>
        <w:t xml:space="preserve"> by </w:t>
      </w:r>
      <w:r>
        <w:rPr>
          <w:rFonts w:cs="Times New Roman"/>
          <w:b w:val="0"/>
          <w:szCs w:val="24"/>
        </w:rPr>
        <w:t xml:space="preserve">the </w:t>
      </w:r>
      <w:r w:rsidRPr="000E2377">
        <w:rPr>
          <w:rFonts w:cs="Times New Roman"/>
          <w:b w:val="0"/>
          <w:szCs w:val="24"/>
        </w:rPr>
        <w:t xml:space="preserve">sample </w:t>
      </w:r>
      <w:r>
        <w:rPr>
          <w:rFonts w:cs="Times New Roman"/>
          <w:b w:val="0"/>
          <w:szCs w:val="24"/>
        </w:rPr>
        <w:t>through the</w:t>
      </w:r>
      <w:r w:rsidRPr="000E2377">
        <w:rPr>
          <w:rFonts w:cs="Times New Roman"/>
          <w:b w:val="0"/>
          <w:szCs w:val="24"/>
        </w:rPr>
        <w:t xml:space="preserve"> ioniz</w:t>
      </w:r>
      <w:r>
        <w:rPr>
          <w:rFonts w:cs="Times New Roman"/>
          <w:b w:val="0"/>
          <w:szCs w:val="24"/>
        </w:rPr>
        <w:t>ation</w:t>
      </w:r>
      <w:r w:rsidRPr="000E2377">
        <w:rPr>
          <w:rFonts w:cs="Times New Roman"/>
          <w:b w:val="0"/>
          <w:szCs w:val="24"/>
        </w:rPr>
        <w:t xml:space="preserve"> and ejecti</w:t>
      </w:r>
      <w:r>
        <w:rPr>
          <w:rFonts w:cs="Times New Roman"/>
          <w:b w:val="0"/>
          <w:szCs w:val="24"/>
        </w:rPr>
        <w:t>on</w:t>
      </w:r>
      <w:r w:rsidRPr="000E2377">
        <w:rPr>
          <w:rFonts w:cs="Times New Roman"/>
          <w:b w:val="0"/>
          <w:szCs w:val="24"/>
        </w:rPr>
        <w:t xml:space="preserve"> of electrons, usually f</w:t>
      </w:r>
      <w:r>
        <w:rPr>
          <w:rFonts w:cs="Times New Roman"/>
          <w:b w:val="0"/>
          <w:szCs w:val="24"/>
        </w:rPr>
        <w:t>ro</w:t>
      </w:r>
      <w:r w:rsidRPr="000E2377">
        <w:rPr>
          <w:rFonts w:cs="Times New Roman"/>
          <w:b w:val="0"/>
          <w:szCs w:val="24"/>
        </w:rPr>
        <w:t xml:space="preserve">m K </w:t>
      </w:r>
      <w:r>
        <w:rPr>
          <w:rFonts w:cs="Times New Roman"/>
          <w:b w:val="0"/>
          <w:szCs w:val="24"/>
        </w:rPr>
        <w:t>and</w:t>
      </w:r>
      <w:r w:rsidRPr="000E2377">
        <w:rPr>
          <w:rFonts w:cs="Times New Roman"/>
          <w:b w:val="0"/>
          <w:szCs w:val="24"/>
        </w:rPr>
        <w:t xml:space="preserve"> L energy levels. Each element has different and specific orbital</w:t>
      </w:r>
      <w:r>
        <w:rPr>
          <w:rFonts w:cs="Times New Roman"/>
          <w:b w:val="0"/>
          <w:szCs w:val="24"/>
        </w:rPr>
        <w:t xml:space="preserve"> energy level</w:t>
      </w:r>
      <w:r w:rsidRPr="000E2377">
        <w:rPr>
          <w:rFonts w:cs="Times New Roman"/>
          <w:b w:val="0"/>
          <w:szCs w:val="24"/>
        </w:rPr>
        <w:t xml:space="preserve">s, giving </w:t>
      </w:r>
      <w:r>
        <w:rPr>
          <w:rFonts w:cs="Times New Roman"/>
          <w:b w:val="0"/>
          <w:szCs w:val="24"/>
        </w:rPr>
        <w:t xml:space="preserve">rise to </w:t>
      </w:r>
      <w:r w:rsidRPr="000E2377">
        <w:rPr>
          <w:rFonts w:cs="Times New Roman"/>
          <w:b w:val="0"/>
          <w:szCs w:val="24"/>
        </w:rPr>
        <w:t xml:space="preserve">distinct fluorescence signals and thus enabling elemental identification. Figure 3.5 shows the changing of </w:t>
      </w:r>
      <w:r w:rsidR="00202044">
        <w:rPr>
          <w:rFonts w:cs="Times New Roman"/>
          <w:b w:val="0"/>
          <w:szCs w:val="24"/>
        </w:rPr>
        <w:t xml:space="preserve">a </w:t>
      </w:r>
      <w:r w:rsidRPr="000E2377">
        <w:rPr>
          <w:rFonts w:cs="Times New Roman"/>
          <w:b w:val="0"/>
          <w:szCs w:val="24"/>
        </w:rPr>
        <w:t xml:space="preserve">photon when an X-rays interact with the material. </w:t>
      </w:r>
    </w:p>
    <w:p w14:paraId="7252286A" w14:textId="77777777" w:rsidR="00D740DC" w:rsidRPr="000E2377" w:rsidRDefault="00D740DC" w:rsidP="00D740DC">
      <w:pPr>
        <w:jc w:val="center"/>
      </w:pPr>
      <w:r w:rsidRPr="000E2377">
        <w:rPr>
          <w:noProof/>
          <w:lang w:eastAsia="en-MY"/>
        </w:rPr>
        <w:drawing>
          <wp:inline distT="0" distB="0" distL="0" distR="0" wp14:anchorId="51838DE2" wp14:editId="3EE7016D">
            <wp:extent cx="4387215" cy="2092325"/>
            <wp:effectExtent l="0" t="0" r="0" b="3175"/>
            <wp:docPr id="2630" name="Picture 2630" descr="D:\extra document\XR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xtra document\XRF.t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87215" cy="2092325"/>
                    </a:xfrm>
                    <a:prstGeom prst="rect">
                      <a:avLst/>
                    </a:prstGeom>
                    <a:noFill/>
                    <a:ln>
                      <a:noFill/>
                    </a:ln>
                  </pic:spPr>
                </pic:pic>
              </a:graphicData>
            </a:graphic>
          </wp:inline>
        </w:drawing>
      </w:r>
    </w:p>
    <w:p w14:paraId="54E56550" w14:textId="0D2029C2" w:rsidR="00D740DC" w:rsidRPr="000E2377" w:rsidRDefault="00D740DC" w:rsidP="00D740DC">
      <w:pPr>
        <w:pStyle w:val="Caption"/>
        <w:rPr>
          <w:szCs w:val="24"/>
        </w:rPr>
      </w:pPr>
      <w:bookmarkStart w:id="399" w:name="_Toc521420457"/>
      <w:bookmarkStart w:id="400" w:name="_Toc525223192"/>
      <w:bookmarkStart w:id="401" w:name="_Toc525528339"/>
      <w:bookmarkStart w:id="402" w:name="_Toc525706354"/>
      <w:bookmarkStart w:id="403" w:name="_Hlk515393966"/>
      <w:r w:rsidRPr="000E2377">
        <w:t xml:space="preserve">Figure </w:t>
      </w:r>
      <w:r>
        <w:t>3</w:t>
      </w:r>
      <w:r w:rsidRPr="000E2377">
        <w:t>.</w:t>
      </w:r>
      <w:r w:rsidRPr="000E2377">
        <w:fldChar w:fldCharType="begin"/>
      </w:r>
      <w:r w:rsidRPr="000E2377">
        <w:instrText xml:space="preserve"> SEQ Figure \* ARABIC \s 1 </w:instrText>
      </w:r>
      <w:r w:rsidRPr="000E2377">
        <w:fldChar w:fldCharType="separate"/>
      </w:r>
      <w:r w:rsidR="00C827AE">
        <w:rPr>
          <w:noProof/>
        </w:rPr>
        <w:t>5</w:t>
      </w:r>
      <w:r w:rsidRPr="000E2377">
        <w:fldChar w:fldCharType="end"/>
      </w:r>
      <w:r w:rsidRPr="000E2377">
        <w:t xml:space="preserve">: </w:t>
      </w:r>
      <w:r w:rsidRPr="000E2377">
        <w:rPr>
          <w:szCs w:val="24"/>
        </w:rPr>
        <w:t>The transition of electron shell</w:t>
      </w:r>
      <w:bookmarkEnd w:id="399"/>
      <w:r w:rsidRPr="000E2377">
        <w:rPr>
          <w:szCs w:val="24"/>
        </w:rPr>
        <w:t>.</w:t>
      </w:r>
      <w:bookmarkEnd w:id="400"/>
      <w:bookmarkEnd w:id="401"/>
      <w:bookmarkEnd w:id="402"/>
    </w:p>
    <w:p w14:paraId="7F6CA32C" w14:textId="77777777" w:rsidR="00D740DC" w:rsidRDefault="00D740DC" w:rsidP="00D740DC">
      <w:pPr>
        <w:rPr>
          <w:lang w:val="en-GB"/>
        </w:rPr>
      </w:pPr>
    </w:p>
    <w:p w14:paraId="05BCCB85" w14:textId="561BBDB3" w:rsidR="00D740DC" w:rsidRDefault="00D740DC" w:rsidP="00D740DC">
      <w:pPr>
        <w:rPr>
          <w:lang w:val="en-GB"/>
        </w:rPr>
      </w:pPr>
    </w:p>
    <w:p w14:paraId="01495D23" w14:textId="7686CAC6" w:rsidR="002B5521" w:rsidRDefault="002B5521" w:rsidP="00D740DC">
      <w:pPr>
        <w:rPr>
          <w:lang w:val="en-GB"/>
        </w:rPr>
      </w:pPr>
    </w:p>
    <w:p w14:paraId="2C1DFD93" w14:textId="77777777" w:rsidR="002B5521" w:rsidRDefault="002B5521" w:rsidP="00D740DC">
      <w:pPr>
        <w:rPr>
          <w:lang w:val="en-GB"/>
        </w:rPr>
      </w:pPr>
    </w:p>
    <w:p w14:paraId="36D85C99" w14:textId="77777777" w:rsidR="00D740DC" w:rsidRPr="000E2377" w:rsidRDefault="00D740DC" w:rsidP="00D740DC">
      <w:pPr>
        <w:rPr>
          <w:lang w:val="en-GB"/>
        </w:rPr>
      </w:pPr>
    </w:p>
    <w:p w14:paraId="256524AA" w14:textId="77777777" w:rsidR="00D740DC" w:rsidRDefault="00D740DC" w:rsidP="000648E6">
      <w:pPr>
        <w:pStyle w:val="Heading4"/>
        <w:jc w:val="left"/>
        <w:rPr>
          <w:lang w:val="en-GB"/>
        </w:rPr>
      </w:pPr>
      <w:r>
        <w:rPr>
          <w:lang w:val="en-GB"/>
        </w:rPr>
        <w:lastRenderedPageBreak/>
        <w:t>3.5.2 Inductively coupled plasma analysis optical emission spectroscopy (ICP-OES)</w:t>
      </w:r>
    </w:p>
    <w:p w14:paraId="343C4162" w14:textId="56A44CD7" w:rsidR="00D740DC" w:rsidRDefault="00D740DC" w:rsidP="00D740DC">
      <w:pPr>
        <w:spacing w:line="360" w:lineRule="auto"/>
        <w:jc w:val="both"/>
        <w:rPr>
          <w:rFonts w:cs="Times New Roman"/>
          <w:b w:val="0"/>
          <w:color w:val="2E2E2E"/>
          <w:szCs w:val="24"/>
        </w:rPr>
      </w:pPr>
      <w:r>
        <w:rPr>
          <w:rFonts w:cs="Times New Roman"/>
          <w:b w:val="0"/>
          <w:color w:val="2E2E2E"/>
          <w:szCs w:val="24"/>
        </w:rPr>
        <w:t>D</w:t>
      </w:r>
      <w:r w:rsidRPr="00447FB3">
        <w:rPr>
          <w:rFonts w:cs="Times New Roman"/>
          <w:b w:val="0"/>
          <w:color w:val="2E2E2E"/>
          <w:szCs w:val="24"/>
        </w:rPr>
        <w:t xml:space="preserve">ue to the complications associated </w:t>
      </w:r>
      <w:r>
        <w:rPr>
          <w:rFonts w:cs="Times New Roman"/>
          <w:b w:val="0"/>
          <w:color w:val="2E2E2E"/>
          <w:szCs w:val="24"/>
        </w:rPr>
        <w:t xml:space="preserve">with XRF measurements in boron containing samples inductively coupled plasma optical emission spectroscopy (ICP-OES) analysis </w:t>
      </w:r>
      <w:r w:rsidRPr="00121647">
        <w:rPr>
          <w:rFonts w:cs="Times New Roman"/>
          <w:b w:val="0"/>
          <w:szCs w:val="24"/>
          <w:lang w:val="en-GB"/>
        </w:rPr>
        <w:t xml:space="preserve">of 8 </w:t>
      </w:r>
      <w:r>
        <w:rPr>
          <w:rFonts w:cs="Times New Roman"/>
          <w:b w:val="0"/>
          <w:szCs w:val="24"/>
          <w:lang w:val="en-GB"/>
        </w:rPr>
        <w:t xml:space="preserve">the </w:t>
      </w:r>
      <w:r w:rsidRPr="00121647">
        <w:rPr>
          <w:rFonts w:cs="Times New Roman"/>
          <w:b w:val="0"/>
          <w:szCs w:val="24"/>
          <w:lang w:val="en-GB"/>
        </w:rPr>
        <w:t>glass</w:t>
      </w:r>
      <w:r>
        <w:rPr>
          <w:rFonts w:cs="Times New Roman"/>
          <w:b w:val="0"/>
          <w:szCs w:val="24"/>
          <w:lang w:val="en-GB"/>
        </w:rPr>
        <w:t>es was undertaken</w:t>
      </w:r>
      <w:r w:rsidRPr="00121647">
        <w:rPr>
          <w:rFonts w:cs="Times New Roman"/>
          <w:b w:val="0"/>
          <w:szCs w:val="24"/>
          <w:lang w:val="en-GB"/>
        </w:rPr>
        <w:t xml:space="preserve">. </w:t>
      </w:r>
      <w:r w:rsidRPr="00121647">
        <w:rPr>
          <w:rFonts w:cs="Times New Roman"/>
          <w:b w:val="0"/>
          <w:color w:val="2E2E2E"/>
          <w:szCs w:val="24"/>
        </w:rPr>
        <w:t>ICP-</w:t>
      </w:r>
      <w:r>
        <w:rPr>
          <w:rFonts w:cs="Times New Roman"/>
          <w:b w:val="0"/>
          <w:color w:val="2E2E2E"/>
          <w:szCs w:val="24"/>
        </w:rPr>
        <w:t>O</w:t>
      </w:r>
      <w:r w:rsidRPr="00121647">
        <w:rPr>
          <w:rFonts w:cs="Times New Roman"/>
          <w:b w:val="0"/>
          <w:color w:val="2E2E2E"/>
          <w:szCs w:val="24"/>
        </w:rPr>
        <w:t xml:space="preserve">ES measurements were conducted by a third party at </w:t>
      </w:r>
      <w:r w:rsidR="00202044">
        <w:rPr>
          <w:rFonts w:cs="Times New Roman"/>
          <w:b w:val="0"/>
          <w:color w:val="2E2E2E"/>
          <w:szCs w:val="24"/>
        </w:rPr>
        <w:t xml:space="preserve">the </w:t>
      </w:r>
      <w:r>
        <w:rPr>
          <w:rFonts w:cs="Times New Roman"/>
          <w:b w:val="0"/>
          <w:color w:val="2E2E2E"/>
          <w:szCs w:val="24"/>
        </w:rPr>
        <w:t>D</w:t>
      </w:r>
      <w:r w:rsidRPr="00121647">
        <w:rPr>
          <w:rFonts w:cs="Times New Roman"/>
          <w:b w:val="0"/>
          <w:color w:val="2E2E2E"/>
          <w:szCs w:val="24"/>
        </w:rPr>
        <w:t>epartment</w:t>
      </w:r>
      <w:r>
        <w:rPr>
          <w:rFonts w:cs="Times New Roman"/>
          <w:b w:val="0"/>
          <w:color w:val="2E2E2E"/>
          <w:szCs w:val="24"/>
        </w:rPr>
        <w:t xml:space="preserve"> of Chemistry</w:t>
      </w:r>
      <w:r w:rsidRPr="00121647">
        <w:rPr>
          <w:rFonts w:cs="Times New Roman"/>
          <w:b w:val="0"/>
          <w:color w:val="2E2E2E"/>
          <w:szCs w:val="24"/>
        </w:rPr>
        <w:t xml:space="preserve">, University of Sheffield. </w:t>
      </w:r>
      <w:r>
        <w:rPr>
          <w:rFonts w:cs="Times New Roman"/>
          <w:b w:val="0"/>
          <w:color w:val="2E2E2E"/>
          <w:szCs w:val="24"/>
        </w:rPr>
        <w:t xml:space="preserve">~10g samples were prepared by crushing and sieving to &lt;75µm.  </w:t>
      </w:r>
    </w:p>
    <w:p w14:paraId="06A52C37" w14:textId="77777777" w:rsidR="00D740DC" w:rsidRPr="000E2377" w:rsidRDefault="00D740DC" w:rsidP="00D740DC">
      <w:pPr>
        <w:keepNext/>
        <w:keepLines/>
        <w:numPr>
          <w:ilvl w:val="2"/>
          <w:numId w:val="1"/>
        </w:numPr>
        <w:spacing w:before="40" w:after="0" w:line="360" w:lineRule="auto"/>
        <w:outlineLvl w:val="2"/>
        <w:rPr>
          <w:rFonts w:eastAsiaTheme="majorEastAsia" w:cstheme="majorBidi"/>
          <w:vanish/>
          <w:color w:val="000000" w:themeColor="text1"/>
          <w:szCs w:val="24"/>
        </w:rPr>
      </w:pPr>
      <w:bookmarkStart w:id="404" w:name="_Toc515398726"/>
      <w:bookmarkStart w:id="405" w:name="_Toc523153584"/>
      <w:bookmarkStart w:id="406" w:name="_Toc523402906"/>
      <w:bookmarkStart w:id="407" w:name="_Toc525222375"/>
      <w:bookmarkStart w:id="408" w:name="_Toc525526417"/>
      <w:bookmarkStart w:id="409" w:name="_Toc525703743"/>
      <w:bookmarkStart w:id="410" w:name="_Toc525707545"/>
      <w:bookmarkStart w:id="411" w:name="_Toc525707834"/>
      <w:bookmarkStart w:id="412" w:name="_Toc525742499"/>
      <w:bookmarkStart w:id="413" w:name="_Toc10983094"/>
      <w:bookmarkStart w:id="414" w:name="_Toc12994959"/>
      <w:bookmarkEnd w:id="403"/>
      <w:bookmarkEnd w:id="404"/>
      <w:bookmarkEnd w:id="405"/>
      <w:bookmarkEnd w:id="406"/>
      <w:bookmarkEnd w:id="407"/>
      <w:bookmarkEnd w:id="408"/>
      <w:bookmarkEnd w:id="409"/>
      <w:bookmarkEnd w:id="410"/>
      <w:bookmarkEnd w:id="411"/>
      <w:bookmarkEnd w:id="412"/>
      <w:bookmarkEnd w:id="413"/>
      <w:bookmarkEnd w:id="414"/>
    </w:p>
    <w:p w14:paraId="099DE4C5" w14:textId="77777777" w:rsidR="00D740DC" w:rsidRPr="000E2377" w:rsidRDefault="00D740DC" w:rsidP="00D740DC">
      <w:pPr>
        <w:keepNext/>
        <w:keepLines/>
        <w:numPr>
          <w:ilvl w:val="3"/>
          <w:numId w:val="1"/>
        </w:numPr>
        <w:spacing w:before="40" w:after="0" w:line="360" w:lineRule="auto"/>
        <w:outlineLvl w:val="3"/>
        <w:rPr>
          <w:rFonts w:eastAsiaTheme="majorEastAsia" w:cstheme="majorBidi"/>
          <w:iCs/>
          <w:vanish/>
          <w:color w:val="000000" w:themeColor="text1"/>
        </w:rPr>
      </w:pPr>
      <w:bookmarkStart w:id="415" w:name="_Toc523153585"/>
      <w:bookmarkStart w:id="416" w:name="_Toc523402803"/>
      <w:bookmarkStart w:id="417" w:name="_Toc523402907"/>
      <w:bookmarkStart w:id="418" w:name="_Toc525222376"/>
      <w:bookmarkStart w:id="419" w:name="_Toc525526418"/>
      <w:bookmarkStart w:id="420" w:name="_Toc525703744"/>
      <w:bookmarkStart w:id="421" w:name="_Toc525707546"/>
      <w:bookmarkStart w:id="422" w:name="_Toc525707835"/>
      <w:bookmarkStart w:id="423" w:name="_Toc525742500"/>
      <w:bookmarkEnd w:id="415"/>
      <w:bookmarkEnd w:id="416"/>
      <w:bookmarkEnd w:id="417"/>
      <w:bookmarkEnd w:id="418"/>
      <w:bookmarkEnd w:id="419"/>
      <w:bookmarkEnd w:id="420"/>
      <w:bookmarkEnd w:id="421"/>
      <w:bookmarkEnd w:id="422"/>
      <w:bookmarkEnd w:id="423"/>
    </w:p>
    <w:p w14:paraId="095E022E" w14:textId="77777777" w:rsidR="00D740DC" w:rsidRPr="000E2377" w:rsidRDefault="00D740DC" w:rsidP="00D740DC">
      <w:pPr>
        <w:keepNext/>
        <w:keepLines/>
        <w:spacing w:before="40" w:after="0" w:line="360" w:lineRule="auto"/>
        <w:outlineLvl w:val="3"/>
        <w:rPr>
          <w:rFonts w:eastAsia="Calibri" w:cstheme="majorBidi"/>
          <w:iCs/>
          <w:color w:val="000000" w:themeColor="text1"/>
          <w:lang w:eastAsia="tr-TR"/>
        </w:rPr>
      </w:pPr>
      <w:bookmarkStart w:id="424" w:name="_Toc523402908"/>
      <w:bookmarkStart w:id="425" w:name="_Toc525526419"/>
      <w:bookmarkStart w:id="426" w:name="_Toc525707836"/>
      <w:bookmarkStart w:id="427" w:name="_Toc525742501"/>
      <w:r w:rsidRPr="000E2377">
        <w:rPr>
          <w:rFonts w:eastAsia="Calibri" w:cstheme="majorBidi"/>
          <w:iCs/>
          <w:color w:val="000000" w:themeColor="text1"/>
          <w:lang w:eastAsia="tr-TR"/>
        </w:rPr>
        <w:t>3.5.</w:t>
      </w:r>
      <w:r>
        <w:rPr>
          <w:rFonts w:eastAsia="Calibri" w:cstheme="majorBidi"/>
          <w:iCs/>
          <w:color w:val="000000" w:themeColor="text1"/>
          <w:lang w:eastAsia="tr-TR"/>
        </w:rPr>
        <w:t>3</w:t>
      </w:r>
      <w:r w:rsidRPr="000E2377">
        <w:rPr>
          <w:rFonts w:eastAsia="Calibri" w:cstheme="majorBidi"/>
          <w:iCs/>
          <w:color w:val="000000" w:themeColor="text1"/>
          <w:lang w:eastAsia="tr-TR"/>
        </w:rPr>
        <w:t xml:space="preserve"> X-Ray diffraction (XRD)</w:t>
      </w:r>
      <w:bookmarkEnd w:id="424"/>
      <w:bookmarkEnd w:id="425"/>
      <w:bookmarkEnd w:id="426"/>
      <w:bookmarkEnd w:id="427"/>
    </w:p>
    <w:p w14:paraId="7686636B" w14:textId="0042835C" w:rsidR="00D740DC" w:rsidRPr="000E2377" w:rsidRDefault="00D740DC" w:rsidP="00D740DC">
      <w:pPr>
        <w:spacing w:line="360" w:lineRule="auto"/>
        <w:jc w:val="both"/>
        <w:rPr>
          <w:rFonts w:cs="Times New Roman"/>
          <w:b w:val="0"/>
          <w:szCs w:val="24"/>
        </w:rPr>
      </w:pPr>
      <w:r w:rsidRPr="000E2377">
        <w:rPr>
          <w:rFonts w:cs="Times New Roman"/>
          <w:b w:val="0"/>
          <w:szCs w:val="24"/>
        </w:rPr>
        <w:t xml:space="preserve">Powdered glass (&lt;150µm) was analysed </w:t>
      </w:r>
      <w:r>
        <w:rPr>
          <w:rFonts w:cs="Times New Roman"/>
          <w:b w:val="0"/>
          <w:szCs w:val="24"/>
        </w:rPr>
        <w:t>by</w:t>
      </w:r>
      <w:r w:rsidRPr="000E2377">
        <w:rPr>
          <w:rFonts w:cs="Times New Roman"/>
          <w:b w:val="0"/>
          <w:szCs w:val="24"/>
        </w:rPr>
        <w:t xml:space="preserve"> X-Ray diffraction (XRD) using a </w:t>
      </w:r>
      <w:r w:rsidRPr="000E2377">
        <w:rPr>
          <w:rFonts w:cs="Times New Roman"/>
          <w:b w:val="0"/>
          <w:color w:val="000000" w:themeColor="text1"/>
          <w:szCs w:val="24"/>
        </w:rPr>
        <w:t xml:space="preserve">Siemens D5000 </w:t>
      </w:r>
      <w:r>
        <w:rPr>
          <w:rFonts w:cs="Times New Roman"/>
          <w:b w:val="0"/>
          <w:color w:val="000000" w:themeColor="text1"/>
          <w:szCs w:val="24"/>
        </w:rPr>
        <w:t xml:space="preserve">diffractometer </w:t>
      </w:r>
      <w:r w:rsidRPr="000E2377">
        <w:rPr>
          <w:rFonts w:cs="Times New Roman"/>
          <w:b w:val="0"/>
          <w:color w:val="000000" w:themeColor="text1"/>
          <w:szCs w:val="24"/>
        </w:rPr>
        <w:t xml:space="preserve">(with changer) to confirm the condition of glass as </w:t>
      </w:r>
      <w:r>
        <w:rPr>
          <w:rFonts w:cs="Times New Roman"/>
          <w:b w:val="0"/>
          <w:color w:val="000000" w:themeColor="text1"/>
          <w:szCs w:val="24"/>
        </w:rPr>
        <w:t xml:space="preserve">being </w:t>
      </w:r>
      <w:r w:rsidRPr="000E2377">
        <w:rPr>
          <w:rFonts w:cs="Times New Roman"/>
          <w:b w:val="0"/>
          <w:color w:val="000000" w:themeColor="text1"/>
          <w:szCs w:val="24"/>
        </w:rPr>
        <w:t xml:space="preserve">either fully amorphous or to show precipitation of crystalline phases. The glass powder was placed in the sample holder and a glass slide was used to flatten the top surface of </w:t>
      </w:r>
      <w:r w:rsidR="00202044">
        <w:rPr>
          <w:rFonts w:cs="Times New Roman"/>
          <w:b w:val="0"/>
          <w:color w:val="000000" w:themeColor="text1"/>
          <w:szCs w:val="24"/>
        </w:rPr>
        <w:t xml:space="preserve">the </w:t>
      </w:r>
      <w:r w:rsidRPr="000E2377">
        <w:rPr>
          <w:rFonts w:cs="Times New Roman"/>
          <w:b w:val="0"/>
          <w:color w:val="000000" w:themeColor="text1"/>
          <w:szCs w:val="24"/>
        </w:rPr>
        <w:t xml:space="preserve">glass in the holder. Diffraction </w:t>
      </w:r>
      <w:r w:rsidRPr="000E2377">
        <w:rPr>
          <w:rFonts w:cs="Times New Roman"/>
          <w:b w:val="0"/>
          <w:szCs w:val="24"/>
        </w:rPr>
        <w:t>patterns were measured at a rate of 0.1° 2θ/min between 15° and 60° 2θ</w:t>
      </w:r>
      <w:r>
        <w:rPr>
          <w:rFonts w:cs="Times New Roman"/>
          <w:b w:val="0"/>
          <w:szCs w:val="24"/>
        </w:rPr>
        <w:t>. Some samples were measured over the range 15º to 40º at 2</w:t>
      </w:r>
      <w:r w:rsidRPr="000E2377">
        <w:rPr>
          <w:rFonts w:cs="Times New Roman"/>
          <w:b w:val="0"/>
          <w:szCs w:val="24"/>
        </w:rPr>
        <w:t>θ</w:t>
      </w:r>
      <w:r>
        <w:rPr>
          <w:rFonts w:cs="Times New Roman"/>
          <w:b w:val="0"/>
          <w:szCs w:val="24"/>
        </w:rPr>
        <w:t xml:space="preserve"> </w:t>
      </w:r>
      <w:r w:rsidRPr="000E2377">
        <w:rPr>
          <w:rFonts w:cs="Times New Roman"/>
          <w:b w:val="0"/>
          <w:szCs w:val="24"/>
        </w:rPr>
        <w:t xml:space="preserve">with </w:t>
      </w:r>
      <w:r>
        <w:rPr>
          <w:rFonts w:cs="Times New Roman"/>
          <w:b w:val="0"/>
          <w:szCs w:val="24"/>
        </w:rPr>
        <w:t xml:space="preserve">a </w:t>
      </w:r>
      <w:r w:rsidRPr="000E2377">
        <w:rPr>
          <w:rFonts w:cs="Times New Roman"/>
          <w:b w:val="0"/>
          <w:szCs w:val="24"/>
        </w:rPr>
        <w:t>0.05</w:t>
      </w:r>
      <w:r>
        <w:rPr>
          <w:rFonts w:cs="Times New Roman"/>
          <w:b w:val="0"/>
          <w:szCs w:val="24"/>
        </w:rPr>
        <w:t>º</w:t>
      </w:r>
      <w:r w:rsidRPr="000E2377">
        <w:rPr>
          <w:rFonts w:cs="Times New Roman"/>
          <w:b w:val="0"/>
          <w:szCs w:val="24"/>
        </w:rPr>
        <w:t xml:space="preserve"> step size</w:t>
      </w:r>
      <w:r>
        <w:rPr>
          <w:rFonts w:cs="Times New Roman"/>
          <w:b w:val="0"/>
          <w:szCs w:val="24"/>
        </w:rPr>
        <w:t xml:space="preserve"> </w:t>
      </w:r>
      <w:r w:rsidRPr="000E2377">
        <w:rPr>
          <w:rFonts w:cs="Times New Roman"/>
          <w:b w:val="0"/>
          <w:szCs w:val="24"/>
        </w:rPr>
        <w:t>and 7s dwell time. As shown by Bragg’s law</w:t>
      </w:r>
      <w:r>
        <w:rPr>
          <w:rFonts w:cs="Times New Roman"/>
          <w:b w:val="0"/>
          <w:szCs w:val="24"/>
        </w:rPr>
        <w:t>,</w:t>
      </w:r>
      <w:r w:rsidRPr="000E2377">
        <w:rPr>
          <w:rFonts w:cs="Times New Roman"/>
          <w:b w:val="0"/>
          <w:szCs w:val="24"/>
        </w:rPr>
        <w:t xml:space="preserve"> diffraction peaks occur at specific angles:</w:t>
      </w:r>
    </w:p>
    <w:p w14:paraId="1CA0EF5E" w14:textId="77777777" w:rsidR="00D740DC" w:rsidRPr="000E2377" w:rsidRDefault="00D740DC" w:rsidP="00D740DC">
      <w:pPr>
        <w:spacing w:line="360" w:lineRule="auto"/>
        <w:jc w:val="both"/>
        <w:rPr>
          <w:rFonts w:cs="Times New Roman"/>
          <w:b w:val="0"/>
          <w:iCs/>
          <w:szCs w:val="24"/>
        </w:rPr>
      </w:pPr>
      <w:proofErr w:type="spellStart"/>
      <w:r w:rsidRPr="000E2377">
        <w:rPr>
          <w:rFonts w:cs="Times New Roman"/>
          <w:b w:val="0"/>
          <w:i/>
          <w:iCs/>
          <w:szCs w:val="24"/>
        </w:rPr>
        <w:t>nλ</w:t>
      </w:r>
      <w:proofErr w:type="spellEnd"/>
      <w:r w:rsidRPr="000E2377">
        <w:rPr>
          <w:rFonts w:cs="Times New Roman"/>
          <w:b w:val="0"/>
          <w:i/>
          <w:iCs/>
          <w:szCs w:val="24"/>
        </w:rPr>
        <w:t>=2d</w:t>
      </w:r>
      <w:r w:rsidRPr="000E2377">
        <w:rPr>
          <w:rFonts w:cs="Times New Roman"/>
          <w:b w:val="0"/>
          <w:iCs/>
          <w:szCs w:val="24"/>
        </w:rPr>
        <w:t>sin</w:t>
      </w:r>
      <w:r w:rsidRPr="000E2377">
        <w:rPr>
          <w:rFonts w:cs="Times New Roman"/>
          <w:b w:val="0"/>
          <w:i/>
          <w:iCs/>
          <w:szCs w:val="24"/>
        </w:rPr>
        <w:t>Ɵ</w:t>
      </w:r>
      <w:r w:rsidRPr="000E2377">
        <w:rPr>
          <w:rFonts w:cs="Times New Roman"/>
          <w:b w:val="0"/>
          <w:i/>
          <w:iCs/>
          <w:szCs w:val="24"/>
        </w:rPr>
        <w:tab/>
      </w:r>
      <w:r w:rsidRPr="000E2377">
        <w:rPr>
          <w:rFonts w:cs="Times New Roman"/>
          <w:b w:val="0"/>
          <w:i/>
          <w:iCs/>
          <w:szCs w:val="24"/>
        </w:rPr>
        <w:tab/>
      </w:r>
      <w:r w:rsidRPr="000E2377">
        <w:rPr>
          <w:rFonts w:cs="Times New Roman"/>
          <w:b w:val="0"/>
          <w:i/>
          <w:iCs/>
          <w:szCs w:val="24"/>
        </w:rPr>
        <w:tab/>
      </w:r>
      <w:r w:rsidRPr="000E2377">
        <w:rPr>
          <w:rFonts w:cs="Times New Roman"/>
          <w:b w:val="0"/>
          <w:i/>
          <w:iCs/>
          <w:szCs w:val="24"/>
        </w:rPr>
        <w:tab/>
      </w:r>
      <w:r w:rsidRPr="000E2377">
        <w:rPr>
          <w:rFonts w:cs="Times New Roman"/>
          <w:b w:val="0"/>
          <w:i/>
          <w:iCs/>
          <w:szCs w:val="24"/>
        </w:rPr>
        <w:tab/>
      </w:r>
      <w:r w:rsidRPr="000E2377">
        <w:rPr>
          <w:rFonts w:cs="Times New Roman"/>
          <w:b w:val="0"/>
          <w:i/>
          <w:iCs/>
          <w:szCs w:val="24"/>
        </w:rPr>
        <w:tab/>
      </w:r>
      <w:r w:rsidRPr="000E2377">
        <w:rPr>
          <w:rFonts w:cs="Times New Roman"/>
          <w:b w:val="0"/>
          <w:i/>
          <w:iCs/>
          <w:szCs w:val="24"/>
        </w:rPr>
        <w:tab/>
      </w:r>
      <w:r w:rsidRPr="000E2377">
        <w:rPr>
          <w:rFonts w:cs="Times New Roman"/>
          <w:b w:val="0"/>
          <w:i/>
          <w:iCs/>
          <w:szCs w:val="24"/>
        </w:rPr>
        <w:tab/>
      </w:r>
      <w:r w:rsidRPr="000E2377">
        <w:rPr>
          <w:rFonts w:cs="Times New Roman"/>
          <w:b w:val="0"/>
          <w:i/>
          <w:iCs/>
          <w:szCs w:val="24"/>
        </w:rPr>
        <w:tab/>
        <w:t xml:space="preserve">         </w:t>
      </w:r>
      <w:r w:rsidRPr="000E2377">
        <w:rPr>
          <w:rFonts w:cs="Times New Roman"/>
          <w:b w:val="0"/>
          <w:bCs/>
          <w:iCs/>
          <w:szCs w:val="24"/>
        </w:rPr>
        <w:t>Equation 3.</w:t>
      </w:r>
      <w:r>
        <w:rPr>
          <w:rFonts w:cs="Times New Roman"/>
          <w:b w:val="0"/>
          <w:bCs/>
          <w:iCs/>
          <w:szCs w:val="24"/>
        </w:rPr>
        <w:t>2</w:t>
      </w:r>
    </w:p>
    <w:p w14:paraId="650BA769" w14:textId="001B4868" w:rsidR="00D740DC" w:rsidRPr="000E2377" w:rsidRDefault="00D740DC" w:rsidP="00D740DC">
      <w:pPr>
        <w:spacing w:line="360" w:lineRule="auto"/>
        <w:jc w:val="both"/>
        <w:rPr>
          <w:rFonts w:cs="Times New Roman"/>
          <w:b w:val="0"/>
          <w:szCs w:val="24"/>
        </w:rPr>
      </w:pPr>
      <w:r w:rsidRPr="000E2377">
        <w:rPr>
          <w:rFonts w:cs="Times New Roman"/>
          <w:b w:val="0"/>
          <w:szCs w:val="24"/>
        </w:rPr>
        <w:t xml:space="preserve">with n being an integer, λ is </w:t>
      </w:r>
      <w:r w:rsidR="00202044">
        <w:rPr>
          <w:rFonts w:cs="Times New Roman"/>
          <w:b w:val="0"/>
          <w:szCs w:val="24"/>
        </w:rPr>
        <w:t xml:space="preserve">a </w:t>
      </w:r>
      <w:r w:rsidRPr="000E2377">
        <w:rPr>
          <w:rFonts w:cs="Times New Roman"/>
          <w:b w:val="0"/>
          <w:szCs w:val="24"/>
        </w:rPr>
        <w:t>wavelength of the beam and Ɵ is the incident angle between diffraction (as illustrated in Figure 3.6)</w:t>
      </w:r>
      <w:r w:rsidRPr="000E2377">
        <w:rPr>
          <w:rFonts w:cs="Times New Roman"/>
          <w:b w:val="0"/>
          <w:i/>
          <w:iCs/>
          <w:szCs w:val="24"/>
        </w:rPr>
        <w:t xml:space="preserve">. </w:t>
      </w:r>
      <w:r w:rsidRPr="000E2377">
        <w:rPr>
          <w:rFonts w:cs="Times New Roman"/>
          <w:b w:val="0"/>
          <w:szCs w:val="24"/>
        </w:rPr>
        <w:t xml:space="preserve">For a fully amorphous glass, a broad hump will appear indicating a </w:t>
      </w:r>
      <w:r>
        <w:rPr>
          <w:rFonts w:cs="Times New Roman"/>
          <w:b w:val="0"/>
          <w:szCs w:val="24"/>
        </w:rPr>
        <w:t>lack of long range periodicity. For crystalline materials</w:t>
      </w:r>
      <w:r w:rsidR="00202044">
        <w:rPr>
          <w:rFonts w:cs="Times New Roman"/>
          <w:b w:val="0"/>
          <w:szCs w:val="24"/>
        </w:rPr>
        <w:t>,</w:t>
      </w:r>
      <w:r w:rsidRPr="000E2377">
        <w:rPr>
          <w:rFonts w:cs="Times New Roman"/>
          <w:b w:val="0"/>
          <w:szCs w:val="24"/>
        </w:rPr>
        <w:t xml:space="preserve"> there will be peak</w:t>
      </w:r>
      <w:r>
        <w:rPr>
          <w:rFonts w:cs="Times New Roman"/>
          <w:b w:val="0"/>
          <w:szCs w:val="24"/>
        </w:rPr>
        <w:t>s</w:t>
      </w:r>
      <w:r w:rsidRPr="000E2377">
        <w:rPr>
          <w:rFonts w:cs="Times New Roman"/>
          <w:b w:val="0"/>
          <w:szCs w:val="24"/>
        </w:rPr>
        <w:t xml:space="preserve"> present </w:t>
      </w:r>
      <w:r>
        <w:rPr>
          <w:rFonts w:cs="Times New Roman"/>
          <w:b w:val="0"/>
          <w:szCs w:val="24"/>
        </w:rPr>
        <w:t>because in this case the</w:t>
      </w:r>
      <w:r w:rsidRPr="000E2377">
        <w:rPr>
          <w:rFonts w:cs="Times New Roman"/>
          <w:b w:val="0"/>
          <w:szCs w:val="24"/>
        </w:rPr>
        <w:t xml:space="preserve"> incoming X-ray beam is diffracted by </w:t>
      </w:r>
      <w:r>
        <w:rPr>
          <w:rFonts w:cs="Times New Roman"/>
          <w:b w:val="0"/>
          <w:szCs w:val="24"/>
        </w:rPr>
        <w:t>with the</w:t>
      </w:r>
      <w:r w:rsidRPr="000E2377">
        <w:rPr>
          <w:rFonts w:cs="Times New Roman"/>
          <w:b w:val="0"/>
          <w:szCs w:val="24"/>
        </w:rPr>
        <w:t xml:space="preserve"> regular lattice planes</w:t>
      </w:r>
      <w:r>
        <w:rPr>
          <w:rFonts w:cs="Times New Roman"/>
          <w:b w:val="0"/>
          <w:szCs w:val="24"/>
        </w:rPr>
        <w:t xml:space="preserve"> of the crystal</w:t>
      </w:r>
      <w:r w:rsidRPr="000E2377">
        <w:rPr>
          <w:rFonts w:cs="Times New Roman"/>
          <w:b w:val="0"/>
          <w:szCs w:val="24"/>
        </w:rPr>
        <w:t>.</w:t>
      </w:r>
    </w:p>
    <w:p w14:paraId="75F6DEDC" w14:textId="77777777" w:rsidR="00C65F7F" w:rsidRPr="00B43845" w:rsidRDefault="00C65F7F" w:rsidP="00C65F7F">
      <w:pPr>
        <w:spacing w:after="0" w:line="360" w:lineRule="auto"/>
        <w:jc w:val="both"/>
        <w:rPr>
          <w:rFonts w:asciiTheme="majorBidi" w:hAnsiTheme="majorBidi" w:cstheme="majorBidi"/>
          <w:szCs w:val="24"/>
        </w:rPr>
      </w:pPr>
    </w:p>
    <w:p w14:paraId="1AD0961C" w14:textId="750F4FAA" w:rsidR="00C65F7F" w:rsidRPr="00B43845" w:rsidRDefault="00C65F7F" w:rsidP="00C65F7F">
      <w:pPr>
        <w:spacing w:after="0" w:line="360" w:lineRule="auto"/>
        <w:jc w:val="both"/>
        <w:rPr>
          <w:rFonts w:asciiTheme="majorBidi" w:hAnsiTheme="majorBidi" w:cstheme="majorBidi"/>
          <w:szCs w:val="24"/>
        </w:rPr>
      </w:pPr>
      <w:r w:rsidRPr="00B43845">
        <w:rPr>
          <w:rFonts w:asciiTheme="majorBidi" w:hAnsiTheme="majorBidi" w:cstheme="majorBidi"/>
          <w:noProof/>
          <w:szCs w:val="24"/>
          <w:lang w:eastAsia="en-MY"/>
        </w:rPr>
        <mc:AlternateContent>
          <mc:Choice Requires="wps">
            <w:drawing>
              <wp:anchor distT="0" distB="0" distL="114300" distR="114300" simplePos="0" relativeHeight="252649472" behindDoc="0" locked="0" layoutInCell="1" allowOverlap="1" wp14:anchorId="745E946F" wp14:editId="27B4E518">
                <wp:simplePos x="0" y="0"/>
                <wp:positionH relativeFrom="column">
                  <wp:posOffset>2167467</wp:posOffset>
                </wp:positionH>
                <wp:positionV relativeFrom="paragraph">
                  <wp:posOffset>158256</wp:posOffset>
                </wp:positionV>
                <wp:extent cx="1000901" cy="462845"/>
                <wp:effectExtent l="0" t="0" r="85090" b="71120"/>
                <wp:wrapNone/>
                <wp:docPr id="1024" name="Straight Arrow Connector 1024"/>
                <wp:cNvGraphicFramePr/>
                <a:graphic xmlns:a="http://schemas.openxmlformats.org/drawingml/2006/main">
                  <a:graphicData uri="http://schemas.microsoft.com/office/word/2010/wordprocessingShape">
                    <wps:wsp>
                      <wps:cNvCnPr/>
                      <wps:spPr>
                        <a:xfrm>
                          <a:off x="0" y="0"/>
                          <a:ext cx="1000901" cy="462845"/>
                        </a:xfrm>
                        <a:prstGeom prst="straightConnector1">
                          <a:avLst/>
                        </a:prstGeom>
                        <a:noFill/>
                        <a:ln w="9525" cap="flat" cmpd="sng" algn="ctr">
                          <a:solidFill>
                            <a:srgbClr val="F79646"/>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D94EC65" id="Straight Arrow Connector 1024" o:spid="_x0000_s1026" type="#_x0000_t32" style="position:absolute;margin-left:170.65pt;margin-top:12.45pt;width:78.8pt;height:36.45pt;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" strokecolor="#f79646">
                <v:stroke endarrow="open"/>
              </v:shape>
            </w:pict>
          </mc:Fallback>
        </mc:AlternateContent>
      </w:r>
      <w:r w:rsidRPr="00B43845">
        <w:rPr>
          <w:rFonts w:asciiTheme="majorBidi" w:hAnsiTheme="majorBidi" w:cstheme="majorBidi"/>
          <w:noProof/>
          <w:szCs w:val="24"/>
          <w:lang w:eastAsia="en-MY"/>
        </w:rPr>
        <mc:AlternateContent>
          <mc:Choice Requires="wps">
            <w:drawing>
              <wp:anchor distT="0" distB="0" distL="114300" distR="114300" simplePos="0" relativeHeight="252652544" behindDoc="0" locked="0" layoutInCell="1" allowOverlap="1" wp14:anchorId="41982677" wp14:editId="050879ED">
                <wp:simplePos x="0" y="0"/>
                <wp:positionH relativeFrom="column">
                  <wp:posOffset>4505325</wp:posOffset>
                </wp:positionH>
                <wp:positionV relativeFrom="paragraph">
                  <wp:posOffset>62865</wp:posOffset>
                </wp:positionV>
                <wp:extent cx="1528445" cy="313690"/>
                <wp:effectExtent l="0" t="0" r="0" b="0"/>
                <wp:wrapNone/>
                <wp:docPr id="1150" name="Text Box 1150"/>
                <wp:cNvGraphicFramePr/>
                <a:graphic xmlns:a="http://schemas.openxmlformats.org/drawingml/2006/main">
                  <a:graphicData uri="http://schemas.microsoft.com/office/word/2010/wordprocessingShape">
                    <wps:wsp>
                      <wps:cNvSpPr txBox="1"/>
                      <wps:spPr>
                        <a:xfrm>
                          <a:off x="0" y="0"/>
                          <a:ext cx="1528445" cy="313690"/>
                        </a:xfrm>
                        <a:prstGeom prst="rect">
                          <a:avLst/>
                        </a:prstGeom>
                        <a:noFill/>
                        <a:ln w="6350">
                          <a:noFill/>
                        </a:ln>
                        <a:effectLst/>
                      </wps:spPr>
                      <wps:txbx>
                        <w:txbxContent>
                          <w:p w14:paraId="3EB209C9" w14:textId="77777777" w:rsidR="00230AB9" w:rsidRPr="00894D42" w:rsidRDefault="00230AB9" w:rsidP="00C65F7F">
                            <w:pPr>
                              <w:rPr>
                                <w:sz w:val="18"/>
                                <w:szCs w:val="18"/>
                              </w:rPr>
                            </w:pPr>
                            <w:r w:rsidRPr="00894D42">
                              <w:rPr>
                                <w:sz w:val="18"/>
                                <w:szCs w:val="18"/>
                              </w:rPr>
                              <w:t>Diffracted X-Rays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982677" id="Text Box 1150" o:spid="_x0000_s1107" type="#_x0000_t202" style="position:absolute;left:0;text-align:left;margin-left:354.75pt;margin-top:4.95pt;width:120.35pt;height:24.7pt;z-index:25265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" filled="f" stroked="f" strokeweight=".5pt">
                <v:textbox>
                  <w:txbxContent>
                    <w:p w14:paraId="3EB209C9" w14:textId="77777777" w:rsidR="00230AB9" w:rsidRPr="00894D42" w:rsidRDefault="00230AB9" w:rsidP="00C65F7F">
                      <w:pPr>
                        <w:rPr>
                          <w:sz w:val="18"/>
                          <w:szCs w:val="18"/>
                        </w:rPr>
                      </w:pPr>
                      <w:r w:rsidRPr="00894D42">
                        <w:rPr>
                          <w:sz w:val="18"/>
                          <w:szCs w:val="18"/>
                        </w:rPr>
                        <w:t>Diffracted X-Rays</w:t>
                      </w:r>
                    </w:p>
                  </w:txbxContent>
                </v:textbox>
              </v:shape>
            </w:pict>
          </mc:Fallback>
        </mc:AlternateContent>
      </w:r>
      <w:r w:rsidRPr="00B43845">
        <w:rPr>
          <w:rFonts w:asciiTheme="majorBidi" w:hAnsiTheme="majorBidi" w:cstheme="majorBidi"/>
          <w:noProof/>
          <w:szCs w:val="24"/>
          <w:lang w:eastAsia="en-MY"/>
        </w:rPr>
        <mc:AlternateContent>
          <mc:Choice Requires="wps">
            <w:drawing>
              <wp:anchor distT="0" distB="0" distL="114300" distR="114300" simplePos="0" relativeHeight="252651520" behindDoc="0" locked="0" layoutInCell="1" allowOverlap="1" wp14:anchorId="313A32A5" wp14:editId="163EFA4F">
                <wp:simplePos x="0" y="0"/>
                <wp:positionH relativeFrom="column">
                  <wp:posOffset>395605</wp:posOffset>
                </wp:positionH>
                <wp:positionV relativeFrom="paragraph">
                  <wp:posOffset>61595</wp:posOffset>
                </wp:positionV>
                <wp:extent cx="1528445" cy="313690"/>
                <wp:effectExtent l="0" t="0" r="0" b="0"/>
                <wp:wrapNone/>
                <wp:docPr id="1151" name="Text Box 1151"/>
                <wp:cNvGraphicFramePr/>
                <a:graphic xmlns:a="http://schemas.openxmlformats.org/drawingml/2006/main">
                  <a:graphicData uri="http://schemas.microsoft.com/office/word/2010/wordprocessingShape">
                    <wps:wsp>
                      <wps:cNvSpPr txBox="1"/>
                      <wps:spPr>
                        <a:xfrm>
                          <a:off x="0" y="0"/>
                          <a:ext cx="1528445" cy="313690"/>
                        </a:xfrm>
                        <a:prstGeom prst="rect">
                          <a:avLst/>
                        </a:prstGeom>
                        <a:noFill/>
                        <a:ln w="6350">
                          <a:noFill/>
                        </a:ln>
                        <a:effectLst/>
                      </wps:spPr>
                      <wps:txbx>
                        <w:txbxContent>
                          <w:p w14:paraId="3986EF6F" w14:textId="77777777" w:rsidR="00230AB9" w:rsidRPr="00894D42" w:rsidRDefault="00230AB9" w:rsidP="00C65F7F">
                            <w:pPr>
                              <w:rPr>
                                <w:sz w:val="18"/>
                                <w:szCs w:val="18"/>
                              </w:rPr>
                            </w:pPr>
                            <w:r w:rsidRPr="00894D42">
                              <w:rPr>
                                <w:sz w:val="18"/>
                                <w:szCs w:val="18"/>
                              </w:rPr>
                              <w:t>Incoming X-Rays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3A32A5" id="Text Box 1151" o:spid="_x0000_s1108" type="#_x0000_t202" style="position:absolute;left:0;text-align:left;margin-left:31.15pt;margin-top:4.85pt;width:120.35pt;height:24.7pt;z-index:25265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" filled="f" stroked="f" strokeweight=".5pt">
                <v:textbox>
                  <w:txbxContent>
                    <w:p w14:paraId="3986EF6F" w14:textId="77777777" w:rsidR="00230AB9" w:rsidRPr="00894D42" w:rsidRDefault="00230AB9" w:rsidP="00C65F7F">
                      <w:pPr>
                        <w:rPr>
                          <w:sz w:val="18"/>
                          <w:szCs w:val="18"/>
                        </w:rPr>
                      </w:pPr>
                      <w:r w:rsidRPr="00894D42">
                        <w:rPr>
                          <w:sz w:val="18"/>
                          <w:szCs w:val="18"/>
                        </w:rPr>
                        <w:t>Incoming X-Rays</w:t>
                      </w:r>
                    </w:p>
                  </w:txbxContent>
                </v:textbox>
              </v:shape>
            </w:pict>
          </mc:Fallback>
        </mc:AlternateContent>
      </w:r>
    </w:p>
    <w:p w14:paraId="4F1B7122" w14:textId="087B8340" w:rsidR="00C65F7F" w:rsidRPr="00B43845" w:rsidRDefault="00C65F7F" w:rsidP="00C65F7F">
      <w:pPr>
        <w:spacing w:after="0" w:line="360" w:lineRule="auto"/>
        <w:jc w:val="both"/>
        <w:rPr>
          <w:rFonts w:asciiTheme="majorBidi" w:hAnsiTheme="majorBidi" w:cstheme="majorBidi"/>
          <w:szCs w:val="24"/>
        </w:rPr>
      </w:pPr>
      <w:r w:rsidRPr="00B43845">
        <w:rPr>
          <w:rFonts w:asciiTheme="majorBidi" w:hAnsiTheme="majorBidi" w:cstheme="majorBidi"/>
          <w:noProof/>
          <w:szCs w:val="24"/>
          <w:lang w:eastAsia="en-MY"/>
        </w:rPr>
        <mc:AlternateContent>
          <mc:Choice Requires="wps">
            <w:drawing>
              <wp:anchor distT="0" distB="0" distL="114300" distR="114300" simplePos="0" relativeHeight="252654592" behindDoc="0" locked="0" layoutInCell="1" allowOverlap="1" wp14:anchorId="7585FCAC" wp14:editId="303B3877">
                <wp:simplePos x="0" y="0"/>
                <wp:positionH relativeFrom="column">
                  <wp:posOffset>2282825</wp:posOffset>
                </wp:positionH>
                <wp:positionV relativeFrom="paragraph">
                  <wp:posOffset>81280</wp:posOffset>
                </wp:positionV>
                <wp:extent cx="286385" cy="271780"/>
                <wp:effectExtent l="0" t="0" r="0" b="0"/>
                <wp:wrapNone/>
                <wp:docPr id="1025" name="Text Box 1025"/>
                <wp:cNvGraphicFramePr/>
                <a:graphic xmlns:a="http://schemas.openxmlformats.org/drawingml/2006/main">
                  <a:graphicData uri="http://schemas.microsoft.com/office/word/2010/wordprocessingShape">
                    <wps:wsp>
                      <wps:cNvSpPr txBox="1"/>
                      <wps:spPr>
                        <a:xfrm>
                          <a:off x="0" y="0"/>
                          <a:ext cx="286385" cy="271780"/>
                        </a:xfrm>
                        <a:prstGeom prst="rect">
                          <a:avLst/>
                        </a:prstGeom>
                        <a:noFill/>
                        <a:ln w="6350">
                          <a:noFill/>
                        </a:ln>
                        <a:effectLst/>
                      </wps:spPr>
                      <wps:txbx>
                        <w:txbxContent>
                          <w:p w14:paraId="6F4273AD" w14:textId="77777777" w:rsidR="00230AB9" w:rsidRDefault="00230AB9" w:rsidP="00C65F7F">
                            <w:r>
                              <w:rPr>
                                <w:rFonts w:cstheme="majorBidi"/>
                              </w:rPr>
                              <w:t>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85FCAC" id="Text Box 1025" o:spid="_x0000_s1109" type="#_x0000_t202" style="position:absolute;left:0;text-align:left;margin-left:179.75pt;margin-top:6.4pt;width:22.55pt;height:21.4pt;z-index:25265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" filled="f" stroked="f" strokeweight=".5pt">
                <v:textbox>
                  <w:txbxContent>
                    <w:p w14:paraId="6F4273AD" w14:textId="77777777" w:rsidR="00230AB9" w:rsidRDefault="00230AB9" w:rsidP="00C65F7F">
                      <w:r>
                        <w:rPr>
                          <w:rFonts w:cstheme="majorBidi"/>
                        </w:rPr>
                        <w:t>Ɵ</w:t>
                      </w:r>
                    </w:p>
                  </w:txbxContent>
                </v:textbox>
              </v:shape>
            </w:pict>
          </mc:Fallback>
        </mc:AlternateContent>
      </w:r>
      <w:r w:rsidRPr="00B43845">
        <w:rPr>
          <w:rFonts w:asciiTheme="majorBidi" w:hAnsiTheme="majorBidi" w:cstheme="majorBidi"/>
          <w:noProof/>
          <w:szCs w:val="24"/>
          <w:lang w:eastAsia="en-MY"/>
        </w:rPr>
        <mc:AlternateContent>
          <mc:Choice Requires="wps">
            <w:drawing>
              <wp:anchor distT="0" distB="0" distL="114300" distR="114300" simplePos="0" relativeHeight="252653568" behindDoc="0" locked="0" layoutInCell="1" allowOverlap="1" wp14:anchorId="6AF1E8F2" wp14:editId="5D828333">
                <wp:simplePos x="0" y="0"/>
                <wp:positionH relativeFrom="column">
                  <wp:posOffset>2579427</wp:posOffset>
                </wp:positionH>
                <wp:positionV relativeFrom="paragraph">
                  <wp:posOffset>127948</wp:posOffset>
                </wp:positionV>
                <wp:extent cx="245081" cy="641037"/>
                <wp:effectExtent l="0" t="0" r="0" b="0"/>
                <wp:wrapNone/>
                <wp:docPr id="1026" name="Arc 1026"/>
                <wp:cNvGraphicFramePr/>
                <a:graphic xmlns:a="http://schemas.openxmlformats.org/drawingml/2006/main">
                  <a:graphicData uri="http://schemas.microsoft.com/office/word/2010/wordprocessingShape">
                    <wps:wsp>
                      <wps:cNvSpPr/>
                      <wps:spPr>
                        <a:xfrm flipH="1">
                          <a:off x="0" y="0"/>
                          <a:ext cx="245081" cy="641037"/>
                        </a:xfrm>
                        <a:prstGeom prst="arc">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01EB3" id="Arc 1026" o:spid="_x0000_s1026" style="position:absolute;margin-left:203.1pt;margin-top:10.05pt;width:19.3pt;height:50.5pt;flip:x;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081,641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" path="m122540,nsc190218,,245081,143501,245081,320519r-122540,c122541,213679,122540,106840,122540,xem122540,nfc190218,,245081,143501,245081,320519e" filled="f" strokecolor="windowText">
                <v:path arrowok="t" o:connecttype="custom" o:connectlocs="122540,0;245081,320519" o:connectangles="0,0"/>
              </v:shape>
            </w:pict>
          </mc:Fallback>
        </mc:AlternateContent>
      </w:r>
      <w:r w:rsidRPr="00B43845">
        <w:rPr>
          <w:rFonts w:asciiTheme="majorBidi" w:hAnsiTheme="majorBidi" w:cstheme="majorBidi"/>
          <w:noProof/>
          <w:szCs w:val="24"/>
          <w:lang w:eastAsia="en-MY"/>
        </w:rPr>
        <mc:AlternateContent>
          <mc:Choice Requires="wps">
            <w:drawing>
              <wp:anchor distT="0" distB="0" distL="114300" distR="114300" simplePos="0" relativeHeight="252647424" behindDoc="0" locked="0" layoutInCell="1" allowOverlap="1" wp14:anchorId="03722036" wp14:editId="0566D4EB">
                <wp:simplePos x="0" y="0"/>
                <wp:positionH relativeFrom="column">
                  <wp:posOffset>3290048</wp:posOffset>
                </wp:positionH>
                <wp:positionV relativeFrom="paragraph">
                  <wp:posOffset>129853</wp:posOffset>
                </wp:positionV>
                <wp:extent cx="1365193" cy="655093"/>
                <wp:effectExtent l="0" t="38100" r="64135" b="31115"/>
                <wp:wrapNone/>
                <wp:docPr id="1028" name="Straight Arrow Connector 1028"/>
                <wp:cNvGraphicFramePr/>
                <a:graphic xmlns:a="http://schemas.openxmlformats.org/drawingml/2006/main">
                  <a:graphicData uri="http://schemas.microsoft.com/office/word/2010/wordprocessingShape">
                    <wps:wsp>
                      <wps:cNvCnPr/>
                      <wps:spPr>
                        <a:xfrm flipV="1">
                          <a:off x="0" y="0"/>
                          <a:ext cx="1365193" cy="655093"/>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w14:anchorId="24C97260" id="Straight Arrow Connector 1028" o:spid="_x0000_s1026" type="#_x0000_t32" style="position:absolute;margin-left:259.05pt;margin-top:10.2pt;width:107.5pt;height:51.6pt;flip:y;z-index:25264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" strokecolor="#4a7ebb">
                <v:stroke endarrow="open"/>
              </v:shape>
            </w:pict>
          </mc:Fallback>
        </mc:AlternateContent>
      </w:r>
    </w:p>
    <w:p w14:paraId="6AD011B2" w14:textId="77777777" w:rsidR="00C65F7F" w:rsidRPr="00B43845" w:rsidRDefault="00C65F7F" w:rsidP="00C65F7F">
      <w:pPr>
        <w:spacing w:after="0" w:line="360" w:lineRule="auto"/>
        <w:jc w:val="both"/>
        <w:rPr>
          <w:rFonts w:asciiTheme="majorBidi" w:hAnsiTheme="majorBidi" w:cstheme="majorBidi"/>
          <w:szCs w:val="24"/>
        </w:rPr>
      </w:pPr>
      <w:r w:rsidRPr="00B43845">
        <w:rPr>
          <w:rFonts w:asciiTheme="majorBidi" w:hAnsiTheme="majorBidi" w:cstheme="majorBidi"/>
          <w:noProof/>
          <w:szCs w:val="24"/>
          <w:lang w:eastAsia="en-MY"/>
        </w:rPr>
        <mc:AlternateContent>
          <mc:Choice Requires="wps">
            <w:drawing>
              <wp:anchor distT="0" distB="0" distL="114300" distR="114300" simplePos="0" relativeHeight="252650496" behindDoc="0" locked="0" layoutInCell="1" allowOverlap="1" wp14:anchorId="5D857A30" wp14:editId="3B257E6E">
                <wp:simplePos x="0" y="0"/>
                <wp:positionH relativeFrom="column">
                  <wp:posOffset>2020711</wp:posOffset>
                </wp:positionH>
                <wp:positionV relativeFrom="paragraph">
                  <wp:posOffset>16298</wp:posOffset>
                </wp:positionV>
                <wp:extent cx="1128677" cy="462351"/>
                <wp:effectExtent l="0" t="0" r="71755" b="71120"/>
                <wp:wrapNone/>
                <wp:docPr id="1029" name="Straight Arrow Connector 1029"/>
                <wp:cNvGraphicFramePr/>
                <a:graphic xmlns:a="http://schemas.openxmlformats.org/drawingml/2006/main">
                  <a:graphicData uri="http://schemas.microsoft.com/office/word/2010/wordprocessingShape">
                    <wps:wsp>
                      <wps:cNvCnPr/>
                      <wps:spPr>
                        <a:xfrm>
                          <a:off x="0" y="0"/>
                          <a:ext cx="1128677" cy="462351"/>
                        </a:xfrm>
                        <a:prstGeom prst="straightConnector1">
                          <a:avLst/>
                        </a:prstGeom>
                        <a:noFill/>
                        <a:ln w="9525" cap="flat" cmpd="sng" algn="ctr">
                          <a:solidFill>
                            <a:srgbClr val="F79646"/>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D8A9B06" id="Straight Arrow Connector 1029" o:spid="_x0000_s1026" type="#_x0000_t32" style="position:absolute;margin-left:159.1pt;margin-top:1.3pt;width:88.85pt;height:36.4pt;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" strokecolor="#f79646">
                <v:stroke endarrow="open"/>
              </v:shape>
            </w:pict>
          </mc:Fallback>
        </mc:AlternateContent>
      </w:r>
      <w:r w:rsidRPr="00B43845">
        <w:rPr>
          <w:rFonts w:asciiTheme="majorBidi" w:hAnsiTheme="majorBidi" w:cstheme="majorBidi"/>
          <w:noProof/>
          <w:szCs w:val="24"/>
          <w:lang w:eastAsia="en-MY"/>
        </w:rPr>
        <mc:AlternateContent>
          <mc:Choice Requires="wps">
            <w:drawing>
              <wp:anchor distT="0" distB="0" distL="114300" distR="114300" simplePos="0" relativeHeight="252643328" behindDoc="0" locked="0" layoutInCell="1" allowOverlap="1" wp14:anchorId="6D303850" wp14:editId="6DED3A5D">
                <wp:simplePos x="0" y="0"/>
                <wp:positionH relativeFrom="column">
                  <wp:posOffset>2176780</wp:posOffset>
                </wp:positionH>
                <wp:positionV relativeFrom="paragraph">
                  <wp:posOffset>77470</wp:posOffset>
                </wp:positionV>
                <wp:extent cx="163195" cy="142875"/>
                <wp:effectExtent l="0" t="0" r="27305" b="28575"/>
                <wp:wrapNone/>
                <wp:docPr id="1030" name="Flowchart: Connector 1030"/>
                <wp:cNvGraphicFramePr/>
                <a:graphic xmlns:a="http://schemas.openxmlformats.org/drawingml/2006/main">
                  <a:graphicData uri="http://schemas.microsoft.com/office/word/2010/wordprocessingShape">
                    <wps:wsp>
                      <wps:cNvSpPr/>
                      <wps:spPr>
                        <a:xfrm>
                          <a:off x="0" y="0"/>
                          <a:ext cx="163195" cy="142875"/>
                        </a:xfrm>
                        <a:prstGeom prst="flowChartConnector">
                          <a:avLst/>
                        </a:prstGeom>
                        <a:solidFill>
                          <a:srgbClr val="9BBB5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0727CF"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030" o:spid="_x0000_s1026" type="#_x0000_t120" style="position:absolute;margin-left:171.4pt;margin-top:6.1pt;width:12.85pt;height:11.25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" fillcolor="#9bbb59" strokecolor="#385d8a" strokeweight="2pt"/>
            </w:pict>
          </mc:Fallback>
        </mc:AlternateContent>
      </w:r>
      <w:r w:rsidRPr="00B43845">
        <w:rPr>
          <w:rFonts w:asciiTheme="majorBidi" w:hAnsiTheme="majorBidi" w:cstheme="majorBidi"/>
          <w:noProof/>
          <w:szCs w:val="24"/>
          <w:lang w:eastAsia="en-MY"/>
        </w:rPr>
        <mc:AlternateContent>
          <mc:Choice Requires="wps">
            <w:drawing>
              <wp:anchor distT="0" distB="0" distL="114300" distR="114300" simplePos="0" relativeHeight="252646400" behindDoc="0" locked="0" layoutInCell="1" allowOverlap="1" wp14:anchorId="40E4F1CE" wp14:editId="2A1D3498">
                <wp:simplePos x="0" y="0"/>
                <wp:positionH relativeFrom="column">
                  <wp:posOffset>2655286</wp:posOffset>
                </wp:positionH>
                <wp:positionV relativeFrom="paragraph">
                  <wp:posOffset>90492</wp:posOffset>
                </wp:positionV>
                <wp:extent cx="163195" cy="142875"/>
                <wp:effectExtent l="0" t="0" r="27305" b="28575"/>
                <wp:wrapNone/>
                <wp:docPr id="1031" name="Flowchart: Connector 1031"/>
                <wp:cNvGraphicFramePr/>
                <a:graphic xmlns:a="http://schemas.openxmlformats.org/drawingml/2006/main">
                  <a:graphicData uri="http://schemas.microsoft.com/office/word/2010/wordprocessingShape">
                    <wps:wsp>
                      <wps:cNvSpPr/>
                      <wps:spPr>
                        <a:xfrm>
                          <a:off x="0" y="0"/>
                          <a:ext cx="163195" cy="142875"/>
                        </a:xfrm>
                        <a:prstGeom prst="flowChartConnector">
                          <a:avLst/>
                        </a:prstGeom>
                        <a:solidFill>
                          <a:srgbClr val="9BBB5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6CA6C" id="Flowchart: Connector 1031" o:spid="_x0000_s1026" type="#_x0000_t120" style="position:absolute;margin-left:209.1pt;margin-top:7.15pt;width:12.85pt;height:11.25pt;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" fillcolor="#9bbb59" strokecolor="#385d8a" strokeweight="2pt"/>
            </w:pict>
          </mc:Fallback>
        </mc:AlternateContent>
      </w:r>
      <w:r w:rsidRPr="00B43845">
        <w:rPr>
          <w:rFonts w:asciiTheme="majorBidi" w:hAnsiTheme="majorBidi" w:cstheme="majorBidi"/>
          <w:noProof/>
          <w:szCs w:val="24"/>
          <w:lang w:eastAsia="en-MY"/>
        </w:rPr>
        <mc:AlternateContent>
          <mc:Choice Requires="wps">
            <w:drawing>
              <wp:anchor distT="0" distB="0" distL="114300" distR="114300" simplePos="0" relativeHeight="252640256" behindDoc="0" locked="0" layoutInCell="1" allowOverlap="1" wp14:anchorId="3D776D02" wp14:editId="299DABA3">
                <wp:simplePos x="0" y="0"/>
                <wp:positionH relativeFrom="column">
                  <wp:posOffset>4086860</wp:posOffset>
                </wp:positionH>
                <wp:positionV relativeFrom="paragraph">
                  <wp:posOffset>75565</wp:posOffset>
                </wp:positionV>
                <wp:extent cx="163195" cy="142875"/>
                <wp:effectExtent l="0" t="0" r="27305" b="28575"/>
                <wp:wrapNone/>
                <wp:docPr id="1032" name="Flowchart: Connector 1032"/>
                <wp:cNvGraphicFramePr/>
                <a:graphic xmlns:a="http://schemas.openxmlformats.org/drawingml/2006/main">
                  <a:graphicData uri="http://schemas.microsoft.com/office/word/2010/wordprocessingShape">
                    <wps:wsp>
                      <wps:cNvSpPr/>
                      <wps:spPr>
                        <a:xfrm>
                          <a:off x="0" y="0"/>
                          <a:ext cx="163195" cy="142875"/>
                        </a:xfrm>
                        <a:prstGeom prst="flowChartConnector">
                          <a:avLst/>
                        </a:prstGeom>
                        <a:solidFill>
                          <a:srgbClr val="9BBB5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8F787" id="Flowchart: Connector 1032" o:spid="_x0000_s1026" type="#_x0000_t120" style="position:absolute;margin-left:321.8pt;margin-top:5.95pt;width:12.85pt;height:11.25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" fillcolor="#9bbb59" strokecolor="#385d8a" strokeweight="2pt"/>
            </w:pict>
          </mc:Fallback>
        </mc:AlternateContent>
      </w:r>
      <w:r w:rsidRPr="00B43845">
        <w:rPr>
          <w:rFonts w:asciiTheme="majorBidi" w:hAnsiTheme="majorBidi" w:cstheme="majorBidi"/>
          <w:noProof/>
          <w:szCs w:val="24"/>
          <w:lang w:eastAsia="en-MY"/>
        </w:rPr>
        <mc:AlternateContent>
          <mc:Choice Requires="wps">
            <w:drawing>
              <wp:anchor distT="0" distB="0" distL="114300" distR="114300" simplePos="0" relativeHeight="252637184" behindDoc="0" locked="0" layoutInCell="1" allowOverlap="1" wp14:anchorId="20CE51C0" wp14:editId="2622FBCF">
                <wp:simplePos x="0" y="0"/>
                <wp:positionH relativeFrom="column">
                  <wp:posOffset>3622040</wp:posOffset>
                </wp:positionH>
                <wp:positionV relativeFrom="paragraph">
                  <wp:posOffset>75565</wp:posOffset>
                </wp:positionV>
                <wp:extent cx="163195" cy="142875"/>
                <wp:effectExtent l="0" t="0" r="27305" b="28575"/>
                <wp:wrapNone/>
                <wp:docPr id="1033" name="Flowchart: Connector 1033"/>
                <wp:cNvGraphicFramePr/>
                <a:graphic xmlns:a="http://schemas.openxmlformats.org/drawingml/2006/main">
                  <a:graphicData uri="http://schemas.microsoft.com/office/word/2010/wordprocessingShape">
                    <wps:wsp>
                      <wps:cNvSpPr/>
                      <wps:spPr>
                        <a:xfrm>
                          <a:off x="0" y="0"/>
                          <a:ext cx="163195" cy="142875"/>
                        </a:xfrm>
                        <a:prstGeom prst="flowChartConnector">
                          <a:avLst/>
                        </a:prstGeom>
                        <a:solidFill>
                          <a:srgbClr val="9BBB5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7C91F" id="Flowchart: Connector 1033" o:spid="_x0000_s1026" type="#_x0000_t120" style="position:absolute;margin-left:285.2pt;margin-top:5.95pt;width:12.85pt;height:11.25pt;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" fillcolor="#9bbb59" strokecolor="#385d8a" strokeweight="2pt"/>
            </w:pict>
          </mc:Fallback>
        </mc:AlternateContent>
      </w:r>
      <w:r w:rsidRPr="00B43845">
        <w:rPr>
          <w:rFonts w:asciiTheme="majorBidi" w:hAnsiTheme="majorBidi" w:cstheme="majorBidi"/>
          <w:noProof/>
          <w:szCs w:val="24"/>
          <w:lang w:eastAsia="en-MY"/>
        </w:rPr>
        <mc:AlternateContent>
          <mc:Choice Requires="wps">
            <w:drawing>
              <wp:anchor distT="0" distB="0" distL="114300" distR="114300" simplePos="0" relativeHeight="252633088" behindDoc="0" locked="0" layoutInCell="1" allowOverlap="1" wp14:anchorId="2722EB80" wp14:editId="01B142EE">
                <wp:simplePos x="0" y="0"/>
                <wp:positionH relativeFrom="column">
                  <wp:posOffset>3140710</wp:posOffset>
                </wp:positionH>
                <wp:positionV relativeFrom="paragraph">
                  <wp:posOffset>70485</wp:posOffset>
                </wp:positionV>
                <wp:extent cx="163195" cy="142875"/>
                <wp:effectExtent l="0" t="0" r="27305" b="28575"/>
                <wp:wrapNone/>
                <wp:docPr id="1034" name="Flowchart: Connector 1034"/>
                <wp:cNvGraphicFramePr/>
                <a:graphic xmlns:a="http://schemas.openxmlformats.org/drawingml/2006/main">
                  <a:graphicData uri="http://schemas.microsoft.com/office/word/2010/wordprocessingShape">
                    <wps:wsp>
                      <wps:cNvSpPr/>
                      <wps:spPr>
                        <a:xfrm>
                          <a:off x="0" y="0"/>
                          <a:ext cx="163195" cy="142875"/>
                        </a:xfrm>
                        <a:prstGeom prst="flowChartConnector">
                          <a:avLst/>
                        </a:prstGeom>
                        <a:solidFill>
                          <a:srgbClr val="9BBB5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CEE9D" id="Flowchart: Connector 1034" o:spid="_x0000_s1026" type="#_x0000_t120" style="position:absolute;margin-left:247.3pt;margin-top:5.55pt;width:12.85pt;height:11.25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" fillcolor="#9bbb59" strokecolor="#385d8a" strokeweight="2pt"/>
            </w:pict>
          </mc:Fallback>
        </mc:AlternateContent>
      </w:r>
      <w:r w:rsidRPr="00B43845">
        <w:rPr>
          <w:rFonts w:asciiTheme="majorBidi" w:hAnsiTheme="majorBidi" w:cstheme="majorBidi"/>
          <w:noProof/>
          <w:szCs w:val="24"/>
          <w:lang w:eastAsia="en-MY"/>
        </w:rPr>
        <mc:AlternateContent>
          <mc:Choice Requires="wps">
            <w:drawing>
              <wp:anchor distT="0" distB="0" distL="114300" distR="114300" simplePos="0" relativeHeight="252631040" behindDoc="0" locked="0" layoutInCell="1" allowOverlap="1" wp14:anchorId="08614522" wp14:editId="16A5E453">
                <wp:simplePos x="0" y="0"/>
                <wp:positionH relativeFrom="column">
                  <wp:posOffset>1828800</wp:posOffset>
                </wp:positionH>
                <wp:positionV relativeFrom="paragraph">
                  <wp:posOffset>151661</wp:posOffset>
                </wp:positionV>
                <wp:extent cx="2838450" cy="27295"/>
                <wp:effectExtent l="0" t="0" r="19050" b="30480"/>
                <wp:wrapNone/>
                <wp:docPr id="1035" name="Straight Connector 1035"/>
                <wp:cNvGraphicFramePr/>
                <a:graphic xmlns:a="http://schemas.openxmlformats.org/drawingml/2006/main">
                  <a:graphicData uri="http://schemas.microsoft.com/office/word/2010/wordprocessingShape">
                    <wps:wsp>
                      <wps:cNvCnPr/>
                      <wps:spPr>
                        <a:xfrm flipV="1">
                          <a:off x="0" y="0"/>
                          <a:ext cx="2838450" cy="2729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7CE3CA4" id="Straight Connector 1035" o:spid="_x0000_s1026" style="position:absolute;flip:y;z-index:252631040;visibility:visible;mso-wrap-style:square;mso-wrap-distance-left:9pt;mso-wrap-distance-top:0;mso-wrap-distance-right:9pt;mso-wrap-distance-bottom:0;mso-position-horizontal:absolute;mso-position-horizontal-relative:text;mso-position-vertical:absolute;mso-position-vertical-relative:text" from="2in,11.95pt" to="367.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" strokecolor="#4a7ebb"/>
            </w:pict>
          </mc:Fallback>
        </mc:AlternateContent>
      </w:r>
    </w:p>
    <w:p w14:paraId="4B43CC87" w14:textId="18AEC67F" w:rsidR="00C65F7F" w:rsidRPr="00B43845" w:rsidRDefault="00E57090" w:rsidP="00C65F7F">
      <w:pPr>
        <w:spacing w:after="0" w:line="360" w:lineRule="auto"/>
        <w:jc w:val="both"/>
        <w:rPr>
          <w:rFonts w:asciiTheme="majorBidi" w:hAnsiTheme="majorBidi" w:cstheme="majorBidi"/>
          <w:szCs w:val="24"/>
        </w:rPr>
      </w:pPr>
      <w:r w:rsidRPr="00B43845">
        <w:rPr>
          <w:rFonts w:asciiTheme="majorBidi" w:hAnsiTheme="majorBidi" w:cstheme="majorBidi"/>
          <w:noProof/>
          <w:szCs w:val="24"/>
          <w:lang w:eastAsia="en-MY"/>
        </w:rPr>
        <mc:AlternateContent>
          <mc:Choice Requires="wps">
            <w:drawing>
              <wp:anchor distT="0" distB="0" distL="114300" distR="114300" simplePos="0" relativeHeight="252657664" behindDoc="0" locked="0" layoutInCell="1" allowOverlap="1" wp14:anchorId="49240B50" wp14:editId="6C8F92B8">
                <wp:simplePos x="0" y="0"/>
                <wp:positionH relativeFrom="column">
                  <wp:posOffset>3409702</wp:posOffset>
                </wp:positionH>
                <wp:positionV relativeFrom="paragraph">
                  <wp:posOffset>213183</wp:posOffset>
                </wp:positionV>
                <wp:extent cx="231775" cy="170181"/>
                <wp:effectExtent l="30798" t="45402" r="27622" b="8573"/>
                <wp:wrapNone/>
                <wp:docPr id="1037" name="Curved Connector 1037"/>
                <wp:cNvGraphicFramePr/>
                <a:graphic xmlns:a="http://schemas.openxmlformats.org/drawingml/2006/main">
                  <a:graphicData uri="http://schemas.microsoft.com/office/word/2010/wordprocessingShape">
                    <wps:wsp>
                      <wps:cNvCnPr/>
                      <wps:spPr>
                        <a:xfrm rot="16200000" flipV="1">
                          <a:off x="0" y="0"/>
                          <a:ext cx="231775" cy="170181"/>
                        </a:xfrm>
                        <a:prstGeom prst="curvedConnector3">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66686C1F"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037" o:spid="_x0000_s1026" type="#_x0000_t38" style="position:absolute;margin-left:268.5pt;margin-top:16.8pt;width:18.25pt;height:13.4pt;rotation:90;flip:y;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" adj="10800" strokecolor="windowText">
                <v:stroke endarrow="open"/>
              </v:shape>
            </w:pict>
          </mc:Fallback>
        </mc:AlternateContent>
      </w:r>
      <w:r w:rsidR="00C65F7F" w:rsidRPr="00B43845">
        <w:rPr>
          <w:rFonts w:asciiTheme="majorBidi" w:hAnsiTheme="majorBidi" w:cstheme="majorBidi"/>
          <w:noProof/>
          <w:szCs w:val="24"/>
          <w:lang w:eastAsia="en-MY"/>
        </w:rPr>
        <mc:AlternateContent>
          <mc:Choice Requires="wps">
            <w:drawing>
              <wp:anchor distT="0" distB="0" distL="114300" distR="114300" simplePos="0" relativeHeight="252658688" behindDoc="0" locked="0" layoutInCell="1" allowOverlap="1" wp14:anchorId="75350CBF" wp14:editId="7966FD8C">
                <wp:simplePos x="0" y="0"/>
                <wp:positionH relativeFrom="column">
                  <wp:posOffset>3609340</wp:posOffset>
                </wp:positionH>
                <wp:positionV relativeFrom="paragraph">
                  <wp:posOffset>243205</wp:posOffset>
                </wp:positionV>
                <wp:extent cx="1009015" cy="504825"/>
                <wp:effectExtent l="0" t="0" r="0" b="0"/>
                <wp:wrapNone/>
                <wp:docPr id="1036" name="Text Box 1036"/>
                <wp:cNvGraphicFramePr/>
                <a:graphic xmlns:a="http://schemas.openxmlformats.org/drawingml/2006/main">
                  <a:graphicData uri="http://schemas.microsoft.com/office/word/2010/wordprocessingShape">
                    <wps:wsp>
                      <wps:cNvSpPr txBox="1"/>
                      <wps:spPr>
                        <a:xfrm>
                          <a:off x="0" y="0"/>
                          <a:ext cx="1009015" cy="504825"/>
                        </a:xfrm>
                        <a:prstGeom prst="rect">
                          <a:avLst/>
                        </a:prstGeom>
                        <a:noFill/>
                        <a:ln w="6350">
                          <a:noFill/>
                        </a:ln>
                        <a:effectLst/>
                      </wps:spPr>
                      <wps:txbx>
                        <w:txbxContent>
                          <w:p w14:paraId="770C818A" w14:textId="77777777" w:rsidR="00230AB9" w:rsidRDefault="00230AB9" w:rsidP="00C65F7F">
                            <w:r>
                              <w:rPr>
                                <w:rFonts w:cstheme="majorBidi"/>
                              </w:rPr>
                              <w:t>d</w:t>
                            </w:r>
                            <w:r>
                              <w:t xml:space="preserve"> sin</w:t>
                            </w:r>
                            <w:r>
                              <w:rPr>
                                <w:rFonts w:cstheme="majorBidi"/>
                              </w:rPr>
                              <w:t xml:space="preserve"> 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50CBF" id="Text Box 1036" o:spid="_x0000_s1110" type="#_x0000_t202" style="position:absolute;left:0;text-align:left;margin-left:284.2pt;margin-top:19.15pt;width:79.45pt;height:39.75pt;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" filled="f" stroked="f" strokeweight=".5pt">
                <v:textbox>
                  <w:txbxContent>
                    <w:p w14:paraId="770C818A" w14:textId="77777777" w:rsidR="00230AB9" w:rsidRDefault="00230AB9" w:rsidP="00C65F7F">
                      <w:r>
                        <w:rPr>
                          <w:rFonts w:cstheme="majorBidi"/>
                        </w:rPr>
                        <w:t>d</w:t>
                      </w:r>
                      <w:r>
                        <w:t xml:space="preserve"> sin</w:t>
                      </w:r>
                      <w:r>
                        <w:rPr>
                          <w:rFonts w:cstheme="majorBidi"/>
                        </w:rPr>
                        <w:t xml:space="preserve"> Ɵ</w:t>
                      </w:r>
                    </w:p>
                  </w:txbxContent>
                </v:textbox>
              </v:shape>
            </w:pict>
          </mc:Fallback>
        </mc:AlternateContent>
      </w:r>
      <w:r w:rsidR="00C65F7F" w:rsidRPr="00B43845">
        <w:rPr>
          <w:rFonts w:asciiTheme="majorBidi" w:hAnsiTheme="majorBidi" w:cstheme="majorBidi"/>
          <w:noProof/>
          <w:szCs w:val="24"/>
          <w:lang w:eastAsia="en-MY"/>
        </w:rPr>
        <mc:AlternateContent>
          <mc:Choice Requires="wps">
            <w:drawing>
              <wp:anchor distT="0" distB="0" distL="114300" distR="114300" simplePos="0" relativeHeight="252634112" behindDoc="0" locked="0" layoutInCell="1" allowOverlap="1" wp14:anchorId="5F008C22" wp14:editId="330CEF89">
                <wp:simplePos x="0" y="0"/>
                <wp:positionH relativeFrom="column">
                  <wp:posOffset>3156585</wp:posOffset>
                </wp:positionH>
                <wp:positionV relativeFrom="paragraph">
                  <wp:posOffset>177800</wp:posOffset>
                </wp:positionV>
                <wp:extent cx="163195" cy="142875"/>
                <wp:effectExtent l="0" t="0" r="27305" b="28575"/>
                <wp:wrapNone/>
                <wp:docPr id="1038" name="Flowchart: Connector 1038"/>
                <wp:cNvGraphicFramePr/>
                <a:graphic xmlns:a="http://schemas.openxmlformats.org/drawingml/2006/main">
                  <a:graphicData uri="http://schemas.microsoft.com/office/word/2010/wordprocessingShape">
                    <wps:wsp>
                      <wps:cNvSpPr/>
                      <wps:spPr>
                        <a:xfrm>
                          <a:off x="0" y="0"/>
                          <a:ext cx="163195" cy="142875"/>
                        </a:xfrm>
                        <a:prstGeom prst="flowChartConnector">
                          <a:avLst/>
                        </a:prstGeom>
                        <a:solidFill>
                          <a:srgbClr val="9BBB5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C7344" id="Flowchart: Connector 1038" o:spid="_x0000_s1026" type="#_x0000_t120" style="position:absolute;margin-left:248.55pt;margin-top:14pt;width:12.85pt;height:11.25pt;z-index:2526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" fillcolor="#9bbb59" strokecolor="#385d8a" strokeweight="2pt"/>
            </w:pict>
          </mc:Fallback>
        </mc:AlternateContent>
      </w:r>
      <w:r w:rsidR="00C65F7F" w:rsidRPr="00B43845">
        <w:rPr>
          <w:rFonts w:asciiTheme="majorBidi" w:hAnsiTheme="majorBidi" w:cstheme="majorBidi"/>
          <w:noProof/>
          <w:szCs w:val="24"/>
          <w:lang w:eastAsia="en-MY"/>
        </w:rPr>
        <mc:AlternateContent>
          <mc:Choice Requires="wps">
            <w:drawing>
              <wp:anchor distT="0" distB="0" distL="114300" distR="114300" simplePos="0" relativeHeight="252642304" behindDoc="0" locked="0" layoutInCell="1" allowOverlap="1" wp14:anchorId="124E25ED" wp14:editId="5B11AFB1">
                <wp:simplePos x="0" y="0"/>
                <wp:positionH relativeFrom="column">
                  <wp:posOffset>2175491</wp:posOffset>
                </wp:positionH>
                <wp:positionV relativeFrom="paragraph">
                  <wp:posOffset>180340</wp:posOffset>
                </wp:positionV>
                <wp:extent cx="163195" cy="142875"/>
                <wp:effectExtent l="0" t="0" r="27305" b="28575"/>
                <wp:wrapNone/>
                <wp:docPr id="1039" name="Flowchart: Connector 1039"/>
                <wp:cNvGraphicFramePr/>
                <a:graphic xmlns:a="http://schemas.openxmlformats.org/drawingml/2006/main">
                  <a:graphicData uri="http://schemas.microsoft.com/office/word/2010/wordprocessingShape">
                    <wps:wsp>
                      <wps:cNvSpPr/>
                      <wps:spPr>
                        <a:xfrm>
                          <a:off x="0" y="0"/>
                          <a:ext cx="163195" cy="142875"/>
                        </a:xfrm>
                        <a:prstGeom prst="flowChartConnector">
                          <a:avLst/>
                        </a:prstGeom>
                        <a:solidFill>
                          <a:srgbClr val="9BBB5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AD089" id="Flowchart: Connector 1039" o:spid="_x0000_s1026" type="#_x0000_t120" style="position:absolute;margin-left:171.3pt;margin-top:14.2pt;width:12.85pt;height:11.25pt;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" fillcolor="#9bbb59" strokecolor="#385d8a" strokeweight="2pt"/>
            </w:pict>
          </mc:Fallback>
        </mc:AlternateContent>
      </w:r>
      <w:r w:rsidR="00C65F7F" w:rsidRPr="00B43845">
        <w:rPr>
          <w:rFonts w:asciiTheme="majorBidi" w:hAnsiTheme="majorBidi" w:cstheme="majorBidi"/>
          <w:noProof/>
          <w:szCs w:val="24"/>
          <w:lang w:eastAsia="en-MY"/>
        </w:rPr>
        <mc:AlternateContent>
          <mc:Choice Requires="wps">
            <w:drawing>
              <wp:anchor distT="0" distB="0" distL="114300" distR="114300" simplePos="0" relativeHeight="252645376" behindDoc="0" locked="0" layoutInCell="1" allowOverlap="1" wp14:anchorId="508DF4CA" wp14:editId="70F4BAE7">
                <wp:simplePos x="0" y="0"/>
                <wp:positionH relativeFrom="column">
                  <wp:posOffset>2693035</wp:posOffset>
                </wp:positionH>
                <wp:positionV relativeFrom="paragraph">
                  <wp:posOffset>167005</wp:posOffset>
                </wp:positionV>
                <wp:extent cx="163195" cy="142875"/>
                <wp:effectExtent l="0" t="0" r="27305" b="28575"/>
                <wp:wrapNone/>
                <wp:docPr id="1040" name="Flowchart: Connector 1040"/>
                <wp:cNvGraphicFramePr/>
                <a:graphic xmlns:a="http://schemas.openxmlformats.org/drawingml/2006/main">
                  <a:graphicData uri="http://schemas.microsoft.com/office/word/2010/wordprocessingShape">
                    <wps:wsp>
                      <wps:cNvSpPr/>
                      <wps:spPr>
                        <a:xfrm>
                          <a:off x="0" y="0"/>
                          <a:ext cx="163195" cy="142875"/>
                        </a:xfrm>
                        <a:prstGeom prst="flowChartConnector">
                          <a:avLst/>
                        </a:prstGeom>
                        <a:solidFill>
                          <a:srgbClr val="9BBB5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83427" id="Flowchart: Connector 1040" o:spid="_x0000_s1026" type="#_x0000_t120" style="position:absolute;margin-left:212.05pt;margin-top:13.15pt;width:12.85pt;height:11.25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" fillcolor="#9bbb59" strokecolor="#385d8a" strokeweight="2pt"/>
            </w:pict>
          </mc:Fallback>
        </mc:AlternateContent>
      </w:r>
      <w:r w:rsidR="00C65F7F" w:rsidRPr="00B43845">
        <w:rPr>
          <w:rFonts w:asciiTheme="majorBidi" w:hAnsiTheme="majorBidi" w:cstheme="majorBidi"/>
          <w:noProof/>
          <w:szCs w:val="24"/>
          <w:lang w:eastAsia="en-MY"/>
        </w:rPr>
        <mc:AlternateContent>
          <mc:Choice Requires="wps">
            <w:drawing>
              <wp:anchor distT="0" distB="0" distL="114300" distR="114300" simplePos="0" relativeHeight="252639232" behindDoc="0" locked="0" layoutInCell="1" allowOverlap="1" wp14:anchorId="77B321BB" wp14:editId="2E21FFD7">
                <wp:simplePos x="0" y="0"/>
                <wp:positionH relativeFrom="column">
                  <wp:posOffset>4084320</wp:posOffset>
                </wp:positionH>
                <wp:positionV relativeFrom="paragraph">
                  <wp:posOffset>165100</wp:posOffset>
                </wp:positionV>
                <wp:extent cx="163195" cy="142875"/>
                <wp:effectExtent l="0" t="0" r="27305" b="28575"/>
                <wp:wrapNone/>
                <wp:docPr id="1041" name="Flowchart: Connector 1041"/>
                <wp:cNvGraphicFramePr/>
                <a:graphic xmlns:a="http://schemas.openxmlformats.org/drawingml/2006/main">
                  <a:graphicData uri="http://schemas.microsoft.com/office/word/2010/wordprocessingShape">
                    <wps:wsp>
                      <wps:cNvSpPr/>
                      <wps:spPr>
                        <a:xfrm>
                          <a:off x="0" y="0"/>
                          <a:ext cx="163195" cy="142875"/>
                        </a:xfrm>
                        <a:prstGeom prst="flowChartConnector">
                          <a:avLst/>
                        </a:prstGeom>
                        <a:solidFill>
                          <a:srgbClr val="9BBB5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22908" id="Flowchart: Connector 1041" o:spid="_x0000_s1026" type="#_x0000_t120" style="position:absolute;margin-left:321.6pt;margin-top:13pt;width:12.85pt;height:11.25pt;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" fillcolor="#9bbb59" strokecolor="#385d8a" strokeweight="2pt"/>
            </w:pict>
          </mc:Fallback>
        </mc:AlternateContent>
      </w:r>
      <w:r w:rsidR="00C65F7F" w:rsidRPr="00B43845">
        <w:rPr>
          <w:rFonts w:asciiTheme="majorBidi" w:hAnsiTheme="majorBidi" w:cstheme="majorBidi"/>
          <w:noProof/>
          <w:szCs w:val="24"/>
          <w:lang w:eastAsia="en-MY"/>
        </w:rPr>
        <mc:AlternateContent>
          <mc:Choice Requires="wps">
            <w:drawing>
              <wp:anchor distT="0" distB="0" distL="114300" distR="114300" simplePos="0" relativeHeight="252636160" behindDoc="0" locked="0" layoutInCell="1" allowOverlap="1" wp14:anchorId="6960AD26" wp14:editId="3CDF8709">
                <wp:simplePos x="0" y="0"/>
                <wp:positionH relativeFrom="column">
                  <wp:posOffset>3620135</wp:posOffset>
                </wp:positionH>
                <wp:positionV relativeFrom="paragraph">
                  <wp:posOffset>165100</wp:posOffset>
                </wp:positionV>
                <wp:extent cx="163195" cy="142875"/>
                <wp:effectExtent l="0" t="0" r="27305" b="28575"/>
                <wp:wrapNone/>
                <wp:docPr id="1042" name="Flowchart: Connector 1042"/>
                <wp:cNvGraphicFramePr/>
                <a:graphic xmlns:a="http://schemas.openxmlformats.org/drawingml/2006/main">
                  <a:graphicData uri="http://schemas.microsoft.com/office/word/2010/wordprocessingShape">
                    <wps:wsp>
                      <wps:cNvSpPr/>
                      <wps:spPr>
                        <a:xfrm>
                          <a:off x="0" y="0"/>
                          <a:ext cx="163195" cy="142875"/>
                        </a:xfrm>
                        <a:prstGeom prst="flowChartConnector">
                          <a:avLst/>
                        </a:prstGeom>
                        <a:solidFill>
                          <a:srgbClr val="9BBB5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AD7F2" id="Flowchart: Connector 1042" o:spid="_x0000_s1026" type="#_x0000_t120" style="position:absolute;margin-left:285.05pt;margin-top:13pt;width:12.85pt;height:11.25pt;z-index:2526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" fillcolor="#9bbb59" strokecolor="#385d8a" strokeweight="2pt"/>
            </w:pict>
          </mc:Fallback>
        </mc:AlternateContent>
      </w:r>
      <w:r w:rsidR="00C65F7F" w:rsidRPr="00B43845">
        <w:rPr>
          <w:rFonts w:asciiTheme="majorBidi" w:hAnsiTheme="majorBidi" w:cstheme="majorBidi"/>
          <w:noProof/>
          <w:szCs w:val="24"/>
          <w:lang w:eastAsia="en-MY"/>
        </w:rPr>
        <mc:AlternateContent>
          <mc:Choice Requires="wps">
            <w:drawing>
              <wp:anchor distT="0" distB="0" distL="114300" distR="114300" simplePos="0" relativeHeight="252630016" behindDoc="0" locked="0" layoutInCell="1" allowOverlap="1" wp14:anchorId="664C4440" wp14:editId="16E33F3E">
                <wp:simplePos x="0" y="0"/>
                <wp:positionH relativeFrom="column">
                  <wp:posOffset>1828800</wp:posOffset>
                </wp:positionH>
                <wp:positionV relativeFrom="paragraph">
                  <wp:posOffset>243613</wp:posOffset>
                </wp:positionV>
                <wp:extent cx="2838450" cy="13647"/>
                <wp:effectExtent l="0" t="0" r="19050" b="24765"/>
                <wp:wrapNone/>
                <wp:docPr id="1047" name="Straight Connector 1047"/>
                <wp:cNvGraphicFramePr/>
                <a:graphic xmlns:a="http://schemas.openxmlformats.org/drawingml/2006/main">
                  <a:graphicData uri="http://schemas.microsoft.com/office/word/2010/wordprocessingShape">
                    <wps:wsp>
                      <wps:cNvCnPr/>
                      <wps:spPr>
                        <a:xfrm flipV="1">
                          <a:off x="0" y="0"/>
                          <a:ext cx="2838450" cy="13647"/>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2CD2AB12" id="Straight Connector 1047" o:spid="_x0000_s1026" style="position:absolute;flip:y;z-index:252630016;visibility:visible;mso-wrap-style:square;mso-wrap-distance-left:9pt;mso-wrap-distance-top:0;mso-wrap-distance-right:9pt;mso-wrap-distance-bottom:0;mso-position-horizontal:absolute;mso-position-horizontal-relative:text;mso-position-vertical:absolute;mso-position-vertical-relative:text" from="2in,19.2pt" to="367.5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" strokecolor="#4a7ebb"/>
            </w:pict>
          </mc:Fallback>
        </mc:AlternateContent>
      </w:r>
    </w:p>
    <w:p w14:paraId="030A426B" w14:textId="77777777" w:rsidR="00C65F7F" w:rsidRPr="00B43845" w:rsidRDefault="00C65F7F" w:rsidP="00C65F7F">
      <w:pPr>
        <w:spacing w:after="0" w:line="360" w:lineRule="auto"/>
        <w:jc w:val="both"/>
        <w:rPr>
          <w:rFonts w:asciiTheme="majorBidi" w:hAnsiTheme="majorBidi" w:cstheme="majorBidi"/>
          <w:szCs w:val="24"/>
        </w:rPr>
      </w:pPr>
      <w:r w:rsidRPr="00B43845">
        <w:rPr>
          <w:rFonts w:asciiTheme="majorBidi" w:hAnsiTheme="majorBidi" w:cstheme="majorBidi"/>
          <w:noProof/>
          <w:szCs w:val="24"/>
          <w:lang w:eastAsia="en-MY"/>
        </w:rPr>
        <mc:AlternateContent>
          <mc:Choice Requires="wps">
            <w:drawing>
              <wp:anchor distT="0" distB="0" distL="114300" distR="114300" simplePos="0" relativeHeight="252656640" behindDoc="0" locked="0" layoutInCell="1" allowOverlap="1" wp14:anchorId="26FDE7E5" wp14:editId="75B602C5">
                <wp:simplePos x="0" y="0"/>
                <wp:positionH relativeFrom="column">
                  <wp:posOffset>4503761</wp:posOffset>
                </wp:positionH>
                <wp:positionV relativeFrom="paragraph">
                  <wp:posOffset>55358</wp:posOffset>
                </wp:positionV>
                <wp:extent cx="354359" cy="239035"/>
                <wp:effectExtent l="0" t="0" r="0" b="0"/>
                <wp:wrapNone/>
                <wp:docPr id="1053" name="Text Box 1053"/>
                <wp:cNvGraphicFramePr/>
                <a:graphic xmlns:a="http://schemas.openxmlformats.org/drawingml/2006/main">
                  <a:graphicData uri="http://schemas.microsoft.com/office/word/2010/wordprocessingShape">
                    <wps:wsp>
                      <wps:cNvSpPr txBox="1"/>
                      <wps:spPr>
                        <a:xfrm>
                          <a:off x="0" y="0"/>
                          <a:ext cx="354359" cy="239035"/>
                        </a:xfrm>
                        <a:prstGeom prst="rect">
                          <a:avLst/>
                        </a:prstGeom>
                        <a:noFill/>
                        <a:ln w="6350">
                          <a:noFill/>
                        </a:ln>
                        <a:effectLst/>
                      </wps:spPr>
                      <wps:txbx>
                        <w:txbxContent>
                          <w:p w14:paraId="652A82C0" w14:textId="77777777" w:rsidR="00230AB9" w:rsidRDefault="00230AB9" w:rsidP="00C65F7F">
                            <w:r>
                              <w:rPr>
                                <w:rFonts w:cstheme="majorBidi"/>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DE7E5" id="Text Box 1053" o:spid="_x0000_s1111" type="#_x0000_t202" style="position:absolute;left:0;text-align:left;margin-left:354.65pt;margin-top:4.35pt;width:27.9pt;height:18.8pt;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" filled="f" stroked="f" strokeweight=".5pt">
                <v:textbox>
                  <w:txbxContent>
                    <w:p w14:paraId="652A82C0" w14:textId="77777777" w:rsidR="00230AB9" w:rsidRDefault="00230AB9" w:rsidP="00C65F7F">
                      <w:r>
                        <w:rPr>
                          <w:rFonts w:cstheme="majorBidi"/>
                        </w:rPr>
                        <w:t>d</w:t>
                      </w:r>
                    </w:p>
                  </w:txbxContent>
                </v:textbox>
              </v:shape>
            </w:pict>
          </mc:Fallback>
        </mc:AlternateContent>
      </w:r>
      <w:r w:rsidRPr="00B43845">
        <w:rPr>
          <w:rFonts w:asciiTheme="majorBidi" w:hAnsiTheme="majorBidi" w:cstheme="majorBidi"/>
          <w:noProof/>
          <w:szCs w:val="24"/>
          <w:lang w:eastAsia="en-MY"/>
        </w:rPr>
        <mc:AlternateContent>
          <mc:Choice Requires="wps">
            <w:drawing>
              <wp:anchor distT="0" distB="0" distL="114300" distR="114300" simplePos="0" relativeHeight="252655616" behindDoc="0" locked="0" layoutInCell="1" allowOverlap="1" wp14:anchorId="629543D0" wp14:editId="13577355">
                <wp:simplePos x="0" y="0"/>
                <wp:positionH relativeFrom="column">
                  <wp:posOffset>4421875</wp:posOffset>
                </wp:positionH>
                <wp:positionV relativeFrom="paragraph">
                  <wp:posOffset>-5942</wp:posOffset>
                </wp:positionV>
                <wp:extent cx="0" cy="381824"/>
                <wp:effectExtent l="95250" t="38100" r="114300" b="56515"/>
                <wp:wrapNone/>
                <wp:docPr id="1055" name="Straight Arrow Connector 1055"/>
                <wp:cNvGraphicFramePr/>
                <a:graphic xmlns:a="http://schemas.openxmlformats.org/drawingml/2006/main">
                  <a:graphicData uri="http://schemas.microsoft.com/office/word/2010/wordprocessingShape">
                    <wps:wsp>
                      <wps:cNvCnPr/>
                      <wps:spPr>
                        <a:xfrm>
                          <a:off x="0" y="0"/>
                          <a:ext cx="0" cy="381824"/>
                        </a:xfrm>
                        <a:prstGeom prst="straightConnector1">
                          <a:avLst/>
                        </a:prstGeom>
                        <a:noFill/>
                        <a:ln w="9525" cap="flat" cmpd="sng" algn="ctr">
                          <a:solidFill>
                            <a:sysClr val="windowText" lastClr="000000"/>
                          </a:solidFill>
                          <a:prstDash val="solid"/>
                          <a:headEnd type="arrow"/>
                          <a:tailEnd type="arrow"/>
                        </a:ln>
                        <a:effectLst/>
                      </wps:spPr>
                      <wps:bodyPr/>
                    </wps:wsp>
                  </a:graphicData>
                </a:graphic>
              </wp:anchor>
            </w:drawing>
          </mc:Choice>
          <mc:Fallback>
            <w:pict>
              <v:shape w14:anchorId="2B3A2577" id="Straight Arrow Connector 1055" o:spid="_x0000_s1026" type="#_x0000_t32" style="position:absolute;margin-left:348.2pt;margin-top:-.45pt;width:0;height:30.05pt;z-index:252655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" strokecolor="windowText">
                <v:stroke startarrow="open" endarrow="open"/>
              </v:shape>
            </w:pict>
          </mc:Fallback>
        </mc:AlternateContent>
      </w:r>
    </w:p>
    <w:p w14:paraId="3BA2C183" w14:textId="77777777" w:rsidR="00C65F7F" w:rsidRPr="00B43845" w:rsidRDefault="00C65F7F" w:rsidP="00C65F7F">
      <w:pPr>
        <w:spacing w:after="0" w:line="360" w:lineRule="auto"/>
        <w:jc w:val="both"/>
        <w:rPr>
          <w:rFonts w:asciiTheme="majorBidi" w:hAnsiTheme="majorBidi" w:cstheme="majorBidi"/>
          <w:szCs w:val="24"/>
        </w:rPr>
      </w:pPr>
      <w:r w:rsidRPr="00B43845">
        <w:rPr>
          <w:rFonts w:asciiTheme="majorBidi" w:hAnsiTheme="majorBidi" w:cstheme="majorBidi"/>
          <w:noProof/>
          <w:szCs w:val="24"/>
          <w:lang w:eastAsia="en-MY"/>
        </w:rPr>
        <mc:AlternateContent>
          <mc:Choice Requires="wps">
            <w:drawing>
              <wp:anchor distT="0" distB="0" distL="114300" distR="114300" simplePos="0" relativeHeight="252641280" behindDoc="0" locked="0" layoutInCell="1" allowOverlap="1" wp14:anchorId="1CF04585" wp14:editId="48A7B74A">
                <wp:simplePos x="0" y="0"/>
                <wp:positionH relativeFrom="column">
                  <wp:posOffset>2172970</wp:posOffset>
                </wp:positionH>
                <wp:positionV relativeFrom="paragraph">
                  <wp:posOffset>48260</wp:posOffset>
                </wp:positionV>
                <wp:extent cx="163195" cy="142875"/>
                <wp:effectExtent l="0" t="0" r="27305" b="28575"/>
                <wp:wrapNone/>
                <wp:docPr id="1057" name="Flowchart: Connector 1057"/>
                <wp:cNvGraphicFramePr/>
                <a:graphic xmlns:a="http://schemas.openxmlformats.org/drawingml/2006/main">
                  <a:graphicData uri="http://schemas.microsoft.com/office/word/2010/wordprocessingShape">
                    <wps:wsp>
                      <wps:cNvSpPr/>
                      <wps:spPr>
                        <a:xfrm>
                          <a:off x="0" y="0"/>
                          <a:ext cx="163195" cy="142875"/>
                        </a:xfrm>
                        <a:prstGeom prst="flowChartConnector">
                          <a:avLst/>
                        </a:prstGeom>
                        <a:solidFill>
                          <a:srgbClr val="9BBB5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9D100" id="Flowchart: Connector 1057" o:spid="_x0000_s1026" type="#_x0000_t120" style="position:absolute;margin-left:171.1pt;margin-top:3.8pt;width:12.85pt;height:11.25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" fillcolor="#9bbb59" strokecolor="#385d8a" strokeweight="2pt"/>
            </w:pict>
          </mc:Fallback>
        </mc:AlternateContent>
      </w:r>
      <w:r w:rsidRPr="00B43845">
        <w:rPr>
          <w:rFonts w:asciiTheme="majorBidi" w:hAnsiTheme="majorBidi" w:cstheme="majorBidi"/>
          <w:noProof/>
          <w:szCs w:val="24"/>
          <w:lang w:eastAsia="en-MY"/>
        </w:rPr>
        <mc:AlternateContent>
          <mc:Choice Requires="wps">
            <w:drawing>
              <wp:anchor distT="0" distB="0" distL="114300" distR="114300" simplePos="0" relativeHeight="252644352" behindDoc="0" locked="0" layoutInCell="1" allowOverlap="1" wp14:anchorId="652F5FA8" wp14:editId="65759EB3">
                <wp:simplePos x="0" y="0"/>
                <wp:positionH relativeFrom="column">
                  <wp:posOffset>2691121</wp:posOffset>
                </wp:positionH>
                <wp:positionV relativeFrom="paragraph">
                  <wp:posOffset>48573</wp:posOffset>
                </wp:positionV>
                <wp:extent cx="163195" cy="142875"/>
                <wp:effectExtent l="0" t="0" r="27305" b="28575"/>
                <wp:wrapNone/>
                <wp:docPr id="1058" name="Flowchart: Connector 1058"/>
                <wp:cNvGraphicFramePr/>
                <a:graphic xmlns:a="http://schemas.openxmlformats.org/drawingml/2006/main">
                  <a:graphicData uri="http://schemas.microsoft.com/office/word/2010/wordprocessingShape">
                    <wps:wsp>
                      <wps:cNvSpPr/>
                      <wps:spPr>
                        <a:xfrm>
                          <a:off x="0" y="0"/>
                          <a:ext cx="163195" cy="142875"/>
                        </a:xfrm>
                        <a:prstGeom prst="flowChartConnector">
                          <a:avLst/>
                        </a:prstGeom>
                        <a:solidFill>
                          <a:srgbClr val="9BBB5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B3267" id="Flowchart: Connector 1058" o:spid="_x0000_s1026" type="#_x0000_t120" style="position:absolute;margin-left:211.9pt;margin-top:3.8pt;width:12.85pt;height:11.25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" fillcolor="#9bbb59" strokecolor="#385d8a" strokeweight="2pt"/>
            </w:pict>
          </mc:Fallback>
        </mc:AlternateContent>
      </w:r>
      <w:r w:rsidRPr="00B43845">
        <w:rPr>
          <w:rFonts w:asciiTheme="majorBidi" w:hAnsiTheme="majorBidi" w:cstheme="majorBidi"/>
          <w:noProof/>
          <w:szCs w:val="24"/>
          <w:lang w:eastAsia="en-MY"/>
        </w:rPr>
        <mc:AlternateContent>
          <mc:Choice Requires="wps">
            <w:drawing>
              <wp:anchor distT="0" distB="0" distL="114300" distR="114300" simplePos="0" relativeHeight="252638208" behindDoc="0" locked="0" layoutInCell="1" allowOverlap="1" wp14:anchorId="6C561DBB" wp14:editId="3EBF6D92">
                <wp:simplePos x="0" y="0"/>
                <wp:positionH relativeFrom="column">
                  <wp:posOffset>4109085</wp:posOffset>
                </wp:positionH>
                <wp:positionV relativeFrom="paragraph">
                  <wp:posOffset>33020</wp:posOffset>
                </wp:positionV>
                <wp:extent cx="163195" cy="142875"/>
                <wp:effectExtent l="0" t="0" r="27305" b="28575"/>
                <wp:wrapNone/>
                <wp:docPr id="1059" name="Flowchart: Connector 1059"/>
                <wp:cNvGraphicFramePr/>
                <a:graphic xmlns:a="http://schemas.openxmlformats.org/drawingml/2006/main">
                  <a:graphicData uri="http://schemas.microsoft.com/office/word/2010/wordprocessingShape">
                    <wps:wsp>
                      <wps:cNvSpPr/>
                      <wps:spPr>
                        <a:xfrm>
                          <a:off x="0" y="0"/>
                          <a:ext cx="163195" cy="142875"/>
                        </a:xfrm>
                        <a:prstGeom prst="flowChartConnector">
                          <a:avLst/>
                        </a:prstGeom>
                        <a:solidFill>
                          <a:srgbClr val="9BBB5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E0B3C" id="Flowchart: Connector 1059" o:spid="_x0000_s1026" type="#_x0000_t120" style="position:absolute;margin-left:323.55pt;margin-top:2.6pt;width:12.85pt;height:11.25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" fillcolor="#9bbb59" strokecolor="#385d8a" strokeweight="2pt"/>
            </w:pict>
          </mc:Fallback>
        </mc:AlternateContent>
      </w:r>
      <w:r w:rsidRPr="00B43845">
        <w:rPr>
          <w:rFonts w:asciiTheme="majorBidi" w:hAnsiTheme="majorBidi" w:cstheme="majorBidi"/>
          <w:noProof/>
          <w:szCs w:val="24"/>
          <w:lang w:eastAsia="en-MY"/>
        </w:rPr>
        <mc:AlternateContent>
          <mc:Choice Requires="wps">
            <w:drawing>
              <wp:anchor distT="0" distB="0" distL="114300" distR="114300" simplePos="0" relativeHeight="252635136" behindDoc="0" locked="0" layoutInCell="1" allowOverlap="1" wp14:anchorId="50DB3D66" wp14:editId="05CF5736">
                <wp:simplePos x="0" y="0"/>
                <wp:positionH relativeFrom="column">
                  <wp:posOffset>3618230</wp:posOffset>
                </wp:positionH>
                <wp:positionV relativeFrom="paragraph">
                  <wp:posOffset>33020</wp:posOffset>
                </wp:positionV>
                <wp:extent cx="163195" cy="142875"/>
                <wp:effectExtent l="0" t="0" r="27305" b="28575"/>
                <wp:wrapNone/>
                <wp:docPr id="1060" name="Flowchart: Connector 1060"/>
                <wp:cNvGraphicFramePr/>
                <a:graphic xmlns:a="http://schemas.openxmlformats.org/drawingml/2006/main">
                  <a:graphicData uri="http://schemas.microsoft.com/office/word/2010/wordprocessingShape">
                    <wps:wsp>
                      <wps:cNvSpPr/>
                      <wps:spPr>
                        <a:xfrm>
                          <a:off x="0" y="0"/>
                          <a:ext cx="163195" cy="142875"/>
                        </a:xfrm>
                        <a:prstGeom prst="flowChartConnector">
                          <a:avLst/>
                        </a:prstGeom>
                        <a:solidFill>
                          <a:srgbClr val="9BBB5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A62F8" id="Flowchart: Connector 1060" o:spid="_x0000_s1026" type="#_x0000_t120" style="position:absolute;margin-left:284.9pt;margin-top:2.6pt;width:12.85pt;height:11.25pt;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" fillcolor="#9bbb59" strokecolor="#385d8a" strokeweight="2pt"/>
            </w:pict>
          </mc:Fallback>
        </mc:AlternateContent>
      </w:r>
      <w:r w:rsidRPr="00B43845">
        <w:rPr>
          <w:rFonts w:asciiTheme="majorBidi" w:hAnsiTheme="majorBidi" w:cstheme="majorBidi"/>
          <w:noProof/>
          <w:szCs w:val="24"/>
          <w:lang w:eastAsia="en-MY"/>
        </w:rPr>
        <mc:AlternateContent>
          <mc:Choice Requires="wps">
            <w:drawing>
              <wp:anchor distT="0" distB="0" distL="114300" distR="114300" simplePos="0" relativeHeight="252632064" behindDoc="0" locked="0" layoutInCell="1" allowOverlap="1" wp14:anchorId="7E516E55" wp14:editId="1502AA2B">
                <wp:simplePos x="0" y="0"/>
                <wp:positionH relativeFrom="column">
                  <wp:posOffset>3152633</wp:posOffset>
                </wp:positionH>
                <wp:positionV relativeFrom="paragraph">
                  <wp:posOffset>31731</wp:posOffset>
                </wp:positionV>
                <wp:extent cx="163195" cy="142875"/>
                <wp:effectExtent l="0" t="0" r="27305" b="28575"/>
                <wp:wrapNone/>
                <wp:docPr id="1061" name="Flowchart: Connector 1061"/>
                <wp:cNvGraphicFramePr/>
                <a:graphic xmlns:a="http://schemas.openxmlformats.org/drawingml/2006/main">
                  <a:graphicData uri="http://schemas.microsoft.com/office/word/2010/wordprocessingShape">
                    <wps:wsp>
                      <wps:cNvSpPr/>
                      <wps:spPr>
                        <a:xfrm>
                          <a:off x="0" y="0"/>
                          <a:ext cx="163195" cy="142875"/>
                        </a:xfrm>
                        <a:prstGeom prst="flowChartConnector">
                          <a:avLst/>
                        </a:prstGeom>
                        <a:solidFill>
                          <a:srgbClr val="9BBB59"/>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A6E20" id="Flowchart: Connector 1061" o:spid="_x0000_s1026" type="#_x0000_t120" style="position:absolute;margin-left:248.25pt;margin-top:2.5pt;width:12.85pt;height:11.25pt;z-index:2526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" fillcolor="#9bbb59" strokecolor="#385d8a" strokeweight="2pt"/>
            </w:pict>
          </mc:Fallback>
        </mc:AlternateContent>
      </w:r>
      <w:r w:rsidRPr="00B43845">
        <w:rPr>
          <w:rFonts w:asciiTheme="majorBidi" w:hAnsiTheme="majorBidi" w:cstheme="majorBidi"/>
          <w:noProof/>
          <w:szCs w:val="24"/>
          <w:lang w:eastAsia="en-MY"/>
        </w:rPr>
        <mc:AlternateContent>
          <mc:Choice Requires="wps">
            <w:drawing>
              <wp:anchor distT="0" distB="0" distL="114300" distR="114300" simplePos="0" relativeHeight="252628992" behindDoc="0" locked="0" layoutInCell="1" allowOverlap="1" wp14:anchorId="2246EDB1" wp14:editId="16197060">
                <wp:simplePos x="0" y="0"/>
                <wp:positionH relativeFrom="column">
                  <wp:posOffset>1828800</wp:posOffset>
                </wp:positionH>
                <wp:positionV relativeFrom="paragraph">
                  <wp:posOffset>86322</wp:posOffset>
                </wp:positionV>
                <wp:extent cx="2838734" cy="27296"/>
                <wp:effectExtent l="0" t="0" r="19050" b="30480"/>
                <wp:wrapNone/>
                <wp:docPr id="1062" name="Straight Connector 1062"/>
                <wp:cNvGraphicFramePr/>
                <a:graphic xmlns:a="http://schemas.openxmlformats.org/drawingml/2006/main">
                  <a:graphicData uri="http://schemas.microsoft.com/office/word/2010/wordprocessingShape">
                    <wps:wsp>
                      <wps:cNvCnPr/>
                      <wps:spPr>
                        <a:xfrm flipV="1">
                          <a:off x="0" y="0"/>
                          <a:ext cx="2838734" cy="27296"/>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260A4B24" id="Straight Connector 1062" o:spid="_x0000_s1026" style="position:absolute;flip:y;z-index:252628992;visibility:visible;mso-wrap-style:square;mso-wrap-distance-left:9pt;mso-wrap-distance-top:0;mso-wrap-distance-right:9pt;mso-wrap-distance-bottom:0;mso-position-horizontal:absolute;mso-position-horizontal-relative:text;mso-position-vertical:absolute;mso-position-vertical-relative:text" from="2in,6.8pt" to="367.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" strokecolor="#4a7ebb"/>
            </w:pict>
          </mc:Fallback>
        </mc:AlternateContent>
      </w:r>
    </w:p>
    <w:p w14:paraId="6DE692BC" w14:textId="77777777" w:rsidR="00C65F7F" w:rsidRPr="00B43845" w:rsidRDefault="00C65F7F" w:rsidP="00C65F7F">
      <w:pPr>
        <w:spacing w:after="0" w:line="360" w:lineRule="auto"/>
        <w:ind w:firstLine="720"/>
        <w:jc w:val="both"/>
        <w:rPr>
          <w:rFonts w:asciiTheme="majorBidi" w:hAnsiTheme="majorBidi" w:cstheme="majorBidi"/>
          <w:szCs w:val="24"/>
        </w:rPr>
      </w:pPr>
    </w:p>
    <w:p w14:paraId="0B22652D" w14:textId="287F822F" w:rsidR="00D740DC" w:rsidRPr="000E2377" w:rsidRDefault="00D740DC" w:rsidP="00D740DC">
      <w:pPr>
        <w:spacing w:after="0" w:line="360" w:lineRule="auto"/>
        <w:ind w:firstLine="720"/>
        <w:jc w:val="both"/>
        <w:rPr>
          <w:rFonts w:asciiTheme="majorBidi" w:hAnsiTheme="majorBidi" w:cstheme="majorBidi"/>
          <w:szCs w:val="24"/>
        </w:rPr>
      </w:pPr>
    </w:p>
    <w:p w14:paraId="419036C1" w14:textId="432664A9" w:rsidR="00D740DC" w:rsidRPr="000E2377" w:rsidRDefault="00D740DC" w:rsidP="00D740DC">
      <w:pPr>
        <w:pStyle w:val="Caption"/>
        <w:rPr>
          <w:rFonts w:asciiTheme="majorBidi" w:hAnsiTheme="majorBidi" w:cstheme="majorBidi"/>
          <w:szCs w:val="24"/>
        </w:rPr>
      </w:pPr>
      <w:bookmarkStart w:id="428" w:name="_Toc521420458"/>
      <w:bookmarkStart w:id="429" w:name="_Toc525223193"/>
      <w:bookmarkStart w:id="430" w:name="_Toc525528340"/>
      <w:bookmarkStart w:id="431" w:name="_Toc525706355"/>
      <w:bookmarkStart w:id="432" w:name="_Hlk515393980"/>
      <w:r w:rsidRPr="000E2377">
        <w:t xml:space="preserve">Figure </w:t>
      </w:r>
      <w:r>
        <w:t>3</w:t>
      </w:r>
      <w:r w:rsidRPr="000E2377">
        <w:t>.</w:t>
      </w:r>
      <w:r w:rsidRPr="000E2377">
        <w:fldChar w:fldCharType="begin"/>
      </w:r>
      <w:r w:rsidRPr="000E2377">
        <w:instrText xml:space="preserve"> SEQ Figure \* ARABIC \s 1 </w:instrText>
      </w:r>
      <w:r w:rsidRPr="000E2377">
        <w:fldChar w:fldCharType="separate"/>
      </w:r>
      <w:r w:rsidR="00C827AE">
        <w:rPr>
          <w:noProof/>
        </w:rPr>
        <w:t>6</w:t>
      </w:r>
      <w:r w:rsidRPr="000E2377">
        <w:fldChar w:fldCharType="end"/>
      </w:r>
      <w:r w:rsidRPr="000E2377">
        <w:t xml:space="preserve">: </w:t>
      </w:r>
      <w:r w:rsidRPr="000E2377">
        <w:rPr>
          <w:rFonts w:asciiTheme="majorBidi" w:hAnsiTheme="majorBidi" w:cstheme="majorBidi"/>
          <w:szCs w:val="24"/>
        </w:rPr>
        <w:t>Schematic diagram for the principle of XRD.</w:t>
      </w:r>
      <w:bookmarkEnd w:id="428"/>
      <w:bookmarkEnd w:id="429"/>
      <w:bookmarkEnd w:id="430"/>
      <w:bookmarkEnd w:id="431"/>
    </w:p>
    <w:bookmarkEnd w:id="432"/>
    <w:p w14:paraId="549167EC" w14:textId="77777777" w:rsidR="00D740DC" w:rsidRPr="000E2377" w:rsidRDefault="00D740DC" w:rsidP="00D740DC">
      <w:pPr>
        <w:jc w:val="center"/>
      </w:pPr>
    </w:p>
    <w:p w14:paraId="694CB275" w14:textId="77777777" w:rsidR="00D740DC" w:rsidRPr="000E2377" w:rsidRDefault="00D740DC" w:rsidP="00D740DC">
      <w:pPr>
        <w:keepNext/>
        <w:keepLines/>
        <w:numPr>
          <w:ilvl w:val="2"/>
          <w:numId w:val="1"/>
        </w:numPr>
        <w:spacing w:before="40" w:after="0" w:line="360" w:lineRule="auto"/>
        <w:outlineLvl w:val="2"/>
        <w:rPr>
          <w:rFonts w:eastAsiaTheme="majorEastAsia" w:cstheme="majorBidi"/>
          <w:vanish/>
          <w:color w:val="000000" w:themeColor="text1"/>
          <w:szCs w:val="24"/>
        </w:rPr>
      </w:pPr>
      <w:bookmarkStart w:id="433" w:name="_Toc515398727"/>
      <w:bookmarkStart w:id="434" w:name="_Toc523153587"/>
      <w:bookmarkStart w:id="435" w:name="_Toc523402909"/>
      <w:bookmarkStart w:id="436" w:name="_Toc525222378"/>
      <w:bookmarkStart w:id="437" w:name="_Toc525526420"/>
      <w:bookmarkStart w:id="438" w:name="_Toc525703746"/>
      <w:bookmarkStart w:id="439" w:name="_Toc525707548"/>
      <w:bookmarkStart w:id="440" w:name="_Toc525707837"/>
      <w:bookmarkStart w:id="441" w:name="_Toc525742502"/>
      <w:bookmarkStart w:id="442" w:name="_Toc10983095"/>
      <w:bookmarkStart w:id="443" w:name="_Toc12994960"/>
      <w:bookmarkEnd w:id="433"/>
      <w:bookmarkEnd w:id="434"/>
      <w:bookmarkEnd w:id="435"/>
      <w:bookmarkEnd w:id="436"/>
      <w:bookmarkEnd w:id="437"/>
      <w:bookmarkEnd w:id="438"/>
      <w:bookmarkEnd w:id="439"/>
      <w:bookmarkEnd w:id="440"/>
      <w:bookmarkEnd w:id="441"/>
      <w:bookmarkEnd w:id="442"/>
      <w:bookmarkEnd w:id="443"/>
    </w:p>
    <w:p w14:paraId="3E6717A8" w14:textId="77777777" w:rsidR="00D740DC" w:rsidRPr="000E2377" w:rsidRDefault="00D740DC" w:rsidP="00D740DC">
      <w:pPr>
        <w:keepNext/>
        <w:keepLines/>
        <w:numPr>
          <w:ilvl w:val="3"/>
          <w:numId w:val="1"/>
        </w:numPr>
        <w:spacing w:before="40" w:after="0" w:line="360" w:lineRule="auto"/>
        <w:outlineLvl w:val="3"/>
        <w:rPr>
          <w:rFonts w:eastAsiaTheme="majorEastAsia" w:cstheme="majorBidi"/>
          <w:iCs/>
          <w:vanish/>
          <w:color w:val="000000" w:themeColor="text1"/>
        </w:rPr>
      </w:pPr>
      <w:bookmarkStart w:id="444" w:name="_Toc523153588"/>
      <w:bookmarkStart w:id="445" w:name="_Toc523402806"/>
      <w:bookmarkStart w:id="446" w:name="_Toc523402910"/>
      <w:bookmarkStart w:id="447" w:name="_Toc525222379"/>
      <w:bookmarkStart w:id="448" w:name="_Toc525526421"/>
      <w:bookmarkStart w:id="449" w:name="_Toc525703747"/>
      <w:bookmarkStart w:id="450" w:name="_Toc525707549"/>
      <w:bookmarkStart w:id="451" w:name="_Toc525707838"/>
      <w:bookmarkStart w:id="452" w:name="_Toc525742503"/>
      <w:bookmarkEnd w:id="444"/>
      <w:bookmarkEnd w:id="445"/>
      <w:bookmarkEnd w:id="446"/>
      <w:bookmarkEnd w:id="447"/>
      <w:bookmarkEnd w:id="448"/>
      <w:bookmarkEnd w:id="449"/>
      <w:bookmarkEnd w:id="450"/>
      <w:bookmarkEnd w:id="451"/>
      <w:bookmarkEnd w:id="452"/>
    </w:p>
    <w:p w14:paraId="14036A1E" w14:textId="77777777" w:rsidR="00D740DC" w:rsidRPr="000E2377" w:rsidRDefault="00D740DC" w:rsidP="00D740DC">
      <w:pPr>
        <w:keepNext/>
        <w:keepLines/>
        <w:numPr>
          <w:ilvl w:val="3"/>
          <w:numId w:val="1"/>
        </w:numPr>
        <w:spacing w:before="40" w:after="0" w:line="360" w:lineRule="auto"/>
        <w:outlineLvl w:val="3"/>
        <w:rPr>
          <w:rFonts w:eastAsiaTheme="majorEastAsia" w:cstheme="majorBidi"/>
          <w:iCs/>
          <w:vanish/>
          <w:color w:val="000000" w:themeColor="text1"/>
        </w:rPr>
      </w:pPr>
      <w:bookmarkStart w:id="453" w:name="_Toc523153589"/>
      <w:bookmarkStart w:id="454" w:name="_Toc523402807"/>
      <w:bookmarkStart w:id="455" w:name="_Toc523402911"/>
      <w:bookmarkStart w:id="456" w:name="_Toc525222380"/>
      <w:bookmarkStart w:id="457" w:name="_Toc525526422"/>
      <w:bookmarkStart w:id="458" w:name="_Toc525703748"/>
      <w:bookmarkStart w:id="459" w:name="_Toc525707550"/>
      <w:bookmarkStart w:id="460" w:name="_Toc525707839"/>
      <w:bookmarkStart w:id="461" w:name="_Toc525742504"/>
      <w:bookmarkEnd w:id="453"/>
      <w:bookmarkEnd w:id="454"/>
      <w:bookmarkEnd w:id="455"/>
      <w:bookmarkEnd w:id="456"/>
      <w:bookmarkEnd w:id="457"/>
      <w:bookmarkEnd w:id="458"/>
      <w:bookmarkEnd w:id="459"/>
      <w:bookmarkEnd w:id="460"/>
      <w:bookmarkEnd w:id="461"/>
    </w:p>
    <w:p w14:paraId="620AAB75" w14:textId="77777777" w:rsidR="00D740DC" w:rsidRPr="000E2377" w:rsidRDefault="00D740DC" w:rsidP="00D740DC">
      <w:pPr>
        <w:keepNext/>
        <w:keepLines/>
        <w:spacing w:before="40" w:after="0" w:line="360" w:lineRule="auto"/>
        <w:outlineLvl w:val="3"/>
        <w:rPr>
          <w:rFonts w:eastAsia="Calibri" w:cstheme="majorBidi"/>
          <w:iCs/>
          <w:color w:val="000000" w:themeColor="text1"/>
          <w:lang w:eastAsia="tr-TR"/>
        </w:rPr>
      </w:pPr>
      <w:bookmarkStart w:id="462" w:name="_Toc523402912"/>
      <w:bookmarkStart w:id="463" w:name="_Toc525526423"/>
      <w:bookmarkStart w:id="464" w:name="_Toc525707840"/>
      <w:bookmarkStart w:id="465" w:name="_Toc525742505"/>
      <w:r w:rsidRPr="000E2377">
        <w:rPr>
          <w:rFonts w:eastAsia="Calibri" w:cstheme="majorBidi"/>
          <w:iCs/>
          <w:color w:val="000000" w:themeColor="text1"/>
          <w:lang w:eastAsia="tr-TR"/>
        </w:rPr>
        <w:t>3.5.</w:t>
      </w:r>
      <w:r>
        <w:rPr>
          <w:rFonts w:eastAsia="Calibri" w:cstheme="majorBidi"/>
          <w:iCs/>
          <w:color w:val="000000" w:themeColor="text1"/>
          <w:lang w:eastAsia="tr-TR"/>
        </w:rPr>
        <w:t>4</w:t>
      </w:r>
      <w:r w:rsidRPr="000E2377">
        <w:rPr>
          <w:rFonts w:eastAsia="Calibri" w:cstheme="majorBidi"/>
          <w:iCs/>
          <w:color w:val="000000" w:themeColor="text1"/>
          <w:lang w:eastAsia="tr-TR"/>
        </w:rPr>
        <w:t xml:space="preserve"> Fourier transform infra-red (FTIR) spectroscopy</w:t>
      </w:r>
      <w:bookmarkEnd w:id="462"/>
      <w:bookmarkEnd w:id="463"/>
      <w:bookmarkEnd w:id="464"/>
      <w:bookmarkEnd w:id="465"/>
    </w:p>
    <w:p w14:paraId="4E6087F0" w14:textId="66B1A0B9" w:rsidR="00D740DC" w:rsidRPr="000E2377" w:rsidRDefault="00D740DC" w:rsidP="00D740DC">
      <w:pPr>
        <w:spacing w:line="360" w:lineRule="auto"/>
        <w:jc w:val="both"/>
        <w:rPr>
          <w:rFonts w:asciiTheme="majorBidi" w:hAnsiTheme="majorBidi" w:cstheme="majorBidi"/>
          <w:b w:val="0"/>
          <w:szCs w:val="24"/>
        </w:rPr>
      </w:pPr>
      <w:r w:rsidRPr="000E2377">
        <w:rPr>
          <w:rFonts w:cs="Times New Roman"/>
          <w:b w:val="0"/>
          <w:szCs w:val="24"/>
        </w:rPr>
        <w:t xml:space="preserve">The structure of materials can be assessed using infrared spectroscopy which is based on </w:t>
      </w:r>
      <w:r w:rsidR="00202044">
        <w:rPr>
          <w:rFonts w:cs="Times New Roman"/>
          <w:b w:val="0"/>
          <w:szCs w:val="24"/>
        </w:rPr>
        <w:t xml:space="preserve">the </w:t>
      </w:r>
      <w:r w:rsidRPr="000E2377">
        <w:rPr>
          <w:rFonts w:cs="Times New Roman"/>
          <w:b w:val="0"/>
          <w:szCs w:val="24"/>
        </w:rPr>
        <w:t xml:space="preserve">absorption of infrared radiation. Every molecule has a unique IR fingerprint due to </w:t>
      </w:r>
      <w:r>
        <w:rPr>
          <w:rFonts w:cs="Times New Roman"/>
          <w:b w:val="0"/>
          <w:szCs w:val="24"/>
        </w:rPr>
        <w:t xml:space="preserve">the </w:t>
      </w:r>
      <w:r w:rsidRPr="000E2377">
        <w:rPr>
          <w:rFonts w:cs="Times New Roman"/>
          <w:b w:val="0"/>
          <w:szCs w:val="24"/>
        </w:rPr>
        <w:t>different types of bonds</w:t>
      </w:r>
      <w:r>
        <w:rPr>
          <w:rFonts w:cs="Times New Roman"/>
          <w:b w:val="0"/>
          <w:szCs w:val="24"/>
        </w:rPr>
        <w:t xml:space="preserve"> present</w:t>
      </w:r>
      <w:r w:rsidRPr="000E2377">
        <w:rPr>
          <w:rFonts w:cs="Times New Roman"/>
          <w:b w:val="0"/>
          <w:szCs w:val="24"/>
        </w:rPr>
        <w:t>. The absorption spectra of prepared glasses were measured at room temperature in the wavenumber range 400 - 4000 cm</w:t>
      </w:r>
      <w:r w:rsidRPr="000E2377">
        <w:rPr>
          <w:rFonts w:cs="Times New Roman"/>
          <w:b w:val="0"/>
          <w:szCs w:val="24"/>
          <w:vertAlign w:val="superscript"/>
        </w:rPr>
        <w:t>-1</w:t>
      </w:r>
      <w:r w:rsidRPr="000E2377">
        <w:rPr>
          <w:rFonts w:cs="Times New Roman"/>
          <w:b w:val="0"/>
          <w:szCs w:val="24"/>
        </w:rPr>
        <w:t xml:space="preserve"> using a Perkin Elmer </w:t>
      </w:r>
      <w:r>
        <w:rPr>
          <w:rFonts w:cs="Times New Roman"/>
          <w:b w:val="0"/>
          <w:szCs w:val="24"/>
        </w:rPr>
        <w:t>FTIR</w:t>
      </w:r>
      <w:r w:rsidRPr="000E2377">
        <w:rPr>
          <w:rFonts w:cs="Times New Roman"/>
          <w:b w:val="0"/>
          <w:szCs w:val="24"/>
        </w:rPr>
        <w:t xml:space="preserve"> spectrometer. Figure 3.7 shows a schematic of the basic FTIR configuration (Michelson Interferometer). The beam splitter receives directed light from a polychromatic infrared source; half of the light was directed towards the fixed mirror and half towards the moving mirror. These light beams are reflected back from the two mirrors and recombined at the beam splitter with some of the original source light going through the sample component, where the light is focused on the samples. </w:t>
      </w:r>
      <w:r w:rsidRPr="000E2377">
        <w:rPr>
          <w:rFonts w:asciiTheme="majorBidi" w:hAnsiTheme="majorBidi"/>
          <w:b w:val="0"/>
        </w:rPr>
        <w:t>Table 3.</w:t>
      </w:r>
      <w:r>
        <w:rPr>
          <w:rFonts w:asciiTheme="majorBidi" w:hAnsiTheme="majorBidi"/>
          <w:b w:val="0"/>
        </w:rPr>
        <w:t>4</w:t>
      </w:r>
      <w:r w:rsidRPr="000E2377">
        <w:rPr>
          <w:rFonts w:asciiTheme="majorBidi" w:hAnsiTheme="majorBidi"/>
          <w:b w:val="0"/>
        </w:rPr>
        <w:t xml:space="preserve"> shows the literature of FTIR peak assignment of various silicate glass</w:t>
      </w:r>
      <w:r>
        <w:rPr>
          <w:rFonts w:asciiTheme="majorBidi" w:hAnsiTheme="majorBidi"/>
          <w:b w:val="0"/>
        </w:rPr>
        <w:t>es</w:t>
      </w:r>
      <w:r w:rsidRPr="000E2377">
        <w:rPr>
          <w:rFonts w:asciiTheme="majorBidi" w:hAnsiTheme="majorBidi"/>
          <w:b w:val="0"/>
        </w:rPr>
        <w:t>.</w:t>
      </w:r>
    </w:p>
    <w:p w14:paraId="684BD342" w14:textId="77777777" w:rsidR="00D740DC" w:rsidRPr="000E2377" w:rsidRDefault="00D740DC" w:rsidP="00D740DC">
      <w:pPr>
        <w:spacing w:after="0" w:line="360" w:lineRule="auto"/>
        <w:ind w:firstLine="720"/>
        <w:jc w:val="both"/>
        <w:rPr>
          <w:rFonts w:asciiTheme="majorBidi" w:hAnsiTheme="majorBidi" w:cstheme="majorBidi"/>
          <w:b w:val="0"/>
          <w:szCs w:val="24"/>
        </w:rPr>
      </w:pPr>
      <w:r w:rsidRPr="000E2377">
        <w:rPr>
          <w:noProof/>
          <w:lang w:eastAsia="en-MY"/>
        </w:rPr>
        <w:drawing>
          <wp:inline distT="0" distB="0" distL="0" distR="0" wp14:anchorId="352424EB" wp14:editId="46A90FA1">
            <wp:extent cx="4906010" cy="3499485"/>
            <wp:effectExtent l="0" t="0" r="8890" b="5715"/>
            <wp:docPr id="2631" name="Picture 2631" descr="D:\extra document\FTI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xtra document\FTIR.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906010" cy="3499485"/>
                    </a:xfrm>
                    <a:prstGeom prst="rect">
                      <a:avLst/>
                    </a:prstGeom>
                    <a:noFill/>
                    <a:ln>
                      <a:noFill/>
                    </a:ln>
                  </pic:spPr>
                </pic:pic>
              </a:graphicData>
            </a:graphic>
          </wp:inline>
        </w:drawing>
      </w:r>
    </w:p>
    <w:p w14:paraId="3FF47959" w14:textId="23BE336D" w:rsidR="00D740DC" w:rsidRPr="000E2377" w:rsidRDefault="00D740DC" w:rsidP="00D740DC">
      <w:pPr>
        <w:pStyle w:val="Caption"/>
        <w:rPr>
          <w:rFonts w:asciiTheme="majorBidi" w:hAnsiTheme="majorBidi" w:cstheme="majorBidi"/>
          <w:color w:val="4F81BD" w:themeColor="accent1"/>
          <w:szCs w:val="24"/>
        </w:rPr>
      </w:pPr>
      <w:bookmarkStart w:id="466" w:name="_Toc521420459"/>
      <w:bookmarkStart w:id="467" w:name="_Toc525223194"/>
      <w:bookmarkStart w:id="468" w:name="_Toc525528341"/>
      <w:bookmarkStart w:id="469" w:name="_Toc525706356"/>
      <w:bookmarkStart w:id="470" w:name="_Hlk515394005"/>
      <w:r w:rsidRPr="000E2377">
        <w:t xml:space="preserve">Figure </w:t>
      </w:r>
      <w:r>
        <w:t>3</w:t>
      </w:r>
      <w:r w:rsidRPr="000E2377">
        <w:t>.</w:t>
      </w:r>
      <w:r w:rsidRPr="000E2377">
        <w:fldChar w:fldCharType="begin"/>
      </w:r>
      <w:r w:rsidRPr="000E2377">
        <w:instrText xml:space="preserve"> SEQ Figure \* ARABIC \s 1 </w:instrText>
      </w:r>
      <w:r w:rsidRPr="000E2377">
        <w:fldChar w:fldCharType="separate"/>
      </w:r>
      <w:r w:rsidR="00C827AE">
        <w:rPr>
          <w:noProof/>
        </w:rPr>
        <w:t>7</w:t>
      </w:r>
      <w:r w:rsidRPr="000E2377">
        <w:fldChar w:fldCharType="end"/>
      </w:r>
      <w:r w:rsidRPr="000E2377">
        <w:t xml:space="preserve">: </w:t>
      </w:r>
      <w:r w:rsidRPr="000E2377">
        <w:rPr>
          <w:rFonts w:asciiTheme="majorBidi" w:hAnsiTheme="majorBidi" w:cstheme="majorBidi"/>
          <w:szCs w:val="24"/>
        </w:rPr>
        <w:t>Schematic of the basic FTIR configuration</w:t>
      </w:r>
      <w:bookmarkEnd w:id="466"/>
      <w:r w:rsidRPr="000E2377">
        <w:rPr>
          <w:rFonts w:asciiTheme="majorBidi" w:hAnsiTheme="majorBidi" w:cstheme="majorBidi"/>
          <w:szCs w:val="24"/>
        </w:rPr>
        <w:t>.</w:t>
      </w:r>
      <w:bookmarkEnd w:id="467"/>
      <w:bookmarkEnd w:id="468"/>
      <w:bookmarkEnd w:id="469"/>
    </w:p>
    <w:bookmarkEnd w:id="470"/>
    <w:p w14:paraId="20E0142A" w14:textId="77777777" w:rsidR="00D740DC" w:rsidRPr="000E2377" w:rsidRDefault="00D740DC" w:rsidP="00D740DC">
      <w:pPr>
        <w:spacing w:line="360" w:lineRule="auto"/>
        <w:jc w:val="both"/>
        <w:rPr>
          <w:rFonts w:cs="Times New Roman"/>
          <w:b w:val="0"/>
          <w:szCs w:val="24"/>
        </w:rPr>
      </w:pPr>
    </w:p>
    <w:p w14:paraId="4F725803" w14:textId="31B57C93" w:rsidR="00D740DC" w:rsidRDefault="00D740DC" w:rsidP="00D740DC">
      <w:pPr>
        <w:spacing w:line="360" w:lineRule="auto"/>
        <w:jc w:val="both"/>
        <w:rPr>
          <w:rFonts w:cs="Times New Roman"/>
          <w:b w:val="0"/>
          <w:szCs w:val="24"/>
        </w:rPr>
      </w:pPr>
      <w:r w:rsidRPr="000E2377">
        <w:rPr>
          <w:rFonts w:cs="Times New Roman"/>
          <w:b w:val="0"/>
          <w:szCs w:val="24"/>
        </w:rPr>
        <w:t xml:space="preserve">The prepared glasses were examined in the form of fine powder (&lt;75µm) using the Attenuated Total Reflectance (ATR) method. The powder sample was first ground to reduce the particle size </w:t>
      </w:r>
      <w:r>
        <w:rPr>
          <w:rFonts w:cs="Times New Roman"/>
          <w:b w:val="0"/>
          <w:szCs w:val="24"/>
        </w:rPr>
        <w:t>to</w:t>
      </w:r>
      <w:r w:rsidRPr="000E2377">
        <w:rPr>
          <w:rFonts w:cs="Times New Roman"/>
          <w:b w:val="0"/>
          <w:szCs w:val="24"/>
        </w:rPr>
        <w:t xml:space="preserve"> less than 75</w:t>
      </w:r>
      <w:r>
        <w:rPr>
          <w:rFonts w:cs="Times New Roman"/>
          <w:b w:val="0"/>
          <w:szCs w:val="24"/>
        </w:rPr>
        <w:t xml:space="preserve"> </w:t>
      </w:r>
      <w:r w:rsidRPr="000E2377">
        <w:rPr>
          <w:rFonts w:cs="Times New Roman"/>
          <w:b w:val="0"/>
          <w:szCs w:val="24"/>
        </w:rPr>
        <w:t xml:space="preserve">µm. Between 1 and 3 mg of powder were placed on the centre of the crystal surface, ensuring good contact between the sample and the crystal surface. Four measurements were carried out for each glass sample. </w:t>
      </w:r>
    </w:p>
    <w:p w14:paraId="25683AD9" w14:textId="77777777" w:rsidR="00D740DC" w:rsidRPr="000E2377" w:rsidRDefault="00D740DC" w:rsidP="00D740DC">
      <w:pPr>
        <w:pStyle w:val="Caption"/>
        <w:rPr>
          <w:rFonts w:asciiTheme="majorBidi" w:hAnsiTheme="majorBidi"/>
          <w:b w:val="0"/>
        </w:rPr>
      </w:pPr>
      <w:bookmarkStart w:id="471" w:name="_Toc521483067"/>
      <w:bookmarkStart w:id="472" w:name="_Toc525225329"/>
      <w:bookmarkStart w:id="473" w:name="_Toc525706425"/>
      <w:bookmarkStart w:id="474" w:name="_Hlk10985520"/>
      <w:r w:rsidRPr="000E2377">
        <w:lastRenderedPageBreak/>
        <w:t xml:space="preserve">Table </w:t>
      </w:r>
      <w:r>
        <w:t>3</w:t>
      </w:r>
      <w:r w:rsidRPr="000E2377">
        <w:t>.</w:t>
      </w:r>
      <w:r>
        <w:t>4</w:t>
      </w:r>
      <w:r w:rsidRPr="000E2377">
        <w:rPr>
          <w:rFonts w:asciiTheme="majorBidi" w:hAnsiTheme="majorBidi"/>
          <w:b w:val="0"/>
        </w:rPr>
        <w:t xml:space="preserve">: </w:t>
      </w:r>
      <w:r w:rsidRPr="000E2377">
        <w:rPr>
          <w:rFonts w:asciiTheme="majorBidi" w:hAnsiTheme="majorBidi"/>
        </w:rPr>
        <w:t>FTIR peak assignment of silicate glass</w:t>
      </w:r>
      <w:bookmarkEnd w:id="471"/>
      <w:bookmarkEnd w:id="472"/>
      <w:bookmarkEnd w:id="473"/>
      <w:r>
        <w:rPr>
          <w:rFonts w:asciiTheme="majorBidi" w:hAnsiTheme="majorBidi"/>
        </w:rPr>
        <w:t>.</w:t>
      </w:r>
    </w:p>
    <w:tbl>
      <w:tblPr>
        <w:tblW w:w="8877" w:type="dxa"/>
        <w:tblLook w:val="04A0" w:firstRow="1" w:lastRow="0" w:firstColumn="1" w:lastColumn="0" w:noHBand="0" w:noVBand="1"/>
      </w:tblPr>
      <w:tblGrid>
        <w:gridCol w:w="1701"/>
        <w:gridCol w:w="1418"/>
        <w:gridCol w:w="2693"/>
        <w:gridCol w:w="3065"/>
      </w:tblGrid>
      <w:tr w:rsidR="00D740DC" w:rsidRPr="000E2377" w14:paraId="5A8821A4" w14:textId="77777777" w:rsidTr="00B11F5F">
        <w:trPr>
          <w:trHeight w:val="315"/>
        </w:trPr>
        <w:tc>
          <w:tcPr>
            <w:tcW w:w="1701" w:type="dxa"/>
            <w:tcBorders>
              <w:top w:val="single" w:sz="8" w:space="0" w:color="auto"/>
              <w:left w:val="nil"/>
              <w:bottom w:val="single" w:sz="8" w:space="0" w:color="auto"/>
              <w:right w:val="nil"/>
            </w:tcBorders>
            <w:shd w:val="clear" w:color="auto" w:fill="auto"/>
            <w:noWrap/>
            <w:vAlign w:val="center"/>
            <w:hideMark/>
          </w:tcPr>
          <w:bookmarkEnd w:id="474"/>
          <w:p w14:paraId="2AA6705F" w14:textId="77777777" w:rsidR="00D740DC" w:rsidRPr="000E2377" w:rsidRDefault="00D740DC" w:rsidP="00B11F5F">
            <w:pPr>
              <w:spacing w:after="0" w:line="360" w:lineRule="auto"/>
              <w:rPr>
                <w:rFonts w:eastAsia="Times New Roman" w:cs="Times New Roman"/>
                <w:b w:val="0"/>
                <w:bCs/>
                <w:color w:val="000000"/>
                <w:lang w:eastAsia="en-MY"/>
              </w:rPr>
            </w:pPr>
            <w:r w:rsidRPr="000E2377">
              <w:rPr>
                <w:rFonts w:eastAsia="Times New Roman" w:cs="Times New Roman"/>
                <w:b w:val="0"/>
                <w:bCs/>
                <w:color w:val="000000"/>
                <w:lang w:eastAsia="en-MY"/>
              </w:rPr>
              <w:t xml:space="preserve">Wavenumber </w:t>
            </w:r>
          </w:p>
        </w:tc>
        <w:tc>
          <w:tcPr>
            <w:tcW w:w="1418" w:type="dxa"/>
            <w:tcBorders>
              <w:top w:val="single" w:sz="8" w:space="0" w:color="auto"/>
              <w:left w:val="nil"/>
              <w:bottom w:val="single" w:sz="8" w:space="0" w:color="auto"/>
              <w:right w:val="nil"/>
            </w:tcBorders>
            <w:shd w:val="clear" w:color="auto" w:fill="auto"/>
            <w:noWrap/>
            <w:vAlign w:val="center"/>
            <w:hideMark/>
          </w:tcPr>
          <w:p w14:paraId="4E31C8AC" w14:textId="77777777" w:rsidR="00D740DC" w:rsidRPr="000E2377" w:rsidRDefault="00D740DC" w:rsidP="00B11F5F">
            <w:pPr>
              <w:spacing w:after="0" w:line="360" w:lineRule="auto"/>
              <w:jc w:val="center"/>
              <w:rPr>
                <w:rFonts w:eastAsia="Times New Roman" w:cs="Times New Roman"/>
                <w:b w:val="0"/>
                <w:bCs/>
                <w:color w:val="000000"/>
                <w:lang w:eastAsia="en-MY"/>
              </w:rPr>
            </w:pPr>
            <w:r w:rsidRPr="000E2377">
              <w:rPr>
                <w:rFonts w:eastAsia="Times New Roman" w:cs="Times New Roman"/>
                <w:b w:val="0"/>
                <w:bCs/>
                <w:color w:val="000000"/>
                <w:lang w:eastAsia="en-MY"/>
              </w:rPr>
              <w:t>Assignment</w:t>
            </w:r>
          </w:p>
        </w:tc>
        <w:tc>
          <w:tcPr>
            <w:tcW w:w="2693" w:type="dxa"/>
            <w:tcBorders>
              <w:top w:val="single" w:sz="8" w:space="0" w:color="auto"/>
              <w:left w:val="nil"/>
              <w:bottom w:val="single" w:sz="8" w:space="0" w:color="auto"/>
              <w:right w:val="nil"/>
            </w:tcBorders>
            <w:shd w:val="clear" w:color="auto" w:fill="auto"/>
            <w:noWrap/>
            <w:vAlign w:val="center"/>
            <w:hideMark/>
          </w:tcPr>
          <w:p w14:paraId="66EC585B" w14:textId="77777777" w:rsidR="00D740DC" w:rsidRPr="000E2377" w:rsidRDefault="00D740DC" w:rsidP="00B11F5F">
            <w:pPr>
              <w:spacing w:after="0" w:line="360" w:lineRule="auto"/>
              <w:jc w:val="center"/>
              <w:rPr>
                <w:rFonts w:eastAsia="Times New Roman" w:cs="Times New Roman"/>
                <w:b w:val="0"/>
                <w:bCs/>
                <w:color w:val="000000"/>
                <w:lang w:eastAsia="en-MY"/>
              </w:rPr>
            </w:pPr>
            <w:r w:rsidRPr="000E2377">
              <w:rPr>
                <w:rFonts w:eastAsia="Times New Roman" w:cs="Times New Roman"/>
                <w:b w:val="0"/>
                <w:bCs/>
                <w:color w:val="000000"/>
                <w:lang w:eastAsia="en-MY"/>
              </w:rPr>
              <w:t>Vibration</w:t>
            </w:r>
          </w:p>
        </w:tc>
        <w:tc>
          <w:tcPr>
            <w:tcW w:w="3065" w:type="dxa"/>
            <w:tcBorders>
              <w:top w:val="single" w:sz="8" w:space="0" w:color="auto"/>
              <w:left w:val="nil"/>
              <w:bottom w:val="single" w:sz="8" w:space="0" w:color="auto"/>
              <w:right w:val="nil"/>
            </w:tcBorders>
            <w:shd w:val="clear" w:color="auto" w:fill="auto"/>
            <w:noWrap/>
            <w:vAlign w:val="center"/>
            <w:hideMark/>
          </w:tcPr>
          <w:p w14:paraId="14068E27" w14:textId="77777777" w:rsidR="00D740DC" w:rsidRPr="000E2377" w:rsidRDefault="00D740DC" w:rsidP="00B11F5F">
            <w:pPr>
              <w:spacing w:after="0" w:line="360" w:lineRule="auto"/>
              <w:jc w:val="center"/>
              <w:rPr>
                <w:rFonts w:eastAsia="Times New Roman" w:cs="Times New Roman"/>
                <w:b w:val="0"/>
                <w:bCs/>
                <w:color w:val="000000"/>
                <w:lang w:eastAsia="en-MY"/>
              </w:rPr>
            </w:pPr>
            <w:r w:rsidRPr="000E2377">
              <w:rPr>
                <w:rFonts w:eastAsia="Times New Roman" w:cs="Times New Roman"/>
                <w:b w:val="0"/>
                <w:bCs/>
                <w:color w:val="000000"/>
                <w:lang w:eastAsia="en-MY"/>
              </w:rPr>
              <w:t>Reference</w:t>
            </w:r>
          </w:p>
        </w:tc>
      </w:tr>
      <w:tr w:rsidR="00D740DC" w:rsidRPr="000E2377" w14:paraId="4E212968" w14:textId="77777777" w:rsidTr="00B11F5F">
        <w:trPr>
          <w:trHeight w:val="300"/>
        </w:trPr>
        <w:tc>
          <w:tcPr>
            <w:tcW w:w="1701" w:type="dxa"/>
            <w:tcBorders>
              <w:top w:val="nil"/>
              <w:left w:val="nil"/>
              <w:bottom w:val="nil"/>
              <w:right w:val="nil"/>
            </w:tcBorders>
            <w:shd w:val="clear" w:color="auto" w:fill="auto"/>
            <w:noWrap/>
            <w:vAlign w:val="center"/>
            <w:hideMark/>
          </w:tcPr>
          <w:p w14:paraId="337F889D"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1640</w:t>
            </w:r>
          </w:p>
        </w:tc>
        <w:tc>
          <w:tcPr>
            <w:tcW w:w="4111" w:type="dxa"/>
            <w:gridSpan w:val="2"/>
            <w:tcBorders>
              <w:top w:val="single" w:sz="8" w:space="0" w:color="auto"/>
              <w:left w:val="nil"/>
              <w:bottom w:val="nil"/>
              <w:right w:val="nil"/>
            </w:tcBorders>
            <w:shd w:val="clear" w:color="auto" w:fill="auto"/>
            <w:noWrap/>
            <w:vAlign w:val="center"/>
            <w:hideMark/>
          </w:tcPr>
          <w:p w14:paraId="3EA8C86D"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Molecular water or hydroxyl related band</w:t>
            </w:r>
          </w:p>
        </w:tc>
        <w:tc>
          <w:tcPr>
            <w:tcW w:w="3065" w:type="dxa"/>
            <w:tcBorders>
              <w:top w:val="nil"/>
              <w:left w:val="nil"/>
              <w:bottom w:val="nil"/>
              <w:right w:val="nil"/>
            </w:tcBorders>
            <w:shd w:val="clear" w:color="auto" w:fill="auto"/>
            <w:noWrap/>
            <w:vAlign w:val="center"/>
            <w:hideMark/>
          </w:tcPr>
          <w:p w14:paraId="6C1DCBD2"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noProof/>
                <w:color w:val="000000"/>
                <w:lang w:eastAsia="en-MY"/>
              </w:rPr>
              <w:t>(Wang et al. 2014)</w:t>
            </w:r>
          </w:p>
        </w:tc>
      </w:tr>
      <w:tr w:rsidR="00D740DC" w:rsidRPr="000E2377" w14:paraId="2808919D" w14:textId="77777777" w:rsidTr="00B11F5F">
        <w:trPr>
          <w:trHeight w:val="300"/>
        </w:trPr>
        <w:tc>
          <w:tcPr>
            <w:tcW w:w="1701" w:type="dxa"/>
            <w:tcBorders>
              <w:top w:val="nil"/>
              <w:left w:val="nil"/>
              <w:bottom w:val="nil"/>
              <w:right w:val="nil"/>
            </w:tcBorders>
            <w:shd w:val="clear" w:color="auto" w:fill="D9D9D9" w:themeFill="background1" w:themeFillShade="D9"/>
            <w:noWrap/>
            <w:vAlign w:val="center"/>
            <w:hideMark/>
          </w:tcPr>
          <w:p w14:paraId="693E46D5"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1460-1430</w:t>
            </w:r>
          </w:p>
        </w:tc>
        <w:tc>
          <w:tcPr>
            <w:tcW w:w="1418" w:type="dxa"/>
            <w:tcBorders>
              <w:top w:val="nil"/>
              <w:left w:val="nil"/>
              <w:bottom w:val="nil"/>
              <w:right w:val="nil"/>
            </w:tcBorders>
            <w:shd w:val="clear" w:color="auto" w:fill="D9D9D9" w:themeFill="background1" w:themeFillShade="D9"/>
            <w:noWrap/>
            <w:vAlign w:val="center"/>
            <w:hideMark/>
          </w:tcPr>
          <w:p w14:paraId="1530413C"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B-O</w:t>
            </w:r>
          </w:p>
        </w:tc>
        <w:tc>
          <w:tcPr>
            <w:tcW w:w="2693" w:type="dxa"/>
            <w:tcBorders>
              <w:top w:val="nil"/>
              <w:left w:val="nil"/>
              <w:bottom w:val="nil"/>
              <w:right w:val="nil"/>
            </w:tcBorders>
            <w:shd w:val="clear" w:color="auto" w:fill="D9D9D9" w:themeFill="background1" w:themeFillShade="D9"/>
            <w:noWrap/>
            <w:vAlign w:val="center"/>
            <w:hideMark/>
          </w:tcPr>
          <w:p w14:paraId="774344D4"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 xml:space="preserve">Stretching </w:t>
            </w:r>
          </w:p>
        </w:tc>
        <w:tc>
          <w:tcPr>
            <w:tcW w:w="3065" w:type="dxa"/>
            <w:tcBorders>
              <w:top w:val="nil"/>
              <w:left w:val="nil"/>
              <w:bottom w:val="nil"/>
              <w:right w:val="nil"/>
            </w:tcBorders>
            <w:shd w:val="clear" w:color="auto" w:fill="D9D9D9" w:themeFill="background1" w:themeFillShade="D9"/>
            <w:noWrap/>
            <w:vAlign w:val="center"/>
            <w:hideMark/>
          </w:tcPr>
          <w:p w14:paraId="6AB47565"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noProof/>
                <w:color w:val="000000"/>
                <w:lang w:eastAsia="en-MY"/>
              </w:rPr>
              <w:t>(Bengisu et al. 2006)</w:t>
            </w:r>
          </w:p>
        </w:tc>
      </w:tr>
      <w:tr w:rsidR="00D740DC" w:rsidRPr="000E2377" w14:paraId="3D2C80BA" w14:textId="77777777" w:rsidTr="00B11F5F">
        <w:trPr>
          <w:trHeight w:val="300"/>
        </w:trPr>
        <w:tc>
          <w:tcPr>
            <w:tcW w:w="1701" w:type="dxa"/>
            <w:tcBorders>
              <w:top w:val="nil"/>
              <w:left w:val="nil"/>
              <w:bottom w:val="nil"/>
              <w:right w:val="nil"/>
            </w:tcBorders>
            <w:shd w:val="clear" w:color="auto" w:fill="auto"/>
            <w:noWrap/>
            <w:vAlign w:val="center"/>
            <w:hideMark/>
          </w:tcPr>
          <w:p w14:paraId="6BC6F96B"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1373-1464</w:t>
            </w:r>
          </w:p>
        </w:tc>
        <w:tc>
          <w:tcPr>
            <w:tcW w:w="1418" w:type="dxa"/>
            <w:tcBorders>
              <w:top w:val="nil"/>
              <w:left w:val="nil"/>
              <w:bottom w:val="nil"/>
              <w:right w:val="nil"/>
            </w:tcBorders>
            <w:shd w:val="clear" w:color="auto" w:fill="auto"/>
            <w:noWrap/>
            <w:vAlign w:val="center"/>
            <w:hideMark/>
          </w:tcPr>
          <w:p w14:paraId="4B5B5F5A"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B-O</w:t>
            </w:r>
          </w:p>
        </w:tc>
        <w:tc>
          <w:tcPr>
            <w:tcW w:w="2693" w:type="dxa"/>
            <w:tcBorders>
              <w:top w:val="nil"/>
              <w:left w:val="nil"/>
              <w:bottom w:val="nil"/>
              <w:right w:val="nil"/>
            </w:tcBorders>
            <w:shd w:val="clear" w:color="auto" w:fill="auto"/>
            <w:noWrap/>
            <w:vAlign w:val="center"/>
            <w:hideMark/>
          </w:tcPr>
          <w:p w14:paraId="0B65E5AD"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vibration in BO</w:t>
            </w:r>
            <w:r w:rsidRPr="000E2377">
              <w:rPr>
                <w:rFonts w:eastAsia="Times New Roman" w:cs="Times New Roman"/>
                <w:b w:val="0"/>
                <w:color w:val="000000"/>
                <w:vertAlign w:val="subscript"/>
                <w:lang w:eastAsia="en-MY"/>
              </w:rPr>
              <w:t>3</w:t>
            </w:r>
          </w:p>
        </w:tc>
        <w:tc>
          <w:tcPr>
            <w:tcW w:w="3065" w:type="dxa"/>
            <w:tcBorders>
              <w:top w:val="nil"/>
              <w:left w:val="nil"/>
              <w:bottom w:val="nil"/>
              <w:right w:val="nil"/>
            </w:tcBorders>
            <w:shd w:val="clear" w:color="auto" w:fill="auto"/>
            <w:noWrap/>
            <w:vAlign w:val="center"/>
            <w:hideMark/>
          </w:tcPr>
          <w:p w14:paraId="5F28D97D"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noProof/>
                <w:color w:val="000000"/>
                <w:lang w:eastAsia="en-MY"/>
              </w:rPr>
              <w:t>(Bengisu et al. 2006)</w:t>
            </w:r>
          </w:p>
        </w:tc>
      </w:tr>
      <w:tr w:rsidR="00D740DC" w:rsidRPr="000E2377" w14:paraId="5B1E2414" w14:textId="77777777" w:rsidTr="00B11F5F">
        <w:trPr>
          <w:trHeight w:val="300"/>
        </w:trPr>
        <w:tc>
          <w:tcPr>
            <w:tcW w:w="1701" w:type="dxa"/>
            <w:tcBorders>
              <w:top w:val="nil"/>
              <w:left w:val="nil"/>
              <w:bottom w:val="nil"/>
              <w:right w:val="nil"/>
            </w:tcBorders>
            <w:shd w:val="clear" w:color="auto" w:fill="D9D9D9" w:themeFill="background1" w:themeFillShade="D9"/>
            <w:noWrap/>
            <w:vAlign w:val="center"/>
            <w:hideMark/>
          </w:tcPr>
          <w:p w14:paraId="6F53441F"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1394</w:t>
            </w:r>
          </w:p>
        </w:tc>
        <w:tc>
          <w:tcPr>
            <w:tcW w:w="1418" w:type="dxa"/>
            <w:tcBorders>
              <w:top w:val="nil"/>
              <w:left w:val="nil"/>
              <w:bottom w:val="nil"/>
              <w:right w:val="nil"/>
            </w:tcBorders>
            <w:shd w:val="clear" w:color="auto" w:fill="D9D9D9" w:themeFill="background1" w:themeFillShade="D9"/>
            <w:noWrap/>
            <w:vAlign w:val="center"/>
            <w:hideMark/>
          </w:tcPr>
          <w:p w14:paraId="68695052"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B-O-B</w:t>
            </w:r>
          </w:p>
        </w:tc>
        <w:tc>
          <w:tcPr>
            <w:tcW w:w="2693" w:type="dxa"/>
            <w:tcBorders>
              <w:top w:val="nil"/>
              <w:left w:val="nil"/>
              <w:bottom w:val="nil"/>
              <w:right w:val="nil"/>
            </w:tcBorders>
            <w:shd w:val="clear" w:color="auto" w:fill="D9D9D9" w:themeFill="background1" w:themeFillShade="D9"/>
            <w:noWrap/>
            <w:vAlign w:val="center"/>
            <w:hideMark/>
          </w:tcPr>
          <w:p w14:paraId="2B3B4BC2"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Stretching</w:t>
            </w:r>
          </w:p>
        </w:tc>
        <w:tc>
          <w:tcPr>
            <w:tcW w:w="3065" w:type="dxa"/>
            <w:tcBorders>
              <w:top w:val="nil"/>
              <w:left w:val="nil"/>
              <w:bottom w:val="nil"/>
              <w:right w:val="nil"/>
            </w:tcBorders>
            <w:shd w:val="clear" w:color="auto" w:fill="D9D9D9" w:themeFill="background1" w:themeFillShade="D9"/>
            <w:noWrap/>
            <w:vAlign w:val="bottom"/>
            <w:hideMark/>
          </w:tcPr>
          <w:p w14:paraId="1CD60F85"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"author" : [ { "dropping-particle" : "", "family" : "Wang", "given" : "Donsheng S.", "non-dropping-particle" : "", "parse-names" : false, "suffix" : "" }, { "dropping-particle" : "", "family" : "Pantano", "given" : "Carlo G", "non-dropping-particle" : "", "parse-names" : false, "suffix" : "" } ], "container-title" : "Journal of Non-Crystalline Solids", "id" : "ITEM-1", "issued" : { "date-parts" : [ [ "1992" ] ] }, "page" : "225-233", "title" : "Structural characterization of C a O - B 2 0 3 - A 1 2 0 3 - S i O 2 xerogels and glasses", "type" : "article-journal", "volume" : "142" }, "uris" : [ "http://www.mendeley.com/documents/?uuid=66d0cb81-85f0-4934-a121-1e580f9788f8" ] } ], "mendeley" : { "formattedCitation" : "(D. S. Wang &amp; Pantano, 1992)", "manualFormatting" : "(Wang &amp; Pantano, 1992)", "plainTextFormattedCitation" : "(D. S. Wang &amp; Pantano, 1992)", "previouslyFormattedCitation" : "(D. S. Wang &amp; Pantano, 1992)" }, "properties" : { "noteIndex" : 24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(Wang &amp; Pantano, 1992)</w:t>
            </w:r>
            <w:r w:rsidRPr="000E2377">
              <w:rPr>
                <w:rFonts w:eastAsia="Times New Roman" w:cs="Times New Roman"/>
                <w:b w:val="0"/>
                <w:color w:val="000000"/>
                <w:lang w:eastAsia="en-MY"/>
              </w:rPr>
              <w:fldChar w:fldCharType="end"/>
            </w:r>
          </w:p>
        </w:tc>
      </w:tr>
      <w:tr w:rsidR="00D740DC" w:rsidRPr="000E2377" w14:paraId="2DF199DB" w14:textId="77777777" w:rsidTr="00B11F5F">
        <w:trPr>
          <w:trHeight w:val="300"/>
        </w:trPr>
        <w:tc>
          <w:tcPr>
            <w:tcW w:w="1701" w:type="dxa"/>
            <w:tcBorders>
              <w:top w:val="nil"/>
              <w:left w:val="nil"/>
              <w:bottom w:val="nil"/>
              <w:right w:val="nil"/>
            </w:tcBorders>
            <w:shd w:val="clear" w:color="auto" w:fill="auto"/>
            <w:noWrap/>
            <w:vAlign w:val="center"/>
            <w:hideMark/>
          </w:tcPr>
          <w:p w14:paraId="2E5AE709"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1225-1311</w:t>
            </w:r>
          </w:p>
        </w:tc>
        <w:tc>
          <w:tcPr>
            <w:tcW w:w="1418" w:type="dxa"/>
            <w:tcBorders>
              <w:top w:val="nil"/>
              <w:left w:val="nil"/>
              <w:bottom w:val="nil"/>
              <w:right w:val="nil"/>
            </w:tcBorders>
            <w:shd w:val="clear" w:color="auto" w:fill="auto"/>
            <w:noWrap/>
            <w:vAlign w:val="center"/>
            <w:hideMark/>
          </w:tcPr>
          <w:p w14:paraId="705E20F4"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B-O</w:t>
            </w:r>
          </w:p>
        </w:tc>
        <w:tc>
          <w:tcPr>
            <w:tcW w:w="2693" w:type="dxa"/>
            <w:tcBorders>
              <w:top w:val="nil"/>
              <w:left w:val="nil"/>
              <w:bottom w:val="nil"/>
              <w:right w:val="nil"/>
            </w:tcBorders>
            <w:shd w:val="clear" w:color="auto" w:fill="auto"/>
            <w:noWrap/>
            <w:vAlign w:val="center"/>
            <w:hideMark/>
          </w:tcPr>
          <w:p w14:paraId="662324ED"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vibration in BO</w:t>
            </w:r>
            <w:r w:rsidRPr="000E2377">
              <w:rPr>
                <w:rFonts w:eastAsia="Times New Roman" w:cs="Times New Roman"/>
                <w:b w:val="0"/>
                <w:color w:val="000000"/>
                <w:vertAlign w:val="subscript"/>
                <w:lang w:eastAsia="en-MY"/>
              </w:rPr>
              <w:t>3</w:t>
            </w:r>
          </w:p>
        </w:tc>
        <w:tc>
          <w:tcPr>
            <w:tcW w:w="3065" w:type="dxa"/>
            <w:tcBorders>
              <w:top w:val="nil"/>
              <w:left w:val="nil"/>
              <w:bottom w:val="nil"/>
              <w:right w:val="nil"/>
            </w:tcBorders>
            <w:shd w:val="clear" w:color="auto" w:fill="auto"/>
            <w:noWrap/>
            <w:vAlign w:val="bottom"/>
            <w:hideMark/>
          </w:tcPr>
          <w:p w14:paraId="6D4C94B3"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"DOI" : "10.1016/S0022-3093(01)00704-9", "ISSN" : "00223093", "abstract" : "Properties and structures of potassium, barium and magnesium alumino-metaphosphate glasses (O/P\u22483) have been investigated. Adding Al(PO3)3 to an alkali or alkaline earth metaphosphate glass improves the chemical durability, increases the glass transition temperature and reduces thermal expansion and residual OH-content. Infrared spectra are dominated by metaphosphate vibrational modes, the frequencies of which are dependent on the field strengths of the modifying cations. MAS NMR spectroscopy indicates that aluminum ions are incorporated into the aluminophosphate network primarily in octahedral sites, although tetrahedral and pentahedral sites are also present. The average aluminum co-ordination number decreases in the series K+&gt;Ba2+&gt;Mg2+ and this is related to a reduction in the basicity of glasses with higher field strength modifiers.", "author" : [ { "dropping-particle" : "", "family" : "Metwalli", "given" : "E", "non-dropping-particle" : "", "parse-names" : false, "suffix" : "" }, { "dropping-particle" : "", "family" : "Brow", "given" : "R. K.", "non-dropping-particle" : "", "parse-names" : false, "suffix" : "" } ], "container-title" : "Journal of Non-Crystalline Solids", "id" : "ITEM-1", "issued" : { "date-parts" : [ [ "2001" ] ] }, "page" : "113-122", "title" : "Modifier effects on the properties and structures of aluminophosphate glasses", "type" : "article-journal", "volume" : "289" }, "uris" : [ "http://www.mendeley.com/documents/?uuid=7d6e3782-b7ec-45a9-ab17-7683b6f1d3f2" ] } ], "mendeley" : { "formattedCitation" : "(Metwalli &amp; Brow, 2001)", "plainTextFormattedCitation" : "(Metwalli &amp; Brow, 2001)", "previouslyFormattedCitation" : "(Metwalli &amp; Brow, 2001)" }, "properties" : { "noteIndex" : 24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(Metwalli &amp; Brow, 2001)</w:t>
            </w:r>
            <w:r w:rsidRPr="000E2377">
              <w:rPr>
                <w:rFonts w:eastAsia="Times New Roman" w:cs="Times New Roman"/>
                <w:b w:val="0"/>
                <w:color w:val="000000"/>
                <w:lang w:eastAsia="en-MY"/>
              </w:rPr>
              <w:fldChar w:fldCharType="end"/>
            </w:r>
          </w:p>
        </w:tc>
      </w:tr>
      <w:tr w:rsidR="00D740DC" w:rsidRPr="000E2377" w14:paraId="51DF952F" w14:textId="77777777" w:rsidTr="00B11F5F">
        <w:trPr>
          <w:trHeight w:val="300"/>
        </w:trPr>
        <w:tc>
          <w:tcPr>
            <w:tcW w:w="1701" w:type="dxa"/>
            <w:tcBorders>
              <w:top w:val="nil"/>
              <w:left w:val="nil"/>
              <w:bottom w:val="nil"/>
              <w:right w:val="nil"/>
            </w:tcBorders>
            <w:shd w:val="clear" w:color="auto" w:fill="D9D9D9" w:themeFill="background1" w:themeFillShade="D9"/>
            <w:noWrap/>
            <w:vAlign w:val="center"/>
            <w:hideMark/>
          </w:tcPr>
          <w:p w14:paraId="28A81FBB"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1210-1270</w:t>
            </w:r>
          </w:p>
        </w:tc>
        <w:tc>
          <w:tcPr>
            <w:tcW w:w="4111" w:type="dxa"/>
            <w:gridSpan w:val="2"/>
            <w:tcBorders>
              <w:top w:val="nil"/>
              <w:left w:val="nil"/>
              <w:bottom w:val="nil"/>
              <w:right w:val="nil"/>
            </w:tcBorders>
            <w:shd w:val="clear" w:color="auto" w:fill="D9D9D9" w:themeFill="background1" w:themeFillShade="D9"/>
            <w:noWrap/>
            <w:vAlign w:val="center"/>
            <w:hideMark/>
          </w:tcPr>
          <w:p w14:paraId="54D6131D"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Oxygens bridging trigonal boron</w:t>
            </w:r>
          </w:p>
        </w:tc>
        <w:tc>
          <w:tcPr>
            <w:tcW w:w="3065" w:type="dxa"/>
            <w:tcBorders>
              <w:top w:val="nil"/>
              <w:left w:val="nil"/>
              <w:bottom w:val="nil"/>
              <w:right w:val="nil"/>
            </w:tcBorders>
            <w:shd w:val="clear" w:color="auto" w:fill="D9D9D9" w:themeFill="background1" w:themeFillShade="D9"/>
            <w:noWrap/>
            <w:vAlign w:val="center"/>
            <w:hideMark/>
          </w:tcPr>
          <w:p w14:paraId="33A812A2"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noProof/>
                <w:color w:val="000000"/>
                <w:lang w:eastAsia="en-MY"/>
              </w:rPr>
              <w:t>(Bengisu et al. 2006)</w:t>
            </w:r>
          </w:p>
        </w:tc>
      </w:tr>
      <w:tr w:rsidR="00D740DC" w:rsidRPr="000E2377" w14:paraId="3572D4AA" w14:textId="77777777" w:rsidTr="00B11F5F">
        <w:trPr>
          <w:trHeight w:val="300"/>
        </w:trPr>
        <w:tc>
          <w:tcPr>
            <w:tcW w:w="1701" w:type="dxa"/>
            <w:tcBorders>
              <w:top w:val="nil"/>
              <w:left w:val="nil"/>
              <w:bottom w:val="nil"/>
              <w:right w:val="nil"/>
            </w:tcBorders>
            <w:shd w:val="clear" w:color="auto" w:fill="auto"/>
            <w:noWrap/>
            <w:vAlign w:val="center"/>
            <w:hideMark/>
          </w:tcPr>
          <w:p w14:paraId="096B1F18"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1050-1120</w:t>
            </w:r>
          </w:p>
        </w:tc>
        <w:tc>
          <w:tcPr>
            <w:tcW w:w="1418" w:type="dxa"/>
            <w:tcBorders>
              <w:top w:val="nil"/>
              <w:left w:val="nil"/>
              <w:bottom w:val="nil"/>
              <w:right w:val="nil"/>
            </w:tcBorders>
            <w:shd w:val="clear" w:color="auto" w:fill="auto"/>
            <w:noWrap/>
            <w:vAlign w:val="center"/>
            <w:hideMark/>
          </w:tcPr>
          <w:p w14:paraId="6D948839"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Si-O-Si</w:t>
            </w:r>
          </w:p>
        </w:tc>
        <w:tc>
          <w:tcPr>
            <w:tcW w:w="2693" w:type="dxa"/>
            <w:tcBorders>
              <w:top w:val="nil"/>
              <w:left w:val="nil"/>
              <w:bottom w:val="nil"/>
              <w:right w:val="nil"/>
            </w:tcBorders>
            <w:shd w:val="clear" w:color="auto" w:fill="auto"/>
            <w:noWrap/>
            <w:vAlign w:val="center"/>
            <w:hideMark/>
          </w:tcPr>
          <w:p w14:paraId="763AEEDC"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Antisymmetric stretching</w:t>
            </w:r>
          </w:p>
        </w:tc>
        <w:tc>
          <w:tcPr>
            <w:tcW w:w="3065" w:type="dxa"/>
            <w:tcBorders>
              <w:top w:val="nil"/>
              <w:left w:val="nil"/>
              <w:bottom w:val="nil"/>
              <w:right w:val="nil"/>
            </w:tcBorders>
            <w:shd w:val="clear" w:color="auto" w:fill="auto"/>
            <w:noWrap/>
            <w:vAlign w:val="bottom"/>
            <w:hideMark/>
          </w:tcPr>
          <w:p w14:paraId="4DEA6D60"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"DOI" : "10.1016/j.molstruc.2014.06.011", "ISBN" : "1221133152", "ISSN" : "00222860", "author" : [ { "dropping-particle" : "", "family" : "Abdelghany", "given" : "A.M.", "non-dropping-particle" : "", "parse-names" : false, "suffix" : "" }, { "dropping-particle" : "", "family" : "ElBatal", "given" : "F.H.", "non-dropping-particle" : "", "parse-names" : false, "suffix" : "" }, { "dropping-particle" : "", "family" : "ElBatal", "given" : "H.A.", "non-dropping-particle" : "", "parse-names" : false, "suffix" : "" }, { "dropping-particle" : "", "family" : "EzzElDin", "given" : "F.M.", "non-dropping-particle" : "", "parse-names" : false, "suffix" : "" } ], "container-title" : "Journal of Molecular Structure", "id" : "ITEM-1", "issued" : { "date-parts" : [ [ "2014", "9" ] ] }, "note" : "Read", "page" : "503-510", "publisher" : "Elsevier B.V.", "title" : "Optical and FTIR structural studies of CoO-doped sodium borate, sodium silicate and sodium phosphate glasses and effects of gamma irradiation-a comparative study", "type" : "article-journal", "volume" : "1074" }, "uris" : [ "http://www.mendeley.com/documents/?uuid=3a585b16-1227-4447-bddc-e680b2472cd4" ] } ], "mendeley" : { "formattedCitation" : "(Abdelghany, ElBatal, ElBatal, &amp; EzzElDin, 2014)", "manualFormatting" : "(Abdelghany et al., 2014)", "plainTextFormattedCitation" : "(Abdelghany, ElBatal, ElBatal, &amp; EzzElDin, 2014)", "previouslyFormattedCitation" : "(Abdelghany, ElBatal, ElBatal, &amp; EzzElDin, 2014)"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(Abdelghany et al., 2014)</w:t>
            </w:r>
            <w:r w:rsidRPr="000E2377">
              <w:rPr>
                <w:rFonts w:eastAsia="Times New Roman" w:cs="Times New Roman"/>
                <w:b w:val="0"/>
                <w:color w:val="000000"/>
                <w:lang w:eastAsia="en-MY"/>
              </w:rPr>
              <w:fldChar w:fldCharType="end"/>
            </w:r>
          </w:p>
        </w:tc>
      </w:tr>
      <w:tr w:rsidR="00D740DC" w:rsidRPr="000E2377" w14:paraId="71688ABB" w14:textId="77777777" w:rsidTr="00B11F5F">
        <w:trPr>
          <w:trHeight w:val="300"/>
        </w:trPr>
        <w:tc>
          <w:tcPr>
            <w:tcW w:w="1701" w:type="dxa"/>
            <w:tcBorders>
              <w:top w:val="nil"/>
              <w:left w:val="nil"/>
              <w:bottom w:val="nil"/>
              <w:right w:val="nil"/>
            </w:tcBorders>
            <w:shd w:val="clear" w:color="auto" w:fill="D9D9D9" w:themeFill="background1" w:themeFillShade="D9"/>
            <w:noWrap/>
            <w:vAlign w:val="center"/>
            <w:hideMark/>
          </w:tcPr>
          <w:p w14:paraId="115560F7"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1000-1100</w:t>
            </w:r>
          </w:p>
        </w:tc>
        <w:tc>
          <w:tcPr>
            <w:tcW w:w="1418" w:type="dxa"/>
            <w:tcBorders>
              <w:top w:val="nil"/>
              <w:left w:val="nil"/>
              <w:bottom w:val="nil"/>
              <w:right w:val="nil"/>
            </w:tcBorders>
            <w:shd w:val="clear" w:color="auto" w:fill="D9D9D9" w:themeFill="background1" w:themeFillShade="D9"/>
            <w:noWrap/>
            <w:vAlign w:val="center"/>
            <w:hideMark/>
          </w:tcPr>
          <w:p w14:paraId="1375AA17"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B-O</w:t>
            </w:r>
          </w:p>
        </w:tc>
        <w:tc>
          <w:tcPr>
            <w:tcW w:w="2693" w:type="dxa"/>
            <w:tcBorders>
              <w:top w:val="nil"/>
              <w:left w:val="nil"/>
              <w:bottom w:val="nil"/>
              <w:right w:val="nil"/>
            </w:tcBorders>
            <w:shd w:val="clear" w:color="auto" w:fill="D9D9D9" w:themeFill="background1" w:themeFillShade="D9"/>
            <w:noWrap/>
            <w:vAlign w:val="center"/>
            <w:hideMark/>
          </w:tcPr>
          <w:p w14:paraId="240AFD56"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Stretching</w:t>
            </w:r>
          </w:p>
        </w:tc>
        <w:tc>
          <w:tcPr>
            <w:tcW w:w="3065" w:type="dxa"/>
            <w:tcBorders>
              <w:top w:val="nil"/>
              <w:left w:val="nil"/>
              <w:bottom w:val="nil"/>
              <w:right w:val="nil"/>
            </w:tcBorders>
            <w:shd w:val="clear" w:color="auto" w:fill="D9D9D9" w:themeFill="background1" w:themeFillShade="D9"/>
            <w:noWrap/>
            <w:vAlign w:val="bottom"/>
            <w:hideMark/>
          </w:tcPr>
          <w:p w14:paraId="54A5A2EF"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"DOI" : "10.1016/j.jnoncrysol.2006.02.118", "ISSN" : "00223093", "author" : [ { "dropping-particle" : "", "family" : "Bengisu", "given" : "M.", "non-dropping-particle" : "", "parse-names" : false, "suffix" : "" }, { "dropping-particle" : "", "family" : "Brow", "given" : "R.K.", "non-dropping-particle" : "", "parse-names" : false, "suffix" : "" }, { "dropping-particle" : "", "family" : "Yilmaz", "given" : "E.", "non-dropping-particle" : "", "parse-names" : false, "suffix" : "" }, { "dropping-particle" : "", "family" : "Mogu\u0161-Milankovi\u0107", "given" : "a.", "non-dropping-particle" : "", "parse-names" : false, "suffix" : "" }, { "dropping-particle" : "", "family" : "Reis", "given" : "S.T.", "non-dropping-particle" : "", "parse-names" : false, "suffix" : "" } ], "container-title" : "Journal of Non-Crystalline Solids", "id" : "ITEM-1", "issue" : "32-35", "issued" : { "date-parts" : [ [ "2006", "9" ] ] }, "page" : "3668-3676", "title" : "Aluminoborate and aluminoborosilicate glasses with high chemical durability and the effect of P2O5 additions on the properties", "type" : "article-journal", "volume" : "352" }, "uris" : [ "http://www.mendeley.com/documents/?uuid=aa486e55-9227-4481-83ee-f315b86c0d07" ] } ], "mendeley" : { "formattedCitation" : "(Bengisu, Brow, Yilmaz, Mogu\u0161-Milankovi\u0107, &amp; Reis, 2006)", "manualFormatting" : "(Bengisu et al., 2006)", "plainTextFormattedCitation" : "(Bengisu, Brow, Yilmaz, Mogu\u0161-Milankovi\u0107, &amp; Reis, 2006)", "previouslyFormattedCitation" : "(Bengisu, Brow, Yilmaz, Mogu\u0161-Milankovi\u0107, &amp; Reis, 2006)"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(Bengisu et al., 2006)</w:t>
            </w:r>
            <w:r w:rsidRPr="000E2377">
              <w:rPr>
                <w:rFonts w:eastAsia="Times New Roman" w:cs="Times New Roman"/>
                <w:b w:val="0"/>
                <w:color w:val="000000"/>
                <w:lang w:eastAsia="en-MY"/>
              </w:rPr>
              <w:fldChar w:fldCharType="end"/>
            </w:r>
          </w:p>
        </w:tc>
      </w:tr>
      <w:tr w:rsidR="00D740DC" w:rsidRPr="000E2377" w14:paraId="5DBF1A03" w14:textId="77777777" w:rsidTr="00B11F5F">
        <w:trPr>
          <w:trHeight w:val="300"/>
        </w:trPr>
        <w:tc>
          <w:tcPr>
            <w:tcW w:w="1701" w:type="dxa"/>
            <w:tcBorders>
              <w:top w:val="nil"/>
              <w:left w:val="nil"/>
              <w:bottom w:val="nil"/>
              <w:right w:val="nil"/>
            </w:tcBorders>
            <w:shd w:val="clear" w:color="auto" w:fill="auto"/>
            <w:noWrap/>
            <w:vAlign w:val="center"/>
            <w:hideMark/>
          </w:tcPr>
          <w:p w14:paraId="529F14F4"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1050-1098</w:t>
            </w:r>
          </w:p>
        </w:tc>
        <w:tc>
          <w:tcPr>
            <w:tcW w:w="1418" w:type="dxa"/>
            <w:tcBorders>
              <w:top w:val="nil"/>
              <w:left w:val="nil"/>
              <w:bottom w:val="nil"/>
              <w:right w:val="nil"/>
            </w:tcBorders>
            <w:shd w:val="clear" w:color="auto" w:fill="auto"/>
            <w:noWrap/>
            <w:vAlign w:val="center"/>
            <w:hideMark/>
          </w:tcPr>
          <w:p w14:paraId="3BF3B992"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Si-O-Si</w:t>
            </w:r>
          </w:p>
        </w:tc>
        <w:tc>
          <w:tcPr>
            <w:tcW w:w="2693" w:type="dxa"/>
            <w:tcBorders>
              <w:top w:val="nil"/>
              <w:left w:val="nil"/>
              <w:bottom w:val="nil"/>
              <w:right w:val="nil"/>
            </w:tcBorders>
            <w:shd w:val="clear" w:color="auto" w:fill="auto"/>
            <w:noWrap/>
            <w:vAlign w:val="center"/>
            <w:hideMark/>
          </w:tcPr>
          <w:p w14:paraId="1022E338"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Asymmetric vibration</w:t>
            </w:r>
          </w:p>
        </w:tc>
        <w:tc>
          <w:tcPr>
            <w:tcW w:w="3065" w:type="dxa"/>
            <w:tcBorders>
              <w:top w:val="nil"/>
              <w:left w:val="nil"/>
              <w:bottom w:val="nil"/>
              <w:right w:val="nil"/>
            </w:tcBorders>
            <w:shd w:val="clear" w:color="auto" w:fill="auto"/>
            <w:noWrap/>
            <w:vAlign w:val="bottom"/>
            <w:hideMark/>
          </w:tcPr>
          <w:p w14:paraId="25739245"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"DOI" : "10.1016/j.jnoncrysol.2006.02.118", "ISSN" : "00223093", "author" : [ { "dropping-particle" : "", "family" : "Bengisu", "given" : "M.", "non-dropping-particle" : "", "parse-names" : false, "suffix" : "" }, { "dropping-particle" : "", "family" : "Brow", "given" : "R.K.", "non-dropping-particle" : "", "parse-names" : false, "suffix" : "" }, { "dropping-particle" : "", "family" : "Yilmaz", "given" : "E.", "non-dropping-particle" : "", "parse-names" : false, "suffix" : "" }, { "dropping-particle" : "", "family" : "Mogu\u0161-Milankovi\u0107", "given" : "a.", "non-dropping-particle" : "", "parse-names" : false, "suffix" : "" }, { "dropping-particle" : "", "family" : "Reis", "given" : "S.T.", "non-dropping-particle" : "", "parse-names" : false, "suffix" : "" } ], "container-title" : "Journal of Non-Crystalline Solids", "id" : "ITEM-1", "issue" : "32-35", "issued" : { "date-parts" : [ [ "2006", "9" ] ] }, "page" : "3668-3676", "title" : "Aluminoborate and aluminoborosilicate glasses with high chemical durability and the effect of P2O5 additions on the properties", "type" : "article-journal", "volume" : "352" }, "uris" : [ "http://www.mendeley.com/documents/?uuid=aa486e55-9227-4481-83ee-f315b86c0d07" ] } ], "mendeley" : { "formattedCitation" : "(Bengisu et al., 2006)", "plainTextFormattedCitation" : "(Bengisu et al., 2006)", "previouslyFormattedCitation" : "(Bengisu et al., 2006)"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(Bengisu et al., 2006)</w:t>
            </w:r>
            <w:r w:rsidRPr="000E2377">
              <w:rPr>
                <w:rFonts w:eastAsia="Times New Roman" w:cs="Times New Roman"/>
                <w:b w:val="0"/>
                <w:color w:val="000000"/>
                <w:lang w:eastAsia="en-MY"/>
              </w:rPr>
              <w:fldChar w:fldCharType="end"/>
            </w:r>
          </w:p>
        </w:tc>
      </w:tr>
      <w:tr w:rsidR="00D740DC" w:rsidRPr="000E2377" w14:paraId="60FE01BA" w14:textId="77777777" w:rsidTr="00B11F5F">
        <w:trPr>
          <w:trHeight w:val="300"/>
        </w:trPr>
        <w:tc>
          <w:tcPr>
            <w:tcW w:w="1701" w:type="dxa"/>
            <w:tcBorders>
              <w:top w:val="nil"/>
              <w:left w:val="nil"/>
              <w:bottom w:val="nil"/>
              <w:right w:val="nil"/>
            </w:tcBorders>
            <w:shd w:val="clear" w:color="auto" w:fill="D9D9D9" w:themeFill="background1" w:themeFillShade="D9"/>
            <w:noWrap/>
            <w:vAlign w:val="center"/>
            <w:hideMark/>
          </w:tcPr>
          <w:p w14:paraId="0755C0BB"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1050</w:t>
            </w:r>
          </w:p>
        </w:tc>
        <w:tc>
          <w:tcPr>
            <w:tcW w:w="1418" w:type="dxa"/>
            <w:tcBorders>
              <w:top w:val="nil"/>
              <w:left w:val="nil"/>
              <w:bottom w:val="nil"/>
              <w:right w:val="nil"/>
            </w:tcBorders>
            <w:shd w:val="clear" w:color="auto" w:fill="D9D9D9" w:themeFill="background1" w:themeFillShade="D9"/>
            <w:noWrap/>
            <w:vAlign w:val="center"/>
            <w:hideMark/>
          </w:tcPr>
          <w:p w14:paraId="7FCF7F06"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Si-O-Si</w:t>
            </w:r>
          </w:p>
        </w:tc>
        <w:tc>
          <w:tcPr>
            <w:tcW w:w="2693" w:type="dxa"/>
            <w:tcBorders>
              <w:top w:val="nil"/>
              <w:left w:val="nil"/>
              <w:bottom w:val="nil"/>
              <w:right w:val="nil"/>
            </w:tcBorders>
            <w:shd w:val="clear" w:color="auto" w:fill="D9D9D9" w:themeFill="background1" w:themeFillShade="D9"/>
            <w:noWrap/>
            <w:vAlign w:val="center"/>
            <w:hideMark/>
          </w:tcPr>
          <w:p w14:paraId="5649191E"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Asymmetric stretching</w:t>
            </w:r>
          </w:p>
        </w:tc>
        <w:tc>
          <w:tcPr>
            <w:tcW w:w="3065" w:type="dxa"/>
            <w:tcBorders>
              <w:top w:val="nil"/>
              <w:left w:val="nil"/>
              <w:bottom w:val="nil"/>
              <w:right w:val="nil"/>
            </w:tcBorders>
            <w:shd w:val="clear" w:color="auto" w:fill="D9D9D9" w:themeFill="background1" w:themeFillShade="D9"/>
            <w:noWrap/>
            <w:vAlign w:val="bottom"/>
            <w:hideMark/>
          </w:tcPr>
          <w:p w14:paraId="4D556B30"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Pr>
                <w:rFonts w:eastAsia="Times New Roman" w:cs="Times New Roman"/>
                <w:b w:val="0"/>
                <w:color w:val="000000"/>
                <w:lang w:eastAsia="en-MY"/>
              </w:rPr>
              <w:instrText>ADDIN CSL_CITATION { "citationItems" : [ { "id" : "ITEM-1", "itemData" : { "DOI" : "10.1016/j.molstruc.2014.01.062", "ISSN" : "00222860", "author" : [ { "dropping-particle" : "", "family" : "Wang", "given" : "Mitang", "non-dropping-particle" : "", "parse-names" : false, "suffix" : "" }, { "dropping-particle" : "", "family" : "Li", "given" : "Mei", "non-dropping-particle" : "", "parse-names" : false, "suffix" : "" }, { "dropping-particle" : "", "family" : "Cheng", "given" : "Jinshu", "non-dropping-particle" : "", "parse-names" : false, "suffix" : "" }, { "dropping-particle" : "", "family" : "He", "given" : "Feng", "non-dropping-particle" : "", "parse-names" : false, "suffix" : "" } ], "container-title" : "Journal of Molecular Structure", "id" : "ITEM-1", "issued" : { "date-parts" : [ [ "2014", "4" ] ] }, "page" : "139-144", "publisher" : "Elsevier B.V.", "title" : "Structure and viscosity of soda lime silicate glasses with varying Gd2O3 content", "type" : "article-journal", "volume" : "1063" }, "uris" : [ "http://www.mendeley.com/documents/?uuid=6018699b-2fbe-485e-a176-20b2004988c0" ] } ], "mendeley" : { "formattedCitation" : "(M. Wang, Li, Cheng, &amp; He, 2014)", "manualFormatting" : "(Wang et al., 2014)", "plainTextFormattedCitation" : "(M. Wang, Li, Cheng, &amp; He, 2014)", "previouslyFormattedCitation" : "(M. Wang, Li, Cheng, &amp; He, 2014)"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(Wang et al., 2014)</w:t>
            </w:r>
            <w:r w:rsidRPr="000E2377">
              <w:rPr>
                <w:rFonts w:eastAsia="Times New Roman" w:cs="Times New Roman"/>
                <w:b w:val="0"/>
                <w:color w:val="000000"/>
                <w:lang w:eastAsia="en-MY"/>
              </w:rPr>
              <w:fldChar w:fldCharType="end"/>
            </w:r>
          </w:p>
        </w:tc>
      </w:tr>
      <w:tr w:rsidR="00D740DC" w:rsidRPr="000E2377" w14:paraId="68C6AA52" w14:textId="77777777" w:rsidTr="00B11F5F">
        <w:trPr>
          <w:trHeight w:val="300"/>
        </w:trPr>
        <w:tc>
          <w:tcPr>
            <w:tcW w:w="1701" w:type="dxa"/>
            <w:tcBorders>
              <w:top w:val="nil"/>
              <w:left w:val="nil"/>
              <w:bottom w:val="nil"/>
              <w:right w:val="nil"/>
            </w:tcBorders>
            <w:shd w:val="clear" w:color="auto" w:fill="auto"/>
            <w:noWrap/>
            <w:vAlign w:val="center"/>
            <w:hideMark/>
          </w:tcPr>
          <w:p w14:paraId="0B952EFD"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1000-1300</w:t>
            </w:r>
          </w:p>
        </w:tc>
        <w:tc>
          <w:tcPr>
            <w:tcW w:w="1418" w:type="dxa"/>
            <w:tcBorders>
              <w:top w:val="nil"/>
              <w:left w:val="nil"/>
              <w:bottom w:val="nil"/>
              <w:right w:val="nil"/>
            </w:tcBorders>
            <w:shd w:val="clear" w:color="auto" w:fill="auto"/>
            <w:noWrap/>
            <w:vAlign w:val="center"/>
            <w:hideMark/>
          </w:tcPr>
          <w:p w14:paraId="75386165"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Si-O</w:t>
            </w:r>
          </w:p>
        </w:tc>
        <w:tc>
          <w:tcPr>
            <w:tcW w:w="2693" w:type="dxa"/>
            <w:tcBorders>
              <w:top w:val="nil"/>
              <w:left w:val="nil"/>
              <w:bottom w:val="nil"/>
              <w:right w:val="nil"/>
            </w:tcBorders>
            <w:shd w:val="clear" w:color="auto" w:fill="auto"/>
            <w:noWrap/>
            <w:vAlign w:val="center"/>
            <w:hideMark/>
          </w:tcPr>
          <w:p w14:paraId="0EFD5675"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Asymmetric stretching</w:t>
            </w:r>
          </w:p>
        </w:tc>
        <w:tc>
          <w:tcPr>
            <w:tcW w:w="3065" w:type="dxa"/>
            <w:tcBorders>
              <w:top w:val="nil"/>
              <w:left w:val="nil"/>
              <w:bottom w:val="nil"/>
              <w:right w:val="nil"/>
            </w:tcBorders>
            <w:shd w:val="clear" w:color="auto" w:fill="auto"/>
            <w:noWrap/>
            <w:vAlign w:val="bottom"/>
            <w:hideMark/>
          </w:tcPr>
          <w:p w14:paraId="27EA763C"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"DOI" : "10.1016/j.jnoncrysol.2003.09.013", "ISSN" : "00223093", "author" : [ { "dropping-particle" : "", "family" : "Serra", "given" : "J.", "non-dropping-particle" : "", "parse-names" : false, "suffix" : "" }, { "dropping-particle" : "", "family" : "Gonz\u00e1lez", "given" : "P.", "non-dropping-particle" : "", "parse-names" : false, "suffix" : "" }, { "dropping-particle" : "", "family" : "Liste", "given" : "S.", "non-dropping-particle" : "", "parse-names" : false, "suffix" : "" }, { "dropping-particle" : "", "family" : "Serra", "given" : "C.", "non-dropping-particle" : "", "parse-names" : false, "suffix" : "" }, { "dropping-particle" : "", "family" : "Chiussi", "given" : "S.", "non-dropping-particle" : "", "parse-names" : false, "suffix" : "" }, { "dropping-particle" : "", "family" : "Le\u00f3n", "given" : "B.", "non-dropping-particle" : "", "parse-names" : false, "suffix" : "" }, { "dropping-particle" : "", "family" : "P\u00e9rez-Amor", "given" : "M.", "non-dropping-particle" : "", "parse-names" : false, "suffix" : "" }, { "dropping-particle" : "", "family" : "Yl\u00e4nen", "given" : "H.O.", "non-dropping-particle" : "", "parse-names" : false, "suffix" : "" }, { "dropping-particle" : "", "family" : "Hupa", "given" : "M.", "non-dropping-particle" : "", "parse-names" : false, "suffix" : "" } ], "container-title" : "Journal of Non-Crystalline Solids", "id" : "ITEM-1", "issue" : "1-3", "issued" : { "date-parts" : [ [ "2003", "12" ] ] }, "page" : "20-27", "title" : "FTIR and XPS studies of bioactive silica based glasses", "type" : "article-journal", "volume" : "332" }, "uris" : [ "http://www.mendeley.com/documents/?uuid=04aa57b6-3719-42df-91f3-671acb82c7da" ] } ], "mendeley" : { "formattedCitation" : "(Serra et al., 2003)", "plainTextFormattedCitation" : "(Serra et al., 2003)", "previouslyFormattedCitation" : "(Serra et al., 2003)"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(Serra et al., 2003)</w:t>
            </w:r>
            <w:r w:rsidRPr="000E2377">
              <w:rPr>
                <w:rFonts w:eastAsia="Times New Roman" w:cs="Times New Roman"/>
                <w:b w:val="0"/>
                <w:color w:val="000000"/>
                <w:lang w:eastAsia="en-MY"/>
              </w:rPr>
              <w:fldChar w:fldCharType="end"/>
            </w:r>
          </w:p>
        </w:tc>
      </w:tr>
      <w:tr w:rsidR="00D740DC" w:rsidRPr="000E2377" w14:paraId="6E3139E7" w14:textId="77777777" w:rsidTr="00B11F5F">
        <w:trPr>
          <w:trHeight w:val="300"/>
        </w:trPr>
        <w:tc>
          <w:tcPr>
            <w:tcW w:w="1701" w:type="dxa"/>
            <w:tcBorders>
              <w:top w:val="nil"/>
              <w:left w:val="nil"/>
              <w:bottom w:val="nil"/>
              <w:right w:val="nil"/>
            </w:tcBorders>
            <w:shd w:val="clear" w:color="auto" w:fill="D9D9D9" w:themeFill="background1" w:themeFillShade="D9"/>
            <w:noWrap/>
            <w:vAlign w:val="center"/>
          </w:tcPr>
          <w:p w14:paraId="2880F36B" w14:textId="77777777" w:rsidR="00D740DC" w:rsidRPr="000E2377" w:rsidRDefault="00D740DC" w:rsidP="00B11F5F">
            <w:pPr>
              <w:spacing w:after="0" w:line="360" w:lineRule="auto"/>
              <w:rPr>
                <w:rFonts w:eastAsia="Times New Roman" w:cs="Times New Roman"/>
                <w:b w:val="0"/>
                <w:color w:val="000000"/>
                <w:lang w:eastAsia="en-MY"/>
              </w:rPr>
            </w:pPr>
            <w:r>
              <w:rPr>
                <w:rFonts w:eastAsia="Times New Roman" w:cs="Times New Roman"/>
                <w:b w:val="0"/>
                <w:color w:val="000000"/>
                <w:lang w:eastAsia="en-MY"/>
              </w:rPr>
              <w:t>1000</w:t>
            </w:r>
          </w:p>
        </w:tc>
        <w:tc>
          <w:tcPr>
            <w:tcW w:w="1418" w:type="dxa"/>
            <w:tcBorders>
              <w:top w:val="nil"/>
              <w:left w:val="nil"/>
              <w:bottom w:val="nil"/>
              <w:right w:val="nil"/>
            </w:tcBorders>
            <w:shd w:val="clear" w:color="auto" w:fill="D9D9D9" w:themeFill="background1" w:themeFillShade="D9"/>
            <w:noWrap/>
            <w:vAlign w:val="center"/>
          </w:tcPr>
          <w:p w14:paraId="76070B5C" w14:textId="77777777" w:rsidR="00D740DC" w:rsidRPr="000E2377" w:rsidRDefault="00D740DC" w:rsidP="00B11F5F">
            <w:pPr>
              <w:spacing w:after="0" w:line="360" w:lineRule="auto"/>
              <w:rPr>
                <w:rFonts w:eastAsia="Times New Roman" w:cs="Times New Roman"/>
                <w:b w:val="0"/>
                <w:color w:val="000000"/>
                <w:lang w:eastAsia="en-MY"/>
              </w:rPr>
            </w:pPr>
            <w:r>
              <w:rPr>
                <w:rFonts w:eastAsia="Times New Roman" w:cs="Times New Roman"/>
                <w:b w:val="0"/>
                <w:color w:val="000000"/>
                <w:lang w:eastAsia="en-MY"/>
              </w:rPr>
              <w:t>BO</w:t>
            </w:r>
            <w:r w:rsidRPr="002B4A5E">
              <w:rPr>
                <w:rFonts w:eastAsia="Times New Roman" w:cs="Times New Roman"/>
                <w:b w:val="0"/>
                <w:color w:val="000000"/>
                <w:vertAlign w:val="subscript"/>
                <w:lang w:eastAsia="en-MY"/>
              </w:rPr>
              <w:t>4</w:t>
            </w:r>
            <w:r>
              <w:rPr>
                <w:rFonts w:eastAsia="Times New Roman" w:cs="Times New Roman"/>
                <w:b w:val="0"/>
                <w:color w:val="000000"/>
                <w:lang w:eastAsia="en-MY"/>
              </w:rPr>
              <w:t xml:space="preserve"> tetrahedron, SiO</w:t>
            </w:r>
            <w:r w:rsidRPr="002B4A5E">
              <w:rPr>
                <w:rFonts w:eastAsia="Times New Roman" w:cs="Times New Roman"/>
                <w:b w:val="0"/>
                <w:color w:val="000000"/>
                <w:vertAlign w:val="subscript"/>
                <w:lang w:eastAsia="en-MY"/>
              </w:rPr>
              <w:t xml:space="preserve">4 </w:t>
            </w:r>
          </w:p>
        </w:tc>
        <w:tc>
          <w:tcPr>
            <w:tcW w:w="2693" w:type="dxa"/>
            <w:tcBorders>
              <w:top w:val="nil"/>
              <w:left w:val="nil"/>
              <w:bottom w:val="nil"/>
              <w:right w:val="nil"/>
            </w:tcBorders>
            <w:shd w:val="clear" w:color="auto" w:fill="D9D9D9" w:themeFill="background1" w:themeFillShade="D9"/>
            <w:noWrap/>
            <w:vAlign w:val="center"/>
          </w:tcPr>
          <w:p w14:paraId="074BD12B" w14:textId="06CC198A" w:rsidR="00D740DC" w:rsidRPr="000E2377" w:rsidRDefault="00D740DC" w:rsidP="00B11F5F">
            <w:pPr>
              <w:spacing w:after="0" w:line="360" w:lineRule="auto"/>
              <w:rPr>
                <w:rFonts w:eastAsia="Times New Roman" w:cs="Times New Roman"/>
                <w:b w:val="0"/>
                <w:color w:val="000000"/>
                <w:lang w:eastAsia="en-MY"/>
              </w:rPr>
            </w:pPr>
            <w:r>
              <w:rPr>
                <w:rFonts w:eastAsia="Times New Roman" w:cs="Times New Roman"/>
                <w:b w:val="0"/>
                <w:color w:val="000000"/>
                <w:lang w:eastAsia="en-MY"/>
              </w:rPr>
              <w:t>SiO</w:t>
            </w:r>
            <w:r w:rsidRPr="002B4A5E">
              <w:rPr>
                <w:rFonts w:eastAsia="Times New Roman" w:cs="Times New Roman"/>
                <w:b w:val="0"/>
                <w:color w:val="000000"/>
                <w:vertAlign w:val="subscript"/>
                <w:lang w:eastAsia="en-MY"/>
              </w:rPr>
              <w:t>4</w:t>
            </w:r>
            <w:r>
              <w:rPr>
                <w:rFonts w:eastAsia="Times New Roman" w:cs="Times New Roman"/>
                <w:b w:val="0"/>
                <w:color w:val="000000"/>
                <w:lang w:eastAsia="en-MY"/>
              </w:rPr>
              <w:t xml:space="preserve"> stretching with NBO ions. (BO</w:t>
            </w:r>
            <w:r w:rsidRPr="002B4A5E">
              <w:rPr>
                <w:rFonts w:eastAsia="Times New Roman" w:cs="Times New Roman"/>
                <w:b w:val="0"/>
                <w:color w:val="000000"/>
                <w:vertAlign w:val="subscript"/>
                <w:lang w:eastAsia="en-MY"/>
              </w:rPr>
              <w:t xml:space="preserve">4 </w:t>
            </w:r>
            <w:r>
              <w:rPr>
                <w:rFonts w:eastAsia="Times New Roman" w:cs="Times New Roman"/>
                <w:b w:val="0"/>
                <w:color w:val="000000"/>
                <w:lang w:eastAsia="en-MY"/>
              </w:rPr>
              <w:t xml:space="preserve">tetrahedron not observed </w:t>
            </w:r>
            <w:r w:rsidR="005844C5">
              <w:rPr>
                <w:rFonts w:eastAsia="Times New Roman" w:cs="Times New Roman"/>
                <w:b w:val="0"/>
                <w:color w:val="000000"/>
                <w:lang w:eastAsia="en-MY"/>
              </w:rPr>
              <w:t xml:space="preserve">due </w:t>
            </w:r>
            <w:r>
              <w:rPr>
                <w:rFonts w:eastAsia="Times New Roman" w:cs="Times New Roman"/>
                <w:b w:val="0"/>
                <w:color w:val="000000"/>
                <w:lang w:eastAsia="en-MY"/>
              </w:rPr>
              <w:t>to overlap with SiO</w:t>
            </w:r>
            <w:r w:rsidRPr="002B4A5E">
              <w:rPr>
                <w:rFonts w:eastAsia="Times New Roman" w:cs="Times New Roman"/>
                <w:b w:val="0"/>
                <w:color w:val="000000"/>
                <w:vertAlign w:val="subscript"/>
                <w:lang w:eastAsia="en-MY"/>
              </w:rPr>
              <w:t>4</w:t>
            </w:r>
            <w:r>
              <w:rPr>
                <w:rFonts w:eastAsia="Times New Roman" w:cs="Times New Roman"/>
                <w:b w:val="0"/>
                <w:color w:val="000000"/>
                <w:lang w:eastAsia="en-MY"/>
              </w:rPr>
              <w:t>)</w:t>
            </w:r>
          </w:p>
        </w:tc>
        <w:tc>
          <w:tcPr>
            <w:tcW w:w="3065" w:type="dxa"/>
            <w:tcBorders>
              <w:top w:val="nil"/>
              <w:left w:val="nil"/>
              <w:bottom w:val="nil"/>
              <w:right w:val="nil"/>
            </w:tcBorders>
            <w:shd w:val="clear" w:color="auto" w:fill="D9D9D9" w:themeFill="background1" w:themeFillShade="D9"/>
            <w:noWrap/>
            <w:vAlign w:val="bottom"/>
          </w:tcPr>
          <w:p w14:paraId="02A42522" w14:textId="77777777" w:rsidR="00D740DC" w:rsidRPr="000E2377" w:rsidRDefault="00D740DC" w:rsidP="00B11F5F">
            <w:pPr>
              <w:spacing w:after="0" w:line="360" w:lineRule="auto"/>
              <w:jc w:val="center"/>
              <w:rPr>
                <w:rFonts w:eastAsia="Times New Roman" w:cs="Times New Roman"/>
                <w:b w:val="0"/>
                <w:color w:val="000000"/>
                <w:lang w:eastAsia="en-MY"/>
              </w:rPr>
            </w:pPr>
            <w:r>
              <w:rPr>
                <w:rFonts w:eastAsia="Times New Roman" w:cs="Times New Roman"/>
                <w:b w:val="0"/>
                <w:color w:val="000000"/>
                <w:lang w:eastAsia="en-MY"/>
              </w:rPr>
              <w:t>(Kumar et. al., 2010)</w:t>
            </w:r>
          </w:p>
        </w:tc>
      </w:tr>
      <w:tr w:rsidR="00D740DC" w:rsidRPr="000E2377" w14:paraId="10EE3BEF" w14:textId="77777777" w:rsidTr="00B11F5F">
        <w:trPr>
          <w:trHeight w:val="300"/>
        </w:trPr>
        <w:tc>
          <w:tcPr>
            <w:tcW w:w="1701" w:type="dxa"/>
            <w:tcBorders>
              <w:top w:val="nil"/>
              <w:left w:val="nil"/>
              <w:bottom w:val="nil"/>
              <w:right w:val="nil"/>
            </w:tcBorders>
            <w:shd w:val="clear" w:color="auto" w:fill="auto"/>
            <w:noWrap/>
            <w:vAlign w:val="center"/>
            <w:hideMark/>
          </w:tcPr>
          <w:p w14:paraId="718747BB"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966</w:t>
            </w:r>
          </w:p>
        </w:tc>
        <w:tc>
          <w:tcPr>
            <w:tcW w:w="1418" w:type="dxa"/>
            <w:tcBorders>
              <w:top w:val="nil"/>
              <w:left w:val="nil"/>
              <w:bottom w:val="nil"/>
              <w:right w:val="nil"/>
            </w:tcBorders>
            <w:shd w:val="clear" w:color="auto" w:fill="auto"/>
            <w:noWrap/>
            <w:vAlign w:val="center"/>
            <w:hideMark/>
          </w:tcPr>
          <w:p w14:paraId="6DD7C897"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Si-O</w:t>
            </w:r>
          </w:p>
        </w:tc>
        <w:tc>
          <w:tcPr>
            <w:tcW w:w="2693" w:type="dxa"/>
            <w:tcBorders>
              <w:top w:val="nil"/>
              <w:left w:val="nil"/>
              <w:bottom w:val="nil"/>
              <w:right w:val="nil"/>
            </w:tcBorders>
            <w:shd w:val="clear" w:color="auto" w:fill="auto"/>
            <w:noWrap/>
            <w:vAlign w:val="center"/>
            <w:hideMark/>
          </w:tcPr>
          <w:p w14:paraId="0A374C35"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Stretching</w:t>
            </w:r>
          </w:p>
        </w:tc>
        <w:tc>
          <w:tcPr>
            <w:tcW w:w="3065" w:type="dxa"/>
            <w:tcBorders>
              <w:top w:val="nil"/>
              <w:left w:val="nil"/>
              <w:bottom w:val="nil"/>
              <w:right w:val="nil"/>
            </w:tcBorders>
            <w:shd w:val="clear" w:color="auto" w:fill="auto"/>
            <w:noWrap/>
            <w:vAlign w:val="bottom"/>
            <w:hideMark/>
          </w:tcPr>
          <w:p w14:paraId="067350C5"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"author" : [ { "dropping-particle" : "", "family" : "Wang", "given" : "Donsheng S.", "non-dropping-particle" : "", "parse-names" : false, "suffix" : "" }, { "dropping-particle" : "", "family" : "Pantano", "given" : "Carlo G", "non-dropping-particle" : "", "parse-names" : false, "suffix" : "" } ], "container-title" : "Journal of Non-Crystalline Solids", "id" : "ITEM-1", "issued" : { "date-parts" : [ [ "1992" ] ] }, "page" : "225-233", "title" : "Structural characterization of C a O - B 2 0 3 - A 1 2 0 3 - S i O 2 xerogels and glasses", "type" : "article-journal", "volume" : "142" }, "uris" : [ "http://www.mendeley.com/documents/?uuid=66d0cb81-85f0-4934-a121-1e580f9788f8" ] } ], "mendeley" : { "formattedCitation" : "(D. S. Wang &amp; Pantano, 1992)", "manualFormatting" : "(Wang &amp; Pantano, 1992)", "plainTextFormattedCitation" : "(D. S. Wang &amp; Pantano, 1992)", "previouslyFormattedCitation" : "(D. S. Wang &amp; Pantano, 1992)" }, "properties" : { "noteIndex" : 24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(Wang &amp; Pantano, 1992)</w:t>
            </w:r>
            <w:r w:rsidRPr="000E2377">
              <w:rPr>
                <w:rFonts w:eastAsia="Times New Roman" w:cs="Times New Roman"/>
                <w:b w:val="0"/>
                <w:color w:val="000000"/>
                <w:lang w:eastAsia="en-MY"/>
              </w:rPr>
              <w:fldChar w:fldCharType="end"/>
            </w:r>
          </w:p>
        </w:tc>
      </w:tr>
      <w:tr w:rsidR="00D740DC" w:rsidRPr="000E2377" w14:paraId="7A2BEB8F" w14:textId="77777777" w:rsidTr="00B11F5F">
        <w:trPr>
          <w:trHeight w:val="300"/>
        </w:trPr>
        <w:tc>
          <w:tcPr>
            <w:tcW w:w="1701" w:type="dxa"/>
            <w:tcBorders>
              <w:top w:val="nil"/>
              <w:left w:val="nil"/>
              <w:bottom w:val="nil"/>
              <w:right w:val="nil"/>
            </w:tcBorders>
            <w:shd w:val="clear" w:color="auto" w:fill="D9D9D9" w:themeFill="background1" w:themeFillShade="D9"/>
            <w:noWrap/>
            <w:vAlign w:val="center"/>
            <w:hideMark/>
          </w:tcPr>
          <w:p w14:paraId="1E7DF34D"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960</w:t>
            </w:r>
          </w:p>
        </w:tc>
        <w:tc>
          <w:tcPr>
            <w:tcW w:w="1418" w:type="dxa"/>
            <w:tcBorders>
              <w:top w:val="nil"/>
              <w:left w:val="nil"/>
              <w:bottom w:val="nil"/>
              <w:right w:val="nil"/>
            </w:tcBorders>
            <w:shd w:val="clear" w:color="auto" w:fill="D9D9D9" w:themeFill="background1" w:themeFillShade="D9"/>
            <w:noWrap/>
            <w:vAlign w:val="center"/>
            <w:hideMark/>
          </w:tcPr>
          <w:p w14:paraId="60EBA2A5"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NBO's</w:t>
            </w:r>
          </w:p>
        </w:tc>
        <w:tc>
          <w:tcPr>
            <w:tcW w:w="2693" w:type="dxa"/>
            <w:tcBorders>
              <w:top w:val="nil"/>
              <w:left w:val="nil"/>
              <w:bottom w:val="nil"/>
              <w:right w:val="nil"/>
            </w:tcBorders>
            <w:shd w:val="clear" w:color="auto" w:fill="D9D9D9" w:themeFill="background1" w:themeFillShade="D9"/>
            <w:noWrap/>
            <w:vAlign w:val="center"/>
            <w:hideMark/>
          </w:tcPr>
          <w:p w14:paraId="4ACB6D55"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Vibration</w:t>
            </w:r>
          </w:p>
        </w:tc>
        <w:tc>
          <w:tcPr>
            <w:tcW w:w="3065" w:type="dxa"/>
            <w:tcBorders>
              <w:top w:val="nil"/>
              <w:left w:val="nil"/>
              <w:bottom w:val="nil"/>
              <w:right w:val="nil"/>
            </w:tcBorders>
            <w:shd w:val="clear" w:color="auto" w:fill="D9D9D9" w:themeFill="background1" w:themeFillShade="D9"/>
            <w:noWrap/>
            <w:vAlign w:val="bottom"/>
            <w:hideMark/>
          </w:tcPr>
          <w:p w14:paraId="792E241A"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"DOI" : "10.1016/j.molstruc.2014.06.011", "ISBN" : "1221133152", "ISSN" : "00222860", "author" : [ { "dropping-particle" : "", "family" : "Abdelghany", "given" : "A.M.", "non-dropping-particle" : "", "parse-names" : false, "suffix" : "" }, { "dropping-particle" : "", "family" : "ElBatal", "given" : "F.H.", "non-dropping-particle" : "", "parse-names" : false, "suffix" : "" }, { "dropping-particle" : "", "family" : "ElBatal", "given" : "H.A.", "non-dropping-particle" : "", "parse-names" : false, "suffix" : "" }, { "dropping-particle" : "", "family" : "EzzElDin", "given" : "F.M.", "non-dropping-particle" : "", "parse-names" : false, "suffix" : "" } ], "container-title" : "Journal of Molecular Structure", "id" : "ITEM-1", "issued" : { "date-parts" : [ [ "2014", "9" ] ] }, "note" : "Read", "page" : "503-510", "publisher" : "Elsevier B.V.", "title" : "Optical and FTIR structural studies of CoO-doped sodium borate, sodium silicate and sodium phosphate glasses and effects of gamma irradiation-a comparative study", "type" : "article-journal", "volume" : "1074" }, "uris" : [ "http://www.mendeley.com/documents/?uuid=3a585b16-1227-4447-bddc-e680b2472cd4" ] } ], "mendeley" : { "formattedCitation" : "(Abdelghany et al., 2014)", "plainTextFormattedCitation" : "(Abdelghany et al., 2014)", "previouslyFormattedCitation" : "(Abdelghany et al., 2014)"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(Abdelghany et al., 2014)</w:t>
            </w:r>
            <w:r w:rsidRPr="000E2377">
              <w:rPr>
                <w:rFonts w:eastAsia="Times New Roman" w:cs="Times New Roman"/>
                <w:b w:val="0"/>
                <w:color w:val="000000"/>
                <w:lang w:eastAsia="en-MY"/>
              </w:rPr>
              <w:fldChar w:fldCharType="end"/>
            </w:r>
          </w:p>
        </w:tc>
      </w:tr>
      <w:tr w:rsidR="00D740DC" w:rsidRPr="000E2377" w14:paraId="7A827924" w14:textId="77777777" w:rsidTr="00B11F5F">
        <w:trPr>
          <w:trHeight w:val="300"/>
        </w:trPr>
        <w:tc>
          <w:tcPr>
            <w:tcW w:w="1701" w:type="dxa"/>
            <w:tcBorders>
              <w:top w:val="nil"/>
              <w:left w:val="nil"/>
              <w:bottom w:val="nil"/>
              <w:right w:val="nil"/>
            </w:tcBorders>
            <w:shd w:val="clear" w:color="auto" w:fill="auto"/>
            <w:noWrap/>
            <w:vAlign w:val="center"/>
            <w:hideMark/>
          </w:tcPr>
          <w:p w14:paraId="01F8BF5E"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890-975</w:t>
            </w:r>
          </w:p>
        </w:tc>
        <w:tc>
          <w:tcPr>
            <w:tcW w:w="1418" w:type="dxa"/>
            <w:tcBorders>
              <w:top w:val="nil"/>
              <w:left w:val="nil"/>
              <w:bottom w:val="nil"/>
              <w:right w:val="nil"/>
            </w:tcBorders>
            <w:shd w:val="clear" w:color="auto" w:fill="auto"/>
            <w:noWrap/>
            <w:vAlign w:val="center"/>
            <w:hideMark/>
          </w:tcPr>
          <w:p w14:paraId="3ED23AB6"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Si-O</w:t>
            </w:r>
          </w:p>
        </w:tc>
        <w:tc>
          <w:tcPr>
            <w:tcW w:w="2693" w:type="dxa"/>
            <w:tcBorders>
              <w:top w:val="nil"/>
              <w:left w:val="nil"/>
              <w:bottom w:val="nil"/>
              <w:right w:val="nil"/>
            </w:tcBorders>
            <w:shd w:val="clear" w:color="auto" w:fill="auto"/>
            <w:noWrap/>
            <w:vAlign w:val="center"/>
            <w:hideMark/>
          </w:tcPr>
          <w:p w14:paraId="22232F7D"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Stretching</w:t>
            </w:r>
          </w:p>
        </w:tc>
        <w:tc>
          <w:tcPr>
            <w:tcW w:w="3065" w:type="dxa"/>
            <w:tcBorders>
              <w:top w:val="nil"/>
              <w:left w:val="nil"/>
              <w:bottom w:val="nil"/>
              <w:right w:val="nil"/>
            </w:tcBorders>
            <w:shd w:val="clear" w:color="auto" w:fill="auto"/>
            <w:noWrap/>
            <w:vAlign w:val="bottom"/>
            <w:hideMark/>
          </w:tcPr>
          <w:p w14:paraId="3AE190F2"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"DOI" : "10.1016/j.jnoncrysol.2003.09.013", "ISSN" : "00223093", "author" : [ { "dropping-particle" : "", "family" : "Serra", "given" : "J.", "non-dropping-particle" : "", "parse-names" : false, "suffix" : "" }, { "dropping-particle" : "", "family" : "Gonz\u00e1lez", "given" : "P.", "non-dropping-particle" : "", "parse-names" : false, "suffix" : "" }, { "dropping-particle" : "", "family" : "Liste", "given" : "S.", "non-dropping-particle" : "", "parse-names" : false, "suffix" : "" }, { "dropping-particle" : "", "family" : "Serra", "given" : "C.", "non-dropping-particle" : "", "parse-names" : false, "suffix" : "" }, { "dropping-particle" : "", "family" : "Chiussi", "given" : "S.", "non-dropping-particle" : "", "parse-names" : false, "suffix" : "" }, { "dropping-particle" : "", "family" : "Le\u00f3n", "given" : "B.", "non-dropping-particle" : "", "parse-names" : false, "suffix" : "" }, { "dropping-particle" : "", "family" : "P\u00e9rez-Amor", "given" : "M.", "non-dropping-particle" : "", "parse-names" : false, "suffix" : "" }, { "dropping-particle" : "", "family" : "Yl\u00e4nen", "given" : "H.O.", "non-dropping-particle" : "", "parse-names" : false, "suffix" : "" }, { "dropping-particle" : "", "family" : "Hupa", "given" : "M.", "non-dropping-particle" : "", "parse-names" : false, "suffix" : "" } ], "container-title" : "Journal of Non-Crystalline Solids", "id" : "ITEM-1", "issue" : "1-3", "issued" : { "date-parts" : [ [ "2003", "12" ] ] }, "page" : "20-27", "title" : "FTIR and XPS studies of bioactive silica based glasses", "type" : "article-journal", "volume" : "332" }, "uris" : [ "http://www.mendeley.com/documents/?uuid=04aa57b6-3719-42df-91f3-671acb82c7da" ] } ], "mendeley" : { "formattedCitation" : "(Serra et al., 2003)", "plainTextFormattedCitation" : "(Serra et al., 2003)", "previouslyFormattedCitation" : "(Serra et al., 2003)"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(Serra et al., 2003)</w:t>
            </w:r>
            <w:r w:rsidRPr="000E2377">
              <w:rPr>
                <w:rFonts w:eastAsia="Times New Roman" w:cs="Times New Roman"/>
                <w:b w:val="0"/>
                <w:color w:val="000000"/>
                <w:lang w:eastAsia="en-MY"/>
              </w:rPr>
              <w:fldChar w:fldCharType="end"/>
            </w:r>
          </w:p>
        </w:tc>
      </w:tr>
      <w:tr w:rsidR="00D740DC" w:rsidRPr="000E2377" w14:paraId="4A1EAEA9" w14:textId="77777777" w:rsidTr="00B11F5F">
        <w:trPr>
          <w:trHeight w:val="300"/>
        </w:trPr>
        <w:tc>
          <w:tcPr>
            <w:tcW w:w="1701" w:type="dxa"/>
            <w:tcBorders>
              <w:top w:val="nil"/>
              <w:left w:val="nil"/>
              <w:bottom w:val="nil"/>
              <w:right w:val="nil"/>
            </w:tcBorders>
            <w:shd w:val="clear" w:color="auto" w:fill="D9D9D9" w:themeFill="background1" w:themeFillShade="D9"/>
            <w:noWrap/>
            <w:vAlign w:val="center"/>
          </w:tcPr>
          <w:p w14:paraId="7A6E4320" w14:textId="77777777" w:rsidR="00D740DC" w:rsidRPr="000E2377" w:rsidRDefault="00D740DC" w:rsidP="00B11F5F">
            <w:pPr>
              <w:spacing w:after="0" w:line="360" w:lineRule="auto"/>
              <w:rPr>
                <w:rFonts w:eastAsia="Times New Roman" w:cs="Times New Roman"/>
                <w:b w:val="0"/>
                <w:color w:val="000000"/>
                <w:lang w:eastAsia="en-MY"/>
              </w:rPr>
            </w:pPr>
            <w:r>
              <w:rPr>
                <w:rFonts w:eastAsia="Times New Roman" w:cs="Times New Roman"/>
                <w:b w:val="0"/>
                <w:color w:val="000000"/>
                <w:lang w:eastAsia="en-MY"/>
              </w:rPr>
              <w:t>850-1100</w:t>
            </w:r>
          </w:p>
        </w:tc>
        <w:tc>
          <w:tcPr>
            <w:tcW w:w="1418" w:type="dxa"/>
            <w:tcBorders>
              <w:top w:val="nil"/>
              <w:left w:val="nil"/>
              <w:bottom w:val="nil"/>
              <w:right w:val="nil"/>
            </w:tcBorders>
            <w:shd w:val="clear" w:color="auto" w:fill="D9D9D9" w:themeFill="background1" w:themeFillShade="D9"/>
            <w:noWrap/>
            <w:vAlign w:val="center"/>
          </w:tcPr>
          <w:p w14:paraId="731215F0" w14:textId="77777777" w:rsidR="00D740DC" w:rsidRDefault="00D740DC" w:rsidP="00B11F5F">
            <w:pPr>
              <w:spacing w:after="0" w:line="360" w:lineRule="auto"/>
              <w:rPr>
                <w:rFonts w:eastAsia="Times New Roman" w:cs="Times New Roman"/>
                <w:b w:val="0"/>
                <w:color w:val="000000"/>
                <w:lang w:eastAsia="en-MY"/>
              </w:rPr>
            </w:pPr>
            <w:r>
              <w:rPr>
                <w:rFonts w:eastAsia="Times New Roman" w:cs="Times New Roman"/>
                <w:b w:val="0"/>
                <w:color w:val="000000"/>
                <w:lang w:eastAsia="en-MY"/>
              </w:rPr>
              <w:t>BO4</w:t>
            </w:r>
          </w:p>
          <w:p w14:paraId="17E08702" w14:textId="77777777" w:rsidR="00D740DC" w:rsidRDefault="00D740DC" w:rsidP="00B11F5F">
            <w:pPr>
              <w:spacing w:after="0" w:line="360" w:lineRule="auto"/>
              <w:rPr>
                <w:rFonts w:eastAsia="Times New Roman" w:cs="Times New Roman"/>
                <w:b w:val="0"/>
                <w:color w:val="000000"/>
                <w:lang w:eastAsia="en-MY"/>
              </w:rPr>
            </w:pPr>
            <w:r>
              <w:rPr>
                <w:rFonts w:eastAsia="Times New Roman" w:cs="Times New Roman"/>
                <w:b w:val="0"/>
                <w:color w:val="000000"/>
                <w:lang w:eastAsia="en-MY"/>
              </w:rPr>
              <w:t>Si-O-Si</w:t>
            </w:r>
          </w:p>
          <w:p w14:paraId="1BA82415" w14:textId="77777777" w:rsidR="00D740DC" w:rsidRPr="000E2377" w:rsidRDefault="00D740DC" w:rsidP="00B11F5F">
            <w:pPr>
              <w:spacing w:after="0" w:line="360" w:lineRule="auto"/>
              <w:rPr>
                <w:rFonts w:eastAsia="Times New Roman" w:cs="Times New Roman"/>
                <w:b w:val="0"/>
                <w:color w:val="000000"/>
                <w:lang w:eastAsia="en-MY"/>
              </w:rPr>
            </w:pPr>
            <w:r>
              <w:rPr>
                <w:rFonts w:eastAsia="Times New Roman" w:cs="Times New Roman"/>
                <w:b w:val="0"/>
                <w:color w:val="000000"/>
                <w:lang w:eastAsia="en-MY"/>
              </w:rPr>
              <w:t xml:space="preserve">B-O-B </w:t>
            </w:r>
          </w:p>
        </w:tc>
        <w:tc>
          <w:tcPr>
            <w:tcW w:w="2693" w:type="dxa"/>
            <w:tcBorders>
              <w:top w:val="nil"/>
              <w:left w:val="nil"/>
              <w:bottom w:val="nil"/>
              <w:right w:val="nil"/>
            </w:tcBorders>
            <w:shd w:val="clear" w:color="auto" w:fill="D9D9D9" w:themeFill="background1" w:themeFillShade="D9"/>
            <w:noWrap/>
            <w:vAlign w:val="center"/>
          </w:tcPr>
          <w:p w14:paraId="1C7CF0A1" w14:textId="77777777" w:rsidR="00D740DC" w:rsidRDefault="00D740DC" w:rsidP="00B11F5F">
            <w:pPr>
              <w:spacing w:after="0" w:line="360" w:lineRule="auto"/>
              <w:rPr>
                <w:rFonts w:eastAsia="Times New Roman" w:cs="Times New Roman"/>
                <w:b w:val="0"/>
                <w:color w:val="000000"/>
                <w:lang w:eastAsia="en-MY"/>
              </w:rPr>
            </w:pPr>
            <w:r>
              <w:rPr>
                <w:rFonts w:eastAsia="Times New Roman" w:cs="Times New Roman"/>
                <w:b w:val="0"/>
                <w:color w:val="000000"/>
                <w:lang w:eastAsia="en-MY"/>
              </w:rPr>
              <w:t>Stretching of Si</w:t>
            </w:r>
          </w:p>
          <w:p w14:paraId="00281068" w14:textId="349E6D04" w:rsidR="00D740DC" w:rsidRPr="000E2377" w:rsidRDefault="00471299" w:rsidP="00B11F5F">
            <w:pPr>
              <w:spacing w:after="0" w:line="360" w:lineRule="auto"/>
              <w:rPr>
                <w:rFonts w:eastAsia="Times New Roman" w:cs="Times New Roman"/>
                <w:b w:val="0"/>
                <w:color w:val="000000"/>
                <w:lang w:eastAsia="en-MY"/>
              </w:rPr>
            </w:pPr>
            <w:r>
              <w:rPr>
                <w:rFonts w:eastAsia="Times New Roman" w:cs="Times New Roman"/>
                <w:b w:val="0"/>
                <w:color w:val="000000"/>
                <w:lang w:eastAsia="en-MY"/>
              </w:rPr>
              <w:t xml:space="preserve">Tetrahedron </w:t>
            </w:r>
            <w:r w:rsidR="00D740DC">
              <w:rPr>
                <w:rFonts w:eastAsia="Times New Roman" w:cs="Times New Roman"/>
                <w:b w:val="0"/>
                <w:color w:val="000000"/>
                <w:lang w:eastAsia="en-MY"/>
              </w:rPr>
              <w:t>boron</w:t>
            </w:r>
          </w:p>
        </w:tc>
        <w:tc>
          <w:tcPr>
            <w:tcW w:w="3065" w:type="dxa"/>
            <w:tcBorders>
              <w:top w:val="nil"/>
              <w:left w:val="nil"/>
              <w:bottom w:val="nil"/>
              <w:right w:val="nil"/>
            </w:tcBorders>
            <w:shd w:val="clear" w:color="auto" w:fill="D9D9D9" w:themeFill="background1" w:themeFillShade="D9"/>
            <w:noWrap/>
            <w:vAlign w:val="bottom"/>
          </w:tcPr>
          <w:p w14:paraId="1C0A16F0" w14:textId="77777777" w:rsidR="00D740DC" w:rsidRPr="000E2377" w:rsidRDefault="00D740DC" w:rsidP="00B11F5F">
            <w:pPr>
              <w:spacing w:after="0" w:line="360" w:lineRule="auto"/>
              <w:jc w:val="center"/>
              <w:rPr>
                <w:rFonts w:eastAsia="Times New Roman" w:cs="Times New Roman"/>
                <w:b w:val="0"/>
                <w:color w:val="000000"/>
                <w:lang w:eastAsia="en-MY"/>
              </w:rPr>
            </w:pPr>
            <w:r>
              <w:rPr>
                <w:rFonts w:eastAsia="Times New Roman" w:cs="Times New Roman"/>
                <w:b w:val="0"/>
                <w:color w:val="000000"/>
                <w:lang w:eastAsia="en-MY"/>
              </w:rPr>
              <w:t>(Xiao et al., 2010)</w:t>
            </w:r>
          </w:p>
        </w:tc>
      </w:tr>
      <w:tr w:rsidR="00D740DC" w:rsidRPr="000E2377" w14:paraId="65BD61D3" w14:textId="77777777" w:rsidTr="00B11F5F">
        <w:trPr>
          <w:trHeight w:val="300"/>
        </w:trPr>
        <w:tc>
          <w:tcPr>
            <w:tcW w:w="1701" w:type="dxa"/>
            <w:tcBorders>
              <w:top w:val="nil"/>
              <w:left w:val="nil"/>
              <w:bottom w:val="nil"/>
              <w:right w:val="nil"/>
            </w:tcBorders>
            <w:shd w:val="clear" w:color="auto" w:fill="auto"/>
            <w:noWrap/>
            <w:vAlign w:val="center"/>
            <w:hideMark/>
          </w:tcPr>
          <w:p w14:paraId="161F5779"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800</w:t>
            </w:r>
          </w:p>
        </w:tc>
        <w:tc>
          <w:tcPr>
            <w:tcW w:w="1418" w:type="dxa"/>
            <w:tcBorders>
              <w:top w:val="nil"/>
              <w:left w:val="nil"/>
              <w:bottom w:val="nil"/>
              <w:right w:val="nil"/>
            </w:tcBorders>
            <w:shd w:val="clear" w:color="auto" w:fill="auto"/>
            <w:noWrap/>
            <w:vAlign w:val="center"/>
            <w:hideMark/>
          </w:tcPr>
          <w:p w14:paraId="4B6B7AC6"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Si-O</w:t>
            </w:r>
          </w:p>
        </w:tc>
        <w:tc>
          <w:tcPr>
            <w:tcW w:w="2693" w:type="dxa"/>
            <w:tcBorders>
              <w:top w:val="nil"/>
              <w:left w:val="nil"/>
              <w:bottom w:val="nil"/>
              <w:right w:val="nil"/>
            </w:tcBorders>
            <w:shd w:val="clear" w:color="auto" w:fill="auto"/>
            <w:noWrap/>
            <w:vAlign w:val="center"/>
            <w:hideMark/>
          </w:tcPr>
          <w:p w14:paraId="7551D225"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Bending</w:t>
            </w:r>
          </w:p>
        </w:tc>
        <w:tc>
          <w:tcPr>
            <w:tcW w:w="3065" w:type="dxa"/>
            <w:tcBorders>
              <w:top w:val="nil"/>
              <w:left w:val="nil"/>
              <w:bottom w:val="nil"/>
              <w:right w:val="nil"/>
            </w:tcBorders>
            <w:shd w:val="clear" w:color="auto" w:fill="auto"/>
            <w:noWrap/>
            <w:vAlign w:val="bottom"/>
            <w:hideMark/>
          </w:tcPr>
          <w:p w14:paraId="5EF7DBF0"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"DOI" : "10.1016/j.jnoncrysol.2003.09.013", "ISSN" : "00223093", "author" : [ { "dropping-particle" : "", "family" : "Serra", "given" : "J.", "non-dropping-particle" : "", "parse-names" : false, "suffix" : "" }, { "dropping-particle" : "", "family" : "Gonz\u00e1lez", "given" : "P.", "non-dropping-particle" : "", "parse-names" : false, "suffix" : "" }, { "dropping-particle" : "", "family" : "Liste", "given" : "S.", "non-dropping-particle" : "", "parse-names" : false, "suffix" : "" }, { "dropping-particle" : "", "family" : "Serra", "given" : "C.", "non-dropping-particle" : "", "parse-names" : false, "suffix" : "" }, { "dropping-particle" : "", "family" : "Chiussi", "given" : "S.", "non-dropping-particle" : "", "parse-names" : false, "suffix" : "" }, { "dropping-particle" : "", "family" : "Le\u00f3n", "given" : "B.", "non-dropping-particle" : "", "parse-names" : false, "suffix" : "" }, { "dropping-particle" : "", "family" : "P\u00e9rez-Amor", "given" : "M.", "non-dropping-particle" : "", "parse-names" : false, "suffix" : "" }, { "dropping-particle" : "", "family" : "Yl\u00e4nen", "given" : "H.O.", "non-dropping-particle" : "", "parse-names" : false, "suffix" : "" }, { "dropping-particle" : "", "family" : "Hupa", "given" : "M.", "non-dropping-particle" : "", "parse-names" : false, "suffix" : "" } ], "container-title" : "Journal of Non-Crystalline Solids", "id" : "ITEM-1", "issue" : "1-3", "issued" : { "date-parts" : [ [ "2003", "12" ] ] }, "page" : "20-27", "title" : "FTIR and XPS studies of bioactive silica based glasses", "type" : "article-journal", "volume" : "332" }, "uris" : [ "http://www.mendeley.com/documents/?uuid=04aa57b6-3719-42df-91f3-671acb82c7da" ] } ], "mendeley" : { "formattedCitation" : "(Serra et al., 2003)", "plainTextFormattedCitation" : "(Serra et al., 2003)", "previouslyFormattedCitation" : "(Serra et al., 2003)"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(Serra et al., 2003)</w:t>
            </w:r>
            <w:r w:rsidRPr="000E2377">
              <w:rPr>
                <w:rFonts w:eastAsia="Times New Roman" w:cs="Times New Roman"/>
                <w:b w:val="0"/>
                <w:color w:val="000000"/>
                <w:lang w:eastAsia="en-MY"/>
              </w:rPr>
              <w:fldChar w:fldCharType="end"/>
            </w:r>
          </w:p>
        </w:tc>
      </w:tr>
      <w:tr w:rsidR="00D740DC" w:rsidRPr="000E2377" w14:paraId="7AEC1CA2" w14:textId="77777777" w:rsidTr="00B11F5F">
        <w:trPr>
          <w:trHeight w:val="300"/>
        </w:trPr>
        <w:tc>
          <w:tcPr>
            <w:tcW w:w="1701" w:type="dxa"/>
            <w:tcBorders>
              <w:top w:val="nil"/>
              <w:left w:val="nil"/>
              <w:bottom w:val="nil"/>
              <w:right w:val="nil"/>
            </w:tcBorders>
            <w:shd w:val="clear" w:color="auto" w:fill="D9D9D9" w:themeFill="background1" w:themeFillShade="D9"/>
            <w:noWrap/>
            <w:vAlign w:val="center"/>
          </w:tcPr>
          <w:p w14:paraId="2D5EBB1D" w14:textId="77777777" w:rsidR="00D740DC" w:rsidRPr="000E2377" w:rsidRDefault="00D740DC" w:rsidP="00B11F5F">
            <w:pPr>
              <w:spacing w:after="0" w:line="360" w:lineRule="auto"/>
              <w:rPr>
                <w:rFonts w:eastAsia="Times New Roman" w:cs="Times New Roman"/>
                <w:b w:val="0"/>
                <w:color w:val="000000"/>
                <w:lang w:eastAsia="en-MY"/>
              </w:rPr>
            </w:pPr>
            <w:r>
              <w:rPr>
                <w:rFonts w:eastAsia="Times New Roman" w:cs="Times New Roman"/>
                <w:b w:val="0"/>
                <w:color w:val="000000"/>
                <w:lang w:eastAsia="en-MY"/>
              </w:rPr>
              <w:t>650-800</w:t>
            </w:r>
          </w:p>
        </w:tc>
        <w:tc>
          <w:tcPr>
            <w:tcW w:w="1418" w:type="dxa"/>
            <w:tcBorders>
              <w:top w:val="nil"/>
              <w:left w:val="nil"/>
              <w:bottom w:val="nil"/>
              <w:right w:val="nil"/>
            </w:tcBorders>
            <w:shd w:val="clear" w:color="auto" w:fill="D9D9D9" w:themeFill="background1" w:themeFillShade="D9"/>
            <w:noWrap/>
            <w:vAlign w:val="center"/>
          </w:tcPr>
          <w:p w14:paraId="263D0ABF" w14:textId="77777777" w:rsidR="00D740DC" w:rsidRPr="000E2377" w:rsidRDefault="00D740DC" w:rsidP="00B11F5F">
            <w:pPr>
              <w:spacing w:after="0" w:line="360" w:lineRule="auto"/>
              <w:rPr>
                <w:rFonts w:eastAsia="Times New Roman" w:cs="Times New Roman"/>
                <w:b w:val="0"/>
                <w:color w:val="000000"/>
                <w:lang w:eastAsia="en-MY"/>
              </w:rPr>
            </w:pPr>
            <w:r>
              <w:rPr>
                <w:rFonts w:eastAsia="Times New Roman" w:cs="Times New Roman"/>
                <w:b w:val="0"/>
                <w:color w:val="000000"/>
                <w:lang w:eastAsia="en-MY"/>
              </w:rPr>
              <w:t>Al</w:t>
            </w:r>
            <w:r w:rsidRPr="00D30080">
              <w:rPr>
                <w:rFonts w:eastAsia="Times New Roman" w:cs="Times New Roman"/>
                <w:b w:val="0"/>
                <w:color w:val="000000"/>
                <w:vertAlign w:val="superscript"/>
                <w:lang w:eastAsia="en-MY"/>
              </w:rPr>
              <w:t>3+</w:t>
            </w:r>
            <w:r>
              <w:rPr>
                <w:rFonts w:eastAsia="Times New Roman" w:cs="Times New Roman"/>
                <w:b w:val="0"/>
                <w:color w:val="000000"/>
                <w:lang w:eastAsia="en-MY"/>
              </w:rPr>
              <w:t xml:space="preserve"> </w:t>
            </w:r>
          </w:p>
        </w:tc>
        <w:tc>
          <w:tcPr>
            <w:tcW w:w="2693" w:type="dxa"/>
            <w:tcBorders>
              <w:top w:val="nil"/>
              <w:left w:val="nil"/>
              <w:bottom w:val="nil"/>
              <w:right w:val="nil"/>
            </w:tcBorders>
            <w:shd w:val="clear" w:color="auto" w:fill="D9D9D9" w:themeFill="background1" w:themeFillShade="D9"/>
            <w:noWrap/>
            <w:vAlign w:val="center"/>
          </w:tcPr>
          <w:p w14:paraId="0ED2189B" w14:textId="77777777" w:rsidR="00D740DC" w:rsidRPr="000E2377" w:rsidRDefault="00D740DC" w:rsidP="00B11F5F">
            <w:pPr>
              <w:spacing w:after="0" w:line="360" w:lineRule="auto"/>
              <w:rPr>
                <w:rFonts w:eastAsia="Times New Roman" w:cs="Times New Roman"/>
                <w:b w:val="0"/>
                <w:color w:val="000000"/>
                <w:lang w:eastAsia="en-MY"/>
              </w:rPr>
            </w:pPr>
            <w:r>
              <w:rPr>
                <w:rFonts w:eastAsia="Times New Roman" w:cs="Times New Roman"/>
                <w:b w:val="0"/>
                <w:color w:val="000000"/>
                <w:lang w:eastAsia="en-MY"/>
              </w:rPr>
              <w:t>Ions stretching vibrations in four coordinate, bending vibrations of bridging oxygens between BO3 atoms</w:t>
            </w:r>
          </w:p>
        </w:tc>
        <w:tc>
          <w:tcPr>
            <w:tcW w:w="3065" w:type="dxa"/>
            <w:tcBorders>
              <w:top w:val="nil"/>
              <w:left w:val="nil"/>
              <w:bottom w:val="nil"/>
              <w:right w:val="nil"/>
            </w:tcBorders>
            <w:shd w:val="clear" w:color="auto" w:fill="D9D9D9" w:themeFill="background1" w:themeFillShade="D9"/>
            <w:noWrap/>
            <w:vAlign w:val="bottom"/>
          </w:tcPr>
          <w:p w14:paraId="2D06B645" w14:textId="77777777" w:rsidR="00D740DC" w:rsidRDefault="00D740DC" w:rsidP="00B11F5F">
            <w:pPr>
              <w:spacing w:after="0" w:line="360" w:lineRule="auto"/>
              <w:jc w:val="center"/>
              <w:rPr>
                <w:rFonts w:eastAsia="Times New Roman" w:cs="Times New Roman"/>
                <w:b w:val="0"/>
                <w:color w:val="000000"/>
                <w:lang w:eastAsia="en-MY"/>
              </w:rPr>
            </w:pPr>
            <w:r>
              <w:rPr>
                <w:rFonts w:eastAsia="Times New Roman" w:cs="Times New Roman"/>
                <w:b w:val="0"/>
                <w:color w:val="000000"/>
                <w:lang w:eastAsia="en-MY"/>
              </w:rPr>
              <w:t>(Kumar et al., 2010)</w:t>
            </w:r>
          </w:p>
          <w:p w14:paraId="758B453D" w14:textId="77777777" w:rsidR="00D740DC" w:rsidRPr="000E2377" w:rsidRDefault="00D740DC" w:rsidP="00B11F5F">
            <w:pPr>
              <w:spacing w:after="0" w:line="360" w:lineRule="auto"/>
              <w:jc w:val="center"/>
              <w:rPr>
                <w:rFonts w:eastAsia="Times New Roman" w:cs="Times New Roman"/>
                <w:b w:val="0"/>
                <w:color w:val="000000"/>
                <w:lang w:eastAsia="en-MY"/>
              </w:rPr>
            </w:pPr>
            <w:r>
              <w:rPr>
                <w:rFonts w:eastAsia="Times New Roman" w:cs="Times New Roman"/>
                <w:b w:val="0"/>
                <w:color w:val="000000"/>
                <w:lang w:eastAsia="en-MY"/>
              </w:rPr>
              <w:t>(</w:t>
            </w:r>
            <w:proofErr w:type="spellStart"/>
            <w:r>
              <w:rPr>
                <w:rFonts w:eastAsia="Times New Roman" w:cs="Times New Roman"/>
                <w:b w:val="0"/>
                <w:color w:val="000000"/>
                <w:lang w:eastAsia="en-MY"/>
              </w:rPr>
              <w:t>Sasmal</w:t>
            </w:r>
            <w:proofErr w:type="spellEnd"/>
            <w:r>
              <w:rPr>
                <w:rFonts w:eastAsia="Times New Roman" w:cs="Times New Roman"/>
                <w:b w:val="0"/>
                <w:color w:val="000000"/>
                <w:lang w:eastAsia="en-MY"/>
              </w:rPr>
              <w:t xml:space="preserve"> et al., 2014)</w:t>
            </w:r>
          </w:p>
        </w:tc>
      </w:tr>
      <w:tr w:rsidR="00D740DC" w:rsidRPr="000E2377" w14:paraId="398A908D" w14:textId="77777777" w:rsidTr="00B11F5F">
        <w:trPr>
          <w:trHeight w:val="300"/>
        </w:trPr>
        <w:tc>
          <w:tcPr>
            <w:tcW w:w="1701" w:type="dxa"/>
            <w:tcBorders>
              <w:top w:val="nil"/>
              <w:left w:val="nil"/>
              <w:bottom w:val="nil"/>
              <w:right w:val="nil"/>
            </w:tcBorders>
            <w:shd w:val="clear" w:color="auto" w:fill="auto"/>
            <w:noWrap/>
            <w:vAlign w:val="center"/>
            <w:hideMark/>
          </w:tcPr>
          <w:p w14:paraId="4F136D35"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780</w:t>
            </w:r>
          </w:p>
        </w:tc>
        <w:tc>
          <w:tcPr>
            <w:tcW w:w="1418" w:type="dxa"/>
            <w:tcBorders>
              <w:top w:val="nil"/>
              <w:left w:val="nil"/>
              <w:bottom w:val="nil"/>
              <w:right w:val="nil"/>
            </w:tcBorders>
            <w:shd w:val="clear" w:color="auto" w:fill="auto"/>
            <w:noWrap/>
            <w:vAlign w:val="center"/>
            <w:hideMark/>
          </w:tcPr>
          <w:p w14:paraId="37517BEC"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Si-O-Si</w:t>
            </w:r>
          </w:p>
        </w:tc>
        <w:tc>
          <w:tcPr>
            <w:tcW w:w="2693" w:type="dxa"/>
            <w:tcBorders>
              <w:top w:val="nil"/>
              <w:left w:val="nil"/>
              <w:bottom w:val="nil"/>
              <w:right w:val="nil"/>
            </w:tcBorders>
            <w:shd w:val="clear" w:color="auto" w:fill="auto"/>
            <w:noWrap/>
            <w:vAlign w:val="center"/>
            <w:hideMark/>
          </w:tcPr>
          <w:p w14:paraId="4C0BD544"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Symmetric stretching</w:t>
            </w:r>
          </w:p>
        </w:tc>
        <w:tc>
          <w:tcPr>
            <w:tcW w:w="3065" w:type="dxa"/>
            <w:tcBorders>
              <w:top w:val="nil"/>
              <w:left w:val="nil"/>
              <w:bottom w:val="nil"/>
              <w:right w:val="nil"/>
            </w:tcBorders>
            <w:shd w:val="clear" w:color="auto" w:fill="auto"/>
            <w:noWrap/>
            <w:vAlign w:val="bottom"/>
            <w:hideMark/>
          </w:tcPr>
          <w:p w14:paraId="7D0164F2"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Pr>
                <w:rFonts w:eastAsia="Times New Roman" w:cs="Times New Roman"/>
                <w:b w:val="0"/>
                <w:color w:val="000000"/>
                <w:lang w:eastAsia="en-MY"/>
              </w:rPr>
              <w:instrText>ADDIN CSL_CITATION { "citationItems" : [ { "id" : "ITEM-1", "itemData" : { "DOI" : "10.1016/j.molstruc.2014.01.062", "ISSN" : "00222860", "author" : [ { "dropping-particle" : "", "family" : "Wang", "given" : "Mitang", "non-dropping-particle" : "", "parse-names" : false, "suffix" : "" }, { "dropping-particle" : "", "family" : "Li", "given" : "Mei", "non-dropping-particle" : "", "parse-names" : false, "suffix" : "" }, { "dropping-particle" : "", "family" : "Cheng", "given" : "Jinshu", "non-dropping-particle" : "", "parse-names" : false, "suffix" : "" }, { "dropping-particle" : "", "family" : "He", "given" : "Feng", "non-dropping-particle" : "", "parse-names" : false, "suffix" : "" } ], "container-title" : "Journal of Molecular Structure", "id" : "ITEM-1", "issued" : { "date-parts" : [ [ "2014", "4" ] ] }, "page" : "139-144", "publisher" : "Elsevier B.V.", "title" : "Structure and viscosity of soda lime silicate glasses with varying Gd2O3 content", "type" : "article-journal", "volume" : "1063" }, "uris" : [ "http://www.mendeley.com/documents/?uuid=6018699b-2fbe-485e-a176-20b2004988c0" ] } ], "mendeley" : { "formattedCitation" : "(M. Wang et al., 2014)", "manualFormatting" : "(Wang et al., 2014)", "plainTextFormattedCitation" : "(M. Wang et al., 2014)", "previouslyFormattedCitation" : "(M. Wang et al., 2014)"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(Wang et al., 2014)</w:t>
            </w:r>
            <w:r w:rsidRPr="000E2377">
              <w:rPr>
                <w:rFonts w:eastAsia="Times New Roman" w:cs="Times New Roman"/>
                <w:b w:val="0"/>
                <w:color w:val="000000"/>
                <w:lang w:eastAsia="en-MY"/>
              </w:rPr>
              <w:fldChar w:fldCharType="end"/>
            </w:r>
          </w:p>
        </w:tc>
      </w:tr>
      <w:tr w:rsidR="00D740DC" w:rsidRPr="000E2377" w14:paraId="69AE19F7" w14:textId="77777777" w:rsidTr="00B11F5F">
        <w:trPr>
          <w:trHeight w:val="300"/>
        </w:trPr>
        <w:tc>
          <w:tcPr>
            <w:tcW w:w="1701" w:type="dxa"/>
            <w:tcBorders>
              <w:top w:val="nil"/>
              <w:left w:val="nil"/>
              <w:bottom w:val="nil"/>
              <w:right w:val="nil"/>
            </w:tcBorders>
            <w:shd w:val="clear" w:color="auto" w:fill="D9D9D9" w:themeFill="background1" w:themeFillShade="D9"/>
            <w:noWrap/>
            <w:vAlign w:val="center"/>
            <w:hideMark/>
          </w:tcPr>
          <w:p w14:paraId="13D835C9"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762</w:t>
            </w:r>
          </w:p>
        </w:tc>
        <w:tc>
          <w:tcPr>
            <w:tcW w:w="1418" w:type="dxa"/>
            <w:tcBorders>
              <w:top w:val="nil"/>
              <w:left w:val="nil"/>
              <w:bottom w:val="nil"/>
              <w:right w:val="nil"/>
            </w:tcBorders>
            <w:shd w:val="clear" w:color="auto" w:fill="D9D9D9" w:themeFill="background1" w:themeFillShade="D9"/>
            <w:noWrap/>
            <w:vAlign w:val="center"/>
            <w:hideMark/>
          </w:tcPr>
          <w:p w14:paraId="68941B36"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Si-O</w:t>
            </w:r>
          </w:p>
        </w:tc>
        <w:tc>
          <w:tcPr>
            <w:tcW w:w="2693" w:type="dxa"/>
            <w:tcBorders>
              <w:top w:val="nil"/>
              <w:left w:val="nil"/>
              <w:bottom w:val="nil"/>
              <w:right w:val="nil"/>
            </w:tcBorders>
            <w:shd w:val="clear" w:color="auto" w:fill="D9D9D9" w:themeFill="background1" w:themeFillShade="D9"/>
            <w:noWrap/>
            <w:vAlign w:val="center"/>
            <w:hideMark/>
          </w:tcPr>
          <w:p w14:paraId="14E4D37E"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Bending</w:t>
            </w:r>
          </w:p>
        </w:tc>
        <w:tc>
          <w:tcPr>
            <w:tcW w:w="3065" w:type="dxa"/>
            <w:tcBorders>
              <w:top w:val="nil"/>
              <w:left w:val="nil"/>
              <w:bottom w:val="nil"/>
              <w:right w:val="nil"/>
            </w:tcBorders>
            <w:shd w:val="clear" w:color="auto" w:fill="D9D9D9" w:themeFill="background1" w:themeFillShade="D9"/>
            <w:noWrap/>
            <w:vAlign w:val="bottom"/>
            <w:hideMark/>
          </w:tcPr>
          <w:p w14:paraId="29923954"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"DOI" : "10.1016/j.jnoncrysol.2003.09.013", "ISSN" : "00223093", "author" : [ { "dropping-particle" : "", "family" : "Serra", "given" : "J.", "non-dropping-particle" : "", "parse-names" : false, "suffix" : "" }, { "dropping-particle" : "", "family" : "Gonz\u00e1lez", "given" : "P.", "non-dropping-particle" : "", "parse-names" : false, "suffix" : "" }, { "dropping-particle" : "", "family" : "Liste", "given" : "S.", "non-dropping-particle" : "", "parse-names" : false, "suffix" : "" }, { "dropping-particle" : "", "family" : "Serra", "given" : "C.", "non-dropping-particle" : "", "parse-names" : false, "suffix" : "" }, { "dropping-particle" : "", "family" : "Chiussi", "given" : "S.", "non-dropping-particle" : "", "parse-names" : false, "suffix" : "" }, { "dropping-particle" : "", "family" : "Le\u00f3n", "given" : "B.", "non-dropping-particle" : "", "parse-names" : false, "suffix" : "" }, { "dropping-particle" : "", "family" : "P\u00e9rez-Amor", "given" : "M.", "non-dropping-particle" : "", "parse-names" : false, "suffix" : "" }, { "dropping-particle" : "", "family" : "Yl\u00e4nen", "given" : "H.O.", "non-dropping-particle" : "", "parse-names" : false, "suffix" : "" }, { "dropping-particle" : "", "family" : "Hupa", "given" : "M.", "non-dropping-particle" : "", "parse-names" : false, "suffix" : "" } ], "container-title" : "Journal of Non-Crystalline Solids", "id" : "ITEM-1", "issue" : "1-3", "issued" : { "date-parts" : [ [ "2003", "12" ] ] }, "page" : "20-27", "title" : "FTIR and XPS studies of bioactive silica based glasses", "type" : "article-journal", "volume" : "332" }, "uris" : [ "http://www.mendeley.com/documents/?uuid=04aa57b6-3719-42df-91f3-671acb82c7da" ] } ], "mendeley" : { "formattedCitation" : "(Serra et al., 2003)", "plainTextFormattedCitation" : "(Serra et al., 2003)", "previouslyFormattedCitation" : "(Serra et al., 2003)"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(Serra et al., 2003)</w:t>
            </w:r>
            <w:r w:rsidRPr="000E2377">
              <w:rPr>
                <w:rFonts w:eastAsia="Times New Roman" w:cs="Times New Roman"/>
                <w:b w:val="0"/>
                <w:color w:val="000000"/>
                <w:lang w:eastAsia="en-MY"/>
              </w:rPr>
              <w:fldChar w:fldCharType="end"/>
            </w:r>
          </w:p>
        </w:tc>
      </w:tr>
      <w:tr w:rsidR="00D740DC" w:rsidRPr="000E2377" w14:paraId="1925A479" w14:textId="77777777" w:rsidTr="00B11F5F">
        <w:trPr>
          <w:trHeight w:val="300"/>
        </w:trPr>
        <w:tc>
          <w:tcPr>
            <w:tcW w:w="1701" w:type="dxa"/>
            <w:tcBorders>
              <w:top w:val="nil"/>
              <w:left w:val="nil"/>
              <w:bottom w:val="nil"/>
              <w:right w:val="nil"/>
            </w:tcBorders>
            <w:shd w:val="clear" w:color="auto" w:fill="auto"/>
            <w:noWrap/>
            <w:vAlign w:val="center"/>
            <w:hideMark/>
          </w:tcPr>
          <w:p w14:paraId="5726F963"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775-800</w:t>
            </w:r>
          </w:p>
        </w:tc>
        <w:tc>
          <w:tcPr>
            <w:tcW w:w="1418" w:type="dxa"/>
            <w:tcBorders>
              <w:top w:val="nil"/>
              <w:left w:val="nil"/>
              <w:bottom w:val="nil"/>
              <w:right w:val="nil"/>
            </w:tcBorders>
            <w:shd w:val="clear" w:color="auto" w:fill="auto"/>
            <w:noWrap/>
            <w:vAlign w:val="center"/>
            <w:hideMark/>
          </w:tcPr>
          <w:p w14:paraId="0D3A30F2"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O-Si-O</w:t>
            </w:r>
          </w:p>
        </w:tc>
        <w:tc>
          <w:tcPr>
            <w:tcW w:w="2693" w:type="dxa"/>
            <w:tcBorders>
              <w:top w:val="nil"/>
              <w:left w:val="nil"/>
              <w:bottom w:val="nil"/>
              <w:right w:val="nil"/>
            </w:tcBorders>
            <w:shd w:val="clear" w:color="auto" w:fill="auto"/>
            <w:noWrap/>
            <w:vAlign w:val="center"/>
            <w:hideMark/>
          </w:tcPr>
          <w:p w14:paraId="0C746F8F"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Symmetric vibration</w:t>
            </w:r>
          </w:p>
        </w:tc>
        <w:tc>
          <w:tcPr>
            <w:tcW w:w="3065" w:type="dxa"/>
            <w:tcBorders>
              <w:top w:val="nil"/>
              <w:left w:val="nil"/>
              <w:bottom w:val="nil"/>
              <w:right w:val="nil"/>
            </w:tcBorders>
            <w:shd w:val="clear" w:color="auto" w:fill="auto"/>
            <w:noWrap/>
            <w:vAlign w:val="bottom"/>
            <w:hideMark/>
          </w:tcPr>
          <w:p w14:paraId="69E88AE7"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"DOI" : "10.1016/j.jnoncrysol.2006.02.118", "ISSN" : "00223093", "author" : [ { "dropping-particle" : "", "family" : "Bengisu", "given" : "M.", "non-dropping-particle" : "", "parse-names" : false, "suffix" : "" }, { "dropping-particle" : "", "family" : "Brow", "given" : "R.K.", "non-dropping-particle" : "", "parse-names" : false, "suffix" : "" }, { "dropping-particle" : "", "family" : "Yilmaz", "given" : "E.", "non-dropping-particle" : "", "parse-names" : false, "suffix" : "" }, { "dropping-particle" : "", "family" : "Mogu\u0161-Milankovi\u0107", "given" : "a.", "non-dropping-particle" : "", "parse-names" : false, "suffix" : "" }, { "dropping-particle" : "", "family" : "Reis", "given" : "S.T.", "non-dropping-particle" : "", "parse-names" : false, "suffix" : "" } ], "container-title" : "Journal of Non-Crystalline Solids", "id" : "ITEM-1", "issue" : "32-35", "issued" : { "date-parts" : [ [ "2006", "9" ] ] }, "page" : "3668-3676", "title" : "Aluminoborate and aluminoborosilicate glasses with high chemical durability and the effect of P2O5 additions on the properties", "type" : "article-journal", "volume" : "352" }, "uris" : [ "http://www.mendeley.com/documents/?uuid=aa486e55-9227-4481-83ee-f315b86c0d07" ] } ], "mendeley" : { "formattedCitation" : "(Bengisu et al., 2006)", "plainTextFormattedCitation" : "(Bengisu et al., 2006)", "previouslyFormattedCitation" : "(Bengisu et al., 2006)"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(Bengisu et al., 2006)</w:t>
            </w:r>
            <w:r w:rsidRPr="000E2377">
              <w:rPr>
                <w:rFonts w:eastAsia="Times New Roman" w:cs="Times New Roman"/>
                <w:b w:val="0"/>
                <w:color w:val="000000"/>
                <w:lang w:eastAsia="en-MY"/>
              </w:rPr>
              <w:fldChar w:fldCharType="end"/>
            </w:r>
          </w:p>
        </w:tc>
      </w:tr>
      <w:tr w:rsidR="00D740DC" w:rsidRPr="000E2377" w14:paraId="77140518" w14:textId="77777777" w:rsidTr="00B11F5F">
        <w:trPr>
          <w:trHeight w:val="300"/>
        </w:trPr>
        <w:tc>
          <w:tcPr>
            <w:tcW w:w="1701" w:type="dxa"/>
            <w:tcBorders>
              <w:top w:val="nil"/>
              <w:left w:val="nil"/>
              <w:bottom w:val="nil"/>
              <w:right w:val="nil"/>
            </w:tcBorders>
            <w:shd w:val="clear" w:color="auto" w:fill="D9D9D9" w:themeFill="background1" w:themeFillShade="D9"/>
            <w:noWrap/>
            <w:vAlign w:val="center"/>
            <w:hideMark/>
          </w:tcPr>
          <w:p w14:paraId="542386A7"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lastRenderedPageBreak/>
              <w:t>690-720</w:t>
            </w:r>
          </w:p>
        </w:tc>
        <w:tc>
          <w:tcPr>
            <w:tcW w:w="1418" w:type="dxa"/>
            <w:tcBorders>
              <w:top w:val="nil"/>
              <w:left w:val="nil"/>
              <w:bottom w:val="nil"/>
              <w:right w:val="nil"/>
            </w:tcBorders>
            <w:shd w:val="clear" w:color="auto" w:fill="D9D9D9" w:themeFill="background1" w:themeFillShade="D9"/>
            <w:noWrap/>
            <w:vAlign w:val="center"/>
            <w:hideMark/>
          </w:tcPr>
          <w:p w14:paraId="71F1A68E"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BO</w:t>
            </w:r>
            <w:r w:rsidRPr="000E2377">
              <w:rPr>
                <w:rFonts w:eastAsia="Times New Roman" w:cs="Times New Roman"/>
                <w:b w:val="0"/>
                <w:color w:val="000000"/>
                <w:vertAlign w:val="subscript"/>
                <w:lang w:eastAsia="en-MY"/>
              </w:rPr>
              <w:t>3</w:t>
            </w:r>
          </w:p>
        </w:tc>
        <w:tc>
          <w:tcPr>
            <w:tcW w:w="2693" w:type="dxa"/>
            <w:tcBorders>
              <w:top w:val="nil"/>
              <w:left w:val="nil"/>
              <w:bottom w:val="nil"/>
              <w:right w:val="nil"/>
            </w:tcBorders>
            <w:shd w:val="clear" w:color="auto" w:fill="D9D9D9" w:themeFill="background1" w:themeFillShade="D9"/>
            <w:noWrap/>
            <w:vAlign w:val="center"/>
            <w:hideMark/>
          </w:tcPr>
          <w:p w14:paraId="5E8F9962"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Bending</w:t>
            </w:r>
          </w:p>
        </w:tc>
        <w:tc>
          <w:tcPr>
            <w:tcW w:w="3065" w:type="dxa"/>
            <w:tcBorders>
              <w:top w:val="nil"/>
              <w:left w:val="nil"/>
              <w:bottom w:val="nil"/>
              <w:right w:val="nil"/>
            </w:tcBorders>
            <w:shd w:val="clear" w:color="auto" w:fill="D9D9D9" w:themeFill="background1" w:themeFillShade="D9"/>
            <w:noWrap/>
            <w:vAlign w:val="bottom"/>
            <w:hideMark/>
          </w:tcPr>
          <w:p w14:paraId="45FC31EC"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"DOI" : "10.1016/j.jnoncrysol.2006.02.118", "ISSN" : "00223093", "author" : [ { "dropping-particle" : "", "family" : "Bengisu", "given" : "M.", "non-dropping-particle" : "", "parse-names" : false, "suffix" : "" }, { "dropping-particle" : "", "family" : "Brow", "given" : "R.K.", "non-dropping-particle" : "", "parse-names" : false, "suffix" : "" }, { "dropping-particle" : "", "family" : "Yilmaz", "given" : "E.", "non-dropping-particle" : "", "parse-names" : false, "suffix" : "" }, { "dropping-particle" : "", "family" : "Mogu\u0161-Milankovi\u0107", "given" : "a.", "non-dropping-particle" : "", "parse-names" : false, "suffix" : "" }, { "dropping-particle" : "", "family" : "Reis", "given" : "S.T.", "non-dropping-particle" : "", "parse-names" : false, "suffix" : "" } ], "container-title" : "Journal of Non-Crystalline Solids", "id" : "ITEM-1", "issue" : "32-35", "issued" : { "date-parts" : [ [ "2006", "9" ] ] }, "page" : "3668-3676", "title" : "Aluminoborate and aluminoborosilicate glasses with high chemical durability and the effect of P2O5 additions on the properties", "type" : "article-journal", "volume" : "352" }, "uris" : [ "http://www.mendeley.com/documents/?uuid=aa486e55-9227-4481-83ee-f315b86c0d07" ] } ], "mendeley" : { "formattedCitation" : "(Bengisu et al., 2006)", "plainTextFormattedCitation" : "(Bengisu et al., 2006)", "previouslyFormattedCitation" : "(Bengisu et al., 2006)"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(Bengisu et al., 2006)</w:t>
            </w:r>
            <w:r w:rsidRPr="000E2377">
              <w:rPr>
                <w:rFonts w:eastAsia="Times New Roman" w:cs="Times New Roman"/>
                <w:b w:val="0"/>
                <w:color w:val="000000"/>
                <w:lang w:eastAsia="en-MY"/>
              </w:rPr>
              <w:fldChar w:fldCharType="end"/>
            </w:r>
          </w:p>
        </w:tc>
      </w:tr>
      <w:tr w:rsidR="00D740DC" w:rsidRPr="000E2377" w14:paraId="3B4249A5" w14:textId="77777777" w:rsidTr="00B11F5F">
        <w:trPr>
          <w:trHeight w:val="300"/>
        </w:trPr>
        <w:tc>
          <w:tcPr>
            <w:tcW w:w="1701" w:type="dxa"/>
            <w:tcBorders>
              <w:top w:val="nil"/>
              <w:left w:val="nil"/>
              <w:bottom w:val="nil"/>
              <w:right w:val="nil"/>
            </w:tcBorders>
            <w:shd w:val="clear" w:color="auto" w:fill="auto"/>
            <w:noWrap/>
            <w:vAlign w:val="center"/>
            <w:hideMark/>
          </w:tcPr>
          <w:p w14:paraId="56146C2B"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710</w:t>
            </w:r>
          </w:p>
        </w:tc>
        <w:tc>
          <w:tcPr>
            <w:tcW w:w="1418" w:type="dxa"/>
            <w:tcBorders>
              <w:top w:val="nil"/>
              <w:left w:val="nil"/>
              <w:bottom w:val="nil"/>
              <w:right w:val="nil"/>
            </w:tcBorders>
            <w:shd w:val="clear" w:color="auto" w:fill="auto"/>
            <w:noWrap/>
            <w:vAlign w:val="center"/>
            <w:hideMark/>
          </w:tcPr>
          <w:p w14:paraId="68869099"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B-O-B</w:t>
            </w:r>
          </w:p>
        </w:tc>
        <w:tc>
          <w:tcPr>
            <w:tcW w:w="2693" w:type="dxa"/>
            <w:tcBorders>
              <w:top w:val="nil"/>
              <w:left w:val="nil"/>
              <w:bottom w:val="nil"/>
              <w:right w:val="nil"/>
            </w:tcBorders>
            <w:shd w:val="clear" w:color="auto" w:fill="auto"/>
            <w:noWrap/>
            <w:vAlign w:val="center"/>
            <w:hideMark/>
          </w:tcPr>
          <w:p w14:paraId="0D663BC4"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Bending or</w:t>
            </w:r>
          </w:p>
        </w:tc>
        <w:tc>
          <w:tcPr>
            <w:tcW w:w="3065" w:type="dxa"/>
            <w:tcBorders>
              <w:top w:val="nil"/>
              <w:left w:val="nil"/>
              <w:bottom w:val="nil"/>
              <w:right w:val="nil"/>
            </w:tcBorders>
            <w:shd w:val="clear" w:color="auto" w:fill="auto"/>
            <w:noWrap/>
            <w:vAlign w:val="bottom"/>
            <w:hideMark/>
          </w:tcPr>
          <w:p w14:paraId="260F7D2F"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"author" : [ { "dropping-particle" : "", "family" : "Wang", "given" : "Donsheng S.", "non-dropping-particle" : "", "parse-names" : false, "suffix" : "" }, { "dropping-particle" : "", "family" : "Pantano", "given" : "Carlo G", "non-dropping-particle" : "", "parse-names" : false, "suffix" : "" } ], "container-title" : "Journal of Non-Crystalline Solids", "id" : "ITEM-1", "issued" : { "date-parts" : [ [ "1992" ] ] }, "page" : "225-233", "title" : "Structural characterization of C a O - B 2 0 3 - A 1 2 0 3 - S i O 2 xerogels and glasses", "type" : "article-journal", "volume" : "142" }, "uris" : [ "http://www.mendeley.com/documents/?uuid=66d0cb81-85f0-4934-a121-1e580f9788f8" ] } ], "mendeley" : { "formattedCitation" : "(D. S. Wang &amp; Pantano, 1992)", "manualFormatting" : "(Wang &amp; Pantano, 1992)", "plainTextFormattedCitation" : "(D. S. Wang &amp; Pantano, 1992)", "previouslyFormattedCitation" : "(D. S. Wang &amp; Pantano, 1992)" }, "properties" : { "noteIndex" : 24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(Wang &amp; Pantano, 1992)</w:t>
            </w:r>
            <w:r w:rsidRPr="000E2377">
              <w:rPr>
                <w:rFonts w:eastAsia="Times New Roman" w:cs="Times New Roman"/>
                <w:b w:val="0"/>
                <w:color w:val="000000"/>
                <w:lang w:eastAsia="en-MY"/>
              </w:rPr>
              <w:fldChar w:fldCharType="end"/>
            </w:r>
          </w:p>
        </w:tc>
      </w:tr>
      <w:tr w:rsidR="00D740DC" w:rsidRPr="000E2377" w14:paraId="2B3FE8D8" w14:textId="77777777" w:rsidTr="00B11F5F">
        <w:trPr>
          <w:trHeight w:val="300"/>
        </w:trPr>
        <w:tc>
          <w:tcPr>
            <w:tcW w:w="1701" w:type="dxa"/>
            <w:tcBorders>
              <w:top w:val="nil"/>
              <w:left w:val="nil"/>
              <w:bottom w:val="nil"/>
              <w:right w:val="nil"/>
            </w:tcBorders>
            <w:shd w:val="clear" w:color="auto" w:fill="auto"/>
            <w:noWrap/>
            <w:vAlign w:val="center"/>
            <w:hideMark/>
          </w:tcPr>
          <w:p w14:paraId="7910030C" w14:textId="77777777" w:rsidR="00D740DC" w:rsidRPr="000E2377" w:rsidRDefault="00D740DC" w:rsidP="00B11F5F">
            <w:pPr>
              <w:spacing w:after="0" w:line="360" w:lineRule="auto"/>
              <w:rPr>
                <w:rFonts w:eastAsia="Times New Roman" w:cs="Times New Roman"/>
                <w:b w:val="0"/>
                <w:sz w:val="20"/>
                <w:szCs w:val="20"/>
                <w:lang w:eastAsia="en-MY"/>
              </w:rPr>
            </w:pPr>
          </w:p>
        </w:tc>
        <w:tc>
          <w:tcPr>
            <w:tcW w:w="1418" w:type="dxa"/>
            <w:tcBorders>
              <w:top w:val="nil"/>
              <w:left w:val="nil"/>
              <w:bottom w:val="nil"/>
              <w:right w:val="nil"/>
            </w:tcBorders>
            <w:shd w:val="clear" w:color="auto" w:fill="auto"/>
            <w:noWrap/>
            <w:vAlign w:val="center"/>
            <w:hideMark/>
          </w:tcPr>
          <w:p w14:paraId="7651E7D4"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Al-O-Al</w:t>
            </w:r>
          </w:p>
        </w:tc>
        <w:tc>
          <w:tcPr>
            <w:tcW w:w="2693" w:type="dxa"/>
            <w:tcBorders>
              <w:top w:val="nil"/>
              <w:left w:val="nil"/>
              <w:bottom w:val="nil"/>
              <w:right w:val="nil"/>
            </w:tcBorders>
            <w:shd w:val="clear" w:color="auto" w:fill="auto"/>
            <w:noWrap/>
            <w:vAlign w:val="center"/>
            <w:hideMark/>
          </w:tcPr>
          <w:p w14:paraId="3F37B59D"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Stretching</w:t>
            </w:r>
          </w:p>
        </w:tc>
        <w:tc>
          <w:tcPr>
            <w:tcW w:w="3065" w:type="dxa"/>
            <w:tcBorders>
              <w:top w:val="nil"/>
              <w:left w:val="nil"/>
              <w:bottom w:val="nil"/>
              <w:right w:val="nil"/>
            </w:tcBorders>
            <w:shd w:val="clear" w:color="auto" w:fill="auto"/>
            <w:noWrap/>
            <w:vAlign w:val="bottom"/>
            <w:hideMark/>
          </w:tcPr>
          <w:p w14:paraId="573F1CC7"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"author" : [ { "dropping-particle" : "", "family" : "Wang", "given" : "Donsheng S.", "non-dropping-particle" : "", "parse-names" : false, "suffix" : "" }, { "dropping-particle" : "", "family" : "Pantano", "given" : "Carlo G", "non-dropping-particle" : "", "parse-names" : false, "suffix" : "" } ], "container-title" : "Journal of Non-Crystalline Solids", "id" : "ITEM-1", "issued" : { "date-parts" : [ [ "1992" ] ] }, "page" : "225-233", "title" : "Structural characterization of C a O - B 2 0 3 - A 1 2 0 3 - S i O 2 xerogels and glasses", "type" : "article-journal", "volume" : "142" }, "uris" : [ "http://www.mendeley.com/documents/?uuid=66d0cb81-85f0-4934-a121-1e580f9788f8" ] } ], "mendeley" : { "formattedCitation" : "(D. S. Wang &amp; Pantano, 1992)", "manualFormatting" : "(Wang &amp; Pantano, 1992)", "plainTextFormattedCitation" : "(D. S. Wang &amp; Pantano, 1992)", "previouslyFormattedCitation" : "(D. S. Wang &amp; Pantano, 1992)" }, "properties" : { "noteIndex" : 24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(Wang &amp; Pantano, 1992)</w:t>
            </w:r>
            <w:r w:rsidRPr="000E2377">
              <w:rPr>
                <w:rFonts w:eastAsia="Times New Roman" w:cs="Times New Roman"/>
                <w:b w:val="0"/>
                <w:color w:val="000000"/>
                <w:lang w:eastAsia="en-MY"/>
              </w:rPr>
              <w:fldChar w:fldCharType="end"/>
            </w:r>
          </w:p>
        </w:tc>
      </w:tr>
      <w:tr w:rsidR="00D740DC" w:rsidRPr="000E2377" w14:paraId="64604C9E" w14:textId="77777777" w:rsidTr="002B5521">
        <w:trPr>
          <w:trHeight w:val="300"/>
        </w:trPr>
        <w:tc>
          <w:tcPr>
            <w:tcW w:w="1701" w:type="dxa"/>
            <w:tcBorders>
              <w:top w:val="nil"/>
              <w:left w:val="nil"/>
              <w:bottom w:val="nil"/>
              <w:right w:val="nil"/>
            </w:tcBorders>
            <w:shd w:val="clear" w:color="auto" w:fill="D9D9D9" w:themeFill="background1" w:themeFillShade="D9"/>
            <w:noWrap/>
            <w:vAlign w:val="center"/>
            <w:hideMark/>
          </w:tcPr>
          <w:p w14:paraId="4DD4652F" w14:textId="77777777" w:rsidR="00D740DC" w:rsidRPr="002B5521" w:rsidRDefault="00D740DC" w:rsidP="00B11F5F">
            <w:pPr>
              <w:spacing w:after="0" w:line="360" w:lineRule="auto"/>
              <w:rPr>
                <w:rFonts w:eastAsia="Times New Roman" w:cs="Times New Roman"/>
                <w:b w:val="0"/>
                <w:color w:val="000000"/>
                <w:lang w:eastAsia="en-MY"/>
              </w:rPr>
            </w:pPr>
            <w:r w:rsidRPr="002B5521">
              <w:rPr>
                <w:rFonts w:eastAsia="Times New Roman" w:cs="Times New Roman"/>
                <w:b w:val="0"/>
                <w:color w:val="000000"/>
                <w:lang w:eastAsia="en-MY"/>
              </w:rPr>
              <w:t>700-770</w:t>
            </w:r>
          </w:p>
        </w:tc>
        <w:tc>
          <w:tcPr>
            <w:tcW w:w="1418" w:type="dxa"/>
            <w:tcBorders>
              <w:top w:val="nil"/>
              <w:left w:val="nil"/>
              <w:bottom w:val="nil"/>
              <w:right w:val="nil"/>
            </w:tcBorders>
            <w:shd w:val="clear" w:color="auto" w:fill="D9D9D9" w:themeFill="background1" w:themeFillShade="D9"/>
            <w:noWrap/>
            <w:vAlign w:val="center"/>
            <w:hideMark/>
          </w:tcPr>
          <w:p w14:paraId="683A972F" w14:textId="77777777" w:rsidR="00D740DC" w:rsidRPr="002B5521" w:rsidRDefault="00D740DC" w:rsidP="00B11F5F">
            <w:pPr>
              <w:spacing w:after="0" w:line="360" w:lineRule="auto"/>
              <w:rPr>
                <w:rFonts w:eastAsia="Times New Roman" w:cs="Times New Roman"/>
                <w:b w:val="0"/>
                <w:color w:val="000000"/>
                <w:lang w:eastAsia="en-MY"/>
              </w:rPr>
            </w:pPr>
            <w:r w:rsidRPr="002B5521">
              <w:rPr>
                <w:rFonts w:eastAsia="Times New Roman" w:cs="Times New Roman"/>
                <w:b w:val="0"/>
                <w:color w:val="000000"/>
                <w:lang w:eastAsia="en-MY"/>
              </w:rPr>
              <w:t>B-O-B</w:t>
            </w:r>
          </w:p>
        </w:tc>
        <w:tc>
          <w:tcPr>
            <w:tcW w:w="2693" w:type="dxa"/>
            <w:tcBorders>
              <w:top w:val="nil"/>
              <w:left w:val="nil"/>
              <w:bottom w:val="nil"/>
              <w:right w:val="nil"/>
            </w:tcBorders>
            <w:shd w:val="clear" w:color="auto" w:fill="D9D9D9" w:themeFill="background1" w:themeFillShade="D9"/>
            <w:noWrap/>
            <w:vAlign w:val="center"/>
            <w:hideMark/>
          </w:tcPr>
          <w:p w14:paraId="2AC6E17C" w14:textId="77777777" w:rsidR="00D740DC" w:rsidRPr="002B5521" w:rsidRDefault="00D740DC" w:rsidP="00B11F5F">
            <w:pPr>
              <w:spacing w:after="0" w:line="360" w:lineRule="auto"/>
              <w:rPr>
                <w:rFonts w:eastAsia="Times New Roman" w:cs="Times New Roman"/>
                <w:b w:val="0"/>
                <w:color w:val="000000"/>
                <w:lang w:eastAsia="en-MY"/>
              </w:rPr>
            </w:pPr>
            <w:r w:rsidRPr="002B5521">
              <w:rPr>
                <w:rFonts w:eastAsia="Times New Roman" w:cs="Times New Roman"/>
                <w:b w:val="0"/>
                <w:color w:val="000000"/>
                <w:lang w:eastAsia="en-MY"/>
              </w:rPr>
              <w:t>Bending</w:t>
            </w:r>
          </w:p>
        </w:tc>
        <w:tc>
          <w:tcPr>
            <w:tcW w:w="3065" w:type="dxa"/>
            <w:tcBorders>
              <w:top w:val="nil"/>
              <w:left w:val="nil"/>
              <w:bottom w:val="nil"/>
              <w:right w:val="nil"/>
            </w:tcBorders>
            <w:shd w:val="clear" w:color="auto" w:fill="D9D9D9" w:themeFill="background1" w:themeFillShade="D9"/>
            <w:noWrap/>
            <w:vAlign w:val="bottom"/>
            <w:hideMark/>
          </w:tcPr>
          <w:p w14:paraId="2AC50BBE" w14:textId="77777777" w:rsidR="00D740DC" w:rsidRPr="002B5521" w:rsidRDefault="00D740DC" w:rsidP="00B11F5F">
            <w:pPr>
              <w:spacing w:after="0" w:line="360" w:lineRule="auto"/>
              <w:jc w:val="center"/>
              <w:rPr>
                <w:rFonts w:eastAsia="Times New Roman" w:cs="Times New Roman"/>
                <w:b w:val="0"/>
                <w:color w:val="000000"/>
                <w:lang w:eastAsia="en-MY"/>
              </w:rPr>
            </w:pPr>
            <w:r w:rsidRPr="002B5521">
              <w:rPr>
                <w:rFonts w:eastAsia="Times New Roman" w:cs="Times New Roman"/>
                <w:b w:val="0"/>
                <w:color w:val="000000"/>
                <w:lang w:eastAsia="en-MY"/>
              </w:rPr>
              <w:fldChar w:fldCharType="begin" w:fldLock="1"/>
            </w:r>
            <w:r w:rsidRPr="002B5521">
              <w:rPr>
                <w:rFonts w:eastAsia="Times New Roman" w:cs="Times New Roman"/>
                <w:b w:val="0"/>
                <w:color w:val="000000"/>
                <w:lang w:eastAsia="en-MY"/>
              </w:rPr>
              <w:instrText>ADDIN CSL_CITATION { "citationItems" : [ { "id" : "ITEM-1", "itemData" : { "DOI" : "10.1016/S0022-3093(01)00704-9", "ISSN" : "00223093", "abstract" : "Properties and structures of potassium, barium and magnesium alumino-metaphosphate glasses (O/P\u22483) have been investigated. Adding Al(PO3)3 to an alkali or alkaline earth metaphosphate glass improves the chemical durability, increases the glass transition temperature and reduces thermal expansion and residual OH-content. Infrared spectra are dominated by metaphosphate vibrational modes, the frequencies of which are dependent on the field strengths of the modifying cations. MAS NMR spectroscopy indicates that aluminum ions are incorporated into the aluminophosphate network primarily in octahedral sites, although tetrahedral and pentahedral sites are also present. The average aluminum co-ordination number decreases in the series K+&gt;Ba2+&gt;Mg2+ and this is related to a reduction in the basicity of glasses with higher field strength modifiers.", "author" : [ { "dropping-particle" : "", "family" : "Metwalli", "given" : "E", "non-dropping-particle" : "", "parse-names" : false, "suffix" : "" }, { "dropping-particle" : "", "family" : "Brow", "given" : "R. K.", "non-dropping-particle" : "", "parse-names" : false, "suffix" : "" } ], "container-title" : "Journal of Non-Crystalline Solids", "id" : "ITEM-1", "issued" : { "date-parts" : [ [ "2001" ] ] }, "page" : "113-122", "title" : "Modifier effects on the properties and structures of aluminophosphate glasses", "type" : "article-journal", "volume" : "289" }, "uris" : [ "http://www.mendeley.com/documents/?uuid=7d6e3782-b7ec-45a9-ab17-7683b6f1d3f2" ] } ], "mendeley" : { "formattedCitation" : "(Metwalli &amp; Brow, 2001)", "plainTextFormattedCitation" : "(Metwalli &amp; Brow, 2001)", "previouslyFormattedCitation" : "(Metwalli &amp; Brow, 2001)" }, "properties" : { "noteIndex" : 24 }, "schema" : "https://github.com/citation-style-language/schema/raw/master/csl-citation.json" }</w:instrText>
            </w:r>
            <w:r w:rsidRPr="002B5521">
              <w:rPr>
                <w:rFonts w:eastAsia="Times New Roman" w:cs="Times New Roman"/>
                <w:b w:val="0"/>
                <w:color w:val="000000"/>
                <w:lang w:eastAsia="en-MY"/>
              </w:rPr>
              <w:fldChar w:fldCharType="separate"/>
            </w:r>
            <w:r w:rsidRPr="002B5521">
              <w:rPr>
                <w:rFonts w:eastAsia="Times New Roman" w:cs="Times New Roman"/>
                <w:b w:val="0"/>
                <w:noProof/>
                <w:color w:val="000000"/>
                <w:lang w:eastAsia="en-MY"/>
              </w:rPr>
              <w:t>(Metwalli &amp; Brow, 2001)</w:t>
            </w:r>
            <w:r w:rsidRPr="002B5521">
              <w:rPr>
                <w:rFonts w:eastAsia="Times New Roman" w:cs="Times New Roman"/>
                <w:b w:val="0"/>
                <w:color w:val="000000"/>
                <w:lang w:eastAsia="en-MY"/>
              </w:rPr>
              <w:fldChar w:fldCharType="end"/>
            </w:r>
          </w:p>
        </w:tc>
      </w:tr>
      <w:tr w:rsidR="00D740DC" w:rsidRPr="000E2377" w14:paraId="1472BFAC" w14:textId="77777777" w:rsidTr="00B11F5F">
        <w:trPr>
          <w:trHeight w:val="738"/>
        </w:trPr>
        <w:tc>
          <w:tcPr>
            <w:tcW w:w="1701" w:type="dxa"/>
            <w:tcBorders>
              <w:top w:val="nil"/>
              <w:left w:val="nil"/>
              <w:bottom w:val="nil"/>
              <w:right w:val="nil"/>
            </w:tcBorders>
            <w:shd w:val="clear" w:color="auto" w:fill="auto"/>
            <w:noWrap/>
            <w:vAlign w:val="center"/>
            <w:hideMark/>
          </w:tcPr>
          <w:p w14:paraId="5D682602"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640-680</w:t>
            </w:r>
          </w:p>
        </w:tc>
        <w:tc>
          <w:tcPr>
            <w:tcW w:w="1418" w:type="dxa"/>
            <w:tcBorders>
              <w:top w:val="nil"/>
              <w:left w:val="nil"/>
              <w:bottom w:val="nil"/>
              <w:right w:val="nil"/>
            </w:tcBorders>
            <w:shd w:val="clear" w:color="auto" w:fill="auto"/>
            <w:noWrap/>
            <w:vAlign w:val="center"/>
            <w:hideMark/>
          </w:tcPr>
          <w:p w14:paraId="7F87080B" w14:textId="77777777" w:rsidR="00D740DC"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 xml:space="preserve">Si-O-Si and </w:t>
            </w:r>
          </w:p>
          <w:p w14:paraId="7A4C8EB8"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O-Si-O</w:t>
            </w:r>
          </w:p>
        </w:tc>
        <w:tc>
          <w:tcPr>
            <w:tcW w:w="2693" w:type="dxa"/>
            <w:tcBorders>
              <w:top w:val="nil"/>
              <w:left w:val="nil"/>
              <w:bottom w:val="nil"/>
              <w:right w:val="nil"/>
            </w:tcBorders>
            <w:shd w:val="clear" w:color="auto" w:fill="auto"/>
            <w:noWrap/>
            <w:vAlign w:val="center"/>
            <w:hideMark/>
          </w:tcPr>
          <w:p w14:paraId="660C2B71"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Bending</w:t>
            </w:r>
          </w:p>
        </w:tc>
        <w:tc>
          <w:tcPr>
            <w:tcW w:w="3065" w:type="dxa"/>
            <w:tcBorders>
              <w:top w:val="nil"/>
              <w:left w:val="nil"/>
              <w:bottom w:val="nil"/>
              <w:right w:val="nil"/>
            </w:tcBorders>
            <w:shd w:val="clear" w:color="auto" w:fill="auto"/>
            <w:noWrap/>
            <w:vAlign w:val="bottom"/>
            <w:hideMark/>
          </w:tcPr>
          <w:p w14:paraId="7BEB7EF7"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"DOI" : "10.1016/j.molstruc.2014.06.011", "ISBN" : "1221133152", "ISSN" : "00222860", "author" : [ { "dropping-particle" : "", "family" : "Abdelghany", "given" : "A.M.", "non-dropping-particle" : "", "parse-names" : false, "suffix" : "" }, { "dropping-particle" : "", "family" : "ElBatal", "given" : "F.H.", "non-dropping-particle" : "", "parse-names" : false, "suffix" : "" }, { "dropping-particle" : "", "family" : "ElBatal", "given" : "H.A.", "non-dropping-particle" : "", "parse-names" : false, "suffix" : "" }, { "dropping-particle" : "", "family" : "EzzElDin", "given" : "F.M.", "non-dropping-particle" : "", "parse-names" : false, "suffix" : "" } ], "container-title" : "Journal of Molecular Structure", "id" : "ITEM-1", "issued" : { "date-parts" : [ [ "2014", "9" ] ] }, "note" : "Read", "page" : "503-510", "publisher" : "Elsevier B.V.", "title" : "Optical and FTIR structural studies of CoO-doped sodium borate, sodium silicate and sodium phosphate glasses and effects of gamma irradiation-a comparative study", "type" : "article-journal", "volume" : "1074" }, "uris" : [ "http://www.mendeley.com/documents/?uuid=3a585b16-1227-4447-bddc-e680b2472cd4" ] } ], "mendeley" : { "formattedCitation" : "(Abdelghany et al., 2014)", "plainTextFormattedCitation" : "(Abdelghany et al., 2014)", "previouslyFormattedCitation" : "(Abdelghany et al., 2014)"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(Abdelghany et al., 2014)</w:t>
            </w:r>
            <w:r w:rsidRPr="000E2377">
              <w:rPr>
                <w:rFonts w:eastAsia="Times New Roman" w:cs="Times New Roman"/>
                <w:b w:val="0"/>
                <w:color w:val="000000"/>
                <w:lang w:eastAsia="en-MY"/>
              </w:rPr>
              <w:fldChar w:fldCharType="end"/>
            </w:r>
          </w:p>
        </w:tc>
      </w:tr>
      <w:tr w:rsidR="00D740DC" w:rsidRPr="000E2377" w14:paraId="55E92BB1" w14:textId="77777777" w:rsidTr="00B11F5F">
        <w:trPr>
          <w:trHeight w:val="300"/>
        </w:trPr>
        <w:tc>
          <w:tcPr>
            <w:tcW w:w="1701" w:type="dxa"/>
            <w:tcBorders>
              <w:top w:val="nil"/>
              <w:left w:val="nil"/>
              <w:bottom w:val="nil"/>
              <w:right w:val="nil"/>
            </w:tcBorders>
            <w:shd w:val="clear" w:color="auto" w:fill="D9D9D9" w:themeFill="background1" w:themeFillShade="D9"/>
            <w:noWrap/>
            <w:vAlign w:val="center"/>
            <w:hideMark/>
          </w:tcPr>
          <w:p w14:paraId="112FD95E"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563-648</w:t>
            </w:r>
          </w:p>
        </w:tc>
        <w:tc>
          <w:tcPr>
            <w:tcW w:w="1418" w:type="dxa"/>
            <w:tcBorders>
              <w:top w:val="nil"/>
              <w:left w:val="nil"/>
              <w:bottom w:val="nil"/>
              <w:right w:val="nil"/>
            </w:tcBorders>
            <w:shd w:val="clear" w:color="auto" w:fill="D9D9D9" w:themeFill="background1" w:themeFillShade="D9"/>
            <w:noWrap/>
            <w:vAlign w:val="center"/>
            <w:hideMark/>
          </w:tcPr>
          <w:p w14:paraId="73B2A13E"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Si-O-Si</w:t>
            </w:r>
          </w:p>
        </w:tc>
        <w:tc>
          <w:tcPr>
            <w:tcW w:w="2693" w:type="dxa"/>
            <w:tcBorders>
              <w:top w:val="nil"/>
              <w:left w:val="nil"/>
              <w:bottom w:val="nil"/>
              <w:right w:val="nil"/>
            </w:tcBorders>
            <w:shd w:val="clear" w:color="auto" w:fill="D9D9D9" w:themeFill="background1" w:themeFillShade="D9"/>
            <w:noWrap/>
            <w:vAlign w:val="center"/>
            <w:hideMark/>
          </w:tcPr>
          <w:p w14:paraId="26E0CD46"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Bending</w:t>
            </w:r>
          </w:p>
        </w:tc>
        <w:tc>
          <w:tcPr>
            <w:tcW w:w="3065" w:type="dxa"/>
            <w:tcBorders>
              <w:top w:val="nil"/>
              <w:left w:val="nil"/>
              <w:bottom w:val="nil"/>
              <w:right w:val="nil"/>
            </w:tcBorders>
            <w:shd w:val="clear" w:color="auto" w:fill="D9D9D9" w:themeFill="background1" w:themeFillShade="D9"/>
            <w:noWrap/>
            <w:vAlign w:val="bottom"/>
            <w:hideMark/>
          </w:tcPr>
          <w:p w14:paraId="192FB2C0"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"DOI" : "10.1016/j.jnoncrysol.2006.02.118", "ISSN" : "00223093", "author" : [ { "dropping-particle" : "", "family" : "Bengisu", "given" : "M.", "non-dropping-particle" : "", "parse-names" : false, "suffix" : "" }, { "dropping-particle" : "", "family" : "Brow", "given" : "R.K.", "non-dropping-particle" : "", "parse-names" : false, "suffix" : "" }, { "dropping-particle" : "", "family" : "Yilmaz", "given" : "E.", "non-dropping-particle" : "", "parse-names" : false, "suffix" : "" }, { "dropping-particle" : "", "family" : "Mogu\u0161-Milankovi\u0107", "given" : "a.", "non-dropping-particle" : "", "parse-names" : false, "suffix" : "" }, { "dropping-particle" : "", "family" : "Reis", "given" : "S.T.", "non-dropping-particle" : "", "parse-names" : false, "suffix" : "" } ], "container-title" : "Journal of Non-Crystalline Solids", "id" : "ITEM-1", "issue" : "32-35", "issued" : { "date-parts" : [ [ "2006", "9" ] ] }, "page" : "3668-3676", "title" : "Aluminoborate and aluminoborosilicate glasses with high chemical durability and the effect of P2O5 additions on the properties", "type" : "article-journal", "volume" : "352" }, "uris" : [ "http://www.mendeley.com/documents/?uuid=aa486e55-9227-4481-83ee-f315b86c0d07" ] } ], "mendeley" : { "formattedCitation" : "(Bengisu et al., 2006)", "plainTextFormattedCitation" : "(Bengisu et al., 2006)", "previouslyFormattedCitation" : "(Bengisu et al., 2006)"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(Bengisu et al., 2006)</w:t>
            </w:r>
            <w:r w:rsidRPr="000E2377">
              <w:rPr>
                <w:rFonts w:eastAsia="Times New Roman" w:cs="Times New Roman"/>
                <w:b w:val="0"/>
                <w:color w:val="000000"/>
                <w:lang w:eastAsia="en-MY"/>
              </w:rPr>
              <w:fldChar w:fldCharType="end"/>
            </w:r>
          </w:p>
        </w:tc>
      </w:tr>
      <w:tr w:rsidR="00D740DC" w:rsidRPr="000E2377" w14:paraId="192C944C" w14:textId="77777777" w:rsidTr="00B11F5F">
        <w:trPr>
          <w:trHeight w:val="300"/>
        </w:trPr>
        <w:tc>
          <w:tcPr>
            <w:tcW w:w="1701" w:type="dxa"/>
            <w:tcBorders>
              <w:top w:val="nil"/>
              <w:left w:val="nil"/>
              <w:bottom w:val="nil"/>
              <w:right w:val="nil"/>
            </w:tcBorders>
            <w:shd w:val="clear" w:color="auto" w:fill="auto"/>
            <w:noWrap/>
            <w:vAlign w:val="center"/>
            <w:hideMark/>
          </w:tcPr>
          <w:p w14:paraId="6D3E0B20" w14:textId="77777777" w:rsidR="00D740DC" w:rsidRPr="000E2377" w:rsidRDefault="00D740DC" w:rsidP="00B11F5F">
            <w:pPr>
              <w:spacing w:after="0" w:line="360" w:lineRule="auto"/>
              <w:rPr>
                <w:rFonts w:eastAsia="Times New Roman" w:cs="Times New Roman"/>
                <w:b w:val="0"/>
                <w:sz w:val="20"/>
                <w:szCs w:val="20"/>
                <w:lang w:eastAsia="en-MY"/>
              </w:rPr>
            </w:pPr>
          </w:p>
        </w:tc>
        <w:tc>
          <w:tcPr>
            <w:tcW w:w="1418" w:type="dxa"/>
            <w:tcBorders>
              <w:top w:val="nil"/>
              <w:left w:val="nil"/>
              <w:bottom w:val="nil"/>
              <w:right w:val="nil"/>
            </w:tcBorders>
            <w:shd w:val="clear" w:color="auto" w:fill="auto"/>
            <w:noWrap/>
            <w:vAlign w:val="center"/>
            <w:hideMark/>
          </w:tcPr>
          <w:p w14:paraId="003DC510"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O-Si-O</w:t>
            </w:r>
          </w:p>
        </w:tc>
        <w:tc>
          <w:tcPr>
            <w:tcW w:w="2693" w:type="dxa"/>
            <w:tcBorders>
              <w:top w:val="nil"/>
              <w:left w:val="nil"/>
              <w:bottom w:val="nil"/>
              <w:right w:val="nil"/>
            </w:tcBorders>
            <w:shd w:val="clear" w:color="auto" w:fill="auto"/>
            <w:noWrap/>
            <w:vAlign w:val="center"/>
            <w:hideMark/>
          </w:tcPr>
          <w:p w14:paraId="5CBDA2CB"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Bending</w:t>
            </w:r>
          </w:p>
        </w:tc>
        <w:tc>
          <w:tcPr>
            <w:tcW w:w="3065" w:type="dxa"/>
            <w:tcBorders>
              <w:top w:val="nil"/>
              <w:left w:val="nil"/>
              <w:bottom w:val="nil"/>
              <w:right w:val="nil"/>
            </w:tcBorders>
            <w:shd w:val="clear" w:color="auto" w:fill="auto"/>
            <w:noWrap/>
            <w:vAlign w:val="bottom"/>
            <w:hideMark/>
          </w:tcPr>
          <w:p w14:paraId="721B377C"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"DOI" : "10.1016/j.jnoncrysol.2006.02.118", "ISSN" : "00223093", "author" : [ { "dropping-particle" : "", "family" : "Bengisu", "given" : "M.", "non-dropping-particle" : "", "parse-names" : false, "suffix" : "" }, { "dropping-particle" : "", "family" : "Brow", "given" : "R.K.", "non-dropping-particle" : "", "parse-names" : false, "suffix" : "" }, { "dropping-particle" : "", "family" : "Yilmaz", "given" : "E.", "non-dropping-particle" : "", "parse-names" : false, "suffix" : "" }, { "dropping-particle" : "", "family" : "Mogu\u0161-Milankovi\u0107", "given" : "a.", "non-dropping-particle" : "", "parse-names" : false, "suffix" : "" }, { "dropping-particle" : "", "family" : "Reis", "given" : "S.T.", "non-dropping-particle" : "", "parse-names" : false, "suffix" : "" } ], "container-title" : "Journal of Non-Crystalline Solids", "id" : "ITEM-1", "issue" : "32-35", "issued" : { "date-parts" : [ [ "2006", "9" ] ] }, "page" : "3668-3676", "title" : "Aluminoborate and aluminoborosilicate glasses with high chemical durability and the effect of P2O5 additions on the properties", "type" : "article-journal", "volume" : "352" }, "uris" : [ "http://www.mendeley.com/documents/?uuid=aa486e55-9227-4481-83ee-f315b86c0d07" ] } ], "mendeley" : { "formattedCitation" : "(Bengisu et al., 2006)", "plainTextFormattedCitation" : "(Bengisu et al., 2006)", "previouslyFormattedCitation" : "(Bengisu et al., 2006)"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(Bengisu et al., 2006)</w:t>
            </w:r>
            <w:r w:rsidRPr="000E2377">
              <w:rPr>
                <w:rFonts w:eastAsia="Times New Roman" w:cs="Times New Roman"/>
                <w:b w:val="0"/>
                <w:color w:val="000000"/>
                <w:lang w:eastAsia="en-MY"/>
              </w:rPr>
              <w:fldChar w:fldCharType="end"/>
            </w:r>
          </w:p>
        </w:tc>
      </w:tr>
      <w:tr w:rsidR="00D740DC" w:rsidRPr="000E2377" w14:paraId="7D3F7491" w14:textId="77777777" w:rsidTr="00B11F5F">
        <w:trPr>
          <w:trHeight w:val="300"/>
        </w:trPr>
        <w:tc>
          <w:tcPr>
            <w:tcW w:w="1701" w:type="dxa"/>
            <w:tcBorders>
              <w:top w:val="nil"/>
              <w:left w:val="nil"/>
              <w:bottom w:val="nil"/>
              <w:right w:val="nil"/>
            </w:tcBorders>
            <w:shd w:val="clear" w:color="auto" w:fill="D9D9D9" w:themeFill="background1" w:themeFillShade="D9"/>
            <w:noWrap/>
            <w:vAlign w:val="center"/>
            <w:hideMark/>
          </w:tcPr>
          <w:p w14:paraId="5E41F203"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500-460</w:t>
            </w:r>
          </w:p>
        </w:tc>
        <w:tc>
          <w:tcPr>
            <w:tcW w:w="1418" w:type="dxa"/>
            <w:tcBorders>
              <w:top w:val="nil"/>
              <w:left w:val="nil"/>
              <w:bottom w:val="nil"/>
              <w:right w:val="nil"/>
            </w:tcBorders>
            <w:shd w:val="clear" w:color="auto" w:fill="D9D9D9" w:themeFill="background1" w:themeFillShade="D9"/>
            <w:noWrap/>
            <w:vAlign w:val="center"/>
            <w:hideMark/>
          </w:tcPr>
          <w:p w14:paraId="22EE4518"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Al-O</w:t>
            </w:r>
          </w:p>
        </w:tc>
        <w:tc>
          <w:tcPr>
            <w:tcW w:w="2693" w:type="dxa"/>
            <w:tcBorders>
              <w:top w:val="nil"/>
              <w:left w:val="nil"/>
              <w:bottom w:val="nil"/>
              <w:right w:val="nil"/>
            </w:tcBorders>
            <w:shd w:val="clear" w:color="auto" w:fill="D9D9D9" w:themeFill="background1" w:themeFillShade="D9"/>
            <w:noWrap/>
            <w:vAlign w:val="center"/>
            <w:hideMark/>
          </w:tcPr>
          <w:p w14:paraId="29DD61B1"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Stretching</w:t>
            </w:r>
          </w:p>
        </w:tc>
        <w:tc>
          <w:tcPr>
            <w:tcW w:w="3065" w:type="dxa"/>
            <w:tcBorders>
              <w:top w:val="nil"/>
              <w:left w:val="nil"/>
              <w:bottom w:val="nil"/>
              <w:right w:val="nil"/>
            </w:tcBorders>
            <w:shd w:val="clear" w:color="auto" w:fill="D9D9D9" w:themeFill="background1" w:themeFillShade="D9"/>
            <w:noWrap/>
            <w:vAlign w:val="bottom"/>
            <w:hideMark/>
          </w:tcPr>
          <w:p w14:paraId="2CF99114"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"DOI" : "10.1016/j.jnoncrysol.2006.02.118", "ISSN" : "00223093", "author" : [ { "dropping-particle" : "", "family" : "Bengisu", "given" : "M.", "non-dropping-particle" : "", "parse-names" : false, "suffix" : "" }, { "dropping-particle" : "", "family" : "Brow", "given" : "R.K.", "non-dropping-particle" : "", "parse-names" : false, "suffix" : "" }, { "dropping-particle" : "", "family" : "Yilmaz", "given" : "E.", "non-dropping-particle" : "", "parse-names" : false, "suffix" : "" }, { "dropping-particle" : "", "family" : "Mogu\u0161-Milankovi\u0107", "given" : "a.", "non-dropping-particle" : "", "parse-names" : false, "suffix" : "" }, { "dropping-particle" : "", "family" : "Reis", "given" : "S.T.", "non-dropping-particle" : "", "parse-names" : false, "suffix" : "" } ], "container-title" : "Journal of Non-Crystalline Solids", "id" : "ITEM-1", "issue" : "32-35", "issued" : { "date-parts" : [ [ "2006", "9" ] ] }, "page" : "3668-3676", "title" : "Aluminoborate and aluminoborosilicate glasses with high chemical durability and the effect of P2O5 additions on the properties", "type" : "article-journal", "volume" : "352" }, "uris" : [ "http://www.mendeley.com/documents/?uuid=aa486e55-9227-4481-83ee-f315b86c0d07" ] } ], "mendeley" : { "formattedCitation" : "(Bengisu et al., 2006)", "plainTextFormattedCitation" : "(Bengisu et al., 2006)", "previouslyFormattedCitation" : "(Bengisu et al., 2006)"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(Bengisu et al., 2006)</w:t>
            </w:r>
            <w:r w:rsidRPr="000E2377">
              <w:rPr>
                <w:rFonts w:eastAsia="Times New Roman" w:cs="Times New Roman"/>
                <w:b w:val="0"/>
                <w:color w:val="000000"/>
                <w:lang w:eastAsia="en-MY"/>
              </w:rPr>
              <w:fldChar w:fldCharType="end"/>
            </w:r>
          </w:p>
        </w:tc>
      </w:tr>
      <w:tr w:rsidR="00D740DC" w:rsidRPr="000E2377" w14:paraId="4B87C7E5" w14:textId="77777777" w:rsidTr="00B11F5F">
        <w:trPr>
          <w:trHeight w:val="300"/>
        </w:trPr>
        <w:tc>
          <w:tcPr>
            <w:tcW w:w="1701" w:type="dxa"/>
            <w:tcBorders>
              <w:top w:val="nil"/>
              <w:left w:val="nil"/>
              <w:bottom w:val="nil"/>
              <w:right w:val="nil"/>
            </w:tcBorders>
            <w:shd w:val="clear" w:color="auto" w:fill="auto"/>
            <w:noWrap/>
            <w:vAlign w:val="center"/>
            <w:hideMark/>
          </w:tcPr>
          <w:p w14:paraId="0667E9BF"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470</w:t>
            </w:r>
          </w:p>
        </w:tc>
        <w:tc>
          <w:tcPr>
            <w:tcW w:w="1418" w:type="dxa"/>
            <w:tcBorders>
              <w:top w:val="nil"/>
              <w:left w:val="nil"/>
              <w:bottom w:val="nil"/>
              <w:right w:val="nil"/>
            </w:tcBorders>
            <w:shd w:val="clear" w:color="auto" w:fill="auto"/>
            <w:noWrap/>
            <w:vAlign w:val="center"/>
            <w:hideMark/>
          </w:tcPr>
          <w:p w14:paraId="5B7EFCA8"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Si-O-Si</w:t>
            </w:r>
          </w:p>
        </w:tc>
        <w:tc>
          <w:tcPr>
            <w:tcW w:w="2693" w:type="dxa"/>
            <w:tcBorders>
              <w:top w:val="nil"/>
              <w:left w:val="nil"/>
              <w:bottom w:val="nil"/>
              <w:right w:val="nil"/>
            </w:tcBorders>
            <w:shd w:val="clear" w:color="auto" w:fill="auto"/>
            <w:noWrap/>
            <w:vAlign w:val="center"/>
            <w:hideMark/>
          </w:tcPr>
          <w:p w14:paraId="31AFA2AE"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Bending</w:t>
            </w:r>
          </w:p>
        </w:tc>
        <w:tc>
          <w:tcPr>
            <w:tcW w:w="3065" w:type="dxa"/>
            <w:tcBorders>
              <w:top w:val="nil"/>
              <w:left w:val="nil"/>
              <w:bottom w:val="nil"/>
              <w:right w:val="nil"/>
            </w:tcBorders>
            <w:shd w:val="clear" w:color="auto" w:fill="auto"/>
            <w:noWrap/>
            <w:vAlign w:val="bottom"/>
            <w:hideMark/>
          </w:tcPr>
          <w:p w14:paraId="3A00CB66"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Pr>
                <w:rFonts w:eastAsia="Times New Roman" w:cs="Times New Roman"/>
                <w:b w:val="0"/>
                <w:color w:val="000000"/>
                <w:lang w:eastAsia="en-MY"/>
              </w:rPr>
              <w:instrText>ADDIN CSL_CITATION { "citationItems" : [ { "id" : "ITEM-1", "itemData" : { "DOI" : "10.1016/j.molstruc.2014.01.062", "ISSN" : "00222860", "author" : [ { "dropping-particle" : "", "family" : "Wang", "given" : "Mitang", "non-dropping-particle" : "", "parse-names" : false, "suffix" : "" }, { "dropping-particle" : "", "family" : "Li", "given" : "Mei", "non-dropping-particle" : "", "parse-names" : false, "suffix" : "" }, { "dropping-particle" : "", "family" : "Cheng", "given" : "Jinshu", "non-dropping-particle" : "", "parse-names" : false, "suffix" : "" }, { "dropping-particle" : "", "family" : "He", "given" : "Feng", "non-dropping-particle" : "", "parse-names" : false, "suffix" : "" } ], "container-title" : "Journal of Molecular Structure", "id" : "ITEM-1", "issued" : { "date-parts" : [ [ "2014", "4" ] ] }, "page" : "139-144", "publisher" : "Elsevier B.V.", "title" : "Structure and viscosity of soda lime silicate glasses with varying Gd2O3 content", "type" : "article-journal", "volume" : "1063" }, "uris" : [ "http://www.mendeley.com/documents/?uuid=6018699b-2fbe-485e-a176-20b2004988c0" ] } ], "mendeley" : { "formattedCitation" : "(M. Wang et al., 2014)", "manualFormatting" : "(Wang et al., 2014)", "plainTextFormattedCitation" : "(M. Wang et al., 2014)", "previouslyFormattedCitation" : "(M. Wang et al., 2014)"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(Wang et al., 2014)</w:t>
            </w:r>
            <w:r w:rsidRPr="000E2377">
              <w:rPr>
                <w:rFonts w:eastAsia="Times New Roman" w:cs="Times New Roman"/>
                <w:b w:val="0"/>
                <w:color w:val="000000"/>
                <w:lang w:eastAsia="en-MY"/>
              </w:rPr>
              <w:fldChar w:fldCharType="end"/>
            </w:r>
          </w:p>
        </w:tc>
      </w:tr>
      <w:tr w:rsidR="00D740DC" w:rsidRPr="000E2377" w14:paraId="2018716C" w14:textId="77777777" w:rsidTr="00B11F5F">
        <w:trPr>
          <w:trHeight w:val="300"/>
        </w:trPr>
        <w:tc>
          <w:tcPr>
            <w:tcW w:w="1701" w:type="dxa"/>
            <w:tcBorders>
              <w:top w:val="nil"/>
              <w:left w:val="nil"/>
              <w:bottom w:val="nil"/>
              <w:right w:val="nil"/>
            </w:tcBorders>
            <w:shd w:val="clear" w:color="auto" w:fill="D9D9D9" w:themeFill="background1" w:themeFillShade="D9"/>
            <w:noWrap/>
            <w:vAlign w:val="center"/>
            <w:hideMark/>
          </w:tcPr>
          <w:p w14:paraId="330C6CBE"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460</w:t>
            </w:r>
          </w:p>
        </w:tc>
        <w:tc>
          <w:tcPr>
            <w:tcW w:w="1418" w:type="dxa"/>
            <w:tcBorders>
              <w:top w:val="nil"/>
              <w:left w:val="nil"/>
              <w:bottom w:val="nil"/>
              <w:right w:val="nil"/>
            </w:tcBorders>
            <w:shd w:val="clear" w:color="auto" w:fill="D9D9D9" w:themeFill="background1" w:themeFillShade="D9"/>
            <w:noWrap/>
            <w:vAlign w:val="center"/>
            <w:hideMark/>
          </w:tcPr>
          <w:p w14:paraId="7EB4729C" w14:textId="77777777" w:rsidR="00D740DC" w:rsidRPr="000E2377" w:rsidRDefault="00D740DC" w:rsidP="00B11F5F">
            <w:pPr>
              <w:spacing w:after="0" w:line="360" w:lineRule="auto"/>
              <w:rPr>
                <w:rFonts w:eastAsia="Times New Roman" w:cs="Times New Roman"/>
                <w:b w:val="0"/>
                <w:color w:val="000000"/>
                <w:lang w:eastAsia="en-MY"/>
              </w:rPr>
            </w:pPr>
            <w:proofErr w:type="spellStart"/>
            <w:r w:rsidRPr="000E2377">
              <w:rPr>
                <w:rFonts w:eastAsia="Times New Roman" w:cs="Times New Roman"/>
                <w:b w:val="0"/>
                <w:color w:val="000000"/>
                <w:lang w:eastAsia="en-MY"/>
              </w:rPr>
              <w:t>SiO</w:t>
            </w:r>
            <w:proofErr w:type="spellEnd"/>
            <w:r w:rsidRPr="000E2377">
              <w:rPr>
                <w:rFonts w:eastAsia="Times New Roman" w:cs="Times New Roman"/>
                <w:b w:val="0"/>
                <w:color w:val="000000"/>
                <w:lang w:eastAsia="en-MY"/>
              </w:rPr>
              <w:t>-Si</w:t>
            </w:r>
          </w:p>
        </w:tc>
        <w:tc>
          <w:tcPr>
            <w:tcW w:w="2693" w:type="dxa"/>
            <w:tcBorders>
              <w:top w:val="nil"/>
              <w:left w:val="nil"/>
              <w:bottom w:val="nil"/>
              <w:right w:val="nil"/>
            </w:tcBorders>
            <w:shd w:val="clear" w:color="auto" w:fill="D9D9D9" w:themeFill="background1" w:themeFillShade="D9"/>
            <w:noWrap/>
            <w:vAlign w:val="center"/>
            <w:hideMark/>
          </w:tcPr>
          <w:p w14:paraId="6B9DD6B6"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Rocking</w:t>
            </w:r>
          </w:p>
        </w:tc>
        <w:tc>
          <w:tcPr>
            <w:tcW w:w="3065" w:type="dxa"/>
            <w:tcBorders>
              <w:top w:val="nil"/>
              <w:left w:val="nil"/>
              <w:bottom w:val="nil"/>
              <w:right w:val="nil"/>
            </w:tcBorders>
            <w:shd w:val="clear" w:color="auto" w:fill="D9D9D9" w:themeFill="background1" w:themeFillShade="D9"/>
            <w:noWrap/>
            <w:vAlign w:val="bottom"/>
            <w:hideMark/>
          </w:tcPr>
          <w:p w14:paraId="2142F0B1"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"author" : [ { "dropping-particle" : "", "family" : "Wang", "given" : "Donsheng S.", "non-dropping-particle" : "", "parse-names" : false, "suffix" : "" }, { "dropping-particle" : "", "family" : "Pantano", "given" : "Carlo G", "non-dropping-particle" : "", "parse-names" : false, "suffix" : "" } ], "container-title" : "Journal of Non-Crystalline Solids", "id" : "ITEM-1", "issued" : { "date-parts" : [ [ "1992" ] ] }, "page" : "225-233", "title" : "Structural characterization of C a O - B 2 0 3 - A 1 2 0 3 - S i O 2 xerogels and glasses", "type" : "article-journal", "volume" : "142" }, "uris" : [ "http://www.mendeley.com/documents/?uuid=66d0cb81-85f0-4934-a121-1e580f9788f8" ] } ], "mendeley" : { "formattedCitation" : "(D. S. Wang &amp; Pantano, 1992)", "manualFormatting" : "(Wang &amp; Pantano, 1992)", "plainTextFormattedCitation" : "(D. S. Wang &amp; Pantano, 1992)", "previouslyFormattedCitation" : "(D. S. Wang &amp; Pantano, 1992)" }, "properties" : { "noteIndex" : 24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(Wang &amp; Pantano, 1992)</w:t>
            </w:r>
            <w:r w:rsidRPr="000E2377">
              <w:rPr>
                <w:rFonts w:eastAsia="Times New Roman" w:cs="Times New Roman"/>
                <w:b w:val="0"/>
                <w:color w:val="000000"/>
                <w:lang w:eastAsia="en-MY"/>
              </w:rPr>
              <w:fldChar w:fldCharType="end"/>
            </w:r>
          </w:p>
        </w:tc>
      </w:tr>
      <w:tr w:rsidR="00D740DC" w:rsidRPr="000E2377" w14:paraId="46A4AEB1" w14:textId="77777777" w:rsidTr="00B11F5F">
        <w:trPr>
          <w:trHeight w:val="714"/>
        </w:trPr>
        <w:tc>
          <w:tcPr>
            <w:tcW w:w="1701" w:type="dxa"/>
            <w:tcBorders>
              <w:top w:val="nil"/>
              <w:left w:val="nil"/>
              <w:bottom w:val="single" w:sz="8" w:space="0" w:color="auto"/>
              <w:right w:val="nil"/>
            </w:tcBorders>
            <w:shd w:val="clear" w:color="auto" w:fill="auto"/>
            <w:noWrap/>
            <w:vAlign w:val="center"/>
            <w:hideMark/>
          </w:tcPr>
          <w:p w14:paraId="64C3FBC6"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460-480</w:t>
            </w:r>
          </w:p>
        </w:tc>
        <w:tc>
          <w:tcPr>
            <w:tcW w:w="1418" w:type="dxa"/>
            <w:tcBorders>
              <w:top w:val="nil"/>
              <w:left w:val="nil"/>
              <w:bottom w:val="single" w:sz="8" w:space="0" w:color="auto"/>
              <w:right w:val="nil"/>
            </w:tcBorders>
            <w:shd w:val="clear" w:color="auto" w:fill="auto"/>
            <w:noWrap/>
            <w:vAlign w:val="center"/>
            <w:hideMark/>
          </w:tcPr>
          <w:p w14:paraId="4D9EB5F8"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Si-O-SI</w:t>
            </w:r>
          </w:p>
        </w:tc>
        <w:tc>
          <w:tcPr>
            <w:tcW w:w="2693" w:type="dxa"/>
            <w:tcBorders>
              <w:top w:val="nil"/>
              <w:left w:val="nil"/>
              <w:bottom w:val="single" w:sz="8" w:space="0" w:color="auto"/>
              <w:right w:val="nil"/>
            </w:tcBorders>
            <w:shd w:val="clear" w:color="auto" w:fill="auto"/>
            <w:noWrap/>
            <w:vAlign w:val="center"/>
            <w:hideMark/>
          </w:tcPr>
          <w:p w14:paraId="5CB7B92B" w14:textId="77777777" w:rsidR="00D740DC" w:rsidRPr="000E2377" w:rsidRDefault="00D740DC" w:rsidP="00B11F5F">
            <w:pPr>
              <w:spacing w:after="0" w:line="360" w:lineRule="auto"/>
              <w:rPr>
                <w:rFonts w:eastAsia="Times New Roman" w:cs="Times New Roman"/>
                <w:b w:val="0"/>
                <w:color w:val="000000"/>
                <w:lang w:eastAsia="en-MY"/>
              </w:rPr>
            </w:pPr>
            <w:r w:rsidRPr="000E2377">
              <w:rPr>
                <w:rFonts w:eastAsia="Times New Roman" w:cs="Times New Roman"/>
                <w:b w:val="0"/>
                <w:color w:val="000000"/>
                <w:lang w:eastAsia="en-MY"/>
              </w:rPr>
              <w:t>Bending</w:t>
            </w:r>
          </w:p>
        </w:tc>
        <w:tc>
          <w:tcPr>
            <w:tcW w:w="3065" w:type="dxa"/>
            <w:tcBorders>
              <w:top w:val="nil"/>
              <w:left w:val="nil"/>
              <w:bottom w:val="single" w:sz="8" w:space="0" w:color="auto"/>
              <w:right w:val="nil"/>
            </w:tcBorders>
            <w:shd w:val="clear" w:color="auto" w:fill="auto"/>
            <w:noWrap/>
            <w:vAlign w:val="center"/>
            <w:hideMark/>
          </w:tcPr>
          <w:p w14:paraId="0F478ACE" w14:textId="77777777" w:rsidR="00D740DC" w:rsidRPr="000E2377" w:rsidRDefault="00D740DC" w:rsidP="00B11F5F">
            <w:pPr>
              <w:spacing w:after="0" w:line="360" w:lineRule="auto"/>
              <w:jc w:val="center"/>
              <w:rPr>
                <w:rFonts w:eastAsia="Times New Roman" w:cs="Times New Roman"/>
                <w:b w:val="0"/>
                <w:color w:val="000000"/>
                <w:lang w:eastAsia="en-MY"/>
              </w:rPr>
            </w:pPr>
            <w:r w:rsidRPr="000E2377">
              <w:rPr>
                <w:rFonts w:eastAsia="Times New Roman" w:cs="Times New Roman"/>
                <w:b w:val="0"/>
                <w:color w:val="000000"/>
                <w:lang w:eastAsia="en-MY"/>
              </w:rPr>
              <w:fldChar w:fldCharType="begin" w:fldLock="1"/>
            </w:r>
            <w:r w:rsidRPr="000E2377">
              <w:rPr>
                <w:rFonts w:eastAsia="Times New Roman" w:cs="Times New Roman"/>
                <w:b w:val="0"/>
                <w:color w:val="000000"/>
                <w:lang w:eastAsia="en-MY"/>
              </w:rPr>
              <w:instrText>ADDIN CSL_CITATION { "citationItems" : [ { "id" : "ITEM-1", "itemData" : { "DOI" : "10.1016/j.molstruc.2014.06.011", "ISBN" : "1221133152", "ISSN" : "00222860", "author" : [ { "dropping-particle" : "", "family" : "Abdelghany", "given" : "A.M.", "non-dropping-particle" : "", "parse-names" : false, "suffix" : "" }, { "dropping-particle" : "", "family" : "ElBatal", "given" : "F.H.", "non-dropping-particle" : "", "parse-names" : false, "suffix" : "" }, { "dropping-particle" : "", "family" : "ElBatal", "given" : "H.A.", "non-dropping-particle" : "", "parse-names" : false, "suffix" : "" }, { "dropping-particle" : "", "family" : "EzzElDin", "given" : "F.M.", "non-dropping-particle" : "", "parse-names" : false, "suffix" : "" } ], "container-title" : "Journal of Molecular Structure", "id" : "ITEM-1", "issued" : { "date-parts" : [ [ "2014", "9" ] ] }, "note" : "Read", "page" : "503-510", "publisher" : "Elsevier B.V.", "title" : "Optical and FTIR structural studies of CoO-doped sodium borate, sodium silicate and sodium phosphate glasses and effects of gamma irradiation-a comparative study", "type" : "article-journal", "volume" : "1074" }, "uris" : [ "http://www.mendeley.com/documents/?uuid=3a585b16-1227-4447-bddc-e680b2472cd4" ] } ], "mendeley" : { "formattedCitation" : "(Abdelghany et al., 2014)", "plainTextFormattedCitation" : "(Abdelghany et al., 2014)", "previouslyFormattedCitation" : "(Abdelghany et al., 2014)" }, "properties" : { "noteIndex" : 0 }, "schema" : "https://github.com/citation-style-language/schema/raw/master/csl-citation.json" }</w:instrText>
            </w:r>
            <w:r w:rsidRPr="000E2377">
              <w:rPr>
                <w:rFonts w:eastAsia="Times New Roman" w:cs="Times New Roman"/>
                <w:b w:val="0"/>
                <w:color w:val="000000"/>
                <w:lang w:eastAsia="en-MY"/>
              </w:rPr>
              <w:fldChar w:fldCharType="separate"/>
            </w:r>
            <w:r w:rsidRPr="000E2377">
              <w:rPr>
                <w:rFonts w:eastAsia="Times New Roman" w:cs="Times New Roman"/>
                <w:b w:val="0"/>
                <w:noProof/>
                <w:color w:val="000000"/>
                <w:lang w:eastAsia="en-MY"/>
              </w:rPr>
              <w:t>(Abdelghany et al., 2014)</w:t>
            </w:r>
            <w:r w:rsidRPr="000E2377">
              <w:rPr>
                <w:rFonts w:eastAsia="Times New Roman" w:cs="Times New Roman"/>
                <w:b w:val="0"/>
                <w:color w:val="000000"/>
                <w:lang w:eastAsia="en-MY"/>
              </w:rPr>
              <w:fldChar w:fldCharType="end"/>
            </w:r>
          </w:p>
        </w:tc>
      </w:tr>
    </w:tbl>
    <w:p w14:paraId="36CE9C6F" w14:textId="77777777" w:rsidR="00D740DC" w:rsidRPr="000E2377" w:rsidRDefault="00D740DC" w:rsidP="00D740DC">
      <w:pPr>
        <w:rPr>
          <w:rFonts w:cs="Times New Roman"/>
          <w:b w:val="0"/>
          <w:szCs w:val="24"/>
        </w:rPr>
      </w:pPr>
    </w:p>
    <w:p w14:paraId="2F5429E3" w14:textId="77777777" w:rsidR="00D740DC" w:rsidRPr="000E2377" w:rsidRDefault="00D740DC" w:rsidP="00D740DC">
      <w:pPr>
        <w:keepNext/>
        <w:keepLines/>
        <w:numPr>
          <w:ilvl w:val="2"/>
          <w:numId w:val="1"/>
        </w:numPr>
        <w:spacing w:before="40" w:after="0" w:line="360" w:lineRule="auto"/>
        <w:outlineLvl w:val="2"/>
        <w:rPr>
          <w:rFonts w:eastAsiaTheme="majorEastAsia" w:cstheme="majorBidi"/>
          <w:vanish/>
          <w:color w:val="000000" w:themeColor="text1"/>
          <w:szCs w:val="24"/>
        </w:rPr>
      </w:pPr>
      <w:bookmarkStart w:id="475" w:name="_Toc515398728"/>
      <w:bookmarkStart w:id="476" w:name="_Toc523153591"/>
      <w:bookmarkStart w:id="477" w:name="_Toc523402913"/>
      <w:bookmarkStart w:id="478" w:name="_Toc525222382"/>
      <w:bookmarkStart w:id="479" w:name="_Toc525526424"/>
      <w:bookmarkStart w:id="480" w:name="_Toc525703750"/>
      <w:bookmarkStart w:id="481" w:name="_Toc525707552"/>
      <w:bookmarkStart w:id="482" w:name="_Toc525707841"/>
      <w:bookmarkStart w:id="483" w:name="_Toc525742506"/>
      <w:bookmarkStart w:id="484" w:name="_Toc10983096"/>
      <w:bookmarkStart w:id="485" w:name="_Toc12994961"/>
      <w:bookmarkEnd w:id="475"/>
      <w:bookmarkEnd w:id="476"/>
      <w:bookmarkEnd w:id="477"/>
      <w:bookmarkEnd w:id="478"/>
      <w:bookmarkEnd w:id="479"/>
      <w:bookmarkEnd w:id="480"/>
      <w:bookmarkEnd w:id="481"/>
      <w:bookmarkEnd w:id="482"/>
      <w:bookmarkEnd w:id="483"/>
      <w:bookmarkEnd w:id="484"/>
      <w:bookmarkEnd w:id="485"/>
    </w:p>
    <w:p w14:paraId="4AD7C1F4" w14:textId="77777777" w:rsidR="00D740DC" w:rsidRPr="000E2377" w:rsidRDefault="00D740DC" w:rsidP="00D740DC">
      <w:pPr>
        <w:keepNext/>
        <w:keepLines/>
        <w:numPr>
          <w:ilvl w:val="3"/>
          <w:numId w:val="1"/>
        </w:numPr>
        <w:spacing w:before="40" w:after="0" w:line="360" w:lineRule="auto"/>
        <w:outlineLvl w:val="3"/>
        <w:rPr>
          <w:rFonts w:eastAsiaTheme="majorEastAsia" w:cstheme="majorBidi"/>
          <w:iCs/>
          <w:vanish/>
          <w:color w:val="000000" w:themeColor="text1"/>
        </w:rPr>
      </w:pPr>
      <w:bookmarkStart w:id="486" w:name="_Toc523153592"/>
      <w:bookmarkStart w:id="487" w:name="_Toc523402810"/>
      <w:bookmarkStart w:id="488" w:name="_Toc523402914"/>
      <w:bookmarkStart w:id="489" w:name="_Toc525222383"/>
      <w:bookmarkStart w:id="490" w:name="_Toc525526425"/>
      <w:bookmarkStart w:id="491" w:name="_Toc525703751"/>
      <w:bookmarkStart w:id="492" w:name="_Toc525707553"/>
      <w:bookmarkStart w:id="493" w:name="_Toc525707842"/>
      <w:bookmarkStart w:id="494" w:name="_Toc525742507"/>
      <w:bookmarkEnd w:id="486"/>
      <w:bookmarkEnd w:id="487"/>
      <w:bookmarkEnd w:id="488"/>
      <w:bookmarkEnd w:id="489"/>
      <w:bookmarkEnd w:id="490"/>
      <w:bookmarkEnd w:id="491"/>
      <w:bookmarkEnd w:id="492"/>
      <w:bookmarkEnd w:id="493"/>
      <w:bookmarkEnd w:id="494"/>
    </w:p>
    <w:p w14:paraId="52389B56" w14:textId="77777777" w:rsidR="00D740DC" w:rsidRPr="000E2377" w:rsidRDefault="00D740DC" w:rsidP="00D740DC">
      <w:pPr>
        <w:keepNext/>
        <w:keepLines/>
        <w:numPr>
          <w:ilvl w:val="3"/>
          <w:numId w:val="1"/>
        </w:numPr>
        <w:spacing w:before="40" w:after="0" w:line="360" w:lineRule="auto"/>
        <w:outlineLvl w:val="3"/>
        <w:rPr>
          <w:rFonts w:eastAsiaTheme="majorEastAsia" w:cstheme="majorBidi"/>
          <w:iCs/>
          <w:vanish/>
          <w:color w:val="000000" w:themeColor="text1"/>
        </w:rPr>
      </w:pPr>
      <w:bookmarkStart w:id="495" w:name="_Toc523153593"/>
      <w:bookmarkStart w:id="496" w:name="_Toc523402811"/>
      <w:bookmarkStart w:id="497" w:name="_Toc523402915"/>
      <w:bookmarkStart w:id="498" w:name="_Toc525222384"/>
      <w:bookmarkStart w:id="499" w:name="_Toc525526426"/>
      <w:bookmarkStart w:id="500" w:name="_Toc525703752"/>
      <w:bookmarkStart w:id="501" w:name="_Toc525707554"/>
      <w:bookmarkStart w:id="502" w:name="_Toc525707843"/>
      <w:bookmarkStart w:id="503" w:name="_Toc525742508"/>
      <w:bookmarkEnd w:id="495"/>
      <w:bookmarkEnd w:id="496"/>
      <w:bookmarkEnd w:id="497"/>
      <w:bookmarkEnd w:id="498"/>
      <w:bookmarkEnd w:id="499"/>
      <w:bookmarkEnd w:id="500"/>
      <w:bookmarkEnd w:id="501"/>
      <w:bookmarkEnd w:id="502"/>
      <w:bookmarkEnd w:id="503"/>
    </w:p>
    <w:p w14:paraId="60AC0915" w14:textId="77777777" w:rsidR="00D740DC" w:rsidRPr="000E2377" w:rsidRDefault="00D740DC" w:rsidP="00D740DC">
      <w:pPr>
        <w:keepNext/>
        <w:keepLines/>
        <w:numPr>
          <w:ilvl w:val="3"/>
          <w:numId w:val="1"/>
        </w:numPr>
        <w:spacing w:before="40" w:after="0" w:line="360" w:lineRule="auto"/>
        <w:outlineLvl w:val="3"/>
        <w:rPr>
          <w:rFonts w:eastAsiaTheme="majorEastAsia" w:cstheme="majorBidi"/>
          <w:iCs/>
          <w:vanish/>
          <w:color w:val="000000" w:themeColor="text1"/>
        </w:rPr>
      </w:pPr>
      <w:bookmarkStart w:id="504" w:name="_Toc523153594"/>
      <w:bookmarkStart w:id="505" w:name="_Toc523402812"/>
      <w:bookmarkStart w:id="506" w:name="_Toc523402916"/>
      <w:bookmarkStart w:id="507" w:name="_Toc525222385"/>
      <w:bookmarkStart w:id="508" w:name="_Toc525526427"/>
      <w:bookmarkStart w:id="509" w:name="_Toc525703753"/>
      <w:bookmarkStart w:id="510" w:name="_Toc525707555"/>
      <w:bookmarkStart w:id="511" w:name="_Toc525707844"/>
      <w:bookmarkStart w:id="512" w:name="_Toc525742509"/>
      <w:bookmarkEnd w:id="504"/>
      <w:bookmarkEnd w:id="505"/>
      <w:bookmarkEnd w:id="506"/>
      <w:bookmarkEnd w:id="507"/>
      <w:bookmarkEnd w:id="508"/>
      <w:bookmarkEnd w:id="509"/>
      <w:bookmarkEnd w:id="510"/>
      <w:bookmarkEnd w:id="511"/>
      <w:bookmarkEnd w:id="512"/>
    </w:p>
    <w:p w14:paraId="42E55879" w14:textId="77777777" w:rsidR="00D740DC" w:rsidRPr="000E2377" w:rsidRDefault="00D740DC" w:rsidP="00D740DC">
      <w:pPr>
        <w:keepNext/>
        <w:keepLines/>
        <w:spacing w:before="40" w:after="0" w:line="360" w:lineRule="auto"/>
        <w:outlineLvl w:val="3"/>
        <w:rPr>
          <w:rFonts w:eastAsia="Calibri" w:cstheme="majorBidi"/>
          <w:iCs/>
          <w:color w:val="000000" w:themeColor="text1"/>
          <w:lang w:eastAsia="tr-TR"/>
        </w:rPr>
      </w:pPr>
      <w:bookmarkStart w:id="513" w:name="_Toc523402917"/>
      <w:bookmarkStart w:id="514" w:name="_Toc525526428"/>
      <w:bookmarkStart w:id="515" w:name="_Toc525707845"/>
      <w:bookmarkStart w:id="516" w:name="_Toc525742510"/>
      <w:r w:rsidRPr="000E2377">
        <w:rPr>
          <w:rFonts w:eastAsia="Calibri" w:cstheme="majorBidi"/>
          <w:iCs/>
          <w:color w:val="000000" w:themeColor="text1"/>
          <w:lang w:eastAsia="tr-TR"/>
        </w:rPr>
        <w:t>3.5.</w:t>
      </w:r>
      <w:r>
        <w:rPr>
          <w:rFonts w:eastAsia="Calibri" w:cstheme="majorBidi"/>
          <w:iCs/>
          <w:color w:val="000000" w:themeColor="text1"/>
          <w:lang w:eastAsia="tr-TR"/>
        </w:rPr>
        <w:t>5</w:t>
      </w:r>
      <w:r w:rsidRPr="000E2377">
        <w:rPr>
          <w:rFonts w:eastAsia="Calibri" w:cstheme="majorBidi"/>
          <w:iCs/>
          <w:color w:val="000000" w:themeColor="text1"/>
          <w:lang w:eastAsia="tr-TR"/>
        </w:rPr>
        <w:t xml:space="preserve"> Raman spectroscopy</w:t>
      </w:r>
      <w:bookmarkEnd w:id="513"/>
      <w:bookmarkEnd w:id="514"/>
      <w:bookmarkEnd w:id="515"/>
      <w:bookmarkEnd w:id="516"/>
    </w:p>
    <w:p w14:paraId="737FFEBC" w14:textId="77777777" w:rsidR="00D740DC" w:rsidRPr="000E2377" w:rsidRDefault="00D740DC" w:rsidP="00D740DC">
      <w:pPr>
        <w:spacing w:line="360" w:lineRule="auto"/>
        <w:jc w:val="both"/>
        <w:rPr>
          <w:rFonts w:cs="Times New Roman"/>
          <w:b w:val="0"/>
          <w:i/>
          <w:szCs w:val="24"/>
        </w:rPr>
      </w:pPr>
      <w:r w:rsidRPr="000E2377">
        <w:rPr>
          <w:rFonts w:cs="Times New Roman"/>
          <w:b w:val="0"/>
          <w:szCs w:val="24"/>
        </w:rPr>
        <w:t>Laser Raman spectroscopy was performed on powder samples (&lt;75</w:t>
      </w:r>
      <w:r>
        <w:rPr>
          <w:rFonts w:cs="Times New Roman"/>
          <w:b w:val="0"/>
          <w:szCs w:val="24"/>
        </w:rPr>
        <w:t xml:space="preserve"> </w:t>
      </w:r>
      <w:r w:rsidRPr="000E2377">
        <w:rPr>
          <w:rFonts w:cs="Times New Roman"/>
          <w:b w:val="0"/>
          <w:szCs w:val="24"/>
        </w:rPr>
        <w:t xml:space="preserve">µm), using a Renishaw </w:t>
      </w:r>
      <w:proofErr w:type="spellStart"/>
      <w:r w:rsidRPr="000E2377">
        <w:rPr>
          <w:rFonts w:cs="Times New Roman"/>
          <w:b w:val="0"/>
          <w:szCs w:val="24"/>
        </w:rPr>
        <w:t>inVia</w:t>
      </w:r>
      <w:proofErr w:type="spellEnd"/>
      <w:r w:rsidRPr="000E2377">
        <w:rPr>
          <w:rFonts w:cs="Times New Roman"/>
          <w:b w:val="0"/>
          <w:szCs w:val="24"/>
        </w:rPr>
        <w:t xml:space="preserve"> Raman Spectrometer coupled with an optical microscope with a 20mW 514.5 nm laser. Before the measurement started, calibration was undertaken using a silicon wafer. </w:t>
      </w:r>
    </w:p>
    <w:p w14:paraId="105C57E7" w14:textId="77777777" w:rsidR="00D740DC" w:rsidRPr="000E2377" w:rsidRDefault="00D740DC" w:rsidP="00D740DC">
      <w:pPr>
        <w:spacing w:line="360" w:lineRule="auto"/>
        <w:jc w:val="both"/>
        <w:rPr>
          <w:rFonts w:cs="Times New Roman"/>
          <w:b w:val="0"/>
          <w:szCs w:val="24"/>
        </w:rPr>
      </w:pPr>
      <w:r w:rsidRPr="000E2377">
        <w:rPr>
          <w:rFonts w:cs="Times New Roman"/>
          <w:b w:val="0"/>
          <w:noProof/>
          <w:szCs w:val="24"/>
          <w:lang w:eastAsia="en-MY"/>
        </w:rPr>
        <mc:AlternateContent>
          <mc:Choice Requires="wpg">
            <w:drawing>
              <wp:anchor distT="0" distB="0" distL="114300" distR="114300" simplePos="0" relativeHeight="252448768" behindDoc="0" locked="0" layoutInCell="1" allowOverlap="1" wp14:anchorId="5EC97F89" wp14:editId="732E81C2">
                <wp:simplePos x="0" y="0"/>
                <wp:positionH relativeFrom="column">
                  <wp:posOffset>990600</wp:posOffset>
                </wp:positionH>
                <wp:positionV relativeFrom="paragraph">
                  <wp:posOffset>312843</wp:posOffset>
                </wp:positionV>
                <wp:extent cx="3657600" cy="2847975"/>
                <wp:effectExtent l="0" t="0" r="19050" b="0"/>
                <wp:wrapNone/>
                <wp:docPr id="1213" name="Group 1213"/>
                <wp:cNvGraphicFramePr/>
                <a:graphic xmlns:a="http://schemas.openxmlformats.org/drawingml/2006/main">
                  <a:graphicData uri="http://schemas.microsoft.com/office/word/2010/wordprocessingGroup">
                    <wpg:wgp>
                      <wpg:cNvGrpSpPr/>
                      <wpg:grpSpPr>
                        <a:xfrm>
                          <a:off x="0" y="0"/>
                          <a:ext cx="3657600" cy="2847975"/>
                          <a:chOff x="0" y="0"/>
                          <a:chExt cx="3657600" cy="2847975"/>
                        </a:xfrm>
                      </wpg:grpSpPr>
                      <wpg:grpSp>
                        <wpg:cNvPr id="1186" name="Group 1186"/>
                        <wpg:cNvGrpSpPr/>
                        <wpg:grpSpPr>
                          <a:xfrm>
                            <a:off x="0" y="142875"/>
                            <a:ext cx="3657600" cy="2705100"/>
                            <a:chOff x="0" y="0"/>
                            <a:chExt cx="3657600" cy="2705100"/>
                          </a:xfrm>
                        </wpg:grpSpPr>
                        <wps:wsp>
                          <wps:cNvPr id="1155" name="Straight Connector 1155"/>
                          <wps:cNvCnPr/>
                          <wps:spPr>
                            <a:xfrm>
                              <a:off x="895350" y="1857375"/>
                              <a:ext cx="2762250" cy="0"/>
                            </a:xfrm>
                            <a:prstGeom prst="line">
                              <a:avLst/>
                            </a:prstGeom>
                            <a:noFill/>
                            <a:ln w="12700" cap="flat" cmpd="sng" algn="ctr">
                              <a:solidFill>
                                <a:sysClr val="windowText" lastClr="000000">
                                  <a:shade val="95000"/>
                                  <a:satMod val="105000"/>
                                </a:sysClr>
                              </a:solidFill>
                              <a:prstDash val="solid"/>
                            </a:ln>
                            <a:effectLst/>
                          </wps:spPr>
                          <wps:bodyPr/>
                        </wps:wsp>
                        <wps:wsp>
                          <wps:cNvPr id="1157" name="Straight Connector 1157"/>
                          <wps:cNvCnPr/>
                          <wps:spPr>
                            <a:xfrm>
                              <a:off x="895350" y="1647825"/>
                              <a:ext cx="2762250" cy="0"/>
                            </a:xfrm>
                            <a:prstGeom prst="line">
                              <a:avLst/>
                            </a:prstGeom>
                            <a:noFill/>
                            <a:ln w="9525" cap="flat" cmpd="sng" algn="ctr">
                              <a:solidFill>
                                <a:sysClr val="windowText" lastClr="000000">
                                  <a:shade val="95000"/>
                                  <a:satMod val="105000"/>
                                </a:sysClr>
                              </a:solidFill>
                              <a:prstDash val="solid"/>
                            </a:ln>
                            <a:effectLst/>
                          </wps:spPr>
                          <wps:bodyPr/>
                        </wps:wsp>
                        <wps:wsp>
                          <wps:cNvPr id="1158" name="Straight Connector 1158"/>
                          <wps:cNvCnPr/>
                          <wps:spPr>
                            <a:xfrm flipV="1">
                              <a:off x="895350" y="1409700"/>
                              <a:ext cx="2762250" cy="1"/>
                            </a:xfrm>
                            <a:prstGeom prst="line">
                              <a:avLst/>
                            </a:prstGeom>
                            <a:noFill/>
                            <a:ln w="9525" cap="flat" cmpd="sng" algn="ctr">
                              <a:solidFill>
                                <a:sysClr val="windowText" lastClr="000000">
                                  <a:shade val="95000"/>
                                  <a:satMod val="105000"/>
                                </a:sysClr>
                              </a:solidFill>
                              <a:prstDash val="solid"/>
                            </a:ln>
                            <a:effectLst/>
                          </wps:spPr>
                          <wps:bodyPr/>
                        </wps:wsp>
                        <wps:wsp>
                          <wps:cNvPr id="1159" name="Straight Connector 1159"/>
                          <wps:cNvCnPr/>
                          <wps:spPr>
                            <a:xfrm>
                              <a:off x="895350" y="114300"/>
                              <a:ext cx="2762250" cy="0"/>
                            </a:xfrm>
                            <a:prstGeom prst="line">
                              <a:avLst/>
                            </a:prstGeom>
                            <a:noFill/>
                            <a:ln w="9525" cap="flat" cmpd="sng" algn="ctr">
                              <a:solidFill>
                                <a:sysClr val="windowText" lastClr="000000">
                                  <a:shade val="95000"/>
                                  <a:satMod val="105000"/>
                                </a:sysClr>
                              </a:solidFill>
                              <a:prstDash val="dash"/>
                            </a:ln>
                            <a:effectLst/>
                          </wps:spPr>
                          <wps:bodyPr/>
                        </wps:wsp>
                        <wps:wsp>
                          <wps:cNvPr id="1160" name="Straight Arrow Connector 1160"/>
                          <wps:cNvCnPr/>
                          <wps:spPr>
                            <a:xfrm flipV="1">
                              <a:off x="1143000" y="114300"/>
                              <a:ext cx="0" cy="1533526"/>
                            </a:xfrm>
                            <a:prstGeom prst="straightConnector1">
                              <a:avLst/>
                            </a:prstGeom>
                            <a:noFill/>
                            <a:ln w="19050" cap="flat" cmpd="sng" algn="ctr">
                              <a:solidFill>
                                <a:sysClr val="windowText" lastClr="000000">
                                  <a:shade val="95000"/>
                                  <a:satMod val="105000"/>
                                </a:sysClr>
                              </a:solidFill>
                              <a:prstDash val="solid"/>
                              <a:bevel/>
                              <a:tailEnd type="stealth" w="med" len="lg"/>
                            </a:ln>
                            <a:effectLst/>
                          </wps:spPr>
                          <wps:bodyPr/>
                        </wps:wsp>
                        <wps:wsp>
                          <wps:cNvPr id="1161" name="Straight Arrow Connector 1161"/>
                          <wps:cNvCnPr/>
                          <wps:spPr>
                            <a:xfrm>
                              <a:off x="1323975" y="114300"/>
                              <a:ext cx="9525" cy="1533525"/>
                            </a:xfrm>
                            <a:prstGeom prst="straightConnector1">
                              <a:avLst/>
                            </a:prstGeom>
                            <a:noFill/>
                            <a:ln w="19050" cap="flat" cmpd="sng" algn="ctr">
                              <a:solidFill>
                                <a:sysClr val="windowText" lastClr="000000">
                                  <a:shade val="95000"/>
                                  <a:satMod val="105000"/>
                                </a:sysClr>
                              </a:solidFill>
                              <a:prstDash val="solid"/>
                              <a:tailEnd type="stealth" w="med" len="lg"/>
                            </a:ln>
                            <a:effectLst/>
                          </wps:spPr>
                          <wps:bodyPr/>
                        </wps:wsp>
                        <wps:wsp>
                          <wps:cNvPr id="1162" name="Straight Arrow Connector 1162"/>
                          <wps:cNvCnPr/>
                          <wps:spPr>
                            <a:xfrm flipV="1">
                              <a:off x="2076450" y="114300"/>
                              <a:ext cx="0" cy="1532890"/>
                            </a:xfrm>
                            <a:prstGeom prst="straightConnector1">
                              <a:avLst/>
                            </a:prstGeom>
                            <a:noFill/>
                            <a:ln w="19050" cap="flat" cmpd="sng" algn="ctr">
                              <a:solidFill>
                                <a:sysClr val="windowText" lastClr="000000">
                                  <a:shade val="95000"/>
                                  <a:satMod val="105000"/>
                                </a:sysClr>
                              </a:solidFill>
                              <a:prstDash val="solid"/>
                              <a:tailEnd type="stealth" w="med" len="lg"/>
                            </a:ln>
                            <a:effectLst/>
                          </wps:spPr>
                          <wps:bodyPr/>
                        </wps:wsp>
                        <wps:wsp>
                          <wps:cNvPr id="1163" name="Straight Arrow Connector 1163"/>
                          <wps:cNvCnPr/>
                          <wps:spPr>
                            <a:xfrm>
                              <a:off x="2266950" y="114300"/>
                              <a:ext cx="0" cy="1295400"/>
                            </a:xfrm>
                            <a:prstGeom prst="straightConnector1">
                              <a:avLst/>
                            </a:prstGeom>
                            <a:noFill/>
                            <a:ln w="19050" cap="flat" cmpd="sng" algn="ctr">
                              <a:solidFill>
                                <a:sysClr val="windowText" lastClr="000000">
                                  <a:shade val="95000"/>
                                  <a:satMod val="105000"/>
                                </a:sysClr>
                              </a:solidFill>
                              <a:prstDash val="solid"/>
                              <a:tailEnd type="stealth" w="med" len="lg"/>
                            </a:ln>
                            <a:effectLst/>
                          </wps:spPr>
                          <wps:bodyPr/>
                        </wps:wsp>
                        <wps:wsp>
                          <wps:cNvPr id="1164" name="Straight Arrow Connector 1164"/>
                          <wps:cNvCnPr/>
                          <wps:spPr>
                            <a:xfrm flipV="1">
                              <a:off x="2971800" y="114300"/>
                              <a:ext cx="0" cy="1533526"/>
                            </a:xfrm>
                            <a:prstGeom prst="straightConnector1">
                              <a:avLst/>
                            </a:prstGeom>
                            <a:noFill/>
                            <a:ln w="19050" cap="flat" cmpd="sng" algn="ctr">
                              <a:solidFill>
                                <a:sysClr val="windowText" lastClr="000000">
                                  <a:shade val="95000"/>
                                  <a:satMod val="105000"/>
                                </a:sysClr>
                              </a:solidFill>
                              <a:prstDash val="solid"/>
                              <a:tailEnd type="stealth" w="med" len="lg"/>
                            </a:ln>
                            <a:effectLst/>
                          </wps:spPr>
                          <wps:bodyPr/>
                        </wps:wsp>
                        <wps:wsp>
                          <wps:cNvPr id="1165" name="Straight Arrow Connector 1165"/>
                          <wps:cNvCnPr/>
                          <wps:spPr>
                            <a:xfrm>
                              <a:off x="3162300" y="114300"/>
                              <a:ext cx="9525" cy="1743075"/>
                            </a:xfrm>
                            <a:prstGeom prst="straightConnector1">
                              <a:avLst/>
                            </a:prstGeom>
                            <a:noFill/>
                            <a:ln w="19050" cap="flat" cmpd="sng" algn="ctr">
                              <a:solidFill>
                                <a:sysClr val="windowText" lastClr="000000">
                                  <a:shade val="95000"/>
                                  <a:satMod val="105000"/>
                                </a:sysClr>
                              </a:solidFill>
                              <a:prstDash val="solid"/>
                              <a:tailEnd type="stealth" w="med" len="lg"/>
                            </a:ln>
                            <a:effectLst/>
                          </wps:spPr>
                          <wps:bodyPr/>
                        </wps:wsp>
                        <wps:wsp>
                          <wps:cNvPr id="1166" name="Text Box 1166"/>
                          <wps:cNvSpPr txBox="1"/>
                          <wps:spPr>
                            <a:xfrm>
                              <a:off x="771524" y="1971675"/>
                              <a:ext cx="904875" cy="504825"/>
                            </a:xfrm>
                            <a:prstGeom prst="rect">
                              <a:avLst/>
                            </a:prstGeom>
                            <a:noFill/>
                            <a:ln w="6350">
                              <a:noFill/>
                            </a:ln>
                            <a:effectLst/>
                          </wps:spPr>
                          <wps:txbx>
                            <w:txbxContent>
                              <w:p w14:paraId="67F58FA9" w14:textId="77777777" w:rsidR="00230AB9" w:rsidRPr="0071777C" w:rsidRDefault="00230AB9" w:rsidP="00D740DC">
                                <w:pPr>
                                  <w:spacing w:line="240" w:lineRule="auto"/>
                                  <w:jc w:val="center"/>
                                  <w:rPr>
                                    <w:rFonts w:cs="Times New Roman"/>
                                    <w:b w:val="0"/>
                                  </w:rPr>
                                </w:pPr>
                                <w:r w:rsidRPr="0071777C">
                                  <w:rPr>
                                    <w:rFonts w:cs="Times New Roman"/>
                                  </w:rPr>
                                  <w:t xml:space="preserve">Rayleigh </w:t>
                                </w:r>
                                <w:proofErr w:type="spellStart"/>
                                <w:r w:rsidRPr="0071777C">
                                  <w:rPr>
                                    <w:rFonts w:cs="Times New Roman"/>
                                  </w:rPr>
                                  <w:t>Sc</w:t>
                                </w:r>
                                <w:r>
                                  <w:rPr>
                                    <w:rFonts w:cs="Times New Roman"/>
                                  </w:rPr>
                                  <w:t>a</w:t>
                                </w:r>
                                <w:r w:rsidRPr="0071777C">
                                  <w:rPr>
                                    <w:rFonts w:cs="Times New Roman"/>
                                  </w:rPr>
                                  <w:t>tterin</w:t>
                                </w:r>
                                <w:r>
                                  <w:rPr>
                                    <w:rFonts w:cs="Times New Roman"/>
                                  </w:rPr>
                                  <w:t>g</w:t>
                                </w:r>
                                <w:r w:rsidRPr="0071777C">
                                  <w:rPr>
                                    <w:rFonts w:cs="Times New Roman"/>
                                  </w:rPr>
                                  <w:t>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7" name="Text Box 1167"/>
                          <wps:cNvSpPr txBox="1"/>
                          <wps:spPr>
                            <a:xfrm>
                              <a:off x="1714500" y="1905000"/>
                              <a:ext cx="876300" cy="714375"/>
                            </a:xfrm>
                            <a:prstGeom prst="rect">
                              <a:avLst/>
                            </a:prstGeom>
                            <a:noFill/>
                            <a:ln w="6350">
                              <a:noFill/>
                            </a:ln>
                            <a:effectLst/>
                          </wps:spPr>
                          <wps:txbx>
                            <w:txbxContent>
                              <w:p w14:paraId="424C7E11" w14:textId="77777777" w:rsidR="00230AB9" w:rsidRPr="00035804" w:rsidRDefault="00230AB9" w:rsidP="00D740DC">
                                <w:pPr>
                                  <w:spacing w:line="240" w:lineRule="auto"/>
                                  <w:jc w:val="center"/>
                                  <w:rPr>
                                    <w:rFonts w:cs="Times New Roman"/>
                                    <w:b w:val="0"/>
                                  </w:rPr>
                                </w:pPr>
                                <w:r w:rsidRPr="00035804">
                                  <w:rPr>
                                    <w:rFonts w:cs="Times New Roman"/>
                                  </w:rPr>
                                  <w:t>Stokes Raman Scattering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8" name="Text Box 1168"/>
                          <wps:cNvSpPr txBox="1"/>
                          <wps:spPr>
                            <a:xfrm>
                              <a:off x="2695575" y="1971675"/>
                              <a:ext cx="895350" cy="733425"/>
                            </a:xfrm>
                            <a:prstGeom prst="rect">
                              <a:avLst/>
                            </a:prstGeom>
                            <a:noFill/>
                            <a:ln w="6350">
                              <a:noFill/>
                            </a:ln>
                            <a:effectLst/>
                          </wps:spPr>
                          <wps:txbx>
                            <w:txbxContent>
                              <w:p w14:paraId="41996A3B" w14:textId="77777777" w:rsidR="00230AB9" w:rsidRPr="00035804" w:rsidRDefault="00230AB9" w:rsidP="00D740DC">
                                <w:pPr>
                                  <w:spacing w:line="240" w:lineRule="auto"/>
                                  <w:jc w:val="center"/>
                                  <w:rPr>
                                    <w:rFonts w:cs="Times New Roman"/>
                                    <w:b w:val="0"/>
                                  </w:rPr>
                                </w:pPr>
                                <w:r w:rsidRPr="00035804">
                                  <w:rPr>
                                    <w:rFonts w:cs="Times New Roman"/>
                                  </w:rPr>
                                  <w:t>Anti-Stoke Raman Scattering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9" name="Text Box 1169"/>
                          <wps:cNvSpPr txBox="1"/>
                          <wps:spPr>
                            <a:xfrm>
                              <a:off x="0" y="0"/>
                              <a:ext cx="1228725" cy="276225"/>
                            </a:xfrm>
                            <a:prstGeom prst="rect">
                              <a:avLst/>
                            </a:prstGeom>
                            <a:noFill/>
                            <a:ln w="6350">
                              <a:noFill/>
                            </a:ln>
                            <a:effectLst/>
                          </wps:spPr>
                          <wps:txbx>
                            <w:txbxContent>
                              <w:p w14:paraId="0276B2D1" w14:textId="77777777" w:rsidR="00230AB9" w:rsidRPr="00035804" w:rsidRDefault="00230AB9" w:rsidP="00D740DC">
                                <w:pPr>
                                  <w:rPr>
                                    <w:rFonts w:cs="Times New Roman"/>
                                  </w:rPr>
                                </w:pPr>
                                <w:r w:rsidRPr="00035804">
                                  <w:rPr>
                                    <w:rFonts w:cs="Times New Roman"/>
                                  </w:rPr>
                                  <w:t>Virtual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0" name="Text Box 1170"/>
                          <wps:cNvSpPr txBox="1"/>
                          <wps:spPr>
                            <a:xfrm>
                              <a:off x="47625" y="1504950"/>
                              <a:ext cx="990600" cy="352425"/>
                            </a:xfrm>
                            <a:prstGeom prst="rect">
                              <a:avLst/>
                            </a:prstGeom>
                            <a:noFill/>
                            <a:ln w="6350">
                              <a:noFill/>
                            </a:ln>
                            <a:effectLst/>
                          </wps:spPr>
                          <wps:txbx>
                            <w:txbxContent>
                              <w:p w14:paraId="60825EF4" w14:textId="77777777" w:rsidR="00230AB9" w:rsidRPr="00035804" w:rsidRDefault="00230AB9" w:rsidP="00D740DC">
                                <w:pPr>
                                  <w:rPr>
                                    <w:rFonts w:cs="Times New Roman"/>
                                  </w:rPr>
                                </w:pPr>
                                <w:r w:rsidRPr="00035804">
                                  <w:rPr>
                                    <w:rFonts w:cs="Times New Roman"/>
                                  </w:rPr>
                                  <w:t>Initial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87" name="Text Box 1187"/>
                        <wps:cNvSpPr txBox="1"/>
                        <wps:spPr>
                          <a:xfrm>
                            <a:off x="828675" y="704850"/>
                            <a:ext cx="504825" cy="276225"/>
                          </a:xfrm>
                          <a:prstGeom prst="rect">
                            <a:avLst/>
                          </a:prstGeom>
                          <a:noFill/>
                          <a:ln w="6350">
                            <a:noFill/>
                          </a:ln>
                          <a:effectLst/>
                        </wps:spPr>
                        <wps:txbx>
                          <w:txbxContent>
                            <w:p w14:paraId="7D1447DF" w14:textId="77777777" w:rsidR="00230AB9" w:rsidRDefault="00230AB9" w:rsidP="00D740DC">
                              <w:r w:rsidRPr="00C359D7">
                                <w:rPr>
                                  <w:rFonts w:cs="Times New Roman"/>
                                  <w:i/>
                                  <w:szCs w:val="24"/>
                                </w:rPr>
                                <w:t>ω</w:t>
                              </w:r>
                              <w:r w:rsidRPr="00C359D7">
                                <w:rPr>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3" name="Text Box 1193"/>
                        <wps:cNvSpPr txBox="1"/>
                        <wps:spPr>
                          <a:xfrm>
                            <a:off x="2266950" y="704850"/>
                            <a:ext cx="400050" cy="438150"/>
                          </a:xfrm>
                          <a:prstGeom prst="rect">
                            <a:avLst/>
                          </a:prstGeom>
                          <a:noFill/>
                          <a:ln w="6350">
                            <a:noFill/>
                          </a:ln>
                          <a:effectLst/>
                        </wps:spPr>
                        <wps:txbx>
                          <w:txbxContent>
                            <w:p w14:paraId="0744359F" w14:textId="77777777" w:rsidR="00230AB9" w:rsidRDefault="00230AB9" w:rsidP="00D740DC">
                              <w:proofErr w:type="spellStart"/>
                              <w:r w:rsidRPr="00C359D7">
                                <w:rPr>
                                  <w:rFonts w:cs="Times New Roman"/>
                                  <w:i/>
                                  <w:szCs w:val="24"/>
                                </w:rPr>
                                <w:t>ω</w:t>
                              </w:r>
                              <w:r w:rsidRPr="00C359D7">
                                <w:rPr>
                                  <w:rFonts w:cs="Times New Roman"/>
                                  <w:i/>
                                  <w:szCs w:val="24"/>
                                  <w:vertAlign w:val="subscript"/>
                                </w:rPr>
                                <w:t>f</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3" name="Text Box 1203"/>
                        <wps:cNvSpPr txBox="1"/>
                        <wps:spPr>
                          <a:xfrm>
                            <a:off x="3190875" y="704850"/>
                            <a:ext cx="400050" cy="438150"/>
                          </a:xfrm>
                          <a:prstGeom prst="rect">
                            <a:avLst/>
                          </a:prstGeom>
                          <a:noFill/>
                          <a:ln w="6350">
                            <a:noFill/>
                          </a:ln>
                          <a:effectLst/>
                        </wps:spPr>
                        <wps:txbx>
                          <w:txbxContent>
                            <w:p w14:paraId="7F97AC5F" w14:textId="77777777" w:rsidR="00230AB9" w:rsidRDefault="00230AB9" w:rsidP="00D740DC">
                              <w:proofErr w:type="spellStart"/>
                              <w:r w:rsidRPr="00C359D7">
                                <w:rPr>
                                  <w:rFonts w:cs="Times New Roman"/>
                                  <w:i/>
                                  <w:szCs w:val="24"/>
                                </w:rPr>
                                <w:t>ω</w:t>
                              </w:r>
                              <w:r w:rsidRPr="00C359D7">
                                <w:rPr>
                                  <w:rFonts w:cs="Times New Roman"/>
                                  <w:i/>
                                  <w:szCs w:val="24"/>
                                  <w:vertAlign w:val="subscript"/>
                                </w:rPr>
                                <w:t>f</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4" name="Text Box 1204"/>
                        <wps:cNvSpPr txBox="1"/>
                        <wps:spPr>
                          <a:xfrm>
                            <a:off x="1762125" y="704850"/>
                            <a:ext cx="504825" cy="276225"/>
                          </a:xfrm>
                          <a:prstGeom prst="rect">
                            <a:avLst/>
                          </a:prstGeom>
                          <a:noFill/>
                          <a:ln w="6350">
                            <a:noFill/>
                          </a:ln>
                          <a:effectLst/>
                        </wps:spPr>
                        <wps:txbx>
                          <w:txbxContent>
                            <w:p w14:paraId="78131829" w14:textId="77777777" w:rsidR="00230AB9" w:rsidRDefault="00230AB9" w:rsidP="00D740DC">
                              <w:r w:rsidRPr="00C359D7">
                                <w:rPr>
                                  <w:rFonts w:cs="Times New Roman"/>
                                  <w:i/>
                                  <w:szCs w:val="24"/>
                                </w:rPr>
                                <w:t>ω</w:t>
                              </w:r>
                              <w:r w:rsidRPr="00C359D7">
                                <w:rPr>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5" name="Text Box 1205"/>
                        <wps:cNvSpPr txBox="1"/>
                        <wps:spPr>
                          <a:xfrm>
                            <a:off x="2657475" y="704850"/>
                            <a:ext cx="504825" cy="276225"/>
                          </a:xfrm>
                          <a:prstGeom prst="rect">
                            <a:avLst/>
                          </a:prstGeom>
                          <a:noFill/>
                          <a:ln w="6350">
                            <a:noFill/>
                          </a:ln>
                          <a:effectLst/>
                        </wps:spPr>
                        <wps:txbx>
                          <w:txbxContent>
                            <w:p w14:paraId="119D49CC" w14:textId="77777777" w:rsidR="00230AB9" w:rsidRDefault="00230AB9" w:rsidP="00D740DC">
                              <w:r w:rsidRPr="00C359D7">
                                <w:rPr>
                                  <w:rFonts w:cs="Times New Roman"/>
                                  <w:i/>
                                  <w:szCs w:val="24"/>
                                </w:rPr>
                                <w:t>ω</w:t>
                              </w:r>
                              <w:r w:rsidRPr="00C359D7">
                                <w:rPr>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7" name="Text Box 1207"/>
                        <wps:cNvSpPr txBox="1"/>
                        <wps:spPr>
                          <a:xfrm>
                            <a:off x="2809875" y="1790700"/>
                            <a:ext cx="466725" cy="324485"/>
                          </a:xfrm>
                          <a:prstGeom prst="rect">
                            <a:avLst/>
                          </a:prstGeom>
                          <a:noFill/>
                          <a:ln w="6350">
                            <a:noFill/>
                          </a:ln>
                          <a:effectLst/>
                        </wps:spPr>
                        <wps:txbx>
                          <w:txbxContent>
                            <w:p w14:paraId="4F9F581F" w14:textId="77777777" w:rsidR="00230AB9" w:rsidRDefault="00230AB9" w:rsidP="00D740DC">
                              <w:proofErr w:type="spellStart"/>
                              <w:r w:rsidRPr="00C359D7">
                                <w:rPr>
                                  <w:rFonts w:cs="Times New Roman"/>
                                  <w:i/>
                                  <w:szCs w:val="24"/>
                                </w:rPr>
                                <w:t>Δω</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0" name="Text Box 1210"/>
                        <wps:cNvSpPr txBox="1"/>
                        <wps:spPr>
                          <a:xfrm>
                            <a:off x="1695450" y="0"/>
                            <a:ext cx="971550" cy="323850"/>
                          </a:xfrm>
                          <a:prstGeom prst="rect">
                            <a:avLst/>
                          </a:prstGeom>
                          <a:noFill/>
                          <a:ln w="6350">
                            <a:noFill/>
                          </a:ln>
                          <a:effectLst/>
                        </wps:spPr>
                        <wps:txbx>
                          <w:txbxContent>
                            <w:p w14:paraId="5AD840EA" w14:textId="77777777" w:rsidR="00230AB9" w:rsidRDefault="00230AB9" w:rsidP="00D740DC">
                              <w:proofErr w:type="spellStart"/>
                              <w:r w:rsidRPr="00C359D7">
                                <w:rPr>
                                  <w:rFonts w:cs="Times New Roman"/>
                                  <w:i/>
                                  <w:szCs w:val="24"/>
                                </w:rPr>
                                <w:t>ω</w:t>
                              </w:r>
                              <w:r w:rsidRPr="002D108C">
                                <w:rPr>
                                  <w:rFonts w:cs="Times New Roman"/>
                                  <w:i/>
                                  <w:szCs w:val="24"/>
                                  <w:vertAlign w:val="subscript"/>
                                </w:rPr>
                                <w:t>i</w:t>
                              </w:r>
                              <w:proofErr w:type="spellEnd"/>
                              <w:r>
                                <w:rPr>
                                  <w:rFonts w:cs="Times New Roman"/>
                                  <w:i/>
                                  <w:szCs w:val="24"/>
                                </w:rPr>
                                <w:t>=</w:t>
                              </w:r>
                              <w:proofErr w:type="spellStart"/>
                              <w:r>
                                <w:rPr>
                                  <w:rFonts w:cs="Times New Roman"/>
                                  <w:i/>
                                  <w:szCs w:val="24"/>
                                </w:rPr>
                                <w:t>ω</w:t>
                              </w:r>
                              <w:r w:rsidRPr="002D108C">
                                <w:rPr>
                                  <w:rFonts w:cs="Times New Roman"/>
                                  <w:i/>
                                  <w:szCs w:val="24"/>
                                  <w:vertAlign w:val="subscript"/>
                                </w:rPr>
                                <w:t>f</w:t>
                              </w:r>
                              <w:proofErr w:type="spellEnd"/>
                              <w:r>
                                <w:rPr>
                                  <w:rFonts w:cs="Times New Roman"/>
                                  <w:i/>
                                  <w:szCs w:val="24"/>
                                </w:rPr>
                                <w:t xml:space="preserve"> +</w:t>
                              </w:r>
                              <w:r w:rsidRPr="00C359D7">
                                <w:rPr>
                                  <w:rFonts w:cs="Times New Roman"/>
                                  <w:i/>
                                  <w:szCs w:val="24"/>
                                </w:rPr>
                                <w:t xml:space="preserve"> </w:t>
                              </w:r>
                              <w:proofErr w:type="spellStart"/>
                              <w:r w:rsidRPr="00C359D7">
                                <w:rPr>
                                  <w:rFonts w:cs="Times New Roman"/>
                                  <w:i/>
                                  <w:szCs w:val="24"/>
                                </w:rPr>
                                <w:t>Δω</w:t>
                              </w:r>
                              <w:proofErr w:type="spellEnd"/>
                            </w:p>
                            <w:p w14:paraId="353F45BF" w14:textId="77777777" w:rsidR="00230AB9" w:rsidRDefault="00230AB9" w:rsidP="00D740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1" name="Text Box 1211"/>
                        <wps:cNvSpPr txBox="1"/>
                        <wps:spPr>
                          <a:xfrm>
                            <a:off x="2667000" y="0"/>
                            <a:ext cx="971550" cy="323850"/>
                          </a:xfrm>
                          <a:prstGeom prst="rect">
                            <a:avLst/>
                          </a:prstGeom>
                          <a:noFill/>
                          <a:ln w="6350">
                            <a:noFill/>
                          </a:ln>
                          <a:effectLst/>
                        </wps:spPr>
                        <wps:txbx>
                          <w:txbxContent>
                            <w:p w14:paraId="20B4E501" w14:textId="77777777" w:rsidR="00230AB9" w:rsidRDefault="00230AB9" w:rsidP="00D740DC">
                              <w:proofErr w:type="spellStart"/>
                              <w:r w:rsidRPr="00C359D7">
                                <w:rPr>
                                  <w:rFonts w:cs="Times New Roman"/>
                                  <w:i/>
                                  <w:szCs w:val="24"/>
                                </w:rPr>
                                <w:t>ω</w:t>
                              </w:r>
                              <w:r w:rsidRPr="002D108C">
                                <w:rPr>
                                  <w:rFonts w:cs="Times New Roman"/>
                                  <w:i/>
                                  <w:szCs w:val="24"/>
                                  <w:vertAlign w:val="subscript"/>
                                </w:rPr>
                                <w:t>i</w:t>
                              </w:r>
                              <w:proofErr w:type="spellEnd"/>
                              <w:r>
                                <w:rPr>
                                  <w:rFonts w:cs="Times New Roman"/>
                                  <w:i/>
                                  <w:szCs w:val="24"/>
                                </w:rPr>
                                <w:t>=</w:t>
                              </w:r>
                              <w:proofErr w:type="spellStart"/>
                              <w:r>
                                <w:rPr>
                                  <w:rFonts w:cs="Times New Roman"/>
                                  <w:i/>
                                  <w:szCs w:val="24"/>
                                </w:rPr>
                                <w:t>ω</w:t>
                              </w:r>
                              <w:r w:rsidRPr="002D108C">
                                <w:rPr>
                                  <w:rFonts w:cs="Times New Roman"/>
                                  <w:i/>
                                  <w:szCs w:val="24"/>
                                  <w:vertAlign w:val="subscript"/>
                                </w:rPr>
                                <w:t>f</w:t>
                              </w:r>
                              <w:proofErr w:type="spellEnd"/>
                              <w:r>
                                <w:rPr>
                                  <w:rFonts w:cs="Times New Roman"/>
                                  <w:i/>
                                  <w:szCs w:val="24"/>
                                </w:rPr>
                                <w:t xml:space="preserve"> -</w:t>
                              </w:r>
                              <w:r w:rsidRPr="00C359D7">
                                <w:rPr>
                                  <w:rFonts w:cs="Times New Roman"/>
                                  <w:i/>
                                  <w:szCs w:val="24"/>
                                </w:rPr>
                                <w:t xml:space="preserve"> </w:t>
                              </w:r>
                              <w:proofErr w:type="spellStart"/>
                              <w:r w:rsidRPr="00C359D7">
                                <w:rPr>
                                  <w:rFonts w:cs="Times New Roman"/>
                                  <w:i/>
                                  <w:szCs w:val="24"/>
                                </w:rPr>
                                <w:t>Δω</w:t>
                              </w:r>
                              <w:proofErr w:type="spellEnd"/>
                            </w:p>
                            <w:p w14:paraId="56C212A1" w14:textId="77777777" w:rsidR="00230AB9" w:rsidRDefault="00230AB9" w:rsidP="00D740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2" name="Text Box 1212"/>
                        <wps:cNvSpPr txBox="1"/>
                        <wps:spPr>
                          <a:xfrm>
                            <a:off x="971550" y="0"/>
                            <a:ext cx="628650" cy="323850"/>
                          </a:xfrm>
                          <a:prstGeom prst="rect">
                            <a:avLst/>
                          </a:prstGeom>
                          <a:noFill/>
                          <a:ln w="6350">
                            <a:noFill/>
                          </a:ln>
                          <a:effectLst/>
                        </wps:spPr>
                        <wps:txbx>
                          <w:txbxContent>
                            <w:p w14:paraId="4C33CF50" w14:textId="77777777" w:rsidR="00230AB9" w:rsidRDefault="00230AB9" w:rsidP="00D740DC">
                              <w:proofErr w:type="spellStart"/>
                              <w:r w:rsidRPr="00C359D7">
                                <w:rPr>
                                  <w:rFonts w:cs="Times New Roman"/>
                                  <w:i/>
                                  <w:szCs w:val="24"/>
                                </w:rPr>
                                <w:t>ω</w:t>
                              </w:r>
                              <w:r w:rsidRPr="002D108C">
                                <w:rPr>
                                  <w:rFonts w:cs="Times New Roman"/>
                                  <w:i/>
                                  <w:szCs w:val="24"/>
                                  <w:vertAlign w:val="subscript"/>
                                </w:rPr>
                                <w:t>i</w:t>
                              </w:r>
                              <w:proofErr w:type="spellEnd"/>
                              <w:r>
                                <w:rPr>
                                  <w:rFonts w:cs="Times New Roman"/>
                                  <w:i/>
                                  <w:szCs w:val="24"/>
                                </w:rPr>
                                <w:t>=</w:t>
                              </w:r>
                              <w:proofErr w:type="spellStart"/>
                              <w:r>
                                <w:rPr>
                                  <w:rFonts w:cs="Times New Roman"/>
                                  <w:i/>
                                  <w:szCs w:val="24"/>
                                </w:rPr>
                                <w:t>ω</w:t>
                              </w:r>
                              <w:r w:rsidRPr="002D108C">
                                <w:rPr>
                                  <w:rFonts w:cs="Times New Roman"/>
                                  <w:i/>
                                  <w:szCs w:val="24"/>
                                  <w:vertAlign w:val="subscript"/>
                                </w:rPr>
                                <w:t>f</w:t>
                              </w:r>
                              <w:proofErr w:type="spellEnd"/>
                              <w:r>
                                <w:rPr>
                                  <w:rFonts w:cs="Times New Roman"/>
                                  <w:i/>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EC97F89" id="Group 1213" o:spid="_x0000_s1112" style="position:absolute;left:0;text-align:left;margin-left:78pt;margin-top:24.65pt;width:4in;height:224.25pt;z-index:252448768" coordsize="36576,28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">
                <v:group id="Group 1186" o:spid="_x0000_s1113" style="position:absolute;top:1428;width:36576;height:27051" coordsize="36576,27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">
                  <v:line id="Straight Connector 1155" o:spid="_x0000_s1114" style="position:absolute;visibility:visible;mso-wrap-style:square" from="8953,18573" to="36576,18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" strokeweight="1pt"/>
                  <v:line id="Straight Connector 1157" o:spid="_x0000_s1115" style="position:absolute;visibility:visible;mso-wrap-style:square" from="8953,16478" to="36576,16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"/>
                  <v:line id="Straight Connector 1158" o:spid="_x0000_s1116" style="position:absolute;flip:y;visibility:visible;mso-wrap-style:square" from="8953,14097" to="36576,14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"/>
                  <v:line id="Straight Connector 1159" o:spid="_x0000_s1117" style="position:absolute;visibility:visible;mso-wrap-style:square" from="8953,1143" to="36576,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">
                    <v:stroke dashstyle="dash"/>
                  </v:line>
                  <v:shape id="Straight Arrow Connector 1160" o:spid="_x0000_s1118" type="#_x0000_t32" style="position:absolute;left:11430;top:1143;width:0;height:153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" strokeweight="1.5pt">
                    <v:stroke endarrow="classic" endarrowlength="long" joinstyle="bevel"/>
                  </v:shape>
                  <v:shape id="Straight Arrow Connector 1161" o:spid="_x0000_s1119" type="#_x0000_t32" style="position:absolute;left:13239;top:1143;width:96;height:153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" strokeweight="1.5pt">
                    <v:stroke endarrow="classic" endarrowlength="long"/>
                  </v:shape>
                  <v:shape id="Straight Arrow Connector 1162" o:spid="_x0000_s1120" type="#_x0000_t32" style="position:absolute;left:20764;top:1143;width:0;height:153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" strokeweight="1.5pt">
                    <v:stroke endarrow="classic" endarrowlength="long"/>
                  </v:shape>
                  <v:shape id="Straight Arrow Connector 1163" o:spid="_x0000_s1121" type="#_x0000_t32" style="position:absolute;left:22669;top:1143;width:0;height:129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" strokeweight="1.5pt">
                    <v:stroke endarrow="classic" endarrowlength="long"/>
                  </v:shape>
                  <v:shape id="Straight Arrow Connector 1164" o:spid="_x0000_s1122" type="#_x0000_t32" style="position:absolute;left:29718;top:1143;width:0;height:153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" strokeweight="1.5pt">
                    <v:stroke endarrow="classic" endarrowlength="long"/>
                  </v:shape>
                  <v:shape id="Straight Arrow Connector 1165" o:spid="_x0000_s1123" type="#_x0000_t32" style="position:absolute;left:31623;top:1143;width:95;height:174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" strokeweight="1.5pt">
                    <v:stroke endarrow="classic" endarrowlength="long"/>
                  </v:shape>
                  <v:shape id="Text Box 1166" o:spid="_x0000_s1124" type="#_x0000_t202" style="position:absolute;left:7715;top:19716;width:9048;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" filled="f" stroked="f" strokeweight=".5pt">
                    <v:textbox>
                      <w:txbxContent>
                        <w:p w14:paraId="67F58FA9" w14:textId="77777777" w:rsidR="00230AB9" w:rsidRPr="0071777C" w:rsidRDefault="00230AB9" w:rsidP="00D740DC">
                          <w:pPr>
                            <w:spacing w:line="240" w:lineRule="auto"/>
                            <w:jc w:val="center"/>
                            <w:rPr>
                              <w:rFonts w:cs="Times New Roman"/>
                              <w:b w:val="0"/>
                            </w:rPr>
                          </w:pPr>
                          <w:r w:rsidRPr="0071777C">
                            <w:rPr>
                              <w:rFonts w:cs="Times New Roman"/>
                            </w:rPr>
                            <w:t xml:space="preserve">Rayleigh </w:t>
                          </w:r>
                          <w:proofErr w:type="spellStart"/>
                          <w:r w:rsidRPr="0071777C">
                            <w:rPr>
                              <w:rFonts w:cs="Times New Roman"/>
                            </w:rPr>
                            <w:t>Sc</w:t>
                          </w:r>
                          <w:r>
                            <w:rPr>
                              <w:rFonts w:cs="Times New Roman"/>
                            </w:rPr>
                            <w:t>a</w:t>
                          </w:r>
                          <w:r w:rsidRPr="0071777C">
                            <w:rPr>
                              <w:rFonts w:cs="Times New Roman"/>
                            </w:rPr>
                            <w:t>tterin</w:t>
                          </w:r>
                          <w:r>
                            <w:rPr>
                              <w:rFonts w:cs="Times New Roman"/>
                            </w:rPr>
                            <w:t>g</w:t>
                          </w:r>
                          <w:r w:rsidRPr="0071777C">
                            <w:rPr>
                              <w:rFonts w:cs="Times New Roman"/>
                            </w:rPr>
                            <w:t>g</w:t>
                          </w:r>
                          <w:proofErr w:type="spellEnd"/>
                        </w:p>
                      </w:txbxContent>
                    </v:textbox>
                  </v:shape>
                  <v:shape id="Text Box 1167" o:spid="_x0000_s1125" type="#_x0000_t202" style="position:absolute;left:17145;top:19050;width:8763;height:7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" filled="f" stroked="f" strokeweight=".5pt">
                    <v:textbox>
                      <w:txbxContent>
                        <w:p w14:paraId="424C7E11" w14:textId="77777777" w:rsidR="00230AB9" w:rsidRPr="00035804" w:rsidRDefault="00230AB9" w:rsidP="00D740DC">
                          <w:pPr>
                            <w:spacing w:line="240" w:lineRule="auto"/>
                            <w:jc w:val="center"/>
                            <w:rPr>
                              <w:rFonts w:cs="Times New Roman"/>
                              <w:b w:val="0"/>
                            </w:rPr>
                          </w:pPr>
                          <w:r w:rsidRPr="00035804">
                            <w:rPr>
                              <w:rFonts w:cs="Times New Roman"/>
                            </w:rPr>
                            <w:t>Stokes Raman Scattering</w:t>
                          </w:r>
                        </w:p>
                      </w:txbxContent>
                    </v:textbox>
                  </v:shape>
                  <v:shape id="Text Box 1168" o:spid="_x0000_s1126" type="#_x0000_t202" style="position:absolute;left:26955;top:19716;width:8954;height:7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" filled="f" stroked="f" strokeweight=".5pt">
                    <v:textbox>
                      <w:txbxContent>
                        <w:p w14:paraId="41996A3B" w14:textId="77777777" w:rsidR="00230AB9" w:rsidRPr="00035804" w:rsidRDefault="00230AB9" w:rsidP="00D740DC">
                          <w:pPr>
                            <w:spacing w:line="240" w:lineRule="auto"/>
                            <w:jc w:val="center"/>
                            <w:rPr>
                              <w:rFonts w:cs="Times New Roman"/>
                              <w:b w:val="0"/>
                            </w:rPr>
                          </w:pPr>
                          <w:r w:rsidRPr="00035804">
                            <w:rPr>
                              <w:rFonts w:cs="Times New Roman"/>
                            </w:rPr>
                            <w:t>Anti-Stoke Raman Scattering</w:t>
                          </w:r>
                        </w:p>
                      </w:txbxContent>
                    </v:textbox>
                  </v:shape>
                  <v:shape id="Text Box 1169" o:spid="_x0000_s1127" type="#_x0000_t202" style="position:absolute;width:1228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" filled="f" stroked="f" strokeweight=".5pt">
                    <v:textbox>
                      <w:txbxContent>
                        <w:p w14:paraId="0276B2D1" w14:textId="77777777" w:rsidR="00230AB9" w:rsidRPr="00035804" w:rsidRDefault="00230AB9" w:rsidP="00D740DC">
                          <w:pPr>
                            <w:rPr>
                              <w:rFonts w:cs="Times New Roman"/>
                            </w:rPr>
                          </w:pPr>
                          <w:r w:rsidRPr="00035804">
                            <w:rPr>
                              <w:rFonts w:cs="Times New Roman"/>
                            </w:rPr>
                            <w:t>Virtual State</w:t>
                          </w:r>
                        </w:p>
                      </w:txbxContent>
                    </v:textbox>
                  </v:shape>
                  <v:shape id="Text Box 1170" o:spid="_x0000_s1128" type="#_x0000_t202" style="position:absolute;left:476;top:15049;width:9906;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" filled="f" stroked="f" strokeweight=".5pt">
                    <v:textbox>
                      <w:txbxContent>
                        <w:p w14:paraId="60825EF4" w14:textId="77777777" w:rsidR="00230AB9" w:rsidRPr="00035804" w:rsidRDefault="00230AB9" w:rsidP="00D740DC">
                          <w:pPr>
                            <w:rPr>
                              <w:rFonts w:cs="Times New Roman"/>
                            </w:rPr>
                          </w:pPr>
                          <w:r w:rsidRPr="00035804">
                            <w:rPr>
                              <w:rFonts w:cs="Times New Roman"/>
                            </w:rPr>
                            <w:t>Initial State</w:t>
                          </w:r>
                        </w:p>
                      </w:txbxContent>
                    </v:textbox>
                  </v:shape>
                </v:group>
                <v:shape id="Text Box 1187" o:spid="_x0000_s1129" type="#_x0000_t202" style="position:absolute;left:8286;top:7048;width:504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" filled="f" stroked="f" strokeweight=".5pt">
                  <v:textbox>
                    <w:txbxContent>
                      <w:p w14:paraId="7D1447DF" w14:textId="77777777" w:rsidR="00230AB9" w:rsidRDefault="00230AB9" w:rsidP="00D740DC">
                        <w:r w:rsidRPr="00C359D7">
                          <w:rPr>
                            <w:rFonts w:cs="Times New Roman"/>
                            <w:i/>
                            <w:szCs w:val="24"/>
                          </w:rPr>
                          <w:t>ω</w:t>
                        </w:r>
                        <w:r w:rsidRPr="00C359D7">
                          <w:rPr>
                            <w:vertAlign w:val="subscript"/>
                          </w:rPr>
                          <w:t>1</w:t>
                        </w:r>
                      </w:p>
                    </w:txbxContent>
                  </v:textbox>
                </v:shape>
                <v:shape id="Text Box 1193" o:spid="_x0000_s1130" type="#_x0000_t202" style="position:absolute;left:22669;top:7048;width:4001;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" filled="f" stroked="f" strokeweight=".5pt">
                  <v:textbox>
                    <w:txbxContent>
                      <w:p w14:paraId="0744359F" w14:textId="77777777" w:rsidR="00230AB9" w:rsidRDefault="00230AB9" w:rsidP="00D740DC">
                        <w:proofErr w:type="spellStart"/>
                        <w:r w:rsidRPr="00C359D7">
                          <w:rPr>
                            <w:rFonts w:cs="Times New Roman"/>
                            <w:i/>
                            <w:szCs w:val="24"/>
                          </w:rPr>
                          <w:t>ω</w:t>
                        </w:r>
                        <w:r w:rsidRPr="00C359D7">
                          <w:rPr>
                            <w:rFonts w:cs="Times New Roman"/>
                            <w:i/>
                            <w:szCs w:val="24"/>
                            <w:vertAlign w:val="subscript"/>
                          </w:rPr>
                          <w:t>f</w:t>
                        </w:r>
                        <w:proofErr w:type="spellEnd"/>
                      </w:p>
                    </w:txbxContent>
                  </v:textbox>
                </v:shape>
                <v:shape id="Text Box 1203" o:spid="_x0000_s1131" type="#_x0000_t202" style="position:absolute;left:31908;top:7048;width:4001;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" filled="f" stroked="f" strokeweight=".5pt">
                  <v:textbox>
                    <w:txbxContent>
                      <w:p w14:paraId="7F97AC5F" w14:textId="77777777" w:rsidR="00230AB9" w:rsidRDefault="00230AB9" w:rsidP="00D740DC">
                        <w:proofErr w:type="spellStart"/>
                        <w:r w:rsidRPr="00C359D7">
                          <w:rPr>
                            <w:rFonts w:cs="Times New Roman"/>
                            <w:i/>
                            <w:szCs w:val="24"/>
                          </w:rPr>
                          <w:t>ω</w:t>
                        </w:r>
                        <w:r w:rsidRPr="00C359D7">
                          <w:rPr>
                            <w:rFonts w:cs="Times New Roman"/>
                            <w:i/>
                            <w:szCs w:val="24"/>
                            <w:vertAlign w:val="subscript"/>
                          </w:rPr>
                          <w:t>f</w:t>
                        </w:r>
                        <w:proofErr w:type="spellEnd"/>
                      </w:p>
                    </w:txbxContent>
                  </v:textbox>
                </v:shape>
                <v:shape id="Text Box 1204" o:spid="_x0000_s1132" type="#_x0000_t202" style="position:absolute;left:17621;top:7048;width:504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" filled="f" stroked="f" strokeweight=".5pt">
                  <v:textbox>
                    <w:txbxContent>
                      <w:p w14:paraId="78131829" w14:textId="77777777" w:rsidR="00230AB9" w:rsidRDefault="00230AB9" w:rsidP="00D740DC">
                        <w:r w:rsidRPr="00C359D7">
                          <w:rPr>
                            <w:rFonts w:cs="Times New Roman"/>
                            <w:i/>
                            <w:szCs w:val="24"/>
                          </w:rPr>
                          <w:t>ω</w:t>
                        </w:r>
                        <w:r w:rsidRPr="00C359D7">
                          <w:rPr>
                            <w:vertAlign w:val="subscript"/>
                          </w:rPr>
                          <w:t>1</w:t>
                        </w:r>
                      </w:p>
                    </w:txbxContent>
                  </v:textbox>
                </v:shape>
                <v:shape id="Text Box 1205" o:spid="_x0000_s1133" type="#_x0000_t202" style="position:absolute;left:26574;top:7048;width:504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" filled="f" stroked="f" strokeweight=".5pt">
                  <v:textbox>
                    <w:txbxContent>
                      <w:p w14:paraId="119D49CC" w14:textId="77777777" w:rsidR="00230AB9" w:rsidRDefault="00230AB9" w:rsidP="00D740DC">
                        <w:r w:rsidRPr="00C359D7">
                          <w:rPr>
                            <w:rFonts w:cs="Times New Roman"/>
                            <w:i/>
                            <w:szCs w:val="24"/>
                          </w:rPr>
                          <w:t>ω</w:t>
                        </w:r>
                        <w:r w:rsidRPr="00C359D7">
                          <w:rPr>
                            <w:vertAlign w:val="subscript"/>
                          </w:rPr>
                          <w:t>1</w:t>
                        </w:r>
                      </w:p>
                    </w:txbxContent>
                  </v:textbox>
                </v:shape>
                <v:shape id="Text Box 1207" o:spid="_x0000_s1134" type="#_x0000_t202" style="position:absolute;left:28098;top:17907;width:4668;height:3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" filled="f" stroked="f" strokeweight=".5pt">
                  <v:textbox>
                    <w:txbxContent>
                      <w:p w14:paraId="4F9F581F" w14:textId="77777777" w:rsidR="00230AB9" w:rsidRDefault="00230AB9" w:rsidP="00D740DC">
                        <w:proofErr w:type="spellStart"/>
                        <w:r w:rsidRPr="00C359D7">
                          <w:rPr>
                            <w:rFonts w:cs="Times New Roman"/>
                            <w:i/>
                            <w:szCs w:val="24"/>
                          </w:rPr>
                          <w:t>Δω</w:t>
                        </w:r>
                        <w:proofErr w:type="spellEnd"/>
                      </w:p>
                    </w:txbxContent>
                  </v:textbox>
                </v:shape>
                <v:shape id="Text Box 1210" o:spid="_x0000_s1135" type="#_x0000_t202" style="position:absolute;left:16954;width:971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" filled="f" stroked="f" strokeweight=".5pt">
                  <v:textbox>
                    <w:txbxContent>
                      <w:p w14:paraId="5AD840EA" w14:textId="77777777" w:rsidR="00230AB9" w:rsidRDefault="00230AB9" w:rsidP="00D740DC">
                        <w:proofErr w:type="spellStart"/>
                        <w:r w:rsidRPr="00C359D7">
                          <w:rPr>
                            <w:rFonts w:cs="Times New Roman"/>
                            <w:i/>
                            <w:szCs w:val="24"/>
                          </w:rPr>
                          <w:t>ω</w:t>
                        </w:r>
                        <w:r w:rsidRPr="002D108C">
                          <w:rPr>
                            <w:rFonts w:cs="Times New Roman"/>
                            <w:i/>
                            <w:szCs w:val="24"/>
                            <w:vertAlign w:val="subscript"/>
                          </w:rPr>
                          <w:t>i</w:t>
                        </w:r>
                        <w:proofErr w:type="spellEnd"/>
                        <w:r>
                          <w:rPr>
                            <w:rFonts w:cs="Times New Roman"/>
                            <w:i/>
                            <w:szCs w:val="24"/>
                          </w:rPr>
                          <w:t>=</w:t>
                        </w:r>
                        <w:proofErr w:type="spellStart"/>
                        <w:r>
                          <w:rPr>
                            <w:rFonts w:cs="Times New Roman"/>
                            <w:i/>
                            <w:szCs w:val="24"/>
                          </w:rPr>
                          <w:t>ω</w:t>
                        </w:r>
                        <w:r w:rsidRPr="002D108C">
                          <w:rPr>
                            <w:rFonts w:cs="Times New Roman"/>
                            <w:i/>
                            <w:szCs w:val="24"/>
                            <w:vertAlign w:val="subscript"/>
                          </w:rPr>
                          <w:t>f</w:t>
                        </w:r>
                        <w:proofErr w:type="spellEnd"/>
                        <w:r>
                          <w:rPr>
                            <w:rFonts w:cs="Times New Roman"/>
                            <w:i/>
                            <w:szCs w:val="24"/>
                          </w:rPr>
                          <w:t xml:space="preserve"> +</w:t>
                        </w:r>
                        <w:r w:rsidRPr="00C359D7">
                          <w:rPr>
                            <w:rFonts w:cs="Times New Roman"/>
                            <w:i/>
                            <w:szCs w:val="24"/>
                          </w:rPr>
                          <w:t xml:space="preserve"> </w:t>
                        </w:r>
                        <w:proofErr w:type="spellStart"/>
                        <w:r w:rsidRPr="00C359D7">
                          <w:rPr>
                            <w:rFonts w:cs="Times New Roman"/>
                            <w:i/>
                            <w:szCs w:val="24"/>
                          </w:rPr>
                          <w:t>Δω</w:t>
                        </w:r>
                        <w:proofErr w:type="spellEnd"/>
                      </w:p>
                      <w:p w14:paraId="353F45BF" w14:textId="77777777" w:rsidR="00230AB9" w:rsidRDefault="00230AB9" w:rsidP="00D740DC"/>
                    </w:txbxContent>
                  </v:textbox>
                </v:shape>
                <v:shape id="Text Box 1211" o:spid="_x0000_s1136" type="#_x0000_t202" style="position:absolute;left:26670;width:971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" filled="f" stroked="f" strokeweight=".5pt">
                  <v:textbox>
                    <w:txbxContent>
                      <w:p w14:paraId="20B4E501" w14:textId="77777777" w:rsidR="00230AB9" w:rsidRDefault="00230AB9" w:rsidP="00D740DC">
                        <w:proofErr w:type="spellStart"/>
                        <w:r w:rsidRPr="00C359D7">
                          <w:rPr>
                            <w:rFonts w:cs="Times New Roman"/>
                            <w:i/>
                            <w:szCs w:val="24"/>
                          </w:rPr>
                          <w:t>ω</w:t>
                        </w:r>
                        <w:r w:rsidRPr="002D108C">
                          <w:rPr>
                            <w:rFonts w:cs="Times New Roman"/>
                            <w:i/>
                            <w:szCs w:val="24"/>
                            <w:vertAlign w:val="subscript"/>
                          </w:rPr>
                          <w:t>i</w:t>
                        </w:r>
                        <w:proofErr w:type="spellEnd"/>
                        <w:r>
                          <w:rPr>
                            <w:rFonts w:cs="Times New Roman"/>
                            <w:i/>
                            <w:szCs w:val="24"/>
                          </w:rPr>
                          <w:t>=</w:t>
                        </w:r>
                        <w:proofErr w:type="spellStart"/>
                        <w:r>
                          <w:rPr>
                            <w:rFonts w:cs="Times New Roman"/>
                            <w:i/>
                            <w:szCs w:val="24"/>
                          </w:rPr>
                          <w:t>ω</w:t>
                        </w:r>
                        <w:r w:rsidRPr="002D108C">
                          <w:rPr>
                            <w:rFonts w:cs="Times New Roman"/>
                            <w:i/>
                            <w:szCs w:val="24"/>
                            <w:vertAlign w:val="subscript"/>
                          </w:rPr>
                          <w:t>f</w:t>
                        </w:r>
                        <w:proofErr w:type="spellEnd"/>
                        <w:r>
                          <w:rPr>
                            <w:rFonts w:cs="Times New Roman"/>
                            <w:i/>
                            <w:szCs w:val="24"/>
                          </w:rPr>
                          <w:t xml:space="preserve"> -</w:t>
                        </w:r>
                        <w:r w:rsidRPr="00C359D7">
                          <w:rPr>
                            <w:rFonts w:cs="Times New Roman"/>
                            <w:i/>
                            <w:szCs w:val="24"/>
                          </w:rPr>
                          <w:t xml:space="preserve"> </w:t>
                        </w:r>
                        <w:proofErr w:type="spellStart"/>
                        <w:r w:rsidRPr="00C359D7">
                          <w:rPr>
                            <w:rFonts w:cs="Times New Roman"/>
                            <w:i/>
                            <w:szCs w:val="24"/>
                          </w:rPr>
                          <w:t>Δω</w:t>
                        </w:r>
                        <w:proofErr w:type="spellEnd"/>
                      </w:p>
                      <w:p w14:paraId="56C212A1" w14:textId="77777777" w:rsidR="00230AB9" w:rsidRDefault="00230AB9" w:rsidP="00D740DC"/>
                    </w:txbxContent>
                  </v:textbox>
                </v:shape>
                <v:shape id="Text Box 1212" o:spid="_x0000_s1137" type="#_x0000_t202" style="position:absolute;left:9715;width:628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" filled="f" stroked="f" strokeweight=".5pt">
                  <v:textbox>
                    <w:txbxContent>
                      <w:p w14:paraId="4C33CF50" w14:textId="77777777" w:rsidR="00230AB9" w:rsidRDefault="00230AB9" w:rsidP="00D740DC">
                        <w:proofErr w:type="spellStart"/>
                        <w:r w:rsidRPr="00C359D7">
                          <w:rPr>
                            <w:rFonts w:cs="Times New Roman"/>
                            <w:i/>
                            <w:szCs w:val="24"/>
                          </w:rPr>
                          <w:t>ω</w:t>
                        </w:r>
                        <w:r w:rsidRPr="002D108C">
                          <w:rPr>
                            <w:rFonts w:cs="Times New Roman"/>
                            <w:i/>
                            <w:szCs w:val="24"/>
                            <w:vertAlign w:val="subscript"/>
                          </w:rPr>
                          <w:t>i</w:t>
                        </w:r>
                        <w:proofErr w:type="spellEnd"/>
                        <w:r>
                          <w:rPr>
                            <w:rFonts w:cs="Times New Roman"/>
                            <w:i/>
                            <w:szCs w:val="24"/>
                          </w:rPr>
                          <w:t>=</w:t>
                        </w:r>
                        <w:proofErr w:type="spellStart"/>
                        <w:r>
                          <w:rPr>
                            <w:rFonts w:cs="Times New Roman"/>
                            <w:i/>
                            <w:szCs w:val="24"/>
                          </w:rPr>
                          <w:t>ω</w:t>
                        </w:r>
                        <w:r w:rsidRPr="002D108C">
                          <w:rPr>
                            <w:rFonts w:cs="Times New Roman"/>
                            <w:i/>
                            <w:szCs w:val="24"/>
                            <w:vertAlign w:val="subscript"/>
                          </w:rPr>
                          <w:t>f</w:t>
                        </w:r>
                        <w:proofErr w:type="spellEnd"/>
                        <w:r>
                          <w:rPr>
                            <w:rFonts w:cs="Times New Roman"/>
                            <w:i/>
                            <w:szCs w:val="24"/>
                          </w:rPr>
                          <w:t xml:space="preserve"> </w:t>
                        </w:r>
                      </w:p>
                    </w:txbxContent>
                  </v:textbox>
                </v:shape>
              </v:group>
            </w:pict>
          </mc:Fallback>
        </mc:AlternateContent>
      </w:r>
    </w:p>
    <w:p w14:paraId="41A4F815" w14:textId="77777777" w:rsidR="00D740DC" w:rsidRPr="000E2377" w:rsidRDefault="00D740DC" w:rsidP="00D740DC">
      <w:pPr>
        <w:spacing w:line="360" w:lineRule="auto"/>
        <w:jc w:val="both"/>
        <w:rPr>
          <w:rFonts w:cs="Times New Roman"/>
          <w:b w:val="0"/>
          <w:szCs w:val="24"/>
        </w:rPr>
      </w:pPr>
    </w:p>
    <w:p w14:paraId="70CE1C30" w14:textId="77777777" w:rsidR="00D740DC" w:rsidRPr="000E2377" w:rsidRDefault="00D740DC" w:rsidP="00D740DC">
      <w:pPr>
        <w:spacing w:line="360" w:lineRule="auto"/>
        <w:jc w:val="both"/>
        <w:rPr>
          <w:rFonts w:cs="Times New Roman"/>
          <w:b w:val="0"/>
          <w:szCs w:val="24"/>
        </w:rPr>
      </w:pPr>
      <w:r w:rsidRPr="000E2377">
        <w:rPr>
          <w:rFonts w:cs="Times New Roman"/>
          <w:b w:val="0"/>
          <w:noProof/>
          <w:szCs w:val="24"/>
          <w:lang w:eastAsia="en-MY"/>
        </w:rPr>
        <mc:AlternateContent>
          <mc:Choice Requires="wps">
            <w:drawing>
              <wp:anchor distT="0" distB="0" distL="114300" distR="114300" simplePos="0" relativeHeight="252446720" behindDoc="0" locked="0" layoutInCell="1" allowOverlap="1" wp14:anchorId="5A34EB42" wp14:editId="3B321F83">
                <wp:simplePos x="0" y="0"/>
                <wp:positionH relativeFrom="column">
                  <wp:posOffset>2324100</wp:posOffset>
                </wp:positionH>
                <wp:positionV relativeFrom="paragraph">
                  <wp:posOffset>240030</wp:posOffset>
                </wp:positionV>
                <wp:extent cx="400050" cy="438150"/>
                <wp:effectExtent l="0" t="0" r="0" b="0"/>
                <wp:wrapNone/>
                <wp:docPr id="1192" name="Text Box 1192"/>
                <wp:cNvGraphicFramePr/>
                <a:graphic xmlns:a="http://schemas.openxmlformats.org/drawingml/2006/main">
                  <a:graphicData uri="http://schemas.microsoft.com/office/word/2010/wordprocessingShape">
                    <wps:wsp>
                      <wps:cNvSpPr txBox="1"/>
                      <wps:spPr>
                        <a:xfrm>
                          <a:off x="0" y="0"/>
                          <a:ext cx="400050" cy="438150"/>
                        </a:xfrm>
                        <a:prstGeom prst="rect">
                          <a:avLst/>
                        </a:prstGeom>
                        <a:noFill/>
                        <a:ln w="6350">
                          <a:noFill/>
                        </a:ln>
                        <a:effectLst/>
                      </wps:spPr>
                      <wps:txbx>
                        <w:txbxContent>
                          <w:p w14:paraId="26D60779" w14:textId="77777777" w:rsidR="00230AB9" w:rsidRDefault="00230AB9" w:rsidP="00D740DC">
                            <w:proofErr w:type="spellStart"/>
                            <w:r w:rsidRPr="00C359D7">
                              <w:rPr>
                                <w:rFonts w:cs="Times New Roman"/>
                                <w:i/>
                                <w:szCs w:val="24"/>
                              </w:rPr>
                              <w:t>ω</w:t>
                            </w:r>
                            <w:r w:rsidRPr="00C359D7">
                              <w:rPr>
                                <w:rFonts w:cs="Times New Roman"/>
                                <w:i/>
                                <w:szCs w:val="24"/>
                                <w:vertAlign w:val="subscript"/>
                              </w:rPr>
                              <w:t>f</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34EB42" id="Text Box 1192" o:spid="_x0000_s1138" type="#_x0000_t202" style="position:absolute;left:0;text-align:left;margin-left:183pt;margin-top:18.9pt;width:31.5pt;height:34.5pt;z-index:25244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" filled="f" stroked="f" strokeweight=".5pt">
                <v:textbox>
                  <w:txbxContent>
                    <w:p w14:paraId="26D60779" w14:textId="77777777" w:rsidR="00230AB9" w:rsidRDefault="00230AB9" w:rsidP="00D740DC">
                      <w:proofErr w:type="spellStart"/>
                      <w:r w:rsidRPr="00C359D7">
                        <w:rPr>
                          <w:rFonts w:cs="Times New Roman"/>
                          <w:i/>
                          <w:szCs w:val="24"/>
                        </w:rPr>
                        <w:t>ω</w:t>
                      </w:r>
                      <w:r w:rsidRPr="00C359D7">
                        <w:rPr>
                          <w:rFonts w:cs="Times New Roman"/>
                          <w:i/>
                          <w:szCs w:val="24"/>
                          <w:vertAlign w:val="subscript"/>
                        </w:rPr>
                        <w:t>f</w:t>
                      </w:r>
                      <w:proofErr w:type="spellEnd"/>
                    </w:p>
                  </w:txbxContent>
                </v:textbox>
              </v:shape>
            </w:pict>
          </mc:Fallback>
        </mc:AlternateContent>
      </w:r>
    </w:p>
    <w:p w14:paraId="2E1C401F" w14:textId="77777777" w:rsidR="00D740DC" w:rsidRPr="000E2377" w:rsidRDefault="00D740DC" w:rsidP="00D740DC">
      <w:pPr>
        <w:spacing w:line="360" w:lineRule="auto"/>
        <w:jc w:val="both"/>
        <w:rPr>
          <w:rFonts w:cs="Times New Roman"/>
          <w:b w:val="0"/>
          <w:szCs w:val="24"/>
        </w:rPr>
      </w:pPr>
    </w:p>
    <w:p w14:paraId="0CD4A148" w14:textId="77777777" w:rsidR="00D740DC" w:rsidRPr="000E2377" w:rsidRDefault="00D740DC" w:rsidP="00D740DC">
      <w:pPr>
        <w:spacing w:line="360" w:lineRule="auto"/>
        <w:jc w:val="both"/>
        <w:rPr>
          <w:rFonts w:cs="Times New Roman"/>
          <w:b w:val="0"/>
          <w:szCs w:val="24"/>
        </w:rPr>
      </w:pPr>
      <w:r w:rsidRPr="000E2377">
        <w:rPr>
          <w:rFonts w:cs="Times New Roman"/>
          <w:b w:val="0"/>
          <w:noProof/>
          <w:szCs w:val="24"/>
          <w:lang w:eastAsia="en-MY"/>
        </w:rPr>
        <mc:AlternateContent>
          <mc:Choice Requires="wps">
            <w:drawing>
              <wp:anchor distT="0" distB="0" distL="114300" distR="114300" simplePos="0" relativeHeight="252447744" behindDoc="0" locked="0" layoutInCell="1" allowOverlap="1" wp14:anchorId="0CEFCAF2" wp14:editId="66495E09">
                <wp:simplePos x="0" y="0"/>
                <wp:positionH relativeFrom="column">
                  <wp:posOffset>3067050</wp:posOffset>
                </wp:positionH>
                <wp:positionV relativeFrom="paragraph">
                  <wp:posOffset>305435</wp:posOffset>
                </wp:positionV>
                <wp:extent cx="466725" cy="324485"/>
                <wp:effectExtent l="0" t="0" r="0" b="0"/>
                <wp:wrapNone/>
                <wp:docPr id="1208" name="Text Box 1208"/>
                <wp:cNvGraphicFramePr/>
                <a:graphic xmlns:a="http://schemas.openxmlformats.org/drawingml/2006/main">
                  <a:graphicData uri="http://schemas.microsoft.com/office/word/2010/wordprocessingShape">
                    <wps:wsp>
                      <wps:cNvSpPr txBox="1"/>
                      <wps:spPr>
                        <a:xfrm>
                          <a:off x="0" y="0"/>
                          <a:ext cx="466725" cy="324485"/>
                        </a:xfrm>
                        <a:prstGeom prst="rect">
                          <a:avLst/>
                        </a:prstGeom>
                        <a:noFill/>
                        <a:ln w="6350">
                          <a:noFill/>
                        </a:ln>
                        <a:effectLst/>
                      </wps:spPr>
                      <wps:txbx>
                        <w:txbxContent>
                          <w:p w14:paraId="47022782" w14:textId="77777777" w:rsidR="00230AB9" w:rsidRDefault="00230AB9" w:rsidP="00D740DC">
                            <w:proofErr w:type="spellStart"/>
                            <w:r w:rsidRPr="00C359D7">
                              <w:rPr>
                                <w:rFonts w:cs="Times New Roman"/>
                                <w:i/>
                                <w:szCs w:val="24"/>
                              </w:rPr>
                              <w:t>Δω</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EFCAF2" id="Text Box 1208" o:spid="_x0000_s1139" type="#_x0000_t202" style="position:absolute;left:0;text-align:left;margin-left:241.5pt;margin-top:24.05pt;width:36.75pt;height:25.55pt;z-index:25244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" filled="f" stroked="f" strokeweight=".5pt">
                <v:textbox>
                  <w:txbxContent>
                    <w:p w14:paraId="47022782" w14:textId="77777777" w:rsidR="00230AB9" w:rsidRDefault="00230AB9" w:rsidP="00D740DC">
                      <w:proofErr w:type="spellStart"/>
                      <w:r w:rsidRPr="00C359D7">
                        <w:rPr>
                          <w:rFonts w:cs="Times New Roman"/>
                          <w:i/>
                          <w:szCs w:val="24"/>
                        </w:rPr>
                        <w:t>Δω</w:t>
                      </w:r>
                      <w:proofErr w:type="spellEnd"/>
                    </w:p>
                  </w:txbxContent>
                </v:textbox>
              </v:shape>
            </w:pict>
          </mc:Fallback>
        </mc:AlternateContent>
      </w:r>
    </w:p>
    <w:p w14:paraId="543C0D97" w14:textId="77777777" w:rsidR="00D740DC" w:rsidRPr="000E2377" w:rsidRDefault="00D740DC" w:rsidP="00D740DC">
      <w:pPr>
        <w:spacing w:line="360" w:lineRule="auto"/>
        <w:jc w:val="both"/>
        <w:rPr>
          <w:rFonts w:cs="Times New Roman"/>
          <w:b w:val="0"/>
          <w:szCs w:val="24"/>
        </w:rPr>
      </w:pPr>
    </w:p>
    <w:p w14:paraId="1EE229CE" w14:textId="77777777" w:rsidR="00D740DC" w:rsidRPr="000E2377" w:rsidRDefault="00D740DC" w:rsidP="00D740DC">
      <w:pPr>
        <w:spacing w:line="360" w:lineRule="auto"/>
        <w:jc w:val="both"/>
        <w:rPr>
          <w:rFonts w:cs="Times New Roman"/>
          <w:b w:val="0"/>
          <w:i/>
          <w:szCs w:val="24"/>
        </w:rPr>
      </w:pPr>
    </w:p>
    <w:p w14:paraId="656A9668" w14:textId="77777777" w:rsidR="00D740DC" w:rsidRPr="000E2377" w:rsidRDefault="00D740DC" w:rsidP="00D740DC">
      <w:pPr>
        <w:spacing w:line="360" w:lineRule="auto"/>
        <w:jc w:val="both"/>
        <w:rPr>
          <w:rFonts w:cs="Times New Roman"/>
          <w:b w:val="0"/>
          <w:noProof/>
          <w:szCs w:val="24"/>
          <w:lang w:eastAsia="en-MY"/>
        </w:rPr>
      </w:pPr>
    </w:p>
    <w:p w14:paraId="4518F410" w14:textId="57192858" w:rsidR="00D740DC" w:rsidRPr="000E2377" w:rsidRDefault="00D740DC" w:rsidP="00D740DC">
      <w:pPr>
        <w:spacing w:after="0"/>
        <w:jc w:val="center"/>
        <w:rPr>
          <w:rFonts w:cs="Times New Roman"/>
          <w:noProof/>
          <w:szCs w:val="24"/>
          <w:lang w:eastAsia="en-MY"/>
        </w:rPr>
      </w:pPr>
      <w:r w:rsidRPr="000E2377">
        <w:rPr>
          <w:rFonts w:cs="Times New Roman"/>
          <w:noProof/>
          <w:szCs w:val="24"/>
          <w:lang w:eastAsia="en-MY"/>
        </w:rPr>
        <w:t>Figure 3.</w:t>
      </w:r>
      <w:r>
        <w:rPr>
          <w:rFonts w:cs="Times New Roman"/>
          <w:noProof/>
          <w:szCs w:val="24"/>
          <w:lang w:eastAsia="en-MY"/>
        </w:rPr>
        <w:t>8</w:t>
      </w:r>
      <w:r w:rsidRPr="000E2377">
        <w:rPr>
          <w:rFonts w:cs="Times New Roman"/>
          <w:noProof/>
          <w:szCs w:val="24"/>
          <w:lang w:eastAsia="en-MY"/>
        </w:rPr>
        <w:t xml:space="preserve">: Frequency different of light scattering; Rayleigh scattering, same photon energy, Stokes Raman scattering where the incident photon has more energy than </w:t>
      </w:r>
      <w:r w:rsidR="00202044">
        <w:rPr>
          <w:rFonts w:cs="Times New Roman"/>
          <w:noProof/>
          <w:szCs w:val="24"/>
          <w:lang w:eastAsia="en-MY"/>
        </w:rPr>
        <w:t xml:space="preserve">a </w:t>
      </w:r>
      <w:r w:rsidRPr="000E2377">
        <w:rPr>
          <w:rFonts w:cs="Times New Roman"/>
          <w:noProof/>
          <w:szCs w:val="24"/>
          <w:lang w:eastAsia="en-MY"/>
        </w:rPr>
        <w:t>scattered electron and anti-Stokes Raman where the scattered photon has more energy than incident photon.</w:t>
      </w:r>
    </w:p>
    <w:p w14:paraId="6957F34F" w14:textId="6A7E8546" w:rsidR="00D740DC" w:rsidRDefault="00D740DC" w:rsidP="00D740DC">
      <w:pPr>
        <w:spacing w:line="360" w:lineRule="auto"/>
        <w:jc w:val="both"/>
        <w:rPr>
          <w:rFonts w:cs="Times New Roman"/>
          <w:b w:val="0"/>
          <w:i/>
          <w:szCs w:val="24"/>
        </w:rPr>
      </w:pPr>
      <w:r w:rsidRPr="000E2377">
        <w:rPr>
          <w:rFonts w:cs="Times New Roman"/>
          <w:b w:val="0"/>
          <w:szCs w:val="24"/>
        </w:rPr>
        <w:lastRenderedPageBreak/>
        <w:t xml:space="preserve">Powder samples were placed on top of </w:t>
      </w:r>
      <w:r w:rsidR="005844C5">
        <w:rPr>
          <w:rFonts w:cs="Times New Roman"/>
          <w:b w:val="0"/>
          <w:szCs w:val="24"/>
        </w:rPr>
        <w:t xml:space="preserve">the </w:t>
      </w:r>
      <w:r w:rsidRPr="000E2377">
        <w:rPr>
          <w:rFonts w:cs="Times New Roman"/>
          <w:b w:val="0"/>
          <w:szCs w:val="24"/>
        </w:rPr>
        <w:t>glass slide then flattened using another glass slide to make sure that the surface is flat. Spectra were measured at 50x magnification from 100 to 2000 cm</w:t>
      </w:r>
      <w:r w:rsidRPr="000E2377">
        <w:rPr>
          <w:rFonts w:cs="Times New Roman"/>
          <w:b w:val="0"/>
          <w:szCs w:val="24"/>
          <w:vertAlign w:val="superscript"/>
        </w:rPr>
        <w:t xml:space="preserve">-1 </w:t>
      </w:r>
      <w:r w:rsidRPr="000E2377">
        <w:rPr>
          <w:rFonts w:cs="Times New Roman"/>
          <w:b w:val="0"/>
          <w:szCs w:val="24"/>
        </w:rPr>
        <w:t xml:space="preserve">with 4 </w:t>
      </w:r>
      <w:r>
        <w:rPr>
          <w:rFonts w:cs="Times New Roman"/>
          <w:b w:val="0"/>
          <w:szCs w:val="24"/>
        </w:rPr>
        <w:t>repeats</w:t>
      </w:r>
      <w:r w:rsidRPr="000E2377">
        <w:rPr>
          <w:rFonts w:cs="Times New Roman"/>
          <w:b w:val="0"/>
          <w:szCs w:val="24"/>
        </w:rPr>
        <w:t>. The acquisition and exposure times were 10 s. As illustrated in Figure 3.</w:t>
      </w:r>
      <w:r w:rsidR="00D44494">
        <w:rPr>
          <w:rFonts w:cs="Times New Roman"/>
          <w:b w:val="0"/>
          <w:szCs w:val="24"/>
        </w:rPr>
        <w:t>8</w:t>
      </w:r>
      <w:r w:rsidRPr="000E2377">
        <w:rPr>
          <w:rFonts w:cs="Times New Roman"/>
          <w:b w:val="0"/>
          <w:szCs w:val="24"/>
        </w:rPr>
        <w:t>, when monochromatic radiation (</w:t>
      </w:r>
      <w:proofErr w:type="spellStart"/>
      <w:r w:rsidRPr="000E2377">
        <w:rPr>
          <w:rFonts w:cs="Times New Roman"/>
          <w:b w:val="0"/>
          <w:szCs w:val="24"/>
        </w:rPr>
        <w:t>ω</w:t>
      </w:r>
      <w:r w:rsidRPr="000E2377">
        <w:rPr>
          <w:rFonts w:cs="Times New Roman"/>
          <w:b w:val="0"/>
          <w:szCs w:val="24"/>
          <w:vertAlign w:val="subscript"/>
        </w:rPr>
        <w:t>i</w:t>
      </w:r>
      <w:proofErr w:type="spellEnd"/>
      <w:r w:rsidRPr="000E2377">
        <w:rPr>
          <w:rFonts w:cs="Times New Roman"/>
          <w:b w:val="0"/>
          <w:szCs w:val="24"/>
        </w:rPr>
        <w:t>) hit</w:t>
      </w:r>
      <w:r>
        <w:rPr>
          <w:rFonts w:cs="Times New Roman"/>
          <w:b w:val="0"/>
          <w:szCs w:val="24"/>
        </w:rPr>
        <w:t>s the</w:t>
      </w:r>
      <w:r w:rsidRPr="000E2377">
        <w:rPr>
          <w:rFonts w:cs="Times New Roman"/>
          <w:b w:val="0"/>
          <w:szCs w:val="24"/>
        </w:rPr>
        <w:t xml:space="preserve"> samples, </w:t>
      </w:r>
      <w:r>
        <w:rPr>
          <w:rFonts w:cs="Times New Roman"/>
          <w:b w:val="0"/>
          <w:szCs w:val="24"/>
        </w:rPr>
        <w:t>scattering</w:t>
      </w:r>
      <w:r w:rsidRPr="000E2377">
        <w:rPr>
          <w:rFonts w:cs="Times New Roman"/>
          <w:b w:val="0"/>
          <w:szCs w:val="24"/>
        </w:rPr>
        <w:t xml:space="preserve"> will </w:t>
      </w:r>
      <w:r>
        <w:rPr>
          <w:rFonts w:cs="Times New Roman"/>
          <w:b w:val="0"/>
          <w:szCs w:val="24"/>
        </w:rPr>
        <w:t>occur</w:t>
      </w:r>
      <w:r w:rsidRPr="000E2377">
        <w:rPr>
          <w:rFonts w:cs="Times New Roman"/>
          <w:b w:val="0"/>
          <w:szCs w:val="24"/>
        </w:rPr>
        <w:t xml:space="preserve">. This radiation </w:t>
      </w:r>
      <w:r>
        <w:rPr>
          <w:rFonts w:cs="Times New Roman"/>
          <w:b w:val="0"/>
          <w:szCs w:val="24"/>
        </w:rPr>
        <w:t>is</w:t>
      </w:r>
      <w:r w:rsidRPr="000E2377">
        <w:rPr>
          <w:rFonts w:cs="Times New Roman"/>
          <w:b w:val="0"/>
          <w:szCs w:val="24"/>
        </w:rPr>
        <w:t xml:space="preserve"> divided into three categories: </w:t>
      </w:r>
      <w:r w:rsidRPr="000E2377">
        <w:rPr>
          <w:rFonts w:cs="Times New Roman"/>
          <w:b w:val="0"/>
          <w:noProof/>
          <w:szCs w:val="24"/>
          <w:lang w:eastAsia="en-MY"/>
        </w:rPr>
        <w:t xml:space="preserve">Rayleigh scattering </w:t>
      </w:r>
      <w:r>
        <w:rPr>
          <w:rFonts w:cs="Times New Roman"/>
          <w:b w:val="0"/>
          <w:noProof/>
          <w:szCs w:val="24"/>
          <w:lang w:eastAsia="en-MY"/>
        </w:rPr>
        <w:t>where the scattered radiation has</w:t>
      </w:r>
      <w:r w:rsidRPr="000E2377">
        <w:rPr>
          <w:rFonts w:cs="Times New Roman"/>
          <w:b w:val="0"/>
          <w:noProof/>
          <w:szCs w:val="24"/>
          <w:lang w:eastAsia="en-MY"/>
        </w:rPr>
        <w:t xml:space="preserve"> the same photon energy and frequency </w:t>
      </w:r>
      <w:r>
        <w:rPr>
          <w:rFonts w:cs="Times New Roman"/>
          <w:b w:val="0"/>
          <w:noProof/>
          <w:szCs w:val="24"/>
          <w:lang w:eastAsia="en-MY"/>
        </w:rPr>
        <w:t>as the incident</w:t>
      </w:r>
      <w:r w:rsidRPr="000E2377">
        <w:rPr>
          <w:rFonts w:cs="Times New Roman"/>
          <w:b w:val="0"/>
          <w:noProof/>
          <w:szCs w:val="24"/>
          <w:lang w:eastAsia="en-MY"/>
        </w:rPr>
        <w:t xml:space="preserve"> radiation </w:t>
      </w:r>
      <w:r w:rsidRPr="000E2377">
        <w:rPr>
          <w:rFonts w:cs="Times New Roman"/>
          <w:b w:val="0"/>
          <w:szCs w:val="24"/>
        </w:rPr>
        <w:t>(</w:t>
      </w:r>
      <w:proofErr w:type="spellStart"/>
      <w:r w:rsidRPr="000E2377">
        <w:rPr>
          <w:rFonts w:cs="Times New Roman"/>
          <w:b w:val="0"/>
          <w:szCs w:val="24"/>
        </w:rPr>
        <w:t>ω</w:t>
      </w:r>
      <w:r w:rsidRPr="000E2377">
        <w:rPr>
          <w:rFonts w:cs="Times New Roman"/>
          <w:b w:val="0"/>
          <w:szCs w:val="24"/>
          <w:vertAlign w:val="subscript"/>
        </w:rPr>
        <w:t>i</w:t>
      </w:r>
      <w:proofErr w:type="spellEnd"/>
      <w:r w:rsidRPr="000E2377">
        <w:rPr>
          <w:rFonts w:cs="Times New Roman"/>
          <w:b w:val="0"/>
          <w:szCs w:val="24"/>
        </w:rPr>
        <w:t xml:space="preserve">), </w:t>
      </w:r>
      <w:r>
        <w:rPr>
          <w:rFonts w:cs="Times New Roman"/>
          <w:b w:val="0"/>
          <w:szCs w:val="24"/>
        </w:rPr>
        <w:t>S</w:t>
      </w:r>
      <w:r w:rsidRPr="000E2377">
        <w:rPr>
          <w:rFonts w:cs="Times New Roman"/>
          <w:b w:val="0"/>
          <w:noProof/>
          <w:szCs w:val="24"/>
          <w:lang w:eastAsia="en-MY"/>
        </w:rPr>
        <w:t xml:space="preserve">tokes scattering where the incident photon has more energy than the scattered </w:t>
      </w:r>
      <w:r>
        <w:rPr>
          <w:rFonts w:cs="Times New Roman"/>
          <w:b w:val="0"/>
          <w:noProof/>
          <w:szCs w:val="24"/>
          <w:lang w:eastAsia="en-MY"/>
        </w:rPr>
        <w:t>photon</w:t>
      </w:r>
      <w:r w:rsidRPr="000E2377">
        <w:rPr>
          <w:rFonts w:cs="Times New Roman"/>
          <w:b w:val="0"/>
          <w:noProof/>
          <w:szCs w:val="24"/>
          <w:lang w:eastAsia="en-MY"/>
        </w:rPr>
        <w:t xml:space="preserve"> (frequency of scattered radiation </w:t>
      </w:r>
      <w:proofErr w:type="spellStart"/>
      <w:r w:rsidRPr="000E2377">
        <w:rPr>
          <w:rFonts w:cs="Times New Roman"/>
          <w:b w:val="0"/>
          <w:szCs w:val="24"/>
        </w:rPr>
        <w:t>ω</w:t>
      </w:r>
      <w:r w:rsidRPr="000E2377">
        <w:rPr>
          <w:rFonts w:cs="Times New Roman"/>
          <w:b w:val="0"/>
          <w:szCs w:val="24"/>
          <w:vertAlign w:val="subscript"/>
        </w:rPr>
        <w:t>f</w:t>
      </w:r>
      <w:proofErr w:type="spellEnd"/>
      <w:r w:rsidRPr="000E2377">
        <w:rPr>
          <w:rFonts w:cs="Times New Roman"/>
          <w:b w:val="0"/>
          <w:szCs w:val="24"/>
        </w:rPr>
        <w:t xml:space="preserve">) and </w:t>
      </w:r>
      <w:r>
        <w:rPr>
          <w:rFonts w:cs="Times New Roman"/>
          <w:b w:val="0"/>
          <w:szCs w:val="24"/>
        </w:rPr>
        <w:t>anti-S</w:t>
      </w:r>
      <w:r w:rsidRPr="000E2377">
        <w:rPr>
          <w:rFonts w:cs="Times New Roman"/>
          <w:b w:val="0"/>
          <w:szCs w:val="24"/>
        </w:rPr>
        <w:t>tokes</w:t>
      </w:r>
      <w:r>
        <w:rPr>
          <w:rFonts w:cs="Times New Roman"/>
          <w:b w:val="0"/>
          <w:szCs w:val="24"/>
        </w:rPr>
        <w:t xml:space="preserve"> scattering</w:t>
      </w:r>
      <w:r w:rsidRPr="000E2377">
        <w:rPr>
          <w:rFonts w:cs="Times New Roman"/>
          <w:b w:val="0"/>
          <w:szCs w:val="24"/>
        </w:rPr>
        <w:t xml:space="preserve"> where the </w:t>
      </w:r>
      <w:r>
        <w:rPr>
          <w:rFonts w:cs="Times New Roman"/>
          <w:b w:val="0"/>
          <w:szCs w:val="24"/>
        </w:rPr>
        <w:t>scattered</w:t>
      </w:r>
      <w:r w:rsidRPr="000E2377">
        <w:rPr>
          <w:rFonts w:cs="Times New Roman"/>
          <w:b w:val="0"/>
          <w:szCs w:val="24"/>
        </w:rPr>
        <w:t xml:space="preserve"> photon </w:t>
      </w:r>
      <w:r>
        <w:rPr>
          <w:rFonts w:cs="Times New Roman"/>
          <w:b w:val="0"/>
          <w:szCs w:val="24"/>
        </w:rPr>
        <w:t>has more energy than the incident photon</w:t>
      </w:r>
      <w:r w:rsidRPr="000E2377">
        <w:rPr>
          <w:rFonts w:cs="Times New Roman"/>
          <w:b w:val="0"/>
          <w:szCs w:val="24"/>
        </w:rPr>
        <w:t xml:space="preserve">. </w:t>
      </w:r>
      <w:r w:rsidRPr="000E2377">
        <w:rPr>
          <w:rFonts w:cs="Times New Roman"/>
          <w:b w:val="0"/>
          <w:noProof/>
          <w:szCs w:val="24"/>
          <w:lang w:eastAsia="en-MY"/>
        </w:rPr>
        <w:t>The</w:t>
      </w:r>
      <w:r>
        <w:rPr>
          <w:rFonts w:cs="Times New Roman"/>
          <w:b w:val="0"/>
          <w:noProof/>
          <w:szCs w:val="24"/>
          <w:lang w:eastAsia="en-MY"/>
        </w:rPr>
        <w:t xml:space="preserve"> latter types of scattering give</w:t>
      </w:r>
      <w:r w:rsidRPr="000E2377">
        <w:rPr>
          <w:rFonts w:cs="Times New Roman"/>
          <w:b w:val="0"/>
          <w:noProof/>
          <w:szCs w:val="24"/>
          <w:lang w:eastAsia="en-MY"/>
        </w:rPr>
        <w:t xml:space="preserve"> specific Raman shift</w:t>
      </w:r>
      <w:r>
        <w:rPr>
          <w:rFonts w:cs="Times New Roman"/>
          <w:b w:val="0"/>
          <w:noProof/>
          <w:szCs w:val="24"/>
          <w:lang w:eastAsia="en-MY"/>
        </w:rPr>
        <w:t>s</w:t>
      </w:r>
      <w:r w:rsidRPr="000E2377">
        <w:rPr>
          <w:rFonts w:cs="Times New Roman"/>
          <w:b w:val="0"/>
          <w:noProof/>
          <w:szCs w:val="24"/>
          <w:lang w:eastAsia="en-MY"/>
        </w:rPr>
        <w:t xml:space="preserve"> (</w:t>
      </w:r>
      <w:proofErr w:type="spellStart"/>
      <w:r w:rsidRPr="000E2377">
        <w:rPr>
          <w:rFonts w:cs="Times New Roman"/>
          <w:b w:val="0"/>
          <w:szCs w:val="24"/>
        </w:rPr>
        <w:t>Δω</w:t>
      </w:r>
      <w:proofErr w:type="spellEnd"/>
      <w:r w:rsidRPr="000E2377">
        <w:rPr>
          <w:rFonts w:cs="Times New Roman"/>
          <w:b w:val="0"/>
          <w:szCs w:val="24"/>
        </w:rPr>
        <w:t>=</w:t>
      </w:r>
      <w:proofErr w:type="spellStart"/>
      <w:r w:rsidRPr="000E2377">
        <w:rPr>
          <w:rFonts w:cs="Times New Roman"/>
          <w:b w:val="0"/>
          <w:szCs w:val="24"/>
        </w:rPr>
        <w:t>ω</w:t>
      </w:r>
      <w:r w:rsidRPr="000E2377">
        <w:rPr>
          <w:rFonts w:cs="Times New Roman"/>
          <w:b w:val="0"/>
          <w:szCs w:val="24"/>
          <w:vertAlign w:val="subscript"/>
        </w:rPr>
        <w:t>i</w:t>
      </w:r>
      <w:r w:rsidRPr="000E2377">
        <w:rPr>
          <w:rFonts w:cs="Times New Roman"/>
          <w:b w:val="0"/>
          <w:szCs w:val="24"/>
        </w:rPr>
        <w:t>-ω</w:t>
      </w:r>
      <w:r w:rsidRPr="000E2377">
        <w:rPr>
          <w:rFonts w:cs="Times New Roman"/>
          <w:b w:val="0"/>
          <w:szCs w:val="24"/>
          <w:vertAlign w:val="subscript"/>
        </w:rPr>
        <w:t>f</w:t>
      </w:r>
      <w:proofErr w:type="spellEnd"/>
      <w:r w:rsidRPr="000E2377">
        <w:rPr>
          <w:b w:val="0"/>
        </w:rPr>
        <w:t>)</w:t>
      </w:r>
      <w:r w:rsidRPr="000E2377">
        <w:rPr>
          <w:rFonts w:cs="Times New Roman"/>
          <w:b w:val="0"/>
          <w:noProof/>
          <w:szCs w:val="24"/>
          <w:lang w:eastAsia="en-MY"/>
        </w:rPr>
        <w:t xml:space="preserve">  which can be used to identify structural and chemical</w:t>
      </w:r>
      <w:r w:rsidRPr="000E2377">
        <w:rPr>
          <w:rFonts w:cs="Times New Roman"/>
          <w:b w:val="0"/>
          <w:szCs w:val="24"/>
        </w:rPr>
        <w:t xml:space="preserve"> </w:t>
      </w:r>
      <w:r w:rsidRPr="000E2377">
        <w:rPr>
          <w:rFonts w:cs="Times New Roman"/>
          <w:b w:val="0"/>
          <w:noProof/>
          <w:szCs w:val="24"/>
          <w:lang w:eastAsia="en-MY"/>
        </w:rPr>
        <w:t>information about the</w:t>
      </w:r>
      <w:r w:rsidRPr="000E2377">
        <w:rPr>
          <w:rFonts w:cs="Times New Roman"/>
          <w:b w:val="0"/>
          <w:szCs w:val="24"/>
        </w:rPr>
        <w:t xml:space="preserve"> samples. </w:t>
      </w:r>
      <w:r w:rsidRPr="000E2377">
        <w:rPr>
          <w:rFonts w:cs="Times New Roman"/>
          <w:b w:val="0"/>
          <w:i/>
          <w:szCs w:val="24"/>
        </w:rPr>
        <w:t xml:space="preserve"> </w:t>
      </w:r>
    </w:p>
    <w:p w14:paraId="6E1E144F" w14:textId="77777777" w:rsidR="00D740DC" w:rsidRPr="000E2377" w:rsidRDefault="00D740DC" w:rsidP="00D740DC">
      <w:pPr>
        <w:spacing w:line="360" w:lineRule="auto"/>
        <w:jc w:val="both"/>
        <w:rPr>
          <w:rFonts w:cs="Times New Roman"/>
          <w:b w:val="0"/>
          <w:i/>
          <w:szCs w:val="24"/>
        </w:rPr>
      </w:pPr>
      <w:r w:rsidRPr="000E2377">
        <w:rPr>
          <w:rFonts w:cs="Times New Roman"/>
          <w:b w:val="0"/>
          <w:i/>
          <w:szCs w:val="24"/>
        </w:rPr>
        <w:t>3.5.</w:t>
      </w:r>
      <w:r>
        <w:rPr>
          <w:rFonts w:cs="Times New Roman"/>
          <w:b w:val="0"/>
          <w:i/>
          <w:szCs w:val="24"/>
        </w:rPr>
        <w:t>5</w:t>
      </w:r>
      <w:r w:rsidRPr="000E2377">
        <w:rPr>
          <w:rFonts w:cs="Times New Roman"/>
          <w:b w:val="0"/>
          <w:i/>
          <w:szCs w:val="24"/>
        </w:rPr>
        <w:t>.1 Raman Polymerisation Index</w:t>
      </w:r>
    </w:p>
    <w:p w14:paraId="12FE0926" w14:textId="2D65F5C1" w:rsidR="00D740DC" w:rsidRPr="000E2377" w:rsidRDefault="00D740DC" w:rsidP="00D740DC">
      <w:pPr>
        <w:spacing w:line="360" w:lineRule="auto"/>
        <w:ind w:firstLine="405"/>
        <w:jc w:val="both"/>
        <w:rPr>
          <w:rFonts w:asciiTheme="majorBidi" w:hAnsiTheme="majorBidi" w:cstheme="majorBidi"/>
          <w:b w:val="0"/>
          <w:szCs w:val="24"/>
        </w:rPr>
      </w:pPr>
      <w:r>
        <w:rPr>
          <w:rFonts w:asciiTheme="majorBidi" w:hAnsiTheme="majorBidi" w:cstheme="majorBidi"/>
          <w:b w:val="0"/>
          <w:szCs w:val="24"/>
        </w:rPr>
        <w:t>An index</w:t>
      </w:r>
      <w:r w:rsidRPr="000E2377">
        <w:rPr>
          <w:rFonts w:asciiTheme="majorBidi" w:hAnsiTheme="majorBidi" w:cstheme="majorBidi"/>
          <w:b w:val="0"/>
          <w:szCs w:val="24"/>
        </w:rPr>
        <w:t xml:space="preserve"> of polymerisation can be determined from Raman spectroscopy </w:t>
      </w:r>
      <w:r w:rsidRPr="000E2377">
        <w:rPr>
          <w:rFonts w:asciiTheme="majorBidi" w:hAnsiTheme="majorBidi" w:cstheme="majorBidi"/>
          <w:b w:val="0"/>
          <w:szCs w:val="24"/>
        </w:rPr>
        <w:fldChar w:fldCharType="begin" w:fldLock="1"/>
      </w:r>
      <w:r w:rsidRPr="000E2377">
        <w:rPr>
          <w:rFonts w:asciiTheme="majorBidi" w:hAnsiTheme="majorBidi" w:cstheme="majorBidi"/>
          <w:b w:val="0"/>
          <w:szCs w:val="24"/>
        </w:rPr>
        <w:instrText>ADDIN CSL_CITATION { "citationItems" : [ { "id" : "ITEM-1", "itemData" : { "DOI" : "10.1111/j.1551-2916.2005.00096.x", "ISBN" : "0002-7820", "ISSN" : "00027820", "abstract" : "The utility of Raman spectroscopy as a non-destructive technique for the characterization of glassy (alumino)si licates (modern or ancient glazes and glasses) is demonstrated. The addition of fluxing ions breaks the Si-O linkages and the degree of (de)polymerization determines the relative intensity of the Si-O bending and stretching modes and hence the degree of polymerization could be classified. The analysis can be used to predict the processing temperature of glasses. Bending (Q '(n)) and stretching (Q(n)) spectral components assigned to isolated (Q(0) or SiO4), and more or less connected SiO4 vibrational units with one, two three/four bridging oxygen allow more precise analysis. The method is applied to reference modern porcelain glazes and selected ancient ceramic glazes and glasses, representative of the different production technologies used in the Asian, Islamic, and European worlds from Roman Empire to 19th century", "author" : [ { "dropping-particle" : "", "family" : "Colomban", "given" : "Philippe", "non-dropping-particle" : "", "parse-names" : false, "suffix" : "" }, { "dropping-particle" : "", "family" : "Paulsen", "given" : "Ove", "non-dropping-particle" : "", "parse-names" : false, "suffix" : "" } ], "container-title" : "Journal of the American Ceramic Society", "id" : "ITEM-1", "issue" : "2", "issued" : { "date-parts" : [ [ "2005" ] ] }, "page" : "390-395", "title" : "Non-destructive determination of the structure and composition of glazes by Raman spectroscopy", "type" : "article-journal", "volume" : "88" }, "uris" : [ "http://www.mendeley.com/documents/?uuid=204e7c7a-f26e-4d41-82fd-735fee30be1b" ] } ], "mendeley" : { "formattedCitation" : "(Colomban &amp; Paulsen, 2005)", "plainTextFormattedCitation" : "(Colomban &amp; Paulsen, 2005)", "previouslyFormattedCitation" : "(Colomban &amp; Paulsen, 2005)" }, "properties" : { "noteIndex" : 18 }, "schema" : "https://github.com/citation-style-language/schema/raw/master/csl-citation.json" }</w:instrText>
      </w:r>
      <w:r w:rsidRPr="000E2377">
        <w:rPr>
          <w:rFonts w:asciiTheme="majorBidi" w:hAnsiTheme="majorBidi" w:cstheme="majorBidi"/>
          <w:b w:val="0"/>
          <w:szCs w:val="24"/>
        </w:rPr>
        <w:fldChar w:fldCharType="separate"/>
      </w:r>
      <w:r w:rsidRPr="000E2377">
        <w:rPr>
          <w:rFonts w:asciiTheme="majorBidi" w:hAnsiTheme="majorBidi" w:cstheme="majorBidi"/>
          <w:b w:val="0"/>
          <w:noProof/>
          <w:szCs w:val="24"/>
        </w:rPr>
        <w:t>(Colomban &amp; Paulsen, 2005)</w:t>
      </w:r>
      <w:r w:rsidRPr="000E2377">
        <w:rPr>
          <w:rFonts w:asciiTheme="majorBidi" w:hAnsiTheme="majorBidi" w:cstheme="majorBidi"/>
          <w:b w:val="0"/>
          <w:szCs w:val="24"/>
        </w:rPr>
        <w:fldChar w:fldCharType="end"/>
      </w:r>
      <w:r w:rsidRPr="000E2377">
        <w:rPr>
          <w:rFonts w:asciiTheme="majorBidi" w:hAnsiTheme="majorBidi" w:cstheme="majorBidi"/>
          <w:b w:val="0"/>
          <w:szCs w:val="24"/>
        </w:rPr>
        <w:t xml:space="preserve">. The </w:t>
      </w:r>
      <w:r>
        <w:rPr>
          <w:rFonts w:asciiTheme="majorBidi" w:hAnsiTheme="majorBidi" w:cstheme="majorBidi"/>
          <w:b w:val="0"/>
          <w:szCs w:val="24"/>
        </w:rPr>
        <w:t>degree of</w:t>
      </w:r>
      <w:r w:rsidRPr="000E2377">
        <w:rPr>
          <w:rFonts w:asciiTheme="majorBidi" w:hAnsiTheme="majorBidi" w:cstheme="majorBidi"/>
          <w:b w:val="0"/>
          <w:szCs w:val="24"/>
        </w:rPr>
        <w:t xml:space="preserve"> polymerization can be </w:t>
      </w:r>
      <w:r>
        <w:rPr>
          <w:rFonts w:asciiTheme="majorBidi" w:hAnsiTheme="majorBidi" w:cstheme="majorBidi"/>
          <w:b w:val="0"/>
          <w:szCs w:val="24"/>
        </w:rPr>
        <w:t>determined</w:t>
      </w:r>
      <w:r w:rsidRPr="000E2377">
        <w:rPr>
          <w:rFonts w:asciiTheme="majorBidi" w:hAnsiTheme="majorBidi" w:cstheme="majorBidi"/>
          <w:b w:val="0"/>
          <w:szCs w:val="24"/>
        </w:rPr>
        <w:t xml:space="preserve"> from the </w:t>
      </w:r>
      <w:r>
        <w:rPr>
          <w:rFonts w:asciiTheme="majorBidi" w:hAnsiTheme="majorBidi" w:cstheme="majorBidi"/>
          <w:b w:val="0"/>
          <w:szCs w:val="24"/>
        </w:rPr>
        <w:t xml:space="preserve">relative intensities of the </w:t>
      </w:r>
      <w:r w:rsidRPr="000E2377">
        <w:rPr>
          <w:rFonts w:asciiTheme="majorBidi" w:hAnsiTheme="majorBidi" w:cstheme="majorBidi"/>
          <w:b w:val="0"/>
          <w:szCs w:val="24"/>
        </w:rPr>
        <w:t xml:space="preserve">stretching and bending </w:t>
      </w:r>
      <w:r>
        <w:rPr>
          <w:rFonts w:asciiTheme="majorBidi" w:hAnsiTheme="majorBidi" w:cstheme="majorBidi"/>
          <w:b w:val="0"/>
          <w:szCs w:val="24"/>
        </w:rPr>
        <w:t>peaks</w:t>
      </w:r>
      <w:r w:rsidRPr="000E2377">
        <w:rPr>
          <w:rFonts w:asciiTheme="majorBidi" w:hAnsiTheme="majorBidi" w:cstheme="majorBidi"/>
          <w:b w:val="0"/>
          <w:szCs w:val="24"/>
        </w:rPr>
        <w:t xml:space="preserve"> </w:t>
      </w:r>
      <w:r w:rsidRPr="000E2377">
        <w:rPr>
          <w:rFonts w:asciiTheme="majorBidi" w:hAnsiTheme="majorBidi" w:cstheme="majorBidi"/>
          <w:b w:val="0"/>
          <w:szCs w:val="24"/>
        </w:rPr>
        <w:fldChar w:fldCharType="begin" w:fldLock="1"/>
      </w:r>
      <w:r w:rsidRPr="000E2377">
        <w:rPr>
          <w:rFonts w:asciiTheme="majorBidi" w:hAnsiTheme="majorBidi" w:cstheme="majorBidi"/>
          <w:b w:val="0"/>
          <w:szCs w:val="24"/>
        </w:rPr>
        <w:instrText>ADDIN CSL_CITATION { "citationItems" : [ { "id" : "ITEM-1", "itemData" : { "DOI" : "10.1016/S0022-3093(03)00303-X", "ISBN" : "0022-3093", "ISSN" : "00223093", "abstract" : "We demonstrate the utility of Raman spectroscopy as a technique for the identification of ancient glasses and enamel coatings of ceramics. As for any silicate glasses, the addition of network modifiers breaks the Si-O linkages and modifies the degree of polymerization and hence the relative intensity of the Si-O bending and stretching modes. We demonstrate empirically that the ratio of these envelopes is well correlated to the glass structure and to the firing technology used. Spectral Q\n                        n components assigned to isolated and connected SiO\n                        4 vibrational units allow more precise analysis. Selected porcelains, faiences, potteries and glasses representative of the different Asian, Islamic and European production technologies were studied. Modern porcelain enamels are used as compositional references. ?? 2003 Elsevier B.V. All rights reserved.", "author" : [ { "dropping-particle" : "", "family" : "Colomban", "given" : "Philippe", "non-dropping-particle" : "", "parse-names" : false, "suffix" : "" } ], "container-title" : "Journal of Non-Crystalline Solids", "id" : "ITEM-1", "issue" : "1-3", "issued" : { "date-parts" : [ [ "2003" ] ] }, "page" : "180-187", "title" : "Polymerization degree and Raman identification of ancient glasses used for jewelry, ceramic enamels and mosaics", "type" : "article-journal", "volume" : "323" }, "uris" : [ "http://www.mendeley.com/documents/?uuid=996aef9d-98f7-4f2b-9820-7e98c3ed80e2" ] } ], "mendeley" : { "formattedCitation" : "(Colomban, 2003)", "plainTextFormattedCitation" : "(Colomban, 2003)", "previouslyFormattedCitation" : "(Colomban, 2003)" }, "properties" : { "noteIndex" : 0 }, "schema" : "https://github.com/citation-style-language/schema/raw/master/csl-citation.json" }</w:instrText>
      </w:r>
      <w:r w:rsidRPr="000E2377">
        <w:rPr>
          <w:rFonts w:asciiTheme="majorBidi" w:hAnsiTheme="majorBidi" w:cstheme="majorBidi"/>
          <w:b w:val="0"/>
          <w:szCs w:val="24"/>
        </w:rPr>
        <w:fldChar w:fldCharType="separate"/>
      </w:r>
      <w:r w:rsidRPr="000E2377">
        <w:rPr>
          <w:rFonts w:asciiTheme="majorBidi" w:hAnsiTheme="majorBidi" w:cstheme="majorBidi"/>
          <w:b w:val="0"/>
          <w:noProof/>
          <w:szCs w:val="24"/>
        </w:rPr>
        <w:t>(Colomban, 2003)</w:t>
      </w:r>
      <w:r w:rsidRPr="000E2377">
        <w:rPr>
          <w:rFonts w:asciiTheme="majorBidi" w:hAnsiTheme="majorBidi" w:cstheme="majorBidi"/>
          <w:b w:val="0"/>
          <w:szCs w:val="24"/>
        </w:rPr>
        <w:fldChar w:fldCharType="end"/>
      </w:r>
      <w:r w:rsidRPr="000E2377">
        <w:rPr>
          <w:rFonts w:asciiTheme="majorBidi" w:hAnsiTheme="majorBidi" w:cstheme="majorBidi"/>
          <w:b w:val="0"/>
          <w:szCs w:val="24"/>
        </w:rPr>
        <w:t>. The calculation of polymerization is based on the Raman peaks between ~300 to ~1300</w:t>
      </w:r>
      <w:r>
        <w:rPr>
          <w:rFonts w:asciiTheme="majorBidi" w:hAnsiTheme="majorBidi" w:cstheme="majorBidi"/>
          <w:b w:val="0"/>
          <w:szCs w:val="24"/>
        </w:rPr>
        <w:t xml:space="preserve"> </w:t>
      </w:r>
      <w:r w:rsidRPr="000E2377">
        <w:rPr>
          <w:rFonts w:asciiTheme="majorBidi" w:hAnsiTheme="majorBidi" w:cstheme="majorBidi"/>
          <w:b w:val="0"/>
          <w:szCs w:val="24"/>
        </w:rPr>
        <w:t>cm</w:t>
      </w:r>
      <w:r w:rsidRPr="000E2377">
        <w:rPr>
          <w:rFonts w:asciiTheme="majorBidi" w:hAnsiTheme="majorBidi" w:cstheme="majorBidi"/>
          <w:b w:val="0"/>
          <w:szCs w:val="24"/>
          <w:vertAlign w:val="superscript"/>
        </w:rPr>
        <w:t>-1</w:t>
      </w:r>
      <w:r w:rsidRPr="000E2377">
        <w:rPr>
          <w:rFonts w:asciiTheme="majorBidi" w:hAnsiTheme="majorBidi" w:cstheme="majorBidi"/>
          <w:b w:val="0"/>
          <w:szCs w:val="24"/>
        </w:rPr>
        <w:t xml:space="preserve">. </w:t>
      </w:r>
      <w:r>
        <w:rPr>
          <w:rFonts w:asciiTheme="majorBidi" w:hAnsiTheme="majorBidi" w:cstheme="majorBidi"/>
          <w:b w:val="0"/>
          <w:szCs w:val="24"/>
        </w:rPr>
        <w:t>The larger the p</w:t>
      </w:r>
      <w:r w:rsidRPr="000E2377">
        <w:rPr>
          <w:rFonts w:asciiTheme="majorBidi" w:hAnsiTheme="majorBidi" w:cstheme="majorBidi"/>
          <w:b w:val="0"/>
          <w:szCs w:val="24"/>
        </w:rPr>
        <w:t xml:space="preserve">olymerization index </w:t>
      </w:r>
      <w:r>
        <w:rPr>
          <w:rFonts w:asciiTheme="majorBidi" w:hAnsiTheme="majorBidi" w:cstheme="majorBidi"/>
          <w:b w:val="0"/>
          <w:szCs w:val="24"/>
        </w:rPr>
        <w:t>the</w:t>
      </w:r>
      <w:r w:rsidRPr="000E2377">
        <w:rPr>
          <w:rFonts w:asciiTheme="majorBidi" w:hAnsiTheme="majorBidi" w:cstheme="majorBidi"/>
          <w:b w:val="0"/>
          <w:szCs w:val="24"/>
        </w:rPr>
        <w:t xml:space="preserve"> larger </w:t>
      </w:r>
      <w:r>
        <w:rPr>
          <w:rFonts w:asciiTheme="majorBidi" w:hAnsiTheme="majorBidi" w:cstheme="majorBidi"/>
          <w:b w:val="0"/>
          <w:szCs w:val="24"/>
        </w:rPr>
        <w:t xml:space="preserve">the </w:t>
      </w:r>
      <w:r w:rsidRPr="000E2377">
        <w:rPr>
          <w:rFonts w:asciiTheme="majorBidi" w:hAnsiTheme="majorBidi" w:cstheme="majorBidi"/>
          <w:b w:val="0"/>
          <w:szCs w:val="24"/>
        </w:rPr>
        <w:t xml:space="preserve">degree of connectivity. </w:t>
      </w:r>
      <w:r>
        <w:rPr>
          <w:rFonts w:asciiTheme="majorBidi" w:hAnsiTheme="majorBidi" w:cstheme="majorBidi"/>
          <w:b w:val="0"/>
          <w:szCs w:val="24"/>
        </w:rPr>
        <w:t xml:space="preserve">As shown in </w:t>
      </w:r>
      <w:r w:rsidR="003129A6">
        <w:rPr>
          <w:rFonts w:asciiTheme="majorBidi" w:hAnsiTheme="majorBidi" w:cstheme="majorBidi"/>
          <w:b w:val="0"/>
          <w:szCs w:val="24"/>
        </w:rPr>
        <w:t>F</w:t>
      </w:r>
      <w:r>
        <w:rPr>
          <w:rFonts w:asciiTheme="majorBidi" w:hAnsiTheme="majorBidi" w:cstheme="majorBidi"/>
          <w:b w:val="0"/>
          <w:szCs w:val="24"/>
        </w:rPr>
        <w:t>igure 3.9 the Raman spectra of these glasses can be divided into 4 a</w:t>
      </w:r>
      <w:r w:rsidRPr="000E2377">
        <w:rPr>
          <w:rFonts w:asciiTheme="majorBidi" w:hAnsiTheme="majorBidi" w:cstheme="majorBidi"/>
          <w:b w:val="0"/>
          <w:szCs w:val="24"/>
        </w:rPr>
        <w:t>rea</w:t>
      </w:r>
      <w:r>
        <w:rPr>
          <w:rFonts w:asciiTheme="majorBidi" w:hAnsiTheme="majorBidi" w:cstheme="majorBidi"/>
          <w:b w:val="0"/>
          <w:szCs w:val="24"/>
        </w:rPr>
        <w:t>s</w:t>
      </w:r>
      <w:r w:rsidRPr="000E2377">
        <w:rPr>
          <w:rFonts w:asciiTheme="majorBidi" w:hAnsiTheme="majorBidi" w:cstheme="majorBidi"/>
          <w:b w:val="0"/>
          <w:szCs w:val="24"/>
        </w:rPr>
        <w:t xml:space="preserve"> </w:t>
      </w:r>
      <w:r>
        <w:rPr>
          <w:rFonts w:asciiTheme="majorBidi" w:hAnsiTheme="majorBidi" w:cstheme="majorBidi"/>
          <w:b w:val="0"/>
          <w:szCs w:val="24"/>
        </w:rPr>
        <w:t>labelled here as</w:t>
      </w:r>
      <w:r w:rsidRPr="000E2377">
        <w:rPr>
          <w:rFonts w:asciiTheme="majorBidi" w:hAnsiTheme="majorBidi" w:cstheme="majorBidi"/>
          <w:b w:val="0"/>
          <w:szCs w:val="24"/>
        </w:rPr>
        <w:t xml:space="preserve"> region</w:t>
      </w:r>
      <w:r>
        <w:rPr>
          <w:rFonts w:asciiTheme="majorBidi" w:hAnsiTheme="majorBidi" w:cstheme="majorBidi"/>
          <w:b w:val="0"/>
          <w:szCs w:val="24"/>
        </w:rPr>
        <w:t>s</w:t>
      </w:r>
      <w:r w:rsidRPr="000E2377">
        <w:rPr>
          <w:rFonts w:asciiTheme="majorBidi" w:hAnsiTheme="majorBidi" w:cstheme="majorBidi"/>
          <w:b w:val="0"/>
          <w:szCs w:val="24"/>
        </w:rPr>
        <w:t xml:space="preserve"> A, B</w:t>
      </w:r>
      <w:r>
        <w:rPr>
          <w:rFonts w:asciiTheme="majorBidi" w:hAnsiTheme="majorBidi" w:cstheme="majorBidi"/>
          <w:b w:val="0"/>
          <w:szCs w:val="24"/>
        </w:rPr>
        <w:t>,</w:t>
      </w:r>
      <w:r w:rsidRPr="000E2377">
        <w:rPr>
          <w:rFonts w:asciiTheme="majorBidi" w:hAnsiTheme="majorBidi" w:cstheme="majorBidi"/>
          <w:b w:val="0"/>
          <w:szCs w:val="24"/>
        </w:rPr>
        <w:t xml:space="preserve"> C </w:t>
      </w:r>
      <w:r>
        <w:rPr>
          <w:rFonts w:asciiTheme="majorBidi" w:hAnsiTheme="majorBidi" w:cstheme="majorBidi"/>
          <w:b w:val="0"/>
          <w:szCs w:val="24"/>
        </w:rPr>
        <w:t>and D. R</w:t>
      </w:r>
      <w:r w:rsidRPr="000E2377">
        <w:rPr>
          <w:rFonts w:asciiTheme="majorBidi" w:hAnsiTheme="majorBidi" w:cstheme="majorBidi"/>
          <w:b w:val="0"/>
          <w:szCs w:val="24"/>
        </w:rPr>
        <w:t xml:space="preserve">egion A </w:t>
      </w:r>
      <w:r>
        <w:rPr>
          <w:rFonts w:asciiTheme="majorBidi" w:hAnsiTheme="majorBidi" w:cstheme="majorBidi"/>
          <w:b w:val="0"/>
          <w:szCs w:val="24"/>
        </w:rPr>
        <w:t>covers</w:t>
      </w:r>
      <w:r w:rsidRPr="000E2377">
        <w:rPr>
          <w:rFonts w:asciiTheme="majorBidi" w:hAnsiTheme="majorBidi" w:cstheme="majorBidi"/>
          <w:b w:val="0"/>
          <w:szCs w:val="24"/>
        </w:rPr>
        <w:t xml:space="preserve"> wavenumber</w:t>
      </w:r>
      <w:r>
        <w:rPr>
          <w:rFonts w:asciiTheme="majorBidi" w:hAnsiTheme="majorBidi" w:cstheme="majorBidi"/>
          <w:b w:val="0"/>
          <w:szCs w:val="24"/>
        </w:rPr>
        <w:t>s</w:t>
      </w:r>
      <w:r w:rsidRPr="000E2377">
        <w:rPr>
          <w:rFonts w:asciiTheme="majorBidi" w:hAnsiTheme="majorBidi" w:cstheme="majorBidi"/>
          <w:b w:val="0"/>
          <w:szCs w:val="24"/>
        </w:rPr>
        <w:t xml:space="preserve"> ~200-700 cm</w:t>
      </w:r>
      <w:r w:rsidRPr="000E2377">
        <w:rPr>
          <w:rFonts w:asciiTheme="majorBidi" w:hAnsiTheme="majorBidi" w:cstheme="majorBidi"/>
          <w:b w:val="0"/>
          <w:szCs w:val="24"/>
          <w:vertAlign w:val="superscript"/>
        </w:rPr>
        <w:t>-1</w:t>
      </w:r>
      <w:r w:rsidRPr="000E2377">
        <w:rPr>
          <w:rFonts w:asciiTheme="majorBidi" w:hAnsiTheme="majorBidi" w:cstheme="majorBidi"/>
          <w:b w:val="0"/>
          <w:szCs w:val="24"/>
        </w:rPr>
        <w:t xml:space="preserve"> while region B </w:t>
      </w:r>
      <w:r>
        <w:rPr>
          <w:rFonts w:asciiTheme="majorBidi" w:hAnsiTheme="majorBidi" w:cstheme="majorBidi"/>
          <w:b w:val="0"/>
          <w:szCs w:val="24"/>
        </w:rPr>
        <w:t>covers</w:t>
      </w:r>
      <w:r w:rsidRPr="000E2377">
        <w:rPr>
          <w:rFonts w:asciiTheme="majorBidi" w:hAnsiTheme="majorBidi" w:cstheme="majorBidi"/>
          <w:b w:val="0"/>
          <w:szCs w:val="24"/>
        </w:rPr>
        <w:t xml:space="preserve"> 750-850 cm</w:t>
      </w:r>
      <w:r w:rsidRPr="000E2377">
        <w:rPr>
          <w:rFonts w:asciiTheme="majorBidi" w:hAnsiTheme="majorBidi" w:cstheme="majorBidi"/>
          <w:b w:val="0"/>
          <w:szCs w:val="24"/>
          <w:vertAlign w:val="superscript"/>
        </w:rPr>
        <w:t>-1</w:t>
      </w:r>
      <w:r w:rsidRPr="000E2377">
        <w:rPr>
          <w:rFonts w:asciiTheme="majorBidi" w:hAnsiTheme="majorBidi" w:cstheme="majorBidi"/>
          <w:b w:val="0"/>
          <w:szCs w:val="24"/>
        </w:rPr>
        <w:t>, region C ~900-1300 cm</w:t>
      </w:r>
      <w:r w:rsidRPr="000E2377">
        <w:rPr>
          <w:rFonts w:asciiTheme="majorBidi" w:hAnsiTheme="majorBidi" w:cstheme="majorBidi"/>
          <w:b w:val="0"/>
          <w:szCs w:val="24"/>
          <w:vertAlign w:val="superscript"/>
        </w:rPr>
        <w:t xml:space="preserve">-1 </w:t>
      </w:r>
      <w:r w:rsidRPr="000E2377">
        <w:rPr>
          <w:rFonts w:asciiTheme="majorBidi" w:hAnsiTheme="majorBidi" w:cstheme="majorBidi"/>
          <w:b w:val="0"/>
          <w:szCs w:val="24"/>
        </w:rPr>
        <w:t>and region D 1350-1500 cm</w:t>
      </w:r>
      <w:r w:rsidRPr="000E2377">
        <w:rPr>
          <w:rFonts w:asciiTheme="majorBidi" w:hAnsiTheme="majorBidi" w:cstheme="majorBidi"/>
          <w:b w:val="0"/>
          <w:szCs w:val="24"/>
          <w:vertAlign w:val="superscript"/>
        </w:rPr>
        <w:t>-1</w:t>
      </w:r>
      <w:r w:rsidRPr="000E2377">
        <w:rPr>
          <w:rFonts w:asciiTheme="majorBidi" w:hAnsiTheme="majorBidi" w:cstheme="majorBidi"/>
          <w:b w:val="0"/>
          <w:szCs w:val="24"/>
        </w:rPr>
        <w:t xml:space="preserve">. </w:t>
      </w:r>
      <w:r>
        <w:rPr>
          <w:rFonts w:asciiTheme="majorBidi" w:hAnsiTheme="majorBidi" w:cstheme="majorBidi"/>
          <w:b w:val="0"/>
          <w:szCs w:val="24"/>
        </w:rPr>
        <w:t>The area of these peaks were measured by deconvoluting and fitting each peak with a number of Gaussian bands</w:t>
      </w:r>
      <w:r w:rsidR="00824F66">
        <w:rPr>
          <w:rFonts w:asciiTheme="majorBidi" w:hAnsiTheme="majorBidi" w:cstheme="majorBidi"/>
          <w:b w:val="0"/>
          <w:szCs w:val="24"/>
        </w:rPr>
        <w:t xml:space="preserve">. </w:t>
      </w:r>
      <w:r>
        <w:rPr>
          <w:rFonts w:asciiTheme="majorBidi" w:hAnsiTheme="majorBidi" w:cstheme="majorBidi"/>
          <w:b w:val="0"/>
          <w:szCs w:val="24"/>
        </w:rPr>
        <w:t>An example</w:t>
      </w:r>
      <w:r w:rsidR="00471299">
        <w:rPr>
          <w:rFonts w:asciiTheme="majorBidi" w:hAnsiTheme="majorBidi" w:cstheme="majorBidi"/>
          <w:b w:val="0"/>
          <w:szCs w:val="24"/>
        </w:rPr>
        <w:t xml:space="preserve"> of</w:t>
      </w:r>
      <w:r>
        <w:rPr>
          <w:rFonts w:asciiTheme="majorBidi" w:hAnsiTheme="majorBidi" w:cstheme="majorBidi"/>
          <w:b w:val="0"/>
          <w:szCs w:val="24"/>
        </w:rPr>
        <w:t xml:space="preserve"> </w:t>
      </w:r>
      <w:r w:rsidR="005844C5">
        <w:rPr>
          <w:rFonts w:asciiTheme="majorBidi" w:hAnsiTheme="majorBidi" w:cstheme="majorBidi"/>
          <w:b w:val="0"/>
          <w:szCs w:val="24"/>
        </w:rPr>
        <w:t xml:space="preserve">the </w:t>
      </w:r>
      <w:r>
        <w:rPr>
          <w:rFonts w:asciiTheme="majorBidi" w:hAnsiTheme="majorBidi" w:cstheme="majorBidi"/>
          <w:b w:val="0"/>
          <w:szCs w:val="24"/>
        </w:rPr>
        <w:t xml:space="preserve">deconvolution of region C is shown in Figure 3.10.  </w:t>
      </w:r>
      <w:r w:rsidRPr="000E2377">
        <w:rPr>
          <w:rFonts w:asciiTheme="majorBidi" w:hAnsiTheme="majorBidi" w:cstheme="majorBidi"/>
          <w:b w:val="0"/>
          <w:szCs w:val="24"/>
        </w:rPr>
        <w:t>However, any sulphate shoulder (at ~990 cm</w:t>
      </w:r>
      <w:r w:rsidRPr="000E2377">
        <w:rPr>
          <w:rFonts w:asciiTheme="majorBidi" w:hAnsiTheme="majorBidi" w:cstheme="majorBidi"/>
          <w:b w:val="0"/>
          <w:szCs w:val="24"/>
          <w:vertAlign w:val="superscript"/>
        </w:rPr>
        <w:t>-1</w:t>
      </w:r>
      <w:r w:rsidRPr="000E2377">
        <w:rPr>
          <w:rFonts w:asciiTheme="majorBidi" w:hAnsiTheme="majorBidi" w:cstheme="majorBidi"/>
          <w:b w:val="0"/>
          <w:szCs w:val="24"/>
        </w:rPr>
        <w:t>)</w:t>
      </w:r>
      <w:r>
        <w:rPr>
          <w:rFonts w:asciiTheme="majorBidi" w:hAnsiTheme="majorBidi" w:cstheme="majorBidi"/>
          <w:b w:val="0"/>
          <w:szCs w:val="24"/>
        </w:rPr>
        <w:t xml:space="preserve"> was excluded</w:t>
      </w:r>
      <w:r w:rsidRPr="000E2377">
        <w:rPr>
          <w:rFonts w:asciiTheme="majorBidi" w:hAnsiTheme="majorBidi" w:cstheme="majorBidi"/>
          <w:b w:val="0"/>
          <w:szCs w:val="24"/>
        </w:rPr>
        <w:t xml:space="preserve"> from </w:t>
      </w:r>
      <w:r>
        <w:rPr>
          <w:rFonts w:asciiTheme="majorBidi" w:hAnsiTheme="majorBidi" w:cstheme="majorBidi"/>
          <w:b w:val="0"/>
          <w:szCs w:val="24"/>
        </w:rPr>
        <w:t>these</w:t>
      </w:r>
      <w:r w:rsidRPr="000E2377">
        <w:rPr>
          <w:rFonts w:asciiTheme="majorBidi" w:hAnsiTheme="majorBidi" w:cstheme="majorBidi"/>
          <w:b w:val="0"/>
          <w:szCs w:val="24"/>
        </w:rPr>
        <w:t xml:space="preserve"> calculations </w:t>
      </w:r>
      <w:r w:rsidRPr="000E2377">
        <w:rPr>
          <w:rFonts w:asciiTheme="majorBidi" w:hAnsiTheme="majorBidi" w:cstheme="majorBidi"/>
          <w:b w:val="0"/>
          <w:szCs w:val="24"/>
        </w:rPr>
        <w:fldChar w:fldCharType="begin" w:fldLock="1"/>
      </w:r>
      <w:r w:rsidRPr="000E2377">
        <w:rPr>
          <w:rFonts w:asciiTheme="majorBidi" w:hAnsiTheme="majorBidi" w:cstheme="majorBidi"/>
          <w:b w:val="0"/>
          <w:szCs w:val="24"/>
        </w:rPr>
        <w:instrText>ADDIN CSL_CITATION { "citationItems" : [ { "id" : "ITEM-1", "itemData" : { "DOI" : "10.1016/j.jnoncrysol.2015.08.013", "ISSN" : "00223093", "abstract" : "The effects of varying the alkaline earth oxide content of three series of soda-lime-silica glasses with the general formulae 13.5Na&lt;inf&gt;2&lt;/inf&gt;O??xMgO??10CaO??1.5Al&lt;inf&gt;2&lt;/inf&gt;O&lt;inf&gt;3&lt;/inf&gt;??(75 - x)SiO&lt;inf&gt;2&lt;/inf&gt; (mol.%) where x = 0, 1, 2, 3, 4, 5, 6, and 7; 13.5Na&lt;inf&gt;2&lt;/inf&gt;O??3MgO??(7 + y)CaO??1.5Al&lt;inf&gt;2&lt;/inf&gt;O&lt;inf&gt;3&lt;/inf&gt;??(75 - y)SiO&lt;inf&gt;2&lt;/inf&gt; (mol.%) where y = 0, 1, 2, 3, 4, 5, 6, and 7 and 13.5Na&lt;inf&gt;2&lt;/inf&gt;O??zMgO??(13 - z)CaO??1.5Al&lt;inf&gt;2&lt;/inf&gt;O&lt;inf&gt;3&lt;/inf&gt;??72SiO&lt;inf&gt;2&lt;/inf&gt; (mol.%) where z = 1, 3, 5, 7, 9, and 11 have been examined. Raman spectroscopy and nuclear magnetic resonance (NMR) spectroscopy have been used to assess network connectivity. In the first two glass series network connectivity decreases with increasing alkaline earth addition whereas in the third series connectivity tends to be greater for the more magnesia rich glasses suggesting that magnesia does have a different effect to lime on network connectivity, but only when magnesia is the dominant alkaline earth species. Fracture toughness has been measured using bend testing, which avoids many of the questions raised by the widely used indentation technique. Moduli have been assessed using acoustic means. It was found that the mechanical properties tend to decrease with increasing network connectivity for all three glass series. For the MgO-SiO&lt;inf&gt;2&lt;/inf&gt; series and CaO-SiO&lt;inf&gt;2&lt;/inf&gt; glasses increasing the alkaline earth content at the expense of the silica content resulted in increased network depolymerization, whereas for the MgO-CaO series when MgO became the dominant alkaline earth species, network depolymerization was reduced. Thus whilst MgO and CaO both act as network modifiers when more CaO than MgO is present in soda-lime-silica glasses, a difference in behaviour is seen with magnesia rich soda-magnesia-silica glasses. In contradiction to previous data no significant advantage of replacing CaO by MgO is observed. In addition it appears that the glasses with the lowest fracture toughness values may be more resilient to contact damage than those with the higher fracture toughness values.", "author" : [ { "dropping-particle" : "", "family" : "Kilinc", "given" : "Erhan", "non-dropping-particle" : "", "parse-names" : false, "suffix" : "" }, { "dropping-particle" : "", "family" : "Hand", "given" : "Russell J.", "non-dropping-particle" : "", "parse-names" : false, "suffix" : "" } ], "container-title" : "Journal of Non-Crystalline Solids", "id" : "ITEM-1", "issued" : { "date-parts" : [ [ "2015" ] ] }, "page" : "190-197", "publisher" : "Elsevier B.V.", "title" : "Mechanical properties of soda-lime-silica glasses with varying alkaline earth contents", "type" : "article-journal", "volume" : "429" }, "uris" : [ "http://www.mendeley.com/documents/?uuid=9f1c2e71-3e60-4782-b1b2-26adb31dc508" ] } ], "mendeley" : { "formattedCitation" : "(Kilinc &amp; Hand, 2015)", "plainTextFormattedCitation" : "(Kilinc &amp; Hand, 2015)", "previouslyFormattedCitation" : "(Kilinc &amp; Hand, 2015)" }, "properties" : { "noteIndex" : 0 }, "schema" : "https://github.com/citation-style-language/schema/raw/master/csl-citation.json" }</w:instrText>
      </w:r>
      <w:r w:rsidRPr="000E2377">
        <w:rPr>
          <w:rFonts w:asciiTheme="majorBidi" w:hAnsiTheme="majorBidi" w:cstheme="majorBidi"/>
          <w:b w:val="0"/>
          <w:szCs w:val="24"/>
        </w:rPr>
        <w:fldChar w:fldCharType="separate"/>
      </w:r>
      <w:r w:rsidRPr="000E2377">
        <w:rPr>
          <w:rFonts w:asciiTheme="majorBidi" w:hAnsiTheme="majorBidi" w:cstheme="majorBidi"/>
          <w:b w:val="0"/>
          <w:noProof/>
          <w:szCs w:val="24"/>
        </w:rPr>
        <w:t>(Kilinc &amp; Hand, 2015)</w:t>
      </w:r>
      <w:r w:rsidRPr="000E2377">
        <w:rPr>
          <w:rFonts w:asciiTheme="majorBidi" w:hAnsiTheme="majorBidi" w:cstheme="majorBidi"/>
          <w:b w:val="0"/>
          <w:szCs w:val="24"/>
        </w:rPr>
        <w:fldChar w:fldCharType="end"/>
      </w:r>
      <w:r w:rsidRPr="000E2377">
        <w:rPr>
          <w:rFonts w:asciiTheme="majorBidi" w:hAnsiTheme="majorBidi" w:cstheme="majorBidi"/>
          <w:b w:val="0"/>
          <w:szCs w:val="24"/>
        </w:rPr>
        <w:t xml:space="preserve">.  </w:t>
      </w:r>
    </w:p>
    <w:p w14:paraId="36B1A064" w14:textId="77777777" w:rsidR="00D740DC" w:rsidRPr="000E2377" w:rsidRDefault="00D740DC" w:rsidP="00D740DC">
      <w:pPr>
        <w:spacing w:line="360" w:lineRule="auto"/>
        <w:ind w:firstLine="405"/>
        <w:jc w:val="center"/>
        <w:rPr>
          <w:rFonts w:asciiTheme="majorBidi" w:hAnsiTheme="majorBidi" w:cstheme="majorBidi"/>
          <w:b w:val="0"/>
          <w:szCs w:val="24"/>
        </w:rPr>
      </w:pPr>
      <w:r w:rsidRPr="000E2377">
        <w:rPr>
          <w:rFonts w:asciiTheme="majorBidi" w:hAnsiTheme="majorBidi"/>
          <w:b w:val="0"/>
          <w:noProof/>
          <w:lang w:eastAsia="en-MY"/>
        </w:rPr>
        <w:lastRenderedPageBreak/>
        <mc:AlternateContent>
          <mc:Choice Requires="wps">
            <w:drawing>
              <wp:anchor distT="0" distB="0" distL="114300" distR="114300" simplePos="0" relativeHeight="252360704" behindDoc="0" locked="0" layoutInCell="1" allowOverlap="1" wp14:anchorId="27A95AFC" wp14:editId="2714359D">
                <wp:simplePos x="0" y="0"/>
                <wp:positionH relativeFrom="column">
                  <wp:posOffset>4224382</wp:posOffset>
                </wp:positionH>
                <wp:positionV relativeFrom="paragraph">
                  <wp:posOffset>2243182</wp:posOffset>
                </wp:positionV>
                <wp:extent cx="914400" cy="469900"/>
                <wp:effectExtent l="0" t="0" r="0" b="6350"/>
                <wp:wrapNone/>
                <wp:docPr id="1387" name="Text Box 1387"/>
                <wp:cNvGraphicFramePr/>
                <a:graphic xmlns:a="http://schemas.openxmlformats.org/drawingml/2006/main">
                  <a:graphicData uri="http://schemas.microsoft.com/office/word/2010/wordprocessingShape">
                    <wps:wsp>
                      <wps:cNvSpPr txBox="1"/>
                      <wps:spPr>
                        <a:xfrm>
                          <a:off x="0" y="0"/>
                          <a:ext cx="914400" cy="469900"/>
                        </a:xfrm>
                        <a:prstGeom prst="rect">
                          <a:avLst/>
                        </a:prstGeom>
                        <a:noFill/>
                        <a:ln w="6350">
                          <a:noFill/>
                        </a:ln>
                        <a:effectLst/>
                      </wps:spPr>
                      <wps:txbx>
                        <w:txbxContent>
                          <w:p w14:paraId="33215B43" w14:textId="77777777" w:rsidR="00230AB9" w:rsidRDefault="00230AB9" w:rsidP="00D740DC">
                            <w:r>
                              <w:t>Region 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A95AFC" id="Text Box 1387" o:spid="_x0000_s1140" type="#_x0000_t202" style="position:absolute;left:0;text-align:left;margin-left:332.65pt;margin-top:176.65pt;width:1in;height:37pt;z-index:252360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" filled="f" stroked="f" strokeweight=".5pt">
                <v:textbox>
                  <w:txbxContent>
                    <w:p w14:paraId="33215B43" w14:textId="77777777" w:rsidR="00230AB9" w:rsidRDefault="00230AB9" w:rsidP="00D740DC">
                      <w:r>
                        <w:t>Region D</w:t>
                      </w:r>
                    </w:p>
                  </w:txbxContent>
                </v:textbox>
              </v:shape>
            </w:pict>
          </mc:Fallback>
        </mc:AlternateContent>
      </w:r>
      <w:r w:rsidRPr="000E2377">
        <w:rPr>
          <w:rFonts w:asciiTheme="majorBidi" w:hAnsiTheme="majorBidi"/>
          <w:b w:val="0"/>
          <w:noProof/>
          <w:lang w:eastAsia="en-MY"/>
        </w:rPr>
        <mc:AlternateContent>
          <mc:Choice Requires="wps">
            <w:drawing>
              <wp:anchor distT="0" distB="0" distL="114300" distR="114300" simplePos="0" relativeHeight="252354560" behindDoc="0" locked="0" layoutInCell="1" allowOverlap="1" wp14:anchorId="4D598720" wp14:editId="7EA1AE36">
                <wp:simplePos x="0" y="0"/>
                <wp:positionH relativeFrom="column">
                  <wp:posOffset>2733493</wp:posOffset>
                </wp:positionH>
                <wp:positionV relativeFrom="paragraph">
                  <wp:posOffset>1999252</wp:posOffset>
                </wp:positionV>
                <wp:extent cx="914400" cy="346710"/>
                <wp:effectExtent l="0" t="0" r="0" b="0"/>
                <wp:wrapNone/>
                <wp:docPr id="1390" name="Text Box 1390"/>
                <wp:cNvGraphicFramePr/>
                <a:graphic xmlns:a="http://schemas.openxmlformats.org/drawingml/2006/main">
                  <a:graphicData uri="http://schemas.microsoft.com/office/word/2010/wordprocessingShape">
                    <wps:wsp>
                      <wps:cNvSpPr txBox="1"/>
                      <wps:spPr>
                        <a:xfrm>
                          <a:off x="0" y="0"/>
                          <a:ext cx="914400" cy="346710"/>
                        </a:xfrm>
                        <a:prstGeom prst="rect">
                          <a:avLst/>
                        </a:prstGeom>
                        <a:noFill/>
                        <a:ln w="6350">
                          <a:noFill/>
                        </a:ln>
                        <a:effectLst/>
                      </wps:spPr>
                      <wps:txbx>
                        <w:txbxContent>
                          <w:p w14:paraId="01B047FE" w14:textId="77777777" w:rsidR="00230AB9" w:rsidRDefault="00230AB9" w:rsidP="00D740DC">
                            <w:r>
                              <w:t>Region 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598720" id="Text Box 1390" o:spid="_x0000_s1141" type="#_x0000_t202" style="position:absolute;left:0;text-align:left;margin-left:215.25pt;margin-top:157.4pt;width:1in;height:27.3pt;z-index:2523545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" filled="f" stroked="f" strokeweight=".5pt">
                <v:textbox>
                  <w:txbxContent>
                    <w:p w14:paraId="01B047FE" w14:textId="77777777" w:rsidR="00230AB9" w:rsidRDefault="00230AB9" w:rsidP="00D740DC">
                      <w:r>
                        <w:t>Region B</w:t>
                      </w:r>
                    </w:p>
                  </w:txbxContent>
                </v:textbox>
              </v:shape>
            </w:pict>
          </mc:Fallback>
        </mc:AlternateContent>
      </w:r>
      <w:r w:rsidRPr="000E2377">
        <w:rPr>
          <w:rFonts w:asciiTheme="majorBidi" w:hAnsiTheme="majorBidi"/>
          <w:b w:val="0"/>
          <w:noProof/>
          <w:lang w:eastAsia="en-MY"/>
        </w:rPr>
        <mc:AlternateContent>
          <mc:Choice Requires="wps">
            <w:drawing>
              <wp:anchor distT="0" distB="0" distL="114300" distR="114300" simplePos="0" relativeHeight="252355584" behindDoc="0" locked="0" layoutInCell="1" allowOverlap="1" wp14:anchorId="1BA55AC9" wp14:editId="31988C97">
                <wp:simplePos x="0" y="0"/>
                <wp:positionH relativeFrom="column">
                  <wp:posOffset>3373302</wp:posOffset>
                </wp:positionH>
                <wp:positionV relativeFrom="paragraph">
                  <wp:posOffset>2394403</wp:posOffset>
                </wp:positionV>
                <wp:extent cx="914400" cy="346710"/>
                <wp:effectExtent l="0" t="0" r="0" b="0"/>
                <wp:wrapNone/>
                <wp:docPr id="1392" name="Text Box 1392"/>
                <wp:cNvGraphicFramePr/>
                <a:graphic xmlns:a="http://schemas.openxmlformats.org/drawingml/2006/main">
                  <a:graphicData uri="http://schemas.microsoft.com/office/word/2010/wordprocessingShape">
                    <wps:wsp>
                      <wps:cNvSpPr txBox="1"/>
                      <wps:spPr>
                        <a:xfrm>
                          <a:off x="0" y="0"/>
                          <a:ext cx="914400" cy="346710"/>
                        </a:xfrm>
                        <a:prstGeom prst="rect">
                          <a:avLst/>
                        </a:prstGeom>
                        <a:noFill/>
                        <a:ln w="6350">
                          <a:noFill/>
                        </a:ln>
                        <a:effectLst/>
                      </wps:spPr>
                      <wps:txbx>
                        <w:txbxContent>
                          <w:p w14:paraId="75343ADF" w14:textId="77777777" w:rsidR="00230AB9" w:rsidRDefault="00230AB9" w:rsidP="00D740DC">
                            <w:r>
                              <w:t>Region 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A55AC9" id="Text Box 1392" o:spid="_x0000_s1142" type="#_x0000_t202" style="position:absolute;left:0;text-align:left;margin-left:265.6pt;margin-top:188.55pt;width:1in;height:27.3pt;z-index:252355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" filled="f" stroked="f" strokeweight=".5pt">
                <v:textbox>
                  <w:txbxContent>
                    <w:p w14:paraId="75343ADF" w14:textId="77777777" w:rsidR="00230AB9" w:rsidRDefault="00230AB9" w:rsidP="00D740DC">
                      <w:r>
                        <w:t>Region C</w:t>
                      </w:r>
                    </w:p>
                  </w:txbxContent>
                </v:textbox>
              </v:shape>
            </w:pict>
          </mc:Fallback>
        </mc:AlternateContent>
      </w:r>
      <w:r w:rsidRPr="000E2377">
        <w:rPr>
          <w:rFonts w:asciiTheme="majorBidi" w:hAnsiTheme="majorBidi"/>
          <w:b w:val="0"/>
          <w:noProof/>
          <w:lang w:eastAsia="en-MY"/>
        </w:rPr>
        <mc:AlternateContent>
          <mc:Choice Requires="wps">
            <w:drawing>
              <wp:anchor distT="0" distB="0" distL="114300" distR="114300" simplePos="0" relativeHeight="252353536" behindDoc="0" locked="0" layoutInCell="1" allowOverlap="1" wp14:anchorId="44563FD7" wp14:editId="3BDC03C8">
                <wp:simplePos x="0" y="0"/>
                <wp:positionH relativeFrom="column">
                  <wp:posOffset>1779724</wp:posOffset>
                </wp:positionH>
                <wp:positionV relativeFrom="paragraph">
                  <wp:posOffset>2358753</wp:posOffset>
                </wp:positionV>
                <wp:extent cx="914400" cy="346841"/>
                <wp:effectExtent l="0" t="0" r="0" b="0"/>
                <wp:wrapNone/>
                <wp:docPr id="1393" name="Text Box 1393"/>
                <wp:cNvGraphicFramePr/>
                <a:graphic xmlns:a="http://schemas.openxmlformats.org/drawingml/2006/main">
                  <a:graphicData uri="http://schemas.microsoft.com/office/word/2010/wordprocessingShape">
                    <wps:wsp>
                      <wps:cNvSpPr txBox="1"/>
                      <wps:spPr>
                        <a:xfrm>
                          <a:off x="0" y="0"/>
                          <a:ext cx="914400" cy="346841"/>
                        </a:xfrm>
                        <a:prstGeom prst="rect">
                          <a:avLst/>
                        </a:prstGeom>
                        <a:noFill/>
                        <a:ln w="6350">
                          <a:noFill/>
                        </a:ln>
                        <a:effectLst/>
                      </wps:spPr>
                      <wps:txbx>
                        <w:txbxContent>
                          <w:p w14:paraId="3845E88F" w14:textId="77777777" w:rsidR="00230AB9" w:rsidRDefault="00230AB9" w:rsidP="00D740DC">
                            <w:r>
                              <w:t>Region 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563FD7" id="Text Box 1393" o:spid="_x0000_s1143" type="#_x0000_t202" style="position:absolute;left:0;text-align:left;margin-left:140.15pt;margin-top:185.75pt;width:1in;height:27.3pt;z-index:252353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" filled="f" stroked="f" strokeweight=".5pt">
                <v:textbox>
                  <w:txbxContent>
                    <w:p w14:paraId="3845E88F" w14:textId="77777777" w:rsidR="00230AB9" w:rsidRDefault="00230AB9" w:rsidP="00D740DC">
                      <w:r>
                        <w:t>Region A</w:t>
                      </w:r>
                    </w:p>
                  </w:txbxContent>
                </v:textbox>
              </v:shape>
            </w:pict>
          </mc:Fallback>
        </mc:AlternateContent>
      </w:r>
      <w:r w:rsidRPr="000E2377">
        <w:rPr>
          <w:noProof/>
          <w:lang w:eastAsia="en-MY"/>
        </w:rPr>
        <w:drawing>
          <wp:inline distT="0" distB="0" distL="0" distR="0" wp14:anchorId="0289DFFC" wp14:editId="7E626F3B">
            <wp:extent cx="3856254" cy="3240000"/>
            <wp:effectExtent l="0" t="0" r="0" b="0"/>
            <wp:docPr id="1477"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56254" cy="3240000"/>
                    </a:xfrm>
                    <a:prstGeom prst="rect">
                      <a:avLst/>
                    </a:prstGeom>
                    <a:noFill/>
                    <a:ln>
                      <a:noFill/>
                    </a:ln>
                  </pic:spPr>
                </pic:pic>
              </a:graphicData>
            </a:graphic>
          </wp:inline>
        </w:drawing>
      </w:r>
    </w:p>
    <w:p w14:paraId="5762EEE6" w14:textId="77777777" w:rsidR="00D740DC" w:rsidRPr="000E2377" w:rsidRDefault="00D740DC" w:rsidP="00D740DC">
      <w:pPr>
        <w:pStyle w:val="Caption"/>
        <w:rPr>
          <w:rFonts w:asciiTheme="majorBidi" w:hAnsiTheme="majorBidi" w:cstheme="majorBidi"/>
          <w:color w:val="4F81BD" w:themeColor="accent1"/>
          <w:szCs w:val="24"/>
        </w:rPr>
      </w:pPr>
      <w:bookmarkStart w:id="517" w:name="_Toc521420461"/>
      <w:bookmarkStart w:id="518" w:name="_Toc525223195"/>
      <w:bookmarkStart w:id="519" w:name="_Toc525528342"/>
      <w:bookmarkStart w:id="520" w:name="_Toc525706357"/>
      <w:r w:rsidRPr="000E2377">
        <w:t>Figure</w:t>
      </w:r>
      <w:r>
        <w:t xml:space="preserve"> 3</w:t>
      </w:r>
      <w:r w:rsidRPr="000E2377">
        <w:t>.</w:t>
      </w:r>
      <w:r>
        <w:t>9</w:t>
      </w:r>
      <w:r w:rsidRPr="000E2377">
        <w:t xml:space="preserve">: </w:t>
      </w:r>
      <w:r w:rsidRPr="000E2377">
        <w:rPr>
          <w:rFonts w:asciiTheme="majorBidi" w:hAnsiTheme="majorBidi" w:cstheme="majorBidi"/>
          <w:szCs w:val="24"/>
        </w:rPr>
        <w:t xml:space="preserve">Raman spectra for </w:t>
      </w:r>
      <w:r w:rsidRPr="000E2377">
        <w:rPr>
          <w:rFonts w:eastAsia="Times New Roman"/>
          <w:color w:val="000000"/>
          <w:szCs w:val="24"/>
          <w:lang w:eastAsia="en-MY"/>
        </w:rPr>
        <w:t>N</w:t>
      </w:r>
      <w:r w:rsidRPr="000E2377">
        <w:rPr>
          <w:rFonts w:eastAsia="Times New Roman"/>
          <w:color w:val="000000"/>
          <w:szCs w:val="24"/>
          <w:vertAlign w:val="subscript"/>
          <w:lang w:eastAsia="en-MY"/>
        </w:rPr>
        <w:t>7.6</w:t>
      </w:r>
      <w:r w:rsidRPr="000E2377">
        <w:rPr>
          <w:rFonts w:eastAsia="Times New Roman"/>
          <w:color w:val="000000"/>
          <w:szCs w:val="24"/>
          <w:lang w:eastAsia="en-MY"/>
        </w:rPr>
        <w:t>M</w:t>
      </w:r>
      <w:r w:rsidRPr="000E2377">
        <w:rPr>
          <w:rFonts w:eastAsia="Times New Roman"/>
          <w:color w:val="000000"/>
          <w:szCs w:val="24"/>
          <w:vertAlign w:val="subscript"/>
          <w:lang w:eastAsia="en-MY"/>
        </w:rPr>
        <w:t>1.1</w:t>
      </w:r>
      <w:r w:rsidRPr="000E2377">
        <w:rPr>
          <w:rFonts w:eastAsia="Times New Roman"/>
          <w:color w:val="000000"/>
          <w:szCs w:val="24"/>
          <w:lang w:eastAsia="en-MY"/>
        </w:rPr>
        <w:t>C</w:t>
      </w:r>
      <w:r w:rsidRPr="000E2377">
        <w:rPr>
          <w:rFonts w:eastAsia="Times New Roman"/>
          <w:color w:val="000000"/>
          <w:szCs w:val="24"/>
          <w:vertAlign w:val="subscript"/>
          <w:lang w:eastAsia="en-MY"/>
        </w:rPr>
        <w:t>3</w:t>
      </w:r>
      <w:r w:rsidRPr="000E2377">
        <w:rPr>
          <w:rFonts w:eastAsia="Times New Roman"/>
          <w:color w:val="000000"/>
          <w:szCs w:val="24"/>
          <w:lang w:eastAsia="en-MY"/>
        </w:rPr>
        <w:t>A</w:t>
      </w:r>
      <w:r w:rsidRPr="000E2377">
        <w:rPr>
          <w:rFonts w:eastAsia="Times New Roman"/>
          <w:color w:val="000000"/>
          <w:szCs w:val="24"/>
          <w:vertAlign w:val="subscript"/>
          <w:lang w:eastAsia="en-MY"/>
        </w:rPr>
        <w:t>1</w:t>
      </w:r>
      <w:r w:rsidRPr="000E2377">
        <w:rPr>
          <w:rFonts w:eastAsia="Times New Roman"/>
          <w:color w:val="000000"/>
          <w:szCs w:val="24"/>
          <w:lang w:eastAsia="en-MY"/>
        </w:rPr>
        <w:t>B</w:t>
      </w:r>
      <w:r w:rsidRPr="000E2377">
        <w:rPr>
          <w:rFonts w:eastAsia="Times New Roman"/>
          <w:color w:val="000000"/>
          <w:szCs w:val="24"/>
          <w:vertAlign w:val="subscript"/>
          <w:lang w:eastAsia="en-MY"/>
        </w:rPr>
        <w:t>7.6</w:t>
      </w:r>
      <w:r w:rsidRPr="000E2377">
        <w:rPr>
          <w:rFonts w:eastAsia="Times New Roman"/>
          <w:color w:val="000000"/>
          <w:szCs w:val="24"/>
          <w:lang w:eastAsia="en-MY"/>
        </w:rPr>
        <w:t>S</w:t>
      </w:r>
      <w:r w:rsidRPr="000E2377">
        <w:rPr>
          <w:rFonts w:eastAsia="Times New Roman"/>
          <w:color w:val="000000"/>
          <w:szCs w:val="24"/>
          <w:vertAlign w:val="subscript"/>
          <w:lang w:eastAsia="en-MY"/>
        </w:rPr>
        <w:t>79.7</w:t>
      </w:r>
      <w:r w:rsidRPr="000E2377">
        <w:rPr>
          <w:rFonts w:asciiTheme="majorBidi" w:hAnsiTheme="majorBidi" w:cstheme="majorBidi"/>
          <w:bCs w:val="0"/>
          <w:color w:val="000000" w:themeColor="text1"/>
          <w:szCs w:val="24"/>
        </w:rPr>
        <w:t xml:space="preserve"> </w:t>
      </w:r>
      <w:r w:rsidRPr="000E2377">
        <w:rPr>
          <w:rFonts w:asciiTheme="majorBidi" w:hAnsiTheme="majorBidi" w:cstheme="majorBidi"/>
          <w:szCs w:val="24"/>
        </w:rPr>
        <w:t>glass.</w:t>
      </w:r>
      <w:bookmarkEnd w:id="517"/>
      <w:bookmarkEnd w:id="518"/>
      <w:bookmarkEnd w:id="519"/>
      <w:bookmarkEnd w:id="520"/>
    </w:p>
    <w:p w14:paraId="0973CDD7" w14:textId="77777777" w:rsidR="00D740DC" w:rsidRPr="000E2377" w:rsidRDefault="00D740DC" w:rsidP="00D740DC">
      <w:pPr>
        <w:rPr>
          <w:rFonts w:asciiTheme="majorBidi" w:hAnsiTheme="majorBidi"/>
          <w:b w:val="0"/>
        </w:rPr>
      </w:pPr>
    </w:p>
    <w:p w14:paraId="3AAC743E" w14:textId="77777777" w:rsidR="00D740DC" w:rsidRPr="000E2377" w:rsidRDefault="00D740DC" w:rsidP="00D740DC">
      <w:pPr>
        <w:spacing w:line="360" w:lineRule="auto"/>
        <w:jc w:val="both"/>
        <w:rPr>
          <w:rFonts w:asciiTheme="majorBidi" w:hAnsiTheme="majorBidi"/>
          <w:b w:val="0"/>
        </w:rPr>
      </w:pPr>
      <w:r w:rsidRPr="000E2377">
        <w:rPr>
          <w:rFonts w:asciiTheme="majorBidi" w:hAnsiTheme="majorBidi"/>
          <w:b w:val="0"/>
        </w:rPr>
        <w:t xml:space="preserve">The effect of alkali / alkaline earth used in </w:t>
      </w:r>
      <w:r>
        <w:rPr>
          <w:rFonts w:asciiTheme="majorBidi" w:hAnsiTheme="majorBidi"/>
          <w:b w:val="0"/>
        </w:rPr>
        <w:t xml:space="preserve">the </w:t>
      </w:r>
      <w:r w:rsidRPr="000E2377">
        <w:rPr>
          <w:rFonts w:asciiTheme="majorBidi" w:hAnsiTheme="majorBidi"/>
          <w:b w:val="0"/>
        </w:rPr>
        <w:t>composition</w:t>
      </w:r>
      <w:r>
        <w:rPr>
          <w:rFonts w:asciiTheme="majorBidi" w:hAnsiTheme="majorBidi"/>
          <w:b w:val="0"/>
        </w:rPr>
        <w:t>s studied here</w:t>
      </w:r>
      <w:r w:rsidRPr="000E2377">
        <w:rPr>
          <w:rFonts w:asciiTheme="majorBidi" w:hAnsiTheme="majorBidi"/>
          <w:b w:val="0"/>
        </w:rPr>
        <w:t xml:space="preserve"> lead to the decreasing or increasing of polymerisation index</w:t>
      </w:r>
      <w:r>
        <w:rPr>
          <w:rFonts w:asciiTheme="majorBidi" w:hAnsiTheme="majorBidi"/>
          <w:b w:val="0"/>
        </w:rPr>
        <w:t xml:space="preserve">. </w:t>
      </w:r>
      <w:r w:rsidRPr="000E2377">
        <w:rPr>
          <w:rFonts w:asciiTheme="majorBidi" w:hAnsiTheme="majorBidi"/>
          <w:b w:val="0"/>
        </w:rPr>
        <w:t>Table 3.</w:t>
      </w:r>
      <w:r>
        <w:rPr>
          <w:rFonts w:asciiTheme="majorBidi" w:hAnsiTheme="majorBidi"/>
          <w:b w:val="0"/>
        </w:rPr>
        <w:t>5</w:t>
      </w:r>
      <w:r w:rsidRPr="000E2377">
        <w:rPr>
          <w:rFonts w:asciiTheme="majorBidi" w:hAnsiTheme="majorBidi"/>
          <w:b w:val="0"/>
        </w:rPr>
        <w:t xml:space="preserve"> shows the details vibration of Raman frequencies.</w:t>
      </w:r>
    </w:p>
    <w:p w14:paraId="04F43EC7" w14:textId="77777777" w:rsidR="00D740DC" w:rsidRDefault="00D740DC" w:rsidP="00D740DC">
      <w:pPr>
        <w:pStyle w:val="Caption"/>
        <w:rPr>
          <w:rFonts w:asciiTheme="majorBidi" w:hAnsiTheme="majorBidi"/>
        </w:rPr>
      </w:pPr>
      <w:bookmarkStart w:id="521" w:name="_Toc521483068"/>
      <w:bookmarkStart w:id="522" w:name="_Toc525225330"/>
      <w:bookmarkStart w:id="523" w:name="_Toc525706426"/>
      <w:bookmarkStart w:id="524" w:name="_Hlk10985545"/>
      <w:r w:rsidRPr="000E2377">
        <w:t xml:space="preserve">Table </w:t>
      </w:r>
      <w:r>
        <w:t>3</w:t>
      </w:r>
      <w:r w:rsidRPr="000E2377">
        <w:t>.</w:t>
      </w:r>
      <w:r>
        <w:t>5</w:t>
      </w:r>
      <w:r w:rsidRPr="000E2377">
        <w:rPr>
          <w:rFonts w:asciiTheme="majorBidi" w:hAnsiTheme="majorBidi"/>
        </w:rPr>
        <w:t>: Corresponding vibration of Raman frequencies in aluminosilicate</w:t>
      </w:r>
      <w:r>
        <w:rPr>
          <w:rFonts w:asciiTheme="majorBidi" w:hAnsiTheme="majorBidi"/>
        </w:rPr>
        <w:t>s</w:t>
      </w:r>
      <w:r w:rsidRPr="000E2377">
        <w:rPr>
          <w:rFonts w:asciiTheme="majorBidi" w:hAnsiTheme="majorBidi"/>
        </w:rPr>
        <w:t xml:space="preserve"> and </w:t>
      </w:r>
      <w:proofErr w:type="spellStart"/>
      <w:r w:rsidRPr="000E2377">
        <w:rPr>
          <w:rFonts w:asciiTheme="majorBidi" w:hAnsiTheme="majorBidi"/>
        </w:rPr>
        <w:t>borosilicate</w:t>
      </w:r>
      <w:bookmarkEnd w:id="521"/>
      <w:r>
        <w:rPr>
          <w:rFonts w:asciiTheme="majorBidi" w:hAnsiTheme="majorBidi"/>
        </w:rPr>
        <w:t>s</w:t>
      </w:r>
      <w:proofErr w:type="spellEnd"/>
      <w:r w:rsidRPr="000E2377">
        <w:rPr>
          <w:rFonts w:asciiTheme="majorBidi" w:hAnsiTheme="majorBidi"/>
        </w:rPr>
        <w:t>.</w:t>
      </w:r>
      <w:bookmarkEnd w:id="522"/>
      <w:bookmarkEnd w:id="523"/>
    </w:p>
    <w:tbl>
      <w:tblPr>
        <w:tblW w:w="8647" w:type="dxa"/>
        <w:tblLook w:val="04A0" w:firstRow="1" w:lastRow="0" w:firstColumn="1" w:lastColumn="0" w:noHBand="0" w:noVBand="1"/>
      </w:tblPr>
      <w:tblGrid>
        <w:gridCol w:w="2268"/>
        <w:gridCol w:w="3402"/>
        <w:gridCol w:w="2977"/>
      </w:tblGrid>
      <w:tr w:rsidR="00D740DC" w:rsidRPr="00D81823" w14:paraId="16951E65" w14:textId="77777777" w:rsidTr="00B11F5F">
        <w:trPr>
          <w:trHeight w:val="390"/>
        </w:trPr>
        <w:tc>
          <w:tcPr>
            <w:tcW w:w="2268" w:type="dxa"/>
            <w:tcBorders>
              <w:top w:val="single" w:sz="8" w:space="0" w:color="auto"/>
              <w:left w:val="nil"/>
              <w:bottom w:val="single" w:sz="8" w:space="0" w:color="auto"/>
              <w:right w:val="nil"/>
            </w:tcBorders>
            <w:shd w:val="clear" w:color="auto" w:fill="auto"/>
            <w:noWrap/>
            <w:vAlign w:val="center"/>
            <w:hideMark/>
          </w:tcPr>
          <w:bookmarkEnd w:id="524"/>
          <w:p w14:paraId="2918FA03"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Wavenumber  (cm</w:t>
            </w:r>
            <w:r w:rsidRPr="00D81823">
              <w:rPr>
                <w:rFonts w:eastAsia="Times New Roman" w:cs="Times New Roman"/>
                <w:b w:val="0"/>
                <w:color w:val="000000"/>
                <w:szCs w:val="24"/>
                <w:vertAlign w:val="superscript"/>
                <w:lang w:eastAsia="en-MY"/>
              </w:rPr>
              <w:t>-1</w:t>
            </w:r>
            <w:r w:rsidRPr="00D81823">
              <w:rPr>
                <w:rFonts w:eastAsia="Times New Roman" w:cs="Times New Roman"/>
                <w:b w:val="0"/>
                <w:color w:val="000000"/>
                <w:szCs w:val="24"/>
                <w:lang w:eastAsia="en-MY"/>
              </w:rPr>
              <w:t>)</w:t>
            </w:r>
          </w:p>
        </w:tc>
        <w:tc>
          <w:tcPr>
            <w:tcW w:w="3402" w:type="dxa"/>
            <w:tcBorders>
              <w:top w:val="single" w:sz="8" w:space="0" w:color="auto"/>
              <w:left w:val="nil"/>
              <w:bottom w:val="single" w:sz="8" w:space="0" w:color="auto"/>
              <w:right w:val="nil"/>
            </w:tcBorders>
            <w:shd w:val="clear" w:color="auto" w:fill="auto"/>
            <w:noWrap/>
            <w:vAlign w:val="center"/>
            <w:hideMark/>
          </w:tcPr>
          <w:p w14:paraId="3E3C14E4"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Assignment</w:t>
            </w:r>
          </w:p>
        </w:tc>
        <w:tc>
          <w:tcPr>
            <w:tcW w:w="2977" w:type="dxa"/>
            <w:tcBorders>
              <w:top w:val="single" w:sz="8" w:space="0" w:color="auto"/>
              <w:left w:val="nil"/>
              <w:bottom w:val="single" w:sz="8" w:space="0" w:color="auto"/>
              <w:right w:val="nil"/>
            </w:tcBorders>
            <w:shd w:val="clear" w:color="auto" w:fill="auto"/>
            <w:noWrap/>
            <w:vAlign w:val="center"/>
            <w:hideMark/>
          </w:tcPr>
          <w:p w14:paraId="21FA3377"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Reference</w:t>
            </w:r>
          </w:p>
        </w:tc>
      </w:tr>
      <w:tr w:rsidR="00D740DC" w:rsidRPr="00D81823" w14:paraId="659FB8A9" w14:textId="77777777" w:rsidTr="00B11F5F">
        <w:trPr>
          <w:trHeight w:val="315"/>
        </w:trPr>
        <w:tc>
          <w:tcPr>
            <w:tcW w:w="2268" w:type="dxa"/>
            <w:tcBorders>
              <w:top w:val="nil"/>
              <w:left w:val="nil"/>
              <w:bottom w:val="nil"/>
              <w:right w:val="nil"/>
            </w:tcBorders>
            <w:shd w:val="clear" w:color="auto" w:fill="auto"/>
            <w:noWrap/>
            <w:vAlign w:val="center"/>
            <w:hideMark/>
          </w:tcPr>
          <w:p w14:paraId="71BBCB13"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250-450</w:t>
            </w:r>
          </w:p>
        </w:tc>
        <w:tc>
          <w:tcPr>
            <w:tcW w:w="3402" w:type="dxa"/>
            <w:tcBorders>
              <w:top w:val="nil"/>
              <w:left w:val="nil"/>
              <w:bottom w:val="nil"/>
              <w:right w:val="nil"/>
            </w:tcBorders>
            <w:shd w:val="clear" w:color="auto" w:fill="auto"/>
            <w:noWrap/>
            <w:vAlign w:val="center"/>
            <w:hideMark/>
          </w:tcPr>
          <w:p w14:paraId="4C6A958F"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O stretching</w:t>
            </w:r>
          </w:p>
        </w:tc>
        <w:tc>
          <w:tcPr>
            <w:tcW w:w="2977" w:type="dxa"/>
            <w:tcBorders>
              <w:top w:val="nil"/>
              <w:left w:val="nil"/>
              <w:bottom w:val="nil"/>
              <w:right w:val="nil"/>
            </w:tcBorders>
            <w:shd w:val="clear" w:color="auto" w:fill="auto"/>
            <w:noWrap/>
            <w:vAlign w:val="bottom"/>
            <w:hideMark/>
          </w:tcPr>
          <w:p w14:paraId="2FF859F4"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w:t>
            </w:r>
            <w:proofErr w:type="spellStart"/>
            <w:r w:rsidRPr="00D81823">
              <w:rPr>
                <w:rFonts w:eastAsia="Times New Roman" w:cs="Times New Roman"/>
                <w:b w:val="0"/>
                <w:color w:val="000000"/>
                <w:szCs w:val="24"/>
                <w:lang w:eastAsia="en-MY"/>
              </w:rPr>
              <w:t>Bechgaard</w:t>
            </w:r>
            <w:proofErr w:type="spellEnd"/>
            <w:r w:rsidRPr="00D81823">
              <w:rPr>
                <w:rFonts w:eastAsia="Times New Roman" w:cs="Times New Roman"/>
                <w:b w:val="0"/>
                <w:color w:val="000000"/>
                <w:szCs w:val="24"/>
                <w:lang w:eastAsia="en-MY"/>
              </w:rPr>
              <w:t xml:space="preserve"> et al., 2016)</w:t>
            </w:r>
          </w:p>
        </w:tc>
      </w:tr>
      <w:tr w:rsidR="00D740DC" w:rsidRPr="00D81823" w14:paraId="377D908A" w14:textId="77777777" w:rsidTr="00B11F5F">
        <w:trPr>
          <w:trHeight w:val="315"/>
        </w:trPr>
        <w:tc>
          <w:tcPr>
            <w:tcW w:w="2268" w:type="dxa"/>
            <w:tcBorders>
              <w:top w:val="nil"/>
              <w:left w:val="nil"/>
              <w:bottom w:val="nil"/>
              <w:right w:val="nil"/>
            </w:tcBorders>
            <w:shd w:val="clear" w:color="auto" w:fill="D9D9D9" w:themeFill="background1" w:themeFillShade="D9"/>
            <w:noWrap/>
            <w:vAlign w:val="center"/>
            <w:hideMark/>
          </w:tcPr>
          <w:p w14:paraId="3B7C0F20"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450-580</w:t>
            </w:r>
          </w:p>
        </w:tc>
        <w:tc>
          <w:tcPr>
            <w:tcW w:w="3402" w:type="dxa"/>
            <w:tcBorders>
              <w:top w:val="nil"/>
              <w:left w:val="nil"/>
              <w:bottom w:val="nil"/>
              <w:right w:val="nil"/>
            </w:tcBorders>
            <w:shd w:val="clear" w:color="auto" w:fill="D9D9D9" w:themeFill="background1" w:themeFillShade="D9"/>
            <w:noWrap/>
            <w:vAlign w:val="center"/>
            <w:hideMark/>
          </w:tcPr>
          <w:p w14:paraId="215D0F66"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Si-O-Si bending and rocking</w:t>
            </w:r>
          </w:p>
        </w:tc>
        <w:tc>
          <w:tcPr>
            <w:tcW w:w="2977" w:type="dxa"/>
            <w:tcBorders>
              <w:top w:val="nil"/>
              <w:left w:val="nil"/>
              <w:bottom w:val="nil"/>
              <w:right w:val="nil"/>
            </w:tcBorders>
            <w:shd w:val="clear" w:color="auto" w:fill="D9D9D9" w:themeFill="background1" w:themeFillShade="D9"/>
            <w:noWrap/>
            <w:vAlign w:val="center"/>
            <w:hideMark/>
          </w:tcPr>
          <w:p w14:paraId="0A248E8E"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noProof/>
                <w:color w:val="000000"/>
                <w:szCs w:val="24"/>
                <w:lang w:eastAsia="en-MY"/>
              </w:rPr>
              <w:t>(Furukawa &amp; White, 1981)</w:t>
            </w:r>
          </w:p>
        </w:tc>
      </w:tr>
      <w:tr w:rsidR="00D740DC" w:rsidRPr="00D81823" w14:paraId="6ECF492D" w14:textId="77777777" w:rsidTr="00B11F5F">
        <w:trPr>
          <w:trHeight w:val="975"/>
        </w:trPr>
        <w:tc>
          <w:tcPr>
            <w:tcW w:w="2268" w:type="dxa"/>
            <w:tcBorders>
              <w:top w:val="nil"/>
              <w:left w:val="nil"/>
              <w:bottom w:val="nil"/>
              <w:right w:val="nil"/>
            </w:tcBorders>
            <w:shd w:val="clear" w:color="auto" w:fill="auto"/>
            <w:noWrap/>
            <w:vAlign w:val="center"/>
            <w:hideMark/>
          </w:tcPr>
          <w:p w14:paraId="671EC563"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490</w:t>
            </w:r>
          </w:p>
        </w:tc>
        <w:tc>
          <w:tcPr>
            <w:tcW w:w="3402" w:type="dxa"/>
            <w:tcBorders>
              <w:top w:val="nil"/>
              <w:left w:val="nil"/>
              <w:bottom w:val="nil"/>
              <w:right w:val="nil"/>
            </w:tcBorders>
            <w:shd w:val="clear" w:color="auto" w:fill="auto"/>
            <w:vAlign w:val="center"/>
            <w:hideMark/>
          </w:tcPr>
          <w:p w14:paraId="22875D34"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D1, slight propo</w:t>
            </w:r>
            <w:r>
              <w:rPr>
                <w:rFonts w:eastAsia="Times New Roman" w:cs="Times New Roman"/>
                <w:b w:val="0"/>
                <w:color w:val="000000"/>
                <w:szCs w:val="24"/>
                <w:lang w:eastAsia="en-MY"/>
              </w:rPr>
              <w:t>r</w:t>
            </w:r>
            <w:r w:rsidRPr="00D81823">
              <w:rPr>
                <w:rFonts w:eastAsia="Times New Roman" w:cs="Times New Roman"/>
                <w:b w:val="0"/>
                <w:color w:val="000000"/>
                <w:szCs w:val="24"/>
                <w:lang w:eastAsia="en-MY"/>
              </w:rPr>
              <w:t>tion of four membered rings, Q</w:t>
            </w:r>
            <w:r w:rsidRPr="00D81823">
              <w:rPr>
                <w:rFonts w:eastAsia="Times New Roman" w:cs="Times New Roman"/>
                <w:b w:val="0"/>
                <w:color w:val="000000"/>
                <w:szCs w:val="24"/>
                <w:vertAlign w:val="superscript"/>
                <w:lang w:eastAsia="en-MY"/>
              </w:rPr>
              <w:t>3</w:t>
            </w:r>
            <w:r w:rsidRPr="00D81823">
              <w:rPr>
                <w:rFonts w:eastAsia="Times New Roman" w:cs="Times New Roman"/>
                <w:b w:val="0"/>
                <w:color w:val="000000"/>
                <w:szCs w:val="24"/>
                <w:lang w:eastAsia="en-MY"/>
              </w:rPr>
              <w:t xml:space="preserve"> units, Si/B-O-Si/B</w:t>
            </w:r>
          </w:p>
        </w:tc>
        <w:tc>
          <w:tcPr>
            <w:tcW w:w="2977" w:type="dxa"/>
            <w:tcBorders>
              <w:top w:val="nil"/>
              <w:left w:val="nil"/>
              <w:bottom w:val="nil"/>
              <w:right w:val="nil"/>
            </w:tcBorders>
            <w:shd w:val="clear" w:color="auto" w:fill="auto"/>
            <w:noWrap/>
            <w:vAlign w:val="center"/>
            <w:hideMark/>
          </w:tcPr>
          <w:p w14:paraId="3E0F5F7E"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Maekawa et al., 1991</w:t>
            </w:r>
          </w:p>
        </w:tc>
      </w:tr>
      <w:tr w:rsidR="00D740DC" w:rsidRPr="00D81823" w14:paraId="68B4A0CA" w14:textId="77777777" w:rsidTr="00B11F5F">
        <w:trPr>
          <w:trHeight w:val="375"/>
        </w:trPr>
        <w:tc>
          <w:tcPr>
            <w:tcW w:w="2268" w:type="dxa"/>
            <w:tcBorders>
              <w:top w:val="nil"/>
              <w:left w:val="nil"/>
              <w:bottom w:val="nil"/>
              <w:right w:val="nil"/>
            </w:tcBorders>
            <w:shd w:val="clear" w:color="auto" w:fill="D9D9D9" w:themeFill="background1" w:themeFillShade="D9"/>
            <w:noWrap/>
            <w:vAlign w:val="center"/>
            <w:hideMark/>
          </w:tcPr>
          <w:p w14:paraId="21372C79"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500</w:t>
            </w:r>
          </w:p>
        </w:tc>
        <w:tc>
          <w:tcPr>
            <w:tcW w:w="3402" w:type="dxa"/>
            <w:tcBorders>
              <w:top w:val="nil"/>
              <w:left w:val="nil"/>
              <w:bottom w:val="nil"/>
              <w:right w:val="nil"/>
            </w:tcBorders>
            <w:shd w:val="clear" w:color="auto" w:fill="D9D9D9" w:themeFill="background1" w:themeFillShade="D9"/>
            <w:noWrap/>
            <w:vAlign w:val="center"/>
            <w:hideMark/>
          </w:tcPr>
          <w:p w14:paraId="5CB1F1CD"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Q</w:t>
            </w:r>
            <w:r w:rsidRPr="00D81823">
              <w:rPr>
                <w:rFonts w:eastAsia="Times New Roman" w:cs="Times New Roman"/>
                <w:b w:val="0"/>
                <w:color w:val="000000"/>
                <w:szCs w:val="24"/>
                <w:vertAlign w:val="superscript"/>
                <w:lang w:eastAsia="en-MY"/>
              </w:rPr>
              <w:t>4</w:t>
            </w:r>
            <w:r w:rsidRPr="00D81823">
              <w:rPr>
                <w:rFonts w:eastAsia="Times New Roman" w:cs="Times New Roman"/>
                <w:b w:val="0"/>
                <w:color w:val="000000"/>
                <w:szCs w:val="24"/>
                <w:lang w:eastAsia="en-MY"/>
              </w:rPr>
              <w:t xml:space="preserve"> units</w:t>
            </w:r>
          </w:p>
        </w:tc>
        <w:tc>
          <w:tcPr>
            <w:tcW w:w="2977" w:type="dxa"/>
            <w:tcBorders>
              <w:top w:val="nil"/>
              <w:left w:val="nil"/>
              <w:bottom w:val="nil"/>
              <w:right w:val="nil"/>
            </w:tcBorders>
            <w:shd w:val="clear" w:color="auto" w:fill="D9D9D9" w:themeFill="background1" w:themeFillShade="D9"/>
            <w:noWrap/>
            <w:vAlign w:val="center"/>
            <w:hideMark/>
          </w:tcPr>
          <w:p w14:paraId="31962921"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w:t>
            </w:r>
            <w:proofErr w:type="spellStart"/>
            <w:r w:rsidRPr="00D81823">
              <w:rPr>
                <w:rFonts w:eastAsia="Times New Roman" w:cs="Times New Roman"/>
                <w:b w:val="0"/>
                <w:color w:val="000000"/>
                <w:szCs w:val="24"/>
                <w:lang w:eastAsia="en-MY"/>
              </w:rPr>
              <w:t>Bechgaard</w:t>
            </w:r>
            <w:proofErr w:type="spellEnd"/>
            <w:r w:rsidRPr="00D81823">
              <w:rPr>
                <w:rFonts w:eastAsia="Times New Roman" w:cs="Times New Roman"/>
                <w:b w:val="0"/>
                <w:color w:val="000000"/>
                <w:szCs w:val="24"/>
                <w:lang w:eastAsia="en-MY"/>
              </w:rPr>
              <w:t xml:space="preserve"> et al., 2016)</w:t>
            </w:r>
          </w:p>
        </w:tc>
      </w:tr>
      <w:tr w:rsidR="00D740DC" w:rsidRPr="00D81823" w14:paraId="290CCEAF" w14:textId="77777777" w:rsidTr="00B11F5F">
        <w:trPr>
          <w:trHeight w:val="660"/>
        </w:trPr>
        <w:tc>
          <w:tcPr>
            <w:tcW w:w="2268" w:type="dxa"/>
            <w:tcBorders>
              <w:top w:val="nil"/>
              <w:left w:val="nil"/>
              <w:bottom w:val="nil"/>
              <w:right w:val="nil"/>
            </w:tcBorders>
            <w:shd w:val="clear" w:color="auto" w:fill="auto"/>
            <w:noWrap/>
            <w:vAlign w:val="center"/>
            <w:hideMark/>
          </w:tcPr>
          <w:p w14:paraId="7489625C"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530-540</w:t>
            </w:r>
          </w:p>
        </w:tc>
        <w:tc>
          <w:tcPr>
            <w:tcW w:w="3402" w:type="dxa"/>
            <w:tcBorders>
              <w:top w:val="nil"/>
              <w:left w:val="nil"/>
              <w:bottom w:val="nil"/>
              <w:right w:val="nil"/>
            </w:tcBorders>
            <w:shd w:val="clear" w:color="auto" w:fill="auto"/>
            <w:noWrap/>
            <w:vAlign w:val="center"/>
            <w:hideMark/>
          </w:tcPr>
          <w:p w14:paraId="558F62B9"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Al-O-Al, Si-O-Si, Q</w:t>
            </w:r>
            <w:r w:rsidRPr="00D81823">
              <w:rPr>
                <w:rFonts w:eastAsia="Times New Roman" w:cs="Times New Roman"/>
                <w:b w:val="0"/>
                <w:color w:val="000000"/>
                <w:szCs w:val="24"/>
                <w:vertAlign w:val="superscript"/>
                <w:lang w:eastAsia="en-MY"/>
              </w:rPr>
              <w:t>3</w:t>
            </w:r>
            <w:r w:rsidRPr="00D81823">
              <w:rPr>
                <w:rFonts w:eastAsia="Times New Roman" w:cs="Times New Roman"/>
                <w:b w:val="0"/>
                <w:color w:val="000000"/>
                <w:szCs w:val="24"/>
                <w:lang w:eastAsia="en-MY"/>
              </w:rPr>
              <w:t xml:space="preserve"> units</w:t>
            </w:r>
          </w:p>
        </w:tc>
        <w:tc>
          <w:tcPr>
            <w:tcW w:w="2977" w:type="dxa"/>
            <w:tcBorders>
              <w:top w:val="nil"/>
              <w:left w:val="nil"/>
              <w:bottom w:val="nil"/>
              <w:right w:val="nil"/>
            </w:tcBorders>
            <w:shd w:val="clear" w:color="auto" w:fill="auto"/>
            <w:vAlign w:val="center"/>
            <w:hideMark/>
          </w:tcPr>
          <w:p w14:paraId="78CB446C"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(Brawer &amp; White. 1975)  (Furukawa et al., 1981)</w:t>
            </w:r>
          </w:p>
        </w:tc>
      </w:tr>
      <w:tr w:rsidR="00D740DC" w:rsidRPr="00D81823" w14:paraId="53F16412" w14:textId="77777777" w:rsidTr="00B11F5F">
        <w:trPr>
          <w:trHeight w:val="705"/>
        </w:trPr>
        <w:tc>
          <w:tcPr>
            <w:tcW w:w="2268" w:type="dxa"/>
            <w:tcBorders>
              <w:top w:val="nil"/>
              <w:left w:val="nil"/>
              <w:bottom w:val="nil"/>
              <w:right w:val="nil"/>
            </w:tcBorders>
            <w:shd w:val="clear" w:color="auto" w:fill="D9D9D9" w:themeFill="background1" w:themeFillShade="D9"/>
            <w:noWrap/>
            <w:vAlign w:val="center"/>
            <w:hideMark/>
          </w:tcPr>
          <w:p w14:paraId="6B61D555"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530-550</w:t>
            </w:r>
          </w:p>
        </w:tc>
        <w:tc>
          <w:tcPr>
            <w:tcW w:w="3402" w:type="dxa"/>
            <w:tcBorders>
              <w:top w:val="nil"/>
              <w:left w:val="nil"/>
              <w:bottom w:val="nil"/>
              <w:right w:val="nil"/>
            </w:tcBorders>
            <w:shd w:val="clear" w:color="auto" w:fill="D9D9D9" w:themeFill="background1" w:themeFillShade="D9"/>
            <w:vAlign w:val="center"/>
            <w:hideMark/>
          </w:tcPr>
          <w:p w14:paraId="2341FBD7"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Si-O-Si symmetric stretching and Si-O-Al deformation</w:t>
            </w:r>
          </w:p>
        </w:tc>
        <w:tc>
          <w:tcPr>
            <w:tcW w:w="2977" w:type="dxa"/>
            <w:tcBorders>
              <w:top w:val="nil"/>
              <w:left w:val="nil"/>
              <w:bottom w:val="nil"/>
              <w:right w:val="nil"/>
            </w:tcBorders>
            <w:shd w:val="clear" w:color="auto" w:fill="D9D9D9" w:themeFill="background1" w:themeFillShade="D9"/>
            <w:noWrap/>
            <w:vAlign w:val="center"/>
            <w:hideMark/>
          </w:tcPr>
          <w:p w14:paraId="3567388E"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noProof/>
                <w:color w:val="000000"/>
                <w:szCs w:val="24"/>
                <w:lang w:eastAsia="en-MY"/>
              </w:rPr>
              <w:t>(Neuville &amp; Mysen, 1996)</w:t>
            </w:r>
          </w:p>
        </w:tc>
      </w:tr>
      <w:tr w:rsidR="00D740DC" w:rsidRPr="00D81823" w14:paraId="0B63879A" w14:textId="77777777" w:rsidTr="00B11F5F">
        <w:trPr>
          <w:trHeight w:val="315"/>
        </w:trPr>
        <w:tc>
          <w:tcPr>
            <w:tcW w:w="2268" w:type="dxa"/>
            <w:tcBorders>
              <w:top w:val="nil"/>
              <w:left w:val="nil"/>
              <w:bottom w:val="nil"/>
              <w:right w:val="nil"/>
            </w:tcBorders>
            <w:shd w:val="clear" w:color="auto" w:fill="auto"/>
            <w:noWrap/>
            <w:vAlign w:val="center"/>
            <w:hideMark/>
          </w:tcPr>
          <w:p w14:paraId="6E98E120"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540</w:t>
            </w:r>
          </w:p>
        </w:tc>
        <w:tc>
          <w:tcPr>
            <w:tcW w:w="3402" w:type="dxa"/>
            <w:tcBorders>
              <w:top w:val="nil"/>
              <w:left w:val="nil"/>
              <w:bottom w:val="nil"/>
              <w:right w:val="nil"/>
            </w:tcBorders>
            <w:shd w:val="clear" w:color="auto" w:fill="auto"/>
            <w:noWrap/>
            <w:vAlign w:val="center"/>
            <w:hideMark/>
          </w:tcPr>
          <w:p w14:paraId="7A01799D"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Al-O, Q</w:t>
            </w:r>
            <w:r w:rsidRPr="00D81823">
              <w:rPr>
                <w:rFonts w:eastAsia="Times New Roman" w:cs="Times New Roman"/>
                <w:b w:val="0"/>
                <w:color w:val="000000"/>
                <w:szCs w:val="24"/>
                <w:vertAlign w:val="superscript"/>
                <w:lang w:eastAsia="en-MY"/>
              </w:rPr>
              <w:t>3</w:t>
            </w:r>
            <w:r w:rsidRPr="00D81823">
              <w:rPr>
                <w:rFonts w:eastAsia="Times New Roman" w:cs="Times New Roman"/>
                <w:b w:val="0"/>
                <w:color w:val="000000"/>
                <w:szCs w:val="24"/>
                <w:lang w:eastAsia="en-MY"/>
              </w:rPr>
              <w:t xml:space="preserve"> units</w:t>
            </w:r>
          </w:p>
        </w:tc>
        <w:tc>
          <w:tcPr>
            <w:tcW w:w="2977" w:type="dxa"/>
            <w:tcBorders>
              <w:top w:val="nil"/>
              <w:left w:val="nil"/>
              <w:bottom w:val="nil"/>
              <w:right w:val="nil"/>
            </w:tcBorders>
            <w:shd w:val="clear" w:color="auto" w:fill="auto"/>
            <w:noWrap/>
            <w:vAlign w:val="center"/>
            <w:hideMark/>
          </w:tcPr>
          <w:p w14:paraId="25A378F1"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w:t>
            </w:r>
            <w:proofErr w:type="spellStart"/>
            <w:r w:rsidRPr="00D81823">
              <w:rPr>
                <w:rFonts w:eastAsia="Times New Roman" w:cs="Times New Roman"/>
                <w:b w:val="0"/>
                <w:color w:val="000000"/>
                <w:szCs w:val="24"/>
                <w:lang w:eastAsia="en-MY"/>
              </w:rPr>
              <w:t>Bechgaard</w:t>
            </w:r>
            <w:proofErr w:type="spellEnd"/>
            <w:r w:rsidRPr="00D81823">
              <w:rPr>
                <w:rFonts w:eastAsia="Times New Roman" w:cs="Times New Roman"/>
                <w:b w:val="0"/>
                <w:color w:val="000000"/>
                <w:szCs w:val="24"/>
                <w:lang w:eastAsia="en-MY"/>
              </w:rPr>
              <w:t xml:space="preserve"> et al., 2016)</w:t>
            </w:r>
          </w:p>
        </w:tc>
      </w:tr>
      <w:tr w:rsidR="00D740DC" w:rsidRPr="00D81823" w14:paraId="48761CF6" w14:textId="77777777" w:rsidTr="00B11F5F">
        <w:trPr>
          <w:trHeight w:val="315"/>
        </w:trPr>
        <w:tc>
          <w:tcPr>
            <w:tcW w:w="2268" w:type="dxa"/>
            <w:tcBorders>
              <w:top w:val="nil"/>
              <w:left w:val="nil"/>
              <w:bottom w:val="nil"/>
              <w:right w:val="nil"/>
            </w:tcBorders>
            <w:shd w:val="clear" w:color="auto" w:fill="D9D9D9" w:themeFill="background1" w:themeFillShade="D9"/>
            <w:noWrap/>
            <w:vAlign w:val="center"/>
            <w:hideMark/>
          </w:tcPr>
          <w:p w14:paraId="0455CE74"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570-590</w:t>
            </w:r>
          </w:p>
        </w:tc>
        <w:tc>
          <w:tcPr>
            <w:tcW w:w="3402" w:type="dxa"/>
            <w:tcBorders>
              <w:top w:val="nil"/>
              <w:left w:val="nil"/>
              <w:bottom w:val="nil"/>
              <w:right w:val="nil"/>
            </w:tcBorders>
            <w:shd w:val="clear" w:color="auto" w:fill="D9D9D9" w:themeFill="background1" w:themeFillShade="D9"/>
            <w:noWrap/>
            <w:vAlign w:val="center"/>
            <w:hideMark/>
          </w:tcPr>
          <w:p w14:paraId="6ADDF1C2"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D</w:t>
            </w:r>
            <w:r w:rsidRPr="00D81823">
              <w:rPr>
                <w:rFonts w:eastAsia="Times New Roman" w:cs="Times New Roman"/>
                <w:b w:val="0"/>
                <w:color w:val="000000"/>
                <w:szCs w:val="24"/>
                <w:vertAlign w:val="subscript"/>
                <w:lang w:eastAsia="en-MY"/>
              </w:rPr>
              <w:t>2</w:t>
            </w:r>
            <w:r w:rsidRPr="00D81823">
              <w:rPr>
                <w:rFonts w:eastAsia="Times New Roman" w:cs="Times New Roman"/>
                <w:b w:val="0"/>
                <w:color w:val="000000"/>
                <w:szCs w:val="24"/>
                <w:lang w:eastAsia="en-MY"/>
              </w:rPr>
              <w:t>, three membered rings</w:t>
            </w:r>
          </w:p>
        </w:tc>
        <w:tc>
          <w:tcPr>
            <w:tcW w:w="2977" w:type="dxa"/>
            <w:tcBorders>
              <w:top w:val="nil"/>
              <w:left w:val="nil"/>
              <w:bottom w:val="nil"/>
              <w:right w:val="nil"/>
            </w:tcBorders>
            <w:shd w:val="clear" w:color="auto" w:fill="D9D9D9" w:themeFill="background1" w:themeFillShade="D9"/>
            <w:noWrap/>
            <w:vAlign w:val="center"/>
            <w:hideMark/>
          </w:tcPr>
          <w:p w14:paraId="5F909377"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w:t>
            </w:r>
            <w:proofErr w:type="spellStart"/>
            <w:r w:rsidRPr="00D81823">
              <w:rPr>
                <w:rFonts w:eastAsia="Times New Roman" w:cs="Times New Roman"/>
                <w:b w:val="0"/>
                <w:color w:val="000000"/>
                <w:szCs w:val="24"/>
                <w:lang w:eastAsia="en-MY"/>
              </w:rPr>
              <w:t>Bechgaard</w:t>
            </w:r>
            <w:proofErr w:type="spellEnd"/>
            <w:r w:rsidRPr="00D81823">
              <w:rPr>
                <w:rFonts w:eastAsia="Times New Roman" w:cs="Times New Roman"/>
                <w:b w:val="0"/>
                <w:color w:val="000000"/>
                <w:szCs w:val="24"/>
                <w:lang w:eastAsia="en-MY"/>
              </w:rPr>
              <w:t xml:space="preserve"> et al., 2016)</w:t>
            </w:r>
          </w:p>
        </w:tc>
      </w:tr>
      <w:tr w:rsidR="00D740DC" w:rsidRPr="00D81823" w14:paraId="28ADD737" w14:textId="77777777" w:rsidTr="00B11F5F">
        <w:trPr>
          <w:trHeight w:val="810"/>
        </w:trPr>
        <w:tc>
          <w:tcPr>
            <w:tcW w:w="2268" w:type="dxa"/>
            <w:tcBorders>
              <w:top w:val="nil"/>
              <w:left w:val="nil"/>
              <w:bottom w:val="nil"/>
              <w:right w:val="nil"/>
            </w:tcBorders>
            <w:shd w:val="clear" w:color="auto" w:fill="auto"/>
            <w:noWrap/>
            <w:vAlign w:val="center"/>
            <w:hideMark/>
          </w:tcPr>
          <w:p w14:paraId="7641F64F"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590</w:t>
            </w:r>
          </w:p>
        </w:tc>
        <w:tc>
          <w:tcPr>
            <w:tcW w:w="3402" w:type="dxa"/>
            <w:tcBorders>
              <w:top w:val="nil"/>
              <w:left w:val="nil"/>
              <w:bottom w:val="nil"/>
              <w:right w:val="nil"/>
            </w:tcBorders>
            <w:shd w:val="clear" w:color="auto" w:fill="auto"/>
            <w:vAlign w:val="center"/>
            <w:hideMark/>
          </w:tcPr>
          <w:p w14:paraId="5B9338F2"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Al</w:t>
            </w:r>
            <w:r w:rsidRPr="00D81823">
              <w:rPr>
                <w:rFonts w:eastAsia="Times New Roman" w:cs="Times New Roman"/>
                <w:b w:val="0"/>
                <w:color w:val="000000"/>
                <w:szCs w:val="24"/>
                <w:vertAlign w:val="superscript"/>
                <w:lang w:eastAsia="en-MY"/>
              </w:rPr>
              <w:t>V</w:t>
            </w:r>
            <w:r w:rsidRPr="00D81823">
              <w:rPr>
                <w:rFonts w:eastAsia="Times New Roman" w:cs="Times New Roman"/>
                <w:b w:val="0"/>
                <w:color w:val="000000"/>
                <w:szCs w:val="24"/>
                <w:lang w:eastAsia="en-MY"/>
              </w:rPr>
              <w:t>, Al-O-Al, SiO</w:t>
            </w:r>
            <w:r w:rsidRPr="00D81823">
              <w:rPr>
                <w:rFonts w:eastAsia="Times New Roman" w:cs="Times New Roman"/>
                <w:b w:val="0"/>
                <w:color w:val="000000"/>
                <w:szCs w:val="24"/>
                <w:vertAlign w:val="subscript"/>
                <w:lang w:eastAsia="en-MY"/>
              </w:rPr>
              <w:t>4</w:t>
            </w:r>
            <w:r w:rsidRPr="00D81823">
              <w:rPr>
                <w:rFonts w:eastAsia="Times New Roman" w:cs="Times New Roman"/>
                <w:b w:val="0"/>
                <w:color w:val="000000"/>
                <w:szCs w:val="24"/>
                <w:lang w:eastAsia="en-MY"/>
              </w:rPr>
              <w:t xml:space="preserve"> three membered rings,  Si-O-Si-O-Si</w:t>
            </w:r>
          </w:p>
        </w:tc>
        <w:tc>
          <w:tcPr>
            <w:tcW w:w="2977" w:type="dxa"/>
            <w:tcBorders>
              <w:top w:val="nil"/>
              <w:left w:val="nil"/>
              <w:bottom w:val="nil"/>
              <w:right w:val="nil"/>
            </w:tcBorders>
            <w:shd w:val="clear" w:color="auto" w:fill="auto"/>
            <w:noWrap/>
            <w:vAlign w:val="center"/>
            <w:hideMark/>
          </w:tcPr>
          <w:p w14:paraId="39FC8CAF"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w:t>
            </w:r>
            <w:proofErr w:type="spellStart"/>
            <w:r w:rsidRPr="00D81823">
              <w:rPr>
                <w:rFonts w:eastAsia="Times New Roman" w:cs="Times New Roman"/>
                <w:b w:val="0"/>
                <w:color w:val="000000"/>
                <w:szCs w:val="24"/>
                <w:lang w:eastAsia="en-MY"/>
              </w:rPr>
              <w:t>Bechgaard</w:t>
            </w:r>
            <w:proofErr w:type="spellEnd"/>
            <w:r w:rsidRPr="00D81823">
              <w:rPr>
                <w:rFonts w:eastAsia="Times New Roman" w:cs="Times New Roman"/>
                <w:b w:val="0"/>
                <w:color w:val="000000"/>
                <w:szCs w:val="24"/>
                <w:lang w:eastAsia="en-MY"/>
              </w:rPr>
              <w:t xml:space="preserve"> et al., 2016)</w:t>
            </w:r>
          </w:p>
        </w:tc>
      </w:tr>
      <w:tr w:rsidR="00D740DC" w:rsidRPr="00D81823" w14:paraId="06F8AE0E" w14:textId="77777777" w:rsidTr="00B11F5F">
        <w:trPr>
          <w:trHeight w:val="570"/>
        </w:trPr>
        <w:tc>
          <w:tcPr>
            <w:tcW w:w="2268" w:type="dxa"/>
            <w:tcBorders>
              <w:top w:val="nil"/>
              <w:left w:val="nil"/>
              <w:bottom w:val="nil"/>
              <w:right w:val="nil"/>
            </w:tcBorders>
            <w:shd w:val="clear" w:color="auto" w:fill="D9D9D9" w:themeFill="background1" w:themeFillShade="D9"/>
            <w:noWrap/>
            <w:vAlign w:val="center"/>
            <w:hideMark/>
          </w:tcPr>
          <w:p w14:paraId="302610F4" w14:textId="77777777" w:rsidR="00D740DC" w:rsidRPr="0014602D" w:rsidRDefault="00D740DC" w:rsidP="00B11F5F">
            <w:pPr>
              <w:spacing w:after="0" w:line="240" w:lineRule="auto"/>
              <w:jc w:val="center"/>
              <w:rPr>
                <w:rFonts w:eastAsia="Times New Roman" w:cs="Times New Roman"/>
                <w:b w:val="0"/>
                <w:color w:val="000000"/>
                <w:szCs w:val="24"/>
                <w:lang w:eastAsia="en-MY"/>
              </w:rPr>
            </w:pPr>
            <w:r w:rsidRPr="0014602D">
              <w:rPr>
                <w:rFonts w:eastAsia="Times New Roman" w:cs="Times New Roman"/>
                <w:b w:val="0"/>
                <w:color w:val="000000"/>
                <w:szCs w:val="24"/>
                <w:lang w:eastAsia="en-MY"/>
              </w:rPr>
              <w:lastRenderedPageBreak/>
              <w:t>610-635</w:t>
            </w:r>
          </w:p>
        </w:tc>
        <w:tc>
          <w:tcPr>
            <w:tcW w:w="3402" w:type="dxa"/>
            <w:tcBorders>
              <w:top w:val="nil"/>
              <w:left w:val="nil"/>
              <w:bottom w:val="nil"/>
              <w:right w:val="nil"/>
            </w:tcBorders>
            <w:shd w:val="clear" w:color="auto" w:fill="D9D9D9" w:themeFill="background1" w:themeFillShade="D9"/>
            <w:vAlign w:val="center"/>
            <w:hideMark/>
          </w:tcPr>
          <w:p w14:paraId="3F652E6B" w14:textId="77777777" w:rsidR="00D740DC" w:rsidRPr="0014602D" w:rsidRDefault="00D740DC" w:rsidP="00B11F5F">
            <w:pPr>
              <w:spacing w:after="0" w:line="240" w:lineRule="auto"/>
              <w:rPr>
                <w:rFonts w:eastAsia="Times New Roman" w:cs="Times New Roman"/>
                <w:b w:val="0"/>
                <w:color w:val="000000"/>
                <w:szCs w:val="24"/>
                <w:lang w:eastAsia="en-MY"/>
              </w:rPr>
            </w:pPr>
            <w:r w:rsidRPr="0014602D">
              <w:rPr>
                <w:rFonts w:eastAsia="Times New Roman" w:cs="Times New Roman"/>
                <w:b w:val="0"/>
                <w:color w:val="000000"/>
                <w:szCs w:val="24"/>
                <w:lang w:eastAsia="en-MY"/>
              </w:rPr>
              <w:t>Metaborate rings and mixed borosilicate rings</w:t>
            </w:r>
          </w:p>
        </w:tc>
        <w:tc>
          <w:tcPr>
            <w:tcW w:w="2977" w:type="dxa"/>
            <w:tcBorders>
              <w:top w:val="nil"/>
              <w:left w:val="nil"/>
              <w:bottom w:val="nil"/>
              <w:right w:val="nil"/>
            </w:tcBorders>
            <w:shd w:val="clear" w:color="auto" w:fill="D9D9D9" w:themeFill="background1" w:themeFillShade="D9"/>
            <w:noWrap/>
            <w:vAlign w:val="center"/>
            <w:hideMark/>
          </w:tcPr>
          <w:p w14:paraId="27B2872E" w14:textId="77777777" w:rsidR="00D740DC" w:rsidRPr="0014602D" w:rsidRDefault="00D740DC" w:rsidP="00B11F5F">
            <w:pPr>
              <w:spacing w:after="0" w:line="240" w:lineRule="auto"/>
              <w:rPr>
                <w:rFonts w:eastAsia="Times New Roman" w:cs="Times New Roman"/>
                <w:b w:val="0"/>
                <w:color w:val="000000"/>
                <w:szCs w:val="24"/>
                <w:lang w:eastAsia="en-MY"/>
              </w:rPr>
            </w:pPr>
            <w:r w:rsidRPr="0014602D">
              <w:rPr>
                <w:rFonts w:eastAsia="Times New Roman" w:cs="Times New Roman"/>
                <w:b w:val="0"/>
                <w:noProof/>
                <w:color w:val="000000"/>
                <w:szCs w:val="24"/>
                <w:lang w:eastAsia="en-MY"/>
              </w:rPr>
              <w:t>(Manara et al., 2009)</w:t>
            </w:r>
          </w:p>
        </w:tc>
      </w:tr>
      <w:tr w:rsidR="00D740DC" w:rsidRPr="00D81823" w14:paraId="1A13D564" w14:textId="77777777" w:rsidTr="00B11F5F">
        <w:trPr>
          <w:trHeight w:val="1440"/>
        </w:trPr>
        <w:tc>
          <w:tcPr>
            <w:tcW w:w="2268" w:type="dxa"/>
            <w:tcBorders>
              <w:top w:val="nil"/>
              <w:left w:val="nil"/>
              <w:bottom w:val="nil"/>
              <w:right w:val="nil"/>
            </w:tcBorders>
            <w:shd w:val="clear" w:color="auto" w:fill="auto"/>
            <w:noWrap/>
            <w:vAlign w:val="center"/>
            <w:hideMark/>
          </w:tcPr>
          <w:p w14:paraId="0D3A075C"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738</w:t>
            </w:r>
          </w:p>
        </w:tc>
        <w:tc>
          <w:tcPr>
            <w:tcW w:w="3402" w:type="dxa"/>
            <w:tcBorders>
              <w:top w:val="nil"/>
              <w:left w:val="nil"/>
              <w:bottom w:val="nil"/>
              <w:right w:val="nil"/>
            </w:tcBorders>
            <w:shd w:val="clear" w:color="auto" w:fill="auto"/>
            <w:vAlign w:val="center"/>
            <w:hideMark/>
          </w:tcPr>
          <w:p w14:paraId="063917B6"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Three-membered borate rings with [BO</w:t>
            </w:r>
            <w:r w:rsidRPr="00D81823">
              <w:rPr>
                <w:rFonts w:eastAsia="Times New Roman" w:cs="Times New Roman"/>
                <w:b w:val="0"/>
                <w:color w:val="000000"/>
                <w:szCs w:val="24"/>
                <w:vertAlign w:val="superscript"/>
                <w:lang w:eastAsia="en-MY"/>
              </w:rPr>
              <w:t>4</w:t>
            </w:r>
            <w:r w:rsidRPr="00D81823">
              <w:rPr>
                <w:rFonts w:eastAsia="Times New Roman" w:cs="Times New Roman"/>
                <w:b w:val="0"/>
                <w:color w:val="000000"/>
                <w:szCs w:val="24"/>
                <w:lang w:eastAsia="en-MY"/>
              </w:rPr>
              <w:t>]- tetrahedral units, Al-O stretching vibration modes of AlO</w:t>
            </w:r>
            <w:r w:rsidRPr="00D81823">
              <w:rPr>
                <w:rFonts w:eastAsia="Times New Roman" w:cs="Times New Roman"/>
                <w:b w:val="0"/>
                <w:color w:val="000000"/>
                <w:szCs w:val="24"/>
                <w:vertAlign w:val="subscript"/>
                <w:lang w:eastAsia="en-MY"/>
              </w:rPr>
              <w:t>4</w:t>
            </w:r>
            <w:r w:rsidRPr="00D81823">
              <w:rPr>
                <w:rFonts w:eastAsia="Times New Roman" w:cs="Times New Roman"/>
                <w:b w:val="0"/>
                <w:color w:val="000000"/>
                <w:szCs w:val="24"/>
                <w:lang w:eastAsia="en-MY"/>
              </w:rPr>
              <w:t xml:space="preserve"> tetrahedra</w:t>
            </w:r>
          </w:p>
        </w:tc>
        <w:tc>
          <w:tcPr>
            <w:tcW w:w="2977" w:type="dxa"/>
            <w:tcBorders>
              <w:top w:val="nil"/>
              <w:left w:val="nil"/>
              <w:bottom w:val="nil"/>
              <w:right w:val="nil"/>
            </w:tcBorders>
            <w:shd w:val="clear" w:color="auto" w:fill="auto"/>
            <w:vAlign w:val="center"/>
            <w:hideMark/>
          </w:tcPr>
          <w:p w14:paraId="574F58F0" w14:textId="77777777" w:rsidR="00D740DC" w:rsidRPr="00D81823" w:rsidRDefault="00D740DC" w:rsidP="00B11F5F">
            <w:pPr>
              <w:spacing w:after="0" w:line="240" w:lineRule="auto"/>
              <w:rPr>
                <w:rFonts w:eastAsia="Times New Roman" w:cs="Times New Roman"/>
                <w:b w:val="0"/>
                <w:color w:val="000000"/>
                <w:sz w:val="22"/>
                <w:lang w:eastAsia="en-MY"/>
              </w:rPr>
            </w:pPr>
            <w:proofErr w:type="spellStart"/>
            <w:r w:rsidRPr="00D81823">
              <w:rPr>
                <w:rFonts w:eastAsia="Times New Roman" w:cs="Times New Roman"/>
                <w:b w:val="0"/>
                <w:color w:val="000000"/>
                <w:sz w:val="22"/>
                <w:lang w:eastAsia="en-MY"/>
              </w:rPr>
              <w:t>Winterstein-beckmann</w:t>
            </w:r>
            <w:proofErr w:type="spellEnd"/>
            <w:r w:rsidRPr="00D81823">
              <w:rPr>
                <w:rFonts w:eastAsia="Times New Roman" w:cs="Times New Roman"/>
                <w:b w:val="0"/>
                <w:color w:val="000000"/>
                <w:sz w:val="22"/>
                <w:lang w:eastAsia="en-MY"/>
              </w:rPr>
              <w:t xml:space="preserve"> et al</w:t>
            </w:r>
            <w:r>
              <w:rPr>
                <w:rFonts w:eastAsia="Times New Roman" w:cs="Times New Roman"/>
                <w:b w:val="0"/>
                <w:color w:val="000000"/>
                <w:sz w:val="22"/>
                <w:lang w:eastAsia="en-MY"/>
              </w:rPr>
              <w:t>.,</w:t>
            </w:r>
            <w:r w:rsidRPr="00D81823">
              <w:rPr>
                <w:rFonts w:eastAsia="Times New Roman" w:cs="Times New Roman"/>
                <w:b w:val="0"/>
                <w:color w:val="000000"/>
                <w:sz w:val="22"/>
                <w:lang w:eastAsia="en-MY"/>
              </w:rPr>
              <w:t xml:space="preserve"> 2014) (Neuville et al 2006)</w:t>
            </w:r>
          </w:p>
        </w:tc>
      </w:tr>
      <w:tr w:rsidR="00D740DC" w:rsidRPr="00D81823" w14:paraId="72680E4B" w14:textId="77777777" w:rsidTr="00B11F5F">
        <w:trPr>
          <w:trHeight w:val="660"/>
        </w:trPr>
        <w:tc>
          <w:tcPr>
            <w:tcW w:w="2268" w:type="dxa"/>
            <w:tcBorders>
              <w:top w:val="nil"/>
              <w:left w:val="nil"/>
              <w:bottom w:val="nil"/>
              <w:right w:val="nil"/>
            </w:tcBorders>
            <w:shd w:val="clear" w:color="auto" w:fill="D9D9D9" w:themeFill="background1" w:themeFillShade="D9"/>
            <w:noWrap/>
            <w:vAlign w:val="center"/>
            <w:hideMark/>
          </w:tcPr>
          <w:p w14:paraId="05EE2DE1"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765-775</w:t>
            </w:r>
          </w:p>
        </w:tc>
        <w:tc>
          <w:tcPr>
            <w:tcW w:w="3402" w:type="dxa"/>
            <w:tcBorders>
              <w:top w:val="nil"/>
              <w:left w:val="nil"/>
              <w:bottom w:val="nil"/>
              <w:right w:val="nil"/>
            </w:tcBorders>
            <w:shd w:val="clear" w:color="auto" w:fill="D9D9D9" w:themeFill="background1" w:themeFillShade="D9"/>
            <w:vAlign w:val="center"/>
            <w:hideMark/>
          </w:tcPr>
          <w:p w14:paraId="1D62CE55"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Six-membered borate rings with of or two (BO</w:t>
            </w:r>
            <w:r w:rsidRPr="00D81823">
              <w:rPr>
                <w:rFonts w:eastAsia="Times New Roman" w:cs="Times New Roman"/>
                <w:b w:val="0"/>
                <w:color w:val="000000"/>
                <w:szCs w:val="24"/>
                <w:vertAlign w:val="subscript"/>
                <w:lang w:eastAsia="en-MY"/>
              </w:rPr>
              <w:t>4</w:t>
            </w:r>
            <w:r w:rsidRPr="00D81823">
              <w:rPr>
                <w:rFonts w:eastAsia="Times New Roman" w:cs="Times New Roman"/>
                <w:b w:val="0"/>
                <w:color w:val="000000"/>
                <w:szCs w:val="24"/>
                <w:lang w:eastAsia="en-MY"/>
              </w:rPr>
              <w:t>) units</w:t>
            </w:r>
          </w:p>
        </w:tc>
        <w:tc>
          <w:tcPr>
            <w:tcW w:w="2977" w:type="dxa"/>
            <w:tcBorders>
              <w:top w:val="nil"/>
              <w:left w:val="nil"/>
              <w:bottom w:val="nil"/>
              <w:right w:val="nil"/>
            </w:tcBorders>
            <w:shd w:val="clear" w:color="auto" w:fill="D9D9D9" w:themeFill="background1" w:themeFillShade="D9"/>
            <w:noWrap/>
            <w:vAlign w:val="center"/>
            <w:hideMark/>
          </w:tcPr>
          <w:p w14:paraId="72925231"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noProof/>
                <w:color w:val="000000"/>
                <w:szCs w:val="24"/>
                <w:lang w:eastAsia="en-MY"/>
              </w:rPr>
              <w:t>(Furukawa &amp; White, 1981)</w:t>
            </w:r>
          </w:p>
        </w:tc>
      </w:tr>
      <w:tr w:rsidR="00D740DC" w:rsidRPr="00D81823" w14:paraId="64AFA05B" w14:textId="77777777" w:rsidTr="00B11F5F">
        <w:trPr>
          <w:trHeight w:val="315"/>
        </w:trPr>
        <w:tc>
          <w:tcPr>
            <w:tcW w:w="2268" w:type="dxa"/>
            <w:tcBorders>
              <w:top w:val="nil"/>
              <w:left w:val="nil"/>
              <w:bottom w:val="nil"/>
              <w:right w:val="nil"/>
            </w:tcBorders>
            <w:shd w:val="clear" w:color="auto" w:fill="auto"/>
            <w:noWrap/>
            <w:vAlign w:val="center"/>
            <w:hideMark/>
          </w:tcPr>
          <w:p w14:paraId="1CF9540D"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750-790</w:t>
            </w:r>
          </w:p>
        </w:tc>
        <w:tc>
          <w:tcPr>
            <w:tcW w:w="3402" w:type="dxa"/>
            <w:tcBorders>
              <w:top w:val="nil"/>
              <w:left w:val="nil"/>
              <w:bottom w:val="nil"/>
              <w:right w:val="nil"/>
            </w:tcBorders>
            <w:shd w:val="clear" w:color="auto" w:fill="auto"/>
            <w:noWrap/>
            <w:vAlign w:val="center"/>
            <w:hideMark/>
          </w:tcPr>
          <w:p w14:paraId="241A337E"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Si-O-Al</w:t>
            </w:r>
          </w:p>
        </w:tc>
        <w:tc>
          <w:tcPr>
            <w:tcW w:w="2977" w:type="dxa"/>
            <w:tcBorders>
              <w:top w:val="nil"/>
              <w:left w:val="nil"/>
              <w:bottom w:val="nil"/>
              <w:right w:val="nil"/>
            </w:tcBorders>
            <w:shd w:val="clear" w:color="auto" w:fill="auto"/>
            <w:noWrap/>
            <w:vAlign w:val="center"/>
            <w:hideMark/>
          </w:tcPr>
          <w:p w14:paraId="1C36282A"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noProof/>
                <w:color w:val="000000"/>
                <w:szCs w:val="24"/>
                <w:lang w:eastAsia="en-MY"/>
              </w:rPr>
              <w:t>(McKeown et al., 1984)</w:t>
            </w:r>
          </w:p>
        </w:tc>
      </w:tr>
      <w:tr w:rsidR="00D740DC" w:rsidRPr="00D81823" w14:paraId="2336AA88" w14:textId="77777777" w:rsidTr="00B11F5F">
        <w:trPr>
          <w:trHeight w:val="705"/>
        </w:trPr>
        <w:tc>
          <w:tcPr>
            <w:tcW w:w="2268" w:type="dxa"/>
            <w:tcBorders>
              <w:top w:val="nil"/>
              <w:left w:val="nil"/>
              <w:bottom w:val="nil"/>
              <w:right w:val="nil"/>
            </w:tcBorders>
            <w:shd w:val="clear" w:color="auto" w:fill="D9D9D9" w:themeFill="background1" w:themeFillShade="D9"/>
            <w:noWrap/>
            <w:vAlign w:val="center"/>
            <w:hideMark/>
          </w:tcPr>
          <w:p w14:paraId="40A7BFBD"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800</w:t>
            </w:r>
          </w:p>
        </w:tc>
        <w:tc>
          <w:tcPr>
            <w:tcW w:w="3402" w:type="dxa"/>
            <w:tcBorders>
              <w:top w:val="nil"/>
              <w:left w:val="nil"/>
              <w:bottom w:val="nil"/>
              <w:right w:val="nil"/>
            </w:tcBorders>
            <w:shd w:val="clear" w:color="auto" w:fill="D9D9D9" w:themeFill="background1" w:themeFillShade="D9"/>
            <w:vAlign w:val="center"/>
            <w:hideMark/>
          </w:tcPr>
          <w:p w14:paraId="7E739916"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 xml:space="preserve">Si-O stretching, Si-O-Si, </w:t>
            </w:r>
            <w:proofErr w:type="spellStart"/>
            <w:r w:rsidRPr="00D81823">
              <w:rPr>
                <w:rFonts w:eastAsia="Times New Roman" w:cs="Times New Roman"/>
                <w:b w:val="0"/>
                <w:color w:val="000000"/>
                <w:szCs w:val="24"/>
                <w:lang w:eastAsia="en-MY"/>
              </w:rPr>
              <w:t>Boroxol</w:t>
            </w:r>
            <w:proofErr w:type="spellEnd"/>
            <w:r w:rsidRPr="00D81823">
              <w:rPr>
                <w:rFonts w:eastAsia="Times New Roman" w:cs="Times New Roman"/>
                <w:b w:val="0"/>
                <w:color w:val="000000"/>
                <w:szCs w:val="24"/>
                <w:lang w:eastAsia="en-MY"/>
              </w:rPr>
              <w:t xml:space="preserve"> rings</w:t>
            </w:r>
          </w:p>
        </w:tc>
        <w:tc>
          <w:tcPr>
            <w:tcW w:w="2977" w:type="dxa"/>
            <w:tcBorders>
              <w:top w:val="nil"/>
              <w:left w:val="nil"/>
              <w:bottom w:val="nil"/>
              <w:right w:val="nil"/>
            </w:tcBorders>
            <w:shd w:val="clear" w:color="auto" w:fill="D9D9D9" w:themeFill="background1" w:themeFillShade="D9"/>
            <w:vAlign w:val="center"/>
            <w:hideMark/>
          </w:tcPr>
          <w:p w14:paraId="33C4E29F"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(Mc Millan et al., 1994), Kumar et al 2013</w:t>
            </w:r>
          </w:p>
        </w:tc>
      </w:tr>
      <w:tr w:rsidR="00D740DC" w:rsidRPr="00D81823" w14:paraId="0ED5E543" w14:textId="77777777" w:rsidTr="00B11F5F">
        <w:trPr>
          <w:trHeight w:val="315"/>
        </w:trPr>
        <w:tc>
          <w:tcPr>
            <w:tcW w:w="2268" w:type="dxa"/>
            <w:tcBorders>
              <w:top w:val="nil"/>
              <w:left w:val="nil"/>
              <w:bottom w:val="nil"/>
              <w:right w:val="nil"/>
            </w:tcBorders>
            <w:shd w:val="clear" w:color="auto" w:fill="auto"/>
            <w:noWrap/>
            <w:vAlign w:val="center"/>
            <w:hideMark/>
          </w:tcPr>
          <w:p w14:paraId="0338E2CD"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805-810</w:t>
            </w:r>
          </w:p>
        </w:tc>
        <w:tc>
          <w:tcPr>
            <w:tcW w:w="3402" w:type="dxa"/>
            <w:tcBorders>
              <w:top w:val="nil"/>
              <w:left w:val="nil"/>
              <w:bottom w:val="nil"/>
              <w:right w:val="nil"/>
            </w:tcBorders>
            <w:shd w:val="clear" w:color="auto" w:fill="auto"/>
            <w:noWrap/>
            <w:vAlign w:val="center"/>
            <w:hideMark/>
          </w:tcPr>
          <w:p w14:paraId="38617936" w14:textId="77777777" w:rsidR="00D740DC" w:rsidRPr="00D81823" w:rsidRDefault="00D740DC" w:rsidP="00B11F5F">
            <w:pPr>
              <w:spacing w:after="0" w:line="240" w:lineRule="auto"/>
              <w:rPr>
                <w:rFonts w:eastAsia="Times New Roman" w:cs="Times New Roman"/>
                <w:b w:val="0"/>
                <w:color w:val="000000"/>
                <w:szCs w:val="24"/>
                <w:lang w:eastAsia="en-MY"/>
              </w:rPr>
            </w:pPr>
            <w:proofErr w:type="spellStart"/>
            <w:r w:rsidRPr="00D81823">
              <w:rPr>
                <w:rFonts w:eastAsia="Times New Roman" w:cs="Times New Roman"/>
                <w:b w:val="0"/>
                <w:color w:val="000000"/>
                <w:szCs w:val="24"/>
                <w:lang w:eastAsia="en-MY"/>
              </w:rPr>
              <w:t>Boroxyl</w:t>
            </w:r>
            <w:proofErr w:type="spellEnd"/>
            <w:r w:rsidRPr="00D81823">
              <w:rPr>
                <w:rFonts w:eastAsia="Times New Roman" w:cs="Times New Roman"/>
                <w:b w:val="0"/>
                <w:color w:val="000000"/>
                <w:szCs w:val="24"/>
                <w:lang w:eastAsia="en-MY"/>
              </w:rPr>
              <w:t xml:space="preserve"> ring, symmetric</w:t>
            </w:r>
          </w:p>
        </w:tc>
        <w:tc>
          <w:tcPr>
            <w:tcW w:w="2977" w:type="dxa"/>
            <w:tcBorders>
              <w:top w:val="nil"/>
              <w:left w:val="nil"/>
              <w:bottom w:val="nil"/>
              <w:right w:val="nil"/>
            </w:tcBorders>
            <w:shd w:val="clear" w:color="auto" w:fill="auto"/>
            <w:noWrap/>
            <w:vAlign w:val="center"/>
            <w:hideMark/>
          </w:tcPr>
          <w:p w14:paraId="0E73E2F1"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noProof/>
                <w:color w:val="000000"/>
                <w:szCs w:val="24"/>
                <w:lang w:eastAsia="en-MY"/>
              </w:rPr>
              <w:t>(Furukawa &amp; White, 1981)</w:t>
            </w:r>
          </w:p>
        </w:tc>
      </w:tr>
      <w:tr w:rsidR="00D740DC" w:rsidRPr="00D81823" w14:paraId="5C883900" w14:textId="77777777" w:rsidTr="00B11F5F">
        <w:trPr>
          <w:trHeight w:val="315"/>
        </w:trPr>
        <w:tc>
          <w:tcPr>
            <w:tcW w:w="2268" w:type="dxa"/>
            <w:tcBorders>
              <w:top w:val="nil"/>
              <w:left w:val="nil"/>
              <w:bottom w:val="nil"/>
              <w:right w:val="nil"/>
            </w:tcBorders>
            <w:shd w:val="clear" w:color="auto" w:fill="D9D9D9" w:themeFill="background1" w:themeFillShade="D9"/>
            <w:noWrap/>
            <w:vAlign w:val="center"/>
            <w:hideMark/>
          </w:tcPr>
          <w:p w14:paraId="3EC8E72C"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~850</w:t>
            </w:r>
          </w:p>
        </w:tc>
        <w:tc>
          <w:tcPr>
            <w:tcW w:w="3402" w:type="dxa"/>
            <w:tcBorders>
              <w:top w:val="nil"/>
              <w:left w:val="nil"/>
              <w:bottom w:val="nil"/>
              <w:right w:val="nil"/>
            </w:tcBorders>
            <w:shd w:val="clear" w:color="auto" w:fill="D9D9D9" w:themeFill="background1" w:themeFillShade="D9"/>
            <w:noWrap/>
            <w:vAlign w:val="center"/>
            <w:hideMark/>
          </w:tcPr>
          <w:p w14:paraId="3C5966CA"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 xml:space="preserve">Si-O-Si asymmetric stretching </w:t>
            </w:r>
          </w:p>
        </w:tc>
        <w:tc>
          <w:tcPr>
            <w:tcW w:w="2977" w:type="dxa"/>
            <w:tcBorders>
              <w:top w:val="nil"/>
              <w:left w:val="nil"/>
              <w:bottom w:val="nil"/>
              <w:right w:val="nil"/>
            </w:tcBorders>
            <w:shd w:val="clear" w:color="auto" w:fill="D9D9D9" w:themeFill="background1" w:themeFillShade="D9"/>
            <w:noWrap/>
            <w:vAlign w:val="center"/>
            <w:hideMark/>
          </w:tcPr>
          <w:p w14:paraId="4CC92B20"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noProof/>
                <w:color w:val="000000"/>
                <w:szCs w:val="24"/>
                <w:lang w:eastAsia="en-MY"/>
              </w:rPr>
              <w:t>(Colomban at al., 2006)</w:t>
            </w:r>
          </w:p>
        </w:tc>
      </w:tr>
      <w:tr w:rsidR="00D740DC" w:rsidRPr="00D81823" w14:paraId="7B5F5D64" w14:textId="77777777" w:rsidTr="00B11F5F">
        <w:trPr>
          <w:trHeight w:val="315"/>
        </w:trPr>
        <w:tc>
          <w:tcPr>
            <w:tcW w:w="2268" w:type="dxa"/>
            <w:tcBorders>
              <w:top w:val="nil"/>
              <w:left w:val="nil"/>
              <w:bottom w:val="nil"/>
              <w:right w:val="nil"/>
            </w:tcBorders>
            <w:shd w:val="clear" w:color="auto" w:fill="auto"/>
            <w:noWrap/>
            <w:vAlign w:val="center"/>
            <w:hideMark/>
          </w:tcPr>
          <w:p w14:paraId="70FF8EB0"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~900</w:t>
            </w:r>
          </w:p>
        </w:tc>
        <w:tc>
          <w:tcPr>
            <w:tcW w:w="3402" w:type="dxa"/>
            <w:tcBorders>
              <w:top w:val="nil"/>
              <w:left w:val="nil"/>
              <w:bottom w:val="nil"/>
              <w:right w:val="nil"/>
            </w:tcBorders>
            <w:shd w:val="clear" w:color="auto" w:fill="auto"/>
            <w:noWrap/>
            <w:vAlign w:val="center"/>
            <w:hideMark/>
          </w:tcPr>
          <w:p w14:paraId="1711E00A"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 xml:space="preserve">Si-O-Si asymmetric stretching </w:t>
            </w:r>
          </w:p>
        </w:tc>
        <w:tc>
          <w:tcPr>
            <w:tcW w:w="2977" w:type="dxa"/>
            <w:tcBorders>
              <w:top w:val="nil"/>
              <w:left w:val="nil"/>
              <w:bottom w:val="nil"/>
              <w:right w:val="nil"/>
            </w:tcBorders>
            <w:shd w:val="clear" w:color="auto" w:fill="auto"/>
            <w:noWrap/>
            <w:vAlign w:val="center"/>
            <w:hideMark/>
          </w:tcPr>
          <w:p w14:paraId="23CC9AE7"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noProof/>
                <w:color w:val="000000"/>
                <w:szCs w:val="24"/>
                <w:lang w:eastAsia="en-MY"/>
              </w:rPr>
              <w:t>(Colomban at al., 2006)</w:t>
            </w:r>
          </w:p>
        </w:tc>
      </w:tr>
      <w:tr w:rsidR="00D740DC" w:rsidRPr="00D81823" w14:paraId="2EA24E17" w14:textId="77777777" w:rsidTr="00B11F5F">
        <w:trPr>
          <w:trHeight w:val="645"/>
        </w:trPr>
        <w:tc>
          <w:tcPr>
            <w:tcW w:w="2268" w:type="dxa"/>
            <w:tcBorders>
              <w:top w:val="nil"/>
              <w:left w:val="nil"/>
              <w:bottom w:val="nil"/>
              <w:right w:val="nil"/>
            </w:tcBorders>
            <w:shd w:val="clear" w:color="auto" w:fill="D9D9D9" w:themeFill="background1" w:themeFillShade="D9"/>
            <w:noWrap/>
            <w:vAlign w:val="center"/>
            <w:hideMark/>
          </w:tcPr>
          <w:p w14:paraId="148EBE7D"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950-1000</w:t>
            </w:r>
          </w:p>
        </w:tc>
        <w:tc>
          <w:tcPr>
            <w:tcW w:w="3402" w:type="dxa"/>
            <w:tcBorders>
              <w:top w:val="nil"/>
              <w:left w:val="nil"/>
              <w:bottom w:val="nil"/>
              <w:right w:val="nil"/>
            </w:tcBorders>
            <w:shd w:val="clear" w:color="auto" w:fill="D9D9D9" w:themeFill="background1" w:themeFillShade="D9"/>
            <w:vAlign w:val="center"/>
            <w:hideMark/>
          </w:tcPr>
          <w:p w14:paraId="432E904F"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Si-O-Si asymmetric stretching, Al-O bonds, Si-O</w:t>
            </w:r>
            <w:r w:rsidRPr="00D81823">
              <w:rPr>
                <w:rFonts w:eastAsia="Times New Roman" w:cs="Times New Roman"/>
                <w:b w:val="0"/>
                <w:color w:val="000000"/>
                <w:szCs w:val="24"/>
                <w:vertAlign w:val="superscript"/>
                <w:lang w:eastAsia="en-MY"/>
              </w:rPr>
              <w:t xml:space="preserve">- </w:t>
            </w:r>
          </w:p>
        </w:tc>
        <w:tc>
          <w:tcPr>
            <w:tcW w:w="2977" w:type="dxa"/>
            <w:tcBorders>
              <w:top w:val="nil"/>
              <w:left w:val="nil"/>
              <w:bottom w:val="nil"/>
              <w:right w:val="nil"/>
            </w:tcBorders>
            <w:shd w:val="clear" w:color="auto" w:fill="D9D9D9" w:themeFill="background1" w:themeFillShade="D9"/>
            <w:vAlign w:val="center"/>
            <w:hideMark/>
          </w:tcPr>
          <w:p w14:paraId="6C630ACD"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noProof/>
                <w:color w:val="000000"/>
                <w:szCs w:val="24"/>
                <w:lang w:eastAsia="en-MY"/>
              </w:rPr>
              <w:t>(Colomban at al., 2006), (Bechgaard et al., 2016)</w:t>
            </w:r>
          </w:p>
        </w:tc>
      </w:tr>
      <w:tr w:rsidR="00D740DC" w:rsidRPr="00D81823" w14:paraId="133AEB3A" w14:textId="77777777" w:rsidTr="00B11F5F">
        <w:trPr>
          <w:trHeight w:val="315"/>
        </w:trPr>
        <w:tc>
          <w:tcPr>
            <w:tcW w:w="2268" w:type="dxa"/>
            <w:tcBorders>
              <w:top w:val="nil"/>
              <w:left w:val="nil"/>
              <w:bottom w:val="nil"/>
              <w:right w:val="nil"/>
            </w:tcBorders>
            <w:shd w:val="clear" w:color="auto" w:fill="auto"/>
            <w:noWrap/>
            <w:vAlign w:val="center"/>
            <w:hideMark/>
          </w:tcPr>
          <w:p w14:paraId="239A8653"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Pr>
                <w:rFonts w:eastAsia="Times New Roman" w:cs="Times New Roman"/>
                <w:b w:val="0"/>
                <w:color w:val="000000"/>
                <w:szCs w:val="24"/>
                <w:lang w:eastAsia="en-MY"/>
              </w:rPr>
              <w:t>967</w:t>
            </w:r>
          </w:p>
        </w:tc>
        <w:tc>
          <w:tcPr>
            <w:tcW w:w="3402" w:type="dxa"/>
            <w:tcBorders>
              <w:top w:val="nil"/>
              <w:left w:val="nil"/>
              <w:bottom w:val="nil"/>
              <w:right w:val="nil"/>
            </w:tcBorders>
            <w:shd w:val="clear" w:color="auto" w:fill="auto"/>
            <w:noWrap/>
            <w:vAlign w:val="center"/>
            <w:hideMark/>
          </w:tcPr>
          <w:p w14:paraId="7A1FD9F1"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B-</w:t>
            </w:r>
            <w:r>
              <w:rPr>
                <w:rFonts w:eastAsia="Times New Roman" w:cs="Times New Roman"/>
                <w:b w:val="0"/>
                <w:color w:val="000000"/>
                <w:szCs w:val="24"/>
                <w:lang w:eastAsia="en-MY"/>
              </w:rPr>
              <w:t>O-</w:t>
            </w:r>
            <w:r w:rsidRPr="00D81823">
              <w:rPr>
                <w:rFonts w:eastAsia="Times New Roman" w:cs="Times New Roman"/>
                <w:b w:val="0"/>
                <w:color w:val="000000"/>
                <w:szCs w:val="24"/>
                <w:lang w:eastAsia="en-MY"/>
              </w:rPr>
              <w:t>B b</w:t>
            </w:r>
            <w:r>
              <w:rPr>
                <w:rFonts w:eastAsia="Times New Roman" w:cs="Times New Roman"/>
                <w:b w:val="0"/>
                <w:color w:val="000000"/>
                <w:szCs w:val="24"/>
                <w:lang w:eastAsia="en-MY"/>
              </w:rPr>
              <w:t>e</w:t>
            </w:r>
            <w:r w:rsidRPr="00D81823">
              <w:rPr>
                <w:rFonts w:eastAsia="Times New Roman" w:cs="Times New Roman"/>
                <w:b w:val="0"/>
                <w:color w:val="000000"/>
                <w:szCs w:val="24"/>
                <w:lang w:eastAsia="en-MY"/>
              </w:rPr>
              <w:t xml:space="preserve">nding vibration </w:t>
            </w:r>
          </w:p>
        </w:tc>
        <w:tc>
          <w:tcPr>
            <w:tcW w:w="2977" w:type="dxa"/>
            <w:tcBorders>
              <w:top w:val="nil"/>
              <w:left w:val="nil"/>
              <w:bottom w:val="nil"/>
              <w:right w:val="nil"/>
            </w:tcBorders>
            <w:shd w:val="clear" w:color="auto" w:fill="auto"/>
            <w:noWrap/>
            <w:vAlign w:val="center"/>
            <w:hideMark/>
          </w:tcPr>
          <w:p w14:paraId="32F8F0CE" w14:textId="77777777" w:rsidR="00D740DC" w:rsidRPr="00D81823" w:rsidRDefault="00D740DC" w:rsidP="00B11F5F">
            <w:pPr>
              <w:spacing w:after="0" w:line="240" w:lineRule="auto"/>
              <w:rPr>
                <w:rFonts w:eastAsia="Times New Roman" w:cs="Times New Roman"/>
                <w:b w:val="0"/>
                <w:color w:val="000000"/>
                <w:szCs w:val="24"/>
                <w:lang w:eastAsia="en-MY"/>
              </w:rPr>
            </w:pPr>
            <w:r>
              <w:rPr>
                <w:rFonts w:eastAsia="Times New Roman" w:cs="Times New Roman"/>
                <w:b w:val="0"/>
                <w:color w:val="000000"/>
                <w:szCs w:val="24"/>
                <w:lang w:eastAsia="en-MY"/>
              </w:rPr>
              <w:fldChar w:fldCharType="begin" w:fldLock="1"/>
            </w:r>
            <w:r>
              <w:rPr>
                <w:rFonts w:eastAsia="Times New Roman" w:cs="Times New Roman"/>
                <w:b w:val="0"/>
                <w:color w:val="000000"/>
                <w:szCs w:val="24"/>
                <w:lang w:eastAsia="en-MY"/>
              </w:rPr>
              <w:instrText>ADDIN CSL_CITATION { "citationItems" : [ { "id" : "ITEM-1", "itemData" : { "DOI" : "10.1039/C5RA13043C", "ISBN" : "1842-6573", "ISSN" : "2046-2069", "PMID" : "24173598", "abstract" : "The family of glass is very wide and it is continuously developing. The rapid development of advanced and innovative glasses is under progress. The glasses have variety of applications in the daily use articles as well as advanced technological fields like protection of X-ray, fibre, optical instruments or lab glasswares. Glasses are basically consisted by network formers such as borate, silicate, phosphate, borosilicate, borophosphate and network modifiers like alkali, alkaline earth and transition metals. In present review article, Raman spectroscopic results for structures of borate, silicate, phosphate, borosilicate, borophosphate, aluminosilicate, phosphosilicate, alumino-borosilicate and tellurite glasses are summarized.", "author" : [ { "dropping-particle" : "", "family" : "Yadav", "given" : "Avadhesh Kumar", "non-dropping-particle" : "", "parse-names" : false, "suffix" : "" }, { "dropping-particle" : "", "family" : "Singh", "given" : "Prabhakar", "non-dropping-particle" : "", "parse-names" : false, "suffix" : "" } ], "container-title" : "RSC Adv.", "id" : "ITEM-1", "issued" : { "date-parts" : [ [ "2015" ] ] }, "page" : "67583-67609", "publisher" : "Royal Society of Chemistry", "title" : "A Review on Structure of Glasses by Raman Spectroscopy", "type" : "article-journal", "volume" : "5" }, "uris" : [ "http://www.mendeley.com/documents/?uuid=a55e4a38-92de-452f-a462-d587dd7582cd" ] } ], "mendeley" : { "formattedCitation" : "(Yadav &amp; Singh, 2015)", "plainTextFormattedCitation" : "(Yadav &amp; Singh, 2015)", "previouslyFormattedCitation" : "(Yadav &amp; Singh, 2015)" }, "properties" : { "noteIndex" : 60 }, "schema" : "https://github.com/citation-style-language/schema/raw/master/csl-citation.json" }</w:instrText>
            </w:r>
            <w:r>
              <w:rPr>
                <w:rFonts w:eastAsia="Times New Roman" w:cs="Times New Roman"/>
                <w:b w:val="0"/>
                <w:color w:val="000000"/>
                <w:szCs w:val="24"/>
                <w:lang w:eastAsia="en-MY"/>
              </w:rPr>
              <w:fldChar w:fldCharType="separate"/>
            </w:r>
            <w:r w:rsidRPr="00A729B2">
              <w:rPr>
                <w:rFonts w:eastAsia="Times New Roman" w:cs="Times New Roman"/>
                <w:b w:val="0"/>
                <w:noProof/>
                <w:color w:val="000000"/>
                <w:szCs w:val="24"/>
                <w:lang w:eastAsia="en-MY"/>
              </w:rPr>
              <w:t>(Yadav &amp; Singh, 2015)</w:t>
            </w:r>
            <w:r>
              <w:rPr>
                <w:rFonts w:eastAsia="Times New Roman" w:cs="Times New Roman"/>
                <w:b w:val="0"/>
                <w:color w:val="000000"/>
                <w:szCs w:val="24"/>
                <w:lang w:eastAsia="en-MY"/>
              </w:rPr>
              <w:fldChar w:fldCharType="end"/>
            </w:r>
          </w:p>
        </w:tc>
      </w:tr>
      <w:tr w:rsidR="00D740DC" w:rsidRPr="00D81823" w14:paraId="0C86797C" w14:textId="77777777" w:rsidTr="00B11F5F">
        <w:trPr>
          <w:trHeight w:val="315"/>
        </w:trPr>
        <w:tc>
          <w:tcPr>
            <w:tcW w:w="2268" w:type="dxa"/>
            <w:tcBorders>
              <w:top w:val="nil"/>
              <w:left w:val="nil"/>
              <w:bottom w:val="nil"/>
              <w:right w:val="nil"/>
            </w:tcBorders>
            <w:shd w:val="clear" w:color="auto" w:fill="D9D9D9" w:themeFill="background1" w:themeFillShade="D9"/>
            <w:noWrap/>
            <w:vAlign w:val="center"/>
            <w:hideMark/>
          </w:tcPr>
          <w:p w14:paraId="565EC21F"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1050-1100</w:t>
            </w:r>
          </w:p>
        </w:tc>
        <w:tc>
          <w:tcPr>
            <w:tcW w:w="3402" w:type="dxa"/>
            <w:tcBorders>
              <w:top w:val="nil"/>
              <w:left w:val="nil"/>
              <w:bottom w:val="nil"/>
              <w:right w:val="nil"/>
            </w:tcBorders>
            <w:shd w:val="clear" w:color="auto" w:fill="D9D9D9" w:themeFill="background1" w:themeFillShade="D9"/>
            <w:noWrap/>
            <w:vAlign w:val="center"/>
            <w:hideMark/>
          </w:tcPr>
          <w:p w14:paraId="0C4A05FE"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 xml:space="preserve">Si-O-Si asymmetric stretching </w:t>
            </w:r>
          </w:p>
        </w:tc>
        <w:tc>
          <w:tcPr>
            <w:tcW w:w="2977" w:type="dxa"/>
            <w:tcBorders>
              <w:top w:val="nil"/>
              <w:left w:val="nil"/>
              <w:bottom w:val="nil"/>
              <w:right w:val="nil"/>
            </w:tcBorders>
            <w:shd w:val="clear" w:color="auto" w:fill="D9D9D9" w:themeFill="background1" w:themeFillShade="D9"/>
            <w:noWrap/>
            <w:vAlign w:val="center"/>
            <w:hideMark/>
          </w:tcPr>
          <w:p w14:paraId="0ED495E0"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noProof/>
                <w:color w:val="000000"/>
                <w:szCs w:val="24"/>
                <w:lang w:eastAsia="en-MY"/>
              </w:rPr>
              <w:t>(Colomban at al., 2006)</w:t>
            </w:r>
          </w:p>
        </w:tc>
      </w:tr>
      <w:tr w:rsidR="00D740DC" w:rsidRPr="00D81823" w14:paraId="4DE4965A" w14:textId="77777777" w:rsidTr="00B11F5F">
        <w:trPr>
          <w:trHeight w:val="645"/>
        </w:trPr>
        <w:tc>
          <w:tcPr>
            <w:tcW w:w="2268" w:type="dxa"/>
            <w:tcBorders>
              <w:top w:val="nil"/>
              <w:left w:val="nil"/>
              <w:bottom w:val="nil"/>
              <w:right w:val="nil"/>
            </w:tcBorders>
            <w:shd w:val="clear" w:color="auto" w:fill="auto"/>
            <w:noWrap/>
            <w:vAlign w:val="center"/>
            <w:hideMark/>
          </w:tcPr>
          <w:p w14:paraId="1DEF4BFC"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1100</w:t>
            </w:r>
          </w:p>
        </w:tc>
        <w:tc>
          <w:tcPr>
            <w:tcW w:w="3402" w:type="dxa"/>
            <w:tcBorders>
              <w:top w:val="nil"/>
              <w:left w:val="nil"/>
              <w:bottom w:val="nil"/>
              <w:right w:val="nil"/>
            </w:tcBorders>
            <w:shd w:val="clear" w:color="auto" w:fill="auto"/>
            <w:vAlign w:val="center"/>
            <w:hideMark/>
          </w:tcPr>
          <w:p w14:paraId="0042D665"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Si-O stretching, Q</w:t>
            </w:r>
            <w:r w:rsidRPr="00D81823">
              <w:rPr>
                <w:rFonts w:eastAsia="Times New Roman" w:cs="Times New Roman"/>
                <w:b w:val="0"/>
                <w:color w:val="000000"/>
                <w:szCs w:val="24"/>
                <w:vertAlign w:val="superscript"/>
                <w:lang w:eastAsia="en-MY"/>
              </w:rPr>
              <w:t xml:space="preserve">3 </w:t>
            </w:r>
            <w:r w:rsidRPr="00D81823">
              <w:rPr>
                <w:rFonts w:eastAsia="Times New Roman" w:cs="Times New Roman"/>
                <w:b w:val="0"/>
                <w:color w:val="000000"/>
                <w:szCs w:val="24"/>
                <w:lang w:eastAsia="en-MY"/>
              </w:rPr>
              <w:t>units, Al-O stretching</w:t>
            </w:r>
          </w:p>
        </w:tc>
        <w:tc>
          <w:tcPr>
            <w:tcW w:w="2977" w:type="dxa"/>
            <w:tcBorders>
              <w:top w:val="nil"/>
              <w:left w:val="nil"/>
              <w:bottom w:val="nil"/>
              <w:right w:val="nil"/>
            </w:tcBorders>
            <w:shd w:val="clear" w:color="auto" w:fill="auto"/>
            <w:noWrap/>
            <w:vAlign w:val="center"/>
            <w:hideMark/>
          </w:tcPr>
          <w:p w14:paraId="1F279DFC"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(Bell et al., 1968)</w:t>
            </w:r>
          </w:p>
        </w:tc>
      </w:tr>
      <w:tr w:rsidR="00D740DC" w:rsidRPr="00D81823" w14:paraId="6B9A187C" w14:textId="77777777" w:rsidTr="00B11F5F">
        <w:trPr>
          <w:trHeight w:val="315"/>
        </w:trPr>
        <w:tc>
          <w:tcPr>
            <w:tcW w:w="2268" w:type="dxa"/>
            <w:tcBorders>
              <w:top w:val="nil"/>
              <w:left w:val="nil"/>
              <w:bottom w:val="nil"/>
              <w:right w:val="nil"/>
            </w:tcBorders>
            <w:shd w:val="clear" w:color="auto" w:fill="D9D9D9" w:themeFill="background1" w:themeFillShade="D9"/>
            <w:noWrap/>
            <w:vAlign w:val="center"/>
            <w:hideMark/>
          </w:tcPr>
          <w:p w14:paraId="5568DFB3"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1120-1190</w:t>
            </w:r>
          </w:p>
        </w:tc>
        <w:tc>
          <w:tcPr>
            <w:tcW w:w="3402" w:type="dxa"/>
            <w:tcBorders>
              <w:top w:val="nil"/>
              <w:left w:val="nil"/>
              <w:bottom w:val="nil"/>
              <w:right w:val="nil"/>
            </w:tcBorders>
            <w:shd w:val="clear" w:color="auto" w:fill="D9D9D9" w:themeFill="background1" w:themeFillShade="D9"/>
            <w:noWrap/>
            <w:vAlign w:val="center"/>
            <w:hideMark/>
          </w:tcPr>
          <w:p w14:paraId="335AAA2C"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 xml:space="preserve">Fully polymerised </w:t>
            </w:r>
          </w:p>
        </w:tc>
        <w:tc>
          <w:tcPr>
            <w:tcW w:w="2977" w:type="dxa"/>
            <w:tcBorders>
              <w:top w:val="nil"/>
              <w:left w:val="nil"/>
              <w:bottom w:val="nil"/>
              <w:right w:val="nil"/>
            </w:tcBorders>
            <w:shd w:val="clear" w:color="auto" w:fill="D9D9D9" w:themeFill="background1" w:themeFillShade="D9"/>
            <w:noWrap/>
            <w:vAlign w:val="center"/>
            <w:hideMark/>
          </w:tcPr>
          <w:p w14:paraId="383F3326"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noProof/>
                <w:color w:val="000000"/>
                <w:szCs w:val="24"/>
                <w:lang w:eastAsia="en-MY"/>
              </w:rPr>
              <w:t>(Manara et al., 2009)</w:t>
            </w:r>
          </w:p>
        </w:tc>
      </w:tr>
      <w:tr w:rsidR="00D740DC" w:rsidRPr="00D81823" w14:paraId="1ABF8930" w14:textId="77777777" w:rsidTr="00B11F5F">
        <w:trPr>
          <w:trHeight w:val="600"/>
        </w:trPr>
        <w:tc>
          <w:tcPr>
            <w:tcW w:w="2268" w:type="dxa"/>
            <w:tcBorders>
              <w:top w:val="nil"/>
              <w:left w:val="nil"/>
              <w:bottom w:val="nil"/>
              <w:right w:val="nil"/>
            </w:tcBorders>
            <w:shd w:val="clear" w:color="auto" w:fill="auto"/>
            <w:noWrap/>
            <w:vAlign w:val="center"/>
            <w:hideMark/>
          </w:tcPr>
          <w:p w14:paraId="11AA4B87"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1446</w:t>
            </w:r>
          </w:p>
        </w:tc>
        <w:tc>
          <w:tcPr>
            <w:tcW w:w="3402" w:type="dxa"/>
            <w:tcBorders>
              <w:top w:val="nil"/>
              <w:left w:val="nil"/>
              <w:bottom w:val="nil"/>
              <w:right w:val="nil"/>
            </w:tcBorders>
            <w:shd w:val="clear" w:color="auto" w:fill="auto"/>
            <w:vAlign w:val="center"/>
            <w:hideMark/>
          </w:tcPr>
          <w:p w14:paraId="4D2044E5"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B-O stretching vibrations in BO</w:t>
            </w:r>
            <w:r w:rsidRPr="00D81823">
              <w:rPr>
                <w:rFonts w:eastAsia="Times New Roman" w:cs="Times New Roman"/>
                <w:b w:val="0"/>
                <w:color w:val="000000"/>
                <w:szCs w:val="24"/>
                <w:vertAlign w:val="subscript"/>
                <w:lang w:eastAsia="en-MY"/>
              </w:rPr>
              <w:t>3</w:t>
            </w:r>
            <w:r w:rsidRPr="00D81823">
              <w:rPr>
                <w:rFonts w:eastAsia="Times New Roman" w:cs="Times New Roman"/>
                <w:b w:val="0"/>
                <w:color w:val="000000"/>
                <w:szCs w:val="24"/>
                <w:lang w:eastAsia="en-MY"/>
              </w:rPr>
              <w:t xml:space="preserve"> and BO</w:t>
            </w:r>
            <w:r w:rsidRPr="00D81823">
              <w:rPr>
                <w:rFonts w:eastAsia="Times New Roman" w:cs="Times New Roman"/>
                <w:b w:val="0"/>
                <w:color w:val="000000"/>
                <w:szCs w:val="24"/>
                <w:vertAlign w:val="subscript"/>
                <w:lang w:eastAsia="en-MY"/>
              </w:rPr>
              <w:t>2</w:t>
            </w:r>
            <w:r w:rsidRPr="00D81823">
              <w:rPr>
                <w:rFonts w:eastAsia="Times New Roman" w:cs="Times New Roman"/>
                <w:b w:val="0"/>
                <w:color w:val="000000"/>
                <w:szCs w:val="24"/>
                <w:lang w:eastAsia="en-MY"/>
              </w:rPr>
              <w:t>O</w:t>
            </w:r>
            <w:r w:rsidRPr="00D81823">
              <w:rPr>
                <w:rFonts w:eastAsia="Times New Roman" w:cs="Times New Roman"/>
                <w:b w:val="0"/>
                <w:color w:val="000000"/>
                <w:szCs w:val="24"/>
                <w:vertAlign w:val="superscript"/>
                <w:lang w:eastAsia="en-MY"/>
              </w:rPr>
              <w:t>-</w:t>
            </w:r>
            <w:r w:rsidRPr="00D81823">
              <w:rPr>
                <w:rFonts w:eastAsia="Times New Roman" w:cs="Times New Roman"/>
                <w:b w:val="0"/>
                <w:color w:val="000000"/>
                <w:szCs w:val="24"/>
                <w:lang w:eastAsia="en-MY"/>
              </w:rPr>
              <w:t xml:space="preserve"> borate units</w:t>
            </w:r>
          </w:p>
        </w:tc>
        <w:tc>
          <w:tcPr>
            <w:tcW w:w="2977" w:type="dxa"/>
            <w:tcBorders>
              <w:top w:val="nil"/>
              <w:left w:val="nil"/>
              <w:bottom w:val="nil"/>
              <w:right w:val="nil"/>
            </w:tcBorders>
            <w:shd w:val="clear" w:color="auto" w:fill="auto"/>
            <w:vAlign w:val="center"/>
            <w:hideMark/>
          </w:tcPr>
          <w:p w14:paraId="69FFF0A3"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 xml:space="preserve">Kumar et al., 2013, </w:t>
            </w:r>
            <w:proofErr w:type="spellStart"/>
            <w:r w:rsidRPr="00D81823">
              <w:rPr>
                <w:rFonts w:eastAsia="Times New Roman" w:cs="Times New Roman"/>
                <w:b w:val="0"/>
                <w:color w:val="000000"/>
                <w:szCs w:val="24"/>
                <w:lang w:eastAsia="en-MY"/>
              </w:rPr>
              <w:t>Mckeown</w:t>
            </w:r>
            <w:proofErr w:type="spellEnd"/>
            <w:r w:rsidRPr="00D81823">
              <w:rPr>
                <w:rFonts w:eastAsia="Times New Roman" w:cs="Times New Roman"/>
                <w:b w:val="0"/>
                <w:color w:val="000000"/>
                <w:szCs w:val="24"/>
                <w:lang w:eastAsia="en-MY"/>
              </w:rPr>
              <w:t xml:space="preserve"> et al 2010</w:t>
            </w:r>
          </w:p>
        </w:tc>
      </w:tr>
      <w:tr w:rsidR="00D740DC" w:rsidRPr="00D81823" w14:paraId="7C56BA6C" w14:textId="77777777" w:rsidTr="00B11F5F">
        <w:trPr>
          <w:trHeight w:val="390"/>
        </w:trPr>
        <w:tc>
          <w:tcPr>
            <w:tcW w:w="2268" w:type="dxa"/>
            <w:tcBorders>
              <w:top w:val="nil"/>
              <w:left w:val="nil"/>
              <w:bottom w:val="single" w:sz="8" w:space="0" w:color="auto"/>
              <w:right w:val="nil"/>
            </w:tcBorders>
            <w:shd w:val="clear" w:color="auto" w:fill="D9D9D9" w:themeFill="background1" w:themeFillShade="D9"/>
            <w:noWrap/>
            <w:vAlign w:val="center"/>
            <w:hideMark/>
          </w:tcPr>
          <w:p w14:paraId="40FEC676" w14:textId="77777777" w:rsidR="00D740DC" w:rsidRPr="00D81823" w:rsidRDefault="00D740DC" w:rsidP="00B11F5F">
            <w:pPr>
              <w:spacing w:after="0" w:line="24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1470-1480</w:t>
            </w:r>
          </w:p>
        </w:tc>
        <w:tc>
          <w:tcPr>
            <w:tcW w:w="3402" w:type="dxa"/>
            <w:tcBorders>
              <w:top w:val="nil"/>
              <w:left w:val="nil"/>
              <w:bottom w:val="single" w:sz="8" w:space="0" w:color="auto"/>
              <w:right w:val="nil"/>
            </w:tcBorders>
            <w:shd w:val="clear" w:color="auto" w:fill="D9D9D9" w:themeFill="background1" w:themeFillShade="D9"/>
            <w:noWrap/>
            <w:vAlign w:val="center"/>
            <w:hideMark/>
          </w:tcPr>
          <w:p w14:paraId="09107669"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color w:val="000000"/>
                <w:szCs w:val="24"/>
                <w:lang w:eastAsia="en-MY"/>
              </w:rPr>
              <w:t>BO</w:t>
            </w:r>
            <w:r w:rsidRPr="00D81823">
              <w:rPr>
                <w:rFonts w:eastAsia="Times New Roman" w:cs="Times New Roman"/>
                <w:b w:val="0"/>
                <w:color w:val="000000"/>
                <w:szCs w:val="24"/>
                <w:vertAlign w:val="subscript"/>
                <w:lang w:eastAsia="en-MY"/>
              </w:rPr>
              <w:t>3</w:t>
            </w:r>
            <w:r w:rsidRPr="00D81823">
              <w:rPr>
                <w:rFonts w:eastAsia="Times New Roman" w:cs="Times New Roman"/>
                <w:b w:val="0"/>
                <w:color w:val="000000"/>
                <w:szCs w:val="24"/>
                <w:lang w:eastAsia="en-MY"/>
              </w:rPr>
              <w:t xml:space="preserve"> triangles</w:t>
            </w:r>
          </w:p>
        </w:tc>
        <w:tc>
          <w:tcPr>
            <w:tcW w:w="2977" w:type="dxa"/>
            <w:tcBorders>
              <w:top w:val="nil"/>
              <w:left w:val="nil"/>
              <w:bottom w:val="single" w:sz="8" w:space="0" w:color="auto"/>
              <w:right w:val="nil"/>
            </w:tcBorders>
            <w:shd w:val="clear" w:color="auto" w:fill="D9D9D9" w:themeFill="background1" w:themeFillShade="D9"/>
            <w:noWrap/>
            <w:vAlign w:val="center"/>
            <w:hideMark/>
          </w:tcPr>
          <w:p w14:paraId="579B4FF1" w14:textId="77777777" w:rsidR="00D740DC" w:rsidRPr="00D81823" w:rsidRDefault="00D740DC" w:rsidP="00B11F5F">
            <w:pPr>
              <w:spacing w:after="0" w:line="240" w:lineRule="auto"/>
              <w:rPr>
                <w:rFonts w:eastAsia="Times New Roman" w:cs="Times New Roman"/>
                <w:b w:val="0"/>
                <w:color w:val="000000"/>
                <w:szCs w:val="24"/>
                <w:lang w:eastAsia="en-MY"/>
              </w:rPr>
            </w:pPr>
            <w:r w:rsidRPr="00D81823">
              <w:rPr>
                <w:rFonts w:eastAsia="Times New Roman" w:cs="Times New Roman"/>
                <w:b w:val="0"/>
                <w:noProof/>
                <w:color w:val="000000"/>
                <w:szCs w:val="24"/>
                <w:lang w:eastAsia="en-MY"/>
              </w:rPr>
              <w:t>(Furukawa &amp; White, 1981) </w:t>
            </w:r>
          </w:p>
        </w:tc>
      </w:tr>
    </w:tbl>
    <w:p w14:paraId="263AB453" w14:textId="77777777" w:rsidR="00D740DC" w:rsidRDefault="00D740DC" w:rsidP="00D740DC">
      <w:pPr>
        <w:spacing w:after="0" w:line="360" w:lineRule="auto"/>
        <w:jc w:val="both"/>
        <w:rPr>
          <w:rFonts w:asciiTheme="majorBidi" w:hAnsiTheme="majorBidi"/>
          <w:b w:val="0"/>
        </w:rPr>
      </w:pPr>
    </w:p>
    <w:p w14:paraId="3524ADFE" w14:textId="77777777" w:rsidR="00D740DC" w:rsidRDefault="00D740DC" w:rsidP="00D740DC">
      <w:pPr>
        <w:spacing w:after="0" w:line="360" w:lineRule="auto"/>
        <w:jc w:val="both"/>
        <w:rPr>
          <w:rFonts w:asciiTheme="majorBidi" w:hAnsiTheme="majorBidi"/>
          <w:b w:val="0"/>
        </w:rPr>
      </w:pPr>
    </w:p>
    <w:p w14:paraId="5B33BAF2" w14:textId="0DAD6B3D" w:rsidR="00D740DC" w:rsidRPr="000E2377" w:rsidRDefault="00D740DC" w:rsidP="00D740DC">
      <w:pPr>
        <w:spacing w:after="0" w:line="360" w:lineRule="auto"/>
        <w:jc w:val="both"/>
        <w:rPr>
          <w:rFonts w:asciiTheme="majorBidi" w:hAnsiTheme="majorBidi"/>
          <w:b w:val="0"/>
        </w:rPr>
      </w:pPr>
      <w:r w:rsidRPr="000E2377">
        <w:rPr>
          <w:rFonts w:asciiTheme="majorBidi" w:hAnsiTheme="majorBidi"/>
          <w:b w:val="0"/>
        </w:rPr>
        <w:t xml:space="preserve">The polymerisation also </w:t>
      </w:r>
      <w:r>
        <w:rPr>
          <w:rFonts w:asciiTheme="majorBidi" w:hAnsiTheme="majorBidi"/>
          <w:b w:val="0"/>
        </w:rPr>
        <w:t xml:space="preserve">in principle </w:t>
      </w:r>
      <w:r w:rsidRPr="000E2377">
        <w:rPr>
          <w:rFonts w:asciiTheme="majorBidi" w:hAnsiTheme="majorBidi"/>
          <w:b w:val="0"/>
        </w:rPr>
        <w:t xml:space="preserve">can be measured from Raman by </w:t>
      </w:r>
      <w:r>
        <w:rPr>
          <w:rFonts w:asciiTheme="majorBidi" w:hAnsiTheme="majorBidi"/>
          <w:b w:val="0"/>
        </w:rPr>
        <w:t xml:space="preserve">spectra </w:t>
      </w:r>
      <w:r w:rsidRPr="000E2377">
        <w:rPr>
          <w:rFonts w:asciiTheme="majorBidi" w:hAnsiTheme="majorBidi"/>
          <w:b w:val="0"/>
        </w:rPr>
        <w:t>quantify</w:t>
      </w:r>
      <w:r>
        <w:rPr>
          <w:rFonts w:asciiTheme="majorBidi" w:hAnsiTheme="majorBidi"/>
          <w:b w:val="0"/>
        </w:rPr>
        <w:t xml:space="preserve">ing the </w:t>
      </w:r>
      <w:r w:rsidRPr="000E2377">
        <w:rPr>
          <w:rFonts w:asciiTheme="majorBidi" w:hAnsiTheme="majorBidi"/>
          <w:b w:val="0"/>
        </w:rPr>
        <w:t xml:space="preserve">Q species </w:t>
      </w:r>
      <w:r>
        <w:rPr>
          <w:rFonts w:asciiTheme="majorBidi" w:hAnsiTheme="majorBidi"/>
          <w:b w:val="0"/>
        </w:rPr>
        <w:t>contributions to</w:t>
      </w:r>
      <w:r w:rsidRPr="000E2377">
        <w:rPr>
          <w:rFonts w:asciiTheme="majorBidi" w:hAnsiTheme="majorBidi"/>
          <w:b w:val="0"/>
        </w:rPr>
        <w:t xml:space="preserve"> region C </w:t>
      </w:r>
      <w:r>
        <w:rPr>
          <w:rFonts w:asciiTheme="majorBidi" w:hAnsiTheme="majorBidi"/>
          <w:b w:val="0"/>
        </w:rPr>
        <w:t>(</w:t>
      </w:r>
      <w:r w:rsidRPr="000E2377">
        <w:rPr>
          <w:rFonts w:asciiTheme="majorBidi" w:hAnsiTheme="majorBidi"/>
          <w:b w:val="0"/>
        </w:rPr>
        <w:t>800-1300</w:t>
      </w:r>
      <w:r>
        <w:rPr>
          <w:rFonts w:asciiTheme="majorBidi" w:hAnsiTheme="majorBidi"/>
          <w:b w:val="0"/>
        </w:rPr>
        <w:t xml:space="preserve"> </w:t>
      </w:r>
      <w:r w:rsidRPr="000E2377">
        <w:rPr>
          <w:rFonts w:asciiTheme="majorBidi" w:hAnsiTheme="majorBidi" w:cstheme="majorBidi"/>
          <w:b w:val="0"/>
          <w:szCs w:val="24"/>
        </w:rPr>
        <w:t>cm</w:t>
      </w:r>
      <w:r w:rsidRPr="000E2377">
        <w:rPr>
          <w:rFonts w:asciiTheme="majorBidi" w:hAnsiTheme="majorBidi" w:cstheme="majorBidi"/>
          <w:b w:val="0"/>
          <w:szCs w:val="24"/>
          <w:vertAlign w:val="superscript"/>
        </w:rPr>
        <w:t>-1</w:t>
      </w:r>
      <w:r>
        <w:rPr>
          <w:rFonts w:asciiTheme="majorBidi" w:hAnsiTheme="majorBidi" w:cstheme="majorBidi"/>
          <w:b w:val="0"/>
          <w:szCs w:val="24"/>
        </w:rPr>
        <w:t>)</w:t>
      </w:r>
      <w:r w:rsidRPr="000E2377">
        <w:rPr>
          <w:rFonts w:asciiTheme="majorBidi" w:hAnsiTheme="majorBidi"/>
          <w:b w:val="0"/>
        </w:rPr>
        <w:t xml:space="preserve"> </w:t>
      </w:r>
      <w:r w:rsidRPr="000E2377">
        <w:rPr>
          <w:rFonts w:asciiTheme="majorBidi" w:hAnsiTheme="majorBidi"/>
          <w:b w:val="0"/>
        </w:rPr>
        <w:fldChar w:fldCharType="begin" w:fldLock="1"/>
      </w:r>
      <w:r w:rsidRPr="000E2377">
        <w:rPr>
          <w:rFonts w:asciiTheme="majorBidi" w:hAnsiTheme="majorBidi"/>
          <w:b w:val="0"/>
        </w:rPr>
        <w:instrText>ADDIN CSL_CITATION { "citationItems" : [ { "id" : "ITEM-1", "itemData" : { "DOI" : "10.1016/j.jnucmat.2015.04.016", "ISSN" : "0022-3115", "author" : [ { "dropping-particle" : "", "family" : "Zhang", "given" : "Hua", "non-dropping-particle" : "", "parse-names" : false, "suffix" : "" }, { "dropping-particle" : "", "family" : "Corkhill", "given" : "Claire L", "non-dropping-particle" : "", "parse-names" : false, "suffix" : "" }, { "dropping-particle" : "", "family" : "Heath", "given" : "Paul G", "non-dropping-particle" : "", "parse-names" : false, "suffix" : "" }, { "dropping-particle" : "", "family" : "Hand", "given" : "Russell J", "non-dropping-particle" : "", "parse-names" : false, "suffix" : "" }, { "dropping-particle" : "", "family" : "Martin", "given" : "C", "non-dropping-particle" : "", "parse-names" : false, "suffix" : "" }, { "dropping-particle" : "", "family" : "Hyatt", "given" : "Neil C", "non-dropping-particle" : "", "parse-names" : false, "suffix" : "" } ], "container-title" : "Journal of Nuclear Materials", "id" : "ITEM-1", "issued" : { "date-parts" : [ [ "2015" ] ] }, "page" : "321-328", "publisher" : "Elsevier B.V.", "title" : "Effect of Zn- and Ca-oxides on the Structure and Chemical Durability of Simulant Alkali Borosilicate Glasses for Immobilisation of UK High Level Wastes", "type" : "article-journal", "volume" : "462" }, "uris" : [ "http://www.mendeley.com/documents/?uuid=50d26f33-6ecb-44cd-96f8-7b8df737e7a7" ] } ], "mendeley" : { "formattedCitation" : "(Zhang et al., 2015)", "plainTextFormattedCitation" : "(Zhang et al., 2015)", "previouslyFormattedCitation" : "(Zhang et al., 2015)" }, "properties" : { "noteIndex" : 0 }, "schema" : "https://github.com/citation-style-language/schema/raw/master/csl-citation.json" }</w:instrText>
      </w:r>
      <w:r w:rsidRPr="000E2377">
        <w:rPr>
          <w:rFonts w:asciiTheme="majorBidi" w:hAnsiTheme="majorBidi"/>
          <w:b w:val="0"/>
        </w:rPr>
        <w:fldChar w:fldCharType="separate"/>
      </w:r>
      <w:r w:rsidRPr="000E2377">
        <w:rPr>
          <w:rFonts w:asciiTheme="majorBidi" w:hAnsiTheme="majorBidi"/>
          <w:b w:val="0"/>
          <w:noProof/>
        </w:rPr>
        <w:t>(Zhang et al., 2015)</w:t>
      </w:r>
      <w:r w:rsidRPr="000E2377">
        <w:rPr>
          <w:rFonts w:asciiTheme="majorBidi" w:hAnsiTheme="majorBidi"/>
          <w:b w:val="0"/>
        </w:rPr>
        <w:fldChar w:fldCharType="end"/>
      </w:r>
      <w:r w:rsidR="00202044">
        <w:rPr>
          <w:rFonts w:asciiTheme="majorBidi" w:hAnsiTheme="majorBidi"/>
          <w:b w:val="0"/>
        </w:rPr>
        <w:t>.</w:t>
      </w:r>
      <w:r>
        <w:rPr>
          <w:rFonts w:asciiTheme="majorBidi" w:hAnsiTheme="majorBidi"/>
          <w:b w:val="0"/>
        </w:rPr>
        <w:t xml:space="preserve"> </w:t>
      </w:r>
      <w:r w:rsidR="00202044">
        <w:rPr>
          <w:rFonts w:asciiTheme="majorBidi" w:hAnsiTheme="majorBidi"/>
          <w:b w:val="0"/>
        </w:rPr>
        <w:t xml:space="preserve">However, </w:t>
      </w:r>
      <w:r>
        <w:rPr>
          <w:rFonts w:asciiTheme="majorBidi" w:hAnsiTheme="majorBidi"/>
          <w:b w:val="0"/>
        </w:rPr>
        <w:t>the presence of both B and Al in the composition complicates the assignment of peaks in thi</w:t>
      </w:r>
      <w:r w:rsidR="00202044">
        <w:rPr>
          <w:rFonts w:asciiTheme="majorBidi" w:hAnsiTheme="majorBidi"/>
          <w:b w:val="0"/>
        </w:rPr>
        <w:t>s</w:t>
      </w:r>
      <w:r>
        <w:rPr>
          <w:rFonts w:asciiTheme="majorBidi" w:hAnsiTheme="majorBidi"/>
          <w:b w:val="0"/>
        </w:rPr>
        <w:t xml:space="preserve"> region.</w:t>
      </w:r>
      <w:r w:rsidRPr="000E2377">
        <w:rPr>
          <w:rFonts w:asciiTheme="majorBidi" w:hAnsiTheme="majorBidi"/>
          <w:b w:val="0"/>
        </w:rPr>
        <w:t xml:space="preserve"> Raman active</w:t>
      </w:r>
      <w:r>
        <w:rPr>
          <w:rFonts w:asciiTheme="majorBidi" w:hAnsiTheme="majorBidi"/>
          <w:b w:val="0"/>
        </w:rPr>
        <w:t xml:space="preserve"> features include both</w:t>
      </w:r>
      <w:r w:rsidRPr="000E2377">
        <w:rPr>
          <w:rFonts w:asciiTheme="majorBidi" w:hAnsiTheme="majorBidi"/>
          <w:b w:val="0"/>
        </w:rPr>
        <w:t xml:space="preserve"> symmetric and asymmetric stretching bonds </w:t>
      </w:r>
      <w:r w:rsidRPr="000E2377">
        <w:rPr>
          <w:rFonts w:asciiTheme="majorBidi" w:hAnsiTheme="majorBidi"/>
          <w:b w:val="0"/>
        </w:rPr>
        <w:fldChar w:fldCharType="begin" w:fldLock="1"/>
      </w:r>
      <w:r w:rsidRPr="000E2377">
        <w:rPr>
          <w:rFonts w:asciiTheme="majorBidi" w:hAnsiTheme="majorBidi"/>
          <w:b w:val="0"/>
        </w:rPr>
        <w:instrText>ADDIN CSL_CITATION { "citationItems" : [ { "id" : "ITEM-1", "itemData" : { "DOI" : "10.1016/j.jnoncrysol.2015.08.016", "ISSN" : "00223093", "author" : [ { "dropping-particle" : "", "family" : "Woelffel", "given" : "William", "non-dropping-particle" : "", "parse-names" : false, "suffix" : "" }, { "dropping-particle" : "", "family" : "Claireaux", "given" : "Corinne", "non-dropping-particle" : "", "parse-names" : false, "suffix" : "" }, { "dropping-particle" : "", "family" : "Toplis", "given" : "Michael J.", "non-dropping-particle" : "", "parse-names" : false, "suffix" : "" }, { "dropping-particle" : "", "family" : "Burov", "given" : "Ekaterina", "non-dropping-particle" : "", "parse-names" : false, "suffix" : "" }, { "dropping-particle" : "", "family" : "Barthel", "given" : "\u00c9tienne", "non-dropping-particle" : "", "parse-names" : false, "suffix" : "" }, { "dropping-particle" : "", "family" : "Shukla", "given" : "Abhay", "non-dropping-particle" : "", "parse-names" : false, "suffix" : "" }, { "dropping-particle" : "", "family" : "Biscaras", "given" : "Johan", "non-dropping-particle" : "", "parse-names" : false, "suffix" : "" }, { "dropping-particle" : "", "family" : "Chopinet", "given" : "Marie-H\u00e9l\u00e8ne", "non-dropping-particle" : "", "parse-names" : false, "suffix" : "" }, { "dropping-particle" : "", "family" : "Gouillart", "given" : "Emmanuelle", "non-dropping-particle" : "", "parse-names" : false, "suffix" : "" } ], "container-title" : "Journal of Non-Crystalline Solids", "id" : "ITEM-1", "issued" : { "date-parts" : [ [ "2015" ] ] }, "page" : "121-131", "publisher" : "Elsevier B.V.", "title" : "Analysis of soda-lime glasses using non-negative matrix factor deconvolution of Raman spectra", "type" : "article-journal", "volume" : "428" }, "uris" : [ "http://www.mendeley.com/documents/?uuid=0e7d4aec-1db5-40ce-804b-affa8be0ab2e" ] } ], "mendeley" : { "formattedCitation" : "(Woelffel et al., 2015)", "plainTextFormattedCitation" : "(Woelffel et al., 2015)", "previouslyFormattedCitation" : "(Woelffel et al., 2015)" }, "properties" : { "noteIndex" : 0 }, "schema" : "https://github.com/citation-style-language/schema/raw/master/csl-citation.json" }</w:instrText>
      </w:r>
      <w:r w:rsidRPr="000E2377">
        <w:rPr>
          <w:rFonts w:asciiTheme="majorBidi" w:hAnsiTheme="majorBidi"/>
          <w:b w:val="0"/>
        </w:rPr>
        <w:fldChar w:fldCharType="separate"/>
      </w:r>
      <w:r w:rsidRPr="000E2377">
        <w:rPr>
          <w:rFonts w:asciiTheme="majorBidi" w:hAnsiTheme="majorBidi"/>
          <w:b w:val="0"/>
          <w:noProof/>
        </w:rPr>
        <w:t>(Woelffel et al., 2015)</w:t>
      </w:r>
      <w:r w:rsidRPr="000E2377">
        <w:rPr>
          <w:rFonts w:asciiTheme="majorBidi" w:hAnsiTheme="majorBidi"/>
          <w:b w:val="0"/>
        </w:rPr>
        <w:fldChar w:fldCharType="end"/>
      </w:r>
      <w:r w:rsidRPr="000E2377">
        <w:rPr>
          <w:rFonts w:asciiTheme="majorBidi" w:hAnsiTheme="majorBidi"/>
          <w:b w:val="0"/>
        </w:rPr>
        <w:t xml:space="preserve">. </w:t>
      </w:r>
      <w:r>
        <w:rPr>
          <w:rFonts w:asciiTheme="majorBidi" w:hAnsiTheme="majorBidi"/>
          <w:b w:val="0"/>
        </w:rPr>
        <w:t>A</w:t>
      </w:r>
      <w:r w:rsidRPr="000E2377">
        <w:rPr>
          <w:rFonts w:asciiTheme="majorBidi" w:hAnsiTheme="majorBidi"/>
          <w:b w:val="0"/>
        </w:rPr>
        <w:t xml:space="preserve">nalysis to determine </w:t>
      </w:r>
      <w:r>
        <w:rPr>
          <w:rFonts w:asciiTheme="majorBidi" w:hAnsiTheme="majorBidi"/>
          <w:b w:val="0"/>
        </w:rPr>
        <w:t xml:space="preserve">the relative amounts of the </w:t>
      </w:r>
      <w:proofErr w:type="spellStart"/>
      <w:r w:rsidRPr="000E2377">
        <w:rPr>
          <w:rFonts w:asciiTheme="majorBidi" w:hAnsiTheme="majorBidi"/>
          <w:b w:val="0"/>
        </w:rPr>
        <w:t>Q</w:t>
      </w:r>
      <w:r w:rsidRPr="000E2377">
        <w:rPr>
          <w:rFonts w:asciiTheme="majorBidi" w:hAnsiTheme="majorBidi"/>
          <w:b w:val="0"/>
          <w:vertAlign w:val="superscript"/>
        </w:rPr>
        <w:t>n</w:t>
      </w:r>
      <w:proofErr w:type="spellEnd"/>
      <w:r w:rsidRPr="000E2377">
        <w:rPr>
          <w:rFonts w:asciiTheme="majorBidi" w:hAnsiTheme="majorBidi"/>
          <w:b w:val="0"/>
        </w:rPr>
        <w:t xml:space="preserve"> species </w:t>
      </w:r>
      <w:r>
        <w:rPr>
          <w:rFonts w:asciiTheme="majorBidi" w:hAnsiTheme="majorBidi"/>
          <w:b w:val="0"/>
        </w:rPr>
        <w:t>was</w:t>
      </w:r>
      <w:r w:rsidRPr="000E2377">
        <w:rPr>
          <w:rFonts w:asciiTheme="majorBidi" w:hAnsiTheme="majorBidi"/>
          <w:b w:val="0"/>
        </w:rPr>
        <w:t xml:space="preserve"> performed by deconvolution using Gaussian peaks after </w:t>
      </w:r>
      <w:r>
        <w:rPr>
          <w:rFonts w:asciiTheme="majorBidi" w:hAnsiTheme="majorBidi"/>
          <w:b w:val="0"/>
        </w:rPr>
        <w:t>background</w:t>
      </w:r>
      <w:r w:rsidRPr="000E2377">
        <w:rPr>
          <w:rFonts w:asciiTheme="majorBidi" w:hAnsiTheme="majorBidi"/>
          <w:b w:val="0"/>
        </w:rPr>
        <w:t xml:space="preserve"> subtraction </w:t>
      </w:r>
      <w:r>
        <w:rPr>
          <w:rFonts w:asciiTheme="majorBidi" w:hAnsiTheme="majorBidi"/>
          <w:b w:val="0"/>
        </w:rPr>
        <w:t xml:space="preserve">from the </w:t>
      </w:r>
      <w:r w:rsidRPr="000E2377">
        <w:rPr>
          <w:rFonts w:asciiTheme="majorBidi" w:hAnsiTheme="majorBidi"/>
          <w:b w:val="0"/>
        </w:rPr>
        <w:t xml:space="preserve">Raman </w:t>
      </w:r>
      <w:r>
        <w:rPr>
          <w:rFonts w:asciiTheme="majorBidi" w:hAnsiTheme="majorBidi"/>
          <w:b w:val="0"/>
        </w:rPr>
        <w:t>trace</w:t>
      </w:r>
      <w:r w:rsidRPr="000E2377">
        <w:rPr>
          <w:rFonts w:asciiTheme="majorBidi" w:hAnsiTheme="majorBidi"/>
          <w:b w:val="0"/>
        </w:rPr>
        <w:t>.</w:t>
      </w:r>
      <w:r>
        <w:rPr>
          <w:rFonts w:asciiTheme="majorBidi" w:hAnsiTheme="majorBidi"/>
          <w:b w:val="0"/>
        </w:rPr>
        <w:t xml:space="preserve"> </w:t>
      </w:r>
      <w:r w:rsidRPr="000E2377">
        <w:rPr>
          <w:rFonts w:asciiTheme="majorBidi" w:hAnsiTheme="majorBidi"/>
          <w:b w:val="0"/>
        </w:rPr>
        <w:t>Figure 3.10 shows the deconvolution of boroaluminosil</w:t>
      </w:r>
      <w:r>
        <w:rPr>
          <w:rFonts w:asciiTheme="majorBidi" w:hAnsiTheme="majorBidi"/>
          <w:b w:val="0"/>
        </w:rPr>
        <w:t>i</w:t>
      </w:r>
      <w:r w:rsidRPr="000E2377">
        <w:rPr>
          <w:rFonts w:asciiTheme="majorBidi" w:hAnsiTheme="majorBidi"/>
          <w:b w:val="0"/>
        </w:rPr>
        <w:t>cate glass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78.2</w:t>
      </w:r>
      <w:r w:rsidRPr="000E2377">
        <w:rPr>
          <w:rFonts w:asciiTheme="majorBidi" w:hAnsiTheme="majorBidi"/>
          <w:b w:val="0"/>
        </w:rPr>
        <w:t xml:space="preserve">). </w:t>
      </w:r>
      <w:r>
        <w:rPr>
          <w:rFonts w:asciiTheme="majorBidi" w:hAnsiTheme="majorBidi"/>
          <w:b w:val="0"/>
        </w:rPr>
        <w:t>However, the deconvolution presents were mixed between Si, Al and B and this can be seen in second and third peak in range 900-1100 cm</w:t>
      </w:r>
      <w:r w:rsidRPr="00444C93">
        <w:rPr>
          <w:rFonts w:asciiTheme="majorBidi" w:hAnsiTheme="majorBidi"/>
          <w:b w:val="0"/>
          <w:vertAlign w:val="superscript"/>
        </w:rPr>
        <w:t>-3</w:t>
      </w:r>
      <w:r>
        <w:rPr>
          <w:rFonts w:asciiTheme="majorBidi" w:hAnsiTheme="majorBidi"/>
          <w:b w:val="0"/>
          <w:vertAlign w:val="superscript"/>
        </w:rPr>
        <w:t xml:space="preserve"> </w:t>
      </w:r>
      <w:r>
        <w:rPr>
          <w:rFonts w:asciiTheme="majorBidi" w:hAnsiTheme="majorBidi"/>
          <w:b w:val="0"/>
        </w:rPr>
        <w:t>with Al-O, Q</w:t>
      </w:r>
      <w:r w:rsidRPr="00E9762A">
        <w:rPr>
          <w:rFonts w:asciiTheme="majorBidi" w:hAnsiTheme="majorBidi"/>
          <w:b w:val="0"/>
          <w:vertAlign w:val="superscript"/>
        </w:rPr>
        <w:t>3</w:t>
      </w:r>
      <w:r>
        <w:rPr>
          <w:rFonts w:asciiTheme="majorBidi" w:hAnsiTheme="majorBidi"/>
          <w:b w:val="0"/>
        </w:rPr>
        <w:t xml:space="preserve"> from boron, Q</w:t>
      </w:r>
      <w:r>
        <w:rPr>
          <w:rFonts w:asciiTheme="majorBidi" w:hAnsiTheme="majorBidi"/>
          <w:b w:val="0"/>
          <w:vertAlign w:val="superscript"/>
        </w:rPr>
        <w:t>3</w:t>
      </w:r>
      <w:r>
        <w:rPr>
          <w:rFonts w:asciiTheme="majorBidi" w:hAnsiTheme="majorBidi"/>
          <w:b w:val="0"/>
        </w:rPr>
        <w:t xml:space="preserve"> from Si and Al stretching are presents.  </w:t>
      </w:r>
      <w:r w:rsidRPr="000E2377">
        <w:rPr>
          <w:rFonts w:asciiTheme="majorBidi" w:hAnsiTheme="majorBidi"/>
          <w:b w:val="0"/>
        </w:rPr>
        <w:t xml:space="preserve">  </w:t>
      </w:r>
    </w:p>
    <w:p w14:paraId="6A97AF4D" w14:textId="77777777" w:rsidR="00D740DC" w:rsidRPr="000E2377" w:rsidRDefault="00D740DC" w:rsidP="00D740DC">
      <w:pPr>
        <w:spacing w:after="0" w:line="360" w:lineRule="auto"/>
        <w:jc w:val="center"/>
        <w:rPr>
          <w:rFonts w:asciiTheme="majorBidi" w:hAnsiTheme="majorBidi"/>
          <w:b w:val="0"/>
        </w:rPr>
      </w:pPr>
      <w:r w:rsidRPr="000E2377">
        <w:rPr>
          <w:rFonts w:asciiTheme="minorHAnsi" w:hAnsiTheme="minorHAnsi"/>
          <w:b w:val="0"/>
          <w:noProof/>
          <w:sz w:val="22"/>
          <w:lang w:eastAsia="en-MY"/>
        </w:rPr>
        <w:lastRenderedPageBreak/>
        <mc:AlternateContent>
          <mc:Choice Requires="wps">
            <w:drawing>
              <wp:anchor distT="0" distB="0" distL="114300" distR="114300" simplePos="0" relativeHeight="252506112" behindDoc="0" locked="0" layoutInCell="1" allowOverlap="1" wp14:anchorId="21521C7B" wp14:editId="661B5068">
                <wp:simplePos x="0" y="0"/>
                <wp:positionH relativeFrom="column">
                  <wp:posOffset>2003537</wp:posOffset>
                </wp:positionH>
                <wp:positionV relativeFrom="paragraph">
                  <wp:posOffset>1267385</wp:posOffset>
                </wp:positionV>
                <wp:extent cx="1021976" cy="1008380"/>
                <wp:effectExtent l="0" t="0" r="0" b="1270"/>
                <wp:wrapNone/>
                <wp:docPr id="1964" name="Text Box 1964"/>
                <wp:cNvGraphicFramePr/>
                <a:graphic xmlns:a="http://schemas.openxmlformats.org/drawingml/2006/main">
                  <a:graphicData uri="http://schemas.microsoft.com/office/word/2010/wordprocessingShape">
                    <wps:wsp>
                      <wps:cNvSpPr txBox="1"/>
                      <wps:spPr>
                        <a:xfrm>
                          <a:off x="0" y="0"/>
                          <a:ext cx="1021976" cy="1008380"/>
                        </a:xfrm>
                        <a:prstGeom prst="rect">
                          <a:avLst/>
                        </a:prstGeom>
                        <a:noFill/>
                        <a:ln w="6350">
                          <a:noFill/>
                        </a:ln>
                      </wps:spPr>
                      <wps:txbx>
                        <w:txbxContent>
                          <w:p w14:paraId="717EFC9A" w14:textId="77777777" w:rsidR="00230AB9" w:rsidRPr="00B91D67" w:rsidRDefault="00230AB9" w:rsidP="00D740DC">
                            <w:pPr>
                              <w:spacing w:after="0"/>
                              <w:jc w:val="center"/>
                              <w:rPr>
                                <w:rFonts w:cs="Times New Roman"/>
                                <w:szCs w:val="24"/>
                              </w:rPr>
                            </w:pPr>
                            <w:r w:rsidRPr="00EA410C">
                              <w:rPr>
                                <w:rFonts w:cs="Times New Roman"/>
                                <w:szCs w:val="24"/>
                              </w:rPr>
                              <w:t>Q</w:t>
                            </w:r>
                            <w:r w:rsidRPr="00EE14D5">
                              <w:rPr>
                                <w:rFonts w:cs="Times New Roman"/>
                                <w:szCs w:val="24"/>
                                <w:vertAlign w:val="superscript"/>
                              </w:rPr>
                              <w:t>3</w:t>
                            </w:r>
                            <w:r>
                              <w:rPr>
                                <w:rFonts w:cs="Times New Roman"/>
                                <w:szCs w:val="24"/>
                              </w:rPr>
                              <w:t xml:space="preserve"> Boron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21C7B" id="Text Box 1964" o:spid="_x0000_s1144" type="#_x0000_t202" style="position:absolute;left:0;text-align:left;margin-left:157.75pt;margin-top:99.8pt;width:80.45pt;height:79.4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" filled="f" stroked="f" strokeweight=".5pt">
                <v:textbox>
                  <w:txbxContent>
                    <w:p w14:paraId="717EFC9A" w14:textId="77777777" w:rsidR="00230AB9" w:rsidRPr="00B91D67" w:rsidRDefault="00230AB9" w:rsidP="00D740DC">
                      <w:pPr>
                        <w:spacing w:after="0"/>
                        <w:jc w:val="center"/>
                        <w:rPr>
                          <w:rFonts w:cs="Times New Roman"/>
                          <w:szCs w:val="24"/>
                        </w:rPr>
                      </w:pPr>
                      <w:r w:rsidRPr="00EA410C">
                        <w:rPr>
                          <w:rFonts w:cs="Times New Roman"/>
                          <w:szCs w:val="24"/>
                        </w:rPr>
                        <w:t>Q</w:t>
                      </w:r>
                      <w:r w:rsidRPr="00EE14D5">
                        <w:rPr>
                          <w:rFonts w:cs="Times New Roman"/>
                          <w:szCs w:val="24"/>
                          <w:vertAlign w:val="superscript"/>
                        </w:rPr>
                        <w:t>3</w:t>
                      </w:r>
                      <w:r>
                        <w:rPr>
                          <w:rFonts w:cs="Times New Roman"/>
                          <w:szCs w:val="24"/>
                        </w:rPr>
                        <w:t xml:space="preserve"> Boron</w:t>
                      </w:r>
                    </w:p>
                  </w:txbxContent>
                </v:textbox>
              </v:shape>
            </w:pict>
          </mc:Fallback>
        </mc:AlternateContent>
      </w:r>
      <w:r w:rsidRPr="000E2377">
        <w:rPr>
          <w:rFonts w:asciiTheme="minorHAnsi" w:hAnsiTheme="minorHAnsi"/>
          <w:b w:val="0"/>
          <w:noProof/>
          <w:sz w:val="22"/>
          <w:lang w:eastAsia="en-MY"/>
        </w:rPr>
        <mc:AlternateContent>
          <mc:Choice Requires="wps">
            <w:drawing>
              <wp:anchor distT="0" distB="0" distL="114300" distR="114300" simplePos="0" relativeHeight="252357632" behindDoc="0" locked="0" layoutInCell="1" allowOverlap="1" wp14:anchorId="40E888B0" wp14:editId="33D098C9">
                <wp:simplePos x="0" y="0"/>
                <wp:positionH relativeFrom="column">
                  <wp:posOffset>2232212</wp:posOffset>
                </wp:positionH>
                <wp:positionV relativeFrom="paragraph">
                  <wp:posOffset>864272</wp:posOffset>
                </wp:positionV>
                <wp:extent cx="833717" cy="34417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833717" cy="344170"/>
                        </a:xfrm>
                        <a:prstGeom prst="rect">
                          <a:avLst/>
                        </a:prstGeom>
                        <a:noFill/>
                        <a:ln w="6350">
                          <a:noFill/>
                        </a:ln>
                      </wps:spPr>
                      <wps:txbx>
                        <w:txbxContent>
                          <w:p w14:paraId="31DD2F73" w14:textId="77777777" w:rsidR="00230AB9" w:rsidRPr="00444C93" w:rsidRDefault="00230AB9" w:rsidP="00D740DC">
                            <w:pPr>
                              <w:rPr>
                                <w:rFonts w:cs="Times New Roman"/>
                                <w:szCs w:val="24"/>
                              </w:rPr>
                            </w:pPr>
                            <w:r w:rsidRPr="00EA410C">
                              <w:rPr>
                                <w:rFonts w:cs="Times New Roman"/>
                                <w:szCs w:val="24"/>
                              </w:rPr>
                              <w:t>Q</w:t>
                            </w:r>
                            <w:r w:rsidRPr="00EE14D5">
                              <w:rPr>
                                <w:rFonts w:cs="Times New Roman"/>
                                <w:szCs w:val="24"/>
                                <w:vertAlign w:val="superscript"/>
                              </w:rPr>
                              <w:t>2</w:t>
                            </w:r>
                            <w:r>
                              <w:rPr>
                                <w:rFonts w:cs="Times New Roman"/>
                                <w:szCs w:val="24"/>
                                <w:vertAlign w:val="superscript"/>
                              </w:rPr>
                              <w:t xml:space="preserve"> </w:t>
                            </w:r>
                            <w:r>
                              <w:rPr>
                                <w:rFonts w:cs="Times New Roman"/>
                                <w:szCs w:val="24"/>
                              </w:rPr>
                              <w:t xml:space="preserve"> Silica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E888B0" id="Text Box 83" o:spid="_x0000_s1145" type="#_x0000_t202" style="position:absolute;left:0;text-align:left;margin-left:175.75pt;margin-top:68.05pt;width:65.65pt;height:27.1pt;z-index:25235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" filled="f" stroked="f" strokeweight=".5pt">
                <v:textbox>
                  <w:txbxContent>
                    <w:p w14:paraId="31DD2F73" w14:textId="77777777" w:rsidR="00230AB9" w:rsidRPr="00444C93" w:rsidRDefault="00230AB9" w:rsidP="00D740DC">
                      <w:pPr>
                        <w:rPr>
                          <w:rFonts w:cs="Times New Roman"/>
                          <w:szCs w:val="24"/>
                        </w:rPr>
                      </w:pPr>
                      <w:r w:rsidRPr="00EA410C">
                        <w:rPr>
                          <w:rFonts w:cs="Times New Roman"/>
                          <w:szCs w:val="24"/>
                        </w:rPr>
                        <w:t>Q</w:t>
                      </w:r>
                      <w:r w:rsidRPr="00EE14D5">
                        <w:rPr>
                          <w:rFonts w:cs="Times New Roman"/>
                          <w:szCs w:val="24"/>
                          <w:vertAlign w:val="superscript"/>
                        </w:rPr>
                        <w:t>2</w:t>
                      </w:r>
                      <w:r>
                        <w:rPr>
                          <w:rFonts w:cs="Times New Roman"/>
                          <w:szCs w:val="24"/>
                          <w:vertAlign w:val="superscript"/>
                        </w:rPr>
                        <w:t xml:space="preserve"> </w:t>
                      </w:r>
                      <w:r>
                        <w:rPr>
                          <w:rFonts w:cs="Times New Roman"/>
                          <w:szCs w:val="24"/>
                        </w:rPr>
                        <w:t xml:space="preserve"> Silica</w:t>
                      </w:r>
                    </w:p>
                  </w:txbxContent>
                </v:textbox>
              </v:shape>
            </w:pict>
          </mc:Fallback>
        </mc:AlternateContent>
      </w:r>
      <w:r w:rsidRPr="000E2377">
        <w:rPr>
          <w:rFonts w:asciiTheme="minorHAnsi" w:hAnsiTheme="minorHAnsi"/>
          <w:b w:val="0"/>
          <w:noProof/>
          <w:sz w:val="22"/>
          <w:lang w:eastAsia="en-MY"/>
        </w:rPr>
        <mc:AlternateContent>
          <mc:Choice Requires="wps">
            <w:drawing>
              <wp:anchor distT="0" distB="0" distL="114300" distR="114300" simplePos="0" relativeHeight="252505088" behindDoc="0" locked="0" layoutInCell="1" allowOverlap="1" wp14:anchorId="6482307B" wp14:editId="718ADA3D">
                <wp:simplePos x="0" y="0"/>
                <wp:positionH relativeFrom="column">
                  <wp:posOffset>1492624</wp:posOffset>
                </wp:positionH>
                <wp:positionV relativeFrom="paragraph">
                  <wp:posOffset>1422998</wp:posOffset>
                </wp:positionV>
                <wp:extent cx="790425" cy="457013"/>
                <wp:effectExtent l="0" t="0" r="0" b="635"/>
                <wp:wrapNone/>
                <wp:docPr id="1787" name="Text Box 1787"/>
                <wp:cNvGraphicFramePr/>
                <a:graphic xmlns:a="http://schemas.openxmlformats.org/drawingml/2006/main">
                  <a:graphicData uri="http://schemas.microsoft.com/office/word/2010/wordprocessingShape">
                    <wps:wsp>
                      <wps:cNvSpPr txBox="1"/>
                      <wps:spPr>
                        <a:xfrm>
                          <a:off x="0" y="0"/>
                          <a:ext cx="790425" cy="457013"/>
                        </a:xfrm>
                        <a:prstGeom prst="rect">
                          <a:avLst/>
                        </a:prstGeom>
                        <a:noFill/>
                        <a:ln w="6350">
                          <a:noFill/>
                        </a:ln>
                      </wps:spPr>
                      <wps:txbx>
                        <w:txbxContent>
                          <w:p w14:paraId="6FDAA393" w14:textId="77777777" w:rsidR="00230AB9" w:rsidRDefault="00230AB9" w:rsidP="00D740DC">
                            <w:pPr>
                              <w:spacing w:after="0"/>
                              <w:jc w:val="center"/>
                              <w:rPr>
                                <w:rFonts w:cs="Times New Roman"/>
                                <w:szCs w:val="24"/>
                              </w:rPr>
                            </w:pPr>
                            <w:r>
                              <w:rPr>
                                <w:rFonts w:cs="Times New Roman"/>
                                <w:szCs w:val="24"/>
                              </w:rPr>
                              <w:t>Al-O</w:t>
                            </w:r>
                          </w:p>
                          <w:p w14:paraId="31C241FA" w14:textId="77777777" w:rsidR="00230AB9" w:rsidRPr="00EA410C" w:rsidRDefault="00230AB9" w:rsidP="00D740DC">
                            <w:pPr>
                              <w:spacing w:after="0"/>
                              <w:jc w:val="center"/>
                              <w:rPr>
                                <w:rFonts w:cs="Times New Roman"/>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2307B" id="Text Box 1787" o:spid="_x0000_s1146" type="#_x0000_t202" style="position:absolute;left:0;text-align:left;margin-left:117.55pt;margin-top:112.05pt;width:62.25pt;height:36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" filled="f" stroked="f" strokeweight=".5pt">
                <v:textbox>
                  <w:txbxContent>
                    <w:p w14:paraId="6FDAA393" w14:textId="77777777" w:rsidR="00230AB9" w:rsidRDefault="00230AB9" w:rsidP="00D740DC">
                      <w:pPr>
                        <w:spacing w:after="0"/>
                        <w:jc w:val="center"/>
                        <w:rPr>
                          <w:rFonts w:cs="Times New Roman"/>
                          <w:szCs w:val="24"/>
                        </w:rPr>
                      </w:pPr>
                      <w:r>
                        <w:rPr>
                          <w:rFonts w:cs="Times New Roman"/>
                          <w:szCs w:val="24"/>
                        </w:rPr>
                        <w:t>Al-O</w:t>
                      </w:r>
                    </w:p>
                    <w:p w14:paraId="31C241FA" w14:textId="77777777" w:rsidR="00230AB9" w:rsidRPr="00EA410C" w:rsidRDefault="00230AB9" w:rsidP="00D740DC">
                      <w:pPr>
                        <w:spacing w:after="0"/>
                        <w:jc w:val="center"/>
                        <w:rPr>
                          <w:rFonts w:cs="Times New Roman"/>
                          <w:szCs w:val="24"/>
                        </w:rPr>
                      </w:pPr>
                    </w:p>
                  </w:txbxContent>
                </v:textbox>
              </v:shape>
            </w:pict>
          </mc:Fallback>
        </mc:AlternateContent>
      </w:r>
      <w:r w:rsidRPr="000E2377">
        <w:rPr>
          <w:rFonts w:asciiTheme="minorHAnsi" w:hAnsiTheme="minorHAnsi"/>
          <w:b w:val="0"/>
          <w:noProof/>
          <w:sz w:val="22"/>
          <w:lang w:eastAsia="en-MY"/>
        </w:rPr>
        <mc:AlternateContent>
          <mc:Choice Requires="wps">
            <w:drawing>
              <wp:anchor distT="0" distB="0" distL="114300" distR="114300" simplePos="0" relativeHeight="252504064" behindDoc="0" locked="0" layoutInCell="1" allowOverlap="1" wp14:anchorId="76E34427" wp14:editId="07BA7EE3">
                <wp:simplePos x="0" y="0"/>
                <wp:positionH relativeFrom="column">
                  <wp:posOffset>3307789</wp:posOffset>
                </wp:positionH>
                <wp:positionV relativeFrom="paragraph">
                  <wp:posOffset>817469</wp:posOffset>
                </wp:positionV>
                <wp:extent cx="790425" cy="632012"/>
                <wp:effectExtent l="0" t="0" r="0" b="0"/>
                <wp:wrapNone/>
                <wp:docPr id="1779" name="Text Box 1779"/>
                <wp:cNvGraphicFramePr/>
                <a:graphic xmlns:a="http://schemas.openxmlformats.org/drawingml/2006/main">
                  <a:graphicData uri="http://schemas.microsoft.com/office/word/2010/wordprocessingShape">
                    <wps:wsp>
                      <wps:cNvSpPr txBox="1"/>
                      <wps:spPr>
                        <a:xfrm>
                          <a:off x="0" y="0"/>
                          <a:ext cx="790425" cy="632012"/>
                        </a:xfrm>
                        <a:prstGeom prst="rect">
                          <a:avLst/>
                        </a:prstGeom>
                        <a:noFill/>
                        <a:ln w="6350">
                          <a:noFill/>
                        </a:ln>
                      </wps:spPr>
                      <wps:txbx>
                        <w:txbxContent>
                          <w:p w14:paraId="6E95C0A6" w14:textId="77777777" w:rsidR="00230AB9" w:rsidRDefault="00230AB9" w:rsidP="00D740DC">
                            <w:pPr>
                              <w:spacing w:after="0"/>
                              <w:jc w:val="center"/>
                              <w:rPr>
                                <w:rFonts w:cs="Times New Roman"/>
                                <w:szCs w:val="24"/>
                              </w:rPr>
                            </w:pPr>
                            <w:r>
                              <w:rPr>
                                <w:rFonts w:cs="Times New Roman"/>
                                <w:szCs w:val="24"/>
                              </w:rPr>
                              <w:t>Al</w:t>
                            </w:r>
                          </w:p>
                          <w:p w14:paraId="020CA5C2" w14:textId="77777777" w:rsidR="00230AB9" w:rsidRPr="00EA410C" w:rsidRDefault="00230AB9" w:rsidP="00D740DC">
                            <w:pPr>
                              <w:spacing w:after="0"/>
                              <w:jc w:val="center"/>
                              <w:rPr>
                                <w:rFonts w:cs="Times New Roman"/>
                                <w:szCs w:val="24"/>
                              </w:rPr>
                            </w:pPr>
                            <w:proofErr w:type="spellStart"/>
                            <w:r>
                              <w:rPr>
                                <w:rFonts w:cs="Times New Roman"/>
                                <w:szCs w:val="24"/>
                              </w:rPr>
                              <w:t>Stretcing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34427" id="Text Box 1779" o:spid="_x0000_s1147" type="#_x0000_t202" style="position:absolute;left:0;text-align:left;margin-left:260.45pt;margin-top:64.35pt;width:62.25pt;height:49.75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" filled="f" stroked="f" strokeweight=".5pt">
                <v:textbox>
                  <w:txbxContent>
                    <w:p w14:paraId="6E95C0A6" w14:textId="77777777" w:rsidR="00230AB9" w:rsidRDefault="00230AB9" w:rsidP="00D740DC">
                      <w:pPr>
                        <w:spacing w:after="0"/>
                        <w:jc w:val="center"/>
                        <w:rPr>
                          <w:rFonts w:cs="Times New Roman"/>
                          <w:szCs w:val="24"/>
                        </w:rPr>
                      </w:pPr>
                      <w:r>
                        <w:rPr>
                          <w:rFonts w:cs="Times New Roman"/>
                          <w:szCs w:val="24"/>
                        </w:rPr>
                        <w:t>Al</w:t>
                      </w:r>
                    </w:p>
                    <w:p w14:paraId="020CA5C2" w14:textId="77777777" w:rsidR="00230AB9" w:rsidRPr="00EA410C" w:rsidRDefault="00230AB9" w:rsidP="00D740DC">
                      <w:pPr>
                        <w:spacing w:after="0"/>
                        <w:jc w:val="center"/>
                        <w:rPr>
                          <w:rFonts w:cs="Times New Roman"/>
                          <w:szCs w:val="24"/>
                        </w:rPr>
                      </w:pPr>
                      <w:proofErr w:type="spellStart"/>
                      <w:r>
                        <w:rPr>
                          <w:rFonts w:cs="Times New Roman"/>
                          <w:szCs w:val="24"/>
                        </w:rPr>
                        <w:t>Stretcing</w:t>
                      </w:r>
                      <w:proofErr w:type="spellEnd"/>
                    </w:p>
                  </w:txbxContent>
                </v:textbox>
              </v:shape>
            </w:pict>
          </mc:Fallback>
        </mc:AlternateContent>
      </w:r>
      <w:r w:rsidRPr="000E2377">
        <w:rPr>
          <w:rFonts w:asciiTheme="minorHAnsi" w:hAnsiTheme="minorHAnsi"/>
          <w:b w:val="0"/>
          <w:noProof/>
          <w:sz w:val="22"/>
          <w:lang w:eastAsia="en-MY"/>
        </w:rPr>
        <mc:AlternateContent>
          <mc:Choice Requires="wps">
            <w:drawing>
              <wp:anchor distT="0" distB="0" distL="114300" distR="114300" simplePos="0" relativeHeight="252359680" behindDoc="0" locked="0" layoutInCell="1" allowOverlap="1" wp14:anchorId="18A2818A" wp14:editId="2D505204">
                <wp:simplePos x="0" y="0"/>
                <wp:positionH relativeFrom="column">
                  <wp:posOffset>4278171</wp:posOffset>
                </wp:positionH>
                <wp:positionV relativeFrom="paragraph">
                  <wp:posOffset>971361</wp:posOffset>
                </wp:positionV>
                <wp:extent cx="427511" cy="344384"/>
                <wp:effectExtent l="0" t="0" r="0" b="0"/>
                <wp:wrapNone/>
                <wp:docPr id="1397" name="Text Box 1397"/>
                <wp:cNvGraphicFramePr/>
                <a:graphic xmlns:a="http://schemas.openxmlformats.org/drawingml/2006/main">
                  <a:graphicData uri="http://schemas.microsoft.com/office/word/2010/wordprocessingShape">
                    <wps:wsp>
                      <wps:cNvSpPr txBox="1"/>
                      <wps:spPr>
                        <a:xfrm>
                          <a:off x="0" y="0"/>
                          <a:ext cx="427511" cy="344384"/>
                        </a:xfrm>
                        <a:prstGeom prst="rect">
                          <a:avLst/>
                        </a:prstGeom>
                        <a:noFill/>
                        <a:ln w="6350">
                          <a:noFill/>
                        </a:ln>
                      </wps:spPr>
                      <wps:txbx>
                        <w:txbxContent>
                          <w:p w14:paraId="3680612A" w14:textId="77777777" w:rsidR="00230AB9" w:rsidRPr="00EA410C" w:rsidRDefault="00230AB9" w:rsidP="00D740DC">
                            <w:pPr>
                              <w:rPr>
                                <w:rFonts w:cs="Times New Roman"/>
                                <w:szCs w:val="24"/>
                              </w:rPr>
                            </w:pPr>
                            <w:r w:rsidRPr="00EA410C">
                              <w:rPr>
                                <w:rFonts w:cs="Times New Roman"/>
                                <w:szCs w:val="24"/>
                              </w:rPr>
                              <w:t>Q</w:t>
                            </w:r>
                            <w:r w:rsidRPr="00EE14D5">
                              <w:rPr>
                                <w:rFonts w:cs="Times New Roman"/>
                                <w:szCs w:val="24"/>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A2818A" id="Text Box 1397" o:spid="_x0000_s1148" type="#_x0000_t202" style="position:absolute;left:0;text-align:left;margin-left:336.85pt;margin-top:76.5pt;width:33.65pt;height:27.1pt;z-index:25235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" filled="f" stroked="f" strokeweight=".5pt">
                <v:textbox>
                  <w:txbxContent>
                    <w:p w14:paraId="3680612A" w14:textId="77777777" w:rsidR="00230AB9" w:rsidRPr="00EA410C" w:rsidRDefault="00230AB9" w:rsidP="00D740DC">
                      <w:pPr>
                        <w:rPr>
                          <w:rFonts w:cs="Times New Roman"/>
                          <w:szCs w:val="24"/>
                        </w:rPr>
                      </w:pPr>
                      <w:r w:rsidRPr="00EA410C">
                        <w:rPr>
                          <w:rFonts w:cs="Times New Roman"/>
                          <w:szCs w:val="24"/>
                        </w:rPr>
                        <w:t>Q</w:t>
                      </w:r>
                      <w:r w:rsidRPr="00EE14D5">
                        <w:rPr>
                          <w:rFonts w:cs="Times New Roman"/>
                          <w:szCs w:val="24"/>
                          <w:vertAlign w:val="superscript"/>
                        </w:rPr>
                        <w:t>4</w:t>
                      </w:r>
                    </w:p>
                  </w:txbxContent>
                </v:textbox>
              </v:shape>
            </w:pict>
          </mc:Fallback>
        </mc:AlternateContent>
      </w:r>
      <w:r w:rsidRPr="000E2377">
        <w:rPr>
          <w:rFonts w:asciiTheme="minorHAnsi" w:hAnsiTheme="minorHAnsi"/>
          <w:b w:val="0"/>
          <w:noProof/>
          <w:sz w:val="22"/>
          <w:lang w:eastAsia="en-MY"/>
        </w:rPr>
        <mc:AlternateContent>
          <mc:Choice Requires="wps">
            <w:drawing>
              <wp:anchor distT="0" distB="0" distL="114300" distR="114300" simplePos="0" relativeHeight="252358656" behindDoc="0" locked="0" layoutInCell="1" allowOverlap="1" wp14:anchorId="7D6736D8" wp14:editId="7BB00309">
                <wp:simplePos x="0" y="0"/>
                <wp:positionH relativeFrom="column">
                  <wp:posOffset>3133671</wp:posOffset>
                </wp:positionH>
                <wp:positionV relativeFrom="paragraph">
                  <wp:posOffset>462023</wp:posOffset>
                </wp:positionV>
                <wp:extent cx="427511" cy="344384"/>
                <wp:effectExtent l="0" t="0" r="0" b="0"/>
                <wp:wrapNone/>
                <wp:docPr id="77" name="Text Box 77"/>
                <wp:cNvGraphicFramePr/>
                <a:graphic xmlns:a="http://schemas.openxmlformats.org/drawingml/2006/main">
                  <a:graphicData uri="http://schemas.microsoft.com/office/word/2010/wordprocessingShape">
                    <wps:wsp>
                      <wps:cNvSpPr txBox="1"/>
                      <wps:spPr>
                        <a:xfrm>
                          <a:off x="0" y="0"/>
                          <a:ext cx="427511" cy="344384"/>
                        </a:xfrm>
                        <a:prstGeom prst="rect">
                          <a:avLst/>
                        </a:prstGeom>
                        <a:noFill/>
                        <a:ln w="6350">
                          <a:noFill/>
                        </a:ln>
                      </wps:spPr>
                      <wps:txbx>
                        <w:txbxContent>
                          <w:p w14:paraId="39315329" w14:textId="77777777" w:rsidR="00230AB9" w:rsidRPr="00EA410C" w:rsidRDefault="00230AB9" w:rsidP="00D740DC">
                            <w:pPr>
                              <w:rPr>
                                <w:rFonts w:cs="Times New Roman"/>
                                <w:szCs w:val="24"/>
                              </w:rPr>
                            </w:pPr>
                            <w:r w:rsidRPr="00EA410C">
                              <w:rPr>
                                <w:rFonts w:cs="Times New Roman"/>
                                <w:szCs w:val="24"/>
                              </w:rPr>
                              <w:t>Q</w:t>
                            </w:r>
                            <w:r w:rsidRPr="00EE14D5">
                              <w:rPr>
                                <w:rFonts w:cs="Times New Roman"/>
                                <w:szCs w:val="24"/>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6736D8" id="Text Box 77" o:spid="_x0000_s1149" type="#_x0000_t202" style="position:absolute;left:0;text-align:left;margin-left:246.75pt;margin-top:36.4pt;width:33.65pt;height:27.1pt;z-index:25235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" filled="f" stroked="f" strokeweight=".5pt">
                <v:textbox>
                  <w:txbxContent>
                    <w:p w14:paraId="39315329" w14:textId="77777777" w:rsidR="00230AB9" w:rsidRPr="00EA410C" w:rsidRDefault="00230AB9" w:rsidP="00D740DC">
                      <w:pPr>
                        <w:rPr>
                          <w:rFonts w:cs="Times New Roman"/>
                          <w:szCs w:val="24"/>
                        </w:rPr>
                      </w:pPr>
                      <w:r w:rsidRPr="00EA410C">
                        <w:rPr>
                          <w:rFonts w:cs="Times New Roman"/>
                          <w:szCs w:val="24"/>
                        </w:rPr>
                        <w:t>Q</w:t>
                      </w:r>
                      <w:r w:rsidRPr="00EE14D5">
                        <w:rPr>
                          <w:rFonts w:cs="Times New Roman"/>
                          <w:szCs w:val="24"/>
                          <w:vertAlign w:val="superscript"/>
                        </w:rPr>
                        <w:t>3</w:t>
                      </w:r>
                    </w:p>
                  </w:txbxContent>
                </v:textbox>
              </v:shape>
            </w:pict>
          </mc:Fallback>
        </mc:AlternateContent>
      </w:r>
      <w:r w:rsidRPr="000E2377">
        <w:rPr>
          <w:rFonts w:asciiTheme="minorHAnsi" w:hAnsiTheme="minorHAnsi"/>
          <w:b w:val="0"/>
          <w:noProof/>
          <w:sz w:val="22"/>
          <w:lang w:eastAsia="en-MY"/>
        </w:rPr>
        <mc:AlternateContent>
          <mc:Choice Requires="wps">
            <w:drawing>
              <wp:anchor distT="0" distB="0" distL="114300" distR="114300" simplePos="0" relativeHeight="252356608" behindDoc="0" locked="0" layoutInCell="1" allowOverlap="1" wp14:anchorId="2A71792A" wp14:editId="5E4214B3">
                <wp:simplePos x="0" y="0"/>
                <wp:positionH relativeFrom="column">
                  <wp:posOffset>1144878</wp:posOffset>
                </wp:positionH>
                <wp:positionV relativeFrom="paragraph">
                  <wp:posOffset>1238993</wp:posOffset>
                </wp:positionV>
                <wp:extent cx="427511" cy="344384"/>
                <wp:effectExtent l="0" t="0" r="0" b="0"/>
                <wp:wrapNone/>
                <wp:docPr id="87" name="Text Box 87"/>
                <wp:cNvGraphicFramePr/>
                <a:graphic xmlns:a="http://schemas.openxmlformats.org/drawingml/2006/main">
                  <a:graphicData uri="http://schemas.microsoft.com/office/word/2010/wordprocessingShape">
                    <wps:wsp>
                      <wps:cNvSpPr txBox="1"/>
                      <wps:spPr>
                        <a:xfrm>
                          <a:off x="0" y="0"/>
                          <a:ext cx="427511" cy="344384"/>
                        </a:xfrm>
                        <a:prstGeom prst="rect">
                          <a:avLst/>
                        </a:prstGeom>
                        <a:noFill/>
                        <a:ln w="6350">
                          <a:noFill/>
                        </a:ln>
                      </wps:spPr>
                      <wps:txbx>
                        <w:txbxContent>
                          <w:p w14:paraId="019C30C9" w14:textId="77777777" w:rsidR="00230AB9" w:rsidRPr="00EA410C" w:rsidRDefault="00230AB9" w:rsidP="00D740DC">
                            <w:pPr>
                              <w:rPr>
                                <w:rFonts w:cs="Times New Roman"/>
                                <w:szCs w:val="24"/>
                              </w:rPr>
                            </w:pPr>
                            <w:r w:rsidRPr="00EA410C">
                              <w:rPr>
                                <w:rFonts w:cs="Times New Roman"/>
                                <w:szCs w:val="24"/>
                              </w:rPr>
                              <w:t>Q</w:t>
                            </w:r>
                            <w:r w:rsidRPr="00EE14D5">
                              <w:rPr>
                                <w:rFonts w:cs="Times New Roman"/>
                                <w:szCs w:val="24"/>
                                <w:vertAlign w:val="super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71792A" id="Text Box 87" o:spid="_x0000_s1150" type="#_x0000_t202" style="position:absolute;left:0;text-align:left;margin-left:90.15pt;margin-top:97.55pt;width:33.65pt;height:27.1pt;z-index:25235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" filled="f" stroked="f" strokeweight=".5pt">
                <v:textbox>
                  <w:txbxContent>
                    <w:p w14:paraId="019C30C9" w14:textId="77777777" w:rsidR="00230AB9" w:rsidRPr="00EA410C" w:rsidRDefault="00230AB9" w:rsidP="00D740DC">
                      <w:pPr>
                        <w:rPr>
                          <w:rFonts w:cs="Times New Roman"/>
                          <w:szCs w:val="24"/>
                        </w:rPr>
                      </w:pPr>
                      <w:r w:rsidRPr="00EA410C">
                        <w:rPr>
                          <w:rFonts w:cs="Times New Roman"/>
                          <w:szCs w:val="24"/>
                        </w:rPr>
                        <w:t>Q</w:t>
                      </w:r>
                      <w:r w:rsidRPr="00EE14D5">
                        <w:rPr>
                          <w:rFonts w:cs="Times New Roman"/>
                          <w:szCs w:val="24"/>
                          <w:vertAlign w:val="superscript"/>
                        </w:rPr>
                        <w:t>1</w:t>
                      </w:r>
                    </w:p>
                  </w:txbxContent>
                </v:textbox>
              </v:shape>
            </w:pict>
          </mc:Fallback>
        </mc:AlternateContent>
      </w:r>
      <w:r w:rsidRPr="000E2377">
        <w:rPr>
          <w:b w:val="0"/>
          <w:noProof/>
          <w:lang w:eastAsia="en-MY"/>
        </w:rPr>
        <w:drawing>
          <wp:inline distT="0" distB="0" distL="0" distR="0" wp14:anchorId="28210C11" wp14:editId="16D8B761">
            <wp:extent cx="5720080" cy="2295525"/>
            <wp:effectExtent l="0" t="0" r="0" b="9525"/>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20080" cy="2295525"/>
                    </a:xfrm>
                    <a:prstGeom prst="rect">
                      <a:avLst/>
                    </a:prstGeom>
                    <a:noFill/>
                    <a:ln>
                      <a:noFill/>
                    </a:ln>
                  </pic:spPr>
                </pic:pic>
              </a:graphicData>
            </a:graphic>
          </wp:inline>
        </w:drawing>
      </w:r>
    </w:p>
    <w:p w14:paraId="582D118F" w14:textId="77777777" w:rsidR="00D740DC" w:rsidRPr="000E2377" w:rsidRDefault="00D740DC" w:rsidP="00D740DC">
      <w:pPr>
        <w:pStyle w:val="Caption"/>
        <w:rPr>
          <w:rFonts w:asciiTheme="majorBidi" w:hAnsiTheme="majorBidi"/>
        </w:rPr>
      </w:pPr>
      <w:bookmarkStart w:id="525" w:name="_Toc521420462"/>
      <w:bookmarkStart w:id="526" w:name="_Toc525223196"/>
      <w:bookmarkStart w:id="527" w:name="_Toc525528343"/>
      <w:bookmarkStart w:id="528" w:name="_Toc525706358"/>
      <w:r w:rsidRPr="000E2377">
        <w:t xml:space="preserve">Figure </w:t>
      </w:r>
      <w:r>
        <w:t>3</w:t>
      </w:r>
      <w:r w:rsidRPr="000E2377">
        <w:t>.</w:t>
      </w:r>
      <w:r>
        <w:t>10</w:t>
      </w:r>
      <w:r w:rsidRPr="000E2377">
        <w:t xml:space="preserve">: </w:t>
      </w:r>
      <w:r w:rsidRPr="000E2377">
        <w:rPr>
          <w:rFonts w:asciiTheme="majorBidi" w:hAnsiTheme="majorBidi"/>
        </w:rPr>
        <w:t>Deconvolution of boroaluminosilicate glass using Gaussian</w:t>
      </w:r>
      <w:r>
        <w:rPr>
          <w:rFonts w:asciiTheme="majorBidi" w:hAnsiTheme="majorBidi"/>
        </w:rPr>
        <w:t xml:space="preserve"> peaks</w:t>
      </w:r>
      <w:r w:rsidRPr="000E2377">
        <w:rPr>
          <w:rFonts w:asciiTheme="majorBidi" w:hAnsiTheme="majorBidi"/>
        </w:rPr>
        <w:t>.</w:t>
      </w:r>
      <w:bookmarkEnd w:id="525"/>
      <w:bookmarkEnd w:id="526"/>
      <w:bookmarkEnd w:id="527"/>
      <w:bookmarkEnd w:id="528"/>
    </w:p>
    <w:p w14:paraId="54078D10" w14:textId="1A78CF20" w:rsidR="00D740DC" w:rsidRDefault="00D740DC" w:rsidP="00D740DC">
      <w:pPr>
        <w:spacing w:line="360" w:lineRule="auto"/>
        <w:jc w:val="both"/>
        <w:rPr>
          <w:rFonts w:asciiTheme="majorBidi" w:hAnsiTheme="majorBidi"/>
          <w:b w:val="0"/>
        </w:rPr>
      </w:pPr>
      <w:r w:rsidRPr="000E2377">
        <w:rPr>
          <w:rFonts w:asciiTheme="majorBidi" w:hAnsiTheme="majorBidi"/>
          <w:b w:val="0"/>
        </w:rPr>
        <w:t xml:space="preserve">There are specific </w:t>
      </w:r>
      <w:r>
        <w:rPr>
          <w:rFonts w:asciiTheme="majorBidi" w:hAnsiTheme="majorBidi"/>
          <w:b w:val="0"/>
        </w:rPr>
        <w:t xml:space="preserve">frequency </w:t>
      </w:r>
      <w:r w:rsidRPr="000E2377">
        <w:rPr>
          <w:rFonts w:asciiTheme="majorBidi" w:hAnsiTheme="majorBidi"/>
          <w:b w:val="0"/>
        </w:rPr>
        <w:t>range</w:t>
      </w:r>
      <w:r>
        <w:rPr>
          <w:rFonts w:asciiTheme="majorBidi" w:hAnsiTheme="majorBidi"/>
          <w:b w:val="0"/>
        </w:rPr>
        <w:t>s that related to each</w:t>
      </w:r>
      <w:r w:rsidRPr="000E2377">
        <w:rPr>
          <w:rFonts w:asciiTheme="majorBidi" w:hAnsiTheme="majorBidi"/>
          <w:b w:val="0"/>
        </w:rPr>
        <w:t xml:space="preserve"> Q species</w:t>
      </w:r>
      <w:r w:rsidR="00AB0F43">
        <w:rPr>
          <w:rFonts w:asciiTheme="majorBidi" w:hAnsiTheme="majorBidi"/>
          <w:b w:val="0"/>
        </w:rPr>
        <w:t>, aluminium and boron bonding</w:t>
      </w:r>
      <w:r>
        <w:rPr>
          <w:rFonts w:asciiTheme="majorBidi" w:hAnsiTheme="majorBidi"/>
          <w:b w:val="0"/>
        </w:rPr>
        <w:t xml:space="preserve">; the amounts </w:t>
      </w:r>
      <w:r w:rsidRPr="000E2377">
        <w:rPr>
          <w:rFonts w:asciiTheme="majorBidi" w:hAnsiTheme="majorBidi"/>
          <w:b w:val="0"/>
        </w:rPr>
        <w:t xml:space="preserve">can be calculated by </w:t>
      </w:r>
      <w:r w:rsidR="000707B0" w:rsidRPr="000E2377">
        <w:rPr>
          <w:rFonts w:asciiTheme="majorBidi" w:hAnsiTheme="majorBidi"/>
          <w:b w:val="0"/>
        </w:rPr>
        <w:t>determin</w:t>
      </w:r>
      <w:r w:rsidR="000707B0">
        <w:rPr>
          <w:rFonts w:asciiTheme="majorBidi" w:hAnsiTheme="majorBidi"/>
          <w:b w:val="0"/>
        </w:rPr>
        <w:t>ing</w:t>
      </w:r>
      <w:r w:rsidR="000707B0" w:rsidRPr="000E2377">
        <w:rPr>
          <w:rFonts w:asciiTheme="majorBidi" w:hAnsiTheme="majorBidi"/>
          <w:b w:val="0"/>
        </w:rPr>
        <w:t xml:space="preserve"> </w:t>
      </w:r>
      <w:r w:rsidRPr="000E2377">
        <w:rPr>
          <w:rFonts w:asciiTheme="majorBidi" w:hAnsiTheme="majorBidi"/>
          <w:b w:val="0"/>
        </w:rPr>
        <w:t>their fraction</w:t>
      </w:r>
      <w:r>
        <w:rPr>
          <w:rFonts w:asciiTheme="majorBidi" w:hAnsiTheme="majorBidi"/>
          <w:b w:val="0"/>
        </w:rPr>
        <w:t>al;</w:t>
      </w:r>
      <w:r w:rsidRPr="000E2377">
        <w:rPr>
          <w:rFonts w:asciiTheme="majorBidi" w:hAnsiTheme="majorBidi"/>
          <w:b w:val="0"/>
        </w:rPr>
        <w:t xml:space="preserve"> intensit</w:t>
      </w:r>
      <w:r>
        <w:rPr>
          <w:rFonts w:asciiTheme="majorBidi" w:hAnsiTheme="majorBidi"/>
          <w:b w:val="0"/>
        </w:rPr>
        <w:t>ies of the deconvoluted peaks</w:t>
      </w:r>
      <w:r w:rsidRPr="000E2377">
        <w:rPr>
          <w:rFonts w:asciiTheme="majorBidi" w:hAnsiTheme="majorBidi"/>
          <w:b w:val="0"/>
        </w:rPr>
        <w:t xml:space="preserve">. Table 3.6 below show the </w:t>
      </w:r>
      <w:r>
        <w:rPr>
          <w:rFonts w:asciiTheme="majorBidi" w:hAnsiTheme="majorBidi"/>
          <w:b w:val="0"/>
        </w:rPr>
        <w:t xml:space="preserve">frequency </w:t>
      </w:r>
      <w:r w:rsidRPr="000E2377">
        <w:rPr>
          <w:rFonts w:asciiTheme="majorBidi" w:hAnsiTheme="majorBidi"/>
          <w:b w:val="0"/>
        </w:rPr>
        <w:t xml:space="preserve">range </w:t>
      </w:r>
      <w:r>
        <w:rPr>
          <w:rFonts w:asciiTheme="majorBidi" w:hAnsiTheme="majorBidi"/>
          <w:b w:val="0"/>
        </w:rPr>
        <w:t>for each</w:t>
      </w:r>
      <w:r w:rsidRPr="000E2377">
        <w:rPr>
          <w:rFonts w:asciiTheme="majorBidi" w:hAnsiTheme="majorBidi"/>
          <w:b w:val="0"/>
        </w:rPr>
        <w:t xml:space="preserve"> species. </w:t>
      </w:r>
    </w:p>
    <w:p w14:paraId="40BB9127" w14:textId="77777777" w:rsidR="00D740DC" w:rsidRPr="000E2377" w:rsidRDefault="00D740DC" w:rsidP="00D740DC">
      <w:pPr>
        <w:pStyle w:val="Caption"/>
        <w:rPr>
          <w:rFonts w:asciiTheme="majorBidi" w:hAnsiTheme="majorBidi"/>
          <w:b w:val="0"/>
        </w:rPr>
      </w:pPr>
      <w:bookmarkStart w:id="529" w:name="_Toc521483069"/>
      <w:bookmarkStart w:id="530" w:name="_Toc525225331"/>
      <w:bookmarkStart w:id="531" w:name="_Toc525706427"/>
      <w:bookmarkStart w:id="532" w:name="_Hlk10985581"/>
      <w:r w:rsidRPr="000E2377">
        <w:t xml:space="preserve">Table </w:t>
      </w:r>
      <w:r>
        <w:t>3</w:t>
      </w:r>
      <w:r w:rsidRPr="000E2377">
        <w:t>.</w:t>
      </w:r>
      <w:r>
        <w:t>6</w:t>
      </w:r>
      <w:r w:rsidRPr="000E2377">
        <w:rPr>
          <w:rFonts w:asciiTheme="majorBidi" w:hAnsiTheme="majorBidi"/>
          <w:b w:val="0"/>
        </w:rPr>
        <w:t xml:space="preserve">: </w:t>
      </w:r>
      <w:r>
        <w:rPr>
          <w:rFonts w:asciiTheme="majorBidi" w:hAnsiTheme="majorBidi"/>
        </w:rPr>
        <w:t>Raman peak assignments</w:t>
      </w:r>
      <w:r w:rsidRPr="00237BBD">
        <w:rPr>
          <w:rFonts w:asciiTheme="majorBidi" w:hAnsiTheme="majorBidi"/>
        </w:rPr>
        <w:t>.</w:t>
      </w:r>
      <w:bookmarkEnd w:id="529"/>
      <w:bookmarkEnd w:id="530"/>
      <w:bookmarkEnd w:id="531"/>
    </w:p>
    <w:tbl>
      <w:tblPr>
        <w:tblW w:w="6663" w:type="dxa"/>
        <w:jc w:val="center"/>
        <w:tblLook w:val="04A0" w:firstRow="1" w:lastRow="0" w:firstColumn="1" w:lastColumn="0" w:noHBand="0" w:noVBand="1"/>
      </w:tblPr>
      <w:tblGrid>
        <w:gridCol w:w="1843"/>
        <w:gridCol w:w="2268"/>
        <w:gridCol w:w="2552"/>
      </w:tblGrid>
      <w:tr w:rsidR="00D740DC" w:rsidRPr="000E2377" w14:paraId="6EC019B2" w14:textId="77777777" w:rsidTr="00B11F5F">
        <w:trPr>
          <w:trHeight w:val="360"/>
          <w:jc w:val="center"/>
        </w:trPr>
        <w:tc>
          <w:tcPr>
            <w:tcW w:w="1843" w:type="dxa"/>
            <w:tcBorders>
              <w:top w:val="single" w:sz="4" w:space="0" w:color="auto"/>
              <w:left w:val="nil"/>
              <w:bottom w:val="single" w:sz="4" w:space="0" w:color="auto"/>
              <w:right w:val="nil"/>
            </w:tcBorders>
            <w:shd w:val="clear" w:color="auto" w:fill="auto"/>
            <w:vAlign w:val="center"/>
            <w:hideMark/>
          </w:tcPr>
          <w:bookmarkEnd w:id="532"/>
          <w:p w14:paraId="76BC660C" w14:textId="77777777" w:rsidR="00D740DC" w:rsidRPr="000E2377" w:rsidRDefault="00D740DC" w:rsidP="00B11F5F">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Species</w:t>
            </w:r>
          </w:p>
        </w:tc>
        <w:tc>
          <w:tcPr>
            <w:tcW w:w="2268" w:type="dxa"/>
            <w:tcBorders>
              <w:top w:val="single" w:sz="4" w:space="0" w:color="auto"/>
              <w:left w:val="nil"/>
              <w:bottom w:val="single" w:sz="4" w:space="0" w:color="auto"/>
              <w:right w:val="nil"/>
            </w:tcBorders>
            <w:shd w:val="clear" w:color="auto" w:fill="auto"/>
            <w:vAlign w:val="center"/>
            <w:hideMark/>
          </w:tcPr>
          <w:p w14:paraId="34A3D53E" w14:textId="77777777" w:rsidR="00D740DC" w:rsidRPr="000E2377" w:rsidRDefault="00D740DC" w:rsidP="00B11F5F">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Range</w:t>
            </w:r>
          </w:p>
        </w:tc>
        <w:tc>
          <w:tcPr>
            <w:tcW w:w="2552" w:type="dxa"/>
            <w:tcBorders>
              <w:top w:val="single" w:sz="4" w:space="0" w:color="auto"/>
              <w:left w:val="nil"/>
              <w:bottom w:val="single" w:sz="4" w:space="0" w:color="auto"/>
              <w:right w:val="nil"/>
            </w:tcBorders>
            <w:shd w:val="clear" w:color="auto" w:fill="auto"/>
            <w:vAlign w:val="center"/>
            <w:hideMark/>
          </w:tcPr>
          <w:p w14:paraId="0C38812C" w14:textId="77777777" w:rsidR="00D740DC" w:rsidRPr="000E2377" w:rsidRDefault="00D740DC" w:rsidP="00B11F5F">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Reference</w:t>
            </w:r>
          </w:p>
        </w:tc>
      </w:tr>
      <w:tr w:rsidR="00D740DC" w:rsidRPr="000E2377" w14:paraId="09BD7F3C" w14:textId="77777777" w:rsidTr="00B11F5F">
        <w:trPr>
          <w:trHeight w:val="360"/>
          <w:jc w:val="center"/>
        </w:trPr>
        <w:tc>
          <w:tcPr>
            <w:tcW w:w="1843" w:type="dxa"/>
            <w:tcBorders>
              <w:top w:val="nil"/>
              <w:left w:val="nil"/>
              <w:bottom w:val="nil"/>
              <w:right w:val="nil"/>
            </w:tcBorders>
            <w:shd w:val="clear" w:color="auto" w:fill="auto"/>
            <w:noWrap/>
            <w:vAlign w:val="center"/>
            <w:hideMark/>
          </w:tcPr>
          <w:p w14:paraId="5AA6C204" w14:textId="77777777" w:rsidR="00D740DC" w:rsidRPr="000E2377" w:rsidRDefault="00D740DC" w:rsidP="00B11F5F">
            <w:pPr>
              <w:spacing w:before="240"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Q</w:t>
            </w:r>
            <w:r w:rsidRPr="000E2377">
              <w:rPr>
                <w:rFonts w:eastAsia="Times New Roman" w:cs="Times New Roman"/>
                <w:b w:val="0"/>
                <w:color w:val="000000"/>
                <w:szCs w:val="24"/>
                <w:vertAlign w:val="superscript"/>
                <w:lang w:eastAsia="en-MY"/>
              </w:rPr>
              <w:t>0</w:t>
            </w:r>
          </w:p>
        </w:tc>
        <w:tc>
          <w:tcPr>
            <w:tcW w:w="2268" w:type="dxa"/>
            <w:tcBorders>
              <w:top w:val="nil"/>
              <w:left w:val="nil"/>
              <w:bottom w:val="nil"/>
              <w:right w:val="nil"/>
            </w:tcBorders>
            <w:shd w:val="clear" w:color="auto" w:fill="auto"/>
            <w:vAlign w:val="center"/>
            <w:hideMark/>
          </w:tcPr>
          <w:p w14:paraId="4A6DF323" w14:textId="77777777" w:rsidR="00D740DC" w:rsidRPr="000E2377" w:rsidRDefault="00D740DC" w:rsidP="00B11F5F">
            <w:pPr>
              <w:spacing w:before="240"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775-785 cm</w:t>
            </w:r>
            <w:r w:rsidRPr="000E2377">
              <w:rPr>
                <w:rFonts w:eastAsia="Times New Roman" w:cs="Times New Roman"/>
                <w:b w:val="0"/>
                <w:color w:val="000000"/>
                <w:szCs w:val="24"/>
                <w:vertAlign w:val="superscript"/>
                <w:lang w:eastAsia="en-MY"/>
              </w:rPr>
              <w:t>-1</w:t>
            </w:r>
          </w:p>
        </w:tc>
        <w:tc>
          <w:tcPr>
            <w:tcW w:w="2552" w:type="dxa"/>
            <w:tcBorders>
              <w:top w:val="nil"/>
              <w:left w:val="nil"/>
              <w:bottom w:val="nil"/>
              <w:right w:val="nil"/>
            </w:tcBorders>
            <w:shd w:val="clear" w:color="auto" w:fill="auto"/>
            <w:vAlign w:val="center"/>
            <w:hideMark/>
          </w:tcPr>
          <w:p w14:paraId="77155DD4" w14:textId="77777777" w:rsidR="00D740DC" w:rsidRPr="000E2377" w:rsidRDefault="00D740DC" w:rsidP="00B11F5F">
            <w:pPr>
              <w:spacing w:before="240" w:after="0" w:line="480" w:lineRule="auto"/>
              <w:jc w:val="center"/>
              <w:rPr>
                <w:rFonts w:eastAsia="Times New Roman" w:cs="Times New Roman"/>
                <w:b w:val="0"/>
                <w:color w:val="000000"/>
                <w:szCs w:val="24"/>
                <w:lang w:eastAsia="en-MY"/>
              </w:rPr>
            </w:pPr>
            <w:r w:rsidRPr="000E2377">
              <w:rPr>
                <w:rFonts w:eastAsia="Times New Roman" w:cs="Times New Roman"/>
                <w:b w:val="0"/>
                <w:noProof/>
                <w:color w:val="000000"/>
                <w:szCs w:val="24"/>
                <w:lang w:eastAsia="en-MY"/>
              </w:rPr>
              <w:t>(Cesaratto et al., 2010)</w:t>
            </w:r>
          </w:p>
        </w:tc>
      </w:tr>
      <w:tr w:rsidR="00D740DC" w:rsidRPr="000E2377" w14:paraId="50F200E5" w14:textId="77777777" w:rsidTr="00B11F5F">
        <w:trPr>
          <w:trHeight w:val="285"/>
          <w:jc w:val="center"/>
        </w:trPr>
        <w:tc>
          <w:tcPr>
            <w:tcW w:w="1843" w:type="dxa"/>
            <w:tcBorders>
              <w:top w:val="nil"/>
              <w:left w:val="nil"/>
              <w:bottom w:val="nil"/>
              <w:right w:val="nil"/>
            </w:tcBorders>
            <w:shd w:val="clear" w:color="auto" w:fill="auto"/>
            <w:noWrap/>
            <w:vAlign w:val="center"/>
            <w:hideMark/>
          </w:tcPr>
          <w:p w14:paraId="45C6E5F5"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Q</w:t>
            </w:r>
            <w:r w:rsidRPr="000E2377">
              <w:rPr>
                <w:rFonts w:eastAsia="Times New Roman" w:cs="Times New Roman"/>
                <w:b w:val="0"/>
                <w:color w:val="000000"/>
                <w:szCs w:val="24"/>
                <w:vertAlign w:val="superscript"/>
                <w:lang w:eastAsia="en-MY"/>
              </w:rPr>
              <w:t>1</w:t>
            </w:r>
          </w:p>
        </w:tc>
        <w:tc>
          <w:tcPr>
            <w:tcW w:w="2268" w:type="dxa"/>
            <w:tcBorders>
              <w:top w:val="nil"/>
              <w:left w:val="nil"/>
              <w:bottom w:val="nil"/>
              <w:right w:val="nil"/>
            </w:tcBorders>
            <w:shd w:val="clear" w:color="auto" w:fill="auto"/>
            <w:vAlign w:val="center"/>
            <w:hideMark/>
          </w:tcPr>
          <w:p w14:paraId="7A70B494"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850-860 cm</w:t>
            </w:r>
            <w:r w:rsidRPr="000E2377">
              <w:rPr>
                <w:rFonts w:eastAsia="Times New Roman" w:cs="Times New Roman"/>
                <w:b w:val="0"/>
                <w:color w:val="000000"/>
                <w:szCs w:val="24"/>
                <w:vertAlign w:val="superscript"/>
                <w:lang w:eastAsia="en-MY"/>
              </w:rPr>
              <w:t>-1</w:t>
            </w:r>
          </w:p>
        </w:tc>
        <w:tc>
          <w:tcPr>
            <w:tcW w:w="2552" w:type="dxa"/>
            <w:tcBorders>
              <w:top w:val="nil"/>
              <w:left w:val="nil"/>
              <w:bottom w:val="nil"/>
              <w:right w:val="nil"/>
            </w:tcBorders>
            <w:shd w:val="clear" w:color="auto" w:fill="auto"/>
            <w:vAlign w:val="center"/>
            <w:hideMark/>
          </w:tcPr>
          <w:p w14:paraId="50CC8408"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noProof/>
                <w:color w:val="000000"/>
                <w:szCs w:val="24"/>
                <w:lang w:eastAsia="en-MY"/>
              </w:rPr>
              <w:t>(Zhang et al., 2015)</w:t>
            </w:r>
          </w:p>
        </w:tc>
      </w:tr>
      <w:tr w:rsidR="00D740DC" w:rsidRPr="000E2377" w14:paraId="00D8523F" w14:textId="77777777" w:rsidTr="00B11F5F">
        <w:trPr>
          <w:trHeight w:val="300"/>
          <w:jc w:val="center"/>
        </w:trPr>
        <w:tc>
          <w:tcPr>
            <w:tcW w:w="1843" w:type="dxa"/>
            <w:tcBorders>
              <w:top w:val="nil"/>
              <w:left w:val="nil"/>
              <w:bottom w:val="nil"/>
              <w:right w:val="nil"/>
            </w:tcBorders>
            <w:shd w:val="clear" w:color="auto" w:fill="auto"/>
            <w:noWrap/>
            <w:vAlign w:val="center"/>
            <w:hideMark/>
          </w:tcPr>
          <w:p w14:paraId="6F1930CC" w14:textId="77777777" w:rsidR="00D740DC" w:rsidRPr="000E2377" w:rsidRDefault="00D740DC" w:rsidP="00B11F5F">
            <w:pPr>
              <w:spacing w:after="0" w:line="480" w:lineRule="auto"/>
              <w:jc w:val="center"/>
              <w:rPr>
                <w:rFonts w:eastAsia="Times New Roman" w:cs="Times New Roman"/>
                <w:b w:val="0"/>
                <w:color w:val="000000"/>
                <w:szCs w:val="24"/>
                <w:lang w:eastAsia="en-MY"/>
              </w:rPr>
            </w:pPr>
          </w:p>
        </w:tc>
        <w:tc>
          <w:tcPr>
            <w:tcW w:w="2268" w:type="dxa"/>
            <w:tcBorders>
              <w:top w:val="nil"/>
              <w:left w:val="nil"/>
              <w:bottom w:val="nil"/>
              <w:right w:val="nil"/>
            </w:tcBorders>
            <w:shd w:val="clear" w:color="auto" w:fill="auto"/>
            <w:vAlign w:val="center"/>
            <w:hideMark/>
          </w:tcPr>
          <w:p w14:paraId="3471F99F"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930-940 cm</w:t>
            </w:r>
            <w:r w:rsidRPr="000E2377">
              <w:rPr>
                <w:rFonts w:eastAsia="Times New Roman" w:cs="Times New Roman"/>
                <w:b w:val="0"/>
                <w:color w:val="000000"/>
                <w:szCs w:val="24"/>
                <w:vertAlign w:val="superscript"/>
                <w:lang w:eastAsia="en-MY"/>
              </w:rPr>
              <w:t>-1</w:t>
            </w:r>
          </w:p>
        </w:tc>
        <w:tc>
          <w:tcPr>
            <w:tcW w:w="2552" w:type="dxa"/>
            <w:tcBorders>
              <w:top w:val="nil"/>
              <w:left w:val="nil"/>
              <w:bottom w:val="nil"/>
              <w:right w:val="nil"/>
            </w:tcBorders>
            <w:shd w:val="clear" w:color="auto" w:fill="auto"/>
            <w:vAlign w:val="center"/>
            <w:hideMark/>
          </w:tcPr>
          <w:p w14:paraId="138217D0"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noProof/>
                <w:color w:val="000000"/>
                <w:szCs w:val="24"/>
                <w:lang w:eastAsia="en-MY"/>
              </w:rPr>
              <w:t>(Cesaratto et al., 2010)</w:t>
            </w:r>
          </w:p>
        </w:tc>
      </w:tr>
      <w:tr w:rsidR="00D740DC" w:rsidRPr="000E2377" w14:paraId="651E813A" w14:textId="77777777" w:rsidTr="00B11F5F">
        <w:trPr>
          <w:trHeight w:val="300"/>
          <w:jc w:val="center"/>
        </w:trPr>
        <w:tc>
          <w:tcPr>
            <w:tcW w:w="1843" w:type="dxa"/>
            <w:tcBorders>
              <w:top w:val="nil"/>
              <w:left w:val="nil"/>
              <w:bottom w:val="nil"/>
              <w:right w:val="nil"/>
            </w:tcBorders>
            <w:shd w:val="clear" w:color="auto" w:fill="auto"/>
            <w:noWrap/>
            <w:vAlign w:val="center"/>
            <w:hideMark/>
          </w:tcPr>
          <w:p w14:paraId="05D7D989"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Q</w:t>
            </w:r>
            <w:r w:rsidRPr="000E2377">
              <w:rPr>
                <w:rFonts w:eastAsia="Times New Roman" w:cs="Times New Roman"/>
                <w:b w:val="0"/>
                <w:color w:val="000000"/>
                <w:szCs w:val="24"/>
                <w:vertAlign w:val="superscript"/>
                <w:lang w:eastAsia="en-MY"/>
              </w:rPr>
              <w:t>2</w:t>
            </w:r>
          </w:p>
        </w:tc>
        <w:tc>
          <w:tcPr>
            <w:tcW w:w="2268" w:type="dxa"/>
            <w:tcBorders>
              <w:top w:val="nil"/>
              <w:left w:val="nil"/>
              <w:bottom w:val="nil"/>
              <w:right w:val="nil"/>
            </w:tcBorders>
            <w:shd w:val="clear" w:color="auto" w:fill="auto"/>
            <w:vAlign w:val="center"/>
            <w:hideMark/>
          </w:tcPr>
          <w:p w14:paraId="44C11B69"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920-940 cm</w:t>
            </w:r>
            <w:r w:rsidRPr="000E2377">
              <w:rPr>
                <w:rFonts w:eastAsia="Times New Roman" w:cs="Times New Roman"/>
                <w:b w:val="0"/>
                <w:color w:val="000000"/>
                <w:szCs w:val="24"/>
                <w:vertAlign w:val="superscript"/>
                <w:lang w:eastAsia="en-MY"/>
              </w:rPr>
              <w:t>-1</w:t>
            </w:r>
          </w:p>
        </w:tc>
        <w:tc>
          <w:tcPr>
            <w:tcW w:w="2552" w:type="dxa"/>
            <w:tcBorders>
              <w:top w:val="nil"/>
              <w:left w:val="nil"/>
              <w:bottom w:val="nil"/>
              <w:right w:val="nil"/>
            </w:tcBorders>
            <w:shd w:val="clear" w:color="auto" w:fill="auto"/>
            <w:vAlign w:val="center"/>
            <w:hideMark/>
          </w:tcPr>
          <w:p w14:paraId="3F456AC9"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noProof/>
                <w:color w:val="000000"/>
                <w:szCs w:val="24"/>
                <w:lang w:eastAsia="en-MY"/>
              </w:rPr>
              <w:t>(Zhang et al., 2015)</w:t>
            </w:r>
          </w:p>
        </w:tc>
      </w:tr>
      <w:tr w:rsidR="00D740DC" w:rsidRPr="000E2377" w14:paraId="0E8CA2AD" w14:textId="77777777" w:rsidTr="00B11F5F">
        <w:trPr>
          <w:trHeight w:val="300"/>
          <w:jc w:val="center"/>
        </w:trPr>
        <w:tc>
          <w:tcPr>
            <w:tcW w:w="1843" w:type="dxa"/>
            <w:tcBorders>
              <w:top w:val="nil"/>
              <w:left w:val="nil"/>
              <w:bottom w:val="nil"/>
              <w:right w:val="nil"/>
            </w:tcBorders>
            <w:shd w:val="clear" w:color="auto" w:fill="auto"/>
            <w:noWrap/>
            <w:vAlign w:val="center"/>
          </w:tcPr>
          <w:p w14:paraId="5E507099"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Al-O bonds</w:t>
            </w:r>
          </w:p>
        </w:tc>
        <w:tc>
          <w:tcPr>
            <w:tcW w:w="2268" w:type="dxa"/>
            <w:tcBorders>
              <w:top w:val="nil"/>
              <w:left w:val="nil"/>
              <w:bottom w:val="nil"/>
              <w:right w:val="nil"/>
            </w:tcBorders>
            <w:shd w:val="clear" w:color="auto" w:fill="auto"/>
            <w:vAlign w:val="center"/>
          </w:tcPr>
          <w:p w14:paraId="4EFC9850"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950-1000</w:t>
            </w:r>
            <w:r>
              <w:rPr>
                <w:rFonts w:eastAsia="Times New Roman" w:cs="Times New Roman"/>
                <w:b w:val="0"/>
                <w:color w:val="000000"/>
                <w:szCs w:val="24"/>
                <w:lang w:eastAsia="en-MY"/>
              </w:rPr>
              <w:t xml:space="preserve"> </w:t>
            </w:r>
            <w:r w:rsidRPr="000E2377">
              <w:rPr>
                <w:rFonts w:eastAsia="Times New Roman" w:cs="Times New Roman"/>
                <w:b w:val="0"/>
                <w:color w:val="000000"/>
                <w:szCs w:val="24"/>
                <w:lang w:eastAsia="en-MY"/>
              </w:rPr>
              <w:t>cm</w:t>
            </w:r>
            <w:r w:rsidRPr="000E2377">
              <w:rPr>
                <w:rFonts w:eastAsia="Times New Roman" w:cs="Times New Roman"/>
                <w:b w:val="0"/>
                <w:color w:val="000000"/>
                <w:szCs w:val="24"/>
                <w:vertAlign w:val="superscript"/>
                <w:lang w:eastAsia="en-MY"/>
              </w:rPr>
              <w:t>-1</w:t>
            </w:r>
          </w:p>
        </w:tc>
        <w:tc>
          <w:tcPr>
            <w:tcW w:w="2552" w:type="dxa"/>
            <w:tcBorders>
              <w:top w:val="nil"/>
              <w:left w:val="nil"/>
              <w:bottom w:val="nil"/>
              <w:right w:val="nil"/>
            </w:tcBorders>
            <w:shd w:val="clear" w:color="auto" w:fill="auto"/>
            <w:vAlign w:val="center"/>
          </w:tcPr>
          <w:p w14:paraId="4B6C2322" w14:textId="77777777" w:rsidR="00D740DC" w:rsidRPr="000E2377" w:rsidRDefault="00D740DC" w:rsidP="00B11F5F">
            <w:pPr>
              <w:spacing w:after="0" w:line="480" w:lineRule="auto"/>
              <w:jc w:val="center"/>
              <w:rPr>
                <w:rFonts w:eastAsia="Times New Roman" w:cs="Times New Roman"/>
                <w:b w:val="0"/>
                <w:noProof/>
                <w:color w:val="000000"/>
                <w:szCs w:val="24"/>
                <w:lang w:eastAsia="en-MY"/>
              </w:rPr>
            </w:pPr>
            <w:r w:rsidRPr="00D81823">
              <w:rPr>
                <w:rFonts w:eastAsia="Times New Roman" w:cs="Times New Roman"/>
                <w:b w:val="0"/>
                <w:noProof/>
                <w:color w:val="000000"/>
                <w:szCs w:val="24"/>
                <w:lang w:eastAsia="en-MY"/>
              </w:rPr>
              <w:t>(Bechgaard et al., 2016)</w:t>
            </w:r>
          </w:p>
        </w:tc>
      </w:tr>
      <w:tr w:rsidR="00D740DC" w:rsidRPr="000E2377" w14:paraId="2F33F59A" w14:textId="77777777" w:rsidTr="00B11F5F">
        <w:trPr>
          <w:trHeight w:val="285"/>
          <w:jc w:val="center"/>
        </w:trPr>
        <w:tc>
          <w:tcPr>
            <w:tcW w:w="1843" w:type="dxa"/>
            <w:tcBorders>
              <w:top w:val="nil"/>
              <w:left w:val="nil"/>
              <w:bottom w:val="nil"/>
              <w:right w:val="nil"/>
            </w:tcBorders>
            <w:shd w:val="clear" w:color="auto" w:fill="auto"/>
            <w:noWrap/>
            <w:vAlign w:val="center"/>
            <w:hideMark/>
          </w:tcPr>
          <w:p w14:paraId="444979B9" w14:textId="77777777" w:rsidR="00D740DC" w:rsidRPr="000E2377" w:rsidRDefault="00D740DC" w:rsidP="00B11F5F">
            <w:pPr>
              <w:spacing w:after="0" w:line="480" w:lineRule="auto"/>
              <w:jc w:val="center"/>
              <w:rPr>
                <w:rFonts w:eastAsia="Times New Roman" w:cs="Times New Roman"/>
                <w:b w:val="0"/>
                <w:color w:val="000000"/>
                <w:szCs w:val="24"/>
                <w:lang w:eastAsia="en-MY"/>
              </w:rPr>
            </w:pPr>
          </w:p>
        </w:tc>
        <w:tc>
          <w:tcPr>
            <w:tcW w:w="2268" w:type="dxa"/>
            <w:tcBorders>
              <w:top w:val="nil"/>
              <w:left w:val="nil"/>
              <w:bottom w:val="nil"/>
              <w:right w:val="nil"/>
            </w:tcBorders>
            <w:shd w:val="clear" w:color="auto" w:fill="auto"/>
            <w:vAlign w:val="center"/>
            <w:hideMark/>
          </w:tcPr>
          <w:p w14:paraId="51CF94DC"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980-990 cm</w:t>
            </w:r>
            <w:r w:rsidRPr="000E2377">
              <w:rPr>
                <w:rFonts w:eastAsia="Times New Roman" w:cs="Times New Roman"/>
                <w:b w:val="0"/>
                <w:color w:val="000000"/>
                <w:szCs w:val="24"/>
                <w:vertAlign w:val="superscript"/>
                <w:lang w:eastAsia="en-MY"/>
              </w:rPr>
              <w:t>-1</w:t>
            </w:r>
          </w:p>
        </w:tc>
        <w:tc>
          <w:tcPr>
            <w:tcW w:w="2552" w:type="dxa"/>
            <w:tcBorders>
              <w:top w:val="nil"/>
              <w:left w:val="nil"/>
              <w:bottom w:val="nil"/>
              <w:right w:val="nil"/>
            </w:tcBorders>
            <w:shd w:val="clear" w:color="auto" w:fill="auto"/>
            <w:vAlign w:val="center"/>
            <w:hideMark/>
          </w:tcPr>
          <w:p w14:paraId="238E8FEB"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noProof/>
                <w:color w:val="000000"/>
                <w:szCs w:val="24"/>
                <w:lang w:eastAsia="en-MY"/>
              </w:rPr>
              <w:t>(Cesaratto et al., 2010)</w:t>
            </w:r>
          </w:p>
        </w:tc>
      </w:tr>
      <w:tr w:rsidR="00D740DC" w:rsidRPr="000E2377" w14:paraId="3CBF2BA5" w14:textId="77777777" w:rsidTr="00B11F5F">
        <w:trPr>
          <w:trHeight w:val="330"/>
          <w:jc w:val="center"/>
        </w:trPr>
        <w:tc>
          <w:tcPr>
            <w:tcW w:w="1843" w:type="dxa"/>
            <w:tcBorders>
              <w:top w:val="nil"/>
              <w:left w:val="nil"/>
              <w:bottom w:val="nil"/>
              <w:right w:val="nil"/>
            </w:tcBorders>
            <w:shd w:val="clear" w:color="auto" w:fill="auto"/>
            <w:noWrap/>
            <w:vAlign w:val="center"/>
            <w:hideMark/>
          </w:tcPr>
          <w:p w14:paraId="7761D681"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Q</w:t>
            </w:r>
            <w:r w:rsidRPr="000E2377">
              <w:rPr>
                <w:rFonts w:eastAsia="Times New Roman" w:cs="Times New Roman"/>
                <w:b w:val="0"/>
                <w:color w:val="000000"/>
                <w:szCs w:val="24"/>
                <w:vertAlign w:val="superscript"/>
                <w:lang w:eastAsia="en-MY"/>
              </w:rPr>
              <w:t>3</w:t>
            </w:r>
          </w:p>
        </w:tc>
        <w:tc>
          <w:tcPr>
            <w:tcW w:w="2268" w:type="dxa"/>
            <w:tcBorders>
              <w:top w:val="nil"/>
              <w:left w:val="nil"/>
              <w:bottom w:val="nil"/>
              <w:right w:val="nil"/>
            </w:tcBorders>
            <w:shd w:val="clear" w:color="auto" w:fill="auto"/>
            <w:vAlign w:val="center"/>
            <w:hideMark/>
          </w:tcPr>
          <w:p w14:paraId="7F6F1097"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1010-1050 cm</w:t>
            </w:r>
            <w:r w:rsidRPr="000E2377">
              <w:rPr>
                <w:rFonts w:eastAsia="Times New Roman" w:cs="Times New Roman"/>
                <w:b w:val="0"/>
                <w:color w:val="000000"/>
                <w:szCs w:val="24"/>
                <w:vertAlign w:val="superscript"/>
                <w:lang w:eastAsia="en-MY"/>
              </w:rPr>
              <w:t>-1</w:t>
            </w:r>
          </w:p>
        </w:tc>
        <w:tc>
          <w:tcPr>
            <w:tcW w:w="2552" w:type="dxa"/>
            <w:tcBorders>
              <w:top w:val="nil"/>
              <w:left w:val="nil"/>
              <w:bottom w:val="nil"/>
              <w:right w:val="nil"/>
            </w:tcBorders>
            <w:shd w:val="clear" w:color="auto" w:fill="auto"/>
            <w:vAlign w:val="center"/>
            <w:hideMark/>
          </w:tcPr>
          <w:p w14:paraId="62DC6943"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noProof/>
                <w:color w:val="000000"/>
                <w:szCs w:val="24"/>
                <w:lang w:eastAsia="en-MY"/>
              </w:rPr>
              <w:t>(Zhang et al., 2015)</w:t>
            </w:r>
          </w:p>
        </w:tc>
      </w:tr>
      <w:tr w:rsidR="00D740DC" w:rsidRPr="000E2377" w14:paraId="0ABF4CFE" w14:textId="77777777" w:rsidTr="00B11F5F">
        <w:trPr>
          <w:trHeight w:val="285"/>
          <w:jc w:val="center"/>
        </w:trPr>
        <w:tc>
          <w:tcPr>
            <w:tcW w:w="1843" w:type="dxa"/>
            <w:tcBorders>
              <w:top w:val="nil"/>
              <w:left w:val="nil"/>
              <w:bottom w:val="nil"/>
              <w:right w:val="nil"/>
            </w:tcBorders>
            <w:shd w:val="clear" w:color="auto" w:fill="auto"/>
            <w:noWrap/>
            <w:vAlign w:val="center"/>
            <w:hideMark/>
          </w:tcPr>
          <w:p w14:paraId="0CFA3FE5" w14:textId="77777777" w:rsidR="00D740DC" w:rsidRPr="000E2377" w:rsidRDefault="00D740DC" w:rsidP="00B11F5F">
            <w:pPr>
              <w:spacing w:after="0" w:line="480" w:lineRule="auto"/>
              <w:jc w:val="center"/>
              <w:rPr>
                <w:rFonts w:eastAsia="Times New Roman" w:cs="Times New Roman"/>
                <w:b w:val="0"/>
                <w:color w:val="000000"/>
                <w:szCs w:val="24"/>
                <w:lang w:eastAsia="en-MY"/>
              </w:rPr>
            </w:pPr>
          </w:p>
        </w:tc>
        <w:tc>
          <w:tcPr>
            <w:tcW w:w="2268" w:type="dxa"/>
            <w:tcBorders>
              <w:top w:val="nil"/>
              <w:left w:val="nil"/>
              <w:bottom w:val="nil"/>
              <w:right w:val="nil"/>
            </w:tcBorders>
            <w:shd w:val="clear" w:color="auto" w:fill="auto"/>
            <w:vAlign w:val="center"/>
            <w:hideMark/>
          </w:tcPr>
          <w:p w14:paraId="7771FDB1"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1045-1090 cm</w:t>
            </w:r>
            <w:r w:rsidRPr="000E2377">
              <w:rPr>
                <w:rFonts w:eastAsia="Times New Roman" w:cs="Times New Roman"/>
                <w:b w:val="0"/>
                <w:color w:val="000000"/>
                <w:szCs w:val="24"/>
                <w:vertAlign w:val="superscript"/>
                <w:lang w:eastAsia="en-MY"/>
              </w:rPr>
              <w:t>-1</w:t>
            </w:r>
          </w:p>
        </w:tc>
        <w:tc>
          <w:tcPr>
            <w:tcW w:w="2552" w:type="dxa"/>
            <w:tcBorders>
              <w:top w:val="nil"/>
              <w:left w:val="nil"/>
              <w:bottom w:val="nil"/>
              <w:right w:val="nil"/>
            </w:tcBorders>
            <w:shd w:val="clear" w:color="auto" w:fill="auto"/>
            <w:vAlign w:val="center"/>
            <w:hideMark/>
          </w:tcPr>
          <w:p w14:paraId="6B1E76C5"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noProof/>
                <w:color w:val="000000"/>
                <w:szCs w:val="24"/>
                <w:lang w:eastAsia="en-MY"/>
              </w:rPr>
              <w:t>(Cesaratto et al., 2010)</w:t>
            </w:r>
          </w:p>
        </w:tc>
      </w:tr>
      <w:tr w:rsidR="00D740DC" w:rsidRPr="000E2377" w14:paraId="5F25958E" w14:textId="77777777" w:rsidTr="00B11F5F">
        <w:trPr>
          <w:trHeight w:val="345"/>
          <w:jc w:val="center"/>
        </w:trPr>
        <w:tc>
          <w:tcPr>
            <w:tcW w:w="1843" w:type="dxa"/>
            <w:tcBorders>
              <w:top w:val="nil"/>
              <w:left w:val="nil"/>
              <w:bottom w:val="nil"/>
              <w:right w:val="nil"/>
            </w:tcBorders>
            <w:shd w:val="clear" w:color="auto" w:fill="auto"/>
            <w:noWrap/>
            <w:vAlign w:val="center"/>
            <w:hideMark/>
          </w:tcPr>
          <w:p w14:paraId="67F975A0"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Q</w:t>
            </w:r>
            <w:r w:rsidRPr="000E2377">
              <w:rPr>
                <w:rFonts w:eastAsia="Times New Roman" w:cs="Times New Roman"/>
                <w:b w:val="0"/>
                <w:color w:val="000000"/>
                <w:szCs w:val="24"/>
                <w:vertAlign w:val="superscript"/>
                <w:lang w:eastAsia="en-MY"/>
              </w:rPr>
              <w:t xml:space="preserve">3 </w:t>
            </w:r>
            <w:r w:rsidRPr="000E2377">
              <w:rPr>
                <w:rFonts w:eastAsia="Times New Roman" w:cs="Times New Roman"/>
                <w:b w:val="0"/>
                <w:color w:val="000000"/>
                <w:szCs w:val="24"/>
                <w:lang w:eastAsia="en-MY"/>
              </w:rPr>
              <w:t>boron</w:t>
            </w:r>
          </w:p>
        </w:tc>
        <w:tc>
          <w:tcPr>
            <w:tcW w:w="2268" w:type="dxa"/>
            <w:tcBorders>
              <w:top w:val="nil"/>
              <w:left w:val="nil"/>
              <w:bottom w:val="nil"/>
              <w:right w:val="nil"/>
            </w:tcBorders>
            <w:shd w:val="clear" w:color="auto" w:fill="auto"/>
            <w:vAlign w:val="center"/>
            <w:hideMark/>
          </w:tcPr>
          <w:p w14:paraId="682274A8"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970-980 cm</w:t>
            </w:r>
            <w:r w:rsidRPr="000E2377">
              <w:rPr>
                <w:rFonts w:eastAsia="Times New Roman" w:cs="Times New Roman"/>
                <w:b w:val="0"/>
                <w:color w:val="000000"/>
                <w:szCs w:val="24"/>
                <w:vertAlign w:val="superscript"/>
                <w:lang w:eastAsia="en-MY"/>
              </w:rPr>
              <w:t>-1</w:t>
            </w:r>
          </w:p>
        </w:tc>
        <w:tc>
          <w:tcPr>
            <w:tcW w:w="2552" w:type="dxa"/>
            <w:tcBorders>
              <w:top w:val="nil"/>
              <w:left w:val="nil"/>
              <w:bottom w:val="nil"/>
              <w:right w:val="nil"/>
            </w:tcBorders>
            <w:shd w:val="clear" w:color="auto" w:fill="auto"/>
            <w:vAlign w:val="center"/>
            <w:hideMark/>
          </w:tcPr>
          <w:p w14:paraId="0CE242B3"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noProof/>
                <w:color w:val="000000"/>
                <w:szCs w:val="24"/>
                <w:lang w:eastAsia="en-MY"/>
              </w:rPr>
              <w:t>(Zhang et al., 2015)</w:t>
            </w:r>
          </w:p>
        </w:tc>
      </w:tr>
      <w:tr w:rsidR="00D740DC" w:rsidRPr="000E2377" w14:paraId="13D285B4" w14:textId="77777777" w:rsidTr="00B11F5F">
        <w:trPr>
          <w:trHeight w:val="330"/>
          <w:jc w:val="center"/>
        </w:trPr>
        <w:tc>
          <w:tcPr>
            <w:tcW w:w="1843" w:type="dxa"/>
            <w:tcBorders>
              <w:top w:val="nil"/>
              <w:left w:val="nil"/>
              <w:bottom w:val="nil"/>
              <w:right w:val="nil"/>
            </w:tcBorders>
            <w:shd w:val="clear" w:color="auto" w:fill="auto"/>
            <w:noWrap/>
            <w:vAlign w:val="center"/>
            <w:hideMark/>
          </w:tcPr>
          <w:p w14:paraId="3FE76232"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Q</w:t>
            </w:r>
            <w:r w:rsidRPr="000E2377">
              <w:rPr>
                <w:rFonts w:eastAsia="Times New Roman" w:cs="Times New Roman"/>
                <w:b w:val="0"/>
                <w:color w:val="000000"/>
                <w:szCs w:val="24"/>
                <w:vertAlign w:val="superscript"/>
                <w:lang w:eastAsia="en-MY"/>
              </w:rPr>
              <w:t>4</w:t>
            </w:r>
          </w:p>
        </w:tc>
        <w:tc>
          <w:tcPr>
            <w:tcW w:w="2268" w:type="dxa"/>
            <w:tcBorders>
              <w:top w:val="nil"/>
              <w:left w:val="nil"/>
              <w:bottom w:val="nil"/>
              <w:right w:val="nil"/>
            </w:tcBorders>
            <w:shd w:val="clear" w:color="auto" w:fill="auto"/>
            <w:vAlign w:val="center"/>
            <w:hideMark/>
          </w:tcPr>
          <w:p w14:paraId="2AAEEA70"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1090-1110 cm</w:t>
            </w:r>
            <w:r w:rsidRPr="000E2377">
              <w:rPr>
                <w:rFonts w:eastAsia="Times New Roman" w:cs="Times New Roman"/>
                <w:b w:val="0"/>
                <w:color w:val="000000"/>
                <w:szCs w:val="24"/>
                <w:vertAlign w:val="superscript"/>
                <w:lang w:eastAsia="en-MY"/>
              </w:rPr>
              <w:t>-1</w:t>
            </w:r>
          </w:p>
        </w:tc>
        <w:tc>
          <w:tcPr>
            <w:tcW w:w="2552" w:type="dxa"/>
            <w:tcBorders>
              <w:top w:val="nil"/>
              <w:left w:val="nil"/>
              <w:bottom w:val="nil"/>
              <w:right w:val="nil"/>
            </w:tcBorders>
            <w:shd w:val="clear" w:color="auto" w:fill="auto"/>
            <w:vAlign w:val="center"/>
            <w:hideMark/>
          </w:tcPr>
          <w:p w14:paraId="13648F1A"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noProof/>
                <w:color w:val="000000"/>
                <w:szCs w:val="24"/>
                <w:lang w:eastAsia="en-MY"/>
              </w:rPr>
              <w:t>(Cesaratto et al., 2010)</w:t>
            </w:r>
          </w:p>
        </w:tc>
      </w:tr>
      <w:tr w:rsidR="00D740DC" w:rsidRPr="000E2377" w14:paraId="72DEAABE" w14:textId="77777777" w:rsidTr="00B11F5F">
        <w:trPr>
          <w:trHeight w:val="330"/>
          <w:jc w:val="center"/>
        </w:trPr>
        <w:tc>
          <w:tcPr>
            <w:tcW w:w="1843" w:type="dxa"/>
            <w:tcBorders>
              <w:top w:val="nil"/>
              <w:left w:val="nil"/>
              <w:bottom w:val="nil"/>
              <w:right w:val="nil"/>
            </w:tcBorders>
            <w:shd w:val="clear" w:color="auto" w:fill="auto"/>
            <w:noWrap/>
            <w:vAlign w:val="center"/>
          </w:tcPr>
          <w:p w14:paraId="0E601925"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D81823">
              <w:rPr>
                <w:rFonts w:eastAsia="Times New Roman" w:cs="Times New Roman"/>
                <w:b w:val="0"/>
                <w:color w:val="000000"/>
                <w:szCs w:val="24"/>
                <w:lang w:eastAsia="en-MY"/>
              </w:rPr>
              <w:t>Al-O stretching</w:t>
            </w:r>
          </w:p>
        </w:tc>
        <w:tc>
          <w:tcPr>
            <w:tcW w:w="2268" w:type="dxa"/>
            <w:tcBorders>
              <w:top w:val="nil"/>
              <w:left w:val="nil"/>
              <w:bottom w:val="nil"/>
              <w:right w:val="nil"/>
            </w:tcBorders>
            <w:shd w:val="clear" w:color="auto" w:fill="auto"/>
            <w:vAlign w:val="center"/>
          </w:tcPr>
          <w:p w14:paraId="17B15040"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1110 cm</w:t>
            </w:r>
            <w:r w:rsidRPr="000E2377">
              <w:rPr>
                <w:rFonts w:eastAsia="Times New Roman" w:cs="Times New Roman"/>
                <w:b w:val="0"/>
                <w:color w:val="000000"/>
                <w:szCs w:val="24"/>
                <w:vertAlign w:val="superscript"/>
                <w:lang w:eastAsia="en-MY"/>
              </w:rPr>
              <w:t>-1</w:t>
            </w:r>
          </w:p>
        </w:tc>
        <w:tc>
          <w:tcPr>
            <w:tcW w:w="2552" w:type="dxa"/>
            <w:tcBorders>
              <w:top w:val="nil"/>
              <w:left w:val="nil"/>
              <w:bottom w:val="nil"/>
              <w:right w:val="nil"/>
            </w:tcBorders>
            <w:shd w:val="clear" w:color="auto" w:fill="auto"/>
            <w:vAlign w:val="center"/>
          </w:tcPr>
          <w:p w14:paraId="08605662" w14:textId="77777777" w:rsidR="00D740DC" w:rsidRPr="000E2377" w:rsidRDefault="00D740DC" w:rsidP="00B11F5F">
            <w:pPr>
              <w:spacing w:after="0" w:line="480" w:lineRule="auto"/>
              <w:jc w:val="center"/>
              <w:rPr>
                <w:rFonts w:eastAsia="Times New Roman" w:cs="Times New Roman"/>
                <w:b w:val="0"/>
                <w:noProof/>
                <w:color w:val="000000"/>
                <w:szCs w:val="24"/>
                <w:lang w:eastAsia="en-MY"/>
              </w:rPr>
            </w:pPr>
            <w:r w:rsidRPr="00D81823">
              <w:rPr>
                <w:rFonts w:eastAsia="Times New Roman" w:cs="Times New Roman"/>
                <w:b w:val="0"/>
                <w:color w:val="000000"/>
                <w:szCs w:val="24"/>
                <w:lang w:eastAsia="en-MY"/>
              </w:rPr>
              <w:t>(Bell et al., 1968)</w:t>
            </w:r>
          </w:p>
        </w:tc>
      </w:tr>
      <w:tr w:rsidR="00D740DC" w:rsidRPr="000E2377" w14:paraId="4CB7CC84" w14:textId="77777777" w:rsidTr="00B11F5F">
        <w:trPr>
          <w:trHeight w:val="390"/>
          <w:jc w:val="center"/>
        </w:trPr>
        <w:tc>
          <w:tcPr>
            <w:tcW w:w="1843" w:type="dxa"/>
            <w:tcBorders>
              <w:top w:val="nil"/>
              <w:left w:val="nil"/>
              <w:bottom w:val="single" w:sz="4" w:space="0" w:color="auto"/>
              <w:right w:val="nil"/>
            </w:tcBorders>
            <w:shd w:val="clear" w:color="auto" w:fill="auto"/>
            <w:noWrap/>
            <w:vAlign w:val="center"/>
            <w:hideMark/>
          </w:tcPr>
          <w:p w14:paraId="63491D41"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Q</w:t>
            </w:r>
            <w:r w:rsidRPr="000E2377">
              <w:rPr>
                <w:rFonts w:eastAsia="Times New Roman" w:cs="Times New Roman"/>
                <w:b w:val="0"/>
                <w:color w:val="000000"/>
                <w:szCs w:val="24"/>
                <w:vertAlign w:val="superscript"/>
                <w:lang w:eastAsia="en-MY"/>
              </w:rPr>
              <w:t xml:space="preserve">4 </w:t>
            </w:r>
            <w:r w:rsidRPr="000E2377">
              <w:rPr>
                <w:rFonts w:eastAsia="Times New Roman" w:cs="Times New Roman"/>
                <w:b w:val="0"/>
                <w:color w:val="000000"/>
                <w:szCs w:val="24"/>
                <w:lang w:eastAsia="en-MY"/>
              </w:rPr>
              <w:t>boron</w:t>
            </w:r>
          </w:p>
        </w:tc>
        <w:tc>
          <w:tcPr>
            <w:tcW w:w="2268" w:type="dxa"/>
            <w:tcBorders>
              <w:top w:val="nil"/>
              <w:left w:val="nil"/>
              <w:bottom w:val="single" w:sz="4" w:space="0" w:color="auto"/>
              <w:right w:val="nil"/>
            </w:tcBorders>
            <w:shd w:val="clear" w:color="auto" w:fill="auto"/>
            <w:vAlign w:val="center"/>
            <w:hideMark/>
          </w:tcPr>
          <w:p w14:paraId="06F4258D"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890-900 cm</w:t>
            </w:r>
            <w:r w:rsidRPr="000E2377">
              <w:rPr>
                <w:rFonts w:eastAsia="Times New Roman" w:cs="Times New Roman"/>
                <w:b w:val="0"/>
                <w:color w:val="000000"/>
                <w:szCs w:val="24"/>
                <w:vertAlign w:val="superscript"/>
                <w:lang w:eastAsia="en-MY"/>
              </w:rPr>
              <w:t>-1</w:t>
            </w:r>
          </w:p>
        </w:tc>
        <w:tc>
          <w:tcPr>
            <w:tcW w:w="2552" w:type="dxa"/>
            <w:tcBorders>
              <w:top w:val="nil"/>
              <w:left w:val="nil"/>
              <w:bottom w:val="single" w:sz="4" w:space="0" w:color="auto"/>
              <w:right w:val="nil"/>
            </w:tcBorders>
            <w:shd w:val="clear" w:color="auto" w:fill="auto"/>
            <w:vAlign w:val="center"/>
            <w:hideMark/>
          </w:tcPr>
          <w:p w14:paraId="5F514B04" w14:textId="77777777" w:rsidR="00D740DC" w:rsidRPr="000E2377" w:rsidRDefault="00D740DC" w:rsidP="00B11F5F">
            <w:pPr>
              <w:spacing w:after="0" w:line="480" w:lineRule="auto"/>
              <w:jc w:val="center"/>
              <w:rPr>
                <w:rFonts w:eastAsia="Times New Roman" w:cs="Times New Roman"/>
                <w:b w:val="0"/>
                <w:color w:val="000000"/>
                <w:szCs w:val="24"/>
                <w:lang w:eastAsia="en-MY"/>
              </w:rPr>
            </w:pPr>
            <w:r w:rsidRPr="000E2377">
              <w:rPr>
                <w:rFonts w:eastAsia="Times New Roman" w:cs="Times New Roman"/>
                <w:b w:val="0"/>
                <w:noProof/>
                <w:color w:val="000000"/>
                <w:szCs w:val="24"/>
                <w:lang w:eastAsia="en-MY"/>
              </w:rPr>
              <w:t>(Zhang et al., 2015)</w:t>
            </w:r>
          </w:p>
        </w:tc>
      </w:tr>
    </w:tbl>
    <w:p w14:paraId="422DCBA7" w14:textId="77777777" w:rsidR="00D740DC" w:rsidRPr="000E2377" w:rsidRDefault="00D740DC" w:rsidP="00D740DC">
      <w:pPr>
        <w:spacing w:line="360" w:lineRule="auto"/>
        <w:jc w:val="both"/>
        <w:rPr>
          <w:rFonts w:asciiTheme="majorBidi" w:hAnsiTheme="majorBidi"/>
          <w:b w:val="0"/>
        </w:rPr>
      </w:pPr>
    </w:p>
    <w:p w14:paraId="71EAAE7D" w14:textId="77777777" w:rsidR="00D740DC" w:rsidRPr="000E2377" w:rsidRDefault="00D740DC" w:rsidP="00D740DC">
      <w:pPr>
        <w:spacing w:line="360" w:lineRule="auto"/>
        <w:jc w:val="center"/>
        <w:rPr>
          <w:rFonts w:cs="Times New Roman"/>
          <w:szCs w:val="24"/>
        </w:rPr>
      </w:pPr>
      <w:r w:rsidRPr="000E2377">
        <w:rPr>
          <w:rFonts w:cs="Times New Roman"/>
          <w:noProof/>
          <w:szCs w:val="24"/>
          <w:lang w:eastAsia="en-MY"/>
        </w:rPr>
        <w:lastRenderedPageBreak/>
        <mc:AlternateContent>
          <mc:Choice Requires="wps">
            <w:drawing>
              <wp:anchor distT="0" distB="0" distL="114300" distR="114300" simplePos="0" relativeHeight="252260352" behindDoc="0" locked="0" layoutInCell="1" allowOverlap="1" wp14:anchorId="12FFB77E" wp14:editId="772F198A">
                <wp:simplePos x="0" y="0"/>
                <wp:positionH relativeFrom="column">
                  <wp:posOffset>1951732</wp:posOffset>
                </wp:positionH>
                <wp:positionV relativeFrom="paragraph">
                  <wp:posOffset>2133028</wp:posOffset>
                </wp:positionV>
                <wp:extent cx="2223770" cy="314325"/>
                <wp:effectExtent l="0" t="0" r="0" b="0"/>
                <wp:wrapNone/>
                <wp:docPr id="62" name="Text Box 62"/>
                <wp:cNvGraphicFramePr/>
                <a:graphic xmlns:a="http://schemas.openxmlformats.org/drawingml/2006/main">
                  <a:graphicData uri="http://schemas.microsoft.com/office/word/2010/wordprocessingShape">
                    <wps:wsp>
                      <wps:cNvSpPr txBox="1"/>
                      <wps:spPr>
                        <a:xfrm>
                          <a:off x="0" y="0"/>
                          <a:ext cx="2223770" cy="314325"/>
                        </a:xfrm>
                        <a:prstGeom prst="rect">
                          <a:avLst/>
                        </a:prstGeom>
                        <a:noFill/>
                        <a:ln w="6350">
                          <a:noFill/>
                        </a:ln>
                        <a:effectLst/>
                      </wps:spPr>
                      <wps:txbx>
                        <w:txbxContent>
                          <w:p w14:paraId="3500756F" w14:textId="77777777" w:rsidR="00230AB9" w:rsidRPr="00131999" w:rsidRDefault="00230AB9" w:rsidP="00D740DC">
                            <w:pPr>
                              <w:jc w:val="center"/>
                              <w:rPr>
                                <w:b w:val="0"/>
                                <w:sz w:val="28"/>
                                <w:szCs w:val="28"/>
                              </w:rPr>
                            </w:pPr>
                            <w:r w:rsidRPr="00131999">
                              <w:rPr>
                                <w:sz w:val="28"/>
                                <w:szCs w:val="28"/>
                              </w:rPr>
                              <w:t>Wavenumber (cm</w:t>
                            </w:r>
                            <w:r w:rsidRPr="00131999">
                              <w:rPr>
                                <w:sz w:val="28"/>
                                <w:szCs w:val="28"/>
                                <w:vertAlign w:val="superscript"/>
                              </w:rPr>
                              <w:t>-1</w:t>
                            </w:r>
                            <w:r w:rsidRPr="00131999">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FFB77E" id="Text Box 62" o:spid="_x0000_s1151" type="#_x0000_t202" style="position:absolute;left:0;text-align:left;margin-left:153.7pt;margin-top:167.95pt;width:175.1pt;height:24.75pt;z-index:25226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" filled="f" stroked="f" strokeweight=".5pt">
                <v:textbox>
                  <w:txbxContent>
                    <w:p w14:paraId="3500756F" w14:textId="77777777" w:rsidR="00230AB9" w:rsidRPr="00131999" w:rsidRDefault="00230AB9" w:rsidP="00D740DC">
                      <w:pPr>
                        <w:jc w:val="center"/>
                        <w:rPr>
                          <w:b w:val="0"/>
                          <w:sz w:val="28"/>
                          <w:szCs w:val="28"/>
                        </w:rPr>
                      </w:pPr>
                      <w:r w:rsidRPr="00131999">
                        <w:rPr>
                          <w:sz w:val="28"/>
                          <w:szCs w:val="28"/>
                        </w:rPr>
                        <w:t>Wavenumber (cm</w:t>
                      </w:r>
                      <w:r w:rsidRPr="00131999">
                        <w:rPr>
                          <w:sz w:val="28"/>
                          <w:szCs w:val="28"/>
                          <w:vertAlign w:val="superscript"/>
                        </w:rPr>
                        <w:t>-1</w:t>
                      </w:r>
                      <w:r w:rsidRPr="00131999">
                        <w:rPr>
                          <w:sz w:val="28"/>
                          <w:szCs w:val="28"/>
                        </w:rPr>
                        <w:t>)</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63424" behindDoc="0" locked="0" layoutInCell="1" allowOverlap="1" wp14:anchorId="64F3A8E2" wp14:editId="72A2D9B7">
                <wp:simplePos x="0" y="0"/>
                <wp:positionH relativeFrom="column">
                  <wp:posOffset>-62865</wp:posOffset>
                </wp:positionH>
                <wp:positionV relativeFrom="paragraph">
                  <wp:posOffset>914400</wp:posOffset>
                </wp:positionV>
                <wp:extent cx="2162175" cy="333375"/>
                <wp:effectExtent l="0" t="0" r="0" b="0"/>
                <wp:wrapNone/>
                <wp:docPr id="1185" name="Text Box 1185"/>
                <wp:cNvGraphicFramePr/>
                <a:graphic xmlns:a="http://schemas.openxmlformats.org/drawingml/2006/main">
                  <a:graphicData uri="http://schemas.microsoft.com/office/word/2010/wordprocessingShape">
                    <wps:wsp>
                      <wps:cNvSpPr txBox="1"/>
                      <wps:spPr>
                        <a:xfrm rot="16200000">
                          <a:off x="0" y="0"/>
                          <a:ext cx="2162175" cy="333375"/>
                        </a:xfrm>
                        <a:prstGeom prst="rect">
                          <a:avLst/>
                        </a:prstGeom>
                        <a:noFill/>
                        <a:ln w="6350">
                          <a:noFill/>
                        </a:ln>
                        <a:effectLst/>
                      </wps:spPr>
                      <wps:txbx>
                        <w:txbxContent>
                          <w:p w14:paraId="152D1794" w14:textId="77777777" w:rsidR="00230AB9" w:rsidRPr="00131999" w:rsidRDefault="00230AB9" w:rsidP="00D740DC">
                            <w:pPr>
                              <w:jc w:val="center"/>
                              <w:rPr>
                                <w:b w:val="0"/>
                                <w:sz w:val="28"/>
                                <w:szCs w:val="28"/>
                              </w:rPr>
                            </w:pPr>
                            <w:r w:rsidRPr="00131999">
                              <w:rPr>
                                <w:sz w:val="28"/>
                                <w:szCs w:val="28"/>
                              </w:rPr>
                              <w:t>Raman Intensity (</w:t>
                            </w:r>
                            <w:proofErr w:type="spellStart"/>
                            <w:r w:rsidRPr="00131999">
                              <w:rPr>
                                <w:sz w:val="28"/>
                                <w:szCs w:val="28"/>
                              </w:rPr>
                              <w:t>a.u</w:t>
                            </w:r>
                            <w:proofErr w:type="spellEnd"/>
                            <w:r w:rsidRPr="00131999">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F3A8E2" id="Text Box 1185" o:spid="_x0000_s1152" type="#_x0000_t202" style="position:absolute;left:0;text-align:left;margin-left:-4.95pt;margin-top:1in;width:170.25pt;height:26.25pt;rotation:-90;z-index:252263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" filled="f" stroked="f" strokeweight=".5pt">
                <v:textbox>
                  <w:txbxContent>
                    <w:p w14:paraId="152D1794" w14:textId="77777777" w:rsidR="00230AB9" w:rsidRPr="00131999" w:rsidRDefault="00230AB9" w:rsidP="00D740DC">
                      <w:pPr>
                        <w:jc w:val="center"/>
                        <w:rPr>
                          <w:b w:val="0"/>
                          <w:sz w:val="28"/>
                          <w:szCs w:val="28"/>
                        </w:rPr>
                      </w:pPr>
                      <w:r w:rsidRPr="00131999">
                        <w:rPr>
                          <w:sz w:val="28"/>
                          <w:szCs w:val="28"/>
                        </w:rPr>
                        <w:t>Raman Intensity (</w:t>
                      </w:r>
                      <w:proofErr w:type="spellStart"/>
                      <w:r w:rsidRPr="00131999">
                        <w:rPr>
                          <w:sz w:val="28"/>
                          <w:szCs w:val="28"/>
                        </w:rPr>
                        <w:t>a.u</w:t>
                      </w:r>
                      <w:proofErr w:type="spellEnd"/>
                      <w:r w:rsidRPr="00131999">
                        <w:rPr>
                          <w:sz w:val="28"/>
                          <w:szCs w:val="28"/>
                        </w:rPr>
                        <w:t>)</w:t>
                      </w:r>
                    </w:p>
                  </w:txbxContent>
                </v:textbox>
              </v:shape>
            </w:pict>
          </mc:Fallback>
        </mc:AlternateContent>
      </w:r>
      <w:r w:rsidRPr="000E2377">
        <w:rPr>
          <w:rFonts w:cs="Times New Roman"/>
          <w:noProof/>
          <w:szCs w:val="24"/>
          <w:lang w:eastAsia="en-MY"/>
        </w:rPr>
        <w:drawing>
          <wp:inline distT="0" distB="0" distL="0" distR="0" wp14:anchorId="6C8725BB" wp14:editId="17BF78A3">
            <wp:extent cx="3045261" cy="2088000"/>
            <wp:effectExtent l="0" t="0" r="3175" b="7620"/>
            <wp:docPr id="56" name="Picture 56" descr="C:\Users\Asus A450L\Dropbox\7. Dropbox - Results OCT 2016\RAW RESULTS\RAMAN\Origin\Batch 1 - Origin Raman\Al 2.5 raw data su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 A450L\Dropbox\7. Dropbox - Results OCT 2016\RAW RESULTS\RAMAN\Origin\Batch 1 - Origin Raman\Al 2.5 raw data sub.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5261" cy="2088000"/>
                    </a:xfrm>
                    <a:prstGeom prst="rect">
                      <a:avLst/>
                    </a:prstGeom>
                    <a:noFill/>
                    <a:ln w="3175">
                      <a:noFill/>
                    </a:ln>
                  </pic:spPr>
                </pic:pic>
              </a:graphicData>
            </a:graphic>
          </wp:inline>
        </w:drawing>
      </w:r>
    </w:p>
    <w:p w14:paraId="5334F608" w14:textId="77777777" w:rsidR="00D740DC" w:rsidRPr="000E2377" w:rsidRDefault="00D740DC" w:rsidP="00D740DC">
      <w:pPr>
        <w:spacing w:line="360" w:lineRule="auto"/>
        <w:jc w:val="both"/>
        <w:rPr>
          <w:rFonts w:cs="Times New Roman"/>
          <w:szCs w:val="24"/>
        </w:rPr>
      </w:pPr>
    </w:p>
    <w:p w14:paraId="31CF7E3A" w14:textId="77777777" w:rsidR="00D740DC" w:rsidRPr="000E2377" w:rsidRDefault="00D740DC" w:rsidP="00D740DC">
      <w:pPr>
        <w:spacing w:line="360" w:lineRule="auto"/>
        <w:jc w:val="center"/>
        <w:rPr>
          <w:rFonts w:cs="Times New Roman"/>
          <w:szCs w:val="24"/>
        </w:rPr>
      </w:pPr>
      <w:r w:rsidRPr="000E2377">
        <w:rPr>
          <w:rFonts w:cs="Times New Roman"/>
          <w:noProof/>
          <w:szCs w:val="24"/>
          <w:lang w:eastAsia="en-MY"/>
        </w:rPr>
        <mc:AlternateContent>
          <mc:Choice Requires="wps">
            <w:drawing>
              <wp:anchor distT="0" distB="0" distL="114300" distR="114300" simplePos="0" relativeHeight="252261376" behindDoc="0" locked="0" layoutInCell="1" allowOverlap="1" wp14:anchorId="2783C8E0" wp14:editId="05BE140B">
                <wp:simplePos x="0" y="0"/>
                <wp:positionH relativeFrom="column">
                  <wp:posOffset>1866006</wp:posOffset>
                </wp:positionH>
                <wp:positionV relativeFrom="paragraph">
                  <wp:posOffset>2016000</wp:posOffset>
                </wp:positionV>
                <wp:extent cx="2223770" cy="314325"/>
                <wp:effectExtent l="0" t="0" r="0" b="0"/>
                <wp:wrapNone/>
                <wp:docPr id="63" name="Text Box 63"/>
                <wp:cNvGraphicFramePr/>
                <a:graphic xmlns:a="http://schemas.openxmlformats.org/drawingml/2006/main">
                  <a:graphicData uri="http://schemas.microsoft.com/office/word/2010/wordprocessingShape">
                    <wps:wsp>
                      <wps:cNvSpPr txBox="1"/>
                      <wps:spPr>
                        <a:xfrm>
                          <a:off x="0" y="0"/>
                          <a:ext cx="2223770" cy="314325"/>
                        </a:xfrm>
                        <a:prstGeom prst="rect">
                          <a:avLst/>
                        </a:prstGeom>
                        <a:noFill/>
                        <a:ln w="6350">
                          <a:noFill/>
                        </a:ln>
                        <a:effectLst/>
                      </wps:spPr>
                      <wps:txbx>
                        <w:txbxContent>
                          <w:p w14:paraId="37EBA3CD" w14:textId="77777777" w:rsidR="00230AB9" w:rsidRPr="00131999" w:rsidRDefault="00230AB9" w:rsidP="00D740DC">
                            <w:pPr>
                              <w:jc w:val="center"/>
                              <w:rPr>
                                <w:b w:val="0"/>
                                <w:sz w:val="28"/>
                                <w:szCs w:val="28"/>
                              </w:rPr>
                            </w:pPr>
                            <w:r w:rsidRPr="00131999">
                              <w:rPr>
                                <w:sz w:val="28"/>
                                <w:szCs w:val="28"/>
                              </w:rPr>
                              <w:t>Wavenumber (cm</w:t>
                            </w:r>
                            <w:r w:rsidRPr="00131999">
                              <w:rPr>
                                <w:sz w:val="28"/>
                                <w:szCs w:val="28"/>
                                <w:vertAlign w:val="superscript"/>
                              </w:rPr>
                              <w:t>-1</w:t>
                            </w:r>
                            <w:r w:rsidRPr="00131999">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83C8E0" id="Text Box 63" o:spid="_x0000_s1153" type="#_x0000_t202" style="position:absolute;left:0;text-align:left;margin-left:146.95pt;margin-top:158.75pt;width:175.1pt;height:24.75pt;z-index:25226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" filled="f" stroked="f" strokeweight=".5pt">
                <v:textbox>
                  <w:txbxContent>
                    <w:p w14:paraId="37EBA3CD" w14:textId="77777777" w:rsidR="00230AB9" w:rsidRPr="00131999" w:rsidRDefault="00230AB9" w:rsidP="00D740DC">
                      <w:pPr>
                        <w:jc w:val="center"/>
                        <w:rPr>
                          <w:b w:val="0"/>
                          <w:sz w:val="28"/>
                          <w:szCs w:val="28"/>
                        </w:rPr>
                      </w:pPr>
                      <w:r w:rsidRPr="00131999">
                        <w:rPr>
                          <w:sz w:val="28"/>
                          <w:szCs w:val="28"/>
                        </w:rPr>
                        <w:t>Wavenumber (cm</w:t>
                      </w:r>
                      <w:r w:rsidRPr="00131999">
                        <w:rPr>
                          <w:sz w:val="28"/>
                          <w:szCs w:val="28"/>
                          <w:vertAlign w:val="superscript"/>
                        </w:rPr>
                        <w:t>-1</w:t>
                      </w:r>
                      <w:r w:rsidRPr="00131999">
                        <w:rPr>
                          <w:sz w:val="28"/>
                          <w:szCs w:val="28"/>
                        </w:rPr>
                        <w:t>)</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62400" behindDoc="0" locked="0" layoutInCell="1" allowOverlap="1" wp14:anchorId="6813953A" wp14:editId="5250CADB">
                <wp:simplePos x="0" y="0"/>
                <wp:positionH relativeFrom="column">
                  <wp:posOffset>-31750</wp:posOffset>
                </wp:positionH>
                <wp:positionV relativeFrom="paragraph">
                  <wp:posOffset>909320</wp:posOffset>
                </wp:positionV>
                <wp:extent cx="2162175" cy="333375"/>
                <wp:effectExtent l="0" t="0" r="0" b="0"/>
                <wp:wrapNone/>
                <wp:docPr id="1184" name="Text Box 1184"/>
                <wp:cNvGraphicFramePr/>
                <a:graphic xmlns:a="http://schemas.openxmlformats.org/drawingml/2006/main">
                  <a:graphicData uri="http://schemas.microsoft.com/office/word/2010/wordprocessingShape">
                    <wps:wsp>
                      <wps:cNvSpPr txBox="1"/>
                      <wps:spPr>
                        <a:xfrm rot="16200000">
                          <a:off x="0" y="0"/>
                          <a:ext cx="2162175" cy="333375"/>
                        </a:xfrm>
                        <a:prstGeom prst="rect">
                          <a:avLst/>
                        </a:prstGeom>
                        <a:noFill/>
                        <a:ln w="6350">
                          <a:noFill/>
                        </a:ln>
                        <a:effectLst/>
                      </wps:spPr>
                      <wps:txbx>
                        <w:txbxContent>
                          <w:p w14:paraId="6A217FB4" w14:textId="77777777" w:rsidR="00230AB9" w:rsidRPr="00131999" w:rsidRDefault="00230AB9" w:rsidP="00D740DC">
                            <w:pPr>
                              <w:jc w:val="center"/>
                              <w:rPr>
                                <w:b w:val="0"/>
                                <w:sz w:val="28"/>
                                <w:szCs w:val="28"/>
                              </w:rPr>
                            </w:pPr>
                            <w:r w:rsidRPr="00131999">
                              <w:rPr>
                                <w:sz w:val="28"/>
                                <w:szCs w:val="28"/>
                              </w:rPr>
                              <w:t>Raman Intensity (</w:t>
                            </w:r>
                            <w:proofErr w:type="spellStart"/>
                            <w:r w:rsidRPr="00131999">
                              <w:rPr>
                                <w:sz w:val="28"/>
                                <w:szCs w:val="28"/>
                              </w:rPr>
                              <w:t>a.u</w:t>
                            </w:r>
                            <w:proofErr w:type="spellEnd"/>
                            <w:r w:rsidRPr="00131999">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13953A" id="Text Box 1184" o:spid="_x0000_s1154" type="#_x0000_t202" style="position:absolute;left:0;text-align:left;margin-left:-2.5pt;margin-top:71.6pt;width:170.25pt;height:26.25pt;rotation:-90;z-index:25226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" filled="f" stroked="f" strokeweight=".5pt">
                <v:textbox>
                  <w:txbxContent>
                    <w:p w14:paraId="6A217FB4" w14:textId="77777777" w:rsidR="00230AB9" w:rsidRPr="00131999" w:rsidRDefault="00230AB9" w:rsidP="00D740DC">
                      <w:pPr>
                        <w:jc w:val="center"/>
                        <w:rPr>
                          <w:b w:val="0"/>
                          <w:sz w:val="28"/>
                          <w:szCs w:val="28"/>
                        </w:rPr>
                      </w:pPr>
                      <w:r w:rsidRPr="00131999">
                        <w:rPr>
                          <w:sz w:val="28"/>
                          <w:szCs w:val="28"/>
                        </w:rPr>
                        <w:t>Raman Intensity (</w:t>
                      </w:r>
                      <w:proofErr w:type="spellStart"/>
                      <w:r w:rsidRPr="00131999">
                        <w:rPr>
                          <w:sz w:val="28"/>
                          <w:szCs w:val="28"/>
                        </w:rPr>
                        <w:t>a.u</w:t>
                      </w:r>
                      <w:proofErr w:type="spellEnd"/>
                      <w:r w:rsidRPr="00131999">
                        <w:rPr>
                          <w:sz w:val="28"/>
                          <w:szCs w:val="28"/>
                        </w:rPr>
                        <w:t>)</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56256" behindDoc="0" locked="0" layoutInCell="1" allowOverlap="1" wp14:anchorId="008305E9" wp14:editId="3D8660A9">
                <wp:simplePos x="0" y="0"/>
                <wp:positionH relativeFrom="column">
                  <wp:posOffset>1710055</wp:posOffset>
                </wp:positionH>
                <wp:positionV relativeFrom="paragraph">
                  <wp:posOffset>1291590</wp:posOffset>
                </wp:positionV>
                <wp:extent cx="797560" cy="257175"/>
                <wp:effectExtent l="3492" t="0" r="120333" b="0"/>
                <wp:wrapNone/>
                <wp:docPr id="58" name="Text Box 58"/>
                <wp:cNvGraphicFramePr/>
                <a:graphic xmlns:a="http://schemas.openxmlformats.org/drawingml/2006/main">
                  <a:graphicData uri="http://schemas.microsoft.com/office/word/2010/wordprocessingShape">
                    <wps:wsp>
                      <wps:cNvSpPr txBox="1"/>
                      <wps:spPr>
                        <a:xfrm rot="17193088">
                          <a:off x="0" y="0"/>
                          <a:ext cx="797560" cy="257175"/>
                        </a:xfrm>
                        <a:prstGeom prst="rect">
                          <a:avLst/>
                        </a:prstGeom>
                        <a:noFill/>
                        <a:ln w="6350">
                          <a:noFill/>
                        </a:ln>
                        <a:effectLst/>
                      </wps:spPr>
                      <wps:txbx>
                        <w:txbxContent>
                          <w:p w14:paraId="34E02539" w14:textId="77777777" w:rsidR="00230AB9" w:rsidRPr="00187462" w:rsidRDefault="00230AB9" w:rsidP="00D740DC">
                            <w:pPr>
                              <w:rPr>
                                <w:b w:val="0"/>
                              </w:rPr>
                            </w:pPr>
                            <w:r w:rsidRPr="00187462">
                              <w:t>Region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8305E9" id="Text Box 58" o:spid="_x0000_s1155" type="#_x0000_t202" style="position:absolute;left:0;text-align:left;margin-left:134.65pt;margin-top:101.7pt;width:62.8pt;height:20.25pt;rotation:-4813523fd;z-index:25225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" filled="f" stroked="f" strokeweight=".5pt">
                <v:textbox>
                  <w:txbxContent>
                    <w:p w14:paraId="34E02539" w14:textId="77777777" w:rsidR="00230AB9" w:rsidRPr="00187462" w:rsidRDefault="00230AB9" w:rsidP="00D740DC">
                      <w:pPr>
                        <w:rPr>
                          <w:b w:val="0"/>
                        </w:rPr>
                      </w:pPr>
                      <w:r w:rsidRPr="00187462">
                        <w:t>Region A</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57280" behindDoc="0" locked="0" layoutInCell="1" allowOverlap="1" wp14:anchorId="673702E4" wp14:editId="4476E5C8">
                <wp:simplePos x="0" y="0"/>
                <wp:positionH relativeFrom="column">
                  <wp:posOffset>2470785</wp:posOffset>
                </wp:positionH>
                <wp:positionV relativeFrom="paragraph">
                  <wp:posOffset>1097280</wp:posOffset>
                </wp:positionV>
                <wp:extent cx="797560" cy="257175"/>
                <wp:effectExtent l="3492" t="0" r="120333" b="0"/>
                <wp:wrapNone/>
                <wp:docPr id="59" name="Text Box 59"/>
                <wp:cNvGraphicFramePr/>
                <a:graphic xmlns:a="http://schemas.openxmlformats.org/drawingml/2006/main">
                  <a:graphicData uri="http://schemas.microsoft.com/office/word/2010/wordprocessingShape">
                    <wps:wsp>
                      <wps:cNvSpPr txBox="1"/>
                      <wps:spPr>
                        <a:xfrm rot="17193088">
                          <a:off x="0" y="0"/>
                          <a:ext cx="797560" cy="257175"/>
                        </a:xfrm>
                        <a:prstGeom prst="rect">
                          <a:avLst/>
                        </a:prstGeom>
                        <a:noFill/>
                        <a:ln w="6350">
                          <a:noFill/>
                        </a:ln>
                        <a:effectLst/>
                      </wps:spPr>
                      <wps:txbx>
                        <w:txbxContent>
                          <w:p w14:paraId="382737E1" w14:textId="77777777" w:rsidR="00230AB9" w:rsidRPr="00187462" w:rsidRDefault="00230AB9" w:rsidP="00D740DC">
                            <w:pPr>
                              <w:rPr>
                                <w:b w:val="0"/>
                              </w:rPr>
                            </w:pPr>
                            <w:r w:rsidRPr="00187462">
                              <w:t>Region</w:t>
                            </w:r>
                            <w:r>
                              <w:t xml:space="preserv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3702E4" id="Text Box 59" o:spid="_x0000_s1156" type="#_x0000_t202" style="position:absolute;left:0;text-align:left;margin-left:194.55pt;margin-top:86.4pt;width:62.8pt;height:20.25pt;rotation:-4813523fd;z-index:25225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" filled="f" stroked="f" strokeweight=".5pt">
                <v:textbox>
                  <w:txbxContent>
                    <w:p w14:paraId="382737E1" w14:textId="77777777" w:rsidR="00230AB9" w:rsidRPr="00187462" w:rsidRDefault="00230AB9" w:rsidP="00D740DC">
                      <w:pPr>
                        <w:rPr>
                          <w:b w:val="0"/>
                        </w:rPr>
                      </w:pPr>
                      <w:r w:rsidRPr="00187462">
                        <w:t>Region</w:t>
                      </w:r>
                      <w:r>
                        <w:t xml:space="preserve"> B</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59328" behindDoc="0" locked="0" layoutInCell="1" allowOverlap="1" wp14:anchorId="2059F449" wp14:editId="35FD6B10">
                <wp:simplePos x="0" y="0"/>
                <wp:positionH relativeFrom="column">
                  <wp:posOffset>3461385</wp:posOffset>
                </wp:positionH>
                <wp:positionV relativeFrom="paragraph">
                  <wp:posOffset>1377315</wp:posOffset>
                </wp:positionV>
                <wp:extent cx="797560" cy="257175"/>
                <wp:effectExtent l="3492" t="0" r="120333" b="0"/>
                <wp:wrapNone/>
                <wp:docPr id="61" name="Text Box 61"/>
                <wp:cNvGraphicFramePr/>
                <a:graphic xmlns:a="http://schemas.openxmlformats.org/drawingml/2006/main">
                  <a:graphicData uri="http://schemas.microsoft.com/office/word/2010/wordprocessingShape">
                    <wps:wsp>
                      <wps:cNvSpPr txBox="1"/>
                      <wps:spPr>
                        <a:xfrm rot="17193088">
                          <a:off x="0" y="0"/>
                          <a:ext cx="797560" cy="257175"/>
                        </a:xfrm>
                        <a:prstGeom prst="rect">
                          <a:avLst/>
                        </a:prstGeom>
                        <a:noFill/>
                        <a:ln w="6350">
                          <a:noFill/>
                        </a:ln>
                        <a:effectLst/>
                      </wps:spPr>
                      <wps:txbx>
                        <w:txbxContent>
                          <w:p w14:paraId="7591B71C" w14:textId="77777777" w:rsidR="00230AB9" w:rsidRPr="00187462" w:rsidRDefault="00230AB9" w:rsidP="00D740DC">
                            <w:pPr>
                              <w:rPr>
                                <w:b w:val="0"/>
                              </w:rPr>
                            </w:pPr>
                            <w:r w:rsidRPr="00187462">
                              <w:t xml:space="preserve">Region </w:t>
                            </w:r>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59F449" id="Text Box 61" o:spid="_x0000_s1157" type="#_x0000_t202" style="position:absolute;left:0;text-align:left;margin-left:272.55pt;margin-top:108.45pt;width:62.8pt;height:20.25pt;rotation:-4813523fd;z-index:25225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" filled="f" stroked="f" strokeweight=".5pt">
                <v:textbox>
                  <w:txbxContent>
                    <w:p w14:paraId="7591B71C" w14:textId="77777777" w:rsidR="00230AB9" w:rsidRPr="00187462" w:rsidRDefault="00230AB9" w:rsidP="00D740DC">
                      <w:pPr>
                        <w:rPr>
                          <w:b w:val="0"/>
                        </w:rPr>
                      </w:pPr>
                      <w:r w:rsidRPr="00187462">
                        <w:t xml:space="preserve">Region </w:t>
                      </w:r>
                      <w:r>
                        <w:t>D</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258304" behindDoc="0" locked="0" layoutInCell="1" allowOverlap="1" wp14:anchorId="560116C8" wp14:editId="02D3EBEC">
                <wp:simplePos x="0" y="0"/>
                <wp:positionH relativeFrom="column">
                  <wp:posOffset>2954020</wp:posOffset>
                </wp:positionH>
                <wp:positionV relativeFrom="paragraph">
                  <wp:posOffset>981075</wp:posOffset>
                </wp:positionV>
                <wp:extent cx="797560" cy="257175"/>
                <wp:effectExtent l="3492" t="0" r="120333" b="0"/>
                <wp:wrapNone/>
                <wp:docPr id="60" name="Text Box 60"/>
                <wp:cNvGraphicFramePr/>
                <a:graphic xmlns:a="http://schemas.openxmlformats.org/drawingml/2006/main">
                  <a:graphicData uri="http://schemas.microsoft.com/office/word/2010/wordprocessingShape">
                    <wps:wsp>
                      <wps:cNvSpPr txBox="1"/>
                      <wps:spPr>
                        <a:xfrm rot="17193088">
                          <a:off x="0" y="0"/>
                          <a:ext cx="797560" cy="257175"/>
                        </a:xfrm>
                        <a:prstGeom prst="rect">
                          <a:avLst/>
                        </a:prstGeom>
                        <a:noFill/>
                        <a:ln w="6350">
                          <a:noFill/>
                        </a:ln>
                        <a:effectLst/>
                      </wps:spPr>
                      <wps:txbx>
                        <w:txbxContent>
                          <w:p w14:paraId="6A278F2C" w14:textId="77777777" w:rsidR="00230AB9" w:rsidRPr="00187462" w:rsidRDefault="00230AB9" w:rsidP="00D740DC">
                            <w:pPr>
                              <w:rPr>
                                <w:b w:val="0"/>
                              </w:rPr>
                            </w:pPr>
                            <w:r w:rsidRPr="00187462">
                              <w:t xml:space="preserve">Region </w:t>
                            </w:r>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0116C8" id="Text Box 60" o:spid="_x0000_s1158" type="#_x0000_t202" style="position:absolute;left:0;text-align:left;margin-left:232.6pt;margin-top:77.25pt;width:62.8pt;height:20.25pt;rotation:-4813523fd;z-index:25225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" filled="f" stroked="f" strokeweight=".5pt">
                <v:textbox>
                  <w:txbxContent>
                    <w:p w14:paraId="6A278F2C" w14:textId="77777777" w:rsidR="00230AB9" w:rsidRPr="00187462" w:rsidRDefault="00230AB9" w:rsidP="00D740DC">
                      <w:pPr>
                        <w:rPr>
                          <w:b w:val="0"/>
                        </w:rPr>
                      </w:pPr>
                      <w:r w:rsidRPr="00187462">
                        <w:t xml:space="preserve">Region </w:t>
                      </w:r>
                      <w:r>
                        <w:t>C</w:t>
                      </w:r>
                    </w:p>
                  </w:txbxContent>
                </v:textbox>
              </v:shape>
            </w:pict>
          </mc:Fallback>
        </mc:AlternateContent>
      </w:r>
      <w:r w:rsidRPr="000E2377">
        <w:rPr>
          <w:rFonts w:cs="Times New Roman"/>
          <w:noProof/>
          <w:szCs w:val="24"/>
          <w:lang w:eastAsia="en-MY"/>
        </w:rPr>
        <w:drawing>
          <wp:inline distT="0" distB="0" distL="0" distR="0" wp14:anchorId="170E7A7A" wp14:editId="217D6793">
            <wp:extent cx="3020143" cy="2088000"/>
            <wp:effectExtent l="0" t="0" r="8890" b="7620"/>
            <wp:docPr id="57" name="Picture 57" descr="C:\Users\Asus A450L\Dropbox\7. Dropbox - Results OCT 2016\RAW RESULTS\RAMAN\Origin\Batch 1 - Origin Raman\Al 2.5 raw data after su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 A450L\Dropbox\7. Dropbox - Results OCT 2016\RAW RESULTS\RAMAN\Origin\Batch 1 - Origin Raman\Al 2.5 raw data after sub.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20143" cy="2088000"/>
                    </a:xfrm>
                    <a:prstGeom prst="rect">
                      <a:avLst/>
                    </a:prstGeom>
                    <a:noFill/>
                    <a:ln w="3175">
                      <a:noFill/>
                    </a:ln>
                  </pic:spPr>
                </pic:pic>
              </a:graphicData>
            </a:graphic>
          </wp:inline>
        </w:drawing>
      </w:r>
    </w:p>
    <w:p w14:paraId="002A5170" w14:textId="77777777" w:rsidR="00D740DC" w:rsidRPr="000E2377" w:rsidRDefault="00D740DC" w:rsidP="00D740DC">
      <w:pPr>
        <w:pStyle w:val="Caption"/>
        <w:rPr>
          <w:szCs w:val="24"/>
        </w:rPr>
      </w:pPr>
      <w:bookmarkStart w:id="533" w:name="_Toc453771027"/>
      <w:bookmarkStart w:id="534" w:name="_Toc521420463"/>
      <w:bookmarkStart w:id="535" w:name="_Toc525223197"/>
      <w:bookmarkStart w:id="536" w:name="_Toc525528344"/>
      <w:bookmarkStart w:id="537" w:name="_Toc525706359"/>
      <w:bookmarkStart w:id="538" w:name="_Hlk515394057"/>
      <w:r w:rsidRPr="000E2377">
        <w:t xml:space="preserve">Figure </w:t>
      </w:r>
      <w:r>
        <w:t>3</w:t>
      </w:r>
      <w:r w:rsidRPr="000E2377">
        <w:t>.</w:t>
      </w:r>
      <w:r>
        <w:t>11</w:t>
      </w:r>
      <w:r w:rsidRPr="000E2377">
        <w:t xml:space="preserve">: </w:t>
      </w:r>
      <w:r w:rsidRPr="000E2377">
        <w:rPr>
          <w:bCs w:val="0"/>
          <w:szCs w:val="24"/>
        </w:rPr>
        <w:t>a) Example baseline subtraction of Raman spectrum of A</w:t>
      </w:r>
      <w:r w:rsidRPr="000E2377">
        <w:rPr>
          <w:bCs w:val="0"/>
          <w:szCs w:val="24"/>
          <w:vertAlign w:val="subscript"/>
        </w:rPr>
        <w:t>2.5</w:t>
      </w:r>
      <w:r w:rsidRPr="000E2377">
        <w:rPr>
          <w:bCs w:val="0"/>
          <w:szCs w:val="24"/>
        </w:rPr>
        <w:t xml:space="preserve"> glass in </w:t>
      </w:r>
      <w:proofErr w:type="spellStart"/>
      <w:r w:rsidRPr="000E2377">
        <w:rPr>
          <w:bCs w:val="0"/>
          <w:szCs w:val="24"/>
        </w:rPr>
        <w:t>WiRE</w:t>
      </w:r>
      <w:proofErr w:type="spellEnd"/>
      <w:r w:rsidRPr="000E2377">
        <w:rPr>
          <w:bCs w:val="0"/>
          <w:szCs w:val="24"/>
        </w:rPr>
        <w:t xml:space="preserve"> 3.4 software b) Peak</w:t>
      </w:r>
      <w:r>
        <w:rPr>
          <w:bCs w:val="0"/>
          <w:szCs w:val="24"/>
        </w:rPr>
        <w:t>s</w:t>
      </w:r>
      <w:r w:rsidRPr="000E2377">
        <w:rPr>
          <w:bCs w:val="0"/>
          <w:szCs w:val="24"/>
        </w:rPr>
        <w:t xml:space="preserve"> after </w:t>
      </w:r>
      <w:r>
        <w:rPr>
          <w:bCs w:val="0"/>
          <w:szCs w:val="24"/>
        </w:rPr>
        <w:t xml:space="preserve">background </w:t>
      </w:r>
      <w:r w:rsidRPr="000E2377">
        <w:rPr>
          <w:bCs w:val="0"/>
          <w:szCs w:val="24"/>
        </w:rPr>
        <w:t>subtraction and region for polymerisation index.</w:t>
      </w:r>
      <w:bookmarkEnd w:id="533"/>
      <w:bookmarkEnd w:id="534"/>
      <w:bookmarkEnd w:id="535"/>
      <w:bookmarkEnd w:id="536"/>
      <w:bookmarkEnd w:id="537"/>
    </w:p>
    <w:bookmarkEnd w:id="538"/>
    <w:p w14:paraId="7282EB69" w14:textId="77777777" w:rsidR="00D740DC" w:rsidRPr="000E2377" w:rsidRDefault="00D740DC" w:rsidP="00D740DC">
      <w:pPr>
        <w:spacing w:line="360" w:lineRule="auto"/>
        <w:jc w:val="both"/>
        <w:rPr>
          <w:rFonts w:cs="Times New Roman"/>
          <w:b w:val="0"/>
          <w:szCs w:val="24"/>
        </w:rPr>
      </w:pPr>
      <w:proofErr w:type="spellStart"/>
      <w:r w:rsidRPr="000E2377">
        <w:rPr>
          <w:rFonts w:cs="Times New Roman"/>
          <w:b w:val="0"/>
          <w:color w:val="000000" w:themeColor="text1"/>
          <w:szCs w:val="24"/>
        </w:rPr>
        <w:t>WiRE</w:t>
      </w:r>
      <w:proofErr w:type="spellEnd"/>
      <w:r w:rsidRPr="000E2377">
        <w:rPr>
          <w:rFonts w:cs="Times New Roman"/>
          <w:b w:val="0"/>
          <w:color w:val="000000" w:themeColor="text1"/>
          <w:szCs w:val="24"/>
        </w:rPr>
        <w:t xml:space="preserve"> 3.4 </w:t>
      </w:r>
      <w:r w:rsidRPr="000E2377">
        <w:rPr>
          <w:rFonts w:cs="Times New Roman"/>
          <w:b w:val="0"/>
          <w:szCs w:val="24"/>
        </w:rPr>
        <w:t xml:space="preserve">software was used for peak fitting to find the polymerization index after subtraction of Raman baseline </w:t>
      </w:r>
      <w:r>
        <w:rPr>
          <w:rFonts w:cs="Times New Roman"/>
          <w:b w:val="0"/>
          <w:szCs w:val="24"/>
        </w:rPr>
        <w:t>using</w:t>
      </w:r>
      <w:r w:rsidRPr="000E2377">
        <w:rPr>
          <w:rFonts w:cs="Times New Roman"/>
          <w:b w:val="0"/>
          <w:szCs w:val="24"/>
        </w:rPr>
        <w:t xml:space="preserve"> the same software. The background subtraction </w:t>
      </w:r>
      <w:r>
        <w:rPr>
          <w:rFonts w:cs="Times New Roman"/>
          <w:b w:val="0"/>
          <w:szCs w:val="24"/>
        </w:rPr>
        <w:t>used</w:t>
      </w:r>
      <w:r w:rsidRPr="000E2377">
        <w:rPr>
          <w:rFonts w:cs="Times New Roman"/>
          <w:b w:val="0"/>
          <w:szCs w:val="24"/>
        </w:rPr>
        <w:t xml:space="preserve"> asymmetric least square smoothing in </w:t>
      </w:r>
      <w:r>
        <w:rPr>
          <w:rFonts w:cs="Times New Roman"/>
          <w:b w:val="0"/>
          <w:szCs w:val="24"/>
        </w:rPr>
        <w:t xml:space="preserve">the </w:t>
      </w:r>
      <w:proofErr w:type="spellStart"/>
      <w:r w:rsidRPr="000E2377">
        <w:rPr>
          <w:rFonts w:cs="Times New Roman"/>
          <w:b w:val="0"/>
          <w:szCs w:val="24"/>
        </w:rPr>
        <w:t>WiRE</w:t>
      </w:r>
      <w:proofErr w:type="spellEnd"/>
      <w:r w:rsidRPr="000E2377">
        <w:rPr>
          <w:rFonts w:cs="Times New Roman"/>
          <w:b w:val="0"/>
          <w:szCs w:val="24"/>
        </w:rPr>
        <w:t xml:space="preserve"> 3.4 software </w:t>
      </w:r>
      <w:r>
        <w:rPr>
          <w:rFonts w:cs="Times New Roman"/>
          <w:b w:val="0"/>
          <w:szCs w:val="24"/>
        </w:rPr>
        <w:t>on</w:t>
      </w:r>
      <w:r w:rsidRPr="000E2377">
        <w:rPr>
          <w:rFonts w:cs="Times New Roman"/>
          <w:b w:val="0"/>
          <w:szCs w:val="24"/>
        </w:rPr>
        <w:t xml:space="preserve"> extracted raw data between 160 and 1600 cm</w:t>
      </w:r>
      <w:r w:rsidRPr="000E2377">
        <w:rPr>
          <w:rFonts w:cs="Times New Roman"/>
          <w:b w:val="0"/>
          <w:szCs w:val="24"/>
          <w:vertAlign w:val="superscript"/>
        </w:rPr>
        <w:t>-1</w:t>
      </w:r>
      <w:r w:rsidRPr="000E2377">
        <w:rPr>
          <w:rFonts w:cs="Times New Roman"/>
          <w:b w:val="0"/>
          <w:szCs w:val="24"/>
        </w:rPr>
        <w:t xml:space="preserve">. The normalisation was undertaken using </w:t>
      </w:r>
      <w:proofErr w:type="spellStart"/>
      <w:r w:rsidRPr="000E2377">
        <w:rPr>
          <w:rFonts w:cs="Times New Roman"/>
          <w:b w:val="0"/>
          <w:szCs w:val="24"/>
        </w:rPr>
        <w:t>SigmaPlot</w:t>
      </w:r>
      <w:proofErr w:type="spellEnd"/>
      <w:r w:rsidRPr="000E2377">
        <w:rPr>
          <w:rFonts w:cs="Times New Roman"/>
          <w:b w:val="0"/>
          <w:szCs w:val="24"/>
        </w:rPr>
        <w:t xml:space="preserve"> 13.0 software. The polymerisation index was calculated from the ratio of Region A:(Region B + Region C + Region D) </w:t>
      </w:r>
      <w:r w:rsidRPr="000E2377">
        <w:rPr>
          <w:rFonts w:cs="Times New Roman"/>
          <w:b w:val="0"/>
          <w:szCs w:val="24"/>
        </w:rPr>
        <w:fldChar w:fldCharType="begin" w:fldLock="1"/>
      </w:r>
      <w:r w:rsidRPr="000E2377">
        <w:rPr>
          <w:rFonts w:cs="Times New Roman"/>
          <w:b w:val="0"/>
          <w:szCs w:val="24"/>
        </w:rPr>
        <w:instrText>ADDIN CSL_CITATION { "citationItems" : [ { "id" : "ITEM-1", "itemData" : { "DOI" : "10.1016/S0022-3093(03)00303-X", "ISBN" : "0022-3093", "ISSN" : "00223093", "abstract" : "We demonstrate the utility of Raman spectroscopy as a technique for the identification of ancient glasses and enamel coatings of ceramics. As for any silicate glasses, the addition of network modifiers breaks the Si-O linkages and modifies the degree of polymerization and hence the relative intensity of the Si-O bending and stretching modes. We demonstrate empirically that the ratio of these envelopes is well correlated to the glass structure and to the firing technology used. Spectral Q\n                        n components assigned to isolated and connected SiO\n                        4 vibrational units allow more precise analysis. Selected porcelains, faiences, potteries and glasses representative of the different Asian, Islamic and European production technologies were studied. Modern porcelain enamels are used as compositional references. ?? 2003 Elsevier B.V. All rights reserved.", "author" : [ { "dropping-particle" : "", "family" : "Colomban", "given" : "Philippe", "non-dropping-particle" : "", "parse-names" : false, "suffix" : "" } ], "container-title" : "Journal of Non-Crystalline Solids", "id" : "ITEM-1", "issue" : "1-3", "issued" : { "date-parts" : [ [ "2003" ] ] }, "page" : "180-187", "title" : "Polymerization degree and Raman identification of ancient glasses used for jewelry, ceramic enamels and mosaics", "type" : "article-journal", "volume" : "323" }, "uris" : [ "http://www.mendeley.com/documents/?uuid=996aef9d-98f7-4f2b-9820-7e98c3ed80e2" ] } ], "mendeley" : { "formattedCitation" : "(Colomban, 2003)", "plainTextFormattedCitation" : "(Colomban, 2003)", "previouslyFormattedCitation" : "(Colomban, 2003)" }, "properties" : { "noteIndex" : 47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(Colomban, 2003)</w:t>
      </w:r>
      <w:r w:rsidRPr="000E2377">
        <w:rPr>
          <w:rFonts w:cs="Times New Roman"/>
          <w:b w:val="0"/>
          <w:szCs w:val="24"/>
        </w:rPr>
        <w:fldChar w:fldCharType="end"/>
      </w:r>
      <w:r w:rsidRPr="000E2377">
        <w:rPr>
          <w:rFonts w:cs="Times New Roman"/>
          <w:b w:val="0"/>
          <w:szCs w:val="24"/>
        </w:rPr>
        <w:t>. This region relates to the bending or stretching modes of the structural units. Figure 3.11 shows the process of baseline subtraction from Raman raw data and the peaks of interest.</w:t>
      </w:r>
    </w:p>
    <w:p w14:paraId="238DFE0E" w14:textId="27AEB793" w:rsidR="00D740DC" w:rsidRPr="000E2377" w:rsidRDefault="00D740DC" w:rsidP="00D740DC">
      <w:pPr>
        <w:spacing w:line="360" w:lineRule="auto"/>
        <w:jc w:val="both"/>
        <w:rPr>
          <w:rFonts w:cs="Times New Roman"/>
          <w:b w:val="0"/>
          <w:szCs w:val="24"/>
          <w:lang w:val="en-GB"/>
        </w:rPr>
      </w:pPr>
      <w:r w:rsidRPr="000E2377">
        <w:rPr>
          <w:rFonts w:cs="Times New Roman"/>
          <w:b w:val="0"/>
          <w:szCs w:val="24"/>
          <w:lang w:val="en-GB"/>
        </w:rPr>
        <w:t>4 or 5 Gaussian peaks were used to deconvolve the spectra. Following the literature Q species were assigned as follows: Q</w:t>
      </w:r>
      <w:r w:rsidRPr="00481FFE">
        <w:rPr>
          <w:rFonts w:cs="Times New Roman"/>
          <w:b w:val="0"/>
          <w:szCs w:val="24"/>
          <w:vertAlign w:val="superscript"/>
          <w:lang w:val="en-GB"/>
        </w:rPr>
        <w:t>1</w:t>
      </w:r>
      <w:r w:rsidRPr="000E2377">
        <w:rPr>
          <w:rFonts w:cs="Times New Roman"/>
          <w:b w:val="0"/>
          <w:szCs w:val="24"/>
          <w:vertAlign w:val="superscript"/>
          <w:lang w:val="en-GB"/>
        </w:rPr>
        <w:t xml:space="preserve"> </w:t>
      </w:r>
      <w:r w:rsidRPr="000E2377">
        <w:rPr>
          <w:rFonts w:cs="Times New Roman"/>
          <w:b w:val="0"/>
          <w:szCs w:val="24"/>
          <w:lang w:val="en-GB"/>
        </w:rPr>
        <w:t>(~900 cm</w:t>
      </w:r>
      <w:r w:rsidRPr="000E2377">
        <w:rPr>
          <w:rFonts w:cs="Times New Roman"/>
          <w:b w:val="0"/>
          <w:szCs w:val="24"/>
          <w:vertAlign w:val="superscript"/>
          <w:lang w:val="en-GB"/>
        </w:rPr>
        <w:t>-1</w:t>
      </w:r>
      <w:r w:rsidRPr="000E2377">
        <w:rPr>
          <w:rFonts w:cs="Times New Roman"/>
          <w:b w:val="0"/>
          <w:szCs w:val="24"/>
          <w:lang w:val="en-GB"/>
        </w:rPr>
        <w:t>), Q</w:t>
      </w:r>
      <w:r w:rsidRPr="00481FFE">
        <w:rPr>
          <w:rFonts w:cs="Times New Roman"/>
          <w:b w:val="0"/>
          <w:szCs w:val="24"/>
          <w:vertAlign w:val="superscript"/>
          <w:lang w:val="en-GB"/>
        </w:rPr>
        <w:t>2</w:t>
      </w:r>
      <w:r w:rsidRPr="000E2377">
        <w:rPr>
          <w:rFonts w:cs="Times New Roman"/>
          <w:b w:val="0"/>
          <w:szCs w:val="24"/>
          <w:lang w:val="en-GB"/>
        </w:rPr>
        <w:t xml:space="preserve"> (~950 cm</w:t>
      </w:r>
      <w:r w:rsidRPr="000E2377">
        <w:rPr>
          <w:rFonts w:cs="Times New Roman"/>
          <w:b w:val="0"/>
          <w:szCs w:val="24"/>
          <w:vertAlign w:val="superscript"/>
          <w:lang w:val="en-GB"/>
        </w:rPr>
        <w:t>-1</w:t>
      </w:r>
      <w:r w:rsidRPr="000E2377">
        <w:rPr>
          <w:rFonts w:cs="Times New Roman"/>
          <w:b w:val="0"/>
          <w:szCs w:val="24"/>
          <w:lang w:val="en-GB"/>
        </w:rPr>
        <w:t>), Q</w:t>
      </w:r>
      <w:r w:rsidRPr="00481FFE">
        <w:rPr>
          <w:rFonts w:cs="Times New Roman"/>
          <w:b w:val="0"/>
          <w:szCs w:val="24"/>
          <w:vertAlign w:val="superscript"/>
          <w:lang w:val="en-GB"/>
        </w:rPr>
        <w:t>3</w:t>
      </w:r>
      <w:r w:rsidRPr="000E2377">
        <w:rPr>
          <w:rFonts w:cs="Times New Roman"/>
          <w:b w:val="0"/>
          <w:szCs w:val="24"/>
          <w:lang w:val="en-GB"/>
        </w:rPr>
        <w:t xml:space="preserve"> (~1050 cm</w:t>
      </w:r>
      <w:r w:rsidRPr="000E2377">
        <w:rPr>
          <w:rFonts w:cs="Times New Roman"/>
          <w:b w:val="0"/>
          <w:szCs w:val="24"/>
          <w:vertAlign w:val="superscript"/>
          <w:lang w:val="en-GB"/>
        </w:rPr>
        <w:t>-1</w:t>
      </w:r>
      <w:r w:rsidRPr="000E2377">
        <w:rPr>
          <w:rFonts w:cs="Times New Roman"/>
          <w:b w:val="0"/>
          <w:szCs w:val="24"/>
          <w:lang w:val="en-GB"/>
        </w:rPr>
        <w:t>) and Q</w:t>
      </w:r>
      <w:r w:rsidRPr="00481FFE">
        <w:rPr>
          <w:rFonts w:cs="Times New Roman"/>
          <w:b w:val="0"/>
          <w:szCs w:val="24"/>
          <w:vertAlign w:val="superscript"/>
          <w:lang w:val="en-GB"/>
        </w:rPr>
        <w:t>4</w:t>
      </w:r>
      <w:r w:rsidRPr="000E2377">
        <w:rPr>
          <w:rFonts w:cs="Times New Roman"/>
          <w:b w:val="0"/>
          <w:szCs w:val="24"/>
          <w:vertAlign w:val="subscript"/>
          <w:lang w:val="en-GB"/>
        </w:rPr>
        <w:t xml:space="preserve"> </w:t>
      </w:r>
      <w:r w:rsidRPr="000E2377">
        <w:rPr>
          <w:rFonts w:cs="Times New Roman"/>
          <w:b w:val="0"/>
          <w:szCs w:val="24"/>
          <w:lang w:val="en-GB"/>
        </w:rPr>
        <w:t>(~1100-1125 cm</w:t>
      </w:r>
      <w:r w:rsidRPr="000E2377">
        <w:rPr>
          <w:rFonts w:cs="Times New Roman"/>
          <w:b w:val="0"/>
          <w:szCs w:val="24"/>
          <w:vertAlign w:val="superscript"/>
          <w:lang w:val="en-GB"/>
        </w:rPr>
        <w:t>-1</w:t>
      </w:r>
      <w:r w:rsidRPr="000E2377">
        <w:rPr>
          <w:rFonts w:cs="Times New Roman"/>
          <w:b w:val="0"/>
          <w:szCs w:val="24"/>
          <w:lang w:val="en-GB"/>
        </w:rPr>
        <w:t xml:space="preserve">) </w:t>
      </w:r>
      <w:r w:rsidRPr="000E2377">
        <w:rPr>
          <w:rFonts w:cs="Times New Roman"/>
          <w:b w:val="0"/>
          <w:szCs w:val="24"/>
          <w:lang w:val="en-GB"/>
        </w:rPr>
        <w:fldChar w:fldCharType="begin" w:fldLock="1"/>
      </w:r>
      <w:r w:rsidRPr="000E2377">
        <w:rPr>
          <w:rFonts w:cs="Times New Roman"/>
          <w:b w:val="0"/>
          <w:szCs w:val="24"/>
          <w:lang w:val="en-GB"/>
        </w:rPr>
        <w:instrText>ADDIN CSL_CITATION { "citationItems" : [ { "id" : "ITEM-1", "itemData" : { "author" : [ { "dropping-particle" : "", "family" : "McKeown", "given" : "D A", "non-dropping-particle" : "", "parse-names" : false, "suffix" : "" }, { "dropping-particle" : "", "family" : "Jr", "given" : "Waychunas G A", "non-dropping-particle" : "", "parse-names" : false, "suffix" : "" }, { "dropping-particle" : "", "family" : "Brown", "given" : "G. E.", "non-dropping-particle" : "", "parse-names" : false, "suffix" : "" } ], "container-title" : "Journal of Non-Crystalline Solids", "id" : "ITEM-1", "issued" : { "date-parts" : [ [ "1985" ] ] }, "page" : "325-348", "title" : "Exafs and Xanes study of the local coordination environment of sodium in series of silica-rich glasses and selected minerals within the Na2O-Al2O3-SiO2 system", "type" : "article-journal", "volume" : "74" }, "uris" : [ "http://www.mendeley.com/documents/?uuid=d79a38f6-122e-4f9e-a5a4-674e184d67cd" ] } ], "mendeley" : { "formattedCitation" : "(McKeown, Jr, &amp; Brown, 1985)", "manualFormatting" : "(McKeown et al., 1985)", "plainTextFormattedCitation" : "(McKeown, Jr, &amp; Brown, 1985)", "previouslyFormattedCitation" : "(McKeown, Jr, &amp; Brown, 1985)" }, "properties" : { "noteIndex" : 7 }, "schema" : "https://github.com/citation-style-language/schema/raw/master/csl-citation.json" }</w:instrText>
      </w:r>
      <w:r w:rsidRPr="000E2377">
        <w:rPr>
          <w:rFonts w:cs="Times New Roman"/>
          <w:b w:val="0"/>
          <w:szCs w:val="24"/>
          <w:lang w:val="en-GB"/>
        </w:rPr>
        <w:fldChar w:fldCharType="separate"/>
      </w:r>
      <w:r w:rsidRPr="000E2377">
        <w:rPr>
          <w:rFonts w:cs="Times New Roman"/>
          <w:b w:val="0"/>
          <w:noProof/>
          <w:szCs w:val="24"/>
          <w:lang w:val="en-GB"/>
        </w:rPr>
        <w:t>(McKeown et al., 1985)</w:t>
      </w:r>
      <w:r w:rsidRPr="000E2377">
        <w:rPr>
          <w:rFonts w:cs="Times New Roman"/>
          <w:b w:val="0"/>
          <w:szCs w:val="24"/>
          <w:lang w:val="en-GB"/>
        </w:rPr>
        <w:fldChar w:fldCharType="end"/>
      </w:r>
      <w:r w:rsidRPr="000E2377">
        <w:rPr>
          <w:rFonts w:cs="Times New Roman"/>
          <w:b w:val="0"/>
          <w:szCs w:val="24"/>
          <w:lang w:val="en-GB"/>
        </w:rPr>
        <w:t xml:space="preserve"> (</w:t>
      </w:r>
      <w:r w:rsidRPr="000E2377">
        <w:rPr>
          <w:rFonts w:cs="Times New Roman"/>
          <w:b w:val="0"/>
          <w:szCs w:val="24"/>
          <w:lang w:val="en-GB"/>
        </w:rPr>
        <w:fldChar w:fldCharType="begin" w:fldLock="1"/>
      </w:r>
      <w:r w:rsidRPr="000E2377">
        <w:rPr>
          <w:rFonts w:cs="Times New Roman"/>
          <w:b w:val="0"/>
          <w:szCs w:val="24"/>
          <w:lang w:val="en-GB"/>
        </w:rPr>
        <w:instrText>ADDIN CSL_CITATION { "citationItems" : [ { "id" : "ITEM-1", "itemData" : { "DOI" : "10.1016/j.jnoncrysol.2016.03.011", "ISSN" : "00223093", "abstract" : "Clarifying the effect of pressure on the structure of aluminosilicate glasses is important for understanding the densification mechanism of these materials under pressure and the corresponding changes in macroscopic properties. In this study, we examine changes in density, network structure, indentation hardness, and crack resistance of sodium aluminosilicate glasses with varying Al/Si ratio and thus non-bridging oxygen (NBO) content before and after 1 GPa isostatic compression at elevated temperature. With increasing NBO content, the silicate network depolymerizes, resulting in higher atomic packing density, lower hardness, and higher crack resistance. The ability of the glasses to densify under isostatic compression is higher in the high-NBO glasses, and these glasses also exhibit more pronounced pressure-induced changes in mechanical properties. The 27Al NMR data show a surprising presence of five-fold aluminum in the as-made high-NBO glasses, with additional formation upon compression. Our study therefore provides new insights into the complicated relationship between Al coordination and NBO content in aluminosilicate glasses and how it affects their densification behavior.", "author" : [ { "dropping-particle" : "", "family" : "Bechgaard", "given" : "Tobias K.", "non-dropping-particle" : "", "parse-names" : false, "suffix" : "" }, { "dropping-particle" : "", "family" : "Goel", "given" : "Ashutosh", "non-dropping-particle" : "", "parse-names" : false, "suffix" : "" }, { "dropping-particle" : "", "family" : "Youngman", "given" : "Randall E.", "non-dropping-particle" : "", "parse-names" : false, "suffix" : "" }, { "dropping-particle" : "", "family" : "Mauro", "given" : "John C.", "non-dropping-particle" : "", "parse-names" : false, "suffix" : "" }, { "dropping-particle" : "", "family" : "Rzoska", "given" : "Sylwester J.", "non-dropping-particle" : "", "parse-names" : false, "suffix" : "" }, { "dropping-particle" : "", "family" : "Bockowski", "given" : "Michal", "non-dropping-particle" : "", "parse-names" : false, "suffix" : "" }, { "dropping-particle" : "", "family" : "Jensen", "given" : "Lars R.", "non-dropping-particle" : "", "parse-names" : false, "suffix" : "" }, { "dropping-particle" : "", "family" : "Smedskjaer", "given" : "Morten M.", "non-dropping-particle" : "", "parse-names" : false, "suffix" : "" } ], "container-title" : "Journal of Non-Crystalline Solids", "id" : "ITEM-1", "issued" : { "date-parts" : [ [ "2016" ] ] }, "page" : "49-57", "publisher" : "Elsevier B.V.", "title" : "Structure and mechanical properties of compressed sodium aluminosilicate glasses: Role of non-bridging oxygens", "type" : "article-journal", "volume" : "441" }, "uris" : [ "http://www.mendeley.com/documents/?uuid=f3d81a72-0841-413d-ab23-b0bab4bc6e54" ] } ], "mendeley" : { "formattedCitation" : "(Bechgaard et al., 2016)", "manualFormatting" : "Bechgaard et al., 2016)", "plainTextFormattedCitation" : "(Bechgaard et al., 2016)", "previouslyFormattedCitation" : "(Bechgaard et al., 2016)" }, "properties" : { "noteIndex" : 7 }, "schema" : "https://github.com/citation-style-language/schema/raw/master/csl-citation.json" }</w:instrText>
      </w:r>
      <w:r w:rsidRPr="000E2377">
        <w:rPr>
          <w:rFonts w:cs="Times New Roman"/>
          <w:b w:val="0"/>
          <w:szCs w:val="24"/>
          <w:lang w:val="en-GB"/>
        </w:rPr>
        <w:fldChar w:fldCharType="separate"/>
      </w:r>
      <w:r w:rsidRPr="000E2377">
        <w:rPr>
          <w:rFonts w:cs="Times New Roman"/>
          <w:b w:val="0"/>
          <w:noProof/>
          <w:szCs w:val="24"/>
          <w:lang w:val="en-GB"/>
        </w:rPr>
        <w:t>Bechgaard et al., 2016)</w:t>
      </w:r>
      <w:r w:rsidRPr="000E2377">
        <w:rPr>
          <w:rFonts w:cs="Times New Roman"/>
          <w:b w:val="0"/>
          <w:szCs w:val="24"/>
          <w:lang w:val="en-GB"/>
        </w:rPr>
        <w:fldChar w:fldCharType="end"/>
      </w:r>
      <w:r>
        <w:rPr>
          <w:rFonts w:cs="Times New Roman"/>
          <w:b w:val="0"/>
          <w:szCs w:val="24"/>
          <w:lang w:val="en-GB"/>
        </w:rPr>
        <w:t xml:space="preserve"> and</w:t>
      </w:r>
      <w:r w:rsidRPr="000E2377">
        <w:rPr>
          <w:rFonts w:cs="Times New Roman"/>
          <w:b w:val="0"/>
          <w:szCs w:val="24"/>
          <w:lang w:val="en-GB"/>
        </w:rPr>
        <w:t xml:space="preserve">. It is known that the deconvolution will not give the exact concentration of each Q species because the peak intensity depends not only on </w:t>
      </w:r>
      <w:r w:rsidR="000707B0">
        <w:rPr>
          <w:rFonts w:cs="Times New Roman"/>
          <w:b w:val="0"/>
          <w:szCs w:val="24"/>
          <w:lang w:val="en-GB"/>
        </w:rPr>
        <w:t xml:space="preserve">the </w:t>
      </w:r>
      <w:r w:rsidRPr="000E2377">
        <w:rPr>
          <w:rFonts w:cs="Times New Roman"/>
          <w:b w:val="0"/>
          <w:szCs w:val="24"/>
          <w:lang w:val="en-GB"/>
        </w:rPr>
        <w:t xml:space="preserve">specific structural unit but also other features such as the </w:t>
      </w:r>
      <w:r w:rsidRPr="000E2377">
        <w:rPr>
          <w:rFonts w:cs="Times New Roman"/>
          <w:b w:val="0"/>
          <w:szCs w:val="24"/>
          <w:lang w:val="en-GB"/>
        </w:rPr>
        <w:lastRenderedPageBreak/>
        <w:t xml:space="preserve">number of NBOs and their nearest neighbours </w:t>
      </w:r>
      <w:r w:rsidRPr="000E2377">
        <w:rPr>
          <w:rFonts w:cs="Times New Roman"/>
          <w:b w:val="0"/>
          <w:szCs w:val="24"/>
          <w:lang w:val="en-GB"/>
        </w:rPr>
        <w:fldChar w:fldCharType="begin" w:fldLock="1"/>
      </w:r>
      <w:r w:rsidRPr="000E2377">
        <w:rPr>
          <w:rFonts w:cs="Times New Roman"/>
          <w:b w:val="0"/>
          <w:szCs w:val="24"/>
          <w:lang w:val="en-GB"/>
        </w:rPr>
        <w:instrText>ADDIN CSL_CITATION { "citationItems" : [ { "id" : "ITEM-1", "itemData" : { "DOI" : "10.1016/j.jnoncrysol.2016.03.011", "ISSN" : "00223093", "abstract" : "Clarifying the effect of pressure on the structure of aluminosilicate glasses is important for understanding the densification mechanism of these materials under pressure and the corresponding changes in macroscopic properties. In this study, we examine changes in density, network structure, indentation hardness, and crack resistance of sodium aluminosilicate glasses with varying Al/Si ratio and thus non-bridging oxygen (NBO) content before and after 1 GPa isostatic compression at elevated temperature. With increasing NBO content, the silicate network depolymerizes, resulting in higher atomic packing density, lower hardness, and higher crack resistance. The ability of the glasses to densify under isostatic compression is higher in the high-NBO glasses, and these glasses also exhibit more pronounced pressure-induced changes in mechanical properties. The 27Al NMR data show a surprising presence of five-fold aluminum in the as-made high-NBO glasses, with additional formation upon compression. Our study therefore provides new insights into the complicated relationship between Al coordination and NBO content in aluminosilicate glasses and how it affects their densification behavior.", "author" : [ { "dropping-particle" : "", "family" : "Bechgaard", "given" : "Tobias K.", "non-dropping-particle" : "", "parse-names" : false, "suffix" : "" }, { "dropping-particle" : "", "family" : "Goel", "given" : "Ashutosh", "non-dropping-particle" : "", "parse-names" : false, "suffix" : "" }, { "dropping-particle" : "", "family" : "Youngman", "given" : "Randall E.", "non-dropping-particle" : "", "parse-names" : false, "suffix" : "" }, { "dropping-particle" : "", "family" : "Mauro", "given" : "John C.", "non-dropping-particle" : "", "parse-names" : false, "suffix" : "" }, { "dropping-particle" : "", "family" : "Rzoska", "given" : "Sylwester J.", "non-dropping-particle" : "", "parse-names" : false, "suffix" : "" }, { "dropping-particle" : "", "family" : "Bockowski", "given" : "Michal", "non-dropping-particle" : "", "parse-names" : false, "suffix" : "" }, { "dropping-particle" : "", "family" : "Jensen", "given" : "Lars R.", "non-dropping-particle" : "", "parse-names" : false, "suffix" : "" }, { "dropping-particle" : "", "family" : "Smedskjaer", "given" : "Morten M.", "non-dropping-particle" : "", "parse-names" : false, "suffix" : "" } ], "container-title" : "Journal of Non-Crystalline Solids", "id" : "ITEM-1", "issued" : { "date-parts" : [ [ "2016" ] ] }, "page" : "49-57", "publisher" : "Elsevier B.V.", "title" : "Structure and mechanical properties of compressed sodium aluminosilicate glasses: Role of non-bridging oxygens", "type" : "article-journal", "volume" : "441" }, "uris" : [ "http://www.mendeley.com/documents/?uuid=f3d81a72-0841-413d-ab23-b0bab4bc6e54" ] } ], "mendeley" : { "formattedCitation" : "(Bechgaard et al., 2016)", "plainTextFormattedCitation" : "(Bechgaard et al., 2016)", "previouslyFormattedCitation" : "(Bechgaard et al., 2016)" }, "properties" : { "noteIndex" : 7 }, "schema" : "https://github.com/citation-style-language/schema/raw/master/csl-citation.json" }</w:instrText>
      </w:r>
      <w:r w:rsidRPr="000E2377">
        <w:rPr>
          <w:rFonts w:cs="Times New Roman"/>
          <w:b w:val="0"/>
          <w:szCs w:val="24"/>
          <w:lang w:val="en-GB"/>
        </w:rPr>
        <w:fldChar w:fldCharType="separate"/>
      </w:r>
      <w:r w:rsidRPr="000E2377">
        <w:rPr>
          <w:rFonts w:cs="Times New Roman"/>
          <w:b w:val="0"/>
          <w:noProof/>
          <w:szCs w:val="24"/>
          <w:lang w:val="en-GB"/>
        </w:rPr>
        <w:t>(Bechgaard et al., 2016)</w:t>
      </w:r>
      <w:r w:rsidRPr="000E2377">
        <w:rPr>
          <w:rFonts w:cs="Times New Roman"/>
          <w:b w:val="0"/>
          <w:szCs w:val="24"/>
          <w:lang w:val="en-GB"/>
        </w:rPr>
        <w:fldChar w:fldCharType="end"/>
      </w:r>
      <w:r w:rsidRPr="000E2377">
        <w:rPr>
          <w:rFonts w:cs="Times New Roman"/>
          <w:b w:val="0"/>
          <w:szCs w:val="24"/>
          <w:lang w:val="en-GB"/>
        </w:rPr>
        <w:t xml:space="preserve">. The presence of Al </w:t>
      </w:r>
      <w:r>
        <w:rPr>
          <w:rFonts w:cs="Times New Roman"/>
          <w:b w:val="0"/>
          <w:szCs w:val="24"/>
          <w:lang w:val="en-GB"/>
        </w:rPr>
        <w:t>and boron structure in the peak at range 900 -1000 cm</w:t>
      </w:r>
      <w:r w:rsidRPr="00230309">
        <w:rPr>
          <w:rFonts w:cs="Times New Roman"/>
          <w:b w:val="0"/>
          <w:szCs w:val="24"/>
          <w:vertAlign w:val="superscript"/>
          <w:lang w:val="en-GB"/>
        </w:rPr>
        <w:t>-1</w:t>
      </w:r>
      <w:r>
        <w:rPr>
          <w:rFonts w:cs="Times New Roman"/>
          <w:b w:val="0"/>
          <w:szCs w:val="24"/>
          <w:lang w:val="en-GB"/>
        </w:rPr>
        <w:t xml:space="preserve"> also need to be considered thus it </w:t>
      </w:r>
      <w:r w:rsidRPr="000E2377">
        <w:rPr>
          <w:rFonts w:cs="Times New Roman"/>
          <w:b w:val="0"/>
          <w:szCs w:val="24"/>
          <w:lang w:val="en-GB"/>
        </w:rPr>
        <w:t>is also a complicating feature</w:t>
      </w:r>
      <w:r>
        <w:rPr>
          <w:rFonts w:cs="Times New Roman"/>
          <w:b w:val="0"/>
          <w:szCs w:val="24"/>
          <w:lang w:val="en-GB"/>
        </w:rPr>
        <w:t xml:space="preserve"> to make sure that the Q species present in there are the exact amounts</w:t>
      </w:r>
      <w:r w:rsidRPr="000E2377">
        <w:rPr>
          <w:rFonts w:cs="Times New Roman"/>
          <w:b w:val="0"/>
          <w:szCs w:val="24"/>
          <w:lang w:val="en-GB"/>
        </w:rPr>
        <w:t>. In the calculation of Q species, the peak at 990 cm</w:t>
      </w:r>
      <w:r w:rsidRPr="000E2377">
        <w:rPr>
          <w:rFonts w:cs="Times New Roman"/>
          <w:b w:val="0"/>
          <w:szCs w:val="24"/>
          <w:vertAlign w:val="superscript"/>
          <w:lang w:val="en-GB"/>
        </w:rPr>
        <w:t xml:space="preserve">-1 </w:t>
      </w:r>
      <w:r w:rsidRPr="000E2377">
        <w:rPr>
          <w:rFonts w:cs="Times New Roman"/>
          <w:b w:val="0"/>
          <w:szCs w:val="24"/>
          <w:lang w:val="en-GB"/>
        </w:rPr>
        <w:t xml:space="preserve">was not used as it is associated with residual sulphur arising from the use of sulphate refining. </w:t>
      </w:r>
    </w:p>
    <w:p w14:paraId="195817F6" w14:textId="77777777" w:rsidR="00D740DC" w:rsidRPr="000E2377" w:rsidRDefault="00D740DC" w:rsidP="00D740DC">
      <w:pPr>
        <w:keepNext/>
        <w:keepLines/>
        <w:spacing w:before="40" w:after="0" w:line="360" w:lineRule="auto"/>
        <w:outlineLvl w:val="3"/>
        <w:rPr>
          <w:rFonts w:eastAsia="Calibri" w:cstheme="majorBidi"/>
          <w:iCs/>
          <w:color w:val="000000" w:themeColor="text1"/>
          <w:lang w:eastAsia="tr-TR"/>
        </w:rPr>
      </w:pPr>
      <w:bookmarkStart w:id="539" w:name="_Toc523402918"/>
      <w:bookmarkStart w:id="540" w:name="_Toc525526429"/>
      <w:bookmarkStart w:id="541" w:name="_Toc525707846"/>
      <w:bookmarkStart w:id="542" w:name="_Toc525742511"/>
      <w:r w:rsidRPr="000E2377">
        <w:rPr>
          <w:rFonts w:eastAsiaTheme="majorEastAsia" w:cstheme="majorBidi"/>
          <w:color w:val="000000" w:themeColor="text1"/>
          <w:szCs w:val="24"/>
        </w:rPr>
        <w:t>3.5.</w:t>
      </w:r>
      <w:r>
        <w:rPr>
          <w:rFonts w:eastAsiaTheme="majorEastAsia" w:cstheme="majorBidi"/>
          <w:color w:val="000000" w:themeColor="text1"/>
          <w:szCs w:val="24"/>
        </w:rPr>
        <w:t>6</w:t>
      </w:r>
      <w:r w:rsidRPr="000E2377">
        <w:rPr>
          <w:rFonts w:eastAsia="Calibri" w:cstheme="majorBidi"/>
          <w:iCs/>
          <w:color w:val="000000" w:themeColor="text1"/>
          <w:lang w:eastAsia="tr-TR"/>
        </w:rPr>
        <w:t xml:space="preserve"> Nuclear magnetic resonance (NMR)</w:t>
      </w:r>
      <w:bookmarkEnd w:id="539"/>
      <w:bookmarkEnd w:id="540"/>
      <w:bookmarkEnd w:id="541"/>
      <w:bookmarkEnd w:id="542"/>
    </w:p>
    <w:p w14:paraId="639BE6AC" w14:textId="6A54F1BF" w:rsidR="00D740DC" w:rsidRPr="000E2377" w:rsidRDefault="00D740DC" w:rsidP="00D740DC">
      <w:pPr>
        <w:spacing w:line="360" w:lineRule="auto"/>
        <w:ind w:firstLine="720"/>
        <w:jc w:val="both"/>
        <w:rPr>
          <w:rFonts w:asciiTheme="majorBidi" w:hAnsiTheme="majorBidi" w:cstheme="majorBidi"/>
          <w:b w:val="0"/>
          <w:szCs w:val="24"/>
        </w:rPr>
      </w:pPr>
      <w:r w:rsidRPr="000E2377">
        <w:rPr>
          <w:rFonts w:asciiTheme="majorBidi" w:hAnsiTheme="majorBidi" w:cstheme="majorBidi"/>
          <w:b w:val="0"/>
          <w:szCs w:val="24"/>
        </w:rPr>
        <w:t xml:space="preserve">Solid state nuclear magnetic resonance (NMR) is widely used to measure </w:t>
      </w:r>
      <w:r w:rsidR="000707B0">
        <w:rPr>
          <w:rFonts w:asciiTheme="majorBidi" w:hAnsiTheme="majorBidi" w:cstheme="majorBidi"/>
          <w:b w:val="0"/>
          <w:szCs w:val="24"/>
        </w:rPr>
        <w:t xml:space="preserve">the </w:t>
      </w:r>
      <w:r w:rsidRPr="000E2377">
        <w:rPr>
          <w:rFonts w:asciiTheme="majorBidi" w:hAnsiTheme="majorBidi" w:cstheme="majorBidi"/>
          <w:b w:val="0"/>
          <w:szCs w:val="24"/>
        </w:rPr>
        <w:t xml:space="preserve">structural change of alkali or alkaline earth </w:t>
      </w:r>
      <w:r w:rsidRPr="000E2377">
        <w:rPr>
          <w:rFonts w:asciiTheme="majorBidi" w:hAnsiTheme="majorBidi" w:cstheme="majorBidi"/>
          <w:b w:val="0"/>
          <w:szCs w:val="24"/>
        </w:rPr>
        <w:fldChar w:fldCharType="begin" w:fldLock="1"/>
      </w:r>
      <w:r w:rsidRPr="000E2377">
        <w:rPr>
          <w:rFonts w:asciiTheme="majorBidi" w:hAnsiTheme="majorBidi" w:cstheme="majorBidi"/>
          <w:b w:val="0"/>
          <w:szCs w:val="24"/>
        </w:rPr>
        <w:instrText>ADDIN CSL_CITATION { "citationItems" : [ { "id" : "ITEM-1", "itemData" : { "DOI" : "10.1016/S0022-3093(01)00656-1", "ISSN" : "00223093", "abstract" : "29Si and 23Na magic angle spinning (MAS) NMR has been used as an atomic probe for structural characterisation of soda-lime-silicate glasses. The glasses studied are based on the composition (CaO)x(Na2Si3O7), where x is varied from x = 0 to x = 1, (increasing CaO from 0 to 20 mol%) finally matching the Na2O fraction. The glass network becomes increasingly depolymerised by increasing CaO, and shows a changing distribution of Qn species. Two Q species have been observed co-existing for compositions, where x = 0, 0.2 and 1, while for compositions, where x = 0.4 and x = 0.8, Q2, Q3 and Q4 are present. Progressive changes in chemical shifts of Q2 and Q3 species, and changes in FWHM of all detected Qn species accompany the addition of CaO. The addition of CaO introduces a greater distortion into the structure, and there is evidence to suggest preferential arrangement of Ca in the vicinity of Q2 species rather than Q3. ?? 2001 Published by Elsevier Science B.V.", "author" : [ { "dropping-particle" : "", "family" : "Jones", "given" : "A. R.", "non-dropping-particle" : "", "parse-names" : false, "suffix" : "" }, { "dropping-particle" : "", "family" : "Winter", "given" : "R.", "non-dropping-particle" : "", "parse-names" : false, "suffix" : "" }, { "dropping-particle" : "", "family" : "Greaves", "given" : "G. N.", "non-dropping-particle" : "", "parse-names" : false, "suffix" : "" }, { "dropping-particle" : "", "family" : "Smith", "given" : "I. H.", "non-dropping-particle" : "", "parse-names" : false, "suffix" : "" } ], "container-title" : "Journal of Non-Crystalline Solids", "id" : "ITEM-1", "issue" : "1", "issued" : { "date-parts" : [ [ "2001" ] ] }, "page" : "87-92", "title" : "MAS NMR study of soda-lime-silicate glasses with variable degree of polymerisation", "type" : "article-journal", "volume" : "293-295" }, "uris" : [ "http://www.mendeley.com/documents/?uuid=06dcd50a-fffa-4343-803e-8819b0b32671" ] } ], "mendeley" : { "formattedCitation" : "(Jones et al., 2001)", "plainTextFormattedCitation" : "(Jones et al., 2001)", "previouslyFormattedCitation" : "(Jones et al., 2001)" }, "properties" : { "noteIndex" : 0 }, "schema" : "https://github.com/citation-style-language/schema/raw/master/csl-citation.json" }</w:instrText>
      </w:r>
      <w:r w:rsidRPr="000E2377">
        <w:rPr>
          <w:rFonts w:asciiTheme="majorBidi" w:hAnsiTheme="majorBidi" w:cstheme="majorBidi"/>
          <w:b w:val="0"/>
          <w:szCs w:val="24"/>
        </w:rPr>
        <w:fldChar w:fldCharType="separate"/>
      </w:r>
      <w:r w:rsidRPr="000E2377">
        <w:rPr>
          <w:rFonts w:asciiTheme="majorBidi" w:hAnsiTheme="majorBidi" w:cstheme="majorBidi"/>
          <w:b w:val="0"/>
          <w:noProof/>
          <w:szCs w:val="24"/>
        </w:rPr>
        <w:t>(Jones et al., 2001)</w:t>
      </w:r>
      <w:r w:rsidRPr="000E2377">
        <w:rPr>
          <w:rFonts w:asciiTheme="majorBidi" w:hAnsiTheme="majorBidi" w:cstheme="majorBidi"/>
          <w:b w:val="0"/>
          <w:szCs w:val="24"/>
        </w:rPr>
        <w:fldChar w:fldCharType="end"/>
      </w:r>
      <w:r w:rsidRPr="000E2377">
        <w:rPr>
          <w:rFonts w:asciiTheme="majorBidi" w:hAnsiTheme="majorBidi" w:cstheme="majorBidi"/>
          <w:b w:val="0"/>
          <w:szCs w:val="24"/>
        </w:rPr>
        <w:fldChar w:fldCharType="begin" w:fldLock="1"/>
      </w:r>
      <w:r w:rsidRPr="000E2377">
        <w:rPr>
          <w:rFonts w:asciiTheme="majorBidi" w:hAnsiTheme="majorBidi" w:cstheme="majorBidi"/>
          <w:b w:val="0"/>
          <w:szCs w:val="24"/>
        </w:rPr>
        <w:instrText>ADDIN CSL_CITATION { "citationItems" : [ { "id" : "ITEM-1", "itemData" : { "DOI" : "10.1016/j.molstruc.2016.04.066", "ISSN" : "00222860", "abstract" : "Glasses of the ternary system BaO-B2O3-P2O5 were prepared and studied in broad concentration limits covering the whole vitrification domain: 20-50 mol% BaO, 0-40 mol% B2O3 and 20-60 mol% P2O5. Their structure was studied with combinations of Raman spectroscopy, 31P MAS NMR spectroscopy and 11B MAS NMR spectroscopy. The obtained results are discussed in several compositional lines A: (100-x)Ba(PO3)2-xB2O3, B: 40BaO-yB2O3-(60-y)P2O5, C: (50-z)BaO-zB2O3-50P2O5, D: (60-w)BaO-wB2O3-40P2O5 and E: uBaO-40B2O3-(60-u)P2O5. Boron oxide incorporates into the phosphate network in the form of BO4 and BO3 groups and increases their glass transition temperature. Nevertheless, the increase in Tg is only steep within the region of 0-20 mol% B2O3 reaching a maximum at the glasses with ???30 mol% B2O3. In the lines A, B and E a decrease in the P2O5 and an increase of B2O3 content results in the shortening of phosphate chains with decreasing P2O5 content; these changes are most pronounced in line B with a constant BaO content. In lines C and D with a constant P2O5 content a decrease in the BaO content results, in contrast, in the reverse transformation of phosphate structural units in the direction Q1 ??? Q2 ??? Q3 as detected from Raman spectra and 31P MAS NMR spectra. 11B MAS NMR spectra revealed that only BO4 units are present in the glasses with 0-20 mol% B2O3. In the glasses of the E series the fraction of BO3 units increases with a decreasing P2O5 content. By the decomposition of the 11B MAS NMR spectra it is possible to estimate the fractions of basic structural units formed by boron - B(OP)3O, B(OP)2O2 and BO3 in all the glasses of the glass forming region.", "author" : [ { "dropping-particle" : "", "family" : "Koudelka", "given" : "Ladislav", "non-dropping-particle" : "", "parse-names" : false, "suffix" : "" }, { "dropping-particle" : "", "family" : "Kalenda", "given" : "Petr", "non-dropping-particle" : "", "parse-names" : false, "suffix" : "" }, { "dropping-particle" : "", "family" : "Mo??ner", "given" : "Petr", "non-dropping-particle" : "", "parse-names" : false, "suffix" : "" }, { "dropping-particle" : "", "family" : "??erno??ek", "given" : "Zden??k", "non-dropping-particle" : "", "parse-names" : false, "suffix" : "" }, { "dropping-particle" : "", "family" : "Montagne", "given" : "Lionel", "non-dropping-particle" : "", "parse-names" : false, "suffix" : "" }, { "dropping-particle" : "", "family" : "Revel", "given" : "Bertrand", "non-dropping-particle" : "", "parse-names" : false, "suffix" : "" } ], "container-title" : "Journal of Molecular Structure", "id" : "ITEM-1", "issued" : { "date-parts" : [ [ "2016" ] ] }, "page" : "212-219", "title" : "Structural investigation of BaO-B2O3-P2O5 glasses by NMR and Raman spectroscopy", "type" : "article-journal", "volume" : "1119" }, "uris" : [ "http://www.mendeley.com/documents/?uuid=9af8147d-91d6-4b3a-b507-f3082d98da49" ] } ], "mendeley" : { "formattedCitation" : "(Koudelka et al., 2016)", "plainTextFormattedCitation" : "(Koudelka et al., 2016)", "previouslyFormattedCitation" : "(Koudelka et al., 2016)" }, "properties" : { "noteIndex" : 0 }, "schema" : "https://github.com/citation-style-language/schema/raw/master/csl-citation.json" }</w:instrText>
      </w:r>
      <w:r w:rsidRPr="000E2377">
        <w:rPr>
          <w:rFonts w:asciiTheme="majorBidi" w:hAnsiTheme="majorBidi" w:cstheme="majorBidi"/>
          <w:b w:val="0"/>
          <w:szCs w:val="24"/>
        </w:rPr>
        <w:fldChar w:fldCharType="separate"/>
      </w:r>
      <w:r w:rsidRPr="000E2377">
        <w:rPr>
          <w:rFonts w:asciiTheme="majorBidi" w:hAnsiTheme="majorBidi" w:cstheme="majorBidi"/>
          <w:b w:val="0"/>
          <w:noProof/>
          <w:szCs w:val="24"/>
        </w:rPr>
        <w:t>(Koudelka et al., 2016)</w:t>
      </w:r>
      <w:r w:rsidRPr="000E2377">
        <w:rPr>
          <w:rFonts w:asciiTheme="majorBidi" w:hAnsiTheme="majorBidi" w:cstheme="majorBidi"/>
          <w:b w:val="0"/>
          <w:szCs w:val="24"/>
        </w:rPr>
        <w:fldChar w:fldCharType="end"/>
      </w:r>
      <w:r w:rsidRPr="000E2377">
        <w:rPr>
          <w:rFonts w:asciiTheme="majorBidi" w:hAnsiTheme="majorBidi" w:cstheme="majorBidi"/>
          <w:b w:val="0"/>
          <w:szCs w:val="24"/>
        </w:rPr>
        <w:t xml:space="preserve">. </w:t>
      </w:r>
      <w:r w:rsidRPr="000E2377">
        <w:rPr>
          <w:b w:val="0"/>
          <w:vertAlign w:val="superscript"/>
        </w:rPr>
        <w:t>29</w:t>
      </w:r>
      <w:r w:rsidRPr="000E2377">
        <w:rPr>
          <w:b w:val="0"/>
        </w:rPr>
        <w:t xml:space="preserve">Si nuclear magnetic resonance (NMR) can be used to assess the relative quantities of </w:t>
      </w:r>
      <w:proofErr w:type="spellStart"/>
      <w:r w:rsidRPr="000E2377">
        <w:rPr>
          <w:b w:val="0"/>
        </w:rPr>
        <w:t>Q</w:t>
      </w:r>
      <w:r w:rsidRPr="000B016E">
        <w:rPr>
          <w:b w:val="0"/>
          <w:vertAlign w:val="superscript"/>
        </w:rPr>
        <w:t>n</w:t>
      </w:r>
      <w:proofErr w:type="spellEnd"/>
      <w:r w:rsidRPr="000E2377">
        <w:rPr>
          <w:b w:val="0"/>
        </w:rPr>
        <w:t xml:space="preserve"> species in a silicate glass.</w:t>
      </w:r>
      <w:r w:rsidRPr="000E2377">
        <w:rPr>
          <w:rFonts w:asciiTheme="majorBidi" w:hAnsiTheme="majorBidi" w:cstheme="majorBidi"/>
          <w:b w:val="0"/>
          <w:szCs w:val="24"/>
        </w:rPr>
        <w:t xml:space="preserve"> </w:t>
      </w:r>
      <w:r>
        <w:rPr>
          <w:rFonts w:asciiTheme="majorBidi" w:hAnsiTheme="majorBidi" w:cstheme="majorBidi"/>
          <w:b w:val="0"/>
          <w:szCs w:val="24"/>
        </w:rPr>
        <w:t>Again data</w:t>
      </w:r>
      <w:r w:rsidRPr="000E2377">
        <w:rPr>
          <w:rFonts w:asciiTheme="majorBidi" w:hAnsiTheme="majorBidi" w:cstheme="majorBidi"/>
          <w:b w:val="0"/>
          <w:szCs w:val="24"/>
        </w:rPr>
        <w:t xml:space="preserve"> can be deconvolute</w:t>
      </w:r>
      <w:r>
        <w:rPr>
          <w:rFonts w:asciiTheme="majorBidi" w:hAnsiTheme="majorBidi" w:cstheme="majorBidi"/>
          <w:b w:val="0"/>
          <w:szCs w:val="24"/>
        </w:rPr>
        <w:t>d</w:t>
      </w:r>
      <w:r w:rsidRPr="000E2377">
        <w:rPr>
          <w:rFonts w:asciiTheme="majorBidi" w:hAnsiTheme="majorBidi" w:cstheme="majorBidi"/>
          <w:b w:val="0"/>
          <w:szCs w:val="24"/>
        </w:rPr>
        <w:t xml:space="preserve"> to find </w:t>
      </w:r>
      <w:r>
        <w:rPr>
          <w:rFonts w:asciiTheme="majorBidi" w:hAnsiTheme="majorBidi" w:cstheme="majorBidi"/>
          <w:b w:val="0"/>
          <w:szCs w:val="24"/>
        </w:rPr>
        <w:t xml:space="preserve">the contribution of </w:t>
      </w:r>
      <w:r w:rsidRPr="000E2377">
        <w:rPr>
          <w:rFonts w:asciiTheme="majorBidi" w:hAnsiTheme="majorBidi" w:cstheme="majorBidi"/>
          <w:b w:val="0"/>
          <w:szCs w:val="24"/>
        </w:rPr>
        <w:t>each Q species unit. The Q species refle</w:t>
      </w:r>
      <w:r>
        <w:rPr>
          <w:rFonts w:asciiTheme="majorBidi" w:hAnsiTheme="majorBidi" w:cstheme="majorBidi"/>
          <w:b w:val="0"/>
          <w:szCs w:val="24"/>
        </w:rPr>
        <w:t>ct an overall strengthening or weakening of</w:t>
      </w:r>
      <w:r w:rsidRPr="000E2377">
        <w:rPr>
          <w:rFonts w:asciiTheme="majorBidi" w:hAnsiTheme="majorBidi" w:cstheme="majorBidi"/>
          <w:b w:val="0"/>
          <w:szCs w:val="24"/>
        </w:rPr>
        <w:t xml:space="preserve"> the bond energy.</w:t>
      </w:r>
    </w:p>
    <w:p w14:paraId="6EED3810" w14:textId="4192B9A6" w:rsidR="00D740DC" w:rsidRPr="000E2377" w:rsidRDefault="00D740DC" w:rsidP="00D740DC">
      <w:pPr>
        <w:spacing w:line="360" w:lineRule="auto"/>
        <w:jc w:val="both"/>
        <w:rPr>
          <w:rFonts w:cs="Times New Roman"/>
          <w:b w:val="0"/>
          <w:szCs w:val="24"/>
        </w:rPr>
      </w:pPr>
      <w:r w:rsidRPr="000E2377">
        <w:rPr>
          <w:rFonts w:cs="Times New Roman"/>
          <w:b w:val="0"/>
          <w:szCs w:val="24"/>
        </w:rPr>
        <w:t xml:space="preserve">Solid state NMR was used to study the bonding and coordination of </w:t>
      </w:r>
      <w:r w:rsidRPr="000E2377">
        <w:rPr>
          <w:rFonts w:cs="Times New Roman"/>
          <w:b w:val="0"/>
          <w:szCs w:val="24"/>
          <w:vertAlign w:val="superscript"/>
        </w:rPr>
        <w:t>27</w:t>
      </w:r>
      <w:r w:rsidRPr="000E2377">
        <w:rPr>
          <w:rFonts w:cs="Times New Roman"/>
          <w:b w:val="0"/>
          <w:szCs w:val="24"/>
        </w:rPr>
        <w:t xml:space="preserve">Al, </w:t>
      </w:r>
      <w:r w:rsidRPr="000E2377">
        <w:rPr>
          <w:rFonts w:cs="Times New Roman"/>
          <w:b w:val="0"/>
          <w:szCs w:val="24"/>
          <w:vertAlign w:val="superscript"/>
        </w:rPr>
        <w:t>29</w:t>
      </w:r>
      <w:r w:rsidRPr="000E2377">
        <w:rPr>
          <w:rFonts w:cs="Times New Roman"/>
          <w:b w:val="0"/>
          <w:szCs w:val="24"/>
        </w:rPr>
        <w:t xml:space="preserve">Si and </w:t>
      </w:r>
      <w:r w:rsidRPr="000E2377">
        <w:rPr>
          <w:rFonts w:cs="Times New Roman"/>
          <w:b w:val="0"/>
          <w:szCs w:val="24"/>
          <w:vertAlign w:val="superscript"/>
        </w:rPr>
        <w:t>11</w:t>
      </w:r>
      <w:r w:rsidRPr="000E2377">
        <w:rPr>
          <w:rFonts w:cs="Times New Roman"/>
          <w:b w:val="0"/>
          <w:szCs w:val="24"/>
        </w:rPr>
        <w:t xml:space="preserve">B in </w:t>
      </w:r>
      <w:r>
        <w:rPr>
          <w:rFonts w:cs="Times New Roman"/>
          <w:b w:val="0"/>
          <w:szCs w:val="24"/>
        </w:rPr>
        <w:t>selected</w:t>
      </w:r>
      <w:r w:rsidRPr="000E2377">
        <w:rPr>
          <w:rFonts w:cs="Times New Roman"/>
          <w:b w:val="0"/>
          <w:szCs w:val="24"/>
        </w:rPr>
        <w:t xml:space="preserve"> glass</w:t>
      </w:r>
      <w:r>
        <w:rPr>
          <w:rFonts w:cs="Times New Roman"/>
          <w:b w:val="0"/>
          <w:szCs w:val="24"/>
        </w:rPr>
        <w:t>es</w:t>
      </w:r>
      <w:r w:rsidRPr="000E2377">
        <w:rPr>
          <w:rFonts w:cs="Times New Roman"/>
          <w:b w:val="0"/>
          <w:szCs w:val="24"/>
        </w:rPr>
        <w:t xml:space="preserve"> using a Varian VNMRS at Durham University. Samples were prepared by crushing and sieving </w:t>
      </w:r>
      <w:r>
        <w:rPr>
          <w:rFonts w:cs="Times New Roman"/>
          <w:b w:val="0"/>
          <w:szCs w:val="24"/>
        </w:rPr>
        <w:t>to</w:t>
      </w:r>
      <w:r w:rsidRPr="000E2377">
        <w:rPr>
          <w:rFonts w:cs="Times New Roman"/>
          <w:b w:val="0"/>
          <w:szCs w:val="24"/>
        </w:rPr>
        <w:t xml:space="preserve"> ≤75 µm. Deconvolution of the </w:t>
      </w:r>
      <w:r w:rsidRPr="000E2377">
        <w:rPr>
          <w:rFonts w:cs="Times New Roman"/>
          <w:b w:val="0"/>
          <w:szCs w:val="24"/>
          <w:vertAlign w:val="superscript"/>
        </w:rPr>
        <w:t>29</w:t>
      </w:r>
      <w:r w:rsidRPr="000E2377">
        <w:rPr>
          <w:rFonts w:cs="Times New Roman"/>
          <w:b w:val="0"/>
          <w:szCs w:val="24"/>
        </w:rPr>
        <w:t xml:space="preserve">Si NMR spectra was used to determine the Q species of the glass produced. The chemical shifts for silicon NMR were referenced to </w:t>
      </w:r>
      <w:proofErr w:type="spellStart"/>
      <w:r w:rsidRPr="000E2377">
        <w:rPr>
          <w:rFonts w:cs="Times New Roman"/>
          <w:b w:val="0"/>
          <w:szCs w:val="24"/>
        </w:rPr>
        <w:t>tetramethylsilane</w:t>
      </w:r>
      <w:proofErr w:type="spellEnd"/>
      <w:r w:rsidRPr="000E2377">
        <w:rPr>
          <w:rFonts w:cs="Times New Roman"/>
          <w:b w:val="0"/>
          <w:szCs w:val="24"/>
        </w:rPr>
        <w:t>, aluminium were referenced to 1M aq. Al(NO</w:t>
      </w:r>
      <w:r w:rsidRPr="000E2377">
        <w:rPr>
          <w:rFonts w:cs="Times New Roman"/>
          <w:b w:val="0"/>
          <w:szCs w:val="24"/>
          <w:vertAlign w:val="subscript"/>
        </w:rPr>
        <w:t>3</w:t>
      </w:r>
      <w:r w:rsidRPr="000E2377">
        <w:rPr>
          <w:rFonts w:cs="Times New Roman"/>
          <w:b w:val="0"/>
          <w:szCs w:val="24"/>
        </w:rPr>
        <w:t>)</w:t>
      </w:r>
      <w:r w:rsidRPr="000E2377">
        <w:rPr>
          <w:rFonts w:cs="Times New Roman"/>
          <w:b w:val="0"/>
          <w:szCs w:val="24"/>
          <w:vertAlign w:val="subscript"/>
        </w:rPr>
        <w:t xml:space="preserve">3 </w:t>
      </w:r>
      <w:r w:rsidRPr="000E2377">
        <w:rPr>
          <w:rFonts w:cs="Times New Roman"/>
          <w:b w:val="0"/>
          <w:szCs w:val="24"/>
        </w:rPr>
        <w:t xml:space="preserve">and </w:t>
      </w:r>
      <w:r>
        <w:rPr>
          <w:rFonts w:cs="Times New Roman"/>
          <w:b w:val="0"/>
          <w:szCs w:val="24"/>
        </w:rPr>
        <w:t xml:space="preserve">for </w:t>
      </w:r>
      <w:r w:rsidRPr="000E2377">
        <w:rPr>
          <w:rFonts w:cs="Times New Roman"/>
          <w:b w:val="0"/>
          <w:szCs w:val="24"/>
        </w:rPr>
        <w:t xml:space="preserve">boron </w:t>
      </w:r>
      <w:r>
        <w:rPr>
          <w:rFonts w:cs="Times New Roman"/>
          <w:b w:val="0"/>
          <w:szCs w:val="24"/>
        </w:rPr>
        <w:t>to</w:t>
      </w:r>
      <w:r w:rsidRPr="000E2377">
        <w:rPr>
          <w:rFonts w:cs="Times New Roman"/>
          <w:b w:val="0"/>
          <w:szCs w:val="24"/>
        </w:rPr>
        <w:t xml:space="preserve"> BF</w:t>
      </w:r>
      <w:r w:rsidRPr="000E2377">
        <w:rPr>
          <w:rFonts w:cs="Times New Roman"/>
          <w:b w:val="0"/>
          <w:szCs w:val="24"/>
          <w:vertAlign w:val="subscript"/>
        </w:rPr>
        <w:t>3</w:t>
      </w:r>
      <w:r w:rsidRPr="000E2377">
        <w:rPr>
          <w:rFonts w:cs="Times New Roman"/>
          <w:b w:val="0"/>
          <w:szCs w:val="24"/>
        </w:rPr>
        <w:t>/OEt</w:t>
      </w:r>
      <w:r w:rsidRPr="000E2377">
        <w:rPr>
          <w:rFonts w:cs="Times New Roman"/>
          <w:b w:val="0"/>
          <w:szCs w:val="24"/>
          <w:vertAlign w:val="subscript"/>
        </w:rPr>
        <w:t>2</w:t>
      </w:r>
      <w:r w:rsidRPr="000E2377">
        <w:rPr>
          <w:rFonts w:cs="Times New Roman"/>
          <w:b w:val="0"/>
          <w:szCs w:val="24"/>
        </w:rPr>
        <w:t xml:space="preserve">. The deconvolution of </w:t>
      </w:r>
      <w:r w:rsidRPr="000E2377">
        <w:rPr>
          <w:rFonts w:cs="Times New Roman"/>
          <w:b w:val="0"/>
          <w:szCs w:val="24"/>
          <w:vertAlign w:val="superscript"/>
        </w:rPr>
        <w:t>29</w:t>
      </w:r>
      <w:r w:rsidRPr="000E2377">
        <w:rPr>
          <w:rFonts w:cs="Times New Roman"/>
          <w:b w:val="0"/>
          <w:szCs w:val="24"/>
        </w:rPr>
        <w:t xml:space="preserve">Si NMR for Q species are </w:t>
      </w:r>
      <w:r w:rsidR="00E25445" w:rsidRPr="000E2377">
        <w:rPr>
          <w:rFonts w:cs="Times New Roman"/>
          <w:b w:val="0"/>
          <w:szCs w:val="24"/>
        </w:rPr>
        <w:t>show</w:t>
      </w:r>
      <w:r w:rsidR="00E25445">
        <w:rPr>
          <w:rFonts w:cs="Times New Roman"/>
          <w:b w:val="0"/>
          <w:szCs w:val="24"/>
        </w:rPr>
        <w:t>n</w:t>
      </w:r>
      <w:r w:rsidR="00E25445" w:rsidRPr="000E2377">
        <w:rPr>
          <w:rFonts w:cs="Times New Roman"/>
          <w:b w:val="0"/>
          <w:szCs w:val="24"/>
        </w:rPr>
        <w:t xml:space="preserve"> </w:t>
      </w:r>
      <w:r w:rsidRPr="000E2377">
        <w:rPr>
          <w:rFonts w:cs="Times New Roman"/>
          <w:b w:val="0"/>
          <w:szCs w:val="24"/>
        </w:rPr>
        <w:t>in Figure 3.12 below.</w:t>
      </w:r>
    </w:p>
    <w:p w14:paraId="1D8CA704" w14:textId="77777777" w:rsidR="00D740DC" w:rsidRPr="000E2377" w:rsidRDefault="00D740DC" w:rsidP="00D740DC">
      <w:pPr>
        <w:spacing w:after="0"/>
        <w:rPr>
          <w:rFonts w:cs="Times New Roman"/>
          <w:b w:val="0"/>
          <w:szCs w:val="24"/>
        </w:rPr>
      </w:pPr>
      <w:r w:rsidRPr="000E2377">
        <w:rPr>
          <w:rFonts w:cs="Times New Roman"/>
          <w:b w:val="0"/>
          <w:noProof/>
          <w:szCs w:val="24"/>
          <w:lang w:eastAsia="en-MY"/>
        </w:rPr>
        <w:drawing>
          <wp:inline distT="0" distB="0" distL="0" distR="0" wp14:anchorId="62FB474B" wp14:editId="5CEB00BB">
            <wp:extent cx="2830949" cy="2880000"/>
            <wp:effectExtent l="0" t="0" r="7620" b="0"/>
            <wp:docPr id="1952" name="Picture 1952" descr="C:\Users\Asus A450L\Google Drive\NMR\NMR Si\A5 n15c10s60A5c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 A450L\Google Drive\NMR\NMR Si\A5 n15c10s60A5c10.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30949" cy="2880000"/>
                    </a:xfrm>
                    <a:prstGeom prst="rect">
                      <a:avLst/>
                    </a:prstGeom>
                    <a:noFill/>
                    <a:ln>
                      <a:noFill/>
                    </a:ln>
                  </pic:spPr>
                </pic:pic>
              </a:graphicData>
            </a:graphic>
          </wp:inline>
        </w:drawing>
      </w:r>
      <w:r w:rsidRPr="000E2377">
        <w:rPr>
          <w:rFonts w:cs="Times New Roman"/>
          <w:b w:val="0"/>
          <w:szCs w:val="24"/>
        </w:rPr>
        <w:t xml:space="preserve"> </w:t>
      </w:r>
      <w:r w:rsidRPr="000E2377">
        <w:rPr>
          <w:rFonts w:cs="Times New Roman"/>
          <w:b w:val="0"/>
          <w:noProof/>
          <w:szCs w:val="24"/>
          <w:lang w:eastAsia="en-MY"/>
        </w:rPr>
        <w:drawing>
          <wp:inline distT="0" distB="0" distL="0" distR="0" wp14:anchorId="3E87E2C5" wp14:editId="7E137B6D">
            <wp:extent cx="2819680" cy="2880000"/>
            <wp:effectExtent l="0" t="0" r="0" b="0"/>
            <wp:docPr id="2192" name="Picture 2192" descr="C:\Users\Asus A450L\Google Drive\NMR\NMR Si\A6. n15b10s60a5bA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 A450L\Google Drive\NMR\NMR Si\A6. n15b10s60a5bA10.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19680" cy="2880000"/>
                    </a:xfrm>
                    <a:prstGeom prst="rect">
                      <a:avLst/>
                    </a:prstGeom>
                    <a:noFill/>
                    <a:ln>
                      <a:noFill/>
                    </a:ln>
                  </pic:spPr>
                </pic:pic>
              </a:graphicData>
            </a:graphic>
          </wp:inline>
        </w:drawing>
      </w:r>
    </w:p>
    <w:p w14:paraId="37EFF8D4" w14:textId="77777777" w:rsidR="00D740DC" w:rsidRPr="000E2377" w:rsidRDefault="00D740DC" w:rsidP="00D740DC">
      <w:pPr>
        <w:spacing w:after="0"/>
        <w:rPr>
          <w:rFonts w:cs="Times New Roman"/>
          <w:b w:val="0"/>
          <w:szCs w:val="24"/>
        </w:rPr>
      </w:pPr>
      <w:r>
        <w:rPr>
          <w:rFonts w:eastAsia="Times New Roman" w:cs="Times New Roman"/>
          <w:b w:val="0"/>
          <w:color w:val="000000"/>
          <w:sz w:val="20"/>
          <w:szCs w:val="20"/>
          <w:lang w:eastAsia="en-MY"/>
        </w:rPr>
        <w:t xml:space="preserve">                                </w:t>
      </w: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r w:rsidRPr="000E2377">
        <w:rPr>
          <w:rFonts w:eastAsia="Times New Roman" w:cs="Times New Roman"/>
          <w:b w:val="0"/>
          <w:color w:val="000000"/>
          <w:szCs w:val="24"/>
          <w:lang w:eastAsia="en-MY"/>
        </w:rPr>
        <w:t xml:space="preserve"> </w:t>
      </w:r>
      <w:r w:rsidRPr="000E2377">
        <w:rPr>
          <w:rFonts w:eastAsia="Times New Roman" w:cs="Times New Roman"/>
          <w:b w:val="0"/>
          <w:color w:val="000000"/>
          <w:szCs w:val="24"/>
          <w:lang w:eastAsia="en-MY"/>
        </w:rPr>
        <w:tab/>
      </w:r>
      <w:r w:rsidRPr="000E2377">
        <w:rPr>
          <w:rFonts w:eastAsia="Times New Roman" w:cs="Times New Roman"/>
          <w:b w:val="0"/>
          <w:color w:val="000000"/>
          <w:szCs w:val="24"/>
          <w:lang w:eastAsia="en-MY"/>
        </w:rPr>
        <w:tab/>
      </w:r>
      <w:r w:rsidRPr="000E2377">
        <w:rPr>
          <w:rFonts w:eastAsia="Times New Roman" w:cs="Times New Roman"/>
          <w:b w:val="0"/>
          <w:color w:val="000000"/>
          <w:szCs w:val="24"/>
          <w:lang w:eastAsia="en-MY"/>
        </w:rPr>
        <w:tab/>
      </w:r>
      <w:r w:rsidRPr="000E2377">
        <w:rPr>
          <w:rFonts w:eastAsia="Times New Roman" w:cs="Times New Roman"/>
          <w:b w:val="0"/>
          <w:color w:val="000000"/>
          <w:szCs w:val="24"/>
          <w:lang w:eastAsia="en-MY"/>
        </w:rPr>
        <w:tab/>
        <w:t xml:space="preserve">       </w:t>
      </w: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Ba</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p w14:paraId="0C29B596" w14:textId="51DED61B" w:rsidR="00D740DC" w:rsidRDefault="00D740DC" w:rsidP="00D740DC">
      <w:pPr>
        <w:pStyle w:val="Caption"/>
        <w:spacing w:before="240"/>
        <w:rPr>
          <w:szCs w:val="24"/>
        </w:rPr>
      </w:pPr>
      <w:bookmarkStart w:id="543" w:name="_Toc521420464"/>
      <w:bookmarkStart w:id="544" w:name="_Toc525223198"/>
      <w:bookmarkStart w:id="545" w:name="_Toc525528345"/>
      <w:bookmarkStart w:id="546" w:name="_Toc525706360"/>
      <w:bookmarkStart w:id="547" w:name="_Hlk515394148"/>
      <w:r w:rsidRPr="000E2377">
        <w:t xml:space="preserve">Figure </w:t>
      </w:r>
      <w:r>
        <w:t>3</w:t>
      </w:r>
      <w:r w:rsidRPr="000E2377">
        <w:t>.</w:t>
      </w:r>
      <w:r>
        <w:t>12</w:t>
      </w:r>
      <w:r w:rsidRPr="000E2377">
        <w:t xml:space="preserve">: </w:t>
      </w:r>
      <w:r w:rsidRPr="000E2377">
        <w:rPr>
          <w:szCs w:val="24"/>
        </w:rPr>
        <w:t xml:space="preserve">Deconvolution of </w:t>
      </w:r>
      <w:r w:rsidRPr="000E2377">
        <w:rPr>
          <w:szCs w:val="24"/>
          <w:vertAlign w:val="superscript"/>
        </w:rPr>
        <w:t>29</w:t>
      </w:r>
      <w:r w:rsidRPr="000E2377">
        <w:rPr>
          <w:szCs w:val="24"/>
        </w:rPr>
        <w:t>Si NMR</w:t>
      </w:r>
      <w:bookmarkEnd w:id="543"/>
      <w:bookmarkEnd w:id="544"/>
      <w:bookmarkEnd w:id="545"/>
      <w:bookmarkEnd w:id="546"/>
      <w:r>
        <w:rPr>
          <w:szCs w:val="24"/>
        </w:rPr>
        <w:t>.</w:t>
      </w:r>
    </w:p>
    <w:p w14:paraId="6CC8AD03" w14:textId="77777777" w:rsidR="003B228C" w:rsidRPr="003B228C" w:rsidRDefault="003B228C" w:rsidP="003B228C">
      <w:pPr>
        <w:rPr>
          <w:lang w:val="en-GB"/>
        </w:rPr>
      </w:pPr>
    </w:p>
    <w:p w14:paraId="3727E36E" w14:textId="6644F3C7" w:rsidR="00D740DC" w:rsidRDefault="00D740DC" w:rsidP="00D740DC">
      <w:pPr>
        <w:rPr>
          <w:lang w:val="en-GB"/>
        </w:rPr>
      </w:pPr>
      <w:r>
        <w:rPr>
          <w:lang w:val="en-GB"/>
        </w:rPr>
        <w:lastRenderedPageBreak/>
        <w:t xml:space="preserve">3.5.7 </w:t>
      </w:r>
      <w:r w:rsidR="005844C5">
        <w:rPr>
          <w:lang w:val="en-GB"/>
        </w:rPr>
        <w:t>Non-</w:t>
      </w:r>
      <w:r>
        <w:rPr>
          <w:lang w:val="en-GB"/>
        </w:rPr>
        <w:t>bridging oxygen per tetrahedron (NBO/T)</w:t>
      </w:r>
    </w:p>
    <w:p w14:paraId="104CC5AF" w14:textId="74C537AC" w:rsidR="00D740DC" w:rsidRDefault="00D740DC" w:rsidP="00D740DC">
      <w:pPr>
        <w:spacing w:line="360" w:lineRule="auto"/>
        <w:jc w:val="both"/>
        <w:rPr>
          <w:b w:val="0"/>
          <w:lang w:val="en-GB"/>
        </w:rPr>
      </w:pPr>
      <w:r>
        <w:rPr>
          <w:b w:val="0"/>
          <w:lang w:val="en-GB"/>
        </w:rPr>
        <w:t>NBO/T was calculated from the composition of glass by assuming that all available network modifier (Na</w:t>
      </w:r>
      <w:r w:rsidRPr="00F75676">
        <w:rPr>
          <w:b w:val="0"/>
          <w:vertAlign w:val="subscript"/>
          <w:lang w:val="en-GB"/>
        </w:rPr>
        <w:t>2</w:t>
      </w:r>
      <w:r>
        <w:rPr>
          <w:b w:val="0"/>
          <w:lang w:val="en-GB"/>
        </w:rPr>
        <w:t>O and alkaline earths) ion are used to charge balance Al tetrahedra</w:t>
      </w:r>
      <w:r w:rsidRPr="00850DD6">
        <w:rPr>
          <w:b w:val="0"/>
          <w:lang w:val="en-GB"/>
        </w:rPr>
        <w:t xml:space="preserve"> </w:t>
      </w:r>
      <w:r>
        <w:rPr>
          <w:b w:val="0"/>
          <w:lang w:val="en-GB"/>
        </w:rPr>
        <w:t>before they result in either formation of NBOs or compensate B tetrahedra.</w:t>
      </w:r>
    </w:p>
    <w:p w14:paraId="6C48926E" w14:textId="77777777" w:rsidR="00D740DC" w:rsidRPr="000E2377" w:rsidRDefault="00D740DC" w:rsidP="00D740DC">
      <w:pPr>
        <w:keepNext/>
        <w:keepLines/>
        <w:spacing w:before="40" w:after="0" w:line="360" w:lineRule="auto"/>
        <w:jc w:val="both"/>
        <w:outlineLvl w:val="2"/>
        <w:rPr>
          <w:rFonts w:eastAsiaTheme="majorEastAsia" w:cstheme="majorBidi"/>
          <w:color w:val="000000" w:themeColor="text1"/>
          <w:szCs w:val="24"/>
        </w:rPr>
      </w:pPr>
      <w:bookmarkStart w:id="548" w:name="_Toc515398729"/>
      <w:bookmarkStart w:id="549" w:name="_Toc523402919"/>
      <w:bookmarkStart w:id="550" w:name="_Toc525526430"/>
      <w:bookmarkStart w:id="551" w:name="_Toc525707847"/>
      <w:bookmarkStart w:id="552" w:name="_Toc525742512"/>
      <w:bookmarkStart w:id="553" w:name="_Toc12994962"/>
      <w:bookmarkEnd w:id="547"/>
      <w:r w:rsidRPr="000E2377">
        <w:rPr>
          <w:rFonts w:eastAsiaTheme="majorEastAsia" w:cstheme="majorBidi"/>
          <w:color w:val="000000" w:themeColor="text1"/>
          <w:szCs w:val="24"/>
        </w:rPr>
        <w:t>3.6 Mechanical properties</w:t>
      </w:r>
      <w:bookmarkEnd w:id="548"/>
      <w:bookmarkEnd w:id="549"/>
      <w:bookmarkEnd w:id="550"/>
      <w:bookmarkEnd w:id="551"/>
      <w:bookmarkEnd w:id="552"/>
      <w:bookmarkEnd w:id="553"/>
    </w:p>
    <w:p w14:paraId="37266738" w14:textId="77777777" w:rsidR="00D740DC" w:rsidRPr="000E2377" w:rsidRDefault="00D740DC" w:rsidP="00F02065">
      <w:pPr>
        <w:pStyle w:val="Heading4"/>
        <w:jc w:val="left"/>
      </w:pPr>
      <w:bookmarkStart w:id="554" w:name="_Toc523402920"/>
      <w:bookmarkStart w:id="555" w:name="_Toc525526431"/>
      <w:bookmarkStart w:id="556" w:name="_Toc525707848"/>
      <w:bookmarkStart w:id="557" w:name="_Toc525742513"/>
      <w:r w:rsidRPr="000E2377">
        <w:t>3.6.1 Moduli: Acoustic measurement</w:t>
      </w:r>
      <w:bookmarkEnd w:id="554"/>
      <w:bookmarkEnd w:id="555"/>
      <w:bookmarkEnd w:id="556"/>
      <w:bookmarkEnd w:id="557"/>
    </w:p>
    <w:p w14:paraId="5752A07D" w14:textId="77777777" w:rsidR="00D740DC" w:rsidRPr="000E2377" w:rsidRDefault="00D740DC" w:rsidP="00D740DC">
      <w:pPr>
        <w:spacing w:line="360" w:lineRule="auto"/>
        <w:jc w:val="both"/>
        <w:rPr>
          <w:rFonts w:cs="Times New Roman"/>
          <w:bCs/>
          <w:i/>
          <w:szCs w:val="24"/>
        </w:rPr>
      </w:pPr>
      <w:r w:rsidRPr="000E2377">
        <w:rPr>
          <w:rFonts w:cs="Times New Roman"/>
          <w:bCs/>
          <w:i/>
          <w:noProof/>
          <w:szCs w:val="24"/>
          <w:lang w:eastAsia="en-MY"/>
        </w:rPr>
        <mc:AlternateContent>
          <mc:Choice Requires="wps">
            <w:drawing>
              <wp:anchor distT="0" distB="0" distL="114300" distR="114300" simplePos="0" relativeHeight="252384256" behindDoc="0" locked="0" layoutInCell="1" allowOverlap="1" wp14:anchorId="4C72F8F6" wp14:editId="71C5D2A6">
                <wp:simplePos x="0" y="0"/>
                <wp:positionH relativeFrom="margin">
                  <wp:posOffset>2755074</wp:posOffset>
                </wp:positionH>
                <wp:positionV relativeFrom="paragraph">
                  <wp:posOffset>192586</wp:posOffset>
                </wp:positionV>
                <wp:extent cx="759741" cy="296884"/>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759741" cy="296884"/>
                        </a:xfrm>
                        <a:prstGeom prst="rect">
                          <a:avLst/>
                        </a:prstGeom>
                        <a:noFill/>
                        <a:ln w="6350">
                          <a:noFill/>
                        </a:ln>
                      </wps:spPr>
                      <wps:txbx>
                        <w:txbxContent>
                          <w:p w14:paraId="154B25CE" w14:textId="77777777" w:rsidR="00230AB9" w:rsidRPr="00C37B41" w:rsidRDefault="00230AB9" w:rsidP="00D740DC">
                            <w:pPr>
                              <w:rPr>
                                <w:sz w:val="18"/>
                                <w:szCs w:val="18"/>
                              </w:rPr>
                            </w:pPr>
                            <w:r>
                              <w:rPr>
                                <w:sz w:val="18"/>
                                <w:szCs w:val="18"/>
                              </w:rPr>
                              <w:t>Signal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2F8F6" id="Text Box 207" o:spid="_x0000_s1159" type="#_x0000_t202" style="position:absolute;left:0;text-align:left;margin-left:216.95pt;margin-top:15.15pt;width:59.8pt;height:23.4pt;z-index:25238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" filled="f" stroked="f" strokeweight=".5pt">
                <v:textbox>
                  <w:txbxContent>
                    <w:p w14:paraId="154B25CE" w14:textId="77777777" w:rsidR="00230AB9" w:rsidRPr="00C37B41" w:rsidRDefault="00230AB9" w:rsidP="00D740DC">
                      <w:pPr>
                        <w:rPr>
                          <w:sz w:val="18"/>
                          <w:szCs w:val="18"/>
                        </w:rPr>
                      </w:pPr>
                      <w:r>
                        <w:rPr>
                          <w:sz w:val="18"/>
                          <w:szCs w:val="18"/>
                        </w:rPr>
                        <w:t>Signal</w:t>
                      </w:r>
                    </w:p>
                  </w:txbxContent>
                </v:textbox>
                <w10:wrap anchorx="margin"/>
              </v:shape>
            </w:pict>
          </mc:Fallback>
        </mc:AlternateContent>
      </w:r>
      <w:r w:rsidRPr="000E2377">
        <w:rPr>
          <w:rFonts w:cs="Times New Roman"/>
          <w:bCs/>
          <w:i/>
          <w:noProof/>
          <w:szCs w:val="24"/>
          <w:lang w:eastAsia="en-MY"/>
        </w:rPr>
        <mc:AlternateContent>
          <mc:Choice Requires="wps">
            <w:drawing>
              <wp:anchor distT="0" distB="0" distL="114300" distR="114300" simplePos="0" relativeHeight="252371968" behindDoc="0" locked="0" layoutInCell="1" allowOverlap="1" wp14:anchorId="4D2F2FFA" wp14:editId="26506576">
                <wp:simplePos x="0" y="0"/>
                <wp:positionH relativeFrom="column">
                  <wp:posOffset>2339439</wp:posOffset>
                </wp:positionH>
                <wp:positionV relativeFrom="paragraph">
                  <wp:posOffset>240072</wp:posOffset>
                </wp:positionV>
                <wp:extent cx="2767621" cy="2621519"/>
                <wp:effectExtent l="0" t="0" r="13970" b="26670"/>
                <wp:wrapNone/>
                <wp:docPr id="210" name="Freeform: Shape 2047"/>
                <wp:cNvGraphicFramePr/>
                <a:graphic xmlns:a="http://schemas.openxmlformats.org/drawingml/2006/main">
                  <a:graphicData uri="http://schemas.microsoft.com/office/word/2010/wordprocessingShape">
                    <wps:wsp>
                      <wps:cNvSpPr/>
                      <wps:spPr>
                        <a:xfrm>
                          <a:off x="0" y="0"/>
                          <a:ext cx="2767621" cy="2621519"/>
                        </a:xfrm>
                        <a:custGeom>
                          <a:avLst/>
                          <a:gdLst>
                            <a:gd name="connsiteX0" fmla="*/ 0 w 2767621"/>
                            <a:gd name="connsiteY0" fmla="*/ 352061 h 2621519"/>
                            <a:gd name="connsiteX1" fmla="*/ 2553195 w 2767621"/>
                            <a:gd name="connsiteY1" fmla="*/ 173932 h 2621519"/>
                            <a:gd name="connsiteX2" fmla="*/ 2505693 w 2767621"/>
                            <a:gd name="connsiteY2" fmla="*/ 2513370 h 2621519"/>
                            <a:gd name="connsiteX3" fmla="*/ 1508166 w 2767621"/>
                            <a:gd name="connsiteY3" fmla="*/ 2014607 h 2621519"/>
                          </a:gdLst>
                          <a:ahLst/>
                          <a:cxnLst>
                            <a:cxn ang="0">
                              <a:pos x="connsiteX0" y="connsiteY0"/>
                            </a:cxn>
                            <a:cxn ang="0">
                              <a:pos x="connsiteX1" y="connsiteY1"/>
                            </a:cxn>
                            <a:cxn ang="0">
                              <a:pos x="connsiteX2" y="connsiteY2"/>
                            </a:cxn>
                            <a:cxn ang="0">
                              <a:pos x="connsiteX3" y="connsiteY3"/>
                            </a:cxn>
                          </a:cxnLst>
                          <a:rect l="l" t="t" r="r" b="b"/>
                          <a:pathLst>
                            <a:path w="2767621" h="2621519">
                              <a:moveTo>
                                <a:pt x="0" y="352061"/>
                              </a:moveTo>
                              <a:cubicBezTo>
                                <a:pt x="1067790" y="82887"/>
                                <a:pt x="2135580" y="-186286"/>
                                <a:pt x="2553195" y="173932"/>
                              </a:cubicBezTo>
                              <a:cubicBezTo>
                                <a:pt x="2970811" y="534150"/>
                                <a:pt x="2679864" y="2206591"/>
                                <a:pt x="2505693" y="2513370"/>
                              </a:cubicBezTo>
                              <a:cubicBezTo>
                                <a:pt x="2331522" y="2820149"/>
                                <a:pt x="1919844" y="2417378"/>
                                <a:pt x="1508166" y="2014607"/>
                              </a:cubicBezTo>
                            </a:path>
                          </a:pathLst>
                        </a:custGeom>
                        <a:noFill/>
                        <a:ln w="1587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D12D20" id="Freeform: Shape 2047" o:spid="_x0000_s1026" style="position:absolute;margin-left:184.2pt;margin-top:18.9pt;width:217.9pt;height:206.4pt;z-index:252371968;visibility:visible;mso-wrap-style:square;mso-wrap-distance-left:9pt;mso-wrap-distance-top:0;mso-wrap-distance-right:9pt;mso-wrap-distance-bottom:0;mso-position-horizontal:absolute;mso-position-horizontal-relative:text;mso-position-vertical:absolute;mso-position-vertical-relative:text;v-text-anchor:middle" coordsize="2767621,2621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" path="m,352061c1067790,82887,2135580,-186286,2553195,173932v417616,360218,126669,2032659,-47502,2339438c2331522,2820149,1919844,2417378,1508166,2014607e" filled="f" strokeweight="1.25pt">
                <v:path arrowok="t" o:connecttype="custom" o:connectlocs="0,352061;2553195,173932;2505693,2513370;1508166,2014607" o:connectangles="0,0,0,0"/>
              </v:shape>
            </w:pict>
          </mc:Fallback>
        </mc:AlternateContent>
      </w:r>
    </w:p>
    <w:p w14:paraId="17E3D0C0" w14:textId="77777777" w:rsidR="00D740DC" w:rsidRPr="000E2377" w:rsidRDefault="00D740DC" w:rsidP="00D740DC">
      <w:pPr>
        <w:spacing w:line="360" w:lineRule="auto"/>
        <w:jc w:val="both"/>
        <w:rPr>
          <w:rFonts w:cs="Times New Roman"/>
          <w:bCs/>
          <w:i/>
          <w:szCs w:val="24"/>
        </w:rPr>
      </w:pPr>
      <w:r w:rsidRPr="000E2377">
        <w:rPr>
          <w:rFonts w:cs="Times New Roman"/>
          <w:bCs/>
          <w:i/>
          <w:noProof/>
          <w:szCs w:val="24"/>
          <w:lang w:eastAsia="en-MY"/>
        </w:rPr>
        <mc:AlternateContent>
          <mc:Choice Requires="wpg">
            <w:drawing>
              <wp:anchor distT="0" distB="0" distL="114300" distR="114300" simplePos="0" relativeHeight="252368896" behindDoc="0" locked="0" layoutInCell="1" allowOverlap="1" wp14:anchorId="755118F6" wp14:editId="43377EF1">
                <wp:simplePos x="0" y="0"/>
                <wp:positionH relativeFrom="column">
                  <wp:posOffset>1377538</wp:posOffset>
                </wp:positionH>
                <wp:positionV relativeFrom="paragraph">
                  <wp:posOffset>182707</wp:posOffset>
                </wp:positionV>
                <wp:extent cx="2968831" cy="1721922"/>
                <wp:effectExtent l="0" t="0" r="22225" b="12065"/>
                <wp:wrapNone/>
                <wp:docPr id="211" name="Group 211"/>
                <wp:cNvGraphicFramePr/>
                <a:graphic xmlns:a="http://schemas.openxmlformats.org/drawingml/2006/main">
                  <a:graphicData uri="http://schemas.microsoft.com/office/word/2010/wordprocessingGroup">
                    <wpg:wgp>
                      <wpg:cNvGrpSpPr/>
                      <wpg:grpSpPr>
                        <a:xfrm>
                          <a:off x="0" y="0"/>
                          <a:ext cx="2968831" cy="1721922"/>
                          <a:chOff x="0" y="0"/>
                          <a:chExt cx="2968831" cy="1721922"/>
                        </a:xfrm>
                      </wpg:grpSpPr>
                      <wps:wsp>
                        <wps:cNvPr id="222" name="Flowchart: Connector 222"/>
                        <wps:cNvSpPr/>
                        <wps:spPr>
                          <a:xfrm>
                            <a:off x="926275" y="0"/>
                            <a:ext cx="82847" cy="83127"/>
                          </a:xfrm>
                          <a:prstGeom prst="flowChartConnector">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0" name="Flowchart: Connector 1600"/>
                        <wps:cNvSpPr/>
                        <wps:spPr>
                          <a:xfrm>
                            <a:off x="926275" y="178130"/>
                            <a:ext cx="81915" cy="83127"/>
                          </a:xfrm>
                          <a:prstGeom prst="flowChartConnector">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 name="Flowchart: Connector 1601"/>
                        <wps:cNvSpPr/>
                        <wps:spPr>
                          <a:xfrm>
                            <a:off x="0" y="178130"/>
                            <a:ext cx="95002" cy="105856"/>
                          </a:xfrm>
                          <a:prstGeom prst="flowChartConnector">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 name="Flowchart: Connector 1602"/>
                        <wps:cNvSpPr/>
                        <wps:spPr>
                          <a:xfrm>
                            <a:off x="2660072" y="1615044"/>
                            <a:ext cx="83128" cy="106878"/>
                          </a:xfrm>
                          <a:prstGeom prst="flowChartConnector">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3" name="Flowchart: Connector 1603"/>
                        <wps:cNvSpPr/>
                        <wps:spPr>
                          <a:xfrm>
                            <a:off x="2885704" y="1615044"/>
                            <a:ext cx="83127" cy="94425"/>
                          </a:xfrm>
                          <a:prstGeom prst="flowChartConnector">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4" name="Flowchart: Connector 1604"/>
                        <wps:cNvSpPr/>
                        <wps:spPr>
                          <a:xfrm flipH="1">
                            <a:off x="2422566" y="1615044"/>
                            <a:ext cx="94994" cy="106680"/>
                          </a:xfrm>
                          <a:prstGeom prst="flowChartConnector">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400A47E" id="Group 211" o:spid="_x0000_s1026" style="position:absolute;margin-left:108.45pt;margin-top:14.4pt;width:233.75pt;height:135.6pt;z-index:252368896" coordsize="29688,17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22" o:spid="_x0000_s1027" type="#_x0000_t120" style="position:absolute;left:9262;width:829;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" fillcolor="window" strokecolor="windowText" strokeweight="2pt"/>
                <v:shape id="Flowchart: Connector 1600" o:spid="_x0000_s1028" type="#_x0000_t120" style="position:absolute;left:9262;top:1781;width:819;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" fillcolor="window" strokecolor="windowText" strokeweight="2pt"/>
                <v:shape id="Flowchart: Connector 1601" o:spid="_x0000_s1029" type="#_x0000_t120" style="position:absolute;top:1781;width:950;height:1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" fillcolor="window" strokecolor="windowText" strokeweight="2pt"/>
                <v:shape id="Flowchart: Connector 1602" o:spid="_x0000_s1030" type="#_x0000_t120" style="position:absolute;left:26600;top:16150;width:832;height:1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" fillcolor="window" strokecolor="windowText" strokeweight="2pt"/>
                <v:shape id="Flowchart: Connector 1603" o:spid="_x0000_s1031" type="#_x0000_t120" style="position:absolute;left:28857;top:16150;width:831;height: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" fillcolor="window" strokecolor="windowText" strokeweight="2pt"/>
                <v:shape id="Flowchart: Connector 1604" o:spid="_x0000_s1032" type="#_x0000_t120" style="position:absolute;left:24225;top:16150;width:950;height:106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" fillcolor="window" strokecolor="windowText" strokeweight="2pt"/>
              </v:group>
            </w:pict>
          </mc:Fallback>
        </mc:AlternateContent>
      </w:r>
      <w:r w:rsidRPr="000E2377">
        <w:rPr>
          <w:rFonts w:cs="Times New Roman"/>
          <w:bCs/>
          <w:i/>
          <w:noProof/>
          <w:szCs w:val="24"/>
          <w:lang w:eastAsia="en-MY"/>
        </w:rPr>
        <mc:AlternateContent>
          <mc:Choice Requires="wps">
            <w:drawing>
              <wp:anchor distT="0" distB="0" distL="114300" distR="114300" simplePos="0" relativeHeight="252385280" behindDoc="0" locked="0" layoutInCell="1" allowOverlap="1" wp14:anchorId="430DBAD8" wp14:editId="00C5BB67">
                <wp:simplePos x="0" y="0"/>
                <wp:positionH relativeFrom="column">
                  <wp:posOffset>2968831</wp:posOffset>
                </wp:positionH>
                <wp:positionV relativeFrom="paragraph">
                  <wp:posOffset>360837</wp:posOffset>
                </wp:positionV>
                <wp:extent cx="1294410" cy="308230"/>
                <wp:effectExtent l="0" t="0" r="0" b="0"/>
                <wp:wrapNone/>
                <wp:docPr id="1605" name="Text Box 1605"/>
                <wp:cNvGraphicFramePr/>
                <a:graphic xmlns:a="http://schemas.openxmlformats.org/drawingml/2006/main">
                  <a:graphicData uri="http://schemas.microsoft.com/office/word/2010/wordprocessingShape">
                    <wps:wsp>
                      <wps:cNvSpPr txBox="1"/>
                      <wps:spPr>
                        <a:xfrm>
                          <a:off x="0" y="0"/>
                          <a:ext cx="1294410" cy="308230"/>
                        </a:xfrm>
                        <a:prstGeom prst="rect">
                          <a:avLst/>
                        </a:prstGeom>
                        <a:noFill/>
                        <a:ln w="6350">
                          <a:noFill/>
                        </a:ln>
                      </wps:spPr>
                      <wps:txbx>
                        <w:txbxContent>
                          <w:p w14:paraId="4292FB93" w14:textId="77777777" w:rsidR="00230AB9" w:rsidRPr="00C37B41" w:rsidRDefault="00230AB9" w:rsidP="00D740DC">
                            <w:pPr>
                              <w:rPr>
                                <w:sz w:val="18"/>
                                <w:szCs w:val="18"/>
                              </w:rPr>
                            </w:pPr>
                            <w:r>
                              <w:rPr>
                                <w:sz w:val="18"/>
                                <w:szCs w:val="18"/>
                              </w:rPr>
                              <w:t>Time synchronization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DBAD8" id="Text Box 1605" o:spid="_x0000_s1160" type="#_x0000_t202" style="position:absolute;left:0;text-align:left;margin-left:233.75pt;margin-top:28.4pt;width:101.9pt;height:24.2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" filled="f" stroked="f" strokeweight=".5pt">
                <v:textbox>
                  <w:txbxContent>
                    <w:p w14:paraId="4292FB93" w14:textId="77777777" w:rsidR="00230AB9" w:rsidRPr="00C37B41" w:rsidRDefault="00230AB9" w:rsidP="00D740DC">
                      <w:pPr>
                        <w:rPr>
                          <w:sz w:val="18"/>
                          <w:szCs w:val="18"/>
                        </w:rPr>
                      </w:pPr>
                      <w:r>
                        <w:rPr>
                          <w:sz w:val="18"/>
                          <w:szCs w:val="18"/>
                        </w:rPr>
                        <w:t>Time synchronization</w:t>
                      </w:r>
                    </w:p>
                  </w:txbxContent>
                </v:textbox>
              </v:shape>
            </w:pict>
          </mc:Fallback>
        </mc:AlternateContent>
      </w:r>
      <w:r w:rsidRPr="000E2377">
        <w:rPr>
          <w:rFonts w:cs="Times New Roman"/>
          <w:bCs/>
          <w:i/>
          <w:noProof/>
          <w:szCs w:val="24"/>
          <w:lang w:eastAsia="en-MY"/>
        </w:rPr>
        <mc:AlternateContent>
          <mc:Choice Requires="wps">
            <w:drawing>
              <wp:anchor distT="0" distB="0" distL="114300" distR="114300" simplePos="0" relativeHeight="252380160" behindDoc="0" locked="0" layoutInCell="1" allowOverlap="1" wp14:anchorId="3CB3041C" wp14:editId="3AB167A9">
                <wp:simplePos x="0" y="0"/>
                <wp:positionH relativeFrom="column">
                  <wp:posOffset>2873829</wp:posOffset>
                </wp:positionH>
                <wp:positionV relativeFrom="paragraph">
                  <wp:posOffset>289584</wp:posOffset>
                </wp:positionV>
                <wp:extent cx="189362" cy="45719"/>
                <wp:effectExtent l="0" t="57150" r="20320" b="50165"/>
                <wp:wrapNone/>
                <wp:docPr id="1606" name="Straight Arrow Connector 1606"/>
                <wp:cNvGraphicFramePr/>
                <a:graphic xmlns:a="http://schemas.openxmlformats.org/drawingml/2006/main">
                  <a:graphicData uri="http://schemas.microsoft.com/office/word/2010/wordprocessingShape">
                    <wps:wsp>
                      <wps:cNvCnPr/>
                      <wps:spPr>
                        <a:xfrm flipV="1">
                          <a:off x="0" y="0"/>
                          <a:ext cx="189362" cy="45719"/>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D7661E8" id="Straight Arrow Connector 1606" o:spid="_x0000_s1026" type="#_x0000_t32" style="position:absolute;margin-left:226.3pt;margin-top:22.8pt;width:14.9pt;height:3.6pt;flip:y;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">
                <v:stroke endarrow="block"/>
              </v:shape>
            </w:pict>
          </mc:Fallback>
        </mc:AlternateContent>
      </w:r>
      <w:r w:rsidRPr="000E2377">
        <w:rPr>
          <w:rFonts w:cs="Times New Roman"/>
          <w:bCs/>
          <w:i/>
          <w:noProof/>
          <w:szCs w:val="24"/>
          <w:lang w:eastAsia="en-MY"/>
        </w:rPr>
        <mc:AlternateContent>
          <mc:Choice Requires="wps">
            <w:drawing>
              <wp:anchor distT="0" distB="0" distL="114300" distR="114300" simplePos="0" relativeHeight="252375040" behindDoc="0" locked="0" layoutInCell="1" allowOverlap="1" wp14:anchorId="42E29A42" wp14:editId="0A44A3FB">
                <wp:simplePos x="0" y="0"/>
                <wp:positionH relativeFrom="column">
                  <wp:posOffset>2826327</wp:posOffset>
                </wp:positionH>
                <wp:positionV relativeFrom="paragraph">
                  <wp:posOffset>35988</wp:posOffset>
                </wp:positionV>
                <wp:extent cx="237507" cy="45719"/>
                <wp:effectExtent l="0" t="57150" r="29210" b="50165"/>
                <wp:wrapNone/>
                <wp:docPr id="1607" name="Straight Arrow Connector 1607"/>
                <wp:cNvGraphicFramePr/>
                <a:graphic xmlns:a="http://schemas.openxmlformats.org/drawingml/2006/main">
                  <a:graphicData uri="http://schemas.microsoft.com/office/word/2010/wordprocessingShape">
                    <wps:wsp>
                      <wps:cNvCnPr/>
                      <wps:spPr>
                        <a:xfrm flipV="1">
                          <a:off x="0" y="0"/>
                          <a:ext cx="237507" cy="45719"/>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7EFB43" id="Straight Arrow Connector 1607" o:spid="_x0000_s1026" type="#_x0000_t32" style="position:absolute;margin-left:222.55pt;margin-top:2.85pt;width:18.7pt;height:3.6pt;flip:y;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">
                <v:stroke endarrow="block"/>
              </v:shape>
            </w:pict>
          </mc:Fallback>
        </mc:AlternateContent>
      </w:r>
      <w:r w:rsidRPr="000E2377">
        <w:rPr>
          <w:rFonts w:cs="Times New Roman"/>
          <w:bCs/>
          <w:i/>
          <w:noProof/>
          <w:szCs w:val="24"/>
          <w:lang w:eastAsia="en-MY"/>
        </w:rPr>
        <mc:AlternateContent>
          <mc:Choice Requires="wps">
            <w:drawing>
              <wp:anchor distT="0" distB="0" distL="114300" distR="114300" simplePos="0" relativeHeight="252370944" behindDoc="0" locked="0" layoutInCell="1" allowOverlap="1" wp14:anchorId="06538B09" wp14:editId="4E098A3F">
                <wp:simplePos x="0" y="0"/>
                <wp:positionH relativeFrom="column">
                  <wp:posOffset>2351314</wp:posOffset>
                </wp:positionH>
                <wp:positionV relativeFrom="paragraph">
                  <wp:posOffset>244644</wp:posOffset>
                </wp:positionV>
                <wp:extent cx="2539045" cy="1940643"/>
                <wp:effectExtent l="0" t="0" r="13970" b="21590"/>
                <wp:wrapNone/>
                <wp:docPr id="1608" name="Freeform: Shape 2046"/>
                <wp:cNvGraphicFramePr/>
                <a:graphic xmlns:a="http://schemas.openxmlformats.org/drawingml/2006/main">
                  <a:graphicData uri="http://schemas.microsoft.com/office/word/2010/wordprocessingShape">
                    <wps:wsp>
                      <wps:cNvSpPr/>
                      <wps:spPr>
                        <a:xfrm>
                          <a:off x="0" y="0"/>
                          <a:ext cx="2539045" cy="1940643"/>
                        </a:xfrm>
                        <a:custGeom>
                          <a:avLst/>
                          <a:gdLst>
                            <a:gd name="connsiteX0" fmla="*/ 0 w 2539045"/>
                            <a:gd name="connsiteY0" fmla="*/ 147605 h 1940643"/>
                            <a:gd name="connsiteX1" fmla="*/ 2303813 w 2539045"/>
                            <a:gd name="connsiteY1" fmla="*/ 171355 h 1940643"/>
                            <a:gd name="connsiteX2" fmla="*/ 2422567 w 2539045"/>
                            <a:gd name="connsiteY2" fmla="*/ 1869527 h 1940643"/>
                            <a:gd name="connsiteX3" fmla="*/ 1947554 w 2539045"/>
                            <a:gd name="connsiteY3" fmla="*/ 1620145 h 1940643"/>
                          </a:gdLst>
                          <a:ahLst/>
                          <a:cxnLst>
                            <a:cxn ang="0">
                              <a:pos x="connsiteX0" y="connsiteY0"/>
                            </a:cxn>
                            <a:cxn ang="0">
                              <a:pos x="connsiteX1" y="connsiteY1"/>
                            </a:cxn>
                            <a:cxn ang="0">
                              <a:pos x="connsiteX2" y="connsiteY2"/>
                            </a:cxn>
                            <a:cxn ang="0">
                              <a:pos x="connsiteX3" y="connsiteY3"/>
                            </a:cxn>
                          </a:cxnLst>
                          <a:rect l="l" t="t" r="r" b="b"/>
                          <a:pathLst>
                            <a:path w="2539045" h="1940643">
                              <a:moveTo>
                                <a:pt x="0" y="147605"/>
                              </a:moveTo>
                              <a:cubicBezTo>
                                <a:pt x="950026" y="15986"/>
                                <a:pt x="1900052" y="-115632"/>
                                <a:pt x="2303813" y="171355"/>
                              </a:cubicBezTo>
                              <a:cubicBezTo>
                                <a:pt x="2707574" y="458342"/>
                                <a:pt x="2481944" y="1628062"/>
                                <a:pt x="2422567" y="1869527"/>
                              </a:cubicBezTo>
                              <a:cubicBezTo>
                                <a:pt x="2363191" y="2110992"/>
                                <a:pt x="2044536" y="1663688"/>
                                <a:pt x="1947554" y="1620145"/>
                              </a:cubicBezTo>
                            </a:path>
                          </a:pathLst>
                        </a:custGeom>
                        <a:noFill/>
                        <a:ln w="1587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BA7AE4" id="Freeform: Shape 2046" o:spid="_x0000_s1026" style="position:absolute;margin-left:185.15pt;margin-top:19.25pt;width:199.9pt;height:152.8pt;z-index:252370944;visibility:visible;mso-wrap-style:square;mso-wrap-distance-left:9pt;mso-wrap-distance-top:0;mso-wrap-distance-right:9pt;mso-wrap-distance-bottom:0;mso-position-horizontal:absolute;mso-position-horizontal-relative:text;mso-position-vertical:absolute;mso-position-vertical-relative:text;v-text-anchor:middle" coordsize="2539045,1940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" path="m,147605c950026,15986,1900052,-115632,2303813,171355v403761,286987,178131,1456707,118754,1698172c2363191,2110992,2044536,1663688,1947554,1620145e" filled="f" strokeweight="1.25pt">
                <v:path arrowok="t" o:connecttype="custom" o:connectlocs="0,147605;2303813,171355;2422567,1869527;1947554,1620145" o:connectangles="0,0,0,0"/>
              </v:shape>
            </w:pict>
          </mc:Fallback>
        </mc:AlternateContent>
      </w:r>
      <w:r w:rsidRPr="000E2377">
        <w:rPr>
          <w:rFonts w:cs="Times New Roman"/>
          <w:bCs/>
          <w:i/>
          <w:noProof/>
          <w:szCs w:val="24"/>
          <w:lang w:eastAsia="en-MY"/>
        </w:rPr>
        <mc:AlternateContent>
          <mc:Choice Requires="wps">
            <w:drawing>
              <wp:anchor distT="0" distB="0" distL="114300" distR="114300" simplePos="0" relativeHeight="252362752" behindDoc="0" locked="0" layoutInCell="1" allowOverlap="1" wp14:anchorId="5F0972A5" wp14:editId="08800307">
                <wp:simplePos x="0" y="0"/>
                <wp:positionH relativeFrom="column">
                  <wp:posOffset>1092200</wp:posOffset>
                </wp:positionH>
                <wp:positionV relativeFrom="paragraph">
                  <wp:posOffset>118868</wp:posOffset>
                </wp:positionV>
                <wp:extent cx="1294410" cy="285008"/>
                <wp:effectExtent l="0" t="0" r="0" b="1270"/>
                <wp:wrapNone/>
                <wp:docPr id="1609" name="Text Box 1609"/>
                <wp:cNvGraphicFramePr/>
                <a:graphic xmlns:a="http://schemas.openxmlformats.org/drawingml/2006/main">
                  <a:graphicData uri="http://schemas.microsoft.com/office/word/2010/wordprocessingShape">
                    <wps:wsp>
                      <wps:cNvSpPr txBox="1"/>
                      <wps:spPr>
                        <a:xfrm>
                          <a:off x="0" y="0"/>
                          <a:ext cx="1294410" cy="285008"/>
                        </a:xfrm>
                        <a:prstGeom prst="rect">
                          <a:avLst/>
                        </a:prstGeom>
                        <a:noFill/>
                        <a:ln w="6350">
                          <a:noFill/>
                        </a:ln>
                      </wps:spPr>
                      <wps:txbx>
                        <w:txbxContent>
                          <w:p w14:paraId="31AFEE44" w14:textId="77777777" w:rsidR="00230AB9" w:rsidRPr="00C37B41" w:rsidRDefault="00230AB9" w:rsidP="00D740DC">
                            <w:pPr>
                              <w:rPr>
                                <w:sz w:val="18"/>
                                <w:szCs w:val="18"/>
                              </w:rPr>
                            </w:pPr>
                            <w:r w:rsidRPr="00C37B41">
                              <w:rPr>
                                <w:sz w:val="18"/>
                                <w:szCs w:val="18"/>
                              </w:rPr>
                              <w:t>Transmitter/receiver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972A5" id="Text Box 1609" o:spid="_x0000_s1161" type="#_x0000_t202" style="position:absolute;left:0;text-align:left;margin-left:86pt;margin-top:9.35pt;width:101.9pt;height:22.4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" filled="f" stroked="f" strokeweight=".5pt">
                <v:textbox>
                  <w:txbxContent>
                    <w:p w14:paraId="31AFEE44" w14:textId="77777777" w:rsidR="00230AB9" w:rsidRPr="00C37B41" w:rsidRDefault="00230AB9" w:rsidP="00D740DC">
                      <w:pPr>
                        <w:rPr>
                          <w:sz w:val="18"/>
                          <w:szCs w:val="18"/>
                        </w:rPr>
                      </w:pPr>
                      <w:r w:rsidRPr="00C37B41">
                        <w:rPr>
                          <w:sz w:val="18"/>
                          <w:szCs w:val="18"/>
                        </w:rPr>
                        <w:t>Transmitter/receiver</w:t>
                      </w:r>
                    </w:p>
                  </w:txbxContent>
                </v:textbox>
              </v:shape>
            </w:pict>
          </mc:Fallback>
        </mc:AlternateContent>
      </w:r>
      <w:r w:rsidRPr="000E2377">
        <w:rPr>
          <w:rFonts w:cs="Times New Roman"/>
          <w:bCs/>
          <w:i/>
          <w:noProof/>
          <w:szCs w:val="24"/>
          <w:lang w:eastAsia="en-MY"/>
        </w:rPr>
        <mc:AlternateContent>
          <mc:Choice Requires="wps">
            <w:drawing>
              <wp:anchor distT="0" distB="0" distL="114300" distR="114300" simplePos="0" relativeHeight="252361728" behindDoc="0" locked="0" layoutInCell="1" allowOverlap="1" wp14:anchorId="3200EA47" wp14:editId="68286B40">
                <wp:simplePos x="0" y="0"/>
                <wp:positionH relativeFrom="column">
                  <wp:posOffset>1033153</wp:posOffset>
                </wp:positionH>
                <wp:positionV relativeFrom="paragraph">
                  <wp:posOffset>95364</wp:posOffset>
                </wp:positionV>
                <wp:extent cx="1448790" cy="403761"/>
                <wp:effectExtent l="0" t="0" r="18415" b="15875"/>
                <wp:wrapNone/>
                <wp:docPr id="1610" name="Rectangle: Rounded Corners 347"/>
                <wp:cNvGraphicFramePr/>
                <a:graphic xmlns:a="http://schemas.openxmlformats.org/drawingml/2006/main">
                  <a:graphicData uri="http://schemas.microsoft.com/office/word/2010/wordprocessingShape">
                    <wps:wsp>
                      <wps:cNvSpPr/>
                      <wps:spPr>
                        <a:xfrm>
                          <a:off x="0" y="0"/>
                          <a:ext cx="1448790" cy="403761"/>
                        </a:xfrm>
                        <a:prstGeom prst="round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13F019" id="Rectangle: Rounded Corners 347" o:spid="_x0000_s1026" style="position:absolute;margin-left:81.35pt;margin-top:7.5pt;width:114.1pt;height:31.8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" fillcolor="window" strokecolor="windowText" strokeweight="2pt"/>
            </w:pict>
          </mc:Fallback>
        </mc:AlternateContent>
      </w:r>
    </w:p>
    <w:p w14:paraId="19CC1A76" w14:textId="77777777" w:rsidR="00D740DC" w:rsidRPr="000E2377" w:rsidRDefault="00D740DC" w:rsidP="00D740DC">
      <w:pPr>
        <w:spacing w:line="360" w:lineRule="auto"/>
        <w:jc w:val="both"/>
        <w:rPr>
          <w:rFonts w:cs="Times New Roman"/>
          <w:bCs/>
          <w:i/>
          <w:szCs w:val="24"/>
        </w:rPr>
      </w:pPr>
      <w:r w:rsidRPr="000E2377">
        <w:rPr>
          <w:rFonts w:cs="Times New Roman"/>
          <w:bCs/>
          <w:i/>
          <w:noProof/>
          <w:szCs w:val="24"/>
          <w:lang w:eastAsia="en-MY"/>
        </w:rPr>
        <mc:AlternateContent>
          <mc:Choice Requires="wps">
            <w:drawing>
              <wp:anchor distT="0" distB="0" distL="114300" distR="114300" simplePos="0" relativeHeight="252369920" behindDoc="0" locked="0" layoutInCell="1" allowOverlap="1" wp14:anchorId="71A75EB3" wp14:editId="3CE8DACF">
                <wp:simplePos x="0" y="0"/>
                <wp:positionH relativeFrom="column">
                  <wp:posOffset>1330890</wp:posOffset>
                </wp:positionH>
                <wp:positionV relativeFrom="paragraph">
                  <wp:posOffset>14234</wp:posOffset>
                </wp:positionV>
                <wp:extent cx="958698" cy="1116280"/>
                <wp:effectExtent l="0" t="0" r="13335" b="27305"/>
                <wp:wrapNone/>
                <wp:docPr id="1611" name="Freeform: Shape 2044"/>
                <wp:cNvGraphicFramePr/>
                <a:graphic xmlns:a="http://schemas.openxmlformats.org/drawingml/2006/main">
                  <a:graphicData uri="http://schemas.microsoft.com/office/word/2010/wordprocessingShape">
                    <wps:wsp>
                      <wps:cNvSpPr/>
                      <wps:spPr>
                        <a:xfrm>
                          <a:off x="0" y="0"/>
                          <a:ext cx="958698" cy="1116280"/>
                        </a:xfrm>
                        <a:custGeom>
                          <a:avLst/>
                          <a:gdLst>
                            <a:gd name="connsiteX0" fmla="*/ 616663 w 958698"/>
                            <a:gd name="connsiteY0" fmla="*/ 1116280 h 1116280"/>
                            <a:gd name="connsiteX1" fmla="*/ 937297 w 958698"/>
                            <a:gd name="connsiteY1" fmla="*/ 760021 h 1116280"/>
                            <a:gd name="connsiteX2" fmla="*/ 82274 w 958698"/>
                            <a:gd name="connsiteY2" fmla="*/ 463138 h 1116280"/>
                            <a:gd name="connsiteX3" fmla="*/ 82274 w 958698"/>
                            <a:gd name="connsiteY3" fmla="*/ 0 h 1116280"/>
                          </a:gdLst>
                          <a:ahLst/>
                          <a:cxnLst>
                            <a:cxn ang="0">
                              <a:pos x="connsiteX0" y="connsiteY0"/>
                            </a:cxn>
                            <a:cxn ang="0">
                              <a:pos x="connsiteX1" y="connsiteY1"/>
                            </a:cxn>
                            <a:cxn ang="0">
                              <a:pos x="connsiteX2" y="connsiteY2"/>
                            </a:cxn>
                            <a:cxn ang="0">
                              <a:pos x="connsiteX3" y="connsiteY3"/>
                            </a:cxn>
                          </a:cxnLst>
                          <a:rect l="l" t="t" r="r" b="b"/>
                          <a:pathLst>
                            <a:path w="958698" h="1116280">
                              <a:moveTo>
                                <a:pt x="616663" y="1116280"/>
                              </a:moveTo>
                              <a:cubicBezTo>
                                <a:pt x="821512" y="992579"/>
                                <a:pt x="1026362" y="868878"/>
                                <a:pt x="937297" y="760021"/>
                              </a:cubicBezTo>
                              <a:cubicBezTo>
                                <a:pt x="848232" y="651164"/>
                                <a:pt x="224778" y="589808"/>
                                <a:pt x="82274" y="463138"/>
                              </a:cubicBezTo>
                              <a:cubicBezTo>
                                <a:pt x="-60230" y="336468"/>
                                <a:pt x="11022" y="168234"/>
                                <a:pt x="82274" y="0"/>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63F281" id="Freeform: Shape 2044" o:spid="_x0000_s1026" style="position:absolute;margin-left:104.8pt;margin-top:1.1pt;width:75.5pt;height:87.9pt;z-index:252369920;visibility:visible;mso-wrap-style:square;mso-wrap-distance-left:9pt;mso-wrap-distance-top:0;mso-wrap-distance-right:9pt;mso-wrap-distance-bottom:0;mso-position-horizontal:absolute;mso-position-horizontal-relative:text;mso-position-vertical:absolute;mso-position-vertical-relative:text;v-text-anchor:middle" coordsize="958698,1116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" path="m616663,1116280c821512,992579,1026362,868878,937297,760021,848232,651164,224778,589808,82274,463138,-60230,336468,11022,168234,82274,e" filled="f">
                <v:path arrowok="t" o:connecttype="custom" o:connectlocs="616663,1116280;937297,760021;82274,463138;82274,0" o:connectangles="0,0,0,0"/>
              </v:shape>
            </w:pict>
          </mc:Fallback>
        </mc:AlternateContent>
      </w:r>
      <w:r w:rsidRPr="000E2377">
        <w:rPr>
          <w:rFonts w:cs="Times New Roman"/>
          <w:bCs/>
          <w:i/>
          <w:noProof/>
          <w:szCs w:val="24"/>
          <w:lang w:eastAsia="en-MY"/>
        </w:rPr>
        <mc:AlternateContent>
          <mc:Choice Requires="wps">
            <w:drawing>
              <wp:anchor distT="0" distB="0" distL="114300" distR="114300" simplePos="0" relativeHeight="252364800" behindDoc="0" locked="0" layoutInCell="1" allowOverlap="1" wp14:anchorId="4C1F12B0" wp14:editId="5F1CBB75">
                <wp:simplePos x="0" y="0"/>
                <wp:positionH relativeFrom="column">
                  <wp:posOffset>2660073</wp:posOffset>
                </wp:positionH>
                <wp:positionV relativeFrom="paragraph">
                  <wp:posOffset>358618</wp:posOffset>
                </wp:positionV>
                <wp:extent cx="1068779" cy="748146"/>
                <wp:effectExtent l="0" t="0" r="17145" b="13970"/>
                <wp:wrapNone/>
                <wp:docPr id="1612" name="Rectangle 1612"/>
                <wp:cNvGraphicFramePr/>
                <a:graphic xmlns:a="http://schemas.openxmlformats.org/drawingml/2006/main">
                  <a:graphicData uri="http://schemas.microsoft.com/office/word/2010/wordprocessingShape">
                    <wps:wsp>
                      <wps:cNvSpPr/>
                      <wps:spPr>
                        <a:xfrm>
                          <a:off x="0" y="0"/>
                          <a:ext cx="1068779" cy="748146"/>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834553" id="Rectangle 1612" o:spid="_x0000_s1026" style="position:absolute;margin-left:209.45pt;margin-top:28.25pt;width:84.15pt;height:58.9pt;z-index:25236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" fillcolor="window" strokecolor="windowText" strokeweight="2pt"/>
            </w:pict>
          </mc:Fallback>
        </mc:AlternateContent>
      </w:r>
      <w:r w:rsidRPr="000E2377">
        <w:rPr>
          <w:rFonts w:cs="Times New Roman"/>
          <w:bCs/>
          <w:i/>
          <w:noProof/>
          <w:szCs w:val="24"/>
          <w:lang w:eastAsia="en-MY"/>
        </w:rPr>
        <mc:AlternateContent>
          <mc:Choice Requires="wps">
            <w:drawing>
              <wp:anchor distT="0" distB="0" distL="114300" distR="114300" simplePos="0" relativeHeight="252363776" behindDoc="0" locked="0" layoutInCell="1" allowOverlap="1" wp14:anchorId="6C506951" wp14:editId="63E54541">
                <wp:simplePos x="0" y="0"/>
                <wp:positionH relativeFrom="column">
                  <wp:posOffset>2529444</wp:posOffset>
                </wp:positionH>
                <wp:positionV relativeFrom="paragraph">
                  <wp:posOffset>204239</wp:posOffset>
                </wp:positionV>
                <wp:extent cx="1995055" cy="1413164"/>
                <wp:effectExtent l="0" t="0" r="24765" b="15875"/>
                <wp:wrapNone/>
                <wp:docPr id="1613" name="Rectangle 1613"/>
                <wp:cNvGraphicFramePr/>
                <a:graphic xmlns:a="http://schemas.openxmlformats.org/drawingml/2006/main">
                  <a:graphicData uri="http://schemas.microsoft.com/office/word/2010/wordprocessingShape">
                    <wps:wsp>
                      <wps:cNvSpPr/>
                      <wps:spPr>
                        <a:xfrm>
                          <a:off x="0" y="0"/>
                          <a:ext cx="1995055" cy="1413164"/>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AC76A8" id="Rectangle 1613" o:spid="_x0000_s1026" style="position:absolute;margin-left:199.15pt;margin-top:16.1pt;width:157.1pt;height:111.25pt;z-index:25236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" fillcolor="window" strokecolor="windowText" strokeweight="2pt"/>
            </w:pict>
          </mc:Fallback>
        </mc:AlternateContent>
      </w:r>
    </w:p>
    <w:p w14:paraId="461FE9FF" w14:textId="77777777" w:rsidR="00D740DC" w:rsidRPr="000E2377" w:rsidRDefault="00D740DC" w:rsidP="00D740DC">
      <w:pPr>
        <w:spacing w:line="360" w:lineRule="auto"/>
        <w:jc w:val="both"/>
        <w:rPr>
          <w:rFonts w:cs="Times New Roman"/>
          <w:bCs/>
          <w:i/>
          <w:szCs w:val="24"/>
        </w:rPr>
      </w:pPr>
      <w:r w:rsidRPr="000E2377">
        <w:rPr>
          <w:rFonts w:cs="Times New Roman"/>
          <w:bCs/>
          <w:i/>
          <w:noProof/>
          <w:szCs w:val="24"/>
          <w:lang w:eastAsia="en-MY"/>
        </w:rPr>
        <mc:AlternateContent>
          <mc:Choice Requires="wps">
            <w:drawing>
              <wp:anchor distT="0" distB="0" distL="114300" distR="114300" simplePos="0" relativeHeight="252388352" behindDoc="0" locked="0" layoutInCell="1" allowOverlap="1" wp14:anchorId="6D9EC021" wp14:editId="7E3D92F1">
                <wp:simplePos x="0" y="0"/>
                <wp:positionH relativeFrom="column">
                  <wp:posOffset>771896</wp:posOffset>
                </wp:positionH>
                <wp:positionV relativeFrom="paragraph">
                  <wp:posOffset>257950</wp:posOffset>
                </wp:positionV>
                <wp:extent cx="1401288" cy="379359"/>
                <wp:effectExtent l="0" t="0" r="0" b="1905"/>
                <wp:wrapNone/>
                <wp:docPr id="1615" name="Text Box 1615"/>
                <wp:cNvGraphicFramePr/>
                <a:graphic xmlns:a="http://schemas.openxmlformats.org/drawingml/2006/main">
                  <a:graphicData uri="http://schemas.microsoft.com/office/word/2010/wordprocessingShape">
                    <wps:wsp>
                      <wps:cNvSpPr txBox="1"/>
                      <wps:spPr>
                        <a:xfrm>
                          <a:off x="0" y="0"/>
                          <a:ext cx="1401288" cy="379359"/>
                        </a:xfrm>
                        <a:prstGeom prst="rect">
                          <a:avLst/>
                        </a:prstGeom>
                        <a:noFill/>
                        <a:ln w="6350">
                          <a:noFill/>
                        </a:ln>
                      </wps:spPr>
                      <wps:txbx>
                        <w:txbxContent>
                          <w:p w14:paraId="5424F991" w14:textId="77777777" w:rsidR="00230AB9" w:rsidRPr="00C37B41" w:rsidRDefault="00230AB9" w:rsidP="00D740DC">
                            <w:pPr>
                              <w:rPr>
                                <w:sz w:val="18"/>
                                <w:szCs w:val="18"/>
                              </w:rPr>
                            </w:pPr>
                            <w:r>
                              <w:rPr>
                                <w:sz w:val="18"/>
                                <w:szCs w:val="18"/>
                              </w:rPr>
                              <w:t>Piezoelectric transducer (5 to 20 MHz)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EC021" id="Text Box 1615" o:spid="_x0000_s1162" type="#_x0000_t202" style="position:absolute;left:0;text-align:left;margin-left:60.8pt;margin-top:20.3pt;width:110.35pt;height:29.8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" filled="f" stroked="f" strokeweight=".5pt">
                <v:textbox>
                  <w:txbxContent>
                    <w:p w14:paraId="5424F991" w14:textId="77777777" w:rsidR="00230AB9" w:rsidRPr="00C37B41" w:rsidRDefault="00230AB9" w:rsidP="00D740DC">
                      <w:pPr>
                        <w:rPr>
                          <w:sz w:val="18"/>
                          <w:szCs w:val="18"/>
                        </w:rPr>
                      </w:pPr>
                      <w:r>
                        <w:rPr>
                          <w:sz w:val="18"/>
                          <w:szCs w:val="18"/>
                        </w:rPr>
                        <w:t>Piezoelectric transducer (5 to 20 MHz)</w:t>
                      </w:r>
                    </w:p>
                  </w:txbxContent>
                </v:textbox>
              </v:shape>
            </w:pict>
          </mc:Fallback>
        </mc:AlternateContent>
      </w:r>
      <w:r w:rsidRPr="000E2377">
        <w:rPr>
          <w:rFonts w:cs="Times New Roman"/>
          <w:bCs/>
          <w:i/>
          <w:noProof/>
          <w:szCs w:val="24"/>
          <w:lang w:eastAsia="en-MY"/>
        </w:rPr>
        <mc:AlternateContent>
          <mc:Choice Requires="wps">
            <w:drawing>
              <wp:anchor distT="0" distB="0" distL="114300" distR="114300" simplePos="0" relativeHeight="252381184" behindDoc="0" locked="0" layoutInCell="1" allowOverlap="1" wp14:anchorId="1B3B298E" wp14:editId="47B5E5C2">
                <wp:simplePos x="0" y="0"/>
                <wp:positionH relativeFrom="column">
                  <wp:posOffset>2660073</wp:posOffset>
                </wp:positionH>
                <wp:positionV relativeFrom="paragraph">
                  <wp:posOffset>48274</wp:posOffset>
                </wp:positionV>
                <wp:extent cx="1068779" cy="495635"/>
                <wp:effectExtent l="0" t="0" r="17145" b="19050"/>
                <wp:wrapNone/>
                <wp:docPr id="1616" name="Freeform: Shape 2075"/>
                <wp:cNvGraphicFramePr/>
                <a:graphic xmlns:a="http://schemas.openxmlformats.org/drawingml/2006/main">
                  <a:graphicData uri="http://schemas.microsoft.com/office/word/2010/wordprocessingShape">
                    <wps:wsp>
                      <wps:cNvSpPr/>
                      <wps:spPr>
                        <a:xfrm>
                          <a:off x="0" y="0"/>
                          <a:ext cx="1068779" cy="495635"/>
                        </a:xfrm>
                        <a:custGeom>
                          <a:avLst/>
                          <a:gdLst>
                            <a:gd name="connsiteX0" fmla="*/ 0 w 1068779"/>
                            <a:gd name="connsiteY0" fmla="*/ 43422 h 495635"/>
                            <a:gd name="connsiteX1" fmla="*/ 59376 w 1068779"/>
                            <a:gd name="connsiteY1" fmla="*/ 43422 h 495635"/>
                            <a:gd name="connsiteX2" fmla="*/ 71252 w 1068779"/>
                            <a:gd name="connsiteY2" fmla="*/ 494684 h 495635"/>
                            <a:gd name="connsiteX3" fmla="*/ 130628 w 1068779"/>
                            <a:gd name="connsiteY3" fmla="*/ 162175 h 495635"/>
                            <a:gd name="connsiteX4" fmla="*/ 213756 w 1068779"/>
                            <a:gd name="connsiteY4" fmla="*/ 150300 h 495635"/>
                            <a:gd name="connsiteX5" fmla="*/ 213756 w 1068779"/>
                            <a:gd name="connsiteY5" fmla="*/ 304679 h 495635"/>
                            <a:gd name="connsiteX6" fmla="*/ 237506 w 1068779"/>
                            <a:gd name="connsiteY6" fmla="*/ 79048 h 495635"/>
                            <a:gd name="connsiteX7" fmla="*/ 261257 w 1068779"/>
                            <a:gd name="connsiteY7" fmla="*/ 280928 h 495635"/>
                            <a:gd name="connsiteX8" fmla="*/ 285008 w 1068779"/>
                            <a:gd name="connsiteY8" fmla="*/ 138424 h 495635"/>
                            <a:gd name="connsiteX9" fmla="*/ 308758 w 1068779"/>
                            <a:gd name="connsiteY9" fmla="*/ 221552 h 495635"/>
                            <a:gd name="connsiteX10" fmla="*/ 463137 w 1068779"/>
                            <a:gd name="connsiteY10" fmla="*/ 233427 h 495635"/>
                            <a:gd name="connsiteX11" fmla="*/ 475013 w 1068779"/>
                            <a:gd name="connsiteY11" fmla="*/ 292803 h 495635"/>
                            <a:gd name="connsiteX12" fmla="*/ 498763 w 1068779"/>
                            <a:gd name="connsiteY12" fmla="*/ 126549 h 495635"/>
                            <a:gd name="connsiteX13" fmla="*/ 510639 w 1068779"/>
                            <a:gd name="connsiteY13" fmla="*/ 280928 h 495635"/>
                            <a:gd name="connsiteX14" fmla="*/ 534389 w 1068779"/>
                            <a:gd name="connsiteY14" fmla="*/ 209676 h 495635"/>
                            <a:gd name="connsiteX15" fmla="*/ 558140 w 1068779"/>
                            <a:gd name="connsiteY15" fmla="*/ 233427 h 495635"/>
                            <a:gd name="connsiteX16" fmla="*/ 712519 w 1068779"/>
                            <a:gd name="connsiteY16" fmla="*/ 233427 h 495635"/>
                            <a:gd name="connsiteX17" fmla="*/ 760021 w 1068779"/>
                            <a:gd name="connsiteY17" fmla="*/ 304679 h 495635"/>
                            <a:gd name="connsiteX18" fmla="*/ 771896 w 1068779"/>
                            <a:gd name="connsiteY18" fmla="*/ 162175 h 495635"/>
                            <a:gd name="connsiteX19" fmla="*/ 807522 w 1068779"/>
                            <a:gd name="connsiteY19" fmla="*/ 245302 h 495635"/>
                            <a:gd name="connsiteX20" fmla="*/ 831272 w 1068779"/>
                            <a:gd name="connsiteY20" fmla="*/ 304679 h 495635"/>
                            <a:gd name="connsiteX21" fmla="*/ 843148 w 1068779"/>
                            <a:gd name="connsiteY21" fmla="*/ 209676 h 495635"/>
                            <a:gd name="connsiteX22" fmla="*/ 973776 w 1068779"/>
                            <a:gd name="connsiteY22" fmla="*/ 233427 h 495635"/>
                            <a:gd name="connsiteX23" fmla="*/ 1009402 w 1068779"/>
                            <a:gd name="connsiteY23" fmla="*/ 304679 h 495635"/>
                            <a:gd name="connsiteX24" fmla="*/ 1021278 w 1068779"/>
                            <a:gd name="connsiteY24" fmla="*/ 174050 h 495635"/>
                            <a:gd name="connsiteX25" fmla="*/ 1068779 w 1068779"/>
                            <a:gd name="connsiteY25" fmla="*/ 257177 h 4956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068779" h="495635">
                              <a:moveTo>
                                <a:pt x="0" y="43422"/>
                              </a:moveTo>
                              <a:cubicBezTo>
                                <a:pt x="23750" y="5817"/>
                                <a:pt x="47501" y="-31788"/>
                                <a:pt x="59376" y="43422"/>
                              </a:cubicBezTo>
                              <a:cubicBezTo>
                                <a:pt x="71251" y="118632"/>
                                <a:pt x="59377" y="474892"/>
                                <a:pt x="71252" y="494684"/>
                              </a:cubicBezTo>
                              <a:cubicBezTo>
                                <a:pt x="83127" y="514476"/>
                                <a:pt x="106877" y="219572"/>
                                <a:pt x="130628" y="162175"/>
                              </a:cubicBezTo>
                              <a:cubicBezTo>
                                <a:pt x="154379" y="104778"/>
                                <a:pt x="199901" y="126549"/>
                                <a:pt x="213756" y="150300"/>
                              </a:cubicBezTo>
                              <a:cubicBezTo>
                                <a:pt x="227611" y="174051"/>
                                <a:pt x="209798" y="316554"/>
                                <a:pt x="213756" y="304679"/>
                              </a:cubicBezTo>
                              <a:cubicBezTo>
                                <a:pt x="217714" y="292804"/>
                                <a:pt x="229589" y="83007"/>
                                <a:pt x="237506" y="79048"/>
                              </a:cubicBezTo>
                              <a:cubicBezTo>
                                <a:pt x="245423" y="75090"/>
                                <a:pt x="253340" y="271032"/>
                                <a:pt x="261257" y="280928"/>
                              </a:cubicBezTo>
                              <a:cubicBezTo>
                                <a:pt x="269174" y="290824"/>
                                <a:pt x="277091" y="148320"/>
                                <a:pt x="285008" y="138424"/>
                              </a:cubicBezTo>
                              <a:cubicBezTo>
                                <a:pt x="292925" y="128528"/>
                                <a:pt x="279070" y="205718"/>
                                <a:pt x="308758" y="221552"/>
                              </a:cubicBezTo>
                              <a:cubicBezTo>
                                <a:pt x="338446" y="237386"/>
                                <a:pt x="435428" y="221552"/>
                                <a:pt x="463137" y="233427"/>
                              </a:cubicBezTo>
                              <a:cubicBezTo>
                                <a:pt x="490846" y="245302"/>
                                <a:pt x="469075" y="310616"/>
                                <a:pt x="475013" y="292803"/>
                              </a:cubicBezTo>
                              <a:cubicBezTo>
                                <a:pt x="480951" y="274990"/>
                                <a:pt x="492825" y="128528"/>
                                <a:pt x="498763" y="126549"/>
                              </a:cubicBezTo>
                              <a:cubicBezTo>
                                <a:pt x="504701" y="124570"/>
                                <a:pt x="504701" y="267074"/>
                                <a:pt x="510639" y="280928"/>
                              </a:cubicBezTo>
                              <a:cubicBezTo>
                                <a:pt x="516577" y="294783"/>
                                <a:pt x="526472" y="217593"/>
                                <a:pt x="534389" y="209676"/>
                              </a:cubicBezTo>
                              <a:cubicBezTo>
                                <a:pt x="542306" y="201759"/>
                                <a:pt x="528452" y="229469"/>
                                <a:pt x="558140" y="233427"/>
                              </a:cubicBezTo>
                              <a:cubicBezTo>
                                <a:pt x="587828" y="237385"/>
                                <a:pt x="678872" y="221552"/>
                                <a:pt x="712519" y="233427"/>
                              </a:cubicBezTo>
                              <a:cubicBezTo>
                                <a:pt x="746166" y="245302"/>
                                <a:pt x="750125" y="316554"/>
                                <a:pt x="760021" y="304679"/>
                              </a:cubicBezTo>
                              <a:cubicBezTo>
                                <a:pt x="769917" y="292804"/>
                                <a:pt x="763979" y="172071"/>
                                <a:pt x="771896" y="162175"/>
                              </a:cubicBezTo>
                              <a:cubicBezTo>
                                <a:pt x="779813" y="152279"/>
                                <a:pt x="797626" y="221551"/>
                                <a:pt x="807522" y="245302"/>
                              </a:cubicBezTo>
                              <a:cubicBezTo>
                                <a:pt x="817418" y="269053"/>
                                <a:pt x="825334" y="310617"/>
                                <a:pt x="831272" y="304679"/>
                              </a:cubicBezTo>
                              <a:cubicBezTo>
                                <a:pt x="837210" y="298741"/>
                                <a:pt x="819397" y="221551"/>
                                <a:pt x="843148" y="209676"/>
                              </a:cubicBezTo>
                              <a:cubicBezTo>
                                <a:pt x="866899" y="197801"/>
                                <a:pt x="946067" y="217593"/>
                                <a:pt x="973776" y="233427"/>
                              </a:cubicBezTo>
                              <a:cubicBezTo>
                                <a:pt x="1001485" y="249261"/>
                                <a:pt x="1001485" y="314575"/>
                                <a:pt x="1009402" y="304679"/>
                              </a:cubicBezTo>
                              <a:cubicBezTo>
                                <a:pt x="1017319" y="294783"/>
                                <a:pt x="1011382" y="181967"/>
                                <a:pt x="1021278" y="174050"/>
                              </a:cubicBezTo>
                              <a:cubicBezTo>
                                <a:pt x="1031174" y="166133"/>
                                <a:pt x="1049976" y="211655"/>
                                <a:pt x="1068779" y="257177"/>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17A5C9" id="Freeform: Shape 2075" o:spid="_x0000_s1026" style="position:absolute;margin-left:209.45pt;margin-top:3.8pt;width:84.15pt;height:39.05pt;z-index:252381184;visibility:visible;mso-wrap-style:square;mso-wrap-distance-left:9pt;mso-wrap-distance-top:0;mso-wrap-distance-right:9pt;mso-wrap-distance-bottom:0;mso-position-horizontal:absolute;mso-position-horizontal-relative:text;mso-position-vertical:absolute;mso-position-vertical-relative:text;v-text-anchor:middle" coordsize="1068779,495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" path="m,43422v23750,-37605,47501,-75210,59376,c71251,118632,59377,474892,71252,494684v11875,19792,35625,-275112,59376,-332509c154379,104778,199901,126549,213756,150300v13855,23751,-3958,166254,,154379c217714,292804,229589,83007,237506,79048v7917,-3958,15834,191984,23751,201880c269174,290824,277091,148320,285008,138424v7917,-9896,-5938,67294,23750,83128c338446,237386,435428,221552,463137,233427v27709,11875,5938,77189,11876,59376c480951,274990,492825,128528,498763,126549v5938,-1979,5938,140525,11876,154379c516577,294783,526472,217593,534389,209676v7917,-7917,-5937,19793,23751,23751c587828,237385,678872,221552,712519,233427v33647,11875,37606,83127,47502,71252c769917,292804,763979,172071,771896,162175v7917,-9896,25730,59376,35626,83127c817418,269053,825334,310617,831272,304679v5938,-5938,-11875,-83128,11876,-95003c866899,197801,946067,217593,973776,233427v27709,15834,27709,81148,35626,71252c1017319,294783,1011382,181967,1021278,174050v9896,-7917,28698,37605,47501,83127e" filled="f">
                <v:path arrowok="t" o:connecttype="custom" o:connectlocs="0,43422;59376,43422;71252,494684;130628,162175;213756,150300;213756,304679;237506,79048;261257,280928;285008,138424;308758,221552;463137,233427;475013,292803;498763,126549;510639,280928;534389,209676;558140,233427;712519,233427;760021,304679;771896,162175;807522,245302;831272,304679;843148,209676;973776,233427;1009402,304679;1021278,174050;1068779,257177" o:connectangles="0,0,0,0,0,0,0,0,0,0,0,0,0,0,0,0,0,0,0,0,0,0,0,0,0,0"/>
              </v:shape>
            </w:pict>
          </mc:Fallback>
        </mc:AlternateContent>
      </w:r>
    </w:p>
    <w:p w14:paraId="5160C044" w14:textId="77777777" w:rsidR="00D740DC" w:rsidRPr="000E2377" w:rsidRDefault="00D740DC" w:rsidP="00D740DC">
      <w:pPr>
        <w:spacing w:line="360" w:lineRule="auto"/>
        <w:jc w:val="both"/>
        <w:rPr>
          <w:rFonts w:cs="Times New Roman"/>
          <w:bCs/>
          <w:i/>
          <w:szCs w:val="24"/>
        </w:rPr>
      </w:pPr>
      <w:r w:rsidRPr="000E2377">
        <w:rPr>
          <w:rFonts w:cs="Times New Roman"/>
          <w:bCs/>
          <w:i/>
          <w:noProof/>
          <w:szCs w:val="24"/>
          <w:lang w:eastAsia="en-MY"/>
        </w:rPr>
        <mc:AlternateContent>
          <mc:Choice Requires="wps">
            <w:drawing>
              <wp:anchor distT="0" distB="0" distL="114300" distR="114300" simplePos="0" relativeHeight="252386304" behindDoc="0" locked="0" layoutInCell="1" allowOverlap="1" wp14:anchorId="283C0DA8" wp14:editId="22E4B921">
                <wp:simplePos x="0" y="0"/>
                <wp:positionH relativeFrom="column">
                  <wp:posOffset>2897578</wp:posOffset>
                </wp:positionH>
                <wp:positionV relativeFrom="paragraph">
                  <wp:posOffset>390574</wp:posOffset>
                </wp:positionV>
                <wp:extent cx="1104125" cy="273133"/>
                <wp:effectExtent l="0" t="0" r="0" b="0"/>
                <wp:wrapNone/>
                <wp:docPr id="1617" name="Text Box 1617"/>
                <wp:cNvGraphicFramePr/>
                <a:graphic xmlns:a="http://schemas.openxmlformats.org/drawingml/2006/main">
                  <a:graphicData uri="http://schemas.microsoft.com/office/word/2010/wordprocessingShape">
                    <wps:wsp>
                      <wps:cNvSpPr txBox="1"/>
                      <wps:spPr>
                        <a:xfrm>
                          <a:off x="0" y="0"/>
                          <a:ext cx="1104125" cy="273133"/>
                        </a:xfrm>
                        <a:prstGeom prst="rect">
                          <a:avLst/>
                        </a:prstGeom>
                        <a:noFill/>
                        <a:ln w="6350">
                          <a:noFill/>
                        </a:ln>
                      </wps:spPr>
                      <wps:txbx>
                        <w:txbxContent>
                          <w:p w14:paraId="3D1A57E7" w14:textId="77777777" w:rsidR="00230AB9" w:rsidRPr="00C37B41" w:rsidRDefault="00230AB9" w:rsidP="00D740DC">
                            <w:pPr>
                              <w:rPr>
                                <w:sz w:val="18"/>
                                <w:szCs w:val="18"/>
                              </w:rPr>
                            </w:pPr>
                            <w:r>
                              <w:rPr>
                                <w:sz w:val="18"/>
                                <w:szCs w:val="18"/>
                              </w:rPr>
                              <w:t>Oscilloscope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C0DA8" id="Text Box 1617" o:spid="_x0000_s1163" type="#_x0000_t202" style="position:absolute;left:0;text-align:left;margin-left:228.15pt;margin-top:30.75pt;width:86.95pt;height:21.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" filled="f" stroked="f" strokeweight=".5pt">
                <v:textbox>
                  <w:txbxContent>
                    <w:p w14:paraId="3D1A57E7" w14:textId="77777777" w:rsidR="00230AB9" w:rsidRPr="00C37B41" w:rsidRDefault="00230AB9" w:rsidP="00D740DC">
                      <w:pPr>
                        <w:rPr>
                          <w:sz w:val="18"/>
                          <w:szCs w:val="18"/>
                        </w:rPr>
                      </w:pPr>
                      <w:r>
                        <w:rPr>
                          <w:sz w:val="18"/>
                          <w:szCs w:val="18"/>
                        </w:rPr>
                        <w:t>Oscilloscope</w:t>
                      </w:r>
                    </w:p>
                  </w:txbxContent>
                </v:textbox>
              </v:shape>
            </w:pict>
          </mc:Fallback>
        </mc:AlternateContent>
      </w:r>
      <w:r w:rsidRPr="000E2377">
        <w:rPr>
          <w:rFonts w:cs="Times New Roman"/>
          <w:bCs/>
          <w:i/>
          <w:noProof/>
          <w:szCs w:val="24"/>
          <w:lang w:eastAsia="en-MY"/>
        </w:rPr>
        <mc:AlternateContent>
          <mc:Choice Requires="wps">
            <w:drawing>
              <wp:anchor distT="0" distB="0" distL="114300" distR="114300" simplePos="0" relativeHeight="252383232" behindDoc="0" locked="0" layoutInCell="1" allowOverlap="1" wp14:anchorId="3B9EEB53" wp14:editId="5AB69BCD">
                <wp:simplePos x="0" y="0"/>
                <wp:positionH relativeFrom="column">
                  <wp:posOffset>3206338</wp:posOffset>
                </wp:positionH>
                <wp:positionV relativeFrom="paragraph">
                  <wp:posOffset>10564</wp:posOffset>
                </wp:positionV>
                <wp:extent cx="380010" cy="771789"/>
                <wp:effectExtent l="0" t="0" r="0" b="0"/>
                <wp:wrapNone/>
                <wp:docPr id="1618" name="Text Box 1618"/>
                <wp:cNvGraphicFramePr/>
                <a:graphic xmlns:a="http://schemas.openxmlformats.org/drawingml/2006/main">
                  <a:graphicData uri="http://schemas.microsoft.com/office/word/2010/wordprocessingShape">
                    <wps:wsp>
                      <wps:cNvSpPr txBox="1"/>
                      <wps:spPr>
                        <a:xfrm>
                          <a:off x="0" y="0"/>
                          <a:ext cx="380010" cy="771789"/>
                        </a:xfrm>
                        <a:prstGeom prst="rect">
                          <a:avLst/>
                        </a:prstGeom>
                        <a:noFill/>
                        <a:ln w="6350">
                          <a:noFill/>
                        </a:ln>
                      </wps:spPr>
                      <wps:txbx>
                        <w:txbxContent>
                          <w:p w14:paraId="588BD5B9" w14:textId="77777777" w:rsidR="00230AB9" w:rsidRPr="00C167FE" w:rsidRDefault="00230AB9" w:rsidP="00D740DC">
                            <w:pPr>
                              <w:rPr>
                                <w:b w:val="0"/>
                                <w:sz w:val="28"/>
                                <w:szCs w:val="28"/>
                              </w:rPr>
                            </w:pPr>
                            <w:r w:rsidRPr="00C167FE">
                              <w:rPr>
                                <w:rFonts w:cs="Times New Roman"/>
                                <w:sz w:val="28"/>
                                <w:szCs w:val="28"/>
                              </w:rPr>
                              <w:t>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EEB53" id="Text Box 1618" o:spid="_x0000_s1164" type="#_x0000_t202" style="position:absolute;left:0;text-align:left;margin-left:252.45pt;margin-top:.85pt;width:29.9pt;height:60.7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" filled="f" stroked="f" strokeweight=".5pt">
                <v:textbox>
                  <w:txbxContent>
                    <w:p w14:paraId="588BD5B9" w14:textId="77777777" w:rsidR="00230AB9" w:rsidRPr="00C167FE" w:rsidRDefault="00230AB9" w:rsidP="00D740DC">
                      <w:pPr>
                        <w:rPr>
                          <w:b w:val="0"/>
                          <w:sz w:val="28"/>
                          <w:szCs w:val="28"/>
                        </w:rPr>
                      </w:pPr>
                      <w:r w:rsidRPr="00C167FE">
                        <w:rPr>
                          <w:rFonts w:cs="Times New Roman"/>
                          <w:sz w:val="28"/>
                          <w:szCs w:val="28"/>
                        </w:rPr>
                        <w:t>τ</w:t>
                      </w:r>
                    </w:p>
                  </w:txbxContent>
                </v:textbox>
              </v:shape>
            </w:pict>
          </mc:Fallback>
        </mc:AlternateContent>
      </w:r>
      <w:r w:rsidRPr="000E2377">
        <w:rPr>
          <w:rFonts w:cs="Times New Roman"/>
          <w:bCs/>
          <w:i/>
          <w:noProof/>
          <w:szCs w:val="24"/>
          <w:lang w:eastAsia="en-MY"/>
        </w:rPr>
        <mc:AlternateContent>
          <mc:Choice Requires="wps">
            <w:drawing>
              <wp:anchor distT="0" distB="0" distL="114300" distR="114300" simplePos="0" relativeHeight="252382208" behindDoc="0" locked="0" layoutInCell="1" allowOverlap="1" wp14:anchorId="2A8400B5" wp14:editId="251BF58C">
                <wp:simplePos x="0" y="0"/>
                <wp:positionH relativeFrom="column">
                  <wp:posOffset>3158490</wp:posOffset>
                </wp:positionH>
                <wp:positionV relativeFrom="paragraph">
                  <wp:posOffset>89848</wp:posOffset>
                </wp:positionV>
                <wp:extent cx="296883" cy="0"/>
                <wp:effectExtent l="38100" t="76200" r="27305" b="95250"/>
                <wp:wrapNone/>
                <wp:docPr id="1619" name="Straight Arrow Connector 1619"/>
                <wp:cNvGraphicFramePr/>
                <a:graphic xmlns:a="http://schemas.openxmlformats.org/drawingml/2006/main">
                  <a:graphicData uri="http://schemas.microsoft.com/office/word/2010/wordprocessingShape">
                    <wps:wsp>
                      <wps:cNvCnPr/>
                      <wps:spPr>
                        <a:xfrm>
                          <a:off x="0" y="0"/>
                          <a:ext cx="296883" cy="0"/>
                        </a:xfrm>
                        <a:prstGeom prst="straightConnector1">
                          <a:avLst/>
                        </a:prstGeom>
                        <a:noFill/>
                        <a:ln w="9525" cap="flat" cmpd="sng" algn="ctr">
                          <a:solidFill>
                            <a:sysClr val="windowText" lastClr="000000">
                              <a:shade val="95000"/>
                              <a:satMod val="105000"/>
                            </a:sysClr>
                          </a:solidFill>
                          <a:prstDash val="solid"/>
                          <a:headEnd type="triangle"/>
                          <a:tailEnd type="triangle"/>
                        </a:ln>
                        <a:effectLst/>
                      </wps:spPr>
                      <wps:bodyPr/>
                    </wps:wsp>
                  </a:graphicData>
                </a:graphic>
              </wp:anchor>
            </w:drawing>
          </mc:Choice>
          <mc:Fallback>
            <w:pict>
              <v:shape w14:anchorId="69A5E305" id="Straight Arrow Connector 1619" o:spid="_x0000_s1026" type="#_x0000_t32" style="position:absolute;margin-left:248.7pt;margin-top:7.05pt;width:23.4pt;height:0;z-index:25238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">
                <v:stroke startarrow="block" endarrow="block"/>
              </v:shape>
            </w:pict>
          </mc:Fallback>
        </mc:AlternateContent>
      </w:r>
      <w:r w:rsidRPr="000E2377">
        <w:rPr>
          <w:rFonts w:cs="Times New Roman"/>
          <w:bCs/>
          <w:i/>
          <w:noProof/>
          <w:szCs w:val="24"/>
          <w:lang w:eastAsia="en-MY"/>
        </w:rPr>
        <mc:AlternateContent>
          <mc:Choice Requires="wps">
            <w:drawing>
              <wp:anchor distT="0" distB="0" distL="114300" distR="114300" simplePos="0" relativeHeight="252367872" behindDoc="0" locked="0" layoutInCell="1" allowOverlap="1" wp14:anchorId="3CA7D4E0" wp14:editId="0D9E6720">
                <wp:simplePos x="0" y="0"/>
                <wp:positionH relativeFrom="column">
                  <wp:posOffset>1852468</wp:posOffset>
                </wp:positionH>
                <wp:positionV relativeFrom="paragraph">
                  <wp:posOffset>326390</wp:posOffset>
                </wp:positionV>
                <wp:extent cx="83127" cy="59376"/>
                <wp:effectExtent l="0" t="0" r="12700" b="17145"/>
                <wp:wrapNone/>
                <wp:docPr id="1620" name="Rectangle 1620"/>
                <wp:cNvGraphicFramePr/>
                <a:graphic xmlns:a="http://schemas.openxmlformats.org/drawingml/2006/main">
                  <a:graphicData uri="http://schemas.microsoft.com/office/word/2010/wordprocessingShape">
                    <wps:wsp>
                      <wps:cNvSpPr/>
                      <wps:spPr>
                        <a:xfrm>
                          <a:off x="0" y="0"/>
                          <a:ext cx="83127" cy="59376"/>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520B4C" id="Rectangle 1620" o:spid="_x0000_s1026" style="position:absolute;margin-left:145.85pt;margin-top:25.7pt;width:6.55pt;height:4.7pt;z-index:25236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" fillcolor="window" strokecolor="windowText" strokeweight="2pt"/>
            </w:pict>
          </mc:Fallback>
        </mc:AlternateContent>
      </w:r>
      <w:r w:rsidRPr="000E2377">
        <w:rPr>
          <w:rFonts w:cs="Times New Roman"/>
          <w:bCs/>
          <w:i/>
          <w:noProof/>
          <w:szCs w:val="24"/>
          <w:lang w:eastAsia="en-MY"/>
        </w:rPr>
        <mc:AlternateContent>
          <mc:Choice Requires="wps">
            <w:drawing>
              <wp:anchor distT="0" distB="0" distL="114300" distR="114300" simplePos="0" relativeHeight="252366848" behindDoc="0" locked="0" layoutInCell="1" allowOverlap="1" wp14:anchorId="10E6F09F" wp14:editId="06A9CDDF">
                <wp:simplePos x="0" y="0"/>
                <wp:positionH relativeFrom="column">
                  <wp:posOffset>1614871</wp:posOffset>
                </wp:positionH>
                <wp:positionV relativeFrom="paragraph">
                  <wp:posOffset>243840</wp:posOffset>
                </wp:positionV>
                <wp:extent cx="237507" cy="296793"/>
                <wp:effectExtent l="0" t="0" r="10160" b="27305"/>
                <wp:wrapNone/>
                <wp:docPr id="1621" name="Rectangle 1621"/>
                <wp:cNvGraphicFramePr/>
                <a:graphic xmlns:a="http://schemas.openxmlformats.org/drawingml/2006/main">
                  <a:graphicData uri="http://schemas.microsoft.com/office/word/2010/wordprocessingShape">
                    <wps:wsp>
                      <wps:cNvSpPr/>
                      <wps:spPr>
                        <a:xfrm>
                          <a:off x="0" y="0"/>
                          <a:ext cx="237507" cy="296793"/>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1384EA" id="Rectangle 1621" o:spid="_x0000_s1026" style="position:absolute;margin-left:127.15pt;margin-top:19.2pt;width:18.7pt;height:23.3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" fillcolor="window" strokecolor="windowText" strokeweight="2pt"/>
            </w:pict>
          </mc:Fallback>
        </mc:AlternateContent>
      </w:r>
    </w:p>
    <w:p w14:paraId="07BCC85F" w14:textId="77777777" w:rsidR="00D740DC" w:rsidRPr="000E2377" w:rsidRDefault="00D740DC" w:rsidP="00D740DC">
      <w:pPr>
        <w:spacing w:line="360" w:lineRule="auto"/>
        <w:jc w:val="both"/>
        <w:rPr>
          <w:rFonts w:cs="Times New Roman"/>
          <w:bCs/>
          <w:i/>
          <w:szCs w:val="24"/>
        </w:rPr>
      </w:pPr>
      <w:r w:rsidRPr="000E2377">
        <w:rPr>
          <w:rFonts w:cs="Times New Roman"/>
          <w:bCs/>
          <w:i/>
          <w:noProof/>
          <w:szCs w:val="24"/>
          <w:lang w:eastAsia="en-MY"/>
        </w:rPr>
        <mc:AlternateContent>
          <mc:Choice Requires="wps">
            <w:drawing>
              <wp:anchor distT="0" distB="0" distL="114300" distR="114300" simplePos="0" relativeHeight="252379136" behindDoc="0" locked="0" layoutInCell="1" allowOverlap="1" wp14:anchorId="3B4B89C7" wp14:editId="5BF15FBF">
                <wp:simplePos x="0" y="0"/>
                <wp:positionH relativeFrom="column">
                  <wp:posOffset>2101932</wp:posOffset>
                </wp:positionH>
                <wp:positionV relativeFrom="paragraph">
                  <wp:posOffset>273817</wp:posOffset>
                </wp:positionV>
                <wp:extent cx="581091" cy="474601"/>
                <wp:effectExtent l="0" t="0" r="0" b="1905"/>
                <wp:wrapNone/>
                <wp:docPr id="1622" name="Text Box 1622"/>
                <wp:cNvGraphicFramePr/>
                <a:graphic xmlns:a="http://schemas.openxmlformats.org/drawingml/2006/main">
                  <a:graphicData uri="http://schemas.microsoft.com/office/word/2010/wordprocessingShape">
                    <wps:wsp>
                      <wps:cNvSpPr txBox="1"/>
                      <wps:spPr>
                        <a:xfrm>
                          <a:off x="0" y="0"/>
                          <a:ext cx="581091" cy="474601"/>
                        </a:xfrm>
                        <a:prstGeom prst="rect">
                          <a:avLst/>
                        </a:prstGeom>
                        <a:noFill/>
                        <a:ln w="6350">
                          <a:noFill/>
                        </a:ln>
                      </wps:spPr>
                      <wps:txbx>
                        <w:txbxContent>
                          <w:p w14:paraId="2ADA4B58" w14:textId="77777777" w:rsidR="00230AB9" w:rsidRPr="00B9092F" w:rsidRDefault="00230AB9" w:rsidP="00D740DC">
                            <w:pPr>
                              <w:rPr>
                                <w:sz w:val="20"/>
                                <w:szCs w:val="20"/>
                              </w:rPr>
                            </w:pPr>
                            <w:r w:rsidRPr="00B9092F">
                              <w:rPr>
                                <w:sz w:val="20"/>
                                <w:szCs w:val="20"/>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B89C7" id="Text Box 1622" o:spid="_x0000_s1165" type="#_x0000_t202" style="position:absolute;left:0;text-align:left;margin-left:165.5pt;margin-top:21.55pt;width:45.75pt;height:37.3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" filled="f" stroked="f" strokeweight=".5pt">
                <v:textbox>
                  <w:txbxContent>
                    <w:p w14:paraId="2ADA4B58" w14:textId="77777777" w:rsidR="00230AB9" w:rsidRPr="00B9092F" w:rsidRDefault="00230AB9" w:rsidP="00D740DC">
                      <w:pPr>
                        <w:rPr>
                          <w:sz w:val="20"/>
                          <w:szCs w:val="20"/>
                        </w:rPr>
                      </w:pPr>
                      <w:r w:rsidRPr="00B9092F">
                        <w:rPr>
                          <w:sz w:val="20"/>
                          <w:szCs w:val="20"/>
                        </w:rPr>
                        <w:t>H</w:t>
                      </w:r>
                    </w:p>
                  </w:txbxContent>
                </v:textbox>
              </v:shape>
            </w:pict>
          </mc:Fallback>
        </mc:AlternateContent>
      </w:r>
      <w:r w:rsidRPr="000E2377">
        <w:rPr>
          <w:rFonts w:cs="Times New Roman"/>
          <w:bCs/>
          <w:i/>
          <w:noProof/>
          <w:szCs w:val="24"/>
          <w:lang w:eastAsia="en-MY"/>
        </w:rPr>
        <mc:AlternateContent>
          <mc:Choice Requires="wps">
            <w:drawing>
              <wp:anchor distT="0" distB="0" distL="114300" distR="114300" simplePos="0" relativeHeight="252378112" behindDoc="0" locked="0" layoutInCell="1" allowOverlap="1" wp14:anchorId="55F31507" wp14:editId="697A83EF">
                <wp:simplePos x="0" y="0"/>
                <wp:positionH relativeFrom="column">
                  <wp:posOffset>1578998</wp:posOffset>
                </wp:positionH>
                <wp:positionV relativeFrom="paragraph">
                  <wp:posOffset>226052</wp:posOffset>
                </wp:positionV>
                <wp:extent cx="486888" cy="344385"/>
                <wp:effectExtent l="0" t="0" r="0" b="0"/>
                <wp:wrapNone/>
                <wp:docPr id="1623" name="Text Box 1623"/>
                <wp:cNvGraphicFramePr/>
                <a:graphic xmlns:a="http://schemas.openxmlformats.org/drawingml/2006/main">
                  <a:graphicData uri="http://schemas.microsoft.com/office/word/2010/wordprocessingShape">
                    <wps:wsp>
                      <wps:cNvSpPr txBox="1"/>
                      <wps:spPr>
                        <a:xfrm>
                          <a:off x="0" y="0"/>
                          <a:ext cx="486888" cy="344385"/>
                        </a:xfrm>
                        <a:prstGeom prst="rect">
                          <a:avLst/>
                        </a:prstGeom>
                        <a:noFill/>
                        <a:ln w="6350">
                          <a:noFill/>
                        </a:ln>
                      </wps:spPr>
                      <wps:txbx>
                        <w:txbxContent>
                          <w:p w14:paraId="1322D13D" w14:textId="77777777" w:rsidR="00230AB9" w:rsidRPr="00B9092F" w:rsidRDefault="00230AB9" w:rsidP="00D740DC">
                            <w:pPr>
                              <w:rPr>
                                <w:sz w:val="20"/>
                                <w:szCs w:val="20"/>
                              </w:rPr>
                            </w:pPr>
                            <w:r w:rsidRPr="00B9092F">
                              <w:rPr>
                                <w:sz w:val="20"/>
                                <w:szCs w:val="20"/>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F31507" id="Text Box 1623" o:spid="_x0000_s1166" type="#_x0000_t202" style="position:absolute;left:0;text-align:left;margin-left:124.35pt;margin-top:17.8pt;width:38.35pt;height:27.1pt;z-index:25237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" filled="f" stroked="f" strokeweight=".5pt">
                <v:textbox>
                  <w:txbxContent>
                    <w:p w14:paraId="1322D13D" w14:textId="77777777" w:rsidR="00230AB9" w:rsidRPr="00B9092F" w:rsidRDefault="00230AB9" w:rsidP="00D740DC">
                      <w:pPr>
                        <w:rPr>
                          <w:sz w:val="20"/>
                          <w:szCs w:val="20"/>
                        </w:rPr>
                      </w:pPr>
                      <w:r w:rsidRPr="00B9092F">
                        <w:rPr>
                          <w:sz w:val="20"/>
                          <w:szCs w:val="20"/>
                        </w:rPr>
                        <w:t>L</w:t>
                      </w:r>
                    </w:p>
                  </w:txbxContent>
                </v:textbox>
              </v:shape>
            </w:pict>
          </mc:Fallback>
        </mc:AlternateContent>
      </w:r>
      <w:r w:rsidRPr="000E2377">
        <w:rPr>
          <w:rFonts w:cs="Times New Roman"/>
          <w:bCs/>
          <w:i/>
          <w:noProof/>
          <w:szCs w:val="24"/>
          <w:lang w:eastAsia="en-MY"/>
        </w:rPr>
        <mc:AlternateContent>
          <mc:Choice Requires="wps">
            <w:drawing>
              <wp:anchor distT="0" distB="0" distL="114300" distR="114300" simplePos="0" relativeHeight="252377088" behindDoc="0" locked="0" layoutInCell="1" allowOverlap="1" wp14:anchorId="1C24523A" wp14:editId="38732BD9">
                <wp:simplePos x="0" y="0"/>
                <wp:positionH relativeFrom="column">
                  <wp:posOffset>2149434</wp:posOffset>
                </wp:positionH>
                <wp:positionV relativeFrom="paragraph">
                  <wp:posOffset>166939</wp:posOffset>
                </wp:positionV>
                <wp:extent cx="11875" cy="451064"/>
                <wp:effectExtent l="76200" t="38100" r="64770" b="63500"/>
                <wp:wrapNone/>
                <wp:docPr id="1624" name="Straight Arrow Connector 1624"/>
                <wp:cNvGraphicFramePr/>
                <a:graphic xmlns:a="http://schemas.openxmlformats.org/drawingml/2006/main">
                  <a:graphicData uri="http://schemas.microsoft.com/office/word/2010/wordprocessingShape">
                    <wps:wsp>
                      <wps:cNvCnPr/>
                      <wps:spPr>
                        <a:xfrm>
                          <a:off x="0" y="0"/>
                          <a:ext cx="11875" cy="451064"/>
                        </a:xfrm>
                        <a:prstGeom prst="straightConnector1">
                          <a:avLst/>
                        </a:prstGeom>
                        <a:noFill/>
                        <a:ln w="9525" cap="flat" cmpd="sng" algn="ctr">
                          <a:solidFill>
                            <a:sysClr val="windowText" lastClr="000000">
                              <a:shade val="95000"/>
                              <a:satMod val="105000"/>
                            </a:sysClr>
                          </a:solidFill>
                          <a:prstDash val="solid"/>
                          <a:headEnd type="triangle"/>
                          <a:tailEnd type="triangle"/>
                        </a:ln>
                        <a:effectLst/>
                      </wps:spPr>
                      <wps:bodyPr/>
                    </wps:wsp>
                  </a:graphicData>
                </a:graphic>
              </wp:anchor>
            </w:drawing>
          </mc:Choice>
          <mc:Fallback>
            <w:pict>
              <v:shape w14:anchorId="3EE9E23C" id="Straight Arrow Connector 1624" o:spid="_x0000_s1026" type="#_x0000_t32" style="position:absolute;margin-left:169.25pt;margin-top:13.15pt;width:.95pt;height:35.5pt;z-index:25237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">
                <v:stroke startarrow="block" endarrow="block"/>
              </v:shape>
            </w:pict>
          </mc:Fallback>
        </mc:AlternateContent>
      </w:r>
      <w:r w:rsidRPr="000E2377">
        <w:rPr>
          <w:rFonts w:cs="Times New Roman"/>
          <w:bCs/>
          <w:i/>
          <w:noProof/>
          <w:szCs w:val="24"/>
          <w:lang w:eastAsia="en-MY"/>
        </w:rPr>
        <mc:AlternateContent>
          <mc:Choice Requires="wps">
            <w:drawing>
              <wp:anchor distT="0" distB="0" distL="114300" distR="114300" simplePos="0" relativeHeight="252365824" behindDoc="0" locked="0" layoutInCell="1" allowOverlap="1" wp14:anchorId="35660730" wp14:editId="262E90BC">
                <wp:simplePos x="0" y="0"/>
                <wp:positionH relativeFrom="column">
                  <wp:posOffset>1353787</wp:posOffset>
                </wp:positionH>
                <wp:positionV relativeFrom="paragraph">
                  <wp:posOffset>162725</wp:posOffset>
                </wp:positionV>
                <wp:extent cx="736270" cy="439387"/>
                <wp:effectExtent l="57150" t="19050" r="83185" b="94615"/>
                <wp:wrapNone/>
                <wp:docPr id="1625" name="Rectangle 1625"/>
                <wp:cNvGraphicFramePr/>
                <a:graphic xmlns:a="http://schemas.openxmlformats.org/drawingml/2006/main">
                  <a:graphicData uri="http://schemas.microsoft.com/office/word/2010/wordprocessingShape">
                    <wps:wsp>
                      <wps:cNvSpPr/>
                      <wps:spPr>
                        <a:xfrm>
                          <a:off x="0" y="0"/>
                          <a:ext cx="736270" cy="439387"/>
                        </a:xfrm>
                        <a:prstGeom prst="rect">
                          <a:avLst/>
                        </a:prstGeom>
                        <a:gradFill rotWithShape="1">
                          <a:gsLst>
                            <a:gs pos="0">
                              <a:srgbClr val="4BACC6">
                                <a:shade val="51000"/>
                                <a:satMod val="130000"/>
                              </a:srgbClr>
                            </a:gs>
                            <a:gs pos="80000">
                              <a:srgbClr val="4BACC6">
                                <a:shade val="93000"/>
                                <a:satMod val="130000"/>
                              </a:srgbClr>
                            </a:gs>
                            <a:gs pos="100000">
                              <a:srgbClr val="4BACC6">
                                <a:shade val="94000"/>
                                <a:satMod val="135000"/>
                              </a:srgbClr>
                            </a:gs>
                          </a:gsLst>
                          <a:lin ang="16200000" scaled="0"/>
                        </a:gradFill>
                        <a:ln w="9525" cap="flat" cmpd="sng" algn="ctr">
                          <a:solidFill>
                            <a:srgbClr val="4BACC6">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925D78" id="Rectangle 1625" o:spid="_x0000_s1026" style="position:absolute;margin-left:106.6pt;margin-top:12.8pt;width:57.95pt;height:34.6pt;z-index:25236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" fillcolor="#2787a0" strokecolor="#46aac5">
                <v:fill color2="#34b3d6" rotate="t" angle="180" colors="0 #2787a0;52429f #36b1d2;1 #34b3d6" focus="100%" type="gradient">
                  <o:fill v:ext="view" type="gradientUnscaled"/>
                </v:fill>
                <v:shadow on="t" color="black" opacity="22937f" origin=",.5" offset="0,.63889mm"/>
              </v:rect>
            </w:pict>
          </mc:Fallback>
        </mc:AlternateContent>
      </w:r>
    </w:p>
    <w:p w14:paraId="705FABEA" w14:textId="77777777" w:rsidR="00D740DC" w:rsidRPr="000E2377" w:rsidRDefault="00D740DC" w:rsidP="00D740DC">
      <w:pPr>
        <w:spacing w:line="360" w:lineRule="auto"/>
        <w:jc w:val="both"/>
        <w:rPr>
          <w:rFonts w:cs="Times New Roman"/>
          <w:bCs/>
          <w:i/>
          <w:szCs w:val="24"/>
        </w:rPr>
      </w:pPr>
      <w:r w:rsidRPr="000E2377">
        <w:rPr>
          <w:rFonts w:cs="Times New Roman"/>
          <w:bCs/>
          <w:i/>
          <w:noProof/>
          <w:szCs w:val="24"/>
          <w:lang w:eastAsia="en-MY"/>
        </w:rPr>
        <mc:AlternateContent>
          <mc:Choice Requires="wps">
            <w:drawing>
              <wp:anchor distT="0" distB="0" distL="114300" distR="114300" simplePos="0" relativeHeight="252387328" behindDoc="0" locked="0" layoutInCell="1" allowOverlap="1" wp14:anchorId="63733D08" wp14:editId="56F959B6">
                <wp:simplePos x="0" y="0"/>
                <wp:positionH relativeFrom="column">
                  <wp:posOffset>1472152</wp:posOffset>
                </wp:positionH>
                <wp:positionV relativeFrom="paragraph">
                  <wp:posOffset>252062</wp:posOffset>
                </wp:positionV>
                <wp:extent cx="1021385" cy="320634"/>
                <wp:effectExtent l="0" t="0" r="0" b="3810"/>
                <wp:wrapNone/>
                <wp:docPr id="1626" name="Text Box 1626"/>
                <wp:cNvGraphicFramePr/>
                <a:graphic xmlns:a="http://schemas.openxmlformats.org/drawingml/2006/main">
                  <a:graphicData uri="http://schemas.microsoft.com/office/word/2010/wordprocessingShape">
                    <wps:wsp>
                      <wps:cNvSpPr txBox="1"/>
                      <wps:spPr>
                        <a:xfrm>
                          <a:off x="0" y="0"/>
                          <a:ext cx="1021385" cy="320634"/>
                        </a:xfrm>
                        <a:prstGeom prst="rect">
                          <a:avLst/>
                        </a:prstGeom>
                        <a:noFill/>
                        <a:ln w="6350">
                          <a:noFill/>
                        </a:ln>
                      </wps:spPr>
                      <wps:txbx>
                        <w:txbxContent>
                          <w:p w14:paraId="5B05E2D9" w14:textId="77777777" w:rsidR="00230AB9" w:rsidRPr="00C37B41" w:rsidRDefault="00230AB9" w:rsidP="00D740DC">
                            <w:pPr>
                              <w:rPr>
                                <w:sz w:val="18"/>
                                <w:szCs w:val="18"/>
                              </w:rPr>
                            </w:pPr>
                            <w:r>
                              <w:rPr>
                                <w:sz w:val="18"/>
                                <w:szCs w:val="18"/>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33D08" id="Text Box 1626" o:spid="_x0000_s1167" type="#_x0000_t202" style="position:absolute;left:0;text-align:left;margin-left:115.9pt;margin-top:19.85pt;width:80.4pt;height:25.2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" filled="f" stroked="f" strokeweight=".5pt">
                <v:textbox>
                  <w:txbxContent>
                    <w:p w14:paraId="5B05E2D9" w14:textId="77777777" w:rsidR="00230AB9" w:rsidRPr="00C37B41" w:rsidRDefault="00230AB9" w:rsidP="00D740DC">
                      <w:pPr>
                        <w:rPr>
                          <w:sz w:val="18"/>
                          <w:szCs w:val="18"/>
                        </w:rPr>
                      </w:pPr>
                      <w:r>
                        <w:rPr>
                          <w:sz w:val="18"/>
                          <w:szCs w:val="18"/>
                        </w:rPr>
                        <w:t>Sample</w:t>
                      </w:r>
                    </w:p>
                  </w:txbxContent>
                </v:textbox>
              </v:shape>
            </w:pict>
          </mc:Fallback>
        </mc:AlternateContent>
      </w:r>
      <w:r w:rsidRPr="000E2377">
        <w:rPr>
          <w:rFonts w:cs="Times New Roman"/>
          <w:bCs/>
          <w:i/>
          <w:noProof/>
          <w:szCs w:val="24"/>
          <w:lang w:eastAsia="en-MY"/>
        </w:rPr>
        <mc:AlternateContent>
          <mc:Choice Requires="wps">
            <w:drawing>
              <wp:anchor distT="0" distB="0" distL="114300" distR="114300" simplePos="0" relativeHeight="252372992" behindDoc="0" locked="0" layoutInCell="1" allowOverlap="1" wp14:anchorId="36F373FC" wp14:editId="34B54E5C">
                <wp:simplePos x="0" y="0"/>
                <wp:positionH relativeFrom="column">
                  <wp:posOffset>4132612</wp:posOffset>
                </wp:positionH>
                <wp:positionV relativeFrom="paragraph">
                  <wp:posOffset>180810</wp:posOffset>
                </wp:positionV>
                <wp:extent cx="166255" cy="142504"/>
                <wp:effectExtent l="38100" t="38100" r="24765" b="29210"/>
                <wp:wrapNone/>
                <wp:docPr id="1627" name="Straight Arrow Connector 1627"/>
                <wp:cNvGraphicFramePr/>
                <a:graphic xmlns:a="http://schemas.openxmlformats.org/drawingml/2006/main">
                  <a:graphicData uri="http://schemas.microsoft.com/office/word/2010/wordprocessingShape">
                    <wps:wsp>
                      <wps:cNvCnPr/>
                      <wps:spPr>
                        <a:xfrm flipH="1" flipV="1">
                          <a:off x="0" y="0"/>
                          <a:ext cx="166255" cy="142504"/>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D7C9C1E" id="Straight Arrow Connector 1627" o:spid="_x0000_s1026" type="#_x0000_t32" style="position:absolute;margin-left:325.4pt;margin-top:14.25pt;width:13.1pt;height:11.2pt;flip:x y;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">
                <v:stroke endarrow="block"/>
              </v:shape>
            </w:pict>
          </mc:Fallback>
        </mc:AlternateContent>
      </w:r>
      <w:r w:rsidRPr="000E2377">
        <w:rPr>
          <w:rFonts w:cs="Times New Roman"/>
          <w:bCs/>
          <w:i/>
          <w:noProof/>
          <w:szCs w:val="24"/>
          <w:lang w:eastAsia="en-MY"/>
        </w:rPr>
        <mc:AlternateContent>
          <mc:Choice Requires="wps">
            <w:drawing>
              <wp:anchor distT="0" distB="0" distL="114300" distR="114300" simplePos="0" relativeHeight="252376064" behindDoc="0" locked="0" layoutInCell="1" allowOverlap="1" wp14:anchorId="2A8BE1A9" wp14:editId="535CD9C0">
                <wp:simplePos x="0" y="0"/>
                <wp:positionH relativeFrom="column">
                  <wp:posOffset>1353787</wp:posOffset>
                </wp:positionH>
                <wp:positionV relativeFrom="paragraph">
                  <wp:posOffset>61768</wp:posOffset>
                </wp:positionV>
                <wp:extent cx="735965" cy="0"/>
                <wp:effectExtent l="38100" t="76200" r="26035" b="95250"/>
                <wp:wrapNone/>
                <wp:docPr id="1628" name="Straight Arrow Connector 1628"/>
                <wp:cNvGraphicFramePr/>
                <a:graphic xmlns:a="http://schemas.openxmlformats.org/drawingml/2006/main">
                  <a:graphicData uri="http://schemas.microsoft.com/office/word/2010/wordprocessingShape">
                    <wps:wsp>
                      <wps:cNvCnPr/>
                      <wps:spPr>
                        <a:xfrm>
                          <a:off x="0" y="0"/>
                          <a:ext cx="735965" cy="0"/>
                        </a:xfrm>
                        <a:prstGeom prst="straightConnector1">
                          <a:avLst/>
                        </a:prstGeom>
                        <a:noFill/>
                        <a:ln w="9525" cap="flat" cmpd="sng" algn="ctr">
                          <a:solidFill>
                            <a:sysClr val="windowText" lastClr="000000">
                              <a:shade val="95000"/>
                              <a:satMod val="105000"/>
                            </a:sysClr>
                          </a:solidFill>
                          <a:prstDash val="solid"/>
                          <a:headEnd type="triangle"/>
                          <a:tailEnd type="triangle"/>
                        </a:ln>
                        <a:effectLst/>
                      </wps:spPr>
                      <wps:bodyPr/>
                    </wps:wsp>
                  </a:graphicData>
                </a:graphic>
              </wp:anchor>
            </w:drawing>
          </mc:Choice>
          <mc:Fallback>
            <w:pict>
              <v:shape w14:anchorId="0F2249FD" id="Straight Arrow Connector 1628" o:spid="_x0000_s1026" type="#_x0000_t32" style="position:absolute;margin-left:106.6pt;margin-top:4.85pt;width:57.95pt;height:0;z-index:25237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">
                <v:stroke startarrow="block" endarrow="block"/>
              </v:shape>
            </w:pict>
          </mc:Fallback>
        </mc:AlternateContent>
      </w:r>
      <w:r w:rsidRPr="000E2377">
        <w:rPr>
          <w:rFonts w:cs="Times New Roman"/>
          <w:bCs/>
          <w:i/>
          <w:noProof/>
          <w:szCs w:val="24"/>
          <w:lang w:eastAsia="en-MY"/>
        </w:rPr>
        <mc:AlternateContent>
          <mc:Choice Requires="wps">
            <w:drawing>
              <wp:anchor distT="0" distB="0" distL="114300" distR="114300" simplePos="0" relativeHeight="252374016" behindDoc="0" locked="0" layoutInCell="1" allowOverlap="1" wp14:anchorId="2C1A6DEC" wp14:editId="0CF7C20A">
                <wp:simplePos x="0" y="0"/>
                <wp:positionH relativeFrom="column">
                  <wp:posOffset>4536374</wp:posOffset>
                </wp:positionH>
                <wp:positionV relativeFrom="paragraph">
                  <wp:posOffset>129095</wp:posOffset>
                </wp:positionV>
                <wp:extent cx="154379" cy="106878"/>
                <wp:effectExtent l="38100" t="38100" r="17145" b="26670"/>
                <wp:wrapNone/>
                <wp:docPr id="1629" name="Straight Arrow Connector 1629"/>
                <wp:cNvGraphicFramePr/>
                <a:graphic xmlns:a="http://schemas.openxmlformats.org/drawingml/2006/main">
                  <a:graphicData uri="http://schemas.microsoft.com/office/word/2010/wordprocessingShape">
                    <wps:wsp>
                      <wps:cNvCnPr/>
                      <wps:spPr>
                        <a:xfrm flipH="1" flipV="1">
                          <a:off x="0" y="0"/>
                          <a:ext cx="154379" cy="106878"/>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71AA968" id="Straight Arrow Connector 1629" o:spid="_x0000_s1026" type="#_x0000_t32" style="position:absolute;margin-left:357.2pt;margin-top:10.15pt;width:12.15pt;height:8.4pt;flip:x y;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">
                <v:stroke endarrow="block"/>
              </v:shape>
            </w:pict>
          </mc:Fallback>
        </mc:AlternateContent>
      </w:r>
    </w:p>
    <w:p w14:paraId="2153342F" w14:textId="77777777" w:rsidR="00D740DC" w:rsidRPr="000E2377" w:rsidRDefault="00D740DC" w:rsidP="00D740DC">
      <w:pPr>
        <w:spacing w:line="360" w:lineRule="auto"/>
        <w:jc w:val="both"/>
        <w:rPr>
          <w:rFonts w:cs="Times New Roman"/>
          <w:bCs/>
          <w:i/>
          <w:szCs w:val="24"/>
        </w:rPr>
      </w:pPr>
    </w:p>
    <w:p w14:paraId="1005B270" w14:textId="77777777" w:rsidR="00D740DC" w:rsidRPr="000E2377" w:rsidRDefault="00D740DC" w:rsidP="00D740DC">
      <w:pPr>
        <w:pStyle w:val="Caption"/>
        <w:rPr>
          <w:szCs w:val="24"/>
        </w:rPr>
      </w:pPr>
      <w:bookmarkStart w:id="558" w:name="_Toc521420465"/>
      <w:bookmarkStart w:id="559" w:name="_Toc525223199"/>
      <w:bookmarkStart w:id="560" w:name="_Toc525528346"/>
      <w:bookmarkStart w:id="561" w:name="_Toc525706361"/>
      <w:r w:rsidRPr="000E2377">
        <w:t xml:space="preserve">Figure </w:t>
      </w:r>
      <w:r>
        <w:t>3</w:t>
      </w:r>
      <w:r w:rsidRPr="000E2377">
        <w:t>.</w:t>
      </w:r>
      <w:r>
        <w:t>13</w:t>
      </w:r>
      <w:r w:rsidRPr="000E2377">
        <w:t xml:space="preserve">: </w:t>
      </w:r>
      <w:r w:rsidRPr="000E2377">
        <w:rPr>
          <w:bCs w:val="0"/>
          <w:noProof/>
          <w:szCs w:val="24"/>
        </w:rPr>
        <w:t>Schematic for acoustic measurement.</w:t>
      </w:r>
      <w:bookmarkEnd w:id="558"/>
      <w:bookmarkEnd w:id="559"/>
      <w:bookmarkEnd w:id="560"/>
      <w:bookmarkEnd w:id="561"/>
      <w:r w:rsidRPr="000E2377">
        <w:rPr>
          <w:bCs w:val="0"/>
          <w:noProof/>
          <w:szCs w:val="24"/>
        </w:rPr>
        <w:t xml:space="preserve"> </w:t>
      </w:r>
    </w:p>
    <w:p w14:paraId="459B317A" w14:textId="77777777" w:rsidR="00D740DC" w:rsidRPr="000E2377" w:rsidRDefault="00D740DC" w:rsidP="00D740DC">
      <w:pPr>
        <w:spacing w:line="360" w:lineRule="auto"/>
        <w:jc w:val="both"/>
        <w:rPr>
          <w:rFonts w:cs="Times New Roman"/>
          <w:b w:val="0"/>
          <w:szCs w:val="24"/>
        </w:rPr>
      </w:pPr>
      <w:r w:rsidRPr="000E2377">
        <w:rPr>
          <w:rFonts w:cs="Times New Roman"/>
          <w:b w:val="0"/>
          <w:szCs w:val="24"/>
        </w:rPr>
        <w:t>Acoustic measurements were used to measure the moduli and Poisson’s ratio of the samples at ambien</w:t>
      </w:r>
      <w:r>
        <w:rPr>
          <w:rFonts w:cs="Times New Roman"/>
          <w:b w:val="0"/>
          <w:szCs w:val="24"/>
        </w:rPr>
        <w:t>t</w:t>
      </w:r>
      <w:r w:rsidRPr="000E2377">
        <w:rPr>
          <w:rFonts w:cs="Times New Roman"/>
          <w:b w:val="0"/>
          <w:szCs w:val="24"/>
        </w:rPr>
        <w:t xml:space="preserve"> temperature. </w:t>
      </w:r>
      <w:r>
        <w:rPr>
          <w:rFonts w:cs="Times New Roman"/>
          <w:b w:val="0"/>
          <w:szCs w:val="24"/>
        </w:rPr>
        <w:t>A</w:t>
      </w:r>
      <w:r w:rsidRPr="000E2377">
        <w:rPr>
          <w:rFonts w:cs="Times New Roman"/>
          <w:b w:val="0"/>
          <w:szCs w:val="24"/>
        </w:rPr>
        <w:t xml:space="preserve"> schematic </w:t>
      </w:r>
      <w:r>
        <w:rPr>
          <w:rFonts w:cs="Times New Roman"/>
          <w:b w:val="0"/>
          <w:szCs w:val="24"/>
        </w:rPr>
        <w:t xml:space="preserve">diagram </w:t>
      </w:r>
      <w:r w:rsidRPr="000E2377">
        <w:rPr>
          <w:rFonts w:cs="Times New Roman"/>
          <w:b w:val="0"/>
          <w:szCs w:val="24"/>
        </w:rPr>
        <w:t xml:space="preserve">of </w:t>
      </w:r>
      <w:r>
        <w:rPr>
          <w:rFonts w:cs="Times New Roman"/>
          <w:b w:val="0"/>
          <w:szCs w:val="24"/>
        </w:rPr>
        <w:t xml:space="preserve">the </w:t>
      </w:r>
      <w:r w:rsidRPr="000E2377">
        <w:rPr>
          <w:rFonts w:cs="Times New Roman"/>
          <w:b w:val="0"/>
          <w:szCs w:val="24"/>
        </w:rPr>
        <w:t xml:space="preserve">acoustic measurement </w:t>
      </w:r>
      <w:r>
        <w:rPr>
          <w:rFonts w:cs="Times New Roman"/>
          <w:b w:val="0"/>
          <w:szCs w:val="24"/>
        </w:rPr>
        <w:t>set-up is shown</w:t>
      </w:r>
      <w:r w:rsidRPr="000E2377">
        <w:rPr>
          <w:rFonts w:cs="Times New Roman"/>
          <w:b w:val="0"/>
          <w:szCs w:val="24"/>
        </w:rPr>
        <w:t xml:space="preserve"> in Figure 3.13. Glass bars with &lt;1cm thickness were prepared. The samples were ground manually to make sure that samples were in flat after the sectioning process. The thickness was measured using Vernier callipers. The samples were placed on a flat surface then measured were using Olympus Epoch 6000 to measure the wave velocities of longitudinal (V</w:t>
      </w:r>
      <w:r w:rsidRPr="000E2377">
        <w:rPr>
          <w:rFonts w:cs="Times New Roman"/>
          <w:b w:val="0"/>
          <w:szCs w:val="24"/>
          <w:vertAlign w:val="subscript"/>
        </w:rPr>
        <w:t>L</w:t>
      </w:r>
      <w:r w:rsidRPr="000E2377">
        <w:rPr>
          <w:rFonts w:cs="Times New Roman"/>
          <w:b w:val="0"/>
          <w:szCs w:val="24"/>
        </w:rPr>
        <w:t>) and transverse (V</w:t>
      </w:r>
      <w:r w:rsidRPr="000E2377">
        <w:rPr>
          <w:rFonts w:cs="Times New Roman"/>
          <w:b w:val="0"/>
          <w:szCs w:val="24"/>
          <w:vertAlign w:val="subscript"/>
        </w:rPr>
        <w:t>T</w:t>
      </w:r>
      <w:r w:rsidRPr="000E2377">
        <w:rPr>
          <w:rFonts w:cs="Times New Roman"/>
          <w:b w:val="0"/>
          <w:szCs w:val="24"/>
        </w:rPr>
        <w:t>) waves from the high frequency waves sent from the transducers into the test specimen.</w:t>
      </w:r>
    </w:p>
    <w:p w14:paraId="6DC5F766" w14:textId="77777777" w:rsidR="00D740DC" w:rsidRPr="000E2377" w:rsidRDefault="00D740DC" w:rsidP="00D740DC">
      <w:pPr>
        <w:spacing w:after="0" w:line="360" w:lineRule="auto"/>
        <w:jc w:val="both"/>
        <w:rPr>
          <w:rFonts w:eastAsia="Calibri" w:cs="Times New Roman"/>
          <w:b w:val="0"/>
          <w:szCs w:val="24"/>
          <w:lang w:eastAsia="tr-TR"/>
        </w:rPr>
      </w:pPr>
      <w:r w:rsidRPr="000E2377">
        <w:rPr>
          <w:rFonts w:eastAsia="Calibri" w:cs="Times New Roman"/>
          <w:b w:val="0"/>
          <w:szCs w:val="24"/>
          <w:lang w:eastAsia="tr-TR"/>
        </w:rPr>
        <w:t xml:space="preserve">The wave velocity </w:t>
      </w:r>
      <w:r w:rsidRPr="000E2377">
        <w:rPr>
          <w:rFonts w:eastAsia="Calibri" w:cs="Times New Roman"/>
          <w:b w:val="0"/>
          <w:position w:val="-10"/>
          <w:szCs w:val="24"/>
          <w:lang w:eastAsia="tr-TR"/>
        </w:rPr>
        <w:object w:dxaOrig="400" w:dyaOrig="320" w14:anchorId="60E7F288">
          <v:shape id="_x0000_i1044" type="#_x0000_t75" style="width:21pt;height:14.25pt" o:ole="">
            <v:imagedata r:id="rId83" o:title=""/>
          </v:shape>
          <o:OLEObject Type="Embed" ProgID="Equation.3" ShapeID="_x0000_i1044" DrawAspect="Content" ObjectID="_1626192817" r:id="rId84"/>
        </w:object>
      </w:r>
      <w:r w:rsidRPr="000E2377">
        <w:rPr>
          <w:rFonts w:eastAsia="Calibri" w:cs="Times New Roman"/>
          <w:b w:val="0"/>
          <w:szCs w:val="24"/>
          <w:lang w:eastAsia="tr-TR"/>
        </w:rPr>
        <w:t xml:space="preserve"> of the material under test can be calculated as follows.</w:t>
      </w:r>
    </w:p>
    <w:p w14:paraId="5EB0FB57" w14:textId="77777777" w:rsidR="00D740DC" w:rsidRPr="000E2377" w:rsidRDefault="00D740DC" w:rsidP="00D740DC">
      <w:pPr>
        <w:spacing w:after="0" w:line="360" w:lineRule="auto"/>
        <w:rPr>
          <w:rFonts w:eastAsia="Calibri" w:cs="Times New Roman"/>
          <w:b w:val="0"/>
          <w:szCs w:val="24"/>
          <w:lang w:eastAsia="tr-TR"/>
        </w:rPr>
      </w:pPr>
      <w:r w:rsidRPr="000E2377">
        <w:rPr>
          <w:rFonts w:ascii="Cambria Math" w:eastAsia="Calibri" w:hAnsi="Cambria Math" w:cs="Times New Roman"/>
          <w:color w:val="000000" w:themeColor="text1"/>
          <w:position w:val="-24"/>
          <w:sz w:val="40"/>
          <w:szCs w:val="40"/>
          <w:lang w:eastAsia="tr-TR"/>
        </w:rPr>
        <w:object w:dxaOrig="720" w:dyaOrig="620" w14:anchorId="3D502CF7">
          <v:shape id="_x0000_i1045" type="#_x0000_t75" style="width:43.5pt;height:28.5pt" o:ole="">
            <v:imagedata r:id="rId85" o:title=""/>
          </v:shape>
          <o:OLEObject Type="Embed" ProgID="Equation.3" ShapeID="_x0000_i1045" DrawAspect="Content" ObjectID="_1626192818" r:id="rId86"/>
        </w:object>
      </w:r>
      <w:r w:rsidRPr="000E2377">
        <w:rPr>
          <w:rFonts w:eastAsia="Calibri" w:cs="Times New Roman"/>
          <w:b w:val="0"/>
          <w:szCs w:val="24"/>
          <w:lang w:eastAsia="tr-TR"/>
        </w:rPr>
        <w:tab/>
      </w:r>
      <w:r w:rsidRPr="000E2377">
        <w:rPr>
          <w:rFonts w:ascii="Calibri" w:eastAsia="Calibri" w:hAnsi="Calibri" w:cs="Times New Roman"/>
          <w:b w:val="0"/>
          <w:lang w:eastAsia="tr-TR"/>
        </w:rPr>
        <w:tab/>
      </w:r>
      <w:r w:rsidRPr="000E2377">
        <w:rPr>
          <w:rFonts w:ascii="Calibri" w:eastAsia="Calibri" w:hAnsi="Calibri" w:cs="Times New Roman"/>
          <w:b w:val="0"/>
          <w:lang w:eastAsia="tr-TR"/>
        </w:rPr>
        <w:tab/>
      </w:r>
      <w:r w:rsidRPr="000E2377">
        <w:rPr>
          <w:rFonts w:ascii="Calibri" w:eastAsia="Calibri" w:hAnsi="Calibri" w:cs="Times New Roman"/>
          <w:b w:val="0"/>
          <w:lang w:eastAsia="tr-TR"/>
        </w:rPr>
        <w:tab/>
      </w:r>
      <w:r w:rsidRPr="000E2377">
        <w:rPr>
          <w:rFonts w:ascii="Calibri" w:eastAsia="Calibri" w:hAnsi="Calibri" w:cs="Times New Roman"/>
          <w:b w:val="0"/>
          <w:lang w:eastAsia="tr-TR"/>
        </w:rPr>
        <w:tab/>
      </w:r>
      <w:r w:rsidRPr="000E2377">
        <w:rPr>
          <w:rFonts w:ascii="Calibri" w:eastAsia="Calibri" w:hAnsi="Calibri" w:cs="Times New Roman"/>
          <w:b w:val="0"/>
          <w:lang w:eastAsia="tr-TR"/>
        </w:rPr>
        <w:tab/>
      </w:r>
      <w:r w:rsidRPr="000E2377">
        <w:rPr>
          <w:rFonts w:ascii="Calibri" w:eastAsia="Calibri" w:hAnsi="Calibri" w:cs="Times New Roman"/>
          <w:b w:val="0"/>
          <w:lang w:eastAsia="tr-TR"/>
        </w:rPr>
        <w:tab/>
      </w:r>
      <w:r w:rsidRPr="000E2377">
        <w:rPr>
          <w:rFonts w:ascii="Calibri" w:eastAsia="Calibri" w:hAnsi="Calibri" w:cs="Times New Roman"/>
          <w:b w:val="0"/>
          <w:lang w:eastAsia="tr-TR"/>
        </w:rPr>
        <w:tab/>
        <w:t xml:space="preserve">                        </w:t>
      </w:r>
      <w:r w:rsidRPr="000E2377">
        <w:rPr>
          <w:rFonts w:eastAsia="Calibri" w:cs="Times New Roman"/>
          <w:b w:val="0"/>
          <w:szCs w:val="24"/>
          <w:lang w:eastAsia="tr-TR"/>
        </w:rPr>
        <w:t>Equation 3.</w:t>
      </w:r>
      <w:r>
        <w:rPr>
          <w:rFonts w:eastAsia="Calibri" w:cs="Times New Roman"/>
          <w:b w:val="0"/>
          <w:szCs w:val="24"/>
          <w:lang w:eastAsia="tr-TR"/>
        </w:rPr>
        <w:t>3</w:t>
      </w:r>
    </w:p>
    <w:p w14:paraId="46A7190A" w14:textId="77777777" w:rsidR="00D740DC" w:rsidRDefault="00D740DC" w:rsidP="00D740DC">
      <w:pPr>
        <w:spacing w:line="360" w:lineRule="auto"/>
        <w:rPr>
          <w:rFonts w:eastAsia="Calibri" w:cs="Times New Roman"/>
          <w:b w:val="0"/>
          <w:szCs w:val="24"/>
          <w:lang w:eastAsia="tr-TR"/>
        </w:rPr>
      </w:pPr>
      <w:r w:rsidRPr="000E2377">
        <w:rPr>
          <w:rFonts w:eastAsia="Calibri" w:cs="Times New Roman"/>
          <w:b w:val="0"/>
          <w:szCs w:val="24"/>
          <w:lang w:eastAsia="tr-TR"/>
        </w:rPr>
        <w:t xml:space="preserve">where </w:t>
      </w:r>
      <w:r w:rsidRPr="000E2377">
        <w:rPr>
          <w:rFonts w:eastAsia="Calibri" w:cs="Times New Roman"/>
          <w:b w:val="0"/>
          <w:position w:val="-6"/>
          <w:szCs w:val="24"/>
          <w:lang w:eastAsia="tr-TR"/>
        </w:rPr>
        <w:object w:dxaOrig="139" w:dyaOrig="279" w14:anchorId="47D9C63D">
          <v:shape id="_x0000_i1046" type="#_x0000_t75" style="width:6.75pt;height:14.25pt" o:ole="">
            <v:imagedata r:id="rId87" o:title=""/>
          </v:shape>
          <o:OLEObject Type="Embed" ProgID="Equation.3" ShapeID="_x0000_i1046" DrawAspect="Content" ObjectID="_1626192819" r:id="rId88"/>
        </w:object>
      </w:r>
      <w:r w:rsidRPr="000E2377">
        <w:rPr>
          <w:rFonts w:eastAsia="Calibri" w:cs="Times New Roman"/>
          <w:b w:val="0"/>
          <w:szCs w:val="24"/>
          <w:lang w:eastAsia="tr-TR"/>
        </w:rPr>
        <w:t xml:space="preserve"> is the thickness of testing material.</w:t>
      </w:r>
    </w:p>
    <w:p w14:paraId="137865B5" w14:textId="77777777" w:rsidR="00D740DC" w:rsidRPr="000E2377" w:rsidRDefault="00D740DC" w:rsidP="00D740DC">
      <w:pPr>
        <w:spacing w:line="360" w:lineRule="auto"/>
        <w:rPr>
          <w:rFonts w:eastAsia="Calibri" w:cs="Times New Roman"/>
          <w:b w:val="0"/>
          <w:szCs w:val="24"/>
          <w:lang w:eastAsia="tr-TR"/>
        </w:rPr>
      </w:pPr>
    </w:p>
    <w:p w14:paraId="0CE298C3" w14:textId="77777777" w:rsidR="00D740DC" w:rsidRPr="000E2377" w:rsidRDefault="00D740DC" w:rsidP="00D740DC">
      <w:pPr>
        <w:spacing w:line="360" w:lineRule="auto"/>
        <w:jc w:val="both"/>
        <w:rPr>
          <w:rFonts w:cs="Times New Roman"/>
          <w:b w:val="0"/>
          <w:szCs w:val="24"/>
        </w:rPr>
      </w:pPr>
      <w:r w:rsidRPr="000E2377">
        <w:rPr>
          <w:rFonts w:cs="Times New Roman"/>
          <w:b w:val="0"/>
          <w:szCs w:val="24"/>
        </w:rPr>
        <w:lastRenderedPageBreak/>
        <w:t>Shear modulus,</w:t>
      </w:r>
      <w:r w:rsidRPr="000E2377">
        <w:rPr>
          <w:rFonts w:cs="Times New Roman"/>
          <w:b w:val="0"/>
          <w:i/>
          <w:iCs/>
          <w:szCs w:val="24"/>
        </w:rPr>
        <w:t xml:space="preserve"> G</w:t>
      </w:r>
      <w:r w:rsidRPr="000E2377">
        <w:rPr>
          <w:rFonts w:cs="Times New Roman"/>
          <w:b w:val="0"/>
          <w:szCs w:val="24"/>
        </w:rPr>
        <w:t xml:space="preserve"> was </w:t>
      </w:r>
      <w:r>
        <w:rPr>
          <w:rFonts w:cs="Times New Roman"/>
          <w:b w:val="0"/>
          <w:szCs w:val="24"/>
        </w:rPr>
        <w:t xml:space="preserve">then </w:t>
      </w:r>
      <w:r w:rsidRPr="000E2377">
        <w:rPr>
          <w:rFonts w:cs="Times New Roman"/>
          <w:b w:val="0"/>
          <w:szCs w:val="24"/>
        </w:rPr>
        <w:t xml:space="preserve">calculated using </w:t>
      </w:r>
    </w:p>
    <w:p w14:paraId="6C0B39AB" w14:textId="77777777" w:rsidR="00D740DC" w:rsidRPr="000E2377" w:rsidRDefault="00D740DC" w:rsidP="00D740DC">
      <w:pPr>
        <w:spacing w:line="360" w:lineRule="auto"/>
        <w:jc w:val="both"/>
        <w:rPr>
          <w:rFonts w:cs="Times New Roman"/>
          <w:b w:val="0"/>
          <w:szCs w:val="24"/>
        </w:rPr>
      </w:pPr>
      <w:r w:rsidRPr="000E2377">
        <w:rPr>
          <w:rFonts w:ascii="Cambria Math" w:eastAsia="Calibri" w:hAnsi="Cambria Math" w:cs="Times New Roman"/>
          <w:color w:val="000000" w:themeColor="text1"/>
          <w:position w:val="-10"/>
          <w:sz w:val="40"/>
          <w:szCs w:val="40"/>
          <w:lang w:eastAsia="tr-TR"/>
        </w:rPr>
        <w:object w:dxaOrig="1020" w:dyaOrig="360" w14:anchorId="0896E915">
          <v:shape id="_x0000_i1047" type="#_x0000_t75" style="width:57.75pt;height:14.25pt" o:ole="">
            <v:imagedata r:id="rId89" o:title=""/>
          </v:shape>
          <o:OLEObject Type="Embed" ProgID="Equation.3" ShapeID="_x0000_i1047" DrawAspect="Content" ObjectID="_1626192820" r:id="rId90"/>
        </w:object>
      </w:r>
      <w:r w:rsidRPr="000E2377">
        <w:rPr>
          <w:rFonts w:eastAsia="Calibri" w:cs="Times New Roman"/>
          <w:b w:val="0"/>
          <w:szCs w:val="24"/>
          <w:lang w:eastAsia="tr-TR"/>
        </w:rPr>
        <w:tab/>
      </w:r>
      <w:r w:rsidRPr="000E2377">
        <w:rPr>
          <w:rFonts w:cs="Times New Roman"/>
          <w:b w:val="0"/>
          <w:szCs w:val="24"/>
        </w:rPr>
        <w:tab/>
      </w:r>
      <w:r w:rsidRPr="000E2377">
        <w:rPr>
          <w:rFonts w:cs="Times New Roman"/>
          <w:b w:val="0"/>
          <w:szCs w:val="24"/>
        </w:rPr>
        <w:tab/>
      </w:r>
      <w:r w:rsidRPr="000E2377">
        <w:rPr>
          <w:rFonts w:cs="Times New Roman"/>
          <w:b w:val="0"/>
          <w:szCs w:val="24"/>
        </w:rPr>
        <w:tab/>
      </w:r>
      <w:r w:rsidRPr="000E2377">
        <w:rPr>
          <w:rFonts w:cs="Times New Roman"/>
          <w:b w:val="0"/>
          <w:szCs w:val="24"/>
        </w:rPr>
        <w:tab/>
      </w:r>
      <w:r w:rsidRPr="000E2377">
        <w:rPr>
          <w:rFonts w:cs="Times New Roman"/>
          <w:b w:val="0"/>
          <w:szCs w:val="24"/>
        </w:rPr>
        <w:tab/>
      </w:r>
      <w:r w:rsidRPr="000E2377">
        <w:rPr>
          <w:rFonts w:cs="Times New Roman"/>
          <w:b w:val="0"/>
          <w:szCs w:val="24"/>
        </w:rPr>
        <w:tab/>
      </w:r>
      <w:r w:rsidRPr="000E2377">
        <w:rPr>
          <w:rFonts w:cs="Times New Roman"/>
          <w:b w:val="0"/>
          <w:szCs w:val="24"/>
        </w:rPr>
        <w:tab/>
        <w:t xml:space="preserve">                      </w:t>
      </w:r>
      <w:r w:rsidRPr="000E2377">
        <w:rPr>
          <w:rFonts w:cs="Times New Roman"/>
          <w:b w:val="0"/>
          <w:bCs/>
          <w:iCs/>
          <w:szCs w:val="24"/>
        </w:rPr>
        <w:t>Equation 3.</w:t>
      </w:r>
      <w:r>
        <w:rPr>
          <w:rFonts w:cs="Times New Roman"/>
          <w:b w:val="0"/>
          <w:bCs/>
          <w:iCs/>
          <w:szCs w:val="24"/>
        </w:rPr>
        <w:t>4</w:t>
      </w:r>
    </w:p>
    <w:p w14:paraId="05B0443E" w14:textId="77777777" w:rsidR="00D740DC" w:rsidRPr="000E2377" w:rsidRDefault="00D740DC" w:rsidP="00D740DC">
      <w:pPr>
        <w:spacing w:line="360" w:lineRule="auto"/>
        <w:jc w:val="both"/>
        <w:rPr>
          <w:rFonts w:cs="Times New Roman"/>
          <w:b w:val="0"/>
          <w:szCs w:val="24"/>
        </w:rPr>
      </w:pPr>
      <w:r w:rsidRPr="000E2377">
        <w:rPr>
          <w:rFonts w:cs="Times New Roman"/>
          <w:b w:val="0"/>
          <w:szCs w:val="24"/>
        </w:rPr>
        <w:t xml:space="preserve">where ρ is density and Young modulus, </w:t>
      </w:r>
      <w:r w:rsidRPr="000E2377">
        <w:rPr>
          <w:rFonts w:cs="Times New Roman"/>
          <w:b w:val="0"/>
          <w:i/>
          <w:iCs/>
          <w:szCs w:val="24"/>
        </w:rPr>
        <w:t>E</w:t>
      </w:r>
      <w:r w:rsidRPr="000E2377">
        <w:rPr>
          <w:rFonts w:cs="Times New Roman"/>
          <w:b w:val="0"/>
          <w:szCs w:val="24"/>
        </w:rPr>
        <w:t xml:space="preserve"> was calculated using</w:t>
      </w:r>
    </w:p>
    <w:p w14:paraId="5636C062" w14:textId="77777777" w:rsidR="00D740DC" w:rsidRPr="000E2377" w:rsidRDefault="00D740DC" w:rsidP="00D740DC">
      <w:pPr>
        <w:spacing w:line="360" w:lineRule="auto"/>
        <w:jc w:val="both"/>
        <w:rPr>
          <w:rFonts w:cs="Times New Roman"/>
          <w:b w:val="0"/>
          <w:i/>
          <w:szCs w:val="24"/>
        </w:rPr>
      </w:pPr>
      <w:r w:rsidRPr="000E2377">
        <w:rPr>
          <w:rFonts w:eastAsia="Times New Roman" w:cs="Times New Roman"/>
          <w:position w:val="-30"/>
          <w:szCs w:val="24"/>
          <w:lang w:eastAsia="tr-TR"/>
        </w:rPr>
        <w:object w:dxaOrig="2079" w:dyaOrig="720" w14:anchorId="207872B8">
          <v:shape id="_x0000_i1048" type="#_x0000_t75" style="width:100.5pt;height:36.75pt" o:ole="">
            <v:imagedata r:id="rId91" o:title=""/>
          </v:shape>
          <o:OLEObject Type="Embed" ProgID="Equation.3" ShapeID="_x0000_i1048" DrawAspect="Content" ObjectID="_1626192821" r:id="rId92"/>
        </w:object>
      </w:r>
      <w:r w:rsidRPr="000E2377">
        <w:rPr>
          <w:rFonts w:eastAsia="Times New Roman" w:cs="Times New Roman"/>
          <w:szCs w:val="24"/>
          <w:lang w:eastAsia="tr-TR"/>
        </w:rPr>
        <w:t xml:space="preserve"> </w:t>
      </w:r>
      <w:r w:rsidRPr="000E2377">
        <w:rPr>
          <w:rFonts w:eastAsia="Times New Roman" w:cs="Times New Roman"/>
          <w:szCs w:val="24"/>
          <w:lang w:eastAsia="tr-TR"/>
        </w:rPr>
        <w:tab/>
      </w:r>
      <w:r w:rsidRPr="000E2377">
        <w:rPr>
          <w:rFonts w:cs="Times New Roman"/>
          <w:b w:val="0"/>
          <w:i/>
          <w:szCs w:val="24"/>
        </w:rPr>
        <w:tab/>
      </w:r>
      <w:r w:rsidRPr="000E2377">
        <w:rPr>
          <w:rFonts w:cs="Times New Roman"/>
          <w:b w:val="0"/>
          <w:i/>
          <w:szCs w:val="24"/>
        </w:rPr>
        <w:tab/>
      </w:r>
      <w:r w:rsidRPr="000E2377">
        <w:rPr>
          <w:rFonts w:cs="Times New Roman"/>
          <w:b w:val="0"/>
          <w:i/>
          <w:szCs w:val="24"/>
        </w:rPr>
        <w:tab/>
      </w:r>
      <w:r w:rsidRPr="000E2377">
        <w:rPr>
          <w:rFonts w:cs="Times New Roman"/>
          <w:b w:val="0"/>
          <w:i/>
          <w:szCs w:val="24"/>
        </w:rPr>
        <w:tab/>
      </w:r>
      <w:r w:rsidRPr="000E2377">
        <w:rPr>
          <w:rFonts w:cs="Times New Roman"/>
          <w:b w:val="0"/>
          <w:i/>
          <w:szCs w:val="24"/>
        </w:rPr>
        <w:tab/>
      </w:r>
      <w:r w:rsidRPr="000E2377">
        <w:rPr>
          <w:rFonts w:cs="Times New Roman"/>
          <w:b w:val="0"/>
          <w:i/>
          <w:szCs w:val="24"/>
        </w:rPr>
        <w:tab/>
      </w:r>
      <w:r w:rsidRPr="000E2377">
        <w:rPr>
          <w:rFonts w:cs="Times New Roman"/>
          <w:b w:val="0"/>
          <w:i/>
          <w:szCs w:val="24"/>
        </w:rPr>
        <w:tab/>
      </w:r>
      <w:r w:rsidRPr="000E2377">
        <w:rPr>
          <w:rFonts w:cs="Times New Roman"/>
          <w:b w:val="0"/>
          <w:szCs w:val="24"/>
        </w:rPr>
        <w:t xml:space="preserve">          </w:t>
      </w:r>
      <w:r w:rsidRPr="000E2377">
        <w:rPr>
          <w:rFonts w:cs="Times New Roman"/>
          <w:b w:val="0"/>
          <w:bCs/>
          <w:szCs w:val="24"/>
        </w:rPr>
        <w:t>Equation 3.</w:t>
      </w:r>
      <w:r>
        <w:rPr>
          <w:rFonts w:cs="Times New Roman"/>
          <w:b w:val="0"/>
          <w:bCs/>
          <w:szCs w:val="24"/>
        </w:rPr>
        <w:t>5</w:t>
      </w:r>
    </w:p>
    <w:p w14:paraId="0D7F62D8" w14:textId="77777777" w:rsidR="00D740DC" w:rsidRPr="000E2377" w:rsidRDefault="00D740DC" w:rsidP="00D740DC">
      <w:pPr>
        <w:spacing w:after="0" w:line="360" w:lineRule="auto"/>
        <w:jc w:val="both"/>
        <w:rPr>
          <w:rFonts w:cs="Times New Roman"/>
          <w:b w:val="0"/>
          <w:szCs w:val="24"/>
        </w:rPr>
      </w:pPr>
      <w:r w:rsidRPr="000E2377">
        <w:rPr>
          <w:rFonts w:cs="Times New Roman"/>
          <w:b w:val="0"/>
          <w:szCs w:val="24"/>
        </w:rPr>
        <w:t xml:space="preserve">Poisson ratio, </w:t>
      </w:r>
      <w:r w:rsidRPr="000E2377">
        <w:rPr>
          <w:rFonts w:cs="Times New Roman"/>
          <w:b w:val="0"/>
          <w:i/>
          <w:iCs/>
          <w:szCs w:val="24"/>
        </w:rPr>
        <w:t>v</w:t>
      </w:r>
      <w:r w:rsidRPr="000E2377">
        <w:rPr>
          <w:rFonts w:cs="Times New Roman"/>
          <w:b w:val="0"/>
          <w:szCs w:val="24"/>
        </w:rPr>
        <w:t xml:space="preserve"> and bulk modulus were also calculated using </w:t>
      </w:r>
    </w:p>
    <w:p w14:paraId="6AFFB9E1" w14:textId="77777777" w:rsidR="00D740DC" w:rsidRPr="000E2377" w:rsidRDefault="00D740DC" w:rsidP="00D740DC">
      <w:pPr>
        <w:spacing w:line="360" w:lineRule="auto"/>
        <w:jc w:val="both"/>
        <w:rPr>
          <w:rFonts w:cs="Times New Roman"/>
          <w:b w:val="0"/>
          <w:szCs w:val="24"/>
        </w:rPr>
      </w:pPr>
      <m:oMath>
        <m:r>
          <m:rPr>
            <m:sty m:val="bi"/>
          </m:rPr>
          <w:rPr>
            <w:rFonts w:ascii="Cambria Math" w:hAnsi="Cambria Math" w:cs="Times New Roman"/>
            <w:szCs w:val="24"/>
          </w:rPr>
          <m:t xml:space="preserve"> </m:t>
        </m:r>
      </m:oMath>
      <w:r w:rsidRPr="000E2377">
        <w:rPr>
          <w:rFonts w:eastAsia="Times New Roman" w:cs="Times New Roman"/>
          <w:position w:val="-36"/>
          <w:szCs w:val="24"/>
          <w:lang w:eastAsia="tr-TR"/>
        </w:rPr>
        <w:object w:dxaOrig="1560" w:dyaOrig="840" w14:anchorId="47D5B723">
          <v:shape id="_x0000_i1049" type="#_x0000_t75" style="width:78.75pt;height:43.5pt" o:ole="">
            <v:imagedata r:id="rId93" o:title=""/>
          </v:shape>
          <o:OLEObject Type="Embed" ProgID="Equation.DSMT4" ShapeID="_x0000_i1049" DrawAspect="Content" ObjectID="_1626192822" r:id="rId94"/>
        </w:object>
      </w:r>
      <w:r w:rsidRPr="000E2377">
        <w:rPr>
          <w:rFonts w:eastAsiaTheme="minorEastAsia" w:cs="Times New Roman"/>
          <w:b w:val="0"/>
          <w:szCs w:val="24"/>
        </w:rPr>
        <w:tab/>
      </w:r>
      <w:r w:rsidRPr="000E2377">
        <w:rPr>
          <w:rFonts w:eastAsiaTheme="minorEastAsia" w:cs="Times New Roman"/>
          <w:b w:val="0"/>
          <w:szCs w:val="24"/>
        </w:rPr>
        <w:tab/>
      </w:r>
      <w:r w:rsidRPr="000E2377">
        <w:rPr>
          <w:rFonts w:eastAsiaTheme="minorEastAsia" w:cs="Times New Roman"/>
          <w:b w:val="0"/>
          <w:szCs w:val="24"/>
        </w:rPr>
        <w:tab/>
      </w:r>
      <w:r w:rsidRPr="000E2377">
        <w:rPr>
          <w:rFonts w:eastAsiaTheme="minorEastAsia" w:cs="Times New Roman"/>
          <w:b w:val="0"/>
          <w:szCs w:val="24"/>
        </w:rPr>
        <w:tab/>
      </w:r>
      <w:r w:rsidRPr="000E2377">
        <w:rPr>
          <w:rFonts w:eastAsiaTheme="minorEastAsia" w:cs="Times New Roman"/>
          <w:b w:val="0"/>
          <w:szCs w:val="24"/>
        </w:rPr>
        <w:tab/>
        <w:t xml:space="preserve">            </w:t>
      </w:r>
      <w:r w:rsidRPr="000E2377">
        <w:rPr>
          <w:rFonts w:eastAsiaTheme="minorEastAsia" w:cs="Times New Roman"/>
          <w:b w:val="0"/>
          <w:szCs w:val="24"/>
        </w:rPr>
        <w:tab/>
      </w:r>
      <w:r w:rsidRPr="000E2377">
        <w:rPr>
          <w:rFonts w:eastAsiaTheme="minorEastAsia" w:cs="Times New Roman"/>
          <w:b w:val="0"/>
          <w:szCs w:val="24"/>
        </w:rPr>
        <w:tab/>
        <w:t xml:space="preserve">          </w:t>
      </w:r>
      <w:r w:rsidRPr="000E2377">
        <w:rPr>
          <w:rFonts w:eastAsiaTheme="minorEastAsia" w:cs="Times New Roman"/>
          <w:b w:val="0"/>
          <w:bCs/>
          <w:iCs/>
          <w:szCs w:val="24"/>
        </w:rPr>
        <w:t>Equation 3.</w:t>
      </w:r>
      <w:r>
        <w:rPr>
          <w:rFonts w:eastAsiaTheme="minorEastAsia" w:cs="Times New Roman"/>
          <w:b w:val="0"/>
          <w:bCs/>
          <w:iCs/>
          <w:szCs w:val="24"/>
        </w:rPr>
        <w:t>6</w:t>
      </w:r>
    </w:p>
    <w:p w14:paraId="6F8ADC87" w14:textId="77777777" w:rsidR="00D740DC" w:rsidRPr="000E2377" w:rsidRDefault="00D740DC" w:rsidP="00D740DC">
      <w:pPr>
        <w:spacing w:line="360" w:lineRule="auto"/>
        <w:jc w:val="both"/>
        <w:rPr>
          <w:rFonts w:cs="Times New Roman"/>
          <w:b w:val="0"/>
          <w:szCs w:val="24"/>
        </w:rPr>
      </w:pPr>
      <w:r w:rsidRPr="000E2377">
        <w:rPr>
          <w:rFonts w:cs="Times New Roman"/>
          <w:b w:val="0"/>
          <w:szCs w:val="24"/>
        </w:rPr>
        <w:t>and</w:t>
      </w:r>
    </w:p>
    <w:p w14:paraId="3D3B278C" w14:textId="77777777" w:rsidR="00D740DC" w:rsidRPr="000E2377" w:rsidRDefault="00D740DC" w:rsidP="00D740DC">
      <w:pPr>
        <w:spacing w:line="360" w:lineRule="auto"/>
        <w:jc w:val="both"/>
        <w:rPr>
          <w:rFonts w:eastAsiaTheme="minorEastAsia" w:cs="Times New Roman"/>
          <w:b w:val="0"/>
          <w:szCs w:val="24"/>
        </w:rPr>
      </w:pPr>
      <w:r w:rsidRPr="000E2377">
        <w:rPr>
          <w:rFonts w:eastAsia="Times New Roman" w:cs="Times New Roman"/>
          <w:position w:val="-24"/>
          <w:szCs w:val="24"/>
          <w:lang w:eastAsia="tr-TR"/>
        </w:rPr>
        <w:object w:dxaOrig="1719" w:dyaOrig="660" w14:anchorId="6CDF9FB1">
          <v:shape id="_x0000_i1050" type="#_x0000_t75" style="width:78.75pt;height:36.75pt" o:ole="">
            <v:imagedata r:id="rId95" o:title=""/>
          </v:shape>
          <o:OLEObject Type="Embed" ProgID="Equation.DSMT4" ShapeID="_x0000_i1050" DrawAspect="Content" ObjectID="_1626192823" r:id="rId96"/>
        </w:object>
      </w:r>
      <w:r w:rsidRPr="000E2377">
        <w:rPr>
          <w:rFonts w:eastAsiaTheme="minorEastAsia" w:cs="Times New Roman"/>
          <w:b w:val="0"/>
          <w:szCs w:val="24"/>
        </w:rPr>
        <w:tab/>
      </w:r>
      <w:r w:rsidRPr="000E2377">
        <w:rPr>
          <w:rFonts w:eastAsiaTheme="minorEastAsia" w:cs="Times New Roman"/>
          <w:b w:val="0"/>
          <w:szCs w:val="24"/>
        </w:rPr>
        <w:tab/>
      </w:r>
      <w:r w:rsidRPr="000E2377">
        <w:rPr>
          <w:rFonts w:eastAsiaTheme="minorEastAsia" w:cs="Times New Roman"/>
          <w:b w:val="0"/>
          <w:szCs w:val="24"/>
        </w:rPr>
        <w:tab/>
      </w:r>
      <w:r w:rsidRPr="000E2377">
        <w:rPr>
          <w:rFonts w:eastAsiaTheme="minorEastAsia" w:cs="Times New Roman"/>
          <w:b w:val="0"/>
          <w:szCs w:val="24"/>
        </w:rPr>
        <w:tab/>
      </w:r>
      <w:r w:rsidRPr="000E2377">
        <w:rPr>
          <w:rFonts w:eastAsiaTheme="minorEastAsia" w:cs="Times New Roman"/>
          <w:b w:val="0"/>
          <w:szCs w:val="24"/>
        </w:rPr>
        <w:tab/>
      </w:r>
      <w:r w:rsidRPr="000E2377">
        <w:rPr>
          <w:rFonts w:eastAsiaTheme="minorEastAsia" w:cs="Times New Roman"/>
          <w:b w:val="0"/>
          <w:szCs w:val="24"/>
        </w:rPr>
        <w:tab/>
      </w:r>
      <w:r w:rsidRPr="000E2377">
        <w:rPr>
          <w:rFonts w:eastAsiaTheme="minorEastAsia" w:cs="Times New Roman"/>
          <w:b w:val="0"/>
          <w:szCs w:val="24"/>
        </w:rPr>
        <w:tab/>
        <w:t xml:space="preserve">                      </w:t>
      </w:r>
      <w:r w:rsidRPr="000E2377">
        <w:rPr>
          <w:rFonts w:eastAsiaTheme="minorEastAsia" w:cs="Times New Roman"/>
          <w:b w:val="0"/>
          <w:bCs/>
          <w:iCs/>
          <w:szCs w:val="24"/>
        </w:rPr>
        <w:t>Equation 3.</w:t>
      </w:r>
      <w:r>
        <w:rPr>
          <w:rFonts w:eastAsiaTheme="minorEastAsia" w:cs="Times New Roman"/>
          <w:b w:val="0"/>
          <w:bCs/>
          <w:iCs/>
          <w:szCs w:val="24"/>
        </w:rPr>
        <w:t>7</w:t>
      </w:r>
    </w:p>
    <w:p w14:paraId="2168ED1E" w14:textId="77777777" w:rsidR="00D740DC" w:rsidRPr="000E2377" w:rsidRDefault="00D740DC" w:rsidP="00D740DC">
      <w:pPr>
        <w:spacing w:line="360" w:lineRule="auto"/>
        <w:jc w:val="both"/>
        <w:rPr>
          <w:rFonts w:eastAsiaTheme="minorEastAsia" w:cs="Times New Roman"/>
          <w:b w:val="0"/>
          <w:szCs w:val="24"/>
        </w:rPr>
      </w:pPr>
      <w:r w:rsidRPr="000E2377">
        <w:rPr>
          <w:rFonts w:eastAsiaTheme="minorEastAsia" w:cs="Times New Roman"/>
          <w:b w:val="0"/>
          <w:szCs w:val="24"/>
        </w:rPr>
        <w:t>respectively.</w:t>
      </w:r>
    </w:p>
    <w:p w14:paraId="515D67C5" w14:textId="77777777" w:rsidR="00D740DC" w:rsidRPr="000E2377" w:rsidRDefault="00D740DC" w:rsidP="00F02065">
      <w:pPr>
        <w:pStyle w:val="Heading4"/>
        <w:jc w:val="left"/>
      </w:pPr>
      <w:bookmarkStart w:id="562" w:name="_Toc523402921"/>
      <w:bookmarkStart w:id="563" w:name="_Toc525526432"/>
      <w:bookmarkStart w:id="564" w:name="_Toc525707849"/>
      <w:bookmarkStart w:id="565" w:name="_Toc525742514"/>
      <w:r w:rsidRPr="000E2377">
        <w:t>3.6.2 Hardness</w:t>
      </w:r>
      <w:bookmarkEnd w:id="562"/>
      <w:bookmarkEnd w:id="563"/>
      <w:bookmarkEnd w:id="564"/>
      <w:bookmarkEnd w:id="565"/>
    </w:p>
    <w:p w14:paraId="0762E289" w14:textId="77777777" w:rsidR="00D740DC" w:rsidRPr="000E2377" w:rsidRDefault="00D740DC" w:rsidP="00D740DC">
      <w:pPr>
        <w:spacing w:line="360" w:lineRule="auto"/>
        <w:jc w:val="both"/>
        <w:rPr>
          <w:rFonts w:cs="Times New Roman"/>
          <w:b w:val="0"/>
          <w:szCs w:val="24"/>
        </w:rPr>
      </w:pPr>
      <w:r w:rsidRPr="000E2377">
        <w:rPr>
          <w:rFonts w:cs="Times New Roman"/>
          <w:b w:val="0"/>
          <w:szCs w:val="24"/>
        </w:rPr>
        <w:t>Vickers microhardness (</w:t>
      </w:r>
      <w:proofErr w:type="spellStart"/>
      <w:r w:rsidRPr="000E2377">
        <w:rPr>
          <w:rFonts w:cs="Times New Roman"/>
          <w:b w:val="0"/>
          <w:szCs w:val="24"/>
        </w:rPr>
        <w:t>Hv</w:t>
      </w:r>
      <w:proofErr w:type="spellEnd"/>
      <w:r w:rsidRPr="000E2377">
        <w:rPr>
          <w:rFonts w:cs="Times New Roman"/>
          <w:b w:val="0"/>
          <w:szCs w:val="24"/>
        </w:rPr>
        <w:t xml:space="preserve">), toughness and brittleness of the prepared samples were measured using a </w:t>
      </w:r>
      <w:proofErr w:type="spellStart"/>
      <w:r w:rsidRPr="000E2377">
        <w:rPr>
          <w:rFonts w:cs="Times New Roman"/>
          <w:b w:val="0"/>
          <w:szCs w:val="24"/>
        </w:rPr>
        <w:t>Durascan</w:t>
      </w:r>
      <w:proofErr w:type="spellEnd"/>
      <w:r w:rsidRPr="000E2377">
        <w:rPr>
          <w:rFonts w:cs="Times New Roman"/>
          <w:b w:val="0"/>
          <w:szCs w:val="24"/>
        </w:rPr>
        <w:t xml:space="preserve"> microhardness indenter. The measurements were performed in air at room temperature </w:t>
      </w:r>
      <w:r>
        <w:rPr>
          <w:rFonts w:cs="Times New Roman"/>
          <w:b w:val="0"/>
          <w:szCs w:val="24"/>
        </w:rPr>
        <w:t>with</w:t>
      </w:r>
      <w:r w:rsidRPr="000E2377">
        <w:rPr>
          <w:rFonts w:cs="Times New Roman"/>
          <w:b w:val="0"/>
          <w:szCs w:val="24"/>
        </w:rPr>
        <w:t xml:space="preserve"> 15</w:t>
      </w:r>
      <w:r>
        <w:rPr>
          <w:rFonts w:cs="Times New Roman"/>
          <w:b w:val="0"/>
          <w:szCs w:val="24"/>
        </w:rPr>
        <w:t xml:space="preserve"> </w:t>
      </w:r>
      <w:r w:rsidRPr="000E2377">
        <w:rPr>
          <w:rFonts w:cs="Times New Roman"/>
          <w:b w:val="0"/>
          <w:szCs w:val="24"/>
        </w:rPr>
        <w:t xml:space="preserve">s </w:t>
      </w:r>
      <w:r>
        <w:rPr>
          <w:rFonts w:cs="Times New Roman"/>
          <w:b w:val="0"/>
          <w:szCs w:val="24"/>
        </w:rPr>
        <w:t>dwell at the maximum load.</w:t>
      </w:r>
      <w:r w:rsidRPr="000E2377">
        <w:rPr>
          <w:rFonts w:cs="Times New Roman"/>
          <w:b w:val="0"/>
          <w:szCs w:val="24"/>
        </w:rPr>
        <w:t xml:space="preserve"> 10 indentations were </w:t>
      </w:r>
      <w:r>
        <w:rPr>
          <w:rFonts w:cs="Times New Roman"/>
          <w:b w:val="0"/>
          <w:szCs w:val="24"/>
        </w:rPr>
        <w:t>made on</w:t>
      </w:r>
      <w:r w:rsidRPr="000E2377">
        <w:rPr>
          <w:rFonts w:cs="Times New Roman"/>
          <w:b w:val="0"/>
          <w:szCs w:val="24"/>
        </w:rPr>
        <w:t xml:space="preserve"> each sample. The Vickers hardness (</w:t>
      </w:r>
      <w:proofErr w:type="spellStart"/>
      <w:r w:rsidRPr="000E2377">
        <w:rPr>
          <w:rFonts w:cs="Times New Roman"/>
          <w:b w:val="0"/>
          <w:szCs w:val="24"/>
        </w:rPr>
        <w:t>Hv</w:t>
      </w:r>
      <w:proofErr w:type="spellEnd"/>
      <w:r w:rsidRPr="000E2377">
        <w:rPr>
          <w:rFonts w:cs="Times New Roman"/>
          <w:b w:val="0"/>
          <w:szCs w:val="24"/>
        </w:rPr>
        <w:t xml:space="preserve">) was calculated from the length of the indentation diagonals using: </w:t>
      </w:r>
    </w:p>
    <w:p w14:paraId="77995FCF" w14:textId="77777777" w:rsidR="00D740DC" w:rsidRPr="000E2377" w:rsidRDefault="00D740DC" w:rsidP="00D740DC">
      <w:pPr>
        <w:spacing w:after="0" w:line="360" w:lineRule="auto"/>
        <w:jc w:val="both"/>
        <w:rPr>
          <w:rFonts w:cs="Times New Roman"/>
          <w:b w:val="0"/>
          <w:szCs w:val="24"/>
        </w:rPr>
      </w:pPr>
      <w:r w:rsidRPr="000E2377">
        <w:rPr>
          <w:rFonts w:ascii="Cambria Math" w:eastAsia="Calibri" w:hAnsi="Cambria Math" w:cs="Times New Roman"/>
          <w:color w:val="000000" w:themeColor="text1"/>
          <w:position w:val="-26"/>
          <w:sz w:val="40"/>
          <w:szCs w:val="40"/>
          <w:lang w:eastAsia="tr-TR"/>
        </w:rPr>
        <w:object w:dxaOrig="1440" w:dyaOrig="639" w14:anchorId="59FE2B4E">
          <v:shape id="_x0000_i1051" type="#_x0000_t75" style="width:78.75pt;height:28.5pt" o:ole="">
            <v:imagedata r:id="rId97" o:title=""/>
          </v:shape>
          <o:OLEObject Type="Embed" ProgID="Equation.3" ShapeID="_x0000_i1051" DrawAspect="Content" ObjectID="_1626192824" r:id="rId98"/>
        </w:object>
      </w:r>
      <w:r w:rsidRPr="000E2377">
        <w:rPr>
          <w:rFonts w:eastAsia="Calibri" w:cs="Times New Roman"/>
          <w:b w:val="0"/>
          <w:szCs w:val="24"/>
          <w:lang w:eastAsia="tr-TR"/>
        </w:rPr>
        <w:tab/>
      </w:r>
      <w:r w:rsidRPr="000E2377">
        <w:rPr>
          <w:rFonts w:cs="Times New Roman"/>
          <w:b w:val="0"/>
          <w:szCs w:val="24"/>
        </w:rPr>
        <w:tab/>
      </w:r>
      <w:r w:rsidRPr="000E2377">
        <w:rPr>
          <w:rFonts w:cs="Times New Roman"/>
          <w:b w:val="0"/>
          <w:szCs w:val="24"/>
        </w:rPr>
        <w:tab/>
      </w:r>
      <w:r w:rsidRPr="000E2377">
        <w:rPr>
          <w:rFonts w:cs="Times New Roman"/>
          <w:b w:val="0"/>
          <w:szCs w:val="24"/>
        </w:rPr>
        <w:tab/>
      </w:r>
      <w:r w:rsidRPr="000E2377">
        <w:rPr>
          <w:rFonts w:cs="Times New Roman"/>
          <w:b w:val="0"/>
          <w:szCs w:val="24"/>
        </w:rPr>
        <w:tab/>
      </w:r>
      <w:r w:rsidRPr="000E2377">
        <w:rPr>
          <w:rFonts w:cs="Times New Roman"/>
          <w:b w:val="0"/>
          <w:szCs w:val="24"/>
        </w:rPr>
        <w:tab/>
      </w:r>
      <w:r w:rsidRPr="000E2377">
        <w:rPr>
          <w:rFonts w:cs="Times New Roman"/>
          <w:b w:val="0"/>
          <w:szCs w:val="24"/>
        </w:rPr>
        <w:tab/>
      </w:r>
      <w:r w:rsidRPr="000E2377">
        <w:rPr>
          <w:rFonts w:cs="Times New Roman"/>
          <w:b w:val="0"/>
          <w:bCs/>
          <w:iCs/>
          <w:szCs w:val="24"/>
        </w:rPr>
        <w:t xml:space="preserve">                      Equation</w:t>
      </w:r>
      <w:r w:rsidRPr="000E2377">
        <w:rPr>
          <w:rFonts w:cs="Times New Roman"/>
          <w:b w:val="0"/>
          <w:szCs w:val="24"/>
        </w:rPr>
        <w:t xml:space="preserve"> 3.</w:t>
      </w:r>
      <w:r>
        <w:rPr>
          <w:rFonts w:cs="Times New Roman"/>
          <w:b w:val="0"/>
          <w:szCs w:val="24"/>
        </w:rPr>
        <w:t>8</w:t>
      </w:r>
    </w:p>
    <w:p w14:paraId="51FD7153" w14:textId="77777777" w:rsidR="00D740DC" w:rsidRPr="000E2377" w:rsidRDefault="00D740DC" w:rsidP="00D740DC">
      <w:pPr>
        <w:spacing w:after="0" w:line="360" w:lineRule="auto"/>
        <w:jc w:val="both"/>
        <w:rPr>
          <w:rFonts w:cs="Times New Roman"/>
          <w:b w:val="0"/>
          <w:szCs w:val="24"/>
        </w:rPr>
      </w:pPr>
      <w:r w:rsidRPr="000E2377">
        <w:rPr>
          <w:rFonts w:cs="Times New Roman"/>
          <w:b w:val="0"/>
          <w:szCs w:val="24"/>
        </w:rPr>
        <w:t>where P is the indentation load and d is indentation diagonal average length (as shown in Figure 3.1</w:t>
      </w:r>
      <w:r>
        <w:rPr>
          <w:rFonts w:cs="Times New Roman"/>
          <w:b w:val="0"/>
          <w:szCs w:val="24"/>
        </w:rPr>
        <w:t>4</w:t>
      </w:r>
      <w:r w:rsidRPr="000E2377">
        <w:rPr>
          <w:rFonts w:cs="Times New Roman"/>
          <w:b w:val="0"/>
          <w:szCs w:val="24"/>
        </w:rPr>
        <w:t>)</w:t>
      </w:r>
    </w:p>
    <w:p w14:paraId="02F15100" w14:textId="77777777" w:rsidR="00D740DC" w:rsidRPr="000E2377" w:rsidRDefault="00D740DC" w:rsidP="00D740DC">
      <w:pPr>
        <w:spacing w:after="0" w:line="360" w:lineRule="auto"/>
        <w:jc w:val="center"/>
        <w:rPr>
          <w:rFonts w:cs="Times New Roman"/>
          <w:b w:val="0"/>
          <w:szCs w:val="24"/>
        </w:rPr>
      </w:pPr>
      <w:r w:rsidRPr="000E2377">
        <w:rPr>
          <w:rFonts w:cs="Times New Roman"/>
          <w:b w:val="0"/>
          <w:noProof/>
          <w:szCs w:val="24"/>
          <w:lang w:eastAsia="en-MY"/>
        </w:rPr>
        <w:lastRenderedPageBreak/>
        <mc:AlternateContent>
          <mc:Choice Requires="wps">
            <w:drawing>
              <wp:anchor distT="0" distB="0" distL="114300" distR="114300" simplePos="0" relativeHeight="252333056" behindDoc="0" locked="0" layoutInCell="1" allowOverlap="1" wp14:anchorId="17DBC22B" wp14:editId="64B49880">
                <wp:simplePos x="0" y="0"/>
                <wp:positionH relativeFrom="column">
                  <wp:posOffset>3657600</wp:posOffset>
                </wp:positionH>
                <wp:positionV relativeFrom="paragraph">
                  <wp:posOffset>2114542</wp:posOffset>
                </wp:positionV>
                <wp:extent cx="641086" cy="249052"/>
                <wp:effectExtent l="0" t="0" r="0" b="0"/>
                <wp:wrapNone/>
                <wp:docPr id="2159" name="Text Box 2159"/>
                <wp:cNvGraphicFramePr/>
                <a:graphic xmlns:a="http://schemas.openxmlformats.org/drawingml/2006/main">
                  <a:graphicData uri="http://schemas.microsoft.com/office/word/2010/wordprocessingShape">
                    <wps:wsp>
                      <wps:cNvSpPr txBox="1"/>
                      <wps:spPr>
                        <a:xfrm>
                          <a:off x="0" y="0"/>
                          <a:ext cx="641086" cy="249052"/>
                        </a:xfrm>
                        <a:prstGeom prst="rect">
                          <a:avLst/>
                        </a:prstGeom>
                        <a:noFill/>
                        <a:ln w="6350">
                          <a:noFill/>
                        </a:ln>
                      </wps:spPr>
                      <wps:txbx>
                        <w:txbxContent>
                          <w:p w14:paraId="27E543EE" w14:textId="77777777" w:rsidR="00230AB9" w:rsidRDefault="00230AB9" w:rsidP="00D740DC">
                            <w:r w:rsidRPr="00F675B1">
                              <w:rPr>
                                <w:color w:val="FFFF00"/>
                              </w:rPr>
                              <w:t>200</w:t>
                            </w:r>
                            <w:r w:rsidRPr="00F675B1">
                              <w:rPr>
                                <w:rFonts w:cs="Times New Roman"/>
                                <w:color w:val="FFFF00"/>
                              </w:rPr>
                              <w:t>µ</w:t>
                            </w:r>
                            <w:r w:rsidRPr="00F675B1">
                              <w:rPr>
                                <w:color w:val="FFFF00"/>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BC22B" id="Text Box 2159" o:spid="_x0000_s1168" type="#_x0000_t202" style="position:absolute;left:0;text-align:left;margin-left:4in;margin-top:166.5pt;width:50.5pt;height:19.6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" filled="f" stroked="f" strokeweight=".5pt">
                <v:textbox>
                  <w:txbxContent>
                    <w:p w14:paraId="27E543EE" w14:textId="77777777" w:rsidR="00230AB9" w:rsidRDefault="00230AB9" w:rsidP="00D740DC">
                      <w:r w:rsidRPr="00F675B1">
                        <w:rPr>
                          <w:color w:val="FFFF00"/>
                        </w:rPr>
                        <w:t>200</w:t>
                      </w:r>
                      <w:r w:rsidRPr="00F675B1">
                        <w:rPr>
                          <w:rFonts w:cs="Times New Roman"/>
                          <w:color w:val="FFFF00"/>
                        </w:rPr>
                        <w:t>µ</w:t>
                      </w:r>
                      <w:r w:rsidRPr="00F675B1">
                        <w:rPr>
                          <w:color w:val="FFFF00"/>
                        </w:rPr>
                        <w:t>m</w:t>
                      </w:r>
                    </w:p>
                  </w:txbxContent>
                </v:textbox>
              </v:shape>
            </w:pict>
          </mc:Fallback>
        </mc:AlternateContent>
      </w:r>
      <w:r w:rsidRPr="000E2377">
        <w:rPr>
          <w:rFonts w:cs="Times New Roman"/>
          <w:b w:val="0"/>
          <w:noProof/>
          <w:szCs w:val="24"/>
          <w:lang w:eastAsia="en-MY"/>
        </w:rPr>
        <mc:AlternateContent>
          <mc:Choice Requires="wps">
            <w:drawing>
              <wp:anchor distT="0" distB="0" distL="114300" distR="114300" simplePos="0" relativeHeight="252332032" behindDoc="0" locked="0" layoutInCell="1" allowOverlap="1" wp14:anchorId="7F4B5F22" wp14:editId="098D8621">
                <wp:simplePos x="0" y="0"/>
                <wp:positionH relativeFrom="column">
                  <wp:posOffset>3515096</wp:posOffset>
                </wp:positionH>
                <wp:positionV relativeFrom="paragraph">
                  <wp:posOffset>2411425</wp:posOffset>
                </wp:positionV>
                <wp:extent cx="783772" cy="0"/>
                <wp:effectExtent l="0" t="19050" r="54610" b="38100"/>
                <wp:wrapNone/>
                <wp:docPr id="2158" name="Straight Connector 2158"/>
                <wp:cNvGraphicFramePr/>
                <a:graphic xmlns:a="http://schemas.openxmlformats.org/drawingml/2006/main">
                  <a:graphicData uri="http://schemas.microsoft.com/office/word/2010/wordprocessingShape">
                    <wps:wsp>
                      <wps:cNvCnPr/>
                      <wps:spPr>
                        <a:xfrm>
                          <a:off x="0" y="0"/>
                          <a:ext cx="783772" cy="0"/>
                        </a:xfrm>
                        <a:prstGeom prst="line">
                          <a:avLst/>
                        </a:prstGeom>
                        <a:noFill/>
                        <a:ln w="50800" cap="flat" cmpd="sng" algn="ctr">
                          <a:solidFill>
                            <a:srgbClr val="FFFF00"/>
                          </a:solidFill>
                          <a:prstDash val="solid"/>
                        </a:ln>
                        <a:effectLst/>
                      </wps:spPr>
                      <wps:bodyPr/>
                    </wps:wsp>
                  </a:graphicData>
                </a:graphic>
              </wp:anchor>
            </w:drawing>
          </mc:Choice>
          <mc:Fallback>
            <w:pict>
              <v:line w14:anchorId="4086BA12" id="Straight Connector 2158" o:spid="_x0000_s1026" style="position:absolute;z-index:252332032;visibility:visible;mso-wrap-style:square;mso-wrap-distance-left:9pt;mso-wrap-distance-top:0;mso-wrap-distance-right:9pt;mso-wrap-distance-bottom:0;mso-position-horizontal:absolute;mso-position-horizontal-relative:text;mso-position-vertical:absolute;mso-position-vertical-relative:text" from="276.8pt,189.9pt" to="338.5pt,1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" strokecolor="yellow" strokeweight="4pt"/>
            </w:pict>
          </mc:Fallback>
        </mc:AlternateContent>
      </w:r>
      <w:r w:rsidRPr="000E2377">
        <w:rPr>
          <w:rFonts w:cs="Times New Roman"/>
          <w:b w:val="0"/>
          <w:noProof/>
          <w:szCs w:val="24"/>
          <w:lang w:eastAsia="en-MY"/>
        </w:rPr>
        <mc:AlternateContent>
          <mc:Choice Requires="wps">
            <w:drawing>
              <wp:anchor distT="0" distB="0" distL="114300" distR="114300" simplePos="0" relativeHeight="252264448" behindDoc="0" locked="0" layoutInCell="1" allowOverlap="1" wp14:anchorId="155F4D53" wp14:editId="04261883">
                <wp:simplePos x="0" y="0"/>
                <wp:positionH relativeFrom="column">
                  <wp:posOffset>2809875</wp:posOffset>
                </wp:positionH>
                <wp:positionV relativeFrom="paragraph">
                  <wp:posOffset>1057275</wp:posOffset>
                </wp:positionV>
                <wp:extent cx="0" cy="561975"/>
                <wp:effectExtent l="38100" t="38100" r="57150" b="47625"/>
                <wp:wrapNone/>
                <wp:docPr id="1215" name="Straight Connector 1215"/>
                <wp:cNvGraphicFramePr/>
                <a:graphic xmlns:a="http://schemas.openxmlformats.org/drawingml/2006/main">
                  <a:graphicData uri="http://schemas.microsoft.com/office/word/2010/wordprocessingShape">
                    <wps:wsp>
                      <wps:cNvCnPr/>
                      <wps:spPr>
                        <a:xfrm>
                          <a:off x="0" y="0"/>
                          <a:ext cx="0" cy="561975"/>
                        </a:xfrm>
                        <a:prstGeom prst="line">
                          <a:avLst/>
                        </a:prstGeom>
                        <a:noFill/>
                        <a:ln w="9525" cap="flat" cmpd="sng" algn="ctr">
                          <a:solidFill>
                            <a:srgbClr val="FFFF00"/>
                          </a:solidFill>
                          <a:prstDash val="solid"/>
                          <a:headEnd type="triangle" w="med" len="lg"/>
                          <a:tailEnd type="triangle" w="med" len="lg"/>
                        </a:ln>
                        <a:effectLst/>
                      </wps:spPr>
                      <wps:bodyPr/>
                    </wps:wsp>
                  </a:graphicData>
                </a:graphic>
                <wp14:sizeRelH relativeFrom="margin">
                  <wp14:pctWidth>0</wp14:pctWidth>
                </wp14:sizeRelH>
                <wp14:sizeRelV relativeFrom="margin">
                  <wp14:pctHeight>0</wp14:pctHeight>
                </wp14:sizeRelV>
              </wp:anchor>
            </w:drawing>
          </mc:Choice>
          <mc:Fallback>
            <w:pict>
              <v:line w14:anchorId="377B3C7C" id="Straight Connector 1215" o:spid="_x0000_s1026" style="position:absolute;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25pt,83.25pt" to="221.2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" strokecolor="yellow">
                <v:stroke startarrow="block" startarrowlength="long" endarrow="block" endarrowlength="long"/>
              </v:line>
            </w:pict>
          </mc:Fallback>
        </mc:AlternateContent>
      </w:r>
      <w:r w:rsidRPr="000E2377">
        <w:rPr>
          <w:rFonts w:cs="Times New Roman"/>
          <w:b w:val="0"/>
          <w:noProof/>
          <w:szCs w:val="24"/>
          <w:lang w:eastAsia="en-MY"/>
        </w:rPr>
        <mc:AlternateContent>
          <mc:Choice Requires="wps">
            <w:drawing>
              <wp:anchor distT="0" distB="0" distL="114300" distR="114300" simplePos="0" relativeHeight="252265472" behindDoc="0" locked="0" layoutInCell="1" allowOverlap="1" wp14:anchorId="44870546" wp14:editId="0AE2244D">
                <wp:simplePos x="0" y="0"/>
                <wp:positionH relativeFrom="column">
                  <wp:posOffset>2743200</wp:posOffset>
                </wp:positionH>
                <wp:positionV relativeFrom="paragraph">
                  <wp:posOffset>1181100</wp:posOffset>
                </wp:positionV>
                <wp:extent cx="342900" cy="333375"/>
                <wp:effectExtent l="0" t="0" r="0" b="0"/>
                <wp:wrapNone/>
                <wp:docPr id="1218" name="Text Box 1218"/>
                <wp:cNvGraphicFramePr/>
                <a:graphic xmlns:a="http://schemas.openxmlformats.org/drawingml/2006/main">
                  <a:graphicData uri="http://schemas.microsoft.com/office/word/2010/wordprocessingShape">
                    <wps:wsp>
                      <wps:cNvSpPr txBox="1"/>
                      <wps:spPr>
                        <a:xfrm>
                          <a:off x="0" y="0"/>
                          <a:ext cx="342900" cy="333375"/>
                        </a:xfrm>
                        <a:prstGeom prst="rect">
                          <a:avLst/>
                        </a:prstGeom>
                        <a:noFill/>
                        <a:ln w="6350">
                          <a:noFill/>
                        </a:ln>
                        <a:effectLst/>
                      </wps:spPr>
                      <wps:txbx>
                        <w:txbxContent>
                          <w:p w14:paraId="3D791C4E" w14:textId="77777777" w:rsidR="00230AB9" w:rsidRPr="00704F08" w:rsidRDefault="00230AB9" w:rsidP="00D740DC">
                            <w:pPr>
                              <w:rPr>
                                <w:rFonts w:cs="Times New Roman"/>
                                <w:b w:val="0"/>
                                <w:color w:val="FFFF00"/>
                                <w:szCs w:val="24"/>
                              </w:rPr>
                            </w:pPr>
                            <w:r w:rsidRPr="00704F08">
                              <w:rPr>
                                <w:rFonts w:cs="Times New Roman"/>
                                <w:color w:val="FFFF00"/>
                                <w:szCs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870546" id="Text Box 1218" o:spid="_x0000_s1169" type="#_x0000_t202" style="position:absolute;left:0;text-align:left;margin-left:3in;margin-top:93pt;width:27pt;height:26.25pt;z-index:25226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" filled="f" stroked="f" strokeweight=".5pt">
                <v:textbox>
                  <w:txbxContent>
                    <w:p w14:paraId="3D791C4E" w14:textId="77777777" w:rsidR="00230AB9" w:rsidRPr="00704F08" w:rsidRDefault="00230AB9" w:rsidP="00D740DC">
                      <w:pPr>
                        <w:rPr>
                          <w:rFonts w:cs="Times New Roman"/>
                          <w:b w:val="0"/>
                          <w:color w:val="FFFF00"/>
                          <w:szCs w:val="24"/>
                        </w:rPr>
                      </w:pPr>
                      <w:r w:rsidRPr="00704F08">
                        <w:rPr>
                          <w:rFonts w:cs="Times New Roman"/>
                          <w:color w:val="FFFF00"/>
                          <w:szCs w:val="24"/>
                        </w:rPr>
                        <w:t>d</w:t>
                      </w:r>
                    </w:p>
                  </w:txbxContent>
                </v:textbox>
              </v:shape>
            </w:pict>
          </mc:Fallback>
        </mc:AlternateContent>
      </w:r>
      <w:r w:rsidRPr="000E2377">
        <w:rPr>
          <w:rFonts w:cs="Times New Roman"/>
          <w:b w:val="0"/>
          <w:noProof/>
          <w:szCs w:val="24"/>
          <w:lang w:eastAsia="en-MY"/>
        </w:rPr>
        <w:drawing>
          <wp:inline distT="0" distB="0" distL="0" distR="0" wp14:anchorId="20975798" wp14:editId="69082FD8">
            <wp:extent cx="3329790" cy="2681605"/>
            <wp:effectExtent l="0" t="0" r="4445" b="4445"/>
            <wp:docPr id="19" name="Picture 19" descr="F:\Hardness Toughness\Redo - 26.1.17\Cap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Hardness Toughness\Redo - 26.1.17\Capture 2.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38857" cy="2688907"/>
                    </a:xfrm>
                    <a:prstGeom prst="rect">
                      <a:avLst/>
                    </a:prstGeom>
                    <a:noFill/>
                    <a:ln>
                      <a:noFill/>
                    </a:ln>
                  </pic:spPr>
                </pic:pic>
              </a:graphicData>
            </a:graphic>
          </wp:inline>
        </w:drawing>
      </w:r>
    </w:p>
    <w:p w14:paraId="7EBD2A4A" w14:textId="77777777" w:rsidR="00D740DC" w:rsidRDefault="00D740DC" w:rsidP="00D740DC">
      <w:pPr>
        <w:pStyle w:val="Caption"/>
        <w:rPr>
          <w:szCs w:val="24"/>
        </w:rPr>
      </w:pPr>
      <w:bookmarkStart w:id="566" w:name="_Toc521420466"/>
      <w:bookmarkStart w:id="567" w:name="_Toc525223200"/>
      <w:bookmarkStart w:id="568" w:name="_Toc525528347"/>
      <w:bookmarkStart w:id="569" w:name="_Toc525706362"/>
      <w:bookmarkStart w:id="570" w:name="_Hlk515394188"/>
      <w:r w:rsidRPr="000E2377">
        <w:t xml:space="preserve">Figure </w:t>
      </w:r>
      <w:r>
        <w:t>3</w:t>
      </w:r>
      <w:r w:rsidRPr="000E2377">
        <w:t>.</w:t>
      </w:r>
      <w:r>
        <w:t>14</w:t>
      </w:r>
      <w:r w:rsidRPr="000E2377">
        <w:t xml:space="preserve">: </w:t>
      </w:r>
      <w:r w:rsidRPr="000E2377">
        <w:rPr>
          <w:szCs w:val="24"/>
        </w:rPr>
        <w:t>The diagonal length measurement from Vickers indentation of a glass sample</w:t>
      </w:r>
      <w:bookmarkEnd w:id="566"/>
      <w:bookmarkEnd w:id="567"/>
      <w:bookmarkEnd w:id="568"/>
      <w:bookmarkEnd w:id="569"/>
      <w:r>
        <w:rPr>
          <w:szCs w:val="24"/>
        </w:rPr>
        <w:t>.</w:t>
      </w:r>
    </w:p>
    <w:p w14:paraId="3A0C490E" w14:textId="77777777" w:rsidR="00D740DC" w:rsidRDefault="00D740DC" w:rsidP="00D740DC">
      <w:pPr>
        <w:rPr>
          <w:lang w:val="en-GB"/>
        </w:rPr>
      </w:pPr>
    </w:p>
    <w:p w14:paraId="045B6559" w14:textId="77777777" w:rsidR="00D740DC" w:rsidRPr="00A54E5D" w:rsidRDefault="00D740DC" w:rsidP="00D740DC">
      <w:pPr>
        <w:rPr>
          <w:lang w:val="en-GB"/>
        </w:rPr>
      </w:pPr>
    </w:p>
    <w:p w14:paraId="414BB0D8" w14:textId="77777777" w:rsidR="00D740DC" w:rsidRPr="000E2377" w:rsidRDefault="00D740DC" w:rsidP="00D740DC">
      <w:pPr>
        <w:keepNext/>
        <w:keepLines/>
        <w:numPr>
          <w:ilvl w:val="2"/>
          <w:numId w:val="1"/>
        </w:numPr>
        <w:spacing w:before="40" w:after="0" w:line="360" w:lineRule="auto"/>
        <w:outlineLvl w:val="2"/>
        <w:rPr>
          <w:rFonts w:eastAsiaTheme="majorEastAsia" w:cstheme="majorBidi"/>
          <w:vanish/>
          <w:color w:val="000000" w:themeColor="text1"/>
          <w:szCs w:val="24"/>
        </w:rPr>
      </w:pPr>
      <w:bookmarkStart w:id="571" w:name="_Toc515398730"/>
      <w:bookmarkStart w:id="572" w:name="_Toc523153600"/>
      <w:bookmarkStart w:id="573" w:name="_Toc523402922"/>
      <w:bookmarkStart w:id="574" w:name="_Toc525222391"/>
      <w:bookmarkStart w:id="575" w:name="_Toc525526433"/>
      <w:bookmarkStart w:id="576" w:name="_Toc525703759"/>
      <w:bookmarkStart w:id="577" w:name="_Toc525707561"/>
      <w:bookmarkStart w:id="578" w:name="_Toc525707850"/>
      <w:bookmarkStart w:id="579" w:name="_Toc525742515"/>
      <w:bookmarkStart w:id="580" w:name="_Toc10983098"/>
      <w:bookmarkStart w:id="581" w:name="_Toc12994963"/>
      <w:bookmarkEnd w:id="570"/>
      <w:bookmarkEnd w:id="571"/>
      <w:bookmarkEnd w:id="572"/>
      <w:bookmarkEnd w:id="573"/>
      <w:bookmarkEnd w:id="574"/>
      <w:bookmarkEnd w:id="575"/>
      <w:bookmarkEnd w:id="576"/>
      <w:bookmarkEnd w:id="577"/>
      <w:bookmarkEnd w:id="578"/>
      <w:bookmarkEnd w:id="579"/>
      <w:bookmarkEnd w:id="580"/>
      <w:bookmarkEnd w:id="581"/>
    </w:p>
    <w:p w14:paraId="0FCC1A13" w14:textId="77777777" w:rsidR="00D740DC" w:rsidRPr="000E2377" w:rsidRDefault="00D740DC" w:rsidP="00D740DC">
      <w:pPr>
        <w:keepNext/>
        <w:keepLines/>
        <w:numPr>
          <w:ilvl w:val="3"/>
          <w:numId w:val="1"/>
        </w:numPr>
        <w:spacing w:before="40" w:after="0" w:line="360" w:lineRule="auto"/>
        <w:outlineLvl w:val="3"/>
        <w:rPr>
          <w:rFonts w:eastAsiaTheme="majorEastAsia" w:cstheme="majorBidi"/>
          <w:iCs/>
          <w:vanish/>
          <w:color w:val="000000" w:themeColor="text1"/>
        </w:rPr>
      </w:pPr>
      <w:bookmarkStart w:id="582" w:name="_Toc523153601"/>
      <w:bookmarkStart w:id="583" w:name="_Toc523402819"/>
      <w:bookmarkStart w:id="584" w:name="_Toc523402923"/>
      <w:bookmarkStart w:id="585" w:name="_Toc525222392"/>
      <w:bookmarkStart w:id="586" w:name="_Toc525526434"/>
      <w:bookmarkStart w:id="587" w:name="_Toc525703760"/>
      <w:bookmarkStart w:id="588" w:name="_Toc525707562"/>
      <w:bookmarkStart w:id="589" w:name="_Toc525707851"/>
      <w:bookmarkStart w:id="590" w:name="_Toc525742516"/>
      <w:bookmarkEnd w:id="582"/>
      <w:bookmarkEnd w:id="583"/>
      <w:bookmarkEnd w:id="584"/>
      <w:bookmarkEnd w:id="585"/>
      <w:bookmarkEnd w:id="586"/>
      <w:bookmarkEnd w:id="587"/>
      <w:bookmarkEnd w:id="588"/>
      <w:bookmarkEnd w:id="589"/>
      <w:bookmarkEnd w:id="590"/>
    </w:p>
    <w:p w14:paraId="241108F2" w14:textId="77777777" w:rsidR="00D740DC" w:rsidRPr="000E2377" w:rsidRDefault="00D740DC" w:rsidP="00D740DC">
      <w:pPr>
        <w:keepNext/>
        <w:keepLines/>
        <w:numPr>
          <w:ilvl w:val="2"/>
          <w:numId w:val="1"/>
        </w:numPr>
        <w:spacing w:before="40" w:after="0" w:line="360" w:lineRule="auto"/>
        <w:outlineLvl w:val="2"/>
        <w:rPr>
          <w:rFonts w:eastAsiaTheme="majorEastAsia" w:cstheme="majorBidi"/>
          <w:vanish/>
          <w:color w:val="000000" w:themeColor="text1"/>
          <w:szCs w:val="24"/>
        </w:rPr>
      </w:pPr>
      <w:bookmarkStart w:id="591" w:name="_Toc515398731"/>
      <w:bookmarkStart w:id="592" w:name="_Toc523153602"/>
      <w:bookmarkStart w:id="593" w:name="_Toc523402924"/>
      <w:bookmarkStart w:id="594" w:name="_Toc525222393"/>
      <w:bookmarkStart w:id="595" w:name="_Toc525526435"/>
      <w:bookmarkStart w:id="596" w:name="_Toc525703761"/>
      <w:bookmarkStart w:id="597" w:name="_Toc525707563"/>
      <w:bookmarkStart w:id="598" w:name="_Toc525707852"/>
      <w:bookmarkStart w:id="599" w:name="_Toc525742517"/>
      <w:bookmarkStart w:id="600" w:name="_Toc10983099"/>
      <w:bookmarkStart w:id="601" w:name="_Toc12994964"/>
      <w:bookmarkEnd w:id="591"/>
      <w:bookmarkEnd w:id="592"/>
      <w:bookmarkEnd w:id="593"/>
      <w:bookmarkEnd w:id="594"/>
      <w:bookmarkEnd w:id="595"/>
      <w:bookmarkEnd w:id="596"/>
      <w:bookmarkEnd w:id="597"/>
      <w:bookmarkEnd w:id="598"/>
      <w:bookmarkEnd w:id="599"/>
      <w:bookmarkEnd w:id="600"/>
      <w:bookmarkEnd w:id="601"/>
    </w:p>
    <w:p w14:paraId="3C90EEAD" w14:textId="77777777" w:rsidR="00D740DC" w:rsidRPr="000E2377" w:rsidRDefault="00D740DC" w:rsidP="00D740DC">
      <w:pPr>
        <w:keepNext/>
        <w:keepLines/>
        <w:numPr>
          <w:ilvl w:val="3"/>
          <w:numId w:val="1"/>
        </w:numPr>
        <w:spacing w:before="40" w:after="0" w:line="360" w:lineRule="auto"/>
        <w:outlineLvl w:val="3"/>
        <w:rPr>
          <w:rFonts w:eastAsiaTheme="majorEastAsia" w:cstheme="majorBidi"/>
          <w:iCs/>
          <w:vanish/>
          <w:color w:val="000000" w:themeColor="text1"/>
        </w:rPr>
      </w:pPr>
      <w:bookmarkStart w:id="602" w:name="_Toc523153603"/>
      <w:bookmarkStart w:id="603" w:name="_Toc523402821"/>
      <w:bookmarkStart w:id="604" w:name="_Toc523402925"/>
      <w:bookmarkStart w:id="605" w:name="_Toc525222394"/>
      <w:bookmarkStart w:id="606" w:name="_Toc525526436"/>
      <w:bookmarkStart w:id="607" w:name="_Toc525703762"/>
      <w:bookmarkStart w:id="608" w:name="_Toc525707564"/>
      <w:bookmarkStart w:id="609" w:name="_Toc525707853"/>
      <w:bookmarkStart w:id="610" w:name="_Toc525742518"/>
      <w:bookmarkEnd w:id="602"/>
      <w:bookmarkEnd w:id="603"/>
      <w:bookmarkEnd w:id="604"/>
      <w:bookmarkEnd w:id="605"/>
      <w:bookmarkEnd w:id="606"/>
      <w:bookmarkEnd w:id="607"/>
      <w:bookmarkEnd w:id="608"/>
      <w:bookmarkEnd w:id="609"/>
      <w:bookmarkEnd w:id="610"/>
    </w:p>
    <w:p w14:paraId="1F21369F" w14:textId="77777777" w:rsidR="00D740DC" w:rsidRPr="000E2377" w:rsidRDefault="00D740DC" w:rsidP="00D740DC">
      <w:pPr>
        <w:keepNext/>
        <w:keepLines/>
        <w:numPr>
          <w:ilvl w:val="3"/>
          <w:numId w:val="1"/>
        </w:numPr>
        <w:spacing w:before="40" w:after="0" w:line="360" w:lineRule="auto"/>
        <w:outlineLvl w:val="3"/>
        <w:rPr>
          <w:rFonts w:eastAsiaTheme="majorEastAsia" w:cstheme="majorBidi"/>
          <w:iCs/>
          <w:vanish/>
          <w:color w:val="000000" w:themeColor="text1"/>
        </w:rPr>
      </w:pPr>
      <w:bookmarkStart w:id="611" w:name="_Toc523153604"/>
      <w:bookmarkStart w:id="612" w:name="_Toc523402822"/>
      <w:bookmarkStart w:id="613" w:name="_Toc523402926"/>
      <w:bookmarkStart w:id="614" w:name="_Toc525222395"/>
      <w:bookmarkStart w:id="615" w:name="_Toc525526437"/>
      <w:bookmarkStart w:id="616" w:name="_Toc525703763"/>
      <w:bookmarkStart w:id="617" w:name="_Toc525707565"/>
      <w:bookmarkStart w:id="618" w:name="_Toc525707854"/>
      <w:bookmarkStart w:id="619" w:name="_Toc525742519"/>
      <w:bookmarkEnd w:id="611"/>
      <w:bookmarkEnd w:id="612"/>
      <w:bookmarkEnd w:id="613"/>
      <w:bookmarkEnd w:id="614"/>
      <w:bookmarkEnd w:id="615"/>
      <w:bookmarkEnd w:id="616"/>
      <w:bookmarkEnd w:id="617"/>
      <w:bookmarkEnd w:id="618"/>
      <w:bookmarkEnd w:id="619"/>
    </w:p>
    <w:p w14:paraId="58392815" w14:textId="77777777" w:rsidR="00D740DC" w:rsidRPr="000E2377" w:rsidRDefault="00D740DC" w:rsidP="00D740DC">
      <w:pPr>
        <w:keepNext/>
        <w:keepLines/>
        <w:spacing w:before="40" w:after="0" w:line="360" w:lineRule="auto"/>
        <w:outlineLvl w:val="3"/>
        <w:rPr>
          <w:rFonts w:eastAsia="Calibri" w:cstheme="majorBidi"/>
          <w:iCs/>
          <w:color w:val="000000" w:themeColor="text1"/>
          <w:lang w:eastAsia="tr-TR"/>
        </w:rPr>
      </w:pPr>
      <w:bookmarkStart w:id="620" w:name="_Toc523402927"/>
      <w:bookmarkStart w:id="621" w:name="_Toc525526438"/>
      <w:bookmarkStart w:id="622" w:name="_Toc525707855"/>
      <w:bookmarkStart w:id="623" w:name="_Toc525742520"/>
      <w:r w:rsidRPr="000E2377">
        <w:rPr>
          <w:rFonts w:eastAsia="Calibri" w:cstheme="majorBidi"/>
          <w:iCs/>
          <w:color w:val="000000" w:themeColor="text1"/>
          <w:lang w:eastAsia="tr-TR"/>
        </w:rPr>
        <w:t>3.6.3 Indentation fracture toughness and brittleness</w:t>
      </w:r>
      <w:bookmarkEnd w:id="620"/>
      <w:bookmarkEnd w:id="621"/>
      <w:bookmarkEnd w:id="622"/>
      <w:bookmarkEnd w:id="623"/>
    </w:p>
    <w:p w14:paraId="23C3A1EB" w14:textId="77777777" w:rsidR="00D740DC" w:rsidRPr="000E2377" w:rsidRDefault="00D740DC" w:rsidP="00D740DC">
      <w:pPr>
        <w:spacing w:line="360" w:lineRule="auto"/>
        <w:jc w:val="both"/>
        <w:rPr>
          <w:rFonts w:eastAsiaTheme="minorEastAsia" w:cs="Times New Roman"/>
          <w:b w:val="0"/>
          <w:szCs w:val="24"/>
        </w:rPr>
      </w:pPr>
      <w:r w:rsidRPr="000E2377">
        <w:rPr>
          <w:rFonts w:eastAsiaTheme="minorEastAsia" w:cs="Times New Roman"/>
          <w:b w:val="0"/>
          <w:noProof/>
          <w:szCs w:val="24"/>
          <w:lang w:eastAsia="en-MY"/>
        </w:rPr>
        <mc:AlternateContent>
          <mc:Choice Requires="wpg">
            <w:drawing>
              <wp:anchor distT="0" distB="0" distL="114300" distR="114300" simplePos="0" relativeHeight="252334080" behindDoc="0" locked="0" layoutInCell="1" allowOverlap="1" wp14:anchorId="7A205233" wp14:editId="44FE5B79">
                <wp:simplePos x="0" y="0"/>
                <wp:positionH relativeFrom="column">
                  <wp:posOffset>1413164</wp:posOffset>
                </wp:positionH>
                <wp:positionV relativeFrom="paragraph">
                  <wp:posOffset>17392</wp:posOffset>
                </wp:positionV>
                <wp:extent cx="3135085" cy="3206338"/>
                <wp:effectExtent l="38100" t="0" r="103505" b="32385"/>
                <wp:wrapNone/>
                <wp:docPr id="2175" name="Group 2175"/>
                <wp:cNvGraphicFramePr/>
                <a:graphic xmlns:a="http://schemas.openxmlformats.org/drawingml/2006/main">
                  <a:graphicData uri="http://schemas.microsoft.com/office/word/2010/wordprocessingGroup">
                    <wpg:wgp>
                      <wpg:cNvGrpSpPr/>
                      <wpg:grpSpPr>
                        <a:xfrm>
                          <a:off x="0" y="0"/>
                          <a:ext cx="3135085" cy="3206338"/>
                          <a:chOff x="0" y="0"/>
                          <a:chExt cx="3135085" cy="3206338"/>
                        </a:xfrm>
                      </wpg:grpSpPr>
                      <wpg:grpSp>
                        <wpg:cNvPr id="2174" name="Group 2174"/>
                        <wpg:cNvGrpSpPr/>
                        <wpg:grpSpPr>
                          <a:xfrm>
                            <a:off x="0" y="11876"/>
                            <a:ext cx="3135085" cy="3194462"/>
                            <a:chOff x="0" y="0"/>
                            <a:chExt cx="3135085" cy="3194462"/>
                          </a:xfrm>
                        </wpg:grpSpPr>
                        <wps:wsp>
                          <wps:cNvPr id="2103" name="Rectangle 2103"/>
                          <wps:cNvSpPr/>
                          <wps:spPr>
                            <a:xfrm rot="2713839">
                              <a:off x="1145969" y="1134093"/>
                              <a:ext cx="738446" cy="755264"/>
                            </a:xfrm>
                            <a:prstGeom prst="rect">
                              <a:avLst/>
                            </a:prstGeom>
                            <a:solidFill>
                              <a:sysClr val="window" lastClr="FFFFFF">
                                <a:lumMod val="85000"/>
                              </a:sysClr>
                            </a:solidFill>
                            <a:ln w="25400" cap="flat" cmpd="sng" algn="ctr">
                              <a:solidFill>
                                <a:sysClr val="window" lastClr="FFFFFF">
                                  <a:lumMod val="8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8" name="Straight Connector 2138"/>
                          <wps:cNvCnPr/>
                          <wps:spPr>
                            <a:xfrm flipH="1">
                              <a:off x="1508166" y="0"/>
                              <a:ext cx="23751" cy="3194462"/>
                            </a:xfrm>
                            <a:prstGeom prst="line">
                              <a:avLst/>
                            </a:prstGeom>
                            <a:noFill/>
                            <a:ln w="19050" cap="flat" cmpd="sng" algn="ctr">
                              <a:solidFill>
                                <a:sysClr val="windowText" lastClr="000000">
                                  <a:shade val="95000"/>
                                  <a:satMod val="105000"/>
                                </a:sysClr>
                              </a:solidFill>
                              <a:prstDash val="solid"/>
                            </a:ln>
                            <a:effectLst/>
                          </wps:spPr>
                          <wps:bodyPr/>
                        </wps:wsp>
                        <wps:wsp>
                          <wps:cNvPr id="2148" name="Straight Connector 2148"/>
                          <wps:cNvCnPr/>
                          <wps:spPr>
                            <a:xfrm>
                              <a:off x="0" y="1508166"/>
                              <a:ext cx="3134558" cy="1064"/>
                            </a:xfrm>
                            <a:prstGeom prst="line">
                              <a:avLst/>
                            </a:prstGeom>
                            <a:noFill/>
                            <a:ln w="19050" cap="flat" cmpd="sng" algn="ctr">
                              <a:solidFill>
                                <a:sysClr val="windowText" lastClr="000000">
                                  <a:shade val="95000"/>
                                  <a:satMod val="105000"/>
                                </a:sysClr>
                              </a:solidFill>
                              <a:prstDash val="solid"/>
                            </a:ln>
                            <a:effectLst/>
                          </wps:spPr>
                          <wps:bodyPr/>
                        </wps:wsp>
                        <wps:wsp>
                          <wps:cNvPr id="2149" name="Straight Connector 2149"/>
                          <wps:cNvCnPr/>
                          <wps:spPr>
                            <a:xfrm flipV="1">
                              <a:off x="985652" y="831272"/>
                              <a:ext cx="11876" cy="676720"/>
                            </a:xfrm>
                            <a:prstGeom prst="line">
                              <a:avLst/>
                            </a:prstGeom>
                            <a:noFill/>
                            <a:ln w="9525" cap="flat" cmpd="sng" algn="ctr">
                              <a:solidFill>
                                <a:sysClr val="windowText" lastClr="000000">
                                  <a:shade val="95000"/>
                                  <a:satMod val="105000"/>
                                </a:sysClr>
                              </a:solidFill>
                              <a:prstDash val="dash"/>
                            </a:ln>
                            <a:effectLst/>
                          </wps:spPr>
                          <wps:bodyPr/>
                        </wps:wsp>
                        <wps:wsp>
                          <wps:cNvPr id="2160" name="Straight Connector 2160"/>
                          <wps:cNvCnPr/>
                          <wps:spPr>
                            <a:xfrm flipV="1">
                              <a:off x="2042555" y="819397"/>
                              <a:ext cx="629" cy="687705"/>
                            </a:xfrm>
                            <a:prstGeom prst="line">
                              <a:avLst/>
                            </a:prstGeom>
                            <a:noFill/>
                            <a:ln w="9525" cap="flat" cmpd="sng" algn="ctr">
                              <a:solidFill>
                                <a:sysClr val="windowText" lastClr="000000">
                                  <a:shade val="95000"/>
                                  <a:satMod val="105000"/>
                                </a:sysClr>
                              </a:solidFill>
                              <a:prstDash val="dash"/>
                            </a:ln>
                            <a:effectLst/>
                          </wps:spPr>
                          <wps:bodyPr/>
                        </wps:wsp>
                        <wps:wsp>
                          <wps:cNvPr id="2162" name="Straight Arrow Connector 2162"/>
                          <wps:cNvCnPr/>
                          <wps:spPr>
                            <a:xfrm>
                              <a:off x="997527" y="831272"/>
                              <a:ext cx="1045473" cy="11876"/>
                            </a:xfrm>
                            <a:prstGeom prst="straightConnector1">
                              <a:avLst/>
                            </a:prstGeom>
                            <a:noFill/>
                            <a:ln w="19050" cap="flat" cmpd="sng" algn="ctr">
                              <a:solidFill>
                                <a:sysClr val="windowText" lastClr="000000">
                                  <a:shade val="95000"/>
                                  <a:satMod val="105000"/>
                                </a:sysClr>
                              </a:solidFill>
                              <a:prstDash val="solid"/>
                              <a:headEnd type="stealth" w="lg" len="lg"/>
                              <a:tailEnd type="stealth" w="lg" len="lg"/>
                            </a:ln>
                            <a:effectLst/>
                          </wps:spPr>
                          <wps:bodyPr/>
                        </wps:wsp>
                        <wps:wsp>
                          <wps:cNvPr id="2163" name="Straight Connector 2163"/>
                          <wps:cNvCnPr/>
                          <wps:spPr>
                            <a:xfrm flipV="1">
                              <a:off x="0" y="106878"/>
                              <a:ext cx="0" cy="1401288"/>
                            </a:xfrm>
                            <a:prstGeom prst="line">
                              <a:avLst/>
                            </a:prstGeom>
                            <a:noFill/>
                            <a:ln w="15875" cap="flat" cmpd="sng" algn="ctr">
                              <a:solidFill>
                                <a:sysClr val="windowText" lastClr="000000">
                                  <a:shade val="95000"/>
                                  <a:satMod val="105000"/>
                                </a:sysClr>
                              </a:solidFill>
                              <a:prstDash val="dash"/>
                            </a:ln>
                            <a:effectLst/>
                          </wps:spPr>
                          <wps:bodyPr/>
                        </wps:wsp>
                        <wps:wsp>
                          <wps:cNvPr id="2169" name="Straight Connector 2169"/>
                          <wps:cNvCnPr/>
                          <wps:spPr>
                            <a:xfrm flipV="1">
                              <a:off x="3135085" y="118753"/>
                              <a:ext cx="0" cy="1389413"/>
                            </a:xfrm>
                            <a:prstGeom prst="line">
                              <a:avLst/>
                            </a:prstGeom>
                            <a:noFill/>
                            <a:ln w="9525" cap="flat" cmpd="sng" algn="ctr">
                              <a:solidFill>
                                <a:sysClr val="windowText" lastClr="000000">
                                  <a:shade val="95000"/>
                                  <a:satMod val="105000"/>
                                </a:sysClr>
                              </a:solidFill>
                              <a:prstDash val="dash"/>
                            </a:ln>
                            <a:effectLst/>
                          </wps:spPr>
                          <wps:bodyPr/>
                        </wps:wsp>
                        <wps:wsp>
                          <wps:cNvPr id="2171" name="Straight Arrow Connector 2171"/>
                          <wps:cNvCnPr/>
                          <wps:spPr>
                            <a:xfrm>
                              <a:off x="11875" y="356259"/>
                              <a:ext cx="3123210" cy="35626"/>
                            </a:xfrm>
                            <a:prstGeom prst="straightConnector1">
                              <a:avLst/>
                            </a:prstGeom>
                            <a:noFill/>
                            <a:ln w="19050" cap="flat" cmpd="sng" algn="ctr">
                              <a:solidFill>
                                <a:sysClr val="windowText" lastClr="000000">
                                  <a:shade val="95000"/>
                                  <a:satMod val="105000"/>
                                </a:sysClr>
                              </a:solidFill>
                              <a:prstDash val="solid"/>
                              <a:headEnd type="stealth" w="lg" len="lg"/>
                              <a:tailEnd type="stealth" w="lg" len="lg"/>
                            </a:ln>
                            <a:effectLst/>
                          </wps:spPr>
                          <wps:bodyPr/>
                        </wps:wsp>
                      </wpg:grpSp>
                      <wps:wsp>
                        <wps:cNvPr id="2172" name="Text Box 2172"/>
                        <wps:cNvSpPr txBox="1"/>
                        <wps:spPr>
                          <a:xfrm>
                            <a:off x="1591293" y="546265"/>
                            <a:ext cx="403761" cy="332509"/>
                          </a:xfrm>
                          <a:prstGeom prst="rect">
                            <a:avLst/>
                          </a:prstGeom>
                          <a:noFill/>
                          <a:ln w="6350">
                            <a:noFill/>
                          </a:ln>
                        </wps:spPr>
                        <wps:txbx>
                          <w:txbxContent>
                            <w:p w14:paraId="2A9B5E3E" w14:textId="77777777" w:rsidR="00230AB9" w:rsidRPr="00E347B7" w:rsidRDefault="00230AB9" w:rsidP="00D740DC">
                              <w:pPr>
                                <w:rPr>
                                  <w:b w:val="0"/>
                                  <w:i/>
                                  <w:sz w:val="36"/>
                                  <w:szCs w:val="36"/>
                                </w:rPr>
                              </w:pPr>
                              <w:r w:rsidRPr="00E347B7">
                                <w:rPr>
                                  <w:rFonts w:cs="Times New Roman"/>
                                  <w:i/>
                                  <w:sz w:val="36"/>
                                  <w:szCs w:val="36"/>
                                </w:rPr>
                                <w:t>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3" name="Text Box 2173"/>
                        <wps:cNvSpPr txBox="1"/>
                        <wps:spPr>
                          <a:xfrm>
                            <a:off x="546265" y="0"/>
                            <a:ext cx="558140" cy="391885"/>
                          </a:xfrm>
                          <a:prstGeom prst="rect">
                            <a:avLst/>
                          </a:prstGeom>
                          <a:noFill/>
                          <a:ln w="6350">
                            <a:noFill/>
                          </a:ln>
                        </wps:spPr>
                        <wps:txbx>
                          <w:txbxContent>
                            <w:p w14:paraId="05342B38" w14:textId="77777777" w:rsidR="00230AB9" w:rsidRPr="00E347B7" w:rsidRDefault="00230AB9" w:rsidP="00D740DC">
                              <w:pPr>
                                <w:rPr>
                                  <w:b w:val="0"/>
                                  <w:i/>
                                  <w:sz w:val="36"/>
                                  <w:szCs w:val="36"/>
                                </w:rPr>
                              </w:pPr>
                              <w:r>
                                <w:rPr>
                                  <w:rFonts w:cs="Times New Roman"/>
                                  <w:i/>
                                  <w:sz w:val="36"/>
                                  <w:szCs w:val="36"/>
                                </w:rPr>
                                <w:t>2c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205233" id="Group 2175" o:spid="_x0000_s1170" style="position:absolute;left:0;text-align:left;margin-left:111.25pt;margin-top:1.35pt;width:246.85pt;height:252.45pt;z-index:252334080" coordsize="31350,32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">
                <v:group id="Group 2174" o:spid="_x0000_s1171" style="position:absolute;top:118;width:31350;height:31945" coordsize="31350,31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">
                  <v:rect id="Rectangle 2103" o:spid="_x0000_s1172" style="position:absolute;left:11460;top:11340;width:7384;height:7553;rotation:29642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" fillcolor="#d9d9d9" strokecolor="#d9d9d9" strokeweight="2pt"/>
                  <v:line id="Straight Connector 2138" o:spid="_x0000_s1173" style="position:absolute;flip:x;visibility:visible;mso-wrap-style:square" from="15081,0" to="15319,3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" strokeweight="1.5pt"/>
                  <v:line id="Straight Connector 2148" o:spid="_x0000_s1174" style="position:absolute;visibility:visible;mso-wrap-style:square" from="0,15081" to="31345,15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" strokeweight="1.5pt"/>
                  <v:line id="Straight Connector 2149" o:spid="_x0000_s1175" style="position:absolute;flip:y;visibility:visible;mso-wrap-style:square" from="9856,8312" to="9975,15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">
                    <v:stroke dashstyle="dash"/>
                  </v:line>
                  <v:line id="Straight Connector 2160" o:spid="_x0000_s1176" style="position:absolute;flip:y;visibility:visible;mso-wrap-style:square" from="20425,8193" to="20431,15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">
                    <v:stroke dashstyle="dash"/>
                  </v:line>
                  <v:shape id="Straight Arrow Connector 2162" o:spid="_x0000_s1177" type="#_x0000_t32" style="position:absolute;left:9975;top:8312;width:10455;height:1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" strokeweight="1.5pt">
                    <v:stroke startarrow="classic" startarrowwidth="wide" startarrowlength="long" endarrow="classic" endarrowwidth="wide" endarrowlength="long"/>
                  </v:shape>
                  <v:line id="Straight Connector 2163" o:spid="_x0000_s1178" style="position:absolute;flip:y;visibility:visible;mso-wrap-style:square" from="0,1068" to="0,15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" strokeweight="1.25pt">
                    <v:stroke dashstyle="dash"/>
                  </v:line>
                  <v:line id="Straight Connector 2169" o:spid="_x0000_s1179" style="position:absolute;flip:y;visibility:visible;mso-wrap-style:square" from="31350,1187" to="31350,15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">
                    <v:stroke dashstyle="dash"/>
                  </v:line>
                  <v:shape id="Straight Arrow Connector 2171" o:spid="_x0000_s1180" type="#_x0000_t32" style="position:absolute;left:118;top:3562;width:31232;height:3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" strokeweight="1.5pt">
                    <v:stroke startarrow="classic" startarrowwidth="wide" startarrowlength="long" endarrow="classic" endarrowwidth="wide" endarrowlength="long"/>
                  </v:shape>
                </v:group>
                <v:shape id="Text Box 2172" o:spid="_x0000_s1181" type="#_x0000_t202" style="position:absolute;left:15912;top:5462;width:4038;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" filled="f" stroked="f" strokeweight=".5pt">
                  <v:textbox>
                    <w:txbxContent>
                      <w:p w14:paraId="2A9B5E3E" w14:textId="77777777" w:rsidR="00230AB9" w:rsidRPr="00E347B7" w:rsidRDefault="00230AB9" w:rsidP="00D740DC">
                        <w:pPr>
                          <w:rPr>
                            <w:b w:val="0"/>
                            <w:i/>
                            <w:sz w:val="36"/>
                            <w:szCs w:val="36"/>
                          </w:rPr>
                        </w:pPr>
                        <w:r w:rsidRPr="00E347B7">
                          <w:rPr>
                            <w:rFonts w:cs="Times New Roman"/>
                            <w:i/>
                            <w:sz w:val="36"/>
                            <w:szCs w:val="36"/>
                          </w:rPr>
                          <w:t>ɑ</w:t>
                        </w:r>
                      </w:p>
                    </w:txbxContent>
                  </v:textbox>
                </v:shape>
                <v:shape id="Text Box 2173" o:spid="_x0000_s1182" type="#_x0000_t202" style="position:absolute;left:5462;width:5582;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" filled="f" stroked="f" strokeweight=".5pt">
                  <v:textbox>
                    <w:txbxContent>
                      <w:p w14:paraId="05342B38" w14:textId="77777777" w:rsidR="00230AB9" w:rsidRPr="00E347B7" w:rsidRDefault="00230AB9" w:rsidP="00D740DC">
                        <w:pPr>
                          <w:rPr>
                            <w:b w:val="0"/>
                            <w:i/>
                            <w:sz w:val="36"/>
                            <w:szCs w:val="36"/>
                          </w:rPr>
                        </w:pPr>
                        <w:r>
                          <w:rPr>
                            <w:rFonts w:cs="Times New Roman"/>
                            <w:i/>
                            <w:sz w:val="36"/>
                            <w:szCs w:val="36"/>
                          </w:rPr>
                          <w:t>2c</w:t>
                        </w:r>
                      </w:p>
                    </w:txbxContent>
                  </v:textbox>
                </v:shape>
              </v:group>
            </w:pict>
          </mc:Fallback>
        </mc:AlternateContent>
      </w:r>
    </w:p>
    <w:p w14:paraId="23278A9E" w14:textId="77777777" w:rsidR="00D740DC" w:rsidRPr="000E2377" w:rsidRDefault="00D740DC" w:rsidP="00D740DC">
      <w:pPr>
        <w:spacing w:line="360" w:lineRule="auto"/>
        <w:jc w:val="both"/>
        <w:rPr>
          <w:rFonts w:eastAsiaTheme="minorEastAsia" w:cs="Times New Roman"/>
          <w:b w:val="0"/>
          <w:szCs w:val="24"/>
        </w:rPr>
      </w:pPr>
      <w:r w:rsidRPr="000E2377">
        <w:rPr>
          <w:noProof/>
          <w:lang w:eastAsia="en-MY"/>
        </w:rPr>
        <mc:AlternateContent>
          <mc:Choice Requires="wps">
            <w:drawing>
              <wp:anchor distT="0" distB="0" distL="114300" distR="114300" simplePos="0" relativeHeight="252336128" behindDoc="0" locked="0" layoutInCell="1" allowOverlap="1" wp14:anchorId="6D080EFD" wp14:editId="6933FE89">
                <wp:simplePos x="0" y="0"/>
                <wp:positionH relativeFrom="column">
                  <wp:posOffset>3799490</wp:posOffset>
                </wp:positionH>
                <wp:positionV relativeFrom="paragraph">
                  <wp:posOffset>65448</wp:posOffset>
                </wp:positionV>
                <wp:extent cx="403749" cy="332486"/>
                <wp:effectExtent l="0" t="0" r="0" b="0"/>
                <wp:wrapNone/>
                <wp:docPr id="2220" name="Text Box 2220"/>
                <wp:cNvGraphicFramePr/>
                <a:graphic xmlns:a="http://schemas.openxmlformats.org/drawingml/2006/main">
                  <a:graphicData uri="http://schemas.microsoft.com/office/word/2010/wordprocessingShape">
                    <wps:wsp>
                      <wps:cNvSpPr txBox="1"/>
                      <wps:spPr>
                        <a:xfrm>
                          <a:off x="0" y="0"/>
                          <a:ext cx="403749" cy="332486"/>
                        </a:xfrm>
                        <a:prstGeom prst="rect">
                          <a:avLst/>
                        </a:prstGeom>
                        <a:noFill/>
                        <a:ln w="6350">
                          <a:noFill/>
                        </a:ln>
                      </wps:spPr>
                      <wps:txbx>
                        <w:txbxContent>
                          <w:p w14:paraId="44728B40" w14:textId="77777777" w:rsidR="00230AB9" w:rsidRPr="00762F08" w:rsidRDefault="00230AB9" w:rsidP="00D740DC">
                            <w:pPr>
                              <w:rPr>
                                <w:i/>
                                <w:sz w:val="36"/>
                                <w:szCs w:val="36"/>
                              </w:rPr>
                            </w:pPr>
                            <w:r w:rsidRPr="00762F08">
                              <w:rPr>
                                <w:i/>
                                <w:sz w:val="36"/>
                                <w:szCs w:val="3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080EFD" id="Text Box 2220" o:spid="_x0000_s1183" type="#_x0000_t202" style="position:absolute;left:0;text-align:left;margin-left:299.15pt;margin-top:5.15pt;width:31.8pt;height:26.2pt;z-index:25233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" filled="f" stroked="f" strokeweight=".5pt">
                <v:textbox>
                  <w:txbxContent>
                    <w:p w14:paraId="44728B40" w14:textId="77777777" w:rsidR="00230AB9" w:rsidRPr="00762F08" w:rsidRDefault="00230AB9" w:rsidP="00D740DC">
                      <w:pPr>
                        <w:rPr>
                          <w:i/>
                          <w:sz w:val="36"/>
                          <w:szCs w:val="36"/>
                        </w:rPr>
                      </w:pPr>
                      <w:r w:rsidRPr="00762F08">
                        <w:rPr>
                          <w:i/>
                          <w:sz w:val="36"/>
                          <w:szCs w:val="36"/>
                        </w:rPr>
                        <w:t>c</w:t>
                      </w:r>
                    </w:p>
                  </w:txbxContent>
                </v:textbox>
              </v:shape>
            </w:pict>
          </mc:Fallback>
        </mc:AlternateContent>
      </w:r>
      <w:r w:rsidRPr="000E2377">
        <w:rPr>
          <w:rFonts w:eastAsiaTheme="minorEastAsia" w:cs="Times New Roman"/>
          <w:b w:val="0"/>
          <w:noProof/>
          <w:szCs w:val="24"/>
          <w:lang w:eastAsia="en-MY"/>
        </w:rPr>
        <mc:AlternateContent>
          <mc:Choice Requires="wps">
            <w:drawing>
              <wp:anchor distT="0" distB="0" distL="114300" distR="114300" simplePos="0" relativeHeight="252335104" behindDoc="0" locked="0" layoutInCell="1" allowOverlap="1" wp14:anchorId="0AB8CD14" wp14:editId="6EA01CAE">
                <wp:simplePos x="0" y="0"/>
                <wp:positionH relativeFrom="column">
                  <wp:posOffset>2935004</wp:posOffset>
                </wp:positionH>
                <wp:positionV relativeFrom="paragraph">
                  <wp:posOffset>177226</wp:posOffset>
                </wp:positionV>
                <wp:extent cx="1603122" cy="21332"/>
                <wp:effectExtent l="19050" t="76200" r="92710" b="93345"/>
                <wp:wrapNone/>
                <wp:docPr id="2219" name="Straight Arrow Connector 2219"/>
                <wp:cNvGraphicFramePr/>
                <a:graphic xmlns:a="http://schemas.openxmlformats.org/drawingml/2006/main">
                  <a:graphicData uri="http://schemas.microsoft.com/office/word/2010/wordprocessingShape">
                    <wps:wsp>
                      <wps:cNvCnPr/>
                      <wps:spPr>
                        <a:xfrm>
                          <a:off x="0" y="0"/>
                          <a:ext cx="1603122" cy="21332"/>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94DBE9C" id="Straight Arrow Connector 2219" o:spid="_x0000_s1026" type="#_x0000_t32" style="position:absolute;margin-left:231.1pt;margin-top:13.95pt;width:126.25pt;height:1.7pt;z-index:25233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" strokecolor="black [3040]">
                <v:stroke startarrow="block" endarrow="block"/>
              </v:shape>
            </w:pict>
          </mc:Fallback>
        </mc:AlternateContent>
      </w:r>
    </w:p>
    <w:p w14:paraId="3EFD857F" w14:textId="77777777" w:rsidR="00D740DC" w:rsidRPr="000E2377" w:rsidRDefault="00D740DC" w:rsidP="00D740DC">
      <w:pPr>
        <w:spacing w:line="360" w:lineRule="auto"/>
        <w:jc w:val="both"/>
        <w:rPr>
          <w:rFonts w:cs="Times New Roman"/>
          <w:b w:val="0"/>
          <w:szCs w:val="24"/>
        </w:rPr>
      </w:pPr>
    </w:p>
    <w:p w14:paraId="1EF73886" w14:textId="77777777" w:rsidR="00D740DC" w:rsidRPr="000E2377" w:rsidRDefault="00D740DC" w:rsidP="00D740DC">
      <w:pPr>
        <w:spacing w:line="360" w:lineRule="auto"/>
        <w:jc w:val="both"/>
        <w:rPr>
          <w:rFonts w:cs="Times New Roman"/>
          <w:b w:val="0"/>
          <w:szCs w:val="24"/>
        </w:rPr>
      </w:pPr>
    </w:p>
    <w:p w14:paraId="0D4028ED" w14:textId="77777777" w:rsidR="00D740DC" w:rsidRPr="000E2377" w:rsidRDefault="00D740DC" w:rsidP="00D740DC">
      <w:pPr>
        <w:spacing w:line="360" w:lineRule="auto"/>
        <w:jc w:val="both"/>
        <w:rPr>
          <w:rFonts w:cs="Times New Roman"/>
          <w:b w:val="0"/>
          <w:szCs w:val="24"/>
        </w:rPr>
      </w:pPr>
    </w:p>
    <w:p w14:paraId="716EC112" w14:textId="77777777" w:rsidR="00D740DC" w:rsidRPr="000E2377" w:rsidRDefault="00D740DC" w:rsidP="00D740DC">
      <w:pPr>
        <w:spacing w:line="360" w:lineRule="auto"/>
        <w:jc w:val="both"/>
        <w:rPr>
          <w:rFonts w:cs="Times New Roman"/>
          <w:b w:val="0"/>
          <w:szCs w:val="24"/>
        </w:rPr>
      </w:pPr>
    </w:p>
    <w:p w14:paraId="40F1B97D" w14:textId="77777777" w:rsidR="00D740DC" w:rsidRPr="000E2377" w:rsidRDefault="00D740DC" w:rsidP="00D740DC">
      <w:pPr>
        <w:spacing w:line="360" w:lineRule="auto"/>
        <w:jc w:val="both"/>
        <w:rPr>
          <w:rFonts w:cs="Times New Roman"/>
          <w:b w:val="0"/>
          <w:szCs w:val="24"/>
        </w:rPr>
      </w:pPr>
    </w:p>
    <w:p w14:paraId="1465C442" w14:textId="77777777" w:rsidR="00D740DC" w:rsidRPr="000E2377" w:rsidRDefault="00D740DC" w:rsidP="00D740DC">
      <w:pPr>
        <w:spacing w:line="360" w:lineRule="auto"/>
        <w:jc w:val="both"/>
        <w:rPr>
          <w:rFonts w:cs="Times New Roman"/>
          <w:b w:val="0"/>
          <w:szCs w:val="24"/>
        </w:rPr>
      </w:pPr>
    </w:p>
    <w:p w14:paraId="1F26D545" w14:textId="77777777" w:rsidR="00D740DC" w:rsidRPr="000E2377" w:rsidRDefault="00D740DC" w:rsidP="00D740DC">
      <w:pPr>
        <w:rPr>
          <w:rFonts w:cs="Times New Roman"/>
          <w:szCs w:val="24"/>
        </w:rPr>
      </w:pPr>
    </w:p>
    <w:p w14:paraId="2FD081DF" w14:textId="77777777" w:rsidR="00D740DC" w:rsidRPr="000E2377" w:rsidRDefault="00D740DC" w:rsidP="00D740DC">
      <w:pPr>
        <w:pStyle w:val="Caption"/>
        <w:rPr>
          <w:lang w:eastAsia="tr-TR"/>
        </w:rPr>
      </w:pPr>
      <w:r w:rsidRPr="000E2377">
        <w:rPr>
          <w:szCs w:val="24"/>
        </w:rPr>
        <w:tab/>
      </w:r>
      <w:bookmarkStart w:id="624" w:name="_Hlk515394197"/>
      <w:bookmarkStart w:id="625" w:name="_Toc521420467"/>
      <w:bookmarkStart w:id="626" w:name="_Toc525223201"/>
      <w:bookmarkStart w:id="627" w:name="_Toc525528348"/>
      <w:bookmarkStart w:id="628" w:name="_Toc525706363"/>
      <w:r w:rsidRPr="000E2377">
        <w:t xml:space="preserve">Figure </w:t>
      </w:r>
      <w:r>
        <w:t>3</w:t>
      </w:r>
      <w:r w:rsidRPr="000E2377">
        <w:t>.</w:t>
      </w:r>
      <w:r>
        <w:t>15</w:t>
      </w:r>
      <w:r w:rsidRPr="000E2377">
        <w:t xml:space="preserve">: </w:t>
      </w:r>
      <w:r w:rsidRPr="000E2377">
        <w:rPr>
          <w:szCs w:val="24"/>
        </w:rPr>
        <w:t xml:space="preserve">Schematic </w:t>
      </w:r>
      <w:r>
        <w:rPr>
          <w:szCs w:val="24"/>
        </w:rPr>
        <w:t xml:space="preserve">diagram </w:t>
      </w:r>
      <w:r w:rsidRPr="000E2377">
        <w:rPr>
          <w:szCs w:val="24"/>
        </w:rPr>
        <w:t xml:space="preserve">of </w:t>
      </w:r>
      <w:r>
        <w:rPr>
          <w:szCs w:val="24"/>
        </w:rPr>
        <w:t xml:space="preserve">the </w:t>
      </w:r>
      <w:r w:rsidRPr="000E2377">
        <w:rPr>
          <w:szCs w:val="24"/>
        </w:rPr>
        <w:t>indentation for toughness measurement</w:t>
      </w:r>
      <w:bookmarkEnd w:id="624"/>
      <w:bookmarkEnd w:id="625"/>
      <w:bookmarkEnd w:id="626"/>
      <w:bookmarkEnd w:id="627"/>
      <w:bookmarkEnd w:id="628"/>
      <w:r>
        <w:rPr>
          <w:szCs w:val="24"/>
        </w:rPr>
        <w:t>.</w:t>
      </w:r>
    </w:p>
    <w:p w14:paraId="6D131EA0" w14:textId="77777777" w:rsidR="00D740DC" w:rsidRDefault="00D740DC" w:rsidP="00D740DC">
      <w:pPr>
        <w:spacing w:line="360" w:lineRule="auto"/>
        <w:jc w:val="both"/>
        <w:rPr>
          <w:b w:val="0"/>
          <w:lang w:eastAsia="tr-TR"/>
        </w:rPr>
      </w:pPr>
    </w:p>
    <w:p w14:paraId="118ADF6E" w14:textId="77777777" w:rsidR="00D740DC" w:rsidRPr="000E2377" w:rsidRDefault="00D740DC" w:rsidP="00D740DC">
      <w:pPr>
        <w:spacing w:line="360" w:lineRule="auto"/>
        <w:jc w:val="both"/>
        <w:rPr>
          <w:b w:val="0"/>
          <w:lang w:eastAsia="tr-TR"/>
        </w:rPr>
      </w:pPr>
    </w:p>
    <w:p w14:paraId="17AA49D1" w14:textId="77777777" w:rsidR="00D740DC" w:rsidRPr="000E2377" w:rsidRDefault="00D740DC" w:rsidP="00D740DC">
      <w:pPr>
        <w:spacing w:line="360" w:lineRule="auto"/>
        <w:jc w:val="both"/>
        <w:rPr>
          <w:b w:val="0"/>
          <w:lang w:eastAsia="tr-TR"/>
        </w:rPr>
      </w:pPr>
      <w:r w:rsidRPr="000E2377">
        <w:rPr>
          <w:b w:val="0"/>
          <w:lang w:eastAsia="tr-TR"/>
        </w:rPr>
        <w:lastRenderedPageBreak/>
        <w:t xml:space="preserve">Indentation fracture toughness was measured for all samples with measurement </w:t>
      </w:r>
      <w:r>
        <w:rPr>
          <w:b w:val="0"/>
          <w:lang w:eastAsia="tr-TR"/>
        </w:rPr>
        <w:t>of the indent being made immediately</w:t>
      </w:r>
      <w:r w:rsidRPr="000E2377">
        <w:rPr>
          <w:b w:val="0"/>
          <w:lang w:eastAsia="tr-TR"/>
        </w:rPr>
        <w:t xml:space="preserve"> after indentation. The load used were vari</w:t>
      </w:r>
      <w:r>
        <w:rPr>
          <w:b w:val="0"/>
          <w:lang w:eastAsia="tr-TR"/>
        </w:rPr>
        <w:t>ed</w:t>
      </w:r>
      <w:r w:rsidRPr="000E2377">
        <w:rPr>
          <w:b w:val="0"/>
          <w:lang w:eastAsia="tr-TR"/>
        </w:rPr>
        <w:t xml:space="preserve"> from 0.3, 0.5, 1, 2, 2.5 </w:t>
      </w:r>
      <w:r>
        <w:rPr>
          <w:b w:val="0"/>
          <w:lang w:eastAsia="tr-TR"/>
        </w:rPr>
        <w:t>to</w:t>
      </w:r>
      <w:r w:rsidRPr="000E2377">
        <w:rPr>
          <w:b w:val="0"/>
          <w:lang w:eastAsia="tr-TR"/>
        </w:rPr>
        <w:t xml:space="preserve"> 5</w:t>
      </w:r>
      <w:r>
        <w:rPr>
          <w:b w:val="0"/>
          <w:lang w:eastAsia="tr-TR"/>
        </w:rPr>
        <w:t xml:space="preserve"> </w:t>
      </w:r>
      <w:r w:rsidRPr="000E2377">
        <w:rPr>
          <w:b w:val="0"/>
          <w:lang w:eastAsia="tr-TR"/>
        </w:rPr>
        <w:t xml:space="preserve">kg. </w:t>
      </w:r>
      <w:r>
        <w:rPr>
          <w:b w:val="0"/>
          <w:lang w:eastAsia="tr-TR"/>
        </w:rPr>
        <w:t>Immediate</w:t>
      </w:r>
      <w:r w:rsidRPr="000E2377">
        <w:rPr>
          <w:b w:val="0"/>
          <w:lang w:eastAsia="tr-TR"/>
        </w:rPr>
        <w:t xml:space="preserve"> measurement </w:t>
      </w:r>
      <w:r>
        <w:rPr>
          <w:b w:val="0"/>
          <w:lang w:eastAsia="tr-TR"/>
        </w:rPr>
        <w:t>was used to limit</w:t>
      </w:r>
      <w:r w:rsidRPr="000E2377">
        <w:rPr>
          <w:b w:val="0"/>
          <w:lang w:eastAsia="tr-TR"/>
        </w:rPr>
        <w:t xml:space="preserve"> </w:t>
      </w:r>
      <w:r>
        <w:rPr>
          <w:b w:val="0"/>
          <w:lang w:eastAsia="tr-TR"/>
        </w:rPr>
        <w:t xml:space="preserve">the effects of </w:t>
      </w:r>
      <w:r w:rsidRPr="000E2377">
        <w:rPr>
          <w:b w:val="0"/>
          <w:lang w:eastAsia="tr-TR"/>
        </w:rPr>
        <w:t>stress corrosion cracking</w:t>
      </w:r>
      <w:r>
        <w:rPr>
          <w:b w:val="0"/>
          <w:lang w:eastAsia="tr-TR"/>
        </w:rPr>
        <w:t xml:space="preserve"> on the results</w:t>
      </w:r>
      <w:r w:rsidRPr="000E2377">
        <w:rPr>
          <w:b w:val="0"/>
          <w:lang w:eastAsia="tr-TR"/>
        </w:rPr>
        <w:t>. The toughness was calculated using:</w:t>
      </w:r>
    </w:p>
    <w:p w14:paraId="7ADE9C02" w14:textId="77777777" w:rsidR="00D740DC" w:rsidRPr="000E2377" w:rsidRDefault="00D740DC" w:rsidP="00D740DC">
      <w:pPr>
        <w:spacing w:line="360" w:lineRule="auto"/>
        <w:jc w:val="both"/>
        <w:rPr>
          <w:rFonts w:ascii="Cambria Math" w:eastAsia="Calibri" w:hAnsi="Cambria Math" w:cs="Times New Roman"/>
          <w:color w:val="000000" w:themeColor="text1"/>
          <w:sz w:val="40"/>
          <w:szCs w:val="40"/>
          <w:lang w:eastAsia="tr-TR"/>
        </w:rPr>
      </w:pPr>
      <w:r w:rsidRPr="000E2377">
        <w:rPr>
          <w:rFonts w:ascii="Cambria Math" w:eastAsia="Calibri" w:hAnsi="Cambria Math" w:cs="Times New Roman"/>
          <w:color w:val="000000" w:themeColor="text1"/>
          <w:position w:val="-24"/>
          <w:sz w:val="40"/>
          <w:szCs w:val="40"/>
          <w:lang w:eastAsia="tr-TR"/>
        </w:rPr>
        <w:object w:dxaOrig="1140" w:dyaOrig="620" w14:anchorId="06D03FA8">
          <v:shape id="_x0000_i1052" type="#_x0000_t75" style="width:65.25pt;height:28.5pt" o:ole="">
            <v:imagedata r:id="rId100" o:title=""/>
          </v:shape>
          <o:OLEObject Type="Embed" ProgID="Equation.3" ShapeID="_x0000_i1052" DrawAspect="Content" ObjectID="_1626192825" r:id="rId101"/>
        </w:object>
      </w:r>
      <w:r w:rsidRPr="000E2377">
        <w:rPr>
          <w:rFonts w:eastAsia="Calibri" w:cs="Times New Roman"/>
          <w:b w:val="0"/>
          <w:szCs w:val="24"/>
          <w:lang w:eastAsia="tr-TR"/>
        </w:rPr>
        <w:tab/>
      </w:r>
      <w:r w:rsidRPr="000E2377">
        <w:rPr>
          <w:rFonts w:eastAsia="Calibri" w:cs="Times New Roman"/>
          <w:b w:val="0"/>
          <w:szCs w:val="24"/>
          <w:lang w:eastAsia="tr-TR"/>
        </w:rPr>
        <w:tab/>
      </w:r>
      <w:r w:rsidRPr="000E2377">
        <w:rPr>
          <w:rFonts w:eastAsia="Calibri" w:cs="Times New Roman"/>
          <w:b w:val="0"/>
          <w:szCs w:val="24"/>
          <w:lang w:eastAsia="tr-TR"/>
        </w:rPr>
        <w:tab/>
      </w:r>
      <w:r w:rsidRPr="000E2377">
        <w:rPr>
          <w:rFonts w:eastAsia="Calibri" w:cs="Times New Roman"/>
          <w:b w:val="0"/>
          <w:szCs w:val="24"/>
          <w:lang w:eastAsia="tr-TR"/>
        </w:rPr>
        <w:tab/>
      </w:r>
      <w:r w:rsidRPr="000E2377">
        <w:rPr>
          <w:rFonts w:eastAsia="Calibri" w:cs="Times New Roman"/>
          <w:b w:val="0"/>
          <w:szCs w:val="24"/>
          <w:lang w:eastAsia="tr-TR"/>
        </w:rPr>
        <w:tab/>
      </w:r>
      <w:r w:rsidRPr="000E2377">
        <w:rPr>
          <w:rFonts w:eastAsia="Calibri" w:cs="Times New Roman"/>
          <w:b w:val="0"/>
          <w:szCs w:val="24"/>
          <w:lang w:eastAsia="tr-TR"/>
        </w:rPr>
        <w:tab/>
      </w:r>
      <w:r w:rsidRPr="000E2377">
        <w:rPr>
          <w:rFonts w:eastAsia="Calibri" w:cs="Times New Roman"/>
          <w:b w:val="0"/>
          <w:szCs w:val="24"/>
          <w:lang w:eastAsia="tr-TR"/>
        </w:rPr>
        <w:tab/>
      </w:r>
      <w:r w:rsidRPr="000E2377">
        <w:rPr>
          <w:rFonts w:eastAsia="Calibri" w:cs="Times New Roman"/>
          <w:b w:val="0"/>
          <w:szCs w:val="24"/>
          <w:lang w:eastAsia="tr-TR"/>
        </w:rPr>
        <w:tab/>
        <w:t xml:space="preserve">                      Equation 3.</w:t>
      </w:r>
      <w:r>
        <w:rPr>
          <w:rFonts w:eastAsia="Calibri" w:cs="Times New Roman"/>
          <w:b w:val="0"/>
          <w:szCs w:val="24"/>
          <w:lang w:eastAsia="tr-TR"/>
        </w:rPr>
        <w:t>9</w:t>
      </w:r>
    </w:p>
    <w:p w14:paraId="4913E4B3" w14:textId="77777777" w:rsidR="00D740DC" w:rsidRPr="000E2377" w:rsidRDefault="00D740DC" w:rsidP="00D740DC">
      <w:pPr>
        <w:spacing w:line="360" w:lineRule="auto"/>
        <w:jc w:val="both"/>
        <w:rPr>
          <w:b w:val="0"/>
          <w:lang w:eastAsia="tr-TR"/>
        </w:rPr>
      </w:pPr>
      <w:r w:rsidRPr="000E2377">
        <w:rPr>
          <w:rFonts w:eastAsia="Calibri" w:cs="Times New Roman"/>
          <w:b w:val="0"/>
          <w:szCs w:val="24"/>
          <w:lang w:eastAsia="tr-TR"/>
        </w:rPr>
        <w:t xml:space="preserve"> where P is the indentation load, </w:t>
      </w:r>
      <w:r w:rsidRPr="000E2377">
        <w:rPr>
          <w:rFonts w:eastAsia="Calibri" w:cs="Times New Roman"/>
          <w:b w:val="0"/>
          <w:i/>
          <w:szCs w:val="24"/>
          <w:lang w:eastAsia="tr-TR"/>
        </w:rPr>
        <w:t xml:space="preserve"> χ </w:t>
      </w:r>
      <w:r w:rsidRPr="000E2377">
        <w:rPr>
          <w:rFonts w:eastAsia="Calibri" w:cs="Times New Roman"/>
          <w:b w:val="0"/>
          <w:szCs w:val="24"/>
          <w:lang w:eastAsia="tr-TR"/>
        </w:rPr>
        <w:t xml:space="preserve">is a constant equal to 0.0515 </w:t>
      </w:r>
      <w:r w:rsidRPr="000E2377">
        <w:rPr>
          <w:rFonts w:eastAsia="Calibri" w:cs="Times New Roman"/>
          <w:b w:val="0"/>
          <w:szCs w:val="24"/>
          <w:lang w:eastAsia="tr-TR"/>
        </w:rPr>
        <w:fldChar w:fldCharType="begin" w:fldLock="1"/>
      </w:r>
      <w:r w:rsidRPr="000E2377">
        <w:rPr>
          <w:rFonts w:eastAsia="Calibri" w:cs="Times New Roman"/>
          <w:b w:val="0"/>
          <w:szCs w:val="24"/>
          <w:lang w:eastAsia="tr-TR"/>
        </w:rPr>
        <w:instrText>ADDIN CSL_CITATION { "citationItems" : [ { "id" : "ITEM-1", "itemData" : { "author" : [ { "dropping-particle" : "", "family" : "Lawn, B R; Fuller", "given" : "E.R.", "non-dropping-particle" : "", "parse-names" : false, "suffix" : "" } ], "container-title" : "Journal of Materials Science", "id" : "ITEM-1", "issued" : { "date-parts" : [ [ "1975" ] ] }, "page" : "2016-2024", "title" : "Equilibrium Penny-Like Indentation Fracture crack in indentation fracture", "type" : "article-journal", "volume" : "10" }, "uris" : [ "http://www.mendeley.com/documents/?uuid=0ca3d1bb-880f-4e11-938e-f9001989eea8" ] } ], "mendeley" : { "formattedCitation" : "(Lawn, B R; Fuller, 1975)", "manualFormatting" : "(Lawn &amp; Fuller, 1975)", "plainTextFormattedCitation" : "(Lawn, B R; Fuller, 1975)", "previouslyFormattedCitation" : "(Lawn, B R; Fuller, 1975)" }, "properties" : { "noteIndex" : 51 }, "schema" : "https://github.com/citation-style-language/schema/raw/master/csl-citation.json" }</w:instrText>
      </w:r>
      <w:r w:rsidRPr="000E2377">
        <w:rPr>
          <w:rFonts w:eastAsia="Calibri" w:cs="Times New Roman"/>
          <w:b w:val="0"/>
          <w:szCs w:val="24"/>
          <w:lang w:eastAsia="tr-TR"/>
        </w:rPr>
        <w:fldChar w:fldCharType="separate"/>
      </w:r>
      <w:r w:rsidRPr="000E2377">
        <w:rPr>
          <w:rFonts w:eastAsia="Calibri" w:cs="Times New Roman"/>
          <w:b w:val="0"/>
          <w:noProof/>
          <w:szCs w:val="24"/>
          <w:lang w:eastAsia="tr-TR"/>
        </w:rPr>
        <w:t>(Lawn &amp; Fuller, 1975)</w:t>
      </w:r>
      <w:r w:rsidRPr="000E2377">
        <w:rPr>
          <w:rFonts w:eastAsia="Calibri" w:cs="Times New Roman"/>
          <w:b w:val="0"/>
          <w:szCs w:val="24"/>
          <w:lang w:eastAsia="tr-TR"/>
        </w:rPr>
        <w:fldChar w:fldCharType="end"/>
      </w:r>
      <w:r w:rsidRPr="000E2377">
        <w:rPr>
          <w:rFonts w:eastAsia="Calibri" w:cs="Times New Roman"/>
          <w:b w:val="0"/>
          <w:szCs w:val="24"/>
          <w:lang w:eastAsia="tr-TR"/>
        </w:rPr>
        <w:t xml:space="preserve"> and </w:t>
      </w:r>
      <w:r w:rsidRPr="000E2377">
        <w:rPr>
          <w:b w:val="0"/>
          <w:lang w:eastAsia="tr-TR"/>
        </w:rPr>
        <w:t>c is the half crack length as shown in Figure 3.1</w:t>
      </w:r>
      <w:r>
        <w:rPr>
          <w:b w:val="0"/>
          <w:lang w:eastAsia="tr-TR"/>
        </w:rPr>
        <w:t>5</w:t>
      </w:r>
      <w:r w:rsidRPr="000E2377">
        <w:rPr>
          <w:b w:val="0"/>
          <w:lang w:eastAsia="tr-TR"/>
        </w:rPr>
        <w:t>.</w:t>
      </w:r>
    </w:p>
    <w:p w14:paraId="1B397721" w14:textId="77777777" w:rsidR="00D740DC" w:rsidRPr="000E2377" w:rsidRDefault="00D740DC" w:rsidP="00D740DC">
      <w:pPr>
        <w:spacing w:line="360" w:lineRule="auto"/>
        <w:jc w:val="both"/>
        <w:rPr>
          <w:b w:val="0"/>
          <w:lang w:eastAsia="tr-TR"/>
        </w:rPr>
      </w:pPr>
      <w:r w:rsidRPr="000E2377">
        <w:rPr>
          <w:b w:val="0"/>
          <w:lang w:eastAsia="tr-TR"/>
        </w:rPr>
        <w:t>Brittleness is the ratio of hardness (</w:t>
      </w:r>
      <w:r>
        <w:rPr>
          <w:b w:val="0"/>
          <w:lang w:eastAsia="tr-TR"/>
        </w:rPr>
        <w:t>measured</w:t>
      </w:r>
      <w:r w:rsidRPr="000E2377">
        <w:rPr>
          <w:b w:val="0"/>
          <w:lang w:eastAsia="tr-TR"/>
        </w:rPr>
        <w:t xml:space="preserve"> at 1kg</w:t>
      </w:r>
      <w:r>
        <w:rPr>
          <w:b w:val="0"/>
          <w:lang w:eastAsia="tr-TR"/>
        </w:rPr>
        <w:t>f load</w:t>
      </w:r>
      <w:r w:rsidRPr="000E2377">
        <w:rPr>
          <w:b w:val="0"/>
          <w:lang w:eastAsia="tr-TR"/>
        </w:rPr>
        <w:t>) to fracture toughness:</w:t>
      </w:r>
    </w:p>
    <w:p w14:paraId="069BE723" w14:textId="77777777" w:rsidR="00D740DC" w:rsidRDefault="00D740DC" w:rsidP="00D740DC">
      <w:pPr>
        <w:spacing w:line="360" w:lineRule="auto"/>
        <w:jc w:val="both"/>
        <w:rPr>
          <w:rFonts w:eastAsia="Calibri" w:cs="Times New Roman"/>
          <w:b w:val="0"/>
          <w:szCs w:val="24"/>
          <w:lang w:eastAsia="tr-TR"/>
        </w:rPr>
      </w:pPr>
      <w:r w:rsidRPr="000E2377">
        <w:rPr>
          <w:rFonts w:eastAsia="Calibri" w:cs="Times New Roman"/>
          <w:position w:val="-30"/>
          <w:szCs w:val="24"/>
          <w:lang w:val="tr-TR" w:eastAsia="tr-TR"/>
        </w:rPr>
        <w:object w:dxaOrig="859" w:dyaOrig="700" w14:anchorId="7E26CE38">
          <v:shape id="_x0000_i1053" type="#_x0000_t75" style="width:43.5pt;height:36.75pt" o:ole="">
            <v:imagedata r:id="rId102" o:title=""/>
          </v:shape>
          <o:OLEObject Type="Embed" ProgID="Equation.3" ShapeID="_x0000_i1053" DrawAspect="Content" ObjectID="_1626192826" r:id="rId103"/>
        </w:object>
      </w:r>
      <w:r w:rsidRPr="000E2377">
        <w:rPr>
          <w:rFonts w:eastAsia="Calibri" w:cs="Times New Roman"/>
          <w:szCs w:val="24"/>
          <w:lang w:val="tr-TR" w:eastAsia="tr-TR"/>
        </w:rPr>
        <w:tab/>
      </w:r>
      <w:r w:rsidRPr="000E2377">
        <w:rPr>
          <w:rFonts w:eastAsia="Calibri" w:cs="Times New Roman"/>
          <w:szCs w:val="24"/>
          <w:lang w:val="tr-TR" w:eastAsia="tr-TR"/>
        </w:rPr>
        <w:tab/>
      </w:r>
      <w:r w:rsidRPr="000E2377">
        <w:rPr>
          <w:rFonts w:eastAsia="Calibri" w:cs="Times New Roman"/>
          <w:szCs w:val="24"/>
          <w:lang w:val="tr-TR" w:eastAsia="tr-TR"/>
        </w:rPr>
        <w:tab/>
      </w:r>
      <w:r w:rsidRPr="000E2377">
        <w:rPr>
          <w:rFonts w:eastAsia="Calibri" w:cs="Times New Roman"/>
          <w:szCs w:val="24"/>
          <w:lang w:val="tr-TR" w:eastAsia="tr-TR"/>
        </w:rPr>
        <w:tab/>
      </w:r>
      <w:r w:rsidRPr="000E2377">
        <w:rPr>
          <w:rFonts w:eastAsia="Calibri" w:cs="Times New Roman"/>
          <w:szCs w:val="24"/>
          <w:lang w:val="tr-TR" w:eastAsia="tr-TR"/>
        </w:rPr>
        <w:tab/>
      </w:r>
      <w:r w:rsidRPr="000E2377">
        <w:rPr>
          <w:rFonts w:eastAsia="Calibri" w:cs="Times New Roman"/>
          <w:szCs w:val="24"/>
          <w:lang w:val="tr-TR" w:eastAsia="tr-TR"/>
        </w:rPr>
        <w:tab/>
      </w:r>
      <w:r w:rsidRPr="000E2377">
        <w:rPr>
          <w:rFonts w:eastAsia="Calibri" w:cs="Times New Roman"/>
          <w:szCs w:val="24"/>
          <w:lang w:val="tr-TR" w:eastAsia="tr-TR"/>
        </w:rPr>
        <w:tab/>
      </w:r>
      <w:r w:rsidRPr="000E2377">
        <w:rPr>
          <w:rFonts w:eastAsia="Calibri" w:cs="Times New Roman"/>
          <w:szCs w:val="24"/>
          <w:lang w:val="tr-TR" w:eastAsia="tr-TR"/>
        </w:rPr>
        <w:tab/>
      </w:r>
      <w:r w:rsidRPr="000E2377">
        <w:rPr>
          <w:rFonts w:eastAsia="Calibri" w:cs="Times New Roman"/>
          <w:szCs w:val="24"/>
          <w:lang w:val="tr-TR" w:eastAsia="tr-TR"/>
        </w:rPr>
        <w:tab/>
        <w:t xml:space="preserve">        </w:t>
      </w:r>
      <w:r w:rsidRPr="000E2377">
        <w:rPr>
          <w:rFonts w:eastAsia="Calibri" w:cs="Times New Roman"/>
          <w:b w:val="0"/>
          <w:szCs w:val="24"/>
          <w:lang w:eastAsia="tr-TR"/>
        </w:rPr>
        <w:t>Equation 3.</w:t>
      </w:r>
      <w:r>
        <w:rPr>
          <w:rFonts w:eastAsia="Calibri" w:cs="Times New Roman"/>
          <w:b w:val="0"/>
          <w:szCs w:val="24"/>
          <w:lang w:eastAsia="tr-TR"/>
        </w:rPr>
        <w:t>10</w:t>
      </w:r>
    </w:p>
    <w:p w14:paraId="25FEDB65" w14:textId="77777777" w:rsidR="00D740DC" w:rsidRDefault="00D740DC" w:rsidP="00D740DC">
      <w:pPr>
        <w:spacing w:line="360" w:lineRule="auto"/>
        <w:jc w:val="both"/>
        <w:rPr>
          <w:rFonts w:eastAsia="Calibri" w:cs="Times New Roman"/>
          <w:b w:val="0"/>
          <w:szCs w:val="24"/>
          <w:lang w:eastAsia="tr-TR"/>
        </w:rPr>
      </w:pPr>
    </w:p>
    <w:p w14:paraId="3D337594" w14:textId="77777777" w:rsidR="00D740DC" w:rsidRDefault="00D740DC" w:rsidP="00D740DC">
      <w:pPr>
        <w:spacing w:line="360" w:lineRule="auto"/>
        <w:jc w:val="both"/>
        <w:rPr>
          <w:rFonts w:eastAsia="Calibri" w:cs="Times New Roman"/>
          <w:b w:val="0"/>
          <w:szCs w:val="24"/>
          <w:lang w:eastAsia="tr-TR"/>
        </w:rPr>
      </w:pPr>
    </w:p>
    <w:p w14:paraId="7A3277F8" w14:textId="77777777" w:rsidR="00D740DC" w:rsidRDefault="00D740DC" w:rsidP="00D740DC">
      <w:pPr>
        <w:spacing w:line="360" w:lineRule="auto"/>
        <w:jc w:val="both"/>
        <w:rPr>
          <w:rFonts w:eastAsia="Calibri" w:cs="Times New Roman"/>
          <w:b w:val="0"/>
          <w:szCs w:val="24"/>
          <w:lang w:eastAsia="tr-TR"/>
        </w:rPr>
      </w:pPr>
    </w:p>
    <w:p w14:paraId="7D3150B0" w14:textId="77777777" w:rsidR="00D740DC" w:rsidRDefault="00D740DC" w:rsidP="00D740DC">
      <w:pPr>
        <w:spacing w:line="360" w:lineRule="auto"/>
        <w:jc w:val="both"/>
        <w:rPr>
          <w:rFonts w:eastAsia="Calibri" w:cs="Times New Roman"/>
          <w:b w:val="0"/>
          <w:szCs w:val="24"/>
          <w:lang w:eastAsia="tr-TR"/>
        </w:rPr>
      </w:pPr>
    </w:p>
    <w:p w14:paraId="67F169D8" w14:textId="77777777" w:rsidR="00D740DC" w:rsidRDefault="00D740DC" w:rsidP="00D740DC">
      <w:pPr>
        <w:spacing w:line="360" w:lineRule="auto"/>
        <w:jc w:val="both"/>
        <w:rPr>
          <w:rFonts w:eastAsia="Calibri" w:cs="Times New Roman"/>
          <w:b w:val="0"/>
          <w:szCs w:val="24"/>
          <w:lang w:eastAsia="tr-TR"/>
        </w:rPr>
      </w:pPr>
    </w:p>
    <w:p w14:paraId="337671B0" w14:textId="77777777" w:rsidR="00D740DC" w:rsidRDefault="00D740DC" w:rsidP="00D740DC">
      <w:pPr>
        <w:spacing w:line="360" w:lineRule="auto"/>
        <w:jc w:val="both"/>
        <w:rPr>
          <w:rFonts w:eastAsia="Calibri" w:cs="Times New Roman"/>
          <w:b w:val="0"/>
          <w:szCs w:val="24"/>
          <w:lang w:eastAsia="tr-TR"/>
        </w:rPr>
      </w:pPr>
    </w:p>
    <w:p w14:paraId="61F44E31" w14:textId="77777777" w:rsidR="00D740DC" w:rsidRDefault="00D740DC" w:rsidP="00D740DC">
      <w:pPr>
        <w:spacing w:line="360" w:lineRule="auto"/>
        <w:jc w:val="both"/>
        <w:rPr>
          <w:rFonts w:eastAsia="Calibri" w:cs="Times New Roman"/>
          <w:b w:val="0"/>
          <w:szCs w:val="24"/>
          <w:lang w:eastAsia="tr-TR"/>
        </w:rPr>
      </w:pPr>
    </w:p>
    <w:p w14:paraId="7468A529" w14:textId="77777777" w:rsidR="00D740DC" w:rsidRDefault="00D740DC" w:rsidP="00D740DC">
      <w:pPr>
        <w:spacing w:line="360" w:lineRule="auto"/>
        <w:jc w:val="both"/>
        <w:rPr>
          <w:rFonts w:eastAsia="Calibri" w:cs="Times New Roman"/>
          <w:b w:val="0"/>
          <w:szCs w:val="24"/>
          <w:lang w:eastAsia="tr-TR"/>
        </w:rPr>
      </w:pPr>
    </w:p>
    <w:p w14:paraId="6D94FD4B" w14:textId="77777777" w:rsidR="00D740DC" w:rsidRDefault="00D740DC" w:rsidP="00D740DC">
      <w:pPr>
        <w:spacing w:line="360" w:lineRule="auto"/>
        <w:jc w:val="both"/>
        <w:rPr>
          <w:rFonts w:eastAsia="Calibri" w:cs="Times New Roman"/>
          <w:b w:val="0"/>
          <w:szCs w:val="24"/>
          <w:lang w:eastAsia="tr-TR"/>
        </w:rPr>
      </w:pPr>
    </w:p>
    <w:p w14:paraId="07C61991" w14:textId="77777777" w:rsidR="00D740DC" w:rsidRDefault="00D740DC" w:rsidP="00D740DC">
      <w:pPr>
        <w:spacing w:line="360" w:lineRule="auto"/>
        <w:jc w:val="both"/>
        <w:rPr>
          <w:rFonts w:eastAsia="Calibri" w:cs="Times New Roman"/>
          <w:b w:val="0"/>
          <w:szCs w:val="24"/>
          <w:lang w:eastAsia="tr-TR"/>
        </w:rPr>
      </w:pPr>
    </w:p>
    <w:p w14:paraId="55CF71C4" w14:textId="77777777" w:rsidR="00D740DC" w:rsidRPr="000E2377" w:rsidRDefault="00D740DC" w:rsidP="00D740DC">
      <w:pPr>
        <w:pStyle w:val="Heading1"/>
      </w:pPr>
      <w:bookmarkStart w:id="629" w:name="_Toc523402928"/>
      <w:bookmarkStart w:id="630" w:name="_Toc525526439"/>
      <w:bookmarkStart w:id="631" w:name="_Toc525707856"/>
      <w:bookmarkStart w:id="632" w:name="_Toc525742521"/>
      <w:bookmarkStart w:id="633" w:name="_Toc12994965"/>
      <w:r w:rsidRPr="000E2377">
        <w:lastRenderedPageBreak/>
        <w:t>CHAPTER 4</w:t>
      </w:r>
      <w:bookmarkEnd w:id="629"/>
      <w:bookmarkEnd w:id="630"/>
      <w:bookmarkEnd w:id="631"/>
      <w:bookmarkEnd w:id="632"/>
      <w:bookmarkEnd w:id="633"/>
    </w:p>
    <w:p w14:paraId="124C5ED9" w14:textId="77777777" w:rsidR="00D740DC" w:rsidRPr="000E2377" w:rsidRDefault="00D740DC" w:rsidP="00D740DC">
      <w:pPr>
        <w:keepNext/>
        <w:keepLines/>
        <w:spacing w:before="480" w:after="480" w:line="360" w:lineRule="auto"/>
        <w:jc w:val="center"/>
        <w:outlineLvl w:val="1"/>
        <w:rPr>
          <w:rFonts w:eastAsiaTheme="majorEastAsia" w:cstheme="majorBidi"/>
          <w:caps/>
          <w:color w:val="000000" w:themeColor="text1"/>
          <w:szCs w:val="26"/>
        </w:rPr>
      </w:pPr>
      <w:bookmarkStart w:id="634" w:name="_Toc515398733"/>
      <w:bookmarkStart w:id="635" w:name="_Toc523402929"/>
      <w:bookmarkStart w:id="636" w:name="_Toc525526440"/>
      <w:bookmarkStart w:id="637" w:name="_Toc525707857"/>
      <w:bookmarkStart w:id="638" w:name="_Toc525742522"/>
      <w:bookmarkStart w:id="639" w:name="_Toc12994966"/>
      <w:r w:rsidRPr="000E2377">
        <w:rPr>
          <w:rFonts w:eastAsiaTheme="majorEastAsia" w:cstheme="majorBidi"/>
          <w:caps/>
          <w:color w:val="000000" w:themeColor="text1"/>
          <w:szCs w:val="26"/>
        </w:rPr>
        <w:t>Results</w:t>
      </w:r>
      <w:bookmarkEnd w:id="634"/>
      <w:bookmarkEnd w:id="635"/>
      <w:bookmarkEnd w:id="636"/>
      <w:bookmarkEnd w:id="637"/>
      <w:bookmarkEnd w:id="638"/>
      <w:bookmarkEnd w:id="639"/>
    </w:p>
    <w:p w14:paraId="16DF5ADD" w14:textId="77777777" w:rsidR="00D740DC" w:rsidRPr="000E2377" w:rsidRDefault="00D740DC" w:rsidP="00D740DC">
      <w:pPr>
        <w:jc w:val="center"/>
        <w:rPr>
          <w:rFonts w:cs="Times New Roman"/>
          <w:sz w:val="22"/>
        </w:rPr>
      </w:pPr>
    </w:p>
    <w:p w14:paraId="11AD9453" w14:textId="77777777" w:rsidR="00D740DC" w:rsidRPr="000E2377" w:rsidRDefault="00D740DC" w:rsidP="00D740DC">
      <w:pPr>
        <w:keepNext/>
        <w:keepLines/>
        <w:spacing w:before="40" w:after="0" w:line="360" w:lineRule="auto"/>
        <w:outlineLvl w:val="2"/>
        <w:rPr>
          <w:rFonts w:eastAsiaTheme="majorEastAsia" w:cstheme="majorBidi"/>
          <w:color w:val="000000" w:themeColor="text1"/>
          <w:szCs w:val="24"/>
        </w:rPr>
      </w:pPr>
      <w:bookmarkStart w:id="640" w:name="_Toc515398734"/>
      <w:bookmarkStart w:id="641" w:name="_Toc523402930"/>
      <w:bookmarkStart w:id="642" w:name="_Toc525526441"/>
      <w:bookmarkStart w:id="643" w:name="_Toc525707858"/>
      <w:bookmarkStart w:id="644" w:name="_Toc525742523"/>
      <w:bookmarkStart w:id="645" w:name="_Toc12994967"/>
      <w:r w:rsidRPr="000E2377">
        <w:rPr>
          <w:rFonts w:eastAsiaTheme="majorEastAsia" w:cstheme="majorBidi"/>
          <w:color w:val="000000" w:themeColor="text1"/>
          <w:szCs w:val="24"/>
        </w:rPr>
        <w:t>4.1 Introduction</w:t>
      </w:r>
      <w:bookmarkEnd w:id="640"/>
      <w:bookmarkEnd w:id="641"/>
      <w:bookmarkEnd w:id="642"/>
      <w:bookmarkEnd w:id="643"/>
      <w:bookmarkEnd w:id="644"/>
      <w:bookmarkEnd w:id="645"/>
    </w:p>
    <w:p w14:paraId="4B1FE4EE" w14:textId="77777777" w:rsidR="00D740DC" w:rsidRPr="0002269E" w:rsidRDefault="00D740DC" w:rsidP="00D740DC">
      <w:pPr>
        <w:spacing w:before="200" w:line="360" w:lineRule="auto"/>
        <w:jc w:val="both"/>
        <w:rPr>
          <w:rFonts w:asciiTheme="majorBidi" w:hAnsiTheme="majorBidi" w:cstheme="majorBidi"/>
          <w:b w:val="0"/>
          <w:szCs w:val="24"/>
        </w:rPr>
      </w:pPr>
      <w:r w:rsidRPr="000E2377">
        <w:rPr>
          <w:rFonts w:eastAsia="Calibri" w:cs="Times New Roman"/>
          <w:b w:val="0"/>
          <w:szCs w:val="24"/>
          <w:lang w:val="en-GB" w:eastAsia="tr-TR"/>
        </w:rPr>
        <w:t xml:space="preserve">Ten different glass series (see Table 3.1 and Figure 4.1) have been experimentally investigated and the measured physical, chemical, mechanical and structural properties of the glasses are presented in this chapter. </w:t>
      </w:r>
      <w:r w:rsidRPr="000E2377">
        <w:rPr>
          <w:rFonts w:asciiTheme="majorBidi" w:hAnsiTheme="majorBidi" w:cstheme="majorBidi"/>
          <w:b w:val="0"/>
          <w:szCs w:val="24"/>
        </w:rPr>
        <w:t xml:space="preserve">To simplify the presentation, the results are divided into four sections: physical and chemical properties, structural studies, mechanical studies and </w:t>
      </w:r>
      <w:r w:rsidRPr="000E2377">
        <w:rPr>
          <w:rFonts w:cs="Times New Roman"/>
          <w:b w:val="0"/>
          <w:szCs w:val="24"/>
        </w:rPr>
        <w:t>correlation between composition and properties.</w:t>
      </w:r>
      <w:r w:rsidRPr="000E2377">
        <w:rPr>
          <w:rFonts w:asciiTheme="majorBidi" w:hAnsiTheme="majorBidi" w:cstheme="majorBidi"/>
          <w:b w:val="0"/>
          <w:szCs w:val="24"/>
        </w:rPr>
        <w:t xml:space="preserve"> The batched and analysed glass compositions are summarised in Table 4.1. </w:t>
      </w:r>
      <w:r>
        <w:rPr>
          <w:rFonts w:asciiTheme="majorBidi" w:hAnsiTheme="majorBidi" w:cstheme="majorBidi"/>
          <w:b w:val="0"/>
          <w:szCs w:val="24"/>
        </w:rPr>
        <w:t xml:space="preserve">However, for glass series with high alumina content for series </w:t>
      </w:r>
      <w:r w:rsidRPr="0002269E">
        <w:rPr>
          <w:rFonts w:asciiTheme="majorBidi" w:hAnsiTheme="majorBidi" w:cstheme="majorBidi"/>
          <w:b w:val="0"/>
          <w:szCs w:val="24"/>
        </w:rPr>
        <w:t>N</w:t>
      </w:r>
      <w:r w:rsidRPr="009438F9">
        <w:rPr>
          <w:rFonts w:asciiTheme="majorBidi" w:hAnsiTheme="majorBidi" w:cstheme="majorBidi"/>
          <w:b w:val="0"/>
          <w:szCs w:val="24"/>
          <w:vertAlign w:val="subscript"/>
        </w:rPr>
        <w:t>7.6</w:t>
      </w:r>
      <w:r w:rsidRPr="0002269E">
        <w:rPr>
          <w:rFonts w:asciiTheme="majorBidi" w:hAnsiTheme="majorBidi" w:cstheme="majorBidi"/>
          <w:b w:val="0"/>
          <w:szCs w:val="24"/>
        </w:rPr>
        <w:t>M</w:t>
      </w:r>
      <w:r w:rsidRPr="009438F9">
        <w:rPr>
          <w:rFonts w:asciiTheme="majorBidi" w:hAnsiTheme="majorBidi" w:cstheme="majorBidi"/>
          <w:b w:val="0"/>
          <w:szCs w:val="24"/>
          <w:vertAlign w:val="subscript"/>
        </w:rPr>
        <w:t>1.1</w:t>
      </w:r>
      <w:r w:rsidRPr="0002269E">
        <w:rPr>
          <w:rFonts w:asciiTheme="majorBidi" w:hAnsiTheme="majorBidi" w:cstheme="majorBidi"/>
          <w:b w:val="0"/>
          <w:szCs w:val="24"/>
        </w:rPr>
        <w:t>C</w:t>
      </w:r>
      <w:r w:rsidRPr="009438F9">
        <w:rPr>
          <w:rFonts w:asciiTheme="majorBidi" w:hAnsiTheme="majorBidi" w:cstheme="majorBidi"/>
          <w:b w:val="0"/>
          <w:szCs w:val="24"/>
          <w:vertAlign w:val="subscript"/>
        </w:rPr>
        <w:t>3</w:t>
      </w:r>
      <w:r w:rsidRPr="0002269E">
        <w:rPr>
          <w:rFonts w:asciiTheme="majorBidi" w:hAnsiTheme="majorBidi" w:cstheme="majorBidi"/>
          <w:b w:val="0"/>
          <w:szCs w:val="24"/>
        </w:rPr>
        <w:t>A</w:t>
      </w:r>
      <w:r w:rsidRPr="009438F9">
        <w:rPr>
          <w:rFonts w:asciiTheme="majorBidi" w:hAnsiTheme="majorBidi" w:cstheme="majorBidi"/>
          <w:b w:val="0"/>
          <w:szCs w:val="24"/>
          <w:vertAlign w:val="subscript"/>
        </w:rPr>
        <w:t>x</w:t>
      </w:r>
      <w:r w:rsidRPr="0002269E">
        <w:rPr>
          <w:rFonts w:asciiTheme="majorBidi" w:hAnsiTheme="majorBidi" w:cstheme="majorBidi"/>
          <w:b w:val="0"/>
          <w:szCs w:val="24"/>
        </w:rPr>
        <w:t>B</w:t>
      </w:r>
      <w:r w:rsidRPr="009438F9">
        <w:rPr>
          <w:rFonts w:asciiTheme="majorBidi" w:hAnsiTheme="majorBidi" w:cstheme="majorBidi"/>
          <w:b w:val="0"/>
          <w:szCs w:val="24"/>
          <w:vertAlign w:val="subscript"/>
        </w:rPr>
        <w:t>7.6</w:t>
      </w:r>
      <w:r w:rsidRPr="0002269E">
        <w:rPr>
          <w:rFonts w:asciiTheme="majorBidi" w:hAnsiTheme="majorBidi" w:cstheme="majorBidi"/>
          <w:b w:val="0"/>
          <w:szCs w:val="24"/>
        </w:rPr>
        <w:t>S</w:t>
      </w:r>
      <w:r w:rsidRPr="009438F9">
        <w:rPr>
          <w:rFonts w:asciiTheme="majorBidi" w:hAnsiTheme="majorBidi" w:cstheme="majorBidi"/>
          <w:b w:val="0"/>
          <w:szCs w:val="24"/>
          <w:vertAlign w:val="subscript"/>
        </w:rPr>
        <w:t>80.7-x</w:t>
      </w:r>
      <w:r>
        <w:rPr>
          <w:rFonts w:asciiTheme="majorBidi" w:hAnsiTheme="majorBidi" w:cstheme="majorBidi"/>
          <w:b w:val="0"/>
          <w:szCs w:val="24"/>
          <w:vertAlign w:val="subscript"/>
        </w:rPr>
        <w:t xml:space="preserve"> </w:t>
      </w:r>
      <w:r>
        <w:rPr>
          <w:rFonts w:asciiTheme="majorBidi" w:hAnsiTheme="majorBidi" w:cstheme="majorBidi"/>
          <w:b w:val="0"/>
          <w:szCs w:val="24"/>
        </w:rPr>
        <w:t xml:space="preserve">with x=10, 12.5, 15 and 17.5, there was a limitation of the melting process due to high temperature needed (&gt;1700 ºC) thus the composition with  ≥ 10 </w:t>
      </w:r>
      <w:proofErr w:type="spellStart"/>
      <w:r>
        <w:rPr>
          <w:rFonts w:asciiTheme="majorBidi" w:hAnsiTheme="majorBidi" w:cstheme="majorBidi"/>
          <w:b w:val="0"/>
          <w:szCs w:val="24"/>
        </w:rPr>
        <w:t>wt</w:t>
      </w:r>
      <w:proofErr w:type="spellEnd"/>
      <w:r>
        <w:rPr>
          <w:rFonts w:asciiTheme="majorBidi" w:hAnsiTheme="majorBidi" w:cstheme="majorBidi"/>
          <w:b w:val="0"/>
          <w:szCs w:val="24"/>
        </w:rPr>
        <w:t xml:space="preserve"> % alumina are not considered further. </w:t>
      </w:r>
    </w:p>
    <w:p w14:paraId="219E61D1" w14:textId="77777777" w:rsidR="00D740DC" w:rsidRPr="000E2377" w:rsidRDefault="00D740DC" w:rsidP="00D740DC">
      <w:pPr>
        <w:jc w:val="center"/>
        <w:rPr>
          <w:rFonts w:asciiTheme="minorHAnsi" w:hAnsiTheme="minorHAnsi"/>
          <w:b w:val="0"/>
          <w:sz w:val="22"/>
        </w:rPr>
      </w:pPr>
      <w:r w:rsidRPr="00F347CD">
        <w:rPr>
          <w:noProof/>
          <w:lang w:eastAsia="en-MY"/>
        </w:rPr>
        <w:drawing>
          <wp:inline distT="0" distB="0" distL="0" distR="0" wp14:anchorId="0F7923B1" wp14:editId="355B071B">
            <wp:extent cx="4682075" cy="3600000"/>
            <wp:effectExtent l="0" t="0" r="4445"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82075" cy="3600000"/>
                    </a:xfrm>
                    <a:prstGeom prst="rect">
                      <a:avLst/>
                    </a:prstGeom>
                    <a:noFill/>
                    <a:ln>
                      <a:noFill/>
                    </a:ln>
                  </pic:spPr>
                </pic:pic>
              </a:graphicData>
            </a:graphic>
          </wp:inline>
        </w:drawing>
      </w:r>
    </w:p>
    <w:p w14:paraId="541B6338" w14:textId="62AB9A22" w:rsidR="00D740DC" w:rsidRPr="000E2377" w:rsidRDefault="00D740DC" w:rsidP="00D740DC">
      <w:pPr>
        <w:pStyle w:val="Caption"/>
        <w:rPr>
          <w:szCs w:val="24"/>
        </w:rPr>
      </w:pPr>
      <w:bookmarkStart w:id="646" w:name="_Toc521420468"/>
      <w:bookmarkStart w:id="647" w:name="_Toc525223202"/>
      <w:bookmarkStart w:id="648" w:name="_Toc525528349"/>
      <w:bookmarkStart w:id="649" w:name="_Toc525706364"/>
      <w:bookmarkStart w:id="650" w:name="_Hlk515394239"/>
      <w:r w:rsidRPr="000E2377">
        <w:t xml:space="preserve">Figure </w:t>
      </w:r>
      <w:r>
        <w:t>4</w:t>
      </w:r>
      <w:r w:rsidRPr="000E2377">
        <w:t>.</w:t>
      </w:r>
      <w:r w:rsidRPr="000E2377">
        <w:fldChar w:fldCharType="begin"/>
      </w:r>
      <w:r w:rsidRPr="000E2377">
        <w:instrText xml:space="preserve"> SEQ Figure \* ARABIC \s 1 </w:instrText>
      </w:r>
      <w:r w:rsidRPr="000E2377">
        <w:fldChar w:fldCharType="separate"/>
      </w:r>
      <w:r w:rsidR="00C827AE">
        <w:rPr>
          <w:noProof/>
        </w:rPr>
        <w:t>1</w:t>
      </w:r>
      <w:r w:rsidRPr="000E2377">
        <w:fldChar w:fldCharType="end"/>
      </w:r>
      <w:r w:rsidRPr="000E2377">
        <w:t xml:space="preserve">: </w:t>
      </w:r>
      <w:r w:rsidRPr="000E2377">
        <w:rPr>
          <w:szCs w:val="24"/>
        </w:rPr>
        <w:t xml:space="preserve">Ternary diagram of all compositions examined. Due to the </w:t>
      </w:r>
      <w:r>
        <w:rPr>
          <w:szCs w:val="24"/>
        </w:rPr>
        <w:t xml:space="preserve">simplified </w:t>
      </w:r>
      <w:r w:rsidRPr="000E2377">
        <w:rPr>
          <w:szCs w:val="24"/>
        </w:rPr>
        <w:t>ternary presentation used some data points lie on top of one another despite representing different glasses.</w:t>
      </w:r>
      <w:bookmarkEnd w:id="646"/>
      <w:bookmarkEnd w:id="647"/>
      <w:bookmarkEnd w:id="648"/>
      <w:bookmarkEnd w:id="649"/>
    </w:p>
    <w:p w14:paraId="39BA4272" w14:textId="77777777" w:rsidR="00D740DC" w:rsidRPr="000E2377" w:rsidRDefault="00D740DC" w:rsidP="00D740DC">
      <w:pPr>
        <w:keepNext/>
        <w:keepLines/>
        <w:spacing w:before="40" w:after="0" w:line="360" w:lineRule="auto"/>
        <w:outlineLvl w:val="2"/>
        <w:rPr>
          <w:rFonts w:eastAsiaTheme="majorEastAsia" w:cstheme="majorBidi"/>
          <w:color w:val="000000" w:themeColor="text1"/>
          <w:szCs w:val="24"/>
        </w:rPr>
      </w:pPr>
      <w:bookmarkStart w:id="651" w:name="_Toc515398735"/>
      <w:bookmarkStart w:id="652" w:name="_Toc523402931"/>
      <w:bookmarkStart w:id="653" w:name="_Toc525526442"/>
      <w:bookmarkStart w:id="654" w:name="_Toc525707859"/>
      <w:bookmarkStart w:id="655" w:name="_Toc525742524"/>
      <w:bookmarkStart w:id="656" w:name="_Toc12994968"/>
      <w:bookmarkEnd w:id="650"/>
      <w:r w:rsidRPr="000E2377">
        <w:rPr>
          <w:rFonts w:eastAsiaTheme="majorEastAsia" w:cstheme="majorBidi"/>
          <w:color w:val="000000" w:themeColor="text1"/>
          <w:szCs w:val="24"/>
        </w:rPr>
        <w:lastRenderedPageBreak/>
        <w:t>4.2 Chemical analysis</w:t>
      </w:r>
      <w:bookmarkEnd w:id="651"/>
      <w:bookmarkEnd w:id="652"/>
      <w:bookmarkEnd w:id="653"/>
      <w:bookmarkEnd w:id="654"/>
      <w:bookmarkEnd w:id="655"/>
      <w:bookmarkEnd w:id="656"/>
    </w:p>
    <w:p w14:paraId="3993E6DB" w14:textId="3B15C2D3" w:rsidR="00D740DC" w:rsidRPr="000E2377" w:rsidRDefault="00D740DC" w:rsidP="00D740DC">
      <w:pPr>
        <w:spacing w:line="360" w:lineRule="auto"/>
        <w:jc w:val="both"/>
        <w:rPr>
          <w:rFonts w:cs="Times New Roman"/>
          <w:b w:val="0"/>
          <w:szCs w:val="24"/>
        </w:rPr>
      </w:pPr>
      <w:r>
        <w:rPr>
          <w:rFonts w:cs="Times New Roman"/>
          <w:b w:val="0"/>
          <w:szCs w:val="24"/>
        </w:rPr>
        <w:t xml:space="preserve">All the glass samples were analysed using a </w:t>
      </w:r>
      <w:proofErr w:type="spellStart"/>
      <w:r w:rsidRPr="000E2377">
        <w:rPr>
          <w:rFonts w:cs="Times New Roman"/>
          <w:b w:val="0"/>
          <w:szCs w:val="24"/>
        </w:rPr>
        <w:t>PanAnalytical</w:t>
      </w:r>
      <w:proofErr w:type="spellEnd"/>
      <w:r w:rsidRPr="000E2377">
        <w:rPr>
          <w:rFonts w:cs="Times New Roman"/>
          <w:b w:val="0"/>
          <w:szCs w:val="24"/>
        </w:rPr>
        <w:t xml:space="preserve"> </w:t>
      </w:r>
      <w:proofErr w:type="spellStart"/>
      <w:r w:rsidRPr="000E2377">
        <w:rPr>
          <w:rFonts w:cs="Times New Roman"/>
          <w:b w:val="0"/>
          <w:szCs w:val="24"/>
        </w:rPr>
        <w:t>Zetium</w:t>
      </w:r>
      <w:proofErr w:type="spellEnd"/>
      <w:r>
        <w:rPr>
          <w:rFonts w:cs="Times New Roman"/>
          <w:b w:val="0"/>
          <w:szCs w:val="24"/>
        </w:rPr>
        <w:t xml:space="preserve"> to analysed their composition. However</w:t>
      </w:r>
      <w:r w:rsidR="000707B0">
        <w:rPr>
          <w:rFonts w:cs="Times New Roman"/>
          <w:b w:val="0"/>
          <w:szCs w:val="24"/>
        </w:rPr>
        <w:t>,</w:t>
      </w:r>
      <w:r>
        <w:rPr>
          <w:rFonts w:cs="Times New Roman"/>
          <w:b w:val="0"/>
          <w:szCs w:val="24"/>
        </w:rPr>
        <w:t xml:space="preserve"> 8 of the samples (which were also characterised by NMR) were also analysed by ICP testing to confirm the details of </w:t>
      </w:r>
      <w:r w:rsidR="000707B0">
        <w:rPr>
          <w:rFonts w:cs="Times New Roman"/>
          <w:b w:val="0"/>
          <w:szCs w:val="24"/>
        </w:rPr>
        <w:t xml:space="preserve">the </w:t>
      </w:r>
      <w:r>
        <w:rPr>
          <w:rFonts w:cs="Times New Roman"/>
          <w:b w:val="0"/>
          <w:szCs w:val="24"/>
        </w:rPr>
        <w:t xml:space="preserve">composition. </w:t>
      </w:r>
      <w:r w:rsidRPr="000E2377">
        <w:rPr>
          <w:rFonts w:cs="Times New Roman"/>
          <w:b w:val="0"/>
          <w:szCs w:val="24"/>
        </w:rPr>
        <w:t xml:space="preserve">Table 4.1 shows </w:t>
      </w:r>
      <w:r>
        <w:rPr>
          <w:rFonts w:cs="Times New Roman"/>
          <w:b w:val="0"/>
          <w:szCs w:val="24"/>
        </w:rPr>
        <w:t xml:space="preserve">the </w:t>
      </w:r>
      <w:r w:rsidRPr="000E2377">
        <w:rPr>
          <w:rFonts w:cs="Times New Roman"/>
          <w:b w:val="0"/>
          <w:szCs w:val="24"/>
        </w:rPr>
        <w:t>analysed compositions used in the studies</w:t>
      </w:r>
      <w:r>
        <w:rPr>
          <w:rFonts w:cs="Times New Roman"/>
          <w:b w:val="0"/>
          <w:szCs w:val="24"/>
        </w:rPr>
        <w:t xml:space="preserve"> from ICP-OES and XRF testing. In ICP-OES, t</w:t>
      </w:r>
      <w:r w:rsidRPr="000E2377">
        <w:rPr>
          <w:rFonts w:cs="Times New Roman"/>
          <w:b w:val="0"/>
          <w:szCs w:val="24"/>
        </w:rPr>
        <w:t xml:space="preserve">he </w:t>
      </w:r>
      <w:r>
        <w:rPr>
          <w:rFonts w:cs="Times New Roman"/>
          <w:b w:val="0"/>
          <w:szCs w:val="24"/>
        </w:rPr>
        <w:t>table</w:t>
      </w:r>
      <w:r w:rsidRPr="000E2377">
        <w:rPr>
          <w:rFonts w:cs="Times New Roman"/>
          <w:b w:val="0"/>
          <w:szCs w:val="24"/>
        </w:rPr>
        <w:t xml:space="preserve"> shows that there are differences between the batched and measured compositions. The SiO</w:t>
      </w:r>
      <w:r w:rsidRPr="000E2377">
        <w:rPr>
          <w:rFonts w:cs="Times New Roman"/>
          <w:b w:val="0"/>
          <w:szCs w:val="24"/>
          <w:vertAlign w:val="subscript"/>
        </w:rPr>
        <w:t>2</w:t>
      </w:r>
      <w:r w:rsidRPr="000E2377">
        <w:rPr>
          <w:rFonts w:cs="Times New Roman"/>
          <w:b w:val="0"/>
          <w:szCs w:val="24"/>
        </w:rPr>
        <w:t xml:space="preserve"> </w:t>
      </w:r>
      <w:r>
        <w:rPr>
          <w:rFonts w:cs="Times New Roman"/>
          <w:b w:val="0"/>
          <w:szCs w:val="24"/>
        </w:rPr>
        <w:t>contents are</w:t>
      </w:r>
      <w:r w:rsidRPr="000E2377">
        <w:rPr>
          <w:rFonts w:cs="Times New Roman"/>
          <w:b w:val="0"/>
          <w:szCs w:val="24"/>
        </w:rPr>
        <w:t xml:space="preserve"> close to the target with </w:t>
      </w:r>
      <w:r>
        <w:rPr>
          <w:rFonts w:cs="Times New Roman"/>
          <w:b w:val="0"/>
          <w:szCs w:val="24"/>
        </w:rPr>
        <w:t xml:space="preserve">differences of </w:t>
      </w:r>
      <w:r w:rsidRPr="000E2377">
        <w:rPr>
          <w:rFonts w:cs="Times New Roman"/>
          <w:b w:val="0"/>
          <w:szCs w:val="24"/>
        </w:rPr>
        <w:t xml:space="preserve">less than 1%. However, the alumina content </w:t>
      </w:r>
      <w:r>
        <w:rPr>
          <w:rFonts w:cs="Times New Roman"/>
          <w:b w:val="0"/>
          <w:szCs w:val="24"/>
        </w:rPr>
        <w:t>is</w:t>
      </w:r>
      <w:r w:rsidRPr="000E2377">
        <w:rPr>
          <w:rFonts w:cs="Times New Roman"/>
          <w:b w:val="0"/>
          <w:szCs w:val="24"/>
        </w:rPr>
        <w:t xml:space="preserve"> very high </w:t>
      </w:r>
      <w:r w:rsidRPr="000E2377">
        <w:rPr>
          <w:rFonts w:eastAsia="Calibri" w:cs="Times New Roman"/>
          <w:b w:val="0"/>
          <w:bCs/>
          <w:szCs w:val="24"/>
          <w:lang w:val="en-GB"/>
        </w:rPr>
        <w:t>in</w:t>
      </w:r>
      <w:r>
        <w:rPr>
          <w:rFonts w:eastAsia="Calibri" w:cs="Times New Roman"/>
          <w:b w:val="0"/>
          <w:bCs/>
          <w:szCs w:val="24"/>
          <w:lang w:val="en-GB"/>
        </w:rPr>
        <w:t xml:space="preserve"> the</w:t>
      </w:r>
      <w:r w:rsidRPr="000E2377">
        <w:rPr>
          <w:rFonts w:eastAsia="Calibri" w:cs="Times New Roman"/>
          <w:bCs/>
          <w:szCs w:val="24"/>
          <w:lang w:val="en-GB"/>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70 </w:t>
      </w:r>
      <w:r w:rsidRPr="000E2377">
        <w:rPr>
          <w:rFonts w:eastAsia="Times New Roman" w:cs="Times New Roman"/>
          <w:b w:val="0"/>
          <w:color w:val="000000"/>
          <w:szCs w:val="24"/>
          <w:lang w:eastAsia="en-MY"/>
        </w:rPr>
        <w:t xml:space="preserve">glass </w:t>
      </w:r>
      <w:r w:rsidRPr="000E2377">
        <w:rPr>
          <w:rFonts w:cs="Times New Roman"/>
          <w:b w:val="0"/>
          <w:szCs w:val="24"/>
        </w:rPr>
        <w:t xml:space="preserve">compared to the batched content which </w:t>
      </w:r>
      <w:r>
        <w:rPr>
          <w:rFonts w:cs="Times New Roman"/>
          <w:b w:val="0"/>
          <w:szCs w:val="24"/>
        </w:rPr>
        <w:t>had</w:t>
      </w:r>
      <w:r w:rsidRPr="000E2377">
        <w:rPr>
          <w:rFonts w:cs="Times New Roman"/>
          <w:b w:val="0"/>
          <w:szCs w:val="24"/>
        </w:rPr>
        <w:t xml:space="preserve"> zero alumina due to corrosion of the alumina crucibles used for melting. </w:t>
      </w:r>
    </w:p>
    <w:p w14:paraId="7A0C386C" w14:textId="2C1A734C" w:rsidR="00D740DC" w:rsidRPr="000E2377" w:rsidRDefault="00D740DC" w:rsidP="00D740DC">
      <w:pPr>
        <w:spacing w:line="360" w:lineRule="auto"/>
        <w:jc w:val="both"/>
        <w:rPr>
          <w:rFonts w:cs="Times New Roman"/>
          <w:b w:val="0"/>
          <w:szCs w:val="24"/>
        </w:rPr>
      </w:pPr>
      <w:r w:rsidRPr="000E2377">
        <w:rPr>
          <w:rFonts w:cs="Times New Roman"/>
          <w:b w:val="0"/>
          <w:szCs w:val="24"/>
        </w:rPr>
        <w:t>Meanwhile</w:t>
      </w:r>
      <w:r w:rsidR="000707B0">
        <w:rPr>
          <w:rFonts w:cs="Times New Roman"/>
          <w:b w:val="0"/>
          <w:szCs w:val="24"/>
        </w:rPr>
        <w:t>,</w:t>
      </w:r>
      <w:r w:rsidRPr="000E2377">
        <w:rPr>
          <w:rFonts w:cs="Times New Roman"/>
          <w:b w:val="0"/>
          <w:szCs w:val="24"/>
        </w:rPr>
        <w:t xml:space="preserve"> </w:t>
      </w:r>
      <w:r>
        <w:rPr>
          <w:rFonts w:cs="Times New Roman"/>
          <w:b w:val="0"/>
          <w:szCs w:val="24"/>
        </w:rPr>
        <w:t>in many cases</w:t>
      </w:r>
      <w:r w:rsidR="00040067">
        <w:rPr>
          <w:rFonts w:cs="Times New Roman"/>
          <w:b w:val="0"/>
          <w:szCs w:val="24"/>
        </w:rPr>
        <w:t xml:space="preserve"> </w:t>
      </w:r>
      <w:r>
        <w:rPr>
          <w:rFonts w:cs="Times New Roman"/>
          <w:b w:val="0"/>
          <w:szCs w:val="24"/>
        </w:rPr>
        <w:t xml:space="preserve">XRF indicated that the glasses contained notably </w:t>
      </w:r>
      <w:r w:rsidR="004022C3">
        <w:rPr>
          <w:rFonts w:cs="Times New Roman"/>
          <w:b w:val="0"/>
          <w:szCs w:val="24"/>
        </w:rPr>
        <w:t xml:space="preserve">more </w:t>
      </w:r>
      <w:r>
        <w:rPr>
          <w:rFonts w:cs="Times New Roman"/>
          <w:b w:val="0"/>
          <w:szCs w:val="24"/>
        </w:rPr>
        <w:t xml:space="preserve">boron oxide than the amount batched. This is unlikely </w:t>
      </w:r>
      <w:r w:rsidR="00040067">
        <w:rPr>
          <w:rFonts w:cs="Times New Roman"/>
          <w:b w:val="0"/>
          <w:szCs w:val="24"/>
        </w:rPr>
        <w:t>because of</w:t>
      </w:r>
      <w:r w:rsidRPr="000E2377">
        <w:rPr>
          <w:rFonts w:cs="Times New Roman"/>
          <w:b w:val="0"/>
          <w:szCs w:val="24"/>
        </w:rPr>
        <w:t xml:space="preserve"> the eas</w:t>
      </w:r>
      <w:r>
        <w:rPr>
          <w:rFonts w:cs="Times New Roman"/>
          <w:b w:val="0"/>
          <w:szCs w:val="24"/>
        </w:rPr>
        <w:t>e of boron</w:t>
      </w:r>
      <w:r w:rsidRPr="000E2377">
        <w:rPr>
          <w:rFonts w:cs="Times New Roman"/>
          <w:b w:val="0"/>
          <w:szCs w:val="24"/>
        </w:rPr>
        <w:t xml:space="preserve"> evaporat</w:t>
      </w:r>
      <w:r>
        <w:rPr>
          <w:rFonts w:cs="Times New Roman"/>
          <w:b w:val="0"/>
          <w:szCs w:val="24"/>
        </w:rPr>
        <w:t>ion</w:t>
      </w:r>
      <w:r w:rsidRPr="000E2377">
        <w:rPr>
          <w:rFonts w:cs="Times New Roman"/>
          <w:b w:val="0"/>
          <w:szCs w:val="24"/>
        </w:rPr>
        <w:t xml:space="preserve"> </w:t>
      </w:r>
      <w:r>
        <w:rPr>
          <w:rFonts w:cs="Times New Roman"/>
          <w:b w:val="0"/>
          <w:szCs w:val="24"/>
        </w:rPr>
        <w:t>during</w:t>
      </w:r>
      <w:r w:rsidRPr="000E2377">
        <w:rPr>
          <w:rFonts w:cs="Times New Roman"/>
          <w:b w:val="0"/>
          <w:szCs w:val="24"/>
        </w:rPr>
        <w:t xml:space="preserve"> melting</w:t>
      </w:r>
      <w:r>
        <w:rPr>
          <w:rFonts w:cs="Times New Roman"/>
          <w:b w:val="0"/>
          <w:szCs w:val="24"/>
        </w:rPr>
        <w:t xml:space="preserve">. The boron was </w:t>
      </w:r>
      <w:r w:rsidRPr="003A4891">
        <w:rPr>
          <w:rFonts w:cs="Times New Roman"/>
          <w:b w:val="0"/>
          <w:szCs w:val="24"/>
        </w:rPr>
        <w:t>measured using</w:t>
      </w:r>
      <w:r w:rsidR="000707B0">
        <w:rPr>
          <w:rFonts w:cs="Times New Roman"/>
          <w:b w:val="0"/>
          <w:szCs w:val="24"/>
        </w:rPr>
        <w:t xml:space="preserve"> a</w:t>
      </w:r>
      <w:r w:rsidRPr="003A4891">
        <w:rPr>
          <w:rFonts w:cs="Times New Roman"/>
          <w:b w:val="0"/>
          <w:szCs w:val="24"/>
        </w:rPr>
        <w:t xml:space="preserve"> p</w:t>
      </w:r>
      <w:r w:rsidRPr="003A4891">
        <w:rPr>
          <w:b w:val="0"/>
          <w:color w:val="222222"/>
          <w:shd w:val="clear" w:color="auto" w:fill="FFFFFF"/>
        </w:rPr>
        <w:t>rogramme for fused beads called boron balanc</w:t>
      </w:r>
      <w:r>
        <w:rPr>
          <w:b w:val="0"/>
          <w:color w:val="222222"/>
          <w:shd w:val="clear" w:color="auto" w:fill="FFFFFF"/>
        </w:rPr>
        <w:t>e</w:t>
      </w:r>
      <w:r w:rsidR="004022C3">
        <w:rPr>
          <w:b w:val="0"/>
          <w:color w:val="222222"/>
          <w:shd w:val="clear" w:color="auto" w:fill="FFFFFF"/>
        </w:rPr>
        <w:t>, which should</w:t>
      </w:r>
      <w:r w:rsidRPr="003A4891">
        <w:rPr>
          <w:b w:val="0"/>
          <w:color w:val="222222"/>
          <w:shd w:val="clear" w:color="auto" w:fill="FFFFFF"/>
        </w:rPr>
        <w:t xml:space="preserve"> subtract the amount of boron in the fused bead</w:t>
      </w:r>
      <w:r w:rsidR="004022C3">
        <w:rPr>
          <w:b w:val="0"/>
          <w:color w:val="222222"/>
          <w:shd w:val="clear" w:color="auto" w:fill="FFFFFF"/>
        </w:rPr>
        <w:t xml:space="preserve"> and then correct </w:t>
      </w:r>
      <w:r w:rsidR="00B333AC">
        <w:rPr>
          <w:b w:val="0"/>
          <w:color w:val="222222"/>
          <w:shd w:val="clear" w:color="auto" w:fill="FFFFFF"/>
        </w:rPr>
        <w:t xml:space="preserve">and renormalize </w:t>
      </w:r>
      <w:r w:rsidR="004022C3">
        <w:rPr>
          <w:b w:val="0"/>
          <w:color w:val="222222"/>
          <w:shd w:val="clear" w:color="auto" w:fill="FFFFFF"/>
        </w:rPr>
        <w:t>the results</w:t>
      </w:r>
      <w:r w:rsidRPr="003A4891">
        <w:rPr>
          <w:b w:val="0"/>
          <w:color w:val="222222"/>
          <w:shd w:val="clear" w:color="auto" w:fill="FFFFFF"/>
        </w:rPr>
        <w:t>.</w:t>
      </w:r>
      <w:r>
        <w:rPr>
          <w:color w:val="222222"/>
          <w:shd w:val="clear" w:color="auto" w:fill="FFFFFF"/>
        </w:rPr>
        <w:t xml:space="preserve"> </w:t>
      </w:r>
    </w:p>
    <w:p w14:paraId="41DD7168" w14:textId="2A3E0150" w:rsidR="00D740DC" w:rsidRDefault="00D740DC" w:rsidP="00D740DC">
      <w:pPr>
        <w:spacing w:line="360" w:lineRule="auto"/>
        <w:jc w:val="both"/>
        <w:rPr>
          <w:rFonts w:eastAsia="Calibri" w:cs="Times New Roman"/>
          <w:b w:val="0"/>
          <w:bCs/>
          <w:szCs w:val="24"/>
          <w:lang w:val="en-GB"/>
        </w:rPr>
      </w:pPr>
      <w:bookmarkStart w:id="657" w:name="_Hlk515396287"/>
      <w:r>
        <w:rPr>
          <w:rFonts w:eastAsia="Calibri" w:cs="Times New Roman"/>
          <w:b w:val="0"/>
          <w:bCs/>
          <w:szCs w:val="24"/>
          <w:lang w:val="en-GB"/>
        </w:rPr>
        <w:t>For those samples measured by both XRF and</w:t>
      </w:r>
      <w:r w:rsidRPr="00C00B54">
        <w:rPr>
          <w:rFonts w:eastAsia="Calibri" w:cs="Times New Roman"/>
          <w:b w:val="0"/>
          <w:bCs/>
          <w:szCs w:val="24"/>
          <w:lang w:val="en-GB"/>
        </w:rPr>
        <w:t xml:space="preserve"> ICP-OES</w:t>
      </w:r>
      <w:r w:rsidR="000707B0">
        <w:rPr>
          <w:rFonts w:eastAsia="Calibri" w:cs="Times New Roman"/>
          <w:b w:val="0"/>
          <w:bCs/>
          <w:szCs w:val="24"/>
          <w:lang w:val="en-GB"/>
        </w:rPr>
        <w:t>,</w:t>
      </w:r>
      <w:r w:rsidRPr="00C00B54">
        <w:rPr>
          <w:rFonts w:eastAsia="Calibri" w:cs="Times New Roman"/>
          <w:b w:val="0"/>
          <w:bCs/>
          <w:szCs w:val="24"/>
          <w:lang w:val="en-GB"/>
        </w:rPr>
        <w:t xml:space="preserve"> it can be seen that </w:t>
      </w:r>
      <w:r>
        <w:rPr>
          <w:rFonts w:eastAsia="Calibri" w:cs="Times New Roman"/>
          <w:b w:val="0"/>
          <w:bCs/>
          <w:szCs w:val="24"/>
          <w:lang w:val="en-GB"/>
        </w:rPr>
        <w:t>much better agreement is obtained if the</w:t>
      </w:r>
      <w:r w:rsidRPr="00C00B54">
        <w:rPr>
          <w:rFonts w:eastAsia="Calibri" w:cs="Times New Roman"/>
          <w:b w:val="0"/>
          <w:bCs/>
          <w:szCs w:val="24"/>
          <w:lang w:val="en-GB"/>
        </w:rPr>
        <w:t xml:space="preserve"> </w:t>
      </w:r>
      <w:r>
        <w:rPr>
          <w:rFonts w:eastAsia="Calibri" w:cs="Times New Roman"/>
          <w:b w:val="0"/>
          <w:bCs/>
          <w:szCs w:val="24"/>
          <w:lang w:val="en-GB"/>
        </w:rPr>
        <w:t xml:space="preserve">boron </w:t>
      </w:r>
      <w:r w:rsidRPr="00C00B54">
        <w:rPr>
          <w:rFonts w:eastAsia="Calibri" w:cs="Times New Roman"/>
          <w:b w:val="0"/>
          <w:bCs/>
          <w:szCs w:val="24"/>
          <w:lang w:val="en-GB"/>
        </w:rPr>
        <w:t xml:space="preserve">results </w:t>
      </w:r>
      <w:r>
        <w:rPr>
          <w:rFonts w:eastAsia="Calibri" w:cs="Times New Roman"/>
          <w:b w:val="0"/>
          <w:bCs/>
          <w:szCs w:val="24"/>
          <w:lang w:val="en-GB"/>
        </w:rPr>
        <w:t>determined by</w:t>
      </w:r>
      <w:r w:rsidRPr="00C00B54">
        <w:rPr>
          <w:rFonts w:eastAsia="Calibri" w:cs="Times New Roman"/>
          <w:b w:val="0"/>
          <w:bCs/>
          <w:szCs w:val="24"/>
          <w:lang w:val="en-GB"/>
        </w:rPr>
        <w:t xml:space="preserve"> XRF are d</w:t>
      </w:r>
      <w:r>
        <w:rPr>
          <w:rFonts w:eastAsia="Calibri" w:cs="Times New Roman"/>
          <w:b w:val="0"/>
          <w:bCs/>
          <w:szCs w:val="24"/>
          <w:lang w:val="en-GB"/>
        </w:rPr>
        <w:t>i</w:t>
      </w:r>
      <w:r w:rsidRPr="00C00B54">
        <w:rPr>
          <w:rFonts w:eastAsia="Calibri" w:cs="Times New Roman"/>
          <w:b w:val="0"/>
          <w:bCs/>
          <w:szCs w:val="24"/>
          <w:lang w:val="en-GB"/>
        </w:rPr>
        <w:t xml:space="preserve">vided </w:t>
      </w:r>
      <w:r>
        <w:rPr>
          <w:rFonts w:eastAsia="Calibri" w:cs="Times New Roman"/>
          <w:b w:val="0"/>
          <w:bCs/>
          <w:szCs w:val="24"/>
          <w:lang w:val="en-GB"/>
        </w:rPr>
        <w:t>by</w:t>
      </w:r>
      <w:r w:rsidRPr="00C00B54">
        <w:rPr>
          <w:rFonts w:eastAsia="Calibri" w:cs="Times New Roman"/>
          <w:b w:val="0"/>
          <w:bCs/>
          <w:szCs w:val="24"/>
          <w:lang w:val="en-GB"/>
        </w:rPr>
        <w:t xml:space="preserve"> two</w:t>
      </w:r>
      <w:r>
        <w:rPr>
          <w:rFonts w:eastAsia="Calibri" w:cs="Times New Roman"/>
          <w:b w:val="0"/>
          <w:bCs/>
          <w:szCs w:val="24"/>
          <w:lang w:val="en-GB"/>
        </w:rPr>
        <w:t xml:space="preserve"> and the compositions </w:t>
      </w:r>
      <w:proofErr w:type="spellStart"/>
      <w:r>
        <w:rPr>
          <w:rFonts w:eastAsia="Calibri" w:cs="Times New Roman"/>
          <w:b w:val="0"/>
          <w:bCs/>
          <w:szCs w:val="24"/>
          <w:lang w:val="en-GB"/>
        </w:rPr>
        <w:t>renormalised</w:t>
      </w:r>
      <w:proofErr w:type="spellEnd"/>
      <w:r>
        <w:rPr>
          <w:rFonts w:eastAsia="Calibri" w:cs="Times New Roman"/>
          <w:b w:val="0"/>
          <w:bCs/>
          <w:szCs w:val="24"/>
          <w:lang w:val="en-GB"/>
        </w:rPr>
        <w:t>.</w:t>
      </w:r>
      <w:r w:rsidRPr="00C00B54">
        <w:rPr>
          <w:rFonts w:eastAsia="Calibri" w:cs="Times New Roman"/>
          <w:b w:val="0"/>
          <w:bCs/>
          <w:szCs w:val="24"/>
          <w:lang w:val="en-GB"/>
        </w:rPr>
        <w:t xml:space="preserve">  </w:t>
      </w:r>
      <w:r>
        <w:rPr>
          <w:rFonts w:eastAsia="Calibri" w:cs="Times New Roman"/>
          <w:b w:val="0"/>
          <w:bCs/>
          <w:szCs w:val="24"/>
          <w:lang w:val="en-GB"/>
        </w:rPr>
        <w:t>This approach has therefore been applied to all of the XRF results obtained on B containing glasses. Both the initial XRF data and the modified XRF data</w:t>
      </w:r>
      <w:r w:rsidRPr="00C00B54">
        <w:rPr>
          <w:rFonts w:eastAsia="Calibri" w:cs="Times New Roman"/>
          <w:b w:val="0"/>
          <w:bCs/>
          <w:szCs w:val="24"/>
          <w:lang w:val="en-GB"/>
        </w:rPr>
        <w:t xml:space="preserve"> are summarize</w:t>
      </w:r>
      <w:r>
        <w:rPr>
          <w:rFonts w:eastAsia="Calibri" w:cs="Times New Roman"/>
          <w:b w:val="0"/>
          <w:bCs/>
          <w:szCs w:val="24"/>
          <w:lang w:val="en-GB"/>
        </w:rPr>
        <w:t>d</w:t>
      </w:r>
      <w:r w:rsidRPr="00C00B54">
        <w:rPr>
          <w:rFonts w:eastAsia="Calibri" w:cs="Times New Roman"/>
          <w:b w:val="0"/>
          <w:bCs/>
          <w:szCs w:val="24"/>
          <w:lang w:val="en-GB"/>
        </w:rPr>
        <w:t xml:space="preserve"> in Table 4.1</w:t>
      </w:r>
      <w:r>
        <w:rPr>
          <w:rFonts w:eastAsia="Calibri" w:cs="Times New Roman"/>
          <w:b w:val="0"/>
          <w:bCs/>
          <w:szCs w:val="24"/>
          <w:lang w:val="en-GB"/>
        </w:rPr>
        <w:t>.</w:t>
      </w:r>
      <w:r w:rsidRPr="00C00B54">
        <w:rPr>
          <w:rFonts w:eastAsia="Calibri" w:cs="Times New Roman"/>
          <w:b w:val="0"/>
          <w:bCs/>
          <w:szCs w:val="24"/>
          <w:lang w:val="en-GB"/>
        </w:rPr>
        <w:t xml:space="preserve"> </w:t>
      </w:r>
      <w:r>
        <w:rPr>
          <w:rFonts w:eastAsia="Calibri" w:cs="Times New Roman"/>
          <w:b w:val="0"/>
          <w:bCs/>
          <w:szCs w:val="24"/>
          <w:lang w:val="en-GB"/>
        </w:rPr>
        <w:t>While this process of modifying the XRF results cannot be described as rigorous it is believed that the resulting measured compositions are more reflective of the actual glass compositions. Hence elsewhere in this thesis</w:t>
      </w:r>
      <w:r w:rsidR="000707B0">
        <w:rPr>
          <w:rFonts w:eastAsia="Calibri" w:cs="Times New Roman"/>
          <w:b w:val="0"/>
          <w:bCs/>
          <w:szCs w:val="24"/>
          <w:lang w:val="en-GB"/>
        </w:rPr>
        <w:t>,</w:t>
      </w:r>
      <w:r>
        <w:rPr>
          <w:rFonts w:eastAsia="Calibri" w:cs="Times New Roman"/>
          <w:b w:val="0"/>
          <w:bCs/>
          <w:szCs w:val="24"/>
          <w:lang w:val="en-GB"/>
        </w:rPr>
        <w:t xml:space="preserve"> the modified XRF data are used.</w:t>
      </w:r>
    </w:p>
    <w:p w14:paraId="27C529F0" w14:textId="4A7E3F3D" w:rsidR="004022C3" w:rsidRPr="00C00B54" w:rsidRDefault="004022C3" w:rsidP="00D740DC">
      <w:pPr>
        <w:spacing w:line="360" w:lineRule="auto"/>
        <w:jc w:val="both"/>
        <w:rPr>
          <w:rFonts w:eastAsia="Calibri" w:cs="Times New Roman"/>
          <w:b w:val="0"/>
          <w:bCs/>
          <w:szCs w:val="24"/>
          <w:lang w:val="en-GB"/>
        </w:rPr>
      </w:pPr>
      <w:r>
        <w:rPr>
          <w:rFonts w:cs="Times New Roman"/>
          <w:b w:val="0"/>
          <w:szCs w:val="24"/>
        </w:rPr>
        <w:t>In addition s</w:t>
      </w:r>
      <w:r w:rsidRPr="000E2377">
        <w:rPr>
          <w:rFonts w:cs="Times New Roman"/>
          <w:b w:val="0"/>
          <w:szCs w:val="24"/>
        </w:rPr>
        <w:t xml:space="preserve">mall amounts of trace impurities such as </w:t>
      </w:r>
      <w:proofErr w:type="spellStart"/>
      <w:r w:rsidRPr="000E2377">
        <w:rPr>
          <w:rFonts w:cs="Times New Roman"/>
          <w:b w:val="0"/>
          <w:szCs w:val="24"/>
        </w:rPr>
        <w:t>CuO</w:t>
      </w:r>
      <w:proofErr w:type="spellEnd"/>
      <w:r w:rsidRPr="000E2377">
        <w:rPr>
          <w:rFonts w:cs="Times New Roman"/>
          <w:b w:val="0"/>
          <w:szCs w:val="24"/>
        </w:rPr>
        <w:t xml:space="preserve"> and TiO</w:t>
      </w:r>
      <w:r w:rsidRPr="000E2377">
        <w:rPr>
          <w:rFonts w:cs="Times New Roman"/>
          <w:b w:val="0"/>
          <w:szCs w:val="24"/>
          <w:vertAlign w:val="subscript"/>
        </w:rPr>
        <w:t>2</w:t>
      </w:r>
      <w:r w:rsidRPr="000E2377">
        <w:rPr>
          <w:rFonts w:cs="Times New Roman"/>
          <w:b w:val="0"/>
          <w:szCs w:val="24"/>
        </w:rPr>
        <w:t xml:space="preserve"> </w:t>
      </w:r>
      <w:r w:rsidR="00B333AC">
        <w:rPr>
          <w:rFonts w:cs="Times New Roman"/>
          <w:b w:val="0"/>
          <w:szCs w:val="24"/>
        </w:rPr>
        <w:t>we</w:t>
      </w:r>
      <w:r w:rsidRPr="000E2377">
        <w:rPr>
          <w:rFonts w:cs="Times New Roman"/>
          <w:b w:val="0"/>
          <w:szCs w:val="24"/>
        </w:rPr>
        <w:t xml:space="preserve">re </w:t>
      </w:r>
      <w:r>
        <w:rPr>
          <w:rFonts w:cs="Times New Roman"/>
          <w:b w:val="0"/>
          <w:szCs w:val="24"/>
        </w:rPr>
        <w:t>found</w:t>
      </w:r>
      <w:r w:rsidRPr="000E2377">
        <w:rPr>
          <w:rFonts w:cs="Times New Roman"/>
          <w:b w:val="0"/>
          <w:szCs w:val="24"/>
        </w:rPr>
        <w:t xml:space="preserve"> in most of </w:t>
      </w:r>
      <w:r>
        <w:rPr>
          <w:rFonts w:cs="Times New Roman"/>
          <w:b w:val="0"/>
          <w:szCs w:val="24"/>
        </w:rPr>
        <w:t xml:space="preserve">the </w:t>
      </w:r>
      <w:r w:rsidRPr="000E2377">
        <w:rPr>
          <w:rFonts w:cs="Times New Roman"/>
          <w:b w:val="0"/>
          <w:szCs w:val="24"/>
        </w:rPr>
        <w:t>samples and other impurities such as Fe</w:t>
      </w:r>
      <w:r w:rsidRPr="000E2377">
        <w:rPr>
          <w:rFonts w:cs="Times New Roman"/>
          <w:b w:val="0"/>
          <w:szCs w:val="24"/>
          <w:vertAlign w:val="subscript"/>
        </w:rPr>
        <w:t>2</w:t>
      </w:r>
      <w:r w:rsidRPr="000E2377">
        <w:rPr>
          <w:rFonts w:cs="Times New Roman"/>
          <w:b w:val="0"/>
          <w:szCs w:val="24"/>
        </w:rPr>
        <w:t>O</w:t>
      </w:r>
      <w:r w:rsidRPr="000E2377">
        <w:rPr>
          <w:rFonts w:cs="Times New Roman"/>
          <w:b w:val="0"/>
          <w:szCs w:val="24"/>
          <w:vertAlign w:val="subscript"/>
        </w:rPr>
        <w:t>3</w:t>
      </w:r>
      <w:r w:rsidRPr="000E2377">
        <w:rPr>
          <w:rFonts w:cs="Times New Roman"/>
          <w:b w:val="0"/>
          <w:szCs w:val="24"/>
        </w:rPr>
        <w:t xml:space="preserve">, </w:t>
      </w:r>
      <w:proofErr w:type="spellStart"/>
      <w:r w:rsidRPr="000E2377">
        <w:rPr>
          <w:rFonts w:cs="Times New Roman"/>
          <w:b w:val="0"/>
          <w:szCs w:val="24"/>
        </w:rPr>
        <w:t>SrO</w:t>
      </w:r>
      <w:proofErr w:type="spellEnd"/>
      <w:r w:rsidRPr="000E2377">
        <w:rPr>
          <w:rFonts w:cs="Times New Roman"/>
          <w:b w:val="0"/>
          <w:szCs w:val="24"/>
        </w:rPr>
        <w:t>, and Zr</w:t>
      </w:r>
      <w:r w:rsidRPr="000E2377">
        <w:rPr>
          <w:rFonts w:cs="Times New Roman"/>
          <w:b w:val="0"/>
          <w:szCs w:val="24"/>
          <w:vertAlign w:val="subscript"/>
        </w:rPr>
        <w:t>2</w:t>
      </w:r>
      <w:r w:rsidRPr="000E2377">
        <w:rPr>
          <w:rFonts w:cs="Times New Roman"/>
          <w:b w:val="0"/>
          <w:szCs w:val="24"/>
        </w:rPr>
        <w:t>O</w:t>
      </w:r>
      <w:r w:rsidRPr="000E2377">
        <w:rPr>
          <w:rFonts w:cs="Times New Roman"/>
          <w:b w:val="0"/>
          <w:szCs w:val="24"/>
          <w:vertAlign w:val="subscript"/>
        </w:rPr>
        <w:t>3</w:t>
      </w:r>
      <w:r w:rsidRPr="000E2377">
        <w:rPr>
          <w:rFonts w:cs="Times New Roman"/>
          <w:b w:val="0"/>
          <w:szCs w:val="24"/>
        </w:rPr>
        <w:t xml:space="preserve"> are </w:t>
      </w:r>
      <w:r>
        <w:rPr>
          <w:rFonts w:cs="Times New Roman"/>
          <w:b w:val="0"/>
          <w:szCs w:val="24"/>
        </w:rPr>
        <w:t>found</w:t>
      </w:r>
      <w:r w:rsidRPr="000E2377">
        <w:rPr>
          <w:rFonts w:cs="Times New Roman"/>
          <w:b w:val="0"/>
          <w:szCs w:val="24"/>
        </w:rPr>
        <w:t xml:space="preserve"> in some composition</w:t>
      </w:r>
      <w:r>
        <w:rPr>
          <w:rFonts w:cs="Times New Roman"/>
          <w:b w:val="0"/>
          <w:szCs w:val="24"/>
        </w:rPr>
        <w:t>s</w:t>
      </w:r>
      <w:r w:rsidRPr="000E2377">
        <w:rPr>
          <w:rFonts w:cs="Times New Roman"/>
          <w:b w:val="0"/>
          <w:szCs w:val="24"/>
        </w:rPr>
        <w:t>.</w:t>
      </w:r>
    </w:p>
    <w:p w14:paraId="67548B74" w14:textId="77777777" w:rsidR="00D740DC" w:rsidRPr="000E2377" w:rsidRDefault="00D740DC" w:rsidP="00D740DC">
      <w:pPr>
        <w:spacing w:line="240" w:lineRule="auto"/>
        <w:jc w:val="center"/>
        <w:rPr>
          <w:rFonts w:eastAsia="Calibri" w:cs="Times New Roman"/>
          <w:bCs/>
          <w:szCs w:val="24"/>
          <w:lang w:val="en-GB"/>
        </w:rPr>
      </w:pPr>
    </w:p>
    <w:p w14:paraId="3176D7D4" w14:textId="77777777" w:rsidR="00D740DC" w:rsidRPr="000E2377" w:rsidRDefault="00D740DC" w:rsidP="00D740DC">
      <w:pPr>
        <w:spacing w:line="240" w:lineRule="auto"/>
        <w:jc w:val="center"/>
        <w:rPr>
          <w:rFonts w:eastAsia="Calibri" w:cs="Times New Roman"/>
          <w:bCs/>
          <w:szCs w:val="24"/>
          <w:lang w:val="en-GB"/>
        </w:rPr>
      </w:pPr>
    </w:p>
    <w:p w14:paraId="3742AF11" w14:textId="77777777" w:rsidR="00D740DC" w:rsidRPr="000E2377" w:rsidRDefault="00D740DC" w:rsidP="00D740DC">
      <w:pPr>
        <w:spacing w:line="240" w:lineRule="auto"/>
        <w:jc w:val="center"/>
        <w:rPr>
          <w:rFonts w:eastAsia="Calibri" w:cs="Times New Roman"/>
          <w:bCs/>
          <w:szCs w:val="24"/>
          <w:lang w:val="en-GB"/>
        </w:rPr>
        <w:sectPr w:rsidR="00D740DC" w:rsidRPr="000E2377" w:rsidSect="00A52387">
          <w:pgSz w:w="11906" w:h="16838"/>
          <w:pgMar w:top="1440" w:right="1440" w:bottom="1440" w:left="1440" w:header="708" w:footer="708" w:gutter="0"/>
          <w:pgNumType w:start="1"/>
          <w:cols w:space="708"/>
          <w:docGrid w:linePitch="360"/>
        </w:sectPr>
      </w:pPr>
    </w:p>
    <w:p w14:paraId="1442EADB" w14:textId="24C87155" w:rsidR="00D740DC" w:rsidRPr="000E2377" w:rsidRDefault="00D740DC" w:rsidP="00D740DC">
      <w:pPr>
        <w:jc w:val="both"/>
        <w:rPr>
          <w:rFonts w:eastAsia="Calibri" w:cs="Times New Roman"/>
          <w:szCs w:val="24"/>
          <w:lang w:val="en-GB"/>
        </w:rPr>
      </w:pPr>
      <w:bookmarkStart w:id="658" w:name="_Hlk10985631"/>
      <w:bookmarkStart w:id="659" w:name="_Hlk519604118"/>
      <w:r w:rsidRPr="000E2377">
        <w:lastRenderedPageBreak/>
        <w:t xml:space="preserve">Table </w:t>
      </w:r>
      <w:r>
        <w:t>4</w:t>
      </w:r>
      <w:r w:rsidRPr="000E2377">
        <w:t>.</w:t>
      </w:r>
      <w:r>
        <w:rPr>
          <w:noProof/>
        </w:rPr>
        <w:fldChar w:fldCharType="begin"/>
      </w:r>
      <w:r>
        <w:rPr>
          <w:noProof/>
        </w:rPr>
        <w:instrText xml:space="preserve"> SEQ Table \* ARABIC \s 1 </w:instrText>
      </w:r>
      <w:r>
        <w:rPr>
          <w:noProof/>
        </w:rPr>
        <w:fldChar w:fldCharType="separate"/>
      </w:r>
      <w:r w:rsidR="00C827AE">
        <w:rPr>
          <w:noProof/>
        </w:rPr>
        <w:t>1</w:t>
      </w:r>
      <w:r>
        <w:rPr>
          <w:noProof/>
        </w:rPr>
        <w:fldChar w:fldCharType="end"/>
      </w:r>
      <w:r w:rsidRPr="000E2377">
        <w:rPr>
          <w:bCs/>
          <w:szCs w:val="24"/>
        </w:rPr>
        <w:t xml:space="preserve">: Analysed glass compositions </w:t>
      </w:r>
      <w:r>
        <w:rPr>
          <w:bCs/>
          <w:szCs w:val="24"/>
        </w:rPr>
        <w:t xml:space="preserve">for some of the glasses produced </w:t>
      </w:r>
      <w:r w:rsidRPr="000E2377">
        <w:rPr>
          <w:bCs/>
          <w:szCs w:val="24"/>
        </w:rPr>
        <w:t>(</w:t>
      </w:r>
      <w:proofErr w:type="spellStart"/>
      <w:r w:rsidRPr="000E2377">
        <w:rPr>
          <w:bCs/>
          <w:szCs w:val="24"/>
        </w:rPr>
        <w:t>wt</w:t>
      </w:r>
      <w:proofErr w:type="spellEnd"/>
      <w:r w:rsidRPr="000E2377">
        <w:rPr>
          <w:bCs/>
          <w:szCs w:val="24"/>
        </w:rPr>
        <w:t xml:space="preserve"> %); ICP-OES </w:t>
      </w:r>
      <w:r>
        <w:rPr>
          <w:bCs/>
          <w:szCs w:val="24"/>
        </w:rPr>
        <w:t>for selected glasses and XRF for all glasses.  A</w:t>
      </w:r>
      <w:r w:rsidRPr="000E2377">
        <w:rPr>
          <w:bCs/>
          <w:szCs w:val="24"/>
        </w:rPr>
        <w:t xml:space="preserve">nalysis data normalised to 100 </w:t>
      </w:r>
      <w:proofErr w:type="spellStart"/>
      <w:r w:rsidRPr="000E2377">
        <w:rPr>
          <w:bCs/>
          <w:szCs w:val="24"/>
        </w:rPr>
        <w:t>wt</w:t>
      </w:r>
      <w:proofErr w:type="spellEnd"/>
      <w:r>
        <w:rPr>
          <w:bCs/>
          <w:szCs w:val="24"/>
        </w:rPr>
        <w:t xml:space="preserve">%. </w:t>
      </w:r>
      <w:bookmarkEnd w:id="658"/>
      <w:r>
        <w:rPr>
          <w:bCs/>
          <w:szCs w:val="24"/>
        </w:rPr>
        <w:t>(</w:t>
      </w:r>
      <w:r w:rsidRPr="00176B85">
        <w:rPr>
          <w:bCs/>
          <w:i/>
          <w:szCs w:val="24"/>
        </w:rPr>
        <w:t>Continue</w:t>
      </w:r>
      <w:r>
        <w:rPr>
          <w:bCs/>
          <w:i/>
          <w:szCs w:val="24"/>
        </w:rPr>
        <w:t>d on</w:t>
      </w:r>
      <w:r w:rsidRPr="00176B85">
        <w:rPr>
          <w:bCs/>
          <w:i/>
          <w:szCs w:val="24"/>
        </w:rPr>
        <w:t xml:space="preserve"> next page</w:t>
      </w:r>
      <w:r>
        <w:rPr>
          <w:bCs/>
          <w:szCs w:val="24"/>
        </w:rPr>
        <w:t>)</w:t>
      </w:r>
    </w:p>
    <w:tbl>
      <w:tblPr>
        <w:tblW w:w="14540" w:type="dxa"/>
        <w:tblLook w:val="04A0" w:firstRow="1" w:lastRow="0" w:firstColumn="1" w:lastColumn="0" w:noHBand="0" w:noVBand="1"/>
      </w:tblPr>
      <w:tblGrid>
        <w:gridCol w:w="754"/>
        <w:gridCol w:w="2160"/>
        <w:gridCol w:w="3420"/>
        <w:gridCol w:w="960"/>
        <w:gridCol w:w="960"/>
        <w:gridCol w:w="960"/>
        <w:gridCol w:w="960"/>
        <w:gridCol w:w="960"/>
        <w:gridCol w:w="960"/>
        <w:gridCol w:w="960"/>
        <w:gridCol w:w="760"/>
        <w:gridCol w:w="956"/>
      </w:tblGrid>
      <w:tr w:rsidR="00D740DC" w:rsidRPr="000B5B7F" w14:paraId="5B2082B3" w14:textId="77777777" w:rsidTr="00B11F5F">
        <w:trPr>
          <w:trHeight w:val="360"/>
        </w:trPr>
        <w:tc>
          <w:tcPr>
            <w:tcW w:w="620" w:type="dxa"/>
            <w:tcBorders>
              <w:top w:val="single" w:sz="4" w:space="0" w:color="auto"/>
              <w:left w:val="nil"/>
              <w:bottom w:val="single" w:sz="4" w:space="0" w:color="auto"/>
              <w:right w:val="nil"/>
            </w:tcBorders>
            <w:shd w:val="clear" w:color="auto" w:fill="auto"/>
            <w:noWrap/>
            <w:vAlign w:val="center"/>
            <w:hideMark/>
          </w:tcPr>
          <w:p w14:paraId="66389891" w14:textId="77777777" w:rsidR="00D740DC" w:rsidRPr="000B5B7F" w:rsidRDefault="00D740DC" w:rsidP="00B11F5F">
            <w:pPr>
              <w:spacing w:after="0" w:line="240" w:lineRule="auto"/>
              <w:jc w:val="center"/>
              <w:rPr>
                <w:rFonts w:eastAsia="Times New Roman" w:cs="Times New Roman"/>
                <w:b w:val="0"/>
                <w:color w:val="000000"/>
                <w:sz w:val="22"/>
                <w:lang w:eastAsia="en-MY"/>
              </w:rPr>
            </w:pPr>
            <w:r w:rsidRPr="000B5B7F">
              <w:rPr>
                <w:rFonts w:eastAsia="Times New Roman" w:cs="Times New Roman"/>
                <w:b w:val="0"/>
                <w:color w:val="000000"/>
                <w:sz w:val="22"/>
                <w:lang w:eastAsia="en-MY"/>
              </w:rPr>
              <w:t>Series</w:t>
            </w:r>
          </w:p>
        </w:tc>
        <w:tc>
          <w:tcPr>
            <w:tcW w:w="2160" w:type="dxa"/>
            <w:tcBorders>
              <w:top w:val="single" w:sz="4" w:space="0" w:color="auto"/>
              <w:left w:val="nil"/>
              <w:bottom w:val="nil"/>
              <w:right w:val="nil"/>
            </w:tcBorders>
            <w:shd w:val="clear" w:color="auto" w:fill="auto"/>
            <w:noWrap/>
            <w:vAlign w:val="center"/>
            <w:hideMark/>
          </w:tcPr>
          <w:p w14:paraId="2441D7AE"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Glass ID</w:t>
            </w:r>
          </w:p>
        </w:tc>
        <w:tc>
          <w:tcPr>
            <w:tcW w:w="3420" w:type="dxa"/>
            <w:tcBorders>
              <w:top w:val="single" w:sz="4" w:space="0" w:color="auto"/>
              <w:left w:val="nil"/>
              <w:bottom w:val="single" w:sz="4" w:space="0" w:color="auto"/>
              <w:right w:val="nil"/>
            </w:tcBorders>
            <w:shd w:val="clear" w:color="auto" w:fill="auto"/>
            <w:noWrap/>
            <w:vAlign w:val="center"/>
            <w:hideMark/>
          </w:tcPr>
          <w:p w14:paraId="0CFC025C"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Types</w:t>
            </w:r>
          </w:p>
        </w:tc>
        <w:tc>
          <w:tcPr>
            <w:tcW w:w="960" w:type="dxa"/>
            <w:tcBorders>
              <w:top w:val="single" w:sz="4" w:space="0" w:color="auto"/>
              <w:left w:val="nil"/>
              <w:bottom w:val="single" w:sz="4" w:space="0" w:color="auto"/>
              <w:right w:val="nil"/>
            </w:tcBorders>
            <w:shd w:val="clear" w:color="auto" w:fill="auto"/>
            <w:noWrap/>
            <w:vAlign w:val="center"/>
            <w:hideMark/>
          </w:tcPr>
          <w:p w14:paraId="3AF3363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SiO</w:t>
            </w:r>
            <w:r w:rsidRPr="00C9418A">
              <w:rPr>
                <w:rFonts w:eastAsia="Times New Roman" w:cs="Times New Roman"/>
                <w:b w:val="0"/>
                <w:sz w:val="18"/>
                <w:szCs w:val="18"/>
                <w:vertAlign w:val="subscript"/>
                <w:lang w:eastAsia="en-MY"/>
              </w:rPr>
              <w:t>2</w:t>
            </w:r>
          </w:p>
        </w:tc>
        <w:tc>
          <w:tcPr>
            <w:tcW w:w="960" w:type="dxa"/>
            <w:tcBorders>
              <w:top w:val="single" w:sz="4" w:space="0" w:color="auto"/>
              <w:left w:val="nil"/>
              <w:bottom w:val="single" w:sz="4" w:space="0" w:color="auto"/>
              <w:right w:val="nil"/>
            </w:tcBorders>
            <w:shd w:val="clear" w:color="auto" w:fill="auto"/>
            <w:noWrap/>
            <w:vAlign w:val="center"/>
            <w:hideMark/>
          </w:tcPr>
          <w:p w14:paraId="1F740865"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Al</w:t>
            </w:r>
            <w:r w:rsidRPr="00C9418A">
              <w:rPr>
                <w:rFonts w:eastAsia="Times New Roman" w:cs="Times New Roman"/>
                <w:b w:val="0"/>
                <w:sz w:val="18"/>
                <w:szCs w:val="18"/>
                <w:vertAlign w:val="subscript"/>
                <w:lang w:eastAsia="en-MY"/>
              </w:rPr>
              <w:t>2</w:t>
            </w:r>
            <w:r w:rsidRPr="00C9418A">
              <w:rPr>
                <w:rFonts w:eastAsia="Times New Roman" w:cs="Times New Roman"/>
                <w:b w:val="0"/>
                <w:sz w:val="18"/>
                <w:szCs w:val="18"/>
                <w:lang w:eastAsia="en-MY"/>
              </w:rPr>
              <w:t>O</w:t>
            </w:r>
            <w:r w:rsidRPr="00C9418A">
              <w:rPr>
                <w:rFonts w:eastAsia="Times New Roman" w:cs="Times New Roman"/>
                <w:b w:val="0"/>
                <w:sz w:val="18"/>
                <w:szCs w:val="18"/>
                <w:vertAlign w:val="subscript"/>
                <w:lang w:eastAsia="en-MY"/>
              </w:rPr>
              <w:t>3</w:t>
            </w:r>
          </w:p>
        </w:tc>
        <w:tc>
          <w:tcPr>
            <w:tcW w:w="960" w:type="dxa"/>
            <w:tcBorders>
              <w:top w:val="single" w:sz="4" w:space="0" w:color="auto"/>
              <w:left w:val="nil"/>
              <w:bottom w:val="single" w:sz="4" w:space="0" w:color="auto"/>
              <w:right w:val="nil"/>
            </w:tcBorders>
            <w:shd w:val="clear" w:color="auto" w:fill="auto"/>
            <w:noWrap/>
            <w:vAlign w:val="center"/>
            <w:hideMark/>
          </w:tcPr>
          <w:p w14:paraId="4172BC72"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B</w:t>
            </w:r>
            <w:r w:rsidRPr="00C9418A">
              <w:rPr>
                <w:rFonts w:eastAsia="Times New Roman" w:cs="Times New Roman"/>
                <w:b w:val="0"/>
                <w:sz w:val="18"/>
                <w:szCs w:val="18"/>
                <w:vertAlign w:val="subscript"/>
                <w:lang w:eastAsia="en-MY"/>
              </w:rPr>
              <w:t>2</w:t>
            </w:r>
            <w:r w:rsidRPr="00C9418A">
              <w:rPr>
                <w:rFonts w:eastAsia="Times New Roman" w:cs="Times New Roman"/>
                <w:b w:val="0"/>
                <w:sz w:val="18"/>
                <w:szCs w:val="18"/>
                <w:lang w:eastAsia="en-MY"/>
              </w:rPr>
              <w:t>O</w:t>
            </w:r>
            <w:r w:rsidRPr="00C9418A">
              <w:rPr>
                <w:rFonts w:eastAsia="Times New Roman" w:cs="Times New Roman"/>
                <w:b w:val="0"/>
                <w:sz w:val="18"/>
                <w:szCs w:val="18"/>
                <w:vertAlign w:val="subscript"/>
                <w:lang w:eastAsia="en-MY"/>
              </w:rPr>
              <w:t>3</w:t>
            </w:r>
          </w:p>
        </w:tc>
        <w:tc>
          <w:tcPr>
            <w:tcW w:w="960" w:type="dxa"/>
            <w:tcBorders>
              <w:top w:val="single" w:sz="4" w:space="0" w:color="auto"/>
              <w:left w:val="nil"/>
              <w:bottom w:val="single" w:sz="4" w:space="0" w:color="auto"/>
              <w:right w:val="nil"/>
            </w:tcBorders>
            <w:shd w:val="clear" w:color="auto" w:fill="auto"/>
            <w:noWrap/>
            <w:vAlign w:val="center"/>
            <w:hideMark/>
          </w:tcPr>
          <w:p w14:paraId="69B42C44"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Na</w:t>
            </w:r>
            <w:r w:rsidRPr="00C9418A">
              <w:rPr>
                <w:rFonts w:eastAsia="Times New Roman" w:cs="Times New Roman"/>
                <w:b w:val="0"/>
                <w:sz w:val="18"/>
                <w:szCs w:val="18"/>
                <w:vertAlign w:val="subscript"/>
                <w:lang w:eastAsia="en-MY"/>
              </w:rPr>
              <w:t>2</w:t>
            </w:r>
            <w:r w:rsidRPr="00C9418A">
              <w:rPr>
                <w:rFonts w:eastAsia="Times New Roman" w:cs="Times New Roman"/>
                <w:b w:val="0"/>
                <w:sz w:val="18"/>
                <w:szCs w:val="18"/>
                <w:lang w:eastAsia="en-MY"/>
              </w:rPr>
              <w:t>O</w:t>
            </w:r>
          </w:p>
        </w:tc>
        <w:tc>
          <w:tcPr>
            <w:tcW w:w="960" w:type="dxa"/>
            <w:tcBorders>
              <w:top w:val="single" w:sz="4" w:space="0" w:color="auto"/>
              <w:left w:val="nil"/>
              <w:bottom w:val="single" w:sz="4" w:space="0" w:color="auto"/>
              <w:right w:val="nil"/>
            </w:tcBorders>
            <w:shd w:val="clear" w:color="auto" w:fill="auto"/>
            <w:noWrap/>
            <w:vAlign w:val="center"/>
            <w:hideMark/>
          </w:tcPr>
          <w:p w14:paraId="40131827" w14:textId="77777777" w:rsidR="00D740DC" w:rsidRPr="00C9418A" w:rsidRDefault="00D740DC" w:rsidP="00B11F5F">
            <w:pPr>
              <w:spacing w:after="0" w:line="240" w:lineRule="auto"/>
              <w:jc w:val="center"/>
              <w:rPr>
                <w:rFonts w:eastAsia="Times New Roman" w:cs="Times New Roman"/>
                <w:b w:val="0"/>
                <w:sz w:val="18"/>
                <w:szCs w:val="18"/>
                <w:lang w:eastAsia="en-MY"/>
              </w:rPr>
            </w:pPr>
            <w:proofErr w:type="spellStart"/>
            <w:r w:rsidRPr="00C9418A">
              <w:rPr>
                <w:rFonts w:eastAsia="Times New Roman" w:cs="Times New Roman"/>
                <w:b w:val="0"/>
                <w:sz w:val="18"/>
                <w:szCs w:val="18"/>
                <w:lang w:eastAsia="en-MY"/>
              </w:rPr>
              <w:t>CaO</w:t>
            </w:r>
            <w:proofErr w:type="spellEnd"/>
          </w:p>
        </w:tc>
        <w:tc>
          <w:tcPr>
            <w:tcW w:w="960" w:type="dxa"/>
            <w:tcBorders>
              <w:top w:val="single" w:sz="4" w:space="0" w:color="auto"/>
              <w:left w:val="nil"/>
              <w:bottom w:val="single" w:sz="4" w:space="0" w:color="auto"/>
              <w:right w:val="nil"/>
            </w:tcBorders>
            <w:shd w:val="clear" w:color="auto" w:fill="auto"/>
            <w:noWrap/>
            <w:vAlign w:val="center"/>
            <w:hideMark/>
          </w:tcPr>
          <w:p w14:paraId="379255C7"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MgO</w:t>
            </w:r>
          </w:p>
        </w:tc>
        <w:tc>
          <w:tcPr>
            <w:tcW w:w="960" w:type="dxa"/>
            <w:tcBorders>
              <w:top w:val="single" w:sz="4" w:space="0" w:color="auto"/>
              <w:left w:val="nil"/>
              <w:bottom w:val="single" w:sz="4" w:space="0" w:color="auto"/>
              <w:right w:val="nil"/>
            </w:tcBorders>
            <w:shd w:val="clear" w:color="auto" w:fill="auto"/>
            <w:noWrap/>
            <w:vAlign w:val="center"/>
            <w:hideMark/>
          </w:tcPr>
          <w:p w14:paraId="03F18352" w14:textId="77777777" w:rsidR="00D740DC" w:rsidRPr="00C9418A" w:rsidRDefault="00D740DC" w:rsidP="00B11F5F">
            <w:pPr>
              <w:spacing w:after="0" w:line="240" w:lineRule="auto"/>
              <w:jc w:val="center"/>
              <w:rPr>
                <w:rFonts w:eastAsia="Times New Roman" w:cs="Times New Roman"/>
                <w:b w:val="0"/>
                <w:sz w:val="18"/>
                <w:szCs w:val="18"/>
                <w:lang w:eastAsia="en-MY"/>
              </w:rPr>
            </w:pPr>
            <w:proofErr w:type="spellStart"/>
            <w:r w:rsidRPr="00C9418A">
              <w:rPr>
                <w:rFonts w:eastAsia="Times New Roman" w:cs="Times New Roman"/>
                <w:b w:val="0"/>
                <w:sz w:val="18"/>
                <w:szCs w:val="18"/>
                <w:lang w:eastAsia="en-MY"/>
              </w:rPr>
              <w:t>BaO</w:t>
            </w:r>
            <w:proofErr w:type="spellEnd"/>
          </w:p>
        </w:tc>
        <w:tc>
          <w:tcPr>
            <w:tcW w:w="760" w:type="dxa"/>
            <w:tcBorders>
              <w:top w:val="single" w:sz="4" w:space="0" w:color="auto"/>
              <w:left w:val="nil"/>
              <w:bottom w:val="single" w:sz="4" w:space="0" w:color="auto"/>
              <w:right w:val="nil"/>
            </w:tcBorders>
            <w:shd w:val="clear" w:color="auto" w:fill="auto"/>
            <w:noWrap/>
            <w:vAlign w:val="center"/>
            <w:hideMark/>
          </w:tcPr>
          <w:p w14:paraId="634793F7"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SO</w:t>
            </w:r>
            <w:r w:rsidRPr="00C9418A">
              <w:rPr>
                <w:rFonts w:eastAsia="Times New Roman" w:cs="Times New Roman"/>
                <w:b w:val="0"/>
                <w:sz w:val="18"/>
                <w:szCs w:val="18"/>
                <w:vertAlign w:val="subscript"/>
                <w:lang w:eastAsia="en-MY"/>
              </w:rPr>
              <w:t>3</w:t>
            </w:r>
          </w:p>
        </w:tc>
        <w:tc>
          <w:tcPr>
            <w:tcW w:w="860" w:type="dxa"/>
            <w:tcBorders>
              <w:top w:val="single" w:sz="4" w:space="0" w:color="auto"/>
              <w:left w:val="nil"/>
              <w:bottom w:val="single" w:sz="4" w:space="0" w:color="auto"/>
              <w:right w:val="nil"/>
            </w:tcBorders>
            <w:shd w:val="clear" w:color="auto" w:fill="auto"/>
            <w:noWrap/>
            <w:vAlign w:val="center"/>
            <w:hideMark/>
          </w:tcPr>
          <w:p w14:paraId="4C0446E4"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Impurities</w:t>
            </w:r>
          </w:p>
        </w:tc>
      </w:tr>
      <w:tr w:rsidR="00D740DC" w:rsidRPr="000B5B7F" w14:paraId="16189DD3" w14:textId="77777777" w:rsidTr="00B11F5F">
        <w:trPr>
          <w:trHeight w:val="300"/>
        </w:trPr>
        <w:tc>
          <w:tcPr>
            <w:tcW w:w="620" w:type="dxa"/>
            <w:vMerge w:val="restart"/>
            <w:tcBorders>
              <w:top w:val="nil"/>
              <w:left w:val="nil"/>
              <w:bottom w:val="single" w:sz="4" w:space="0" w:color="000000"/>
              <w:right w:val="nil"/>
            </w:tcBorders>
            <w:shd w:val="clear" w:color="auto" w:fill="auto"/>
            <w:textDirection w:val="btLr"/>
            <w:vAlign w:val="center"/>
            <w:hideMark/>
          </w:tcPr>
          <w:p w14:paraId="0943001F" w14:textId="77777777" w:rsidR="00D740DC" w:rsidRPr="00CE3CFA" w:rsidRDefault="00D740DC" w:rsidP="00B11F5F">
            <w:pPr>
              <w:spacing w:after="0" w:line="240" w:lineRule="auto"/>
              <w:jc w:val="center"/>
              <w:rPr>
                <w:rFonts w:eastAsia="Times New Roman" w:cs="Times New Roman"/>
                <w:color w:val="000000"/>
                <w:szCs w:val="24"/>
                <w:lang w:eastAsia="en-MY"/>
              </w:rPr>
            </w:pPr>
            <w:r w:rsidRPr="00CE3CFA">
              <w:rPr>
                <w:rFonts w:eastAsia="Times New Roman" w:cs="Times New Roman"/>
                <w:color w:val="000000"/>
                <w:szCs w:val="24"/>
                <w:lang w:eastAsia="en-MY"/>
              </w:rPr>
              <w:t>N</w:t>
            </w:r>
            <w:r w:rsidRPr="00CE3CFA">
              <w:rPr>
                <w:rFonts w:eastAsia="Times New Roman" w:cs="Times New Roman"/>
                <w:color w:val="000000"/>
                <w:szCs w:val="24"/>
                <w:vertAlign w:val="subscript"/>
                <w:lang w:eastAsia="en-MY"/>
              </w:rPr>
              <w:t>7.6</w:t>
            </w:r>
            <w:r w:rsidRPr="00CE3CFA">
              <w:rPr>
                <w:rFonts w:eastAsia="Times New Roman" w:cs="Times New Roman"/>
                <w:color w:val="000000"/>
                <w:szCs w:val="24"/>
                <w:lang w:eastAsia="en-MY"/>
              </w:rPr>
              <w:t>C</w:t>
            </w:r>
            <w:r w:rsidRPr="00CE3CFA">
              <w:rPr>
                <w:rFonts w:eastAsia="Times New Roman" w:cs="Times New Roman"/>
                <w:color w:val="000000"/>
                <w:szCs w:val="24"/>
                <w:vertAlign w:val="subscript"/>
                <w:lang w:eastAsia="en-MY"/>
              </w:rPr>
              <w:t>3.0</w:t>
            </w:r>
            <w:r w:rsidRPr="00CE3CFA">
              <w:rPr>
                <w:rFonts w:eastAsia="Times New Roman" w:cs="Times New Roman"/>
                <w:color w:val="000000"/>
                <w:szCs w:val="24"/>
                <w:lang w:eastAsia="en-MY"/>
              </w:rPr>
              <w:t>B</w:t>
            </w:r>
            <w:r w:rsidRPr="00CE3CFA">
              <w:rPr>
                <w:rFonts w:eastAsia="Times New Roman" w:cs="Times New Roman"/>
                <w:color w:val="000000"/>
                <w:szCs w:val="24"/>
                <w:vertAlign w:val="subscript"/>
                <w:lang w:eastAsia="en-MY"/>
              </w:rPr>
              <w:t>7.6</w:t>
            </w:r>
            <w:r w:rsidRPr="00CE3CFA">
              <w:rPr>
                <w:rFonts w:eastAsia="Times New Roman" w:cs="Times New Roman"/>
                <w:color w:val="000000"/>
                <w:szCs w:val="24"/>
                <w:lang w:eastAsia="en-MY"/>
              </w:rPr>
              <w:t>M</w:t>
            </w:r>
            <w:r w:rsidRPr="00CE3CFA">
              <w:rPr>
                <w:rFonts w:eastAsia="Times New Roman" w:cs="Times New Roman"/>
                <w:color w:val="000000"/>
                <w:szCs w:val="24"/>
                <w:vertAlign w:val="subscript"/>
                <w:lang w:eastAsia="en-MY"/>
              </w:rPr>
              <w:t>1.1</w:t>
            </w:r>
            <w:r w:rsidRPr="00CE3CFA">
              <w:rPr>
                <w:rFonts w:eastAsia="Times New Roman" w:cs="Times New Roman"/>
                <w:color w:val="000000"/>
                <w:szCs w:val="24"/>
                <w:lang w:eastAsia="en-MY"/>
              </w:rPr>
              <w:t>S</w:t>
            </w:r>
            <w:r w:rsidRPr="00CE3CFA">
              <w:rPr>
                <w:rFonts w:eastAsia="Times New Roman" w:cs="Times New Roman"/>
                <w:color w:val="000000"/>
                <w:szCs w:val="24"/>
                <w:vertAlign w:val="subscript"/>
                <w:lang w:eastAsia="en-MY"/>
              </w:rPr>
              <w:t>89.7-x</w:t>
            </w:r>
            <w:r w:rsidRPr="00CE3CFA">
              <w:rPr>
                <w:rFonts w:eastAsia="Times New Roman" w:cs="Times New Roman"/>
                <w:color w:val="000000"/>
                <w:szCs w:val="24"/>
                <w:lang w:eastAsia="en-MY"/>
              </w:rPr>
              <w:t>A</w:t>
            </w:r>
            <w:r w:rsidRPr="00CE3CFA">
              <w:rPr>
                <w:rFonts w:eastAsia="Times New Roman" w:cs="Times New Roman"/>
                <w:color w:val="000000"/>
                <w:szCs w:val="24"/>
                <w:vertAlign w:val="subscript"/>
                <w:lang w:eastAsia="en-MY"/>
              </w:rPr>
              <w:t>x</w:t>
            </w:r>
          </w:p>
        </w:tc>
        <w:tc>
          <w:tcPr>
            <w:tcW w:w="2160" w:type="dxa"/>
            <w:vMerge w:val="restart"/>
            <w:tcBorders>
              <w:top w:val="single" w:sz="4" w:space="0" w:color="auto"/>
              <w:left w:val="nil"/>
              <w:bottom w:val="single" w:sz="4" w:space="0" w:color="000000"/>
              <w:right w:val="nil"/>
            </w:tcBorders>
            <w:shd w:val="clear" w:color="auto" w:fill="auto"/>
            <w:noWrap/>
            <w:vAlign w:val="center"/>
            <w:hideMark/>
          </w:tcPr>
          <w:p w14:paraId="6A6858BC"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N</w:t>
            </w:r>
            <w:r w:rsidRPr="000B5B7F">
              <w:rPr>
                <w:rFonts w:eastAsia="Times New Roman" w:cs="Times New Roman"/>
                <w:b w:val="0"/>
                <w:color w:val="000000"/>
                <w:sz w:val="18"/>
                <w:szCs w:val="18"/>
                <w:vertAlign w:val="subscript"/>
                <w:lang w:eastAsia="en-MY"/>
              </w:rPr>
              <w:t>7.6</w:t>
            </w:r>
            <w:r w:rsidRPr="000B5B7F">
              <w:rPr>
                <w:rFonts w:eastAsia="Times New Roman" w:cs="Times New Roman"/>
                <w:b w:val="0"/>
                <w:color w:val="000000"/>
                <w:sz w:val="18"/>
                <w:szCs w:val="18"/>
                <w:lang w:eastAsia="en-MY"/>
              </w:rPr>
              <w:t>C</w:t>
            </w:r>
            <w:r w:rsidRPr="000B5B7F">
              <w:rPr>
                <w:rFonts w:eastAsia="Times New Roman" w:cs="Times New Roman"/>
                <w:b w:val="0"/>
                <w:color w:val="000000"/>
                <w:sz w:val="18"/>
                <w:szCs w:val="18"/>
                <w:vertAlign w:val="subscript"/>
                <w:lang w:eastAsia="en-MY"/>
              </w:rPr>
              <w:t>3.0</w:t>
            </w:r>
            <w:r w:rsidRPr="000B5B7F">
              <w:rPr>
                <w:rFonts w:eastAsia="Times New Roman" w:cs="Times New Roman"/>
                <w:b w:val="0"/>
                <w:color w:val="000000"/>
                <w:sz w:val="18"/>
                <w:szCs w:val="18"/>
                <w:lang w:eastAsia="en-MY"/>
              </w:rPr>
              <w:t>B</w:t>
            </w:r>
            <w:r w:rsidRPr="000B5B7F">
              <w:rPr>
                <w:rFonts w:eastAsia="Times New Roman" w:cs="Times New Roman"/>
                <w:b w:val="0"/>
                <w:color w:val="000000"/>
                <w:sz w:val="18"/>
                <w:szCs w:val="18"/>
                <w:vertAlign w:val="subscript"/>
                <w:lang w:eastAsia="en-MY"/>
              </w:rPr>
              <w:t>7.6</w:t>
            </w:r>
            <w:r w:rsidRPr="000B5B7F">
              <w:rPr>
                <w:rFonts w:eastAsia="Times New Roman" w:cs="Times New Roman"/>
                <w:b w:val="0"/>
                <w:color w:val="000000"/>
                <w:sz w:val="18"/>
                <w:szCs w:val="18"/>
                <w:lang w:eastAsia="en-MY"/>
              </w:rPr>
              <w:t>M</w:t>
            </w:r>
            <w:r w:rsidRPr="000B5B7F">
              <w:rPr>
                <w:rFonts w:eastAsia="Times New Roman" w:cs="Times New Roman"/>
                <w:b w:val="0"/>
                <w:color w:val="000000"/>
                <w:sz w:val="18"/>
                <w:szCs w:val="18"/>
                <w:vertAlign w:val="subscript"/>
                <w:lang w:eastAsia="en-MY"/>
              </w:rPr>
              <w:t>1.1</w:t>
            </w:r>
            <w:r w:rsidRPr="000B5B7F">
              <w:rPr>
                <w:rFonts w:eastAsia="Times New Roman" w:cs="Times New Roman"/>
                <w:b w:val="0"/>
                <w:color w:val="000000"/>
                <w:sz w:val="18"/>
                <w:szCs w:val="18"/>
                <w:lang w:eastAsia="en-MY"/>
              </w:rPr>
              <w:t>S</w:t>
            </w:r>
            <w:r w:rsidRPr="000B5B7F">
              <w:rPr>
                <w:rFonts w:eastAsia="Times New Roman" w:cs="Times New Roman"/>
                <w:b w:val="0"/>
                <w:color w:val="000000"/>
                <w:sz w:val="18"/>
                <w:szCs w:val="18"/>
                <w:vertAlign w:val="subscript"/>
                <w:lang w:eastAsia="en-MY"/>
              </w:rPr>
              <w:t>79.7</w:t>
            </w:r>
            <w:r w:rsidRPr="000B5B7F">
              <w:rPr>
                <w:rFonts w:eastAsia="Times New Roman" w:cs="Times New Roman"/>
                <w:b w:val="0"/>
                <w:color w:val="000000"/>
                <w:sz w:val="18"/>
                <w:szCs w:val="18"/>
                <w:lang w:eastAsia="en-MY"/>
              </w:rPr>
              <w:t xml:space="preserve">A </w:t>
            </w:r>
            <w:r w:rsidRPr="000B5B7F">
              <w:rPr>
                <w:rFonts w:eastAsia="Times New Roman" w:cs="Times New Roman"/>
                <w:b w:val="0"/>
                <w:color w:val="000000"/>
                <w:sz w:val="18"/>
                <w:szCs w:val="18"/>
                <w:vertAlign w:val="subscript"/>
                <w:lang w:eastAsia="en-MY"/>
              </w:rPr>
              <w:t>1</w:t>
            </w:r>
          </w:p>
        </w:tc>
        <w:tc>
          <w:tcPr>
            <w:tcW w:w="3420" w:type="dxa"/>
            <w:tcBorders>
              <w:top w:val="nil"/>
              <w:left w:val="nil"/>
              <w:bottom w:val="nil"/>
              <w:right w:val="nil"/>
            </w:tcBorders>
            <w:shd w:val="clear" w:color="auto" w:fill="auto"/>
            <w:noWrap/>
            <w:vAlign w:val="center"/>
            <w:hideMark/>
          </w:tcPr>
          <w:p w14:paraId="40211C55"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5148C245"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78.46</w:t>
            </w:r>
          </w:p>
        </w:tc>
        <w:tc>
          <w:tcPr>
            <w:tcW w:w="960" w:type="dxa"/>
            <w:tcBorders>
              <w:top w:val="nil"/>
              <w:left w:val="nil"/>
              <w:bottom w:val="nil"/>
              <w:right w:val="nil"/>
            </w:tcBorders>
            <w:shd w:val="clear" w:color="auto" w:fill="auto"/>
            <w:noWrap/>
            <w:vAlign w:val="center"/>
            <w:hideMark/>
          </w:tcPr>
          <w:p w14:paraId="6F519F4A"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1.67</w:t>
            </w:r>
          </w:p>
        </w:tc>
        <w:tc>
          <w:tcPr>
            <w:tcW w:w="960" w:type="dxa"/>
            <w:tcBorders>
              <w:top w:val="nil"/>
              <w:left w:val="nil"/>
              <w:bottom w:val="nil"/>
              <w:right w:val="nil"/>
            </w:tcBorders>
            <w:shd w:val="clear" w:color="auto" w:fill="auto"/>
            <w:noWrap/>
            <w:vAlign w:val="center"/>
            <w:hideMark/>
          </w:tcPr>
          <w:p w14:paraId="2958CC00"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8.67</w:t>
            </w:r>
          </w:p>
        </w:tc>
        <w:tc>
          <w:tcPr>
            <w:tcW w:w="960" w:type="dxa"/>
            <w:tcBorders>
              <w:top w:val="nil"/>
              <w:left w:val="nil"/>
              <w:bottom w:val="nil"/>
              <w:right w:val="nil"/>
            </w:tcBorders>
            <w:shd w:val="clear" w:color="auto" w:fill="auto"/>
            <w:noWrap/>
            <w:vAlign w:val="center"/>
            <w:hideMark/>
          </w:tcPr>
          <w:p w14:paraId="4E96E80D"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7.72</w:t>
            </w:r>
          </w:p>
        </w:tc>
        <w:tc>
          <w:tcPr>
            <w:tcW w:w="960" w:type="dxa"/>
            <w:tcBorders>
              <w:top w:val="nil"/>
              <w:left w:val="nil"/>
              <w:bottom w:val="nil"/>
              <w:right w:val="nil"/>
            </w:tcBorders>
            <w:shd w:val="clear" w:color="auto" w:fill="auto"/>
            <w:noWrap/>
            <w:vAlign w:val="center"/>
            <w:hideMark/>
          </w:tcPr>
          <w:p w14:paraId="0E512294"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2.76</w:t>
            </w:r>
          </w:p>
        </w:tc>
        <w:tc>
          <w:tcPr>
            <w:tcW w:w="960" w:type="dxa"/>
            <w:tcBorders>
              <w:top w:val="nil"/>
              <w:left w:val="nil"/>
              <w:bottom w:val="nil"/>
              <w:right w:val="nil"/>
            </w:tcBorders>
            <w:shd w:val="clear" w:color="auto" w:fill="auto"/>
            <w:noWrap/>
            <w:vAlign w:val="center"/>
            <w:hideMark/>
          </w:tcPr>
          <w:p w14:paraId="59A831CD"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0.73</w:t>
            </w:r>
          </w:p>
        </w:tc>
        <w:tc>
          <w:tcPr>
            <w:tcW w:w="960" w:type="dxa"/>
            <w:tcBorders>
              <w:top w:val="nil"/>
              <w:left w:val="nil"/>
              <w:bottom w:val="nil"/>
              <w:right w:val="nil"/>
            </w:tcBorders>
            <w:shd w:val="clear" w:color="auto" w:fill="auto"/>
            <w:noWrap/>
            <w:vAlign w:val="center"/>
            <w:hideMark/>
          </w:tcPr>
          <w:p w14:paraId="248B5B7E"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1141B855"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r w:rsidRPr="00C9418A">
              <w:rPr>
                <w:rFonts w:eastAsia="Times New Roman" w:cs="Times New Roman"/>
                <w:b w:val="0"/>
                <w:sz w:val="18"/>
                <w:szCs w:val="18"/>
                <w:lang w:eastAsia="en-MY"/>
              </w:rPr>
              <w:t> </w:t>
            </w:r>
          </w:p>
        </w:tc>
        <w:tc>
          <w:tcPr>
            <w:tcW w:w="860" w:type="dxa"/>
            <w:tcBorders>
              <w:top w:val="nil"/>
              <w:left w:val="nil"/>
              <w:bottom w:val="nil"/>
              <w:right w:val="nil"/>
            </w:tcBorders>
            <w:shd w:val="clear" w:color="auto" w:fill="auto"/>
            <w:noWrap/>
            <w:vAlign w:val="center"/>
            <w:hideMark/>
          </w:tcPr>
          <w:p w14:paraId="21495A44"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r w:rsidRPr="00C9418A">
              <w:rPr>
                <w:rFonts w:eastAsia="Times New Roman" w:cs="Times New Roman"/>
                <w:b w:val="0"/>
                <w:sz w:val="18"/>
                <w:szCs w:val="18"/>
                <w:lang w:eastAsia="en-MY"/>
              </w:rPr>
              <w:t> </w:t>
            </w:r>
          </w:p>
        </w:tc>
      </w:tr>
      <w:tr w:rsidR="00D740DC" w:rsidRPr="000B5B7F" w14:paraId="588A1827" w14:textId="77777777" w:rsidTr="00B11F5F">
        <w:trPr>
          <w:trHeight w:val="300"/>
        </w:trPr>
        <w:tc>
          <w:tcPr>
            <w:tcW w:w="620" w:type="dxa"/>
            <w:vMerge/>
            <w:tcBorders>
              <w:top w:val="nil"/>
              <w:left w:val="nil"/>
              <w:bottom w:val="single" w:sz="4" w:space="0" w:color="000000"/>
              <w:right w:val="nil"/>
            </w:tcBorders>
            <w:vAlign w:val="center"/>
            <w:hideMark/>
          </w:tcPr>
          <w:p w14:paraId="496B6731"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single" w:sz="4" w:space="0" w:color="auto"/>
              <w:left w:val="nil"/>
              <w:bottom w:val="single" w:sz="4" w:space="0" w:color="000000"/>
              <w:right w:val="nil"/>
            </w:tcBorders>
            <w:vAlign w:val="center"/>
            <w:hideMark/>
          </w:tcPr>
          <w:p w14:paraId="38629DD7"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3A4E0F2E"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vAlign w:val="center"/>
            <w:hideMark/>
          </w:tcPr>
          <w:p w14:paraId="5FA93BE3"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72.74</w:t>
            </w:r>
          </w:p>
        </w:tc>
        <w:tc>
          <w:tcPr>
            <w:tcW w:w="960" w:type="dxa"/>
            <w:tcBorders>
              <w:top w:val="nil"/>
              <w:left w:val="nil"/>
              <w:bottom w:val="nil"/>
              <w:right w:val="nil"/>
            </w:tcBorders>
            <w:shd w:val="clear" w:color="auto" w:fill="auto"/>
            <w:noWrap/>
            <w:vAlign w:val="center"/>
            <w:hideMark/>
          </w:tcPr>
          <w:p w14:paraId="7A6B6E0B"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4.14</w:t>
            </w:r>
          </w:p>
        </w:tc>
        <w:tc>
          <w:tcPr>
            <w:tcW w:w="960" w:type="dxa"/>
            <w:tcBorders>
              <w:top w:val="nil"/>
              <w:left w:val="nil"/>
              <w:bottom w:val="nil"/>
              <w:right w:val="nil"/>
            </w:tcBorders>
            <w:shd w:val="clear" w:color="auto" w:fill="auto"/>
            <w:noWrap/>
            <w:vAlign w:val="center"/>
            <w:hideMark/>
          </w:tcPr>
          <w:p w14:paraId="0669A27F"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12.93</w:t>
            </w:r>
          </w:p>
        </w:tc>
        <w:tc>
          <w:tcPr>
            <w:tcW w:w="960" w:type="dxa"/>
            <w:tcBorders>
              <w:top w:val="nil"/>
              <w:left w:val="nil"/>
              <w:bottom w:val="nil"/>
              <w:right w:val="nil"/>
            </w:tcBorders>
            <w:shd w:val="clear" w:color="auto" w:fill="auto"/>
            <w:vAlign w:val="center"/>
            <w:hideMark/>
          </w:tcPr>
          <w:p w14:paraId="1D8B976A"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6.14</w:t>
            </w:r>
          </w:p>
        </w:tc>
        <w:tc>
          <w:tcPr>
            <w:tcW w:w="960" w:type="dxa"/>
            <w:tcBorders>
              <w:top w:val="nil"/>
              <w:left w:val="nil"/>
              <w:bottom w:val="nil"/>
              <w:right w:val="nil"/>
            </w:tcBorders>
            <w:shd w:val="clear" w:color="auto" w:fill="auto"/>
            <w:noWrap/>
            <w:vAlign w:val="center"/>
            <w:hideMark/>
          </w:tcPr>
          <w:p w14:paraId="0F3C769B"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2.56</w:t>
            </w:r>
          </w:p>
        </w:tc>
        <w:tc>
          <w:tcPr>
            <w:tcW w:w="960" w:type="dxa"/>
            <w:tcBorders>
              <w:top w:val="nil"/>
              <w:left w:val="nil"/>
              <w:bottom w:val="nil"/>
              <w:right w:val="nil"/>
            </w:tcBorders>
            <w:shd w:val="clear" w:color="auto" w:fill="auto"/>
            <w:vAlign w:val="center"/>
            <w:hideMark/>
          </w:tcPr>
          <w:p w14:paraId="1D9EDB86"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0.66</w:t>
            </w:r>
          </w:p>
        </w:tc>
        <w:tc>
          <w:tcPr>
            <w:tcW w:w="960" w:type="dxa"/>
            <w:tcBorders>
              <w:top w:val="nil"/>
              <w:left w:val="nil"/>
              <w:bottom w:val="nil"/>
              <w:right w:val="nil"/>
            </w:tcBorders>
            <w:shd w:val="clear" w:color="auto" w:fill="auto"/>
            <w:noWrap/>
            <w:vAlign w:val="center"/>
            <w:hideMark/>
          </w:tcPr>
          <w:p w14:paraId="72585488"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41AFCFBB"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0.01</w:t>
            </w:r>
          </w:p>
        </w:tc>
        <w:tc>
          <w:tcPr>
            <w:tcW w:w="860" w:type="dxa"/>
            <w:tcBorders>
              <w:top w:val="nil"/>
              <w:left w:val="nil"/>
              <w:bottom w:val="nil"/>
              <w:right w:val="nil"/>
            </w:tcBorders>
            <w:shd w:val="clear" w:color="auto" w:fill="auto"/>
            <w:noWrap/>
            <w:vAlign w:val="center"/>
            <w:hideMark/>
          </w:tcPr>
          <w:p w14:paraId="10C1092F"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0.81</w:t>
            </w:r>
          </w:p>
        </w:tc>
      </w:tr>
      <w:tr w:rsidR="00D740DC" w:rsidRPr="000B5B7F" w14:paraId="5F3FBDAD" w14:textId="77777777" w:rsidTr="00B11F5F">
        <w:trPr>
          <w:trHeight w:val="300"/>
        </w:trPr>
        <w:tc>
          <w:tcPr>
            <w:tcW w:w="620" w:type="dxa"/>
            <w:vMerge/>
            <w:tcBorders>
              <w:top w:val="nil"/>
              <w:left w:val="nil"/>
              <w:bottom w:val="single" w:sz="4" w:space="0" w:color="000000"/>
              <w:right w:val="nil"/>
            </w:tcBorders>
            <w:vAlign w:val="center"/>
            <w:hideMark/>
          </w:tcPr>
          <w:p w14:paraId="44CD8654"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single" w:sz="4" w:space="0" w:color="auto"/>
              <w:left w:val="nil"/>
              <w:bottom w:val="single" w:sz="4" w:space="0" w:color="000000"/>
              <w:right w:val="nil"/>
            </w:tcBorders>
            <w:vAlign w:val="center"/>
            <w:hideMark/>
          </w:tcPr>
          <w:p w14:paraId="1BA72F84"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77D69D1D"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7F564A4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72.74</w:t>
            </w:r>
          </w:p>
        </w:tc>
        <w:tc>
          <w:tcPr>
            <w:tcW w:w="960" w:type="dxa"/>
            <w:tcBorders>
              <w:top w:val="nil"/>
              <w:left w:val="nil"/>
              <w:bottom w:val="nil"/>
              <w:right w:val="nil"/>
            </w:tcBorders>
            <w:shd w:val="clear" w:color="auto" w:fill="auto"/>
            <w:noWrap/>
            <w:vAlign w:val="center"/>
            <w:hideMark/>
          </w:tcPr>
          <w:p w14:paraId="2C6CA9F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4.14</w:t>
            </w:r>
          </w:p>
        </w:tc>
        <w:tc>
          <w:tcPr>
            <w:tcW w:w="960" w:type="dxa"/>
            <w:tcBorders>
              <w:top w:val="nil"/>
              <w:left w:val="nil"/>
              <w:bottom w:val="nil"/>
              <w:right w:val="nil"/>
            </w:tcBorders>
            <w:shd w:val="clear" w:color="auto" w:fill="auto"/>
            <w:noWrap/>
            <w:vAlign w:val="center"/>
            <w:hideMark/>
          </w:tcPr>
          <w:p w14:paraId="5FC11B4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6.47</w:t>
            </w:r>
          </w:p>
        </w:tc>
        <w:tc>
          <w:tcPr>
            <w:tcW w:w="960" w:type="dxa"/>
            <w:tcBorders>
              <w:top w:val="nil"/>
              <w:left w:val="nil"/>
              <w:bottom w:val="nil"/>
              <w:right w:val="nil"/>
            </w:tcBorders>
            <w:shd w:val="clear" w:color="auto" w:fill="auto"/>
            <w:noWrap/>
            <w:vAlign w:val="center"/>
            <w:hideMark/>
          </w:tcPr>
          <w:p w14:paraId="0E41707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6.14</w:t>
            </w:r>
          </w:p>
        </w:tc>
        <w:tc>
          <w:tcPr>
            <w:tcW w:w="960" w:type="dxa"/>
            <w:tcBorders>
              <w:top w:val="nil"/>
              <w:left w:val="nil"/>
              <w:bottom w:val="nil"/>
              <w:right w:val="nil"/>
            </w:tcBorders>
            <w:shd w:val="clear" w:color="auto" w:fill="auto"/>
            <w:noWrap/>
            <w:vAlign w:val="center"/>
            <w:hideMark/>
          </w:tcPr>
          <w:p w14:paraId="7F84DCC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2.56</w:t>
            </w:r>
          </w:p>
        </w:tc>
        <w:tc>
          <w:tcPr>
            <w:tcW w:w="960" w:type="dxa"/>
            <w:tcBorders>
              <w:top w:val="nil"/>
              <w:left w:val="nil"/>
              <w:bottom w:val="nil"/>
              <w:right w:val="nil"/>
            </w:tcBorders>
            <w:shd w:val="clear" w:color="auto" w:fill="auto"/>
            <w:noWrap/>
            <w:vAlign w:val="center"/>
            <w:hideMark/>
          </w:tcPr>
          <w:p w14:paraId="27176E3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0.66</w:t>
            </w:r>
          </w:p>
        </w:tc>
        <w:tc>
          <w:tcPr>
            <w:tcW w:w="960" w:type="dxa"/>
            <w:tcBorders>
              <w:top w:val="nil"/>
              <w:left w:val="nil"/>
              <w:bottom w:val="nil"/>
              <w:right w:val="nil"/>
            </w:tcBorders>
            <w:shd w:val="clear" w:color="auto" w:fill="auto"/>
            <w:noWrap/>
            <w:vAlign w:val="center"/>
            <w:hideMark/>
          </w:tcPr>
          <w:p w14:paraId="48EB908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1014DB3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0.01</w:t>
            </w:r>
          </w:p>
        </w:tc>
        <w:tc>
          <w:tcPr>
            <w:tcW w:w="860" w:type="dxa"/>
            <w:tcBorders>
              <w:top w:val="nil"/>
              <w:left w:val="nil"/>
              <w:bottom w:val="nil"/>
              <w:right w:val="nil"/>
            </w:tcBorders>
            <w:shd w:val="clear" w:color="auto" w:fill="auto"/>
            <w:noWrap/>
            <w:vAlign w:val="center"/>
            <w:hideMark/>
          </w:tcPr>
          <w:p w14:paraId="0B29D79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0.81</w:t>
            </w:r>
          </w:p>
        </w:tc>
      </w:tr>
      <w:tr w:rsidR="00D740DC" w:rsidRPr="000B5B7F" w14:paraId="14114A3D" w14:textId="77777777" w:rsidTr="00B11F5F">
        <w:trPr>
          <w:trHeight w:val="300"/>
        </w:trPr>
        <w:tc>
          <w:tcPr>
            <w:tcW w:w="620" w:type="dxa"/>
            <w:vMerge/>
            <w:tcBorders>
              <w:top w:val="nil"/>
              <w:left w:val="nil"/>
              <w:bottom w:val="single" w:sz="4" w:space="0" w:color="000000"/>
              <w:right w:val="nil"/>
            </w:tcBorders>
            <w:vAlign w:val="center"/>
            <w:hideMark/>
          </w:tcPr>
          <w:p w14:paraId="2B5C742F"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single" w:sz="4" w:space="0" w:color="auto"/>
              <w:left w:val="nil"/>
              <w:bottom w:val="single" w:sz="4" w:space="0" w:color="000000"/>
              <w:right w:val="nil"/>
            </w:tcBorders>
            <w:vAlign w:val="center"/>
            <w:hideMark/>
          </w:tcPr>
          <w:p w14:paraId="14E1FCDA"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3CADFF80"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7A2FB63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77.77</w:t>
            </w:r>
          </w:p>
        </w:tc>
        <w:tc>
          <w:tcPr>
            <w:tcW w:w="960" w:type="dxa"/>
            <w:tcBorders>
              <w:top w:val="nil"/>
              <w:left w:val="nil"/>
              <w:bottom w:val="single" w:sz="4" w:space="0" w:color="auto"/>
              <w:right w:val="nil"/>
            </w:tcBorders>
            <w:shd w:val="clear" w:color="auto" w:fill="auto"/>
            <w:noWrap/>
            <w:vAlign w:val="center"/>
            <w:hideMark/>
          </w:tcPr>
          <w:p w14:paraId="136DC78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4.43</w:t>
            </w:r>
          </w:p>
        </w:tc>
        <w:tc>
          <w:tcPr>
            <w:tcW w:w="960" w:type="dxa"/>
            <w:tcBorders>
              <w:top w:val="nil"/>
              <w:left w:val="nil"/>
              <w:bottom w:val="single" w:sz="4" w:space="0" w:color="auto"/>
              <w:right w:val="nil"/>
            </w:tcBorders>
            <w:shd w:val="clear" w:color="auto" w:fill="auto"/>
            <w:noWrap/>
            <w:vAlign w:val="center"/>
            <w:hideMark/>
          </w:tcPr>
          <w:p w14:paraId="758C496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6.91</w:t>
            </w:r>
          </w:p>
        </w:tc>
        <w:tc>
          <w:tcPr>
            <w:tcW w:w="960" w:type="dxa"/>
            <w:tcBorders>
              <w:top w:val="nil"/>
              <w:left w:val="nil"/>
              <w:bottom w:val="single" w:sz="4" w:space="0" w:color="auto"/>
              <w:right w:val="nil"/>
            </w:tcBorders>
            <w:shd w:val="clear" w:color="auto" w:fill="auto"/>
            <w:noWrap/>
            <w:vAlign w:val="center"/>
            <w:hideMark/>
          </w:tcPr>
          <w:p w14:paraId="21E8D99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6.56</w:t>
            </w:r>
          </w:p>
        </w:tc>
        <w:tc>
          <w:tcPr>
            <w:tcW w:w="960" w:type="dxa"/>
            <w:tcBorders>
              <w:top w:val="nil"/>
              <w:left w:val="nil"/>
              <w:bottom w:val="single" w:sz="4" w:space="0" w:color="auto"/>
              <w:right w:val="nil"/>
            </w:tcBorders>
            <w:shd w:val="clear" w:color="auto" w:fill="auto"/>
            <w:noWrap/>
            <w:vAlign w:val="center"/>
            <w:hideMark/>
          </w:tcPr>
          <w:p w14:paraId="7CEF984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2.74</w:t>
            </w:r>
          </w:p>
        </w:tc>
        <w:tc>
          <w:tcPr>
            <w:tcW w:w="960" w:type="dxa"/>
            <w:tcBorders>
              <w:top w:val="nil"/>
              <w:left w:val="nil"/>
              <w:bottom w:val="single" w:sz="4" w:space="0" w:color="auto"/>
              <w:right w:val="nil"/>
            </w:tcBorders>
            <w:shd w:val="clear" w:color="auto" w:fill="auto"/>
            <w:noWrap/>
            <w:vAlign w:val="center"/>
            <w:hideMark/>
          </w:tcPr>
          <w:p w14:paraId="0EB16DE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0.7</w:t>
            </w:r>
          </w:p>
        </w:tc>
        <w:tc>
          <w:tcPr>
            <w:tcW w:w="960" w:type="dxa"/>
            <w:tcBorders>
              <w:top w:val="nil"/>
              <w:left w:val="nil"/>
              <w:bottom w:val="single" w:sz="4" w:space="0" w:color="auto"/>
              <w:right w:val="nil"/>
            </w:tcBorders>
            <w:shd w:val="clear" w:color="auto" w:fill="auto"/>
            <w:noWrap/>
            <w:vAlign w:val="center"/>
            <w:hideMark/>
          </w:tcPr>
          <w:p w14:paraId="47D2F57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single" w:sz="4" w:space="0" w:color="auto"/>
              <w:right w:val="nil"/>
            </w:tcBorders>
            <w:shd w:val="clear" w:color="auto" w:fill="auto"/>
            <w:noWrap/>
            <w:vAlign w:val="center"/>
            <w:hideMark/>
          </w:tcPr>
          <w:p w14:paraId="031EA97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0.02</w:t>
            </w:r>
          </w:p>
        </w:tc>
        <w:tc>
          <w:tcPr>
            <w:tcW w:w="860" w:type="dxa"/>
            <w:tcBorders>
              <w:top w:val="nil"/>
              <w:left w:val="nil"/>
              <w:bottom w:val="single" w:sz="4" w:space="0" w:color="auto"/>
              <w:right w:val="nil"/>
            </w:tcBorders>
            <w:shd w:val="clear" w:color="auto" w:fill="auto"/>
            <w:noWrap/>
            <w:vAlign w:val="center"/>
            <w:hideMark/>
          </w:tcPr>
          <w:p w14:paraId="4A57597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0.87</w:t>
            </w:r>
          </w:p>
        </w:tc>
      </w:tr>
      <w:tr w:rsidR="00D740DC" w:rsidRPr="000B5B7F" w14:paraId="0C16788C" w14:textId="77777777" w:rsidTr="00B11F5F">
        <w:trPr>
          <w:trHeight w:val="300"/>
        </w:trPr>
        <w:tc>
          <w:tcPr>
            <w:tcW w:w="620" w:type="dxa"/>
            <w:vMerge/>
            <w:tcBorders>
              <w:top w:val="nil"/>
              <w:left w:val="nil"/>
              <w:bottom w:val="single" w:sz="4" w:space="0" w:color="000000"/>
              <w:right w:val="nil"/>
            </w:tcBorders>
            <w:vAlign w:val="center"/>
            <w:hideMark/>
          </w:tcPr>
          <w:p w14:paraId="7659BC41"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6B980F5C"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N</w:t>
            </w:r>
            <w:r w:rsidRPr="000B5B7F">
              <w:rPr>
                <w:rFonts w:eastAsia="Times New Roman" w:cs="Times New Roman"/>
                <w:b w:val="0"/>
                <w:color w:val="000000"/>
                <w:sz w:val="18"/>
                <w:szCs w:val="18"/>
                <w:vertAlign w:val="subscript"/>
                <w:lang w:eastAsia="en-MY"/>
              </w:rPr>
              <w:t>7.6</w:t>
            </w:r>
            <w:r w:rsidRPr="000B5B7F">
              <w:rPr>
                <w:rFonts w:eastAsia="Times New Roman" w:cs="Times New Roman"/>
                <w:b w:val="0"/>
                <w:color w:val="000000"/>
                <w:sz w:val="18"/>
                <w:szCs w:val="18"/>
                <w:lang w:eastAsia="en-MY"/>
              </w:rPr>
              <w:t>C</w:t>
            </w:r>
            <w:r w:rsidRPr="000B5B7F">
              <w:rPr>
                <w:rFonts w:eastAsia="Times New Roman" w:cs="Times New Roman"/>
                <w:b w:val="0"/>
                <w:color w:val="000000"/>
                <w:sz w:val="18"/>
                <w:szCs w:val="18"/>
                <w:vertAlign w:val="subscript"/>
                <w:lang w:eastAsia="en-MY"/>
              </w:rPr>
              <w:t>3.0</w:t>
            </w:r>
            <w:r w:rsidRPr="000B5B7F">
              <w:rPr>
                <w:rFonts w:eastAsia="Times New Roman" w:cs="Times New Roman"/>
                <w:b w:val="0"/>
                <w:color w:val="000000"/>
                <w:sz w:val="18"/>
                <w:szCs w:val="18"/>
                <w:lang w:eastAsia="en-MY"/>
              </w:rPr>
              <w:t>B</w:t>
            </w:r>
            <w:r w:rsidRPr="000B5B7F">
              <w:rPr>
                <w:rFonts w:eastAsia="Times New Roman" w:cs="Times New Roman"/>
                <w:b w:val="0"/>
                <w:color w:val="000000"/>
                <w:sz w:val="18"/>
                <w:szCs w:val="18"/>
                <w:vertAlign w:val="subscript"/>
                <w:lang w:eastAsia="en-MY"/>
              </w:rPr>
              <w:t>7.6</w:t>
            </w:r>
            <w:r w:rsidRPr="000B5B7F">
              <w:rPr>
                <w:rFonts w:eastAsia="Times New Roman" w:cs="Times New Roman"/>
                <w:b w:val="0"/>
                <w:color w:val="000000"/>
                <w:sz w:val="18"/>
                <w:szCs w:val="18"/>
                <w:lang w:eastAsia="en-MY"/>
              </w:rPr>
              <w:t>M</w:t>
            </w:r>
            <w:r w:rsidRPr="000B5B7F">
              <w:rPr>
                <w:rFonts w:eastAsia="Times New Roman" w:cs="Times New Roman"/>
                <w:b w:val="0"/>
                <w:color w:val="000000"/>
                <w:sz w:val="18"/>
                <w:szCs w:val="18"/>
                <w:vertAlign w:val="subscript"/>
                <w:lang w:eastAsia="en-MY"/>
              </w:rPr>
              <w:t>1.1</w:t>
            </w:r>
            <w:r w:rsidRPr="000B5B7F">
              <w:rPr>
                <w:rFonts w:eastAsia="Times New Roman" w:cs="Times New Roman"/>
                <w:b w:val="0"/>
                <w:color w:val="000000"/>
                <w:sz w:val="18"/>
                <w:szCs w:val="18"/>
                <w:lang w:eastAsia="en-MY"/>
              </w:rPr>
              <w:t>S</w:t>
            </w:r>
            <w:r w:rsidRPr="000B5B7F">
              <w:rPr>
                <w:rFonts w:eastAsia="Times New Roman" w:cs="Times New Roman"/>
                <w:b w:val="0"/>
                <w:color w:val="000000"/>
                <w:sz w:val="18"/>
                <w:szCs w:val="18"/>
                <w:vertAlign w:val="subscript"/>
                <w:lang w:eastAsia="en-MY"/>
              </w:rPr>
              <w:t>78.2</w:t>
            </w:r>
            <w:r w:rsidRPr="000B5B7F">
              <w:rPr>
                <w:rFonts w:eastAsia="Times New Roman" w:cs="Times New Roman"/>
                <w:b w:val="0"/>
                <w:color w:val="000000"/>
                <w:sz w:val="18"/>
                <w:szCs w:val="18"/>
                <w:lang w:eastAsia="en-MY"/>
              </w:rPr>
              <w:t xml:space="preserve">A </w:t>
            </w:r>
            <w:r w:rsidRPr="000B5B7F">
              <w:rPr>
                <w:rFonts w:eastAsia="Times New Roman" w:cs="Times New Roman"/>
                <w:b w:val="0"/>
                <w:color w:val="000000"/>
                <w:sz w:val="18"/>
                <w:szCs w:val="18"/>
                <w:vertAlign w:val="subscript"/>
                <w:lang w:eastAsia="en-MY"/>
              </w:rPr>
              <w:t>2.5</w:t>
            </w:r>
          </w:p>
        </w:tc>
        <w:tc>
          <w:tcPr>
            <w:tcW w:w="3420" w:type="dxa"/>
            <w:tcBorders>
              <w:top w:val="nil"/>
              <w:left w:val="nil"/>
              <w:bottom w:val="nil"/>
              <w:right w:val="nil"/>
            </w:tcBorders>
            <w:shd w:val="clear" w:color="auto" w:fill="auto"/>
            <w:noWrap/>
            <w:vAlign w:val="center"/>
            <w:hideMark/>
          </w:tcPr>
          <w:p w14:paraId="43921F1A"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Batched</w:t>
            </w:r>
          </w:p>
        </w:tc>
        <w:tc>
          <w:tcPr>
            <w:tcW w:w="960" w:type="dxa"/>
            <w:tcBorders>
              <w:top w:val="nil"/>
              <w:left w:val="nil"/>
              <w:bottom w:val="nil"/>
              <w:right w:val="nil"/>
            </w:tcBorders>
            <w:shd w:val="clear" w:color="auto" w:fill="auto"/>
            <w:noWrap/>
            <w:vAlign w:val="center"/>
            <w:hideMark/>
          </w:tcPr>
          <w:p w14:paraId="57C00AD3"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76.2</w:t>
            </w:r>
          </w:p>
        </w:tc>
        <w:tc>
          <w:tcPr>
            <w:tcW w:w="960" w:type="dxa"/>
            <w:tcBorders>
              <w:top w:val="nil"/>
              <w:left w:val="nil"/>
              <w:bottom w:val="nil"/>
              <w:right w:val="nil"/>
            </w:tcBorders>
            <w:shd w:val="clear" w:color="auto" w:fill="auto"/>
            <w:noWrap/>
            <w:vAlign w:val="center"/>
            <w:hideMark/>
          </w:tcPr>
          <w:p w14:paraId="7D6C2D72"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4.13</w:t>
            </w:r>
          </w:p>
        </w:tc>
        <w:tc>
          <w:tcPr>
            <w:tcW w:w="960" w:type="dxa"/>
            <w:tcBorders>
              <w:top w:val="nil"/>
              <w:left w:val="nil"/>
              <w:bottom w:val="nil"/>
              <w:right w:val="nil"/>
            </w:tcBorders>
            <w:shd w:val="clear" w:color="auto" w:fill="auto"/>
            <w:noWrap/>
            <w:vAlign w:val="center"/>
            <w:hideMark/>
          </w:tcPr>
          <w:p w14:paraId="3A1864BA"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8.58</w:t>
            </w:r>
          </w:p>
        </w:tc>
        <w:tc>
          <w:tcPr>
            <w:tcW w:w="960" w:type="dxa"/>
            <w:tcBorders>
              <w:top w:val="nil"/>
              <w:left w:val="nil"/>
              <w:bottom w:val="nil"/>
              <w:right w:val="nil"/>
            </w:tcBorders>
            <w:shd w:val="clear" w:color="auto" w:fill="auto"/>
            <w:noWrap/>
            <w:vAlign w:val="center"/>
            <w:hideMark/>
          </w:tcPr>
          <w:p w14:paraId="54DD0637"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7.64</w:t>
            </w:r>
          </w:p>
        </w:tc>
        <w:tc>
          <w:tcPr>
            <w:tcW w:w="960" w:type="dxa"/>
            <w:tcBorders>
              <w:top w:val="nil"/>
              <w:left w:val="nil"/>
              <w:bottom w:val="nil"/>
              <w:right w:val="nil"/>
            </w:tcBorders>
            <w:shd w:val="clear" w:color="auto" w:fill="auto"/>
            <w:noWrap/>
            <w:vAlign w:val="center"/>
            <w:hideMark/>
          </w:tcPr>
          <w:p w14:paraId="3E44533B"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2.73</w:t>
            </w:r>
          </w:p>
        </w:tc>
        <w:tc>
          <w:tcPr>
            <w:tcW w:w="960" w:type="dxa"/>
            <w:tcBorders>
              <w:top w:val="nil"/>
              <w:left w:val="nil"/>
              <w:bottom w:val="nil"/>
              <w:right w:val="nil"/>
            </w:tcBorders>
            <w:shd w:val="clear" w:color="auto" w:fill="auto"/>
            <w:noWrap/>
            <w:vAlign w:val="center"/>
            <w:hideMark/>
          </w:tcPr>
          <w:p w14:paraId="5E39E3CF"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0.72</w:t>
            </w:r>
          </w:p>
        </w:tc>
        <w:tc>
          <w:tcPr>
            <w:tcW w:w="960" w:type="dxa"/>
            <w:tcBorders>
              <w:top w:val="nil"/>
              <w:left w:val="nil"/>
              <w:bottom w:val="nil"/>
              <w:right w:val="nil"/>
            </w:tcBorders>
            <w:shd w:val="clear" w:color="auto" w:fill="auto"/>
            <w:noWrap/>
            <w:vAlign w:val="center"/>
            <w:hideMark/>
          </w:tcPr>
          <w:p w14:paraId="6DE5732F"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760" w:type="dxa"/>
            <w:tcBorders>
              <w:top w:val="nil"/>
              <w:left w:val="nil"/>
              <w:bottom w:val="nil"/>
              <w:right w:val="nil"/>
            </w:tcBorders>
            <w:shd w:val="clear" w:color="auto" w:fill="auto"/>
            <w:noWrap/>
            <w:vAlign w:val="center"/>
            <w:hideMark/>
          </w:tcPr>
          <w:p w14:paraId="1680BD00"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860" w:type="dxa"/>
            <w:tcBorders>
              <w:top w:val="nil"/>
              <w:left w:val="nil"/>
              <w:bottom w:val="nil"/>
              <w:right w:val="nil"/>
            </w:tcBorders>
            <w:shd w:val="clear" w:color="auto" w:fill="auto"/>
            <w:noWrap/>
            <w:vAlign w:val="center"/>
            <w:hideMark/>
          </w:tcPr>
          <w:p w14:paraId="63DF6444"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0B5B7F" w14:paraId="6A78686B" w14:textId="77777777" w:rsidTr="00B11F5F">
        <w:trPr>
          <w:trHeight w:val="300"/>
        </w:trPr>
        <w:tc>
          <w:tcPr>
            <w:tcW w:w="620" w:type="dxa"/>
            <w:vMerge/>
            <w:tcBorders>
              <w:top w:val="nil"/>
              <w:left w:val="nil"/>
              <w:bottom w:val="single" w:sz="4" w:space="0" w:color="000000"/>
              <w:right w:val="nil"/>
            </w:tcBorders>
            <w:vAlign w:val="center"/>
            <w:hideMark/>
          </w:tcPr>
          <w:p w14:paraId="551B3F4A"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nil"/>
              <w:left w:val="nil"/>
              <w:bottom w:val="single" w:sz="4" w:space="0" w:color="000000"/>
              <w:right w:val="nil"/>
            </w:tcBorders>
            <w:vAlign w:val="center"/>
            <w:hideMark/>
          </w:tcPr>
          <w:p w14:paraId="1157EF13"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757B62AC"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1985583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71.34</w:t>
            </w:r>
          </w:p>
        </w:tc>
        <w:tc>
          <w:tcPr>
            <w:tcW w:w="960" w:type="dxa"/>
            <w:tcBorders>
              <w:top w:val="nil"/>
              <w:left w:val="nil"/>
              <w:bottom w:val="nil"/>
              <w:right w:val="nil"/>
            </w:tcBorders>
            <w:shd w:val="clear" w:color="auto" w:fill="auto"/>
            <w:noWrap/>
            <w:vAlign w:val="center"/>
            <w:hideMark/>
          </w:tcPr>
          <w:p w14:paraId="2B964060"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6.30</w:t>
            </w:r>
          </w:p>
        </w:tc>
        <w:tc>
          <w:tcPr>
            <w:tcW w:w="960" w:type="dxa"/>
            <w:tcBorders>
              <w:top w:val="nil"/>
              <w:left w:val="nil"/>
              <w:bottom w:val="nil"/>
              <w:right w:val="nil"/>
            </w:tcBorders>
            <w:shd w:val="clear" w:color="auto" w:fill="auto"/>
            <w:noWrap/>
            <w:vAlign w:val="center"/>
            <w:hideMark/>
          </w:tcPr>
          <w:p w14:paraId="3E306928"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11.63</w:t>
            </w:r>
          </w:p>
        </w:tc>
        <w:tc>
          <w:tcPr>
            <w:tcW w:w="960" w:type="dxa"/>
            <w:tcBorders>
              <w:top w:val="nil"/>
              <w:left w:val="nil"/>
              <w:bottom w:val="nil"/>
              <w:right w:val="nil"/>
            </w:tcBorders>
            <w:shd w:val="clear" w:color="auto" w:fill="auto"/>
            <w:noWrap/>
            <w:vAlign w:val="center"/>
            <w:hideMark/>
          </w:tcPr>
          <w:p w14:paraId="623F0BE8"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6.49</w:t>
            </w:r>
          </w:p>
        </w:tc>
        <w:tc>
          <w:tcPr>
            <w:tcW w:w="960" w:type="dxa"/>
            <w:tcBorders>
              <w:top w:val="nil"/>
              <w:left w:val="nil"/>
              <w:bottom w:val="nil"/>
              <w:right w:val="nil"/>
            </w:tcBorders>
            <w:shd w:val="clear" w:color="auto" w:fill="auto"/>
            <w:noWrap/>
            <w:vAlign w:val="center"/>
            <w:hideMark/>
          </w:tcPr>
          <w:p w14:paraId="27B89E1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2.64</w:t>
            </w:r>
          </w:p>
        </w:tc>
        <w:tc>
          <w:tcPr>
            <w:tcW w:w="960" w:type="dxa"/>
            <w:tcBorders>
              <w:top w:val="nil"/>
              <w:left w:val="nil"/>
              <w:bottom w:val="nil"/>
              <w:right w:val="nil"/>
            </w:tcBorders>
            <w:shd w:val="clear" w:color="auto" w:fill="auto"/>
            <w:noWrap/>
            <w:vAlign w:val="center"/>
            <w:hideMark/>
          </w:tcPr>
          <w:p w14:paraId="7095DE40"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0.67</w:t>
            </w:r>
          </w:p>
        </w:tc>
        <w:tc>
          <w:tcPr>
            <w:tcW w:w="960" w:type="dxa"/>
            <w:tcBorders>
              <w:top w:val="nil"/>
              <w:left w:val="nil"/>
              <w:bottom w:val="nil"/>
              <w:right w:val="nil"/>
            </w:tcBorders>
            <w:shd w:val="clear" w:color="auto" w:fill="auto"/>
            <w:noWrap/>
            <w:vAlign w:val="center"/>
            <w:hideMark/>
          </w:tcPr>
          <w:p w14:paraId="407C2DCB"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76F597FD"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860" w:type="dxa"/>
            <w:tcBorders>
              <w:top w:val="nil"/>
              <w:left w:val="nil"/>
              <w:bottom w:val="nil"/>
              <w:right w:val="nil"/>
            </w:tcBorders>
            <w:shd w:val="clear" w:color="auto" w:fill="auto"/>
            <w:noWrap/>
            <w:vAlign w:val="center"/>
            <w:hideMark/>
          </w:tcPr>
          <w:p w14:paraId="46D4BD8B"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0.93</w:t>
            </w:r>
          </w:p>
        </w:tc>
      </w:tr>
      <w:tr w:rsidR="00D740DC" w:rsidRPr="000B5B7F" w14:paraId="2EA87F48" w14:textId="77777777" w:rsidTr="00B11F5F">
        <w:trPr>
          <w:trHeight w:val="300"/>
        </w:trPr>
        <w:tc>
          <w:tcPr>
            <w:tcW w:w="620" w:type="dxa"/>
            <w:vMerge/>
            <w:tcBorders>
              <w:top w:val="nil"/>
              <w:left w:val="nil"/>
              <w:bottom w:val="single" w:sz="4" w:space="0" w:color="000000"/>
              <w:right w:val="nil"/>
            </w:tcBorders>
            <w:vAlign w:val="center"/>
            <w:hideMark/>
          </w:tcPr>
          <w:p w14:paraId="284AB26E"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nil"/>
              <w:left w:val="nil"/>
              <w:bottom w:val="single" w:sz="4" w:space="0" w:color="000000"/>
              <w:right w:val="nil"/>
            </w:tcBorders>
            <w:vAlign w:val="center"/>
            <w:hideMark/>
          </w:tcPr>
          <w:p w14:paraId="54ABEC78"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629B8E82"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04B7060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71.34</w:t>
            </w:r>
          </w:p>
        </w:tc>
        <w:tc>
          <w:tcPr>
            <w:tcW w:w="960" w:type="dxa"/>
            <w:tcBorders>
              <w:top w:val="nil"/>
              <w:left w:val="nil"/>
              <w:bottom w:val="nil"/>
              <w:right w:val="nil"/>
            </w:tcBorders>
            <w:shd w:val="clear" w:color="auto" w:fill="auto"/>
            <w:noWrap/>
            <w:vAlign w:val="center"/>
            <w:hideMark/>
          </w:tcPr>
          <w:p w14:paraId="7C6F8E4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6.30</w:t>
            </w:r>
          </w:p>
        </w:tc>
        <w:tc>
          <w:tcPr>
            <w:tcW w:w="960" w:type="dxa"/>
            <w:tcBorders>
              <w:top w:val="nil"/>
              <w:left w:val="nil"/>
              <w:bottom w:val="nil"/>
              <w:right w:val="nil"/>
            </w:tcBorders>
            <w:shd w:val="clear" w:color="auto" w:fill="auto"/>
            <w:noWrap/>
            <w:vAlign w:val="center"/>
            <w:hideMark/>
          </w:tcPr>
          <w:p w14:paraId="5EB292D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5.82</w:t>
            </w:r>
          </w:p>
        </w:tc>
        <w:tc>
          <w:tcPr>
            <w:tcW w:w="960" w:type="dxa"/>
            <w:tcBorders>
              <w:top w:val="nil"/>
              <w:left w:val="nil"/>
              <w:bottom w:val="nil"/>
              <w:right w:val="nil"/>
            </w:tcBorders>
            <w:shd w:val="clear" w:color="auto" w:fill="auto"/>
            <w:noWrap/>
            <w:vAlign w:val="center"/>
            <w:hideMark/>
          </w:tcPr>
          <w:p w14:paraId="03B8E40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6.49</w:t>
            </w:r>
          </w:p>
        </w:tc>
        <w:tc>
          <w:tcPr>
            <w:tcW w:w="960" w:type="dxa"/>
            <w:tcBorders>
              <w:top w:val="nil"/>
              <w:left w:val="nil"/>
              <w:bottom w:val="nil"/>
              <w:right w:val="nil"/>
            </w:tcBorders>
            <w:shd w:val="clear" w:color="auto" w:fill="auto"/>
            <w:noWrap/>
            <w:vAlign w:val="center"/>
            <w:hideMark/>
          </w:tcPr>
          <w:p w14:paraId="670FCB4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2.64</w:t>
            </w:r>
          </w:p>
        </w:tc>
        <w:tc>
          <w:tcPr>
            <w:tcW w:w="960" w:type="dxa"/>
            <w:tcBorders>
              <w:top w:val="nil"/>
              <w:left w:val="nil"/>
              <w:bottom w:val="nil"/>
              <w:right w:val="nil"/>
            </w:tcBorders>
            <w:shd w:val="clear" w:color="auto" w:fill="auto"/>
            <w:noWrap/>
            <w:vAlign w:val="center"/>
            <w:hideMark/>
          </w:tcPr>
          <w:p w14:paraId="63F68FF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0.67</w:t>
            </w:r>
          </w:p>
        </w:tc>
        <w:tc>
          <w:tcPr>
            <w:tcW w:w="960" w:type="dxa"/>
            <w:tcBorders>
              <w:top w:val="nil"/>
              <w:left w:val="nil"/>
              <w:bottom w:val="nil"/>
              <w:right w:val="nil"/>
            </w:tcBorders>
            <w:shd w:val="clear" w:color="auto" w:fill="auto"/>
            <w:noWrap/>
            <w:vAlign w:val="center"/>
            <w:hideMark/>
          </w:tcPr>
          <w:p w14:paraId="04FD54B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05A7B87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860" w:type="dxa"/>
            <w:tcBorders>
              <w:top w:val="nil"/>
              <w:left w:val="nil"/>
              <w:bottom w:val="nil"/>
              <w:right w:val="nil"/>
            </w:tcBorders>
            <w:shd w:val="clear" w:color="auto" w:fill="auto"/>
            <w:noWrap/>
            <w:vAlign w:val="center"/>
            <w:hideMark/>
          </w:tcPr>
          <w:p w14:paraId="0E5D5C3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0.93</w:t>
            </w:r>
          </w:p>
        </w:tc>
      </w:tr>
      <w:tr w:rsidR="00D740DC" w:rsidRPr="000B5B7F" w14:paraId="6A270A38" w14:textId="77777777" w:rsidTr="00B11F5F">
        <w:trPr>
          <w:trHeight w:val="300"/>
        </w:trPr>
        <w:tc>
          <w:tcPr>
            <w:tcW w:w="620" w:type="dxa"/>
            <w:vMerge/>
            <w:tcBorders>
              <w:top w:val="nil"/>
              <w:left w:val="nil"/>
              <w:bottom w:val="single" w:sz="4" w:space="0" w:color="000000"/>
              <w:right w:val="nil"/>
            </w:tcBorders>
            <w:vAlign w:val="center"/>
            <w:hideMark/>
          </w:tcPr>
          <w:p w14:paraId="1127AEF2"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nil"/>
              <w:left w:val="nil"/>
              <w:bottom w:val="single" w:sz="4" w:space="0" w:color="000000"/>
              <w:right w:val="nil"/>
            </w:tcBorders>
            <w:vAlign w:val="center"/>
            <w:hideMark/>
          </w:tcPr>
          <w:p w14:paraId="3A6F3FD3"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58F0472F"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XRF (half boron - normalised)</w:t>
            </w:r>
          </w:p>
        </w:tc>
        <w:tc>
          <w:tcPr>
            <w:tcW w:w="960" w:type="dxa"/>
            <w:tcBorders>
              <w:top w:val="nil"/>
              <w:left w:val="nil"/>
              <w:bottom w:val="nil"/>
              <w:right w:val="nil"/>
            </w:tcBorders>
            <w:shd w:val="clear" w:color="auto" w:fill="auto"/>
            <w:noWrap/>
            <w:vAlign w:val="center"/>
            <w:hideMark/>
          </w:tcPr>
          <w:p w14:paraId="14E7C57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75.75</w:t>
            </w:r>
          </w:p>
        </w:tc>
        <w:tc>
          <w:tcPr>
            <w:tcW w:w="960" w:type="dxa"/>
            <w:tcBorders>
              <w:top w:val="nil"/>
              <w:left w:val="nil"/>
              <w:bottom w:val="nil"/>
              <w:right w:val="nil"/>
            </w:tcBorders>
            <w:shd w:val="clear" w:color="auto" w:fill="auto"/>
            <w:noWrap/>
            <w:vAlign w:val="center"/>
            <w:hideMark/>
          </w:tcPr>
          <w:p w14:paraId="1A90507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6.68</w:t>
            </w:r>
          </w:p>
        </w:tc>
        <w:tc>
          <w:tcPr>
            <w:tcW w:w="960" w:type="dxa"/>
            <w:tcBorders>
              <w:top w:val="nil"/>
              <w:left w:val="nil"/>
              <w:bottom w:val="nil"/>
              <w:right w:val="nil"/>
            </w:tcBorders>
            <w:shd w:val="clear" w:color="auto" w:fill="auto"/>
            <w:noWrap/>
            <w:vAlign w:val="center"/>
            <w:hideMark/>
          </w:tcPr>
          <w:p w14:paraId="2D6A8E1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6.17</w:t>
            </w:r>
          </w:p>
        </w:tc>
        <w:tc>
          <w:tcPr>
            <w:tcW w:w="960" w:type="dxa"/>
            <w:tcBorders>
              <w:top w:val="nil"/>
              <w:left w:val="nil"/>
              <w:bottom w:val="nil"/>
              <w:right w:val="nil"/>
            </w:tcBorders>
            <w:shd w:val="clear" w:color="auto" w:fill="auto"/>
            <w:noWrap/>
            <w:vAlign w:val="center"/>
            <w:hideMark/>
          </w:tcPr>
          <w:p w14:paraId="6BDAB59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6.89</w:t>
            </w:r>
          </w:p>
        </w:tc>
        <w:tc>
          <w:tcPr>
            <w:tcW w:w="960" w:type="dxa"/>
            <w:tcBorders>
              <w:top w:val="nil"/>
              <w:left w:val="nil"/>
              <w:bottom w:val="nil"/>
              <w:right w:val="nil"/>
            </w:tcBorders>
            <w:shd w:val="clear" w:color="auto" w:fill="auto"/>
            <w:noWrap/>
            <w:vAlign w:val="center"/>
            <w:hideMark/>
          </w:tcPr>
          <w:p w14:paraId="40745D0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2.8</w:t>
            </w:r>
          </w:p>
        </w:tc>
        <w:tc>
          <w:tcPr>
            <w:tcW w:w="960" w:type="dxa"/>
            <w:tcBorders>
              <w:top w:val="nil"/>
              <w:left w:val="nil"/>
              <w:bottom w:val="nil"/>
              <w:right w:val="nil"/>
            </w:tcBorders>
            <w:shd w:val="clear" w:color="auto" w:fill="auto"/>
            <w:noWrap/>
            <w:vAlign w:val="center"/>
            <w:hideMark/>
          </w:tcPr>
          <w:p w14:paraId="4B20EDC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0.71</w:t>
            </w:r>
          </w:p>
        </w:tc>
        <w:tc>
          <w:tcPr>
            <w:tcW w:w="960" w:type="dxa"/>
            <w:tcBorders>
              <w:top w:val="nil"/>
              <w:left w:val="nil"/>
              <w:bottom w:val="nil"/>
              <w:right w:val="nil"/>
            </w:tcBorders>
            <w:shd w:val="clear" w:color="auto" w:fill="auto"/>
            <w:noWrap/>
            <w:vAlign w:val="center"/>
            <w:hideMark/>
          </w:tcPr>
          <w:p w14:paraId="494E627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5F23C55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860" w:type="dxa"/>
            <w:tcBorders>
              <w:top w:val="nil"/>
              <w:left w:val="nil"/>
              <w:bottom w:val="nil"/>
              <w:right w:val="nil"/>
            </w:tcBorders>
            <w:shd w:val="clear" w:color="auto" w:fill="auto"/>
            <w:noWrap/>
            <w:vAlign w:val="center"/>
            <w:hideMark/>
          </w:tcPr>
          <w:p w14:paraId="7A56AC9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0.99</w:t>
            </w:r>
          </w:p>
        </w:tc>
      </w:tr>
      <w:tr w:rsidR="00D740DC" w:rsidRPr="000B5B7F" w14:paraId="2DC55914" w14:textId="77777777" w:rsidTr="00B11F5F">
        <w:trPr>
          <w:trHeight w:val="300"/>
        </w:trPr>
        <w:tc>
          <w:tcPr>
            <w:tcW w:w="620" w:type="dxa"/>
            <w:vMerge/>
            <w:tcBorders>
              <w:top w:val="nil"/>
              <w:left w:val="nil"/>
              <w:bottom w:val="single" w:sz="4" w:space="0" w:color="000000"/>
              <w:right w:val="nil"/>
            </w:tcBorders>
            <w:vAlign w:val="center"/>
            <w:hideMark/>
          </w:tcPr>
          <w:p w14:paraId="76BFF48F"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nil"/>
              <w:left w:val="nil"/>
              <w:bottom w:val="single" w:sz="4" w:space="0" w:color="000000"/>
              <w:right w:val="nil"/>
            </w:tcBorders>
            <w:vAlign w:val="center"/>
            <w:hideMark/>
          </w:tcPr>
          <w:p w14:paraId="3D161992"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000000" w:fill="D9D9D9"/>
            <w:noWrap/>
            <w:vAlign w:val="center"/>
            <w:hideMark/>
          </w:tcPr>
          <w:p w14:paraId="13DFC730"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Measured (ICP)</w:t>
            </w:r>
          </w:p>
        </w:tc>
        <w:tc>
          <w:tcPr>
            <w:tcW w:w="960" w:type="dxa"/>
            <w:tcBorders>
              <w:top w:val="nil"/>
              <w:left w:val="nil"/>
              <w:bottom w:val="single" w:sz="4" w:space="0" w:color="auto"/>
              <w:right w:val="nil"/>
            </w:tcBorders>
            <w:shd w:val="clear" w:color="000000" w:fill="D9D9D9"/>
            <w:noWrap/>
            <w:vAlign w:val="center"/>
            <w:hideMark/>
          </w:tcPr>
          <w:p w14:paraId="0AE94B6A"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73.02</w:t>
            </w:r>
          </w:p>
        </w:tc>
        <w:tc>
          <w:tcPr>
            <w:tcW w:w="960" w:type="dxa"/>
            <w:tcBorders>
              <w:top w:val="nil"/>
              <w:left w:val="nil"/>
              <w:bottom w:val="single" w:sz="4" w:space="0" w:color="auto"/>
              <w:right w:val="nil"/>
            </w:tcBorders>
            <w:shd w:val="clear" w:color="000000" w:fill="D9D9D9"/>
            <w:noWrap/>
            <w:vAlign w:val="center"/>
            <w:hideMark/>
          </w:tcPr>
          <w:p w14:paraId="32FEE638"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5.47</w:t>
            </w:r>
          </w:p>
        </w:tc>
        <w:tc>
          <w:tcPr>
            <w:tcW w:w="960" w:type="dxa"/>
            <w:tcBorders>
              <w:top w:val="nil"/>
              <w:left w:val="nil"/>
              <w:bottom w:val="single" w:sz="4" w:space="0" w:color="auto"/>
              <w:right w:val="nil"/>
            </w:tcBorders>
            <w:shd w:val="clear" w:color="000000" w:fill="D9D9D9"/>
            <w:noWrap/>
            <w:vAlign w:val="center"/>
            <w:hideMark/>
          </w:tcPr>
          <w:p w14:paraId="77D2BB78"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6.01</w:t>
            </w:r>
          </w:p>
        </w:tc>
        <w:tc>
          <w:tcPr>
            <w:tcW w:w="960" w:type="dxa"/>
            <w:tcBorders>
              <w:top w:val="nil"/>
              <w:left w:val="nil"/>
              <w:bottom w:val="single" w:sz="4" w:space="0" w:color="auto"/>
              <w:right w:val="nil"/>
            </w:tcBorders>
            <w:shd w:val="clear" w:color="000000" w:fill="D9D9D9"/>
            <w:noWrap/>
            <w:vAlign w:val="center"/>
            <w:hideMark/>
          </w:tcPr>
          <w:p w14:paraId="6A6EF595"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10.16</w:t>
            </w:r>
          </w:p>
        </w:tc>
        <w:tc>
          <w:tcPr>
            <w:tcW w:w="960" w:type="dxa"/>
            <w:tcBorders>
              <w:top w:val="nil"/>
              <w:left w:val="nil"/>
              <w:bottom w:val="single" w:sz="4" w:space="0" w:color="auto"/>
              <w:right w:val="nil"/>
            </w:tcBorders>
            <w:shd w:val="clear" w:color="000000" w:fill="D9D9D9"/>
            <w:noWrap/>
            <w:vAlign w:val="center"/>
            <w:hideMark/>
          </w:tcPr>
          <w:p w14:paraId="3DD0533C"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4.07</w:t>
            </w:r>
          </w:p>
        </w:tc>
        <w:tc>
          <w:tcPr>
            <w:tcW w:w="960" w:type="dxa"/>
            <w:tcBorders>
              <w:top w:val="nil"/>
              <w:left w:val="nil"/>
              <w:bottom w:val="single" w:sz="4" w:space="0" w:color="auto"/>
              <w:right w:val="nil"/>
            </w:tcBorders>
            <w:shd w:val="clear" w:color="000000" w:fill="D9D9D9"/>
            <w:noWrap/>
            <w:vAlign w:val="center"/>
            <w:hideMark/>
          </w:tcPr>
          <w:p w14:paraId="7C15F32B"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0.96</w:t>
            </w:r>
          </w:p>
        </w:tc>
        <w:tc>
          <w:tcPr>
            <w:tcW w:w="960" w:type="dxa"/>
            <w:tcBorders>
              <w:top w:val="nil"/>
              <w:left w:val="nil"/>
              <w:bottom w:val="single" w:sz="4" w:space="0" w:color="auto"/>
              <w:right w:val="nil"/>
            </w:tcBorders>
            <w:shd w:val="clear" w:color="000000" w:fill="D9D9D9"/>
            <w:noWrap/>
            <w:vAlign w:val="center"/>
            <w:hideMark/>
          </w:tcPr>
          <w:p w14:paraId="711EB8AC"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 </w:t>
            </w:r>
          </w:p>
        </w:tc>
        <w:tc>
          <w:tcPr>
            <w:tcW w:w="760" w:type="dxa"/>
            <w:tcBorders>
              <w:top w:val="nil"/>
              <w:left w:val="nil"/>
              <w:bottom w:val="single" w:sz="4" w:space="0" w:color="auto"/>
              <w:right w:val="nil"/>
            </w:tcBorders>
            <w:shd w:val="clear" w:color="000000" w:fill="D9D9D9"/>
            <w:noWrap/>
            <w:vAlign w:val="center"/>
            <w:hideMark/>
          </w:tcPr>
          <w:p w14:paraId="429F88A8"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860" w:type="dxa"/>
            <w:tcBorders>
              <w:top w:val="nil"/>
              <w:left w:val="nil"/>
              <w:bottom w:val="single" w:sz="4" w:space="0" w:color="auto"/>
              <w:right w:val="nil"/>
            </w:tcBorders>
            <w:shd w:val="clear" w:color="000000" w:fill="D9D9D9"/>
            <w:noWrap/>
            <w:vAlign w:val="center"/>
            <w:hideMark/>
          </w:tcPr>
          <w:p w14:paraId="7D4A7DB4"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0.31</w:t>
            </w:r>
          </w:p>
        </w:tc>
      </w:tr>
      <w:tr w:rsidR="00D740DC" w:rsidRPr="000B5B7F" w14:paraId="45AFE882" w14:textId="77777777" w:rsidTr="00B11F5F">
        <w:trPr>
          <w:trHeight w:val="300"/>
        </w:trPr>
        <w:tc>
          <w:tcPr>
            <w:tcW w:w="620" w:type="dxa"/>
            <w:vMerge/>
            <w:tcBorders>
              <w:top w:val="nil"/>
              <w:left w:val="nil"/>
              <w:bottom w:val="single" w:sz="4" w:space="0" w:color="000000"/>
              <w:right w:val="nil"/>
            </w:tcBorders>
            <w:vAlign w:val="center"/>
            <w:hideMark/>
          </w:tcPr>
          <w:p w14:paraId="06F72352"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5212A61A"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N</w:t>
            </w:r>
            <w:r w:rsidRPr="000B5B7F">
              <w:rPr>
                <w:rFonts w:eastAsia="Times New Roman" w:cs="Times New Roman"/>
                <w:b w:val="0"/>
                <w:color w:val="000000"/>
                <w:sz w:val="18"/>
                <w:szCs w:val="18"/>
                <w:vertAlign w:val="subscript"/>
                <w:lang w:eastAsia="en-MY"/>
              </w:rPr>
              <w:t>7.6</w:t>
            </w:r>
            <w:r w:rsidRPr="000B5B7F">
              <w:rPr>
                <w:rFonts w:eastAsia="Times New Roman" w:cs="Times New Roman"/>
                <w:b w:val="0"/>
                <w:color w:val="000000"/>
                <w:sz w:val="18"/>
                <w:szCs w:val="18"/>
                <w:lang w:eastAsia="en-MY"/>
              </w:rPr>
              <w:t>C</w:t>
            </w:r>
            <w:r w:rsidRPr="000B5B7F">
              <w:rPr>
                <w:rFonts w:eastAsia="Times New Roman" w:cs="Times New Roman"/>
                <w:b w:val="0"/>
                <w:color w:val="000000"/>
                <w:sz w:val="18"/>
                <w:szCs w:val="18"/>
                <w:vertAlign w:val="subscript"/>
                <w:lang w:eastAsia="en-MY"/>
              </w:rPr>
              <w:t>3.0</w:t>
            </w:r>
            <w:r w:rsidRPr="000B5B7F">
              <w:rPr>
                <w:rFonts w:eastAsia="Times New Roman" w:cs="Times New Roman"/>
                <w:b w:val="0"/>
                <w:color w:val="000000"/>
                <w:sz w:val="18"/>
                <w:szCs w:val="18"/>
                <w:lang w:eastAsia="en-MY"/>
              </w:rPr>
              <w:t>B</w:t>
            </w:r>
            <w:r w:rsidRPr="000B5B7F">
              <w:rPr>
                <w:rFonts w:eastAsia="Times New Roman" w:cs="Times New Roman"/>
                <w:b w:val="0"/>
                <w:color w:val="000000"/>
                <w:sz w:val="18"/>
                <w:szCs w:val="18"/>
                <w:vertAlign w:val="subscript"/>
                <w:lang w:eastAsia="en-MY"/>
              </w:rPr>
              <w:t>7.6</w:t>
            </w:r>
            <w:r w:rsidRPr="000B5B7F">
              <w:rPr>
                <w:rFonts w:eastAsia="Times New Roman" w:cs="Times New Roman"/>
                <w:b w:val="0"/>
                <w:color w:val="000000"/>
                <w:sz w:val="18"/>
                <w:szCs w:val="18"/>
                <w:lang w:eastAsia="en-MY"/>
              </w:rPr>
              <w:t>M</w:t>
            </w:r>
            <w:r w:rsidRPr="000B5B7F">
              <w:rPr>
                <w:rFonts w:eastAsia="Times New Roman" w:cs="Times New Roman"/>
                <w:b w:val="0"/>
                <w:color w:val="000000"/>
                <w:sz w:val="18"/>
                <w:szCs w:val="18"/>
                <w:vertAlign w:val="subscript"/>
                <w:lang w:eastAsia="en-MY"/>
              </w:rPr>
              <w:t>1.1</w:t>
            </w:r>
            <w:r w:rsidRPr="000B5B7F">
              <w:rPr>
                <w:rFonts w:eastAsia="Times New Roman" w:cs="Times New Roman"/>
                <w:b w:val="0"/>
                <w:color w:val="000000"/>
                <w:sz w:val="18"/>
                <w:szCs w:val="18"/>
                <w:lang w:eastAsia="en-MY"/>
              </w:rPr>
              <w:t>S</w:t>
            </w:r>
            <w:r w:rsidRPr="000B5B7F">
              <w:rPr>
                <w:rFonts w:eastAsia="Times New Roman" w:cs="Times New Roman"/>
                <w:b w:val="0"/>
                <w:color w:val="000000"/>
                <w:sz w:val="18"/>
                <w:szCs w:val="18"/>
                <w:vertAlign w:val="subscript"/>
                <w:lang w:eastAsia="en-MY"/>
              </w:rPr>
              <w:t>75.7</w:t>
            </w:r>
            <w:r w:rsidRPr="000B5B7F">
              <w:rPr>
                <w:rFonts w:eastAsia="Times New Roman" w:cs="Times New Roman"/>
                <w:b w:val="0"/>
                <w:color w:val="000000"/>
                <w:sz w:val="18"/>
                <w:szCs w:val="18"/>
                <w:lang w:eastAsia="en-MY"/>
              </w:rPr>
              <w:t xml:space="preserve">A </w:t>
            </w:r>
            <w:r w:rsidRPr="000B5B7F">
              <w:rPr>
                <w:rFonts w:eastAsia="Times New Roman" w:cs="Times New Roman"/>
                <w:b w:val="0"/>
                <w:color w:val="000000"/>
                <w:sz w:val="18"/>
                <w:szCs w:val="18"/>
                <w:vertAlign w:val="subscript"/>
                <w:lang w:eastAsia="en-MY"/>
              </w:rPr>
              <w:t>5</w:t>
            </w:r>
          </w:p>
        </w:tc>
        <w:tc>
          <w:tcPr>
            <w:tcW w:w="3420" w:type="dxa"/>
            <w:tcBorders>
              <w:top w:val="nil"/>
              <w:left w:val="nil"/>
              <w:bottom w:val="nil"/>
              <w:right w:val="nil"/>
            </w:tcBorders>
            <w:shd w:val="clear" w:color="auto" w:fill="auto"/>
            <w:noWrap/>
            <w:vAlign w:val="center"/>
            <w:hideMark/>
          </w:tcPr>
          <w:p w14:paraId="307B1ED2"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7E5A1CED"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72.53</w:t>
            </w:r>
          </w:p>
        </w:tc>
        <w:tc>
          <w:tcPr>
            <w:tcW w:w="960" w:type="dxa"/>
            <w:tcBorders>
              <w:top w:val="nil"/>
              <w:left w:val="nil"/>
              <w:bottom w:val="nil"/>
              <w:right w:val="nil"/>
            </w:tcBorders>
            <w:shd w:val="clear" w:color="auto" w:fill="auto"/>
            <w:noWrap/>
            <w:vAlign w:val="center"/>
            <w:hideMark/>
          </w:tcPr>
          <w:p w14:paraId="6214AA9B"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8.13</w:t>
            </w:r>
          </w:p>
        </w:tc>
        <w:tc>
          <w:tcPr>
            <w:tcW w:w="960" w:type="dxa"/>
            <w:tcBorders>
              <w:top w:val="nil"/>
              <w:left w:val="nil"/>
              <w:bottom w:val="nil"/>
              <w:right w:val="nil"/>
            </w:tcBorders>
            <w:shd w:val="clear" w:color="auto" w:fill="auto"/>
            <w:noWrap/>
            <w:vAlign w:val="center"/>
            <w:hideMark/>
          </w:tcPr>
          <w:p w14:paraId="4DE1D58C"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8.44</w:t>
            </w:r>
          </w:p>
        </w:tc>
        <w:tc>
          <w:tcPr>
            <w:tcW w:w="960" w:type="dxa"/>
            <w:tcBorders>
              <w:top w:val="nil"/>
              <w:left w:val="nil"/>
              <w:bottom w:val="nil"/>
              <w:right w:val="nil"/>
            </w:tcBorders>
            <w:shd w:val="clear" w:color="auto" w:fill="auto"/>
            <w:noWrap/>
            <w:vAlign w:val="center"/>
            <w:hideMark/>
          </w:tcPr>
          <w:p w14:paraId="6BCA4282"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7.51</w:t>
            </w:r>
          </w:p>
        </w:tc>
        <w:tc>
          <w:tcPr>
            <w:tcW w:w="960" w:type="dxa"/>
            <w:tcBorders>
              <w:top w:val="nil"/>
              <w:left w:val="nil"/>
              <w:bottom w:val="nil"/>
              <w:right w:val="nil"/>
            </w:tcBorders>
            <w:shd w:val="clear" w:color="auto" w:fill="auto"/>
            <w:noWrap/>
            <w:vAlign w:val="center"/>
            <w:hideMark/>
          </w:tcPr>
          <w:p w14:paraId="49666F96"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2.68</w:t>
            </w:r>
          </w:p>
        </w:tc>
        <w:tc>
          <w:tcPr>
            <w:tcW w:w="960" w:type="dxa"/>
            <w:tcBorders>
              <w:top w:val="nil"/>
              <w:left w:val="nil"/>
              <w:bottom w:val="nil"/>
              <w:right w:val="nil"/>
            </w:tcBorders>
            <w:shd w:val="clear" w:color="auto" w:fill="auto"/>
            <w:noWrap/>
            <w:vAlign w:val="center"/>
            <w:hideMark/>
          </w:tcPr>
          <w:p w14:paraId="79D398CB"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0.71</w:t>
            </w:r>
          </w:p>
        </w:tc>
        <w:tc>
          <w:tcPr>
            <w:tcW w:w="960" w:type="dxa"/>
            <w:tcBorders>
              <w:top w:val="nil"/>
              <w:left w:val="nil"/>
              <w:bottom w:val="nil"/>
              <w:right w:val="nil"/>
            </w:tcBorders>
            <w:shd w:val="clear" w:color="auto" w:fill="auto"/>
            <w:noWrap/>
            <w:vAlign w:val="center"/>
            <w:hideMark/>
          </w:tcPr>
          <w:p w14:paraId="459992A4"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760" w:type="dxa"/>
            <w:tcBorders>
              <w:top w:val="nil"/>
              <w:left w:val="nil"/>
              <w:bottom w:val="nil"/>
              <w:right w:val="nil"/>
            </w:tcBorders>
            <w:shd w:val="clear" w:color="auto" w:fill="auto"/>
            <w:noWrap/>
            <w:vAlign w:val="center"/>
            <w:hideMark/>
          </w:tcPr>
          <w:p w14:paraId="2F9B70D3"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860" w:type="dxa"/>
            <w:tcBorders>
              <w:top w:val="nil"/>
              <w:left w:val="nil"/>
              <w:bottom w:val="nil"/>
              <w:right w:val="nil"/>
            </w:tcBorders>
            <w:shd w:val="clear" w:color="auto" w:fill="auto"/>
            <w:noWrap/>
            <w:vAlign w:val="center"/>
            <w:hideMark/>
          </w:tcPr>
          <w:p w14:paraId="794420EC"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0B5B7F" w14:paraId="52A6244B" w14:textId="77777777" w:rsidTr="00B11F5F">
        <w:trPr>
          <w:trHeight w:val="300"/>
        </w:trPr>
        <w:tc>
          <w:tcPr>
            <w:tcW w:w="620" w:type="dxa"/>
            <w:vMerge/>
            <w:tcBorders>
              <w:top w:val="nil"/>
              <w:left w:val="nil"/>
              <w:bottom w:val="single" w:sz="4" w:space="0" w:color="000000"/>
              <w:right w:val="nil"/>
            </w:tcBorders>
            <w:vAlign w:val="center"/>
            <w:hideMark/>
          </w:tcPr>
          <w:p w14:paraId="087796ED"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nil"/>
              <w:left w:val="nil"/>
              <w:bottom w:val="single" w:sz="4" w:space="0" w:color="000000"/>
              <w:right w:val="nil"/>
            </w:tcBorders>
            <w:vAlign w:val="center"/>
            <w:hideMark/>
          </w:tcPr>
          <w:p w14:paraId="6EE5B173"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7CD5812F"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25C9E462"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67.173</w:t>
            </w:r>
          </w:p>
        </w:tc>
        <w:tc>
          <w:tcPr>
            <w:tcW w:w="960" w:type="dxa"/>
            <w:tcBorders>
              <w:top w:val="nil"/>
              <w:left w:val="nil"/>
              <w:bottom w:val="nil"/>
              <w:right w:val="nil"/>
            </w:tcBorders>
            <w:shd w:val="clear" w:color="auto" w:fill="auto"/>
            <w:noWrap/>
            <w:vAlign w:val="center"/>
            <w:hideMark/>
          </w:tcPr>
          <w:p w14:paraId="4D4B4444"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9.634</w:t>
            </w:r>
          </w:p>
        </w:tc>
        <w:tc>
          <w:tcPr>
            <w:tcW w:w="960" w:type="dxa"/>
            <w:tcBorders>
              <w:top w:val="nil"/>
              <w:left w:val="nil"/>
              <w:bottom w:val="nil"/>
              <w:right w:val="nil"/>
            </w:tcBorders>
            <w:shd w:val="clear" w:color="auto" w:fill="auto"/>
            <w:noWrap/>
            <w:vAlign w:val="center"/>
            <w:hideMark/>
          </w:tcPr>
          <w:p w14:paraId="5B86B52D"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13.202</w:t>
            </w:r>
          </w:p>
        </w:tc>
        <w:tc>
          <w:tcPr>
            <w:tcW w:w="960" w:type="dxa"/>
            <w:tcBorders>
              <w:top w:val="nil"/>
              <w:left w:val="nil"/>
              <w:bottom w:val="nil"/>
              <w:right w:val="nil"/>
            </w:tcBorders>
            <w:shd w:val="clear" w:color="auto" w:fill="auto"/>
            <w:noWrap/>
            <w:vAlign w:val="center"/>
            <w:hideMark/>
          </w:tcPr>
          <w:p w14:paraId="59E15C55"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5.963</w:t>
            </w:r>
          </w:p>
        </w:tc>
        <w:tc>
          <w:tcPr>
            <w:tcW w:w="960" w:type="dxa"/>
            <w:tcBorders>
              <w:top w:val="nil"/>
              <w:left w:val="nil"/>
              <w:bottom w:val="nil"/>
              <w:right w:val="nil"/>
            </w:tcBorders>
            <w:shd w:val="clear" w:color="auto" w:fill="auto"/>
            <w:noWrap/>
            <w:vAlign w:val="center"/>
            <w:hideMark/>
          </w:tcPr>
          <w:p w14:paraId="35A012AE"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2.427</w:t>
            </w:r>
          </w:p>
        </w:tc>
        <w:tc>
          <w:tcPr>
            <w:tcW w:w="960" w:type="dxa"/>
            <w:tcBorders>
              <w:top w:val="nil"/>
              <w:left w:val="nil"/>
              <w:bottom w:val="nil"/>
              <w:right w:val="nil"/>
            </w:tcBorders>
            <w:shd w:val="clear" w:color="auto" w:fill="auto"/>
            <w:noWrap/>
            <w:vAlign w:val="center"/>
            <w:hideMark/>
          </w:tcPr>
          <w:p w14:paraId="58F962F8"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0.65</w:t>
            </w:r>
          </w:p>
        </w:tc>
        <w:tc>
          <w:tcPr>
            <w:tcW w:w="960" w:type="dxa"/>
            <w:tcBorders>
              <w:top w:val="nil"/>
              <w:left w:val="nil"/>
              <w:bottom w:val="nil"/>
              <w:right w:val="nil"/>
            </w:tcBorders>
            <w:shd w:val="clear" w:color="auto" w:fill="auto"/>
            <w:noWrap/>
            <w:vAlign w:val="center"/>
            <w:hideMark/>
          </w:tcPr>
          <w:p w14:paraId="7256A20D"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0093C463"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0.01</w:t>
            </w:r>
          </w:p>
        </w:tc>
        <w:tc>
          <w:tcPr>
            <w:tcW w:w="860" w:type="dxa"/>
            <w:tcBorders>
              <w:top w:val="nil"/>
              <w:left w:val="nil"/>
              <w:bottom w:val="nil"/>
              <w:right w:val="nil"/>
            </w:tcBorders>
            <w:shd w:val="clear" w:color="auto" w:fill="auto"/>
            <w:noWrap/>
            <w:vAlign w:val="center"/>
            <w:hideMark/>
          </w:tcPr>
          <w:p w14:paraId="3FE1C097"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0.938</w:t>
            </w:r>
          </w:p>
        </w:tc>
      </w:tr>
      <w:tr w:rsidR="00D740DC" w:rsidRPr="000B5B7F" w14:paraId="6196D000" w14:textId="77777777" w:rsidTr="00B11F5F">
        <w:trPr>
          <w:trHeight w:val="300"/>
        </w:trPr>
        <w:tc>
          <w:tcPr>
            <w:tcW w:w="620" w:type="dxa"/>
            <w:vMerge/>
            <w:tcBorders>
              <w:top w:val="nil"/>
              <w:left w:val="nil"/>
              <w:bottom w:val="single" w:sz="4" w:space="0" w:color="000000"/>
              <w:right w:val="nil"/>
            </w:tcBorders>
            <w:vAlign w:val="center"/>
            <w:hideMark/>
          </w:tcPr>
          <w:p w14:paraId="4ACB2278"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nil"/>
              <w:left w:val="nil"/>
              <w:bottom w:val="single" w:sz="4" w:space="0" w:color="000000"/>
              <w:right w:val="nil"/>
            </w:tcBorders>
            <w:vAlign w:val="center"/>
            <w:hideMark/>
          </w:tcPr>
          <w:p w14:paraId="6DF62B89"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17F10DB9"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15A83BD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67.173</w:t>
            </w:r>
          </w:p>
        </w:tc>
        <w:tc>
          <w:tcPr>
            <w:tcW w:w="960" w:type="dxa"/>
            <w:tcBorders>
              <w:top w:val="nil"/>
              <w:left w:val="nil"/>
              <w:bottom w:val="nil"/>
              <w:right w:val="nil"/>
            </w:tcBorders>
            <w:shd w:val="clear" w:color="auto" w:fill="auto"/>
            <w:noWrap/>
            <w:vAlign w:val="center"/>
            <w:hideMark/>
          </w:tcPr>
          <w:p w14:paraId="720D55F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9.634</w:t>
            </w:r>
          </w:p>
        </w:tc>
        <w:tc>
          <w:tcPr>
            <w:tcW w:w="960" w:type="dxa"/>
            <w:tcBorders>
              <w:top w:val="nil"/>
              <w:left w:val="nil"/>
              <w:bottom w:val="nil"/>
              <w:right w:val="nil"/>
            </w:tcBorders>
            <w:shd w:val="clear" w:color="auto" w:fill="auto"/>
            <w:noWrap/>
            <w:vAlign w:val="center"/>
            <w:hideMark/>
          </w:tcPr>
          <w:p w14:paraId="04A7C5E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6.601</w:t>
            </w:r>
          </w:p>
        </w:tc>
        <w:tc>
          <w:tcPr>
            <w:tcW w:w="960" w:type="dxa"/>
            <w:tcBorders>
              <w:top w:val="nil"/>
              <w:left w:val="nil"/>
              <w:bottom w:val="nil"/>
              <w:right w:val="nil"/>
            </w:tcBorders>
            <w:shd w:val="clear" w:color="auto" w:fill="auto"/>
            <w:noWrap/>
            <w:vAlign w:val="center"/>
            <w:hideMark/>
          </w:tcPr>
          <w:p w14:paraId="33606C1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5.963</w:t>
            </w:r>
          </w:p>
        </w:tc>
        <w:tc>
          <w:tcPr>
            <w:tcW w:w="960" w:type="dxa"/>
            <w:tcBorders>
              <w:top w:val="nil"/>
              <w:left w:val="nil"/>
              <w:bottom w:val="nil"/>
              <w:right w:val="nil"/>
            </w:tcBorders>
            <w:shd w:val="clear" w:color="auto" w:fill="auto"/>
            <w:noWrap/>
            <w:vAlign w:val="center"/>
            <w:hideMark/>
          </w:tcPr>
          <w:p w14:paraId="152060A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2.427</w:t>
            </w:r>
          </w:p>
        </w:tc>
        <w:tc>
          <w:tcPr>
            <w:tcW w:w="960" w:type="dxa"/>
            <w:tcBorders>
              <w:top w:val="nil"/>
              <w:left w:val="nil"/>
              <w:bottom w:val="nil"/>
              <w:right w:val="nil"/>
            </w:tcBorders>
            <w:shd w:val="clear" w:color="auto" w:fill="auto"/>
            <w:noWrap/>
            <w:vAlign w:val="center"/>
            <w:hideMark/>
          </w:tcPr>
          <w:p w14:paraId="1629223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0.65</w:t>
            </w:r>
          </w:p>
        </w:tc>
        <w:tc>
          <w:tcPr>
            <w:tcW w:w="960" w:type="dxa"/>
            <w:tcBorders>
              <w:top w:val="nil"/>
              <w:left w:val="nil"/>
              <w:bottom w:val="nil"/>
              <w:right w:val="nil"/>
            </w:tcBorders>
            <w:shd w:val="clear" w:color="auto" w:fill="auto"/>
            <w:noWrap/>
            <w:vAlign w:val="center"/>
            <w:hideMark/>
          </w:tcPr>
          <w:p w14:paraId="4312644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339D0E5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0.0145</w:t>
            </w:r>
          </w:p>
        </w:tc>
        <w:tc>
          <w:tcPr>
            <w:tcW w:w="860" w:type="dxa"/>
            <w:tcBorders>
              <w:top w:val="nil"/>
              <w:left w:val="nil"/>
              <w:bottom w:val="nil"/>
              <w:right w:val="nil"/>
            </w:tcBorders>
            <w:shd w:val="clear" w:color="auto" w:fill="auto"/>
            <w:noWrap/>
            <w:vAlign w:val="center"/>
            <w:hideMark/>
          </w:tcPr>
          <w:p w14:paraId="2B3D168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0.93774</w:t>
            </w:r>
          </w:p>
        </w:tc>
      </w:tr>
      <w:tr w:rsidR="00D740DC" w:rsidRPr="000B5B7F" w14:paraId="25CFFF69" w14:textId="77777777" w:rsidTr="00B11F5F">
        <w:trPr>
          <w:trHeight w:val="300"/>
        </w:trPr>
        <w:tc>
          <w:tcPr>
            <w:tcW w:w="620" w:type="dxa"/>
            <w:vMerge/>
            <w:tcBorders>
              <w:top w:val="nil"/>
              <w:left w:val="nil"/>
              <w:bottom w:val="single" w:sz="4" w:space="0" w:color="000000"/>
              <w:right w:val="nil"/>
            </w:tcBorders>
            <w:vAlign w:val="center"/>
            <w:hideMark/>
          </w:tcPr>
          <w:p w14:paraId="71B6735A"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nil"/>
              <w:left w:val="nil"/>
              <w:bottom w:val="single" w:sz="4" w:space="0" w:color="000000"/>
              <w:right w:val="nil"/>
            </w:tcBorders>
            <w:vAlign w:val="center"/>
            <w:hideMark/>
          </w:tcPr>
          <w:p w14:paraId="7F743E59"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2988E9E0"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0480EE8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71.92</w:t>
            </w:r>
          </w:p>
        </w:tc>
        <w:tc>
          <w:tcPr>
            <w:tcW w:w="960" w:type="dxa"/>
            <w:tcBorders>
              <w:top w:val="nil"/>
              <w:left w:val="nil"/>
              <w:bottom w:val="single" w:sz="4" w:space="0" w:color="auto"/>
              <w:right w:val="nil"/>
            </w:tcBorders>
            <w:shd w:val="clear" w:color="auto" w:fill="auto"/>
            <w:noWrap/>
            <w:vAlign w:val="center"/>
            <w:hideMark/>
          </w:tcPr>
          <w:p w14:paraId="614A59D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10.31</w:t>
            </w:r>
          </w:p>
        </w:tc>
        <w:tc>
          <w:tcPr>
            <w:tcW w:w="960" w:type="dxa"/>
            <w:tcBorders>
              <w:top w:val="nil"/>
              <w:left w:val="nil"/>
              <w:bottom w:val="single" w:sz="4" w:space="0" w:color="auto"/>
              <w:right w:val="nil"/>
            </w:tcBorders>
            <w:shd w:val="clear" w:color="auto" w:fill="auto"/>
            <w:noWrap/>
            <w:vAlign w:val="center"/>
            <w:hideMark/>
          </w:tcPr>
          <w:p w14:paraId="7C65C04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7.07</w:t>
            </w:r>
          </w:p>
        </w:tc>
        <w:tc>
          <w:tcPr>
            <w:tcW w:w="960" w:type="dxa"/>
            <w:tcBorders>
              <w:top w:val="nil"/>
              <w:left w:val="nil"/>
              <w:bottom w:val="single" w:sz="4" w:space="0" w:color="auto"/>
              <w:right w:val="nil"/>
            </w:tcBorders>
            <w:shd w:val="clear" w:color="auto" w:fill="auto"/>
            <w:noWrap/>
            <w:vAlign w:val="center"/>
            <w:hideMark/>
          </w:tcPr>
          <w:p w14:paraId="668D896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6.38</w:t>
            </w:r>
          </w:p>
        </w:tc>
        <w:tc>
          <w:tcPr>
            <w:tcW w:w="960" w:type="dxa"/>
            <w:tcBorders>
              <w:top w:val="nil"/>
              <w:left w:val="nil"/>
              <w:bottom w:val="single" w:sz="4" w:space="0" w:color="auto"/>
              <w:right w:val="nil"/>
            </w:tcBorders>
            <w:shd w:val="clear" w:color="auto" w:fill="auto"/>
            <w:noWrap/>
            <w:vAlign w:val="center"/>
            <w:hideMark/>
          </w:tcPr>
          <w:p w14:paraId="5EDE18B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2.6</w:t>
            </w:r>
          </w:p>
        </w:tc>
        <w:tc>
          <w:tcPr>
            <w:tcW w:w="960" w:type="dxa"/>
            <w:tcBorders>
              <w:top w:val="nil"/>
              <w:left w:val="nil"/>
              <w:bottom w:val="single" w:sz="4" w:space="0" w:color="auto"/>
              <w:right w:val="nil"/>
            </w:tcBorders>
            <w:shd w:val="clear" w:color="auto" w:fill="auto"/>
            <w:noWrap/>
            <w:vAlign w:val="center"/>
            <w:hideMark/>
          </w:tcPr>
          <w:p w14:paraId="09667FC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0.7</w:t>
            </w:r>
          </w:p>
        </w:tc>
        <w:tc>
          <w:tcPr>
            <w:tcW w:w="960" w:type="dxa"/>
            <w:tcBorders>
              <w:top w:val="nil"/>
              <w:left w:val="nil"/>
              <w:bottom w:val="single" w:sz="4" w:space="0" w:color="auto"/>
              <w:right w:val="nil"/>
            </w:tcBorders>
            <w:shd w:val="clear" w:color="auto" w:fill="auto"/>
            <w:noWrap/>
            <w:vAlign w:val="center"/>
            <w:hideMark/>
          </w:tcPr>
          <w:p w14:paraId="3C405BE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single" w:sz="4" w:space="0" w:color="auto"/>
              <w:right w:val="nil"/>
            </w:tcBorders>
            <w:shd w:val="clear" w:color="auto" w:fill="auto"/>
            <w:noWrap/>
            <w:vAlign w:val="center"/>
            <w:hideMark/>
          </w:tcPr>
          <w:p w14:paraId="0C1223E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0.02</w:t>
            </w:r>
          </w:p>
        </w:tc>
        <w:tc>
          <w:tcPr>
            <w:tcW w:w="860" w:type="dxa"/>
            <w:tcBorders>
              <w:top w:val="nil"/>
              <w:left w:val="nil"/>
              <w:bottom w:val="single" w:sz="4" w:space="0" w:color="auto"/>
              <w:right w:val="nil"/>
            </w:tcBorders>
            <w:shd w:val="clear" w:color="auto" w:fill="auto"/>
            <w:noWrap/>
            <w:vAlign w:val="center"/>
            <w:hideMark/>
          </w:tcPr>
          <w:p w14:paraId="2EF91CB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w:t>
            </w:r>
          </w:p>
        </w:tc>
      </w:tr>
      <w:tr w:rsidR="00D740DC" w:rsidRPr="000B5B7F" w14:paraId="711FFEAA" w14:textId="77777777" w:rsidTr="00B11F5F">
        <w:trPr>
          <w:trHeight w:val="300"/>
        </w:trPr>
        <w:tc>
          <w:tcPr>
            <w:tcW w:w="620" w:type="dxa"/>
            <w:vMerge/>
            <w:tcBorders>
              <w:top w:val="nil"/>
              <w:left w:val="nil"/>
              <w:bottom w:val="single" w:sz="4" w:space="0" w:color="000000"/>
              <w:right w:val="nil"/>
            </w:tcBorders>
            <w:vAlign w:val="center"/>
            <w:hideMark/>
          </w:tcPr>
          <w:p w14:paraId="378631F1"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3236B960"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N</w:t>
            </w:r>
            <w:r w:rsidRPr="000B5B7F">
              <w:rPr>
                <w:rFonts w:eastAsia="Times New Roman" w:cs="Times New Roman"/>
                <w:b w:val="0"/>
                <w:color w:val="000000"/>
                <w:sz w:val="18"/>
                <w:szCs w:val="18"/>
                <w:vertAlign w:val="subscript"/>
                <w:lang w:eastAsia="en-MY"/>
              </w:rPr>
              <w:t>7.6</w:t>
            </w:r>
            <w:r w:rsidRPr="000B5B7F">
              <w:rPr>
                <w:rFonts w:eastAsia="Times New Roman" w:cs="Times New Roman"/>
                <w:b w:val="0"/>
                <w:color w:val="000000"/>
                <w:sz w:val="18"/>
                <w:szCs w:val="18"/>
                <w:lang w:eastAsia="en-MY"/>
              </w:rPr>
              <w:t>C</w:t>
            </w:r>
            <w:r w:rsidRPr="000B5B7F">
              <w:rPr>
                <w:rFonts w:eastAsia="Times New Roman" w:cs="Times New Roman"/>
                <w:b w:val="0"/>
                <w:color w:val="000000"/>
                <w:sz w:val="18"/>
                <w:szCs w:val="18"/>
                <w:vertAlign w:val="subscript"/>
                <w:lang w:eastAsia="en-MY"/>
              </w:rPr>
              <w:t>3.0</w:t>
            </w:r>
            <w:r w:rsidRPr="000B5B7F">
              <w:rPr>
                <w:rFonts w:eastAsia="Times New Roman" w:cs="Times New Roman"/>
                <w:b w:val="0"/>
                <w:color w:val="000000"/>
                <w:sz w:val="18"/>
                <w:szCs w:val="18"/>
                <w:lang w:eastAsia="en-MY"/>
              </w:rPr>
              <w:t>B</w:t>
            </w:r>
            <w:r w:rsidRPr="000B5B7F">
              <w:rPr>
                <w:rFonts w:eastAsia="Times New Roman" w:cs="Times New Roman"/>
                <w:b w:val="0"/>
                <w:color w:val="000000"/>
                <w:sz w:val="18"/>
                <w:szCs w:val="18"/>
                <w:vertAlign w:val="subscript"/>
                <w:lang w:eastAsia="en-MY"/>
              </w:rPr>
              <w:t>7.6</w:t>
            </w:r>
            <w:r w:rsidRPr="000B5B7F">
              <w:rPr>
                <w:rFonts w:eastAsia="Times New Roman" w:cs="Times New Roman"/>
                <w:b w:val="0"/>
                <w:color w:val="000000"/>
                <w:sz w:val="18"/>
                <w:szCs w:val="18"/>
                <w:lang w:eastAsia="en-MY"/>
              </w:rPr>
              <w:t>M</w:t>
            </w:r>
            <w:r w:rsidRPr="000B5B7F">
              <w:rPr>
                <w:rFonts w:eastAsia="Times New Roman" w:cs="Times New Roman"/>
                <w:b w:val="0"/>
                <w:color w:val="000000"/>
                <w:sz w:val="18"/>
                <w:szCs w:val="18"/>
                <w:vertAlign w:val="subscript"/>
                <w:lang w:eastAsia="en-MY"/>
              </w:rPr>
              <w:t>1.1</w:t>
            </w:r>
            <w:r w:rsidRPr="000B5B7F">
              <w:rPr>
                <w:rFonts w:eastAsia="Times New Roman" w:cs="Times New Roman"/>
                <w:b w:val="0"/>
                <w:color w:val="000000"/>
                <w:sz w:val="18"/>
                <w:szCs w:val="18"/>
                <w:lang w:eastAsia="en-MY"/>
              </w:rPr>
              <w:t>S</w:t>
            </w:r>
            <w:r w:rsidRPr="000B5B7F">
              <w:rPr>
                <w:rFonts w:eastAsia="Times New Roman" w:cs="Times New Roman"/>
                <w:b w:val="0"/>
                <w:color w:val="000000"/>
                <w:sz w:val="18"/>
                <w:szCs w:val="18"/>
                <w:vertAlign w:val="subscript"/>
                <w:lang w:eastAsia="en-MY"/>
              </w:rPr>
              <w:t>75.5</w:t>
            </w:r>
            <w:r w:rsidRPr="000B5B7F">
              <w:rPr>
                <w:rFonts w:eastAsia="Times New Roman" w:cs="Times New Roman"/>
                <w:b w:val="0"/>
                <w:color w:val="000000"/>
                <w:sz w:val="18"/>
                <w:szCs w:val="18"/>
                <w:lang w:eastAsia="en-MY"/>
              </w:rPr>
              <w:t xml:space="preserve">A </w:t>
            </w:r>
            <w:r w:rsidRPr="000B5B7F">
              <w:rPr>
                <w:rFonts w:eastAsia="Times New Roman" w:cs="Times New Roman"/>
                <w:b w:val="0"/>
                <w:color w:val="000000"/>
                <w:sz w:val="18"/>
                <w:szCs w:val="18"/>
                <w:vertAlign w:val="subscript"/>
                <w:lang w:eastAsia="en-MY"/>
              </w:rPr>
              <w:t>5.2</w:t>
            </w:r>
          </w:p>
        </w:tc>
        <w:tc>
          <w:tcPr>
            <w:tcW w:w="3420" w:type="dxa"/>
            <w:tcBorders>
              <w:top w:val="nil"/>
              <w:left w:val="nil"/>
              <w:bottom w:val="nil"/>
              <w:right w:val="nil"/>
            </w:tcBorders>
            <w:shd w:val="clear" w:color="auto" w:fill="auto"/>
            <w:noWrap/>
            <w:vAlign w:val="center"/>
            <w:hideMark/>
          </w:tcPr>
          <w:p w14:paraId="78727502"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59FFC576"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72.24</w:t>
            </w:r>
          </w:p>
        </w:tc>
        <w:tc>
          <w:tcPr>
            <w:tcW w:w="960" w:type="dxa"/>
            <w:tcBorders>
              <w:top w:val="nil"/>
              <w:left w:val="nil"/>
              <w:bottom w:val="nil"/>
              <w:right w:val="nil"/>
            </w:tcBorders>
            <w:shd w:val="clear" w:color="auto" w:fill="auto"/>
            <w:noWrap/>
            <w:vAlign w:val="center"/>
            <w:hideMark/>
          </w:tcPr>
          <w:p w14:paraId="444723E6"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8.44</w:t>
            </w:r>
          </w:p>
        </w:tc>
        <w:tc>
          <w:tcPr>
            <w:tcW w:w="960" w:type="dxa"/>
            <w:tcBorders>
              <w:top w:val="nil"/>
              <w:left w:val="nil"/>
              <w:bottom w:val="nil"/>
              <w:right w:val="nil"/>
            </w:tcBorders>
            <w:shd w:val="clear" w:color="auto" w:fill="auto"/>
            <w:noWrap/>
            <w:vAlign w:val="center"/>
            <w:hideMark/>
          </w:tcPr>
          <w:p w14:paraId="7838F4D6"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8.43</w:t>
            </w:r>
          </w:p>
        </w:tc>
        <w:tc>
          <w:tcPr>
            <w:tcW w:w="960" w:type="dxa"/>
            <w:tcBorders>
              <w:top w:val="nil"/>
              <w:left w:val="nil"/>
              <w:bottom w:val="nil"/>
              <w:right w:val="nil"/>
            </w:tcBorders>
            <w:shd w:val="clear" w:color="auto" w:fill="auto"/>
            <w:noWrap/>
            <w:vAlign w:val="center"/>
            <w:hideMark/>
          </w:tcPr>
          <w:p w14:paraId="3C159E1E"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7.50</w:t>
            </w:r>
          </w:p>
        </w:tc>
        <w:tc>
          <w:tcPr>
            <w:tcW w:w="960" w:type="dxa"/>
            <w:tcBorders>
              <w:top w:val="nil"/>
              <w:left w:val="nil"/>
              <w:bottom w:val="nil"/>
              <w:right w:val="nil"/>
            </w:tcBorders>
            <w:shd w:val="clear" w:color="auto" w:fill="auto"/>
            <w:noWrap/>
            <w:vAlign w:val="center"/>
            <w:hideMark/>
          </w:tcPr>
          <w:p w14:paraId="245FBFCA"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2.68</w:t>
            </w:r>
          </w:p>
        </w:tc>
        <w:tc>
          <w:tcPr>
            <w:tcW w:w="960" w:type="dxa"/>
            <w:tcBorders>
              <w:top w:val="nil"/>
              <w:left w:val="nil"/>
              <w:bottom w:val="nil"/>
              <w:right w:val="nil"/>
            </w:tcBorders>
            <w:shd w:val="clear" w:color="auto" w:fill="auto"/>
            <w:noWrap/>
            <w:vAlign w:val="center"/>
            <w:hideMark/>
          </w:tcPr>
          <w:p w14:paraId="084D6886"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0.71</w:t>
            </w:r>
          </w:p>
        </w:tc>
        <w:tc>
          <w:tcPr>
            <w:tcW w:w="960" w:type="dxa"/>
            <w:tcBorders>
              <w:top w:val="nil"/>
              <w:left w:val="nil"/>
              <w:bottom w:val="nil"/>
              <w:right w:val="nil"/>
            </w:tcBorders>
            <w:shd w:val="clear" w:color="auto" w:fill="auto"/>
            <w:noWrap/>
            <w:vAlign w:val="center"/>
            <w:hideMark/>
          </w:tcPr>
          <w:p w14:paraId="1CAFA2BD"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760" w:type="dxa"/>
            <w:tcBorders>
              <w:top w:val="nil"/>
              <w:left w:val="nil"/>
              <w:bottom w:val="nil"/>
              <w:right w:val="nil"/>
            </w:tcBorders>
            <w:shd w:val="clear" w:color="auto" w:fill="auto"/>
            <w:noWrap/>
            <w:vAlign w:val="center"/>
            <w:hideMark/>
          </w:tcPr>
          <w:p w14:paraId="19030022"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860" w:type="dxa"/>
            <w:tcBorders>
              <w:top w:val="nil"/>
              <w:left w:val="nil"/>
              <w:bottom w:val="nil"/>
              <w:right w:val="nil"/>
            </w:tcBorders>
            <w:shd w:val="clear" w:color="auto" w:fill="auto"/>
            <w:noWrap/>
            <w:vAlign w:val="center"/>
            <w:hideMark/>
          </w:tcPr>
          <w:p w14:paraId="2328D92B"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0B5B7F" w14:paraId="05789F5C" w14:textId="77777777" w:rsidTr="00B11F5F">
        <w:trPr>
          <w:trHeight w:val="300"/>
        </w:trPr>
        <w:tc>
          <w:tcPr>
            <w:tcW w:w="620" w:type="dxa"/>
            <w:vMerge/>
            <w:tcBorders>
              <w:top w:val="nil"/>
              <w:left w:val="nil"/>
              <w:bottom w:val="single" w:sz="4" w:space="0" w:color="000000"/>
              <w:right w:val="nil"/>
            </w:tcBorders>
            <w:vAlign w:val="center"/>
            <w:hideMark/>
          </w:tcPr>
          <w:p w14:paraId="7379BADD"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nil"/>
              <w:left w:val="nil"/>
              <w:bottom w:val="single" w:sz="4" w:space="0" w:color="000000"/>
              <w:right w:val="nil"/>
            </w:tcBorders>
            <w:vAlign w:val="center"/>
            <w:hideMark/>
          </w:tcPr>
          <w:p w14:paraId="20029AE9"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1EFDA268"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034C2762"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67.37</w:t>
            </w:r>
          </w:p>
        </w:tc>
        <w:tc>
          <w:tcPr>
            <w:tcW w:w="960" w:type="dxa"/>
            <w:tcBorders>
              <w:top w:val="nil"/>
              <w:left w:val="nil"/>
              <w:bottom w:val="nil"/>
              <w:right w:val="nil"/>
            </w:tcBorders>
            <w:shd w:val="clear" w:color="auto" w:fill="auto"/>
            <w:noWrap/>
            <w:vAlign w:val="center"/>
            <w:hideMark/>
          </w:tcPr>
          <w:p w14:paraId="1B8F858A"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11.086</w:t>
            </w:r>
          </w:p>
        </w:tc>
        <w:tc>
          <w:tcPr>
            <w:tcW w:w="960" w:type="dxa"/>
            <w:tcBorders>
              <w:top w:val="nil"/>
              <w:left w:val="nil"/>
              <w:bottom w:val="nil"/>
              <w:right w:val="nil"/>
            </w:tcBorders>
            <w:shd w:val="clear" w:color="auto" w:fill="auto"/>
            <w:noWrap/>
            <w:vAlign w:val="center"/>
            <w:hideMark/>
          </w:tcPr>
          <w:p w14:paraId="6C02B5AE"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11.355</w:t>
            </w:r>
          </w:p>
        </w:tc>
        <w:tc>
          <w:tcPr>
            <w:tcW w:w="960" w:type="dxa"/>
            <w:tcBorders>
              <w:top w:val="nil"/>
              <w:left w:val="nil"/>
              <w:bottom w:val="nil"/>
              <w:right w:val="nil"/>
            </w:tcBorders>
            <w:shd w:val="clear" w:color="auto" w:fill="auto"/>
            <w:noWrap/>
            <w:vAlign w:val="center"/>
            <w:hideMark/>
          </w:tcPr>
          <w:p w14:paraId="3F00CE0B"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6.174</w:t>
            </w:r>
          </w:p>
        </w:tc>
        <w:tc>
          <w:tcPr>
            <w:tcW w:w="960" w:type="dxa"/>
            <w:tcBorders>
              <w:top w:val="nil"/>
              <w:left w:val="nil"/>
              <w:bottom w:val="nil"/>
              <w:right w:val="nil"/>
            </w:tcBorders>
            <w:shd w:val="clear" w:color="auto" w:fill="auto"/>
            <w:noWrap/>
            <w:vAlign w:val="center"/>
            <w:hideMark/>
          </w:tcPr>
          <w:p w14:paraId="1CED6353"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2.477</w:t>
            </w:r>
          </w:p>
        </w:tc>
        <w:tc>
          <w:tcPr>
            <w:tcW w:w="960" w:type="dxa"/>
            <w:tcBorders>
              <w:top w:val="nil"/>
              <w:left w:val="nil"/>
              <w:bottom w:val="nil"/>
              <w:right w:val="nil"/>
            </w:tcBorders>
            <w:shd w:val="clear" w:color="auto" w:fill="auto"/>
            <w:noWrap/>
            <w:vAlign w:val="center"/>
            <w:hideMark/>
          </w:tcPr>
          <w:p w14:paraId="5A082D22"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0.662</w:t>
            </w:r>
          </w:p>
        </w:tc>
        <w:tc>
          <w:tcPr>
            <w:tcW w:w="960" w:type="dxa"/>
            <w:tcBorders>
              <w:top w:val="nil"/>
              <w:left w:val="nil"/>
              <w:bottom w:val="nil"/>
              <w:right w:val="nil"/>
            </w:tcBorders>
            <w:shd w:val="clear" w:color="auto" w:fill="auto"/>
            <w:noWrap/>
            <w:vAlign w:val="center"/>
            <w:hideMark/>
          </w:tcPr>
          <w:p w14:paraId="06B86438"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6AE97D47"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0.02</w:t>
            </w:r>
          </w:p>
        </w:tc>
        <w:tc>
          <w:tcPr>
            <w:tcW w:w="860" w:type="dxa"/>
            <w:tcBorders>
              <w:top w:val="nil"/>
              <w:left w:val="nil"/>
              <w:bottom w:val="nil"/>
              <w:right w:val="nil"/>
            </w:tcBorders>
            <w:shd w:val="clear" w:color="auto" w:fill="auto"/>
            <w:noWrap/>
            <w:vAlign w:val="center"/>
            <w:hideMark/>
          </w:tcPr>
          <w:p w14:paraId="1A77EAD5"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0.857</w:t>
            </w:r>
          </w:p>
        </w:tc>
      </w:tr>
      <w:tr w:rsidR="00D740DC" w:rsidRPr="000B5B7F" w14:paraId="60F2B6FC" w14:textId="77777777" w:rsidTr="00B11F5F">
        <w:trPr>
          <w:trHeight w:val="300"/>
        </w:trPr>
        <w:tc>
          <w:tcPr>
            <w:tcW w:w="620" w:type="dxa"/>
            <w:vMerge/>
            <w:tcBorders>
              <w:top w:val="nil"/>
              <w:left w:val="nil"/>
              <w:bottom w:val="single" w:sz="4" w:space="0" w:color="000000"/>
              <w:right w:val="nil"/>
            </w:tcBorders>
            <w:vAlign w:val="center"/>
            <w:hideMark/>
          </w:tcPr>
          <w:p w14:paraId="7F8645D0"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nil"/>
              <w:left w:val="nil"/>
              <w:bottom w:val="single" w:sz="4" w:space="0" w:color="000000"/>
              <w:right w:val="nil"/>
            </w:tcBorders>
            <w:vAlign w:val="center"/>
            <w:hideMark/>
          </w:tcPr>
          <w:p w14:paraId="5D314202"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45BE33E6"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2CD9CAF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67.37</w:t>
            </w:r>
          </w:p>
        </w:tc>
        <w:tc>
          <w:tcPr>
            <w:tcW w:w="960" w:type="dxa"/>
            <w:tcBorders>
              <w:top w:val="nil"/>
              <w:left w:val="nil"/>
              <w:bottom w:val="nil"/>
              <w:right w:val="nil"/>
            </w:tcBorders>
            <w:shd w:val="clear" w:color="auto" w:fill="auto"/>
            <w:noWrap/>
            <w:vAlign w:val="center"/>
            <w:hideMark/>
          </w:tcPr>
          <w:p w14:paraId="3A4CE38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11.086</w:t>
            </w:r>
          </w:p>
        </w:tc>
        <w:tc>
          <w:tcPr>
            <w:tcW w:w="960" w:type="dxa"/>
            <w:tcBorders>
              <w:top w:val="nil"/>
              <w:left w:val="nil"/>
              <w:bottom w:val="nil"/>
              <w:right w:val="nil"/>
            </w:tcBorders>
            <w:shd w:val="clear" w:color="auto" w:fill="auto"/>
            <w:noWrap/>
            <w:vAlign w:val="center"/>
            <w:hideMark/>
          </w:tcPr>
          <w:p w14:paraId="32C0FAB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5.6775</w:t>
            </w:r>
          </w:p>
        </w:tc>
        <w:tc>
          <w:tcPr>
            <w:tcW w:w="960" w:type="dxa"/>
            <w:tcBorders>
              <w:top w:val="nil"/>
              <w:left w:val="nil"/>
              <w:bottom w:val="nil"/>
              <w:right w:val="nil"/>
            </w:tcBorders>
            <w:shd w:val="clear" w:color="auto" w:fill="auto"/>
            <w:noWrap/>
            <w:vAlign w:val="center"/>
            <w:hideMark/>
          </w:tcPr>
          <w:p w14:paraId="3060494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6.174</w:t>
            </w:r>
          </w:p>
        </w:tc>
        <w:tc>
          <w:tcPr>
            <w:tcW w:w="960" w:type="dxa"/>
            <w:tcBorders>
              <w:top w:val="nil"/>
              <w:left w:val="nil"/>
              <w:bottom w:val="nil"/>
              <w:right w:val="nil"/>
            </w:tcBorders>
            <w:shd w:val="clear" w:color="auto" w:fill="auto"/>
            <w:noWrap/>
            <w:vAlign w:val="center"/>
            <w:hideMark/>
          </w:tcPr>
          <w:p w14:paraId="78E8051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2.477</w:t>
            </w:r>
          </w:p>
        </w:tc>
        <w:tc>
          <w:tcPr>
            <w:tcW w:w="960" w:type="dxa"/>
            <w:tcBorders>
              <w:top w:val="nil"/>
              <w:left w:val="nil"/>
              <w:bottom w:val="nil"/>
              <w:right w:val="nil"/>
            </w:tcBorders>
            <w:shd w:val="clear" w:color="auto" w:fill="auto"/>
            <w:noWrap/>
            <w:vAlign w:val="center"/>
            <w:hideMark/>
          </w:tcPr>
          <w:p w14:paraId="7818AE4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0.662</w:t>
            </w:r>
          </w:p>
        </w:tc>
        <w:tc>
          <w:tcPr>
            <w:tcW w:w="960" w:type="dxa"/>
            <w:tcBorders>
              <w:top w:val="nil"/>
              <w:left w:val="nil"/>
              <w:bottom w:val="nil"/>
              <w:right w:val="nil"/>
            </w:tcBorders>
            <w:shd w:val="clear" w:color="auto" w:fill="auto"/>
            <w:noWrap/>
            <w:vAlign w:val="center"/>
            <w:hideMark/>
          </w:tcPr>
          <w:p w14:paraId="65E1DE8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25230F6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0.0181</w:t>
            </w:r>
          </w:p>
        </w:tc>
        <w:tc>
          <w:tcPr>
            <w:tcW w:w="860" w:type="dxa"/>
            <w:tcBorders>
              <w:top w:val="nil"/>
              <w:left w:val="nil"/>
              <w:bottom w:val="nil"/>
              <w:right w:val="nil"/>
            </w:tcBorders>
            <w:shd w:val="clear" w:color="auto" w:fill="auto"/>
            <w:noWrap/>
            <w:vAlign w:val="center"/>
            <w:hideMark/>
          </w:tcPr>
          <w:p w14:paraId="4D12AFE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0.85726</w:t>
            </w:r>
          </w:p>
        </w:tc>
      </w:tr>
      <w:tr w:rsidR="00D740DC" w:rsidRPr="000B5B7F" w14:paraId="7948FE42" w14:textId="77777777" w:rsidTr="00B11F5F">
        <w:trPr>
          <w:trHeight w:val="300"/>
        </w:trPr>
        <w:tc>
          <w:tcPr>
            <w:tcW w:w="620" w:type="dxa"/>
            <w:vMerge/>
            <w:tcBorders>
              <w:top w:val="nil"/>
              <w:left w:val="nil"/>
              <w:bottom w:val="single" w:sz="4" w:space="0" w:color="000000"/>
              <w:right w:val="nil"/>
            </w:tcBorders>
            <w:vAlign w:val="center"/>
            <w:hideMark/>
          </w:tcPr>
          <w:p w14:paraId="5A62D6BC"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nil"/>
              <w:left w:val="nil"/>
              <w:bottom w:val="single" w:sz="4" w:space="0" w:color="000000"/>
              <w:right w:val="nil"/>
            </w:tcBorders>
            <w:vAlign w:val="center"/>
            <w:hideMark/>
          </w:tcPr>
          <w:p w14:paraId="1CD4C76F"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29F3BEB3"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06E7968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71.43</w:t>
            </w:r>
          </w:p>
        </w:tc>
        <w:tc>
          <w:tcPr>
            <w:tcW w:w="960" w:type="dxa"/>
            <w:tcBorders>
              <w:top w:val="nil"/>
              <w:left w:val="nil"/>
              <w:bottom w:val="single" w:sz="4" w:space="0" w:color="auto"/>
              <w:right w:val="nil"/>
            </w:tcBorders>
            <w:shd w:val="clear" w:color="auto" w:fill="auto"/>
            <w:noWrap/>
            <w:vAlign w:val="center"/>
            <w:hideMark/>
          </w:tcPr>
          <w:p w14:paraId="7D87313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11.75</w:t>
            </w:r>
          </w:p>
        </w:tc>
        <w:tc>
          <w:tcPr>
            <w:tcW w:w="960" w:type="dxa"/>
            <w:tcBorders>
              <w:top w:val="nil"/>
              <w:left w:val="nil"/>
              <w:bottom w:val="single" w:sz="4" w:space="0" w:color="auto"/>
              <w:right w:val="nil"/>
            </w:tcBorders>
            <w:shd w:val="clear" w:color="auto" w:fill="auto"/>
            <w:noWrap/>
            <w:vAlign w:val="center"/>
            <w:hideMark/>
          </w:tcPr>
          <w:p w14:paraId="4677888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6.02</w:t>
            </w:r>
          </w:p>
        </w:tc>
        <w:tc>
          <w:tcPr>
            <w:tcW w:w="960" w:type="dxa"/>
            <w:tcBorders>
              <w:top w:val="nil"/>
              <w:left w:val="nil"/>
              <w:bottom w:val="single" w:sz="4" w:space="0" w:color="auto"/>
              <w:right w:val="nil"/>
            </w:tcBorders>
            <w:shd w:val="clear" w:color="auto" w:fill="auto"/>
            <w:noWrap/>
            <w:vAlign w:val="center"/>
            <w:hideMark/>
          </w:tcPr>
          <w:p w14:paraId="72BCBD5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6.55</w:t>
            </w:r>
          </w:p>
        </w:tc>
        <w:tc>
          <w:tcPr>
            <w:tcW w:w="960" w:type="dxa"/>
            <w:tcBorders>
              <w:top w:val="nil"/>
              <w:left w:val="nil"/>
              <w:bottom w:val="single" w:sz="4" w:space="0" w:color="auto"/>
              <w:right w:val="nil"/>
            </w:tcBorders>
            <w:shd w:val="clear" w:color="auto" w:fill="auto"/>
            <w:noWrap/>
            <w:vAlign w:val="center"/>
            <w:hideMark/>
          </w:tcPr>
          <w:p w14:paraId="4DB9865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2.63</w:t>
            </w:r>
          </w:p>
        </w:tc>
        <w:tc>
          <w:tcPr>
            <w:tcW w:w="960" w:type="dxa"/>
            <w:tcBorders>
              <w:top w:val="nil"/>
              <w:left w:val="nil"/>
              <w:bottom w:val="single" w:sz="4" w:space="0" w:color="auto"/>
              <w:right w:val="nil"/>
            </w:tcBorders>
            <w:shd w:val="clear" w:color="auto" w:fill="auto"/>
            <w:noWrap/>
            <w:vAlign w:val="center"/>
            <w:hideMark/>
          </w:tcPr>
          <w:p w14:paraId="616333E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0.7</w:t>
            </w:r>
          </w:p>
        </w:tc>
        <w:tc>
          <w:tcPr>
            <w:tcW w:w="960" w:type="dxa"/>
            <w:tcBorders>
              <w:top w:val="nil"/>
              <w:left w:val="nil"/>
              <w:bottom w:val="single" w:sz="4" w:space="0" w:color="auto"/>
              <w:right w:val="nil"/>
            </w:tcBorders>
            <w:shd w:val="clear" w:color="auto" w:fill="auto"/>
            <w:noWrap/>
            <w:vAlign w:val="center"/>
            <w:hideMark/>
          </w:tcPr>
          <w:p w14:paraId="35CC357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single" w:sz="4" w:space="0" w:color="auto"/>
              <w:right w:val="nil"/>
            </w:tcBorders>
            <w:shd w:val="clear" w:color="auto" w:fill="auto"/>
            <w:noWrap/>
            <w:vAlign w:val="center"/>
            <w:hideMark/>
          </w:tcPr>
          <w:p w14:paraId="762CB1D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0.02</w:t>
            </w:r>
          </w:p>
        </w:tc>
        <w:tc>
          <w:tcPr>
            <w:tcW w:w="860" w:type="dxa"/>
            <w:tcBorders>
              <w:top w:val="nil"/>
              <w:left w:val="nil"/>
              <w:bottom w:val="single" w:sz="4" w:space="0" w:color="auto"/>
              <w:right w:val="nil"/>
            </w:tcBorders>
            <w:shd w:val="clear" w:color="auto" w:fill="auto"/>
            <w:noWrap/>
            <w:vAlign w:val="center"/>
            <w:hideMark/>
          </w:tcPr>
          <w:p w14:paraId="2BAF25C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0.91</w:t>
            </w:r>
          </w:p>
        </w:tc>
      </w:tr>
      <w:tr w:rsidR="00D740DC" w:rsidRPr="000B5B7F" w14:paraId="12D1FEBF" w14:textId="77777777" w:rsidTr="00B11F5F">
        <w:trPr>
          <w:trHeight w:val="300"/>
        </w:trPr>
        <w:tc>
          <w:tcPr>
            <w:tcW w:w="620" w:type="dxa"/>
            <w:vMerge/>
            <w:tcBorders>
              <w:top w:val="nil"/>
              <w:left w:val="nil"/>
              <w:bottom w:val="single" w:sz="4" w:space="0" w:color="000000"/>
              <w:right w:val="nil"/>
            </w:tcBorders>
            <w:vAlign w:val="center"/>
            <w:hideMark/>
          </w:tcPr>
          <w:p w14:paraId="004F284F"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77CA1BC3"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N</w:t>
            </w:r>
            <w:r w:rsidRPr="000B5B7F">
              <w:rPr>
                <w:rFonts w:eastAsia="Times New Roman" w:cs="Times New Roman"/>
                <w:b w:val="0"/>
                <w:color w:val="000000"/>
                <w:sz w:val="18"/>
                <w:szCs w:val="18"/>
                <w:vertAlign w:val="subscript"/>
                <w:lang w:eastAsia="en-MY"/>
              </w:rPr>
              <w:t>7.6</w:t>
            </w:r>
            <w:r w:rsidRPr="000B5B7F">
              <w:rPr>
                <w:rFonts w:eastAsia="Times New Roman" w:cs="Times New Roman"/>
                <w:b w:val="0"/>
                <w:color w:val="000000"/>
                <w:sz w:val="18"/>
                <w:szCs w:val="18"/>
                <w:lang w:eastAsia="en-MY"/>
              </w:rPr>
              <w:t>C</w:t>
            </w:r>
            <w:r w:rsidRPr="000B5B7F">
              <w:rPr>
                <w:rFonts w:eastAsia="Times New Roman" w:cs="Times New Roman"/>
                <w:b w:val="0"/>
                <w:color w:val="000000"/>
                <w:sz w:val="18"/>
                <w:szCs w:val="18"/>
                <w:vertAlign w:val="subscript"/>
                <w:lang w:eastAsia="en-MY"/>
              </w:rPr>
              <w:t>3.0</w:t>
            </w:r>
            <w:r w:rsidRPr="000B5B7F">
              <w:rPr>
                <w:rFonts w:eastAsia="Times New Roman" w:cs="Times New Roman"/>
                <w:b w:val="0"/>
                <w:color w:val="000000"/>
                <w:sz w:val="18"/>
                <w:szCs w:val="18"/>
                <w:lang w:eastAsia="en-MY"/>
              </w:rPr>
              <w:t>B</w:t>
            </w:r>
            <w:r w:rsidRPr="000B5B7F">
              <w:rPr>
                <w:rFonts w:eastAsia="Times New Roman" w:cs="Times New Roman"/>
                <w:b w:val="0"/>
                <w:color w:val="000000"/>
                <w:sz w:val="18"/>
                <w:szCs w:val="18"/>
                <w:vertAlign w:val="subscript"/>
                <w:lang w:eastAsia="en-MY"/>
              </w:rPr>
              <w:t>7.6</w:t>
            </w:r>
            <w:r w:rsidRPr="000B5B7F">
              <w:rPr>
                <w:rFonts w:eastAsia="Times New Roman" w:cs="Times New Roman"/>
                <w:b w:val="0"/>
                <w:color w:val="000000"/>
                <w:sz w:val="18"/>
                <w:szCs w:val="18"/>
                <w:lang w:eastAsia="en-MY"/>
              </w:rPr>
              <w:t>M</w:t>
            </w:r>
            <w:r w:rsidRPr="000B5B7F">
              <w:rPr>
                <w:rFonts w:eastAsia="Times New Roman" w:cs="Times New Roman"/>
                <w:b w:val="0"/>
                <w:color w:val="000000"/>
                <w:sz w:val="18"/>
                <w:szCs w:val="18"/>
                <w:vertAlign w:val="subscript"/>
                <w:lang w:eastAsia="en-MY"/>
              </w:rPr>
              <w:t>1.1</w:t>
            </w:r>
            <w:r w:rsidRPr="000B5B7F">
              <w:rPr>
                <w:rFonts w:eastAsia="Times New Roman" w:cs="Times New Roman"/>
                <w:b w:val="0"/>
                <w:color w:val="000000"/>
                <w:sz w:val="18"/>
                <w:szCs w:val="18"/>
                <w:lang w:eastAsia="en-MY"/>
              </w:rPr>
              <w:t>S</w:t>
            </w:r>
            <w:r w:rsidRPr="000B5B7F">
              <w:rPr>
                <w:rFonts w:eastAsia="Times New Roman" w:cs="Times New Roman"/>
                <w:b w:val="0"/>
                <w:color w:val="000000"/>
                <w:sz w:val="18"/>
                <w:szCs w:val="18"/>
                <w:vertAlign w:val="subscript"/>
                <w:lang w:eastAsia="en-MY"/>
              </w:rPr>
              <w:t>73.2</w:t>
            </w:r>
            <w:r w:rsidRPr="000B5B7F">
              <w:rPr>
                <w:rFonts w:eastAsia="Times New Roman" w:cs="Times New Roman"/>
                <w:b w:val="0"/>
                <w:color w:val="000000"/>
                <w:sz w:val="18"/>
                <w:szCs w:val="18"/>
                <w:lang w:eastAsia="en-MY"/>
              </w:rPr>
              <w:t xml:space="preserve">A </w:t>
            </w:r>
            <w:r w:rsidRPr="000B5B7F">
              <w:rPr>
                <w:rFonts w:eastAsia="Times New Roman" w:cs="Times New Roman"/>
                <w:b w:val="0"/>
                <w:color w:val="000000"/>
                <w:sz w:val="18"/>
                <w:szCs w:val="18"/>
                <w:vertAlign w:val="subscript"/>
                <w:lang w:eastAsia="en-MY"/>
              </w:rPr>
              <w:t>7.5</w:t>
            </w:r>
          </w:p>
        </w:tc>
        <w:tc>
          <w:tcPr>
            <w:tcW w:w="3420" w:type="dxa"/>
            <w:tcBorders>
              <w:top w:val="nil"/>
              <w:left w:val="nil"/>
              <w:bottom w:val="nil"/>
              <w:right w:val="nil"/>
            </w:tcBorders>
            <w:shd w:val="clear" w:color="auto" w:fill="auto"/>
            <w:noWrap/>
            <w:vAlign w:val="center"/>
            <w:hideMark/>
          </w:tcPr>
          <w:p w14:paraId="1F980978"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26B00B99"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68.98</w:t>
            </w:r>
          </w:p>
        </w:tc>
        <w:tc>
          <w:tcPr>
            <w:tcW w:w="960" w:type="dxa"/>
            <w:tcBorders>
              <w:top w:val="nil"/>
              <w:left w:val="nil"/>
              <w:bottom w:val="nil"/>
              <w:right w:val="nil"/>
            </w:tcBorders>
            <w:shd w:val="clear" w:color="auto" w:fill="auto"/>
            <w:noWrap/>
            <w:vAlign w:val="center"/>
            <w:hideMark/>
          </w:tcPr>
          <w:p w14:paraId="4AB9BF9A"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11.99</w:t>
            </w:r>
          </w:p>
        </w:tc>
        <w:tc>
          <w:tcPr>
            <w:tcW w:w="960" w:type="dxa"/>
            <w:tcBorders>
              <w:top w:val="nil"/>
              <w:left w:val="nil"/>
              <w:bottom w:val="nil"/>
              <w:right w:val="nil"/>
            </w:tcBorders>
            <w:shd w:val="clear" w:color="auto" w:fill="auto"/>
            <w:noWrap/>
            <w:vAlign w:val="center"/>
            <w:hideMark/>
          </w:tcPr>
          <w:p w14:paraId="52F85AAD"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8.3</w:t>
            </w:r>
          </w:p>
        </w:tc>
        <w:tc>
          <w:tcPr>
            <w:tcW w:w="960" w:type="dxa"/>
            <w:tcBorders>
              <w:top w:val="nil"/>
              <w:left w:val="nil"/>
              <w:bottom w:val="nil"/>
              <w:right w:val="nil"/>
            </w:tcBorders>
            <w:shd w:val="clear" w:color="auto" w:fill="auto"/>
            <w:noWrap/>
            <w:vAlign w:val="center"/>
            <w:hideMark/>
          </w:tcPr>
          <w:p w14:paraId="1CBB6F9F"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7.39</w:t>
            </w:r>
          </w:p>
        </w:tc>
        <w:tc>
          <w:tcPr>
            <w:tcW w:w="960" w:type="dxa"/>
            <w:tcBorders>
              <w:top w:val="nil"/>
              <w:left w:val="nil"/>
              <w:bottom w:val="nil"/>
              <w:right w:val="nil"/>
            </w:tcBorders>
            <w:shd w:val="clear" w:color="auto" w:fill="auto"/>
            <w:noWrap/>
            <w:vAlign w:val="center"/>
            <w:hideMark/>
          </w:tcPr>
          <w:p w14:paraId="5DB5F942"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2.64</w:t>
            </w:r>
          </w:p>
        </w:tc>
        <w:tc>
          <w:tcPr>
            <w:tcW w:w="960" w:type="dxa"/>
            <w:tcBorders>
              <w:top w:val="nil"/>
              <w:left w:val="nil"/>
              <w:bottom w:val="nil"/>
              <w:right w:val="nil"/>
            </w:tcBorders>
            <w:shd w:val="clear" w:color="auto" w:fill="auto"/>
            <w:noWrap/>
            <w:vAlign w:val="center"/>
            <w:hideMark/>
          </w:tcPr>
          <w:p w14:paraId="2928324B"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0.7</w:t>
            </w:r>
          </w:p>
        </w:tc>
        <w:tc>
          <w:tcPr>
            <w:tcW w:w="960" w:type="dxa"/>
            <w:tcBorders>
              <w:top w:val="nil"/>
              <w:left w:val="nil"/>
              <w:bottom w:val="nil"/>
              <w:right w:val="nil"/>
            </w:tcBorders>
            <w:shd w:val="clear" w:color="auto" w:fill="auto"/>
            <w:noWrap/>
            <w:vAlign w:val="center"/>
            <w:hideMark/>
          </w:tcPr>
          <w:p w14:paraId="061E2E82"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760" w:type="dxa"/>
            <w:tcBorders>
              <w:top w:val="nil"/>
              <w:left w:val="nil"/>
              <w:bottom w:val="nil"/>
              <w:right w:val="nil"/>
            </w:tcBorders>
            <w:shd w:val="clear" w:color="auto" w:fill="auto"/>
            <w:noWrap/>
            <w:vAlign w:val="center"/>
            <w:hideMark/>
          </w:tcPr>
          <w:p w14:paraId="4EEADABC"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860" w:type="dxa"/>
            <w:tcBorders>
              <w:top w:val="nil"/>
              <w:left w:val="nil"/>
              <w:bottom w:val="nil"/>
              <w:right w:val="nil"/>
            </w:tcBorders>
            <w:shd w:val="clear" w:color="auto" w:fill="auto"/>
            <w:noWrap/>
            <w:vAlign w:val="center"/>
            <w:hideMark/>
          </w:tcPr>
          <w:p w14:paraId="22D65044"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0B5B7F" w14:paraId="5FD2534A" w14:textId="77777777" w:rsidTr="00B11F5F">
        <w:trPr>
          <w:trHeight w:val="315"/>
        </w:trPr>
        <w:tc>
          <w:tcPr>
            <w:tcW w:w="620" w:type="dxa"/>
            <w:vMerge/>
            <w:tcBorders>
              <w:top w:val="nil"/>
              <w:left w:val="nil"/>
              <w:bottom w:val="single" w:sz="4" w:space="0" w:color="000000"/>
              <w:right w:val="nil"/>
            </w:tcBorders>
            <w:vAlign w:val="center"/>
            <w:hideMark/>
          </w:tcPr>
          <w:p w14:paraId="1D26A826"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nil"/>
              <w:left w:val="nil"/>
              <w:bottom w:val="single" w:sz="4" w:space="0" w:color="000000"/>
              <w:right w:val="nil"/>
            </w:tcBorders>
            <w:vAlign w:val="center"/>
            <w:hideMark/>
          </w:tcPr>
          <w:p w14:paraId="6F0D8D92"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75FD1D16"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0A51C95C"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65.86</w:t>
            </w:r>
          </w:p>
        </w:tc>
        <w:tc>
          <w:tcPr>
            <w:tcW w:w="960" w:type="dxa"/>
            <w:tcBorders>
              <w:top w:val="nil"/>
              <w:left w:val="nil"/>
              <w:bottom w:val="nil"/>
              <w:right w:val="nil"/>
            </w:tcBorders>
            <w:shd w:val="clear" w:color="auto" w:fill="auto"/>
            <w:noWrap/>
            <w:vAlign w:val="center"/>
            <w:hideMark/>
          </w:tcPr>
          <w:p w14:paraId="7EA68557"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12.08</w:t>
            </w:r>
          </w:p>
        </w:tc>
        <w:tc>
          <w:tcPr>
            <w:tcW w:w="960" w:type="dxa"/>
            <w:tcBorders>
              <w:top w:val="nil"/>
              <w:left w:val="nil"/>
              <w:bottom w:val="nil"/>
              <w:right w:val="nil"/>
            </w:tcBorders>
            <w:shd w:val="clear" w:color="auto" w:fill="auto"/>
            <w:noWrap/>
            <w:vAlign w:val="center"/>
            <w:hideMark/>
          </w:tcPr>
          <w:p w14:paraId="55566047"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11.36</w:t>
            </w:r>
          </w:p>
        </w:tc>
        <w:tc>
          <w:tcPr>
            <w:tcW w:w="960" w:type="dxa"/>
            <w:tcBorders>
              <w:top w:val="nil"/>
              <w:left w:val="nil"/>
              <w:bottom w:val="nil"/>
              <w:right w:val="nil"/>
            </w:tcBorders>
            <w:shd w:val="clear" w:color="auto" w:fill="auto"/>
            <w:noWrap/>
            <w:vAlign w:val="center"/>
            <w:hideMark/>
          </w:tcPr>
          <w:p w14:paraId="6DB85F6E"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6.58</w:t>
            </w:r>
          </w:p>
        </w:tc>
        <w:tc>
          <w:tcPr>
            <w:tcW w:w="960" w:type="dxa"/>
            <w:tcBorders>
              <w:top w:val="nil"/>
              <w:left w:val="nil"/>
              <w:bottom w:val="nil"/>
              <w:right w:val="nil"/>
            </w:tcBorders>
            <w:shd w:val="clear" w:color="auto" w:fill="auto"/>
            <w:noWrap/>
            <w:vAlign w:val="center"/>
            <w:hideMark/>
          </w:tcPr>
          <w:p w14:paraId="5531DE6B"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2.52</w:t>
            </w:r>
          </w:p>
        </w:tc>
        <w:tc>
          <w:tcPr>
            <w:tcW w:w="960" w:type="dxa"/>
            <w:tcBorders>
              <w:top w:val="nil"/>
              <w:left w:val="nil"/>
              <w:bottom w:val="nil"/>
              <w:right w:val="nil"/>
            </w:tcBorders>
            <w:shd w:val="clear" w:color="auto" w:fill="auto"/>
            <w:noWrap/>
            <w:vAlign w:val="center"/>
            <w:hideMark/>
          </w:tcPr>
          <w:p w14:paraId="752E9898"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0.69</w:t>
            </w:r>
          </w:p>
        </w:tc>
        <w:tc>
          <w:tcPr>
            <w:tcW w:w="960" w:type="dxa"/>
            <w:tcBorders>
              <w:top w:val="nil"/>
              <w:left w:val="nil"/>
              <w:bottom w:val="nil"/>
              <w:right w:val="nil"/>
            </w:tcBorders>
            <w:shd w:val="clear" w:color="auto" w:fill="auto"/>
            <w:noWrap/>
            <w:vAlign w:val="center"/>
            <w:hideMark/>
          </w:tcPr>
          <w:p w14:paraId="17A0E460"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1265F2BF"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860" w:type="dxa"/>
            <w:tcBorders>
              <w:top w:val="nil"/>
              <w:left w:val="nil"/>
              <w:bottom w:val="nil"/>
              <w:right w:val="nil"/>
            </w:tcBorders>
            <w:shd w:val="clear" w:color="auto" w:fill="auto"/>
            <w:noWrap/>
            <w:vAlign w:val="center"/>
            <w:hideMark/>
          </w:tcPr>
          <w:p w14:paraId="6C1E41E1"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0.92</w:t>
            </w:r>
          </w:p>
        </w:tc>
      </w:tr>
      <w:tr w:rsidR="00D740DC" w:rsidRPr="000B5B7F" w14:paraId="56B72C34" w14:textId="77777777" w:rsidTr="00B11F5F">
        <w:trPr>
          <w:trHeight w:val="315"/>
        </w:trPr>
        <w:tc>
          <w:tcPr>
            <w:tcW w:w="620" w:type="dxa"/>
            <w:vMerge/>
            <w:tcBorders>
              <w:top w:val="nil"/>
              <w:left w:val="nil"/>
              <w:bottom w:val="single" w:sz="4" w:space="0" w:color="000000"/>
              <w:right w:val="nil"/>
            </w:tcBorders>
            <w:vAlign w:val="center"/>
            <w:hideMark/>
          </w:tcPr>
          <w:p w14:paraId="22D23625"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nil"/>
              <w:left w:val="nil"/>
              <w:bottom w:val="single" w:sz="4" w:space="0" w:color="000000"/>
              <w:right w:val="nil"/>
            </w:tcBorders>
            <w:vAlign w:val="center"/>
            <w:hideMark/>
          </w:tcPr>
          <w:p w14:paraId="7573F15F"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7BFFB1BC"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1B526C9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65.86</w:t>
            </w:r>
          </w:p>
        </w:tc>
        <w:tc>
          <w:tcPr>
            <w:tcW w:w="960" w:type="dxa"/>
            <w:tcBorders>
              <w:top w:val="nil"/>
              <w:left w:val="nil"/>
              <w:bottom w:val="nil"/>
              <w:right w:val="nil"/>
            </w:tcBorders>
            <w:shd w:val="clear" w:color="auto" w:fill="auto"/>
            <w:noWrap/>
            <w:vAlign w:val="center"/>
            <w:hideMark/>
          </w:tcPr>
          <w:p w14:paraId="441D8B7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12.08</w:t>
            </w:r>
          </w:p>
        </w:tc>
        <w:tc>
          <w:tcPr>
            <w:tcW w:w="960" w:type="dxa"/>
            <w:tcBorders>
              <w:top w:val="nil"/>
              <w:left w:val="nil"/>
              <w:bottom w:val="nil"/>
              <w:right w:val="nil"/>
            </w:tcBorders>
            <w:shd w:val="clear" w:color="auto" w:fill="auto"/>
            <w:noWrap/>
            <w:vAlign w:val="center"/>
            <w:hideMark/>
          </w:tcPr>
          <w:p w14:paraId="3C7D2D0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5.68</w:t>
            </w:r>
          </w:p>
        </w:tc>
        <w:tc>
          <w:tcPr>
            <w:tcW w:w="960" w:type="dxa"/>
            <w:tcBorders>
              <w:top w:val="nil"/>
              <w:left w:val="nil"/>
              <w:bottom w:val="nil"/>
              <w:right w:val="nil"/>
            </w:tcBorders>
            <w:shd w:val="clear" w:color="auto" w:fill="auto"/>
            <w:noWrap/>
            <w:vAlign w:val="center"/>
            <w:hideMark/>
          </w:tcPr>
          <w:p w14:paraId="2936221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6.58</w:t>
            </w:r>
          </w:p>
        </w:tc>
        <w:tc>
          <w:tcPr>
            <w:tcW w:w="960" w:type="dxa"/>
            <w:tcBorders>
              <w:top w:val="nil"/>
              <w:left w:val="nil"/>
              <w:bottom w:val="nil"/>
              <w:right w:val="nil"/>
            </w:tcBorders>
            <w:shd w:val="clear" w:color="auto" w:fill="auto"/>
            <w:noWrap/>
            <w:vAlign w:val="center"/>
            <w:hideMark/>
          </w:tcPr>
          <w:p w14:paraId="1CC79CF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2.52</w:t>
            </w:r>
          </w:p>
        </w:tc>
        <w:tc>
          <w:tcPr>
            <w:tcW w:w="960" w:type="dxa"/>
            <w:tcBorders>
              <w:top w:val="nil"/>
              <w:left w:val="nil"/>
              <w:bottom w:val="nil"/>
              <w:right w:val="nil"/>
            </w:tcBorders>
            <w:shd w:val="clear" w:color="auto" w:fill="auto"/>
            <w:noWrap/>
            <w:vAlign w:val="center"/>
            <w:hideMark/>
          </w:tcPr>
          <w:p w14:paraId="30DC53F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0.69</w:t>
            </w:r>
          </w:p>
        </w:tc>
        <w:tc>
          <w:tcPr>
            <w:tcW w:w="960" w:type="dxa"/>
            <w:tcBorders>
              <w:top w:val="nil"/>
              <w:left w:val="nil"/>
              <w:bottom w:val="nil"/>
              <w:right w:val="nil"/>
            </w:tcBorders>
            <w:shd w:val="clear" w:color="auto" w:fill="auto"/>
            <w:noWrap/>
            <w:vAlign w:val="center"/>
            <w:hideMark/>
          </w:tcPr>
          <w:p w14:paraId="0F8E0E1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57BF364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860" w:type="dxa"/>
            <w:tcBorders>
              <w:top w:val="nil"/>
              <w:left w:val="nil"/>
              <w:bottom w:val="nil"/>
              <w:right w:val="nil"/>
            </w:tcBorders>
            <w:shd w:val="clear" w:color="auto" w:fill="auto"/>
            <w:noWrap/>
            <w:vAlign w:val="center"/>
            <w:hideMark/>
          </w:tcPr>
          <w:p w14:paraId="5D92759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0.92</w:t>
            </w:r>
          </w:p>
        </w:tc>
      </w:tr>
      <w:tr w:rsidR="00D740DC" w:rsidRPr="000B5B7F" w14:paraId="284739C8" w14:textId="77777777" w:rsidTr="00B11F5F">
        <w:trPr>
          <w:trHeight w:val="315"/>
        </w:trPr>
        <w:tc>
          <w:tcPr>
            <w:tcW w:w="620" w:type="dxa"/>
            <w:vMerge/>
            <w:tcBorders>
              <w:top w:val="nil"/>
              <w:left w:val="nil"/>
              <w:bottom w:val="single" w:sz="4" w:space="0" w:color="000000"/>
              <w:right w:val="nil"/>
            </w:tcBorders>
            <w:vAlign w:val="center"/>
            <w:hideMark/>
          </w:tcPr>
          <w:p w14:paraId="4C279FC1"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nil"/>
              <w:left w:val="nil"/>
              <w:bottom w:val="single" w:sz="4" w:space="0" w:color="000000"/>
              <w:right w:val="nil"/>
            </w:tcBorders>
            <w:vAlign w:val="center"/>
            <w:hideMark/>
          </w:tcPr>
          <w:p w14:paraId="2728994A"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5B8D6E1E"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XRF (half boron - normalised)</w:t>
            </w:r>
          </w:p>
        </w:tc>
        <w:tc>
          <w:tcPr>
            <w:tcW w:w="960" w:type="dxa"/>
            <w:tcBorders>
              <w:top w:val="nil"/>
              <w:left w:val="nil"/>
              <w:bottom w:val="nil"/>
              <w:right w:val="nil"/>
            </w:tcBorders>
            <w:shd w:val="clear" w:color="auto" w:fill="auto"/>
            <w:noWrap/>
            <w:vAlign w:val="center"/>
            <w:hideMark/>
          </w:tcPr>
          <w:p w14:paraId="5BC6649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69.83</w:t>
            </w:r>
          </w:p>
        </w:tc>
        <w:tc>
          <w:tcPr>
            <w:tcW w:w="960" w:type="dxa"/>
            <w:tcBorders>
              <w:top w:val="nil"/>
              <w:left w:val="nil"/>
              <w:bottom w:val="nil"/>
              <w:right w:val="nil"/>
            </w:tcBorders>
            <w:shd w:val="clear" w:color="auto" w:fill="auto"/>
            <w:noWrap/>
            <w:vAlign w:val="center"/>
            <w:hideMark/>
          </w:tcPr>
          <w:p w14:paraId="650ED49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12.81</w:t>
            </w:r>
          </w:p>
        </w:tc>
        <w:tc>
          <w:tcPr>
            <w:tcW w:w="960" w:type="dxa"/>
            <w:tcBorders>
              <w:top w:val="nil"/>
              <w:left w:val="nil"/>
              <w:bottom w:val="nil"/>
              <w:right w:val="nil"/>
            </w:tcBorders>
            <w:shd w:val="clear" w:color="auto" w:fill="auto"/>
            <w:noWrap/>
            <w:vAlign w:val="center"/>
            <w:hideMark/>
          </w:tcPr>
          <w:p w14:paraId="04FDB05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6.02</w:t>
            </w:r>
          </w:p>
        </w:tc>
        <w:tc>
          <w:tcPr>
            <w:tcW w:w="960" w:type="dxa"/>
            <w:tcBorders>
              <w:top w:val="nil"/>
              <w:left w:val="nil"/>
              <w:bottom w:val="nil"/>
              <w:right w:val="nil"/>
            </w:tcBorders>
            <w:shd w:val="clear" w:color="auto" w:fill="auto"/>
            <w:noWrap/>
            <w:vAlign w:val="center"/>
            <w:hideMark/>
          </w:tcPr>
          <w:p w14:paraId="1362E88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6.97</w:t>
            </w:r>
          </w:p>
        </w:tc>
        <w:tc>
          <w:tcPr>
            <w:tcW w:w="960" w:type="dxa"/>
            <w:tcBorders>
              <w:top w:val="nil"/>
              <w:left w:val="nil"/>
              <w:bottom w:val="nil"/>
              <w:right w:val="nil"/>
            </w:tcBorders>
            <w:shd w:val="clear" w:color="auto" w:fill="auto"/>
            <w:noWrap/>
            <w:vAlign w:val="center"/>
            <w:hideMark/>
          </w:tcPr>
          <w:p w14:paraId="547E49B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2.67</w:t>
            </w:r>
          </w:p>
        </w:tc>
        <w:tc>
          <w:tcPr>
            <w:tcW w:w="960" w:type="dxa"/>
            <w:tcBorders>
              <w:top w:val="nil"/>
              <w:left w:val="nil"/>
              <w:bottom w:val="nil"/>
              <w:right w:val="nil"/>
            </w:tcBorders>
            <w:shd w:val="clear" w:color="auto" w:fill="auto"/>
            <w:noWrap/>
            <w:vAlign w:val="center"/>
            <w:hideMark/>
          </w:tcPr>
          <w:p w14:paraId="0BDFF6A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0.73</w:t>
            </w:r>
          </w:p>
        </w:tc>
        <w:tc>
          <w:tcPr>
            <w:tcW w:w="960" w:type="dxa"/>
            <w:tcBorders>
              <w:top w:val="nil"/>
              <w:left w:val="nil"/>
              <w:bottom w:val="nil"/>
              <w:right w:val="nil"/>
            </w:tcBorders>
            <w:shd w:val="clear" w:color="auto" w:fill="auto"/>
            <w:noWrap/>
            <w:vAlign w:val="center"/>
            <w:hideMark/>
          </w:tcPr>
          <w:p w14:paraId="2A0675C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54E2337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860" w:type="dxa"/>
            <w:tcBorders>
              <w:top w:val="nil"/>
              <w:left w:val="nil"/>
              <w:bottom w:val="nil"/>
              <w:right w:val="nil"/>
            </w:tcBorders>
            <w:shd w:val="clear" w:color="auto" w:fill="auto"/>
            <w:noWrap/>
            <w:vAlign w:val="center"/>
            <w:hideMark/>
          </w:tcPr>
          <w:p w14:paraId="04DCDE4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0.97</w:t>
            </w:r>
          </w:p>
        </w:tc>
      </w:tr>
      <w:tr w:rsidR="00D740DC" w:rsidRPr="000B5B7F" w14:paraId="13CBFE21" w14:textId="77777777" w:rsidTr="00B11F5F">
        <w:trPr>
          <w:trHeight w:val="315"/>
        </w:trPr>
        <w:tc>
          <w:tcPr>
            <w:tcW w:w="620" w:type="dxa"/>
            <w:vMerge/>
            <w:tcBorders>
              <w:top w:val="nil"/>
              <w:left w:val="nil"/>
              <w:bottom w:val="single" w:sz="4" w:space="0" w:color="000000"/>
              <w:right w:val="nil"/>
            </w:tcBorders>
            <w:vAlign w:val="center"/>
            <w:hideMark/>
          </w:tcPr>
          <w:p w14:paraId="4F808326"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2160" w:type="dxa"/>
            <w:vMerge/>
            <w:tcBorders>
              <w:top w:val="nil"/>
              <w:left w:val="nil"/>
              <w:bottom w:val="single" w:sz="4" w:space="0" w:color="000000"/>
              <w:right w:val="nil"/>
            </w:tcBorders>
            <w:vAlign w:val="center"/>
            <w:hideMark/>
          </w:tcPr>
          <w:p w14:paraId="10342C50" w14:textId="77777777" w:rsidR="00D740DC" w:rsidRPr="000B5B7F"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000000" w:fill="D9D9D9"/>
            <w:noWrap/>
            <w:vAlign w:val="center"/>
            <w:hideMark/>
          </w:tcPr>
          <w:p w14:paraId="3C94B4EE"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Measured (ICP)</w:t>
            </w:r>
          </w:p>
        </w:tc>
        <w:tc>
          <w:tcPr>
            <w:tcW w:w="960" w:type="dxa"/>
            <w:tcBorders>
              <w:top w:val="nil"/>
              <w:left w:val="nil"/>
              <w:bottom w:val="single" w:sz="4" w:space="0" w:color="auto"/>
              <w:right w:val="nil"/>
            </w:tcBorders>
            <w:shd w:val="clear" w:color="000000" w:fill="D9D9D9"/>
            <w:noWrap/>
            <w:vAlign w:val="center"/>
            <w:hideMark/>
          </w:tcPr>
          <w:p w14:paraId="2FEDED52"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68.68</w:t>
            </w:r>
          </w:p>
        </w:tc>
        <w:tc>
          <w:tcPr>
            <w:tcW w:w="960" w:type="dxa"/>
            <w:tcBorders>
              <w:top w:val="nil"/>
              <w:left w:val="nil"/>
              <w:bottom w:val="single" w:sz="4" w:space="0" w:color="auto"/>
              <w:right w:val="nil"/>
            </w:tcBorders>
            <w:shd w:val="clear" w:color="000000" w:fill="D9D9D9"/>
            <w:noWrap/>
            <w:vAlign w:val="center"/>
            <w:hideMark/>
          </w:tcPr>
          <w:p w14:paraId="55B63AFB"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10.58</w:t>
            </w:r>
          </w:p>
        </w:tc>
        <w:tc>
          <w:tcPr>
            <w:tcW w:w="960" w:type="dxa"/>
            <w:tcBorders>
              <w:top w:val="nil"/>
              <w:left w:val="nil"/>
              <w:bottom w:val="single" w:sz="4" w:space="0" w:color="auto"/>
              <w:right w:val="nil"/>
            </w:tcBorders>
            <w:shd w:val="clear" w:color="000000" w:fill="D9D9D9"/>
            <w:noWrap/>
            <w:vAlign w:val="center"/>
            <w:hideMark/>
          </w:tcPr>
          <w:p w14:paraId="4B018101"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5.60</w:t>
            </w:r>
          </w:p>
        </w:tc>
        <w:tc>
          <w:tcPr>
            <w:tcW w:w="960" w:type="dxa"/>
            <w:tcBorders>
              <w:top w:val="nil"/>
              <w:left w:val="nil"/>
              <w:bottom w:val="single" w:sz="4" w:space="0" w:color="auto"/>
              <w:right w:val="nil"/>
            </w:tcBorders>
            <w:shd w:val="clear" w:color="000000" w:fill="D9D9D9"/>
            <w:noWrap/>
            <w:vAlign w:val="center"/>
            <w:hideMark/>
          </w:tcPr>
          <w:p w14:paraId="13BEEAB1"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10.20</w:t>
            </w:r>
          </w:p>
        </w:tc>
        <w:tc>
          <w:tcPr>
            <w:tcW w:w="960" w:type="dxa"/>
            <w:tcBorders>
              <w:top w:val="nil"/>
              <w:left w:val="nil"/>
              <w:bottom w:val="single" w:sz="4" w:space="0" w:color="auto"/>
              <w:right w:val="nil"/>
            </w:tcBorders>
            <w:shd w:val="clear" w:color="000000" w:fill="D9D9D9"/>
            <w:noWrap/>
            <w:vAlign w:val="center"/>
            <w:hideMark/>
          </w:tcPr>
          <w:p w14:paraId="1E3E4E49"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3.68</w:t>
            </w:r>
          </w:p>
        </w:tc>
        <w:tc>
          <w:tcPr>
            <w:tcW w:w="960" w:type="dxa"/>
            <w:tcBorders>
              <w:top w:val="nil"/>
              <w:left w:val="nil"/>
              <w:bottom w:val="single" w:sz="4" w:space="0" w:color="auto"/>
              <w:right w:val="nil"/>
            </w:tcBorders>
            <w:shd w:val="clear" w:color="000000" w:fill="D9D9D9"/>
            <w:noWrap/>
            <w:vAlign w:val="center"/>
            <w:hideMark/>
          </w:tcPr>
          <w:p w14:paraId="574E1305" w14:textId="77777777" w:rsidR="00D740DC" w:rsidRPr="000B5B7F" w:rsidRDefault="00D740DC" w:rsidP="00B11F5F">
            <w:pPr>
              <w:spacing w:after="0" w:line="240" w:lineRule="auto"/>
              <w:jc w:val="center"/>
              <w:rPr>
                <w:rFonts w:eastAsia="Times New Roman" w:cs="Times New Roman"/>
                <w:b w:val="0"/>
                <w:color w:val="000000"/>
                <w:sz w:val="18"/>
                <w:szCs w:val="18"/>
                <w:lang w:eastAsia="en-MY"/>
              </w:rPr>
            </w:pPr>
            <w:r w:rsidRPr="000B5B7F">
              <w:rPr>
                <w:rFonts w:eastAsia="Times New Roman" w:cs="Times New Roman"/>
                <w:b w:val="0"/>
                <w:color w:val="000000"/>
                <w:sz w:val="18"/>
                <w:szCs w:val="18"/>
                <w:lang w:eastAsia="en-MY"/>
              </w:rPr>
              <w:t>0.89</w:t>
            </w:r>
          </w:p>
        </w:tc>
        <w:tc>
          <w:tcPr>
            <w:tcW w:w="960" w:type="dxa"/>
            <w:tcBorders>
              <w:top w:val="nil"/>
              <w:left w:val="nil"/>
              <w:bottom w:val="single" w:sz="4" w:space="0" w:color="auto"/>
              <w:right w:val="nil"/>
            </w:tcBorders>
            <w:shd w:val="clear" w:color="000000" w:fill="D9D9D9"/>
            <w:noWrap/>
            <w:vAlign w:val="center"/>
            <w:hideMark/>
          </w:tcPr>
          <w:p w14:paraId="693C921D" w14:textId="77777777" w:rsidR="00D740DC" w:rsidRPr="000B5B7F" w:rsidRDefault="00D740DC" w:rsidP="00B11F5F">
            <w:pPr>
              <w:spacing w:after="0" w:line="240" w:lineRule="auto"/>
              <w:jc w:val="center"/>
              <w:rPr>
                <w:rFonts w:eastAsia="Times New Roman" w:cs="Times New Roman"/>
                <w:b w:val="0"/>
                <w:sz w:val="18"/>
                <w:szCs w:val="18"/>
                <w:lang w:eastAsia="en-MY"/>
              </w:rPr>
            </w:pPr>
            <w:r w:rsidRPr="000B5B7F">
              <w:rPr>
                <w:rFonts w:eastAsia="Times New Roman" w:cs="Times New Roman"/>
                <w:b w:val="0"/>
                <w:sz w:val="18"/>
                <w:szCs w:val="18"/>
                <w:lang w:eastAsia="en-MY"/>
              </w:rPr>
              <w:t> </w:t>
            </w:r>
          </w:p>
        </w:tc>
        <w:tc>
          <w:tcPr>
            <w:tcW w:w="760" w:type="dxa"/>
            <w:tcBorders>
              <w:top w:val="nil"/>
              <w:left w:val="nil"/>
              <w:bottom w:val="single" w:sz="4" w:space="0" w:color="auto"/>
              <w:right w:val="nil"/>
            </w:tcBorders>
            <w:shd w:val="clear" w:color="000000" w:fill="D9D9D9"/>
            <w:noWrap/>
            <w:vAlign w:val="center"/>
            <w:hideMark/>
          </w:tcPr>
          <w:p w14:paraId="53BE4092" w14:textId="77777777" w:rsidR="00D740DC" w:rsidRPr="000B5B7F"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860" w:type="dxa"/>
            <w:tcBorders>
              <w:top w:val="nil"/>
              <w:left w:val="nil"/>
              <w:bottom w:val="single" w:sz="4" w:space="0" w:color="auto"/>
              <w:right w:val="nil"/>
            </w:tcBorders>
            <w:shd w:val="clear" w:color="000000" w:fill="D9D9D9"/>
            <w:noWrap/>
            <w:vAlign w:val="center"/>
            <w:hideMark/>
          </w:tcPr>
          <w:p w14:paraId="44BFF94E" w14:textId="77777777" w:rsidR="00D740DC" w:rsidRPr="000B5B7F" w:rsidRDefault="00D740DC" w:rsidP="00B11F5F">
            <w:pPr>
              <w:spacing w:after="0" w:line="240" w:lineRule="auto"/>
              <w:jc w:val="center"/>
              <w:rPr>
                <w:rFonts w:eastAsia="Times New Roman" w:cs="Times New Roman"/>
                <w:b w:val="0"/>
                <w:sz w:val="18"/>
                <w:szCs w:val="18"/>
                <w:lang w:eastAsia="en-MY"/>
              </w:rPr>
            </w:pPr>
            <w:r w:rsidRPr="000B5B7F">
              <w:rPr>
                <w:rFonts w:eastAsia="Times New Roman" w:cs="Times New Roman"/>
                <w:b w:val="0"/>
                <w:sz w:val="18"/>
                <w:szCs w:val="18"/>
                <w:lang w:eastAsia="en-MY"/>
              </w:rPr>
              <w:t>0.37</w:t>
            </w:r>
          </w:p>
        </w:tc>
      </w:tr>
    </w:tbl>
    <w:p w14:paraId="13E0F4D5" w14:textId="77777777" w:rsidR="00D740DC" w:rsidRDefault="00D740DC" w:rsidP="00D740DC">
      <w:pPr>
        <w:tabs>
          <w:tab w:val="left" w:pos="10063"/>
        </w:tabs>
        <w:rPr>
          <w:rFonts w:eastAsia="Calibri" w:cs="Times New Roman"/>
          <w:szCs w:val="24"/>
          <w:lang w:val="en-GB"/>
        </w:rPr>
      </w:pPr>
    </w:p>
    <w:p w14:paraId="381D55BD" w14:textId="77777777" w:rsidR="00D740DC" w:rsidRDefault="00D740DC" w:rsidP="00D740DC">
      <w:pPr>
        <w:tabs>
          <w:tab w:val="left" w:pos="10063"/>
        </w:tabs>
        <w:rPr>
          <w:rFonts w:eastAsia="Calibri" w:cs="Times New Roman"/>
          <w:szCs w:val="24"/>
          <w:lang w:val="en-GB"/>
        </w:rPr>
      </w:pPr>
    </w:p>
    <w:p w14:paraId="586EFCA4" w14:textId="16B0E2A1" w:rsidR="00D740DC" w:rsidRPr="000E2377" w:rsidRDefault="00D740DC" w:rsidP="00D740DC">
      <w:pPr>
        <w:jc w:val="both"/>
        <w:rPr>
          <w:rFonts w:eastAsia="Calibri" w:cs="Times New Roman"/>
          <w:szCs w:val="24"/>
          <w:lang w:val="en-GB"/>
        </w:rPr>
      </w:pPr>
      <w:r w:rsidRPr="000E2377">
        <w:lastRenderedPageBreak/>
        <w:t xml:space="preserve">Table </w:t>
      </w:r>
      <w:r>
        <w:t>4</w:t>
      </w:r>
      <w:r w:rsidRPr="000E2377">
        <w:t>.</w:t>
      </w:r>
      <w:r w:rsidR="00485C02">
        <w:rPr>
          <w:noProof/>
        </w:rPr>
        <w:t>1</w:t>
      </w:r>
      <w:r w:rsidRPr="000E2377">
        <w:rPr>
          <w:bCs/>
          <w:szCs w:val="24"/>
        </w:rPr>
        <w:t xml:space="preserve">: Analysed glass compositions </w:t>
      </w:r>
      <w:r>
        <w:rPr>
          <w:bCs/>
          <w:szCs w:val="24"/>
        </w:rPr>
        <w:t xml:space="preserve">for some of the glasses produced </w:t>
      </w:r>
      <w:r w:rsidRPr="000E2377">
        <w:rPr>
          <w:bCs/>
          <w:szCs w:val="24"/>
        </w:rPr>
        <w:t>(</w:t>
      </w:r>
      <w:proofErr w:type="spellStart"/>
      <w:r w:rsidRPr="000E2377">
        <w:rPr>
          <w:bCs/>
          <w:szCs w:val="24"/>
        </w:rPr>
        <w:t>wt</w:t>
      </w:r>
      <w:proofErr w:type="spellEnd"/>
      <w:r w:rsidRPr="000E2377">
        <w:rPr>
          <w:bCs/>
          <w:szCs w:val="24"/>
        </w:rPr>
        <w:t xml:space="preserve"> %); ICP-OES </w:t>
      </w:r>
      <w:r>
        <w:rPr>
          <w:bCs/>
          <w:szCs w:val="24"/>
        </w:rPr>
        <w:t>for selected glasses and XRF for all glasses.  A</w:t>
      </w:r>
      <w:r w:rsidRPr="000E2377">
        <w:rPr>
          <w:bCs/>
          <w:szCs w:val="24"/>
        </w:rPr>
        <w:t xml:space="preserve">nalysis data normalised to 100 </w:t>
      </w:r>
      <w:proofErr w:type="spellStart"/>
      <w:r w:rsidRPr="000E2377">
        <w:rPr>
          <w:bCs/>
          <w:szCs w:val="24"/>
        </w:rPr>
        <w:t>wt</w:t>
      </w:r>
      <w:proofErr w:type="spellEnd"/>
      <w:r>
        <w:rPr>
          <w:bCs/>
          <w:szCs w:val="24"/>
        </w:rPr>
        <w:t>%. (</w:t>
      </w:r>
      <w:r w:rsidRPr="00176B85">
        <w:rPr>
          <w:bCs/>
          <w:i/>
          <w:szCs w:val="24"/>
        </w:rPr>
        <w:t>Continue</w:t>
      </w:r>
      <w:r>
        <w:rPr>
          <w:bCs/>
          <w:i/>
          <w:szCs w:val="24"/>
        </w:rPr>
        <w:t>d on</w:t>
      </w:r>
      <w:r w:rsidRPr="00176B85">
        <w:rPr>
          <w:bCs/>
          <w:i/>
          <w:szCs w:val="24"/>
        </w:rPr>
        <w:t xml:space="preserve"> next page</w:t>
      </w:r>
      <w:r>
        <w:rPr>
          <w:bCs/>
          <w:szCs w:val="24"/>
        </w:rPr>
        <w:t>)</w:t>
      </w:r>
    </w:p>
    <w:tbl>
      <w:tblPr>
        <w:tblW w:w="14540" w:type="dxa"/>
        <w:tblLook w:val="04A0" w:firstRow="1" w:lastRow="0" w:firstColumn="1" w:lastColumn="0" w:noHBand="0" w:noVBand="1"/>
      </w:tblPr>
      <w:tblGrid>
        <w:gridCol w:w="754"/>
        <w:gridCol w:w="2160"/>
        <w:gridCol w:w="3420"/>
        <w:gridCol w:w="960"/>
        <w:gridCol w:w="960"/>
        <w:gridCol w:w="960"/>
        <w:gridCol w:w="960"/>
        <w:gridCol w:w="960"/>
        <w:gridCol w:w="960"/>
        <w:gridCol w:w="960"/>
        <w:gridCol w:w="760"/>
        <w:gridCol w:w="956"/>
      </w:tblGrid>
      <w:tr w:rsidR="00D740DC" w:rsidRPr="00EA0465" w14:paraId="1CE92D95" w14:textId="77777777" w:rsidTr="00B11F5F">
        <w:trPr>
          <w:trHeight w:val="315"/>
        </w:trPr>
        <w:tc>
          <w:tcPr>
            <w:tcW w:w="620" w:type="dxa"/>
            <w:tcBorders>
              <w:top w:val="single" w:sz="4" w:space="0" w:color="auto"/>
              <w:left w:val="nil"/>
              <w:bottom w:val="single" w:sz="4" w:space="0" w:color="auto"/>
              <w:right w:val="nil"/>
            </w:tcBorders>
            <w:shd w:val="clear" w:color="auto" w:fill="auto"/>
            <w:noWrap/>
            <w:vAlign w:val="center"/>
            <w:hideMark/>
          </w:tcPr>
          <w:p w14:paraId="34DEF645" w14:textId="77777777" w:rsidR="00D740DC" w:rsidRPr="00EA0465" w:rsidRDefault="00D740DC" w:rsidP="00B11F5F">
            <w:pPr>
              <w:spacing w:after="0" w:line="240" w:lineRule="auto"/>
              <w:jc w:val="center"/>
              <w:rPr>
                <w:rFonts w:eastAsia="Times New Roman" w:cs="Times New Roman"/>
                <w:b w:val="0"/>
                <w:color w:val="000000"/>
                <w:sz w:val="22"/>
                <w:lang w:eastAsia="en-MY"/>
              </w:rPr>
            </w:pPr>
            <w:r w:rsidRPr="00EA0465">
              <w:rPr>
                <w:rFonts w:eastAsia="Times New Roman" w:cs="Times New Roman"/>
                <w:b w:val="0"/>
                <w:color w:val="000000"/>
                <w:sz w:val="22"/>
                <w:lang w:eastAsia="en-MY"/>
              </w:rPr>
              <w:t>Series</w:t>
            </w:r>
          </w:p>
        </w:tc>
        <w:tc>
          <w:tcPr>
            <w:tcW w:w="2160" w:type="dxa"/>
            <w:tcBorders>
              <w:top w:val="single" w:sz="4" w:space="0" w:color="auto"/>
              <w:left w:val="nil"/>
              <w:bottom w:val="nil"/>
              <w:right w:val="nil"/>
            </w:tcBorders>
            <w:shd w:val="clear" w:color="auto" w:fill="auto"/>
            <w:noWrap/>
            <w:vAlign w:val="center"/>
            <w:hideMark/>
          </w:tcPr>
          <w:p w14:paraId="689A94F9"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Glass ID</w:t>
            </w:r>
          </w:p>
        </w:tc>
        <w:tc>
          <w:tcPr>
            <w:tcW w:w="3420" w:type="dxa"/>
            <w:tcBorders>
              <w:top w:val="single" w:sz="4" w:space="0" w:color="auto"/>
              <w:left w:val="nil"/>
              <w:bottom w:val="single" w:sz="4" w:space="0" w:color="auto"/>
              <w:right w:val="nil"/>
            </w:tcBorders>
            <w:shd w:val="clear" w:color="auto" w:fill="auto"/>
            <w:noWrap/>
            <w:vAlign w:val="center"/>
            <w:hideMark/>
          </w:tcPr>
          <w:p w14:paraId="0D52017B"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Types</w:t>
            </w:r>
          </w:p>
        </w:tc>
        <w:tc>
          <w:tcPr>
            <w:tcW w:w="960" w:type="dxa"/>
            <w:tcBorders>
              <w:top w:val="single" w:sz="4" w:space="0" w:color="auto"/>
              <w:left w:val="nil"/>
              <w:bottom w:val="single" w:sz="4" w:space="0" w:color="auto"/>
              <w:right w:val="nil"/>
            </w:tcBorders>
            <w:shd w:val="clear" w:color="auto" w:fill="auto"/>
            <w:noWrap/>
            <w:vAlign w:val="center"/>
            <w:hideMark/>
          </w:tcPr>
          <w:p w14:paraId="1E0F8A2D"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SiO</w:t>
            </w:r>
            <w:r w:rsidRPr="00C9418A">
              <w:rPr>
                <w:rFonts w:eastAsia="Times New Roman" w:cs="Times New Roman"/>
                <w:b w:val="0"/>
                <w:sz w:val="18"/>
                <w:szCs w:val="18"/>
                <w:vertAlign w:val="subscript"/>
                <w:lang w:eastAsia="en-MY"/>
              </w:rPr>
              <w:t>2</w:t>
            </w:r>
          </w:p>
        </w:tc>
        <w:tc>
          <w:tcPr>
            <w:tcW w:w="960" w:type="dxa"/>
            <w:tcBorders>
              <w:top w:val="single" w:sz="4" w:space="0" w:color="auto"/>
              <w:left w:val="nil"/>
              <w:bottom w:val="single" w:sz="4" w:space="0" w:color="auto"/>
              <w:right w:val="nil"/>
            </w:tcBorders>
            <w:shd w:val="clear" w:color="auto" w:fill="auto"/>
            <w:noWrap/>
            <w:vAlign w:val="center"/>
            <w:hideMark/>
          </w:tcPr>
          <w:p w14:paraId="5534A68E"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Al</w:t>
            </w:r>
            <w:r w:rsidRPr="00C9418A">
              <w:rPr>
                <w:rFonts w:eastAsia="Times New Roman" w:cs="Times New Roman"/>
                <w:b w:val="0"/>
                <w:sz w:val="18"/>
                <w:szCs w:val="18"/>
                <w:vertAlign w:val="subscript"/>
                <w:lang w:eastAsia="en-MY"/>
              </w:rPr>
              <w:t>2</w:t>
            </w:r>
            <w:r w:rsidRPr="00C9418A">
              <w:rPr>
                <w:rFonts w:eastAsia="Times New Roman" w:cs="Times New Roman"/>
                <w:b w:val="0"/>
                <w:sz w:val="18"/>
                <w:szCs w:val="18"/>
                <w:lang w:eastAsia="en-MY"/>
              </w:rPr>
              <w:t>O</w:t>
            </w:r>
            <w:r w:rsidRPr="00C9418A">
              <w:rPr>
                <w:rFonts w:eastAsia="Times New Roman" w:cs="Times New Roman"/>
                <w:b w:val="0"/>
                <w:sz w:val="18"/>
                <w:szCs w:val="18"/>
                <w:vertAlign w:val="subscript"/>
                <w:lang w:eastAsia="en-MY"/>
              </w:rPr>
              <w:t>3</w:t>
            </w:r>
          </w:p>
        </w:tc>
        <w:tc>
          <w:tcPr>
            <w:tcW w:w="960" w:type="dxa"/>
            <w:tcBorders>
              <w:top w:val="single" w:sz="4" w:space="0" w:color="auto"/>
              <w:left w:val="nil"/>
              <w:bottom w:val="single" w:sz="4" w:space="0" w:color="auto"/>
              <w:right w:val="nil"/>
            </w:tcBorders>
            <w:shd w:val="clear" w:color="auto" w:fill="auto"/>
            <w:noWrap/>
            <w:vAlign w:val="center"/>
            <w:hideMark/>
          </w:tcPr>
          <w:p w14:paraId="5FE676FE"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B</w:t>
            </w:r>
            <w:r w:rsidRPr="00C9418A">
              <w:rPr>
                <w:rFonts w:eastAsia="Times New Roman" w:cs="Times New Roman"/>
                <w:b w:val="0"/>
                <w:sz w:val="18"/>
                <w:szCs w:val="18"/>
                <w:vertAlign w:val="subscript"/>
                <w:lang w:eastAsia="en-MY"/>
              </w:rPr>
              <w:t>2</w:t>
            </w:r>
            <w:r w:rsidRPr="00C9418A">
              <w:rPr>
                <w:rFonts w:eastAsia="Times New Roman" w:cs="Times New Roman"/>
                <w:b w:val="0"/>
                <w:sz w:val="18"/>
                <w:szCs w:val="18"/>
                <w:lang w:eastAsia="en-MY"/>
              </w:rPr>
              <w:t>O</w:t>
            </w:r>
            <w:r w:rsidRPr="00C9418A">
              <w:rPr>
                <w:rFonts w:eastAsia="Times New Roman" w:cs="Times New Roman"/>
                <w:b w:val="0"/>
                <w:sz w:val="18"/>
                <w:szCs w:val="18"/>
                <w:vertAlign w:val="subscript"/>
                <w:lang w:eastAsia="en-MY"/>
              </w:rPr>
              <w:t>3</w:t>
            </w:r>
          </w:p>
        </w:tc>
        <w:tc>
          <w:tcPr>
            <w:tcW w:w="960" w:type="dxa"/>
            <w:tcBorders>
              <w:top w:val="single" w:sz="4" w:space="0" w:color="auto"/>
              <w:left w:val="nil"/>
              <w:bottom w:val="single" w:sz="4" w:space="0" w:color="auto"/>
              <w:right w:val="nil"/>
            </w:tcBorders>
            <w:shd w:val="clear" w:color="auto" w:fill="auto"/>
            <w:noWrap/>
            <w:vAlign w:val="center"/>
            <w:hideMark/>
          </w:tcPr>
          <w:p w14:paraId="276FCD36"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Na</w:t>
            </w:r>
            <w:r w:rsidRPr="00C9418A">
              <w:rPr>
                <w:rFonts w:eastAsia="Times New Roman" w:cs="Times New Roman"/>
                <w:b w:val="0"/>
                <w:sz w:val="18"/>
                <w:szCs w:val="18"/>
                <w:vertAlign w:val="subscript"/>
                <w:lang w:eastAsia="en-MY"/>
              </w:rPr>
              <w:t>2</w:t>
            </w:r>
            <w:r w:rsidRPr="00C9418A">
              <w:rPr>
                <w:rFonts w:eastAsia="Times New Roman" w:cs="Times New Roman"/>
                <w:b w:val="0"/>
                <w:sz w:val="18"/>
                <w:szCs w:val="18"/>
                <w:lang w:eastAsia="en-MY"/>
              </w:rPr>
              <w:t>O</w:t>
            </w:r>
          </w:p>
        </w:tc>
        <w:tc>
          <w:tcPr>
            <w:tcW w:w="960" w:type="dxa"/>
            <w:tcBorders>
              <w:top w:val="single" w:sz="4" w:space="0" w:color="auto"/>
              <w:left w:val="nil"/>
              <w:bottom w:val="single" w:sz="4" w:space="0" w:color="auto"/>
              <w:right w:val="nil"/>
            </w:tcBorders>
            <w:shd w:val="clear" w:color="auto" w:fill="auto"/>
            <w:noWrap/>
            <w:vAlign w:val="center"/>
            <w:hideMark/>
          </w:tcPr>
          <w:p w14:paraId="0720496B" w14:textId="77777777" w:rsidR="00D740DC" w:rsidRPr="00C9418A" w:rsidRDefault="00D740DC" w:rsidP="00B11F5F">
            <w:pPr>
              <w:spacing w:after="0" w:line="240" w:lineRule="auto"/>
              <w:jc w:val="center"/>
              <w:rPr>
                <w:rFonts w:eastAsia="Times New Roman" w:cs="Times New Roman"/>
                <w:b w:val="0"/>
                <w:sz w:val="18"/>
                <w:szCs w:val="18"/>
                <w:lang w:eastAsia="en-MY"/>
              </w:rPr>
            </w:pPr>
            <w:proofErr w:type="spellStart"/>
            <w:r w:rsidRPr="00C9418A">
              <w:rPr>
                <w:rFonts w:eastAsia="Times New Roman" w:cs="Times New Roman"/>
                <w:b w:val="0"/>
                <w:sz w:val="18"/>
                <w:szCs w:val="18"/>
                <w:lang w:eastAsia="en-MY"/>
              </w:rPr>
              <w:t>CaO</w:t>
            </w:r>
            <w:proofErr w:type="spellEnd"/>
          </w:p>
        </w:tc>
        <w:tc>
          <w:tcPr>
            <w:tcW w:w="960" w:type="dxa"/>
            <w:tcBorders>
              <w:top w:val="single" w:sz="4" w:space="0" w:color="auto"/>
              <w:left w:val="nil"/>
              <w:bottom w:val="single" w:sz="4" w:space="0" w:color="auto"/>
              <w:right w:val="nil"/>
            </w:tcBorders>
            <w:shd w:val="clear" w:color="auto" w:fill="auto"/>
            <w:noWrap/>
            <w:vAlign w:val="center"/>
            <w:hideMark/>
          </w:tcPr>
          <w:p w14:paraId="7CAD3534"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MgO</w:t>
            </w:r>
          </w:p>
        </w:tc>
        <w:tc>
          <w:tcPr>
            <w:tcW w:w="960" w:type="dxa"/>
            <w:tcBorders>
              <w:top w:val="single" w:sz="4" w:space="0" w:color="auto"/>
              <w:left w:val="nil"/>
              <w:bottom w:val="single" w:sz="4" w:space="0" w:color="auto"/>
              <w:right w:val="nil"/>
            </w:tcBorders>
            <w:shd w:val="clear" w:color="auto" w:fill="auto"/>
            <w:noWrap/>
            <w:vAlign w:val="center"/>
            <w:hideMark/>
          </w:tcPr>
          <w:p w14:paraId="1BDF19F5" w14:textId="77777777" w:rsidR="00D740DC" w:rsidRPr="00C9418A" w:rsidRDefault="00D740DC" w:rsidP="00B11F5F">
            <w:pPr>
              <w:spacing w:after="0" w:line="240" w:lineRule="auto"/>
              <w:jc w:val="center"/>
              <w:rPr>
                <w:rFonts w:eastAsia="Times New Roman" w:cs="Times New Roman"/>
                <w:b w:val="0"/>
                <w:sz w:val="18"/>
                <w:szCs w:val="18"/>
                <w:lang w:eastAsia="en-MY"/>
              </w:rPr>
            </w:pPr>
            <w:proofErr w:type="spellStart"/>
            <w:r w:rsidRPr="00C9418A">
              <w:rPr>
                <w:rFonts w:eastAsia="Times New Roman" w:cs="Times New Roman"/>
                <w:b w:val="0"/>
                <w:sz w:val="18"/>
                <w:szCs w:val="18"/>
                <w:lang w:eastAsia="en-MY"/>
              </w:rPr>
              <w:t>BaO</w:t>
            </w:r>
            <w:proofErr w:type="spellEnd"/>
          </w:p>
        </w:tc>
        <w:tc>
          <w:tcPr>
            <w:tcW w:w="760" w:type="dxa"/>
            <w:tcBorders>
              <w:top w:val="single" w:sz="4" w:space="0" w:color="auto"/>
              <w:left w:val="nil"/>
              <w:bottom w:val="single" w:sz="4" w:space="0" w:color="auto"/>
              <w:right w:val="nil"/>
            </w:tcBorders>
            <w:shd w:val="clear" w:color="auto" w:fill="auto"/>
            <w:noWrap/>
            <w:vAlign w:val="center"/>
            <w:hideMark/>
          </w:tcPr>
          <w:p w14:paraId="58F38E77"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SO</w:t>
            </w:r>
            <w:r w:rsidRPr="00C9418A">
              <w:rPr>
                <w:rFonts w:eastAsia="Times New Roman" w:cs="Times New Roman"/>
                <w:b w:val="0"/>
                <w:sz w:val="18"/>
                <w:szCs w:val="18"/>
                <w:vertAlign w:val="subscript"/>
                <w:lang w:eastAsia="en-MY"/>
              </w:rPr>
              <w:t>3</w:t>
            </w:r>
          </w:p>
        </w:tc>
        <w:tc>
          <w:tcPr>
            <w:tcW w:w="860" w:type="dxa"/>
            <w:tcBorders>
              <w:top w:val="single" w:sz="4" w:space="0" w:color="auto"/>
              <w:left w:val="nil"/>
              <w:bottom w:val="single" w:sz="4" w:space="0" w:color="auto"/>
              <w:right w:val="nil"/>
            </w:tcBorders>
            <w:shd w:val="clear" w:color="auto" w:fill="auto"/>
            <w:noWrap/>
            <w:vAlign w:val="center"/>
            <w:hideMark/>
          </w:tcPr>
          <w:p w14:paraId="12AD497E"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Impurities</w:t>
            </w:r>
          </w:p>
        </w:tc>
      </w:tr>
      <w:tr w:rsidR="00D740DC" w:rsidRPr="00EA0465" w14:paraId="7D0DB651" w14:textId="77777777" w:rsidTr="00B11F5F">
        <w:trPr>
          <w:trHeight w:val="300"/>
        </w:trPr>
        <w:tc>
          <w:tcPr>
            <w:tcW w:w="620" w:type="dxa"/>
            <w:vMerge w:val="restart"/>
            <w:tcBorders>
              <w:top w:val="nil"/>
              <w:left w:val="nil"/>
              <w:bottom w:val="single" w:sz="4" w:space="0" w:color="000000"/>
              <w:right w:val="nil"/>
            </w:tcBorders>
            <w:shd w:val="clear" w:color="auto" w:fill="auto"/>
            <w:noWrap/>
            <w:textDirection w:val="btLr"/>
            <w:vAlign w:val="center"/>
            <w:hideMark/>
          </w:tcPr>
          <w:p w14:paraId="3886798E" w14:textId="77777777" w:rsidR="00D740DC" w:rsidRPr="00EA0465" w:rsidRDefault="00D740DC" w:rsidP="00B11F5F">
            <w:pPr>
              <w:spacing w:after="0" w:line="240" w:lineRule="auto"/>
              <w:jc w:val="center"/>
              <w:rPr>
                <w:rFonts w:eastAsia="Times New Roman" w:cs="Times New Roman"/>
                <w:bCs/>
                <w:color w:val="000000"/>
                <w:szCs w:val="24"/>
                <w:lang w:eastAsia="en-MY"/>
              </w:rPr>
            </w:pPr>
            <w:r w:rsidRPr="00EA0465">
              <w:rPr>
                <w:rFonts w:eastAsia="Times New Roman" w:cs="Times New Roman"/>
                <w:bCs/>
                <w:color w:val="000000"/>
                <w:szCs w:val="24"/>
                <w:lang w:eastAsia="en-MY"/>
              </w:rPr>
              <w:t>N</w:t>
            </w:r>
            <w:r w:rsidRPr="00EA0465">
              <w:rPr>
                <w:rFonts w:eastAsia="Times New Roman" w:cs="Times New Roman"/>
                <w:bCs/>
                <w:color w:val="000000"/>
                <w:szCs w:val="24"/>
                <w:vertAlign w:val="subscript"/>
                <w:lang w:eastAsia="en-MY"/>
              </w:rPr>
              <w:t>15</w:t>
            </w:r>
            <w:r w:rsidRPr="00EA0465">
              <w:rPr>
                <w:rFonts w:eastAsia="Times New Roman" w:cs="Times New Roman"/>
                <w:bCs/>
                <w:color w:val="000000"/>
                <w:szCs w:val="24"/>
                <w:lang w:eastAsia="en-MY"/>
              </w:rPr>
              <w:t>C</w:t>
            </w:r>
            <w:r w:rsidRPr="00EA0465">
              <w:rPr>
                <w:rFonts w:eastAsia="Times New Roman" w:cs="Times New Roman"/>
                <w:bCs/>
                <w:color w:val="000000"/>
                <w:szCs w:val="24"/>
                <w:vertAlign w:val="subscript"/>
                <w:lang w:eastAsia="en-MY"/>
              </w:rPr>
              <w:t>5</w:t>
            </w:r>
            <w:r w:rsidRPr="00EA0465">
              <w:rPr>
                <w:rFonts w:eastAsia="Times New Roman" w:cs="Times New Roman"/>
                <w:bCs/>
                <w:color w:val="000000"/>
                <w:szCs w:val="24"/>
                <w:lang w:eastAsia="en-MY"/>
              </w:rPr>
              <w:t>A</w:t>
            </w:r>
            <w:r w:rsidRPr="00EA0465">
              <w:rPr>
                <w:rFonts w:eastAsia="Times New Roman" w:cs="Times New Roman"/>
                <w:bCs/>
                <w:color w:val="000000"/>
                <w:szCs w:val="24"/>
                <w:vertAlign w:val="subscript"/>
                <w:lang w:eastAsia="en-MY"/>
              </w:rPr>
              <w:t>x</w:t>
            </w:r>
            <w:r w:rsidRPr="00EA0465">
              <w:rPr>
                <w:rFonts w:eastAsia="Times New Roman" w:cs="Times New Roman"/>
                <w:bCs/>
                <w:color w:val="000000"/>
                <w:szCs w:val="24"/>
                <w:lang w:eastAsia="en-MY"/>
              </w:rPr>
              <w:t>B</w:t>
            </w:r>
            <w:r w:rsidRPr="00EA0465">
              <w:rPr>
                <w:rFonts w:eastAsia="Times New Roman" w:cs="Times New Roman"/>
                <w:bCs/>
                <w:color w:val="000000"/>
                <w:szCs w:val="24"/>
                <w:vertAlign w:val="subscript"/>
                <w:lang w:eastAsia="en-MY"/>
              </w:rPr>
              <w:t>10-x</w:t>
            </w:r>
            <w:r w:rsidRPr="00EA0465">
              <w:rPr>
                <w:rFonts w:eastAsia="Times New Roman" w:cs="Times New Roman"/>
                <w:bCs/>
                <w:color w:val="000000"/>
                <w:szCs w:val="24"/>
                <w:lang w:eastAsia="en-MY"/>
              </w:rPr>
              <w:t>S</w:t>
            </w:r>
            <w:r w:rsidRPr="00EA0465">
              <w:rPr>
                <w:rFonts w:eastAsia="Times New Roman" w:cs="Times New Roman"/>
                <w:bCs/>
                <w:color w:val="000000"/>
                <w:szCs w:val="24"/>
                <w:vertAlign w:val="subscript"/>
                <w:lang w:eastAsia="en-MY"/>
              </w:rPr>
              <w:t>70</w:t>
            </w:r>
            <w:r w:rsidRPr="00EA0465">
              <w:rPr>
                <w:rFonts w:eastAsia="Times New Roman" w:cs="Times New Roman"/>
                <w:bCs/>
                <w:color w:val="000000"/>
                <w:szCs w:val="24"/>
                <w:lang w:eastAsia="en-MY"/>
              </w:rPr>
              <w:t xml:space="preserve"> </w:t>
            </w:r>
          </w:p>
        </w:tc>
        <w:tc>
          <w:tcPr>
            <w:tcW w:w="2160" w:type="dxa"/>
            <w:vMerge w:val="restart"/>
            <w:tcBorders>
              <w:top w:val="single" w:sz="4" w:space="0" w:color="auto"/>
              <w:left w:val="nil"/>
              <w:bottom w:val="single" w:sz="4" w:space="0" w:color="000000"/>
              <w:right w:val="nil"/>
            </w:tcBorders>
            <w:shd w:val="clear" w:color="auto" w:fill="auto"/>
            <w:noWrap/>
            <w:vAlign w:val="center"/>
            <w:hideMark/>
          </w:tcPr>
          <w:p w14:paraId="19F220EB"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N</w:t>
            </w:r>
            <w:r w:rsidRPr="00EA0465">
              <w:rPr>
                <w:rFonts w:eastAsia="Times New Roman" w:cs="Times New Roman"/>
                <w:b w:val="0"/>
                <w:color w:val="000000"/>
                <w:sz w:val="18"/>
                <w:szCs w:val="18"/>
                <w:vertAlign w:val="subscript"/>
                <w:lang w:eastAsia="en-MY"/>
              </w:rPr>
              <w:t>15</w:t>
            </w:r>
            <w:r w:rsidRPr="00EA0465">
              <w:rPr>
                <w:rFonts w:eastAsia="Times New Roman" w:cs="Times New Roman"/>
                <w:b w:val="0"/>
                <w:color w:val="000000"/>
                <w:sz w:val="18"/>
                <w:szCs w:val="18"/>
                <w:lang w:eastAsia="en-MY"/>
              </w:rPr>
              <w:t>C</w:t>
            </w:r>
            <w:r w:rsidRPr="00EA0465">
              <w:rPr>
                <w:rFonts w:eastAsia="Times New Roman" w:cs="Times New Roman"/>
                <w:b w:val="0"/>
                <w:color w:val="000000"/>
                <w:sz w:val="18"/>
                <w:szCs w:val="18"/>
                <w:vertAlign w:val="subscript"/>
                <w:lang w:eastAsia="en-MY"/>
              </w:rPr>
              <w:t>5</w:t>
            </w:r>
            <w:r w:rsidRPr="00EA0465">
              <w:rPr>
                <w:rFonts w:eastAsia="Times New Roman" w:cs="Times New Roman"/>
                <w:b w:val="0"/>
                <w:color w:val="000000"/>
                <w:sz w:val="18"/>
                <w:szCs w:val="18"/>
                <w:lang w:eastAsia="en-MY"/>
              </w:rPr>
              <w:t>S</w:t>
            </w:r>
            <w:r w:rsidRPr="00EA0465">
              <w:rPr>
                <w:rFonts w:eastAsia="Times New Roman" w:cs="Times New Roman"/>
                <w:b w:val="0"/>
                <w:color w:val="000000"/>
                <w:sz w:val="18"/>
                <w:szCs w:val="18"/>
                <w:vertAlign w:val="subscript"/>
                <w:lang w:eastAsia="en-MY"/>
              </w:rPr>
              <w:t>70</w:t>
            </w:r>
            <w:r w:rsidRPr="00EA0465">
              <w:rPr>
                <w:rFonts w:eastAsia="Times New Roman" w:cs="Times New Roman"/>
                <w:b w:val="0"/>
                <w:color w:val="000000"/>
                <w:sz w:val="18"/>
                <w:szCs w:val="18"/>
                <w:lang w:eastAsia="en-MY"/>
              </w:rPr>
              <w:t>A</w:t>
            </w:r>
            <w:r w:rsidRPr="00EA0465">
              <w:rPr>
                <w:rFonts w:eastAsia="Times New Roman" w:cs="Times New Roman"/>
                <w:b w:val="0"/>
                <w:color w:val="000000"/>
                <w:sz w:val="18"/>
                <w:szCs w:val="18"/>
                <w:vertAlign w:val="subscript"/>
                <w:lang w:eastAsia="en-MY"/>
              </w:rPr>
              <w:t>0</w:t>
            </w:r>
            <w:r w:rsidRPr="00EA0465">
              <w:rPr>
                <w:rFonts w:eastAsia="Times New Roman" w:cs="Times New Roman"/>
                <w:b w:val="0"/>
                <w:color w:val="000000"/>
                <w:sz w:val="18"/>
                <w:szCs w:val="18"/>
                <w:lang w:eastAsia="en-MY"/>
              </w:rPr>
              <w:t>B</w:t>
            </w:r>
            <w:r w:rsidRPr="00EA0465">
              <w:rPr>
                <w:rFonts w:eastAsia="Times New Roman" w:cs="Times New Roman"/>
                <w:b w:val="0"/>
                <w:color w:val="000000"/>
                <w:sz w:val="18"/>
                <w:szCs w:val="18"/>
                <w:vertAlign w:val="subscript"/>
                <w:lang w:eastAsia="en-MY"/>
              </w:rPr>
              <w:t>10</w:t>
            </w:r>
          </w:p>
        </w:tc>
        <w:tc>
          <w:tcPr>
            <w:tcW w:w="3420" w:type="dxa"/>
            <w:tcBorders>
              <w:top w:val="nil"/>
              <w:left w:val="nil"/>
              <w:bottom w:val="nil"/>
              <w:right w:val="nil"/>
            </w:tcBorders>
            <w:shd w:val="clear" w:color="auto" w:fill="auto"/>
            <w:noWrap/>
            <w:vAlign w:val="center"/>
            <w:hideMark/>
          </w:tcPr>
          <w:p w14:paraId="78E59329"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1A4B8A27"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68.81</w:t>
            </w:r>
          </w:p>
        </w:tc>
        <w:tc>
          <w:tcPr>
            <w:tcW w:w="960" w:type="dxa"/>
            <w:tcBorders>
              <w:top w:val="nil"/>
              <w:left w:val="nil"/>
              <w:bottom w:val="nil"/>
              <w:right w:val="nil"/>
            </w:tcBorders>
            <w:shd w:val="clear" w:color="auto" w:fill="auto"/>
            <w:noWrap/>
            <w:vAlign w:val="center"/>
            <w:hideMark/>
          </w:tcPr>
          <w:p w14:paraId="5EFFB031"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0</w:t>
            </w:r>
          </w:p>
        </w:tc>
        <w:tc>
          <w:tcPr>
            <w:tcW w:w="960" w:type="dxa"/>
            <w:tcBorders>
              <w:top w:val="nil"/>
              <w:left w:val="nil"/>
              <w:bottom w:val="nil"/>
              <w:right w:val="nil"/>
            </w:tcBorders>
            <w:shd w:val="clear" w:color="auto" w:fill="auto"/>
            <w:noWrap/>
            <w:vAlign w:val="center"/>
            <w:hideMark/>
          </w:tcPr>
          <w:p w14:paraId="12172038"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11.39</w:t>
            </w:r>
          </w:p>
        </w:tc>
        <w:tc>
          <w:tcPr>
            <w:tcW w:w="960" w:type="dxa"/>
            <w:tcBorders>
              <w:top w:val="nil"/>
              <w:left w:val="nil"/>
              <w:bottom w:val="nil"/>
              <w:right w:val="nil"/>
            </w:tcBorders>
            <w:shd w:val="clear" w:color="auto" w:fill="auto"/>
            <w:noWrap/>
            <w:vAlign w:val="center"/>
            <w:hideMark/>
          </w:tcPr>
          <w:p w14:paraId="1C3BC4B6"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15.21</w:t>
            </w:r>
          </w:p>
        </w:tc>
        <w:tc>
          <w:tcPr>
            <w:tcW w:w="960" w:type="dxa"/>
            <w:tcBorders>
              <w:top w:val="nil"/>
              <w:left w:val="nil"/>
              <w:bottom w:val="nil"/>
              <w:right w:val="nil"/>
            </w:tcBorders>
            <w:shd w:val="clear" w:color="auto" w:fill="auto"/>
            <w:noWrap/>
            <w:vAlign w:val="center"/>
            <w:hideMark/>
          </w:tcPr>
          <w:p w14:paraId="3BF62EB8"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4.59</w:t>
            </w:r>
          </w:p>
        </w:tc>
        <w:tc>
          <w:tcPr>
            <w:tcW w:w="960" w:type="dxa"/>
            <w:tcBorders>
              <w:top w:val="nil"/>
              <w:left w:val="nil"/>
              <w:bottom w:val="nil"/>
              <w:right w:val="nil"/>
            </w:tcBorders>
            <w:shd w:val="clear" w:color="auto" w:fill="auto"/>
            <w:noWrap/>
            <w:vAlign w:val="center"/>
            <w:hideMark/>
          </w:tcPr>
          <w:p w14:paraId="6E6B0FF3"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1C4FC594"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3B5B929C"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860" w:type="dxa"/>
            <w:tcBorders>
              <w:top w:val="nil"/>
              <w:left w:val="nil"/>
              <w:bottom w:val="nil"/>
              <w:right w:val="nil"/>
            </w:tcBorders>
            <w:shd w:val="clear" w:color="auto" w:fill="auto"/>
            <w:noWrap/>
            <w:vAlign w:val="center"/>
            <w:hideMark/>
          </w:tcPr>
          <w:p w14:paraId="43144E54"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EA0465" w14:paraId="5A46CA6A" w14:textId="77777777" w:rsidTr="00B11F5F">
        <w:trPr>
          <w:trHeight w:val="300"/>
        </w:trPr>
        <w:tc>
          <w:tcPr>
            <w:tcW w:w="620" w:type="dxa"/>
            <w:vMerge/>
            <w:tcBorders>
              <w:top w:val="nil"/>
              <w:left w:val="nil"/>
              <w:bottom w:val="single" w:sz="4" w:space="0" w:color="000000"/>
              <w:right w:val="nil"/>
            </w:tcBorders>
            <w:vAlign w:val="center"/>
            <w:hideMark/>
          </w:tcPr>
          <w:p w14:paraId="12183E69"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single" w:sz="4" w:space="0" w:color="auto"/>
              <w:left w:val="nil"/>
              <w:bottom w:val="single" w:sz="4" w:space="0" w:color="000000"/>
              <w:right w:val="nil"/>
            </w:tcBorders>
            <w:vAlign w:val="center"/>
            <w:hideMark/>
          </w:tcPr>
          <w:p w14:paraId="471EF4B9"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099F27FD"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39CDD307"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58.27</w:t>
            </w:r>
          </w:p>
        </w:tc>
        <w:tc>
          <w:tcPr>
            <w:tcW w:w="960" w:type="dxa"/>
            <w:tcBorders>
              <w:top w:val="nil"/>
              <w:left w:val="nil"/>
              <w:bottom w:val="nil"/>
              <w:right w:val="nil"/>
            </w:tcBorders>
            <w:shd w:val="clear" w:color="auto" w:fill="auto"/>
            <w:vAlign w:val="center"/>
            <w:hideMark/>
          </w:tcPr>
          <w:p w14:paraId="28257D46"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16.84</w:t>
            </w:r>
          </w:p>
        </w:tc>
        <w:tc>
          <w:tcPr>
            <w:tcW w:w="960" w:type="dxa"/>
            <w:tcBorders>
              <w:top w:val="nil"/>
              <w:left w:val="nil"/>
              <w:bottom w:val="nil"/>
              <w:right w:val="nil"/>
            </w:tcBorders>
            <w:shd w:val="clear" w:color="auto" w:fill="auto"/>
            <w:noWrap/>
            <w:vAlign w:val="center"/>
            <w:hideMark/>
          </w:tcPr>
          <w:p w14:paraId="4143B614"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10.87</w:t>
            </w:r>
          </w:p>
        </w:tc>
        <w:tc>
          <w:tcPr>
            <w:tcW w:w="960" w:type="dxa"/>
            <w:tcBorders>
              <w:top w:val="nil"/>
              <w:left w:val="nil"/>
              <w:bottom w:val="nil"/>
              <w:right w:val="nil"/>
            </w:tcBorders>
            <w:shd w:val="clear" w:color="auto" w:fill="auto"/>
            <w:noWrap/>
            <w:vAlign w:val="center"/>
            <w:hideMark/>
          </w:tcPr>
          <w:p w14:paraId="5DACFA53"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9.54</w:t>
            </w:r>
          </w:p>
        </w:tc>
        <w:tc>
          <w:tcPr>
            <w:tcW w:w="960" w:type="dxa"/>
            <w:tcBorders>
              <w:top w:val="nil"/>
              <w:left w:val="nil"/>
              <w:bottom w:val="nil"/>
              <w:right w:val="nil"/>
            </w:tcBorders>
            <w:shd w:val="clear" w:color="auto" w:fill="auto"/>
            <w:noWrap/>
            <w:vAlign w:val="center"/>
            <w:hideMark/>
          </w:tcPr>
          <w:p w14:paraId="500C32EB"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3.88</w:t>
            </w:r>
          </w:p>
        </w:tc>
        <w:tc>
          <w:tcPr>
            <w:tcW w:w="960" w:type="dxa"/>
            <w:tcBorders>
              <w:top w:val="nil"/>
              <w:left w:val="nil"/>
              <w:bottom w:val="nil"/>
              <w:right w:val="nil"/>
            </w:tcBorders>
            <w:shd w:val="clear" w:color="auto" w:fill="auto"/>
            <w:noWrap/>
            <w:vAlign w:val="center"/>
            <w:hideMark/>
          </w:tcPr>
          <w:p w14:paraId="7F0A495E"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60" w:type="dxa"/>
            <w:tcBorders>
              <w:top w:val="nil"/>
              <w:left w:val="nil"/>
              <w:bottom w:val="nil"/>
              <w:right w:val="nil"/>
            </w:tcBorders>
            <w:shd w:val="clear" w:color="auto" w:fill="auto"/>
            <w:noWrap/>
            <w:vAlign w:val="center"/>
            <w:hideMark/>
          </w:tcPr>
          <w:p w14:paraId="48AD9FD9"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47DA15AF"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0.03</w:t>
            </w:r>
          </w:p>
        </w:tc>
        <w:tc>
          <w:tcPr>
            <w:tcW w:w="860" w:type="dxa"/>
            <w:tcBorders>
              <w:top w:val="nil"/>
              <w:left w:val="nil"/>
              <w:bottom w:val="nil"/>
              <w:right w:val="nil"/>
            </w:tcBorders>
            <w:shd w:val="clear" w:color="auto" w:fill="auto"/>
            <w:noWrap/>
            <w:vAlign w:val="center"/>
            <w:hideMark/>
          </w:tcPr>
          <w:p w14:paraId="147EA9DA"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0.56</w:t>
            </w:r>
          </w:p>
        </w:tc>
      </w:tr>
      <w:tr w:rsidR="00D740DC" w:rsidRPr="00EA0465" w14:paraId="5D00A789" w14:textId="77777777" w:rsidTr="00B11F5F">
        <w:trPr>
          <w:trHeight w:val="300"/>
        </w:trPr>
        <w:tc>
          <w:tcPr>
            <w:tcW w:w="620" w:type="dxa"/>
            <w:vMerge/>
            <w:tcBorders>
              <w:top w:val="nil"/>
              <w:left w:val="nil"/>
              <w:bottom w:val="single" w:sz="4" w:space="0" w:color="000000"/>
              <w:right w:val="nil"/>
            </w:tcBorders>
            <w:vAlign w:val="center"/>
            <w:hideMark/>
          </w:tcPr>
          <w:p w14:paraId="68D02384"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single" w:sz="4" w:space="0" w:color="auto"/>
              <w:left w:val="nil"/>
              <w:bottom w:val="single" w:sz="4" w:space="0" w:color="000000"/>
              <w:right w:val="nil"/>
            </w:tcBorders>
            <w:vAlign w:val="center"/>
            <w:hideMark/>
          </w:tcPr>
          <w:p w14:paraId="13EF6515"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6205A035"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0CDFF95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58.27</w:t>
            </w:r>
          </w:p>
        </w:tc>
        <w:tc>
          <w:tcPr>
            <w:tcW w:w="960" w:type="dxa"/>
            <w:tcBorders>
              <w:top w:val="nil"/>
              <w:left w:val="nil"/>
              <w:bottom w:val="nil"/>
              <w:right w:val="nil"/>
            </w:tcBorders>
            <w:shd w:val="clear" w:color="auto" w:fill="auto"/>
            <w:noWrap/>
            <w:vAlign w:val="center"/>
            <w:hideMark/>
          </w:tcPr>
          <w:p w14:paraId="076CF0D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16.84</w:t>
            </w:r>
          </w:p>
        </w:tc>
        <w:tc>
          <w:tcPr>
            <w:tcW w:w="960" w:type="dxa"/>
            <w:tcBorders>
              <w:top w:val="nil"/>
              <w:left w:val="nil"/>
              <w:bottom w:val="nil"/>
              <w:right w:val="nil"/>
            </w:tcBorders>
            <w:shd w:val="clear" w:color="auto" w:fill="auto"/>
            <w:noWrap/>
            <w:vAlign w:val="center"/>
            <w:hideMark/>
          </w:tcPr>
          <w:p w14:paraId="795F71F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5.43</w:t>
            </w:r>
          </w:p>
        </w:tc>
        <w:tc>
          <w:tcPr>
            <w:tcW w:w="960" w:type="dxa"/>
            <w:tcBorders>
              <w:top w:val="nil"/>
              <w:left w:val="nil"/>
              <w:bottom w:val="nil"/>
              <w:right w:val="nil"/>
            </w:tcBorders>
            <w:shd w:val="clear" w:color="auto" w:fill="auto"/>
            <w:noWrap/>
            <w:vAlign w:val="center"/>
            <w:hideMark/>
          </w:tcPr>
          <w:p w14:paraId="5DA3199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9.54</w:t>
            </w:r>
          </w:p>
        </w:tc>
        <w:tc>
          <w:tcPr>
            <w:tcW w:w="960" w:type="dxa"/>
            <w:tcBorders>
              <w:top w:val="nil"/>
              <w:left w:val="nil"/>
              <w:bottom w:val="nil"/>
              <w:right w:val="nil"/>
            </w:tcBorders>
            <w:shd w:val="clear" w:color="auto" w:fill="auto"/>
            <w:noWrap/>
            <w:vAlign w:val="center"/>
            <w:hideMark/>
          </w:tcPr>
          <w:p w14:paraId="5519BD8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3.88</w:t>
            </w:r>
          </w:p>
        </w:tc>
        <w:tc>
          <w:tcPr>
            <w:tcW w:w="960" w:type="dxa"/>
            <w:tcBorders>
              <w:top w:val="nil"/>
              <w:left w:val="nil"/>
              <w:bottom w:val="nil"/>
              <w:right w:val="nil"/>
            </w:tcBorders>
            <w:shd w:val="clear" w:color="auto" w:fill="auto"/>
            <w:noWrap/>
            <w:vAlign w:val="center"/>
            <w:hideMark/>
          </w:tcPr>
          <w:p w14:paraId="5789A23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561FEEB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2215D62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0.03</w:t>
            </w:r>
          </w:p>
        </w:tc>
        <w:tc>
          <w:tcPr>
            <w:tcW w:w="860" w:type="dxa"/>
            <w:tcBorders>
              <w:top w:val="nil"/>
              <w:left w:val="nil"/>
              <w:bottom w:val="nil"/>
              <w:right w:val="nil"/>
            </w:tcBorders>
            <w:shd w:val="clear" w:color="auto" w:fill="auto"/>
            <w:noWrap/>
            <w:vAlign w:val="center"/>
            <w:hideMark/>
          </w:tcPr>
          <w:p w14:paraId="3AC61AD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0.56</w:t>
            </w:r>
          </w:p>
        </w:tc>
      </w:tr>
      <w:tr w:rsidR="00D740DC" w:rsidRPr="00EA0465" w14:paraId="563598CB" w14:textId="77777777" w:rsidTr="00B11F5F">
        <w:trPr>
          <w:trHeight w:val="300"/>
        </w:trPr>
        <w:tc>
          <w:tcPr>
            <w:tcW w:w="620" w:type="dxa"/>
            <w:vMerge/>
            <w:tcBorders>
              <w:top w:val="nil"/>
              <w:left w:val="nil"/>
              <w:bottom w:val="single" w:sz="4" w:space="0" w:color="000000"/>
              <w:right w:val="nil"/>
            </w:tcBorders>
            <w:vAlign w:val="center"/>
            <w:hideMark/>
          </w:tcPr>
          <w:p w14:paraId="7D280F27"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single" w:sz="4" w:space="0" w:color="auto"/>
              <w:left w:val="nil"/>
              <w:bottom w:val="single" w:sz="4" w:space="0" w:color="000000"/>
              <w:right w:val="nil"/>
            </w:tcBorders>
            <w:vAlign w:val="center"/>
            <w:hideMark/>
          </w:tcPr>
          <w:p w14:paraId="04DA49F3"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4553AFA4"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XRF (half boron - normalised)</w:t>
            </w:r>
          </w:p>
        </w:tc>
        <w:tc>
          <w:tcPr>
            <w:tcW w:w="960" w:type="dxa"/>
            <w:tcBorders>
              <w:top w:val="nil"/>
              <w:left w:val="nil"/>
              <w:bottom w:val="nil"/>
              <w:right w:val="nil"/>
            </w:tcBorders>
            <w:shd w:val="clear" w:color="auto" w:fill="auto"/>
            <w:noWrap/>
            <w:vAlign w:val="center"/>
            <w:hideMark/>
          </w:tcPr>
          <w:p w14:paraId="3686018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61.62</w:t>
            </w:r>
          </w:p>
        </w:tc>
        <w:tc>
          <w:tcPr>
            <w:tcW w:w="960" w:type="dxa"/>
            <w:tcBorders>
              <w:top w:val="nil"/>
              <w:left w:val="nil"/>
              <w:bottom w:val="nil"/>
              <w:right w:val="nil"/>
            </w:tcBorders>
            <w:shd w:val="clear" w:color="auto" w:fill="auto"/>
            <w:noWrap/>
            <w:vAlign w:val="center"/>
            <w:hideMark/>
          </w:tcPr>
          <w:p w14:paraId="4DF5F89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17.81</w:t>
            </w:r>
          </w:p>
        </w:tc>
        <w:tc>
          <w:tcPr>
            <w:tcW w:w="960" w:type="dxa"/>
            <w:tcBorders>
              <w:top w:val="nil"/>
              <w:left w:val="nil"/>
              <w:bottom w:val="nil"/>
              <w:right w:val="nil"/>
            </w:tcBorders>
            <w:shd w:val="clear" w:color="auto" w:fill="auto"/>
            <w:noWrap/>
            <w:vAlign w:val="center"/>
            <w:hideMark/>
          </w:tcPr>
          <w:p w14:paraId="704F143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5.75</w:t>
            </w:r>
          </w:p>
        </w:tc>
        <w:tc>
          <w:tcPr>
            <w:tcW w:w="960" w:type="dxa"/>
            <w:tcBorders>
              <w:top w:val="nil"/>
              <w:left w:val="nil"/>
              <w:bottom w:val="nil"/>
              <w:right w:val="nil"/>
            </w:tcBorders>
            <w:shd w:val="clear" w:color="auto" w:fill="auto"/>
            <w:noWrap/>
            <w:vAlign w:val="center"/>
            <w:hideMark/>
          </w:tcPr>
          <w:p w14:paraId="24C888B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10.09</w:t>
            </w:r>
          </w:p>
        </w:tc>
        <w:tc>
          <w:tcPr>
            <w:tcW w:w="960" w:type="dxa"/>
            <w:tcBorders>
              <w:top w:val="nil"/>
              <w:left w:val="nil"/>
              <w:bottom w:val="nil"/>
              <w:right w:val="nil"/>
            </w:tcBorders>
            <w:shd w:val="clear" w:color="auto" w:fill="auto"/>
            <w:noWrap/>
            <w:vAlign w:val="center"/>
            <w:hideMark/>
          </w:tcPr>
          <w:p w14:paraId="3C3251A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4.11</w:t>
            </w:r>
          </w:p>
        </w:tc>
        <w:tc>
          <w:tcPr>
            <w:tcW w:w="960" w:type="dxa"/>
            <w:tcBorders>
              <w:top w:val="nil"/>
              <w:left w:val="nil"/>
              <w:bottom w:val="nil"/>
              <w:right w:val="nil"/>
            </w:tcBorders>
            <w:shd w:val="clear" w:color="auto" w:fill="auto"/>
            <w:noWrap/>
            <w:vAlign w:val="center"/>
            <w:hideMark/>
          </w:tcPr>
          <w:p w14:paraId="7173B78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7F54AEE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6EC6AD4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0.03</w:t>
            </w:r>
          </w:p>
        </w:tc>
        <w:tc>
          <w:tcPr>
            <w:tcW w:w="860" w:type="dxa"/>
            <w:tcBorders>
              <w:top w:val="nil"/>
              <w:left w:val="nil"/>
              <w:bottom w:val="nil"/>
              <w:right w:val="nil"/>
            </w:tcBorders>
            <w:shd w:val="clear" w:color="auto" w:fill="auto"/>
            <w:noWrap/>
            <w:vAlign w:val="center"/>
            <w:hideMark/>
          </w:tcPr>
          <w:p w14:paraId="56F37E0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0.6</w:t>
            </w:r>
          </w:p>
        </w:tc>
      </w:tr>
      <w:tr w:rsidR="00D740DC" w:rsidRPr="00EA0465" w14:paraId="19C28DE2" w14:textId="77777777" w:rsidTr="00B11F5F">
        <w:trPr>
          <w:trHeight w:val="300"/>
        </w:trPr>
        <w:tc>
          <w:tcPr>
            <w:tcW w:w="620" w:type="dxa"/>
            <w:vMerge/>
            <w:tcBorders>
              <w:top w:val="nil"/>
              <w:left w:val="nil"/>
              <w:bottom w:val="single" w:sz="4" w:space="0" w:color="000000"/>
              <w:right w:val="nil"/>
            </w:tcBorders>
            <w:vAlign w:val="center"/>
            <w:hideMark/>
          </w:tcPr>
          <w:p w14:paraId="613398EF"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single" w:sz="4" w:space="0" w:color="auto"/>
              <w:left w:val="nil"/>
              <w:bottom w:val="single" w:sz="4" w:space="0" w:color="000000"/>
              <w:right w:val="nil"/>
            </w:tcBorders>
            <w:vAlign w:val="center"/>
            <w:hideMark/>
          </w:tcPr>
          <w:p w14:paraId="137EE5F7"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000000" w:fill="D9D9D9"/>
            <w:noWrap/>
            <w:vAlign w:val="center"/>
            <w:hideMark/>
          </w:tcPr>
          <w:p w14:paraId="0648DFBE"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Measured (ICP)</w:t>
            </w:r>
          </w:p>
        </w:tc>
        <w:tc>
          <w:tcPr>
            <w:tcW w:w="960" w:type="dxa"/>
            <w:tcBorders>
              <w:top w:val="nil"/>
              <w:left w:val="nil"/>
              <w:bottom w:val="single" w:sz="4" w:space="0" w:color="auto"/>
              <w:right w:val="nil"/>
            </w:tcBorders>
            <w:shd w:val="clear" w:color="000000" w:fill="D9D9D9"/>
            <w:noWrap/>
            <w:vAlign w:val="center"/>
            <w:hideMark/>
          </w:tcPr>
          <w:p w14:paraId="34BC398A"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60.15</w:t>
            </w:r>
          </w:p>
        </w:tc>
        <w:tc>
          <w:tcPr>
            <w:tcW w:w="960" w:type="dxa"/>
            <w:tcBorders>
              <w:top w:val="nil"/>
              <w:left w:val="nil"/>
              <w:bottom w:val="single" w:sz="4" w:space="0" w:color="auto"/>
              <w:right w:val="nil"/>
            </w:tcBorders>
            <w:shd w:val="clear" w:color="000000" w:fill="D9D9D9"/>
            <w:vAlign w:val="center"/>
            <w:hideMark/>
          </w:tcPr>
          <w:p w14:paraId="33F841D8"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14.44</w:t>
            </w:r>
          </w:p>
        </w:tc>
        <w:tc>
          <w:tcPr>
            <w:tcW w:w="960" w:type="dxa"/>
            <w:tcBorders>
              <w:top w:val="nil"/>
              <w:left w:val="nil"/>
              <w:bottom w:val="single" w:sz="4" w:space="0" w:color="auto"/>
              <w:right w:val="nil"/>
            </w:tcBorders>
            <w:shd w:val="clear" w:color="000000" w:fill="D9D9D9"/>
            <w:noWrap/>
            <w:vAlign w:val="center"/>
            <w:hideMark/>
          </w:tcPr>
          <w:p w14:paraId="5602C5B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4.71</w:t>
            </w:r>
          </w:p>
        </w:tc>
        <w:tc>
          <w:tcPr>
            <w:tcW w:w="960" w:type="dxa"/>
            <w:tcBorders>
              <w:top w:val="nil"/>
              <w:left w:val="nil"/>
              <w:bottom w:val="single" w:sz="4" w:space="0" w:color="auto"/>
              <w:right w:val="nil"/>
            </w:tcBorders>
            <w:shd w:val="clear" w:color="000000" w:fill="D9D9D9"/>
            <w:noWrap/>
            <w:vAlign w:val="center"/>
            <w:hideMark/>
          </w:tcPr>
          <w:p w14:paraId="43682445"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15.10</w:t>
            </w:r>
          </w:p>
        </w:tc>
        <w:tc>
          <w:tcPr>
            <w:tcW w:w="960" w:type="dxa"/>
            <w:tcBorders>
              <w:top w:val="nil"/>
              <w:left w:val="nil"/>
              <w:bottom w:val="single" w:sz="4" w:space="0" w:color="auto"/>
              <w:right w:val="nil"/>
            </w:tcBorders>
            <w:shd w:val="clear" w:color="000000" w:fill="D9D9D9"/>
            <w:noWrap/>
            <w:vAlign w:val="center"/>
            <w:hideMark/>
          </w:tcPr>
          <w:p w14:paraId="0D4451A6"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5.51</w:t>
            </w:r>
          </w:p>
        </w:tc>
        <w:tc>
          <w:tcPr>
            <w:tcW w:w="960" w:type="dxa"/>
            <w:tcBorders>
              <w:top w:val="nil"/>
              <w:left w:val="nil"/>
              <w:bottom w:val="single" w:sz="4" w:space="0" w:color="auto"/>
              <w:right w:val="nil"/>
            </w:tcBorders>
            <w:shd w:val="clear" w:color="000000" w:fill="D9D9D9"/>
            <w:noWrap/>
            <w:vAlign w:val="center"/>
            <w:hideMark/>
          </w:tcPr>
          <w:p w14:paraId="10FCF3F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0.02</w:t>
            </w:r>
          </w:p>
        </w:tc>
        <w:tc>
          <w:tcPr>
            <w:tcW w:w="960" w:type="dxa"/>
            <w:tcBorders>
              <w:top w:val="nil"/>
              <w:left w:val="nil"/>
              <w:bottom w:val="single" w:sz="4" w:space="0" w:color="auto"/>
              <w:right w:val="nil"/>
            </w:tcBorders>
            <w:shd w:val="clear" w:color="000000" w:fill="D9D9D9"/>
            <w:noWrap/>
            <w:vAlign w:val="center"/>
            <w:hideMark/>
          </w:tcPr>
          <w:p w14:paraId="53284071"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single" w:sz="4" w:space="0" w:color="auto"/>
              <w:right w:val="nil"/>
            </w:tcBorders>
            <w:shd w:val="clear" w:color="000000" w:fill="D9D9D9"/>
            <w:noWrap/>
            <w:vAlign w:val="center"/>
            <w:hideMark/>
          </w:tcPr>
          <w:p w14:paraId="4A3D169A"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0.00</w:t>
            </w:r>
          </w:p>
        </w:tc>
        <w:tc>
          <w:tcPr>
            <w:tcW w:w="860" w:type="dxa"/>
            <w:tcBorders>
              <w:top w:val="nil"/>
              <w:left w:val="nil"/>
              <w:bottom w:val="single" w:sz="4" w:space="0" w:color="auto"/>
              <w:right w:val="nil"/>
            </w:tcBorders>
            <w:shd w:val="clear" w:color="000000" w:fill="D9D9D9"/>
            <w:noWrap/>
            <w:vAlign w:val="center"/>
            <w:hideMark/>
          </w:tcPr>
          <w:p w14:paraId="2498ECD6"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0.06</w:t>
            </w:r>
          </w:p>
        </w:tc>
      </w:tr>
      <w:tr w:rsidR="00D740DC" w:rsidRPr="00EA0465" w14:paraId="4F2CF208" w14:textId="77777777" w:rsidTr="00B11F5F">
        <w:trPr>
          <w:trHeight w:val="300"/>
        </w:trPr>
        <w:tc>
          <w:tcPr>
            <w:tcW w:w="620" w:type="dxa"/>
            <w:vMerge/>
            <w:tcBorders>
              <w:top w:val="nil"/>
              <w:left w:val="nil"/>
              <w:bottom w:val="single" w:sz="4" w:space="0" w:color="000000"/>
              <w:right w:val="nil"/>
            </w:tcBorders>
            <w:vAlign w:val="center"/>
            <w:hideMark/>
          </w:tcPr>
          <w:p w14:paraId="57C9DD29"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7636415D"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N</w:t>
            </w:r>
            <w:r w:rsidRPr="00EA0465">
              <w:rPr>
                <w:rFonts w:eastAsia="Times New Roman" w:cs="Times New Roman"/>
                <w:b w:val="0"/>
                <w:color w:val="000000"/>
                <w:sz w:val="18"/>
                <w:szCs w:val="18"/>
                <w:vertAlign w:val="subscript"/>
                <w:lang w:eastAsia="en-MY"/>
              </w:rPr>
              <w:t>15</w:t>
            </w:r>
            <w:r w:rsidRPr="00EA0465">
              <w:rPr>
                <w:rFonts w:eastAsia="Times New Roman" w:cs="Times New Roman"/>
                <w:b w:val="0"/>
                <w:color w:val="000000"/>
                <w:sz w:val="18"/>
                <w:szCs w:val="18"/>
                <w:lang w:eastAsia="en-MY"/>
              </w:rPr>
              <w:t>C</w:t>
            </w:r>
            <w:r w:rsidRPr="00EA0465">
              <w:rPr>
                <w:rFonts w:eastAsia="Times New Roman" w:cs="Times New Roman"/>
                <w:b w:val="0"/>
                <w:color w:val="000000"/>
                <w:sz w:val="18"/>
                <w:szCs w:val="18"/>
                <w:vertAlign w:val="subscript"/>
                <w:lang w:eastAsia="en-MY"/>
              </w:rPr>
              <w:t>5</w:t>
            </w:r>
            <w:r w:rsidRPr="00EA0465">
              <w:rPr>
                <w:rFonts w:eastAsia="Times New Roman" w:cs="Times New Roman"/>
                <w:b w:val="0"/>
                <w:color w:val="000000"/>
                <w:sz w:val="18"/>
                <w:szCs w:val="18"/>
                <w:lang w:eastAsia="en-MY"/>
              </w:rPr>
              <w:t>S</w:t>
            </w:r>
            <w:r w:rsidRPr="00EA0465">
              <w:rPr>
                <w:rFonts w:eastAsia="Times New Roman" w:cs="Times New Roman"/>
                <w:b w:val="0"/>
                <w:color w:val="000000"/>
                <w:sz w:val="18"/>
                <w:szCs w:val="18"/>
                <w:vertAlign w:val="subscript"/>
                <w:lang w:eastAsia="en-MY"/>
              </w:rPr>
              <w:t>70</w:t>
            </w:r>
            <w:r w:rsidRPr="00EA0465">
              <w:rPr>
                <w:rFonts w:eastAsia="Times New Roman" w:cs="Times New Roman"/>
                <w:b w:val="0"/>
                <w:color w:val="000000"/>
                <w:sz w:val="18"/>
                <w:szCs w:val="18"/>
                <w:lang w:eastAsia="en-MY"/>
              </w:rPr>
              <w:t>A</w:t>
            </w:r>
            <w:r w:rsidRPr="00EA0465">
              <w:rPr>
                <w:rFonts w:eastAsia="Times New Roman" w:cs="Times New Roman"/>
                <w:b w:val="0"/>
                <w:color w:val="000000"/>
                <w:sz w:val="18"/>
                <w:szCs w:val="18"/>
                <w:vertAlign w:val="subscript"/>
                <w:lang w:eastAsia="en-MY"/>
              </w:rPr>
              <w:t>5</w:t>
            </w:r>
            <w:r w:rsidRPr="00EA0465">
              <w:rPr>
                <w:rFonts w:eastAsia="Times New Roman" w:cs="Times New Roman"/>
                <w:b w:val="0"/>
                <w:color w:val="000000"/>
                <w:sz w:val="18"/>
                <w:szCs w:val="18"/>
                <w:lang w:eastAsia="en-MY"/>
              </w:rPr>
              <w:t>B</w:t>
            </w:r>
            <w:r w:rsidRPr="00EA0465">
              <w:rPr>
                <w:rFonts w:eastAsia="Times New Roman" w:cs="Times New Roman"/>
                <w:b w:val="0"/>
                <w:color w:val="000000"/>
                <w:sz w:val="18"/>
                <w:szCs w:val="18"/>
                <w:vertAlign w:val="subscript"/>
                <w:lang w:eastAsia="en-MY"/>
              </w:rPr>
              <w:t>5</w:t>
            </w:r>
          </w:p>
        </w:tc>
        <w:tc>
          <w:tcPr>
            <w:tcW w:w="3420" w:type="dxa"/>
            <w:tcBorders>
              <w:top w:val="nil"/>
              <w:left w:val="nil"/>
              <w:bottom w:val="nil"/>
              <w:right w:val="nil"/>
            </w:tcBorders>
            <w:shd w:val="clear" w:color="auto" w:fill="auto"/>
            <w:noWrap/>
            <w:vAlign w:val="center"/>
            <w:hideMark/>
          </w:tcPr>
          <w:p w14:paraId="1A7673F7"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4D4B82DA"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67.04</w:t>
            </w:r>
          </w:p>
        </w:tc>
        <w:tc>
          <w:tcPr>
            <w:tcW w:w="960" w:type="dxa"/>
            <w:tcBorders>
              <w:top w:val="nil"/>
              <w:left w:val="nil"/>
              <w:bottom w:val="nil"/>
              <w:right w:val="nil"/>
            </w:tcBorders>
            <w:shd w:val="clear" w:color="auto" w:fill="auto"/>
            <w:noWrap/>
            <w:vAlign w:val="center"/>
            <w:hideMark/>
          </w:tcPr>
          <w:p w14:paraId="64E7C0E8"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8.13</w:t>
            </w:r>
          </w:p>
        </w:tc>
        <w:tc>
          <w:tcPr>
            <w:tcW w:w="960" w:type="dxa"/>
            <w:tcBorders>
              <w:top w:val="nil"/>
              <w:left w:val="nil"/>
              <w:bottom w:val="nil"/>
              <w:right w:val="nil"/>
            </w:tcBorders>
            <w:shd w:val="clear" w:color="auto" w:fill="auto"/>
            <w:noWrap/>
            <w:vAlign w:val="center"/>
            <w:hideMark/>
          </w:tcPr>
          <w:p w14:paraId="29E06AB6"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5.55</w:t>
            </w:r>
          </w:p>
        </w:tc>
        <w:tc>
          <w:tcPr>
            <w:tcW w:w="960" w:type="dxa"/>
            <w:tcBorders>
              <w:top w:val="nil"/>
              <w:left w:val="nil"/>
              <w:bottom w:val="nil"/>
              <w:right w:val="nil"/>
            </w:tcBorders>
            <w:shd w:val="clear" w:color="auto" w:fill="auto"/>
            <w:noWrap/>
            <w:vAlign w:val="center"/>
            <w:hideMark/>
          </w:tcPr>
          <w:p w14:paraId="216A8736"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14.82</w:t>
            </w:r>
          </w:p>
        </w:tc>
        <w:tc>
          <w:tcPr>
            <w:tcW w:w="960" w:type="dxa"/>
            <w:tcBorders>
              <w:top w:val="nil"/>
              <w:left w:val="nil"/>
              <w:bottom w:val="nil"/>
              <w:right w:val="nil"/>
            </w:tcBorders>
            <w:shd w:val="clear" w:color="auto" w:fill="auto"/>
            <w:noWrap/>
            <w:vAlign w:val="center"/>
            <w:hideMark/>
          </w:tcPr>
          <w:p w14:paraId="0ED1D3D9"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4.47</w:t>
            </w:r>
          </w:p>
        </w:tc>
        <w:tc>
          <w:tcPr>
            <w:tcW w:w="960" w:type="dxa"/>
            <w:tcBorders>
              <w:top w:val="nil"/>
              <w:left w:val="nil"/>
              <w:bottom w:val="nil"/>
              <w:right w:val="nil"/>
            </w:tcBorders>
            <w:shd w:val="clear" w:color="auto" w:fill="auto"/>
            <w:noWrap/>
            <w:vAlign w:val="center"/>
            <w:hideMark/>
          </w:tcPr>
          <w:p w14:paraId="22B8EC46"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2B4CF500"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425FC3FC"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860" w:type="dxa"/>
            <w:tcBorders>
              <w:top w:val="nil"/>
              <w:left w:val="nil"/>
              <w:bottom w:val="nil"/>
              <w:right w:val="nil"/>
            </w:tcBorders>
            <w:shd w:val="clear" w:color="auto" w:fill="auto"/>
            <w:noWrap/>
            <w:vAlign w:val="center"/>
            <w:hideMark/>
          </w:tcPr>
          <w:p w14:paraId="6EEE8338"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EA0465" w14:paraId="151D6988" w14:textId="77777777" w:rsidTr="00B11F5F">
        <w:trPr>
          <w:trHeight w:val="300"/>
        </w:trPr>
        <w:tc>
          <w:tcPr>
            <w:tcW w:w="620" w:type="dxa"/>
            <w:vMerge/>
            <w:tcBorders>
              <w:top w:val="nil"/>
              <w:left w:val="nil"/>
              <w:bottom w:val="single" w:sz="4" w:space="0" w:color="000000"/>
              <w:right w:val="nil"/>
            </w:tcBorders>
            <w:vAlign w:val="center"/>
            <w:hideMark/>
          </w:tcPr>
          <w:p w14:paraId="0A4DEBF6"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6A61E1AE"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481BBB95"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6AF82821"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50.58</w:t>
            </w:r>
          </w:p>
        </w:tc>
        <w:tc>
          <w:tcPr>
            <w:tcW w:w="960" w:type="dxa"/>
            <w:tcBorders>
              <w:top w:val="nil"/>
              <w:left w:val="nil"/>
              <w:bottom w:val="nil"/>
              <w:right w:val="nil"/>
            </w:tcBorders>
            <w:shd w:val="clear" w:color="auto" w:fill="auto"/>
            <w:noWrap/>
            <w:vAlign w:val="center"/>
            <w:hideMark/>
          </w:tcPr>
          <w:p w14:paraId="4D28747F"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28.63</w:t>
            </w:r>
          </w:p>
        </w:tc>
        <w:tc>
          <w:tcPr>
            <w:tcW w:w="960" w:type="dxa"/>
            <w:tcBorders>
              <w:top w:val="nil"/>
              <w:left w:val="nil"/>
              <w:bottom w:val="nil"/>
              <w:right w:val="nil"/>
            </w:tcBorders>
            <w:shd w:val="clear" w:color="auto" w:fill="auto"/>
            <w:noWrap/>
            <w:vAlign w:val="center"/>
            <w:hideMark/>
          </w:tcPr>
          <w:p w14:paraId="240A0561"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4.30</w:t>
            </w:r>
          </w:p>
        </w:tc>
        <w:tc>
          <w:tcPr>
            <w:tcW w:w="960" w:type="dxa"/>
            <w:tcBorders>
              <w:top w:val="nil"/>
              <w:left w:val="nil"/>
              <w:bottom w:val="nil"/>
              <w:right w:val="nil"/>
            </w:tcBorders>
            <w:shd w:val="clear" w:color="auto" w:fill="auto"/>
            <w:noWrap/>
            <w:vAlign w:val="center"/>
            <w:hideMark/>
          </w:tcPr>
          <w:p w14:paraId="2F7D1A87"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11.66</w:t>
            </w:r>
          </w:p>
        </w:tc>
        <w:tc>
          <w:tcPr>
            <w:tcW w:w="960" w:type="dxa"/>
            <w:tcBorders>
              <w:top w:val="nil"/>
              <w:left w:val="nil"/>
              <w:bottom w:val="nil"/>
              <w:right w:val="nil"/>
            </w:tcBorders>
            <w:shd w:val="clear" w:color="auto" w:fill="auto"/>
            <w:noWrap/>
            <w:vAlign w:val="center"/>
            <w:hideMark/>
          </w:tcPr>
          <w:p w14:paraId="6D6F810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4.12</w:t>
            </w:r>
          </w:p>
        </w:tc>
        <w:tc>
          <w:tcPr>
            <w:tcW w:w="960" w:type="dxa"/>
            <w:tcBorders>
              <w:top w:val="nil"/>
              <w:left w:val="nil"/>
              <w:bottom w:val="nil"/>
              <w:right w:val="nil"/>
            </w:tcBorders>
            <w:shd w:val="clear" w:color="auto" w:fill="auto"/>
            <w:noWrap/>
            <w:vAlign w:val="center"/>
            <w:hideMark/>
          </w:tcPr>
          <w:p w14:paraId="69B627DC"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60" w:type="dxa"/>
            <w:tcBorders>
              <w:top w:val="nil"/>
              <w:left w:val="nil"/>
              <w:bottom w:val="nil"/>
              <w:right w:val="nil"/>
            </w:tcBorders>
            <w:shd w:val="clear" w:color="auto" w:fill="auto"/>
            <w:noWrap/>
            <w:vAlign w:val="center"/>
            <w:hideMark/>
          </w:tcPr>
          <w:p w14:paraId="0C240ADA"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5DC0FE32"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0.08</w:t>
            </w:r>
          </w:p>
        </w:tc>
        <w:tc>
          <w:tcPr>
            <w:tcW w:w="860" w:type="dxa"/>
            <w:tcBorders>
              <w:top w:val="nil"/>
              <w:left w:val="nil"/>
              <w:bottom w:val="nil"/>
              <w:right w:val="nil"/>
            </w:tcBorders>
            <w:shd w:val="clear" w:color="auto" w:fill="auto"/>
            <w:noWrap/>
            <w:vAlign w:val="center"/>
            <w:hideMark/>
          </w:tcPr>
          <w:p w14:paraId="4FE4BC6C"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0.63</w:t>
            </w:r>
          </w:p>
        </w:tc>
      </w:tr>
      <w:tr w:rsidR="00D740DC" w:rsidRPr="00EA0465" w14:paraId="69B5B3F3" w14:textId="77777777" w:rsidTr="00B11F5F">
        <w:trPr>
          <w:trHeight w:val="300"/>
        </w:trPr>
        <w:tc>
          <w:tcPr>
            <w:tcW w:w="620" w:type="dxa"/>
            <w:vMerge/>
            <w:tcBorders>
              <w:top w:val="nil"/>
              <w:left w:val="nil"/>
              <w:bottom w:val="single" w:sz="4" w:space="0" w:color="000000"/>
              <w:right w:val="nil"/>
            </w:tcBorders>
            <w:vAlign w:val="center"/>
            <w:hideMark/>
          </w:tcPr>
          <w:p w14:paraId="24664845"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02EF4BF2"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31414454"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2FE713F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50.58</w:t>
            </w:r>
          </w:p>
        </w:tc>
        <w:tc>
          <w:tcPr>
            <w:tcW w:w="960" w:type="dxa"/>
            <w:tcBorders>
              <w:top w:val="nil"/>
              <w:left w:val="nil"/>
              <w:bottom w:val="nil"/>
              <w:right w:val="nil"/>
            </w:tcBorders>
            <w:shd w:val="clear" w:color="auto" w:fill="auto"/>
            <w:noWrap/>
            <w:vAlign w:val="center"/>
            <w:hideMark/>
          </w:tcPr>
          <w:p w14:paraId="4EF51C0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28.63</w:t>
            </w:r>
          </w:p>
        </w:tc>
        <w:tc>
          <w:tcPr>
            <w:tcW w:w="960" w:type="dxa"/>
            <w:tcBorders>
              <w:top w:val="nil"/>
              <w:left w:val="nil"/>
              <w:bottom w:val="nil"/>
              <w:right w:val="nil"/>
            </w:tcBorders>
            <w:shd w:val="clear" w:color="auto" w:fill="auto"/>
            <w:noWrap/>
            <w:vAlign w:val="center"/>
            <w:hideMark/>
          </w:tcPr>
          <w:p w14:paraId="2C42299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2.15</w:t>
            </w:r>
          </w:p>
        </w:tc>
        <w:tc>
          <w:tcPr>
            <w:tcW w:w="960" w:type="dxa"/>
            <w:tcBorders>
              <w:top w:val="nil"/>
              <w:left w:val="nil"/>
              <w:bottom w:val="nil"/>
              <w:right w:val="nil"/>
            </w:tcBorders>
            <w:shd w:val="clear" w:color="auto" w:fill="auto"/>
            <w:noWrap/>
            <w:vAlign w:val="center"/>
            <w:hideMark/>
          </w:tcPr>
          <w:p w14:paraId="0141696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11.66</w:t>
            </w:r>
          </w:p>
        </w:tc>
        <w:tc>
          <w:tcPr>
            <w:tcW w:w="960" w:type="dxa"/>
            <w:tcBorders>
              <w:top w:val="nil"/>
              <w:left w:val="nil"/>
              <w:bottom w:val="nil"/>
              <w:right w:val="nil"/>
            </w:tcBorders>
            <w:shd w:val="clear" w:color="auto" w:fill="auto"/>
            <w:noWrap/>
            <w:vAlign w:val="center"/>
            <w:hideMark/>
          </w:tcPr>
          <w:p w14:paraId="45758A6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4.12</w:t>
            </w:r>
          </w:p>
        </w:tc>
        <w:tc>
          <w:tcPr>
            <w:tcW w:w="960" w:type="dxa"/>
            <w:tcBorders>
              <w:top w:val="nil"/>
              <w:left w:val="nil"/>
              <w:bottom w:val="nil"/>
              <w:right w:val="nil"/>
            </w:tcBorders>
            <w:shd w:val="clear" w:color="auto" w:fill="auto"/>
            <w:noWrap/>
            <w:vAlign w:val="center"/>
            <w:hideMark/>
          </w:tcPr>
          <w:p w14:paraId="494C7B0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16186B0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41CF8B5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0.08</w:t>
            </w:r>
          </w:p>
        </w:tc>
        <w:tc>
          <w:tcPr>
            <w:tcW w:w="860" w:type="dxa"/>
            <w:tcBorders>
              <w:top w:val="nil"/>
              <w:left w:val="nil"/>
              <w:bottom w:val="nil"/>
              <w:right w:val="nil"/>
            </w:tcBorders>
            <w:shd w:val="clear" w:color="auto" w:fill="auto"/>
            <w:noWrap/>
            <w:vAlign w:val="center"/>
            <w:hideMark/>
          </w:tcPr>
          <w:p w14:paraId="52217C9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0.63</w:t>
            </w:r>
          </w:p>
        </w:tc>
      </w:tr>
      <w:tr w:rsidR="00D740DC" w:rsidRPr="00EA0465" w14:paraId="41C8AC29" w14:textId="77777777" w:rsidTr="00B11F5F">
        <w:trPr>
          <w:trHeight w:val="300"/>
        </w:trPr>
        <w:tc>
          <w:tcPr>
            <w:tcW w:w="620" w:type="dxa"/>
            <w:vMerge/>
            <w:tcBorders>
              <w:top w:val="nil"/>
              <w:left w:val="nil"/>
              <w:bottom w:val="single" w:sz="4" w:space="0" w:color="000000"/>
              <w:right w:val="nil"/>
            </w:tcBorders>
            <w:vAlign w:val="center"/>
            <w:hideMark/>
          </w:tcPr>
          <w:p w14:paraId="7AC55E38"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00BC8E99"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5CB7279F"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7977E6C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51.69</w:t>
            </w:r>
          </w:p>
        </w:tc>
        <w:tc>
          <w:tcPr>
            <w:tcW w:w="960" w:type="dxa"/>
            <w:tcBorders>
              <w:top w:val="nil"/>
              <w:left w:val="nil"/>
              <w:bottom w:val="single" w:sz="4" w:space="0" w:color="auto"/>
              <w:right w:val="nil"/>
            </w:tcBorders>
            <w:shd w:val="clear" w:color="auto" w:fill="auto"/>
            <w:noWrap/>
            <w:vAlign w:val="center"/>
            <w:hideMark/>
          </w:tcPr>
          <w:p w14:paraId="07DCB0A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29.26</w:t>
            </w:r>
          </w:p>
        </w:tc>
        <w:tc>
          <w:tcPr>
            <w:tcW w:w="960" w:type="dxa"/>
            <w:tcBorders>
              <w:top w:val="nil"/>
              <w:left w:val="nil"/>
              <w:bottom w:val="single" w:sz="4" w:space="0" w:color="auto"/>
              <w:right w:val="nil"/>
            </w:tcBorders>
            <w:shd w:val="clear" w:color="auto" w:fill="auto"/>
            <w:noWrap/>
            <w:vAlign w:val="center"/>
            <w:hideMark/>
          </w:tcPr>
          <w:p w14:paraId="3871495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2.19</w:t>
            </w:r>
          </w:p>
        </w:tc>
        <w:tc>
          <w:tcPr>
            <w:tcW w:w="960" w:type="dxa"/>
            <w:tcBorders>
              <w:top w:val="nil"/>
              <w:left w:val="nil"/>
              <w:bottom w:val="single" w:sz="4" w:space="0" w:color="auto"/>
              <w:right w:val="nil"/>
            </w:tcBorders>
            <w:shd w:val="clear" w:color="auto" w:fill="auto"/>
            <w:noWrap/>
            <w:vAlign w:val="center"/>
            <w:hideMark/>
          </w:tcPr>
          <w:p w14:paraId="6D17463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11.92</w:t>
            </w:r>
          </w:p>
        </w:tc>
        <w:tc>
          <w:tcPr>
            <w:tcW w:w="960" w:type="dxa"/>
            <w:tcBorders>
              <w:top w:val="nil"/>
              <w:left w:val="nil"/>
              <w:bottom w:val="single" w:sz="4" w:space="0" w:color="auto"/>
              <w:right w:val="nil"/>
            </w:tcBorders>
            <w:shd w:val="clear" w:color="auto" w:fill="auto"/>
            <w:noWrap/>
            <w:vAlign w:val="center"/>
            <w:hideMark/>
          </w:tcPr>
          <w:p w14:paraId="30ED0A3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4.21</w:t>
            </w:r>
          </w:p>
        </w:tc>
        <w:tc>
          <w:tcPr>
            <w:tcW w:w="960" w:type="dxa"/>
            <w:tcBorders>
              <w:top w:val="nil"/>
              <w:left w:val="nil"/>
              <w:bottom w:val="single" w:sz="4" w:space="0" w:color="auto"/>
              <w:right w:val="nil"/>
            </w:tcBorders>
            <w:shd w:val="clear" w:color="auto" w:fill="auto"/>
            <w:noWrap/>
            <w:vAlign w:val="center"/>
            <w:hideMark/>
          </w:tcPr>
          <w:p w14:paraId="10ACB06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4BF9090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single" w:sz="4" w:space="0" w:color="auto"/>
              <w:right w:val="nil"/>
            </w:tcBorders>
            <w:shd w:val="clear" w:color="auto" w:fill="auto"/>
            <w:noWrap/>
            <w:vAlign w:val="center"/>
            <w:hideMark/>
          </w:tcPr>
          <w:p w14:paraId="2BDC640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0.09</w:t>
            </w:r>
          </w:p>
        </w:tc>
        <w:tc>
          <w:tcPr>
            <w:tcW w:w="860" w:type="dxa"/>
            <w:tcBorders>
              <w:top w:val="nil"/>
              <w:left w:val="nil"/>
              <w:bottom w:val="single" w:sz="4" w:space="0" w:color="auto"/>
              <w:right w:val="nil"/>
            </w:tcBorders>
            <w:shd w:val="clear" w:color="auto" w:fill="auto"/>
            <w:noWrap/>
            <w:vAlign w:val="center"/>
            <w:hideMark/>
          </w:tcPr>
          <w:p w14:paraId="40F63E8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0.64</w:t>
            </w:r>
          </w:p>
        </w:tc>
      </w:tr>
      <w:tr w:rsidR="00D740DC" w:rsidRPr="00EA0465" w14:paraId="48019586" w14:textId="77777777" w:rsidTr="00B11F5F">
        <w:trPr>
          <w:trHeight w:val="300"/>
        </w:trPr>
        <w:tc>
          <w:tcPr>
            <w:tcW w:w="620" w:type="dxa"/>
            <w:vMerge w:val="restart"/>
            <w:tcBorders>
              <w:top w:val="nil"/>
              <w:left w:val="nil"/>
              <w:bottom w:val="single" w:sz="4" w:space="0" w:color="000000"/>
              <w:right w:val="nil"/>
            </w:tcBorders>
            <w:shd w:val="clear" w:color="auto" w:fill="auto"/>
            <w:noWrap/>
            <w:textDirection w:val="btLr"/>
            <w:vAlign w:val="center"/>
            <w:hideMark/>
          </w:tcPr>
          <w:p w14:paraId="4A817DCE" w14:textId="77777777" w:rsidR="00D740DC" w:rsidRPr="00EA0465" w:rsidRDefault="00D740DC" w:rsidP="00B11F5F">
            <w:pPr>
              <w:spacing w:after="0" w:line="240" w:lineRule="auto"/>
              <w:jc w:val="center"/>
              <w:rPr>
                <w:rFonts w:eastAsia="Times New Roman" w:cs="Times New Roman"/>
                <w:bCs/>
                <w:color w:val="000000"/>
                <w:szCs w:val="24"/>
                <w:lang w:eastAsia="en-MY"/>
              </w:rPr>
            </w:pPr>
            <w:r w:rsidRPr="00EA0465">
              <w:rPr>
                <w:rFonts w:eastAsia="Times New Roman" w:cs="Times New Roman"/>
                <w:bCs/>
                <w:color w:val="000000"/>
                <w:szCs w:val="24"/>
                <w:lang w:eastAsia="en-MY"/>
              </w:rPr>
              <w:t xml:space="preserve"> N</w:t>
            </w:r>
            <w:r w:rsidRPr="00EA0465">
              <w:rPr>
                <w:rFonts w:eastAsia="Times New Roman" w:cs="Times New Roman"/>
                <w:bCs/>
                <w:color w:val="000000"/>
                <w:szCs w:val="24"/>
                <w:vertAlign w:val="subscript"/>
                <w:lang w:eastAsia="en-MY"/>
              </w:rPr>
              <w:t>15</w:t>
            </w:r>
            <w:r w:rsidRPr="00EA0465">
              <w:rPr>
                <w:rFonts w:eastAsia="Times New Roman" w:cs="Times New Roman"/>
                <w:bCs/>
                <w:color w:val="000000"/>
                <w:szCs w:val="24"/>
                <w:lang w:eastAsia="en-MY"/>
              </w:rPr>
              <w:t>C</w:t>
            </w:r>
            <w:r w:rsidRPr="00EA0465">
              <w:rPr>
                <w:rFonts w:eastAsia="Times New Roman" w:cs="Times New Roman"/>
                <w:bCs/>
                <w:color w:val="000000"/>
                <w:szCs w:val="24"/>
                <w:vertAlign w:val="subscript"/>
                <w:lang w:eastAsia="en-MY"/>
              </w:rPr>
              <w:t>5</w:t>
            </w:r>
            <w:r w:rsidRPr="00EA0465">
              <w:rPr>
                <w:rFonts w:eastAsia="Times New Roman" w:cs="Times New Roman"/>
                <w:bCs/>
                <w:color w:val="000000"/>
                <w:szCs w:val="24"/>
                <w:lang w:eastAsia="en-MY"/>
              </w:rPr>
              <w:t>A</w:t>
            </w:r>
            <w:r w:rsidRPr="00EA0465">
              <w:rPr>
                <w:rFonts w:eastAsia="Times New Roman" w:cs="Times New Roman"/>
                <w:bCs/>
                <w:color w:val="000000"/>
                <w:szCs w:val="24"/>
                <w:vertAlign w:val="subscript"/>
                <w:lang w:eastAsia="en-MY"/>
              </w:rPr>
              <w:t>x</w:t>
            </w:r>
            <w:r w:rsidRPr="00EA0465">
              <w:rPr>
                <w:rFonts w:eastAsia="Times New Roman" w:cs="Times New Roman"/>
                <w:bCs/>
                <w:color w:val="000000"/>
                <w:szCs w:val="24"/>
                <w:lang w:eastAsia="en-MY"/>
              </w:rPr>
              <w:t>B</w:t>
            </w:r>
            <w:r w:rsidRPr="00EA0465">
              <w:rPr>
                <w:rFonts w:eastAsia="Times New Roman" w:cs="Times New Roman"/>
                <w:bCs/>
                <w:color w:val="000000"/>
                <w:szCs w:val="24"/>
                <w:vertAlign w:val="subscript"/>
                <w:lang w:eastAsia="en-MY"/>
              </w:rPr>
              <w:t>20-x</w:t>
            </w:r>
            <w:r w:rsidRPr="00EA0465">
              <w:rPr>
                <w:rFonts w:eastAsia="Times New Roman" w:cs="Times New Roman"/>
                <w:bCs/>
                <w:color w:val="000000"/>
                <w:szCs w:val="24"/>
                <w:lang w:eastAsia="en-MY"/>
              </w:rPr>
              <w:t>S</w:t>
            </w:r>
            <w:r w:rsidRPr="00EA0465">
              <w:rPr>
                <w:rFonts w:eastAsia="Times New Roman" w:cs="Times New Roman"/>
                <w:bCs/>
                <w:color w:val="000000"/>
                <w:szCs w:val="24"/>
                <w:vertAlign w:val="subscript"/>
                <w:lang w:eastAsia="en-MY"/>
              </w:rPr>
              <w:t xml:space="preserve">60 </w:t>
            </w:r>
          </w:p>
        </w:tc>
        <w:tc>
          <w:tcPr>
            <w:tcW w:w="2160" w:type="dxa"/>
            <w:vMerge w:val="restart"/>
            <w:tcBorders>
              <w:top w:val="nil"/>
              <w:left w:val="nil"/>
              <w:bottom w:val="single" w:sz="4" w:space="0" w:color="000000"/>
              <w:right w:val="nil"/>
            </w:tcBorders>
            <w:shd w:val="clear" w:color="auto" w:fill="auto"/>
            <w:noWrap/>
            <w:vAlign w:val="center"/>
            <w:hideMark/>
          </w:tcPr>
          <w:p w14:paraId="64C42AAA"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N</w:t>
            </w:r>
            <w:r w:rsidRPr="00EA0465">
              <w:rPr>
                <w:rFonts w:eastAsia="Times New Roman" w:cs="Times New Roman"/>
                <w:b w:val="0"/>
                <w:color w:val="000000"/>
                <w:sz w:val="18"/>
                <w:szCs w:val="18"/>
                <w:vertAlign w:val="subscript"/>
                <w:lang w:eastAsia="en-MY"/>
              </w:rPr>
              <w:t>15</w:t>
            </w:r>
            <w:r w:rsidRPr="00EA0465">
              <w:rPr>
                <w:rFonts w:eastAsia="Times New Roman" w:cs="Times New Roman"/>
                <w:b w:val="0"/>
                <w:color w:val="000000"/>
                <w:sz w:val="18"/>
                <w:szCs w:val="18"/>
                <w:lang w:eastAsia="en-MY"/>
              </w:rPr>
              <w:t>C</w:t>
            </w:r>
            <w:r w:rsidRPr="00EA0465">
              <w:rPr>
                <w:rFonts w:eastAsia="Times New Roman" w:cs="Times New Roman"/>
                <w:b w:val="0"/>
                <w:color w:val="000000"/>
                <w:sz w:val="18"/>
                <w:szCs w:val="18"/>
                <w:vertAlign w:val="subscript"/>
                <w:lang w:eastAsia="en-MY"/>
              </w:rPr>
              <w:t>5</w:t>
            </w:r>
            <w:r w:rsidRPr="00EA0465">
              <w:rPr>
                <w:rFonts w:eastAsia="Times New Roman" w:cs="Times New Roman"/>
                <w:b w:val="0"/>
                <w:color w:val="000000"/>
                <w:sz w:val="18"/>
                <w:szCs w:val="18"/>
                <w:lang w:eastAsia="en-MY"/>
              </w:rPr>
              <w:t>S</w:t>
            </w:r>
            <w:r w:rsidRPr="00EA0465">
              <w:rPr>
                <w:rFonts w:eastAsia="Times New Roman" w:cs="Times New Roman"/>
                <w:b w:val="0"/>
                <w:color w:val="000000"/>
                <w:sz w:val="18"/>
                <w:szCs w:val="18"/>
                <w:vertAlign w:val="subscript"/>
                <w:lang w:eastAsia="en-MY"/>
              </w:rPr>
              <w:t>60</w:t>
            </w:r>
            <w:r w:rsidRPr="00EA0465">
              <w:rPr>
                <w:rFonts w:eastAsia="Times New Roman" w:cs="Times New Roman"/>
                <w:b w:val="0"/>
                <w:color w:val="000000"/>
                <w:sz w:val="18"/>
                <w:szCs w:val="18"/>
                <w:lang w:eastAsia="en-MY"/>
              </w:rPr>
              <w:t>A</w:t>
            </w:r>
            <w:r w:rsidRPr="00EA0465">
              <w:rPr>
                <w:rFonts w:eastAsia="Times New Roman" w:cs="Times New Roman"/>
                <w:b w:val="0"/>
                <w:color w:val="000000"/>
                <w:sz w:val="18"/>
                <w:szCs w:val="18"/>
                <w:vertAlign w:val="subscript"/>
                <w:lang w:eastAsia="en-MY"/>
              </w:rPr>
              <w:t>15</w:t>
            </w:r>
            <w:r w:rsidRPr="00EA0465">
              <w:rPr>
                <w:rFonts w:eastAsia="Times New Roman" w:cs="Times New Roman"/>
                <w:b w:val="0"/>
                <w:color w:val="000000"/>
                <w:sz w:val="18"/>
                <w:szCs w:val="18"/>
                <w:lang w:eastAsia="en-MY"/>
              </w:rPr>
              <w:t>B</w:t>
            </w:r>
            <w:r w:rsidRPr="00EA0465">
              <w:rPr>
                <w:rFonts w:eastAsia="Times New Roman" w:cs="Times New Roman"/>
                <w:b w:val="0"/>
                <w:color w:val="000000"/>
                <w:sz w:val="18"/>
                <w:szCs w:val="18"/>
                <w:vertAlign w:val="subscript"/>
                <w:lang w:eastAsia="en-MY"/>
              </w:rPr>
              <w:t>5</w:t>
            </w:r>
          </w:p>
        </w:tc>
        <w:tc>
          <w:tcPr>
            <w:tcW w:w="3420" w:type="dxa"/>
            <w:tcBorders>
              <w:top w:val="nil"/>
              <w:left w:val="nil"/>
              <w:bottom w:val="nil"/>
              <w:right w:val="nil"/>
            </w:tcBorders>
            <w:shd w:val="clear" w:color="auto" w:fill="auto"/>
            <w:noWrap/>
            <w:vAlign w:val="center"/>
            <w:hideMark/>
          </w:tcPr>
          <w:p w14:paraId="54A5AC00"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72C45995"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53.87</w:t>
            </w:r>
          </w:p>
        </w:tc>
        <w:tc>
          <w:tcPr>
            <w:tcW w:w="960" w:type="dxa"/>
            <w:tcBorders>
              <w:top w:val="nil"/>
              <w:left w:val="nil"/>
              <w:bottom w:val="nil"/>
              <w:right w:val="nil"/>
            </w:tcBorders>
            <w:shd w:val="clear" w:color="auto" w:fill="auto"/>
            <w:noWrap/>
            <w:vAlign w:val="center"/>
            <w:hideMark/>
          </w:tcPr>
          <w:p w14:paraId="71ADA44F"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22.85</w:t>
            </w:r>
          </w:p>
        </w:tc>
        <w:tc>
          <w:tcPr>
            <w:tcW w:w="960" w:type="dxa"/>
            <w:tcBorders>
              <w:top w:val="nil"/>
              <w:left w:val="nil"/>
              <w:bottom w:val="nil"/>
              <w:right w:val="nil"/>
            </w:tcBorders>
            <w:shd w:val="clear" w:color="auto" w:fill="auto"/>
            <w:noWrap/>
            <w:vAlign w:val="center"/>
            <w:hideMark/>
          </w:tcPr>
          <w:p w14:paraId="2D855C38"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5.20</w:t>
            </w:r>
          </w:p>
        </w:tc>
        <w:tc>
          <w:tcPr>
            <w:tcW w:w="960" w:type="dxa"/>
            <w:tcBorders>
              <w:top w:val="nil"/>
              <w:left w:val="nil"/>
              <w:bottom w:val="nil"/>
              <w:right w:val="nil"/>
            </w:tcBorders>
            <w:shd w:val="clear" w:color="auto" w:fill="auto"/>
            <w:noWrap/>
            <w:vAlign w:val="center"/>
            <w:hideMark/>
          </w:tcPr>
          <w:p w14:paraId="702F8B03"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13.89</w:t>
            </w:r>
          </w:p>
        </w:tc>
        <w:tc>
          <w:tcPr>
            <w:tcW w:w="960" w:type="dxa"/>
            <w:tcBorders>
              <w:top w:val="nil"/>
              <w:left w:val="nil"/>
              <w:bottom w:val="nil"/>
              <w:right w:val="nil"/>
            </w:tcBorders>
            <w:shd w:val="clear" w:color="auto" w:fill="auto"/>
            <w:noWrap/>
            <w:vAlign w:val="center"/>
            <w:hideMark/>
          </w:tcPr>
          <w:p w14:paraId="6AF4D48B"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4.19</w:t>
            </w:r>
          </w:p>
        </w:tc>
        <w:tc>
          <w:tcPr>
            <w:tcW w:w="960" w:type="dxa"/>
            <w:tcBorders>
              <w:top w:val="nil"/>
              <w:left w:val="nil"/>
              <w:bottom w:val="nil"/>
              <w:right w:val="nil"/>
            </w:tcBorders>
            <w:shd w:val="clear" w:color="auto" w:fill="auto"/>
            <w:noWrap/>
            <w:vAlign w:val="center"/>
            <w:hideMark/>
          </w:tcPr>
          <w:p w14:paraId="4D8ACC69"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60D0B1FB"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4148E238"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860" w:type="dxa"/>
            <w:tcBorders>
              <w:top w:val="nil"/>
              <w:left w:val="nil"/>
              <w:bottom w:val="nil"/>
              <w:right w:val="nil"/>
            </w:tcBorders>
            <w:shd w:val="clear" w:color="auto" w:fill="auto"/>
            <w:noWrap/>
            <w:vAlign w:val="center"/>
            <w:hideMark/>
          </w:tcPr>
          <w:p w14:paraId="241B57BC"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EA0465" w14:paraId="29BD2E56" w14:textId="77777777" w:rsidTr="00B11F5F">
        <w:trPr>
          <w:trHeight w:val="300"/>
        </w:trPr>
        <w:tc>
          <w:tcPr>
            <w:tcW w:w="620" w:type="dxa"/>
            <w:vMerge/>
            <w:tcBorders>
              <w:top w:val="nil"/>
              <w:left w:val="nil"/>
              <w:bottom w:val="single" w:sz="4" w:space="0" w:color="000000"/>
              <w:right w:val="nil"/>
            </w:tcBorders>
            <w:vAlign w:val="center"/>
            <w:hideMark/>
          </w:tcPr>
          <w:p w14:paraId="7FD2016E"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368DCB4D"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78BD2A00"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0C014AD3"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63.18</w:t>
            </w:r>
          </w:p>
        </w:tc>
        <w:tc>
          <w:tcPr>
            <w:tcW w:w="960" w:type="dxa"/>
            <w:tcBorders>
              <w:top w:val="nil"/>
              <w:left w:val="nil"/>
              <w:bottom w:val="nil"/>
              <w:right w:val="nil"/>
            </w:tcBorders>
            <w:shd w:val="clear" w:color="auto" w:fill="auto"/>
            <w:noWrap/>
            <w:vAlign w:val="center"/>
            <w:hideMark/>
          </w:tcPr>
          <w:p w14:paraId="28A027D7"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14.50</w:t>
            </w:r>
          </w:p>
        </w:tc>
        <w:tc>
          <w:tcPr>
            <w:tcW w:w="960" w:type="dxa"/>
            <w:tcBorders>
              <w:top w:val="nil"/>
              <w:left w:val="nil"/>
              <w:bottom w:val="nil"/>
              <w:right w:val="nil"/>
            </w:tcBorders>
            <w:shd w:val="clear" w:color="auto" w:fill="auto"/>
            <w:noWrap/>
            <w:vAlign w:val="center"/>
            <w:hideMark/>
          </w:tcPr>
          <w:p w14:paraId="23253CDF"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6.85</w:t>
            </w:r>
          </w:p>
        </w:tc>
        <w:tc>
          <w:tcPr>
            <w:tcW w:w="960" w:type="dxa"/>
            <w:tcBorders>
              <w:top w:val="nil"/>
              <w:left w:val="nil"/>
              <w:bottom w:val="nil"/>
              <w:right w:val="nil"/>
            </w:tcBorders>
            <w:shd w:val="clear" w:color="auto" w:fill="auto"/>
            <w:noWrap/>
            <w:vAlign w:val="center"/>
            <w:hideMark/>
          </w:tcPr>
          <w:p w14:paraId="669D01B7"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10.66</w:t>
            </w:r>
          </w:p>
        </w:tc>
        <w:tc>
          <w:tcPr>
            <w:tcW w:w="960" w:type="dxa"/>
            <w:tcBorders>
              <w:top w:val="nil"/>
              <w:left w:val="nil"/>
              <w:bottom w:val="nil"/>
              <w:right w:val="nil"/>
            </w:tcBorders>
            <w:shd w:val="clear" w:color="auto" w:fill="auto"/>
            <w:noWrap/>
            <w:vAlign w:val="center"/>
            <w:hideMark/>
          </w:tcPr>
          <w:p w14:paraId="3057A6FE"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4.18</w:t>
            </w:r>
          </w:p>
        </w:tc>
        <w:tc>
          <w:tcPr>
            <w:tcW w:w="960" w:type="dxa"/>
            <w:tcBorders>
              <w:top w:val="nil"/>
              <w:left w:val="nil"/>
              <w:bottom w:val="nil"/>
              <w:right w:val="nil"/>
            </w:tcBorders>
            <w:shd w:val="clear" w:color="auto" w:fill="auto"/>
            <w:noWrap/>
            <w:vAlign w:val="center"/>
            <w:hideMark/>
          </w:tcPr>
          <w:p w14:paraId="2DAE2C20"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60" w:type="dxa"/>
            <w:tcBorders>
              <w:top w:val="nil"/>
              <w:left w:val="nil"/>
              <w:bottom w:val="nil"/>
              <w:right w:val="nil"/>
            </w:tcBorders>
            <w:shd w:val="clear" w:color="auto" w:fill="auto"/>
            <w:noWrap/>
            <w:vAlign w:val="center"/>
            <w:hideMark/>
          </w:tcPr>
          <w:p w14:paraId="0DDF96E7"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55ACD623"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0.03</w:t>
            </w:r>
          </w:p>
        </w:tc>
        <w:tc>
          <w:tcPr>
            <w:tcW w:w="860" w:type="dxa"/>
            <w:tcBorders>
              <w:top w:val="nil"/>
              <w:left w:val="nil"/>
              <w:bottom w:val="nil"/>
              <w:right w:val="nil"/>
            </w:tcBorders>
            <w:shd w:val="clear" w:color="auto" w:fill="auto"/>
            <w:noWrap/>
            <w:vAlign w:val="center"/>
            <w:hideMark/>
          </w:tcPr>
          <w:p w14:paraId="629FDBB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0.61</w:t>
            </w:r>
          </w:p>
        </w:tc>
      </w:tr>
      <w:tr w:rsidR="00D740DC" w:rsidRPr="00EA0465" w14:paraId="335A2B46" w14:textId="77777777" w:rsidTr="00B11F5F">
        <w:trPr>
          <w:trHeight w:val="300"/>
        </w:trPr>
        <w:tc>
          <w:tcPr>
            <w:tcW w:w="620" w:type="dxa"/>
            <w:vMerge/>
            <w:tcBorders>
              <w:top w:val="nil"/>
              <w:left w:val="nil"/>
              <w:bottom w:val="single" w:sz="4" w:space="0" w:color="000000"/>
              <w:right w:val="nil"/>
            </w:tcBorders>
            <w:vAlign w:val="center"/>
            <w:hideMark/>
          </w:tcPr>
          <w:p w14:paraId="59A762D2"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0586FA5E"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263FA717"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72F9E70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63.18</w:t>
            </w:r>
          </w:p>
        </w:tc>
        <w:tc>
          <w:tcPr>
            <w:tcW w:w="960" w:type="dxa"/>
            <w:tcBorders>
              <w:top w:val="nil"/>
              <w:left w:val="nil"/>
              <w:bottom w:val="nil"/>
              <w:right w:val="nil"/>
            </w:tcBorders>
            <w:shd w:val="clear" w:color="auto" w:fill="auto"/>
            <w:noWrap/>
            <w:vAlign w:val="center"/>
            <w:hideMark/>
          </w:tcPr>
          <w:p w14:paraId="782026C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14.50</w:t>
            </w:r>
          </w:p>
        </w:tc>
        <w:tc>
          <w:tcPr>
            <w:tcW w:w="960" w:type="dxa"/>
            <w:tcBorders>
              <w:top w:val="nil"/>
              <w:left w:val="nil"/>
              <w:bottom w:val="nil"/>
              <w:right w:val="nil"/>
            </w:tcBorders>
            <w:shd w:val="clear" w:color="auto" w:fill="auto"/>
            <w:noWrap/>
            <w:vAlign w:val="center"/>
            <w:hideMark/>
          </w:tcPr>
          <w:p w14:paraId="047C34E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3.42</w:t>
            </w:r>
          </w:p>
        </w:tc>
        <w:tc>
          <w:tcPr>
            <w:tcW w:w="960" w:type="dxa"/>
            <w:tcBorders>
              <w:top w:val="nil"/>
              <w:left w:val="nil"/>
              <w:bottom w:val="nil"/>
              <w:right w:val="nil"/>
            </w:tcBorders>
            <w:shd w:val="clear" w:color="auto" w:fill="auto"/>
            <w:noWrap/>
            <w:vAlign w:val="center"/>
            <w:hideMark/>
          </w:tcPr>
          <w:p w14:paraId="2C06339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10.66</w:t>
            </w:r>
          </w:p>
        </w:tc>
        <w:tc>
          <w:tcPr>
            <w:tcW w:w="960" w:type="dxa"/>
            <w:tcBorders>
              <w:top w:val="nil"/>
              <w:left w:val="nil"/>
              <w:bottom w:val="nil"/>
              <w:right w:val="nil"/>
            </w:tcBorders>
            <w:shd w:val="clear" w:color="auto" w:fill="auto"/>
            <w:noWrap/>
            <w:vAlign w:val="center"/>
            <w:hideMark/>
          </w:tcPr>
          <w:p w14:paraId="04F6387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4.18</w:t>
            </w:r>
          </w:p>
        </w:tc>
        <w:tc>
          <w:tcPr>
            <w:tcW w:w="960" w:type="dxa"/>
            <w:tcBorders>
              <w:top w:val="nil"/>
              <w:left w:val="nil"/>
              <w:bottom w:val="nil"/>
              <w:right w:val="nil"/>
            </w:tcBorders>
            <w:shd w:val="clear" w:color="auto" w:fill="auto"/>
            <w:noWrap/>
            <w:vAlign w:val="center"/>
            <w:hideMark/>
          </w:tcPr>
          <w:p w14:paraId="74E11CC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7B1AA9B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48ED584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0.03</w:t>
            </w:r>
          </w:p>
        </w:tc>
        <w:tc>
          <w:tcPr>
            <w:tcW w:w="860" w:type="dxa"/>
            <w:tcBorders>
              <w:top w:val="nil"/>
              <w:left w:val="nil"/>
              <w:bottom w:val="nil"/>
              <w:right w:val="nil"/>
            </w:tcBorders>
            <w:shd w:val="clear" w:color="auto" w:fill="auto"/>
            <w:noWrap/>
            <w:vAlign w:val="center"/>
            <w:hideMark/>
          </w:tcPr>
          <w:p w14:paraId="546149D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0.61</w:t>
            </w:r>
          </w:p>
        </w:tc>
      </w:tr>
      <w:tr w:rsidR="00D740DC" w:rsidRPr="00EA0465" w14:paraId="39C839D6" w14:textId="77777777" w:rsidTr="00B11F5F">
        <w:trPr>
          <w:trHeight w:val="300"/>
        </w:trPr>
        <w:tc>
          <w:tcPr>
            <w:tcW w:w="620" w:type="dxa"/>
            <w:vMerge/>
            <w:tcBorders>
              <w:top w:val="nil"/>
              <w:left w:val="nil"/>
              <w:bottom w:val="single" w:sz="4" w:space="0" w:color="000000"/>
              <w:right w:val="nil"/>
            </w:tcBorders>
            <w:vAlign w:val="center"/>
            <w:hideMark/>
          </w:tcPr>
          <w:p w14:paraId="253AED6E"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60B355FF"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5AF70AF3"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526BFB0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65.42</w:t>
            </w:r>
          </w:p>
        </w:tc>
        <w:tc>
          <w:tcPr>
            <w:tcW w:w="960" w:type="dxa"/>
            <w:tcBorders>
              <w:top w:val="nil"/>
              <w:left w:val="nil"/>
              <w:bottom w:val="single" w:sz="4" w:space="0" w:color="auto"/>
              <w:right w:val="nil"/>
            </w:tcBorders>
            <w:shd w:val="clear" w:color="auto" w:fill="auto"/>
            <w:noWrap/>
            <w:vAlign w:val="center"/>
            <w:hideMark/>
          </w:tcPr>
          <w:p w14:paraId="1389DA7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15.01</w:t>
            </w:r>
          </w:p>
        </w:tc>
        <w:tc>
          <w:tcPr>
            <w:tcW w:w="960" w:type="dxa"/>
            <w:tcBorders>
              <w:top w:val="nil"/>
              <w:left w:val="nil"/>
              <w:bottom w:val="single" w:sz="4" w:space="0" w:color="auto"/>
              <w:right w:val="nil"/>
            </w:tcBorders>
            <w:shd w:val="clear" w:color="auto" w:fill="auto"/>
            <w:noWrap/>
            <w:vAlign w:val="center"/>
            <w:hideMark/>
          </w:tcPr>
          <w:p w14:paraId="2A8FC7E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3.54</w:t>
            </w:r>
          </w:p>
        </w:tc>
        <w:tc>
          <w:tcPr>
            <w:tcW w:w="960" w:type="dxa"/>
            <w:tcBorders>
              <w:top w:val="nil"/>
              <w:left w:val="nil"/>
              <w:bottom w:val="single" w:sz="4" w:space="0" w:color="auto"/>
              <w:right w:val="nil"/>
            </w:tcBorders>
            <w:shd w:val="clear" w:color="auto" w:fill="auto"/>
            <w:noWrap/>
            <w:vAlign w:val="center"/>
            <w:hideMark/>
          </w:tcPr>
          <w:p w14:paraId="68F592C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11.03</w:t>
            </w:r>
          </w:p>
        </w:tc>
        <w:tc>
          <w:tcPr>
            <w:tcW w:w="960" w:type="dxa"/>
            <w:tcBorders>
              <w:top w:val="nil"/>
              <w:left w:val="nil"/>
              <w:bottom w:val="single" w:sz="4" w:space="0" w:color="auto"/>
              <w:right w:val="nil"/>
            </w:tcBorders>
            <w:shd w:val="clear" w:color="auto" w:fill="auto"/>
            <w:noWrap/>
            <w:vAlign w:val="center"/>
            <w:hideMark/>
          </w:tcPr>
          <w:p w14:paraId="300BF72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4.33</w:t>
            </w:r>
          </w:p>
        </w:tc>
        <w:tc>
          <w:tcPr>
            <w:tcW w:w="960" w:type="dxa"/>
            <w:tcBorders>
              <w:top w:val="nil"/>
              <w:left w:val="nil"/>
              <w:bottom w:val="single" w:sz="4" w:space="0" w:color="auto"/>
              <w:right w:val="nil"/>
            </w:tcBorders>
            <w:shd w:val="clear" w:color="auto" w:fill="auto"/>
            <w:noWrap/>
            <w:vAlign w:val="center"/>
            <w:hideMark/>
          </w:tcPr>
          <w:p w14:paraId="5614F1A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7C884C4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single" w:sz="4" w:space="0" w:color="auto"/>
              <w:right w:val="nil"/>
            </w:tcBorders>
            <w:shd w:val="clear" w:color="auto" w:fill="auto"/>
            <w:noWrap/>
            <w:vAlign w:val="center"/>
            <w:hideMark/>
          </w:tcPr>
          <w:p w14:paraId="13E2C56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0.03</w:t>
            </w:r>
          </w:p>
        </w:tc>
        <w:tc>
          <w:tcPr>
            <w:tcW w:w="860" w:type="dxa"/>
            <w:tcBorders>
              <w:top w:val="nil"/>
              <w:left w:val="nil"/>
              <w:bottom w:val="single" w:sz="4" w:space="0" w:color="auto"/>
              <w:right w:val="nil"/>
            </w:tcBorders>
            <w:shd w:val="clear" w:color="auto" w:fill="auto"/>
            <w:noWrap/>
            <w:vAlign w:val="center"/>
            <w:hideMark/>
          </w:tcPr>
          <w:p w14:paraId="7DBC3EF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0.63</w:t>
            </w:r>
          </w:p>
        </w:tc>
      </w:tr>
      <w:tr w:rsidR="00D740DC" w:rsidRPr="00EA0465" w14:paraId="0F634463" w14:textId="77777777" w:rsidTr="00B11F5F">
        <w:trPr>
          <w:trHeight w:val="300"/>
        </w:trPr>
        <w:tc>
          <w:tcPr>
            <w:tcW w:w="620" w:type="dxa"/>
            <w:vMerge/>
            <w:tcBorders>
              <w:top w:val="nil"/>
              <w:left w:val="nil"/>
              <w:bottom w:val="single" w:sz="4" w:space="0" w:color="000000"/>
              <w:right w:val="nil"/>
            </w:tcBorders>
            <w:vAlign w:val="center"/>
            <w:hideMark/>
          </w:tcPr>
          <w:p w14:paraId="515F91E5"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5A6CDF26"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N</w:t>
            </w:r>
            <w:r w:rsidRPr="00EA0465">
              <w:rPr>
                <w:rFonts w:eastAsia="Times New Roman" w:cs="Times New Roman"/>
                <w:b w:val="0"/>
                <w:color w:val="000000"/>
                <w:sz w:val="18"/>
                <w:szCs w:val="18"/>
                <w:vertAlign w:val="subscript"/>
                <w:lang w:eastAsia="en-MY"/>
              </w:rPr>
              <w:t>15</w:t>
            </w:r>
            <w:r w:rsidRPr="00EA0465">
              <w:rPr>
                <w:rFonts w:eastAsia="Times New Roman" w:cs="Times New Roman"/>
                <w:b w:val="0"/>
                <w:color w:val="000000"/>
                <w:sz w:val="18"/>
                <w:szCs w:val="18"/>
                <w:lang w:eastAsia="en-MY"/>
              </w:rPr>
              <w:t>C</w:t>
            </w:r>
            <w:r w:rsidRPr="00EA0465">
              <w:rPr>
                <w:rFonts w:eastAsia="Times New Roman" w:cs="Times New Roman"/>
                <w:b w:val="0"/>
                <w:color w:val="000000"/>
                <w:sz w:val="18"/>
                <w:szCs w:val="18"/>
                <w:vertAlign w:val="subscript"/>
                <w:lang w:eastAsia="en-MY"/>
              </w:rPr>
              <w:t>5</w:t>
            </w:r>
            <w:r w:rsidRPr="00EA0465">
              <w:rPr>
                <w:rFonts w:eastAsia="Times New Roman" w:cs="Times New Roman"/>
                <w:b w:val="0"/>
                <w:color w:val="000000"/>
                <w:sz w:val="18"/>
                <w:szCs w:val="18"/>
                <w:lang w:eastAsia="en-MY"/>
              </w:rPr>
              <w:t>S</w:t>
            </w:r>
            <w:r w:rsidRPr="00EA0465">
              <w:rPr>
                <w:rFonts w:eastAsia="Times New Roman" w:cs="Times New Roman"/>
                <w:b w:val="0"/>
                <w:color w:val="000000"/>
                <w:sz w:val="18"/>
                <w:szCs w:val="18"/>
                <w:vertAlign w:val="subscript"/>
                <w:lang w:eastAsia="en-MY"/>
              </w:rPr>
              <w:t>60</w:t>
            </w:r>
            <w:r w:rsidRPr="00EA0465">
              <w:rPr>
                <w:rFonts w:eastAsia="Times New Roman" w:cs="Times New Roman"/>
                <w:b w:val="0"/>
                <w:color w:val="000000"/>
                <w:sz w:val="18"/>
                <w:szCs w:val="18"/>
                <w:lang w:eastAsia="en-MY"/>
              </w:rPr>
              <w:t>A</w:t>
            </w:r>
            <w:r w:rsidRPr="00EA0465">
              <w:rPr>
                <w:rFonts w:eastAsia="Times New Roman" w:cs="Times New Roman"/>
                <w:b w:val="0"/>
                <w:color w:val="000000"/>
                <w:sz w:val="18"/>
                <w:szCs w:val="18"/>
                <w:vertAlign w:val="subscript"/>
                <w:lang w:eastAsia="en-MY"/>
              </w:rPr>
              <w:t>10</w:t>
            </w:r>
            <w:r w:rsidRPr="00EA0465">
              <w:rPr>
                <w:rFonts w:eastAsia="Times New Roman" w:cs="Times New Roman"/>
                <w:b w:val="0"/>
                <w:color w:val="000000"/>
                <w:sz w:val="18"/>
                <w:szCs w:val="18"/>
                <w:lang w:eastAsia="en-MY"/>
              </w:rPr>
              <w:t>B</w:t>
            </w:r>
            <w:r w:rsidRPr="00EA0465">
              <w:rPr>
                <w:rFonts w:eastAsia="Times New Roman" w:cs="Times New Roman"/>
                <w:b w:val="0"/>
                <w:color w:val="000000"/>
                <w:sz w:val="18"/>
                <w:szCs w:val="18"/>
                <w:vertAlign w:val="subscript"/>
                <w:lang w:eastAsia="en-MY"/>
              </w:rPr>
              <w:t>10</w:t>
            </w:r>
          </w:p>
        </w:tc>
        <w:tc>
          <w:tcPr>
            <w:tcW w:w="3420" w:type="dxa"/>
            <w:tcBorders>
              <w:top w:val="nil"/>
              <w:left w:val="nil"/>
              <w:bottom w:val="nil"/>
              <w:right w:val="nil"/>
            </w:tcBorders>
            <w:shd w:val="clear" w:color="auto" w:fill="auto"/>
            <w:noWrap/>
            <w:vAlign w:val="center"/>
            <w:hideMark/>
          </w:tcPr>
          <w:p w14:paraId="1DB9904B"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72E15EC4"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55.20</w:t>
            </w:r>
          </w:p>
        </w:tc>
        <w:tc>
          <w:tcPr>
            <w:tcW w:w="960" w:type="dxa"/>
            <w:tcBorders>
              <w:top w:val="nil"/>
              <w:left w:val="nil"/>
              <w:bottom w:val="nil"/>
              <w:right w:val="nil"/>
            </w:tcBorders>
            <w:shd w:val="clear" w:color="auto" w:fill="auto"/>
            <w:noWrap/>
            <w:vAlign w:val="center"/>
            <w:hideMark/>
          </w:tcPr>
          <w:p w14:paraId="4AFD7705"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15.61</w:t>
            </w:r>
          </w:p>
        </w:tc>
        <w:tc>
          <w:tcPr>
            <w:tcW w:w="960" w:type="dxa"/>
            <w:tcBorders>
              <w:top w:val="nil"/>
              <w:left w:val="nil"/>
              <w:bottom w:val="nil"/>
              <w:right w:val="nil"/>
            </w:tcBorders>
            <w:shd w:val="clear" w:color="auto" w:fill="auto"/>
            <w:noWrap/>
            <w:vAlign w:val="center"/>
            <w:hideMark/>
          </w:tcPr>
          <w:p w14:paraId="78CBD15B"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10.66</w:t>
            </w:r>
          </w:p>
        </w:tc>
        <w:tc>
          <w:tcPr>
            <w:tcW w:w="960" w:type="dxa"/>
            <w:tcBorders>
              <w:top w:val="nil"/>
              <w:left w:val="nil"/>
              <w:bottom w:val="nil"/>
              <w:right w:val="nil"/>
            </w:tcBorders>
            <w:shd w:val="clear" w:color="auto" w:fill="auto"/>
            <w:noWrap/>
            <w:vAlign w:val="center"/>
            <w:hideMark/>
          </w:tcPr>
          <w:p w14:paraId="3E2B8865"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14.24</w:t>
            </w:r>
          </w:p>
        </w:tc>
        <w:tc>
          <w:tcPr>
            <w:tcW w:w="960" w:type="dxa"/>
            <w:tcBorders>
              <w:top w:val="nil"/>
              <w:left w:val="nil"/>
              <w:bottom w:val="nil"/>
              <w:right w:val="nil"/>
            </w:tcBorders>
            <w:shd w:val="clear" w:color="auto" w:fill="auto"/>
            <w:noWrap/>
            <w:vAlign w:val="center"/>
            <w:hideMark/>
          </w:tcPr>
          <w:p w14:paraId="271C59BE"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4.29</w:t>
            </w:r>
          </w:p>
        </w:tc>
        <w:tc>
          <w:tcPr>
            <w:tcW w:w="960" w:type="dxa"/>
            <w:tcBorders>
              <w:top w:val="nil"/>
              <w:left w:val="nil"/>
              <w:bottom w:val="nil"/>
              <w:right w:val="nil"/>
            </w:tcBorders>
            <w:shd w:val="clear" w:color="auto" w:fill="auto"/>
            <w:noWrap/>
            <w:vAlign w:val="center"/>
            <w:hideMark/>
          </w:tcPr>
          <w:p w14:paraId="05AB99B4"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23345367"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2970550F"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860" w:type="dxa"/>
            <w:tcBorders>
              <w:top w:val="nil"/>
              <w:left w:val="nil"/>
              <w:bottom w:val="nil"/>
              <w:right w:val="nil"/>
            </w:tcBorders>
            <w:shd w:val="clear" w:color="auto" w:fill="auto"/>
            <w:noWrap/>
            <w:vAlign w:val="center"/>
            <w:hideMark/>
          </w:tcPr>
          <w:p w14:paraId="557BF498"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EA0465" w14:paraId="10C6C22B" w14:textId="77777777" w:rsidTr="00B11F5F">
        <w:trPr>
          <w:trHeight w:val="300"/>
        </w:trPr>
        <w:tc>
          <w:tcPr>
            <w:tcW w:w="620" w:type="dxa"/>
            <w:vMerge/>
            <w:tcBorders>
              <w:top w:val="nil"/>
              <w:left w:val="nil"/>
              <w:bottom w:val="single" w:sz="4" w:space="0" w:color="000000"/>
              <w:right w:val="nil"/>
            </w:tcBorders>
            <w:vAlign w:val="center"/>
            <w:hideMark/>
          </w:tcPr>
          <w:p w14:paraId="6E434348"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25791FA3"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32BF7B12"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vAlign w:val="center"/>
            <w:hideMark/>
          </w:tcPr>
          <w:p w14:paraId="76E1269F"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49.471</w:t>
            </w:r>
          </w:p>
        </w:tc>
        <w:tc>
          <w:tcPr>
            <w:tcW w:w="960" w:type="dxa"/>
            <w:tcBorders>
              <w:top w:val="nil"/>
              <w:left w:val="nil"/>
              <w:bottom w:val="nil"/>
              <w:right w:val="nil"/>
            </w:tcBorders>
            <w:shd w:val="clear" w:color="auto" w:fill="auto"/>
            <w:vAlign w:val="center"/>
            <w:hideMark/>
          </w:tcPr>
          <w:p w14:paraId="36938DBC"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27.235</w:t>
            </w:r>
          </w:p>
        </w:tc>
        <w:tc>
          <w:tcPr>
            <w:tcW w:w="960" w:type="dxa"/>
            <w:tcBorders>
              <w:top w:val="nil"/>
              <w:left w:val="nil"/>
              <w:bottom w:val="nil"/>
              <w:right w:val="nil"/>
            </w:tcBorders>
            <w:shd w:val="clear" w:color="auto" w:fill="auto"/>
            <w:vAlign w:val="center"/>
            <w:hideMark/>
          </w:tcPr>
          <w:p w14:paraId="55B13565"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8.373</w:t>
            </w:r>
          </w:p>
        </w:tc>
        <w:tc>
          <w:tcPr>
            <w:tcW w:w="960" w:type="dxa"/>
            <w:tcBorders>
              <w:top w:val="nil"/>
              <w:left w:val="nil"/>
              <w:bottom w:val="nil"/>
              <w:right w:val="nil"/>
            </w:tcBorders>
            <w:shd w:val="clear" w:color="auto" w:fill="auto"/>
            <w:noWrap/>
            <w:vAlign w:val="center"/>
            <w:hideMark/>
          </w:tcPr>
          <w:p w14:paraId="0A5A4434"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10.423</w:t>
            </w:r>
          </w:p>
        </w:tc>
        <w:tc>
          <w:tcPr>
            <w:tcW w:w="960" w:type="dxa"/>
            <w:tcBorders>
              <w:top w:val="nil"/>
              <w:left w:val="nil"/>
              <w:bottom w:val="nil"/>
              <w:right w:val="nil"/>
            </w:tcBorders>
            <w:shd w:val="clear" w:color="auto" w:fill="auto"/>
            <w:noWrap/>
            <w:vAlign w:val="center"/>
            <w:hideMark/>
          </w:tcPr>
          <w:p w14:paraId="43F73091"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3.823</w:t>
            </w:r>
          </w:p>
        </w:tc>
        <w:tc>
          <w:tcPr>
            <w:tcW w:w="960" w:type="dxa"/>
            <w:tcBorders>
              <w:top w:val="nil"/>
              <w:left w:val="nil"/>
              <w:bottom w:val="nil"/>
              <w:right w:val="nil"/>
            </w:tcBorders>
            <w:shd w:val="clear" w:color="auto" w:fill="auto"/>
            <w:noWrap/>
            <w:vAlign w:val="center"/>
            <w:hideMark/>
          </w:tcPr>
          <w:p w14:paraId="7D0F14EC"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60" w:type="dxa"/>
            <w:tcBorders>
              <w:top w:val="nil"/>
              <w:left w:val="nil"/>
              <w:bottom w:val="nil"/>
              <w:right w:val="nil"/>
            </w:tcBorders>
            <w:shd w:val="clear" w:color="auto" w:fill="auto"/>
            <w:noWrap/>
            <w:vAlign w:val="center"/>
            <w:hideMark/>
          </w:tcPr>
          <w:p w14:paraId="46A2914D"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65AD22A5"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0.060</w:t>
            </w:r>
          </w:p>
        </w:tc>
        <w:tc>
          <w:tcPr>
            <w:tcW w:w="860" w:type="dxa"/>
            <w:tcBorders>
              <w:top w:val="nil"/>
              <w:left w:val="nil"/>
              <w:bottom w:val="nil"/>
              <w:right w:val="nil"/>
            </w:tcBorders>
            <w:shd w:val="clear" w:color="auto" w:fill="auto"/>
            <w:noWrap/>
            <w:vAlign w:val="center"/>
            <w:hideMark/>
          </w:tcPr>
          <w:p w14:paraId="3E16EE75"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0.616</w:t>
            </w:r>
          </w:p>
        </w:tc>
      </w:tr>
      <w:tr w:rsidR="00D740DC" w:rsidRPr="00EA0465" w14:paraId="58FAF31A" w14:textId="77777777" w:rsidTr="00B11F5F">
        <w:trPr>
          <w:trHeight w:val="300"/>
        </w:trPr>
        <w:tc>
          <w:tcPr>
            <w:tcW w:w="620" w:type="dxa"/>
            <w:vMerge/>
            <w:tcBorders>
              <w:top w:val="nil"/>
              <w:left w:val="nil"/>
              <w:bottom w:val="single" w:sz="4" w:space="0" w:color="000000"/>
              <w:right w:val="nil"/>
            </w:tcBorders>
            <w:vAlign w:val="center"/>
            <w:hideMark/>
          </w:tcPr>
          <w:p w14:paraId="34139FEC"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6FEAF254"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235F794D"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20BD515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49.471</w:t>
            </w:r>
          </w:p>
        </w:tc>
        <w:tc>
          <w:tcPr>
            <w:tcW w:w="960" w:type="dxa"/>
            <w:tcBorders>
              <w:top w:val="nil"/>
              <w:left w:val="nil"/>
              <w:bottom w:val="nil"/>
              <w:right w:val="nil"/>
            </w:tcBorders>
            <w:shd w:val="clear" w:color="auto" w:fill="auto"/>
            <w:noWrap/>
            <w:vAlign w:val="center"/>
            <w:hideMark/>
          </w:tcPr>
          <w:p w14:paraId="19E5822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27.235</w:t>
            </w:r>
          </w:p>
        </w:tc>
        <w:tc>
          <w:tcPr>
            <w:tcW w:w="960" w:type="dxa"/>
            <w:tcBorders>
              <w:top w:val="nil"/>
              <w:left w:val="nil"/>
              <w:bottom w:val="nil"/>
              <w:right w:val="nil"/>
            </w:tcBorders>
            <w:shd w:val="clear" w:color="auto" w:fill="auto"/>
            <w:noWrap/>
            <w:vAlign w:val="center"/>
            <w:hideMark/>
          </w:tcPr>
          <w:p w14:paraId="14BF7B1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4.1865</w:t>
            </w:r>
          </w:p>
        </w:tc>
        <w:tc>
          <w:tcPr>
            <w:tcW w:w="960" w:type="dxa"/>
            <w:tcBorders>
              <w:top w:val="nil"/>
              <w:left w:val="nil"/>
              <w:bottom w:val="nil"/>
              <w:right w:val="nil"/>
            </w:tcBorders>
            <w:shd w:val="clear" w:color="auto" w:fill="auto"/>
            <w:noWrap/>
            <w:vAlign w:val="center"/>
            <w:hideMark/>
          </w:tcPr>
          <w:p w14:paraId="10E3236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10.423</w:t>
            </w:r>
          </w:p>
        </w:tc>
        <w:tc>
          <w:tcPr>
            <w:tcW w:w="960" w:type="dxa"/>
            <w:tcBorders>
              <w:top w:val="nil"/>
              <w:left w:val="nil"/>
              <w:bottom w:val="nil"/>
              <w:right w:val="nil"/>
            </w:tcBorders>
            <w:shd w:val="clear" w:color="auto" w:fill="auto"/>
            <w:noWrap/>
            <w:vAlign w:val="center"/>
            <w:hideMark/>
          </w:tcPr>
          <w:p w14:paraId="74D15F9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3.823</w:t>
            </w:r>
          </w:p>
        </w:tc>
        <w:tc>
          <w:tcPr>
            <w:tcW w:w="960" w:type="dxa"/>
            <w:tcBorders>
              <w:top w:val="nil"/>
              <w:left w:val="nil"/>
              <w:bottom w:val="nil"/>
              <w:right w:val="nil"/>
            </w:tcBorders>
            <w:shd w:val="clear" w:color="auto" w:fill="auto"/>
            <w:noWrap/>
            <w:vAlign w:val="center"/>
            <w:hideMark/>
          </w:tcPr>
          <w:p w14:paraId="1F4DCAE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066EA54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5DC6D9E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0.0596</w:t>
            </w:r>
          </w:p>
        </w:tc>
        <w:tc>
          <w:tcPr>
            <w:tcW w:w="860" w:type="dxa"/>
            <w:tcBorders>
              <w:top w:val="nil"/>
              <w:left w:val="nil"/>
              <w:bottom w:val="nil"/>
              <w:right w:val="nil"/>
            </w:tcBorders>
            <w:shd w:val="clear" w:color="auto" w:fill="auto"/>
            <w:noWrap/>
            <w:vAlign w:val="center"/>
            <w:hideMark/>
          </w:tcPr>
          <w:p w14:paraId="30A22F3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0.6156</w:t>
            </w:r>
          </w:p>
        </w:tc>
      </w:tr>
      <w:tr w:rsidR="00D740DC" w:rsidRPr="00EA0465" w14:paraId="069E7BE6" w14:textId="77777777" w:rsidTr="00B11F5F">
        <w:trPr>
          <w:trHeight w:val="300"/>
        </w:trPr>
        <w:tc>
          <w:tcPr>
            <w:tcW w:w="620" w:type="dxa"/>
            <w:vMerge/>
            <w:tcBorders>
              <w:top w:val="nil"/>
              <w:left w:val="nil"/>
              <w:bottom w:val="single" w:sz="4" w:space="0" w:color="000000"/>
              <w:right w:val="nil"/>
            </w:tcBorders>
            <w:vAlign w:val="center"/>
            <w:hideMark/>
          </w:tcPr>
          <w:p w14:paraId="2E4D1246"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5DC2DB7F"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176B8FB3"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XRF (half boron - normalised)</w:t>
            </w:r>
          </w:p>
        </w:tc>
        <w:tc>
          <w:tcPr>
            <w:tcW w:w="960" w:type="dxa"/>
            <w:tcBorders>
              <w:top w:val="nil"/>
              <w:left w:val="nil"/>
              <w:bottom w:val="nil"/>
              <w:right w:val="nil"/>
            </w:tcBorders>
            <w:shd w:val="clear" w:color="auto" w:fill="auto"/>
            <w:noWrap/>
            <w:vAlign w:val="center"/>
            <w:hideMark/>
          </w:tcPr>
          <w:p w14:paraId="1474837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51.63</w:t>
            </w:r>
          </w:p>
        </w:tc>
        <w:tc>
          <w:tcPr>
            <w:tcW w:w="960" w:type="dxa"/>
            <w:tcBorders>
              <w:top w:val="nil"/>
              <w:left w:val="nil"/>
              <w:bottom w:val="nil"/>
              <w:right w:val="nil"/>
            </w:tcBorders>
            <w:shd w:val="clear" w:color="auto" w:fill="auto"/>
            <w:noWrap/>
            <w:vAlign w:val="center"/>
            <w:hideMark/>
          </w:tcPr>
          <w:p w14:paraId="54E46A5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28.42</w:t>
            </w:r>
          </w:p>
        </w:tc>
        <w:tc>
          <w:tcPr>
            <w:tcW w:w="960" w:type="dxa"/>
            <w:tcBorders>
              <w:top w:val="nil"/>
              <w:left w:val="nil"/>
              <w:bottom w:val="nil"/>
              <w:right w:val="nil"/>
            </w:tcBorders>
            <w:shd w:val="clear" w:color="auto" w:fill="auto"/>
            <w:noWrap/>
            <w:vAlign w:val="center"/>
            <w:hideMark/>
          </w:tcPr>
          <w:p w14:paraId="59D0339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4.37</w:t>
            </w:r>
          </w:p>
        </w:tc>
        <w:tc>
          <w:tcPr>
            <w:tcW w:w="960" w:type="dxa"/>
            <w:tcBorders>
              <w:top w:val="nil"/>
              <w:left w:val="nil"/>
              <w:bottom w:val="nil"/>
              <w:right w:val="nil"/>
            </w:tcBorders>
            <w:shd w:val="clear" w:color="auto" w:fill="auto"/>
            <w:noWrap/>
            <w:vAlign w:val="center"/>
            <w:hideMark/>
          </w:tcPr>
          <w:p w14:paraId="23590E1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10.88</w:t>
            </w:r>
          </w:p>
        </w:tc>
        <w:tc>
          <w:tcPr>
            <w:tcW w:w="960" w:type="dxa"/>
            <w:tcBorders>
              <w:top w:val="nil"/>
              <w:left w:val="nil"/>
              <w:bottom w:val="nil"/>
              <w:right w:val="nil"/>
            </w:tcBorders>
            <w:shd w:val="clear" w:color="auto" w:fill="auto"/>
            <w:noWrap/>
            <w:vAlign w:val="center"/>
            <w:hideMark/>
          </w:tcPr>
          <w:p w14:paraId="2A7E4C1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3.99</w:t>
            </w:r>
          </w:p>
        </w:tc>
        <w:tc>
          <w:tcPr>
            <w:tcW w:w="960" w:type="dxa"/>
            <w:tcBorders>
              <w:top w:val="nil"/>
              <w:left w:val="nil"/>
              <w:bottom w:val="nil"/>
              <w:right w:val="nil"/>
            </w:tcBorders>
            <w:shd w:val="clear" w:color="auto" w:fill="auto"/>
            <w:noWrap/>
            <w:vAlign w:val="center"/>
            <w:hideMark/>
          </w:tcPr>
          <w:p w14:paraId="4A39EFF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2BB88A6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61A1CAC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0.06</w:t>
            </w:r>
          </w:p>
        </w:tc>
        <w:tc>
          <w:tcPr>
            <w:tcW w:w="860" w:type="dxa"/>
            <w:tcBorders>
              <w:top w:val="nil"/>
              <w:left w:val="nil"/>
              <w:bottom w:val="nil"/>
              <w:right w:val="nil"/>
            </w:tcBorders>
            <w:shd w:val="clear" w:color="auto" w:fill="auto"/>
            <w:noWrap/>
            <w:vAlign w:val="center"/>
            <w:hideMark/>
          </w:tcPr>
          <w:p w14:paraId="16EC69A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0.64</w:t>
            </w:r>
          </w:p>
        </w:tc>
      </w:tr>
      <w:tr w:rsidR="00D740DC" w:rsidRPr="00EA0465" w14:paraId="3004AC6F" w14:textId="77777777" w:rsidTr="00B11F5F">
        <w:trPr>
          <w:trHeight w:val="300"/>
        </w:trPr>
        <w:tc>
          <w:tcPr>
            <w:tcW w:w="620" w:type="dxa"/>
            <w:vMerge/>
            <w:tcBorders>
              <w:top w:val="nil"/>
              <w:left w:val="nil"/>
              <w:bottom w:val="single" w:sz="4" w:space="0" w:color="000000"/>
              <w:right w:val="nil"/>
            </w:tcBorders>
            <w:vAlign w:val="center"/>
            <w:hideMark/>
          </w:tcPr>
          <w:p w14:paraId="0903D191"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728B6530"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000000" w:fill="D9D9D9"/>
            <w:noWrap/>
            <w:vAlign w:val="center"/>
            <w:hideMark/>
          </w:tcPr>
          <w:p w14:paraId="68B5E782"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Measured (ICP)</w:t>
            </w:r>
          </w:p>
        </w:tc>
        <w:tc>
          <w:tcPr>
            <w:tcW w:w="960" w:type="dxa"/>
            <w:tcBorders>
              <w:top w:val="nil"/>
              <w:left w:val="nil"/>
              <w:bottom w:val="single" w:sz="4" w:space="0" w:color="auto"/>
              <w:right w:val="nil"/>
            </w:tcBorders>
            <w:shd w:val="clear" w:color="000000" w:fill="D9D9D9"/>
            <w:vAlign w:val="center"/>
            <w:hideMark/>
          </w:tcPr>
          <w:p w14:paraId="257F56D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50.53</w:t>
            </w:r>
          </w:p>
        </w:tc>
        <w:tc>
          <w:tcPr>
            <w:tcW w:w="960" w:type="dxa"/>
            <w:tcBorders>
              <w:top w:val="nil"/>
              <w:left w:val="nil"/>
              <w:bottom w:val="single" w:sz="4" w:space="0" w:color="auto"/>
              <w:right w:val="nil"/>
            </w:tcBorders>
            <w:shd w:val="clear" w:color="000000" w:fill="D9D9D9"/>
            <w:vAlign w:val="center"/>
            <w:hideMark/>
          </w:tcPr>
          <w:p w14:paraId="2133768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23.45</w:t>
            </w:r>
          </w:p>
        </w:tc>
        <w:tc>
          <w:tcPr>
            <w:tcW w:w="960" w:type="dxa"/>
            <w:tcBorders>
              <w:top w:val="nil"/>
              <w:left w:val="nil"/>
              <w:bottom w:val="single" w:sz="4" w:space="0" w:color="auto"/>
              <w:right w:val="nil"/>
            </w:tcBorders>
            <w:shd w:val="clear" w:color="000000" w:fill="D9D9D9"/>
            <w:vAlign w:val="center"/>
            <w:hideMark/>
          </w:tcPr>
          <w:p w14:paraId="4E5725FC"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4.75</w:t>
            </w:r>
          </w:p>
        </w:tc>
        <w:tc>
          <w:tcPr>
            <w:tcW w:w="960" w:type="dxa"/>
            <w:tcBorders>
              <w:top w:val="nil"/>
              <w:left w:val="nil"/>
              <w:bottom w:val="single" w:sz="4" w:space="0" w:color="auto"/>
              <w:right w:val="nil"/>
            </w:tcBorders>
            <w:shd w:val="clear" w:color="000000" w:fill="D9D9D9"/>
            <w:noWrap/>
            <w:vAlign w:val="center"/>
            <w:hideMark/>
          </w:tcPr>
          <w:p w14:paraId="00590194"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16.11</w:t>
            </w:r>
          </w:p>
        </w:tc>
        <w:tc>
          <w:tcPr>
            <w:tcW w:w="960" w:type="dxa"/>
            <w:tcBorders>
              <w:top w:val="nil"/>
              <w:left w:val="nil"/>
              <w:bottom w:val="single" w:sz="4" w:space="0" w:color="auto"/>
              <w:right w:val="nil"/>
            </w:tcBorders>
            <w:shd w:val="clear" w:color="000000" w:fill="D9D9D9"/>
            <w:noWrap/>
            <w:vAlign w:val="center"/>
            <w:hideMark/>
          </w:tcPr>
          <w:p w14:paraId="719E33C0"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5.01</w:t>
            </w:r>
          </w:p>
        </w:tc>
        <w:tc>
          <w:tcPr>
            <w:tcW w:w="960" w:type="dxa"/>
            <w:tcBorders>
              <w:top w:val="nil"/>
              <w:left w:val="nil"/>
              <w:bottom w:val="single" w:sz="4" w:space="0" w:color="auto"/>
              <w:right w:val="nil"/>
            </w:tcBorders>
            <w:shd w:val="clear" w:color="000000" w:fill="D9D9D9"/>
            <w:noWrap/>
            <w:vAlign w:val="center"/>
            <w:hideMark/>
          </w:tcPr>
          <w:p w14:paraId="5D34344D"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0.09</w:t>
            </w:r>
          </w:p>
        </w:tc>
        <w:tc>
          <w:tcPr>
            <w:tcW w:w="960" w:type="dxa"/>
            <w:tcBorders>
              <w:top w:val="nil"/>
              <w:left w:val="nil"/>
              <w:bottom w:val="single" w:sz="4" w:space="0" w:color="auto"/>
              <w:right w:val="nil"/>
            </w:tcBorders>
            <w:shd w:val="clear" w:color="000000" w:fill="D9D9D9"/>
            <w:noWrap/>
            <w:vAlign w:val="center"/>
            <w:hideMark/>
          </w:tcPr>
          <w:p w14:paraId="36C7573F"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single" w:sz="4" w:space="0" w:color="auto"/>
              <w:right w:val="nil"/>
            </w:tcBorders>
            <w:shd w:val="clear" w:color="000000" w:fill="D9D9D9"/>
            <w:noWrap/>
            <w:vAlign w:val="center"/>
            <w:hideMark/>
          </w:tcPr>
          <w:p w14:paraId="186AED9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0.00</w:t>
            </w:r>
          </w:p>
        </w:tc>
        <w:tc>
          <w:tcPr>
            <w:tcW w:w="860" w:type="dxa"/>
            <w:tcBorders>
              <w:top w:val="nil"/>
              <w:left w:val="nil"/>
              <w:bottom w:val="single" w:sz="4" w:space="0" w:color="auto"/>
              <w:right w:val="nil"/>
            </w:tcBorders>
            <w:shd w:val="clear" w:color="000000" w:fill="D9D9D9"/>
            <w:noWrap/>
            <w:vAlign w:val="center"/>
            <w:hideMark/>
          </w:tcPr>
          <w:p w14:paraId="5929B4A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0.07</w:t>
            </w:r>
          </w:p>
        </w:tc>
      </w:tr>
      <w:tr w:rsidR="00D740DC" w:rsidRPr="00EA0465" w14:paraId="7BC3718B" w14:textId="77777777" w:rsidTr="00B11F5F">
        <w:trPr>
          <w:trHeight w:val="300"/>
        </w:trPr>
        <w:tc>
          <w:tcPr>
            <w:tcW w:w="620" w:type="dxa"/>
            <w:vMerge/>
            <w:tcBorders>
              <w:top w:val="nil"/>
              <w:left w:val="nil"/>
              <w:bottom w:val="single" w:sz="4" w:space="0" w:color="000000"/>
              <w:right w:val="nil"/>
            </w:tcBorders>
            <w:vAlign w:val="center"/>
            <w:hideMark/>
          </w:tcPr>
          <w:p w14:paraId="3E57ED86"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4E40074B"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N</w:t>
            </w:r>
            <w:r w:rsidRPr="00EA0465">
              <w:rPr>
                <w:rFonts w:eastAsia="Times New Roman" w:cs="Times New Roman"/>
                <w:b w:val="0"/>
                <w:color w:val="000000"/>
                <w:sz w:val="18"/>
                <w:szCs w:val="18"/>
                <w:vertAlign w:val="subscript"/>
                <w:lang w:eastAsia="en-MY"/>
              </w:rPr>
              <w:t>15</w:t>
            </w:r>
            <w:r w:rsidRPr="00EA0465">
              <w:rPr>
                <w:rFonts w:eastAsia="Times New Roman" w:cs="Times New Roman"/>
                <w:b w:val="0"/>
                <w:color w:val="000000"/>
                <w:sz w:val="18"/>
                <w:szCs w:val="18"/>
                <w:lang w:eastAsia="en-MY"/>
              </w:rPr>
              <w:t>C</w:t>
            </w:r>
            <w:r w:rsidRPr="00EA0465">
              <w:rPr>
                <w:rFonts w:eastAsia="Times New Roman" w:cs="Times New Roman"/>
                <w:b w:val="0"/>
                <w:color w:val="000000"/>
                <w:sz w:val="18"/>
                <w:szCs w:val="18"/>
                <w:vertAlign w:val="subscript"/>
                <w:lang w:eastAsia="en-MY"/>
              </w:rPr>
              <w:t>5</w:t>
            </w:r>
            <w:r w:rsidRPr="00EA0465">
              <w:rPr>
                <w:rFonts w:eastAsia="Times New Roman" w:cs="Times New Roman"/>
                <w:b w:val="0"/>
                <w:color w:val="000000"/>
                <w:sz w:val="18"/>
                <w:szCs w:val="18"/>
                <w:lang w:eastAsia="en-MY"/>
              </w:rPr>
              <w:t>S</w:t>
            </w:r>
            <w:r w:rsidRPr="00EA0465">
              <w:rPr>
                <w:rFonts w:eastAsia="Times New Roman" w:cs="Times New Roman"/>
                <w:b w:val="0"/>
                <w:color w:val="000000"/>
                <w:sz w:val="18"/>
                <w:szCs w:val="18"/>
                <w:vertAlign w:val="subscript"/>
                <w:lang w:eastAsia="en-MY"/>
              </w:rPr>
              <w:t>60</w:t>
            </w:r>
            <w:r w:rsidRPr="00EA0465">
              <w:rPr>
                <w:rFonts w:eastAsia="Times New Roman" w:cs="Times New Roman"/>
                <w:b w:val="0"/>
                <w:color w:val="000000"/>
                <w:sz w:val="18"/>
                <w:szCs w:val="18"/>
                <w:lang w:eastAsia="en-MY"/>
              </w:rPr>
              <w:t>A</w:t>
            </w:r>
            <w:r w:rsidRPr="00EA0465">
              <w:rPr>
                <w:rFonts w:eastAsia="Times New Roman" w:cs="Times New Roman"/>
                <w:b w:val="0"/>
                <w:color w:val="000000"/>
                <w:sz w:val="18"/>
                <w:szCs w:val="18"/>
                <w:vertAlign w:val="subscript"/>
                <w:lang w:eastAsia="en-MY"/>
              </w:rPr>
              <w:t>5</w:t>
            </w:r>
            <w:r w:rsidRPr="00EA0465">
              <w:rPr>
                <w:rFonts w:eastAsia="Times New Roman" w:cs="Times New Roman"/>
                <w:b w:val="0"/>
                <w:color w:val="000000"/>
                <w:sz w:val="18"/>
                <w:szCs w:val="18"/>
                <w:lang w:eastAsia="en-MY"/>
              </w:rPr>
              <w:t>B</w:t>
            </w:r>
            <w:r w:rsidRPr="00EA0465">
              <w:rPr>
                <w:rFonts w:eastAsia="Times New Roman" w:cs="Times New Roman"/>
                <w:b w:val="0"/>
                <w:color w:val="000000"/>
                <w:sz w:val="18"/>
                <w:szCs w:val="18"/>
                <w:vertAlign w:val="subscript"/>
                <w:lang w:eastAsia="en-MY"/>
              </w:rPr>
              <w:t>15</w:t>
            </w:r>
          </w:p>
        </w:tc>
        <w:tc>
          <w:tcPr>
            <w:tcW w:w="3420" w:type="dxa"/>
            <w:tcBorders>
              <w:top w:val="nil"/>
              <w:left w:val="nil"/>
              <w:bottom w:val="nil"/>
              <w:right w:val="nil"/>
            </w:tcBorders>
            <w:shd w:val="clear" w:color="auto" w:fill="auto"/>
            <w:noWrap/>
            <w:vAlign w:val="center"/>
            <w:hideMark/>
          </w:tcPr>
          <w:p w14:paraId="0964AB61"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760F67A0"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56.60</w:t>
            </w:r>
          </w:p>
        </w:tc>
        <w:tc>
          <w:tcPr>
            <w:tcW w:w="960" w:type="dxa"/>
            <w:tcBorders>
              <w:top w:val="nil"/>
              <w:left w:val="nil"/>
              <w:bottom w:val="nil"/>
              <w:right w:val="nil"/>
            </w:tcBorders>
            <w:shd w:val="clear" w:color="auto" w:fill="auto"/>
            <w:noWrap/>
            <w:vAlign w:val="center"/>
            <w:hideMark/>
          </w:tcPr>
          <w:p w14:paraId="48075897"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8.00</w:t>
            </w:r>
          </w:p>
        </w:tc>
        <w:tc>
          <w:tcPr>
            <w:tcW w:w="960" w:type="dxa"/>
            <w:tcBorders>
              <w:top w:val="nil"/>
              <w:left w:val="nil"/>
              <w:bottom w:val="nil"/>
              <w:right w:val="nil"/>
            </w:tcBorders>
            <w:shd w:val="clear" w:color="auto" w:fill="auto"/>
            <w:noWrap/>
            <w:vAlign w:val="center"/>
            <w:hideMark/>
          </w:tcPr>
          <w:p w14:paraId="5CDE6F3F"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16.40</w:t>
            </w:r>
          </w:p>
        </w:tc>
        <w:tc>
          <w:tcPr>
            <w:tcW w:w="960" w:type="dxa"/>
            <w:tcBorders>
              <w:top w:val="nil"/>
              <w:left w:val="nil"/>
              <w:bottom w:val="nil"/>
              <w:right w:val="nil"/>
            </w:tcBorders>
            <w:shd w:val="clear" w:color="auto" w:fill="auto"/>
            <w:noWrap/>
            <w:vAlign w:val="center"/>
            <w:hideMark/>
          </w:tcPr>
          <w:p w14:paraId="5C5EAE49"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14.60</w:t>
            </w:r>
          </w:p>
        </w:tc>
        <w:tc>
          <w:tcPr>
            <w:tcW w:w="960" w:type="dxa"/>
            <w:tcBorders>
              <w:top w:val="nil"/>
              <w:left w:val="nil"/>
              <w:bottom w:val="nil"/>
              <w:right w:val="nil"/>
            </w:tcBorders>
            <w:shd w:val="clear" w:color="auto" w:fill="auto"/>
            <w:noWrap/>
            <w:vAlign w:val="center"/>
            <w:hideMark/>
          </w:tcPr>
          <w:p w14:paraId="3750FDA9"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4.40</w:t>
            </w:r>
          </w:p>
        </w:tc>
        <w:tc>
          <w:tcPr>
            <w:tcW w:w="960" w:type="dxa"/>
            <w:tcBorders>
              <w:top w:val="nil"/>
              <w:left w:val="nil"/>
              <w:bottom w:val="nil"/>
              <w:right w:val="nil"/>
            </w:tcBorders>
            <w:shd w:val="clear" w:color="auto" w:fill="auto"/>
            <w:noWrap/>
            <w:vAlign w:val="center"/>
            <w:hideMark/>
          </w:tcPr>
          <w:p w14:paraId="39201FC0"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206EDD0C"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5822D619"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860" w:type="dxa"/>
            <w:tcBorders>
              <w:top w:val="nil"/>
              <w:left w:val="nil"/>
              <w:bottom w:val="nil"/>
              <w:right w:val="nil"/>
            </w:tcBorders>
            <w:shd w:val="clear" w:color="auto" w:fill="auto"/>
            <w:noWrap/>
            <w:vAlign w:val="center"/>
            <w:hideMark/>
          </w:tcPr>
          <w:p w14:paraId="4B7C5486"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EA0465" w14:paraId="064FE807" w14:textId="77777777" w:rsidTr="00B11F5F">
        <w:trPr>
          <w:trHeight w:val="300"/>
        </w:trPr>
        <w:tc>
          <w:tcPr>
            <w:tcW w:w="620" w:type="dxa"/>
            <w:vMerge/>
            <w:tcBorders>
              <w:top w:val="nil"/>
              <w:left w:val="nil"/>
              <w:bottom w:val="single" w:sz="4" w:space="0" w:color="000000"/>
              <w:right w:val="nil"/>
            </w:tcBorders>
            <w:vAlign w:val="center"/>
            <w:hideMark/>
          </w:tcPr>
          <w:p w14:paraId="13E7CBAC"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3E7D47CC"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67382D6E"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7133CA5F"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48.09</w:t>
            </w:r>
          </w:p>
        </w:tc>
        <w:tc>
          <w:tcPr>
            <w:tcW w:w="960" w:type="dxa"/>
            <w:tcBorders>
              <w:top w:val="nil"/>
              <w:left w:val="nil"/>
              <w:bottom w:val="nil"/>
              <w:right w:val="nil"/>
            </w:tcBorders>
            <w:shd w:val="clear" w:color="auto" w:fill="auto"/>
            <w:vAlign w:val="center"/>
            <w:hideMark/>
          </w:tcPr>
          <w:p w14:paraId="6AE7908D"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28.59</w:t>
            </w:r>
          </w:p>
        </w:tc>
        <w:tc>
          <w:tcPr>
            <w:tcW w:w="960" w:type="dxa"/>
            <w:tcBorders>
              <w:top w:val="nil"/>
              <w:left w:val="nil"/>
              <w:bottom w:val="nil"/>
              <w:right w:val="nil"/>
            </w:tcBorders>
            <w:shd w:val="clear" w:color="auto" w:fill="auto"/>
            <w:vAlign w:val="center"/>
            <w:hideMark/>
          </w:tcPr>
          <w:p w14:paraId="50A15CBE"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9.34</w:t>
            </w:r>
          </w:p>
        </w:tc>
        <w:tc>
          <w:tcPr>
            <w:tcW w:w="960" w:type="dxa"/>
            <w:tcBorders>
              <w:top w:val="nil"/>
              <w:left w:val="nil"/>
              <w:bottom w:val="nil"/>
              <w:right w:val="nil"/>
            </w:tcBorders>
            <w:shd w:val="clear" w:color="auto" w:fill="auto"/>
            <w:vAlign w:val="center"/>
            <w:hideMark/>
          </w:tcPr>
          <w:p w14:paraId="596FD80A"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9.08</w:t>
            </w:r>
          </w:p>
        </w:tc>
        <w:tc>
          <w:tcPr>
            <w:tcW w:w="960" w:type="dxa"/>
            <w:tcBorders>
              <w:top w:val="nil"/>
              <w:left w:val="nil"/>
              <w:bottom w:val="nil"/>
              <w:right w:val="nil"/>
            </w:tcBorders>
            <w:shd w:val="clear" w:color="auto" w:fill="auto"/>
            <w:vAlign w:val="center"/>
            <w:hideMark/>
          </w:tcPr>
          <w:p w14:paraId="32BFCA81"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4.06</w:t>
            </w:r>
          </w:p>
        </w:tc>
        <w:tc>
          <w:tcPr>
            <w:tcW w:w="960" w:type="dxa"/>
            <w:tcBorders>
              <w:top w:val="nil"/>
              <w:left w:val="nil"/>
              <w:bottom w:val="nil"/>
              <w:right w:val="nil"/>
            </w:tcBorders>
            <w:shd w:val="clear" w:color="auto" w:fill="auto"/>
            <w:noWrap/>
            <w:vAlign w:val="center"/>
            <w:hideMark/>
          </w:tcPr>
          <w:p w14:paraId="02C88CA9"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60" w:type="dxa"/>
            <w:tcBorders>
              <w:top w:val="nil"/>
              <w:left w:val="nil"/>
              <w:bottom w:val="nil"/>
              <w:right w:val="nil"/>
            </w:tcBorders>
            <w:shd w:val="clear" w:color="auto" w:fill="auto"/>
            <w:noWrap/>
            <w:vAlign w:val="center"/>
            <w:hideMark/>
          </w:tcPr>
          <w:p w14:paraId="62C8E20B"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4F94B81C"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0.03</w:t>
            </w:r>
          </w:p>
        </w:tc>
        <w:tc>
          <w:tcPr>
            <w:tcW w:w="860" w:type="dxa"/>
            <w:tcBorders>
              <w:top w:val="nil"/>
              <w:left w:val="nil"/>
              <w:bottom w:val="nil"/>
              <w:right w:val="nil"/>
            </w:tcBorders>
            <w:shd w:val="clear" w:color="auto" w:fill="auto"/>
            <w:noWrap/>
            <w:vAlign w:val="center"/>
            <w:hideMark/>
          </w:tcPr>
          <w:p w14:paraId="1767DB2C"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0.80</w:t>
            </w:r>
          </w:p>
        </w:tc>
      </w:tr>
      <w:tr w:rsidR="00D740DC" w:rsidRPr="00EA0465" w14:paraId="1157439A" w14:textId="77777777" w:rsidTr="00B11F5F">
        <w:trPr>
          <w:trHeight w:val="300"/>
        </w:trPr>
        <w:tc>
          <w:tcPr>
            <w:tcW w:w="620" w:type="dxa"/>
            <w:vMerge/>
            <w:tcBorders>
              <w:top w:val="nil"/>
              <w:left w:val="nil"/>
              <w:bottom w:val="single" w:sz="4" w:space="0" w:color="000000"/>
              <w:right w:val="nil"/>
            </w:tcBorders>
            <w:vAlign w:val="center"/>
            <w:hideMark/>
          </w:tcPr>
          <w:p w14:paraId="4284FB22"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02A30FBD"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449F649B"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31E368D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48.09</w:t>
            </w:r>
          </w:p>
        </w:tc>
        <w:tc>
          <w:tcPr>
            <w:tcW w:w="960" w:type="dxa"/>
            <w:tcBorders>
              <w:top w:val="nil"/>
              <w:left w:val="nil"/>
              <w:bottom w:val="nil"/>
              <w:right w:val="nil"/>
            </w:tcBorders>
            <w:shd w:val="clear" w:color="auto" w:fill="auto"/>
            <w:noWrap/>
            <w:vAlign w:val="center"/>
            <w:hideMark/>
          </w:tcPr>
          <w:p w14:paraId="7C39415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28.59</w:t>
            </w:r>
          </w:p>
        </w:tc>
        <w:tc>
          <w:tcPr>
            <w:tcW w:w="960" w:type="dxa"/>
            <w:tcBorders>
              <w:top w:val="nil"/>
              <w:left w:val="nil"/>
              <w:bottom w:val="nil"/>
              <w:right w:val="nil"/>
            </w:tcBorders>
            <w:shd w:val="clear" w:color="auto" w:fill="auto"/>
            <w:noWrap/>
            <w:vAlign w:val="center"/>
            <w:hideMark/>
          </w:tcPr>
          <w:p w14:paraId="3B8B920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4.67</w:t>
            </w:r>
          </w:p>
        </w:tc>
        <w:tc>
          <w:tcPr>
            <w:tcW w:w="960" w:type="dxa"/>
            <w:tcBorders>
              <w:top w:val="nil"/>
              <w:left w:val="nil"/>
              <w:bottom w:val="nil"/>
              <w:right w:val="nil"/>
            </w:tcBorders>
            <w:shd w:val="clear" w:color="auto" w:fill="auto"/>
            <w:noWrap/>
            <w:vAlign w:val="center"/>
            <w:hideMark/>
          </w:tcPr>
          <w:p w14:paraId="746DC2A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9.08</w:t>
            </w:r>
          </w:p>
        </w:tc>
        <w:tc>
          <w:tcPr>
            <w:tcW w:w="960" w:type="dxa"/>
            <w:tcBorders>
              <w:top w:val="nil"/>
              <w:left w:val="nil"/>
              <w:bottom w:val="nil"/>
              <w:right w:val="nil"/>
            </w:tcBorders>
            <w:shd w:val="clear" w:color="auto" w:fill="auto"/>
            <w:noWrap/>
            <w:vAlign w:val="center"/>
            <w:hideMark/>
          </w:tcPr>
          <w:p w14:paraId="31D2402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4.06</w:t>
            </w:r>
          </w:p>
        </w:tc>
        <w:tc>
          <w:tcPr>
            <w:tcW w:w="960" w:type="dxa"/>
            <w:tcBorders>
              <w:top w:val="nil"/>
              <w:left w:val="nil"/>
              <w:bottom w:val="nil"/>
              <w:right w:val="nil"/>
            </w:tcBorders>
            <w:shd w:val="clear" w:color="auto" w:fill="auto"/>
            <w:noWrap/>
            <w:vAlign w:val="center"/>
            <w:hideMark/>
          </w:tcPr>
          <w:p w14:paraId="69F4528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5D0E61D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0BCBCD9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0.03</w:t>
            </w:r>
          </w:p>
        </w:tc>
        <w:tc>
          <w:tcPr>
            <w:tcW w:w="860" w:type="dxa"/>
            <w:tcBorders>
              <w:top w:val="nil"/>
              <w:left w:val="nil"/>
              <w:bottom w:val="nil"/>
              <w:right w:val="nil"/>
            </w:tcBorders>
            <w:shd w:val="clear" w:color="auto" w:fill="auto"/>
            <w:noWrap/>
            <w:vAlign w:val="center"/>
            <w:hideMark/>
          </w:tcPr>
          <w:p w14:paraId="249C0AC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0.80</w:t>
            </w:r>
          </w:p>
        </w:tc>
      </w:tr>
      <w:tr w:rsidR="00D740DC" w:rsidRPr="00EA0465" w14:paraId="3F06F194" w14:textId="77777777" w:rsidTr="00B11F5F">
        <w:trPr>
          <w:trHeight w:val="300"/>
        </w:trPr>
        <w:tc>
          <w:tcPr>
            <w:tcW w:w="620" w:type="dxa"/>
            <w:vMerge/>
            <w:tcBorders>
              <w:top w:val="nil"/>
              <w:left w:val="nil"/>
              <w:bottom w:val="single" w:sz="4" w:space="0" w:color="000000"/>
              <w:right w:val="nil"/>
            </w:tcBorders>
            <w:vAlign w:val="center"/>
            <w:hideMark/>
          </w:tcPr>
          <w:p w14:paraId="5BC9185A" w14:textId="77777777" w:rsidR="00D740DC" w:rsidRPr="00EA0465"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4CB81162" w14:textId="77777777" w:rsidR="00D740DC" w:rsidRPr="00EA0465"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4C7FAA87" w14:textId="77777777" w:rsidR="00D740DC" w:rsidRPr="00EA0465" w:rsidRDefault="00D740DC" w:rsidP="00B11F5F">
            <w:pPr>
              <w:spacing w:after="0" w:line="240" w:lineRule="auto"/>
              <w:jc w:val="center"/>
              <w:rPr>
                <w:rFonts w:eastAsia="Times New Roman" w:cs="Times New Roman"/>
                <w:b w:val="0"/>
                <w:color w:val="000000"/>
                <w:sz w:val="18"/>
                <w:szCs w:val="18"/>
                <w:lang w:eastAsia="en-MY"/>
              </w:rPr>
            </w:pPr>
            <w:r w:rsidRPr="00EA0465">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58BDD34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50.45</w:t>
            </w:r>
          </w:p>
        </w:tc>
        <w:tc>
          <w:tcPr>
            <w:tcW w:w="960" w:type="dxa"/>
            <w:tcBorders>
              <w:top w:val="nil"/>
              <w:left w:val="nil"/>
              <w:bottom w:val="single" w:sz="4" w:space="0" w:color="auto"/>
              <w:right w:val="nil"/>
            </w:tcBorders>
            <w:shd w:val="clear" w:color="auto" w:fill="auto"/>
            <w:noWrap/>
            <w:vAlign w:val="center"/>
            <w:hideMark/>
          </w:tcPr>
          <w:p w14:paraId="055F73F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29.99</w:t>
            </w:r>
          </w:p>
        </w:tc>
        <w:tc>
          <w:tcPr>
            <w:tcW w:w="960" w:type="dxa"/>
            <w:tcBorders>
              <w:top w:val="nil"/>
              <w:left w:val="nil"/>
              <w:bottom w:val="single" w:sz="4" w:space="0" w:color="auto"/>
              <w:right w:val="nil"/>
            </w:tcBorders>
            <w:shd w:val="clear" w:color="auto" w:fill="auto"/>
            <w:noWrap/>
            <w:vAlign w:val="center"/>
            <w:hideMark/>
          </w:tcPr>
          <w:p w14:paraId="39F1439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4.9</w:t>
            </w:r>
          </w:p>
        </w:tc>
        <w:tc>
          <w:tcPr>
            <w:tcW w:w="960" w:type="dxa"/>
            <w:tcBorders>
              <w:top w:val="nil"/>
              <w:left w:val="nil"/>
              <w:bottom w:val="single" w:sz="4" w:space="0" w:color="auto"/>
              <w:right w:val="nil"/>
            </w:tcBorders>
            <w:shd w:val="clear" w:color="auto" w:fill="auto"/>
            <w:noWrap/>
            <w:vAlign w:val="center"/>
            <w:hideMark/>
          </w:tcPr>
          <w:p w14:paraId="77B9F44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9.53</w:t>
            </w:r>
          </w:p>
        </w:tc>
        <w:tc>
          <w:tcPr>
            <w:tcW w:w="960" w:type="dxa"/>
            <w:tcBorders>
              <w:top w:val="nil"/>
              <w:left w:val="nil"/>
              <w:bottom w:val="single" w:sz="4" w:space="0" w:color="auto"/>
              <w:right w:val="nil"/>
            </w:tcBorders>
            <w:shd w:val="clear" w:color="auto" w:fill="auto"/>
            <w:noWrap/>
            <w:vAlign w:val="center"/>
            <w:hideMark/>
          </w:tcPr>
          <w:p w14:paraId="33DD497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4.26</w:t>
            </w:r>
          </w:p>
        </w:tc>
        <w:tc>
          <w:tcPr>
            <w:tcW w:w="960" w:type="dxa"/>
            <w:tcBorders>
              <w:top w:val="nil"/>
              <w:left w:val="nil"/>
              <w:bottom w:val="single" w:sz="4" w:space="0" w:color="auto"/>
              <w:right w:val="nil"/>
            </w:tcBorders>
            <w:shd w:val="clear" w:color="auto" w:fill="auto"/>
            <w:noWrap/>
            <w:vAlign w:val="center"/>
            <w:hideMark/>
          </w:tcPr>
          <w:p w14:paraId="4B5950C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3C7D7CC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single" w:sz="4" w:space="0" w:color="auto"/>
              <w:right w:val="nil"/>
            </w:tcBorders>
            <w:shd w:val="clear" w:color="auto" w:fill="auto"/>
            <w:noWrap/>
            <w:vAlign w:val="center"/>
            <w:hideMark/>
          </w:tcPr>
          <w:p w14:paraId="3528898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0.04</w:t>
            </w:r>
          </w:p>
        </w:tc>
        <w:tc>
          <w:tcPr>
            <w:tcW w:w="860" w:type="dxa"/>
            <w:tcBorders>
              <w:top w:val="nil"/>
              <w:left w:val="nil"/>
              <w:bottom w:val="single" w:sz="4" w:space="0" w:color="auto"/>
              <w:right w:val="nil"/>
            </w:tcBorders>
            <w:shd w:val="clear" w:color="auto" w:fill="auto"/>
            <w:noWrap/>
            <w:vAlign w:val="center"/>
            <w:hideMark/>
          </w:tcPr>
          <w:p w14:paraId="6F30D27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0.83</w:t>
            </w:r>
          </w:p>
        </w:tc>
      </w:tr>
    </w:tbl>
    <w:p w14:paraId="086E8639" w14:textId="77777777" w:rsidR="00D740DC" w:rsidRDefault="00D740DC" w:rsidP="00D740DC">
      <w:pPr>
        <w:tabs>
          <w:tab w:val="left" w:pos="10063"/>
        </w:tabs>
        <w:rPr>
          <w:rFonts w:eastAsia="Calibri" w:cs="Times New Roman"/>
          <w:szCs w:val="24"/>
          <w:lang w:val="en-GB"/>
        </w:rPr>
      </w:pPr>
    </w:p>
    <w:p w14:paraId="131FE8D0" w14:textId="77777777" w:rsidR="00D740DC" w:rsidRDefault="00D740DC" w:rsidP="00D740DC">
      <w:pPr>
        <w:tabs>
          <w:tab w:val="left" w:pos="10063"/>
        </w:tabs>
        <w:rPr>
          <w:rFonts w:eastAsia="Calibri" w:cs="Times New Roman"/>
          <w:szCs w:val="24"/>
          <w:lang w:val="en-GB"/>
        </w:rPr>
      </w:pPr>
      <w:r w:rsidRPr="000E2377">
        <w:rPr>
          <w:rFonts w:eastAsia="Calibri" w:cs="Times New Roman"/>
          <w:szCs w:val="24"/>
          <w:lang w:val="en-GB"/>
        </w:rPr>
        <w:tab/>
      </w:r>
    </w:p>
    <w:p w14:paraId="4A333E91" w14:textId="759A0326" w:rsidR="00D740DC" w:rsidRPr="000E2377" w:rsidRDefault="00D740DC" w:rsidP="00D740DC">
      <w:pPr>
        <w:jc w:val="both"/>
        <w:rPr>
          <w:rFonts w:eastAsia="Calibri" w:cs="Times New Roman"/>
          <w:szCs w:val="24"/>
          <w:lang w:val="en-GB"/>
        </w:rPr>
      </w:pPr>
      <w:r w:rsidRPr="000E2377">
        <w:lastRenderedPageBreak/>
        <w:t xml:space="preserve">Table </w:t>
      </w:r>
      <w:r>
        <w:t>4</w:t>
      </w:r>
      <w:r w:rsidRPr="000E2377">
        <w:t>.</w:t>
      </w:r>
      <w:r w:rsidR="00485C02">
        <w:rPr>
          <w:noProof/>
        </w:rPr>
        <w:t>1</w:t>
      </w:r>
      <w:r w:rsidRPr="000E2377">
        <w:rPr>
          <w:bCs/>
          <w:szCs w:val="24"/>
        </w:rPr>
        <w:t xml:space="preserve">: Analysed glass compositions </w:t>
      </w:r>
      <w:r>
        <w:rPr>
          <w:bCs/>
          <w:szCs w:val="24"/>
        </w:rPr>
        <w:t xml:space="preserve">for some of the glasses produced </w:t>
      </w:r>
      <w:r w:rsidRPr="000E2377">
        <w:rPr>
          <w:bCs/>
          <w:szCs w:val="24"/>
        </w:rPr>
        <w:t>(</w:t>
      </w:r>
      <w:proofErr w:type="spellStart"/>
      <w:r w:rsidRPr="000E2377">
        <w:rPr>
          <w:bCs/>
          <w:szCs w:val="24"/>
        </w:rPr>
        <w:t>wt</w:t>
      </w:r>
      <w:proofErr w:type="spellEnd"/>
      <w:r w:rsidRPr="000E2377">
        <w:rPr>
          <w:bCs/>
          <w:szCs w:val="24"/>
        </w:rPr>
        <w:t xml:space="preserve"> %); ICP-OES </w:t>
      </w:r>
      <w:r>
        <w:rPr>
          <w:bCs/>
          <w:szCs w:val="24"/>
        </w:rPr>
        <w:t>for selected glasses and XRF for all glasses.  A</w:t>
      </w:r>
      <w:r w:rsidRPr="000E2377">
        <w:rPr>
          <w:bCs/>
          <w:szCs w:val="24"/>
        </w:rPr>
        <w:t xml:space="preserve">nalysis data normalised to 100 </w:t>
      </w:r>
      <w:proofErr w:type="spellStart"/>
      <w:r w:rsidRPr="000E2377">
        <w:rPr>
          <w:bCs/>
          <w:szCs w:val="24"/>
        </w:rPr>
        <w:t>wt</w:t>
      </w:r>
      <w:proofErr w:type="spellEnd"/>
      <w:r>
        <w:rPr>
          <w:bCs/>
          <w:szCs w:val="24"/>
        </w:rPr>
        <w:t xml:space="preserve"> %. (</w:t>
      </w:r>
      <w:r w:rsidRPr="00F75676">
        <w:rPr>
          <w:bCs/>
          <w:i/>
          <w:szCs w:val="24"/>
        </w:rPr>
        <w:t>Continue</w:t>
      </w:r>
      <w:r>
        <w:rPr>
          <w:bCs/>
          <w:i/>
          <w:szCs w:val="24"/>
        </w:rPr>
        <w:t>d on</w:t>
      </w:r>
      <w:r w:rsidRPr="00F75676">
        <w:rPr>
          <w:bCs/>
          <w:i/>
          <w:szCs w:val="24"/>
        </w:rPr>
        <w:t xml:space="preserve"> next page</w:t>
      </w:r>
      <w:r>
        <w:rPr>
          <w:bCs/>
          <w:szCs w:val="24"/>
        </w:rPr>
        <w:t>)</w:t>
      </w:r>
    </w:p>
    <w:tbl>
      <w:tblPr>
        <w:tblW w:w="14747" w:type="dxa"/>
        <w:tblLook w:val="04A0" w:firstRow="1" w:lastRow="0" w:firstColumn="1" w:lastColumn="0" w:noHBand="0" w:noVBand="1"/>
      </w:tblPr>
      <w:tblGrid>
        <w:gridCol w:w="949"/>
        <w:gridCol w:w="2133"/>
        <w:gridCol w:w="3297"/>
        <w:gridCol w:w="851"/>
        <w:gridCol w:w="992"/>
        <w:gridCol w:w="992"/>
        <w:gridCol w:w="992"/>
        <w:gridCol w:w="851"/>
        <w:gridCol w:w="992"/>
        <w:gridCol w:w="992"/>
        <w:gridCol w:w="709"/>
        <w:gridCol w:w="997"/>
      </w:tblGrid>
      <w:tr w:rsidR="00D740DC" w:rsidRPr="00283708" w14:paraId="7A026735" w14:textId="77777777" w:rsidTr="00B11F5F">
        <w:trPr>
          <w:trHeight w:val="315"/>
        </w:trPr>
        <w:tc>
          <w:tcPr>
            <w:tcW w:w="949" w:type="dxa"/>
            <w:tcBorders>
              <w:top w:val="single" w:sz="8" w:space="0" w:color="auto"/>
              <w:left w:val="nil"/>
              <w:bottom w:val="single" w:sz="8" w:space="0" w:color="auto"/>
              <w:right w:val="nil"/>
            </w:tcBorders>
            <w:shd w:val="clear" w:color="auto" w:fill="auto"/>
            <w:noWrap/>
            <w:vAlign w:val="center"/>
            <w:hideMark/>
          </w:tcPr>
          <w:p w14:paraId="2AF413B3" w14:textId="77777777" w:rsidR="00D740DC" w:rsidRPr="00283708" w:rsidRDefault="00D740DC" w:rsidP="00B11F5F">
            <w:pPr>
              <w:spacing w:after="0" w:line="240" w:lineRule="auto"/>
              <w:jc w:val="center"/>
              <w:rPr>
                <w:rFonts w:eastAsia="Times New Roman" w:cs="Times New Roman"/>
                <w:b w:val="0"/>
                <w:color w:val="000000"/>
                <w:sz w:val="22"/>
                <w:lang w:eastAsia="en-MY"/>
              </w:rPr>
            </w:pPr>
            <w:r w:rsidRPr="00283708">
              <w:rPr>
                <w:rFonts w:eastAsia="Times New Roman" w:cs="Times New Roman"/>
                <w:b w:val="0"/>
                <w:color w:val="000000"/>
                <w:sz w:val="22"/>
                <w:lang w:eastAsia="en-MY"/>
              </w:rPr>
              <w:t>Series</w:t>
            </w:r>
          </w:p>
        </w:tc>
        <w:tc>
          <w:tcPr>
            <w:tcW w:w="2133" w:type="dxa"/>
            <w:tcBorders>
              <w:top w:val="single" w:sz="8" w:space="0" w:color="auto"/>
              <w:left w:val="nil"/>
              <w:bottom w:val="nil"/>
              <w:right w:val="nil"/>
            </w:tcBorders>
            <w:shd w:val="clear" w:color="auto" w:fill="auto"/>
            <w:noWrap/>
            <w:vAlign w:val="center"/>
            <w:hideMark/>
          </w:tcPr>
          <w:p w14:paraId="70A47764"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Glass ID</w:t>
            </w:r>
          </w:p>
        </w:tc>
        <w:tc>
          <w:tcPr>
            <w:tcW w:w="3297" w:type="dxa"/>
            <w:tcBorders>
              <w:top w:val="single" w:sz="8" w:space="0" w:color="auto"/>
              <w:left w:val="nil"/>
              <w:bottom w:val="single" w:sz="8" w:space="0" w:color="auto"/>
              <w:right w:val="nil"/>
            </w:tcBorders>
            <w:shd w:val="clear" w:color="auto" w:fill="auto"/>
            <w:noWrap/>
            <w:vAlign w:val="center"/>
            <w:hideMark/>
          </w:tcPr>
          <w:p w14:paraId="70852E76"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Types</w:t>
            </w:r>
          </w:p>
        </w:tc>
        <w:tc>
          <w:tcPr>
            <w:tcW w:w="851" w:type="dxa"/>
            <w:tcBorders>
              <w:top w:val="single" w:sz="8" w:space="0" w:color="auto"/>
              <w:left w:val="nil"/>
              <w:bottom w:val="single" w:sz="8" w:space="0" w:color="auto"/>
              <w:right w:val="nil"/>
            </w:tcBorders>
            <w:shd w:val="clear" w:color="auto" w:fill="auto"/>
            <w:noWrap/>
            <w:vAlign w:val="center"/>
            <w:hideMark/>
          </w:tcPr>
          <w:p w14:paraId="40545DE0"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SiO</w:t>
            </w:r>
            <w:r w:rsidRPr="00283708">
              <w:rPr>
                <w:rFonts w:eastAsia="Times New Roman" w:cs="Times New Roman"/>
                <w:b w:val="0"/>
                <w:color w:val="000000"/>
                <w:sz w:val="18"/>
                <w:szCs w:val="18"/>
                <w:vertAlign w:val="subscript"/>
                <w:lang w:eastAsia="en-MY"/>
              </w:rPr>
              <w:t>2</w:t>
            </w:r>
          </w:p>
        </w:tc>
        <w:tc>
          <w:tcPr>
            <w:tcW w:w="992" w:type="dxa"/>
            <w:tcBorders>
              <w:top w:val="single" w:sz="8" w:space="0" w:color="auto"/>
              <w:left w:val="nil"/>
              <w:bottom w:val="single" w:sz="8" w:space="0" w:color="auto"/>
              <w:right w:val="nil"/>
            </w:tcBorders>
            <w:shd w:val="clear" w:color="auto" w:fill="auto"/>
            <w:noWrap/>
            <w:vAlign w:val="center"/>
            <w:hideMark/>
          </w:tcPr>
          <w:p w14:paraId="7FA241B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Al</w:t>
            </w:r>
            <w:r w:rsidRPr="00283708">
              <w:rPr>
                <w:rFonts w:eastAsia="Times New Roman" w:cs="Times New Roman"/>
                <w:b w:val="0"/>
                <w:color w:val="000000"/>
                <w:sz w:val="18"/>
                <w:szCs w:val="18"/>
                <w:vertAlign w:val="subscript"/>
                <w:lang w:eastAsia="en-MY"/>
              </w:rPr>
              <w:t>2</w:t>
            </w:r>
            <w:r w:rsidRPr="00283708">
              <w:rPr>
                <w:rFonts w:eastAsia="Times New Roman" w:cs="Times New Roman"/>
                <w:b w:val="0"/>
                <w:color w:val="000000"/>
                <w:sz w:val="18"/>
                <w:szCs w:val="18"/>
                <w:lang w:eastAsia="en-MY"/>
              </w:rPr>
              <w:t>O</w:t>
            </w:r>
            <w:r w:rsidRPr="00283708">
              <w:rPr>
                <w:rFonts w:eastAsia="Times New Roman" w:cs="Times New Roman"/>
                <w:b w:val="0"/>
                <w:color w:val="000000"/>
                <w:sz w:val="18"/>
                <w:szCs w:val="18"/>
                <w:vertAlign w:val="subscript"/>
                <w:lang w:eastAsia="en-MY"/>
              </w:rPr>
              <w:t>3</w:t>
            </w:r>
          </w:p>
        </w:tc>
        <w:tc>
          <w:tcPr>
            <w:tcW w:w="992" w:type="dxa"/>
            <w:tcBorders>
              <w:top w:val="single" w:sz="8" w:space="0" w:color="auto"/>
              <w:left w:val="nil"/>
              <w:bottom w:val="single" w:sz="8" w:space="0" w:color="auto"/>
              <w:right w:val="nil"/>
            </w:tcBorders>
            <w:shd w:val="clear" w:color="auto" w:fill="auto"/>
            <w:noWrap/>
            <w:vAlign w:val="center"/>
            <w:hideMark/>
          </w:tcPr>
          <w:p w14:paraId="0EBF5C61"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iB</w:t>
            </w:r>
            <w:r w:rsidRPr="00283708">
              <w:rPr>
                <w:rFonts w:eastAsia="Times New Roman" w:cs="Times New Roman"/>
                <w:b w:val="0"/>
                <w:color w:val="000000"/>
                <w:sz w:val="18"/>
                <w:szCs w:val="18"/>
                <w:vertAlign w:val="subscript"/>
                <w:lang w:eastAsia="en-MY"/>
              </w:rPr>
              <w:t>2</w:t>
            </w:r>
            <w:r w:rsidRPr="00283708">
              <w:rPr>
                <w:rFonts w:eastAsia="Times New Roman" w:cs="Times New Roman"/>
                <w:b w:val="0"/>
                <w:color w:val="000000"/>
                <w:sz w:val="18"/>
                <w:szCs w:val="18"/>
                <w:lang w:eastAsia="en-MY"/>
              </w:rPr>
              <w:t>O</w:t>
            </w:r>
            <w:r w:rsidRPr="00283708">
              <w:rPr>
                <w:rFonts w:eastAsia="Times New Roman" w:cs="Times New Roman"/>
                <w:b w:val="0"/>
                <w:color w:val="000000"/>
                <w:sz w:val="18"/>
                <w:szCs w:val="18"/>
                <w:vertAlign w:val="subscript"/>
                <w:lang w:eastAsia="en-MY"/>
              </w:rPr>
              <w:t>3</w:t>
            </w:r>
          </w:p>
        </w:tc>
        <w:tc>
          <w:tcPr>
            <w:tcW w:w="992" w:type="dxa"/>
            <w:tcBorders>
              <w:top w:val="single" w:sz="8" w:space="0" w:color="auto"/>
              <w:left w:val="nil"/>
              <w:bottom w:val="single" w:sz="8" w:space="0" w:color="auto"/>
              <w:right w:val="nil"/>
            </w:tcBorders>
            <w:shd w:val="clear" w:color="auto" w:fill="auto"/>
            <w:noWrap/>
            <w:vAlign w:val="center"/>
            <w:hideMark/>
          </w:tcPr>
          <w:p w14:paraId="5E479B86"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Na</w:t>
            </w:r>
            <w:r w:rsidRPr="00283708">
              <w:rPr>
                <w:rFonts w:eastAsia="Times New Roman" w:cs="Times New Roman"/>
                <w:b w:val="0"/>
                <w:color w:val="000000"/>
                <w:sz w:val="18"/>
                <w:szCs w:val="18"/>
                <w:vertAlign w:val="subscript"/>
                <w:lang w:eastAsia="en-MY"/>
              </w:rPr>
              <w:t>2</w:t>
            </w:r>
            <w:r w:rsidRPr="00283708">
              <w:rPr>
                <w:rFonts w:eastAsia="Times New Roman" w:cs="Times New Roman"/>
                <w:b w:val="0"/>
                <w:color w:val="000000"/>
                <w:sz w:val="18"/>
                <w:szCs w:val="18"/>
                <w:lang w:eastAsia="en-MY"/>
              </w:rPr>
              <w:t>O</w:t>
            </w:r>
          </w:p>
        </w:tc>
        <w:tc>
          <w:tcPr>
            <w:tcW w:w="851" w:type="dxa"/>
            <w:tcBorders>
              <w:top w:val="single" w:sz="8" w:space="0" w:color="auto"/>
              <w:left w:val="nil"/>
              <w:bottom w:val="single" w:sz="8" w:space="0" w:color="auto"/>
              <w:right w:val="nil"/>
            </w:tcBorders>
            <w:shd w:val="clear" w:color="auto" w:fill="auto"/>
            <w:noWrap/>
            <w:vAlign w:val="center"/>
            <w:hideMark/>
          </w:tcPr>
          <w:p w14:paraId="7C265CE9"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proofErr w:type="spellStart"/>
            <w:r w:rsidRPr="00283708">
              <w:rPr>
                <w:rFonts w:eastAsia="Times New Roman" w:cs="Times New Roman"/>
                <w:b w:val="0"/>
                <w:color w:val="000000"/>
                <w:sz w:val="18"/>
                <w:szCs w:val="18"/>
                <w:lang w:eastAsia="en-MY"/>
              </w:rPr>
              <w:t>CaO</w:t>
            </w:r>
            <w:proofErr w:type="spellEnd"/>
          </w:p>
        </w:tc>
        <w:tc>
          <w:tcPr>
            <w:tcW w:w="992" w:type="dxa"/>
            <w:tcBorders>
              <w:top w:val="single" w:sz="8" w:space="0" w:color="auto"/>
              <w:left w:val="nil"/>
              <w:bottom w:val="single" w:sz="8" w:space="0" w:color="auto"/>
              <w:right w:val="nil"/>
            </w:tcBorders>
            <w:shd w:val="clear" w:color="auto" w:fill="auto"/>
            <w:noWrap/>
            <w:vAlign w:val="center"/>
            <w:hideMark/>
          </w:tcPr>
          <w:p w14:paraId="66C752C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MgO</w:t>
            </w:r>
          </w:p>
        </w:tc>
        <w:tc>
          <w:tcPr>
            <w:tcW w:w="992" w:type="dxa"/>
            <w:tcBorders>
              <w:top w:val="single" w:sz="8" w:space="0" w:color="auto"/>
              <w:left w:val="nil"/>
              <w:bottom w:val="single" w:sz="8" w:space="0" w:color="auto"/>
              <w:right w:val="nil"/>
            </w:tcBorders>
            <w:shd w:val="clear" w:color="auto" w:fill="auto"/>
            <w:noWrap/>
            <w:vAlign w:val="center"/>
            <w:hideMark/>
          </w:tcPr>
          <w:p w14:paraId="07C05B91"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proofErr w:type="spellStart"/>
            <w:r w:rsidRPr="00283708">
              <w:rPr>
                <w:rFonts w:eastAsia="Times New Roman" w:cs="Times New Roman"/>
                <w:b w:val="0"/>
                <w:color w:val="000000"/>
                <w:sz w:val="18"/>
                <w:szCs w:val="18"/>
                <w:lang w:eastAsia="en-MY"/>
              </w:rPr>
              <w:t>BaO</w:t>
            </w:r>
            <w:proofErr w:type="spellEnd"/>
          </w:p>
        </w:tc>
        <w:tc>
          <w:tcPr>
            <w:tcW w:w="709" w:type="dxa"/>
            <w:tcBorders>
              <w:top w:val="single" w:sz="8" w:space="0" w:color="auto"/>
              <w:left w:val="nil"/>
              <w:bottom w:val="single" w:sz="8" w:space="0" w:color="auto"/>
              <w:right w:val="nil"/>
            </w:tcBorders>
            <w:shd w:val="clear" w:color="auto" w:fill="auto"/>
            <w:noWrap/>
            <w:vAlign w:val="center"/>
            <w:hideMark/>
          </w:tcPr>
          <w:p w14:paraId="79857C06"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SO</w:t>
            </w:r>
            <w:r w:rsidRPr="00283708">
              <w:rPr>
                <w:rFonts w:eastAsia="Times New Roman" w:cs="Times New Roman"/>
                <w:b w:val="0"/>
                <w:color w:val="000000"/>
                <w:sz w:val="18"/>
                <w:szCs w:val="18"/>
                <w:vertAlign w:val="subscript"/>
                <w:lang w:eastAsia="en-MY"/>
              </w:rPr>
              <w:t>3</w:t>
            </w:r>
          </w:p>
        </w:tc>
        <w:tc>
          <w:tcPr>
            <w:tcW w:w="997" w:type="dxa"/>
            <w:tcBorders>
              <w:top w:val="single" w:sz="8" w:space="0" w:color="auto"/>
              <w:left w:val="nil"/>
              <w:bottom w:val="single" w:sz="8" w:space="0" w:color="auto"/>
              <w:right w:val="nil"/>
            </w:tcBorders>
            <w:shd w:val="clear" w:color="auto" w:fill="auto"/>
            <w:noWrap/>
            <w:vAlign w:val="center"/>
            <w:hideMark/>
          </w:tcPr>
          <w:p w14:paraId="10F3F4C8"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Impurities</w:t>
            </w:r>
          </w:p>
        </w:tc>
      </w:tr>
      <w:tr w:rsidR="00D740DC" w:rsidRPr="00283708" w14:paraId="0F364F26" w14:textId="77777777" w:rsidTr="00B11F5F">
        <w:trPr>
          <w:trHeight w:val="300"/>
        </w:trPr>
        <w:tc>
          <w:tcPr>
            <w:tcW w:w="949" w:type="dxa"/>
            <w:vMerge w:val="restart"/>
            <w:tcBorders>
              <w:top w:val="nil"/>
              <w:left w:val="nil"/>
              <w:bottom w:val="single" w:sz="8" w:space="0" w:color="000000"/>
              <w:right w:val="nil"/>
            </w:tcBorders>
            <w:shd w:val="clear" w:color="auto" w:fill="auto"/>
            <w:noWrap/>
            <w:textDirection w:val="btLr"/>
            <w:vAlign w:val="center"/>
            <w:hideMark/>
          </w:tcPr>
          <w:p w14:paraId="493E5231" w14:textId="77777777" w:rsidR="00D740DC" w:rsidRPr="00283708" w:rsidRDefault="00D740DC" w:rsidP="00B11F5F">
            <w:pPr>
              <w:spacing w:after="0" w:line="240" w:lineRule="auto"/>
              <w:jc w:val="center"/>
              <w:rPr>
                <w:rFonts w:eastAsia="Times New Roman" w:cs="Times New Roman"/>
                <w:bCs/>
                <w:color w:val="000000"/>
                <w:szCs w:val="24"/>
                <w:lang w:eastAsia="en-MY"/>
              </w:rPr>
            </w:pPr>
            <w:r w:rsidRPr="00283708">
              <w:rPr>
                <w:rFonts w:eastAsia="Times New Roman" w:cs="Times New Roman"/>
                <w:bCs/>
                <w:color w:val="000000"/>
                <w:szCs w:val="24"/>
                <w:lang w:eastAsia="en-MY"/>
              </w:rPr>
              <w:t>N</w:t>
            </w:r>
            <w:r w:rsidRPr="00283708">
              <w:rPr>
                <w:rFonts w:eastAsia="Times New Roman" w:cs="Times New Roman"/>
                <w:bCs/>
                <w:color w:val="000000"/>
                <w:szCs w:val="24"/>
                <w:vertAlign w:val="subscript"/>
                <w:lang w:eastAsia="en-MY"/>
              </w:rPr>
              <w:t>15</w:t>
            </w:r>
            <w:r w:rsidRPr="00283708">
              <w:rPr>
                <w:rFonts w:eastAsia="Times New Roman" w:cs="Times New Roman"/>
                <w:bCs/>
                <w:color w:val="000000"/>
                <w:szCs w:val="24"/>
                <w:lang w:eastAsia="en-MY"/>
              </w:rPr>
              <w:t>C</w:t>
            </w:r>
            <w:r w:rsidRPr="00283708">
              <w:rPr>
                <w:rFonts w:eastAsia="Times New Roman" w:cs="Times New Roman"/>
                <w:bCs/>
                <w:color w:val="000000"/>
                <w:szCs w:val="24"/>
                <w:vertAlign w:val="subscript"/>
                <w:lang w:eastAsia="en-MY"/>
              </w:rPr>
              <w:t>x</w:t>
            </w:r>
            <w:r w:rsidRPr="00283708">
              <w:rPr>
                <w:rFonts w:eastAsia="Times New Roman" w:cs="Times New Roman"/>
                <w:bCs/>
                <w:color w:val="000000"/>
                <w:szCs w:val="24"/>
                <w:lang w:eastAsia="en-MY"/>
              </w:rPr>
              <w:t>A</w:t>
            </w:r>
            <w:r w:rsidRPr="00283708">
              <w:rPr>
                <w:rFonts w:eastAsia="Times New Roman" w:cs="Times New Roman"/>
                <w:bCs/>
                <w:color w:val="000000"/>
                <w:szCs w:val="24"/>
                <w:vertAlign w:val="subscript"/>
                <w:lang w:eastAsia="en-MY"/>
              </w:rPr>
              <w:t>15-x</w:t>
            </w:r>
            <w:r w:rsidRPr="00283708">
              <w:rPr>
                <w:rFonts w:eastAsia="Times New Roman" w:cs="Times New Roman"/>
                <w:bCs/>
                <w:color w:val="000000"/>
                <w:szCs w:val="24"/>
                <w:lang w:eastAsia="en-MY"/>
              </w:rPr>
              <w:t>B</w:t>
            </w:r>
            <w:r w:rsidRPr="00283708">
              <w:rPr>
                <w:rFonts w:eastAsia="Times New Roman" w:cs="Times New Roman"/>
                <w:bCs/>
                <w:color w:val="000000"/>
                <w:szCs w:val="24"/>
                <w:vertAlign w:val="subscript"/>
                <w:lang w:eastAsia="en-MY"/>
              </w:rPr>
              <w:t>10</w:t>
            </w:r>
            <w:r w:rsidRPr="00283708">
              <w:rPr>
                <w:rFonts w:eastAsia="Times New Roman" w:cs="Times New Roman"/>
                <w:bCs/>
                <w:color w:val="000000"/>
                <w:szCs w:val="24"/>
                <w:lang w:eastAsia="en-MY"/>
              </w:rPr>
              <w:t>S</w:t>
            </w:r>
            <w:r w:rsidRPr="00283708">
              <w:rPr>
                <w:rFonts w:eastAsia="Times New Roman" w:cs="Times New Roman"/>
                <w:bCs/>
                <w:color w:val="000000"/>
                <w:szCs w:val="24"/>
                <w:vertAlign w:val="subscript"/>
                <w:lang w:eastAsia="en-MY"/>
              </w:rPr>
              <w:t>60</w:t>
            </w:r>
          </w:p>
        </w:tc>
        <w:tc>
          <w:tcPr>
            <w:tcW w:w="2133" w:type="dxa"/>
            <w:vMerge w:val="restart"/>
            <w:tcBorders>
              <w:top w:val="single" w:sz="8" w:space="0" w:color="auto"/>
              <w:left w:val="nil"/>
              <w:bottom w:val="single" w:sz="8" w:space="0" w:color="000000"/>
              <w:right w:val="nil"/>
            </w:tcBorders>
            <w:shd w:val="clear" w:color="auto" w:fill="auto"/>
            <w:noWrap/>
            <w:vAlign w:val="center"/>
            <w:hideMark/>
          </w:tcPr>
          <w:p w14:paraId="76E3F80A"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N</w:t>
            </w:r>
            <w:r w:rsidRPr="00283708">
              <w:rPr>
                <w:rFonts w:eastAsia="Times New Roman" w:cs="Times New Roman"/>
                <w:b w:val="0"/>
                <w:color w:val="000000"/>
                <w:sz w:val="18"/>
                <w:szCs w:val="18"/>
                <w:vertAlign w:val="subscript"/>
                <w:lang w:eastAsia="en-MY"/>
              </w:rPr>
              <w:t>15</w:t>
            </w:r>
            <w:r w:rsidRPr="00283708">
              <w:rPr>
                <w:rFonts w:eastAsia="Times New Roman" w:cs="Times New Roman"/>
                <w:b w:val="0"/>
                <w:color w:val="000000"/>
                <w:sz w:val="18"/>
                <w:szCs w:val="18"/>
                <w:lang w:eastAsia="en-MY"/>
              </w:rPr>
              <w:t>B</w:t>
            </w:r>
            <w:r w:rsidRPr="00283708">
              <w:rPr>
                <w:rFonts w:eastAsia="Times New Roman" w:cs="Times New Roman"/>
                <w:b w:val="0"/>
                <w:color w:val="000000"/>
                <w:sz w:val="18"/>
                <w:szCs w:val="18"/>
                <w:vertAlign w:val="subscript"/>
                <w:lang w:eastAsia="en-MY"/>
              </w:rPr>
              <w:t>10</w:t>
            </w:r>
            <w:r w:rsidRPr="00283708">
              <w:rPr>
                <w:rFonts w:eastAsia="Times New Roman" w:cs="Times New Roman"/>
                <w:b w:val="0"/>
                <w:color w:val="000000"/>
                <w:sz w:val="18"/>
                <w:szCs w:val="18"/>
                <w:lang w:eastAsia="en-MY"/>
              </w:rPr>
              <w:t>S</w:t>
            </w:r>
            <w:r w:rsidRPr="00283708">
              <w:rPr>
                <w:rFonts w:eastAsia="Times New Roman" w:cs="Times New Roman"/>
                <w:b w:val="0"/>
                <w:color w:val="000000"/>
                <w:sz w:val="18"/>
                <w:szCs w:val="18"/>
                <w:vertAlign w:val="subscript"/>
                <w:lang w:eastAsia="en-MY"/>
              </w:rPr>
              <w:t>60</w:t>
            </w:r>
            <w:r w:rsidRPr="00283708">
              <w:rPr>
                <w:rFonts w:eastAsia="Times New Roman" w:cs="Times New Roman"/>
                <w:b w:val="0"/>
                <w:color w:val="000000"/>
                <w:sz w:val="18"/>
                <w:szCs w:val="18"/>
                <w:lang w:eastAsia="en-MY"/>
              </w:rPr>
              <w:t>A</w:t>
            </w:r>
            <w:r w:rsidRPr="00283708">
              <w:rPr>
                <w:rFonts w:eastAsia="Times New Roman" w:cs="Times New Roman"/>
                <w:b w:val="0"/>
                <w:color w:val="000000"/>
                <w:sz w:val="18"/>
                <w:szCs w:val="18"/>
                <w:vertAlign w:val="subscript"/>
                <w:lang w:eastAsia="en-MY"/>
              </w:rPr>
              <w:t>7.5</w:t>
            </w:r>
            <w:r w:rsidRPr="00283708">
              <w:rPr>
                <w:rFonts w:eastAsia="Times New Roman" w:cs="Times New Roman"/>
                <w:b w:val="0"/>
                <w:color w:val="000000"/>
                <w:sz w:val="18"/>
                <w:szCs w:val="18"/>
                <w:lang w:eastAsia="en-MY"/>
              </w:rPr>
              <w:t>Ca</w:t>
            </w:r>
            <w:r w:rsidRPr="00283708">
              <w:rPr>
                <w:rFonts w:eastAsia="Times New Roman" w:cs="Times New Roman"/>
                <w:b w:val="0"/>
                <w:color w:val="000000"/>
                <w:sz w:val="18"/>
                <w:szCs w:val="18"/>
                <w:vertAlign w:val="subscript"/>
                <w:lang w:eastAsia="en-MY"/>
              </w:rPr>
              <w:t>7.5</w:t>
            </w:r>
          </w:p>
        </w:tc>
        <w:tc>
          <w:tcPr>
            <w:tcW w:w="3297" w:type="dxa"/>
            <w:tcBorders>
              <w:top w:val="nil"/>
              <w:left w:val="nil"/>
              <w:bottom w:val="nil"/>
              <w:right w:val="nil"/>
            </w:tcBorders>
            <w:shd w:val="clear" w:color="auto" w:fill="auto"/>
            <w:noWrap/>
            <w:vAlign w:val="center"/>
            <w:hideMark/>
          </w:tcPr>
          <w:p w14:paraId="22AF9A76"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 xml:space="preserve">Batched </w:t>
            </w:r>
          </w:p>
        </w:tc>
        <w:tc>
          <w:tcPr>
            <w:tcW w:w="851" w:type="dxa"/>
            <w:tcBorders>
              <w:top w:val="nil"/>
              <w:left w:val="nil"/>
              <w:bottom w:val="nil"/>
              <w:right w:val="nil"/>
            </w:tcBorders>
            <w:shd w:val="clear" w:color="auto" w:fill="auto"/>
            <w:noWrap/>
            <w:vAlign w:val="center"/>
            <w:hideMark/>
          </w:tcPr>
          <w:p w14:paraId="45C55A0A"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56.19</w:t>
            </w:r>
          </w:p>
        </w:tc>
        <w:tc>
          <w:tcPr>
            <w:tcW w:w="992" w:type="dxa"/>
            <w:tcBorders>
              <w:top w:val="nil"/>
              <w:left w:val="nil"/>
              <w:bottom w:val="nil"/>
              <w:right w:val="nil"/>
            </w:tcBorders>
            <w:shd w:val="clear" w:color="auto" w:fill="auto"/>
            <w:noWrap/>
            <w:vAlign w:val="center"/>
            <w:hideMark/>
          </w:tcPr>
          <w:p w14:paraId="3F1BFBD0"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11.92</w:t>
            </w:r>
          </w:p>
        </w:tc>
        <w:tc>
          <w:tcPr>
            <w:tcW w:w="992" w:type="dxa"/>
            <w:tcBorders>
              <w:top w:val="nil"/>
              <w:left w:val="nil"/>
              <w:bottom w:val="nil"/>
              <w:right w:val="nil"/>
            </w:tcBorders>
            <w:shd w:val="clear" w:color="auto" w:fill="auto"/>
            <w:noWrap/>
            <w:vAlign w:val="center"/>
            <w:hideMark/>
          </w:tcPr>
          <w:p w14:paraId="2F982DA9"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10.85</w:t>
            </w:r>
          </w:p>
        </w:tc>
        <w:tc>
          <w:tcPr>
            <w:tcW w:w="992" w:type="dxa"/>
            <w:tcBorders>
              <w:top w:val="nil"/>
              <w:left w:val="nil"/>
              <w:bottom w:val="nil"/>
              <w:right w:val="nil"/>
            </w:tcBorders>
            <w:shd w:val="clear" w:color="auto" w:fill="auto"/>
            <w:noWrap/>
            <w:vAlign w:val="center"/>
            <w:hideMark/>
          </w:tcPr>
          <w:p w14:paraId="7C1C70BA"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14.49</w:t>
            </w:r>
          </w:p>
        </w:tc>
        <w:tc>
          <w:tcPr>
            <w:tcW w:w="851" w:type="dxa"/>
            <w:tcBorders>
              <w:top w:val="nil"/>
              <w:left w:val="nil"/>
              <w:bottom w:val="nil"/>
              <w:right w:val="nil"/>
            </w:tcBorders>
            <w:shd w:val="clear" w:color="auto" w:fill="auto"/>
            <w:noWrap/>
            <w:vAlign w:val="center"/>
            <w:hideMark/>
          </w:tcPr>
          <w:p w14:paraId="6A1D8295"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6.55</w:t>
            </w:r>
          </w:p>
        </w:tc>
        <w:tc>
          <w:tcPr>
            <w:tcW w:w="992" w:type="dxa"/>
            <w:tcBorders>
              <w:top w:val="nil"/>
              <w:left w:val="nil"/>
              <w:bottom w:val="nil"/>
              <w:right w:val="nil"/>
            </w:tcBorders>
            <w:shd w:val="clear" w:color="auto" w:fill="auto"/>
            <w:noWrap/>
            <w:vAlign w:val="center"/>
            <w:hideMark/>
          </w:tcPr>
          <w:p w14:paraId="09278771"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4C83B07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709" w:type="dxa"/>
            <w:tcBorders>
              <w:top w:val="nil"/>
              <w:left w:val="nil"/>
              <w:bottom w:val="nil"/>
              <w:right w:val="nil"/>
            </w:tcBorders>
            <w:shd w:val="clear" w:color="auto" w:fill="auto"/>
            <w:noWrap/>
            <w:vAlign w:val="center"/>
            <w:hideMark/>
          </w:tcPr>
          <w:p w14:paraId="731500AB"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7" w:type="dxa"/>
            <w:tcBorders>
              <w:top w:val="nil"/>
              <w:left w:val="nil"/>
              <w:bottom w:val="nil"/>
              <w:right w:val="nil"/>
            </w:tcBorders>
            <w:shd w:val="clear" w:color="auto" w:fill="auto"/>
            <w:noWrap/>
            <w:vAlign w:val="center"/>
            <w:hideMark/>
          </w:tcPr>
          <w:p w14:paraId="07C7989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r>
      <w:tr w:rsidR="00D740DC" w:rsidRPr="00283708" w14:paraId="33461CCD" w14:textId="77777777" w:rsidTr="00B11F5F">
        <w:trPr>
          <w:trHeight w:val="300"/>
        </w:trPr>
        <w:tc>
          <w:tcPr>
            <w:tcW w:w="949" w:type="dxa"/>
            <w:vMerge/>
            <w:tcBorders>
              <w:top w:val="nil"/>
              <w:left w:val="nil"/>
              <w:bottom w:val="single" w:sz="8" w:space="0" w:color="000000"/>
              <w:right w:val="nil"/>
            </w:tcBorders>
            <w:vAlign w:val="center"/>
            <w:hideMark/>
          </w:tcPr>
          <w:p w14:paraId="31871A4E"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single" w:sz="8" w:space="0" w:color="auto"/>
              <w:left w:val="nil"/>
              <w:bottom w:val="single" w:sz="8" w:space="0" w:color="000000"/>
              <w:right w:val="nil"/>
            </w:tcBorders>
            <w:vAlign w:val="center"/>
            <w:hideMark/>
          </w:tcPr>
          <w:p w14:paraId="2708F057"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nil"/>
              <w:right w:val="nil"/>
            </w:tcBorders>
            <w:shd w:val="clear" w:color="auto" w:fill="auto"/>
            <w:noWrap/>
            <w:vAlign w:val="center"/>
            <w:hideMark/>
          </w:tcPr>
          <w:p w14:paraId="1CF8F075"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Measured (XRF)</w:t>
            </w:r>
          </w:p>
        </w:tc>
        <w:tc>
          <w:tcPr>
            <w:tcW w:w="851" w:type="dxa"/>
            <w:tcBorders>
              <w:top w:val="nil"/>
              <w:left w:val="nil"/>
              <w:bottom w:val="nil"/>
              <w:right w:val="nil"/>
            </w:tcBorders>
            <w:shd w:val="clear" w:color="auto" w:fill="auto"/>
            <w:noWrap/>
            <w:vAlign w:val="center"/>
            <w:hideMark/>
          </w:tcPr>
          <w:p w14:paraId="152D6A7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52.73</w:t>
            </w:r>
          </w:p>
        </w:tc>
        <w:tc>
          <w:tcPr>
            <w:tcW w:w="992" w:type="dxa"/>
            <w:tcBorders>
              <w:top w:val="nil"/>
              <w:left w:val="nil"/>
              <w:bottom w:val="nil"/>
              <w:right w:val="nil"/>
            </w:tcBorders>
            <w:shd w:val="clear" w:color="auto" w:fill="auto"/>
            <w:noWrap/>
            <w:vAlign w:val="center"/>
            <w:hideMark/>
          </w:tcPr>
          <w:p w14:paraId="0A5AD072"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10.74</w:t>
            </w:r>
          </w:p>
        </w:tc>
        <w:tc>
          <w:tcPr>
            <w:tcW w:w="992" w:type="dxa"/>
            <w:tcBorders>
              <w:top w:val="nil"/>
              <w:left w:val="nil"/>
              <w:bottom w:val="nil"/>
              <w:right w:val="nil"/>
            </w:tcBorders>
            <w:shd w:val="clear" w:color="auto" w:fill="auto"/>
            <w:noWrap/>
            <w:vAlign w:val="center"/>
            <w:hideMark/>
          </w:tcPr>
          <w:p w14:paraId="58FB5E22"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16.49</w:t>
            </w:r>
          </w:p>
        </w:tc>
        <w:tc>
          <w:tcPr>
            <w:tcW w:w="992" w:type="dxa"/>
            <w:tcBorders>
              <w:top w:val="nil"/>
              <w:left w:val="nil"/>
              <w:bottom w:val="nil"/>
              <w:right w:val="nil"/>
            </w:tcBorders>
            <w:shd w:val="clear" w:color="auto" w:fill="auto"/>
            <w:noWrap/>
            <w:vAlign w:val="center"/>
            <w:hideMark/>
          </w:tcPr>
          <w:p w14:paraId="3E572B7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12.7</w:t>
            </w:r>
          </w:p>
        </w:tc>
        <w:tc>
          <w:tcPr>
            <w:tcW w:w="851" w:type="dxa"/>
            <w:tcBorders>
              <w:top w:val="nil"/>
              <w:left w:val="nil"/>
              <w:bottom w:val="nil"/>
              <w:right w:val="nil"/>
            </w:tcBorders>
            <w:shd w:val="clear" w:color="auto" w:fill="auto"/>
            <w:noWrap/>
            <w:vAlign w:val="center"/>
            <w:hideMark/>
          </w:tcPr>
          <w:p w14:paraId="312AA03D"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6.18</w:t>
            </w:r>
          </w:p>
        </w:tc>
        <w:tc>
          <w:tcPr>
            <w:tcW w:w="992" w:type="dxa"/>
            <w:tcBorders>
              <w:top w:val="nil"/>
              <w:left w:val="nil"/>
              <w:bottom w:val="nil"/>
              <w:right w:val="nil"/>
            </w:tcBorders>
            <w:shd w:val="clear" w:color="auto" w:fill="auto"/>
            <w:noWrap/>
            <w:vAlign w:val="center"/>
            <w:hideMark/>
          </w:tcPr>
          <w:p w14:paraId="4B52063F"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24C680A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709" w:type="dxa"/>
            <w:tcBorders>
              <w:top w:val="nil"/>
              <w:left w:val="nil"/>
              <w:bottom w:val="nil"/>
              <w:right w:val="nil"/>
            </w:tcBorders>
            <w:shd w:val="clear" w:color="auto" w:fill="auto"/>
            <w:noWrap/>
            <w:vAlign w:val="center"/>
            <w:hideMark/>
          </w:tcPr>
          <w:p w14:paraId="6E42FB88"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0.34</w:t>
            </w:r>
          </w:p>
        </w:tc>
        <w:tc>
          <w:tcPr>
            <w:tcW w:w="997" w:type="dxa"/>
            <w:tcBorders>
              <w:top w:val="nil"/>
              <w:left w:val="nil"/>
              <w:bottom w:val="nil"/>
              <w:right w:val="nil"/>
            </w:tcBorders>
            <w:shd w:val="clear" w:color="auto" w:fill="auto"/>
            <w:noWrap/>
            <w:vAlign w:val="center"/>
            <w:hideMark/>
          </w:tcPr>
          <w:p w14:paraId="1AB8815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0.83</w:t>
            </w:r>
          </w:p>
        </w:tc>
      </w:tr>
      <w:tr w:rsidR="00D740DC" w:rsidRPr="00283708" w14:paraId="6216049D" w14:textId="77777777" w:rsidTr="00B11F5F">
        <w:trPr>
          <w:trHeight w:val="300"/>
        </w:trPr>
        <w:tc>
          <w:tcPr>
            <w:tcW w:w="949" w:type="dxa"/>
            <w:vMerge/>
            <w:tcBorders>
              <w:top w:val="nil"/>
              <w:left w:val="nil"/>
              <w:bottom w:val="single" w:sz="8" w:space="0" w:color="000000"/>
              <w:right w:val="nil"/>
            </w:tcBorders>
            <w:vAlign w:val="center"/>
            <w:hideMark/>
          </w:tcPr>
          <w:p w14:paraId="23CBC189"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single" w:sz="8" w:space="0" w:color="auto"/>
              <w:left w:val="nil"/>
              <w:bottom w:val="single" w:sz="8" w:space="0" w:color="000000"/>
              <w:right w:val="nil"/>
            </w:tcBorders>
            <w:vAlign w:val="center"/>
            <w:hideMark/>
          </w:tcPr>
          <w:p w14:paraId="5ACC6F2C"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nil"/>
              <w:right w:val="nil"/>
            </w:tcBorders>
            <w:shd w:val="clear" w:color="auto" w:fill="auto"/>
            <w:noWrap/>
            <w:vAlign w:val="center"/>
            <w:hideMark/>
          </w:tcPr>
          <w:p w14:paraId="6FD1D2FB"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XRF (half boron)</w:t>
            </w:r>
          </w:p>
        </w:tc>
        <w:tc>
          <w:tcPr>
            <w:tcW w:w="851" w:type="dxa"/>
            <w:tcBorders>
              <w:top w:val="nil"/>
              <w:left w:val="nil"/>
              <w:bottom w:val="nil"/>
              <w:right w:val="nil"/>
            </w:tcBorders>
            <w:shd w:val="clear" w:color="auto" w:fill="auto"/>
            <w:noWrap/>
            <w:vAlign w:val="center"/>
            <w:hideMark/>
          </w:tcPr>
          <w:p w14:paraId="5F97EBE1"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52.73</w:t>
            </w:r>
          </w:p>
        </w:tc>
        <w:tc>
          <w:tcPr>
            <w:tcW w:w="992" w:type="dxa"/>
            <w:tcBorders>
              <w:top w:val="nil"/>
              <w:left w:val="nil"/>
              <w:bottom w:val="nil"/>
              <w:right w:val="nil"/>
            </w:tcBorders>
            <w:shd w:val="clear" w:color="auto" w:fill="auto"/>
            <w:noWrap/>
            <w:vAlign w:val="center"/>
            <w:hideMark/>
          </w:tcPr>
          <w:p w14:paraId="62410AF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10.74</w:t>
            </w:r>
          </w:p>
        </w:tc>
        <w:tc>
          <w:tcPr>
            <w:tcW w:w="992" w:type="dxa"/>
            <w:tcBorders>
              <w:top w:val="nil"/>
              <w:left w:val="nil"/>
              <w:bottom w:val="nil"/>
              <w:right w:val="nil"/>
            </w:tcBorders>
            <w:shd w:val="clear" w:color="auto" w:fill="auto"/>
            <w:noWrap/>
            <w:vAlign w:val="center"/>
            <w:hideMark/>
          </w:tcPr>
          <w:p w14:paraId="744E01E9"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8.25</w:t>
            </w:r>
          </w:p>
        </w:tc>
        <w:tc>
          <w:tcPr>
            <w:tcW w:w="992" w:type="dxa"/>
            <w:tcBorders>
              <w:top w:val="nil"/>
              <w:left w:val="nil"/>
              <w:bottom w:val="nil"/>
              <w:right w:val="nil"/>
            </w:tcBorders>
            <w:shd w:val="clear" w:color="auto" w:fill="auto"/>
            <w:noWrap/>
            <w:vAlign w:val="center"/>
            <w:hideMark/>
          </w:tcPr>
          <w:p w14:paraId="6FAC4E96"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12.7</w:t>
            </w:r>
          </w:p>
        </w:tc>
        <w:tc>
          <w:tcPr>
            <w:tcW w:w="851" w:type="dxa"/>
            <w:tcBorders>
              <w:top w:val="nil"/>
              <w:left w:val="nil"/>
              <w:bottom w:val="nil"/>
              <w:right w:val="nil"/>
            </w:tcBorders>
            <w:shd w:val="clear" w:color="auto" w:fill="auto"/>
            <w:noWrap/>
            <w:vAlign w:val="center"/>
            <w:hideMark/>
          </w:tcPr>
          <w:p w14:paraId="404FD5F1"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6.18</w:t>
            </w:r>
          </w:p>
        </w:tc>
        <w:tc>
          <w:tcPr>
            <w:tcW w:w="992" w:type="dxa"/>
            <w:tcBorders>
              <w:top w:val="nil"/>
              <w:left w:val="nil"/>
              <w:bottom w:val="nil"/>
              <w:right w:val="nil"/>
            </w:tcBorders>
            <w:shd w:val="clear" w:color="auto" w:fill="auto"/>
            <w:noWrap/>
            <w:vAlign w:val="center"/>
            <w:hideMark/>
          </w:tcPr>
          <w:p w14:paraId="51CF455B"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17A4A6DA"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709" w:type="dxa"/>
            <w:tcBorders>
              <w:top w:val="nil"/>
              <w:left w:val="nil"/>
              <w:bottom w:val="nil"/>
              <w:right w:val="nil"/>
            </w:tcBorders>
            <w:shd w:val="clear" w:color="auto" w:fill="auto"/>
            <w:noWrap/>
            <w:vAlign w:val="center"/>
            <w:hideMark/>
          </w:tcPr>
          <w:p w14:paraId="22A1B72A"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0.34</w:t>
            </w:r>
          </w:p>
        </w:tc>
        <w:tc>
          <w:tcPr>
            <w:tcW w:w="997" w:type="dxa"/>
            <w:tcBorders>
              <w:top w:val="nil"/>
              <w:left w:val="nil"/>
              <w:bottom w:val="nil"/>
              <w:right w:val="nil"/>
            </w:tcBorders>
            <w:shd w:val="clear" w:color="auto" w:fill="auto"/>
            <w:noWrap/>
            <w:vAlign w:val="center"/>
            <w:hideMark/>
          </w:tcPr>
          <w:p w14:paraId="30FC820D"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0.83</w:t>
            </w:r>
          </w:p>
        </w:tc>
      </w:tr>
      <w:tr w:rsidR="00D740DC" w:rsidRPr="00283708" w14:paraId="1A2043CB" w14:textId="77777777" w:rsidTr="00B11F5F">
        <w:trPr>
          <w:trHeight w:val="315"/>
        </w:trPr>
        <w:tc>
          <w:tcPr>
            <w:tcW w:w="949" w:type="dxa"/>
            <w:vMerge/>
            <w:tcBorders>
              <w:top w:val="nil"/>
              <w:left w:val="nil"/>
              <w:bottom w:val="single" w:sz="8" w:space="0" w:color="000000"/>
              <w:right w:val="nil"/>
            </w:tcBorders>
            <w:vAlign w:val="center"/>
            <w:hideMark/>
          </w:tcPr>
          <w:p w14:paraId="01BBD75A"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single" w:sz="8" w:space="0" w:color="auto"/>
              <w:left w:val="nil"/>
              <w:bottom w:val="single" w:sz="8" w:space="0" w:color="000000"/>
              <w:right w:val="nil"/>
            </w:tcBorders>
            <w:vAlign w:val="center"/>
            <w:hideMark/>
          </w:tcPr>
          <w:p w14:paraId="1E4142C8"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single" w:sz="8" w:space="0" w:color="auto"/>
              <w:right w:val="nil"/>
            </w:tcBorders>
            <w:shd w:val="clear" w:color="auto" w:fill="auto"/>
            <w:noWrap/>
            <w:vAlign w:val="center"/>
            <w:hideMark/>
          </w:tcPr>
          <w:p w14:paraId="48ABB725"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XRF (half boron - normalised)</w:t>
            </w:r>
          </w:p>
        </w:tc>
        <w:tc>
          <w:tcPr>
            <w:tcW w:w="851" w:type="dxa"/>
            <w:tcBorders>
              <w:top w:val="nil"/>
              <w:left w:val="nil"/>
              <w:bottom w:val="single" w:sz="8" w:space="0" w:color="auto"/>
              <w:right w:val="nil"/>
            </w:tcBorders>
            <w:shd w:val="clear" w:color="auto" w:fill="auto"/>
            <w:noWrap/>
            <w:vAlign w:val="center"/>
            <w:hideMark/>
          </w:tcPr>
          <w:p w14:paraId="7E9DD1AA"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57.46</w:t>
            </w:r>
          </w:p>
        </w:tc>
        <w:tc>
          <w:tcPr>
            <w:tcW w:w="992" w:type="dxa"/>
            <w:tcBorders>
              <w:top w:val="nil"/>
              <w:left w:val="nil"/>
              <w:bottom w:val="single" w:sz="8" w:space="0" w:color="auto"/>
              <w:right w:val="nil"/>
            </w:tcBorders>
            <w:shd w:val="clear" w:color="auto" w:fill="auto"/>
            <w:noWrap/>
            <w:vAlign w:val="center"/>
            <w:hideMark/>
          </w:tcPr>
          <w:p w14:paraId="0781750D"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11.7</w:t>
            </w:r>
          </w:p>
        </w:tc>
        <w:tc>
          <w:tcPr>
            <w:tcW w:w="992" w:type="dxa"/>
            <w:tcBorders>
              <w:top w:val="nil"/>
              <w:left w:val="nil"/>
              <w:bottom w:val="single" w:sz="8" w:space="0" w:color="auto"/>
              <w:right w:val="nil"/>
            </w:tcBorders>
            <w:shd w:val="clear" w:color="auto" w:fill="auto"/>
            <w:noWrap/>
            <w:vAlign w:val="center"/>
            <w:hideMark/>
          </w:tcPr>
          <w:p w14:paraId="0C7424C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8.99</w:t>
            </w:r>
          </w:p>
        </w:tc>
        <w:tc>
          <w:tcPr>
            <w:tcW w:w="992" w:type="dxa"/>
            <w:tcBorders>
              <w:top w:val="nil"/>
              <w:left w:val="nil"/>
              <w:bottom w:val="single" w:sz="8" w:space="0" w:color="auto"/>
              <w:right w:val="nil"/>
            </w:tcBorders>
            <w:shd w:val="clear" w:color="auto" w:fill="auto"/>
            <w:noWrap/>
            <w:vAlign w:val="center"/>
            <w:hideMark/>
          </w:tcPr>
          <w:p w14:paraId="5EB4A556"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13.85</w:t>
            </w:r>
          </w:p>
        </w:tc>
        <w:tc>
          <w:tcPr>
            <w:tcW w:w="851" w:type="dxa"/>
            <w:tcBorders>
              <w:top w:val="nil"/>
              <w:left w:val="nil"/>
              <w:bottom w:val="single" w:sz="8" w:space="0" w:color="auto"/>
              <w:right w:val="nil"/>
            </w:tcBorders>
            <w:shd w:val="clear" w:color="auto" w:fill="auto"/>
            <w:noWrap/>
            <w:vAlign w:val="center"/>
            <w:hideMark/>
          </w:tcPr>
          <w:p w14:paraId="5337BE6A"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6.73</w:t>
            </w:r>
          </w:p>
        </w:tc>
        <w:tc>
          <w:tcPr>
            <w:tcW w:w="992" w:type="dxa"/>
            <w:tcBorders>
              <w:top w:val="nil"/>
              <w:left w:val="nil"/>
              <w:bottom w:val="single" w:sz="8" w:space="0" w:color="auto"/>
              <w:right w:val="nil"/>
            </w:tcBorders>
            <w:shd w:val="clear" w:color="auto" w:fill="auto"/>
            <w:noWrap/>
            <w:vAlign w:val="center"/>
            <w:hideMark/>
          </w:tcPr>
          <w:p w14:paraId="1C90D11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single" w:sz="8" w:space="0" w:color="auto"/>
              <w:right w:val="nil"/>
            </w:tcBorders>
            <w:shd w:val="clear" w:color="auto" w:fill="auto"/>
            <w:noWrap/>
            <w:vAlign w:val="center"/>
            <w:hideMark/>
          </w:tcPr>
          <w:p w14:paraId="7AB2E886"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709" w:type="dxa"/>
            <w:tcBorders>
              <w:top w:val="nil"/>
              <w:left w:val="nil"/>
              <w:bottom w:val="single" w:sz="8" w:space="0" w:color="auto"/>
              <w:right w:val="nil"/>
            </w:tcBorders>
            <w:shd w:val="clear" w:color="auto" w:fill="auto"/>
            <w:noWrap/>
            <w:vAlign w:val="center"/>
            <w:hideMark/>
          </w:tcPr>
          <w:p w14:paraId="3C8F5637"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0.37</w:t>
            </w:r>
          </w:p>
        </w:tc>
        <w:tc>
          <w:tcPr>
            <w:tcW w:w="997" w:type="dxa"/>
            <w:tcBorders>
              <w:top w:val="nil"/>
              <w:left w:val="nil"/>
              <w:bottom w:val="single" w:sz="8" w:space="0" w:color="auto"/>
              <w:right w:val="nil"/>
            </w:tcBorders>
            <w:shd w:val="clear" w:color="auto" w:fill="auto"/>
            <w:noWrap/>
            <w:vAlign w:val="center"/>
            <w:hideMark/>
          </w:tcPr>
          <w:p w14:paraId="61EB476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0.9</w:t>
            </w:r>
          </w:p>
        </w:tc>
      </w:tr>
      <w:tr w:rsidR="00D740DC" w:rsidRPr="00283708" w14:paraId="05163E4F" w14:textId="77777777" w:rsidTr="00B11F5F">
        <w:trPr>
          <w:trHeight w:val="300"/>
        </w:trPr>
        <w:tc>
          <w:tcPr>
            <w:tcW w:w="949" w:type="dxa"/>
            <w:vMerge/>
            <w:tcBorders>
              <w:top w:val="nil"/>
              <w:left w:val="nil"/>
              <w:bottom w:val="single" w:sz="8" w:space="0" w:color="000000"/>
              <w:right w:val="nil"/>
            </w:tcBorders>
            <w:vAlign w:val="center"/>
            <w:hideMark/>
          </w:tcPr>
          <w:p w14:paraId="62D58DBF"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val="restart"/>
            <w:tcBorders>
              <w:top w:val="nil"/>
              <w:left w:val="nil"/>
              <w:bottom w:val="single" w:sz="8" w:space="0" w:color="000000"/>
              <w:right w:val="nil"/>
            </w:tcBorders>
            <w:shd w:val="clear" w:color="auto" w:fill="auto"/>
            <w:noWrap/>
            <w:vAlign w:val="center"/>
            <w:hideMark/>
          </w:tcPr>
          <w:p w14:paraId="35ABD1C6"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N</w:t>
            </w:r>
            <w:r w:rsidRPr="00283708">
              <w:rPr>
                <w:rFonts w:eastAsia="Times New Roman" w:cs="Times New Roman"/>
                <w:b w:val="0"/>
                <w:color w:val="000000"/>
                <w:sz w:val="18"/>
                <w:szCs w:val="18"/>
                <w:vertAlign w:val="subscript"/>
                <w:lang w:eastAsia="en-MY"/>
              </w:rPr>
              <w:t>15</w:t>
            </w:r>
            <w:r w:rsidRPr="00283708">
              <w:rPr>
                <w:rFonts w:eastAsia="Times New Roman" w:cs="Times New Roman"/>
                <w:b w:val="0"/>
                <w:color w:val="000000"/>
                <w:sz w:val="18"/>
                <w:szCs w:val="18"/>
                <w:lang w:eastAsia="en-MY"/>
              </w:rPr>
              <w:t>B</w:t>
            </w:r>
            <w:r w:rsidRPr="00283708">
              <w:rPr>
                <w:rFonts w:eastAsia="Times New Roman" w:cs="Times New Roman"/>
                <w:b w:val="0"/>
                <w:color w:val="000000"/>
                <w:sz w:val="18"/>
                <w:szCs w:val="18"/>
                <w:vertAlign w:val="subscript"/>
                <w:lang w:eastAsia="en-MY"/>
              </w:rPr>
              <w:t>10</w:t>
            </w:r>
            <w:r w:rsidRPr="00283708">
              <w:rPr>
                <w:rFonts w:eastAsia="Times New Roman" w:cs="Times New Roman"/>
                <w:b w:val="0"/>
                <w:color w:val="000000"/>
                <w:sz w:val="18"/>
                <w:szCs w:val="18"/>
                <w:lang w:eastAsia="en-MY"/>
              </w:rPr>
              <w:t>S</w:t>
            </w:r>
            <w:r w:rsidRPr="00283708">
              <w:rPr>
                <w:rFonts w:eastAsia="Times New Roman" w:cs="Times New Roman"/>
                <w:b w:val="0"/>
                <w:color w:val="000000"/>
                <w:sz w:val="18"/>
                <w:szCs w:val="18"/>
                <w:vertAlign w:val="subscript"/>
                <w:lang w:eastAsia="en-MY"/>
              </w:rPr>
              <w:t>60</w:t>
            </w:r>
            <w:r w:rsidRPr="00283708">
              <w:rPr>
                <w:rFonts w:eastAsia="Times New Roman" w:cs="Times New Roman"/>
                <w:b w:val="0"/>
                <w:color w:val="000000"/>
                <w:sz w:val="18"/>
                <w:szCs w:val="18"/>
                <w:lang w:eastAsia="en-MY"/>
              </w:rPr>
              <w:t>A</w:t>
            </w:r>
            <w:r w:rsidRPr="00283708">
              <w:rPr>
                <w:rFonts w:eastAsia="Times New Roman" w:cs="Times New Roman"/>
                <w:b w:val="0"/>
                <w:color w:val="000000"/>
                <w:sz w:val="18"/>
                <w:szCs w:val="18"/>
                <w:vertAlign w:val="subscript"/>
                <w:lang w:eastAsia="en-MY"/>
              </w:rPr>
              <w:t>5</w:t>
            </w:r>
            <w:r w:rsidRPr="00283708">
              <w:rPr>
                <w:rFonts w:eastAsia="Times New Roman" w:cs="Times New Roman"/>
                <w:b w:val="0"/>
                <w:color w:val="000000"/>
                <w:sz w:val="18"/>
                <w:szCs w:val="18"/>
                <w:lang w:eastAsia="en-MY"/>
              </w:rPr>
              <w:t>C</w:t>
            </w:r>
            <w:r w:rsidRPr="00283708">
              <w:rPr>
                <w:rFonts w:eastAsia="Times New Roman" w:cs="Times New Roman"/>
                <w:b w:val="0"/>
                <w:color w:val="000000"/>
                <w:sz w:val="18"/>
                <w:szCs w:val="18"/>
                <w:vertAlign w:val="subscript"/>
                <w:lang w:eastAsia="en-MY"/>
              </w:rPr>
              <w:t>10</w:t>
            </w:r>
          </w:p>
        </w:tc>
        <w:tc>
          <w:tcPr>
            <w:tcW w:w="3297" w:type="dxa"/>
            <w:tcBorders>
              <w:top w:val="nil"/>
              <w:left w:val="nil"/>
              <w:bottom w:val="nil"/>
              <w:right w:val="nil"/>
            </w:tcBorders>
            <w:shd w:val="clear" w:color="auto" w:fill="auto"/>
            <w:noWrap/>
            <w:vAlign w:val="center"/>
            <w:hideMark/>
          </w:tcPr>
          <w:p w14:paraId="1B9B564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 xml:space="preserve">Batched </w:t>
            </w:r>
          </w:p>
        </w:tc>
        <w:tc>
          <w:tcPr>
            <w:tcW w:w="851" w:type="dxa"/>
            <w:tcBorders>
              <w:top w:val="nil"/>
              <w:left w:val="nil"/>
              <w:bottom w:val="nil"/>
              <w:right w:val="nil"/>
            </w:tcBorders>
            <w:shd w:val="clear" w:color="auto" w:fill="auto"/>
            <w:noWrap/>
            <w:vAlign w:val="center"/>
            <w:hideMark/>
          </w:tcPr>
          <w:p w14:paraId="314A7262"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57.21</w:t>
            </w:r>
          </w:p>
        </w:tc>
        <w:tc>
          <w:tcPr>
            <w:tcW w:w="992" w:type="dxa"/>
            <w:tcBorders>
              <w:top w:val="nil"/>
              <w:left w:val="nil"/>
              <w:bottom w:val="nil"/>
              <w:right w:val="nil"/>
            </w:tcBorders>
            <w:shd w:val="clear" w:color="auto" w:fill="auto"/>
            <w:noWrap/>
            <w:vAlign w:val="center"/>
            <w:hideMark/>
          </w:tcPr>
          <w:p w14:paraId="1012EC1A"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8.09</w:t>
            </w:r>
          </w:p>
        </w:tc>
        <w:tc>
          <w:tcPr>
            <w:tcW w:w="992" w:type="dxa"/>
            <w:tcBorders>
              <w:top w:val="nil"/>
              <w:left w:val="nil"/>
              <w:bottom w:val="nil"/>
              <w:right w:val="nil"/>
            </w:tcBorders>
            <w:shd w:val="clear" w:color="auto" w:fill="auto"/>
            <w:noWrap/>
            <w:vAlign w:val="center"/>
            <w:hideMark/>
          </w:tcPr>
          <w:p w14:paraId="40F85466"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11.05</w:t>
            </w:r>
          </w:p>
        </w:tc>
        <w:tc>
          <w:tcPr>
            <w:tcW w:w="992" w:type="dxa"/>
            <w:tcBorders>
              <w:top w:val="nil"/>
              <w:left w:val="nil"/>
              <w:bottom w:val="nil"/>
              <w:right w:val="nil"/>
            </w:tcBorders>
            <w:shd w:val="clear" w:color="auto" w:fill="auto"/>
            <w:noWrap/>
            <w:vAlign w:val="center"/>
            <w:hideMark/>
          </w:tcPr>
          <w:p w14:paraId="11CA9451"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14.75</w:t>
            </w:r>
          </w:p>
        </w:tc>
        <w:tc>
          <w:tcPr>
            <w:tcW w:w="851" w:type="dxa"/>
            <w:tcBorders>
              <w:top w:val="nil"/>
              <w:left w:val="nil"/>
              <w:bottom w:val="nil"/>
              <w:right w:val="nil"/>
            </w:tcBorders>
            <w:shd w:val="clear" w:color="auto" w:fill="auto"/>
            <w:noWrap/>
            <w:vAlign w:val="center"/>
            <w:hideMark/>
          </w:tcPr>
          <w:p w14:paraId="23A890F0"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8.9</w:t>
            </w:r>
          </w:p>
        </w:tc>
        <w:tc>
          <w:tcPr>
            <w:tcW w:w="992" w:type="dxa"/>
            <w:tcBorders>
              <w:top w:val="nil"/>
              <w:left w:val="nil"/>
              <w:bottom w:val="nil"/>
              <w:right w:val="nil"/>
            </w:tcBorders>
            <w:shd w:val="clear" w:color="auto" w:fill="auto"/>
            <w:noWrap/>
            <w:vAlign w:val="center"/>
            <w:hideMark/>
          </w:tcPr>
          <w:p w14:paraId="14CD12CB"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1A56B3CA"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709" w:type="dxa"/>
            <w:tcBorders>
              <w:top w:val="nil"/>
              <w:left w:val="nil"/>
              <w:bottom w:val="nil"/>
              <w:right w:val="nil"/>
            </w:tcBorders>
            <w:shd w:val="clear" w:color="auto" w:fill="auto"/>
            <w:noWrap/>
            <w:vAlign w:val="center"/>
            <w:hideMark/>
          </w:tcPr>
          <w:p w14:paraId="0B3C0F26"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7" w:type="dxa"/>
            <w:tcBorders>
              <w:top w:val="nil"/>
              <w:left w:val="nil"/>
              <w:bottom w:val="nil"/>
              <w:right w:val="nil"/>
            </w:tcBorders>
            <w:shd w:val="clear" w:color="auto" w:fill="auto"/>
            <w:noWrap/>
            <w:vAlign w:val="center"/>
            <w:hideMark/>
          </w:tcPr>
          <w:p w14:paraId="1A1DD237"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r>
      <w:tr w:rsidR="00D740DC" w:rsidRPr="00283708" w14:paraId="0941DCC6" w14:textId="77777777" w:rsidTr="00B11F5F">
        <w:trPr>
          <w:trHeight w:val="300"/>
        </w:trPr>
        <w:tc>
          <w:tcPr>
            <w:tcW w:w="949" w:type="dxa"/>
            <w:vMerge/>
            <w:tcBorders>
              <w:top w:val="nil"/>
              <w:left w:val="nil"/>
              <w:bottom w:val="single" w:sz="8" w:space="0" w:color="000000"/>
              <w:right w:val="nil"/>
            </w:tcBorders>
            <w:vAlign w:val="center"/>
            <w:hideMark/>
          </w:tcPr>
          <w:p w14:paraId="41610443"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nil"/>
              <w:left w:val="nil"/>
              <w:bottom w:val="single" w:sz="8" w:space="0" w:color="000000"/>
              <w:right w:val="nil"/>
            </w:tcBorders>
            <w:vAlign w:val="center"/>
            <w:hideMark/>
          </w:tcPr>
          <w:p w14:paraId="41ED5495"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nil"/>
              <w:right w:val="nil"/>
            </w:tcBorders>
            <w:shd w:val="clear" w:color="auto" w:fill="auto"/>
            <w:noWrap/>
            <w:vAlign w:val="center"/>
            <w:hideMark/>
          </w:tcPr>
          <w:p w14:paraId="48D2B497"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Measured (XRF)</w:t>
            </w:r>
          </w:p>
        </w:tc>
        <w:tc>
          <w:tcPr>
            <w:tcW w:w="851" w:type="dxa"/>
            <w:tcBorders>
              <w:top w:val="nil"/>
              <w:left w:val="nil"/>
              <w:bottom w:val="nil"/>
              <w:right w:val="nil"/>
            </w:tcBorders>
            <w:shd w:val="clear" w:color="auto" w:fill="auto"/>
            <w:noWrap/>
            <w:vAlign w:val="center"/>
            <w:hideMark/>
          </w:tcPr>
          <w:p w14:paraId="5666E43D"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54.17</w:t>
            </w:r>
          </w:p>
        </w:tc>
        <w:tc>
          <w:tcPr>
            <w:tcW w:w="992" w:type="dxa"/>
            <w:tcBorders>
              <w:top w:val="nil"/>
              <w:left w:val="nil"/>
              <w:bottom w:val="nil"/>
              <w:right w:val="nil"/>
            </w:tcBorders>
            <w:shd w:val="clear" w:color="auto" w:fill="auto"/>
            <w:noWrap/>
            <w:vAlign w:val="center"/>
            <w:hideMark/>
          </w:tcPr>
          <w:p w14:paraId="444EDAC4"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8.01</w:t>
            </w:r>
          </w:p>
        </w:tc>
        <w:tc>
          <w:tcPr>
            <w:tcW w:w="992" w:type="dxa"/>
            <w:tcBorders>
              <w:top w:val="nil"/>
              <w:left w:val="nil"/>
              <w:bottom w:val="nil"/>
              <w:right w:val="nil"/>
            </w:tcBorders>
            <w:shd w:val="clear" w:color="auto" w:fill="auto"/>
            <w:noWrap/>
            <w:vAlign w:val="center"/>
            <w:hideMark/>
          </w:tcPr>
          <w:p w14:paraId="202B6C8B"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15.25</w:t>
            </w:r>
          </w:p>
        </w:tc>
        <w:tc>
          <w:tcPr>
            <w:tcW w:w="992" w:type="dxa"/>
            <w:tcBorders>
              <w:top w:val="nil"/>
              <w:left w:val="nil"/>
              <w:bottom w:val="nil"/>
              <w:right w:val="nil"/>
            </w:tcBorders>
            <w:shd w:val="clear" w:color="auto" w:fill="auto"/>
            <w:noWrap/>
            <w:vAlign w:val="center"/>
            <w:hideMark/>
          </w:tcPr>
          <w:p w14:paraId="3CEFD415"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13.05</w:t>
            </w:r>
          </w:p>
        </w:tc>
        <w:tc>
          <w:tcPr>
            <w:tcW w:w="851" w:type="dxa"/>
            <w:tcBorders>
              <w:top w:val="nil"/>
              <w:left w:val="nil"/>
              <w:bottom w:val="nil"/>
              <w:right w:val="nil"/>
            </w:tcBorders>
            <w:shd w:val="clear" w:color="auto" w:fill="auto"/>
            <w:noWrap/>
            <w:vAlign w:val="center"/>
            <w:hideMark/>
          </w:tcPr>
          <w:p w14:paraId="57A7FD5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8.43</w:t>
            </w:r>
          </w:p>
        </w:tc>
        <w:tc>
          <w:tcPr>
            <w:tcW w:w="992" w:type="dxa"/>
            <w:tcBorders>
              <w:top w:val="nil"/>
              <w:left w:val="nil"/>
              <w:bottom w:val="nil"/>
              <w:right w:val="nil"/>
            </w:tcBorders>
            <w:shd w:val="clear" w:color="auto" w:fill="auto"/>
            <w:noWrap/>
            <w:vAlign w:val="center"/>
            <w:hideMark/>
          </w:tcPr>
          <w:p w14:paraId="62AE2ED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4F48F30F"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709" w:type="dxa"/>
            <w:tcBorders>
              <w:top w:val="nil"/>
              <w:left w:val="nil"/>
              <w:bottom w:val="nil"/>
              <w:right w:val="nil"/>
            </w:tcBorders>
            <w:shd w:val="clear" w:color="auto" w:fill="auto"/>
            <w:noWrap/>
            <w:vAlign w:val="center"/>
            <w:hideMark/>
          </w:tcPr>
          <w:p w14:paraId="3CA15C51"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0.34</w:t>
            </w:r>
          </w:p>
        </w:tc>
        <w:tc>
          <w:tcPr>
            <w:tcW w:w="997" w:type="dxa"/>
            <w:tcBorders>
              <w:top w:val="nil"/>
              <w:left w:val="nil"/>
              <w:bottom w:val="nil"/>
              <w:right w:val="nil"/>
            </w:tcBorders>
            <w:shd w:val="clear" w:color="auto" w:fill="auto"/>
            <w:noWrap/>
            <w:vAlign w:val="center"/>
            <w:hideMark/>
          </w:tcPr>
          <w:p w14:paraId="155F6F69"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0.75</w:t>
            </w:r>
          </w:p>
        </w:tc>
      </w:tr>
      <w:tr w:rsidR="00D740DC" w:rsidRPr="00283708" w14:paraId="5C392E20" w14:textId="77777777" w:rsidTr="00B11F5F">
        <w:trPr>
          <w:trHeight w:val="300"/>
        </w:trPr>
        <w:tc>
          <w:tcPr>
            <w:tcW w:w="949" w:type="dxa"/>
            <w:vMerge/>
            <w:tcBorders>
              <w:top w:val="nil"/>
              <w:left w:val="nil"/>
              <w:bottom w:val="single" w:sz="8" w:space="0" w:color="000000"/>
              <w:right w:val="nil"/>
            </w:tcBorders>
            <w:vAlign w:val="center"/>
            <w:hideMark/>
          </w:tcPr>
          <w:p w14:paraId="3EBF524D"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nil"/>
              <w:left w:val="nil"/>
              <w:bottom w:val="single" w:sz="8" w:space="0" w:color="000000"/>
              <w:right w:val="nil"/>
            </w:tcBorders>
            <w:vAlign w:val="center"/>
            <w:hideMark/>
          </w:tcPr>
          <w:p w14:paraId="4CC51A8E"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nil"/>
              <w:right w:val="nil"/>
            </w:tcBorders>
            <w:shd w:val="clear" w:color="auto" w:fill="auto"/>
            <w:noWrap/>
            <w:vAlign w:val="center"/>
            <w:hideMark/>
          </w:tcPr>
          <w:p w14:paraId="40989779"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XRF (half boron)</w:t>
            </w:r>
          </w:p>
        </w:tc>
        <w:tc>
          <w:tcPr>
            <w:tcW w:w="851" w:type="dxa"/>
            <w:tcBorders>
              <w:top w:val="nil"/>
              <w:left w:val="nil"/>
              <w:bottom w:val="nil"/>
              <w:right w:val="nil"/>
            </w:tcBorders>
            <w:shd w:val="clear" w:color="auto" w:fill="auto"/>
            <w:noWrap/>
            <w:vAlign w:val="center"/>
            <w:hideMark/>
          </w:tcPr>
          <w:p w14:paraId="38F7C749"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54.17</w:t>
            </w:r>
          </w:p>
        </w:tc>
        <w:tc>
          <w:tcPr>
            <w:tcW w:w="992" w:type="dxa"/>
            <w:tcBorders>
              <w:top w:val="nil"/>
              <w:left w:val="nil"/>
              <w:bottom w:val="nil"/>
              <w:right w:val="nil"/>
            </w:tcBorders>
            <w:shd w:val="clear" w:color="auto" w:fill="auto"/>
            <w:noWrap/>
            <w:vAlign w:val="center"/>
            <w:hideMark/>
          </w:tcPr>
          <w:p w14:paraId="14A51C8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8.01</w:t>
            </w:r>
          </w:p>
        </w:tc>
        <w:tc>
          <w:tcPr>
            <w:tcW w:w="992" w:type="dxa"/>
            <w:tcBorders>
              <w:top w:val="nil"/>
              <w:left w:val="nil"/>
              <w:bottom w:val="nil"/>
              <w:right w:val="nil"/>
            </w:tcBorders>
            <w:shd w:val="clear" w:color="auto" w:fill="auto"/>
            <w:noWrap/>
            <w:vAlign w:val="center"/>
            <w:hideMark/>
          </w:tcPr>
          <w:p w14:paraId="1D452FA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7.62</w:t>
            </w:r>
          </w:p>
        </w:tc>
        <w:tc>
          <w:tcPr>
            <w:tcW w:w="992" w:type="dxa"/>
            <w:tcBorders>
              <w:top w:val="nil"/>
              <w:left w:val="nil"/>
              <w:bottom w:val="nil"/>
              <w:right w:val="nil"/>
            </w:tcBorders>
            <w:shd w:val="clear" w:color="auto" w:fill="auto"/>
            <w:noWrap/>
            <w:vAlign w:val="center"/>
            <w:hideMark/>
          </w:tcPr>
          <w:p w14:paraId="0242F39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13.05</w:t>
            </w:r>
          </w:p>
        </w:tc>
        <w:tc>
          <w:tcPr>
            <w:tcW w:w="851" w:type="dxa"/>
            <w:tcBorders>
              <w:top w:val="nil"/>
              <w:left w:val="nil"/>
              <w:bottom w:val="nil"/>
              <w:right w:val="nil"/>
            </w:tcBorders>
            <w:shd w:val="clear" w:color="auto" w:fill="auto"/>
            <w:noWrap/>
            <w:vAlign w:val="center"/>
            <w:hideMark/>
          </w:tcPr>
          <w:p w14:paraId="5D8899D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8.43</w:t>
            </w:r>
          </w:p>
        </w:tc>
        <w:tc>
          <w:tcPr>
            <w:tcW w:w="992" w:type="dxa"/>
            <w:tcBorders>
              <w:top w:val="nil"/>
              <w:left w:val="nil"/>
              <w:bottom w:val="nil"/>
              <w:right w:val="nil"/>
            </w:tcBorders>
            <w:shd w:val="clear" w:color="auto" w:fill="auto"/>
            <w:noWrap/>
            <w:vAlign w:val="center"/>
            <w:hideMark/>
          </w:tcPr>
          <w:p w14:paraId="5C83863B"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3CC1793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709" w:type="dxa"/>
            <w:tcBorders>
              <w:top w:val="nil"/>
              <w:left w:val="nil"/>
              <w:bottom w:val="nil"/>
              <w:right w:val="nil"/>
            </w:tcBorders>
            <w:shd w:val="clear" w:color="auto" w:fill="auto"/>
            <w:noWrap/>
            <w:vAlign w:val="center"/>
            <w:hideMark/>
          </w:tcPr>
          <w:p w14:paraId="6553655A"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0.34</w:t>
            </w:r>
          </w:p>
        </w:tc>
        <w:tc>
          <w:tcPr>
            <w:tcW w:w="997" w:type="dxa"/>
            <w:tcBorders>
              <w:top w:val="nil"/>
              <w:left w:val="nil"/>
              <w:bottom w:val="nil"/>
              <w:right w:val="nil"/>
            </w:tcBorders>
            <w:shd w:val="clear" w:color="auto" w:fill="auto"/>
            <w:noWrap/>
            <w:vAlign w:val="center"/>
            <w:hideMark/>
          </w:tcPr>
          <w:p w14:paraId="4B642701"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0.75</w:t>
            </w:r>
          </w:p>
        </w:tc>
      </w:tr>
      <w:tr w:rsidR="00D740DC" w:rsidRPr="00283708" w14:paraId="0DF410A4" w14:textId="77777777" w:rsidTr="00B11F5F">
        <w:trPr>
          <w:trHeight w:val="300"/>
        </w:trPr>
        <w:tc>
          <w:tcPr>
            <w:tcW w:w="949" w:type="dxa"/>
            <w:vMerge/>
            <w:tcBorders>
              <w:top w:val="nil"/>
              <w:left w:val="nil"/>
              <w:bottom w:val="single" w:sz="8" w:space="0" w:color="000000"/>
              <w:right w:val="nil"/>
            </w:tcBorders>
            <w:vAlign w:val="center"/>
            <w:hideMark/>
          </w:tcPr>
          <w:p w14:paraId="18AB5685"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nil"/>
              <w:left w:val="nil"/>
              <w:bottom w:val="single" w:sz="8" w:space="0" w:color="000000"/>
              <w:right w:val="nil"/>
            </w:tcBorders>
            <w:vAlign w:val="center"/>
            <w:hideMark/>
          </w:tcPr>
          <w:p w14:paraId="0022FE71"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nil"/>
              <w:right w:val="nil"/>
            </w:tcBorders>
            <w:shd w:val="clear" w:color="auto" w:fill="auto"/>
            <w:noWrap/>
            <w:vAlign w:val="center"/>
            <w:hideMark/>
          </w:tcPr>
          <w:p w14:paraId="5987EB86"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XRF (half boron - normalised)</w:t>
            </w:r>
          </w:p>
        </w:tc>
        <w:tc>
          <w:tcPr>
            <w:tcW w:w="851" w:type="dxa"/>
            <w:tcBorders>
              <w:top w:val="nil"/>
              <w:left w:val="nil"/>
              <w:bottom w:val="nil"/>
              <w:right w:val="nil"/>
            </w:tcBorders>
            <w:shd w:val="clear" w:color="auto" w:fill="auto"/>
            <w:noWrap/>
            <w:vAlign w:val="center"/>
            <w:hideMark/>
          </w:tcPr>
          <w:p w14:paraId="4E634F8B"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58.64</w:t>
            </w:r>
          </w:p>
        </w:tc>
        <w:tc>
          <w:tcPr>
            <w:tcW w:w="992" w:type="dxa"/>
            <w:tcBorders>
              <w:top w:val="nil"/>
              <w:left w:val="nil"/>
              <w:bottom w:val="nil"/>
              <w:right w:val="nil"/>
            </w:tcBorders>
            <w:shd w:val="clear" w:color="auto" w:fill="auto"/>
            <w:noWrap/>
            <w:vAlign w:val="center"/>
            <w:hideMark/>
          </w:tcPr>
          <w:p w14:paraId="52EF63E2"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8.67</w:t>
            </w:r>
          </w:p>
        </w:tc>
        <w:tc>
          <w:tcPr>
            <w:tcW w:w="992" w:type="dxa"/>
            <w:tcBorders>
              <w:top w:val="nil"/>
              <w:left w:val="nil"/>
              <w:bottom w:val="nil"/>
              <w:right w:val="nil"/>
            </w:tcBorders>
            <w:shd w:val="clear" w:color="auto" w:fill="auto"/>
            <w:noWrap/>
            <w:vAlign w:val="center"/>
            <w:hideMark/>
          </w:tcPr>
          <w:p w14:paraId="44D7AD84"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8.25</w:t>
            </w:r>
          </w:p>
        </w:tc>
        <w:tc>
          <w:tcPr>
            <w:tcW w:w="992" w:type="dxa"/>
            <w:tcBorders>
              <w:top w:val="nil"/>
              <w:left w:val="nil"/>
              <w:bottom w:val="nil"/>
              <w:right w:val="nil"/>
            </w:tcBorders>
            <w:shd w:val="clear" w:color="auto" w:fill="auto"/>
            <w:noWrap/>
            <w:vAlign w:val="center"/>
            <w:hideMark/>
          </w:tcPr>
          <w:p w14:paraId="212887AF"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14.13</w:t>
            </w:r>
          </w:p>
        </w:tc>
        <w:tc>
          <w:tcPr>
            <w:tcW w:w="851" w:type="dxa"/>
            <w:tcBorders>
              <w:top w:val="nil"/>
              <w:left w:val="nil"/>
              <w:bottom w:val="nil"/>
              <w:right w:val="nil"/>
            </w:tcBorders>
            <w:shd w:val="clear" w:color="auto" w:fill="auto"/>
            <w:noWrap/>
            <w:vAlign w:val="center"/>
            <w:hideMark/>
          </w:tcPr>
          <w:p w14:paraId="2AE9F92D"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9.12</w:t>
            </w:r>
          </w:p>
        </w:tc>
        <w:tc>
          <w:tcPr>
            <w:tcW w:w="992" w:type="dxa"/>
            <w:tcBorders>
              <w:top w:val="nil"/>
              <w:left w:val="nil"/>
              <w:bottom w:val="nil"/>
              <w:right w:val="nil"/>
            </w:tcBorders>
            <w:shd w:val="clear" w:color="auto" w:fill="auto"/>
            <w:noWrap/>
            <w:vAlign w:val="center"/>
            <w:hideMark/>
          </w:tcPr>
          <w:p w14:paraId="6D08FA74"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0C7D1C72"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709" w:type="dxa"/>
            <w:tcBorders>
              <w:top w:val="nil"/>
              <w:left w:val="nil"/>
              <w:bottom w:val="nil"/>
              <w:right w:val="nil"/>
            </w:tcBorders>
            <w:shd w:val="clear" w:color="auto" w:fill="auto"/>
            <w:noWrap/>
            <w:vAlign w:val="center"/>
            <w:hideMark/>
          </w:tcPr>
          <w:p w14:paraId="36B8EEE5"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0.37</w:t>
            </w:r>
          </w:p>
        </w:tc>
        <w:tc>
          <w:tcPr>
            <w:tcW w:w="997" w:type="dxa"/>
            <w:tcBorders>
              <w:top w:val="nil"/>
              <w:left w:val="nil"/>
              <w:bottom w:val="nil"/>
              <w:right w:val="nil"/>
            </w:tcBorders>
            <w:shd w:val="clear" w:color="auto" w:fill="auto"/>
            <w:noWrap/>
            <w:vAlign w:val="center"/>
            <w:hideMark/>
          </w:tcPr>
          <w:p w14:paraId="6FB1AAD8"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0.81</w:t>
            </w:r>
          </w:p>
        </w:tc>
      </w:tr>
      <w:tr w:rsidR="00D740DC" w:rsidRPr="00283708" w14:paraId="2C90B470" w14:textId="77777777" w:rsidTr="00B11F5F">
        <w:trPr>
          <w:trHeight w:val="315"/>
        </w:trPr>
        <w:tc>
          <w:tcPr>
            <w:tcW w:w="949" w:type="dxa"/>
            <w:vMerge/>
            <w:tcBorders>
              <w:top w:val="nil"/>
              <w:left w:val="nil"/>
              <w:bottom w:val="single" w:sz="8" w:space="0" w:color="000000"/>
              <w:right w:val="nil"/>
            </w:tcBorders>
            <w:vAlign w:val="center"/>
            <w:hideMark/>
          </w:tcPr>
          <w:p w14:paraId="672F13E8"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nil"/>
              <w:left w:val="nil"/>
              <w:bottom w:val="single" w:sz="8" w:space="0" w:color="000000"/>
              <w:right w:val="nil"/>
            </w:tcBorders>
            <w:vAlign w:val="center"/>
            <w:hideMark/>
          </w:tcPr>
          <w:p w14:paraId="141B8B31"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single" w:sz="8" w:space="0" w:color="auto"/>
              <w:right w:val="nil"/>
            </w:tcBorders>
            <w:shd w:val="clear" w:color="000000" w:fill="D9D9D9"/>
            <w:noWrap/>
            <w:vAlign w:val="center"/>
            <w:hideMark/>
          </w:tcPr>
          <w:p w14:paraId="7FB79D74"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Measured (ICP)</w:t>
            </w:r>
          </w:p>
        </w:tc>
        <w:tc>
          <w:tcPr>
            <w:tcW w:w="851" w:type="dxa"/>
            <w:tcBorders>
              <w:top w:val="nil"/>
              <w:left w:val="nil"/>
              <w:bottom w:val="single" w:sz="8" w:space="0" w:color="auto"/>
              <w:right w:val="nil"/>
            </w:tcBorders>
            <w:shd w:val="clear" w:color="000000" w:fill="D9D9D9"/>
            <w:noWrap/>
            <w:vAlign w:val="center"/>
            <w:hideMark/>
          </w:tcPr>
          <w:p w14:paraId="4220765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54.29</w:t>
            </w:r>
          </w:p>
        </w:tc>
        <w:tc>
          <w:tcPr>
            <w:tcW w:w="992" w:type="dxa"/>
            <w:tcBorders>
              <w:top w:val="nil"/>
              <w:left w:val="nil"/>
              <w:bottom w:val="single" w:sz="8" w:space="0" w:color="auto"/>
              <w:right w:val="nil"/>
            </w:tcBorders>
            <w:shd w:val="clear" w:color="000000" w:fill="D9D9D9"/>
            <w:noWrap/>
            <w:vAlign w:val="center"/>
            <w:hideMark/>
          </w:tcPr>
          <w:p w14:paraId="72696DC7"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6.53</w:t>
            </w:r>
          </w:p>
        </w:tc>
        <w:tc>
          <w:tcPr>
            <w:tcW w:w="992" w:type="dxa"/>
            <w:tcBorders>
              <w:top w:val="nil"/>
              <w:left w:val="nil"/>
              <w:bottom w:val="single" w:sz="8" w:space="0" w:color="auto"/>
              <w:right w:val="nil"/>
            </w:tcBorders>
            <w:shd w:val="clear" w:color="000000" w:fill="D9D9D9"/>
            <w:noWrap/>
            <w:vAlign w:val="center"/>
            <w:hideMark/>
          </w:tcPr>
          <w:p w14:paraId="51A55AA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7.04</w:t>
            </w:r>
          </w:p>
        </w:tc>
        <w:tc>
          <w:tcPr>
            <w:tcW w:w="992" w:type="dxa"/>
            <w:tcBorders>
              <w:top w:val="nil"/>
              <w:left w:val="nil"/>
              <w:bottom w:val="single" w:sz="8" w:space="0" w:color="auto"/>
              <w:right w:val="nil"/>
            </w:tcBorders>
            <w:shd w:val="clear" w:color="000000" w:fill="D9D9D9"/>
            <w:noWrap/>
            <w:vAlign w:val="center"/>
            <w:hideMark/>
          </w:tcPr>
          <w:p w14:paraId="4F92F60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19.78</w:t>
            </w:r>
          </w:p>
        </w:tc>
        <w:tc>
          <w:tcPr>
            <w:tcW w:w="851" w:type="dxa"/>
            <w:tcBorders>
              <w:top w:val="nil"/>
              <w:left w:val="nil"/>
              <w:bottom w:val="single" w:sz="8" w:space="0" w:color="auto"/>
              <w:right w:val="nil"/>
            </w:tcBorders>
            <w:shd w:val="clear" w:color="000000" w:fill="D9D9D9"/>
            <w:noWrap/>
            <w:vAlign w:val="center"/>
            <w:hideMark/>
          </w:tcPr>
          <w:p w14:paraId="53F664E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11.79</w:t>
            </w:r>
          </w:p>
        </w:tc>
        <w:tc>
          <w:tcPr>
            <w:tcW w:w="992" w:type="dxa"/>
            <w:tcBorders>
              <w:top w:val="nil"/>
              <w:left w:val="nil"/>
              <w:bottom w:val="single" w:sz="8" w:space="0" w:color="auto"/>
              <w:right w:val="nil"/>
            </w:tcBorders>
            <w:shd w:val="clear" w:color="000000" w:fill="D9D9D9"/>
            <w:noWrap/>
            <w:vAlign w:val="center"/>
            <w:hideMark/>
          </w:tcPr>
          <w:p w14:paraId="2E8AE33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0.11</w:t>
            </w:r>
          </w:p>
        </w:tc>
        <w:tc>
          <w:tcPr>
            <w:tcW w:w="992" w:type="dxa"/>
            <w:tcBorders>
              <w:top w:val="nil"/>
              <w:left w:val="nil"/>
              <w:bottom w:val="single" w:sz="8" w:space="0" w:color="auto"/>
              <w:right w:val="nil"/>
            </w:tcBorders>
            <w:shd w:val="clear" w:color="000000" w:fill="D9D9D9"/>
            <w:noWrap/>
            <w:vAlign w:val="center"/>
            <w:hideMark/>
          </w:tcPr>
          <w:p w14:paraId="213C80C4"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709" w:type="dxa"/>
            <w:tcBorders>
              <w:top w:val="nil"/>
              <w:left w:val="nil"/>
              <w:bottom w:val="single" w:sz="8" w:space="0" w:color="auto"/>
              <w:right w:val="nil"/>
            </w:tcBorders>
            <w:shd w:val="clear" w:color="000000" w:fill="D9D9D9"/>
            <w:noWrap/>
            <w:vAlign w:val="center"/>
            <w:hideMark/>
          </w:tcPr>
          <w:p w14:paraId="29249E5F"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0.24</w:t>
            </w:r>
          </w:p>
        </w:tc>
        <w:tc>
          <w:tcPr>
            <w:tcW w:w="997" w:type="dxa"/>
            <w:tcBorders>
              <w:top w:val="nil"/>
              <w:left w:val="nil"/>
              <w:bottom w:val="single" w:sz="8" w:space="0" w:color="auto"/>
              <w:right w:val="nil"/>
            </w:tcBorders>
            <w:shd w:val="clear" w:color="000000" w:fill="D9D9D9"/>
            <w:noWrap/>
            <w:vAlign w:val="center"/>
            <w:hideMark/>
          </w:tcPr>
          <w:p w14:paraId="7CDC5AB4"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0.22</w:t>
            </w:r>
          </w:p>
        </w:tc>
      </w:tr>
      <w:tr w:rsidR="00D740DC" w:rsidRPr="00283708" w14:paraId="2CE19DC7" w14:textId="77777777" w:rsidTr="00B11F5F">
        <w:trPr>
          <w:trHeight w:val="300"/>
        </w:trPr>
        <w:tc>
          <w:tcPr>
            <w:tcW w:w="949" w:type="dxa"/>
            <w:vMerge/>
            <w:tcBorders>
              <w:top w:val="nil"/>
              <w:left w:val="nil"/>
              <w:bottom w:val="single" w:sz="8" w:space="0" w:color="000000"/>
              <w:right w:val="nil"/>
            </w:tcBorders>
            <w:vAlign w:val="center"/>
            <w:hideMark/>
          </w:tcPr>
          <w:p w14:paraId="4666E8B4"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val="restart"/>
            <w:tcBorders>
              <w:top w:val="nil"/>
              <w:left w:val="nil"/>
              <w:bottom w:val="single" w:sz="8" w:space="0" w:color="000000"/>
              <w:right w:val="nil"/>
            </w:tcBorders>
            <w:shd w:val="clear" w:color="auto" w:fill="auto"/>
            <w:noWrap/>
            <w:vAlign w:val="center"/>
            <w:hideMark/>
          </w:tcPr>
          <w:p w14:paraId="74FA2E2F"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N</w:t>
            </w:r>
            <w:r w:rsidRPr="00283708">
              <w:rPr>
                <w:rFonts w:eastAsia="Times New Roman" w:cs="Times New Roman"/>
                <w:b w:val="0"/>
                <w:color w:val="000000"/>
                <w:sz w:val="18"/>
                <w:szCs w:val="18"/>
                <w:vertAlign w:val="subscript"/>
                <w:lang w:eastAsia="en-MY"/>
              </w:rPr>
              <w:t>15</w:t>
            </w:r>
            <w:r w:rsidRPr="00283708">
              <w:rPr>
                <w:rFonts w:eastAsia="Times New Roman" w:cs="Times New Roman"/>
                <w:b w:val="0"/>
                <w:color w:val="000000"/>
                <w:sz w:val="18"/>
                <w:szCs w:val="18"/>
                <w:lang w:eastAsia="en-MY"/>
              </w:rPr>
              <w:t>B</w:t>
            </w:r>
            <w:r w:rsidRPr="00283708">
              <w:rPr>
                <w:rFonts w:eastAsia="Times New Roman" w:cs="Times New Roman"/>
                <w:b w:val="0"/>
                <w:color w:val="000000"/>
                <w:sz w:val="18"/>
                <w:szCs w:val="18"/>
                <w:vertAlign w:val="subscript"/>
                <w:lang w:eastAsia="en-MY"/>
              </w:rPr>
              <w:t>10</w:t>
            </w:r>
            <w:r w:rsidRPr="00283708">
              <w:rPr>
                <w:rFonts w:eastAsia="Times New Roman" w:cs="Times New Roman"/>
                <w:b w:val="0"/>
                <w:color w:val="000000"/>
                <w:sz w:val="18"/>
                <w:szCs w:val="18"/>
                <w:lang w:eastAsia="en-MY"/>
              </w:rPr>
              <w:t>S</w:t>
            </w:r>
            <w:r w:rsidRPr="00283708">
              <w:rPr>
                <w:rFonts w:eastAsia="Times New Roman" w:cs="Times New Roman"/>
                <w:b w:val="0"/>
                <w:color w:val="000000"/>
                <w:sz w:val="18"/>
                <w:szCs w:val="18"/>
                <w:vertAlign w:val="subscript"/>
                <w:lang w:eastAsia="en-MY"/>
              </w:rPr>
              <w:t>60</w:t>
            </w:r>
            <w:r w:rsidRPr="00283708">
              <w:rPr>
                <w:rFonts w:eastAsia="Times New Roman" w:cs="Times New Roman"/>
                <w:b w:val="0"/>
                <w:color w:val="000000"/>
                <w:sz w:val="18"/>
                <w:szCs w:val="18"/>
                <w:lang w:eastAsia="en-MY"/>
              </w:rPr>
              <w:t>A</w:t>
            </w:r>
            <w:r w:rsidRPr="00283708">
              <w:rPr>
                <w:rFonts w:eastAsia="Times New Roman" w:cs="Times New Roman"/>
                <w:b w:val="0"/>
                <w:color w:val="000000"/>
                <w:sz w:val="18"/>
                <w:szCs w:val="18"/>
                <w:vertAlign w:val="subscript"/>
                <w:lang w:eastAsia="en-MY"/>
              </w:rPr>
              <w:t>2.5</w:t>
            </w:r>
            <w:r w:rsidRPr="00283708">
              <w:rPr>
                <w:rFonts w:eastAsia="Times New Roman" w:cs="Times New Roman"/>
                <w:b w:val="0"/>
                <w:color w:val="000000"/>
                <w:sz w:val="18"/>
                <w:szCs w:val="18"/>
                <w:lang w:eastAsia="en-MY"/>
              </w:rPr>
              <w:t>C</w:t>
            </w:r>
            <w:r w:rsidRPr="00283708">
              <w:rPr>
                <w:rFonts w:eastAsia="Times New Roman" w:cs="Times New Roman"/>
                <w:b w:val="0"/>
                <w:color w:val="000000"/>
                <w:sz w:val="18"/>
                <w:szCs w:val="18"/>
                <w:vertAlign w:val="subscript"/>
                <w:lang w:eastAsia="en-MY"/>
              </w:rPr>
              <w:t>12.5</w:t>
            </w:r>
          </w:p>
        </w:tc>
        <w:tc>
          <w:tcPr>
            <w:tcW w:w="3297" w:type="dxa"/>
            <w:tcBorders>
              <w:top w:val="nil"/>
              <w:left w:val="nil"/>
              <w:bottom w:val="nil"/>
              <w:right w:val="nil"/>
            </w:tcBorders>
            <w:shd w:val="clear" w:color="auto" w:fill="auto"/>
            <w:noWrap/>
            <w:vAlign w:val="center"/>
            <w:hideMark/>
          </w:tcPr>
          <w:p w14:paraId="3CCAB76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 xml:space="preserve">Batched </w:t>
            </w:r>
          </w:p>
        </w:tc>
        <w:tc>
          <w:tcPr>
            <w:tcW w:w="851" w:type="dxa"/>
            <w:tcBorders>
              <w:top w:val="nil"/>
              <w:left w:val="nil"/>
              <w:bottom w:val="nil"/>
              <w:right w:val="nil"/>
            </w:tcBorders>
            <w:shd w:val="clear" w:color="auto" w:fill="auto"/>
            <w:noWrap/>
            <w:vAlign w:val="center"/>
            <w:hideMark/>
          </w:tcPr>
          <w:p w14:paraId="47EA239C"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58.27</w:t>
            </w:r>
          </w:p>
        </w:tc>
        <w:tc>
          <w:tcPr>
            <w:tcW w:w="992" w:type="dxa"/>
            <w:tcBorders>
              <w:top w:val="nil"/>
              <w:left w:val="nil"/>
              <w:bottom w:val="nil"/>
              <w:right w:val="nil"/>
            </w:tcBorders>
            <w:shd w:val="clear" w:color="auto" w:fill="auto"/>
            <w:noWrap/>
            <w:vAlign w:val="center"/>
            <w:hideMark/>
          </w:tcPr>
          <w:p w14:paraId="7C64FEEB"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4.12</w:t>
            </w:r>
          </w:p>
        </w:tc>
        <w:tc>
          <w:tcPr>
            <w:tcW w:w="992" w:type="dxa"/>
            <w:tcBorders>
              <w:top w:val="nil"/>
              <w:left w:val="nil"/>
              <w:bottom w:val="nil"/>
              <w:right w:val="nil"/>
            </w:tcBorders>
            <w:shd w:val="clear" w:color="auto" w:fill="auto"/>
            <w:noWrap/>
            <w:vAlign w:val="center"/>
            <w:hideMark/>
          </w:tcPr>
          <w:p w14:paraId="4994891D"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11.25</w:t>
            </w:r>
          </w:p>
        </w:tc>
        <w:tc>
          <w:tcPr>
            <w:tcW w:w="992" w:type="dxa"/>
            <w:tcBorders>
              <w:top w:val="nil"/>
              <w:left w:val="nil"/>
              <w:bottom w:val="nil"/>
              <w:right w:val="nil"/>
            </w:tcBorders>
            <w:shd w:val="clear" w:color="auto" w:fill="auto"/>
            <w:noWrap/>
            <w:vAlign w:val="center"/>
            <w:hideMark/>
          </w:tcPr>
          <w:p w14:paraId="625CEE3B"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15.03</w:t>
            </w:r>
          </w:p>
        </w:tc>
        <w:tc>
          <w:tcPr>
            <w:tcW w:w="851" w:type="dxa"/>
            <w:tcBorders>
              <w:top w:val="nil"/>
              <w:left w:val="nil"/>
              <w:bottom w:val="nil"/>
              <w:right w:val="nil"/>
            </w:tcBorders>
            <w:shd w:val="clear" w:color="auto" w:fill="auto"/>
            <w:noWrap/>
            <w:vAlign w:val="center"/>
            <w:hideMark/>
          </w:tcPr>
          <w:p w14:paraId="222C3F54"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11.33</w:t>
            </w:r>
          </w:p>
        </w:tc>
        <w:tc>
          <w:tcPr>
            <w:tcW w:w="992" w:type="dxa"/>
            <w:tcBorders>
              <w:top w:val="nil"/>
              <w:left w:val="nil"/>
              <w:bottom w:val="nil"/>
              <w:right w:val="nil"/>
            </w:tcBorders>
            <w:shd w:val="clear" w:color="auto" w:fill="auto"/>
            <w:noWrap/>
            <w:vAlign w:val="center"/>
            <w:hideMark/>
          </w:tcPr>
          <w:p w14:paraId="16863097"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3502D7BD"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709" w:type="dxa"/>
            <w:tcBorders>
              <w:top w:val="nil"/>
              <w:left w:val="nil"/>
              <w:bottom w:val="nil"/>
              <w:right w:val="nil"/>
            </w:tcBorders>
            <w:shd w:val="clear" w:color="auto" w:fill="auto"/>
            <w:noWrap/>
            <w:vAlign w:val="center"/>
            <w:hideMark/>
          </w:tcPr>
          <w:p w14:paraId="491B410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7" w:type="dxa"/>
            <w:tcBorders>
              <w:top w:val="nil"/>
              <w:left w:val="nil"/>
              <w:bottom w:val="nil"/>
              <w:right w:val="nil"/>
            </w:tcBorders>
            <w:shd w:val="clear" w:color="auto" w:fill="auto"/>
            <w:noWrap/>
            <w:vAlign w:val="center"/>
            <w:hideMark/>
          </w:tcPr>
          <w:p w14:paraId="359B964B"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r>
      <w:tr w:rsidR="00D740DC" w:rsidRPr="00283708" w14:paraId="2B8793B0" w14:textId="77777777" w:rsidTr="00B11F5F">
        <w:trPr>
          <w:trHeight w:val="300"/>
        </w:trPr>
        <w:tc>
          <w:tcPr>
            <w:tcW w:w="949" w:type="dxa"/>
            <w:vMerge/>
            <w:tcBorders>
              <w:top w:val="nil"/>
              <w:left w:val="nil"/>
              <w:bottom w:val="single" w:sz="8" w:space="0" w:color="000000"/>
              <w:right w:val="nil"/>
            </w:tcBorders>
            <w:vAlign w:val="center"/>
            <w:hideMark/>
          </w:tcPr>
          <w:p w14:paraId="666EAFA9"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nil"/>
              <w:left w:val="nil"/>
              <w:bottom w:val="single" w:sz="8" w:space="0" w:color="000000"/>
              <w:right w:val="nil"/>
            </w:tcBorders>
            <w:vAlign w:val="center"/>
            <w:hideMark/>
          </w:tcPr>
          <w:p w14:paraId="3F55D477"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nil"/>
              <w:right w:val="nil"/>
            </w:tcBorders>
            <w:shd w:val="clear" w:color="auto" w:fill="auto"/>
            <w:noWrap/>
            <w:vAlign w:val="center"/>
            <w:hideMark/>
          </w:tcPr>
          <w:p w14:paraId="5AC4AC8D"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Measured (XRF)</w:t>
            </w:r>
          </w:p>
        </w:tc>
        <w:tc>
          <w:tcPr>
            <w:tcW w:w="851" w:type="dxa"/>
            <w:tcBorders>
              <w:top w:val="nil"/>
              <w:left w:val="nil"/>
              <w:bottom w:val="nil"/>
              <w:right w:val="nil"/>
            </w:tcBorders>
            <w:shd w:val="clear" w:color="auto" w:fill="auto"/>
            <w:noWrap/>
            <w:vAlign w:val="center"/>
            <w:hideMark/>
          </w:tcPr>
          <w:p w14:paraId="461C7676"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54.07</w:t>
            </w:r>
          </w:p>
        </w:tc>
        <w:tc>
          <w:tcPr>
            <w:tcW w:w="992" w:type="dxa"/>
            <w:tcBorders>
              <w:top w:val="nil"/>
              <w:left w:val="nil"/>
              <w:bottom w:val="nil"/>
              <w:right w:val="nil"/>
            </w:tcBorders>
            <w:shd w:val="clear" w:color="auto" w:fill="auto"/>
            <w:noWrap/>
            <w:vAlign w:val="center"/>
            <w:hideMark/>
          </w:tcPr>
          <w:p w14:paraId="4CF97385"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4.21</w:t>
            </w:r>
          </w:p>
        </w:tc>
        <w:tc>
          <w:tcPr>
            <w:tcW w:w="992" w:type="dxa"/>
            <w:tcBorders>
              <w:top w:val="nil"/>
              <w:left w:val="nil"/>
              <w:bottom w:val="nil"/>
              <w:right w:val="nil"/>
            </w:tcBorders>
            <w:shd w:val="clear" w:color="auto" w:fill="auto"/>
            <w:noWrap/>
            <w:vAlign w:val="center"/>
            <w:hideMark/>
          </w:tcPr>
          <w:p w14:paraId="18D18950"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17.18</w:t>
            </w:r>
          </w:p>
        </w:tc>
        <w:tc>
          <w:tcPr>
            <w:tcW w:w="992" w:type="dxa"/>
            <w:tcBorders>
              <w:top w:val="nil"/>
              <w:left w:val="nil"/>
              <w:bottom w:val="nil"/>
              <w:right w:val="nil"/>
            </w:tcBorders>
            <w:shd w:val="clear" w:color="auto" w:fill="auto"/>
            <w:noWrap/>
            <w:vAlign w:val="center"/>
            <w:hideMark/>
          </w:tcPr>
          <w:p w14:paraId="398D8D4B"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12.95</w:t>
            </w:r>
          </w:p>
        </w:tc>
        <w:tc>
          <w:tcPr>
            <w:tcW w:w="851" w:type="dxa"/>
            <w:tcBorders>
              <w:top w:val="nil"/>
              <w:left w:val="nil"/>
              <w:bottom w:val="nil"/>
              <w:right w:val="nil"/>
            </w:tcBorders>
            <w:shd w:val="clear" w:color="auto" w:fill="auto"/>
            <w:noWrap/>
            <w:vAlign w:val="center"/>
            <w:hideMark/>
          </w:tcPr>
          <w:p w14:paraId="067237D0"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10.35</w:t>
            </w:r>
          </w:p>
        </w:tc>
        <w:tc>
          <w:tcPr>
            <w:tcW w:w="992" w:type="dxa"/>
            <w:tcBorders>
              <w:top w:val="nil"/>
              <w:left w:val="nil"/>
              <w:bottom w:val="nil"/>
              <w:right w:val="nil"/>
            </w:tcBorders>
            <w:shd w:val="clear" w:color="auto" w:fill="auto"/>
            <w:noWrap/>
            <w:vAlign w:val="center"/>
            <w:hideMark/>
          </w:tcPr>
          <w:p w14:paraId="66D3D790"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6801A792"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709" w:type="dxa"/>
            <w:tcBorders>
              <w:top w:val="nil"/>
              <w:left w:val="nil"/>
              <w:bottom w:val="nil"/>
              <w:right w:val="nil"/>
            </w:tcBorders>
            <w:shd w:val="clear" w:color="auto" w:fill="auto"/>
            <w:noWrap/>
            <w:vAlign w:val="center"/>
            <w:hideMark/>
          </w:tcPr>
          <w:p w14:paraId="22867A56"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0.36</w:t>
            </w:r>
          </w:p>
        </w:tc>
        <w:tc>
          <w:tcPr>
            <w:tcW w:w="997" w:type="dxa"/>
            <w:tcBorders>
              <w:top w:val="nil"/>
              <w:left w:val="nil"/>
              <w:bottom w:val="nil"/>
              <w:right w:val="nil"/>
            </w:tcBorders>
            <w:shd w:val="clear" w:color="auto" w:fill="auto"/>
            <w:noWrap/>
            <w:vAlign w:val="center"/>
            <w:hideMark/>
          </w:tcPr>
          <w:p w14:paraId="1C0FF71B"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0.88</w:t>
            </w:r>
          </w:p>
        </w:tc>
      </w:tr>
      <w:tr w:rsidR="00D740DC" w:rsidRPr="00283708" w14:paraId="02BA5669" w14:textId="77777777" w:rsidTr="00B11F5F">
        <w:trPr>
          <w:trHeight w:val="300"/>
        </w:trPr>
        <w:tc>
          <w:tcPr>
            <w:tcW w:w="949" w:type="dxa"/>
            <w:vMerge/>
            <w:tcBorders>
              <w:top w:val="nil"/>
              <w:left w:val="nil"/>
              <w:bottom w:val="single" w:sz="8" w:space="0" w:color="000000"/>
              <w:right w:val="nil"/>
            </w:tcBorders>
            <w:vAlign w:val="center"/>
            <w:hideMark/>
          </w:tcPr>
          <w:p w14:paraId="0B39885A"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nil"/>
              <w:left w:val="nil"/>
              <w:bottom w:val="single" w:sz="8" w:space="0" w:color="000000"/>
              <w:right w:val="nil"/>
            </w:tcBorders>
            <w:vAlign w:val="center"/>
            <w:hideMark/>
          </w:tcPr>
          <w:p w14:paraId="3930AE20"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nil"/>
              <w:right w:val="nil"/>
            </w:tcBorders>
            <w:shd w:val="clear" w:color="auto" w:fill="auto"/>
            <w:noWrap/>
            <w:vAlign w:val="center"/>
            <w:hideMark/>
          </w:tcPr>
          <w:p w14:paraId="1B94DBC4"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XRF (half boron)</w:t>
            </w:r>
          </w:p>
        </w:tc>
        <w:tc>
          <w:tcPr>
            <w:tcW w:w="851" w:type="dxa"/>
            <w:tcBorders>
              <w:top w:val="nil"/>
              <w:left w:val="nil"/>
              <w:bottom w:val="nil"/>
              <w:right w:val="nil"/>
            </w:tcBorders>
            <w:shd w:val="clear" w:color="auto" w:fill="auto"/>
            <w:noWrap/>
            <w:vAlign w:val="center"/>
            <w:hideMark/>
          </w:tcPr>
          <w:p w14:paraId="38BFB56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54.07</w:t>
            </w:r>
          </w:p>
        </w:tc>
        <w:tc>
          <w:tcPr>
            <w:tcW w:w="992" w:type="dxa"/>
            <w:tcBorders>
              <w:top w:val="nil"/>
              <w:left w:val="nil"/>
              <w:bottom w:val="nil"/>
              <w:right w:val="nil"/>
            </w:tcBorders>
            <w:shd w:val="clear" w:color="auto" w:fill="auto"/>
            <w:noWrap/>
            <w:vAlign w:val="center"/>
            <w:hideMark/>
          </w:tcPr>
          <w:p w14:paraId="2D9E5FDF"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4.21</w:t>
            </w:r>
          </w:p>
        </w:tc>
        <w:tc>
          <w:tcPr>
            <w:tcW w:w="992" w:type="dxa"/>
            <w:tcBorders>
              <w:top w:val="nil"/>
              <w:left w:val="nil"/>
              <w:bottom w:val="nil"/>
              <w:right w:val="nil"/>
            </w:tcBorders>
            <w:shd w:val="clear" w:color="auto" w:fill="auto"/>
            <w:noWrap/>
            <w:vAlign w:val="center"/>
            <w:hideMark/>
          </w:tcPr>
          <w:p w14:paraId="2FD0BDBD"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8.59</w:t>
            </w:r>
          </w:p>
        </w:tc>
        <w:tc>
          <w:tcPr>
            <w:tcW w:w="992" w:type="dxa"/>
            <w:tcBorders>
              <w:top w:val="nil"/>
              <w:left w:val="nil"/>
              <w:bottom w:val="nil"/>
              <w:right w:val="nil"/>
            </w:tcBorders>
            <w:shd w:val="clear" w:color="auto" w:fill="auto"/>
            <w:noWrap/>
            <w:vAlign w:val="center"/>
            <w:hideMark/>
          </w:tcPr>
          <w:p w14:paraId="760BB95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12.95</w:t>
            </w:r>
          </w:p>
        </w:tc>
        <w:tc>
          <w:tcPr>
            <w:tcW w:w="851" w:type="dxa"/>
            <w:tcBorders>
              <w:top w:val="nil"/>
              <w:left w:val="nil"/>
              <w:bottom w:val="nil"/>
              <w:right w:val="nil"/>
            </w:tcBorders>
            <w:shd w:val="clear" w:color="auto" w:fill="auto"/>
            <w:noWrap/>
            <w:vAlign w:val="center"/>
            <w:hideMark/>
          </w:tcPr>
          <w:p w14:paraId="3AD191CD"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10.35</w:t>
            </w:r>
          </w:p>
        </w:tc>
        <w:tc>
          <w:tcPr>
            <w:tcW w:w="992" w:type="dxa"/>
            <w:tcBorders>
              <w:top w:val="nil"/>
              <w:left w:val="nil"/>
              <w:bottom w:val="nil"/>
              <w:right w:val="nil"/>
            </w:tcBorders>
            <w:shd w:val="clear" w:color="auto" w:fill="auto"/>
            <w:noWrap/>
            <w:vAlign w:val="center"/>
            <w:hideMark/>
          </w:tcPr>
          <w:p w14:paraId="14D327A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03A45A9B"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709" w:type="dxa"/>
            <w:tcBorders>
              <w:top w:val="nil"/>
              <w:left w:val="nil"/>
              <w:bottom w:val="nil"/>
              <w:right w:val="nil"/>
            </w:tcBorders>
            <w:shd w:val="clear" w:color="auto" w:fill="auto"/>
            <w:noWrap/>
            <w:vAlign w:val="center"/>
            <w:hideMark/>
          </w:tcPr>
          <w:p w14:paraId="53349D3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0.36</w:t>
            </w:r>
          </w:p>
        </w:tc>
        <w:tc>
          <w:tcPr>
            <w:tcW w:w="997" w:type="dxa"/>
            <w:tcBorders>
              <w:top w:val="nil"/>
              <w:left w:val="nil"/>
              <w:bottom w:val="nil"/>
              <w:right w:val="nil"/>
            </w:tcBorders>
            <w:shd w:val="clear" w:color="auto" w:fill="auto"/>
            <w:noWrap/>
            <w:vAlign w:val="center"/>
            <w:hideMark/>
          </w:tcPr>
          <w:p w14:paraId="2480F817"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0.88</w:t>
            </w:r>
          </w:p>
        </w:tc>
      </w:tr>
      <w:tr w:rsidR="00D740DC" w:rsidRPr="00283708" w14:paraId="697F41B6" w14:textId="77777777" w:rsidTr="00B11F5F">
        <w:trPr>
          <w:trHeight w:val="315"/>
        </w:trPr>
        <w:tc>
          <w:tcPr>
            <w:tcW w:w="949" w:type="dxa"/>
            <w:vMerge/>
            <w:tcBorders>
              <w:top w:val="nil"/>
              <w:left w:val="nil"/>
              <w:bottom w:val="single" w:sz="8" w:space="0" w:color="000000"/>
              <w:right w:val="nil"/>
            </w:tcBorders>
            <w:vAlign w:val="center"/>
            <w:hideMark/>
          </w:tcPr>
          <w:p w14:paraId="4191BBA2"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nil"/>
              <w:left w:val="nil"/>
              <w:bottom w:val="single" w:sz="8" w:space="0" w:color="000000"/>
              <w:right w:val="nil"/>
            </w:tcBorders>
            <w:vAlign w:val="center"/>
            <w:hideMark/>
          </w:tcPr>
          <w:p w14:paraId="0ED80641"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single" w:sz="8" w:space="0" w:color="auto"/>
              <w:right w:val="nil"/>
            </w:tcBorders>
            <w:shd w:val="clear" w:color="auto" w:fill="auto"/>
            <w:noWrap/>
            <w:vAlign w:val="center"/>
            <w:hideMark/>
          </w:tcPr>
          <w:p w14:paraId="1074B246"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XRF (half boron - normalised)</w:t>
            </w:r>
          </w:p>
        </w:tc>
        <w:tc>
          <w:tcPr>
            <w:tcW w:w="851" w:type="dxa"/>
            <w:tcBorders>
              <w:top w:val="nil"/>
              <w:left w:val="nil"/>
              <w:bottom w:val="single" w:sz="8" w:space="0" w:color="auto"/>
              <w:right w:val="nil"/>
            </w:tcBorders>
            <w:shd w:val="clear" w:color="auto" w:fill="auto"/>
            <w:noWrap/>
            <w:vAlign w:val="center"/>
            <w:hideMark/>
          </w:tcPr>
          <w:p w14:paraId="67E7E5EB"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59.15</w:t>
            </w:r>
          </w:p>
        </w:tc>
        <w:tc>
          <w:tcPr>
            <w:tcW w:w="992" w:type="dxa"/>
            <w:tcBorders>
              <w:top w:val="nil"/>
              <w:left w:val="nil"/>
              <w:bottom w:val="single" w:sz="8" w:space="0" w:color="auto"/>
              <w:right w:val="nil"/>
            </w:tcBorders>
            <w:shd w:val="clear" w:color="auto" w:fill="auto"/>
            <w:noWrap/>
            <w:vAlign w:val="center"/>
            <w:hideMark/>
          </w:tcPr>
          <w:p w14:paraId="466C54F1"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4.61</w:t>
            </w:r>
          </w:p>
        </w:tc>
        <w:tc>
          <w:tcPr>
            <w:tcW w:w="992" w:type="dxa"/>
            <w:tcBorders>
              <w:top w:val="nil"/>
              <w:left w:val="nil"/>
              <w:bottom w:val="single" w:sz="8" w:space="0" w:color="auto"/>
              <w:right w:val="nil"/>
            </w:tcBorders>
            <w:shd w:val="clear" w:color="auto" w:fill="auto"/>
            <w:noWrap/>
            <w:vAlign w:val="center"/>
            <w:hideMark/>
          </w:tcPr>
          <w:p w14:paraId="450382F5"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9.4</w:t>
            </w:r>
          </w:p>
        </w:tc>
        <w:tc>
          <w:tcPr>
            <w:tcW w:w="992" w:type="dxa"/>
            <w:tcBorders>
              <w:top w:val="nil"/>
              <w:left w:val="nil"/>
              <w:bottom w:val="single" w:sz="8" w:space="0" w:color="auto"/>
              <w:right w:val="nil"/>
            </w:tcBorders>
            <w:shd w:val="clear" w:color="auto" w:fill="auto"/>
            <w:noWrap/>
            <w:vAlign w:val="center"/>
            <w:hideMark/>
          </w:tcPr>
          <w:p w14:paraId="32C3CFF0"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14.17</w:t>
            </w:r>
          </w:p>
        </w:tc>
        <w:tc>
          <w:tcPr>
            <w:tcW w:w="851" w:type="dxa"/>
            <w:tcBorders>
              <w:top w:val="nil"/>
              <w:left w:val="nil"/>
              <w:bottom w:val="single" w:sz="8" w:space="0" w:color="auto"/>
              <w:right w:val="nil"/>
            </w:tcBorders>
            <w:shd w:val="clear" w:color="auto" w:fill="auto"/>
            <w:noWrap/>
            <w:vAlign w:val="center"/>
            <w:hideMark/>
          </w:tcPr>
          <w:p w14:paraId="1D0D0959"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11.32</w:t>
            </w:r>
          </w:p>
        </w:tc>
        <w:tc>
          <w:tcPr>
            <w:tcW w:w="992" w:type="dxa"/>
            <w:tcBorders>
              <w:top w:val="nil"/>
              <w:left w:val="nil"/>
              <w:bottom w:val="single" w:sz="8" w:space="0" w:color="auto"/>
              <w:right w:val="nil"/>
            </w:tcBorders>
            <w:shd w:val="clear" w:color="auto" w:fill="auto"/>
            <w:noWrap/>
            <w:vAlign w:val="center"/>
            <w:hideMark/>
          </w:tcPr>
          <w:p w14:paraId="182C6909"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single" w:sz="8" w:space="0" w:color="auto"/>
              <w:right w:val="nil"/>
            </w:tcBorders>
            <w:shd w:val="clear" w:color="auto" w:fill="auto"/>
            <w:noWrap/>
            <w:vAlign w:val="center"/>
            <w:hideMark/>
          </w:tcPr>
          <w:p w14:paraId="7AC63F9B"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709" w:type="dxa"/>
            <w:tcBorders>
              <w:top w:val="nil"/>
              <w:left w:val="nil"/>
              <w:bottom w:val="single" w:sz="8" w:space="0" w:color="auto"/>
              <w:right w:val="nil"/>
            </w:tcBorders>
            <w:shd w:val="clear" w:color="auto" w:fill="auto"/>
            <w:noWrap/>
            <w:vAlign w:val="center"/>
            <w:hideMark/>
          </w:tcPr>
          <w:p w14:paraId="2283062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0.4</w:t>
            </w:r>
          </w:p>
        </w:tc>
        <w:tc>
          <w:tcPr>
            <w:tcW w:w="997" w:type="dxa"/>
            <w:tcBorders>
              <w:top w:val="nil"/>
              <w:left w:val="nil"/>
              <w:bottom w:val="single" w:sz="8" w:space="0" w:color="auto"/>
              <w:right w:val="nil"/>
            </w:tcBorders>
            <w:shd w:val="clear" w:color="auto" w:fill="auto"/>
            <w:noWrap/>
            <w:vAlign w:val="center"/>
            <w:hideMark/>
          </w:tcPr>
          <w:p w14:paraId="178F24B0"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0.97</w:t>
            </w:r>
          </w:p>
        </w:tc>
      </w:tr>
      <w:tr w:rsidR="00D740DC" w:rsidRPr="00283708" w14:paraId="74B47B54" w14:textId="77777777" w:rsidTr="00B11F5F">
        <w:trPr>
          <w:trHeight w:val="300"/>
        </w:trPr>
        <w:tc>
          <w:tcPr>
            <w:tcW w:w="949" w:type="dxa"/>
            <w:vMerge w:val="restart"/>
            <w:tcBorders>
              <w:top w:val="nil"/>
              <w:left w:val="nil"/>
              <w:bottom w:val="single" w:sz="8" w:space="0" w:color="000000"/>
              <w:right w:val="nil"/>
            </w:tcBorders>
            <w:shd w:val="clear" w:color="auto" w:fill="auto"/>
            <w:noWrap/>
            <w:textDirection w:val="btLr"/>
            <w:vAlign w:val="center"/>
            <w:hideMark/>
          </w:tcPr>
          <w:p w14:paraId="5208D1C9" w14:textId="77777777" w:rsidR="00D740DC" w:rsidRPr="00283708" w:rsidRDefault="00D740DC" w:rsidP="00B11F5F">
            <w:pPr>
              <w:spacing w:after="0" w:line="240" w:lineRule="auto"/>
              <w:jc w:val="center"/>
              <w:rPr>
                <w:rFonts w:eastAsia="Times New Roman" w:cs="Times New Roman"/>
                <w:bCs/>
                <w:color w:val="000000"/>
                <w:szCs w:val="24"/>
                <w:lang w:eastAsia="en-MY"/>
              </w:rPr>
            </w:pPr>
            <w:r w:rsidRPr="00283708">
              <w:rPr>
                <w:rFonts w:eastAsia="Times New Roman" w:cs="Times New Roman"/>
                <w:bCs/>
                <w:color w:val="000000"/>
                <w:szCs w:val="24"/>
                <w:lang w:eastAsia="en-MY"/>
              </w:rPr>
              <w:t>N</w:t>
            </w:r>
            <w:r w:rsidRPr="00283708">
              <w:rPr>
                <w:rFonts w:eastAsia="Times New Roman" w:cs="Times New Roman"/>
                <w:bCs/>
                <w:color w:val="000000"/>
                <w:szCs w:val="24"/>
                <w:vertAlign w:val="subscript"/>
                <w:lang w:eastAsia="en-MY"/>
              </w:rPr>
              <w:t>15</w:t>
            </w:r>
            <w:r w:rsidRPr="00283708">
              <w:rPr>
                <w:rFonts w:eastAsia="Times New Roman" w:cs="Times New Roman"/>
                <w:bCs/>
                <w:color w:val="000000"/>
                <w:szCs w:val="24"/>
                <w:lang w:eastAsia="en-MY"/>
              </w:rPr>
              <w:t>Ba</w:t>
            </w:r>
            <w:r w:rsidRPr="00283708">
              <w:rPr>
                <w:rFonts w:eastAsia="Times New Roman" w:cs="Times New Roman"/>
                <w:bCs/>
                <w:color w:val="000000"/>
                <w:szCs w:val="24"/>
                <w:vertAlign w:val="subscript"/>
                <w:lang w:eastAsia="en-MY"/>
              </w:rPr>
              <w:t>x</w:t>
            </w:r>
            <w:r w:rsidRPr="00283708">
              <w:rPr>
                <w:rFonts w:eastAsia="Times New Roman" w:cs="Times New Roman"/>
                <w:bCs/>
                <w:color w:val="000000"/>
                <w:szCs w:val="24"/>
                <w:lang w:eastAsia="en-MY"/>
              </w:rPr>
              <w:t>A</w:t>
            </w:r>
            <w:r w:rsidRPr="00283708">
              <w:rPr>
                <w:rFonts w:eastAsia="Times New Roman" w:cs="Times New Roman"/>
                <w:bCs/>
                <w:color w:val="000000"/>
                <w:szCs w:val="24"/>
                <w:vertAlign w:val="subscript"/>
                <w:lang w:eastAsia="en-MY"/>
              </w:rPr>
              <w:t>15-x</w:t>
            </w:r>
            <w:r w:rsidRPr="00283708">
              <w:rPr>
                <w:rFonts w:eastAsia="Times New Roman" w:cs="Times New Roman"/>
                <w:bCs/>
                <w:color w:val="000000"/>
                <w:szCs w:val="24"/>
                <w:lang w:eastAsia="en-MY"/>
              </w:rPr>
              <w:t>B</w:t>
            </w:r>
            <w:r w:rsidRPr="00283708">
              <w:rPr>
                <w:rFonts w:eastAsia="Times New Roman" w:cs="Times New Roman"/>
                <w:bCs/>
                <w:color w:val="000000"/>
                <w:szCs w:val="24"/>
                <w:vertAlign w:val="subscript"/>
                <w:lang w:eastAsia="en-MY"/>
              </w:rPr>
              <w:t>10</w:t>
            </w:r>
            <w:r w:rsidRPr="00283708">
              <w:rPr>
                <w:rFonts w:eastAsia="Times New Roman" w:cs="Times New Roman"/>
                <w:bCs/>
                <w:color w:val="000000"/>
                <w:szCs w:val="24"/>
                <w:lang w:eastAsia="en-MY"/>
              </w:rPr>
              <w:t>S</w:t>
            </w:r>
            <w:r w:rsidRPr="00283708">
              <w:rPr>
                <w:rFonts w:eastAsia="Times New Roman" w:cs="Times New Roman"/>
                <w:bCs/>
                <w:color w:val="000000"/>
                <w:szCs w:val="24"/>
                <w:vertAlign w:val="subscript"/>
                <w:lang w:eastAsia="en-MY"/>
              </w:rPr>
              <w:t>60</w:t>
            </w:r>
          </w:p>
        </w:tc>
        <w:tc>
          <w:tcPr>
            <w:tcW w:w="2133" w:type="dxa"/>
            <w:vMerge w:val="restart"/>
            <w:tcBorders>
              <w:top w:val="nil"/>
              <w:left w:val="nil"/>
              <w:bottom w:val="single" w:sz="8" w:space="0" w:color="000000"/>
              <w:right w:val="nil"/>
            </w:tcBorders>
            <w:shd w:val="clear" w:color="auto" w:fill="auto"/>
            <w:noWrap/>
            <w:vAlign w:val="center"/>
            <w:hideMark/>
          </w:tcPr>
          <w:p w14:paraId="3764F0B9"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N</w:t>
            </w:r>
            <w:r w:rsidRPr="00283708">
              <w:rPr>
                <w:rFonts w:eastAsia="Times New Roman" w:cs="Times New Roman"/>
                <w:b w:val="0"/>
                <w:color w:val="000000"/>
                <w:sz w:val="18"/>
                <w:szCs w:val="18"/>
                <w:vertAlign w:val="subscript"/>
                <w:lang w:eastAsia="en-MY"/>
              </w:rPr>
              <w:t>15</w:t>
            </w:r>
            <w:r w:rsidRPr="00283708">
              <w:rPr>
                <w:rFonts w:eastAsia="Times New Roman" w:cs="Times New Roman"/>
                <w:b w:val="0"/>
                <w:color w:val="000000"/>
                <w:sz w:val="18"/>
                <w:szCs w:val="18"/>
                <w:lang w:eastAsia="en-MY"/>
              </w:rPr>
              <w:t>B</w:t>
            </w:r>
            <w:r w:rsidRPr="00283708">
              <w:rPr>
                <w:rFonts w:eastAsia="Times New Roman" w:cs="Times New Roman"/>
                <w:b w:val="0"/>
                <w:color w:val="000000"/>
                <w:sz w:val="18"/>
                <w:szCs w:val="18"/>
                <w:vertAlign w:val="subscript"/>
                <w:lang w:eastAsia="en-MY"/>
              </w:rPr>
              <w:t>10</w:t>
            </w:r>
            <w:r w:rsidRPr="00283708">
              <w:rPr>
                <w:rFonts w:eastAsia="Times New Roman" w:cs="Times New Roman"/>
                <w:b w:val="0"/>
                <w:color w:val="000000"/>
                <w:sz w:val="18"/>
                <w:szCs w:val="18"/>
                <w:lang w:eastAsia="en-MY"/>
              </w:rPr>
              <w:t>S</w:t>
            </w:r>
            <w:r w:rsidRPr="00283708">
              <w:rPr>
                <w:rFonts w:eastAsia="Times New Roman" w:cs="Times New Roman"/>
                <w:b w:val="0"/>
                <w:color w:val="000000"/>
                <w:sz w:val="18"/>
                <w:szCs w:val="18"/>
                <w:vertAlign w:val="subscript"/>
                <w:lang w:eastAsia="en-MY"/>
              </w:rPr>
              <w:t>60</w:t>
            </w:r>
            <w:r w:rsidRPr="00283708">
              <w:rPr>
                <w:rFonts w:eastAsia="Times New Roman" w:cs="Times New Roman"/>
                <w:b w:val="0"/>
                <w:color w:val="000000"/>
                <w:sz w:val="18"/>
                <w:szCs w:val="18"/>
                <w:lang w:eastAsia="en-MY"/>
              </w:rPr>
              <w:t>A</w:t>
            </w:r>
            <w:r w:rsidRPr="00283708">
              <w:rPr>
                <w:rFonts w:eastAsia="Times New Roman" w:cs="Times New Roman"/>
                <w:b w:val="0"/>
                <w:color w:val="000000"/>
                <w:sz w:val="18"/>
                <w:szCs w:val="18"/>
                <w:vertAlign w:val="subscript"/>
                <w:lang w:eastAsia="en-MY"/>
              </w:rPr>
              <w:t>7.5</w:t>
            </w:r>
            <w:r w:rsidRPr="00283708">
              <w:rPr>
                <w:rFonts w:eastAsia="Times New Roman" w:cs="Times New Roman"/>
                <w:b w:val="0"/>
                <w:color w:val="000000"/>
                <w:sz w:val="18"/>
                <w:szCs w:val="18"/>
                <w:lang w:eastAsia="en-MY"/>
              </w:rPr>
              <w:t>Ba</w:t>
            </w:r>
            <w:r w:rsidRPr="00283708">
              <w:rPr>
                <w:rFonts w:eastAsia="Times New Roman" w:cs="Times New Roman"/>
                <w:b w:val="0"/>
                <w:color w:val="000000"/>
                <w:sz w:val="18"/>
                <w:szCs w:val="18"/>
                <w:vertAlign w:val="subscript"/>
                <w:lang w:eastAsia="en-MY"/>
              </w:rPr>
              <w:t>7.5</w:t>
            </w:r>
          </w:p>
        </w:tc>
        <w:tc>
          <w:tcPr>
            <w:tcW w:w="3297" w:type="dxa"/>
            <w:tcBorders>
              <w:top w:val="nil"/>
              <w:left w:val="nil"/>
              <w:bottom w:val="nil"/>
              <w:right w:val="nil"/>
            </w:tcBorders>
            <w:shd w:val="clear" w:color="auto" w:fill="auto"/>
            <w:noWrap/>
            <w:vAlign w:val="center"/>
            <w:hideMark/>
          </w:tcPr>
          <w:p w14:paraId="3673C7D8"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 xml:space="preserve">Batched </w:t>
            </w:r>
          </w:p>
        </w:tc>
        <w:tc>
          <w:tcPr>
            <w:tcW w:w="851" w:type="dxa"/>
            <w:tcBorders>
              <w:top w:val="nil"/>
              <w:left w:val="nil"/>
              <w:bottom w:val="nil"/>
              <w:right w:val="nil"/>
            </w:tcBorders>
            <w:shd w:val="clear" w:color="auto" w:fill="auto"/>
            <w:noWrap/>
            <w:vAlign w:val="center"/>
            <w:hideMark/>
          </w:tcPr>
          <w:p w14:paraId="12C66CC2"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50.45</w:t>
            </w:r>
          </w:p>
        </w:tc>
        <w:tc>
          <w:tcPr>
            <w:tcW w:w="992" w:type="dxa"/>
            <w:tcBorders>
              <w:top w:val="nil"/>
              <w:left w:val="nil"/>
              <w:bottom w:val="nil"/>
              <w:right w:val="nil"/>
            </w:tcBorders>
            <w:shd w:val="clear" w:color="auto" w:fill="auto"/>
            <w:noWrap/>
            <w:vAlign w:val="center"/>
            <w:hideMark/>
          </w:tcPr>
          <w:p w14:paraId="6147064C"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10.7</w:t>
            </w:r>
          </w:p>
        </w:tc>
        <w:tc>
          <w:tcPr>
            <w:tcW w:w="992" w:type="dxa"/>
            <w:tcBorders>
              <w:top w:val="nil"/>
              <w:left w:val="nil"/>
              <w:bottom w:val="nil"/>
              <w:right w:val="nil"/>
            </w:tcBorders>
            <w:shd w:val="clear" w:color="auto" w:fill="auto"/>
            <w:noWrap/>
            <w:vAlign w:val="center"/>
            <w:hideMark/>
          </w:tcPr>
          <w:p w14:paraId="7CC977CF"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9.74</w:t>
            </w:r>
          </w:p>
        </w:tc>
        <w:tc>
          <w:tcPr>
            <w:tcW w:w="992" w:type="dxa"/>
            <w:tcBorders>
              <w:top w:val="nil"/>
              <w:left w:val="nil"/>
              <w:bottom w:val="nil"/>
              <w:right w:val="nil"/>
            </w:tcBorders>
            <w:shd w:val="clear" w:color="auto" w:fill="auto"/>
            <w:noWrap/>
            <w:vAlign w:val="center"/>
            <w:hideMark/>
          </w:tcPr>
          <w:p w14:paraId="5806371C"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13.01</w:t>
            </w:r>
          </w:p>
        </w:tc>
        <w:tc>
          <w:tcPr>
            <w:tcW w:w="851" w:type="dxa"/>
            <w:tcBorders>
              <w:top w:val="nil"/>
              <w:left w:val="nil"/>
              <w:bottom w:val="nil"/>
              <w:right w:val="nil"/>
            </w:tcBorders>
            <w:shd w:val="clear" w:color="auto" w:fill="auto"/>
            <w:noWrap/>
            <w:vAlign w:val="center"/>
            <w:hideMark/>
          </w:tcPr>
          <w:p w14:paraId="017D1135"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3609BE2D"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2ED1865D"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16.09</w:t>
            </w:r>
          </w:p>
        </w:tc>
        <w:tc>
          <w:tcPr>
            <w:tcW w:w="709" w:type="dxa"/>
            <w:tcBorders>
              <w:top w:val="nil"/>
              <w:left w:val="nil"/>
              <w:bottom w:val="nil"/>
              <w:right w:val="nil"/>
            </w:tcBorders>
            <w:shd w:val="clear" w:color="auto" w:fill="auto"/>
            <w:noWrap/>
            <w:vAlign w:val="center"/>
            <w:hideMark/>
          </w:tcPr>
          <w:p w14:paraId="371C5DB3"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w:t>
            </w:r>
          </w:p>
        </w:tc>
        <w:tc>
          <w:tcPr>
            <w:tcW w:w="997" w:type="dxa"/>
            <w:tcBorders>
              <w:top w:val="nil"/>
              <w:left w:val="nil"/>
              <w:bottom w:val="nil"/>
              <w:right w:val="nil"/>
            </w:tcBorders>
            <w:shd w:val="clear" w:color="auto" w:fill="auto"/>
            <w:noWrap/>
            <w:vAlign w:val="center"/>
            <w:hideMark/>
          </w:tcPr>
          <w:p w14:paraId="5643738B"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r>
      <w:tr w:rsidR="00D740DC" w:rsidRPr="00283708" w14:paraId="6B049E26" w14:textId="77777777" w:rsidTr="00B11F5F">
        <w:trPr>
          <w:trHeight w:val="300"/>
        </w:trPr>
        <w:tc>
          <w:tcPr>
            <w:tcW w:w="949" w:type="dxa"/>
            <w:vMerge/>
            <w:tcBorders>
              <w:top w:val="nil"/>
              <w:left w:val="nil"/>
              <w:bottom w:val="single" w:sz="8" w:space="0" w:color="000000"/>
              <w:right w:val="nil"/>
            </w:tcBorders>
            <w:vAlign w:val="center"/>
            <w:hideMark/>
          </w:tcPr>
          <w:p w14:paraId="4AEC2B91"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nil"/>
              <w:left w:val="nil"/>
              <w:bottom w:val="single" w:sz="8" w:space="0" w:color="000000"/>
              <w:right w:val="nil"/>
            </w:tcBorders>
            <w:vAlign w:val="center"/>
            <w:hideMark/>
          </w:tcPr>
          <w:p w14:paraId="615042CC"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nil"/>
              <w:right w:val="nil"/>
            </w:tcBorders>
            <w:shd w:val="clear" w:color="auto" w:fill="auto"/>
            <w:noWrap/>
            <w:vAlign w:val="center"/>
            <w:hideMark/>
          </w:tcPr>
          <w:p w14:paraId="5F1F863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Measured (XRF)</w:t>
            </w:r>
          </w:p>
        </w:tc>
        <w:tc>
          <w:tcPr>
            <w:tcW w:w="851" w:type="dxa"/>
            <w:tcBorders>
              <w:top w:val="nil"/>
              <w:left w:val="nil"/>
              <w:bottom w:val="nil"/>
              <w:right w:val="nil"/>
            </w:tcBorders>
            <w:shd w:val="clear" w:color="auto" w:fill="auto"/>
            <w:noWrap/>
            <w:vAlign w:val="center"/>
            <w:hideMark/>
          </w:tcPr>
          <w:p w14:paraId="576DD535"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47.12</w:t>
            </w:r>
          </w:p>
        </w:tc>
        <w:tc>
          <w:tcPr>
            <w:tcW w:w="992" w:type="dxa"/>
            <w:tcBorders>
              <w:top w:val="nil"/>
              <w:left w:val="nil"/>
              <w:bottom w:val="nil"/>
              <w:right w:val="nil"/>
            </w:tcBorders>
            <w:shd w:val="clear" w:color="auto" w:fill="auto"/>
            <w:noWrap/>
            <w:vAlign w:val="center"/>
            <w:hideMark/>
          </w:tcPr>
          <w:p w14:paraId="2B99468B"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10.04</w:t>
            </w:r>
          </w:p>
        </w:tc>
        <w:tc>
          <w:tcPr>
            <w:tcW w:w="992" w:type="dxa"/>
            <w:tcBorders>
              <w:top w:val="nil"/>
              <w:left w:val="nil"/>
              <w:bottom w:val="nil"/>
              <w:right w:val="nil"/>
            </w:tcBorders>
            <w:shd w:val="clear" w:color="auto" w:fill="auto"/>
            <w:noWrap/>
            <w:vAlign w:val="center"/>
            <w:hideMark/>
          </w:tcPr>
          <w:p w14:paraId="323418BD"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14.79</w:t>
            </w:r>
          </w:p>
        </w:tc>
        <w:tc>
          <w:tcPr>
            <w:tcW w:w="992" w:type="dxa"/>
            <w:tcBorders>
              <w:top w:val="nil"/>
              <w:left w:val="nil"/>
              <w:bottom w:val="nil"/>
              <w:right w:val="nil"/>
            </w:tcBorders>
            <w:shd w:val="clear" w:color="auto" w:fill="auto"/>
            <w:noWrap/>
            <w:vAlign w:val="center"/>
            <w:hideMark/>
          </w:tcPr>
          <w:p w14:paraId="13A5E720"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11.39</w:t>
            </w:r>
          </w:p>
        </w:tc>
        <w:tc>
          <w:tcPr>
            <w:tcW w:w="851" w:type="dxa"/>
            <w:tcBorders>
              <w:top w:val="nil"/>
              <w:left w:val="nil"/>
              <w:bottom w:val="nil"/>
              <w:right w:val="nil"/>
            </w:tcBorders>
            <w:shd w:val="clear" w:color="auto" w:fill="auto"/>
            <w:noWrap/>
            <w:vAlign w:val="center"/>
            <w:hideMark/>
          </w:tcPr>
          <w:p w14:paraId="5EA06FA5"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4BE7EF8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1BDDA93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14.3</w:t>
            </w:r>
          </w:p>
        </w:tc>
        <w:tc>
          <w:tcPr>
            <w:tcW w:w="709" w:type="dxa"/>
            <w:tcBorders>
              <w:top w:val="nil"/>
              <w:left w:val="nil"/>
              <w:bottom w:val="nil"/>
              <w:right w:val="nil"/>
            </w:tcBorders>
            <w:shd w:val="clear" w:color="auto" w:fill="auto"/>
            <w:noWrap/>
            <w:vAlign w:val="center"/>
            <w:hideMark/>
          </w:tcPr>
          <w:p w14:paraId="21B0CD1D"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0.35</w:t>
            </w:r>
          </w:p>
        </w:tc>
        <w:tc>
          <w:tcPr>
            <w:tcW w:w="997" w:type="dxa"/>
            <w:tcBorders>
              <w:top w:val="nil"/>
              <w:left w:val="nil"/>
              <w:bottom w:val="nil"/>
              <w:right w:val="nil"/>
            </w:tcBorders>
            <w:shd w:val="clear" w:color="auto" w:fill="auto"/>
            <w:noWrap/>
            <w:vAlign w:val="center"/>
            <w:hideMark/>
          </w:tcPr>
          <w:p w14:paraId="16B9A53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2</w:t>
            </w:r>
          </w:p>
        </w:tc>
      </w:tr>
      <w:tr w:rsidR="00D740DC" w:rsidRPr="00283708" w14:paraId="2BEC4648" w14:textId="77777777" w:rsidTr="00B11F5F">
        <w:trPr>
          <w:trHeight w:val="300"/>
        </w:trPr>
        <w:tc>
          <w:tcPr>
            <w:tcW w:w="949" w:type="dxa"/>
            <w:vMerge/>
            <w:tcBorders>
              <w:top w:val="nil"/>
              <w:left w:val="nil"/>
              <w:bottom w:val="single" w:sz="8" w:space="0" w:color="000000"/>
              <w:right w:val="nil"/>
            </w:tcBorders>
            <w:vAlign w:val="center"/>
            <w:hideMark/>
          </w:tcPr>
          <w:p w14:paraId="2B341037"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nil"/>
              <w:left w:val="nil"/>
              <w:bottom w:val="single" w:sz="8" w:space="0" w:color="000000"/>
              <w:right w:val="nil"/>
            </w:tcBorders>
            <w:vAlign w:val="center"/>
            <w:hideMark/>
          </w:tcPr>
          <w:p w14:paraId="075EE3ED"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nil"/>
              <w:right w:val="nil"/>
            </w:tcBorders>
            <w:shd w:val="clear" w:color="auto" w:fill="auto"/>
            <w:noWrap/>
            <w:vAlign w:val="center"/>
            <w:hideMark/>
          </w:tcPr>
          <w:p w14:paraId="5E5ABBAF"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XRF (half boron)</w:t>
            </w:r>
          </w:p>
        </w:tc>
        <w:tc>
          <w:tcPr>
            <w:tcW w:w="851" w:type="dxa"/>
            <w:tcBorders>
              <w:top w:val="nil"/>
              <w:left w:val="nil"/>
              <w:bottom w:val="nil"/>
              <w:right w:val="nil"/>
            </w:tcBorders>
            <w:shd w:val="clear" w:color="auto" w:fill="auto"/>
            <w:noWrap/>
            <w:vAlign w:val="center"/>
            <w:hideMark/>
          </w:tcPr>
          <w:p w14:paraId="59DF1871"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47.12</w:t>
            </w:r>
          </w:p>
        </w:tc>
        <w:tc>
          <w:tcPr>
            <w:tcW w:w="992" w:type="dxa"/>
            <w:tcBorders>
              <w:top w:val="nil"/>
              <w:left w:val="nil"/>
              <w:bottom w:val="nil"/>
              <w:right w:val="nil"/>
            </w:tcBorders>
            <w:shd w:val="clear" w:color="auto" w:fill="auto"/>
            <w:noWrap/>
            <w:vAlign w:val="center"/>
            <w:hideMark/>
          </w:tcPr>
          <w:p w14:paraId="5EB98828"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10.04</w:t>
            </w:r>
          </w:p>
        </w:tc>
        <w:tc>
          <w:tcPr>
            <w:tcW w:w="992" w:type="dxa"/>
            <w:tcBorders>
              <w:top w:val="nil"/>
              <w:left w:val="nil"/>
              <w:bottom w:val="nil"/>
              <w:right w:val="nil"/>
            </w:tcBorders>
            <w:shd w:val="clear" w:color="auto" w:fill="auto"/>
            <w:noWrap/>
            <w:vAlign w:val="center"/>
            <w:hideMark/>
          </w:tcPr>
          <w:p w14:paraId="0EA94FF5"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7.39</w:t>
            </w:r>
          </w:p>
        </w:tc>
        <w:tc>
          <w:tcPr>
            <w:tcW w:w="992" w:type="dxa"/>
            <w:tcBorders>
              <w:top w:val="nil"/>
              <w:left w:val="nil"/>
              <w:bottom w:val="nil"/>
              <w:right w:val="nil"/>
            </w:tcBorders>
            <w:shd w:val="clear" w:color="auto" w:fill="auto"/>
            <w:noWrap/>
            <w:vAlign w:val="center"/>
            <w:hideMark/>
          </w:tcPr>
          <w:p w14:paraId="106D3349"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11.39</w:t>
            </w:r>
          </w:p>
        </w:tc>
        <w:tc>
          <w:tcPr>
            <w:tcW w:w="851" w:type="dxa"/>
            <w:tcBorders>
              <w:top w:val="nil"/>
              <w:left w:val="nil"/>
              <w:bottom w:val="nil"/>
              <w:right w:val="nil"/>
            </w:tcBorders>
            <w:shd w:val="clear" w:color="auto" w:fill="auto"/>
            <w:noWrap/>
            <w:vAlign w:val="center"/>
            <w:hideMark/>
          </w:tcPr>
          <w:p w14:paraId="485543B9"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0A13DFA2"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37771202"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14.3</w:t>
            </w:r>
          </w:p>
        </w:tc>
        <w:tc>
          <w:tcPr>
            <w:tcW w:w="709" w:type="dxa"/>
            <w:tcBorders>
              <w:top w:val="nil"/>
              <w:left w:val="nil"/>
              <w:bottom w:val="nil"/>
              <w:right w:val="nil"/>
            </w:tcBorders>
            <w:shd w:val="clear" w:color="auto" w:fill="auto"/>
            <w:noWrap/>
            <w:vAlign w:val="center"/>
            <w:hideMark/>
          </w:tcPr>
          <w:p w14:paraId="6DFAAD7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0.35</w:t>
            </w:r>
          </w:p>
        </w:tc>
        <w:tc>
          <w:tcPr>
            <w:tcW w:w="997" w:type="dxa"/>
            <w:tcBorders>
              <w:top w:val="nil"/>
              <w:left w:val="nil"/>
              <w:bottom w:val="nil"/>
              <w:right w:val="nil"/>
            </w:tcBorders>
            <w:shd w:val="clear" w:color="auto" w:fill="auto"/>
            <w:noWrap/>
            <w:vAlign w:val="center"/>
            <w:hideMark/>
          </w:tcPr>
          <w:p w14:paraId="44DEA1A6"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2</w:t>
            </w:r>
          </w:p>
        </w:tc>
      </w:tr>
      <w:tr w:rsidR="00D740DC" w:rsidRPr="00283708" w14:paraId="1E45FBE9" w14:textId="77777777" w:rsidTr="00B11F5F">
        <w:trPr>
          <w:trHeight w:val="315"/>
        </w:trPr>
        <w:tc>
          <w:tcPr>
            <w:tcW w:w="949" w:type="dxa"/>
            <w:vMerge/>
            <w:tcBorders>
              <w:top w:val="nil"/>
              <w:left w:val="nil"/>
              <w:bottom w:val="single" w:sz="8" w:space="0" w:color="000000"/>
              <w:right w:val="nil"/>
            </w:tcBorders>
            <w:vAlign w:val="center"/>
            <w:hideMark/>
          </w:tcPr>
          <w:p w14:paraId="2250FDFE"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nil"/>
              <w:left w:val="nil"/>
              <w:bottom w:val="single" w:sz="8" w:space="0" w:color="000000"/>
              <w:right w:val="nil"/>
            </w:tcBorders>
            <w:vAlign w:val="center"/>
            <w:hideMark/>
          </w:tcPr>
          <w:p w14:paraId="182CB7D7"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single" w:sz="8" w:space="0" w:color="auto"/>
              <w:right w:val="nil"/>
            </w:tcBorders>
            <w:shd w:val="clear" w:color="auto" w:fill="auto"/>
            <w:noWrap/>
            <w:vAlign w:val="center"/>
            <w:hideMark/>
          </w:tcPr>
          <w:p w14:paraId="06958049"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XRF (half boron - normalised)</w:t>
            </w:r>
          </w:p>
        </w:tc>
        <w:tc>
          <w:tcPr>
            <w:tcW w:w="851" w:type="dxa"/>
            <w:tcBorders>
              <w:top w:val="nil"/>
              <w:left w:val="nil"/>
              <w:bottom w:val="single" w:sz="8" w:space="0" w:color="auto"/>
              <w:right w:val="nil"/>
            </w:tcBorders>
            <w:shd w:val="clear" w:color="auto" w:fill="auto"/>
            <w:noWrap/>
            <w:vAlign w:val="center"/>
            <w:hideMark/>
          </w:tcPr>
          <w:p w14:paraId="30672771"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50.89</w:t>
            </w:r>
          </w:p>
        </w:tc>
        <w:tc>
          <w:tcPr>
            <w:tcW w:w="992" w:type="dxa"/>
            <w:tcBorders>
              <w:top w:val="nil"/>
              <w:left w:val="nil"/>
              <w:bottom w:val="single" w:sz="8" w:space="0" w:color="auto"/>
              <w:right w:val="nil"/>
            </w:tcBorders>
            <w:shd w:val="clear" w:color="auto" w:fill="auto"/>
            <w:noWrap/>
            <w:vAlign w:val="center"/>
            <w:hideMark/>
          </w:tcPr>
          <w:p w14:paraId="0060F95D"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10.84</w:t>
            </w:r>
          </w:p>
        </w:tc>
        <w:tc>
          <w:tcPr>
            <w:tcW w:w="992" w:type="dxa"/>
            <w:tcBorders>
              <w:top w:val="nil"/>
              <w:left w:val="nil"/>
              <w:bottom w:val="single" w:sz="8" w:space="0" w:color="auto"/>
              <w:right w:val="nil"/>
            </w:tcBorders>
            <w:shd w:val="clear" w:color="auto" w:fill="auto"/>
            <w:noWrap/>
            <w:vAlign w:val="center"/>
            <w:hideMark/>
          </w:tcPr>
          <w:p w14:paraId="234B1A10"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7.99</w:t>
            </w:r>
          </w:p>
        </w:tc>
        <w:tc>
          <w:tcPr>
            <w:tcW w:w="992" w:type="dxa"/>
            <w:tcBorders>
              <w:top w:val="nil"/>
              <w:left w:val="nil"/>
              <w:bottom w:val="single" w:sz="8" w:space="0" w:color="auto"/>
              <w:right w:val="nil"/>
            </w:tcBorders>
            <w:shd w:val="clear" w:color="auto" w:fill="auto"/>
            <w:noWrap/>
            <w:vAlign w:val="center"/>
            <w:hideMark/>
          </w:tcPr>
          <w:p w14:paraId="133390EA"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12.3</w:t>
            </w:r>
          </w:p>
        </w:tc>
        <w:tc>
          <w:tcPr>
            <w:tcW w:w="851" w:type="dxa"/>
            <w:tcBorders>
              <w:top w:val="nil"/>
              <w:left w:val="nil"/>
              <w:bottom w:val="single" w:sz="8" w:space="0" w:color="auto"/>
              <w:right w:val="nil"/>
            </w:tcBorders>
            <w:shd w:val="clear" w:color="auto" w:fill="auto"/>
            <w:noWrap/>
            <w:vAlign w:val="center"/>
            <w:hideMark/>
          </w:tcPr>
          <w:p w14:paraId="3C4B0C3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single" w:sz="8" w:space="0" w:color="auto"/>
              <w:right w:val="nil"/>
            </w:tcBorders>
            <w:shd w:val="clear" w:color="auto" w:fill="auto"/>
            <w:noWrap/>
            <w:vAlign w:val="center"/>
            <w:hideMark/>
          </w:tcPr>
          <w:p w14:paraId="262178F2"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single" w:sz="8" w:space="0" w:color="auto"/>
              <w:right w:val="nil"/>
            </w:tcBorders>
            <w:shd w:val="clear" w:color="auto" w:fill="auto"/>
            <w:noWrap/>
            <w:vAlign w:val="center"/>
            <w:hideMark/>
          </w:tcPr>
          <w:p w14:paraId="6D29AE42"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15.45</w:t>
            </w:r>
          </w:p>
        </w:tc>
        <w:tc>
          <w:tcPr>
            <w:tcW w:w="709" w:type="dxa"/>
            <w:tcBorders>
              <w:top w:val="nil"/>
              <w:left w:val="nil"/>
              <w:bottom w:val="single" w:sz="8" w:space="0" w:color="auto"/>
              <w:right w:val="nil"/>
            </w:tcBorders>
            <w:shd w:val="clear" w:color="auto" w:fill="auto"/>
            <w:noWrap/>
            <w:vAlign w:val="center"/>
            <w:hideMark/>
          </w:tcPr>
          <w:p w14:paraId="730F0BB7"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0.38</w:t>
            </w:r>
          </w:p>
        </w:tc>
        <w:tc>
          <w:tcPr>
            <w:tcW w:w="997" w:type="dxa"/>
            <w:tcBorders>
              <w:top w:val="nil"/>
              <w:left w:val="nil"/>
              <w:bottom w:val="single" w:sz="8" w:space="0" w:color="auto"/>
              <w:right w:val="nil"/>
            </w:tcBorders>
            <w:shd w:val="clear" w:color="auto" w:fill="auto"/>
            <w:noWrap/>
            <w:vAlign w:val="center"/>
            <w:hideMark/>
          </w:tcPr>
          <w:p w14:paraId="2341617F"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2.16</w:t>
            </w:r>
          </w:p>
        </w:tc>
      </w:tr>
      <w:tr w:rsidR="00D740DC" w:rsidRPr="00283708" w14:paraId="58ECE655" w14:textId="77777777" w:rsidTr="00B11F5F">
        <w:trPr>
          <w:trHeight w:val="300"/>
        </w:trPr>
        <w:tc>
          <w:tcPr>
            <w:tcW w:w="949" w:type="dxa"/>
            <w:vMerge/>
            <w:tcBorders>
              <w:top w:val="nil"/>
              <w:left w:val="nil"/>
              <w:bottom w:val="single" w:sz="8" w:space="0" w:color="000000"/>
              <w:right w:val="nil"/>
            </w:tcBorders>
            <w:vAlign w:val="center"/>
            <w:hideMark/>
          </w:tcPr>
          <w:p w14:paraId="7DDDEB03"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val="restart"/>
            <w:tcBorders>
              <w:top w:val="nil"/>
              <w:left w:val="nil"/>
              <w:bottom w:val="single" w:sz="8" w:space="0" w:color="000000"/>
              <w:right w:val="nil"/>
            </w:tcBorders>
            <w:shd w:val="clear" w:color="auto" w:fill="auto"/>
            <w:noWrap/>
            <w:vAlign w:val="center"/>
            <w:hideMark/>
          </w:tcPr>
          <w:p w14:paraId="458DDC55"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N</w:t>
            </w:r>
            <w:r w:rsidRPr="00283708">
              <w:rPr>
                <w:rFonts w:eastAsia="Times New Roman" w:cs="Times New Roman"/>
                <w:b w:val="0"/>
                <w:color w:val="000000"/>
                <w:sz w:val="18"/>
                <w:szCs w:val="18"/>
                <w:vertAlign w:val="subscript"/>
                <w:lang w:eastAsia="en-MY"/>
              </w:rPr>
              <w:t>15</w:t>
            </w:r>
            <w:r w:rsidRPr="00283708">
              <w:rPr>
                <w:rFonts w:eastAsia="Times New Roman" w:cs="Times New Roman"/>
                <w:b w:val="0"/>
                <w:color w:val="000000"/>
                <w:sz w:val="18"/>
                <w:szCs w:val="18"/>
                <w:lang w:eastAsia="en-MY"/>
              </w:rPr>
              <w:t>B</w:t>
            </w:r>
            <w:r w:rsidRPr="00283708">
              <w:rPr>
                <w:rFonts w:eastAsia="Times New Roman" w:cs="Times New Roman"/>
                <w:b w:val="0"/>
                <w:color w:val="000000"/>
                <w:sz w:val="18"/>
                <w:szCs w:val="18"/>
                <w:vertAlign w:val="subscript"/>
                <w:lang w:eastAsia="en-MY"/>
              </w:rPr>
              <w:t>10</w:t>
            </w:r>
            <w:r w:rsidRPr="00283708">
              <w:rPr>
                <w:rFonts w:eastAsia="Times New Roman" w:cs="Times New Roman"/>
                <w:b w:val="0"/>
                <w:color w:val="000000"/>
                <w:sz w:val="18"/>
                <w:szCs w:val="18"/>
                <w:lang w:eastAsia="en-MY"/>
              </w:rPr>
              <w:t>S</w:t>
            </w:r>
            <w:r w:rsidRPr="00283708">
              <w:rPr>
                <w:rFonts w:eastAsia="Times New Roman" w:cs="Times New Roman"/>
                <w:b w:val="0"/>
                <w:color w:val="000000"/>
                <w:sz w:val="18"/>
                <w:szCs w:val="18"/>
                <w:vertAlign w:val="subscript"/>
                <w:lang w:eastAsia="en-MY"/>
              </w:rPr>
              <w:t>60</w:t>
            </w:r>
            <w:r w:rsidRPr="00283708">
              <w:rPr>
                <w:rFonts w:eastAsia="Times New Roman" w:cs="Times New Roman"/>
                <w:b w:val="0"/>
                <w:color w:val="000000"/>
                <w:sz w:val="18"/>
                <w:szCs w:val="18"/>
                <w:lang w:eastAsia="en-MY"/>
              </w:rPr>
              <w:t>A</w:t>
            </w:r>
            <w:r w:rsidRPr="00283708">
              <w:rPr>
                <w:rFonts w:eastAsia="Times New Roman" w:cs="Times New Roman"/>
                <w:b w:val="0"/>
                <w:color w:val="000000"/>
                <w:sz w:val="18"/>
                <w:szCs w:val="18"/>
                <w:vertAlign w:val="subscript"/>
                <w:lang w:eastAsia="en-MY"/>
              </w:rPr>
              <w:t>5</w:t>
            </w:r>
            <w:r w:rsidRPr="00283708">
              <w:rPr>
                <w:rFonts w:eastAsia="Times New Roman" w:cs="Times New Roman"/>
                <w:b w:val="0"/>
                <w:color w:val="000000"/>
                <w:sz w:val="18"/>
                <w:szCs w:val="18"/>
                <w:lang w:eastAsia="en-MY"/>
              </w:rPr>
              <w:t>Ba</w:t>
            </w:r>
            <w:r w:rsidRPr="00283708">
              <w:rPr>
                <w:rFonts w:eastAsia="Times New Roman" w:cs="Times New Roman"/>
                <w:b w:val="0"/>
                <w:color w:val="000000"/>
                <w:sz w:val="18"/>
                <w:szCs w:val="18"/>
                <w:vertAlign w:val="subscript"/>
                <w:lang w:eastAsia="en-MY"/>
              </w:rPr>
              <w:t>10</w:t>
            </w:r>
          </w:p>
        </w:tc>
        <w:tc>
          <w:tcPr>
            <w:tcW w:w="3297" w:type="dxa"/>
            <w:tcBorders>
              <w:top w:val="nil"/>
              <w:left w:val="nil"/>
              <w:bottom w:val="nil"/>
              <w:right w:val="nil"/>
            </w:tcBorders>
            <w:shd w:val="clear" w:color="auto" w:fill="auto"/>
            <w:noWrap/>
            <w:vAlign w:val="center"/>
            <w:hideMark/>
          </w:tcPr>
          <w:p w14:paraId="6E4A87A9"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 xml:space="preserve">Batched </w:t>
            </w:r>
          </w:p>
        </w:tc>
        <w:tc>
          <w:tcPr>
            <w:tcW w:w="851" w:type="dxa"/>
            <w:tcBorders>
              <w:top w:val="nil"/>
              <w:left w:val="nil"/>
              <w:bottom w:val="nil"/>
              <w:right w:val="nil"/>
            </w:tcBorders>
            <w:shd w:val="clear" w:color="auto" w:fill="auto"/>
            <w:noWrap/>
            <w:vAlign w:val="center"/>
            <w:hideMark/>
          </w:tcPr>
          <w:p w14:paraId="3C4355FB"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49.56</w:t>
            </w:r>
          </w:p>
        </w:tc>
        <w:tc>
          <w:tcPr>
            <w:tcW w:w="992" w:type="dxa"/>
            <w:tcBorders>
              <w:top w:val="nil"/>
              <w:left w:val="nil"/>
              <w:bottom w:val="nil"/>
              <w:right w:val="nil"/>
            </w:tcBorders>
            <w:shd w:val="clear" w:color="auto" w:fill="auto"/>
            <w:noWrap/>
            <w:vAlign w:val="center"/>
            <w:hideMark/>
          </w:tcPr>
          <w:p w14:paraId="7E46541F"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7.01</w:t>
            </w:r>
          </w:p>
        </w:tc>
        <w:tc>
          <w:tcPr>
            <w:tcW w:w="992" w:type="dxa"/>
            <w:tcBorders>
              <w:top w:val="nil"/>
              <w:left w:val="nil"/>
              <w:bottom w:val="nil"/>
              <w:right w:val="nil"/>
            </w:tcBorders>
            <w:shd w:val="clear" w:color="auto" w:fill="auto"/>
            <w:noWrap/>
            <w:vAlign w:val="center"/>
            <w:hideMark/>
          </w:tcPr>
          <w:p w14:paraId="6B163693"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9.57</w:t>
            </w:r>
          </w:p>
        </w:tc>
        <w:tc>
          <w:tcPr>
            <w:tcW w:w="992" w:type="dxa"/>
            <w:tcBorders>
              <w:top w:val="nil"/>
              <w:left w:val="nil"/>
              <w:bottom w:val="nil"/>
              <w:right w:val="nil"/>
            </w:tcBorders>
            <w:shd w:val="clear" w:color="auto" w:fill="auto"/>
            <w:noWrap/>
            <w:vAlign w:val="center"/>
            <w:hideMark/>
          </w:tcPr>
          <w:p w14:paraId="4E38956B"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12.78</w:t>
            </w:r>
          </w:p>
        </w:tc>
        <w:tc>
          <w:tcPr>
            <w:tcW w:w="851" w:type="dxa"/>
            <w:tcBorders>
              <w:top w:val="nil"/>
              <w:left w:val="nil"/>
              <w:bottom w:val="nil"/>
              <w:right w:val="nil"/>
            </w:tcBorders>
            <w:shd w:val="clear" w:color="auto" w:fill="auto"/>
            <w:noWrap/>
            <w:vAlign w:val="center"/>
            <w:hideMark/>
          </w:tcPr>
          <w:p w14:paraId="6BC918FD"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1CD08A10"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074D4DE0"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21.08</w:t>
            </w:r>
          </w:p>
        </w:tc>
        <w:tc>
          <w:tcPr>
            <w:tcW w:w="709" w:type="dxa"/>
            <w:tcBorders>
              <w:top w:val="nil"/>
              <w:left w:val="nil"/>
              <w:bottom w:val="nil"/>
              <w:right w:val="nil"/>
            </w:tcBorders>
            <w:shd w:val="clear" w:color="auto" w:fill="auto"/>
            <w:noWrap/>
            <w:vAlign w:val="center"/>
            <w:hideMark/>
          </w:tcPr>
          <w:p w14:paraId="3BB1377C" w14:textId="77777777" w:rsidR="00D740DC" w:rsidRPr="00283708" w:rsidRDefault="00D740DC" w:rsidP="00B11F5F">
            <w:pPr>
              <w:spacing w:after="0" w:line="240" w:lineRule="auto"/>
              <w:jc w:val="center"/>
              <w:rPr>
                <w:rFonts w:eastAsia="Times New Roman" w:cs="Times New Roman"/>
                <w:bCs/>
                <w:color w:val="000000"/>
                <w:sz w:val="18"/>
                <w:szCs w:val="18"/>
                <w:lang w:eastAsia="en-MY"/>
              </w:rPr>
            </w:pPr>
            <w:r w:rsidRPr="00283708">
              <w:rPr>
                <w:rFonts w:eastAsia="Times New Roman" w:cs="Times New Roman"/>
                <w:bCs/>
                <w:color w:val="000000"/>
                <w:sz w:val="18"/>
                <w:szCs w:val="18"/>
                <w:lang w:eastAsia="en-MY"/>
              </w:rPr>
              <w:t>-</w:t>
            </w:r>
          </w:p>
        </w:tc>
        <w:tc>
          <w:tcPr>
            <w:tcW w:w="997" w:type="dxa"/>
            <w:tcBorders>
              <w:top w:val="nil"/>
              <w:left w:val="nil"/>
              <w:bottom w:val="nil"/>
              <w:right w:val="nil"/>
            </w:tcBorders>
            <w:shd w:val="clear" w:color="auto" w:fill="auto"/>
            <w:noWrap/>
            <w:vAlign w:val="center"/>
            <w:hideMark/>
          </w:tcPr>
          <w:p w14:paraId="18AA50DD"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 </w:t>
            </w:r>
            <w:r w:rsidRPr="00283708">
              <w:rPr>
                <w:rFonts w:ascii="Calibri" w:eastAsia="Times New Roman" w:hAnsi="Calibri" w:cs="Times New Roman"/>
                <w:b w:val="0"/>
                <w:color w:val="000000"/>
                <w:sz w:val="16"/>
                <w:szCs w:val="16"/>
                <w:lang w:eastAsia="en-MY"/>
              </w:rPr>
              <w:t> </w:t>
            </w:r>
          </w:p>
        </w:tc>
      </w:tr>
      <w:tr w:rsidR="00D740DC" w:rsidRPr="00283708" w14:paraId="0BA46A07" w14:textId="77777777" w:rsidTr="00B11F5F">
        <w:trPr>
          <w:trHeight w:val="300"/>
        </w:trPr>
        <w:tc>
          <w:tcPr>
            <w:tcW w:w="949" w:type="dxa"/>
            <w:vMerge/>
            <w:tcBorders>
              <w:top w:val="nil"/>
              <w:left w:val="nil"/>
              <w:bottom w:val="single" w:sz="8" w:space="0" w:color="000000"/>
              <w:right w:val="nil"/>
            </w:tcBorders>
            <w:vAlign w:val="center"/>
            <w:hideMark/>
          </w:tcPr>
          <w:p w14:paraId="134D1FA0"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nil"/>
              <w:left w:val="nil"/>
              <w:bottom w:val="single" w:sz="8" w:space="0" w:color="000000"/>
              <w:right w:val="nil"/>
            </w:tcBorders>
            <w:vAlign w:val="center"/>
            <w:hideMark/>
          </w:tcPr>
          <w:p w14:paraId="10C30150"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nil"/>
              <w:right w:val="nil"/>
            </w:tcBorders>
            <w:shd w:val="clear" w:color="auto" w:fill="auto"/>
            <w:noWrap/>
            <w:vAlign w:val="center"/>
            <w:hideMark/>
          </w:tcPr>
          <w:p w14:paraId="241618C8"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Measured (XRF)</w:t>
            </w:r>
          </w:p>
        </w:tc>
        <w:tc>
          <w:tcPr>
            <w:tcW w:w="851" w:type="dxa"/>
            <w:tcBorders>
              <w:top w:val="nil"/>
              <w:left w:val="nil"/>
              <w:bottom w:val="nil"/>
              <w:right w:val="nil"/>
            </w:tcBorders>
            <w:shd w:val="clear" w:color="auto" w:fill="auto"/>
            <w:noWrap/>
            <w:vAlign w:val="center"/>
            <w:hideMark/>
          </w:tcPr>
          <w:p w14:paraId="7EC16567"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46.43</w:t>
            </w:r>
          </w:p>
        </w:tc>
        <w:tc>
          <w:tcPr>
            <w:tcW w:w="992" w:type="dxa"/>
            <w:tcBorders>
              <w:top w:val="nil"/>
              <w:left w:val="nil"/>
              <w:bottom w:val="nil"/>
              <w:right w:val="nil"/>
            </w:tcBorders>
            <w:shd w:val="clear" w:color="auto" w:fill="auto"/>
            <w:noWrap/>
            <w:vAlign w:val="center"/>
            <w:hideMark/>
          </w:tcPr>
          <w:p w14:paraId="5C5C1BD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6.84</w:t>
            </w:r>
          </w:p>
        </w:tc>
        <w:tc>
          <w:tcPr>
            <w:tcW w:w="992" w:type="dxa"/>
            <w:tcBorders>
              <w:top w:val="nil"/>
              <w:left w:val="nil"/>
              <w:bottom w:val="nil"/>
              <w:right w:val="nil"/>
            </w:tcBorders>
            <w:shd w:val="clear" w:color="auto" w:fill="auto"/>
            <w:noWrap/>
            <w:vAlign w:val="center"/>
            <w:hideMark/>
          </w:tcPr>
          <w:p w14:paraId="54A44DC9"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12.54</w:t>
            </w:r>
          </w:p>
        </w:tc>
        <w:tc>
          <w:tcPr>
            <w:tcW w:w="992" w:type="dxa"/>
            <w:tcBorders>
              <w:top w:val="nil"/>
              <w:left w:val="nil"/>
              <w:bottom w:val="nil"/>
              <w:right w:val="nil"/>
            </w:tcBorders>
            <w:shd w:val="clear" w:color="auto" w:fill="auto"/>
            <w:noWrap/>
            <w:vAlign w:val="center"/>
            <w:hideMark/>
          </w:tcPr>
          <w:p w14:paraId="3E48F395"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11.24</w:t>
            </w:r>
          </w:p>
        </w:tc>
        <w:tc>
          <w:tcPr>
            <w:tcW w:w="851" w:type="dxa"/>
            <w:tcBorders>
              <w:top w:val="nil"/>
              <w:left w:val="nil"/>
              <w:bottom w:val="nil"/>
              <w:right w:val="nil"/>
            </w:tcBorders>
            <w:shd w:val="clear" w:color="auto" w:fill="auto"/>
            <w:noWrap/>
            <w:vAlign w:val="center"/>
            <w:hideMark/>
          </w:tcPr>
          <w:p w14:paraId="0FB5739F"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3F216218"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7EBD098F"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20.31</w:t>
            </w:r>
          </w:p>
        </w:tc>
        <w:tc>
          <w:tcPr>
            <w:tcW w:w="709" w:type="dxa"/>
            <w:tcBorders>
              <w:top w:val="nil"/>
              <w:left w:val="nil"/>
              <w:bottom w:val="nil"/>
              <w:right w:val="nil"/>
            </w:tcBorders>
            <w:shd w:val="clear" w:color="auto" w:fill="auto"/>
            <w:noWrap/>
            <w:vAlign w:val="center"/>
            <w:hideMark/>
          </w:tcPr>
          <w:p w14:paraId="3524A0C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0.33</w:t>
            </w:r>
          </w:p>
        </w:tc>
        <w:tc>
          <w:tcPr>
            <w:tcW w:w="997" w:type="dxa"/>
            <w:tcBorders>
              <w:top w:val="nil"/>
              <w:left w:val="nil"/>
              <w:bottom w:val="nil"/>
              <w:right w:val="nil"/>
            </w:tcBorders>
            <w:shd w:val="clear" w:color="auto" w:fill="auto"/>
            <w:noWrap/>
            <w:vAlign w:val="center"/>
            <w:hideMark/>
          </w:tcPr>
          <w:p w14:paraId="593970A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2.3</w:t>
            </w:r>
          </w:p>
        </w:tc>
      </w:tr>
      <w:tr w:rsidR="00D740DC" w:rsidRPr="00283708" w14:paraId="5499882B" w14:textId="77777777" w:rsidTr="00B11F5F">
        <w:trPr>
          <w:trHeight w:val="300"/>
        </w:trPr>
        <w:tc>
          <w:tcPr>
            <w:tcW w:w="949" w:type="dxa"/>
            <w:vMerge/>
            <w:tcBorders>
              <w:top w:val="nil"/>
              <w:left w:val="nil"/>
              <w:bottom w:val="single" w:sz="8" w:space="0" w:color="000000"/>
              <w:right w:val="nil"/>
            </w:tcBorders>
            <w:vAlign w:val="center"/>
            <w:hideMark/>
          </w:tcPr>
          <w:p w14:paraId="3D844577"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nil"/>
              <w:left w:val="nil"/>
              <w:bottom w:val="single" w:sz="8" w:space="0" w:color="000000"/>
              <w:right w:val="nil"/>
            </w:tcBorders>
            <w:vAlign w:val="center"/>
            <w:hideMark/>
          </w:tcPr>
          <w:p w14:paraId="1669C58B"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nil"/>
              <w:right w:val="nil"/>
            </w:tcBorders>
            <w:shd w:val="clear" w:color="auto" w:fill="auto"/>
            <w:noWrap/>
            <w:vAlign w:val="center"/>
            <w:hideMark/>
          </w:tcPr>
          <w:p w14:paraId="72CC1AC4"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XRF (half boron)</w:t>
            </w:r>
          </w:p>
        </w:tc>
        <w:tc>
          <w:tcPr>
            <w:tcW w:w="851" w:type="dxa"/>
            <w:tcBorders>
              <w:top w:val="nil"/>
              <w:left w:val="nil"/>
              <w:bottom w:val="nil"/>
              <w:right w:val="nil"/>
            </w:tcBorders>
            <w:shd w:val="clear" w:color="auto" w:fill="auto"/>
            <w:noWrap/>
            <w:vAlign w:val="center"/>
            <w:hideMark/>
          </w:tcPr>
          <w:p w14:paraId="1B2BD707"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46.43</w:t>
            </w:r>
          </w:p>
        </w:tc>
        <w:tc>
          <w:tcPr>
            <w:tcW w:w="992" w:type="dxa"/>
            <w:tcBorders>
              <w:top w:val="nil"/>
              <w:left w:val="nil"/>
              <w:bottom w:val="nil"/>
              <w:right w:val="nil"/>
            </w:tcBorders>
            <w:shd w:val="clear" w:color="auto" w:fill="auto"/>
            <w:noWrap/>
            <w:vAlign w:val="center"/>
            <w:hideMark/>
          </w:tcPr>
          <w:p w14:paraId="7BE4EAE6"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6.84</w:t>
            </w:r>
          </w:p>
        </w:tc>
        <w:tc>
          <w:tcPr>
            <w:tcW w:w="992" w:type="dxa"/>
            <w:tcBorders>
              <w:top w:val="nil"/>
              <w:left w:val="nil"/>
              <w:bottom w:val="nil"/>
              <w:right w:val="nil"/>
            </w:tcBorders>
            <w:shd w:val="clear" w:color="auto" w:fill="auto"/>
            <w:noWrap/>
            <w:vAlign w:val="center"/>
            <w:hideMark/>
          </w:tcPr>
          <w:p w14:paraId="1814851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6.27</w:t>
            </w:r>
          </w:p>
        </w:tc>
        <w:tc>
          <w:tcPr>
            <w:tcW w:w="992" w:type="dxa"/>
            <w:tcBorders>
              <w:top w:val="nil"/>
              <w:left w:val="nil"/>
              <w:bottom w:val="nil"/>
              <w:right w:val="nil"/>
            </w:tcBorders>
            <w:shd w:val="clear" w:color="auto" w:fill="auto"/>
            <w:noWrap/>
            <w:vAlign w:val="center"/>
            <w:hideMark/>
          </w:tcPr>
          <w:p w14:paraId="6641E5C5"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11.24</w:t>
            </w:r>
          </w:p>
        </w:tc>
        <w:tc>
          <w:tcPr>
            <w:tcW w:w="851" w:type="dxa"/>
            <w:tcBorders>
              <w:top w:val="nil"/>
              <w:left w:val="nil"/>
              <w:bottom w:val="nil"/>
              <w:right w:val="nil"/>
            </w:tcBorders>
            <w:shd w:val="clear" w:color="auto" w:fill="auto"/>
            <w:noWrap/>
            <w:vAlign w:val="center"/>
            <w:hideMark/>
          </w:tcPr>
          <w:p w14:paraId="0918956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0F294ECB"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3EC06D34"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20.31</w:t>
            </w:r>
          </w:p>
        </w:tc>
        <w:tc>
          <w:tcPr>
            <w:tcW w:w="709" w:type="dxa"/>
            <w:tcBorders>
              <w:top w:val="nil"/>
              <w:left w:val="nil"/>
              <w:bottom w:val="nil"/>
              <w:right w:val="nil"/>
            </w:tcBorders>
            <w:shd w:val="clear" w:color="auto" w:fill="auto"/>
            <w:noWrap/>
            <w:vAlign w:val="center"/>
            <w:hideMark/>
          </w:tcPr>
          <w:p w14:paraId="772A4B37"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0.33</w:t>
            </w:r>
          </w:p>
        </w:tc>
        <w:tc>
          <w:tcPr>
            <w:tcW w:w="997" w:type="dxa"/>
            <w:tcBorders>
              <w:top w:val="nil"/>
              <w:left w:val="nil"/>
              <w:bottom w:val="nil"/>
              <w:right w:val="nil"/>
            </w:tcBorders>
            <w:shd w:val="clear" w:color="auto" w:fill="auto"/>
            <w:noWrap/>
            <w:vAlign w:val="center"/>
            <w:hideMark/>
          </w:tcPr>
          <w:p w14:paraId="2C946954"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2.3</w:t>
            </w:r>
          </w:p>
        </w:tc>
      </w:tr>
      <w:tr w:rsidR="00D740DC" w:rsidRPr="00283708" w14:paraId="40CE0CE9" w14:textId="77777777" w:rsidTr="00B11F5F">
        <w:trPr>
          <w:trHeight w:val="300"/>
        </w:trPr>
        <w:tc>
          <w:tcPr>
            <w:tcW w:w="949" w:type="dxa"/>
            <w:vMerge/>
            <w:tcBorders>
              <w:top w:val="nil"/>
              <w:left w:val="nil"/>
              <w:bottom w:val="single" w:sz="8" w:space="0" w:color="000000"/>
              <w:right w:val="nil"/>
            </w:tcBorders>
            <w:vAlign w:val="center"/>
            <w:hideMark/>
          </w:tcPr>
          <w:p w14:paraId="2109AC7E"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nil"/>
              <w:left w:val="nil"/>
              <w:bottom w:val="single" w:sz="8" w:space="0" w:color="000000"/>
              <w:right w:val="nil"/>
            </w:tcBorders>
            <w:vAlign w:val="center"/>
            <w:hideMark/>
          </w:tcPr>
          <w:p w14:paraId="0B2B3392"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nil"/>
              <w:right w:val="nil"/>
            </w:tcBorders>
            <w:shd w:val="clear" w:color="auto" w:fill="auto"/>
            <w:noWrap/>
            <w:vAlign w:val="center"/>
            <w:hideMark/>
          </w:tcPr>
          <w:p w14:paraId="13661AB2"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XRF (half boron - normalised)</w:t>
            </w:r>
          </w:p>
        </w:tc>
        <w:tc>
          <w:tcPr>
            <w:tcW w:w="851" w:type="dxa"/>
            <w:tcBorders>
              <w:top w:val="nil"/>
              <w:left w:val="nil"/>
              <w:bottom w:val="nil"/>
              <w:right w:val="nil"/>
            </w:tcBorders>
            <w:shd w:val="clear" w:color="auto" w:fill="auto"/>
            <w:noWrap/>
            <w:vAlign w:val="center"/>
            <w:hideMark/>
          </w:tcPr>
          <w:p w14:paraId="4F1ACA0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49.54</w:t>
            </w:r>
          </w:p>
        </w:tc>
        <w:tc>
          <w:tcPr>
            <w:tcW w:w="992" w:type="dxa"/>
            <w:tcBorders>
              <w:top w:val="nil"/>
              <w:left w:val="nil"/>
              <w:bottom w:val="nil"/>
              <w:right w:val="nil"/>
            </w:tcBorders>
            <w:shd w:val="clear" w:color="auto" w:fill="auto"/>
            <w:noWrap/>
            <w:vAlign w:val="center"/>
            <w:hideMark/>
          </w:tcPr>
          <w:p w14:paraId="51C60EB7"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7.29</w:t>
            </w:r>
          </w:p>
        </w:tc>
        <w:tc>
          <w:tcPr>
            <w:tcW w:w="992" w:type="dxa"/>
            <w:tcBorders>
              <w:top w:val="nil"/>
              <w:left w:val="nil"/>
              <w:bottom w:val="nil"/>
              <w:right w:val="nil"/>
            </w:tcBorders>
            <w:shd w:val="clear" w:color="auto" w:fill="auto"/>
            <w:noWrap/>
            <w:vAlign w:val="center"/>
            <w:hideMark/>
          </w:tcPr>
          <w:p w14:paraId="362F72F3"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6.69</w:t>
            </w:r>
          </w:p>
        </w:tc>
        <w:tc>
          <w:tcPr>
            <w:tcW w:w="992" w:type="dxa"/>
            <w:tcBorders>
              <w:top w:val="nil"/>
              <w:left w:val="nil"/>
              <w:bottom w:val="nil"/>
              <w:right w:val="nil"/>
            </w:tcBorders>
            <w:shd w:val="clear" w:color="auto" w:fill="auto"/>
            <w:noWrap/>
            <w:vAlign w:val="center"/>
            <w:hideMark/>
          </w:tcPr>
          <w:p w14:paraId="5559A067"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11.99</w:t>
            </w:r>
          </w:p>
        </w:tc>
        <w:tc>
          <w:tcPr>
            <w:tcW w:w="851" w:type="dxa"/>
            <w:tcBorders>
              <w:top w:val="nil"/>
              <w:left w:val="nil"/>
              <w:bottom w:val="nil"/>
              <w:right w:val="nil"/>
            </w:tcBorders>
            <w:shd w:val="clear" w:color="auto" w:fill="auto"/>
            <w:noWrap/>
            <w:vAlign w:val="center"/>
            <w:hideMark/>
          </w:tcPr>
          <w:p w14:paraId="6A6B7E3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38D6B670"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nil"/>
              <w:right w:val="nil"/>
            </w:tcBorders>
            <w:shd w:val="clear" w:color="auto" w:fill="auto"/>
            <w:noWrap/>
            <w:vAlign w:val="center"/>
            <w:hideMark/>
          </w:tcPr>
          <w:p w14:paraId="2021BD15"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21.67</w:t>
            </w:r>
          </w:p>
        </w:tc>
        <w:tc>
          <w:tcPr>
            <w:tcW w:w="709" w:type="dxa"/>
            <w:tcBorders>
              <w:top w:val="nil"/>
              <w:left w:val="nil"/>
              <w:bottom w:val="nil"/>
              <w:right w:val="nil"/>
            </w:tcBorders>
            <w:shd w:val="clear" w:color="auto" w:fill="auto"/>
            <w:noWrap/>
            <w:vAlign w:val="center"/>
            <w:hideMark/>
          </w:tcPr>
          <w:p w14:paraId="495F92AA"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0.36</w:t>
            </w:r>
          </w:p>
        </w:tc>
        <w:tc>
          <w:tcPr>
            <w:tcW w:w="997" w:type="dxa"/>
            <w:tcBorders>
              <w:top w:val="nil"/>
              <w:left w:val="nil"/>
              <w:bottom w:val="nil"/>
              <w:right w:val="nil"/>
            </w:tcBorders>
            <w:shd w:val="clear" w:color="auto" w:fill="auto"/>
            <w:noWrap/>
            <w:vAlign w:val="center"/>
            <w:hideMark/>
          </w:tcPr>
          <w:p w14:paraId="728A5AE6"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2.46</w:t>
            </w:r>
          </w:p>
        </w:tc>
      </w:tr>
      <w:tr w:rsidR="00D740DC" w:rsidRPr="00283708" w14:paraId="665FA32C" w14:textId="77777777" w:rsidTr="00B11F5F">
        <w:trPr>
          <w:trHeight w:val="315"/>
        </w:trPr>
        <w:tc>
          <w:tcPr>
            <w:tcW w:w="949" w:type="dxa"/>
            <w:vMerge/>
            <w:tcBorders>
              <w:top w:val="nil"/>
              <w:left w:val="nil"/>
              <w:bottom w:val="single" w:sz="8" w:space="0" w:color="000000"/>
              <w:right w:val="nil"/>
            </w:tcBorders>
            <w:vAlign w:val="center"/>
            <w:hideMark/>
          </w:tcPr>
          <w:p w14:paraId="3BD21B17" w14:textId="77777777" w:rsidR="00D740DC" w:rsidRPr="00283708" w:rsidRDefault="00D740DC" w:rsidP="00B11F5F">
            <w:pPr>
              <w:spacing w:after="0" w:line="240" w:lineRule="auto"/>
              <w:rPr>
                <w:rFonts w:eastAsia="Times New Roman" w:cs="Times New Roman"/>
                <w:bCs/>
                <w:color w:val="000000"/>
                <w:szCs w:val="24"/>
                <w:lang w:eastAsia="en-MY"/>
              </w:rPr>
            </w:pPr>
          </w:p>
        </w:tc>
        <w:tc>
          <w:tcPr>
            <w:tcW w:w="2133" w:type="dxa"/>
            <w:vMerge/>
            <w:tcBorders>
              <w:top w:val="nil"/>
              <w:left w:val="nil"/>
              <w:bottom w:val="single" w:sz="8" w:space="0" w:color="000000"/>
              <w:right w:val="nil"/>
            </w:tcBorders>
            <w:vAlign w:val="center"/>
            <w:hideMark/>
          </w:tcPr>
          <w:p w14:paraId="06661009" w14:textId="77777777" w:rsidR="00D740DC" w:rsidRPr="00283708" w:rsidRDefault="00D740DC" w:rsidP="00B11F5F">
            <w:pPr>
              <w:spacing w:after="0" w:line="240" w:lineRule="auto"/>
              <w:rPr>
                <w:rFonts w:eastAsia="Times New Roman" w:cs="Times New Roman"/>
                <w:b w:val="0"/>
                <w:color w:val="000000"/>
                <w:sz w:val="18"/>
                <w:szCs w:val="18"/>
                <w:lang w:eastAsia="en-MY"/>
              </w:rPr>
            </w:pPr>
          </w:p>
        </w:tc>
        <w:tc>
          <w:tcPr>
            <w:tcW w:w="3297" w:type="dxa"/>
            <w:tcBorders>
              <w:top w:val="nil"/>
              <w:left w:val="nil"/>
              <w:bottom w:val="single" w:sz="8" w:space="0" w:color="auto"/>
              <w:right w:val="nil"/>
            </w:tcBorders>
            <w:shd w:val="clear" w:color="000000" w:fill="D9D9D9"/>
            <w:noWrap/>
            <w:vAlign w:val="center"/>
            <w:hideMark/>
          </w:tcPr>
          <w:p w14:paraId="1481D21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Measured (ICP)</w:t>
            </w:r>
          </w:p>
        </w:tc>
        <w:tc>
          <w:tcPr>
            <w:tcW w:w="851" w:type="dxa"/>
            <w:tcBorders>
              <w:top w:val="nil"/>
              <w:left w:val="nil"/>
              <w:bottom w:val="single" w:sz="8" w:space="0" w:color="auto"/>
              <w:right w:val="nil"/>
            </w:tcBorders>
            <w:shd w:val="clear" w:color="000000" w:fill="D9D9D9"/>
            <w:noWrap/>
            <w:vAlign w:val="center"/>
            <w:hideMark/>
          </w:tcPr>
          <w:p w14:paraId="53662F6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42.78</w:t>
            </w:r>
          </w:p>
        </w:tc>
        <w:tc>
          <w:tcPr>
            <w:tcW w:w="992" w:type="dxa"/>
            <w:tcBorders>
              <w:top w:val="nil"/>
              <w:left w:val="nil"/>
              <w:bottom w:val="single" w:sz="8" w:space="0" w:color="auto"/>
              <w:right w:val="nil"/>
            </w:tcBorders>
            <w:shd w:val="clear" w:color="000000" w:fill="D9D9D9"/>
            <w:noWrap/>
            <w:vAlign w:val="center"/>
            <w:hideMark/>
          </w:tcPr>
          <w:p w14:paraId="1236255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5.18</w:t>
            </w:r>
          </w:p>
        </w:tc>
        <w:tc>
          <w:tcPr>
            <w:tcW w:w="992" w:type="dxa"/>
            <w:tcBorders>
              <w:top w:val="nil"/>
              <w:left w:val="nil"/>
              <w:bottom w:val="single" w:sz="8" w:space="0" w:color="auto"/>
              <w:right w:val="nil"/>
            </w:tcBorders>
            <w:shd w:val="clear" w:color="000000" w:fill="D9D9D9"/>
            <w:noWrap/>
            <w:vAlign w:val="center"/>
            <w:hideMark/>
          </w:tcPr>
          <w:p w14:paraId="4244468A"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5.51</w:t>
            </w:r>
          </w:p>
        </w:tc>
        <w:tc>
          <w:tcPr>
            <w:tcW w:w="992" w:type="dxa"/>
            <w:tcBorders>
              <w:top w:val="nil"/>
              <w:left w:val="nil"/>
              <w:bottom w:val="single" w:sz="8" w:space="0" w:color="auto"/>
              <w:right w:val="nil"/>
            </w:tcBorders>
            <w:shd w:val="clear" w:color="000000" w:fill="D9D9D9"/>
            <w:noWrap/>
            <w:vAlign w:val="center"/>
            <w:hideMark/>
          </w:tcPr>
          <w:p w14:paraId="5052E93C"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16.19</w:t>
            </w:r>
          </w:p>
        </w:tc>
        <w:tc>
          <w:tcPr>
            <w:tcW w:w="851" w:type="dxa"/>
            <w:tcBorders>
              <w:top w:val="nil"/>
              <w:left w:val="nil"/>
              <w:bottom w:val="single" w:sz="8" w:space="0" w:color="auto"/>
              <w:right w:val="nil"/>
            </w:tcBorders>
            <w:shd w:val="clear" w:color="000000" w:fill="D9D9D9"/>
            <w:noWrap/>
            <w:vAlign w:val="center"/>
            <w:hideMark/>
          </w:tcPr>
          <w:p w14:paraId="17CA791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w:t>
            </w:r>
          </w:p>
        </w:tc>
        <w:tc>
          <w:tcPr>
            <w:tcW w:w="992" w:type="dxa"/>
            <w:tcBorders>
              <w:top w:val="nil"/>
              <w:left w:val="nil"/>
              <w:bottom w:val="single" w:sz="8" w:space="0" w:color="auto"/>
              <w:right w:val="nil"/>
            </w:tcBorders>
            <w:shd w:val="clear" w:color="000000" w:fill="D9D9D9"/>
            <w:noWrap/>
            <w:vAlign w:val="center"/>
            <w:hideMark/>
          </w:tcPr>
          <w:p w14:paraId="4D9530F7"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0.08</w:t>
            </w:r>
          </w:p>
        </w:tc>
        <w:tc>
          <w:tcPr>
            <w:tcW w:w="992" w:type="dxa"/>
            <w:tcBorders>
              <w:top w:val="nil"/>
              <w:left w:val="nil"/>
              <w:bottom w:val="single" w:sz="8" w:space="0" w:color="auto"/>
              <w:right w:val="nil"/>
            </w:tcBorders>
            <w:shd w:val="clear" w:color="000000" w:fill="D9D9D9"/>
            <w:noWrap/>
            <w:vAlign w:val="center"/>
            <w:hideMark/>
          </w:tcPr>
          <w:p w14:paraId="6F844EFE"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29.87</w:t>
            </w:r>
          </w:p>
        </w:tc>
        <w:tc>
          <w:tcPr>
            <w:tcW w:w="709" w:type="dxa"/>
            <w:tcBorders>
              <w:top w:val="nil"/>
              <w:left w:val="nil"/>
              <w:bottom w:val="single" w:sz="8" w:space="0" w:color="auto"/>
              <w:right w:val="nil"/>
            </w:tcBorders>
            <w:shd w:val="clear" w:color="000000" w:fill="D9D9D9"/>
            <w:noWrap/>
            <w:vAlign w:val="center"/>
            <w:hideMark/>
          </w:tcPr>
          <w:p w14:paraId="41D74941"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0.22</w:t>
            </w:r>
          </w:p>
        </w:tc>
        <w:tc>
          <w:tcPr>
            <w:tcW w:w="997" w:type="dxa"/>
            <w:tcBorders>
              <w:top w:val="nil"/>
              <w:left w:val="nil"/>
              <w:bottom w:val="single" w:sz="8" w:space="0" w:color="auto"/>
              <w:right w:val="nil"/>
            </w:tcBorders>
            <w:shd w:val="clear" w:color="000000" w:fill="D9D9D9"/>
            <w:noWrap/>
            <w:vAlign w:val="center"/>
            <w:hideMark/>
          </w:tcPr>
          <w:p w14:paraId="7B221A80" w14:textId="77777777" w:rsidR="00D740DC" w:rsidRPr="00283708" w:rsidRDefault="00D740DC" w:rsidP="00B11F5F">
            <w:pPr>
              <w:spacing w:after="0" w:line="240" w:lineRule="auto"/>
              <w:jc w:val="center"/>
              <w:rPr>
                <w:rFonts w:eastAsia="Times New Roman" w:cs="Times New Roman"/>
                <w:b w:val="0"/>
                <w:color w:val="000000"/>
                <w:sz w:val="18"/>
                <w:szCs w:val="18"/>
                <w:lang w:eastAsia="en-MY"/>
              </w:rPr>
            </w:pPr>
            <w:r w:rsidRPr="00283708">
              <w:rPr>
                <w:rFonts w:eastAsia="Times New Roman" w:cs="Times New Roman"/>
                <w:b w:val="0"/>
                <w:color w:val="000000"/>
                <w:sz w:val="18"/>
                <w:szCs w:val="18"/>
                <w:lang w:eastAsia="en-MY"/>
              </w:rPr>
              <w:t>0.15</w:t>
            </w:r>
          </w:p>
        </w:tc>
      </w:tr>
    </w:tbl>
    <w:p w14:paraId="7E03C6CB" w14:textId="77777777" w:rsidR="00D740DC" w:rsidRDefault="00D740DC" w:rsidP="00D740DC">
      <w:pPr>
        <w:tabs>
          <w:tab w:val="left" w:pos="3960"/>
        </w:tabs>
        <w:rPr>
          <w:rFonts w:eastAsia="Calibri" w:cs="Times New Roman"/>
          <w:szCs w:val="24"/>
          <w:lang w:val="en-GB"/>
        </w:rPr>
      </w:pPr>
      <w:r>
        <w:rPr>
          <w:rFonts w:eastAsia="Calibri" w:cs="Times New Roman"/>
          <w:szCs w:val="24"/>
          <w:lang w:val="en-GB"/>
        </w:rPr>
        <w:tab/>
      </w:r>
    </w:p>
    <w:p w14:paraId="71EE4497" w14:textId="4D5C59F1" w:rsidR="00D740DC" w:rsidRPr="000E2377" w:rsidRDefault="00D740DC" w:rsidP="00D740DC">
      <w:pPr>
        <w:spacing w:after="0"/>
        <w:jc w:val="both"/>
        <w:rPr>
          <w:rFonts w:eastAsia="Calibri" w:cs="Times New Roman"/>
          <w:szCs w:val="24"/>
          <w:lang w:val="en-GB"/>
        </w:rPr>
      </w:pPr>
      <w:r w:rsidRPr="000E2377">
        <w:lastRenderedPageBreak/>
        <w:t xml:space="preserve">Table </w:t>
      </w:r>
      <w:r>
        <w:t>4</w:t>
      </w:r>
      <w:r w:rsidRPr="000E2377">
        <w:t>.</w:t>
      </w:r>
      <w:r w:rsidR="00485C02">
        <w:t>1</w:t>
      </w:r>
      <w:r w:rsidRPr="000E2377">
        <w:rPr>
          <w:bCs/>
          <w:szCs w:val="24"/>
        </w:rPr>
        <w:t xml:space="preserve">: Analysed glass compositions </w:t>
      </w:r>
      <w:r>
        <w:rPr>
          <w:bCs/>
          <w:szCs w:val="24"/>
        </w:rPr>
        <w:t xml:space="preserve">for some of the glasses produced </w:t>
      </w:r>
      <w:r w:rsidRPr="000E2377">
        <w:rPr>
          <w:bCs/>
          <w:szCs w:val="24"/>
        </w:rPr>
        <w:t>(</w:t>
      </w:r>
      <w:proofErr w:type="spellStart"/>
      <w:r w:rsidRPr="000E2377">
        <w:rPr>
          <w:bCs/>
          <w:szCs w:val="24"/>
        </w:rPr>
        <w:t>wt</w:t>
      </w:r>
      <w:proofErr w:type="spellEnd"/>
      <w:r w:rsidRPr="000E2377">
        <w:rPr>
          <w:bCs/>
          <w:szCs w:val="24"/>
        </w:rPr>
        <w:t xml:space="preserve"> %); ICP-OES </w:t>
      </w:r>
      <w:r>
        <w:rPr>
          <w:bCs/>
          <w:szCs w:val="24"/>
        </w:rPr>
        <w:t>for selected glasses and XRF for all glasses.  A</w:t>
      </w:r>
      <w:r w:rsidRPr="000E2377">
        <w:rPr>
          <w:bCs/>
          <w:szCs w:val="24"/>
        </w:rPr>
        <w:t xml:space="preserve">nalysis data normalised to 100 </w:t>
      </w:r>
      <w:proofErr w:type="spellStart"/>
      <w:r w:rsidRPr="000E2377">
        <w:rPr>
          <w:bCs/>
          <w:szCs w:val="24"/>
        </w:rPr>
        <w:t>wt</w:t>
      </w:r>
      <w:proofErr w:type="spellEnd"/>
      <w:r>
        <w:rPr>
          <w:bCs/>
          <w:szCs w:val="24"/>
        </w:rPr>
        <w:t xml:space="preserve"> %. (</w:t>
      </w:r>
      <w:r w:rsidRPr="00F75676">
        <w:rPr>
          <w:bCs/>
          <w:i/>
          <w:szCs w:val="24"/>
        </w:rPr>
        <w:t>Continue</w:t>
      </w:r>
      <w:r>
        <w:rPr>
          <w:bCs/>
          <w:i/>
          <w:szCs w:val="24"/>
        </w:rPr>
        <w:t>d on</w:t>
      </w:r>
      <w:r w:rsidRPr="00F75676">
        <w:rPr>
          <w:bCs/>
          <w:i/>
          <w:szCs w:val="24"/>
        </w:rPr>
        <w:t xml:space="preserve"> next page)</w:t>
      </w:r>
    </w:p>
    <w:tbl>
      <w:tblPr>
        <w:tblW w:w="14840" w:type="dxa"/>
        <w:tblLook w:val="04A0" w:firstRow="1" w:lastRow="0" w:firstColumn="1" w:lastColumn="0" w:noHBand="0" w:noVBand="1"/>
      </w:tblPr>
      <w:tblGrid>
        <w:gridCol w:w="754"/>
        <w:gridCol w:w="2160"/>
        <w:gridCol w:w="3420"/>
        <w:gridCol w:w="960"/>
        <w:gridCol w:w="960"/>
        <w:gridCol w:w="960"/>
        <w:gridCol w:w="960"/>
        <w:gridCol w:w="960"/>
        <w:gridCol w:w="960"/>
        <w:gridCol w:w="960"/>
        <w:gridCol w:w="830"/>
        <w:gridCol w:w="956"/>
      </w:tblGrid>
      <w:tr w:rsidR="00D740DC" w:rsidRPr="00670E27" w14:paraId="5C278029" w14:textId="77777777" w:rsidTr="00B11F5F">
        <w:trPr>
          <w:trHeight w:val="300"/>
        </w:trPr>
        <w:tc>
          <w:tcPr>
            <w:tcW w:w="754" w:type="dxa"/>
            <w:tcBorders>
              <w:top w:val="single" w:sz="4" w:space="0" w:color="auto"/>
              <w:left w:val="nil"/>
              <w:bottom w:val="single" w:sz="4" w:space="0" w:color="auto"/>
              <w:right w:val="nil"/>
            </w:tcBorders>
            <w:shd w:val="clear" w:color="auto" w:fill="auto"/>
            <w:noWrap/>
            <w:vAlign w:val="center"/>
            <w:hideMark/>
          </w:tcPr>
          <w:p w14:paraId="5CCA55F5" w14:textId="77777777" w:rsidR="00D740DC" w:rsidRPr="00670E27" w:rsidRDefault="00D740DC" w:rsidP="00B11F5F">
            <w:pPr>
              <w:spacing w:after="0" w:line="240" w:lineRule="auto"/>
              <w:jc w:val="center"/>
              <w:rPr>
                <w:rFonts w:eastAsia="Times New Roman" w:cs="Times New Roman"/>
                <w:b w:val="0"/>
                <w:color w:val="000000"/>
                <w:sz w:val="22"/>
                <w:lang w:eastAsia="en-MY"/>
              </w:rPr>
            </w:pPr>
            <w:r w:rsidRPr="00670E27">
              <w:rPr>
                <w:rFonts w:eastAsia="Times New Roman" w:cs="Times New Roman"/>
                <w:b w:val="0"/>
                <w:color w:val="000000"/>
                <w:sz w:val="22"/>
                <w:lang w:eastAsia="en-MY"/>
              </w:rPr>
              <w:t>Series</w:t>
            </w:r>
          </w:p>
        </w:tc>
        <w:tc>
          <w:tcPr>
            <w:tcW w:w="2160" w:type="dxa"/>
            <w:tcBorders>
              <w:top w:val="single" w:sz="4" w:space="0" w:color="auto"/>
              <w:left w:val="nil"/>
              <w:bottom w:val="nil"/>
              <w:right w:val="nil"/>
            </w:tcBorders>
            <w:shd w:val="clear" w:color="auto" w:fill="auto"/>
            <w:noWrap/>
            <w:vAlign w:val="center"/>
            <w:hideMark/>
          </w:tcPr>
          <w:p w14:paraId="595070A5"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Glass ID</w:t>
            </w:r>
          </w:p>
        </w:tc>
        <w:tc>
          <w:tcPr>
            <w:tcW w:w="3420" w:type="dxa"/>
            <w:tcBorders>
              <w:top w:val="single" w:sz="4" w:space="0" w:color="auto"/>
              <w:left w:val="nil"/>
              <w:bottom w:val="single" w:sz="4" w:space="0" w:color="auto"/>
              <w:right w:val="nil"/>
            </w:tcBorders>
            <w:shd w:val="clear" w:color="auto" w:fill="auto"/>
            <w:noWrap/>
            <w:vAlign w:val="center"/>
            <w:hideMark/>
          </w:tcPr>
          <w:p w14:paraId="7DFE3F35"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Types</w:t>
            </w:r>
          </w:p>
        </w:tc>
        <w:tc>
          <w:tcPr>
            <w:tcW w:w="960" w:type="dxa"/>
            <w:tcBorders>
              <w:top w:val="single" w:sz="4" w:space="0" w:color="auto"/>
              <w:left w:val="nil"/>
              <w:bottom w:val="single" w:sz="4" w:space="0" w:color="auto"/>
              <w:right w:val="nil"/>
            </w:tcBorders>
            <w:shd w:val="clear" w:color="auto" w:fill="auto"/>
            <w:noWrap/>
            <w:vAlign w:val="center"/>
            <w:hideMark/>
          </w:tcPr>
          <w:p w14:paraId="1DCBC938"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SiO</w:t>
            </w:r>
            <w:r w:rsidRPr="00670E27">
              <w:rPr>
                <w:rFonts w:eastAsia="Times New Roman" w:cs="Times New Roman"/>
                <w:b w:val="0"/>
                <w:sz w:val="18"/>
                <w:szCs w:val="18"/>
                <w:vertAlign w:val="subscript"/>
                <w:lang w:eastAsia="en-MY"/>
              </w:rPr>
              <w:t>2</w:t>
            </w:r>
          </w:p>
        </w:tc>
        <w:tc>
          <w:tcPr>
            <w:tcW w:w="960" w:type="dxa"/>
            <w:tcBorders>
              <w:top w:val="single" w:sz="4" w:space="0" w:color="auto"/>
              <w:left w:val="nil"/>
              <w:bottom w:val="single" w:sz="4" w:space="0" w:color="auto"/>
              <w:right w:val="nil"/>
            </w:tcBorders>
            <w:shd w:val="clear" w:color="auto" w:fill="auto"/>
            <w:noWrap/>
            <w:vAlign w:val="center"/>
            <w:hideMark/>
          </w:tcPr>
          <w:p w14:paraId="2DF331A7"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Al</w:t>
            </w:r>
            <w:r w:rsidRPr="00670E27">
              <w:rPr>
                <w:rFonts w:eastAsia="Times New Roman" w:cs="Times New Roman"/>
                <w:b w:val="0"/>
                <w:sz w:val="18"/>
                <w:szCs w:val="18"/>
                <w:vertAlign w:val="subscript"/>
                <w:lang w:eastAsia="en-MY"/>
              </w:rPr>
              <w:t>2</w:t>
            </w:r>
            <w:r w:rsidRPr="00670E27">
              <w:rPr>
                <w:rFonts w:eastAsia="Times New Roman" w:cs="Times New Roman"/>
                <w:b w:val="0"/>
                <w:sz w:val="18"/>
                <w:szCs w:val="18"/>
                <w:lang w:eastAsia="en-MY"/>
              </w:rPr>
              <w:t>O</w:t>
            </w:r>
            <w:r w:rsidRPr="00670E27">
              <w:rPr>
                <w:rFonts w:eastAsia="Times New Roman" w:cs="Times New Roman"/>
                <w:b w:val="0"/>
                <w:sz w:val="18"/>
                <w:szCs w:val="18"/>
                <w:vertAlign w:val="subscript"/>
                <w:lang w:eastAsia="en-MY"/>
              </w:rPr>
              <w:t>3</w:t>
            </w:r>
          </w:p>
        </w:tc>
        <w:tc>
          <w:tcPr>
            <w:tcW w:w="960" w:type="dxa"/>
            <w:tcBorders>
              <w:top w:val="single" w:sz="4" w:space="0" w:color="auto"/>
              <w:left w:val="nil"/>
              <w:bottom w:val="single" w:sz="4" w:space="0" w:color="auto"/>
              <w:right w:val="nil"/>
            </w:tcBorders>
            <w:shd w:val="clear" w:color="auto" w:fill="auto"/>
            <w:noWrap/>
            <w:vAlign w:val="center"/>
            <w:hideMark/>
          </w:tcPr>
          <w:p w14:paraId="65C49202"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B</w:t>
            </w:r>
            <w:r w:rsidRPr="00670E27">
              <w:rPr>
                <w:rFonts w:eastAsia="Times New Roman" w:cs="Times New Roman"/>
                <w:b w:val="0"/>
                <w:sz w:val="18"/>
                <w:szCs w:val="18"/>
                <w:vertAlign w:val="subscript"/>
                <w:lang w:eastAsia="en-MY"/>
              </w:rPr>
              <w:t>2</w:t>
            </w:r>
            <w:r w:rsidRPr="00670E27">
              <w:rPr>
                <w:rFonts w:eastAsia="Times New Roman" w:cs="Times New Roman"/>
                <w:b w:val="0"/>
                <w:sz w:val="18"/>
                <w:szCs w:val="18"/>
                <w:lang w:eastAsia="en-MY"/>
              </w:rPr>
              <w:t>O</w:t>
            </w:r>
            <w:r w:rsidRPr="00670E27">
              <w:rPr>
                <w:rFonts w:eastAsia="Times New Roman" w:cs="Times New Roman"/>
                <w:b w:val="0"/>
                <w:sz w:val="18"/>
                <w:szCs w:val="18"/>
                <w:vertAlign w:val="subscript"/>
                <w:lang w:eastAsia="en-MY"/>
              </w:rPr>
              <w:t>3</w:t>
            </w:r>
          </w:p>
        </w:tc>
        <w:tc>
          <w:tcPr>
            <w:tcW w:w="960" w:type="dxa"/>
            <w:tcBorders>
              <w:top w:val="single" w:sz="4" w:space="0" w:color="auto"/>
              <w:left w:val="nil"/>
              <w:bottom w:val="single" w:sz="4" w:space="0" w:color="auto"/>
              <w:right w:val="nil"/>
            </w:tcBorders>
            <w:shd w:val="clear" w:color="auto" w:fill="auto"/>
            <w:noWrap/>
            <w:vAlign w:val="center"/>
            <w:hideMark/>
          </w:tcPr>
          <w:p w14:paraId="4122355C"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Na</w:t>
            </w:r>
            <w:r w:rsidRPr="00670E27">
              <w:rPr>
                <w:rFonts w:eastAsia="Times New Roman" w:cs="Times New Roman"/>
                <w:b w:val="0"/>
                <w:sz w:val="18"/>
                <w:szCs w:val="18"/>
                <w:vertAlign w:val="subscript"/>
                <w:lang w:eastAsia="en-MY"/>
              </w:rPr>
              <w:t>2</w:t>
            </w:r>
            <w:r w:rsidRPr="00670E27">
              <w:rPr>
                <w:rFonts w:eastAsia="Times New Roman" w:cs="Times New Roman"/>
                <w:b w:val="0"/>
                <w:sz w:val="18"/>
                <w:szCs w:val="18"/>
                <w:lang w:eastAsia="en-MY"/>
              </w:rPr>
              <w:t>O</w:t>
            </w:r>
          </w:p>
        </w:tc>
        <w:tc>
          <w:tcPr>
            <w:tcW w:w="960" w:type="dxa"/>
            <w:tcBorders>
              <w:top w:val="single" w:sz="4" w:space="0" w:color="auto"/>
              <w:left w:val="nil"/>
              <w:bottom w:val="single" w:sz="4" w:space="0" w:color="auto"/>
              <w:right w:val="nil"/>
            </w:tcBorders>
            <w:shd w:val="clear" w:color="auto" w:fill="auto"/>
            <w:noWrap/>
            <w:vAlign w:val="center"/>
            <w:hideMark/>
          </w:tcPr>
          <w:p w14:paraId="5865F412" w14:textId="77777777" w:rsidR="00D740DC" w:rsidRPr="00670E27" w:rsidRDefault="00D740DC" w:rsidP="00B11F5F">
            <w:pPr>
              <w:spacing w:after="0" w:line="240" w:lineRule="auto"/>
              <w:jc w:val="center"/>
              <w:rPr>
                <w:rFonts w:eastAsia="Times New Roman" w:cs="Times New Roman"/>
                <w:b w:val="0"/>
                <w:sz w:val="18"/>
                <w:szCs w:val="18"/>
                <w:lang w:eastAsia="en-MY"/>
              </w:rPr>
            </w:pPr>
            <w:proofErr w:type="spellStart"/>
            <w:r w:rsidRPr="00670E27">
              <w:rPr>
                <w:rFonts w:eastAsia="Times New Roman" w:cs="Times New Roman"/>
                <w:b w:val="0"/>
                <w:sz w:val="18"/>
                <w:szCs w:val="18"/>
                <w:lang w:eastAsia="en-MY"/>
              </w:rPr>
              <w:t>CaO</w:t>
            </w:r>
            <w:proofErr w:type="spellEnd"/>
          </w:p>
        </w:tc>
        <w:tc>
          <w:tcPr>
            <w:tcW w:w="960" w:type="dxa"/>
            <w:tcBorders>
              <w:top w:val="single" w:sz="4" w:space="0" w:color="auto"/>
              <w:left w:val="nil"/>
              <w:bottom w:val="single" w:sz="4" w:space="0" w:color="auto"/>
              <w:right w:val="nil"/>
            </w:tcBorders>
            <w:shd w:val="clear" w:color="auto" w:fill="auto"/>
            <w:noWrap/>
            <w:vAlign w:val="center"/>
            <w:hideMark/>
          </w:tcPr>
          <w:p w14:paraId="5A5134B9"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MgO</w:t>
            </w:r>
          </w:p>
        </w:tc>
        <w:tc>
          <w:tcPr>
            <w:tcW w:w="960" w:type="dxa"/>
            <w:tcBorders>
              <w:top w:val="single" w:sz="4" w:space="0" w:color="auto"/>
              <w:left w:val="nil"/>
              <w:bottom w:val="single" w:sz="4" w:space="0" w:color="auto"/>
              <w:right w:val="nil"/>
            </w:tcBorders>
            <w:shd w:val="clear" w:color="auto" w:fill="auto"/>
            <w:noWrap/>
            <w:vAlign w:val="center"/>
            <w:hideMark/>
          </w:tcPr>
          <w:p w14:paraId="78608368" w14:textId="77777777" w:rsidR="00D740DC" w:rsidRPr="00670E27" w:rsidRDefault="00D740DC" w:rsidP="00B11F5F">
            <w:pPr>
              <w:spacing w:after="0" w:line="240" w:lineRule="auto"/>
              <w:jc w:val="center"/>
              <w:rPr>
                <w:rFonts w:eastAsia="Times New Roman" w:cs="Times New Roman"/>
                <w:b w:val="0"/>
                <w:sz w:val="18"/>
                <w:szCs w:val="18"/>
                <w:lang w:eastAsia="en-MY"/>
              </w:rPr>
            </w:pPr>
            <w:proofErr w:type="spellStart"/>
            <w:r w:rsidRPr="00670E27">
              <w:rPr>
                <w:rFonts w:eastAsia="Times New Roman" w:cs="Times New Roman"/>
                <w:b w:val="0"/>
                <w:sz w:val="18"/>
                <w:szCs w:val="18"/>
                <w:lang w:eastAsia="en-MY"/>
              </w:rPr>
              <w:t>BaO</w:t>
            </w:r>
            <w:proofErr w:type="spellEnd"/>
          </w:p>
        </w:tc>
        <w:tc>
          <w:tcPr>
            <w:tcW w:w="830" w:type="dxa"/>
            <w:tcBorders>
              <w:top w:val="single" w:sz="4" w:space="0" w:color="auto"/>
              <w:left w:val="nil"/>
              <w:bottom w:val="single" w:sz="4" w:space="0" w:color="auto"/>
              <w:right w:val="nil"/>
            </w:tcBorders>
            <w:shd w:val="clear" w:color="auto" w:fill="auto"/>
            <w:noWrap/>
            <w:vAlign w:val="center"/>
            <w:hideMark/>
          </w:tcPr>
          <w:p w14:paraId="299E23B2"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SO</w:t>
            </w:r>
            <w:r w:rsidRPr="00670E27">
              <w:rPr>
                <w:rFonts w:eastAsia="Times New Roman" w:cs="Times New Roman"/>
                <w:b w:val="0"/>
                <w:sz w:val="18"/>
                <w:szCs w:val="18"/>
                <w:vertAlign w:val="subscript"/>
                <w:lang w:eastAsia="en-MY"/>
              </w:rPr>
              <w:t>3</w:t>
            </w:r>
          </w:p>
        </w:tc>
        <w:tc>
          <w:tcPr>
            <w:tcW w:w="956" w:type="dxa"/>
            <w:tcBorders>
              <w:top w:val="single" w:sz="4" w:space="0" w:color="auto"/>
              <w:left w:val="nil"/>
              <w:bottom w:val="single" w:sz="4" w:space="0" w:color="auto"/>
              <w:right w:val="nil"/>
            </w:tcBorders>
            <w:shd w:val="clear" w:color="auto" w:fill="auto"/>
            <w:noWrap/>
            <w:vAlign w:val="center"/>
            <w:hideMark/>
          </w:tcPr>
          <w:p w14:paraId="32CC2155"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Impurities</w:t>
            </w:r>
          </w:p>
        </w:tc>
      </w:tr>
      <w:tr w:rsidR="00D740DC" w:rsidRPr="00670E27" w14:paraId="525DF7AE" w14:textId="77777777" w:rsidTr="00B11F5F">
        <w:trPr>
          <w:trHeight w:val="174"/>
        </w:trPr>
        <w:tc>
          <w:tcPr>
            <w:tcW w:w="754" w:type="dxa"/>
            <w:vMerge w:val="restart"/>
            <w:tcBorders>
              <w:top w:val="nil"/>
              <w:left w:val="nil"/>
              <w:bottom w:val="single" w:sz="4" w:space="0" w:color="000000"/>
              <w:right w:val="nil"/>
            </w:tcBorders>
            <w:shd w:val="clear" w:color="auto" w:fill="auto"/>
            <w:noWrap/>
            <w:textDirection w:val="btLr"/>
            <w:vAlign w:val="center"/>
            <w:hideMark/>
          </w:tcPr>
          <w:p w14:paraId="726C8D44" w14:textId="77777777" w:rsidR="00D740DC" w:rsidRPr="00670E27" w:rsidRDefault="00D740DC" w:rsidP="00B11F5F">
            <w:pPr>
              <w:spacing w:after="0" w:line="240" w:lineRule="auto"/>
              <w:jc w:val="center"/>
              <w:rPr>
                <w:rFonts w:eastAsia="Times New Roman" w:cs="Times New Roman"/>
                <w:bCs/>
                <w:color w:val="000000"/>
                <w:szCs w:val="24"/>
                <w:lang w:eastAsia="en-MY"/>
              </w:rPr>
            </w:pPr>
            <w:r w:rsidRPr="00670E27">
              <w:rPr>
                <w:rFonts w:eastAsia="Times New Roman" w:cs="Times New Roman"/>
                <w:bCs/>
                <w:color w:val="000000"/>
                <w:szCs w:val="24"/>
                <w:lang w:eastAsia="en-MY"/>
              </w:rPr>
              <w:t>N</w:t>
            </w:r>
            <w:r w:rsidRPr="00670E27">
              <w:rPr>
                <w:rFonts w:eastAsia="Times New Roman" w:cs="Times New Roman"/>
                <w:bCs/>
                <w:color w:val="000000"/>
                <w:szCs w:val="24"/>
                <w:vertAlign w:val="subscript"/>
                <w:lang w:eastAsia="en-MY"/>
              </w:rPr>
              <w:t>10</w:t>
            </w:r>
            <w:r w:rsidRPr="00670E27">
              <w:rPr>
                <w:rFonts w:eastAsia="Times New Roman" w:cs="Times New Roman"/>
                <w:bCs/>
                <w:color w:val="000000"/>
                <w:szCs w:val="24"/>
                <w:lang w:eastAsia="en-MY"/>
              </w:rPr>
              <w:t>C</w:t>
            </w:r>
            <w:r w:rsidRPr="00670E27">
              <w:rPr>
                <w:rFonts w:eastAsia="Times New Roman" w:cs="Times New Roman"/>
                <w:bCs/>
                <w:color w:val="000000"/>
                <w:szCs w:val="24"/>
                <w:vertAlign w:val="subscript"/>
                <w:lang w:eastAsia="en-MY"/>
              </w:rPr>
              <w:t>x</w:t>
            </w:r>
            <w:r w:rsidRPr="00670E27">
              <w:rPr>
                <w:rFonts w:eastAsia="Times New Roman" w:cs="Times New Roman"/>
                <w:bCs/>
                <w:color w:val="000000"/>
                <w:szCs w:val="24"/>
                <w:lang w:eastAsia="en-MY"/>
              </w:rPr>
              <w:t>A</w:t>
            </w:r>
            <w:r w:rsidRPr="00670E27">
              <w:rPr>
                <w:rFonts w:eastAsia="Times New Roman" w:cs="Times New Roman"/>
                <w:bCs/>
                <w:color w:val="000000"/>
                <w:szCs w:val="24"/>
                <w:vertAlign w:val="subscript"/>
                <w:lang w:eastAsia="en-MY"/>
              </w:rPr>
              <w:t>20-x</w:t>
            </w:r>
            <w:r w:rsidRPr="00670E27">
              <w:rPr>
                <w:rFonts w:eastAsia="Times New Roman" w:cs="Times New Roman"/>
                <w:bCs/>
                <w:color w:val="000000"/>
                <w:szCs w:val="24"/>
                <w:lang w:eastAsia="en-MY"/>
              </w:rPr>
              <w:t>B</w:t>
            </w:r>
            <w:r w:rsidRPr="00670E27">
              <w:rPr>
                <w:rFonts w:eastAsia="Times New Roman" w:cs="Times New Roman"/>
                <w:bCs/>
                <w:color w:val="000000"/>
                <w:szCs w:val="24"/>
                <w:vertAlign w:val="subscript"/>
                <w:lang w:eastAsia="en-MY"/>
              </w:rPr>
              <w:t>10</w:t>
            </w:r>
            <w:r w:rsidRPr="00670E27">
              <w:rPr>
                <w:rFonts w:eastAsia="Times New Roman" w:cs="Times New Roman"/>
                <w:bCs/>
                <w:color w:val="000000"/>
                <w:szCs w:val="24"/>
                <w:lang w:eastAsia="en-MY"/>
              </w:rPr>
              <w:t>S</w:t>
            </w:r>
            <w:r w:rsidRPr="00670E27">
              <w:rPr>
                <w:rFonts w:eastAsia="Times New Roman" w:cs="Times New Roman"/>
                <w:bCs/>
                <w:color w:val="000000"/>
                <w:szCs w:val="24"/>
                <w:vertAlign w:val="subscript"/>
                <w:lang w:eastAsia="en-MY"/>
              </w:rPr>
              <w:t>60</w:t>
            </w:r>
            <w:r w:rsidRPr="00670E27">
              <w:rPr>
                <w:rFonts w:eastAsia="Times New Roman" w:cs="Times New Roman"/>
                <w:bCs/>
                <w:color w:val="000000"/>
                <w:szCs w:val="24"/>
                <w:lang w:eastAsia="en-MY"/>
              </w:rPr>
              <w:t xml:space="preserve"> </w:t>
            </w:r>
          </w:p>
        </w:tc>
        <w:tc>
          <w:tcPr>
            <w:tcW w:w="2160" w:type="dxa"/>
            <w:vMerge w:val="restart"/>
            <w:tcBorders>
              <w:top w:val="single" w:sz="4" w:space="0" w:color="auto"/>
              <w:left w:val="nil"/>
              <w:bottom w:val="single" w:sz="4" w:space="0" w:color="000000"/>
              <w:right w:val="nil"/>
            </w:tcBorders>
            <w:shd w:val="clear" w:color="auto" w:fill="auto"/>
            <w:vAlign w:val="center"/>
            <w:hideMark/>
          </w:tcPr>
          <w:p w14:paraId="49746AE1"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N</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B</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S</w:t>
            </w:r>
            <w:r w:rsidRPr="00670E27">
              <w:rPr>
                <w:rFonts w:eastAsia="Times New Roman" w:cs="Times New Roman"/>
                <w:b w:val="0"/>
                <w:color w:val="000000"/>
                <w:sz w:val="18"/>
                <w:szCs w:val="18"/>
                <w:vertAlign w:val="subscript"/>
                <w:lang w:eastAsia="en-MY"/>
              </w:rPr>
              <w:t>60</w:t>
            </w:r>
            <w:r w:rsidRPr="00670E27">
              <w:rPr>
                <w:rFonts w:eastAsia="Times New Roman" w:cs="Times New Roman"/>
                <w:b w:val="0"/>
                <w:color w:val="000000"/>
                <w:sz w:val="18"/>
                <w:szCs w:val="18"/>
                <w:lang w:eastAsia="en-MY"/>
              </w:rPr>
              <w:t>A1</w:t>
            </w:r>
            <w:r w:rsidRPr="00670E27">
              <w:rPr>
                <w:rFonts w:eastAsia="Times New Roman" w:cs="Times New Roman"/>
                <w:b w:val="0"/>
                <w:color w:val="000000"/>
                <w:sz w:val="18"/>
                <w:szCs w:val="18"/>
                <w:vertAlign w:val="subscript"/>
                <w:lang w:eastAsia="en-MY"/>
              </w:rPr>
              <w:t>17.5</w:t>
            </w:r>
            <w:r w:rsidRPr="00670E27">
              <w:rPr>
                <w:rFonts w:eastAsia="Times New Roman" w:cs="Times New Roman"/>
                <w:b w:val="0"/>
                <w:color w:val="000000"/>
                <w:sz w:val="18"/>
                <w:szCs w:val="18"/>
                <w:lang w:eastAsia="en-MY"/>
              </w:rPr>
              <w:t>Ca</w:t>
            </w:r>
            <w:r w:rsidRPr="00670E27">
              <w:rPr>
                <w:rFonts w:eastAsia="Times New Roman" w:cs="Times New Roman"/>
                <w:b w:val="0"/>
                <w:color w:val="000000"/>
                <w:sz w:val="18"/>
                <w:szCs w:val="18"/>
                <w:vertAlign w:val="subscript"/>
                <w:lang w:eastAsia="en-MY"/>
              </w:rPr>
              <w:t>2.5</w:t>
            </w:r>
          </w:p>
        </w:tc>
        <w:tc>
          <w:tcPr>
            <w:tcW w:w="3420" w:type="dxa"/>
            <w:tcBorders>
              <w:top w:val="nil"/>
              <w:left w:val="nil"/>
              <w:bottom w:val="nil"/>
              <w:right w:val="nil"/>
            </w:tcBorders>
            <w:shd w:val="clear" w:color="auto" w:fill="auto"/>
            <w:noWrap/>
            <w:vAlign w:val="center"/>
            <w:hideMark/>
          </w:tcPr>
          <w:p w14:paraId="12351946"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1A175C9D"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52.66</w:t>
            </w:r>
          </w:p>
        </w:tc>
        <w:tc>
          <w:tcPr>
            <w:tcW w:w="960" w:type="dxa"/>
            <w:tcBorders>
              <w:top w:val="nil"/>
              <w:left w:val="nil"/>
              <w:bottom w:val="nil"/>
              <w:right w:val="nil"/>
            </w:tcBorders>
            <w:shd w:val="clear" w:color="auto" w:fill="auto"/>
            <w:noWrap/>
            <w:vAlign w:val="center"/>
            <w:hideMark/>
          </w:tcPr>
          <w:p w14:paraId="0D489FC5"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26.07</w:t>
            </w:r>
          </w:p>
        </w:tc>
        <w:tc>
          <w:tcPr>
            <w:tcW w:w="960" w:type="dxa"/>
            <w:tcBorders>
              <w:top w:val="nil"/>
              <w:left w:val="nil"/>
              <w:bottom w:val="nil"/>
              <w:right w:val="nil"/>
            </w:tcBorders>
            <w:shd w:val="clear" w:color="auto" w:fill="auto"/>
            <w:noWrap/>
            <w:vAlign w:val="center"/>
            <w:hideMark/>
          </w:tcPr>
          <w:p w14:paraId="36260CE7"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10.17</w:t>
            </w:r>
          </w:p>
        </w:tc>
        <w:tc>
          <w:tcPr>
            <w:tcW w:w="960" w:type="dxa"/>
            <w:tcBorders>
              <w:top w:val="nil"/>
              <w:left w:val="nil"/>
              <w:bottom w:val="nil"/>
              <w:right w:val="nil"/>
            </w:tcBorders>
            <w:shd w:val="clear" w:color="auto" w:fill="auto"/>
            <w:noWrap/>
            <w:vAlign w:val="center"/>
            <w:hideMark/>
          </w:tcPr>
          <w:p w14:paraId="6CC9C691"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9.05</w:t>
            </w:r>
          </w:p>
        </w:tc>
        <w:tc>
          <w:tcPr>
            <w:tcW w:w="960" w:type="dxa"/>
            <w:tcBorders>
              <w:top w:val="nil"/>
              <w:left w:val="nil"/>
              <w:bottom w:val="nil"/>
              <w:right w:val="nil"/>
            </w:tcBorders>
            <w:shd w:val="clear" w:color="auto" w:fill="auto"/>
            <w:noWrap/>
            <w:vAlign w:val="center"/>
            <w:hideMark/>
          </w:tcPr>
          <w:p w14:paraId="13D3A1EA"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2.05</w:t>
            </w:r>
          </w:p>
        </w:tc>
        <w:tc>
          <w:tcPr>
            <w:tcW w:w="960" w:type="dxa"/>
            <w:tcBorders>
              <w:top w:val="nil"/>
              <w:left w:val="nil"/>
              <w:bottom w:val="nil"/>
              <w:right w:val="nil"/>
            </w:tcBorders>
            <w:shd w:val="clear" w:color="auto" w:fill="auto"/>
            <w:noWrap/>
            <w:vAlign w:val="center"/>
            <w:hideMark/>
          </w:tcPr>
          <w:p w14:paraId="38F73D97"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00028A73"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830" w:type="dxa"/>
            <w:tcBorders>
              <w:top w:val="nil"/>
              <w:left w:val="nil"/>
              <w:bottom w:val="nil"/>
              <w:right w:val="nil"/>
            </w:tcBorders>
            <w:shd w:val="clear" w:color="auto" w:fill="auto"/>
            <w:noWrap/>
            <w:vAlign w:val="center"/>
            <w:hideMark/>
          </w:tcPr>
          <w:p w14:paraId="7C8600EA"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56" w:type="dxa"/>
            <w:tcBorders>
              <w:top w:val="nil"/>
              <w:left w:val="nil"/>
              <w:bottom w:val="nil"/>
              <w:right w:val="nil"/>
            </w:tcBorders>
            <w:shd w:val="clear" w:color="auto" w:fill="auto"/>
            <w:noWrap/>
            <w:vAlign w:val="center"/>
            <w:hideMark/>
          </w:tcPr>
          <w:p w14:paraId="3BDE187B"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54E94E80" w14:textId="77777777" w:rsidTr="00B11F5F">
        <w:trPr>
          <w:trHeight w:val="300"/>
        </w:trPr>
        <w:tc>
          <w:tcPr>
            <w:tcW w:w="754" w:type="dxa"/>
            <w:vMerge/>
            <w:tcBorders>
              <w:top w:val="nil"/>
              <w:left w:val="nil"/>
              <w:bottom w:val="single" w:sz="4" w:space="0" w:color="000000"/>
              <w:right w:val="nil"/>
            </w:tcBorders>
            <w:vAlign w:val="center"/>
            <w:hideMark/>
          </w:tcPr>
          <w:p w14:paraId="79F3B59C"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single" w:sz="4" w:space="0" w:color="auto"/>
              <w:left w:val="nil"/>
              <w:bottom w:val="single" w:sz="4" w:space="0" w:color="000000"/>
              <w:right w:val="nil"/>
            </w:tcBorders>
            <w:vAlign w:val="center"/>
            <w:hideMark/>
          </w:tcPr>
          <w:p w14:paraId="158B14FD"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13B0F65E"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06E8406E"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53.26</w:t>
            </w:r>
          </w:p>
        </w:tc>
        <w:tc>
          <w:tcPr>
            <w:tcW w:w="960" w:type="dxa"/>
            <w:tcBorders>
              <w:top w:val="nil"/>
              <w:left w:val="nil"/>
              <w:bottom w:val="nil"/>
              <w:right w:val="nil"/>
            </w:tcBorders>
            <w:shd w:val="clear" w:color="auto" w:fill="auto"/>
            <w:noWrap/>
            <w:vAlign w:val="center"/>
            <w:hideMark/>
          </w:tcPr>
          <w:p w14:paraId="16FC6BFE"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24.809</w:t>
            </w:r>
          </w:p>
        </w:tc>
        <w:tc>
          <w:tcPr>
            <w:tcW w:w="960" w:type="dxa"/>
            <w:tcBorders>
              <w:top w:val="nil"/>
              <w:left w:val="nil"/>
              <w:bottom w:val="nil"/>
              <w:right w:val="nil"/>
            </w:tcBorders>
            <w:shd w:val="clear" w:color="auto" w:fill="auto"/>
            <w:noWrap/>
            <w:vAlign w:val="center"/>
            <w:hideMark/>
          </w:tcPr>
          <w:p w14:paraId="6CC7B34E"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10.466</w:t>
            </w:r>
          </w:p>
        </w:tc>
        <w:tc>
          <w:tcPr>
            <w:tcW w:w="960" w:type="dxa"/>
            <w:tcBorders>
              <w:top w:val="nil"/>
              <w:left w:val="nil"/>
              <w:bottom w:val="nil"/>
              <w:right w:val="nil"/>
            </w:tcBorders>
            <w:shd w:val="clear" w:color="auto" w:fill="auto"/>
            <w:noWrap/>
            <w:vAlign w:val="center"/>
            <w:hideMark/>
          </w:tcPr>
          <w:p w14:paraId="4436B4D7"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8.259</w:t>
            </w:r>
          </w:p>
        </w:tc>
        <w:tc>
          <w:tcPr>
            <w:tcW w:w="960" w:type="dxa"/>
            <w:tcBorders>
              <w:top w:val="nil"/>
              <w:left w:val="nil"/>
              <w:bottom w:val="nil"/>
              <w:right w:val="nil"/>
            </w:tcBorders>
            <w:shd w:val="clear" w:color="auto" w:fill="auto"/>
            <w:noWrap/>
            <w:vAlign w:val="center"/>
            <w:hideMark/>
          </w:tcPr>
          <w:p w14:paraId="01C47F8A"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2.215</w:t>
            </w:r>
          </w:p>
        </w:tc>
        <w:tc>
          <w:tcPr>
            <w:tcW w:w="960" w:type="dxa"/>
            <w:tcBorders>
              <w:top w:val="nil"/>
              <w:left w:val="nil"/>
              <w:bottom w:val="nil"/>
              <w:right w:val="nil"/>
            </w:tcBorders>
            <w:shd w:val="clear" w:color="auto" w:fill="auto"/>
            <w:noWrap/>
            <w:vAlign w:val="center"/>
            <w:hideMark/>
          </w:tcPr>
          <w:p w14:paraId="6A5D8608"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20EBC3E4" w14:textId="77777777" w:rsidR="00D740DC" w:rsidRPr="00CE3CFA" w:rsidRDefault="00D740DC" w:rsidP="00B11F5F">
            <w:pPr>
              <w:spacing w:after="0" w:line="240" w:lineRule="auto"/>
              <w:jc w:val="center"/>
              <w:rPr>
                <w:rFonts w:eastAsia="Times New Roman" w:cs="Times New Roman"/>
                <w:b w:val="0"/>
                <w:sz w:val="18"/>
                <w:szCs w:val="18"/>
                <w:lang w:eastAsia="en-MY"/>
              </w:rPr>
            </w:pPr>
          </w:p>
        </w:tc>
        <w:tc>
          <w:tcPr>
            <w:tcW w:w="830" w:type="dxa"/>
            <w:tcBorders>
              <w:top w:val="nil"/>
              <w:left w:val="nil"/>
              <w:bottom w:val="nil"/>
              <w:right w:val="nil"/>
            </w:tcBorders>
            <w:shd w:val="clear" w:color="auto" w:fill="auto"/>
            <w:noWrap/>
            <w:vAlign w:val="center"/>
            <w:hideMark/>
          </w:tcPr>
          <w:p w14:paraId="0FC6CA4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w:t>
            </w:r>
          </w:p>
        </w:tc>
        <w:tc>
          <w:tcPr>
            <w:tcW w:w="956" w:type="dxa"/>
            <w:tcBorders>
              <w:top w:val="nil"/>
              <w:left w:val="nil"/>
              <w:bottom w:val="nil"/>
              <w:right w:val="nil"/>
            </w:tcBorders>
            <w:shd w:val="clear" w:color="auto" w:fill="auto"/>
            <w:noWrap/>
            <w:vAlign w:val="center"/>
            <w:hideMark/>
          </w:tcPr>
          <w:p w14:paraId="584B1ECC"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0.99</w:t>
            </w:r>
          </w:p>
        </w:tc>
      </w:tr>
      <w:tr w:rsidR="00D740DC" w:rsidRPr="00670E27" w14:paraId="26CEA445" w14:textId="77777777" w:rsidTr="00B11F5F">
        <w:trPr>
          <w:trHeight w:val="300"/>
        </w:trPr>
        <w:tc>
          <w:tcPr>
            <w:tcW w:w="754" w:type="dxa"/>
            <w:vMerge/>
            <w:tcBorders>
              <w:top w:val="nil"/>
              <w:left w:val="nil"/>
              <w:bottom w:val="single" w:sz="4" w:space="0" w:color="000000"/>
              <w:right w:val="nil"/>
            </w:tcBorders>
            <w:vAlign w:val="center"/>
            <w:hideMark/>
          </w:tcPr>
          <w:p w14:paraId="15756EE7"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single" w:sz="4" w:space="0" w:color="auto"/>
              <w:left w:val="nil"/>
              <w:bottom w:val="single" w:sz="4" w:space="0" w:color="000000"/>
              <w:right w:val="nil"/>
            </w:tcBorders>
            <w:vAlign w:val="center"/>
            <w:hideMark/>
          </w:tcPr>
          <w:p w14:paraId="552C44B2"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1E544405"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21C2481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53.26</w:t>
            </w:r>
          </w:p>
        </w:tc>
        <w:tc>
          <w:tcPr>
            <w:tcW w:w="960" w:type="dxa"/>
            <w:tcBorders>
              <w:top w:val="nil"/>
              <w:left w:val="nil"/>
              <w:bottom w:val="nil"/>
              <w:right w:val="nil"/>
            </w:tcBorders>
            <w:shd w:val="clear" w:color="auto" w:fill="auto"/>
            <w:noWrap/>
            <w:vAlign w:val="center"/>
            <w:hideMark/>
          </w:tcPr>
          <w:p w14:paraId="3555414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24.809</w:t>
            </w:r>
          </w:p>
        </w:tc>
        <w:tc>
          <w:tcPr>
            <w:tcW w:w="960" w:type="dxa"/>
            <w:tcBorders>
              <w:top w:val="nil"/>
              <w:left w:val="nil"/>
              <w:bottom w:val="nil"/>
              <w:right w:val="nil"/>
            </w:tcBorders>
            <w:shd w:val="clear" w:color="auto" w:fill="auto"/>
            <w:noWrap/>
            <w:vAlign w:val="center"/>
            <w:hideMark/>
          </w:tcPr>
          <w:p w14:paraId="22B5F1E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5.233</w:t>
            </w:r>
          </w:p>
        </w:tc>
        <w:tc>
          <w:tcPr>
            <w:tcW w:w="960" w:type="dxa"/>
            <w:tcBorders>
              <w:top w:val="nil"/>
              <w:left w:val="nil"/>
              <w:bottom w:val="nil"/>
              <w:right w:val="nil"/>
            </w:tcBorders>
            <w:shd w:val="clear" w:color="auto" w:fill="auto"/>
            <w:noWrap/>
            <w:vAlign w:val="center"/>
            <w:hideMark/>
          </w:tcPr>
          <w:p w14:paraId="390CD0E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8.259</w:t>
            </w:r>
          </w:p>
        </w:tc>
        <w:tc>
          <w:tcPr>
            <w:tcW w:w="960" w:type="dxa"/>
            <w:tcBorders>
              <w:top w:val="nil"/>
              <w:left w:val="nil"/>
              <w:bottom w:val="nil"/>
              <w:right w:val="nil"/>
            </w:tcBorders>
            <w:shd w:val="clear" w:color="auto" w:fill="auto"/>
            <w:noWrap/>
            <w:vAlign w:val="center"/>
            <w:hideMark/>
          </w:tcPr>
          <w:p w14:paraId="3BB60B8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2.215</w:t>
            </w:r>
          </w:p>
        </w:tc>
        <w:tc>
          <w:tcPr>
            <w:tcW w:w="960" w:type="dxa"/>
            <w:tcBorders>
              <w:top w:val="nil"/>
              <w:left w:val="nil"/>
              <w:bottom w:val="nil"/>
              <w:right w:val="nil"/>
            </w:tcBorders>
            <w:shd w:val="clear" w:color="auto" w:fill="auto"/>
            <w:noWrap/>
            <w:vAlign w:val="center"/>
            <w:hideMark/>
          </w:tcPr>
          <w:p w14:paraId="51E5E27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7B2D923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w:t>
            </w:r>
          </w:p>
        </w:tc>
        <w:tc>
          <w:tcPr>
            <w:tcW w:w="830" w:type="dxa"/>
            <w:tcBorders>
              <w:top w:val="nil"/>
              <w:left w:val="nil"/>
              <w:bottom w:val="nil"/>
              <w:right w:val="nil"/>
            </w:tcBorders>
            <w:shd w:val="clear" w:color="auto" w:fill="auto"/>
            <w:noWrap/>
            <w:vAlign w:val="center"/>
            <w:hideMark/>
          </w:tcPr>
          <w:p w14:paraId="1E4F67E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w:t>
            </w:r>
          </w:p>
        </w:tc>
        <w:tc>
          <w:tcPr>
            <w:tcW w:w="956" w:type="dxa"/>
            <w:tcBorders>
              <w:top w:val="nil"/>
              <w:left w:val="nil"/>
              <w:bottom w:val="nil"/>
              <w:right w:val="nil"/>
            </w:tcBorders>
            <w:shd w:val="clear" w:color="auto" w:fill="auto"/>
            <w:noWrap/>
            <w:vAlign w:val="center"/>
            <w:hideMark/>
          </w:tcPr>
          <w:p w14:paraId="6750EE3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0.99</w:t>
            </w:r>
          </w:p>
        </w:tc>
      </w:tr>
      <w:tr w:rsidR="00D740DC" w:rsidRPr="00670E27" w14:paraId="4DF9A5B8" w14:textId="77777777" w:rsidTr="00B11F5F">
        <w:trPr>
          <w:trHeight w:val="300"/>
        </w:trPr>
        <w:tc>
          <w:tcPr>
            <w:tcW w:w="754" w:type="dxa"/>
            <w:vMerge/>
            <w:tcBorders>
              <w:top w:val="nil"/>
              <w:left w:val="nil"/>
              <w:bottom w:val="single" w:sz="4" w:space="0" w:color="000000"/>
              <w:right w:val="nil"/>
            </w:tcBorders>
            <w:vAlign w:val="center"/>
            <w:hideMark/>
          </w:tcPr>
          <w:p w14:paraId="6080B611"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single" w:sz="4" w:space="0" w:color="auto"/>
              <w:left w:val="nil"/>
              <w:bottom w:val="single" w:sz="4" w:space="0" w:color="000000"/>
              <w:right w:val="nil"/>
            </w:tcBorders>
            <w:vAlign w:val="center"/>
            <w:hideMark/>
          </w:tcPr>
          <w:p w14:paraId="44D5A38F"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52F088AE"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70B84BF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56.2</w:t>
            </w:r>
          </w:p>
        </w:tc>
        <w:tc>
          <w:tcPr>
            <w:tcW w:w="960" w:type="dxa"/>
            <w:tcBorders>
              <w:top w:val="nil"/>
              <w:left w:val="nil"/>
              <w:bottom w:val="single" w:sz="4" w:space="0" w:color="auto"/>
              <w:right w:val="nil"/>
            </w:tcBorders>
            <w:shd w:val="clear" w:color="auto" w:fill="auto"/>
            <w:noWrap/>
            <w:vAlign w:val="center"/>
            <w:hideMark/>
          </w:tcPr>
          <w:p w14:paraId="6947D50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26.18</w:t>
            </w:r>
          </w:p>
        </w:tc>
        <w:tc>
          <w:tcPr>
            <w:tcW w:w="960" w:type="dxa"/>
            <w:tcBorders>
              <w:top w:val="nil"/>
              <w:left w:val="nil"/>
              <w:bottom w:val="single" w:sz="4" w:space="0" w:color="auto"/>
              <w:right w:val="nil"/>
            </w:tcBorders>
            <w:shd w:val="clear" w:color="auto" w:fill="auto"/>
            <w:noWrap/>
            <w:vAlign w:val="center"/>
            <w:hideMark/>
          </w:tcPr>
          <w:p w14:paraId="03C4E06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5.52</w:t>
            </w:r>
          </w:p>
        </w:tc>
        <w:tc>
          <w:tcPr>
            <w:tcW w:w="960" w:type="dxa"/>
            <w:tcBorders>
              <w:top w:val="nil"/>
              <w:left w:val="nil"/>
              <w:bottom w:val="single" w:sz="4" w:space="0" w:color="auto"/>
              <w:right w:val="nil"/>
            </w:tcBorders>
            <w:shd w:val="clear" w:color="auto" w:fill="auto"/>
            <w:noWrap/>
            <w:vAlign w:val="center"/>
            <w:hideMark/>
          </w:tcPr>
          <w:p w14:paraId="32E1043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8.72</w:t>
            </w:r>
          </w:p>
        </w:tc>
        <w:tc>
          <w:tcPr>
            <w:tcW w:w="960" w:type="dxa"/>
            <w:tcBorders>
              <w:top w:val="nil"/>
              <w:left w:val="nil"/>
              <w:bottom w:val="single" w:sz="4" w:space="0" w:color="auto"/>
              <w:right w:val="nil"/>
            </w:tcBorders>
            <w:shd w:val="clear" w:color="auto" w:fill="auto"/>
            <w:noWrap/>
            <w:vAlign w:val="center"/>
            <w:hideMark/>
          </w:tcPr>
          <w:p w14:paraId="7D6A978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2.34</w:t>
            </w:r>
          </w:p>
        </w:tc>
        <w:tc>
          <w:tcPr>
            <w:tcW w:w="960" w:type="dxa"/>
            <w:tcBorders>
              <w:top w:val="nil"/>
              <w:left w:val="nil"/>
              <w:bottom w:val="single" w:sz="4" w:space="0" w:color="auto"/>
              <w:right w:val="nil"/>
            </w:tcBorders>
            <w:shd w:val="clear" w:color="auto" w:fill="auto"/>
            <w:noWrap/>
            <w:vAlign w:val="center"/>
            <w:hideMark/>
          </w:tcPr>
          <w:p w14:paraId="7D44EE8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5880EB5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w:t>
            </w:r>
          </w:p>
        </w:tc>
        <w:tc>
          <w:tcPr>
            <w:tcW w:w="830" w:type="dxa"/>
            <w:tcBorders>
              <w:top w:val="nil"/>
              <w:left w:val="nil"/>
              <w:bottom w:val="single" w:sz="4" w:space="0" w:color="auto"/>
              <w:right w:val="nil"/>
            </w:tcBorders>
            <w:shd w:val="clear" w:color="auto" w:fill="auto"/>
            <w:noWrap/>
            <w:vAlign w:val="center"/>
            <w:hideMark/>
          </w:tcPr>
          <w:p w14:paraId="64D1717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w:t>
            </w:r>
          </w:p>
        </w:tc>
        <w:tc>
          <w:tcPr>
            <w:tcW w:w="956" w:type="dxa"/>
            <w:tcBorders>
              <w:top w:val="nil"/>
              <w:left w:val="nil"/>
              <w:bottom w:val="single" w:sz="4" w:space="0" w:color="auto"/>
              <w:right w:val="nil"/>
            </w:tcBorders>
            <w:shd w:val="clear" w:color="auto" w:fill="auto"/>
            <w:noWrap/>
            <w:vAlign w:val="center"/>
            <w:hideMark/>
          </w:tcPr>
          <w:p w14:paraId="51FC0FD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1.05</w:t>
            </w:r>
          </w:p>
        </w:tc>
      </w:tr>
      <w:tr w:rsidR="00D740DC" w:rsidRPr="00670E27" w14:paraId="4AF2B06E" w14:textId="77777777" w:rsidTr="00B11F5F">
        <w:trPr>
          <w:trHeight w:val="300"/>
        </w:trPr>
        <w:tc>
          <w:tcPr>
            <w:tcW w:w="754" w:type="dxa"/>
            <w:vMerge/>
            <w:tcBorders>
              <w:top w:val="nil"/>
              <w:left w:val="nil"/>
              <w:bottom w:val="single" w:sz="4" w:space="0" w:color="000000"/>
              <w:right w:val="nil"/>
            </w:tcBorders>
            <w:vAlign w:val="center"/>
            <w:hideMark/>
          </w:tcPr>
          <w:p w14:paraId="7D575729"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1AB7BF80"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N</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B</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S</w:t>
            </w:r>
            <w:r w:rsidRPr="00670E27">
              <w:rPr>
                <w:rFonts w:eastAsia="Times New Roman" w:cs="Times New Roman"/>
                <w:b w:val="0"/>
                <w:color w:val="000000"/>
                <w:sz w:val="18"/>
                <w:szCs w:val="18"/>
                <w:vertAlign w:val="subscript"/>
                <w:lang w:eastAsia="en-MY"/>
              </w:rPr>
              <w:t>60</w:t>
            </w:r>
            <w:r w:rsidRPr="00670E27">
              <w:rPr>
                <w:rFonts w:eastAsia="Times New Roman" w:cs="Times New Roman"/>
                <w:b w:val="0"/>
                <w:color w:val="000000"/>
                <w:sz w:val="18"/>
                <w:szCs w:val="18"/>
                <w:lang w:eastAsia="en-MY"/>
              </w:rPr>
              <w:t>A1</w:t>
            </w:r>
            <w:r w:rsidRPr="00670E27">
              <w:rPr>
                <w:rFonts w:eastAsia="Times New Roman" w:cs="Times New Roman"/>
                <w:b w:val="0"/>
                <w:color w:val="000000"/>
                <w:sz w:val="18"/>
                <w:szCs w:val="18"/>
                <w:vertAlign w:val="subscript"/>
                <w:lang w:eastAsia="en-MY"/>
              </w:rPr>
              <w:t>15</w:t>
            </w:r>
            <w:r w:rsidRPr="00670E27">
              <w:rPr>
                <w:rFonts w:eastAsia="Times New Roman" w:cs="Times New Roman"/>
                <w:b w:val="0"/>
                <w:color w:val="000000"/>
                <w:sz w:val="18"/>
                <w:szCs w:val="18"/>
                <w:lang w:eastAsia="en-MY"/>
              </w:rPr>
              <w:t>Ca</w:t>
            </w:r>
            <w:r w:rsidRPr="00670E27">
              <w:rPr>
                <w:rFonts w:eastAsia="Times New Roman" w:cs="Times New Roman"/>
                <w:b w:val="0"/>
                <w:color w:val="000000"/>
                <w:sz w:val="18"/>
                <w:szCs w:val="18"/>
                <w:vertAlign w:val="subscript"/>
                <w:lang w:eastAsia="en-MY"/>
              </w:rPr>
              <w:t>5</w:t>
            </w:r>
          </w:p>
        </w:tc>
        <w:tc>
          <w:tcPr>
            <w:tcW w:w="3420" w:type="dxa"/>
            <w:tcBorders>
              <w:top w:val="nil"/>
              <w:left w:val="nil"/>
              <w:bottom w:val="nil"/>
              <w:right w:val="nil"/>
            </w:tcBorders>
            <w:shd w:val="clear" w:color="auto" w:fill="auto"/>
            <w:noWrap/>
            <w:vAlign w:val="center"/>
            <w:hideMark/>
          </w:tcPr>
          <w:p w14:paraId="163A51DE"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5663663F"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53.56</w:t>
            </w:r>
          </w:p>
        </w:tc>
        <w:tc>
          <w:tcPr>
            <w:tcW w:w="960" w:type="dxa"/>
            <w:tcBorders>
              <w:top w:val="nil"/>
              <w:left w:val="nil"/>
              <w:bottom w:val="nil"/>
              <w:right w:val="nil"/>
            </w:tcBorders>
            <w:shd w:val="clear" w:color="auto" w:fill="auto"/>
            <w:noWrap/>
            <w:vAlign w:val="center"/>
            <w:hideMark/>
          </w:tcPr>
          <w:p w14:paraId="3E566C5B"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22.72</w:t>
            </w:r>
          </w:p>
        </w:tc>
        <w:tc>
          <w:tcPr>
            <w:tcW w:w="960" w:type="dxa"/>
            <w:tcBorders>
              <w:top w:val="nil"/>
              <w:left w:val="nil"/>
              <w:bottom w:val="nil"/>
              <w:right w:val="nil"/>
            </w:tcBorders>
            <w:shd w:val="clear" w:color="auto" w:fill="auto"/>
            <w:noWrap/>
            <w:vAlign w:val="center"/>
            <w:hideMark/>
          </w:tcPr>
          <w:p w14:paraId="1487C75D"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10.34</w:t>
            </w:r>
          </w:p>
        </w:tc>
        <w:tc>
          <w:tcPr>
            <w:tcW w:w="960" w:type="dxa"/>
            <w:tcBorders>
              <w:top w:val="nil"/>
              <w:left w:val="nil"/>
              <w:bottom w:val="nil"/>
              <w:right w:val="nil"/>
            </w:tcBorders>
            <w:shd w:val="clear" w:color="auto" w:fill="auto"/>
            <w:noWrap/>
            <w:vAlign w:val="center"/>
            <w:hideMark/>
          </w:tcPr>
          <w:p w14:paraId="37F7E844"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9.21</w:t>
            </w:r>
          </w:p>
        </w:tc>
        <w:tc>
          <w:tcPr>
            <w:tcW w:w="960" w:type="dxa"/>
            <w:tcBorders>
              <w:top w:val="nil"/>
              <w:left w:val="nil"/>
              <w:bottom w:val="nil"/>
              <w:right w:val="nil"/>
            </w:tcBorders>
            <w:shd w:val="clear" w:color="auto" w:fill="auto"/>
            <w:noWrap/>
            <w:vAlign w:val="center"/>
            <w:hideMark/>
          </w:tcPr>
          <w:p w14:paraId="3C965C5C"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4.17</w:t>
            </w:r>
          </w:p>
        </w:tc>
        <w:tc>
          <w:tcPr>
            <w:tcW w:w="960" w:type="dxa"/>
            <w:tcBorders>
              <w:top w:val="nil"/>
              <w:left w:val="nil"/>
              <w:bottom w:val="nil"/>
              <w:right w:val="nil"/>
            </w:tcBorders>
            <w:shd w:val="clear" w:color="auto" w:fill="auto"/>
            <w:noWrap/>
            <w:vAlign w:val="center"/>
            <w:hideMark/>
          </w:tcPr>
          <w:p w14:paraId="6F61FF39"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1D892AB1" w14:textId="77777777" w:rsidR="00D740DC" w:rsidRPr="00CE3CFA" w:rsidRDefault="00D740DC" w:rsidP="00B11F5F">
            <w:pPr>
              <w:spacing w:after="0" w:line="240" w:lineRule="auto"/>
              <w:jc w:val="center"/>
              <w:rPr>
                <w:rFonts w:eastAsia="Times New Roman" w:cs="Times New Roman"/>
                <w:b w:val="0"/>
                <w:sz w:val="18"/>
                <w:szCs w:val="18"/>
                <w:lang w:eastAsia="en-MY"/>
              </w:rPr>
            </w:pPr>
          </w:p>
        </w:tc>
        <w:tc>
          <w:tcPr>
            <w:tcW w:w="830" w:type="dxa"/>
            <w:tcBorders>
              <w:top w:val="nil"/>
              <w:left w:val="nil"/>
              <w:bottom w:val="nil"/>
              <w:right w:val="nil"/>
            </w:tcBorders>
            <w:shd w:val="clear" w:color="auto" w:fill="auto"/>
            <w:noWrap/>
            <w:vAlign w:val="center"/>
            <w:hideMark/>
          </w:tcPr>
          <w:p w14:paraId="32377AE1" w14:textId="77777777" w:rsidR="00D740DC" w:rsidRPr="00CE3CFA" w:rsidRDefault="00D740DC" w:rsidP="00B11F5F">
            <w:pPr>
              <w:spacing w:after="0" w:line="240" w:lineRule="auto"/>
              <w:jc w:val="center"/>
              <w:rPr>
                <w:rFonts w:eastAsia="Times New Roman" w:cs="Times New Roman"/>
                <w:b w:val="0"/>
                <w:sz w:val="18"/>
                <w:szCs w:val="18"/>
                <w:lang w:eastAsia="en-MY"/>
              </w:rPr>
            </w:pPr>
          </w:p>
        </w:tc>
        <w:tc>
          <w:tcPr>
            <w:tcW w:w="956" w:type="dxa"/>
            <w:tcBorders>
              <w:top w:val="nil"/>
              <w:left w:val="nil"/>
              <w:bottom w:val="nil"/>
              <w:right w:val="nil"/>
            </w:tcBorders>
            <w:shd w:val="clear" w:color="auto" w:fill="auto"/>
            <w:noWrap/>
            <w:vAlign w:val="center"/>
            <w:hideMark/>
          </w:tcPr>
          <w:p w14:paraId="1571D485" w14:textId="77777777" w:rsidR="00D740DC" w:rsidRPr="00CE3CFA" w:rsidRDefault="00D740DC" w:rsidP="00B11F5F">
            <w:pPr>
              <w:spacing w:after="0" w:line="240" w:lineRule="auto"/>
              <w:jc w:val="center"/>
              <w:rPr>
                <w:rFonts w:eastAsia="Times New Roman" w:cs="Times New Roman"/>
                <w:b w:val="0"/>
                <w:sz w:val="18"/>
                <w:szCs w:val="18"/>
                <w:lang w:eastAsia="en-MY"/>
              </w:rPr>
            </w:pPr>
          </w:p>
        </w:tc>
      </w:tr>
      <w:tr w:rsidR="00D740DC" w:rsidRPr="00670E27" w14:paraId="1609F6D4" w14:textId="77777777" w:rsidTr="00B11F5F">
        <w:trPr>
          <w:trHeight w:val="300"/>
        </w:trPr>
        <w:tc>
          <w:tcPr>
            <w:tcW w:w="754" w:type="dxa"/>
            <w:vMerge/>
            <w:tcBorders>
              <w:top w:val="nil"/>
              <w:left w:val="nil"/>
              <w:bottom w:val="single" w:sz="4" w:space="0" w:color="000000"/>
              <w:right w:val="nil"/>
            </w:tcBorders>
            <w:vAlign w:val="center"/>
            <w:hideMark/>
          </w:tcPr>
          <w:p w14:paraId="5B675C0D"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274354BD"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5D168D5B"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4539CCD3"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52.512</w:t>
            </w:r>
          </w:p>
        </w:tc>
        <w:tc>
          <w:tcPr>
            <w:tcW w:w="960" w:type="dxa"/>
            <w:tcBorders>
              <w:top w:val="nil"/>
              <w:left w:val="nil"/>
              <w:bottom w:val="nil"/>
              <w:right w:val="nil"/>
            </w:tcBorders>
            <w:shd w:val="clear" w:color="auto" w:fill="auto"/>
            <w:noWrap/>
            <w:vAlign w:val="center"/>
            <w:hideMark/>
          </w:tcPr>
          <w:p w14:paraId="5573A2A7"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22.654</w:t>
            </w:r>
          </w:p>
        </w:tc>
        <w:tc>
          <w:tcPr>
            <w:tcW w:w="960" w:type="dxa"/>
            <w:tcBorders>
              <w:top w:val="nil"/>
              <w:left w:val="nil"/>
              <w:bottom w:val="nil"/>
              <w:right w:val="nil"/>
            </w:tcBorders>
            <w:shd w:val="clear" w:color="auto" w:fill="auto"/>
            <w:noWrap/>
            <w:vAlign w:val="center"/>
            <w:hideMark/>
          </w:tcPr>
          <w:p w14:paraId="5033BF01"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12.147</w:t>
            </w:r>
          </w:p>
        </w:tc>
        <w:tc>
          <w:tcPr>
            <w:tcW w:w="960" w:type="dxa"/>
            <w:tcBorders>
              <w:top w:val="nil"/>
              <w:left w:val="nil"/>
              <w:bottom w:val="nil"/>
              <w:right w:val="nil"/>
            </w:tcBorders>
            <w:shd w:val="clear" w:color="auto" w:fill="auto"/>
            <w:noWrap/>
            <w:vAlign w:val="center"/>
            <w:hideMark/>
          </w:tcPr>
          <w:p w14:paraId="6C335723"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7.836</w:t>
            </w:r>
          </w:p>
        </w:tc>
        <w:tc>
          <w:tcPr>
            <w:tcW w:w="960" w:type="dxa"/>
            <w:tcBorders>
              <w:top w:val="nil"/>
              <w:left w:val="nil"/>
              <w:bottom w:val="nil"/>
              <w:right w:val="nil"/>
            </w:tcBorders>
            <w:shd w:val="clear" w:color="auto" w:fill="auto"/>
            <w:noWrap/>
            <w:vAlign w:val="center"/>
            <w:hideMark/>
          </w:tcPr>
          <w:p w14:paraId="08A2C863"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4.075</w:t>
            </w:r>
          </w:p>
        </w:tc>
        <w:tc>
          <w:tcPr>
            <w:tcW w:w="960" w:type="dxa"/>
            <w:tcBorders>
              <w:top w:val="nil"/>
              <w:left w:val="nil"/>
              <w:bottom w:val="nil"/>
              <w:right w:val="nil"/>
            </w:tcBorders>
            <w:shd w:val="clear" w:color="auto" w:fill="auto"/>
            <w:noWrap/>
            <w:vAlign w:val="center"/>
            <w:hideMark/>
          </w:tcPr>
          <w:p w14:paraId="67EE3C61"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398F3AD7" w14:textId="77777777" w:rsidR="00D740DC" w:rsidRPr="00CE3CFA" w:rsidRDefault="00D740DC" w:rsidP="00B11F5F">
            <w:pPr>
              <w:spacing w:after="0" w:line="240" w:lineRule="auto"/>
              <w:jc w:val="center"/>
              <w:rPr>
                <w:rFonts w:eastAsia="Times New Roman" w:cs="Times New Roman"/>
                <w:b w:val="0"/>
                <w:sz w:val="18"/>
                <w:szCs w:val="18"/>
                <w:lang w:eastAsia="en-MY"/>
              </w:rPr>
            </w:pPr>
          </w:p>
        </w:tc>
        <w:tc>
          <w:tcPr>
            <w:tcW w:w="830" w:type="dxa"/>
            <w:tcBorders>
              <w:top w:val="nil"/>
              <w:left w:val="nil"/>
              <w:bottom w:val="nil"/>
              <w:right w:val="nil"/>
            </w:tcBorders>
            <w:shd w:val="clear" w:color="auto" w:fill="auto"/>
            <w:noWrap/>
            <w:vAlign w:val="center"/>
            <w:hideMark/>
          </w:tcPr>
          <w:p w14:paraId="46D12FA2"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0.01</w:t>
            </w:r>
          </w:p>
        </w:tc>
        <w:tc>
          <w:tcPr>
            <w:tcW w:w="956" w:type="dxa"/>
            <w:tcBorders>
              <w:top w:val="nil"/>
              <w:left w:val="nil"/>
              <w:bottom w:val="nil"/>
              <w:right w:val="nil"/>
            </w:tcBorders>
            <w:shd w:val="clear" w:color="auto" w:fill="auto"/>
            <w:noWrap/>
            <w:vAlign w:val="center"/>
            <w:hideMark/>
          </w:tcPr>
          <w:p w14:paraId="621D386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0.76</w:t>
            </w:r>
          </w:p>
        </w:tc>
      </w:tr>
      <w:tr w:rsidR="00D740DC" w:rsidRPr="00670E27" w14:paraId="1974F508" w14:textId="77777777" w:rsidTr="00B11F5F">
        <w:trPr>
          <w:trHeight w:val="300"/>
        </w:trPr>
        <w:tc>
          <w:tcPr>
            <w:tcW w:w="754" w:type="dxa"/>
            <w:vMerge/>
            <w:tcBorders>
              <w:top w:val="nil"/>
              <w:left w:val="nil"/>
              <w:bottom w:val="single" w:sz="4" w:space="0" w:color="000000"/>
              <w:right w:val="nil"/>
            </w:tcBorders>
            <w:vAlign w:val="center"/>
            <w:hideMark/>
          </w:tcPr>
          <w:p w14:paraId="174EDEF6"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47CC42D5"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022CB974"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08D342F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52.512</w:t>
            </w:r>
          </w:p>
        </w:tc>
        <w:tc>
          <w:tcPr>
            <w:tcW w:w="960" w:type="dxa"/>
            <w:tcBorders>
              <w:top w:val="nil"/>
              <w:left w:val="nil"/>
              <w:bottom w:val="nil"/>
              <w:right w:val="nil"/>
            </w:tcBorders>
            <w:shd w:val="clear" w:color="auto" w:fill="auto"/>
            <w:noWrap/>
            <w:vAlign w:val="center"/>
            <w:hideMark/>
          </w:tcPr>
          <w:p w14:paraId="2BBD2E4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22.654</w:t>
            </w:r>
          </w:p>
        </w:tc>
        <w:tc>
          <w:tcPr>
            <w:tcW w:w="960" w:type="dxa"/>
            <w:tcBorders>
              <w:top w:val="nil"/>
              <w:left w:val="nil"/>
              <w:bottom w:val="nil"/>
              <w:right w:val="nil"/>
            </w:tcBorders>
            <w:shd w:val="clear" w:color="auto" w:fill="auto"/>
            <w:noWrap/>
            <w:vAlign w:val="center"/>
            <w:hideMark/>
          </w:tcPr>
          <w:p w14:paraId="13A4AF1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6.0735</w:t>
            </w:r>
          </w:p>
        </w:tc>
        <w:tc>
          <w:tcPr>
            <w:tcW w:w="960" w:type="dxa"/>
            <w:tcBorders>
              <w:top w:val="nil"/>
              <w:left w:val="nil"/>
              <w:bottom w:val="nil"/>
              <w:right w:val="nil"/>
            </w:tcBorders>
            <w:shd w:val="clear" w:color="auto" w:fill="auto"/>
            <w:noWrap/>
            <w:vAlign w:val="center"/>
            <w:hideMark/>
          </w:tcPr>
          <w:p w14:paraId="2FDD485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7.836</w:t>
            </w:r>
          </w:p>
        </w:tc>
        <w:tc>
          <w:tcPr>
            <w:tcW w:w="960" w:type="dxa"/>
            <w:tcBorders>
              <w:top w:val="nil"/>
              <w:left w:val="nil"/>
              <w:bottom w:val="nil"/>
              <w:right w:val="nil"/>
            </w:tcBorders>
            <w:shd w:val="clear" w:color="auto" w:fill="auto"/>
            <w:noWrap/>
            <w:vAlign w:val="center"/>
            <w:hideMark/>
          </w:tcPr>
          <w:p w14:paraId="572C873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4.075</w:t>
            </w:r>
          </w:p>
        </w:tc>
        <w:tc>
          <w:tcPr>
            <w:tcW w:w="960" w:type="dxa"/>
            <w:tcBorders>
              <w:top w:val="nil"/>
              <w:left w:val="nil"/>
              <w:bottom w:val="nil"/>
              <w:right w:val="nil"/>
            </w:tcBorders>
            <w:shd w:val="clear" w:color="auto" w:fill="auto"/>
            <w:noWrap/>
            <w:vAlign w:val="center"/>
            <w:hideMark/>
          </w:tcPr>
          <w:p w14:paraId="624CDA4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395ED74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w:t>
            </w:r>
          </w:p>
        </w:tc>
        <w:tc>
          <w:tcPr>
            <w:tcW w:w="830" w:type="dxa"/>
            <w:tcBorders>
              <w:top w:val="nil"/>
              <w:left w:val="nil"/>
              <w:bottom w:val="nil"/>
              <w:right w:val="nil"/>
            </w:tcBorders>
            <w:shd w:val="clear" w:color="auto" w:fill="auto"/>
            <w:noWrap/>
            <w:vAlign w:val="center"/>
            <w:hideMark/>
          </w:tcPr>
          <w:p w14:paraId="0675471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0.01</w:t>
            </w:r>
          </w:p>
        </w:tc>
        <w:tc>
          <w:tcPr>
            <w:tcW w:w="956" w:type="dxa"/>
            <w:tcBorders>
              <w:top w:val="nil"/>
              <w:left w:val="nil"/>
              <w:bottom w:val="nil"/>
              <w:right w:val="nil"/>
            </w:tcBorders>
            <w:shd w:val="clear" w:color="auto" w:fill="auto"/>
            <w:noWrap/>
            <w:vAlign w:val="center"/>
            <w:hideMark/>
          </w:tcPr>
          <w:p w14:paraId="5C35DD3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0.76</w:t>
            </w:r>
          </w:p>
        </w:tc>
      </w:tr>
      <w:tr w:rsidR="00D740DC" w:rsidRPr="00670E27" w14:paraId="36F4847D" w14:textId="77777777" w:rsidTr="00B11F5F">
        <w:trPr>
          <w:trHeight w:val="300"/>
        </w:trPr>
        <w:tc>
          <w:tcPr>
            <w:tcW w:w="754" w:type="dxa"/>
            <w:vMerge/>
            <w:tcBorders>
              <w:top w:val="nil"/>
              <w:left w:val="nil"/>
              <w:bottom w:val="single" w:sz="4" w:space="0" w:color="000000"/>
              <w:right w:val="nil"/>
            </w:tcBorders>
            <w:vAlign w:val="center"/>
            <w:hideMark/>
          </w:tcPr>
          <w:p w14:paraId="36E8EA28"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206BC77E"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61D0E0C6"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 - normalised)</w:t>
            </w:r>
          </w:p>
        </w:tc>
        <w:tc>
          <w:tcPr>
            <w:tcW w:w="960" w:type="dxa"/>
            <w:tcBorders>
              <w:top w:val="nil"/>
              <w:left w:val="nil"/>
              <w:bottom w:val="nil"/>
              <w:right w:val="nil"/>
            </w:tcBorders>
            <w:shd w:val="clear" w:color="auto" w:fill="auto"/>
            <w:noWrap/>
            <w:vAlign w:val="center"/>
            <w:hideMark/>
          </w:tcPr>
          <w:p w14:paraId="254BE80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55.91</w:t>
            </w:r>
          </w:p>
        </w:tc>
        <w:tc>
          <w:tcPr>
            <w:tcW w:w="960" w:type="dxa"/>
            <w:tcBorders>
              <w:top w:val="nil"/>
              <w:left w:val="nil"/>
              <w:bottom w:val="nil"/>
              <w:right w:val="nil"/>
            </w:tcBorders>
            <w:shd w:val="clear" w:color="auto" w:fill="auto"/>
            <w:noWrap/>
            <w:vAlign w:val="center"/>
            <w:hideMark/>
          </w:tcPr>
          <w:p w14:paraId="6C10C45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24.12</w:t>
            </w:r>
          </w:p>
        </w:tc>
        <w:tc>
          <w:tcPr>
            <w:tcW w:w="960" w:type="dxa"/>
            <w:tcBorders>
              <w:top w:val="nil"/>
              <w:left w:val="nil"/>
              <w:bottom w:val="nil"/>
              <w:right w:val="nil"/>
            </w:tcBorders>
            <w:shd w:val="clear" w:color="auto" w:fill="auto"/>
            <w:noWrap/>
            <w:vAlign w:val="center"/>
            <w:hideMark/>
          </w:tcPr>
          <w:p w14:paraId="5A49CE4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6.47</w:t>
            </w:r>
          </w:p>
        </w:tc>
        <w:tc>
          <w:tcPr>
            <w:tcW w:w="960" w:type="dxa"/>
            <w:tcBorders>
              <w:top w:val="nil"/>
              <w:left w:val="nil"/>
              <w:bottom w:val="nil"/>
              <w:right w:val="nil"/>
            </w:tcBorders>
            <w:shd w:val="clear" w:color="auto" w:fill="auto"/>
            <w:noWrap/>
            <w:vAlign w:val="center"/>
            <w:hideMark/>
          </w:tcPr>
          <w:p w14:paraId="5C7B069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8.34</w:t>
            </w:r>
          </w:p>
        </w:tc>
        <w:tc>
          <w:tcPr>
            <w:tcW w:w="960" w:type="dxa"/>
            <w:tcBorders>
              <w:top w:val="nil"/>
              <w:left w:val="nil"/>
              <w:bottom w:val="nil"/>
              <w:right w:val="nil"/>
            </w:tcBorders>
            <w:shd w:val="clear" w:color="auto" w:fill="auto"/>
            <w:noWrap/>
            <w:vAlign w:val="center"/>
            <w:hideMark/>
          </w:tcPr>
          <w:p w14:paraId="76B9447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4.34</w:t>
            </w:r>
          </w:p>
        </w:tc>
        <w:tc>
          <w:tcPr>
            <w:tcW w:w="960" w:type="dxa"/>
            <w:tcBorders>
              <w:top w:val="nil"/>
              <w:left w:val="nil"/>
              <w:bottom w:val="nil"/>
              <w:right w:val="nil"/>
            </w:tcBorders>
            <w:shd w:val="clear" w:color="auto" w:fill="auto"/>
            <w:noWrap/>
            <w:vAlign w:val="center"/>
            <w:hideMark/>
          </w:tcPr>
          <w:p w14:paraId="3C84997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46005D6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w:t>
            </w:r>
          </w:p>
        </w:tc>
        <w:tc>
          <w:tcPr>
            <w:tcW w:w="830" w:type="dxa"/>
            <w:tcBorders>
              <w:top w:val="nil"/>
              <w:left w:val="nil"/>
              <w:bottom w:val="nil"/>
              <w:right w:val="nil"/>
            </w:tcBorders>
            <w:shd w:val="clear" w:color="auto" w:fill="auto"/>
            <w:noWrap/>
            <w:vAlign w:val="center"/>
            <w:hideMark/>
          </w:tcPr>
          <w:p w14:paraId="170BCC8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0.01</w:t>
            </w:r>
          </w:p>
        </w:tc>
        <w:tc>
          <w:tcPr>
            <w:tcW w:w="956" w:type="dxa"/>
            <w:tcBorders>
              <w:top w:val="nil"/>
              <w:left w:val="nil"/>
              <w:bottom w:val="nil"/>
              <w:right w:val="nil"/>
            </w:tcBorders>
            <w:shd w:val="clear" w:color="auto" w:fill="auto"/>
            <w:noWrap/>
            <w:vAlign w:val="center"/>
            <w:hideMark/>
          </w:tcPr>
          <w:p w14:paraId="3AB1180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0.81</w:t>
            </w:r>
          </w:p>
        </w:tc>
      </w:tr>
      <w:tr w:rsidR="00D740DC" w:rsidRPr="00670E27" w14:paraId="1C35B15F" w14:textId="77777777" w:rsidTr="00B11F5F">
        <w:trPr>
          <w:trHeight w:val="300"/>
        </w:trPr>
        <w:tc>
          <w:tcPr>
            <w:tcW w:w="754" w:type="dxa"/>
            <w:vMerge/>
            <w:tcBorders>
              <w:top w:val="nil"/>
              <w:left w:val="nil"/>
              <w:bottom w:val="single" w:sz="4" w:space="0" w:color="000000"/>
              <w:right w:val="nil"/>
            </w:tcBorders>
            <w:vAlign w:val="center"/>
            <w:hideMark/>
          </w:tcPr>
          <w:p w14:paraId="5D8B7A1D"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4AD8880C"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000000" w:fill="D9D9D9"/>
            <w:noWrap/>
            <w:vAlign w:val="center"/>
            <w:hideMark/>
          </w:tcPr>
          <w:p w14:paraId="6FE80235"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(ICP)</w:t>
            </w:r>
          </w:p>
        </w:tc>
        <w:tc>
          <w:tcPr>
            <w:tcW w:w="960" w:type="dxa"/>
            <w:tcBorders>
              <w:top w:val="nil"/>
              <w:left w:val="nil"/>
              <w:bottom w:val="single" w:sz="4" w:space="0" w:color="auto"/>
              <w:right w:val="nil"/>
            </w:tcBorders>
            <w:shd w:val="clear" w:color="000000" w:fill="D9D9D9"/>
            <w:noWrap/>
            <w:vAlign w:val="center"/>
            <w:hideMark/>
          </w:tcPr>
          <w:p w14:paraId="32A9A0E4"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54.72</w:t>
            </w:r>
          </w:p>
        </w:tc>
        <w:tc>
          <w:tcPr>
            <w:tcW w:w="960" w:type="dxa"/>
            <w:tcBorders>
              <w:top w:val="nil"/>
              <w:left w:val="nil"/>
              <w:bottom w:val="single" w:sz="4" w:space="0" w:color="auto"/>
              <w:right w:val="nil"/>
            </w:tcBorders>
            <w:shd w:val="clear" w:color="000000" w:fill="D9D9D9"/>
            <w:noWrap/>
            <w:vAlign w:val="center"/>
            <w:hideMark/>
          </w:tcPr>
          <w:p w14:paraId="308E2B90"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20.86</w:t>
            </w:r>
          </w:p>
        </w:tc>
        <w:tc>
          <w:tcPr>
            <w:tcW w:w="960" w:type="dxa"/>
            <w:tcBorders>
              <w:top w:val="nil"/>
              <w:left w:val="nil"/>
              <w:bottom w:val="single" w:sz="4" w:space="0" w:color="auto"/>
              <w:right w:val="nil"/>
            </w:tcBorders>
            <w:shd w:val="clear" w:color="000000" w:fill="D9D9D9"/>
            <w:noWrap/>
            <w:vAlign w:val="center"/>
            <w:hideMark/>
          </w:tcPr>
          <w:p w14:paraId="5929F9E5"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4.63</w:t>
            </w:r>
          </w:p>
        </w:tc>
        <w:tc>
          <w:tcPr>
            <w:tcW w:w="960" w:type="dxa"/>
            <w:tcBorders>
              <w:top w:val="nil"/>
              <w:left w:val="nil"/>
              <w:bottom w:val="single" w:sz="4" w:space="0" w:color="auto"/>
              <w:right w:val="nil"/>
            </w:tcBorders>
            <w:shd w:val="clear" w:color="000000" w:fill="D9D9D9"/>
            <w:noWrap/>
            <w:vAlign w:val="center"/>
            <w:hideMark/>
          </w:tcPr>
          <w:p w14:paraId="3A64A414"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13.18</w:t>
            </w:r>
          </w:p>
        </w:tc>
        <w:tc>
          <w:tcPr>
            <w:tcW w:w="960" w:type="dxa"/>
            <w:tcBorders>
              <w:top w:val="nil"/>
              <w:left w:val="nil"/>
              <w:bottom w:val="single" w:sz="4" w:space="0" w:color="auto"/>
              <w:right w:val="nil"/>
            </w:tcBorders>
            <w:shd w:val="clear" w:color="000000" w:fill="D9D9D9"/>
            <w:noWrap/>
            <w:vAlign w:val="center"/>
            <w:hideMark/>
          </w:tcPr>
          <w:p w14:paraId="41F75D98"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6.28</w:t>
            </w:r>
          </w:p>
        </w:tc>
        <w:tc>
          <w:tcPr>
            <w:tcW w:w="960" w:type="dxa"/>
            <w:tcBorders>
              <w:top w:val="nil"/>
              <w:left w:val="nil"/>
              <w:bottom w:val="single" w:sz="4" w:space="0" w:color="auto"/>
              <w:right w:val="nil"/>
            </w:tcBorders>
            <w:shd w:val="clear" w:color="000000" w:fill="D9D9D9"/>
            <w:noWrap/>
            <w:vAlign w:val="center"/>
            <w:hideMark/>
          </w:tcPr>
          <w:p w14:paraId="49CE7140"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0.15</w:t>
            </w:r>
          </w:p>
        </w:tc>
        <w:tc>
          <w:tcPr>
            <w:tcW w:w="960" w:type="dxa"/>
            <w:tcBorders>
              <w:top w:val="nil"/>
              <w:left w:val="nil"/>
              <w:bottom w:val="single" w:sz="4" w:space="0" w:color="auto"/>
              <w:right w:val="nil"/>
            </w:tcBorders>
            <w:shd w:val="clear" w:color="000000" w:fill="D9D9D9"/>
            <w:noWrap/>
            <w:vAlign w:val="center"/>
            <w:hideMark/>
          </w:tcPr>
          <w:p w14:paraId="0FDB86B6"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0.06</w:t>
            </w:r>
          </w:p>
        </w:tc>
        <w:tc>
          <w:tcPr>
            <w:tcW w:w="830" w:type="dxa"/>
            <w:tcBorders>
              <w:top w:val="nil"/>
              <w:left w:val="nil"/>
              <w:bottom w:val="single" w:sz="4" w:space="0" w:color="auto"/>
              <w:right w:val="nil"/>
            </w:tcBorders>
            <w:shd w:val="clear" w:color="000000" w:fill="D9D9D9"/>
            <w:noWrap/>
            <w:vAlign w:val="center"/>
            <w:hideMark/>
          </w:tcPr>
          <w:p w14:paraId="73CB9B27"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w:t>
            </w:r>
          </w:p>
        </w:tc>
        <w:tc>
          <w:tcPr>
            <w:tcW w:w="956" w:type="dxa"/>
            <w:tcBorders>
              <w:top w:val="nil"/>
              <w:left w:val="nil"/>
              <w:bottom w:val="single" w:sz="4" w:space="0" w:color="auto"/>
              <w:right w:val="nil"/>
            </w:tcBorders>
            <w:shd w:val="clear" w:color="000000" w:fill="D9D9D9"/>
            <w:noWrap/>
            <w:vAlign w:val="center"/>
            <w:hideMark/>
          </w:tcPr>
          <w:p w14:paraId="650C195B"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0.13</w:t>
            </w:r>
          </w:p>
        </w:tc>
      </w:tr>
      <w:tr w:rsidR="00D740DC" w:rsidRPr="00670E27" w14:paraId="1FCA6F3A" w14:textId="77777777" w:rsidTr="00B11F5F">
        <w:trPr>
          <w:trHeight w:val="300"/>
        </w:trPr>
        <w:tc>
          <w:tcPr>
            <w:tcW w:w="754" w:type="dxa"/>
            <w:vMerge/>
            <w:tcBorders>
              <w:top w:val="nil"/>
              <w:left w:val="nil"/>
              <w:bottom w:val="single" w:sz="4" w:space="0" w:color="000000"/>
              <w:right w:val="nil"/>
            </w:tcBorders>
            <w:vAlign w:val="center"/>
            <w:hideMark/>
          </w:tcPr>
          <w:p w14:paraId="52E23FE9"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4CBAA28A"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N</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B</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S</w:t>
            </w:r>
            <w:r w:rsidRPr="00670E27">
              <w:rPr>
                <w:rFonts w:eastAsia="Times New Roman" w:cs="Times New Roman"/>
                <w:b w:val="0"/>
                <w:color w:val="000000"/>
                <w:sz w:val="18"/>
                <w:szCs w:val="18"/>
                <w:vertAlign w:val="subscript"/>
                <w:lang w:eastAsia="en-MY"/>
              </w:rPr>
              <w:t>60</w:t>
            </w:r>
            <w:r w:rsidRPr="00670E27">
              <w:rPr>
                <w:rFonts w:eastAsia="Times New Roman" w:cs="Times New Roman"/>
                <w:b w:val="0"/>
                <w:color w:val="000000"/>
                <w:sz w:val="18"/>
                <w:szCs w:val="18"/>
                <w:lang w:eastAsia="en-MY"/>
              </w:rPr>
              <w:t>A1</w:t>
            </w:r>
            <w:r w:rsidRPr="00670E27">
              <w:rPr>
                <w:rFonts w:eastAsia="Times New Roman" w:cs="Times New Roman"/>
                <w:b w:val="0"/>
                <w:color w:val="000000"/>
                <w:sz w:val="18"/>
                <w:szCs w:val="18"/>
                <w:vertAlign w:val="subscript"/>
                <w:lang w:eastAsia="en-MY"/>
              </w:rPr>
              <w:t>12.5</w:t>
            </w:r>
            <w:r w:rsidRPr="00670E27">
              <w:rPr>
                <w:rFonts w:eastAsia="Times New Roman" w:cs="Times New Roman"/>
                <w:b w:val="0"/>
                <w:color w:val="000000"/>
                <w:sz w:val="18"/>
                <w:szCs w:val="18"/>
                <w:lang w:eastAsia="en-MY"/>
              </w:rPr>
              <w:t>Ca</w:t>
            </w:r>
            <w:r w:rsidRPr="00670E27">
              <w:rPr>
                <w:rFonts w:eastAsia="Times New Roman" w:cs="Times New Roman"/>
                <w:b w:val="0"/>
                <w:color w:val="000000"/>
                <w:sz w:val="18"/>
                <w:szCs w:val="18"/>
                <w:vertAlign w:val="subscript"/>
                <w:lang w:eastAsia="en-MY"/>
              </w:rPr>
              <w:t>7.5</w:t>
            </w:r>
          </w:p>
        </w:tc>
        <w:tc>
          <w:tcPr>
            <w:tcW w:w="3420" w:type="dxa"/>
            <w:tcBorders>
              <w:top w:val="nil"/>
              <w:left w:val="nil"/>
              <w:bottom w:val="nil"/>
              <w:right w:val="nil"/>
            </w:tcBorders>
            <w:shd w:val="clear" w:color="auto" w:fill="auto"/>
            <w:noWrap/>
            <w:vAlign w:val="center"/>
            <w:hideMark/>
          </w:tcPr>
          <w:p w14:paraId="2EFA5A41"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55654C73"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54.49</w:t>
            </w:r>
          </w:p>
        </w:tc>
        <w:tc>
          <w:tcPr>
            <w:tcW w:w="960" w:type="dxa"/>
            <w:tcBorders>
              <w:top w:val="nil"/>
              <w:left w:val="nil"/>
              <w:bottom w:val="nil"/>
              <w:right w:val="nil"/>
            </w:tcBorders>
            <w:shd w:val="clear" w:color="auto" w:fill="auto"/>
            <w:noWrap/>
            <w:vAlign w:val="center"/>
            <w:hideMark/>
          </w:tcPr>
          <w:p w14:paraId="2A32B3A4"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19.26</w:t>
            </w:r>
          </w:p>
        </w:tc>
        <w:tc>
          <w:tcPr>
            <w:tcW w:w="960" w:type="dxa"/>
            <w:tcBorders>
              <w:top w:val="nil"/>
              <w:left w:val="nil"/>
              <w:bottom w:val="nil"/>
              <w:right w:val="nil"/>
            </w:tcBorders>
            <w:shd w:val="clear" w:color="auto" w:fill="auto"/>
            <w:noWrap/>
            <w:vAlign w:val="center"/>
            <w:hideMark/>
          </w:tcPr>
          <w:p w14:paraId="76226893" w14:textId="77777777" w:rsidR="00D740DC" w:rsidRPr="00C9418A" w:rsidRDefault="00D740DC" w:rsidP="00B11F5F">
            <w:pPr>
              <w:spacing w:after="0" w:line="240" w:lineRule="auto"/>
              <w:jc w:val="center"/>
              <w:rPr>
                <w:rFonts w:eastAsia="Times New Roman" w:cs="Times New Roman"/>
                <w:bCs/>
                <w:color w:val="000000"/>
                <w:sz w:val="18"/>
                <w:szCs w:val="18"/>
                <w:lang w:eastAsia="en-MY"/>
              </w:rPr>
            </w:pPr>
            <w:r w:rsidRPr="00C9418A">
              <w:rPr>
                <w:rFonts w:eastAsia="Times New Roman" w:cs="Times New Roman"/>
                <w:bCs/>
                <w:color w:val="000000"/>
                <w:sz w:val="18"/>
                <w:szCs w:val="18"/>
                <w:lang w:eastAsia="en-MY"/>
              </w:rPr>
              <w:t>10.52</w:t>
            </w:r>
          </w:p>
        </w:tc>
        <w:tc>
          <w:tcPr>
            <w:tcW w:w="960" w:type="dxa"/>
            <w:tcBorders>
              <w:top w:val="nil"/>
              <w:left w:val="nil"/>
              <w:bottom w:val="nil"/>
              <w:right w:val="nil"/>
            </w:tcBorders>
            <w:shd w:val="clear" w:color="auto" w:fill="auto"/>
            <w:noWrap/>
            <w:vAlign w:val="center"/>
            <w:hideMark/>
          </w:tcPr>
          <w:p w14:paraId="2112D2FB"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9.37</w:t>
            </w:r>
          </w:p>
        </w:tc>
        <w:tc>
          <w:tcPr>
            <w:tcW w:w="960" w:type="dxa"/>
            <w:tcBorders>
              <w:top w:val="nil"/>
              <w:left w:val="nil"/>
              <w:bottom w:val="nil"/>
              <w:right w:val="nil"/>
            </w:tcBorders>
            <w:shd w:val="clear" w:color="auto" w:fill="auto"/>
            <w:noWrap/>
            <w:vAlign w:val="center"/>
            <w:hideMark/>
          </w:tcPr>
          <w:p w14:paraId="6A349929"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6.36</w:t>
            </w:r>
          </w:p>
        </w:tc>
        <w:tc>
          <w:tcPr>
            <w:tcW w:w="960" w:type="dxa"/>
            <w:tcBorders>
              <w:top w:val="nil"/>
              <w:left w:val="nil"/>
              <w:bottom w:val="nil"/>
              <w:right w:val="nil"/>
            </w:tcBorders>
            <w:shd w:val="clear" w:color="auto" w:fill="auto"/>
            <w:noWrap/>
            <w:vAlign w:val="center"/>
            <w:hideMark/>
          </w:tcPr>
          <w:p w14:paraId="7EE499A6"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22E77AC1"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830" w:type="dxa"/>
            <w:tcBorders>
              <w:top w:val="nil"/>
              <w:left w:val="nil"/>
              <w:bottom w:val="nil"/>
              <w:right w:val="nil"/>
            </w:tcBorders>
            <w:shd w:val="clear" w:color="auto" w:fill="auto"/>
            <w:noWrap/>
            <w:vAlign w:val="center"/>
            <w:hideMark/>
          </w:tcPr>
          <w:p w14:paraId="255D04EC"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56" w:type="dxa"/>
            <w:tcBorders>
              <w:top w:val="nil"/>
              <w:left w:val="nil"/>
              <w:bottom w:val="nil"/>
              <w:right w:val="nil"/>
            </w:tcBorders>
            <w:shd w:val="clear" w:color="auto" w:fill="auto"/>
            <w:noWrap/>
            <w:vAlign w:val="center"/>
            <w:hideMark/>
          </w:tcPr>
          <w:p w14:paraId="7C929E28"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66198FE5" w14:textId="77777777" w:rsidTr="00B11F5F">
        <w:trPr>
          <w:trHeight w:val="300"/>
        </w:trPr>
        <w:tc>
          <w:tcPr>
            <w:tcW w:w="754" w:type="dxa"/>
            <w:vMerge/>
            <w:tcBorders>
              <w:top w:val="nil"/>
              <w:left w:val="nil"/>
              <w:bottom w:val="single" w:sz="4" w:space="0" w:color="000000"/>
              <w:right w:val="nil"/>
            </w:tcBorders>
            <w:vAlign w:val="center"/>
            <w:hideMark/>
          </w:tcPr>
          <w:p w14:paraId="3419BFF0"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5AE5390C"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26CA598D"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vAlign w:val="center"/>
            <w:hideMark/>
          </w:tcPr>
          <w:p w14:paraId="3BDA480C"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49.80</w:t>
            </w:r>
          </w:p>
        </w:tc>
        <w:tc>
          <w:tcPr>
            <w:tcW w:w="960" w:type="dxa"/>
            <w:tcBorders>
              <w:top w:val="nil"/>
              <w:left w:val="nil"/>
              <w:bottom w:val="nil"/>
              <w:right w:val="nil"/>
            </w:tcBorders>
            <w:shd w:val="clear" w:color="auto" w:fill="auto"/>
            <w:vAlign w:val="center"/>
            <w:hideMark/>
          </w:tcPr>
          <w:p w14:paraId="400AB553"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24.12</w:t>
            </w:r>
          </w:p>
        </w:tc>
        <w:tc>
          <w:tcPr>
            <w:tcW w:w="960" w:type="dxa"/>
            <w:tcBorders>
              <w:top w:val="nil"/>
              <w:left w:val="nil"/>
              <w:bottom w:val="nil"/>
              <w:right w:val="nil"/>
            </w:tcBorders>
            <w:shd w:val="clear" w:color="auto" w:fill="auto"/>
            <w:vAlign w:val="center"/>
            <w:hideMark/>
          </w:tcPr>
          <w:p w14:paraId="75DAF722"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12.21</w:t>
            </w:r>
          </w:p>
        </w:tc>
        <w:tc>
          <w:tcPr>
            <w:tcW w:w="960" w:type="dxa"/>
            <w:tcBorders>
              <w:top w:val="nil"/>
              <w:left w:val="nil"/>
              <w:bottom w:val="nil"/>
              <w:right w:val="nil"/>
            </w:tcBorders>
            <w:shd w:val="clear" w:color="auto" w:fill="auto"/>
            <w:vAlign w:val="center"/>
            <w:hideMark/>
          </w:tcPr>
          <w:p w14:paraId="6C47C637"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7.32</w:t>
            </w:r>
          </w:p>
        </w:tc>
        <w:tc>
          <w:tcPr>
            <w:tcW w:w="960" w:type="dxa"/>
            <w:tcBorders>
              <w:top w:val="nil"/>
              <w:left w:val="nil"/>
              <w:bottom w:val="nil"/>
              <w:right w:val="nil"/>
            </w:tcBorders>
            <w:shd w:val="clear" w:color="auto" w:fill="auto"/>
            <w:vAlign w:val="center"/>
            <w:hideMark/>
          </w:tcPr>
          <w:p w14:paraId="188C175B"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5.77</w:t>
            </w:r>
          </w:p>
        </w:tc>
        <w:tc>
          <w:tcPr>
            <w:tcW w:w="960" w:type="dxa"/>
            <w:tcBorders>
              <w:top w:val="nil"/>
              <w:left w:val="nil"/>
              <w:bottom w:val="nil"/>
              <w:right w:val="nil"/>
            </w:tcBorders>
            <w:shd w:val="clear" w:color="auto" w:fill="auto"/>
            <w:noWrap/>
            <w:vAlign w:val="center"/>
            <w:hideMark/>
          </w:tcPr>
          <w:p w14:paraId="5168BCC6"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3A1ED30B"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830" w:type="dxa"/>
            <w:tcBorders>
              <w:top w:val="nil"/>
              <w:left w:val="nil"/>
              <w:bottom w:val="nil"/>
              <w:right w:val="nil"/>
            </w:tcBorders>
            <w:shd w:val="clear" w:color="auto" w:fill="auto"/>
            <w:noWrap/>
            <w:vAlign w:val="center"/>
            <w:hideMark/>
          </w:tcPr>
          <w:p w14:paraId="4B93220A"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0.02</w:t>
            </w:r>
          </w:p>
        </w:tc>
        <w:tc>
          <w:tcPr>
            <w:tcW w:w="956" w:type="dxa"/>
            <w:tcBorders>
              <w:top w:val="nil"/>
              <w:left w:val="nil"/>
              <w:bottom w:val="nil"/>
              <w:right w:val="nil"/>
            </w:tcBorders>
            <w:shd w:val="clear" w:color="auto" w:fill="auto"/>
            <w:noWrap/>
            <w:vAlign w:val="center"/>
            <w:hideMark/>
          </w:tcPr>
          <w:p w14:paraId="668DB9B0"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0.77</w:t>
            </w:r>
          </w:p>
        </w:tc>
      </w:tr>
      <w:tr w:rsidR="00D740DC" w:rsidRPr="00670E27" w14:paraId="464012AF" w14:textId="77777777" w:rsidTr="00B11F5F">
        <w:trPr>
          <w:trHeight w:val="315"/>
        </w:trPr>
        <w:tc>
          <w:tcPr>
            <w:tcW w:w="754" w:type="dxa"/>
            <w:vMerge/>
            <w:tcBorders>
              <w:top w:val="nil"/>
              <w:left w:val="nil"/>
              <w:bottom w:val="single" w:sz="4" w:space="0" w:color="000000"/>
              <w:right w:val="nil"/>
            </w:tcBorders>
            <w:vAlign w:val="center"/>
            <w:hideMark/>
          </w:tcPr>
          <w:p w14:paraId="7DB220CD"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35A145CB"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06FF5730"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0CC0892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49.80</w:t>
            </w:r>
          </w:p>
        </w:tc>
        <w:tc>
          <w:tcPr>
            <w:tcW w:w="960" w:type="dxa"/>
            <w:tcBorders>
              <w:top w:val="nil"/>
              <w:left w:val="nil"/>
              <w:bottom w:val="nil"/>
              <w:right w:val="nil"/>
            </w:tcBorders>
            <w:shd w:val="clear" w:color="auto" w:fill="auto"/>
            <w:noWrap/>
            <w:vAlign w:val="center"/>
            <w:hideMark/>
          </w:tcPr>
          <w:p w14:paraId="515995C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24.12</w:t>
            </w:r>
          </w:p>
        </w:tc>
        <w:tc>
          <w:tcPr>
            <w:tcW w:w="960" w:type="dxa"/>
            <w:tcBorders>
              <w:top w:val="nil"/>
              <w:left w:val="nil"/>
              <w:bottom w:val="nil"/>
              <w:right w:val="nil"/>
            </w:tcBorders>
            <w:shd w:val="clear" w:color="auto" w:fill="auto"/>
            <w:noWrap/>
            <w:vAlign w:val="center"/>
            <w:hideMark/>
          </w:tcPr>
          <w:p w14:paraId="74D39E2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6.10</w:t>
            </w:r>
          </w:p>
        </w:tc>
        <w:tc>
          <w:tcPr>
            <w:tcW w:w="960" w:type="dxa"/>
            <w:tcBorders>
              <w:top w:val="nil"/>
              <w:left w:val="nil"/>
              <w:bottom w:val="nil"/>
              <w:right w:val="nil"/>
            </w:tcBorders>
            <w:shd w:val="clear" w:color="auto" w:fill="auto"/>
            <w:noWrap/>
            <w:vAlign w:val="center"/>
            <w:hideMark/>
          </w:tcPr>
          <w:p w14:paraId="7567141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7.32</w:t>
            </w:r>
          </w:p>
        </w:tc>
        <w:tc>
          <w:tcPr>
            <w:tcW w:w="960" w:type="dxa"/>
            <w:tcBorders>
              <w:top w:val="nil"/>
              <w:left w:val="nil"/>
              <w:bottom w:val="nil"/>
              <w:right w:val="nil"/>
            </w:tcBorders>
            <w:shd w:val="clear" w:color="auto" w:fill="auto"/>
            <w:noWrap/>
            <w:vAlign w:val="center"/>
            <w:hideMark/>
          </w:tcPr>
          <w:p w14:paraId="0E7B5D3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5.77</w:t>
            </w:r>
          </w:p>
        </w:tc>
        <w:tc>
          <w:tcPr>
            <w:tcW w:w="960" w:type="dxa"/>
            <w:tcBorders>
              <w:top w:val="nil"/>
              <w:left w:val="nil"/>
              <w:bottom w:val="nil"/>
              <w:right w:val="nil"/>
            </w:tcBorders>
            <w:shd w:val="clear" w:color="auto" w:fill="auto"/>
            <w:noWrap/>
            <w:vAlign w:val="center"/>
            <w:hideMark/>
          </w:tcPr>
          <w:p w14:paraId="2DB33E1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506142D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0.00</w:t>
            </w:r>
          </w:p>
        </w:tc>
        <w:tc>
          <w:tcPr>
            <w:tcW w:w="830" w:type="dxa"/>
            <w:tcBorders>
              <w:top w:val="nil"/>
              <w:left w:val="nil"/>
              <w:bottom w:val="nil"/>
              <w:right w:val="nil"/>
            </w:tcBorders>
            <w:shd w:val="clear" w:color="auto" w:fill="auto"/>
            <w:noWrap/>
            <w:vAlign w:val="center"/>
            <w:hideMark/>
          </w:tcPr>
          <w:p w14:paraId="3E4EB13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0.02</w:t>
            </w:r>
          </w:p>
        </w:tc>
        <w:tc>
          <w:tcPr>
            <w:tcW w:w="956" w:type="dxa"/>
            <w:tcBorders>
              <w:top w:val="nil"/>
              <w:left w:val="nil"/>
              <w:bottom w:val="nil"/>
              <w:right w:val="nil"/>
            </w:tcBorders>
            <w:shd w:val="clear" w:color="auto" w:fill="auto"/>
            <w:noWrap/>
            <w:vAlign w:val="center"/>
            <w:hideMark/>
          </w:tcPr>
          <w:p w14:paraId="6BF2374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0.77</w:t>
            </w:r>
          </w:p>
        </w:tc>
      </w:tr>
      <w:tr w:rsidR="00D740DC" w:rsidRPr="00670E27" w14:paraId="1444671C" w14:textId="77777777" w:rsidTr="00B11F5F">
        <w:trPr>
          <w:trHeight w:val="315"/>
        </w:trPr>
        <w:tc>
          <w:tcPr>
            <w:tcW w:w="754" w:type="dxa"/>
            <w:vMerge/>
            <w:tcBorders>
              <w:top w:val="nil"/>
              <w:left w:val="nil"/>
              <w:bottom w:val="single" w:sz="4" w:space="0" w:color="000000"/>
              <w:right w:val="nil"/>
            </w:tcBorders>
            <w:vAlign w:val="center"/>
            <w:hideMark/>
          </w:tcPr>
          <w:p w14:paraId="2319A6B5"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2A1D2D25"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3C59B18B"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57FCF7D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53.03</w:t>
            </w:r>
          </w:p>
        </w:tc>
        <w:tc>
          <w:tcPr>
            <w:tcW w:w="960" w:type="dxa"/>
            <w:tcBorders>
              <w:top w:val="nil"/>
              <w:left w:val="nil"/>
              <w:bottom w:val="single" w:sz="4" w:space="0" w:color="auto"/>
              <w:right w:val="nil"/>
            </w:tcBorders>
            <w:shd w:val="clear" w:color="auto" w:fill="auto"/>
            <w:noWrap/>
            <w:vAlign w:val="center"/>
            <w:hideMark/>
          </w:tcPr>
          <w:p w14:paraId="1EBBC9F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25.69</w:t>
            </w:r>
          </w:p>
        </w:tc>
        <w:tc>
          <w:tcPr>
            <w:tcW w:w="960" w:type="dxa"/>
            <w:tcBorders>
              <w:top w:val="nil"/>
              <w:left w:val="nil"/>
              <w:bottom w:val="single" w:sz="4" w:space="0" w:color="auto"/>
              <w:right w:val="nil"/>
            </w:tcBorders>
            <w:shd w:val="clear" w:color="auto" w:fill="auto"/>
            <w:noWrap/>
            <w:vAlign w:val="center"/>
            <w:hideMark/>
          </w:tcPr>
          <w:p w14:paraId="2540F08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6.5</w:t>
            </w:r>
          </w:p>
        </w:tc>
        <w:tc>
          <w:tcPr>
            <w:tcW w:w="960" w:type="dxa"/>
            <w:tcBorders>
              <w:top w:val="nil"/>
              <w:left w:val="nil"/>
              <w:bottom w:val="single" w:sz="4" w:space="0" w:color="auto"/>
              <w:right w:val="nil"/>
            </w:tcBorders>
            <w:shd w:val="clear" w:color="auto" w:fill="auto"/>
            <w:noWrap/>
            <w:vAlign w:val="center"/>
            <w:hideMark/>
          </w:tcPr>
          <w:p w14:paraId="47589AC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7.79</w:t>
            </w:r>
          </w:p>
        </w:tc>
        <w:tc>
          <w:tcPr>
            <w:tcW w:w="960" w:type="dxa"/>
            <w:tcBorders>
              <w:top w:val="nil"/>
              <w:left w:val="nil"/>
              <w:bottom w:val="single" w:sz="4" w:space="0" w:color="auto"/>
              <w:right w:val="nil"/>
            </w:tcBorders>
            <w:shd w:val="clear" w:color="auto" w:fill="auto"/>
            <w:noWrap/>
            <w:vAlign w:val="center"/>
            <w:hideMark/>
          </w:tcPr>
          <w:p w14:paraId="2D358F9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6.14</w:t>
            </w:r>
          </w:p>
        </w:tc>
        <w:tc>
          <w:tcPr>
            <w:tcW w:w="960" w:type="dxa"/>
            <w:tcBorders>
              <w:top w:val="nil"/>
              <w:left w:val="nil"/>
              <w:bottom w:val="single" w:sz="4" w:space="0" w:color="auto"/>
              <w:right w:val="nil"/>
            </w:tcBorders>
            <w:shd w:val="clear" w:color="auto" w:fill="auto"/>
            <w:noWrap/>
            <w:vAlign w:val="center"/>
            <w:hideMark/>
          </w:tcPr>
          <w:p w14:paraId="7AD1830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529C2C6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w:t>
            </w:r>
          </w:p>
        </w:tc>
        <w:tc>
          <w:tcPr>
            <w:tcW w:w="830" w:type="dxa"/>
            <w:tcBorders>
              <w:top w:val="nil"/>
              <w:left w:val="nil"/>
              <w:bottom w:val="single" w:sz="4" w:space="0" w:color="auto"/>
              <w:right w:val="nil"/>
            </w:tcBorders>
            <w:shd w:val="clear" w:color="auto" w:fill="auto"/>
            <w:noWrap/>
            <w:vAlign w:val="center"/>
            <w:hideMark/>
          </w:tcPr>
          <w:p w14:paraId="4C5F963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0.02</w:t>
            </w:r>
          </w:p>
        </w:tc>
        <w:tc>
          <w:tcPr>
            <w:tcW w:w="956" w:type="dxa"/>
            <w:tcBorders>
              <w:top w:val="nil"/>
              <w:left w:val="nil"/>
              <w:bottom w:val="single" w:sz="4" w:space="0" w:color="auto"/>
              <w:right w:val="nil"/>
            </w:tcBorders>
            <w:shd w:val="clear" w:color="auto" w:fill="auto"/>
            <w:noWrap/>
            <w:vAlign w:val="center"/>
            <w:hideMark/>
          </w:tcPr>
          <w:p w14:paraId="0A12F4C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0.82</w:t>
            </w:r>
          </w:p>
        </w:tc>
      </w:tr>
      <w:tr w:rsidR="00D740DC" w:rsidRPr="00670E27" w14:paraId="02F49D87" w14:textId="77777777" w:rsidTr="00B11F5F">
        <w:trPr>
          <w:trHeight w:val="300"/>
        </w:trPr>
        <w:tc>
          <w:tcPr>
            <w:tcW w:w="754" w:type="dxa"/>
            <w:vMerge w:val="restart"/>
            <w:tcBorders>
              <w:top w:val="nil"/>
              <w:left w:val="nil"/>
              <w:bottom w:val="nil"/>
              <w:right w:val="nil"/>
            </w:tcBorders>
            <w:shd w:val="clear" w:color="auto" w:fill="auto"/>
            <w:noWrap/>
            <w:textDirection w:val="btLr"/>
            <w:vAlign w:val="center"/>
            <w:hideMark/>
          </w:tcPr>
          <w:p w14:paraId="1F344C3B" w14:textId="77777777" w:rsidR="00D740DC" w:rsidRPr="00670E27" w:rsidRDefault="00D740DC" w:rsidP="00B11F5F">
            <w:pPr>
              <w:spacing w:after="0" w:line="240" w:lineRule="auto"/>
              <w:jc w:val="center"/>
              <w:rPr>
                <w:rFonts w:eastAsia="Times New Roman" w:cs="Times New Roman"/>
                <w:bCs/>
                <w:color w:val="000000"/>
                <w:szCs w:val="24"/>
                <w:lang w:eastAsia="en-MY"/>
              </w:rPr>
            </w:pPr>
            <w:r w:rsidRPr="00670E27">
              <w:rPr>
                <w:rFonts w:eastAsia="Times New Roman" w:cs="Times New Roman"/>
                <w:bCs/>
                <w:color w:val="000000"/>
                <w:szCs w:val="24"/>
                <w:lang w:eastAsia="en-MY"/>
              </w:rPr>
              <w:t>N</w:t>
            </w:r>
            <w:r w:rsidRPr="00670E27">
              <w:rPr>
                <w:rFonts w:eastAsia="Times New Roman" w:cs="Times New Roman"/>
                <w:bCs/>
                <w:color w:val="000000"/>
                <w:szCs w:val="24"/>
                <w:vertAlign w:val="subscript"/>
                <w:lang w:eastAsia="en-MY"/>
              </w:rPr>
              <w:t>10</w:t>
            </w:r>
            <w:r w:rsidRPr="00670E27">
              <w:rPr>
                <w:rFonts w:eastAsia="Times New Roman" w:cs="Times New Roman"/>
                <w:bCs/>
                <w:color w:val="000000"/>
                <w:szCs w:val="24"/>
                <w:lang w:eastAsia="en-MY"/>
              </w:rPr>
              <w:t>Ba</w:t>
            </w:r>
            <w:r w:rsidRPr="00670E27">
              <w:rPr>
                <w:rFonts w:eastAsia="Times New Roman" w:cs="Times New Roman"/>
                <w:bCs/>
                <w:color w:val="000000"/>
                <w:szCs w:val="24"/>
                <w:vertAlign w:val="subscript"/>
                <w:lang w:eastAsia="en-MY"/>
              </w:rPr>
              <w:t>x</w:t>
            </w:r>
            <w:r w:rsidRPr="00670E27">
              <w:rPr>
                <w:rFonts w:eastAsia="Times New Roman" w:cs="Times New Roman"/>
                <w:bCs/>
                <w:color w:val="000000"/>
                <w:szCs w:val="24"/>
                <w:lang w:eastAsia="en-MY"/>
              </w:rPr>
              <w:t>A</w:t>
            </w:r>
            <w:r w:rsidRPr="00670E27">
              <w:rPr>
                <w:rFonts w:eastAsia="Times New Roman" w:cs="Times New Roman"/>
                <w:bCs/>
                <w:color w:val="000000"/>
                <w:szCs w:val="24"/>
                <w:vertAlign w:val="subscript"/>
                <w:lang w:eastAsia="en-MY"/>
              </w:rPr>
              <w:t>20-x</w:t>
            </w:r>
            <w:r w:rsidRPr="00670E27">
              <w:rPr>
                <w:rFonts w:eastAsia="Times New Roman" w:cs="Times New Roman"/>
                <w:bCs/>
                <w:color w:val="000000"/>
                <w:szCs w:val="24"/>
                <w:lang w:eastAsia="en-MY"/>
              </w:rPr>
              <w:t>B</w:t>
            </w:r>
            <w:r w:rsidRPr="00670E27">
              <w:rPr>
                <w:rFonts w:eastAsia="Times New Roman" w:cs="Times New Roman"/>
                <w:bCs/>
                <w:color w:val="000000"/>
                <w:szCs w:val="24"/>
                <w:vertAlign w:val="subscript"/>
                <w:lang w:eastAsia="en-MY"/>
              </w:rPr>
              <w:t>10</w:t>
            </w:r>
            <w:r w:rsidRPr="00670E27">
              <w:rPr>
                <w:rFonts w:eastAsia="Times New Roman" w:cs="Times New Roman"/>
                <w:bCs/>
                <w:color w:val="000000"/>
                <w:szCs w:val="24"/>
                <w:lang w:eastAsia="en-MY"/>
              </w:rPr>
              <w:t>S</w:t>
            </w:r>
            <w:r w:rsidRPr="00670E27">
              <w:rPr>
                <w:rFonts w:eastAsia="Times New Roman" w:cs="Times New Roman"/>
                <w:bCs/>
                <w:color w:val="000000"/>
                <w:szCs w:val="24"/>
                <w:vertAlign w:val="subscript"/>
                <w:lang w:eastAsia="en-MY"/>
              </w:rPr>
              <w:t xml:space="preserve">60 </w:t>
            </w:r>
          </w:p>
        </w:tc>
        <w:tc>
          <w:tcPr>
            <w:tcW w:w="2160" w:type="dxa"/>
            <w:vMerge w:val="restart"/>
            <w:tcBorders>
              <w:top w:val="nil"/>
              <w:left w:val="nil"/>
              <w:bottom w:val="single" w:sz="4" w:space="0" w:color="000000"/>
              <w:right w:val="nil"/>
            </w:tcBorders>
            <w:shd w:val="clear" w:color="auto" w:fill="auto"/>
            <w:noWrap/>
            <w:vAlign w:val="center"/>
            <w:hideMark/>
          </w:tcPr>
          <w:p w14:paraId="345D299C"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N</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B</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S</w:t>
            </w:r>
            <w:r w:rsidRPr="00670E27">
              <w:rPr>
                <w:rFonts w:eastAsia="Times New Roman" w:cs="Times New Roman"/>
                <w:b w:val="0"/>
                <w:color w:val="000000"/>
                <w:sz w:val="18"/>
                <w:szCs w:val="18"/>
                <w:vertAlign w:val="subscript"/>
                <w:lang w:eastAsia="en-MY"/>
              </w:rPr>
              <w:t>60</w:t>
            </w:r>
            <w:r w:rsidRPr="00670E27">
              <w:rPr>
                <w:rFonts w:eastAsia="Times New Roman" w:cs="Times New Roman"/>
                <w:b w:val="0"/>
                <w:color w:val="000000"/>
                <w:sz w:val="18"/>
                <w:szCs w:val="18"/>
                <w:lang w:eastAsia="en-MY"/>
              </w:rPr>
              <w:t>A1</w:t>
            </w:r>
            <w:r w:rsidRPr="00670E27">
              <w:rPr>
                <w:rFonts w:eastAsia="Times New Roman" w:cs="Times New Roman"/>
                <w:b w:val="0"/>
                <w:color w:val="000000"/>
                <w:sz w:val="18"/>
                <w:szCs w:val="18"/>
                <w:vertAlign w:val="subscript"/>
                <w:lang w:eastAsia="en-MY"/>
              </w:rPr>
              <w:t>17.5</w:t>
            </w:r>
            <w:r w:rsidRPr="00670E27">
              <w:rPr>
                <w:rFonts w:eastAsia="Times New Roman" w:cs="Times New Roman"/>
                <w:b w:val="0"/>
                <w:color w:val="000000"/>
                <w:sz w:val="18"/>
                <w:szCs w:val="18"/>
                <w:lang w:eastAsia="en-MY"/>
              </w:rPr>
              <w:t>Ba</w:t>
            </w:r>
            <w:r w:rsidRPr="00670E27">
              <w:rPr>
                <w:rFonts w:eastAsia="Times New Roman" w:cs="Times New Roman"/>
                <w:b w:val="0"/>
                <w:color w:val="000000"/>
                <w:sz w:val="18"/>
                <w:szCs w:val="18"/>
                <w:vertAlign w:val="subscript"/>
                <w:lang w:eastAsia="en-MY"/>
              </w:rPr>
              <w:t>2.5</w:t>
            </w:r>
          </w:p>
        </w:tc>
        <w:tc>
          <w:tcPr>
            <w:tcW w:w="3420" w:type="dxa"/>
            <w:tcBorders>
              <w:top w:val="nil"/>
              <w:left w:val="nil"/>
              <w:bottom w:val="nil"/>
              <w:right w:val="nil"/>
            </w:tcBorders>
            <w:shd w:val="clear" w:color="auto" w:fill="auto"/>
            <w:noWrap/>
            <w:vAlign w:val="center"/>
            <w:hideMark/>
          </w:tcPr>
          <w:p w14:paraId="751205A8"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4F7002E1"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50.86</w:t>
            </w:r>
          </w:p>
        </w:tc>
        <w:tc>
          <w:tcPr>
            <w:tcW w:w="960" w:type="dxa"/>
            <w:tcBorders>
              <w:top w:val="nil"/>
              <w:left w:val="nil"/>
              <w:bottom w:val="nil"/>
              <w:right w:val="nil"/>
            </w:tcBorders>
            <w:shd w:val="clear" w:color="auto" w:fill="auto"/>
            <w:noWrap/>
            <w:vAlign w:val="center"/>
            <w:hideMark/>
          </w:tcPr>
          <w:p w14:paraId="172B4D87"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25.17</w:t>
            </w:r>
          </w:p>
        </w:tc>
        <w:tc>
          <w:tcPr>
            <w:tcW w:w="960" w:type="dxa"/>
            <w:tcBorders>
              <w:top w:val="nil"/>
              <w:left w:val="nil"/>
              <w:bottom w:val="nil"/>
              <w:right w:val="nil"/>
            </w:tcBorders>
            <w:shd w:val="clear" w:color="auto" w:fill="auto"/>
            <w:noWrap/>
            <w:vAlign w:val="center"/>
            <w:hideMark/>
          </w:tcPr>
          <w:p w14:paraId="7349FB12" w14:textId="77777777" w:rsidR="00D740DC" w:rsidRPr="00C9418A" w:rsidRDefault="00D740DC" w:rsidP="00B11F5F">
            <w:pPr>
              <w:spacing w:after="0" w:line="240" w:lineRule="auto"/>
              <w:jc w:val="center"/>
              <w:rPr>
                <w:rFonts w:eastAsia="Times New Roman" w:cs="Times New Roman"/>
                <w:bCs/>
                <w:color w:val="000000"/>
                <w:sz w:val="18"/>
                <w:szCs w:val="18"/>
                <w:lang w:eastAsia="en-MY"/>
              </w:rPr>
            </w:pPr>
            <w:r w:rsidRPr="00C9418A">
              <w:rPr>
                <w:rFonts w:eastAsia="Times New Roman" w:cs="Times New Roman"/>
                <w:bCs/>
                <w:color w:val="000000"/>
                <w:sz w:val="18"/>
                <w:szCs w:val="18"/>
                <w:lang w:eastAsia="en-MY"/>
              </w:rPr>
              <w:t>9.82</w:t>
            </w:r>
          </w:p>
        </w:tc>
        <w:tc>
          <w:tcPr>
            <w:tcW w:w="960" w:type="dxa"/>
            <w:tcBorders>
              <w:top w:val="nil"/>
              <w:left w:val="nil"/>
              <w:bottom w:val="nil"/>
              <w:right w:val="nil"/>
            </w:tcBorders>
            <w:shd w:val="clear" w:color="auto" w:fill="auto"/>
            <w:noWrap/>
            <w:vAlign w:val="center"/>
            <w:hideMark/>
          </w:tcPr>
          <w:p w14:paraId="7831E93B"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8.74</w:t>
            </w:r>
          </w:p>
        </w:tc>
        <w:tc>
          <w:tcPr>
            <w:tcW w:w="960" w:type="dxa"/>
            <w:tcBorders>
              <w:top w:val="nil"/>
              <w:left w:val="nil"/>
              <w:bottom w:val="nil"/>
              <w:right w:val="nil"/>
            </w:tcBorders>
            <w:shd w:val="clear" w:color="auto" w:fill="auto"/>
            <w:noWrap/>
            <w:vAlign w:val="center"/>
            <w:hideMark/>
          </w:tcPr>
          <w:p w14:paraId="2DCD7AD7"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3EEE4E11"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60" w:type="dxa"/>
            <w:tcBorders>
              <w:top w:val="nil"/>
              <w:left w:val="nil"/>
              <w:bottom w:val="nil"/>
              <w:right w:val="nil"/>
            </w:tcBorders>
            <w:shd w:val="clear" w:color="auto" w:fill="auto"/>
            <w:noWrap/>
            <w:vAlign w:val="center"/>
            <w:hideMark/>
          </w:tcPr>
          <w:p w14:paraId="5735B259"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5.41</w:t>
            </w:r>
          </w:p>
        </w:tc>
        <w:tc>
          <w:tcPr>
            <w:tcW w:w="830" w:type="dxa"/>
            <w:tcBorders>
              <w:top w:val="nil"/>
              <w:left w:val="nil"/>
              <w:bottom w:val="nil"/>
              <w:right w:val="nil"/>
            </w:tcBorders>
            <w:shd w:val="clear" w:color="auto" w:fill="auto"/>
            <w:noWrap/>
            <w:vAlign w:val="center"/>
            <w:hideMark/>
          </w:tcPr>
          <w:p w14:paraId="4207E7CF"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56" w:type="dxa"/>
            <w:tcBorders>
              <w:top w:val="nil"/>
              <w:left w:val="nil"/>
              <w:bottom w:val="nil"/>
              <w:right w:val="nil"/>
            </w:tcBorders>
            <w:shd w:val="clear" w:color="auto" w:fill="auto"/>
            <w:noWrap/>
            <w:vAlign w:val="center"/>
            <w:hideMark/>
          </w:tcPr>
          <w:p w14:paraId="4454C41E"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027D762B" w14:textId="77777777" w:rsidTr="00B11F5F">
        <w:trPr>
          <w:trHeight w:val="300"/>
        </w:trPr>
        <w:tc>
          <w:tcPr>
            <w:tcW w:w="754" w:type="dxa"/>
            <w:vMerge/>
            <w:tcBorders>
              <w:top w:val="nil"/>
              <w:left w:val="nil"/>
              <w:bottom w:val="nil"/>
              <w:right w:val="nil"/>
            </w:tcBorders>
            <w:vAlign w:val="center"/>
            <w:hideMark/>
          </w:tcPr>
          <w:p w14:paraId="7D4BE35C"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635E3DC7"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3174E7B7"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6CEA2AF3"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50.227</w:t>
            </w:r>
          </w:p>
        </w:tc>
        <w:tc>
          <w:tcPr>
            <w:tcW w:w="960" w:type="dxa"/>
            <w:tcBorders>
              <w:top w:val="nil"/>
              <w:left w:val="nil"/>
              <w:bottom w:val="nil"/>
              <w:right w:val="nil"/>
            </w:tcBorders>
            <w:shd w:val="clear" w:color="auto" w:fill="auto"/>
            <w:noWrap/>
            <w:vAlign w:val="center"/>
            <w:hideMark/>
          </w:tcPr>
          <w:p w14:paraId="6E7E9373"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24.581</w:t>
            </w:r>
          </w:p>
        </w:tc>
        <w:tc>
          <w:tcPr>
            <w:tcW w:w="960" w:type="dxa"/>
            <w:tcBorders>
              <w:top w:val="nil"/>
              <w:left w:val="nil"/>
              <w:bottom w:val="nil"/>
              <w:right w:val="nil"/>
            </w:tcBorders>
            <w:shd w:val="clear" w:color="auto" w:fill="auto"/>
            <w:noWrap/>
            <w:vAlign w:val="center"/>
            <w:hideMark/>
          </w:tcPr>
          <w:p w14:paraId="08EBA7A1"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10.634</w:t>
            </w:r>
          </w:p>
        </w:tc>
        <w:tc>
          <w:tcPr>
            <w:tcW w:w="960" w:type="dxa"/>
            <w:tcBorders>
              <w:top w:val="nil"/>
              <w:left w:val="nil"/>
              <w:bottom w:val="nil"/>
              <w:right w:val="nil"/>
            </w:tcBorders>
            <w:shd w:val="clear" w:color="auto" w:fill="auto"/>
            <w:vAlign w:val="center"/>
            <w:hideMark/>
          </w:tcPr>
          <w:p w14:paraId="538A80E9"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7.965</w:t>
            </w:r>
          </w:p>
        </w:tc>
        <w:tc>
          <w:tcPr>
            <w:tcW w:w="960" w:type="dxa"/>
            <w:tcBorders>
              <w:top w:val="nil"/>
              <w:left w:val="nil"/>
              <w:bottom w:val="nil"/>
              <w:right w:val="nil"/>
            </w:tcBorders>
            <w:shd w:val="clear" w:color="auto" w:fill="auto"/>
            <w:noWrap/>
            <w:vAlign w:val="center"/>
            <w:hideMark/>
          </w:tcPr>
          <w:p w14:paraId="0380580B"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6DBE58F6"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60" w:type="dxa"/>
            <w:tcBorders>
              <w:top w:val="nil"/>
              <w:left w:val="nil"/>
              <w:bottom w:val="nil"/>
              <w:right w:val="nil"/>
            </w:tcBorders>
            <w:shd w:val="clear" w:color="auto" w:fill="auto"/>
            <w:vAlign w:val="center"/>
            <w:hideMark/>
          </w:tcPr>
          <w:p w14:paraId="3A67D3B2"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11</w:t>
            </w:r>
          </w:p>
        </w:tc>
        <w:tc>
          <w:tcPr>
            <w:tcW w:w="830" w:type="dxa"/>
            <w:tcBorders>
              <w:top w:val="nil"/>
              <w:left w:val="nil"/>
              <w:bottom w:val="nil"/>
              <w:right w:val="nil"/>
            </w:tcBorders>
            <w:shd w:val="clear" w:color="auto" w:fill="auto"/>
            <w:noWrap/>
            <w:vAlign w:val="center"/>
            <w:hideMark/>
          </w:tcPr>
          <w:p w14:paraId="3C313718"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w:t>
            </w:r>
          </w:p>
        </w:tc>
        <w:tc>
          <w:tcPr>
            <w:tcW w:w="956" w:type="dxa"/>
            <w:tcBorders>
              <w:top w:val="nil"/>
              <w:left w:val="nil"/>
              <w:bottom w:val="nil"/>
              <w:right w:val="nil"/>
            </w:tcBorders>
            <w:shd w:val="clear" w:color="auto" w:fill="auto"/>
            <w:noWrap/>
            <w:vAlign w:val="center"/>
            <w:hideMark/>
          </w:tcPr>
          <w:p w14:paraId="471B6EFB"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1.21</w:t>
            </w:r>
          </w:p>
        </w:tc>
      </w:tr>
      <w:tr w:rsidR="00D740DC" w:rsidRPr="00670E27" w14:paraId="11E785F5" w14:textId="77777777" w:rsidTr="00B11F5F">
        <w:trPr>
          <w:trHeight w:val="300"/>
        </w:trPr>
        <w:tc>
          <w:tcPr>
            <w:tcW w:w="754" w:type="dxa"/>
            <w:vMerge/>
            <w:tcBorders>
              <w:top w:val="nil"/>
              <w:left w:val="nil"/>
              <w:bottom w:val="nil"/>
              <w:right w:val="nil"/>
            </w:tcBorders>
            <w:vAlign w:val="center"/>
            <w:hideMark/>
          </w:tcPr>
          <w:p w14:paraId="222B0113"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66D50B3F"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161D5C76"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7F70D5E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50.227</w:t>
            </w:r>
          </w:p>
        </w:tc>
        <w:tc>
          <w:tcPr>
            <w:tcW w:w="960" w:type="dxa"/>
            <w:tcBorders>
              <w:top w:val="nil"/>
              <w:left w:val="nil"/>
              <w:bottom w:val="nil"/>
              <w:right w:val="nil"/>
            </w:tcBorders>
            <w:shd w:val="clear" w:color="auto" w:fill="auto"/>
            <w:noWrap/>
            <w:vAlign w:val="center"/>
            <w:hideMark/>
          </w:tcPr>
          <w:p w14:paraId="26CB2A9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24.581</w:t>
            </w:r>
          </w:p>
        </w:tc>
        <w:tc>
          <w:tcPr>
            <w:tcW w:w="960" w:type="dxa"/>
            <w:tcBorders>
              <w:top w:val="nil"/>
              <w:left w:val="nil"/>
              <w:bottom w:val="nil"/>
              <w:right w:val="nil"/>
            </w:tcBorders>
            <w:shd w:val="clear" w:color="auto" w:fill="auto"/>
            <w:noWrap/>
            <w:vAlign w:val="center"/>
            <w:hideMark/>
          </w:tcPr>
          <w:p w14:paraId="5B2D4F0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5.317</w:t>
            </w:r>
          </w:p>
        </w:tc>
        <w:tc>
          <w:tcPr>
            <w:tcW w:w="960" w:type="dxa"/>
            <w:tcBorders>
              <w:top w:val="nil"/>
              <w:left w:val="nil"/>
              <w:bottom w:val="nil"/>
              <w:right w:val="nil"/>
            </w:tcBorders>
            <w:shd w:val="clear" w:color="auto" w:fill="auto"/>
            <w:noWrap/>
            <w:vAlign w:val="center"/>
            <w:hideMark/>
          </w:tcPr>
          <w:p w14:paraId="743C87A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7.965</w:t>
            </w:r>
          </w:p>
        </w:tc>
        <w:tc>
          <w:tcPr>
            <w:tcW w:w="960" w:type="dxa"/>
            <w:tcBorders>
              <w:top w:val="nil"/>
              <w:left w:val="nil"/>
              <w:bottom w:val="nil"/>
              <w:right w:val="nil"/>
            </w:tcBorders>
            <w:shd w:val="clear" w:color="auto" w:fill="auto"/>
            <w:noWrap/>
            <w:vAlign w:val="center"/>
            <w:hideMark/>
          </w:tcPr>
          <w:p w14:paraId="512D8EB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5BC8524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2F0A35A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11</w:t>
            </w:r>
          </w:p>
        </w:tc>
        <w:tc>
          <w:tcPr>
            <w:tcW w:w="830" w:type="dxa"/>
            <w:tcBorders>
              <w:top w:val="nil"/>
              <w:left w:val="nil"/>
              <w:bottom w:val="nil"/>
              <w:right w:val="nil"/>
            </w:tcBorders>
            <w:shd w:val="clear" w:color="auto" w:fill="auto"/>
            <w:noWrap/>
            <w:vAlign w:val="center"/>
            <w:hideMark/>
          </w:tcPr>
          <w:p w14:paraId="35BA28A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w:t>
            </w:r>
          </w:p>
        </w:tc>
        <w:tc>
          <w:tcPr>
            <w:tcW w:w="956" w:type="dxa"/>
            <w:tcBorders>
              <w:top w:val="nil"/>
              <w:left w:val="nil"/>
              <w:bottom w:val="nil"/>
              <w:right w:val="nil"/>
            </w:tcBorders>
            <w:shd w:val="clear" w:color="auto" w:fill="auto"/>
            <w:noWrap/>
            <w:vAlign w:val="center"/>
            <w:hideMark/>
          </w:tcPr>
          <w:p w14:paraId="41B683B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1.21</w:t>
            </w:r>
          </w:p>
        </w:tc>
      </w:tr>
      <w:tr w:rsidR="00D740DC" w:rsidRPr="00670E27" w14:paraId="5937D2D6" w14:textId="77777777" w:rsidTr="00B11F5F">
        <w:trPr>
          <w:trHeight w:val="300"/>
        </w:trPr>
        <w:tc>
          <w:tcPr>
            <w:tcW w:w="754" w:type="dxa"/>
            <w:vMerge/>
            <w:tcBorders>
              <w:top w:val="nil"/>
              <w:left w:val="nil"/>
              <w:bottom w:val="nil"/>
              <w:right w:val="nil"/>
            </w:tcBorders>
            <w:vAlign w:val="center"/>
            <w:hideMark/>
          </w:tcPr>
          <w:p w14:paraId="7A0ABB40"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08BE8FBF"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119D51DB"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5B59EC4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50.08</w:t>
            </w:r>
          </w:p>
        </w:tc>
        <w:tc>
          <w:tcPr>
            <w:tcW w:w="960" w:type="dxa"/>
            <w:tcBorders>
              <w:top w:val="nil"/>
              <w:left w:val="nil"/>
              <w:bottom w:val="single" w:sz="4" w:space="0" w:color="auto"/>
              <w:right w:val="nil"/>
            </w:tcBorders>
            <w:shd w:val="clear" w:color="auto" w:fill="auto"/>
            <w:noWrap/>
            <w:vAlign w:val="center"/>
            <w:hideMark/>
          </w:tcPr>
          <w:p w14:paraId="23C9BEE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24.51</w:t>
            </w:r>
          </w:p>
        </w:tc>
        <w:tc>
          <w:tcPr>
            <w:tcW w:w="960" w:type="dxa"/>
            <w:tcBorders>
              <w:top w:val="nil"/>
              <w:left w:val="nil"/>
              <w:bottom w:val="single" w:sz="4" w:space="0" w:color="auto"/>
              <w:right w:val="nil"/>
            </w:tcBorders>
            <w:shd w:val="clear" w:color="auto" w:fill="auto"/>
            <w:noWrap/>
            <w:vAlign w:val="center"/>
            <w:hideMark/>
          </w:tcPr>
          <w:p w14:paraId="0DAD615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5.3</w:t>
            </w:r>
          </w:p>
        </w:tc>
        <w:tc>
          <w:tcPr>
            <w:tcW w:w="960" w:type="dxa"/>
            <w:tcBorders>
              <w:top w:val="nil"/>
              <w:left w:val="nil"/>
              <w:bottom w:val="single" w:sz="4" w:space="0" w:color="auto"/>
              <w:right w:val="nil"/>
            </w:tcBorders>
            <w:shd w:val="clear" w:color="auto" w:fill="auto"/>
            <w:noWrap/>
            <w:vAlign w:val="center"/>
            <w:hideMark/>
          </w:tcPr>
          <w:p w14:paraId="4F7CDE2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7.94</w:t>
            </w:r>
          </w:p>
        </w:tc>
        <w:tc>
          <w:tcPr>
            <w:tcW w:w="960" w:type="dxa"/>
            <w:tcBorders>
              <w:top w:val="nil"/>
              <w:left w:val="nil"/>
              <w:bottom w:val="single" w:sz="4" w:space="0" w:color="auto"/>
              <w:right w:val="nil"/>
            </w:tcBorders>
            <w:shd w:val="clear" w:color="auto" w:fill="auto"/>
            <w:noWrap/>
            <w:vAlign w:val="center"/>
            <w:hideMark/>
          </w:tcPr>
          <w:p w14:paraId="0463BFA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01BB838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11B22F3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10.97</w:t>
            </w:r>
          </w:p>
        </w:tc>
        <w:tc>
          <w:tcPr>
            <w:tcW w:w="830" w:type="dxa"/>
            <w:tcBorders>
              <w:top w:val="nil"/>
              <w:left w:val="nil"/>
              <w:bottom w:val="single" w:sz="4" w:space="0" w:color="auto"/>
              <w:right w:val="nil"/>
            </w:tcBorders>
            <w:shd w:val="clear" w:color="auto" w:fill="auto"/>
            <w:noWrap/>
            <w:vAlign w:val="center"/>
            <w:hideMark/>
          </w:tcPr>
          <w:p w14:paraId="7BCACC1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w:t>
            </w:r>
          </w:p>
        </w:tc>
        <w:tc>
          <w:tcPr>
            <w:tcW w:w="956" w:type="dxa"/>
            <w:tcBorders>
              <w:top w:val="nil"/>
              <w:left w:val="nil"/>
              <w:bottom w:val="single" w:sz="4" w:space="0" w:color="auto"/>
              <w:right w:val="nil"/>
            </w:tcBorders>
            <w:shd w:val="clear" w:color="auto" w:fill="auto"/>
            <w:noWrap/>
            <w:vAlign w:val="center"/>
            <w:hideMark/>
          </w:tcPr>
          <w:p w14:paraId="2E038CA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1.20</w:t>
            </w:r>
          </w:p>
        </w:tc>
      </w:tr>
      <w:tr w:rsidR="00D740DC" w:rsidRPr="00670E27" w14:paraId="3E8E9FEF" w14:textId="77777777" w:rsidTr="00B11F5F">
        <w:trPr>
          <w:trHeight w:val="300"/>
        </w:trPr>
        <w:tc>
          <w:tcPr>
            <w:tcW w:w="754" w:type="dxa"/>
            <w:vMerge/>
            <w:tcBorders>
              <w:top w:val="nil"/>
              <w:left w:val="nil"/>
              <w:bottom w:val="nil"/>
              <w:right w:val="nil"/>
            </w:tcBorders>
            <w:vAlign w:val="center"/>
            <w:hideMark/>
          </w:tcPr>
          <w:p w14:paraId="4DA0325C"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15B8CC5D"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N</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B</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S</w:t>
            </w:r>
            <w:r w:rsidRPr="00670E27">
              <w:rPr>
                <w:rFonts w:eastAsia="Times New Roman" w:cs="Times New Roman"/>
                <w:b w:val="0"/>
                <w:color w:val="000000"/>
                <w:sz w:val="18"/>
                <w:szCs w:val="18"/>
                <w:vertAlign w:val="subscript"/>
                <w:lang w:eastAsia="en-MY"/>
              </w:rPr>
              <w:t>60</w:t>
            </w:r>
            <w:r w:rsidRPr="00670E27">
              <w:rPr>
                <w:rFonts w:eastAsia="Times New Roman" w:cs="Times New Roman"/>
                <w:b w:val="0"/>
                <w:color w:val="000000"/>
                <w:sz w:val="18"/>
                <w:szCs w:val="18"/>
                <w:lang w:eastAsia="en-MY"/>
              </w:rPr>
              <w:t>A1</w:t>
            </w:r>
            <w:r w:rsidRPr="00670E27">
              <w:rPr>
                <w:rFonts w:eastAsia="Times New Roman" w:cs="Times New Roman"/>
                <w:b w:val="0"/>
                <w:color w:val="000000"/>
                <w:sz w:val="18"/>
                <w:szCs w:val="18"/>
                <w:vertAlign w:val="subscript"/>
                <w:lang w:eastAsia="en-MY"/>
              </w:rPr>
              <w:t>15</w:t>
            </w:r>
            <w:r w:rsidRPr="00670E27">
              <w:rPr>
                <w:rFonts w:eastAsia="Times New Roman" w:cs="Times New Roman"/>
                <w:b w:val="0"/>
                <w:color w:val="000000"/>
                <w:sz w:val="18"/>
                <w:szCs w:val="18"/>
                <w:lang w:eastAsia="en-MY"/>
              </w:rPr>
              <w:t>Ba</w:t>
            </w:r>
            <w:r w:rsidRPr="00670E27">
              <w:rPr>
                <w:rFonts w:eastAsia="Times New Roman" w:cs="Times New Roman"/>
                <w:b w:val="0"/>
                <w:color w:val="000000"/>
                <w:sz w:val="18"/>
                <w:szCs w:val="18"/>
                <w:vertAlign w:val="subscript"/>
                <w:lang w:eastAsia="en-MY"/>
              </w:rPr>
              <w:t>5</w:t>
            </w:r>
          </w:p>
        </w:tc>
        <w:tc>
          <w:tcPr>
            <w:tcW w:w="3420" w:type="dxa"/>
            <w:tcBorders>
              <w:top w:val="nil"/>
              <w:left w:val="nil"/>
              <w:bottom w:val="nil"/>
              <w:right w:val="nil"/>
            </w:tcBorders>
            <w:shd w:val="clear" w:color="auto" w:fill="auto"/>
            <w:noWrap/>
            <w:vAlign w:val="center"/>
            <w:hideMark/>
          </w:tcPr>
          <w:p w14:paraId="6D84D690"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1C2836CB"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49.95</w:t>
            </w:r>
          </w:p>
        </w:tc>
        <w:tc>
          <w:tcPr>
            <w:tcW w:w="960" w:type="dxa"/>
            <w:tcBorders>
              <w:top w:val="nil"/>
              <w:left w:val="nil"/>
              <w:bottom w:val="nil"/>
              <w:right w:val="nil"/>
            </w:tcBorders>
            <w:shd w:val="clear" w:color="auto" w:fill="auto"/>
            <w:noWrap/>
            <w:vAlign w:val="center"/>
            <w:hideMark/>
          </w:tcPr>
          <w:p w14:paraId="4DCAD38D"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21.19</w:t>
            </w:r>
          </w:p>
        </w:tc>
        <w:tc>
          <w:tcPr>
            <w:tcW w:w="960" w:type="dxa"/>
            <w:tcBorders>
              <w:top w:val="nil"/>
              <w:left w:val="nil"/>
              <w:bottom w:val="nil"/>
              <w:right w:val="nil"/>
            </w:tcBorders>
            <w:shd w:val="clear" w:color="auto" w:fill="auto"/>
            <w:noWrap/>
            <w:vAlign w:val="center"/>
            <w:hideMark/>
          </w:tcPr>
          <w:p w14:paraId="79229ED6"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9.65</w:t>
            </w:r>
          </w:p>
        </w:tc>
        <w:tc>
          <w:tcPr>
            <w:tcW w:w="960" w:type="dxa"/>
            <w:tcBorders>
              <w:top w:val="nil"/>
              <w:left w:val="nil"/>
              <w:bottom w:val="nil"/>
              <w:right w:val="nil"/>
            </w:tcBorders>
            <w:shd w:val="clear" w:color="auto" w:fill="auto"/>
            <w:noWrap/>
            <w:vAlign w:val="center"/>
            <w:hideMark/>
          </w:tcPr>
          <w:p w14:paraId="4034770C"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8.59</w:t>
            </w:r>
          </w:p>
        </w:tc>
        <w:tc>
          <w:tcPr>
            <w:tcW w:w="960" w:type="dxa"/>
            <w:tcBorders>
              <w:top w:val="nil"/>
              <w:left w:val="nil"/>
              <w:bottom w:val="nil"/>
              <w:right w:val="nil"/>
            </w:tcBorders>
            <w:shd w:val="clear" w:color="auto" w:fill="auto"/>
            <w:noWrap/>
            <w:vAlign w:val="center"/>
            <w:hideMark/>
          </w:tcPr>
          <w:p w14:paraId="37C7D237"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07D84D11"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60" w:type="dxa"/>
            <w:tcBorders>
              <w:top w:val="nil"/>
              <w:left w:val="nil"/>
              <w:bottom w:val="nil"/>
              <w:right w:val="nil"/>
            </w:tcBorders>
            <w:shd w:val="clear" w:color="auto" w:fill="auto"/>
            <w:noWrap/>
            <w:vAlign w:val="center"/>
            <w:hideMark/>
          </w:tcPr>
          <w:p w14:paraId="10114ACA"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10.62</w:t>
            </w:r>
          </w:p>
        </w:tc>
        <w:tc>
          <w:tcPr>
            <w:tcW w:w="830" w:type="dxa"/>
            <w:tcBorders>
              <w:top w:val="nil"/>
              <w:left w:val="nil"/>
              <w:bottom w:val="nil"/>
              <w:right w:val="nil"/>
            </w:tcBorders>
            <w:shd w:val="clear" w:color="auto" w:fill="auto"/>
            <w:noWrap/>
            <w:vAlign w:val="center"/>
            <w:hideMark/>
          </w:tcPr>
          <w:p w14:paraId="026ED10C"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56" w:type="dxa"/>
            <w:tcBorders>
              <w:top w:val="nil"/>
              <w:left w:val="nil"/>
              <w:bottom w:val="nil"/>
              <w:right w:val="nil"/>
            </w:tcBorders>
            <w:shd w:val="clear" w:color="auto" w:fill="auto"/>
            <w:noWrap/>
            <w:vAlign w:val="center"/>
            <w:hideMark/>
          </w:tcPr>
          <w:p w14:paraId="70566C88"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0C2D4692" w14:textId="77777777" w:rsidTr="00B11F5F">
        <w:trPr>
          <w:trHeight w:val="300"/>
        </w:trPr>
        <w:tc>
          <w:tcPr>
            <w:tcW w:w="754" w:type="dxa"/>
            <w:vMerge/>
            <w:tcBorders>
              <w:top w:val="nil"/>
              <w:left w:val="nil"/>
              <w:bottom w:val="nil"/>
              <w:right w:val="nil"/>
            </w:tcBorders>
            <w:vAlign w:val="center"/>
            <w:hideMark/>
          </w:tcPr>
          <w:p w14:paraId="009A6E6B"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3F8AA323"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44A14C42"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vAlign w:val="center"/>
            <w:hideMark/>
          </w:tcPr>
          <w:p w14:paraId="7AF75D69"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49.03</w:t>
            </w:r>
          </w:p>
        </w:tc>
        <w:tc>
          <w:tcPr>
            <w:tcW w:w="960" w:type="dxa"/>
            <w:tcBorders>
              <w:top w:val="nil"/>
              <w:left w:val="nil"/>
              <w:bottom w:val="nil"/>
              <w:right w:val="nil"/>
            </w:tcBorders>
            <w:shd w:val="clear" w:color="auto" w:fill="auto"/>
            <w:noWrap/>
            <w:vAlign w:val="center"/>
            <w:hideMark/>
          </w:tcPr>
          <w:p w14:paraId="7EC77263"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21.80</w:t>
            </w:r>
          </w:p>
        </w:tc>
        <w:tc>
          <w:tcPr>
            <w:tcW w:w="960" w:type="dxa"/>
            <w:tcBorders>
              <w:top w:val="nil"/>
              <w:left w:val="nil"/>
              <w:bottom w:val="nil"/>
              <w:right w:val="nil"/>
            </w:tcBorders>
            <w:shd w:val="clear" w:color="auto" w:fill="auto"/>
            <w:vAlign w:val="center"/>
            <w:hideMark/>
          </w:tcPr>
          <w:p w14:paraId="447C39E0"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10.09</w:t>
            </w:r>
          </w:p>
        </w:tc>
        <w:tc>
          <w:tcPr>
            <w:tcW w:w="960" w:type="dxa"/>
            <w:tcBorders>
              <w:top w:val="nil"/>
              <w:left w:val="nil"/>
              <w:bottom w:val="nil"/>
              <w:right w:val="nil"/>
            </w:tcBorders>
            <w:shd w:val="clear" w:color="auto" w:fill="auto"/>
            <w:noWrap/>
            <w:vAlign w:val="center"/>
            <w:hideMark/>
          </w:tcPr>
          <w:p w14:paraId="6CC50E3B"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7.19</w:t>
            </w:r>
          </w:p>
        </w:tc>
        <w:tc>
          <w:tcPr>
            <w:tcW w:w="960" w:type="dxa"/>
            <w:tcBorders>
              <w:top w:val="nil"/>
              <w:left w:val="nil"/>
              <w:bottom w:val="nil"/>
              <w:right w:val="nil"/>
            </w:tcBorders>
            <w:shd w:val="clear" w:color="auto" w:fill="auto"/>
            <w:noWrap/>
            <w:vAlign w:val="center"/>
            <w:hideMark/>
          </w:tcPr>
          <w:p w14:paraId="5EBFCEB0"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7F692D72"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60" w:type="dxa"/>
            <w:tcBorders>
              <w:top w:val="nil"/>
              <w:left w:val="nil"/>
              <w:bottom w:val="nil"/>
              <w:right w:val="nil"/>
            </w:tcBorders>
            <w:shd w:val="clear" w:color="auto" w:fill="auto"/>
            <w:noWrap/>
            <w:vAlign w:val="center"/>
            <w:hideMark/>
          </w:tcPr>
          <w:p w14:paraId="010163C2"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10.10</w:t>
            </w:r>
          </w:p>
        </w:tc>
        <w:tc>
          <w:tcPr>
            <w:tcW w:w="830" w:type="dxa"/>
            <w:tcBorders>
              <w:top w:val="nil"/>
              <w:left w:val="nil"/>
              <w:bottom w:val="nil"/>
              <w:right w:val="nil"/>
            </w:tcBorders>
            <w:shd w:val="clear" w:color="auto" w:fill="auto"/>
            <w:noWrap/>
            <w:vAlign w:val="center"/>
            <w:hideMark/>
          </w:tcPr>
          <w:p w14:paraId="2D5CA7F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0.01</w:t>
            </w:r>
          </w:p>
        </w:tc>
        <w:tc>
          <w:tcPr>
            <w:tcW w:w="956" w:type="dxa"/>
            <w:tcBorders>
              <w:top w:val="nil"/>
              <w:left w:val="nil"/>
              <w:bottom w:val="nil"/>
              <w:right w:val="nil"/>
            </w:tcBorders>
            <w:shd w:val="clear" w:color="auto" w:fill="auto"/>
            <w:noWrap/>
            <w:vAlign w:val="center"/>
            <w:hideMark/>
          </w:tcPr>
          <w:p w14:paraId="56A4D286"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1.79</w:t>
            </w:r>
          </w:p>
        </w:tc>
      </w:tr>
      <w:tr w:rsidR="00D740DC" w:rsidRPr="00670E27" w14:paraId="5152D8F3" w14:textId="77777777" w:rsidTr="00B11F5F">
        <w:trPr>
          <w:trHeight w:val="300"/>
        </w:trPr>
        <w:tc>
          <w:tcPr>
            <w:tcW w:w="754" w:type="dxa"/>
            <w:vMerge/>
            <w:tcBorders>
              <w:top w:val="nil"/>
              <w:left w:val="nil"/>
              <w:bottom w:val="nil"/>
              <w:right w:val="nil"/>
            </w:tcBorders>
            <w:vAlign w:val="center"/>
            <w:hideMark/>
          </w:tcPr>
          <w:p w14:paraId="3FF90FC7"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50DF1CBC"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1A5E312A"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2A90DC1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49.03</w:t>
            </w:r>
          </w:p>
        </w:tc>
        <w:tc>
          <w:tcPr>
            <w:tcW w:w="960" w:type="dxa"/>
            <w:tcBorders>
              <w:top w:val="nil"/>
              <w:left w:val="nil"/>
              <w:bottom w:val="nil"/>
              <w:right w:val="nil"/>
            </w:tcBorders>
            <w:shd w:val="clear" w:color="auto" w:fill="auto"/>
            <w:noWrap/>
            <w:vAlign w:val="center"/>
            <w:hideMark/>
          </w:tcPr>
          <w:p w14:paraId="125760C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21.80</w:t>
            </w:r>
          </w:p>
        </w:tc>
        <w:tc>
          <w:tcPr>
            <w:tcW w:w="960" w:type="dxa"/>
            <w:tcBorders>
              <w:top w:val="nil"/>
              <w:left w:val="nil"/>
              <w:bottom w:val="nil"/>
              <w:right w:val="nil"/>
            </w:tcBorders>
            <w:shd w:val="clear" w:color="auto" w:fill="auto"/>
            <w:noWrap/>
            <w:vAlign w:val="center"/>
            <w:hideMark/>
          </w:tcPr>
          <w:p w14:paraId="3D287BA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5.04</w:t>
            </w:r>
          </w:p>
        </w:tc>
        <w:tc>
          <w:tcPr>
            <w:tcW w:w="960" w:type="dxa"/>
            <w:tcBorders>
              <w:top w:val="nil"/>
              <w:left w:val="nil"/>
              <w:bottom w:val="nil"/>
              <w:right w:val="nil"/>
            </w:tcBorders>
            <w:shd w:val="clear" w:color="auto" w:fill="auto"/>
            <w:noWrap/>
            <w:vAlign w:val="center"/>
            <w:hideMark/>
          </w:tcPr>
          <w:p w14:paraId="551C627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7.19</w:t>
            </w:r>
          </w:p>
        </w:tc>
        <w:tc>
          <w:tcPr>
            <w:tcW w:w="960" w:type="dxa"/>
            <w:tcBorders>
              <w:top w:val="nil"/>
              <w:left w:val="nil"/>
              <w:bottom w:val="nil"/>
              <w:right w:val="nil"/>
            </w:tcBorders>
            <w:shd w:val="clear" w:color="auto" w:fill="auto"/>
            <w:noWrap/>
            <w:vAlign w:val="center"/>
            <w:hideMark/>
          </w:tcPr>
          <w:p w14:paraId="3CFAADA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77E39BA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71D74F4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10.10</w:t>
            </w:r>
          </w:p>
        </w:tc>
        <w:tc>
          <w:tcPr>
            <w:tcW w:w="830" w:type="dxa"/>
            <w:tcBorders>
              <w:top w:val="nil"/>
              <w:left w:val="nil"/>
              <w:bottom w:val="nil"/>
              <w:right w:val="nil"/>
            </w:tcBorders>
            <w:shd w:val="clear" w:color="auto" w:fill="auto"/>
            <w:noWrap/>
            <w:vAlign w:val="center"/>
            <w:hideMark/>
          </w:tcPr>
          <w:p w14:paraId="6C09292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0.01</w:t>
            </w:r>
          </w:p>
        </w:tc>
        <w:tc>
          <w:tcPr>
            <w:tcW w:w="956" w:type="dxa"/>
            <w:tcBorders>
              <w:top w:val="nil"/>
              <w:left w:val="nil"/>
              <w:bottom w:val="nil"/>
              <w:right w:val="nil"/>
            </w:tcBorders>
            <w:shd w:val="clear" w:color="auto" w:fill="auto"/>
            <w:noWrap/>
            <w:vAlign w:val="center"/>
            <w:hideMark/>
          </w:tcPr>
          <w:p w14:paraId="367C158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1.79</w:t>
            </w:r>
          </w:p>
        </w:tc>
      </w:tr>
      <w:tr w:rsidR="00D740DC" w:rsidRPr="00670E27" w14:paraId="79DE0133" w14:textId="77777777" w:rsidTr="00B11F5F">
        <w:trPr>
          <w:trHeight w:val="300"/>
        </w:trPr>
        <w:tc>
          <w:tcPr>
            <w:tcW w:w="754" w:type="dxa"/>
            <w:vMerge/>
            <w:tcBorders>
              <w:top w:val="nil"/>
              <w:left w:val="nil"/>
              <w:bottom w:val="nil"/>
              <w:right w:val="nil"/>
            </w:tcBorders>
            <w:vAlign w:val="center"/>
            <w:hideMark/>
          </w:tcPr>
          <w:p w14:paraId="7259B43F"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7664CA26"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13ABF7FD"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 - normalised)</w:t>
            </w:r>
          </w:p>
        </w:tc>
        <w:tc>
          <w:tcPr>
            <w:tcW w:w="960" w:type="dxa"/>
            <w:tcBorders>
              <w:top w:val="nil"/>
              <w:left w:val="nil"/>
              <w:bottom w:val="nil"/>
              <w:right w:val="nil"/>
            </w:tcBorders>
            <w:shd w:val="clear" w:color="auto" w:fill="auto"/>
            <w:noWrap/>
            <w:vAlign w:val="center"/>
            <w:hideMark/>
          </w:tcPr>
          <w:p w14:paraId="475552D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51.63</w:t>
            </w:r>
          </w:p>
        </w:tc>
        <w:tc>
          <w:tcPr>
            <w:tcW w:w="960" w:type="dxa"/>
            <w:tcBorders>
              <w:top w:val="nil"/>
              <w:left w:val="nil"/>
              <w:bottom w:val="nil"/>
              <w:right w:val="nil"/>
            </w:tcBorders>
            <w:shd w:val="clear" w:color="auto" w:fill="auto"/>
            <w:noWrap/>
            <w:vAlign w:val="center"/>
            <w:hideMark/>
          </w:tcPr>
          <w:p w14:paraId="2F57E93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22.96</w:t>
            </w:r>
          </w:p>
        </w:tc>
        <w:tc>
          <w:tcPr>
            <w:tcW w:w="960" w:type="dxa"/>
            <w:tcBorders>
              <w:top w:val="nil"/>
              <w:left w:val="nil"/>
              <w:bottom w:val="nil"/>
              <w:right w:val="nil"/>
            </w:tcBorders>
            <w:shd w:val="clear" w:color="auto" w:fill="auto"/>
            <w:noWrap/>
            <w:vAlign w:val="center"/>
            <w:hideMark/>
          </w:tcPr>
          <w:p w14:paraId="5A9A6DB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5.31</w:t>
            </w:r>
          </w:p>
        </w:tc>
        <w:tc>
          <w:tcPr>
            <w:tcW w:w="960" w:type="dxa"/>
            <w:tcBorders>
              <w:top w:val="nil"/>
              <w:left w:val="nil"/>
              <w:bottom w:val="nil"/>
              <w:right w:val="nil"/>
            </w:tcBorders>
            <w:shd w:val="clear" w:color="auto" w:fill="auto"/>
            <w:noWrap/>
            <w:vAlign w:val="center"/>
            <w:hideMark/>
          </w:tcPr>
          <w:p w14:paraId="716F1E8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7.57</w:t>
            </w:r>
          </w:p>
        </w:tc>
        <w:tc>
          <w:tcPr>
            <w:tcW w:w="960" w:type="dxa"/>
            <w:tcBorders>
              <w:top w:val="nil"/>
              <w:left w:val="nil"/>
              <w:bottom w:val="nil"/>
              <w:right w:val="nil"/>
            </w:tcBorders>
            <w:shd w:val="clear" w:color="auto" w:fill="auto"/>
            <w:noWrap/>
            <w:vAlign w:val="center"/>
            <w:hideMark/>
          </w:tcPr>
          <w:p w14:paraId="4EF30B3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5D0225A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366B6E5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10.64</w:t>
            </w:r>
          </w:p>
        </w:tc>
        <w:tc>
          <w:tcPr>
            <w:tcW w:w="830" w:type="dxa"/>
            <w:tcBorders>
              <w:top w:val="nil"/>
              <w:left w:val="nil"/>
              <w:bottom w:val="nil"/>
              <w:right w:val="nil"/>
            </w:tcBorders>
            <w:shd w:val="clear" w:color="auto" w:fill="auto"/>
            <w:noWrap/>
            <w:vAlign w:val="center"/>
            <w:hideMark/>
          </w:tcPr>
          <w:p w14:paraId="5275681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0.01</w:t>
            </w:r>
          </w:p>
        </w:tc>
        <w:tc>
          <w:tcPr>
            <w:tcW w:w="956" w:type="dxa"/>
            <w:tcBorders>
              <w:top w:val="nil"/>
              <w:left w:val="nil"/>
              <w:bottom w:val="nil"/>
              <w:right w:val="nil"/>
            </w:tcBorders>
            <w:shd w:val="clear" w:color="auto" w:fill="auto"/>
            <w:noWrap/>
            <w:vAlign w:val="center"/>
            <w:hideMark/>
          </w:tcPr>
          <w:p w14:paraId="7D27C5D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1.88</w:t>
            </w:r>
          </w:p>
        </w:tc>
      </w:tr>
      <w:tr w:rsidR="00D740DC" w:rsidRPr="00670E27" w14:paraId="758675C2" w14:textId="77777777" w:rsidTr="00B11F5F">
        <w:trPr>
          <w:trHeight w:val="300"/>
        </w:trPr>
        <w:tc>
          <w:tcPr>
            <w:tcW w:w="754" w:type="dxa"/>
            <w:vMerge/>
            <w:tcBorders>
              <w:top w:val="nil"/>
              <w:left w:val="nil"/>
              <w:bottom w:val="nil"/>
              <w:right w:val="nil"/>
            </w:tcBorders>
            <w:vAlign w:val="center"/>
            <w:hideMark/>
          </w:tcPr>
          <w:p w14:paraId="54E10CF8"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58BB6148"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000000" w:fill="D9D9D9"/>
            <w:noWrap/>
            <w:vAlign w:val="center"/>
            <w:hideMark/>
          </w:tcPr>
          <w:p w14:paraId="278FE32C"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(ICP)</w:t>
            </w:r>
          </w:p>
        </w:tc>
        <w:tc>
          <w:tcPr>
            <w:tcW w:w="960" w:type="dxa"/>
            <w:tcBorders>
              <w:top w:val="nil"/>
              <w:left w:val="nil"/>
              <w:bottom w:val="single" w:sz="4" w:space="0" w:color="auto"/>
              <w:right w:val="nil"/>
            </w:tcBorders>
            <w:shd w:val="clear" w:color="000000" w:fill="D9D9D9"/>
            <w:vAlign w:val="center"/>
            <w:hideMark/>
          </w:tcPr>
          <w:p w14:paraId="560AC48F"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46.59</w:t>
            </w:r>
          </w:p>
        </w:tc>
        <w:tc>
          <w:tcPr>
            <w:tcW w:w="960" w:type="dxa"/>
            <w:tcBorders>
              <w:top w:val="nil"/>
              <w:left w:val="nil"/>
              <w:bottom w:val="single" w:sz="4" w:space="0" w:color="auto"/>
              <w:right w:val="nil"/>
            </w:tcBorders>
            <w:shd w:val="clear" w:color="000000" w:fill="D9D9D9"/>
            <w:noWrap/>
            <w:vAlign w:val="center"/>
            <w:hideMark/>
          </w:tcPr>
          <w:p w14:paraId="762376EA"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17.80</w:t>
            </w:r>
          </w:p>
        </w:tc>
        <w:tc>
          <w:tcPr>
            <w:tcW w:w="960" w:type="dxa"/>
            <w:tcBorders>
              <w:top w:val="nil"/>
              <w:left w:val="nil"/>
              <w:bottom w:val="single" w:sz="4" w:space="0" w:color="auto"/>
              <w:right w:val="nil"/>
            </w:tcBorders>
            <w:shd w:val="clear" w:color="000000" w:fill="D9D9D9"/>
            <w:vAlign w:val="center"/>
            <w:hideMark/>
          </w:tcPr>
          <w:p w14:paraId="4995EE76"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5.59</w:t>
            </w:r>
          </w:p>
        </w:tc>
        <w:tc>
          <w:tcPr>
            <w:tcW w:w="960" w:type="dxa"/>
            <w:tcBorders>
              <w:top w:val="nil"/>
              <w:left w:val="nil"/>
              <w:bottom w:val="single" w:sz="4" w:space="0" w:color="auto"/>
              <w:right w:val="nil"/>
            </w:tcBorders>
            <w:shd w:val="clear" w:color="000000" w:fill="D9D9D9"/>
            <w:noWrap/>
            <w:vAlign w:val="center"/>
            <w:hideMark/>
          </w:tcPr>
          <w:p w14:paraId="17E9FDA9"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12.23</w:t>
            </w:r>
          </w:p>
        </w:tc>
        <w:tc>
          <w:tcPr>
            <w:tcW w:w="960" w:type="dxa"/>
            <w:tcBorders>
              <w:top w:val="nil"/>
              <w:left w:val="nil"/>
              <w:bottom w:val="single" w:sz="4" w:space="0" w:color="auto"/>
              <w:right w:val="nil"/>
            </w:tcBorders>
            <w:shd w:val="clear" w:color="000000" w:fill="D9D9D9"/>
            <w:noWrap/>
            <w:vAlign w:val="center"/>
            <w:hideMark/>
          </w:tcPr>
          <w:p w14:paraId="06B4F93D"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60" w:type="dxa"/>
            <w:tcBorders>
              <w:top w:val="nil"/>
              <w:left w:val="nil"/>
              <w:bottom w:val="single" w:sz="4" w:space="0" w:color="auto"/>
              <w:right w:val="nil"/>
            </w:tcBorders>
            <w:shd w:val="clear" w:color="000000" w:fill="D9D9D9"/>
            <w:noWrap/>
            <w:vAlign w:val="center"/>
            <w:hideMark/>
          </w:tcPr>
          <w:p w14:paraId="67CA5F84"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0.10</w:t>
            </w:r>
          </w:p>
        </w:tc>
        <w:tc>
          <w:tcPr>
            <w:tcW w:w="960" w:type="dxa"/>
            <w:tcBorders>
              <w:top w:val="nil"/>
              <w:left w:val="nil"/>
              <w:bottom w:val="single" w:sz="4" w:space="0" w:color="auto"/>
              <w:right w:val="nil"/>
            </w:tcBorders>
            <w:shd w:val="clear" w:color="000000" w:fill="D9D9D9"/>
            <w:noWrap/>
            <w:vAlign w:val="center"/>
            <w:hideMark/>
          </w:tcPr>
          <w:p w14:paraId="59BF3A4C"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17.55</w:t>
            </w:r>
          </w:p>
        </w:tc>
        <w:tc>
          <w:tcPr>
            <w:tcW w:w="830" w:type="dxa"/>
            <w:tcBorders>
              <w:top w:val="nil"/>
              <w:left w:val="nil"/>
              <w:bottom w:val="single" w:sz="4" w:space="0" w:color="auto"/>
              <w:right w:val="nil"/>
            </w:tcBorders>
            <w:shd w:val="clear" w:color="000000" w:fill="D9D9D9"/>
            <w:noWrap/>
            <w:vAlign w:val="center"/>
            <w:hideMark/>
          </w:tcPr>
          <w:p w14:paraId="182C4C4E"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w:t>
            </w:r>
          </w:p>
        </w:tc>
        <w:tc>
          <w:tcPr>
            <w:tcW w:w="956" w:type="dxa"/>
            <w:tcBorders>
              <w:top w:val="nil"/>
              <w:left w:val="nil"/>
              <w:bottom w:val="single" w:sz="4" w:space="0" w:color="auto"/>
              <w:right w:val="nil"/>
            </w:tcBorders>
            <w:shd w:val="clear" w:color="000000" w:fill="D9D9D9"/>
            <w:noWrap/>
            <w:vAlign w:val="center"/>
            <w:hideMark/>
          </w:tcPr>
          <w:p w14:paraId="767805E1"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0.14</w:t>
            </w:r>
          </w:p>
        </w:tc>
      </w:tr>
      <w:tr w:rsidR="00D740DC" w:rsidRPr="00670E27" w14:paraId="0D916D09" w14:textId="77777777" w:rsidTr="00B11F5F">
        <w:trPr>
          <w:trHeight w:val="300"/>
        </w:trPr>
        <w:tc>
          <w:tcPr>
            <w:tcW w:w="754" w:type="dxa"/>
            <w:vMerge/>
            <w:tcBorders>
              <w:top w:val="nil"/>
              <w:left w:val="nil"/>
              <w:bottom w:val="nil"/>
              <w:right w:val="nil"/>
            </w:tcBorders>
            <w:vAlign w:val="center"/>
            <w:hideMark/>
          </w:tcPr>
          <w:p w14:paraId="42607868"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09F7FB09"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N</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B</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S</w:t>
            </w:r>
            <w:r w:rsidRPr="00670E27">
              <w:rPr>
                <w:rFonts w:eastAsia="Times New Roman" w:cs="Times New Roman"/>
                <w:b w:val="0"/>
                <w:color w:val="000000"/>
                <w:sz w:val="18"/>
                <w:szCs w:val="18"/>
                <w:vertAlign w:val="subscript"/>
                <w:lang w:eastAsia="en-MY"/>
              </w:rPr>
              <w:t>60</w:t>
            </w:r>
            <w:r w:rsidRPr="00670E27">
              <w:rPr>
                <w:rFonts w:eastAsia="Times New Roman" w:cs="Times New Roman"/>
                <w:b w:val="0"/>
                <w:color w:val="000000"/>
                <w:sz w:val="18"/>
                <w:szCs w:val="18"/>
                <w:lang w:eastAsia="en-MY"/>
              </w:rPr>
              <w:t>A1</w:t>
            </w:r>
            <w:r w:rsidRPr="00670E27">
              <w:rPr>
                <w:rFonts w:eastAsia="Times New Roman" w:cs="Times New Roman"/>
                <w:b w:val="0"/>
                <w:color w:val="000000"/>
                <w:sz w:val="18"/>
                <w:szCs w:val="18"/>
                <w:vertAlign w:val="subscript"/>
                <w:lang w:eastAsia="en-MY"/>
              </w:rPr>
              <w:t>12.5</w:t>
            </w:r>
            <w:r w:rsidRPr="00670E27">
              <w:rPr>
                <w:rFonts w:eastAsia="Times New Roman" w:cs="Times New Roman"/>
                <w:b w:val="0"/>
                <w:color w:val="000000"/>
                <w:sz w:val="18"/>
                <w:szCs w:val="18"/>
                <w:lang w:eastAsia="en-MY"/>
              </w:rPr>
              <w:t>Ba</w:t>
            </w:r>
            <w:r w:rsidRPr="00670E27">
              <w:rPr>
                <w:rFonts w:eastAsia="Times New Roman" w:cs="Times New Roman"/>
                <w:b w:val="0"/>
                <w:color w:val="000000"/>
                <w:sz w:val="18"/>
                <w:szCs w:val="18"/>
                <w:vertAlign w:val="subscript"/>
                <w:lang w:eastAsia="en-MY"/>
              </w:rPr>
              <w:t>7.5</w:t>
            </w:r>
          </w:p>
        </w:tc>
        <w:tc>
          <w:tcPr>
            <w:tcW w:w="3420" w:type="dxa"/>
            <w:tcBorders>
              <w:top w:val="nil"/>
              <w:left w:val="nil"/>
              <w:bottom w:val="nil"/>
              <w:right w:val="nil"/>
            </w:tcBorders>
            <w:shd w:val="clear" w:color="auto" w:fill="auto"/>
            <w:noWrap/>
            <w:vAlign w:val="center"/>
            <w:hideMark/>
          </w:tcPr>
          <w:p w14:paraId="0966462A"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339E6E15"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49.08</w:t>
            </w:r>
          </w:p>
        </w:tc>
        <w:tc>
          <w:tcPr>
            <w:tcW w:w="960" w:type="dxa"/>
            <w:tcBorders>
              <w:top w:val="nil"/>
              <w:left w:val="nil"/>
              <w:bottom w:val="nil"/>
              <w:right w:val="nil"/>
            </w:tcBorders>
            <w:shd w:val="clear" w:color="auto" w:fill="auto"/>
            <w:noWrap/>
            <w:vAlign w:val="center"/>
            <w:hideMark/>
          </w:tcPr>
          <w:p w14:paraId="5FF1F7A4"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17.35</w:t>
            </w:r>
          </w:p>
        </w:tc>
        <w:tc>
          <w:tcPr>
            <w:tcW w:w="960" w:type="dxa"/>
            <w:tcBorders>
              <w:top w:val="nil"/>
              <w:left w:val="nil"/>
              <w:bottom w:val="nil"/>
              <w:right w:val="nil"/>
            </w:tcBorders>
            <w:shd w:val="clear" w:color="auto" w:fill="auto"/>
            <w:noWrap/>
            <w:vAlign w:val="center"/>
            <w:hideMark/>
          </w:tcPr>
          <w:p w14:paraId="60B62A83"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9.48</w:t>
            </w:r>
          </w:p>
        </w:tc>
        <w:tc>
          <w:tcPr>
            <w:tcW w:w="960" w:type="dxa"/>
            <w:tcBorders>
              <w:top w:val="nil"/>
              <w:left w:val="nil"/>
              <w:bottom w:val="nil"/>
              <w:right w:val="nil"/>
            </w:tcBorders>
            <w:shd w:val="clear" w:color="auto" w:fill="auto"/>
            <w:noWrap/>
            <w:vAlign w:val="center"/>
            <w:hideMark/>
          </w:tcPr>
          <w:p w14:paraId="4789DEEC"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8.44</w:t>
            </w:r>
          </w:p>
        </w:tc>
        <w:tc>
          <w:tcPr>
            <w:tcW w:w="960" w:type="dxa"/>
            <w:tcBorders>
              <w:top w:val="nil"/>
              <w:left w:val="nil"/>
              <w:bottom w:val="nil"/>
              <w:right w:val="nil"/>
            </w:tcBorders>
            <w:shd w:val="clear" w:color="auto" w:fill="auto"/>
            <w:noWrap/>
            <w:vAlign w:val="center"/>
            <w:hideMark/>
          </w:tcPr>
          <w:p w14:paraId="0F39DCD4"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39D9635E"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60" w:type="dxa"/>
            <w:tcBorders>
              <w:top w:val="nil"/>
              <w:left w:val="nil"/>
              <w:bottom w:val="nil"/>
              <w:right w:val="nil"/>
            </w:tcBorders>
            <w:shd w:val="clear" w:color="auto" w:fill="auto"/>
            <w:noWrap/>
            <w:vAlign w:val="center"/>
            <w:hideMark/>
          </w:tcPr>
          <w:p w14:paraId="63C5E962"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15.66</w:t>
            </w:r>
          </w:p>
        </w:tc>
        <w:tc>
          <w:tcPr>
            <w:tcW w:w="830" w:type="dxa"/>
            <w:tcBorders>
              <w:top w:val="nil"/>
              <w:left w:val="nil"/>
              <w:bottom w:val="nil"/>
              <w:right w:val="nil"/>
            </w:tcBorders>
            <w:shd w:val="clear" w:color="auto" w:fill="auto"/>
            <w:noWrap/>
            <w:vAlign w:val="center"/>
            <w:hideMark/>
          </w:tcPr>
          <w:p w14:paraId="3A974572"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56" w:type="dxa"/>
            <w:tcBorders>
              <w:top w:val="nil"/>
              <w:left w:val="nil"/>
              <w:bottom w:val="nil"/>
              <w:right w:val="nil"/>
            </w:tcBorders>
            <w:shd w:val="clear" w:color="auto" w:fill="auto"/>
            <w:noWrap/>
            <w:vAlign w:val="center"/>
            <w:hideMark/>
          </w:tcPr>
          <w:p w14:paraId="584FEF05"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55212A0E" w14:textId="77777777" w:rsidTr="00B11F5F">
        <w:trPr>
          <w:trHeight w:val="315"/>
        </w:trPr>
        <w:tc>
          <w:tcPr>
            <w:tcW w:w="754" w:type="dxa"/>
            <w:vMerge/>
            <w:tcBorders>
              <w:top w:val="nil"/>
              <w:left w:val="nil"/>
              <w:bottom w:val="nil"/>
              <w:right w:val="nil"/>
            </w:tcBorders>
            <w:vAlign w:val="center"/>
            <w:hideMark/>
          </w:tcPr>
          <w:p w14:paraId="1F109A0F"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5AF2F63B"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35DD2BE5"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00E9D0B4"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44.249</w:t>
            </w:r>
          </w:p>
        </w:tc>
        <w:tc>
          <w:tcPr>
            <w:tcW w:w="960" w:type="dxa"/>
            <w:tcBorders>
              <w:top w:val="nil"/>
              <w:left w:val="nil"/>
              <w:bottom w:val="nil"/>
              <w:right w:val="nil"/>
            </w:tcBorders>
            <w:shd w:val="clear" w:color="auto" w:fill="auto"/>
            <w:noWrap/>
            <w:vAlign w:val="center"/>
            <w:hideMark/>
          </w:tcPr>
          <w:p w14:paraId="24F83B12"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23.729</w:t>
            </w:r>
          </w:p>
        </w:tc>
        <w:tc>
          <w:tcPr>
            <w:tcW w:w="960" w:type="dxa"/>
            <w:tcBorders>
              <w:top w:val="nil"/>
              <w:left w:val="nil"/>
              <w:bottom w:val="nil"/>
              <w:right w:val="nil"/>
            </w:tcBorders>
            <w:shd w:val="clear" w:color="auto" w:fill="auto"/>
            <w:vAlign w:val="center"/>
            <w:hideMark/>
          </w:tcPr>
          <w:p w14:paraId="61FEE56C"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9.969</w:t>
            </w:r>
          </w:p>
        </w:tc>
        <w:tc>
          <w:tcPr>
            <w:tcW w:w="960" w:type="dxa"/>
            <w:tcBorders>
              <w:top w:val="nil"/>
              <w:left w:val="nil"/>
              <w:bottom w:val="nil"/>
              <w:right w:val="nil"/>
            </w:tcBorders>
            <w:shd w:val="clear" w:color="auto" w:fill="auto"/>
            <w:noWrap/>
            <w:vAlign w:val="center"/>
            <w:hideMark/>
          </w:tcPr>
          <w:p w14:paraId="0AB45B4F"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6.328</w:t>
            </w:r>
          </w:p>
        </w:tc>
        <w:tc>
          <w:tcPr>
            <w:tcW w:w="960" w:type="dxa"/>
            <w:tcBorders>
              <w:top w:val="nil"/>
              <w:left w:val="nil"/>
              <w:bottom w:val="nil"/>
              <w:right w:val="nil"/>
            </w:tcBorders>
            <w:shd w:val="clear" w:color="auto" w:fill="auto"/>
            <w:noWrap/>
            <w:vAlign w:val="center"/>
            <w:hideMark/>
          </w:tcPr>
          <w:p w14:paraId="441F9341"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0A610F3D"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60" w:type="dxa"/>
            <w:tcBorders>
              <w:top w:val="nil"/>
              <w:left w:val="nil"/>
              <w:bottom w:val="nil"/>
              <w:right w:val="nil"/>
            </w:tcBorders>
            <w:shd w:val="clear" w:color="auto" w:fill="auto"/>
            <w:noWrap/>
            <w:vAlign w:val="center"/>
            <w:hideMark/>
          </w:tcPr>
          <w:p w14:paraId="48925CD8"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13.628</w:t>
            </w:r>
          </w:p>
        </w:tc>
        <w:tc>
          <w:tcPr>
            <w:tcW w:w="830" w:type="dxa"/>
            <w:tcBorders>
              <w:top w:val="nil"/>
              <w:left w:val="nil"/>
              <w:bottom w:val="nil"/>
              <w:right w:val="nil"/>
            </w:tcBorders>
            <w:shd w:val="clear" w:color="auto" w:fill="auto"/>
            <w:noWrap/>
            <w:vAlign w:val="center"/>
            <w:hideMark/>
          </w:tcPr>
          <w:p w14:paraId="3200A176"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0.042</w:t>
            </w:r>
          </w:p>
        </w:tc>
        <w:tc>
          <w:tcPr>
            <w:tcW w:w="956" w:type="dxa"/>
            <w:tcBorders>
              <w:top w:val="nil"/>
              <w:left w:val="nil"/>
              <w:bottom w:val="nil"/>
              <w:right w:val="nil"/>
            </w:tcBorders>
            <w:shd w:val="clear" w:color="auto" w:fill="auto"/>
            <w:noWrap/>
            <w:vAlign w:val="center"/>
            <w:hideMark/>
          </w:tcPr>
          <w:p w14:paraId="5D3F014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2.06</w:t>
            </w:r>
          </w:p>
        </w:tc>
      </w:tr>
      <w:tr w:rsidR="00D740DC" w:rsidRPr="00670E27" w14:paraId="266EBD10" w14:textId="77777777" w:rsidTr="00B11F5F">
        <w:trPr>
          <w:trHeight w:val="315"/>
        </w:trPr>
        <w:tc>
          <w:tcPr>
            <w:tcW w:w="754" w:type="dxa"/>
            <w:vMerge/>
            <w:tcBorders>
              <w:top w:val="nil"/>
              <w:left w:val="nil"/>
              <w:bottom w:val="nil"/>
              <w:right w:val="nil"/>
            </w:tcBorders>
            <w:vAlign w:val="center"/>
            <w:hideMark/>
          </w:tcPr>
          <w:p w14:paraId="7457416F"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5276442C"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1E2227C6"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1F5C9DF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44.25</w:t>
            </w:r>
          </w:p>
        </w:tc>
        <w:tc>
          <w:tcPr>
            <w:tcW w:w="960" w:type="dxa"/>
            <w:tcBorders>
              <w:top w:val="nil"/>
              <w:left w:val="nil"/>
              <w:bottom w:val="nil"/>
              <w:right w:val="nil"/>
            </w:tcBorders>
            <w:shd w:val="clear" w:color="auto" w:fill="auto"/>
            <w:noWrap/>
            <w:vAlign w:val="center"/>
            <w:hideMark/>
          </w:tcPr>
          <w:p w14:paraId="3F24C7B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23.73</w:t>
            </w:r>
          </w:p>
        </w:tc>
        <w:tc>
          <w:tcPr>
            <w:tcW w:w="960" w:type="dxa"/>
            <w:tcBorders>
              <w:top w:val="nil"/>
              <w:left w:val="nil"/>
              <w:bottom w:val="nil"/>
              <w:right w:val="nil"/>
            </w:tcBorders>
            <w:shd w:val="clear" w:color="auto" w:fill="auto"/>
            <w:noWrap/>
            <w:vAlign w:val="center"/>
            <w:hideMark/>
          </w:tcPr>
          <w:p w14:paraId="010DF5F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4.98</w:t>
            </w:r>
          </w:p>
        </w:tc>
        <w:tc>
          <w:tcPr>
            <w:tcW w:w="960" w:type="dxa"/>
            <w:tcBorders>
              <w:top w:val="nil"/>
              <w:left w:val="nil"/>
              <w:bottom w:val="nil"/>
              <w:right w:val="nil"/>
            </w:tcBorders>
            <w:shd w:val="clear" w:color="auto" w:fill="auto"/>
            <w:noWrap/>
            <w:vAlign w:val="center"/>
            <w:hideMark/>
          </w:tcPr>
          <w:p w14:paraId="0FA2F48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6.33</w:t>
            </w:r>
          </w:p>
        </w:tc>
        <w:tc>
          <w:tcPr>
            <w:tcW w:w="960" w:type="dxa"/>
            <w:tcBorders>
              <w:top w:val="nil"/>
              <w:left w:val="nil"/>
              <w:bottom w:val="nil"/>
              <w:right w:val="nil"/>
            </w:tcBorders>
            <w:shd w:val="clear" w:color="auto" w:fill="auto"/>
            <w:noWrap/>
            <w:vAlign w:val="center"/>
            <w:hideMark/>
          </w:tcPr>
          <w:p w14:paraId="798CB8E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269EB95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323A30F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13.63</w:t>
            </w:r>
          </w:p>
        </w:tc>
        <w:tc>
          <w:tcPr>
            <w:tcW w:w="830" w:type="dxa"/>
            <w:tcBorders>
              <w:top w:val="nil"/>
              <w:left w:val="nil"/>
              <w:bottom w:val="nil"/>
              <w:right w:val="nil"/>
            </w:tcBorders>
            <w:shd w:val="clear" w:color="auto" w:fill="auto"/>
            <w:noWrap/>
            <w:vAlign w:val="center"/>
            <w:hideMark/>
          </w:tcPr>
          <w:p w14:paraId="7D75BAE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0.04</w:t>
            </w:r>
          </w:p>
        </w:tc>
        <w:tc>
          <w:tcPr>
            <w:tcW w:w="956" w:type="dxa"/>
            <w:tcBorders>
              <w:top w:val="nil"/>
              <w:left w:val="nil"/>
              <w:bottom w:val="nil"/>
              <w:right w:val="nil"/>
            </w:tcBorders>
            <w:shd w:val="clear" w:color="auto" w:fill="auto"/>
            <w:noWrap/>
            <w:vAlign w:val="center"/>
            <w:hideMark/>
          </w:tcPr>
          <w:p w14:paraId="288F8F0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2.06</w:t>
            </w:r>
          </w:p>
        </w:tc>
      </w:tr>
      <w:tr w:rsidR="00D740DC" w:rsidRPr="00670E27" w14:paraId="2E9990C9" w14:textId="77777777" w:rsidTr="00B11F5F">
        <w:trPr>
          <w:trHeight w:val="315"/>
        </w:trPr>
        <w:tc>
          <w:tcPr>
            <w:tcW w:w="754" w:type="dxa"/>
            <w:vMerge/>
            <w:tcBorders>
              <w:top w:val="nil"/>
              <w:left w:val="nil"/>
              <w:bottom w:val="nil"/>
              <w:right w:val="nil"/>
            </w:tcBorders>
            <w:vAlign w:val="center"/>
            <w:hideMark/>
          </w:tcPr>
          <w:p w14:paraId="0157C72A"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1F803A27"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15439DDF"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5E0C3FB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46.57</w:t>
            </w:r>
          </w:p>
        </w:tc>
        <w:tc>
          <w:tcPr>
            <w:tcW w:w="960" w:type="dxa"/>
            <w:tcBorders>
              <w:top w:val="nil"/>
              <w:left w:val="nil"/>
              <w:bottom w:val="single" w:sz="4" w:space="0" w:color="auto"/>
              <w:right w:val="nil"/>
            </w:tcBorders>
            <w:shd w:val="clear" w:color="auto" w:fill="auto"/>
            <w:noWrap/>
            <w:vAlign w:val="center"/>
            <w:hideMark/>
          </w:tcPr>
          <w:p w14:paraId="16F59E3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24.97</w:t>
            </w:r>
          </w:p>
        </w:tc>
        <w:tc>
          <w:tcPr>
            <w:tcW w:w="960" w:type="dxa"/>
            <w:tcBorders>
              <w:top w:val="nil"/>
              <w:left w:val="nil"/>
              <w:bottom w:val="single" w:sz="4" w:space="0" w:color="auto"/>
              <w:right w:val="nil"/>
            </w:tcBorders>
            <w:shd w:val="clear" w:color="auto" w:fill="auto"/>
            <w:noWrap/>
            <w:vAlign w:val="center"/>
            <w:hideMark/>
          </w:tcPr>
          <w:p w14:paraId="67C4A69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5.25</w:t>
            </w:r>
          </w:p>
        </w:tc>
        <w:tc>
          <w:tcPr>
            <w:tcW w:w="960" w:type="dxa"/>
            <w:tcBorders>
              <w:top w:val="nil"/>
              <w:left w:val="nil"/>
              <w:bottom w:val="single" w:sz="4" w:space="0" w:color="auto"/>
              <w:right w:val="nil"/>
            </w:tcBorders>
            <w:shd w:val="clear" w:color="auto" w:fill="auto"/>
            <w:noWrap/>
            <w:vAlign w:val="center"/>
            <w:hideMark/>
          </w:tcPr>
          <w:p w14:paraId="7E3892B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6.66</w:t>
            </w:r>
          </w:p>
        </w:tc>
        <w:tc>
          <w:tcPr>
            <w:tcW w:w="960" w:type="dxa"/>
            <w:tcBorders>
              <w:top w:val="nil"/>
              <w:left w:val="nil"/>
              <w:bottom w:val="single" w:sz="4" w:space="0" w:color="auto"/>
              <w:right w:val="nil"/>
            </w:tcBorders>
            <w:shd w:val="clear" w:color="auto" w:fill="auto"/>
            <w:noWrap/>
            <w:vAlign w:val="center"/>
            <w:hideMark/>
          </w:tcPr>
          <w:p w14:paraId="5B60C9A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2B25B40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6077997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14.34</w:t>
            </w:r>
          </w:p>
        </w:tc>
        <w:tc>
          <w:tcPr>
            <w:tcW w:w="830" w:type="dxa"/>
            <w:tcBorders>
              <w:top w:val="nil"/>
              <w:left w:val="nil"/>
              <w:bottom w:val="single" w:sz="4" w:space="0" w:color="auto"/>
              <w:right w:val="nil"/>
            </w:tcBorders>
            <w:shd w:val="clear" w:color="auto" w:fill="auto"/>
            <w:noWrap/>
            <w:vAlign w:val="center"/>
            <w:hideMark/>
          </w:tcPr>
          <w:p w14:paraId="6747B49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0.04</w:t>
            </w:r>
          </w:p>
        </w:tc>
        <w:tc>
          <w:tcPr>
            <w:tcW w:w="956" w:type="dxa"/>
            <w:tcBorders>
              <w:top w:val="nil"/>
              <w:left w:val="nil"/>
              <w:bottom w:val="single" w:sz="4" w:space="0" w:color="auto"/>
              <w:right w:val="nil"/>
            </w:tcBorders>
            <w:shd w:val="clear" w:color="auto" w:fill="auto"/>
            <w:noWrap/>
            <w:vAlign w:val="center"/>
            <w:hideMark/>
          </w:tcPr>
          <w:p w14:paraId="44E8B5F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2.16</w:t>
            </w:r>
          </w:p>
        </w:tc>
      </w:tr>
    </w:tbl>
    <w:p w14:paraId="54543082" w14:textId="163BC22C" w:rsidR="00D740DC" w:rsidRPr="000E2377" w:rsidRDefault="00D740DC" w:rsidP="00D740DC">
      <w:pPr>
        <w:jc w:val="both"/>
        <w:rPr>
          <w:rFonts w:eastAsia="Calibri" w:cs="Times New Roman"/>
          <w:szCs w:val="24"/>
          <w:lang w:val="en-GB"/>
        </w:rPr>
      </w:pPr>
      <w:r w:rsidRPr="000E2377">
        <w:lastRenderedPageBreak/>
        <w:t xml:space="preserve">Table </w:t>
      </w:r>
      <w:r>
        <w:t>4</w:t>
      </w:r>
      <w:r w:rsidRPr="000E2377">
        <w:t>.</w:t>
      </w:r>
      <w:r w:rsidR="00485C02">
        <w:t>1</w:t>
      </w:r>
      <w:r w:rsidRPr="000E2377">
        <w:rPr>
          <w:bCs/>
          <w:szCs w:val="24"/>
        </w:rPr>
        <w:t xml:space="preserve">: Analysed glass compositions </w:t>
      </w:r>
      <w:r>
        <w:rPr>
          <w:bCs/>
          <w:szCs w:val="24"/>
        </w:rPr>
        <w:t xml:space="preserve">for some of the glasses produced </w:t>
      </w:r>
      <w:r w:rsidRPr="000E2377">
        <w:rPr>
          <w:bCs/>
          <w:szCs w:val="24"/>
        </w:rPr>
        <w:t>(</w:t>
      </w:r>
      <w:proofErr w:type="spellStart"/>
      <w:r w:rsidRPr="000E2377">
        <w:rPr>
          <w:bCs/>
          <w:szCs w:val="24"/>
        </w:rPr>
        <w:t>wt</w:t>
      </w:r>
      <w:proofErr w:type="spellEnd"/>
      <w:r w:rsidRPr="000E2377">
        <w:rPr>
          <w:bCs/>
          <w:szCs w:val="24"/>
        </w:rPr>
        <w:t xml:space="preserve"> %); ICP-OES </w:t>
      </w:r>
      <w:r>
        <w:rPr>
          <w:bCs/>
          <w:szCs w:val="24"/>
        </w:rPr>
        <w:t>for selected glasses and XRF for all glasses.  A</w:t>
      </w:r>
      <w:r w:rsidRPr="000E2377">
        <w:rPr>
          <w:bCs/>
          <w:szCs w:val="24"/>
        </w:rPr>
        <w:t xml:space="preserve">nalysis data normalised to 100 </w:t>
      </w:r>
      <w:proofErr w:type="spellStart"/>
      <w:r w:rsidRPr="000E2377">
        <w:rPr>
          <w:bCs/>
          <w:szCs w:val="24"/>
        </w:rPr>
        <w:t>wt</w:t>
      </w:r>
      <w:proofErr w:type="spellEnd"/>
      <w:r>
        <w:rPr>
          <w:bCs/>
          <w:szCs w:val="24"/>
        </w:rPr>
        <w:t>%. (</w:t>
      </w:r>
      <w:r w:rsidRPr="00F75676">
        <w:rPr>
          <w:bCs/>
          <w:i/>
          <w:szCs w:val="24"/>
        </w:rPr>
        <w:t>Continu</w:t>
      </w:r>
      <w:r>
        <w:rPr>
          <w:bCs/>
          <w:i/>
          <w:szCs w:val="24"/>
        </w:rPr>
        <w:t>ed on</w:t>
      </w:r>
      <w:r w:rsidRPr="00F75676">
        <w:rPr>
          <w:bCs/>
          <w:i/>
          <w:szCs w:val="24"/>
        </w:rPr>
        <w:t xml:space="preserve"> next page</w:t>
      </w:r>
      <w:r>
        <w:rPr>
          <w:bCs/>
          <w:szCs w:val="24"/>
        </w:rPr>
        <w:t>)</w:t>
      </w:r>
    </w:p>
    <w:tbl>
      <w:tblPr>
        <w:tblW w:w="14770" w:type="dxa"/>
        <w:tblLook w:val="04A0" w:firstRow="1" w:lastRow="0" w:firstColumn="1" w:lastColumn="0" w:noHBand="0" w:noVBand="1"/>
      </w:tblPr>
      <w:tblGrid>
        <w:gridCol w:w="754"/>
        <w:gridCol w:w="2160"/>
        <w:gridCol w:w="3420"/>
        <w:gridCol w:w="960"/>
        <w:gridCol w:w="960"/>
        <w:gridCol w:w="960"/>
        <w:gridCol w:w="960"/>
        <w:gridCol w:w="960"/>
        <w:gridCol w:w="960"/>
        <w:gridCol w:w="960"/>
        <w:gridCol w:w="760"/>
        <w:gridCol w:w="956"/>
      </w:tblGrid>
      <w:tr w:rsidR="00D740DC" w:rsidRPr="00670E27" w14:paraId="3E391EBD" w14:textId="77777777" w:rsidTr="00B11F5F">
        <w:trPr>
          <w:trHeight w:val="300"/>
        </w:trPr>
        <w:tc>
          <w:tcPr>
            <w:tcW w:w="754" w:type="dxa"/>
            <w:tcBorders>
              <w:top w:val="single" w:sz="4" w:space="0" w:color="auto"/>
              <w:left w:val="nil"/>
              <w:bottom w:val="single" w:sz="4" w:space="0" w:color="auto"/>
              <w:right w:val="nil"/>
            </w:tcBorders>
            <w:shd w:val="clear" w:color="auto" w:fill="auto"/>
            <w:noWrap/>
            <w:vAlign w:val="center"/>
            <w:hideMark/>
          </w:tcPr>
          <w:p w14:paraId="3CD5BBA0" w14:textId="77777777" w:rsidR="00D740DC" w:rsidRPr="00670E27" w:rsidRDefault="00D740DC" w:rsidP="00B11F5F">
            <w:pPr>
              <w:spacing w:after="0" w:line="240" w:lineRule="auto"/>
              <w:jc w:val="center"/>
              <w:rPr>
                <w:rFonts w:eastAsia="Times New Roman" w:cs="Times New Roman"/>
                <w:b w:val="0"/>
                <w:color w:val="000000"/>
                <w:sz w:val="22"/>
                <w:lang w:eastAsia="en-MY"/>
              </w:rPr>
            </w:pPr>
            <w:r w:rsidRPr="00670E27">
              <w:rPr>
                <w:rFonts w:eastAsia="Times New Roman" w:cs="Times New Roman"/>
                <w:b w:val="0"/>
                <w:color w:val="000000"/>
                <w:sz w:val="22"/>
                <w:lang w:eastAsia="en-MY"/>
              </w:rPr>
              <w:t>Series</w:t>
            </w:r>
          </w:p>
        </w:tc>
        <w:tc>
          <w:tcPr>
            <w:tcW w:w="2160" w:type="dxa"/>
            <w:tcBorders>
              <w:top w:val="single" w:sz="4" w:space="0" w:color="auto"/>
              <w:left w:val="nil"/>
              <w:bottom w:val="nil"/>
              <w:right w:val="nil"/>
            </w:tcBorders>
            <w:shd w:val="clear" w:color="auto" w:fill="auto"/>
            <w:noWrap/>
            <w:vAlign w:val="center"/>
            <w:hideMark/>
          </w:tcPr>
          <w:p w14:paraId="6E8BBF24"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Glass ID</w:t>
            </w:r>
          </w:p>
        </w:tc>
        <w:tc>
          <w:tcPr>
            <w:tcW w:w="3420" w:type="dxa"/>
            <w:tcBorders>
              <w:top w:val="single" w:sz="4" w:space="0" w:color="auto"/>
              <w:left w:val="nil"/>
              <w:bottom w:val="single" w:sz="4" w:space="0" w:color="auto"/>
              <w:right w:val="nil"/>
            </w:tcBorders>
            <w:shd w:val="clear" w:color="auto" w:fill="auto"/>
            <w:noWrap/>
            <w:vAlign w:val="center"/>
            <w:hideMark/>
          </w:tcPr>
          <w:p w14:paraId="0230B601"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Types</w:t>
            </w:r>
          </w:p>
        </w:tc>
        <w:tc>
          <w:tcPr>
            <w:tcW w:w="960" w:type="dxa"/>
            <w:tcBorders>
              <w:top w:val="single" w:sz="4" w:space="0" w:color="auto"/>
              <w:left w:val="nil"/>
              <w:bottom w:val="single" w:sz="4" w:space="0" w:color="auto"/>
              <w:right w:val="nil"/>
            </w:tcBorders>
            <w:shd w:val="clear" w:color="auto" w:fill="auto"/>
            <w:noWrap/>
            <w:vAlign w:val="center"/>
            <w:hideMark/>
          </w:tcPr>
          <w:p w14:paraId="21C2E376"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SiO</w:t>
            </w:r>
            <w:r w:rsidRPr="00670E27">
              <w:rPr>
                <w:rFonts w:eastAsia="Times New Roman" w:cs="Times New Roman"/>
                <w:b w:val="0"/>
                <w:sz w:val="18"/>
                <w:szCs w:val="18"/>
                <w:vertAlign w:val="subscript"/>
                <w:lang w:eastAsia="en-MY"/>
              </w:rPr>
              <w:t>2</w:t>
            </w:r>
          </w:p>
        </w:tc>
        <w:tc>
          <w:tcPr>
            <w:tcW w:w="960" w:type="dxa"/>
            <w:tcBorders>
              <w:top w:val="single" w:sz="4" w:space="0" w:color="auto"/>
              <w:left w:val="nil"/>
              <w:bottom w:val="single" w:sz="4" w:space="0" w:color="auto"/>
              <w:right w:val="nil"/>
            </w:tcBorders>
            <w:shd w:val="clear" w:color="auto" w:fill="auto"/>
            <w:noWrap/>
            <w:vAlign w:val="center"/>
            <w:hideMark/>
          </w:tcPr>
          <w:p w14:paraId="4C9CE7F5"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Al</w:t>
            </w:r>
            <w:r w:rsidRPr="00670E27">
              <w:rPr>
                <w:rFonts w:eastAsia="Times New Roman" w:cs="Times New Roman"/>
                <w:b w:val="0"/>
                <w:sz w:val="18"/>
                <w:szCs w:val="18"/>
                <w:vertAlign w:val="subscript"/>
                <w:lang w:eastAsia="en-MY"/>
              </w:rPr>
              <w:t>2</w:t>
            </w:r>
            <w:r w:rsidRPr="00670E27">
              <w:rPr>
                <w:rFonts w:eastAsia="Times New Roman" w:cs="Times New Roman"/>
                <w:b w:val="0"/>
                <w:sz w:val="18"/>
                <w:szCs w:val="18"/>
                <w:lang w:eastAsia="en-MY"/>
              </w:rPr>
              <w:t>O</w:t>
            </w:r>
            <w:r w:rsidRPr="00670E27">
              <w:rPr>
                <w:rFonts w:eastAsia="Times New Roman" w:cs="Times New Roman"/>
                <w:b w:val="0"/>
                <w:sz w:val="18"/>
                <w:szCs w:val="18"/>
                <w:vertAlign w:val="subscript"/>
                <w:lang w:eastAsia="en-MY"/>
              </w:rPr>
              <w:t>3</w:t>
            </w:r>
          </w:p>
        </w:tc>
        <w:tc>
          <w:tcPr>
            <w:tcW w:w="960" w:type="dxa"/>
            <w:tcBorders>
              <w:top w:val="single" w:sz="4" w:space="0" w:color="auto"/>
              <w:left w:val="nil"/>
              <w:bottom w:val="single" w:sz="4" w:space="0" w:color="auto"/>
              <w:right w:val="nil"/>
            </w:tcBorders>
            <w:shd w:val="clear" w:color="auto" w:fill="auto"/>
            <w:noWrap/>
            <w:vAlign w:val="center"/>
            <w:hideMark/>
          </w:tcPr>
          <w:p w14:paraId="3A7B746D"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B</w:t>
            </w:r>
            <w:r w:rsidRPr="00670E27">
              <w:rPr>
                <w:rFonts w:eastAsia="Times New Roman" w:cs="Times New Roman"/>
                <w:b w:val="0"/>
                <w:sz w:val="18"/>
                <w:szCs w:val="18"/>
                <w:vertAlign w:val="subscript"/>
                <w:lang w:eastAsia="en-MY"/>
              </w:rPr>
              <w:t>2</w:t>
            </w:r>
            <w:r w:rsidRPr="00670E27">
              <w:rPr>
                <w:rFonts w:eastAsia="Times New Roman" w:cs="Times New Roman"/>
                <w:b w:val="0"/>
                <w:sz w:val="18"/>
                <w:szCs w:val="18"/>
                <w:lang w:eastAsia="en-MY"/>
              </w:rPr>
              <w:t>O</w:t>
            </w:r>
            <w:r w:rsidRPr="00670E27">
              <w:rPr>
                <w:rFonts w:eastAsia="Times New Roman" w:cs="Times New Roman"/>
                <w:b w:val="0"/>
                <w:sz w:val="18"/>
                <w:szCs w:val="18"/>
                <w:vertAlign w:val="subscript"/>
                <w:lang w:eastAsia="en-MY"/>
              </w:rPr>
              <w:t>3</w:t>
            </w:r>
          </w:p>
        </w:tc>
        <w:tc>
          <w:tcPr>
            <w:tcW w:w="960" w:type="dxa"/>
            <w:tcBorders>
              <w:top w:val="single" w:sz="4" w:space="0" w:color="auto"/>
              <w:left w:val="nil"/>
              <w:bottom w:val="single" w:sz="4" w:space="0" w:color="auto"/>
              <w:right w:val="nil"/>
            </w:tcBorders>
            <w:shd w:val="clear" w:color="auto" w:fill="auto"/>
            <w:noWrap/>
            <w:vAlign w:val="center"/>
            <w:hideMark/>
          </w:tcPr>
          <w:p w14:paraId="2D2E4BF2"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Na</w:t>
            </w:r>
            <w:r w:rsidRPr="00670E27">
              <w:rPr>
                <w:rFonts w:eastAsia="Times New Roman" w:cs="Times New Roman"/>
                <w:b w:val="0"/>
                <w:sz w:val="18"/>
                <w:szCs w:val="18"/>
                <w:vertAlign w:val="subscript"/>
                <w:lang w:eastAsia="en-MY"/>
              </w:rPr>
              <w:t>2</w:t>
            </w:r>
            <w:r w:rsidRPr="00670E27">
              <w:rPr>
                <w:rFonts w:eastAsia="Times New Roman" w:cs="Times New Roman"/>
                <w:b w:val="0"/>
                <w:sz w:val="18"/>
                <w:szCs w:val="18"/>
                <w:lang w:eastAsia="en-MY"/>
              </w:rPr>
              <w:t>O</w:t>
            </w:r>
          </w:p>
        </w:tc>
        <w:tc>
          <w:tcPr>
            <w:tcW w:w="960" w:type="dxa"/>
            <w:tcBorders>
              <w:top w:val="single" w:sz="4" w:space="0" w:color="auto"/>
              <w:left w:val="nil"/>
              <w:bottom w:val="single" w:sz="4" w:space="0" w:color="auto"/>
              <w:right w:val="nil"/>
            </w:tcBorders>
            <w:shd w:val="clear" w:color="auto" w:fill="auto"/>
            <w:noWrap/>
            <w:vAlign w:val="center"/>
            <w:hideMark/>
          </w:tcPr>
          <w:p w14:paraId="64244E4A" w14:textId="77777777" w:rsidR="00D740DC" w:rsidRPr="00670E27" w:rsidRDefault="00D740DC" w:rsidP="00B11F5F">
            <w:pPr>
              <w:spacing w:after="0" w:line="240" w:lineRule="auto"/>
              <w:jc w:val="center"/>
              <w:rPr>
                <w:rFonts w:eastAsia="Times New Roman" w:cs="Times New Roman"/>
                <w:b w:val="0"/>
                <w:sz w:val="18"/>
                <w:szCs w:val="18"/>
                <w:lang w:eastAsia="en-MY"/>
              </w:rPr>
            </w:pPr>
            <w:proofErr w:type="spellStart"/>
            <w:r w:rsidRPr="00670E27">
              <w:rPr>
                <w:rFonts w:eastAsia="Times New Roman" w:cs="Times New Roman"/>
                <w:b w:val="0"/>
                <w:sz w:val="18"/>
                <w:szCs w:val="18"/>
                <w:lang w:eastAsia="en-MY"/>
              </w:rPr>
              <w:t>CaO</w:t>
            </w:r>
            <w:proofErr w:type="spellEnd"/>
          </w:p>
        </w:tc>
        <w:tc>
          <w:tcPr>
            <w:tcW w:w="960" w:type="dxa"/>
            <w:tcBorders>
              <w:top w:val="single" w:sz="4" w:space="0" w:color="auto"/>
              <w:left w:val="nil"/>
              <w:bottom w:val="single" w:sz="4" w:space="0" w:color="auto"/>
              <w:right w:val="nil"/>
            </w:tcBorders>
            <w:shd w:val="clear" w:color="auto" w:fill="auto"/>
            <w:noWrap/>
            <w:vAlign w:val="center"/>
            <w:hideMark/>
          </w:tcPr>
          <w:p w14:paraId="5FDC62BE"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MgO</w:t>
            </w:r>
          </w:p>
        </w:tc>
        <w:tc>
          <w:tcPr>
            <w:tcW w:w="960" w:type="dxa"/>
            <w:tcBorders>
              <w:top w:val="single" w:sz="4" w:space="0" w:color="auto"/>
              <w:left w:val="nil"/>
              <w:bottom w:val="single" w:sz="4" w:space="0" w:color="auto"/>
              <w:right w:val="nil"/>
            </w:tcBorders>
            <w:shd w:val="clear" w:color="auto" w:fill="auto"/>
            <w:noWrap/>
            <w:vAlign w:val="center"/>
            <w:hideMark/>
          </w:tcPr>
          <w:p w14:paraId="24C50883" w14:textId="77777777" w:rsidR="00D740DC" w:rsidRPr="00670E27" w:rsidRDefault="00D740DC" w:rsidP="00B11F5F">
            <w:pPr>
              <w:spacing w:after="0" w:line="240" w:lineRule="auto"/>
              <w:jc w:val="center"/>
              <w:rPr>
                <w:rFonts w:eastAsia="Times New Roman" w:cs="Times New Roman"/>
                <w:b w:val="0"/>
                <w:sz w:val="18"/>
                <w:szCs w:val="18"/>
                <w:lang w:eastAsia="en-MY"/>
              </w:rPr>
            </w:pPr>
            <w:proofErr w:type="spellStart"/>
            <w:r w:rsidRPr="00670E27">
              <w:rPr>
                <w:rFonts w:eastAsia="Times New Roman" w:cs="Times New Roman"/>
                <w:b w:val="0"/>
                <w:sz w:val="18"/>
                <w:szCs w:val="18"/>
                <w:lang w:eastAsia="en-MY"/>
              </w:rPr>
              <w:t>BaO</w:t>
            </w:r>
            <w:proofErr w:type="spellEnd"/>
          </w:p>
        </w:tc>
        <w:tc>
          <w:tcPr>
            <w:tcW w:w="760" w:type="dxa"/>
            <w:tcBorders>
              <w:top w:val="single" w:sz="4" w:space="0" w:color="auto"/>
              <w:left w:val="nil"/>
              <w:bottom w:val="single" w:sz="4" w:space="0" w:color="auto"/>
              <w:right w:val="nil"/>
            </w:tcBorders>
            <w:shd w:val="clear" w:color="auto" w:fill="auto"/>
            <w:noWrap/>
            <w:vAlign w:val="center"/>
            <w:hideMark/>
          </w:tcPr>
          <w:p w14:paraId="35E45C3D"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SO</w:t>
            </w:r>
            <w:r w:rsidRPr="00670E27">
              <w:rPr>
                <w:rFonts w:eastAsia="Times New Roman" w:cs="Times New Roman"/>
                <w:b w:val="0"/>
                <w:sz w:val="18"/>
                <w:szCs w:val="18"/>
                <w:vertAlign w:val="subscript"/>
                <w:lang w:eastAsia="en-MY"/>
              </w:rPr>
              <w:t>3</w:t>
            </w:r>
          </w:p>
        </w:tc>
        <w:tc>
          <w:tcPr>
            <w:tcW w:w="956" w:type="dxa"/>
            <w:tcBorders>
              <w:top w:val="single" w:sz="4" w:space="0" w:color="auto"/>
              <w:left w:val="nil"/>
              <w:bottom w:val="single" w:sz="4" w:space="0" w:color="auto"/>
              <w:right w:val="nil"/>
            </w:tcBorders>
            <w:shd w:val="clear" w:color="auto" w:fill="auto"/>
            <w:noWrap/>
            <w:vAlign w:val="center"/>
            <w:hideMark/>
          </w:tcPr>
          <w:p w14:paraId="14B3510D"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Impurities</w:t>
            </w:r>
          </w:p>
        </w:tc>
      </w:tr>
      <w:tr w:rsidR="00D740DC" w:rsidRPr="00670E27" w14:paraId="35072285" w14:textId="77777777" w:rsidTr="00B11F5F">
        <w:trPr>
          <w:trHeight w:val="300"/>
        </w:trPr>
        <w:tc>
          <w:tcPr>
            <w:tcW w:w="754" w:type="dxa"/>
            <w:vMerge w:val="restart"/>
            <w:tcBorders>
              <w:top w:val="nil"/>
              <w:left w:val="nil"/>
              <w:bottom w:val="single" w:sz="4" w:space="0" w:color="000000"/>
              <w:right w:val="nil"/>
            </w:tcBorders>
            <w:shd w:val="clear" w:color="auto" w:fill="auto"/>
            <w:noWrap/>
            <w:textDirection w:val="btLr"/>
            <w:vAlign w:val="center"/>
            <w:hideMark/>
          </w:tcPr>
          <w:p w14:paraId="305D0949" w14:textId="77777777" w:rsidR="00D740DC" w:rsidRPr="00670E27" w:rsidRDefault="00D740DC" w:rsidP="00B11F5F">
            <w:pPr>
              <w:spacing w:after="0" w:line="240" w:lineRule="auto"/>
              <w:jc w:val="center"/>
              <w:rPr>
                <w:rFonts w:eastAsia="Times New Roman" w:cs="Times New Roman"/>
                <w:bCs/>
                <w:color w:val="000000"/>
                <w:szCs w:val="24"/>
                <w:lang w:eastAsia="en-MY"/>
              </w:rPr>
            </w:pPr>
            <w:r w:rsidRPr="00670E27">
              <w:rPr>
                <w:rFonts w:eastAsia="Times New Roman" w:cs="Times New Roman"/>
                <w:bCs/>
                <w:color w:val="000000"/>
                <w:szCs w:val="24"/>
                <w:lang w:eastAsia="en-MY"/>
              </w:rPr>
              <w:t>N</w:t>
            </w:r>
            <w:r w:rsidRPr="00670E27">
              <w:rPr>
                <w:rFonts w:eastAsia="Times New Roman" w:cs="Times New Roman"/>
                <w:bCs/>
                <w:color w:val="000000"/>
                <w:szCs w:val="24"/>
                <w:vertAlign w:val="subscript"/>
                <w:lang w:eastAsia="en-MY"/>
              </w:rPr>
              <w:t>10</w:t>
            </w:r>
            <w:r w:rsidRPr="00670E27">
              <w:rPr>
                <w:rFonts w:eastAsia="Times New Roman" w:cs="Times New Roman"/>
                <w:bCs/>
                <w:color w:val="000000"/>
                <w:szCs w:val="24"/>
                <w:lang w:eastAsia="en-MY"/>
              </w:rPr>
              <w:t>C</w:t>
            </w:r>
            <w:r w:rsidRPr="00670E27">
              <w:rPr>
                <w:rFonts w:eastAsia="Times New Roman" w:cs="Times New Roman"/>
                <w:bCs/>
                <w:color w:val="000000"/>
                <w:szCs w:val="24"/>
                <w:vertAlign w:val="subscript"/>
                <w:lang w:eastAsia="en-MY"/>
              </w:rPr>
              <w:t>x</w:t>
            </w:r>
            <w:r w:rsidRPr="00670E27">
              <w:rPr>
                <w:rFonts w:eastAsia="Times New Roman" w:cs="Times New Roman"/>
                <w:bCs/>
                <w:color w:val="000000"/>
                <w:szCs w:val="24"/>
                <w:lang w:eastAsia="en-MY"/>
              </w:rPr>
              <w:t>A</w:t>
            </w:r>
            <w:r w:rsidRPr="00670E27">
              <w:rPr>
                <w:rFonts w:eastAsia="Times New Roman" w:cs="Times New Roman"/>
                <w:bCs/>
                <w:color w:val="000000"/>
                <w:szCs w:val="24"/>
                <w:vertAlign w:val="subscript"/>
                <w:lang w:eastAsia="en-MY"/>
              </w:rPr>
              <w:t>2</w:t>
            </w:r>
            <w:r w:rsidRPr="00670E27">
              <w:rPr>
                <w:rFonts w:eastAsia="Times New Roman" w:cs="Times New Roman"/>
                <w:bCs/>
                <w:color w:val="000000"/>
                <w:szCs w:val="24"/>
                <w:lang w:eastAsia="en-MY"/>
              </w:rPr>
              <w:t>B</w:t>
            </w:r>
            <w:r w:rsidRPr="00670E27">
              <w:rPr>
                <w:rFonts w:eastAsia="Times New Roman" w:cs="Times New Roman"/>
                <w:bCs/>
                <w:color w:val="000000"/>
                <w:szCs w:val="24"/>
                <w:vertAlign w:val="subscript"/>
                <w:lang w:eastAsia="en-MY"/>
              </w:rPr>
              <w:t>10</w:t>
            </w:r>
            <w:r w:rsidRPr="00670E27">
              <w:rPr>
                <w:rFonts w:eastAsia="Times New Roman" w:cs="Times New Roman"/>
                <w:bCs/>
                <w:color w:val="000000"/>
                <w:szCs w:val="24"/>
                <w:lang w:eastAsia="en-MY"/>
              </w:rPr>
              <w:t>S</w:t>
            </w:r>
            <w:r w:rsidRPr="00670E27">
              <w:rPr>
                <w:rFonts w:eastAsia="Times New Roman" w:cs="Times New Roman"/>
                <w:bCs/>
                <w:color w:val="000000"/>
                <w:szCs w:val="24"/>
                <w:vertAlign w:val="subscript"/>
                <w:lang w:eastAsia="en-MY"/>
              </w:rPr>
              <w:t>78-x</w:t>
            </w:r>
            <w:r w:rsidRPr="00670E27">
              <w:rPr>
                <w:rFonts w:eastAsia="Times New Roman" w:cs="Times New Roman"/>
                <w:bCs/>
                <w:color w:val="000000"/>
                <w:szCs w:val="24"/>
                <w:lang w:eastAsia="en-MY"/>
              </w:rPr>
              <w:t xml:space="preserve"> </w:t>
            </w:r>
          </w:p>
        </w:tc>
        <w:tc>
          <w:tcPr>
            <w:tcW w:w="2160" w:type="dxa"/>
            <w:vMerge w:val="restart"/>
            <w:tcBorders>
              <w:top w:val="single" w:sz="4" w:space="0" w:color="auto"/>
              <w:left w:val="nil"/>
              <w:bottom w:val="single" w:sz="4" w:space="0" w:color="000000"/>
              <w:right w:val="nil"/>
            </w:tcBorders>
            <w:shd w:val="clear" w:color="auto" w:fill="auto"/>
            <w:noWrap/>
            <w:vAlign w:val="center"/>
            <w:hideMark/>
          </w:tcPr>
          <w:p w14:paraId="7C39FA13"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N</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B</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S</w:t>
            </w:r>
            <w:r w:rsidRPr="00670E27">
              <w:rPr>
                <w:rFonts w:eastAsia="Times New Roman" w:cs="Times New Roman"/>
                <w:b w:val="0"/>
                <w:color w:val="000000"/>
                <w:sz w:val="18"/>
                <w:szCs w:val="18"/>
                <w:vertAlign w:val="subscript"/>
                <w:lang w:eastAsia="en-MY"/>
              </w:rPr>
              <w:t>75.5</w:t>
            </w:r>
            <w:r w:rsidRPr="00670E27">
              <w:rPr>
                <w:rFonts w:eastAsia="Times New Roman" w:cs="Times New Roman"/>
                <w:b w:val="0"/>
                <w:color w:val="000000"/>
                <w:sz w:val="18"/>
                <w:szCs w:val="18"/>
                <w:lang w:eastAsia="en-MY"/>
              </w:rPr>
              <w:t>A</w:t>
            </w:r>
            <w:r w:rsidRPr="00670E27">
              <w:rPr>
                <w:rFonts w:eastAsia="Times New Roman" w:cs="Times New Roman"/>
                <w:b w:val="0"/>
                <w:color w:val="000000"/>
                <w:sz w:val="18"/>
                <w:szCs w:val="18"/>
                <w:vertAlign w:val="subscript"/>
                <w:lang w:eastAsia="en-MY"/>
              </w:rPr>
              <w:t>2</w:t>
            </w:r>
            <w:r w:rsidRPr="00670E27">
              <w:rPr>
                <w:rFonts w:eastAsia="Times New Roman" w:cs="Times New Roman"/>
                <w:b w:val="0"/>
                <w:color w:val="000000"/>
                <w:sz w:val="18"/>
                <w:szCs w:val="18"/>
                <w:lang w:eastAsia="en-MY"/>
              </w:rPr>
              <w:t>C</w:t>
            </w:r>
            <w:r w:rsidRPr="00670E27">
              <w:rPr>
                <w:rFonts w:eastAsia="Times New Roman" w:cs="Times New Roman"/>
                <w:b w:val="0"/>
                <w:color w:val="000000"/>
                <w:sz w:val="18"/>
                <w:szCs w:val="18"/>
                <w:vertAlign w:val="subscript"/>
                <w:lang w:eastAsia="en-MY"/>
              </w:rPr>
              <w:t>2.5</w:t>
            </w:r>
          </w:p>
        </w:tc>
        <w:tc>
          <w:tcPr>
            <w:tcW w:w="3420" w:type="dxa"/>
            <w:tcBorders>
              <w:top w:val="nil"/>
              <w:left w:val="nil"/>
              <w:bottom w:val="nil"/>
              <w:right w:val="nil"/>
            </w:tcBorders>
            <w:shd w:val="clear" w:color="auto" w:fill="auto"/>
            <w:noWrap/>
            <w:vAlign w:val="center"/>
            <w:hideMark/>
          </w:tcPr>
          <w:p w14:paraId="573BB2D2"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28480F50"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73.21</w:t>
            </w:r>
          </w:p>
        </w:tc>
        <w:tc>
          <w:tcPr>
            <w:tcW w:w="960" w:type="dxa"/>
            <w:tcBorders>
              <w:top w:val="nil"/>
              <w:left w:val="nil"/>
              <w:bottom w:val="nil"/>
              <w:right w:val="nil"/>
            </w:tcBorders>
            <w:shd w:val="clear" w:color="auto" w:fill="auto"/>
            <w:noWrap/>
            <w:vAlign w:val="center"/>
            <w:hideMark/>
          </w:tcPr>
          <w:p w14:paraId="6F802E8D"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3.29</w:t>
            </w:r>
          </w:p>
        </w:tc>
        <w:tc>
          <w:tcPr>
            <w:tcW w:w="960" w:type="dxa"/>
            <w:tcBorders>
              <w:top w:val="nil"/>
              <w:left w:val="nil"/>
              <w:bottom w:val="nil"/>
              <w:right w:val="nil"/>
            </w:tcBorders>
            <w:shd w:val="clear" w:color="auto" w:fill="auto"/>
            <w:noWrap/>
            <w:vAlign w:val="center"/>
            <w:hideMark/>
          </w:tcPr>
          <w:p w14:paraId="2386C3CC"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11.24</w:t>
            </w:r>
          </w:p>
        </w:tc>
        <w:tc>
          <w:tcPr>
            <w:tcW w:w="960" w:type="dxa"/>
            <w:tcBorders>
              <w:top w:val="nil"/>
              <w:left w:val="nil"/>
              <w:bottom w:val="nil"/>
              <w:right w:val="nil"/>
            </w:tcBorders>
            <w:shd w:val="clear" w:color="auto" w:fill="auto"/>
            <w:noWrap/>
            <w:vAlign w:val="center"/>
            <w:hideMark/>
          </w:tcPr>
          <w:p w14:paraId="0412243B"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10.00</w:t>
            </w:r>
          </w:p>
        </w:tc>
        <w:tc>
          <w:tcPr>
            <w:tcW w:w="960" w:type="dxa"/>
            <w:tcBorders>
              <w:top w:val="nil"/>
              <w:left w:val="nil"/>
              <w:bottom w:val="nil"/>
              <w:right w:val="nil"/>
            </w:tcBorders>
            <w:shd w:val="clear" w:color="auto" w:fill="auto"/>
            <w:noWrap/>
            <w:vAlign w:val="center"/>
            <w:hideMark/>
          </w:tcPr>
          <w:p w14:paraId="4704AAF9"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2.26</w:t>
            </w:r>
          </w:p>
        </w:tc>
        <w:tc>
          <w:tcPr>
            <w:tcW w:w="960" w:type="dxa"/>
            <w:tcBorders>
              <w:top w:val="nil"/>
              <w:left w:val="nil"/>
              <w:bottom w:val="nil"/>
              <w:right w:val="nil"/>
            </w:tcBorders>
            <w:shd w:val="clear" w:color="auto" w:fill="auto"/>
            <w:noWrap/>
            <w:vAlign w:val="center"/>
            <w:hideMark/>
          </w:tcPr>
          <w:p w14:paraId="191FED7F"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78E6EF35"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4E73CECC"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56" w:type="dxa"/>
            <w:tcBorders>
              <w:top w:val="nil"/>
              <w:left w:val="nil"/>
              <w:bottom w:val="nil"/>
              <w:right w:val="nil"/>
            </w:tcBorders>
            <w:shd w:val="clear" w:color="auto" w:fill="auto"/>
            <w:noWrap/>
            <w:vAlign w:val="center"/>
            <w:hideMark/>
          </w:tcPr>
          <w:p w14:paraId="4BD13C67"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44F6EDF2" w14:textId="77777777" w:rsidTr="00B11F5F">
        <w:trPr>
          <w:trHeight w:val="300"/>
        </w:trPr>
        <w:tc>
          <w:tcPr>
            <w:tcW w:w="754" w:type="dxa"/>
            <w:vMerge/>
            <w:tcBorders>
              <w:top w:val="nil"/>
              <w:left w:val="nil"/>
              <w:bottom w:val="single" w:sz="4" w:space="0" w:color="000000"/>
              <w:right w:val="nil"/>
            </w:tcBorders>
            <w:vAlign w:val="center"/>
            <w:hideMark/>
          </w:tcPr>
          <w:p w14:paraId="6DC41FC1"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single" w:sz="4" w:space="0" w:color="auto"/>
              <w:left w:val="nil"/>
              <w:bottom w:val="single" w:sz="4" w:space="0" w:color="000000"/>
              <w:right w:val="nil"/>
            </w:tcBorders>
            <w:vAlign w:val="center"/>
            <w:hideMark/>
          </w:tcPr>
          <w:p w14:paraId="18032E58"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4D15A9EE"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5324DFA2"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66.66</w:t>
            </w:r>
          </w:p>
        </w:tc>
        <w:tc>
          <w:tcPr>
            <w:tcW w:w="960" w:type="dxa"/>
            <w:tcBorders>
              <w:top w:val="nil"/>
              <w:left w:val="nil"/>
              <w:bottom w:val="nil"/>
              <w:right w:val="nil"/>
            </w:tcBorders>
            <w:shd w:val="clear" w:color="auto" w:fill="auto"/>
            <w:noWrap/>
            <w:vAlign w:val="center"/>
            <w:hideMark/>
          </w:tcPr>
          <w:p w14:paraId="48A43154"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6.09</w:t>
            </w:r>
          </w:p>
        </w:tc>
        <w:tc>
          <w:tcPr>
            <w:tcW w:w="960" w:type="dxa"/>
            <w:tcBorders>
              <w:top w:val="nil"/>
              <w:left w:val="nil"/>
              <w:bottom w:val="nil"/>
              <w:right w:val="nil"/>
            </w:tcBorders>
            <w:shd w:val="clear" w:color="auto" w:fill="auto"/>
            <w:vAlign w:val="center"/>
            <w:hideMark/>
          </w:tcPr>
          <w:p w14:paraId="5E05376F"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16.04</w:t>
            </w:r>
          </w:p>
        </w:tc>
        <w:tc>
          <w:tcPr>
            <w:tcW w:w="960" w:type="dxa"/>
            <w:tcBorders>
              <w:top w:val="nil"/>
              <w:left w:val="nil"/>
              <w:bottom w:val="nil"/>
              <w:right w:val="nil"/>
            </w:tcBorders>
            <w:shd w:val="clear" w:color="auto" w:fill="auto"/>
            <w:noWrap/>
            <w:vAlign w:val="center"/>
            <w:hideMark/>
          </w:tcPr>
          <w:p w14:paraId="092C87F3"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8.17</w:t>
            </w:r>
          </w:p>
        </w:tc>
        <w:tc>
          <w:tcPr>
            <w:tcW w:w="960" w:type="dxa"/>
            <w:tcBorders>
              <w:top w:val="nil"/>
              <w:left w:val="nil"/>
              <w:bottom w:val="nil"/>
              <w:right w:val="nil"/>
            </w:tcBorders>
            <w:shd w:val="clear" w:color="auto" w:fill="auto"/>
            <w:noWrap/>
            <w:vAlign w:val="center"/>
            <w:hideMark/>
          </w:tcPr>
          <w:p w14:paraId="0C683AF7"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2.13</w:t>
            </w:r>
          </w:p>
        </w:tc>
        <w:tc>
          <w:tcPr>
            <w:tcW w:w="960" w:type="dxa"/>
            <w:tcBorders>
              <w:top w:val="nil"/>
              <w:left w:val="nil"/>
              <w:bottom w:val="nil"/>
              <w:right w:val="nil"/>
            </w:tcBorders>
            <w:shd w:val="clear" w:color="auto" w:fill="auto"/>
            <w:noWrap/>
            <w:vAlign w:val="center"/>
            <w:hideMark/>
          </w:tcPr>
          <w:p w14:paraId="15AAC65D"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53888CD7"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388FF0A5"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0.08</w:t>
            </w:r>
          </w:p>
        </w:tc>
        <w:tc>
          <w:tcPr>
            <w:tcW w:w="956" w:type="dxa"/>
            <w:tcBorders>
              <w:top w:val="nil"/>
              <w:left w:val="nil"/>
              <w:bottom w:val="nil"/>
              <w:right w:val="nil"/>
            </w:tcBorders>
            <w:shd w:val="clear" w:color="auto" w:fill="auto"/>
            <w:noWrap/>
            <w:vAlign w:val="center"/>
            <w:hideMark/>
          </w:tcPr>
          <w:p w14:paraId="050FA9EF"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0.83</w:t>
            </w:r>
          </w:p>
        </w:tc>
      </w:tr>
      <w:tr w:rsidR="00D740DC" w:rsidRPr="00670E27" w14:paraId="095A705B" w14:textId="77777777" w:rsidTr="00B11F5F">
        <w:trPr>
          <w:trHeight w:val="300"/>
        </w:trPr>
        <w:tc>
          <w:tcPr>
            <w:tcW w:w="754" w:type="dxa"/>
            <w:vMerge/>
            <w:tcBorders>
              <w:top w:val="nil"/>
              <w:left w:val="nil"/>
              <w:bottom w:val="single" w:sz="4" w:space="0" w:color="000000"/>
              <w:right w:val="nil"/>
            </w:tcBorders>
            <w:vAlign w:val="center"/>
            <w:hideMark/>
          </w:tcPr>
          <w:p w14:paraId="501338A0"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single" w:sz="4" w:space="0" w:color="auto"/>
              <w:left w:val="nil"/>
              <w:bottom w:val="single" w:sz="4" w:space="0" w:color="000000"/>
              <w:right w:val="nil"/>
            </w:tcBorders>
            <w:vAlign w:val="center"/>
            <w:hideMark/>
          </w:tcPr>
          <w:p w14:paraId="0C70388E"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48365EAD"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68DAEA7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66.66</w:t>
            </w:r>
          </w:p>
        </w:tc>
        <w:tc>
          <w:tcPr>
            <w:tcW w:w="960" w:type="dxa"/>
            <w:tcBorders>
              <w:top w:val="nil"/>
              <w:left w:val="nil"/>
              <w:bottom w:val="nil"/>
              <w:right w:val="nil"/>
            </w:tcBorders>
            <w:shd w:val="clear" w:color="auto" w:fill="auto"/>
            <w:noWrap/>
            <w:vAlign w:val="center"/>
            <w:hideMark/>
          </w:tcPr>
          <w:p w14:paraId="3160B17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6.09</w:t>
            </w:r>
          </w:p>
        </w:tc>
        <w:tc>
          <w:tcPr>
            <w:tcW w:w="960" w:type="dxa"/>
            <w:tcBorders>
              <w:top w:val="nil"/>
              <w:left w:val="nil"/>
              <w:bottom w:val="nil"/>
              <w:right w:val="nil"/>
            </w:tcBorders>
            <w:shd w:val="clear" w:color="auto" w:fill="auto"/>
            <w:noWrap/>
            <w:vAlign w:val="center"/>
            <w:hideMark/>
          </w:tcPr>
          <w:p w14:paraId="6585EA5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8.02</w:t>
            </w:r>
          </w:p>
        </w:tc>
        <w:tc>
          <w:tcPr>
            <w:tcW w:w="960" w:type="dxa"/>
            <w:tcBorders>
              <w:top w:val="nil"/>
              <w:left w:val="nil"/>
              <w:bottom w:val="nil"/>
              <w:right w:val="nil"/>
            </w:tcBorders>
            <w:shd w:val="clear" w:color="auto" w:fill="auto"/>
            <w:noWrap/>
            <w:vAlign w:val="center"/>
            <w:hideMark/>
          </w:tcPr>
          <w:p w14:paraId="5D7BF4F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8.17</w:t>
            </w:r>
          </w:p>
        </w:tc>
        <w:tc>
          <w:tcPr>
            <w:tcW w:w="960" w:type="dxa"/>
            <w:tcBorders>
              <w:top w:val="nil"/>
              <w:left w:val="nil"/>
              <w:bottom w:val="nil"/>
              <w:right w:val="nil"/>
            </w:tcBorders>
            <w:shd w:val="clear" w:color="auto" w:fill="auto"/>
            <w:noWrap/>
            <w:vAlign w:val="center"/>
            <w:hideMark/>
          </w:tcPr>
          <w:p w14:paraId="77711D5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2.13</w:t>
            </w:r>
          </w:p>
        </w:tc>
        <w:tc>
          <w:tcPr>
            <w:tcW w:w="960" w:type="dxa"/>
            <w:tcBorders>
              <w:top w:val="nil"/>
              <w:left w:val="nil"/>
              <w:bottom w:val="nil"/>
              <w:right w:val="nil"/>
            </w:tcBorders>
            <w:shd w:val="clear" w:color="auto" w:fill="auto"/>
            <w:noWrap/>
            <w:vAlign w:val="center"/>
            <w:hideMark/>
          </w:tcPr>
          <w:p w14:paraId="497E7CC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1484A0C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3F19A42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0.08</w:t>
            </w:r>
          </w:p>
        </w:tc>
        <w:tc>
          <w:tcPr>
            <w:tcW w:w="956" w:type="dxa"/>
            <w:tcBorders>
              <w:top w:val="nil"/>
              <w:left w:val="nil"/>
              <w:bottom w:val="nil"/>
              <w:right w:val="nil"/>
            </w:tcBorders>
            <w:shd w:val="clear" w:color="auto" w:fill="auto"/>
            <w:noWrap/>
            <w:vAlign w:val="center"/>
            <w:hideMark/>
          </w:tcPr>
          <w:p w14:paraId="55BB312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0.83</w:t>
            </w:r>
          </w:p>
        </w:tc>
      </w:tr>
      <w:tr w:rsidR="00D740DC" w:rsidRPr="00670E27" w14:paraId="0DD9D77D" w14:textId="77777777" w:rsidTr="00B11F5F">
        <w:trPr>
          <w:trHeight w:val="300"/>
        </w:trPr>
        <w:tc>
          <w:tcPr>
            <w:tcW w:w="754" w:type="dxa"/>
            <w:vMerge/>
            <w:tcBorders>
              <w:top w:val="nil"/>
              <w:left w:val="nil"/>
              <w:bottom w:val="single" w:sz="4" w:space="0" w:color="000000"/>
              <w:right w:val="nil"/>
            </w:tcBorders>
            <w:vAlign w:val="center"/>
            <w:hideMark/>
          </w:tcPr>
          <w:p w14:paraId="6D9500D6"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single" w:sz="4" w:space="0" w:color="auto"/>
              <w:left w:val="nil"/>
              <w:bottom w:val="single" w:sz="4" w:space="0" w:color="000000"/>
              <w:right w:val="nil"/>
            </w:tcBorders>
            <w:vAlign w:val="center"/>
            <w:hideMark/>
          </w:tcPr>
          <w:p w14:paraId="084E1146"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35F963E7"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3B7A549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72.48</w:t>
            </w:r>
          </w:p>
        </w:tc>
        <w:tc>
          <w:tcPr>
            <w:tcW w:w="960" w:type="dxa"/>
            <w:tcBorders>
              <w:top w:val="nil"/>
              <w:left w:val="nil"/>
              <w:bottom w:val="single" w:sz="4" w:space="0" w:color="auto"/>
              <w:right w:val="nil"/>
            </w:tcBorders>
            <w:shd w:val="clear" w:color="auto" w:fill="auto"/>
            <w:noWrap/>
            <w:vAlign w:val="center"/>
            <w:hideMark/>
          </w:tcPr>
          <w:p w14:paraId="5F0CA74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6.62</w:t>
            </w:r>
          </w:p>
        </w:tc>
        <w:tc>
          <w:tcPr>
            <w:tcW w:w="960" w:type="dxa"/>
            <w:tcBorders>
              <w:top w:val="nil"/>
              <w:left w:val="nil"/>
              <w:bottom w:val="single" w:sz="4" w:space="0" w:color="auto"/>
              <w:right w:val="nil"/>
            </w:tcBorders>
            <w:shd w:val="clear" w:color="auto" w:fill="auto"/>
            <w:noWrap/>
            <w:vAlign w:val="center"/>
            <w:hideMark/>
          </w:tcPr>
          <w:p w14:paraId="037A615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8.72</w:t>
            </w:r>
          </w:p>
        </w:tc>
        <w:tc>
          <w:tcPr>
            <w:tcW w:w="960" w:type="dxa"/>
            <w:tcBorders>
              <w:top w:val="nil"/>
              <w:left w:val="nil"/>
              <w:bottom w:val="single" w:sz="4" w:space="0" w:color="auto"/>
              <w:right w:val="nil"/>
            </w:tcBorders>
            <w:shd w:val="clear" w:color="auto" w:fill="auto"/>
            <w:noWrap/>
            <w:vAlign w:val="center"/>
            <w:hideMark/>
          </w:tcPr>
          <w:p w14:paraId="08F59EA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8.89</w:t>
            </w:r>
          </w:p>
        </w:tc>
        <w:tc>
          <w:tcPr>
            <w:tcW w:w="960" w:type="dxa"/>
            <w:tcBorders>
              <w:top w:val="nil"/>
              <w:left w:val="nil"/>
              <w:bottom w:val="single" w:sz="4" w:space="0" w:color="auto"/>
              <w:right w:val="nil"/>
            </w:tcBorders>
            <w:shd w:val="clear" w:color="auto" w:fill="auto"/>
            <w:noWrap/>
            <w:vAlign w:val="center"/>
            <w:hideMark/>
          </w:tcPr>
          <w:p w14:paraId="51D32D4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2.31</w:t>
            </w:r>
          </w:p>
        </w:tc>
        <w:tc>
          <w:tcPr>
            <w:tcW w:w="960" w:type="dxa"/>
            <w:tcBorders>
              <w:top w:val="nil"/>
              <w:left w:val="nil"/>
              <w:bottom w:val="single" w:sz="4" w:space="0" w:color="auto"/>
              <w:right w:val="nil"/>
            </w:tcBorders>
            <w:shd w:val="clear" w:color="auto" w:fill="auto"/>
            <w:noWrap/>
            <w:vAlign w:val="center"/>
            <w:hideMark/>
          </w:tcPr>
          <w:p w14:paraId="2D7DC04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4C45834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single" w:sz="4" w:space="0" w:color="auto"/>
              <w:right w:val="nil"/>
            </w:tcBorders>
            <w:shd w:val="clear" w:color="auto" w:fill="auto"/>
            <w:noWrap/>
            <w:vAlign w:val="center"/>
            <w:hideMark/>
          </w:tcPr>
          <w:p w14:paraId="21CA632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0.08</w:t>
            </w:r>
          </w:p>
        </w:tc>
        <w:tc>
          <w:tcPr>
            <w:tcW w:w="956" w:type="dxa"/>
            <w:tcBorders>
              <w:top w:val="nil"/>
              <w:left w:val="nil"/>
              <w:bottom w:val="single" w:sz="4" w:space="0" w:color="auto"/>
              <w:right w:val="nil"/>
            </w:tcBorders>
            <w:shd w:val="clear" w:color="auto" w:fill="auto"/>
            <w:noWrap/>
            <w:vAlign w:val="center"/>
            <w:hideMark/>
          </w:tcPr>
          <w:p w14:paraId="6C4AD4F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0.9</w:t>
            </w:r>
          </w:p>
        </w:tc>
      </w:tr>
      <w:tr w:rsidR="00D740DC" w:rsidRPr="00670E27" w14:paraId="7966EC98" w14:textId="77777777" w:rsidTr="00B11F5F">
        <w:trPr>
          <w:trHeight w:val="300"/>
        </w:trPr>
        <w:tc>
          <w:tcPr>
            <w:tcW w:w="754" w:type="dxa"/>
            <w:vMerge/>
            <w:tcBorders>
              <w:top w:val="nil"/>
              <w:left w:val="nil"/>
              <w:bottom w:val="single" w:sz="4" w:space="0" w:color="000000"/>
              <w:right w:val="nil"/>
            </w:tcBorders>
            <w:vAlign w:val="center"/>
            <w:hideMark/>
          </w:tcPr>
          <w:p w14:paraId="792C8756"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3C50DF89"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N</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B</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S</w:t>
            </w:r>
            <w:r w:rsidRPr="00670E27">
              <w:rPr>
                <w:rFonts w:eastAsia="Times New Roman" w:cs="Times New Roman"/>
                <w:b w:val="0"/>
                <w:color w:val="000000"/>
                <w:sz w:val="18"/>
                <w:szCs w:val="18"/>
                <w:vertAlign w:val="subscript"/>
                <w:lang w:eastAsia="en-MY"/>
              </w:rPr>
              <w:t>73</w:t>
            </w:r>
            <w:r w:rsidRPr="00670E27">
              <w:rPr>
                <w:rFonts w:eastAsia="Times New Roman" w:cs="Times New Roman"/>
                <w:b w:val="0"/>
                <w:color w:val="000000"/>
                <w:sz w:val="18"/>
                <w:szCs w:val="18"/>
                <w:lang w:eastAsia="en-MY"/>
              </w:rPr>
              <w:t>A</w:t>
            </w:r>
            <w:r w:rsidRPr="00670E27">
              <w:rPr>
                <w:rFonts w:eastAsia="Times New Roman" w:cs="Times New Roman"/>
                <w:b w:val="0"/>
                <w:color w:val="000000"/>
                <w:sz w:val="18"/>
                <w:szCs w:val="18"/>
                <w:vertAlign w:val="subscript"/>
                <w:lang w:eastAsia="en-MY"/>
              </w:rPr>
              <w:t>2</w:t>
            </w:r>
            <w:r w:rsidRPr="00670E27">
              <w:rPr>
                <w:rFonts w:eastAsia="Times New Roman" w:cs="Times New Roman"/>
                <w:b w:val="0"/>
                <w:color w:val="000000"/>
                <w:sz w:val="18"/>
                <w:szCs w:val="18"/>
                <w:lang w:eastAsia="en-MY"/>
              </w:rPr>
              <w:t>C</w:t>
            </w:r>
            <w:r w:rsidRPr="00670E27">
              <w:rPr>
                <w:rFonts w:eastAsia="Times New Roman" w:cs="Times New Roman"/>
                <w:b w:val="0"/>
                <w:color w:val="000000"/>
                <w:sz w:val="18"/>
                <w:szCs w:val="18"/>
                <w:vertAlign w:val="subscript"/>
                <w:lang w:eastAsia="en-MY"/>
              </w:rPr>
              <w:t>5</w:t>
            </w:r>
          </w:p>
        </w:tc>
        <w:tc>
          <w:tcPr>
            <w:tcW w:w="3420" w:type="dxa"/>
            <w:tcBorders>
              <w:top w:val="nil"/>
              <w:left w:val="nil"/>
              <w:bottom w:val="nil"/>
              <w:right w:val="nil"/>
            </w:tcBorders>
            <w:shd w:val="clear" w:color="auto" w:fill="auto"/>
            <w:noWrap/>
            <w:vAlign w:val="center"/>
            <w:hideMark/>
          </w:tcPr>
          <w:p w14:paraId="059C56D3"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59BB9E23"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70.90</w:t>
            </w:r>
          </w:p>
        </w:tc>
        <w:tc>
          <w:tcPr>
            <w:tcW w:w="960" w:type="dxa"/>
            <w:tcBorders>
              <w:top w:val="nil"/>
              <w:left w:val="nil"/>
              <w:bottom w:val="nil"/>
              <w:right w:val="nil"/>
            </w:tcBorders>
            <w:shd w:val="clear" w:color="auto" w:fill="auto"/>
            <w:noWrap/>
            <w:vAlign w:val="center"/>
            <w:hideMark/>
          </w:tcPr>
          <w:p w14:paraId="0DAE9B7B"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3.30</w:t>
            </w:r>
          </w:p>
        </w:tc>
        <w:tc>
          <w:tcPr>
            <w:tcW w:w="960" w:type="dxa"/>
            <w:tcBorders>
              <w:top w:val="nil"/>
              <w:left w:val="nil"/>
              <w:bottom w:val="nil"/>
              <w:right w:val="nil"/>
            </w:tcBorders>
            <w:shd w:val="clear" w:color="auto" w:fill="auto"/>
            <w:noWrap/>
            <w:vAlign w:val="center"/>
            <w:hideMark/>
          </w:tcPr>
          <w:p w14:paraId="7E8F6D56"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11.25</w:t>
            </w:r>
          </w:p>
        </w:tc>
        <w:tc>
          <w:tcPr>
            <w:tcW w:w="960" w:type="dxa"/>
            <w:tcBorders>
              <w:top w:val="nil"/>
              <w:left w:val="nil"/>
              <w:bottom w:val="nil"/>
              <w:right w:val="nil"/>
            </w:tcBorders>
            <w:shd w:val="clear" w:color="auto" w:fill="auto"/>
            <w:noWrap/>
            <w:vAlign w:val="center"/>
            <w:hideMark/>
          </w:tcPr>
          <w:p w14:paraId="5F626A29"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10.00</w:t>
            </w:r>
          </w:p>
        </w:tc>
        <w:tc>
          <w:tcPr>
            <w:tcW w:w="960" w:type="dxa"/>
            <w:tcBorders>
              <w:top w:val="nil"/>
              <w:left w:val="nil"/>
              <w:bottom w:val="nil"/>
              <w:right w:val="nil"/>
            </w:tcBorders>
            <w:shd w:val="clear" w:color="auto" w:fill="auto"/>
            <w:noWrap/>
            <w:vAlign w:val="center"/>
            <w:hideMark/>
          </w:tcPr>
          <w:p w14:paraId="5D8F92B7"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4.53</w:t>
            </w:r>
          </w:p>
        </w:tc>
        <w:tc>
          <w:tcPr>
            <w:tcW w:w="960" w:type="dxa"/>
            <w:tcBorders>
              <w:top w:val="nil"/>
              <w:left w:val="nil"/>
              <w:bottom w:val="nil"/>
              <w:right w:val="nil"/>
            </w:tcBorders>
            <w:shd w:val="clear" w:color="auto" w:fill="auto"/>
            <w:noWrap/>
            <w:vAlign w:val="center"/>
            <w:hideMark/>
          </w:tcPr>
          <w:p w14:paraId="67FC5EEE"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57D2B23E"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490CCFF0"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56" w:type="dxa"/>
            <w:tcBorders>
              <w:top w:val="nil"/>
              <w:left w:val="nil"/>
              <w:bottom w:val="nil"/>
              <w:right w:val="nil"/>
            </w:tcBorders>
            <w:shd w:val="clear" w:color="auto" w:fill="auto"/>
            <w:noWrap/>
            <w:vAlign w:val="center"/>
            <w:hideMark/>
          </w:tcPr>
          <w:p w14:paraId="0B91F4BF"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077C94E4" w14:textId="77777777" w:rsidTr="00B11F5F">
        <w:trPr>
          <w:trHeight w:val="300"/>
        </w:trPr>
        <w:tc>
          <w:tcPr>
            <w:tcW w:w="754" w:type="dxa"/>
            <w:vMerge/>
            <w:tcBorders>
              <w:top w:val="nil"/>
              <w:left w:val="nil"/>
              <w:bottom w:val="single" w:sz="4" w:space="0" w:color="000000"/>
              <w:right w:val="nil"/>
            </w:tcBorders>
            <w:vAlign w:val="center"/>
            <w:hideMark/>
          </w:tcPr>
          <w:p w14:paraId="7C8F7FAC"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2821DE73"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365FAA16"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0F0CCC56"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65.53</w:t>
            </w:r>
          </w:p>
        </w:tc>
        <w:tc>
          <w:tcPr>
            <w:tcW w:w="960" w:type="dxa"/>
            <w:tcBorders>
              <w:top w:val="nil"/>
              <w:left w:val="nil"/>
              <w:bottom w:val="nil"/>
              <w:right w:val="nil"/>
            </w:tcBorders>
            <w:shd w:val="clear" w:color="auto" w:fill="auto"/>
            <w:noWrap/>
            <w:vAlign w:val="center"/>
            <w:hideMark/>
          </w:tcPr>
          <w:p w14:paraId="7907B783"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2.81</w:t>
            </w:r>
          </w:p>
        </w:tc>
        <w:tc>
          <w:tcPr>
            <w:tcW w:w="960" w:type="dxa"/>
            <w:tcBorders>
              <w:top w:val="nil"/>
              <w:left w:val="nil"/>
              <w:bottom w:val="nil"/>
              <w:right w:val="nil"/>
            </w:tcBorders>
            <w:shd w:val="clear" w:color="auto" w:fill="auto"/>
            <w:noWrap/>
            <w:vAlign w:val="center"/>
            <w:hideMark/>
          </w:tcPr>
          <w:p w14:paraId="3818063D"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18.80</w:t>
            </w:r>
          </w:p>
        </w:tc>
        <w:tc>
          <w:tcPr>
            <w:tcW w:w="960" w:type="dxa"/>
            <w:tcBorders>
              <w:top w:val="nil"/>
              <w:left w:val="nil"/>
              <w:bottom w:val="nil"/>
              <w:right w:val="nil"/>
            </w:tcBorders>
            <w:shd w:val="clear" w:color="auto" w:fill="auto"/>
            <w:noWrap/>
            <w:vAlign w:val="center"/>
            <w:hideMark/>
          </w:tcPr>
          <w:p w14:paraId="0CB43080"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7.93</w:t>
            </w:r>
          </w:p>
        </w:tc>
        <w:tc>
          <w:tcPr>
            <w:tcW w:w="960" w:type="dxa"/>
            <w:tcBorders>
              <w:top w:val="nil"/>
              <w:left w:val="nil"/>
              <w:bottom w:val="nil"/>
              <w:right w:val="nil"/>
            </w:tcBorders>
            <w:shd w:val="clear" w:color="auto" w:fill="auto"/>
            <w:noWrap/>
            <w:vAlign w:val="center"/>
            <w:hideMark/>
          </w:tcPr>
          <w:p w14:paraId="77B545E9"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4.19</w:t>
            </w:r>
          </w:p>
        </w:tc>
        <w:tc>
          <w:tcPr>
            <w:tcW w:w="960" w:type="dxa"/>
            <w:tcBorders>
              <w:top w:val="nil"/>
              <w:left w:val="nil"/>
              <w:bottom w:val="nil"/>
              <w:right w:val="nil"/>
            </w:tcBorders>
            <w:shd w:val="clear" w:color="auto" w:fill="auto"/>
            <w:noWrap/>
            <w:vAlign w:val="center"/>
            <w:hideMark/>
          </w:tcPr>
          <w:p w14:paraId="0047EA51"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61F4E3D7"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0AD594B7"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0.07</w:t>
            </w:r>
          </w:p>
        </w:tc>
        <w:tc>
          <w:tcPr>
            <w:tcW w:w="956" w:type="dxa"/>
            <w:tcBorders>
              <w:top w:val="nil"/>
              <w:left w:val="nil"/>
              <w:bottom w:val="nil"/>
              <w:right w:val="nil"/>
            </w:tcBorders>
            <w:shd w:val="clear" w:color="auto" w:fill="auto"/>
            <w:noWrap/>
            <w:vAlign w:val="center"/>
            <w:hideMark/>
          </w:tcPr>
          <w:p w14:paraId="3EB6D7AB"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0.67</w:t>
            </w:r>
          </w:p>
        </w:tc>
      </w:tr>
      <w:tr w:rsidR="00D740DC" w:rsidRPr="00670E27" w14:paraId="651840FE" w14:textId="77777777" w:rsidTr="00B11F5F">
        <w:trPr>
          <w:trHeight w:val="300"/>
        </w:trPr>
        <w:tc>
          <w:tcPr>
            <w:tcW w:w="754" w:type="dxa"/>
            <w:vMerge/>
            <w:tcBorders>
              <w:top w:val="nil"/>
              <w:left w:val="nil"/>
              <w:bottom w:val="single" w:sz="4" w:space="0" w:color="000000"/>
              <w:right w:val="nil"/>
            </w:tcBorders>
            <w:vAlign w:val="center"/>
            <w:hideMark/>
          </w:tcPr>
          <w:p w14:paraId="5168932B"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33E2B622"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1B720434"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00180E2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65.53</w:t>
            </w:r>
          </w:p>
        </w:tc>
        <w:tc>
          <w:tcPr>
            <w:tcW w:w="960" w:type="dxa"/>
            <w:tcBorders>
              <w:top w:val="nil"/>
              <w:left w:val="nil"/>
              <w:bottom w:val="nil"/>
              <w:right w:val="nil"/>
            </w:tcBorders>
            <w:shd w:val="clear" w:color="auto" w:fill="auto"/>
            <w:noWrap/>
            <w:vAlign w:val="center"/>
            <w:hideMark/>
          </w:tcPr>
          <w:p w14:paraId="35E441D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2.81</w:t>
            </w:r>
          </w:p>
        </w:tc>
        <w:tc>
          <w:tcPr>
            <w:tcW w:w="960" w:type="dxa"/>
            <w:tcBorders>
              <w:top w:val="nil"/>
              <w:left w:val="nil"/>
              <w:bottom w:val="nil"/>
              <w:right w:val="nil"/>
            </w:tcBorders>
            <w:shd w:val="clear" w:color="auto" w:fill="auto"/>
            <w:noWrap/>
            <w:vAlign w:val="center"/>
            <w:hideMark/>
          </w:tcPr>
          <w:p w14:paraId="10BEB41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9.40</w:t>
            </w:r>
          </w:p>
        </w:tc>
        <w:tc>
          <w:tcPr>
            <w:tcW w:w="960" w:type="dxa"/>
            <w:tcBorders>
              <w:top w:val="nil"/>
              <w:left w:val="nil"/>
              <w:bottom w:val="nil"/>
              <w:right w:val="nil"/>
            </w:tcBorders>
            <w:shd w:val="clear" w:color="auto" w:fill="auto"/>
            <w:noWrap/>
            <w:vAlign w:val="center"/>
            <w:hideMark/>
          </w:tcPr>
          <w:p w14:paraId="7F10B04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7.93</w:t>
            </w:r>
          </w:p>
        </w:tc>
        <w:tc>
          <w:tcPr>
            <w:tcW w:w="960" w:type="dxa"/>
            <w:tcBorders>
              <w:top w:val="nil"/>
              <w:left w:val="nil"/>
              <w:bottom w:val="nil"/>
              <w:right w:val="nil"/>
            </w:tcBorders>
            <w:shd w:val="clear" w:color="auto" w:fill="auto"/>
            <w:noWrap/>
            <w:vAlign w:val="center"/>
            <w:hideMark/>
          </w:tcPr>
          <w:p w14:paraId="3E4845C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4.19</w:t>
            </w:r>
          </w:p>
        </w:tc>
        <w:tc>
          <w:tcPr>
            <w:tcW w:w="960" w:type="dxa"/>
            <w:tcBorders>
              <w:top w:val="nil"/>
              <w:left w:val="nil"/>
              <w:bottom w:val="nil"/>
              <w:right w:val="nil"/>
            </w:tcBorders>
            <w:shd w:val="clear" w:color="auto" w:fill="auto"/>
            <w:noWrap/>
            <w:vAlign w:val="center"/>
            <w:hideMark/>
          </w:tcPr>
          <w:p w14:paraId="75AA9C6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2D3F91A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7AC2C8E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0.07</w:t>
            </w:r>
          </w:p>
        </w:tc>
        <w:tc>
          <w:tcPr>
            <w:tcW w:w="956" w:type="dxa"/>
            <w:tcBorders>
              <w:top w:val="nil"/>
              <w:left w:val="nil"/>
              <w:bottom w:val="nil"/>
              <w:right w:val="nil"/>
            </w:tcBorders>
            <w:shd w:val="clear" w:color="auto" w:fill="auto"/>
            <w:noWrap/>
            <w:vAlign w:val="center"/>
            <w:hideMark/>
          </w:tcPr>
          <w:p w14:paraId="1DA1D94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0.67</w:t>
            </w:r>
          </w:p>
        </w:tc>
      </w:tr>
      <w:tr w:rsidR="00D740DC" w:rsidRPr="00670E27" w14:paraId="1CFF16DC" w14:textId="77777777" w:rsidTr="00B11F5F">
        <w:trPr>
          <w:trHeight w:val="300"/>
        </w:trPr>
        <w:tc>
          <w:tcPr>
            <w:tcW w:w="754" w:type="dxa"/>
            <w:vMerge/>
            <w:tcBorders>
              <w:top w:val="nil"/>
              <w:left w:val="nil"/>
              <w:bottom w:val="single" w:sz="4" w:space="0" w:color="000000"/>
              <w:right w:val="nil"/>
            </w:tcBorders>
            <w:vAlign w:val="center"/>
            <w:hideMark/>
          </w:tcPr>
          <w:p w14:paraId="6E823AD2"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15176F5F"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3F184456"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2102734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72.33</w:t>
            </w:r>
          </w:p>
        </w:tc>
        <w:tc>
          <w:tcPr>
            <w:tcW w:w="960" w:type="dxa"/>
            <w:tcBorders>
              <w:top w:val="nil"/>
              <w:left w:val="nil"/>
              <w:bottom w:val="single" w:sz="4" w:space="0" w:color="auto"/>
              <w:right w:val="nil"/>
            </w:tcBorders>
            <w:shd w:val="clear" w:color="auto" w:fill="auto"/>
            <w:noWrap/>
            <w:vAlign w:val="center"/>
            <w:hideMark/>
          </w:tcPr>
          <w:p w14:paraId="760C608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3.11</w:t>
            </w:r>
          </w:p>
        </w:tc>
        <w:tc>
          <w:tcPr>
            <w:tcW w:w="960" w:type="dxa"/>
            <w:tcBorders>
              <w:top w:val="nil"/>
              <w:left w:val="nil"/>
              <w:bottom w:val="single" w:sz="4" w:space="0" w:color="auto"/>
              <w:right w:val="nil"/>
            </w:tcBorders>
            <w:shd w:val="clear" w:color="auto" w:fill="auto"/>
            <w:noWrap/>
            <w:vAlign w:val="center"/>
            <w:hideMark/>
          </w:tcPr>
          <w:p w14:paraId="53E0D63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10.37</w:t>
            </w:r>
          </w:p>
        </w:tc>
        <w:tc>
          <w:tcPr>
            <w:tcW w:w="960" w:type="dxa"/>
            <w:tcBorders>
              <w:top w:val="nil"/>
              <w:left w:val="nil"/>
              <w:bottom w:val="single" w:sz="4" w:space="0" w:color="auto"/>
              <w:right w:val="nil"/>
            </w:tcBorders>
            <w:shd w:val="clear" w:color="auto" w:fill="auto"/>
            <w:noWrap/>
            <w:vAlign w:val="center"/>
            <w:hideMark/>
          </w:tcPr>
          <w:p w14:paraId="7385EF0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8.76</w:t>
            </w:r>
          </w:p>
        </w:tc>
        <w:tc>
          <w:tcPr>
            <w:tcW w:w="960" w:type="dxa"/>
            <w:tcBorders>
              <w:top w:val="nil"/>
              <w:left w:val="nil"/>
              <w:bottom w:val="single" w:sz="4" w:space="0" w:color="auto"/>
              <w:right w:val="nil"/>
            </w:tcBorders>
            <w:shd w:val="clear" w:color="auto" w:fill="auto"/>
            <w:noWrap/>
            <w:vAlign w:val="center"/>
            <w:hideMark/>
          </w:tcPr>
          <w:p w14:paraId="7430394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4.62</w:t>
            </w:r>
          </w:p>
        </w:tc>
        <w:tc>
          <w:tcPr>
            <w:tcW w:w="960" w:type="dxa"/>
            <w:tcBorders>
              <w:top w:val="nil"/>
              <w:left w:val="nil"/>
              <w:bottom w:val="single" w:sz="4" w:space="0" w:color="auto"/>
              <w:right w:val="nil"/>
            </w:tcBorders>
            <w:shd w:val="clear" w:color="auto" w:fill="auto"/>
            <w:noWrap/>
            <w:vAlign w:val="center"/>
            <w:hideMark/>
          </w:tcPr>
          <w:p w14:paraId="791279A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54D247F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single" w:sz="4" w:space="0" w:color="auto"/>
              <w:right w:val="nil"/>
            </w:tcBorders>
            <w:shd w:val="clear" w:color="auto" w:fill="auto"/>
            <w:noWrap/>
            <w:vAlign w:val="center"/>
            <w:hideMark/>
          </w:tcPr>
          <w:p w14:paraId="2220E85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0.07</w:t>
            </w:r>
          </w:p>
        </w:tc>
        <w:tc>
          <w:tcPr>
            <w:tcW w:w="956" w:type="dxa"/>
            <w:tcBorders>
              <w:top w:val="nil"/>
              <w:left w:val="nil"/>
              <w:bottom w:val="single" w:sz="4" w:space="0" w:color="auto"/>
              <w:right w:val="nil"/>
            </w:tcBorders>
            <w:shd w:val="clear" w:color="auto" w:fill="auto"/>
            <w:noWrap/>
            <w:vAlign w:val="center"/>
            <w:hideMark/>
          </w:tcPr>
          <w:p w14:paraId="637F12B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0.74</w:t>
            </w:r>
          </w:p>
        </w:tc>
      </w:tr>
      <w:tr w:rsidR="00D740DC" w:rsidRPr="00670E27" w14:paraId="38AA8277" w14:textId="77777777" w:rsidTr="00B11F5F">
        <w:trPr>
          <w:trHeight w:val="300"/>
        </w:trPr>
        <w:tc>
          <w:tcPr>
            <w:tcW w:w="754" w:type="dxa"/>
            <w:vMerge/>
            <w:tcBorders>
              <w:top w:val="nil"/>
              <w:left w:val="nil"/>
              <w:bottom w:val="single" w:sz="4" w:space="0" w:color="000000"/>
              <w:right w:val="nil"/>
            </w:tcBorders>
            <w:vAlign w:val="center"/>
            <w:hideMark/>
          </w:tcPr>
          <w:p w14:paraId="011CB7DD"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45C646C4"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N</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B</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S</w:t>
            </w:r>
            <w:r w:rsidRPr="00670E27">
              <w:rPr>
                <w:rFonts w:eastAsia="Times New Roman" w:cs="Times New Roman"/>
                <w:b w:val="0"/>
                <w:color w:val="000000"/>
                <w:sz w:val="18"/>
                <w:szCs w:val="18"/>
                <w:vertAlign w:val="subscript"/>
                <w:lang w:eastAsia="en-MY"/>
              </w:rPr>
              <w:t>70.5</w:t>
            </w:r>
            <w:r w:rsidRPr="00670E27">
              <w:rPr>
                <w:rFonts w:eastAsia="Times New Roman" w:cs="Times New Roman"/>
                <w:b w:val="0"/>
                <w:color w:val="000000"/>
                <w:sz w:val="18"/>
                <w:szCs w:val="18"/>
                <w:lang w:eastAsia="en-MY"/>
              </w:rPr>
              <w:t>A</w:t>
            </w:r>
            <w:r w:rsidRPr="00670E27">
              <w:rPr>
                <w:rFonts w:eastAsia="Times New Roman" w:cs="Times New Roman"/>
                <w:b w:val="0"/>
                <w:color w:val="000000"/>
                <w:sz w:val="18"/>
                <w:szCs w:val="18"/>
                <w:vertAlign w:val="subscript"/>
                <w:lang w:eastAsia="en-MY"/>
              </w:rPr>
              <w:t>2</w:t>
            </w:r>
            <w:r w:rsidRPr="00670E27">
              <w:rPr>
                <w:rFonts w:eastAsia="Times New Roman" w:cs="Times New Roman"/>
                <w:b w:val="0"/>
                <w:color w:val="000000"/>
                <w:sz w:val="18"/>
                <w:szCs w:val="18"/>
                <w:lang w:eastAsia="en-MY"/>
              </w:rPr>
              <w:t>C</w:t>
            </w:r>
            <w:r w:rsidRPr="00670E27">
              <w:rPr>
                <w:rFonts w:eastAsia="Times New Roman" w:cs="Times New Roman"/>
                <w:b w:val="0"/>
                <w:color w:val="000000"/>
                <w:sz w:val="18"/>
                <w:szCs w:val="18"/>
                <w:vertAlign w:val="subscript"/>
                <w:lang w:eastAsia="en-MY"/>
              </w:rPr>
              <w:t>7.5</w:t>
            </w:r>
          </w:p>
        </w:tc>
        <w:tc>
          <w:tcPr>
            <w:tcW w:w="3420" w:type="dxa"/>
            <w:tcBorders>
              <w:top w:val="nil"/>
              <w:left w:val="nil"/>
              <w:bottom w:val="nil"/>
              <w:right w:val="nil"/>
            </w:tcBorders>
            <w:shd w:val="clear" w:color="auto" w:fill="auto"/>
            <w:noWrap/>
            <w:vAlign w:val="center"/>
            <w:hideMark/>
          </w:tcPr>
          <w:p w14:paraId="6295B0DB"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23AEBD31"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68.58</w:t>
            </w:r>
          </w:p>
        </w:tc>
        <w:tc>
          <w:tcPr>
            <w:tcW w:w="960" w:type="dxa"/>
            <w:tcBorders>
              <w:top w:val="nil"/>
              <w:left w:val="nil"/>
              <w:bottom w:val="nil"/>
              <w:right w:val="nil"/>
            </w:tcBorders>
            <w:shd w:val="clear" w:color="auto" w:fill="auto"/>
            <w:noWrap/>
            <w:vAlign w:val="center"/>
            <w:hideMark/>
          </w:tcPr>
          <w:p w14:paraId="019CCF68"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3.30</w:t>
            </w:r>
          </w:p>
        </w:tc>
        <w:tc>
          <w:tcPr>
            <w:tcW w:w="960" w:type="dxa"/>
            <w:tcBorders>
              <w:top w:val="nil"/>
              <w:left w:val="nil"/>
              <w:bottom w:val="nil"/>
              <w:right w:val="nil"/>
            </w:tcBorders>
            <w:shd w:val="clear" w:color="auto" w:fill="auto"/>
            <w:noWrap/>
            <w:vAlign w:val="center"/>
            <w:hideMark/>
          </w:tcPr>
          <w:p w14:paraId="77CD6AA5"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11.29</w:t>
            </w:r>
          </w:p>
        </w:tc>
        <w:tc>
          <w:tcPr>
            <w:tcW w:w="960" w:type="dxa"/>
            <w:tcBorders>
              <w:top w:val="nil"/>
              <w:left w:val="nil"/>
              <w:bottom w:val="nil"/>
              <w:right w:val="nil"/>
            </w:tcBorders>
            <w:shd w:val="clear" w:color="auto" w:fill="auto"/>
            <w:noWrap/>
            <w:vAlign w:val="center"/>
            <w:hideMark/>
          </w:tcPr>
          <w:p w14:paraId="1E81400B"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10.03</w:t>
            </w:r>
          </w:p>
        </w:tc>
        <w:tc>
          <w:tcPr>
            <w:tcW w:w="960" w:type="dxa"/>
            <w:tcBorders>
              <w:top w:val="nil"/>
              <w:left w:val="nil"/>
              <w:bottom w:val="nil"/>
              <w:right w:val="nil"/>
            </w:tcBorders>
            <w:shd w:val="clear" w:color="auto" w:fill="auto"/>
            <w:noWrap/>
            <w:vAlign w:val="center"/>
            <w:hideMark/>
          </w:tcPr>
          <w:p w14:paraId="5F82AE00"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6.81</w:t>
            </w:r>
          </w:p>
        </w:tc>
        <w:tc>
          <w:tcPr>
            <w:tcW w:w="960" w:type="dxa"/>
            <w:tcBorders>
              <w:top w:val="nil"/>
              <w:left w:val="nil"/>
              <w:bottom w:val="nil"/>
              <w:right w:val="nil"/>
            </w:tcBorders>
            <w:shd w:val="clear" w:color="auto" w:fill="auto"/>
            <w:noWrap/>
            <w:vAlign w:val="center"/>
            <w:hideMark/>
          </w:tcPr>
          <w:p w14:paraId="335A2532"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2451B7EC"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6E099A85"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56" w:type="dxa"/>
            <w:tcBorders>
              <w:top w:val="nil"/>
              <w:left w:val="nil"/>
              <w:bottom w:val="nil"/>
              <w:right w:val="nil"/>
            </w:tcBorders>
            <w:shd w:val="clear" w:color="auto" w:fill="auto"/>
            <w:noWrap/>
            <w:vAlign w:val="center"/>
            <w:hideMark/>
          </w:tcPr>
          <w:p w14:paraId="0179CC98"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0FA771AC" w14:textId="77777777" w:rsidTr="00B11F5F">
        <w:trPr>
          <w:trHeight w:val="300"/>
        </w:trPr>
        <w:tc>
          <w:tcPr>
            <w:tcW w:w="754" w:type="dxa"/>
            <w:vMerge/>
            <w:tcBorders>
              <w:top w:val="nil"/>
              <w:left w:val="nil"/>
              <w:bottom w:val="single" w:sz="4" w:space="0" w:color="000000"/>
              <w:right w:val="nil"/>
            </w:tcBorders>
            <w:vAlign w:val="center"/>
            <w:hideMark/>
          </w:tcPr>
          <w:p w14:paraId="005BDF42"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5F90A59D"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4B2E728B"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4FED260C"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64.99</w:t>
            </w:r>
          </w:p>
        </w:tc>
        <w:tc>
          <w:tcPr>
            <w:tcW w:w="960" w:type="dxa"/>
            <w:tcBorders>
              <w:top w:val="nil"/>
              <w:left w:val="nil"/>
              <w:bottom w:val="nil"/>
              <w:right w:val="nil"/>
            </w:tcBorders>
            <w:shd w:val="clear" w:color="auto" w:fill="auto"/>
            <w:noWrap/>
            <w:vAlign w:val="center"/>
            <w:hideMark/>
          </w:tcPr>
          <w:p w14:paraId="57D9753F"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3.00</w:t>
            </w:r>
          </w:p>
        </w:tc>
        <w:tc>
          <w:tcPr>
            <w:tcW w:w="960" w:type="dxa"/>
            <w:tcBorders>
              <w:top w:val="nil"/>
              <w:left w:val="nil"/>
              <w:bottom w:val="nil"/>
              <w:right w:val="nil"/>
            </w:tcBorders>
            <w:shd w:val="clear" w:color="auto" w:fill="auto"/>
            <w:noWrap/>
            <w:vAlign w:val="center"/>
            <w:hideMark/>
          </w:tcPr>
          <w:p w14:paraId="4C73D863"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16.53</w:t>
            </w:r>
          </w:p>
        </w:tc>
        <w:tc>
          <w:tcPr>
            <w:tcW w:w="960" w:type="dxa"/>
            <w:tcBorders>
              <w:top w:val="nil"/>
              <w:left w:val="nil"/>
              <w:bottom w:val="nil"/>
              <w:right w:val="nil"/>
            </w:tcBorders>
            <w:shd w:val="clear" w:color="auto" w:fill="auto"/>
            <w:noWrap/>
            <w:vAlign w:val="center"/>
            <w:hideMark/>
          </w:tcPr>
          <w:p w14:paraId="13413A64"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8.11</w:t>
            </w:r>
          </w:p>
        </w:tc>
        <w:tc>
          <w:tcPr>
            <w:tcW w:w="960" w:type="dxa"/>
            <w:tcBorders>
              <w:top w:val="nil"/>
              <w:left w:val="nil"/>
              <w:bottom w:val="nil"/>
              <w:right w:val="nil"/>
            </w:tcBorders>
            <w:shd w:val="clear" w:color="auto" w:fill="auto"/>
            <w:noWrap/>
            <w:vAlign w:val="center"/>
            <w:hideMark/>
          </w:tcPr>
          <w:p w14:paraId="4869BB6F"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6.34</w:t>
            </w:r>
          </w:p>
        </w:tc>
        <w:tc>
          <w:tcPr>
            <w:tcW w:w="960" w:type="dxa"/>
            <w:tcBorders>
              <w:top w:val="nil"/>
              <w:left w:val="nil"/>
              <w:bottom w:val="nil"/>
              <w:right w:val="nil"/>
            </w:tcBorders>
            <w:shd w:val="clear" w:color="auto" w:fill="auto"/>
            <w:noWrap/>
            <w:vAlign w:val="center"/>
            <w:hideMark/>
          </w:tcPr>
          <w:p w14:paraId="1B487881"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4643A4E9"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2C1A5364"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0.10</w:t>
            </w:r>
          </w:p>
        </w:tc>
        <w:tc>
          <w:tcPr>
            <w:tcW w:w="956" w:type="dxa"/>
            <w:tcBorders>
              <w:top w:val="nil"/>
              <w:left w:val="nil"/>
              <w:bottom w:val="nil"/>
              <w:right w:val="nil"/>
            </w:tcBorders>
            <w:shd w:val="clear" w:color="auto" w:fill="auto"/>
            <w:noWrap/>
            <w:vAlign w:val="center"/>
            <w:hideMark/>
          </w:tcPr>
          <w:p w14:paraId="08FDE784"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0.94</w:t>
            </w:r>
          </w:p>
        </w:tc>
      </w:tr>
      <w:tr w:rsidR="00D740DC" w:rsidRPr="00670E27" w14:paraId="36DA9737" w14:textId="77777777" w:rsidTr="00B11F5F">
        <w:trPr>
          <w:trHeight w:val="315"/>
        </w:trPr>
        <w:tc>
          <w:tcPr>
            <w:tcW w:w="754" w:type="dxa"/>
            <w:vMerge/>
            <w:tcBorders>
              <w:top w:val="nil"/>
              <w:left w:val="nil"/>
              <w:bottom w:val="single" w:sz="4" w:space="0" w:color="000000"/>
              <w:right w:val="nil"/>
            </w:tcBorders>
            <w:vAlign w:val="center"/>
            <w:hideMark/>
          </w:tcPr>
          <w:p w14:paraId="25C0883C"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66373AD7"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6FD92A29"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793361D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64.99</w:t>
            </w:r>
          </w:p>
        </w:tc>
        <w:tc>
          <w:tcPr>
            <w:tcW w:w="960" w:type="dxa"/>
            <w:tcBorders>
              <w:top w:val="nil"/>
              <w:left w:val="nil"/>
              <w:bottom w:val="nil"/>
              <w:right w:val="nil"/>
            </w:tcBorders>
            <w:shd w:val="clear" w:color="auto" w:fill="auto"/>
            <w:noWrap/>
            <w:vAlign w:val="center"/>
            <w:hideMark/>
          </w:tcPr>
          <w:p w14:paraId="433DC4E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3.00</w:t>
            </w:r>
          </w:p>
        </w:tc>
        <w:tc>
          <w:tcPr>
            <w:tcW w:w="960" w:type="dxa"/>
            <w:tcBorders>
              <w:top w:val="nil"/>
              <w:left w:val="nil"/>
              <w:bottom w:val="nil"/>
              <w:right w:val="nil"/>
            </w:tcBorders>
            <w:shd w:val="clear" w:color="auto" w:fill="auto"/>
            <w:noWrap/>
            <w:vAlign w:val="center"/>
            <w:hideMark/>
          </w:tcPr>
          <w:p w14:paraId="33B6E01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8.26</w:t>
            </w:r>
          </w:p>
        </w:tc>
        <w:tc>
          <w:tcPr>
            <w:tcW w:w="960" w:type="dxa"/>
            <w:tcBorders>
              <w:top w:val="nil"/>
              <w:left w:val="nil"/>
              <w:bottom w:val="nil"/>
              <w:right w:val="nil"/>
            </w:tcBorders>
            <w:shd w:val="clear" w:color="auto" w:fill="auto"/>
            <w:noWrap/>
            <w:vAlign w:val="center"/>
            <w:hideMark/>
          </w:tcPr>
          <w:p w14:paraId="09C022A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8.11</w:t>
            </w:r>
          </w:p>
        </w:tc>
        <w:tc>
          <w:tcPr>
            <w:tcW w:w="960" w:type="dxa"/>
            <w:tcBorders>
              <w:top w:val="nil"/>
              <w:left w:val="nil"/>
              <w:bottom w:val="nil"/>
              <w:right w:val="nil"/>
            </w:tcBorders>
            <w:shd w:val="clear" w:color="auto" w:fill="auto"/>
            <w:noWrap/>
            <w:vAlign w:val="center"/>
            <w:hideMark/>
          </w:tcPr>
          <w:p w14:paraId="2AFE5F6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6.34</w:t>
            </w:r>
          </w:p>
        </w:tc>
        <w:tc>
          <w:tcPr>
            <w:tcW w:w="960" w:type="dxa"/>
            <w:tcBorders>
              <w:top w:val="nil"/>
              <w:left w:val="nil"/>
              <w:bottom w:val="nil"/>
              <w:right w:val="nil"/>
            </w:tcBorders>
            <w:shd w:val="clear" w:color="auto" w:fill="auto"/>
            <w:noWrap/>
            <w:vAlign w:val="center"/>
            <w:hideMark/>
          </w:tcPr>
          <w:p w14:paraId="7B9D9F4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68F3F92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72AA13F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0.10</w:t>
            </w:r>
          </w:p>
        </w:tc>
        <w:tc>
          <w:tcPr>
            <w:tcW w:w="956" w:type="dxa"/>
            <w:tcBorders>
              <w:top w:val="nil"/>
              <w:left w:val="nil"/>
              <w:bottom w:val="nil"/>
              <w:right w:val="nil"/>
            </w:tcBorders>
            <w:shd w:val="clear" w:color="auto" w:fill="auto"/>
            <w:noWrap/>
            <w:vAlign w:val="center"/>
            <w:hideMark/>
          </w:tcPr>
          <w:p w14:paraId="01CD2A4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0.94</w:t>
            </w:r>
          </w:p>
        </w:tc>
      </w:tr>
      <w:tr w:rsidR="00D740DC" w:rsidRPr="00670E27" w14:paraId="189136E6" w14:textId="77777777" w:rsidTr="00B11F5F">
        <w:trPr>
          <w:trHeight w:val="315"/>
        </w:trPr>
        <w:tc>
          <w:tcPr>
            <w:tcW w:w="754" w:type="dxa"/>
            <w:vMerge/>
            <w:tcBorders>
              <w:top w:val="nil"/>
              <w:left w:val="nil"/>
              <w:bottom w:val="single" w:sz="4" w:space="0" w:color="000000"/>
              <w:right w:val="nil"/>
            </w:tcBorders>
            <w:vAlign w:val="center"/>
            <w:hideMark/>
          </w:tcPr>
          <w:p w14:paraId="7AE7FB23"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309A5C9C"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2CDF9FEB"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1A06CCA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70.84</w:t>
            </w:r>
          </w:p>
        </w:tc>
        <w:tc>
          <w:tcPr>
            <w:tcW w:w="960" w:type="dxa"/>
            <w:tcBorders>
              <w:top w:val="nil"/>
              <w:left w:val="nil"/>
              <w:bottom w:val="single" w:sz="4" w:space="0" w:color="auto"/>
              <w:right w:val="nil"/>
            </w:tcBorders>
            <w:shd w:val="clear" w:color="auto" w:fill="auto"/>
            <w:noWrap/>
            <w:vAlign w:val="center"/>
            <w:hideMark/>
          </w:tcPr>
          <w:p w14:paraId="11E59A5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3.27</w:t>
            </w:r>
          </w:p>
        </w:tc>
        <w:tc>
          <w:tcPr>
            <w:tcW w:w="960" w:type="dxa"/>
            <w:tcBorders>
              <w:top w:val="nil"/>
              <w:left w:val="nil"/>
              <w:bottom w:val="single" w:sz="4" w:space="0" w:color="auto"/>
              <w:right w:val="nil"/>
            </w:tcBorders>
            <w:shd w:val="clear" w:color="auto" w:fill="auto"/>
            <w:noWrap/>
            <w:vAlign w:val="center"/>
            <w:hideMark/>
          </w:tcPr>
          <w:p w14:paraId="305F425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9.01</w:t>
            </w:r>
          </w:p>
        </w:tc>
        <w:tc>
          <w:tcPr>
            <w:tcW w:w="960" w:type="dxa"/>
            <w:tcBorders>
              <w:top w:val="nil"/>
              <w:left w:val="nil"/>
              <w:bottom w:val="single" w:sz="4" w:space="0" w:color="auto"/>
              <w:right w:val="nil"/>
            </w:tcBorders>
            <w:shd w:val="clear" w:color="auto" w:fill="auto"/>
            <w:noWrap/>
            <w:vAlign w:val="center"/>
            <w:hideMark/>
          </w:tcPr>
          <w:p w14:paraId="517FEC2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8.84</w:t>
            </w:r>
          </w:p>
        </w:tc>
        <w:tc>
          <w:tcPr>
            <w:tcW w:w="960" w:type="dxa"/>
            <w:tcBorders>
              <w:top w:val="nil"/>
              <w:left w:val="nil"/>
              <w:bottom w:val="single" w:sz="4" w:space="0" w:color="auto"/>
              <w:right w:val="nil"/>
            </w:tcBorders>
            <w:shd w:val="clear" w:color="auto" w:fill="auto"/>
            <w:noWrap/>
            <w:vAlign w:val="center"/>
            <w:hideMark/>
          </w:tcPr>
          <w:p w14:paraId="3394508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6.91</w:t>
            </w:r>
          </w:p>
        </w:tc>
        <w:tc>
          <w:tcPr>
            <w:tcW w:w="960" w:type="dxa"/>
            <w:tcBorders>
              <w:top w:val="nil"/>
              <w:left w:val="nil"/>
              <w:bottom w:val="single" w:sz="4" w:space="0" w:color="auto"/>
              <w:right w:val="nil"/>
            </w:tcBorders>
            <w:shd w:val="clear" w:color="auto" w:fill="auto"/>
            <w:noWrap/>
            <w:vAlign w:val="center"/>
            <w:hideMark/>
          </w:tcPr>
          <w:p w14:paraId="5BE1AD7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7BC7D1E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single" w:sz="4" w:space="0" w:color="auto"/>
              <w:right w:val="nil"/>
            </w:tcBorders>
            <w:shd w:val="clear" w:color="auto" w:fill="auto"/>
            <w:noWrap/>
            <w:vAlign w:val="center"/>
            <w:hideMark/>
          </w:tcPr>
          <w:p w14:paraId="3BCD069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0.11</w:t>
            </w:r>
          </w:p>
        </w:tc>
        <w:tc>
          <w:tcPr>
            <w:tcW w:w="956" w:type="dxa"/>
            <w:tcBorders>
              <w:top w:val="nil"/>
              <w:left w:val="nil"/>
              <w:bottom w:val="single" w:sz="4" w:space="0" w:color="auto"/>
              <w:right w:val="nil"/>
            </w:tcBorders>
            <w:shd w:val="clear" w:color="auto" w:fill="auto"/>
            <w:noWrap/>
            <w:vAlign w:val="center"/>
            <w:hideMark/>
          </w:tcPr>
          <w:p w14:paraId="438320E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1.03</w:t>
            </w:r>
          </w:p>
        </w:tc>
      </w:tr>
      <w:tr w:rsidR="00D740DC" w:rsidRPr="00670E27" w14:paraId="2D54F547" w14:textId="77777777" w:rsidTr="00B11F5F">
        <w:trPr>
          <w:trHeight w:val="300"/>
        </w:trPr>
        <w:tc>
          <w:tcPr>
            <w:tcW w:w="754" w:type="dxa"/>
            <w:vMerge w:val="restart"/>
            <w:tcBorders>
              <w:top w:val="nil"/>
              <w:left w:val="nil"/>
              <w:bottom w:val="nil"/>
              <w:right w:val="nil"/>
            </w:tcBorders>
            <w:shd w:val="clear" w:color="auto" w:fill="auto"/>
            <w:noWrap/>
            <w:textDirection w:val="btLr"/>
            <w:vAlign w:val="center"/>
            <w:hideMark/>
          </w:tcPr>
          <w:p w14:paraId="15F3E342" w14:textId="77777777" w:rsidR="00D740DC" w:rsidRPr="00670E27" w:rsidRDefault="00D740DC" w:rsidP="00B11F5F">
            <w:pPr>
              <w:spacing w:after="0" w:line="240" w:lineRule="auto"/>
              <w:jc w:val="center"/>
              <w:rPr>
                <w:rFonts w:eastAsia="Times New Roman" w:cs="Times New Roman"/>
                <w:bCs/>
                <w:color w:val="000000"/>
                <w:szCs w:val="24"/>
                <w:lang w:eastAsia="en-MY"/>
              </w:rPr>
            </w:pPr>
            <w:r w:rsidRPr="00670E27">
              <w:rPr>
                <w:rFonts w:eastAsia="Times New Roman" w:cs="Times New Roman"/>
                <w:bCs/>
                <w:color w:val="000000"/>
                <w:szCs w:val="24"/>
                <w:lang w:eastAsia="en-MY"/>
              </w:rPr>
              <w:t>N</w:t>
            </w:r>
            <w:r w:rsidRPr="00670E27">
              <w:rPr>
                <w:rFonts w:eastAsia="Times New Roman" w:cs="Times New Roman"/>
                <w:bCs/>
                <w:color w:val="000000"/>
                <w:szCs w:val="24"/>
                <w:vertAlign w:val="subscript"/>
                <w:lang w:eastAsia="en-MY"/>
              </w:rPr>
              <w:t>15</w:t>
            </w:r>
            <w:r w:rsidRPr="00670E27">
              <w:rPr>
                <w:rFonts w:eastAsia="Times New Roman" w:cs="Times New Roman"/>
                <w:bCs/>
                <w:color w:val="000000"/>
                <w:szCs w:val="24"/>
                <w:lang w:eastAsia="en-MY"/>
              </w:rPr>
              <w:t>C</w:t>
            </w:r>
            <w:r w:rsidRPr="00670E27">
              <w:rPr>
                <w:rFonts w:eastAsia="Times New Roman" w:cs="Times New Roman"/>
                <w:bCs/>
                <w:color w:val="000000"/>
                <w:szCs w:val="24"/>
                <w:vertAlign w:val="subscript"/>
                <w:lang w:eastAsia="en-MY"/>
              </w:rPr>
              <w:t>x</w:t>
            </w:r>
            <w:r w:rsidRPr="00670E27">
              <w:rPr>
                <w:rFonts w:eastAsia="Times New Roman" w:cs="Times New Roman"/>
                <w:bCs/>
                <w:color w:val="000000"/>
                <w:szCs w:val="24"/>
                <w:lang w:eastAsia="en-MY"/>
              </w:rPr>
              <w:t>A</w:t>
            </w:r>
            <w:r w:rsidRPr="00670E27">
              <w:rPr>
                <w:rFonts w:eastAsia="Times New Roman" w:cs="Times New Roman"/>
                <w:bCs/>
                <w:color w:val="000000"/>
                <w:szCs w:val="24"/>
                <w:vertAlign w:val="subscript"/>
                <w:lang w:eastAsia="en-MY"/>
              </w:rPr>
              <w:t>2</w:t>
            </w:r>
            <w:r w:rsidRPr="00670E27">
              <w:rPr>
                <w:rFonts w:eastAsia="Times New Roman" w:cs="Times New Roman"/>
                <w:bCs/>
                <w:color w:val="000000"/>
                <w:szCs w:val="24"/>
                <w:lang w:eastAsia="en-MY"/>
              </w:rPr>
              <w:t>B</w:t>
            </w:r>
            <w:r w:rsidRPr="00670E27">
              <w:rPr>
                <w:rFonts w:eastAsia="Times New Roman" w:cs="Times New Roman"/>
                <w:bCs/>
                <w:color w:val="000000"/>
                <w:szCs w:val="24"/>
                <w:vertAlign w:val="subscript"/>
                <w:lang w:eastAsia="en-MY"/>
              </w:rPr>
              <w:t>10</w:t>
            </w:r>
            <w:r w:rsidRPr="00670E27">
              <w:rPr>
                <w:rFonts w:eastAsia="Times New Roman" w:cs="Times New Roman"/>
                <w:bCs/>
                <w:color w:val="000000"/>
                <w:szCs w:val="24"/>
                <w:lang w:eastAsia="en-MY"/>
              </w:rPr>
              <w:t>S</w:t>
            </w:r>
            <w:r w:rsidRPr="00670E27">
              <w:rPr>
                <w:rFonts w:eastAsia="Times New Roman" w:cs="Times New Roman"/>
                <w:bCs/>
                <w:color w:val="000000"/>
                <w:szCs w:val="24"/>
                <w:vertAlign w:val="subscript"/>
                <w:lang w:eastAsia="en-MY"/>
              </w:rPr>
              <w:t>73-x</w:t>
            </w:r>
            <w:r w:rsidRPr="00670E27">
              <w:rPr>
                <w:rFonts w:eastAsia="Times New Roman" w:cs="Times New Roman"/>
                <w:bCs/>
                <w:color w:val="000000"/>
                <w:szCs w:val="24"/>
                <w:lang w:eastAsia="en-MY"/>
              </w:rPr>
              <w:t xml:space="preserve">, </w:t>
            </w:r>
          </w:p>
        </w:tc>
        <w:tc>
          <w:tcPr>
            <w:tcW w:w="2160" w:type="dxa"/>
            <w:vMerge w:val="restart"/>
            <w:tcBorders>
              <w:top w:val="nil"/>
              <w:left w:val="nil"/>
              <w:bottom w:val="single" w:sz="4" w:space="0" w:color="000000"/>
              <w:right w:val="nil"/>
            </w:tcBorders>
            <w:shd w:val="clear" w:color="auto" w:fill="auto"/>
            <w:noWrap/>
            <w:vAlign w:val="center"/>
            <w:hideMark/>
          </w:tcPr>
          <w:p w14:paraId="48621C50"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N</w:t>
            </w:r>
            <w:r w:rsidRPr="00670E27">
              <w:rPr>
                <w:rFonts w:eastAsia="Times New Roman" w:cs="Times New Roman"/>
                <w:b w:val="0"/>
                <w:color w:val="000000"/>
                <w:sz w:val="18"/>
                <w:szCs w:val="18"/>
                <w:vertAlign w:val="subscript"/>
                <w:lang w:eastAsia="en-MY"/>
              </w:rPr>
              <w:t>15</w:t>
            </w:r>
            <w:r w:rsidRPr="00670E27">
              <w:rPr>
                <w:rFonts w:eastAsia="Times New Roman" w:cs="Times New Roman"/>
                <w:b w:val="0"/>
                <w:color w:val="000000"/>
                <w:sz w:val="18"/>
                <w:szCs w:val="18"/>
                <w:lang w:eastAsia="en-MY"/>
              </w:rPr>
              <w:t>B</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S</w:t>
            </w:r>
            <w:r w:rsidRPr="00670E27">
              <w:rPr>
                <w:rFonts w:eastAsia="Times New Roman" w:cs="Times New Roman"/>
                <w:b w:val="0"/>
                <w:color w:val="000000"/>
                <w:sz w:val="18"/>
                <w:szCs w:val="18"/>
                <w:vertAlign w:val="subscript"/>
                <w:lang w:eastAsia="en-MY"/>
              </w:rPr>
              <w:t>65.5</w:t>
            </w:r>
            <w:r w:rsidRPr="00670E27">
              <w:rPr>
                <w:rFonts w:eastAsia="Times New Roman" w:cs="Times New Roman"/>
                <w:b w:val="0"/>
                <w:color w:val="000000"/>
                <w:sz w:val="18"/>
                <w:szCs w:val="18"/>
                <w:lang w:eastAsia="en-MY"/>
              </w:rPr>
              <w:t>A</w:t>
            </w:r>
            <w:r w:rsidRPr="00670E27">
              <w:rPr>
                <w:rFonts w:eastAsia="Times New Roman" w:cs="Times New Roman"/>
                <w:b w:val="0"/>
                <w:color w:val="000000"/>
                <w:sz w:val="18"/>
                <w:szCs w:val="18"/>
                <w:vertAlign w:val="subscript"/>
                <w:lang w:eastAsia="en-MY"/>
              </w:rPr>
              <w:t>2</w:t>
            </w:r>
            <w:r w:rsidRPr="00670E27">
              <w:rPr>
                <w:rFonts w:eastAsia="Times New Roman" w:cs="Times New Roman"/>
                <w:b w:val="0"/>
                <w:color w:val="000000"/>
                <w:sz w:val="18"/>
                <w:szCs w:val="18"/>
                <w:lang w:eastAsia="en-MY"/>
              </w:rPr>
              <w:t>C</w:t>
            </w:r>
            <w:r w:rsidRPr="00670E27">
              <w:rPr>
                <w:rFonts w:eastAsia="Times New Roman" w:cs="Times New Roman"/>
                <w:b w:val="0"/>
                <w:color w:val="000000"/>
                <w:sz w:val="18"/>
                <w:szCs w:val="18"/>
                <w:vertAlign w:val="subscript"/>
                <w:lang w:eastAsia="en-MY"/>
              </w:rPr>
              <w:t>7.5</w:t>
            </w:r>
          </w:p>
        </w:tc>
        <w:tc>
          <w:tcPr>
            <w:tcW w:w="3420" w:type="dxa"/>
            <w:tcBorders>
              <w:top w:val="nil"/>
              <w:left w:val="nil"/>
              <w:bottom w:val="nil"/>
              <w:right w:val="nil"/>
            </w:tcBorders>
            <w:shd w:val="clear" w:color="auto" w:fill="auto"/>
            <w:noWrap/>
            <w:vAlign w:val="center"/>
            <w:hideMark/>
          </w:tcPr>
          <w:p w14:paraId="76E511E2"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4CEC0FB9"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63.62</w:t>
            </w:r>
          </w:p>
        </w:tc>
        <w:tc>
          <w:tcPr>
            <w:tcW w:w="960" w:type="dxa"/>
            <w:tcBorders>
              <w:top w:val="nil"/>
              <w:left w:val="nil"/>
              <w:bottom w:val="nil"/>
              <w:right w:val="nil"/>
            </w:tcBorders>
            <w:shd w:val="clear" w:color="auto" w:fill="auto"/>
            <w:noWrap/>
            <w:vAlign w:val="center"/>
            <w:hideMark/>
          </w:tcPr>
          <w:p w14:paraId="17241988"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3.30</w:t>
            </w:r>
          </w:p>
        </w:tc>
        <w:tc>
          <w:tcPr>
            <w:tcW w:w="960" w:type="dxa"/>
            <w:tcBorders>
              <w:top w:val="nil"/>
              <w:left w:val="nil"/>
              <w:bottom w:val="nil"/>
              <w:right w:val="nil"/>
            </w:tcBorders>
            <w:shd w:val="clear" w:color="auto" w:fill="auto"/>
            <w:noWrap/>
            <w:vAlign w:val="center"/>
            <w:hideMark/>
          </w:tcPr>
          <w:p w14:paraId="5EF42A68"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11.25</w:t>
            </w:r>
          </w:p>
        </w:tc>
        <w:tc>
          <w:tcPr>
            <w:tcW w:w="960" w:type="dxa"/>
            <w:tcBorders>
              <w:top w:val="nil"/>
              <w:left w:val="nil"/>
              <w:bottom w:val="nil"/>
              <w:right w:val="nil"/>
            </w:tcBorders>
            <w:shd w:val="clear" w:color="auto" w:fill="auto"/>
            <w:noWrap/>
            <w:vAlign w:val="center"/>
            <w:hideMark/>
          </w:tcPr>
          <w:p w14:paraId="580BB3DE"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15.03</w:t>
            </w:r>
          </w:p>
        </w:tc>
        <w:tc>
          <w:tcPr>
            <w:tcW w:w="960" w:type="dxa"/>
            <w:tcBorders>
              <w:top w:val="nil"/>
              <w:left w:val="nil"/>
              <w:bottom w:val="nil"/>
              <w:right w:val="nil"/>
            </w:tcBorders>
            <w:shd w:val="clear" w:color="auto" w:fill="auto"/>
            <w:noWrap/>
            <w:vAlign w:val="center"/>
            <w:hideMark/>
          </w:tcPr>
          <w:p w14:paraId="54002E8E"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6.80</w:t>
            </w:r>
          </w:p>
        </w:tc>
        <w:tc>
          <w:tcPr>
            <w:tcW w:w="960" w:type="dxa"/>
            <w:tcBorders>
              <w:top w:val="nil"/>
              <w:left w:val="nil"/>
              <w:bottom w:val="nil"/>
              <w:right w:val="nil"/>
            </w:tcBorders>
            <w:shd w:val="clear" w:color="auto" w:fill="auto"/>
            <w:noWrap/>
            <w:vAlign w:val="center"/>
            <w:hideMark/>
          </w:tcPr>
          <w:p w14:paraId="2606CE6F"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6E2A51C9"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68908793"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56" w:type="dxa"/>
            <w:tcBorders>
              <w:top w:val="nil"/>
              <w:left w:val="nil"/>
              <w:bottom w:val="nil"/>
              <w:right w:val="nil"/>
            </w:tcBorders>
            <w:shd w:val="clear" w:color="auto" w:fill="auto"/>
            <w:noWrap/>
            <w:vAlign w:val="center"/>
            <w:hideMark/>
          </w:tcPr>
          <w:p w14:paraId="0BAE007A"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649C9735" w14:textId="77777777" w:rsidTr="00B11F5F">
        <w:trPr>
          <w:trHeight w:val="300"/>
        </w:trPr>
        <w:tc>
          <w:tcPr>
            <w:tcW w:w="754" w:type="dxa"/>
            <w:vMerge/>
            <w:tcBorders>
              <w:top w:val="nil"/>
              <w:left w:val="nil"/>
              <w:bottom w:val="nil"/>
              <w:right w:val="nil"/>
            </w:tcBorders>
            <w:vAlign w:val="center"/>
            <w:hideMark/>
          </w:tcPr>
          <w:p w14:paraId="2F527E09"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0AB9DF90"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17C244F2"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12DBC325"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59.74</w:t>
            </w:r>
          </w:p>
        </w:tc>
        <w:tc>
          <w:tcPr>
            <w:tcW w:w="960" w:type="dxa"/>
            <w:tcBorders>
              <w:top w:val="nil"/>
              <w:left w:val="nil"/>
              <w:bottom w:val="nil"/>
              <w:right w:val="nil"/>
            </w:tcBorders>
            <w:shd w:val="clear" w:color="auto" w:fill="auto"/>
            <w:noWrap/>
            <w:vAlign w:val="center"/>
            <w:hideMark/>
          </w:tcPr>
          <w:p w14:paraId="13DA2402"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3.41</w:t>
            </w:r>
          </w:p>
        </w:tc>
        <w:tc>
          <w:tcPr>
            <w:tcW w:w="960" w:type="dxa"/>
            <w:tcBorders>
              <w:top w:val="nil"/>
              <w:left w:val="nil"/>
              <w:bottom w:val="nil"/>
              <w:right w:val="nil"/>
            </w:tcBorders>
            <w:shd w:val="clear" w:color="auto" w:fill="auto"/>
            <w:noWrap/>
            <w:vAlign w:val="center"/>
            <w:hideMark/>
          </w:tcPr>
          <w:p w14:paraId="32A411BB"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15.88</w:t>
            </w:r>
          </w:p>
        </w:tc>
        <w:tc>
          <w:tcPr>
            <w:tcW w:w="960" w:type="dxa"/>
            <w:tcBorders>
              <w:top w:val="nil"/>
              <w:left w:val="nil"/>
              <w:bottom w:val="nil"/>
              <w:right w:val="nil"/>
            </w:tcBorders>
            <w:shd w:val="clear" w:color="auto" w:fill="auto"/>
            <w:noWrap/>
            <w:vAlign w:val="center"/>
            <w:hideMark/>
          </w:tcPr>
          <w:p w14:paraId="5B4904D4"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13.37</w:t>
            </w:r>
          </w:p>
        </w:tc>
        <w:tc>
          <w:tcPr>
            <w:tcW w:w="960" w:type="dxa"/>
            <w:tcBorders>
              <w:top w:val="nil"/>
              <w:left w:val="nil"/>
              <w:bottom w:val="nil"/>
              <w:right w:val="nil"/>
            </w:tcBorders>
            <w:shd w:val="clear" w:color="auto" w:fill="auto"/>
            <w:noWrap/>
            <w:vAlign w:val="center"/>
            <w:hideMark/>
          </w:tcPr>
          <w:p w14:paraId="1B4B2750"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6.44</w:t>
            </w:r>
          </w:p>
        </w:tc>
        <w:tc>
          <w:tcPr>
            <w:tcW w:w="960" w:type="dxa"/>
            <w:tcBorders>
              <w:top w:val="nil"/>
              <w:left w:val="nil"/>
              <w:bottom w:val="nil"/>
              <w:right w:val="nil"/>
            </w:tcBorders>
            <w:shd w:val="clear" w:color="auto" w:fill="auto"/>
            <w:noWrap/>
            <w:vAlign w:val="center"/>
            <w:hideMark/>
          </w:tcPr>
          <w:p w14:paraId="2D2FE9ED"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222DF5FA"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5842393B"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0.32</w:t>
            </w:r>
          </w:p>
        </w:tc>
        <w:tc>
          <w:tcPr>
            <w:tcW w:w="956" w:type="dxa"/>
            <w:tcBorders>
              <w:top w:val="nil"/>
              <w:left w:val="nil"/>
              <w:bottom w:val="nil"/>
              <w:right w:val="nil"/>
            </w:tcBorders>
            <w:shd w:val="clear" w:color="auto" w:fill="auto"/>
            <w:noWrap/>
            <w:vAlign w:val="center"/>
            <w:hideMark/>
          </w:tcPr>
          <w:p w14:paraId="7F9A7C3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0.83</w:t>
            </w:r>
          </w:p>
        </w:tc>
      </w:tr>
      <w:tr w:rsidR="00D740DC" w:rsidRPr="00670E27" w14:paraId="2E2F4274" w14:textId="77777777" w:rsidTr="00B11F5F">
        <w:trPr>
          <w:trHeight w:val="300"/>
        </w:trPr>
        <w:tc>
          <w:tcPr>
            <w:tcW w:w="754" w:type="dxa"/>
            <w:vMerge/>
            <w:tcBorders>
              <w:top w:val="nil"/>
              <w:left w:val="nil"/>
              <w:bottom w:val="nil"/>
              <w:right w:val="nil"/>
            </w:tcBorders>
            <w:vAlign w:val="center"/>
            <w:hideMark/>
          </w:tcPr>
          <w:p w14:paraId="6661B9DF"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4E24963F"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6CA4E0DA"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0C52EF9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59.74</w:t>
            </w:r>
          </w:p>
        </w:tc>
        <w:tc>
          <w:tcPr>
            <w:tcW w:w="960" w:type="dxa"/>
            <w:tcBorders>
              <w:top w:val="nil"/>
              <w:left w:val="nil"/>
              <w:bottom w:val="nil"/>
              <w:right w:val="nil"/>
            </w:tcBorders>
            <w:shd w:val="clear" w:color="auto" w:fill="auto"/>
            <w:noWrap/>
            <w:vAlign w:val="center"/>
            <w:hideMark/>
          </w:tcPr>
          <w:p w14:paraId="64BEA9B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3.41</w:t>
            </w:r>
          </w:p>
        </w:tc>
        <w:tc>
          <w:tcPr>
            <w:tcW w:w="960" w:type="dxa"/>
            <w:tcBorders>
              <w:top w:val="nil"/>
              <w:left w:val="nil"/>
              <w:bottom w:val="nil"/>
              <w:right w:val="nil"/>
            </w:tcBorders>
            <w:shd w:val="clear" w:color="auto" w:fill="auto"/>
            <w:noWrap/>
            <w:vAlign w:val="center"/>
            <w:hideMark/>
          </w:tcPr>
          <w:p w14:paraId="0181588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7.94</w:t>
            </w:r>
          </w:p>
        </w:tc>
        <w:tc>
          <w:tcPr>
            <w:tcW w:w="960" w:type="dxa"/>
            <w:tcBorders>
              <w:top w:val="nil"/>
              <w:left w:val="nil"/>
              <w:bottom w:val="nil"/>
              <w:right w:val="nil"/>
            </w:tcBorders>
            <w:shd w:val="clear" w:color="auto" w:fill="auto"/>
            <w:noWrap/>
            <w:vAlign w:val="center"/>
            <w:hideMark/>
          </w:tcPr>
          <w:p w14:paraId="5A2DE95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13.37</w:t>
            </w:r>
          </w:p>
        </w:tc>
        <w:tc>
          <w:tcPr>
            <w:tcW w:w="960" w:type="dxa"/>
            <w:tcBorders>
              <w:top w:val="nil"/>
              <w:left w:val="nil"/>
              <w:bottom w:val="nil"/>
              <w:right w:val="nil"/>
            </w:tcBorders>
            <w:shd w:val="clear" w:color="auto" w:fill="auto"/>
            <w:noWrap/>
            <w:vAlign w:val="center"/>
            <w:hideMark/>
          </w:tcPr>
          <w:p w14:paraId="2E5E891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6.44</w:t>
            </w:r>
          </w:p>
        </w:tc>
        <w:tc>
          <w:tcPr>
            <w:tcW w:w="960" w:type="dxa"/>
            <w:tcBorders>
              <w:top w:val="nil"/>
              <w:left w:val="nil"/>
              <w:bottom w:val="nil"/>
              <w:right w:val="nil"/>
            </w:tcBorders>
            <w:shd w:val="clear" w:color="auto" w:fill="auto"/>
            <w:noWrap/>
            <w:vAlign w:val="center"/>
            <w:hideMark/>
          </w:tcPr>
          <w:p w14:paraId="7BBD7F9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2FD5581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26A245A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0.32</w:t>
            </w:r>
          </w:p>
        </w:tc>
        <w:tc>
          <w:tcPr>
            <w:tcW w:w="956" w:type="dxa"/>
            <w:tcBorders>
              <w:top w:val="nil"/>
              <w:left w:val="nil"/>
              <w:bottom w:val="nil"/>
              <w:right w:val="nil"/>
            </w:tcBorders>
            <w:shd w:val="clear" w:color="auto" w:fill="auto"/>
            <w:noWrap/>
            <w:vAlign w:val="center"/>
            <w:hideMark/>
          </w:tcPr>
          <w:p w14:paraId="3A56C77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0.83</w:t>
            </w:r>
          </w:p>
        </w:tc>
      </w:tr>
      <w:tr w:rsidR="00D740DC" w:rsidRPr="00670E27" w14:paraId="2E3120BE" w14:textId="77777777" w:rsidTr="00B11F5F">
        <w:trPr>
          <w:trHeight w:val="300"/>
        </w:trPr>
        <w:tc>
          <w:tcPr>
            <w:tcW w:w="754" w:type="dxa"/>
            <w:vMerge/>
            <w:tcBorders>
              <w:top w:val="nil"/>
              <w:left w:val="nil"/>
              <w:bottom w:val="nil"/>
              <w:right w:val="nil"/>
            </w:tcBorders>
            <w:vAlign w:val="center"/>
            <w:hideMark/>
          </w:tcPr>
          <w:p w14:paraId="66151948"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5277C163"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5742D1D3"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397863D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64.9</w:t>
            </w:r>
          </w:p>
        </w:tc>
        <w:tc>
          <w:tcPr>
            <w:tcW w:w="960" w:type="dxa"/>
            <w:tcBorders>
              <w:top w:val="nil"/>
              <w:left w:val="nil"/>
              <w:bottom w:val="single" w:sz="4" w:space="0" w:color="auto"/>
              <w:right w:val="nil"/>
            </w:tcBorders>
            <w:shd w:val="clear" w:color="auto" w:fill="auto"/>
            <w:noWrap/>
            <w:vAlign w:val="center"/>
            <w:hideMark/>
          </w:tcPr>
          <w:p w14:paraId="5A9B274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3.71</w:t>
            </w:r>
          </w:p>
        </w:tc>
        <w:tc>
          <w:tcPr>
            <w:tcW w:w="960" w:type="dxa"/>
            <w:tcBorders>
              <w:top w:val="nil"/>
              <w:left w:val="nil"/>
              <w:bottom w:val="single" w:sz="4" w:space="0" w:color="auto"/>
              <w:right w:val="nil"/>
            </w:tcBorders>
            <w:shd w:val="clear" w:color="auto" w:fill="auto"/>
            <w:noWrap/>
            <w:vAlign w:val="center"/>
            <w:hideMark/>
          </w:tcPr>
          <w:p w14:paraId="0D3F293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8.63</w:t>
            </w:r>
          </w:p>
        </w:tc>
        <w:tc>
          <w:tcPr>
            <w:tcW w:w="960" w:type="dxa"/>
            <w:tcBorders>
              <w:top w:val="nil"/>
              <w:left w:val="nil"/>
              <w:bottom w:val="single" w:sz="4" w:space="0" w:color="auto"/>
              <w:right w:val="nil"/>
            </w:tcBorders>
            <w:shd w:val="clear" w:color="auto" w:fill="auto"/>
            <w:noWrap/>
            <w:vAlign w:val="center"/>
            <w:hideMark/>
          </w:tcPr>
          <w:p w14:paraId="4B1CC29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14.52</w:t>
            </w:r>
          </w:p>
        </w:tc>
        <w:tc>
          <w:tcPr>
            <w:tcW w:w="960" w:type="dxa"/>
            <w:tcBorders>
              <w:top w:val="nil"/>
              <w:left w:val="nil"/>
              <w:bottom w:val="single" w:sz="4" w:space="0" w:color="auto"/>
              <w:right w:val="nil"/>
            </w:tcBorders>
            <w:shd w:val="clear" w:color="auto" w:fill="auto"/>
            <w:noWrap/>
            <w:vAlign w:val="center"/>
            <w:hideMark/>
          </w:tcPr>
          <w:p w14:paraId="29625A7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w:t>
            </w:r>
          </w:p>
        </w:tc>
        <w:tc>
          <w:tcPr>
            <w:tcW w:w="960" w:type="dxa"/>
            <w:tcBorders>
              <w:top w:val="nil"/>
              <w:left w:val="nil"/>
              <w:bottom w:val="single" w:sz="4" w:space="0" w:color="auto"/>
              <w:right w:val="nil"/>
            </w:tcBorders>
            <w:shd w:val="clear" w:color="auto" w:fill="auto"/>
            <w:noWrap/>
            <w:vAlign w:val="center"/>
            <w:hideMark/>
          </w:tcPr>
          <w:p w14:paraId="3D34B2B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29B8CE2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single" w:sz="4" w:space="0" w:color="auto"/>
              <w:right w:val="nil"/>
            </w:tcBorders>
            <w:shd w:val="clear" w:color="auto" w:fill="auto"/>
            <w:noWrap/>
            <w:vAlign w:val="center"/>
            <w:hideMark/>
          </w:tcPr>
          <w:p w14:paraId="31C9866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0.35</w:t>
            </w:r>
          </w:p>
        </w:tc>
        <w:tc>
          <w:tcPr>
            <w:tcW w:w="956" w:type="dxa"/>
            <w:tcBorders>
              <w:top w:val="nil"/>
              <w:left w:val="nil"/>
              <w:bottom w:val="single" w:sz="4" w:space="0" w:color="auto"/>
              <w:right w:val="nil"/>
            </w:tcBorders>
            <w:shd w:val="clear" w:color="auto" w:fill="auto"/>
            <w:noWrap/>
            <w:vAlign w:val="center"/>
            <w:hideMark/>
          </w:tcPr>
          <w:p w14:paraId="1B37291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0.9</w:t>
            </w:r>
          </w:p>
        </w:tc>
      </w:tr>
      <w:tr w:rsidR="00D740DC" w:rsidRPr="00670E27" w14:paraId="2E234491" w14:textId="77777777" w:rsidTr="00B11F5F">
        <w:trPr>
          <w:trHeight w:val="300"/>
        </w:trPr>
        <w:tc>
          <w:tcPr>
            <w:tcW w:w="754" w:type="dxa"/>
            <w:vMerge/>
            <w:tcBorders>
              <w:top w:val="nil"/>
              <w:left w:val="nil"/>
              <w:bottom w:val="nil"/>
              <w:right w:val="nil"/>
            </w:tcBorders>
            <w:vAlign w:val="center"/>
            <w:hideMark/>
          </w:tcPr>
          <w:p w14:paraId="2DC1DF62"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01A37B96"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N</w:t>
            </w:r>
            <w:r w:rsidRPr="00670E27">
              <w:rPr>
                <w:rFonts w:eastAsia="Times New Roman" w:cs="Times New Roman"/>
                <w:b w:val="0"/>
                <w:color w:val="000000"/>
                <w:sz w:val="18"/>
                <w:szCs w:val="18"/>
                <w:vertAlign w:val="subscript"/>
                <w:lang w:eastAsia="en-MY"/>
              </w:rPr>
              <w:t>15</w:t>
            </w:r>
            <w:r w:rsidRPr="00670E27">
              <w:rPr>
                <w:rFonts w:eastAsia="Times New Roman" w:cs="Times New Roman"/>
                <w:b w:val="0"/>
                <w:color w:val="000000"/>
                <w:sz w:val="18"/>
                <w:szCs w:val="18"/>
                <w:lang w:eastAsia="en-MY"/>
              </w:rPr>
              <w:t>B</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S</w:t>
            </w:r>
            <w:r w:rsidRPr="00670E27">
              <w:rPr>
                <w:rFonts w:eastAsia="Times New Roman" w:cs="Times New Roman"/>
                <w:b w:val="0"/>
                <w:color w:val="000000"/>
                <w:sz w:val="18"/>
                <w:szCs w:val="18"/>
                <w:vertAlign w:val="subscript"/>
                <w:lang w:eastAsia="en-MY"/>
              </w:rPr>
              <w:t>63</w:t>
            </w:r>
            <w:r w:rsidRPr="00670E27">
              <w:rPr>
                <w:rFonts w:eastAsia="Times New Roman" w:cs="Times New Roman"/>
                <w:b w:val="0"/>
                <w:color w:val="000000"/>
                <w:sz w:val="18"/>
                <w:szCs w:val="18"/>
                <w:lang w:eastAsia="en-MY"/>
              </w:rPr>
              <w:t>A</w:t>
            </w:r>
            <w:r w:rsidRPr="00670E27">
              <w:rPr>
                <w:rFonts w:eastAsia="Times New Roman" w:cs="Times New Roman"/>
                <w:b w:val="0"/>
                <w:color w:val="000000"/>
                <w:sz w:val="18"/>
                <w:szCs w:val="18"/>
                <w:vertAlign w:val="subscript"/>
                <w:lang w:eastAsia="en-MY"/>
              </w:rPr>
              <w:t>2</w:t>
            </w:r>
            <w:r w:rsidRPr="00670E27">
              <w:rPr>
                <w:rFonts w:eastAsia="Times New Roman" w:cs="Times New Roman"/>
                <w:b w:val="0"/>
                <w:color w:val="000000"/>
                <w:sz w:val="18"/>
                <w:szCs w:val="18"/>
                <w:lang w:eastAsia="en-MY"/>
              </w:rPr>
              <w:t>C</w:t>
            </w:r>
            <w:r w:rsidRPr="00670E27">
              <w:rPr>
                <w:rFonts w:eastAsia="Times New Roman" w:cs="Times New Roman"/>
                <w:b w:val="0"/>
                <w:color w:val="000000"/>
                <w:sz w:val="18"/>
                <w:szCs w:val="18"/>
                <w:vertAlign w:val="subscript"/>
                <w:lang w:eastAsia="en-MY"/>
              </w:rPr>
              <w:t>10</w:t>
            </w:r>
          </w:p>
        </w:tc>
        <w:tc>
          <w:tcPr>
            <w:tcW w:w="3420" w:type="dxa"/>
            <w:tcBorders>
              <w:top w:val="nil"/>
              <w:left w:val="nil"/>
              <w:bottom w:val="nil"/>
              <w:right w:val="nil"/>
            </w:tcBorders>
            <w:shd w:val="clear" w:color="auto" w:fill="auto"/>
            <w:noWrap/>
            <w:vAlign w:val="center"/>
            <w:hideMark/>
          </w:tcPr>
          <w:p w14:paraId="77C8D9D1"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6F592D32"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61.29</w:t>
            </w:r>
          </w:p>
        </w:tc>
        <w:tc>
          <w:tcPr>
            <w:tcW w:w="960" w:type="dxa"/>
            <w:tcBorders>
              <w:top w:val="nil"/>
              <w:left w:val="nil"/>
              <w:bottom w:val="nil"/>
              <w:right w:val="nil"/>
            </w:tcBorders>
            <w:shd w:val="clear" w:color="auto" w:fill="auto"/>
            <w:noWrap/>
            <w:vAlign w:val="center"/>
            <w:hideMark/>
          </w:tcPr>
          <w:p w14:paraId="4B27CFB9"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3.30</w:t>
            </w:r>
          </w:p>
        </w:tc>
        <w:tc>
          <w:tcPr>
            <w:tcW w:w="960" w:type="dxa"/>
            <w:tcBorders>
              <w:top w:val="nil"/>
              <w:left w:val="nil"/>
              <w:bottom w:val="nil"/>
              <w:right w:val="nil"/>
            </w:tcBorders>
            <w:shd w:val="clear" w:color="auto" w:fill="auto"/>
            <w:noWrap/>
            <w:vAlign w:val="center"/>
            <w:hideMark/>
          </w:tcPr>
          <w:p w14:paraId="5158D016"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11.27</w:t>
            </w:r>
          </w:p>
        </w:tc>
        <w:tc>
          <w:tcPr>
            <w:tcW w:w="960" w:type="dxa"/>
            <w:tcBorders>
              <w:top w:val="nil"/>
              <w:left w:val="nil"/>
              <w:bottom w:val="nil"/>
              <w:right w:val="nil"/>
            </w:tcBorders>
            <w:shd w:val="clear" w:color="auto" w:fill="auto"/>
            <w:noWrap/>
            <w:vAlign w:val="center"/>
            <w:hideMark/>
          </w:tcPr>
          <w:p w14:paraId="5733BAB3"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15.05</w:t>
            </w:r>
          </w:p>
        </w:tc>
        <w:tc>
          <w:tcPr>
            <w:tcW w:w="960" w:type="dxa"/>
            <w:tcBorders>
              <w:top w:val="nil"/>
              <w:left w:val="nil"/>
              <w:bottom w:val="nil"/>
              <w:right w:val="nil"/>
            </w:tcBorders>
            <w:shd w:val="clear" w:color="auto" w:fill="auto"/>
            <w:noWrap/>
            <w:vAlign w:val="center"/>
            <w:hideMark/>
          </w:tcPr>
          <w:p w14:paraId="768E55A4"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9.08</w:t>
            </w:r>
          </w:p>
        </w:tc>
        <w:tc>
          <w:tcPr>
            <w:tcW w:w="960" w:type="dxa"/>
            <w:tcBorders>
              <w:top w:val="nil"/>
              <w:left w:val="nil"/>
              <w:bottom w:val="nil"/>
              <w:right w:val="nil"/>
            </w:tcBorders>
            <w:shd w:val="clear" w:color="auto" w:fill="auto"/>
            <w:noWrap/>
            <w:vAlign w:val="center"/>
            <w:hideMark/>
          </w:tcPr>
          <w:p w14:paraId="4D787501"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212D8E18"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6BB0E351"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56" w:type="dxa"/>
            <w:tcBorders>
              <w:top w:val="nil"/>
              <w:left w:val="nil"/>
              <w:bottom w:val="nil"/>
              <w:right w:val="nil"/>
            </w:tcBorders>
            <w:shd w:val="clear" w:color="auto" w:fill="auto"/>
            <w:noWrap/>
            <w:vAlign w:val="center"/>
            <w:hideMark/>
          </w:tcPr>
          <w:p w14:paraId="7C0D87E5"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7850D3E6" w14:textId="77777777" w:rsidTr="00B11F5F">
        <w:trPr>
          <w:trHeight w:val="300"/>
        </w:trPr>
        <w:tc>
          <w:tcPr>
            <w:tcW w:w="754" w:type="dxa"/>
            <w:vMerge/>
            <w:tcBorders>
              <w:top w:val="nil"/>
              <w:left w:val="nil"/>
              <w:bottom w:val="nil"/>
              <w:right w:val="nil"/>
            </w:tcBorders>
            <w:vAlign w:val="center"/>
            <w:hideMark/>
          </w:tcPr>
          <w:p w14:paraId="1A0A4991"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17B4FFD1"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15C6BAFD"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04002905"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56.30</w:t>
            </w:r>
          </w:p>
        </w:tc>
        <w:tc>
          <w:tcPr>
            <w:tcW w:w="960" w:type="dxa"/>
            <w:tcBorders>
              <w:top w:val="nil"/>
              <w:left w:val="nil"/>
              <w:bottom w:val="nil"/>
              <w:right w:val="nil"/>
            </w:tcBorders>
            <w:shd w:val="clear" w:color="auto" w:fill="auto"/>
            <w:noWrap/>
            <w:vAlign w:val="center"/>
            <w:hideMark/>
          </w:tcPr>
          <w:p w14:paraId="153265A2"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3.30</w:t>
            </w:r>
          </w:p>
        </w:tc>
        <w:tc>
          <w:tcPr>
            <w:tcW w:w="960" w:type="dxa"/>
            <w:tcBorders>
              <w:top w:val="nil"/>
              <w:left w:val="nil"/>
              <w:bottom w:val="nil"/>
              <w:right w:val="nil"/>
            </w:tcBorders>
            <w:shd w:val="clear" w:color="auto" w:fill="auto"/>
            <w:noWrap/>
            <w:vAlign w:val="center"/>
            <w:hideMark/>
          </w:tcPr>
          <w:p w14:paraId="4971AFE6"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18.13</w:t>
            </w:r>
          </w:p>
        </w:tc>
        <w:tc>
          <w:tcPr>
            <w:tcW w:w="960" w:type="dxa"/>
            <w:tcBorders>
              <w:top w:val="nil"/>
              <w:left w:val="nil"/>
              <w:bottom w:val="nil"/>
              <w:right w:val="nil"/>
            </w:tcBorders>
            <w:shd w:val="clear" w:color="auto" w:fill="auto"/>
            <w:noWrap/>
            <w:vAlign w:val="center"/>
            <w:hideMark/>
          </w:tcPr>
          <w:p w14:paraId="2975DF4D"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12.88</w:t>
            </w:r>
          </w:p>
        </w:tc>
        <w:tc>
          <w:tcPr>
            <w:tcW w:w="960" w:type="dxa"/>
            <w:tcBorders>
              <w:top w:val="nil"/>
              <w:left w:val="nil"/>
              <w:bottom w:val="nil"/>
              <w:right w:val="nil"/>
            </w:tcBorders>
            <w:shd w:val="clear" w:color="auto" w:fill="auto"/>
            <w:noWrap/>
            <w:vAlign w:val="center"/>
            <w:hideMark/>
          </w:tcPr>
          <w:p w14:paraId="2A045129"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8.29</w:t>
            </w:r>
          </w:p>
        </w:tc>
        <w:tc>
          <w:tcPr>
            <w:tcW w:w="960" w:type="dxa"/>
            <w:tcBorders>
              <w:top w:val="nil"/>
              <w:left w:val="nil"/>
              <w:bottom w:val="nil"/>
              <w:right w:val="nil"/>
            </w:tcBorders>
            <w:shd w:val="clear" w:color="auto" w:fill="auto"/>
            <w:noWrap/>
            <w:vAlign w:val="center"/>
            <w:hideMark/>
          </w:tcPr>
          <w:p w14:paraId="02AA509D"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5AE34BC9"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5CDF3310"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0.33</w:t>
            </w:r>
          </w:p>
        </w:tc>
        <w:tc>
          <w:tcPr>
            <w:tcW w:w="956" w:type="dxa"/>
            <w:tcBorders>
              <w:top w:val="nil"/>
              <w:left w:val="nil"/>
              <w:bottom w:val="nil"/>
              <w:right w:val="nil"/>
            </w:tcBorders>
            <w:shd w:val="clear" w:color="auto" w:fill="auto"/>
            <w:noWrap/>
            <w:vAlign w:val="center"/>
            <w:hideMark/>
          </w:tcPr>
          <w:p w14:paraId="79B6E3DF"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0.78</w:t>
            </w:r>
          </w:p>
        </w:tc>
      </w:tr>
      <w:tr w:rsidR="00D740DC" w:rsidRPr="00670E27" w14:paraId="05941B5E" w14:textId="77777777" w:rsidTr="00B11F5F">
        <w:trPr>
          <w:trHeight w:val="300"/>
        </w:trPr>
        <w:tc>
          <w:tcPr>
            <w:tcW w:w="754" w:type="dxa"/>
            <w:vMerge/>
            <w:tcBorders>
              <w:top w:val="nil"/>
              <w:left w:val="nil"/>
              <w:bottom w:val="nil"/>
              <w:right w:val="nil"/>
            </w:tcBorders>
            <w:vAlign w:val="center"/>
            <w:hideMark/>
          </w:tcPr>
          <w:p w14:paraId="4FDE225A"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17D8C405"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71E4A7D0"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6C06D90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56.30</w:t>
            </w:r>
          </w:p>
        </w:tc>
        <w:tc>
          <w:tcPr>
            <w:tcW w:w="960" w:type="dxa"/>
            <w:tcBorders>
              <w:top w:val="nil"/>
              <w:left w:val="nil"/>
              <w:bottom w:val="nil"/>
              <w:right w:val="nil"/>
            </w:tcBorders>
            <w:shd w:val="clear" w:color="auto" w:fill="auto"/>
            <w:noWrap/>
            <w:vAlign w:val="center"/>
            <w:hideMark/>
          </w:tcPr>
          <w:p w14:paraId="5DC02B1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3.30</w:t>
            </w:r>
          </w:p>
        </w:tc>
        <w:tc>
          <w:tcPr>
            <w:tcW w:w="960" w:type="dxa"/>
            <w:tcBorders>
              <w:top w:val="nil"/>
              <w:left w:val="nil"/>
              <w:bottom w:val="nil"/>
              <w:right w:val="nil"/>
            </w:tcBorders>
            <w:shd w:val="clear" w:color="auto" w:fill="auto"/>
            <w:noWrap/>
            <w:vAlign w:val="center"/>
            <w:hideMark/>
          </w:tcPr>
          <w:p w14:paraId="3041296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9.06</w:t>
            </w:r>
          </w:p>
        </w:tc>
        <w:tc>
          <w:tcPr>
            <w:tcW w:w="960" w:type="dxa"/>
            <w:tcBorders>
              <w:top w:val="nil"/>
              <w:left w:val="nil"/>
              <w:bottom w:val="nil"/>
              <w:right w:val="nil"/>
            </w:tcBorders>
            <w:shd w:val="clear" w:color="auto" w:fill="auto"/>
            <w:noWrap/>
            <w:vAlign w:val="center"/>
            <w:hideMark/>
          </w:tcPr>
          <w:p w14:paraId="4EDF3D4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12.88</w:t>
            </w:r>
          </w:p>
        </w:tc>
        <w:tc>
          <w:tcPr>
            <w:tcW w:w="960" w:type="dxa"/>
            <w:tcBorders>
              <w:top w:val="nil"/>
              <w:left w:val="nil"/>
              <w:bottom w:val="nil"/>
              <w:right w:val="nil"/>
            </w:tcBorders>
            <w:shd w:val="clear" w:color="auto" w:fill="auto"/>
            <w:noWrap/>
            <w:vAlign w:val="center"/>
            <w:hideMark/>
          </w:tcPr>
          <w:p w14:paraId="653E77E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8.29</w:t>
            </w:r>
          </w:p>
        </w:tc>
        <w:tc>
          <w:tcPr>
            <w:tcW w:w="960" w:type="dxa"/>
            <w:tcBorders>
              <w:top w:val="nil"/>
              <w:left w:val="nil"/>
              <w:bottom w:val="nil"/>
              <w:right w:val="nil"/>
            </w:tcBorders>
            <w:shd w:val="clear" w:color="auto" w:fill="auto"/>
            <w:noWrap/>
            <w:vAlign w:val="center"/>
            <w:hideMark/>
          </w:tcPr>
          <w:p w14:paraId="2889B73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4646E04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28178E3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0.33</w:t>
            </w:r>
          </w:p>
        </w:tc>
        <w:tc>
          <w:tcPr>
            <w:tcW w:w="956" w:type="dxa"/>
            <w:tcBorders>
              <w:top w:val="nil"/>
              <w:left w:val="nil"/>
              <w:bottom w:val="nil"/>
              <w:right w:val="nil"/>
            </w:tcBorders>
            <w:shd w:val="clear" w:color="auto" w:fill="auto"/>
            <w:noWrap/>
            <w:vAlign w:val="center"/>
            <w:hideMark/>
          </w:tcPr>
          <w:p w14:paraId="2AB890B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0.78</w:t>
            </w:r>
          </w:p>
        </w:tc>
      </w:tr>
      <w:tr w:rsidR="00D740DC" w:rsidRPr="00670E27" w14:paraId="2B63E14A" w14:textId="77777777" w:rsidTr="00B11F5F">
        <w:trPr>
          <w:trHeight w:val="300"/>
        </w:trPr>
        <w:tc>
          <w:tcPr>
            <w:tcW w:w="754" w:type="dxa"/>
            <w:vMerge/>
            <w:tcBorders>
              <w:top w:val="nil"/>
              <w:left w:val="nil"/>
              <w:bottom w:val="nil"/>
              <w:right w:val="nil"/>
            </w:tcBorders>
            <w:vAlign w:val="center"/>
            <w:hideMark/>
          </w:tcPr>
          <w:p w14:paraId="1DEA8DB0"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4A4A56AE"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20EC1E77"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1D59792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61.91</w:t>
            </w:r>
          </w:p>
        </w:tc>
        <w:tc>
          <w:tcPr>
            <w:tcW w:w="960" w:type="dxa"/>
            <w:tcBorders>
              <w:top w:val="nil"/>
              <w:left w:val="nil"/>
              <w:bottom w:val="single" w:sz="4" w:space="0" w:color="auto"/>
              <w:right w:val="nil"/>
            </w:tcBorders>
            <w:shd w:val="clear" w:color="auto" w:fill="auto"/>
            <w:noWrap/>
            <w:vAlign w:val="center"/>
            <w:hideMark/>
          </w:tcPr>
          <w:p w14:paraId="0C88757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3.63</w:t>
            </w:r>
          </w:p>
        </w:tc>
        <w:tc>
          <w:tcPr>
            <w:tcW w:w="960" w:type="dxa"/>
            <w:tcBorders>
              <w:top w:val="nil"/>
              <w:left w:val="nil"/>
              <w:bottom w:val="single" w:sz="4" w:space="0" w:color="auto"/>
              <w:right w:val="nil"/>
            </w:tcBorders>
            <w:shd w:val="clear" w:color="auto" w:fill="auto"/>
            <w:noWrap/>
            <w:vAlign w:val="center"/>
            <w:hideMark/>
          </w:tcPr>
          <w:p w14:paraId="6A0E98C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9.97</w:t>
            </w:r>
          </w:p>
        </w:tc>
        <w:tc>
          <w:tcPr>
            <w:tcW w:w="960" w:type="dxa"/>
            <w:tcBorders>
              <w:top w:val="nil"/>
              <w:left w:val="nil"/>
              <w:bottom w:val="single" w:sz="4" w:space="0" w:color="auto"/>
              <w:right w:val="nil"/>
            </w:tcBorders>
            <w:shd w:val="clear" w:color="auto" w:fill="auto"/>
            <w:noWrap/>
            <w:vAlign w:val="center"/>
            <w:hideMark/>
          </w:tcPr>
          <w:p w14:paraId="4D08595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14.16</w:t>
            </w:r>
          </w:p>
        </w:tc>
        <w:tc>
          <w:tcPr>
            <w:tcW w:w="960" w:type="dxa"/>
            <w:tcBorders>
              <w:top w:val="nil"/>
              <w:left w:val="nil"/>
              <w:bottom w:val="single" w:sz="4" w:space="0" w:color="auto"/>
              <w:right w:val="nil"/>
            </w:tcBorders>
            <w:shd w:val="clear" w:color="auto" w:fill="auto"/>
            <w:noWrap/>
            <w:vAlign w:val="center"/>
            <w:hideMark/>
          </w:tcPr>
          <w:p w14:paraId="545773C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9.12</w:t>
            </w:r>
          </w:p>
        </w:tc>
        <w:tc>
          <w:tcPr>
            <w:tcW w:w="960" w:type="dxa"/>
            <w:tcBorders>
              <w:top w:val="nil"/>
              <w:left w:val="nil"/>
              <w:bottom w:val="single" w:sz="4" w:space="0" w:color="auto"/>
              <w:right w:val="nil"/>
            </w:tcBorders>
            <w:shd w:val="clear" w:color="auto" w:fill="auto"/>
            <w:noWrap/>
            <w:vAlign w:val="center"/>
            <w:hideMark/>
          </w:tcPr>
          <w:p w14:paraId="3A00B29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47CF3D6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single" w:sz="4" w:space="0" w:color="auto"/>
              <w:right w:val="nil"/>
            </w:tcBorders>
            <w:shd w:val="clear" w:color="auto" w:fill="auto"/>
            <w:noWrap/>
            <w:vAlign w:val="center"/>
            <w:hideMark/>
          </w:tcPr>
          <w:p w14:paraId="7473019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0.36</w:t>
            </w:r>
          </w:p>
        </w:tc>
        <w:tc>
          <w:tcPr>
            <w:tcW w:w="956" w:type="dxa"/>
            <w:tcBorders>
              <w:top w:val="nil"/>
              <w:left w:val="nil"/>
              <w:bottom w:val="single" w:sz="4" w:space="0" w:color="auto"/>
              <w:right w:val="nil"/>
            </w:tcBorders>
            <w:shd w:val="clear" w:color="auto" w:fill="auto"/>
            <w:noWrap/>
            <w:vAlign w:val="center"/>
            <w:hideMark/>
          </w:tcPr>
          <w:p w14:paraId="7B0FE22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0.86</w:t>
            </w:r>
          </w:p>
        </w:tc>
      </w:tr>
      <w:tr w:rsidR="00D740DC" w:rsidRPr="00670E27" w14:paraId="7A6F97D8" w14:textId="77777777" w:rsidTr="00B11F5F">
        <w:trPr>
          <w:trHeight w:val="300"/>
        </w:trPr>
        <w:tc>
          <w:tcPr>
            <w:tcW w:w="754" w:type="dxa"/>
            <w:vMerge/>
            <w:tcBorders>
              <w:top w:val="nil"/>
              <w:left w:val="nil"/>
              <w:bottom w:val="nil"/>
              <w:right w:val="nil"/>
            </w:tcBorders>
            <w:vAlign w:val="center"/>
            <w:hideMark/>
          </w:tcPr>
          <w:p w14:paraId="31C695BF"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val="restart"/>
            <w:tcBorders>
              <w:top w:val="nil"/>
              <w:left w:val="nil"/>
              <w:bottom w:val="single" w:sz="4" w:space="0" w:color="000000"/>
              <w:right w:val="nil"/>
            </w:tcBorders>
            <w:shd w:val="clear" w:color="auto" w:fill="auto"/>
            <w:vAlign w:val="center"/>
            <w:hideMark/>
          </w:tcPr>
          <w:p w14:paraId="2A6B8D44"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N</w:t>
            </w:r>
            <w:r w:rsidRPr="00670E27">
              <w:rPr>
                <w:rFonts w:eastAsia="Times New Roman" w:cs="Times New Roman"/>
                <w:b w:val="0"/>
                <w:color w:val="000000"/>
                <w:sz w:val="18"/>
                <w:szCs w:val="18"/>
                <w:vertAlign w:val="subscript"/>
                <w:lang w:eastAsia="en-MY"/>
              </w:rPr>
              <w:t>15</w:t>
            </w:r>
            <w:r w:rsidRPr="00670E27">
              <w:rPr>
                <w:rFonts w:eastAsia="Times New Roman" w:cs="Times New Roman"/>
                <w:b w:val="0"/>
                <w:color w:val="000000"/>
                <w:sz w:val="18"/>
                <w:szCs w:val="18"/>
                <w:lang w:eastAsia="en-MY"/>
              </w:rPr>
              <w:t>B</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S</w:t>
            </w:r>
            <w:r w:rsidRPr="00670E27">
              <w:rPr>
                <w:rFonts w:eastAsia="Times New Roman" w:cs="Times New Roman"/>
                <w:b w:val="0"/>
                <w:color w:val="000000"/>
                <w:sz w:val="18"/>
                <w:szCs w:val="18"/>
                <w:vertAlign w:val="subscript"/>
                <w:lang w:eastAsia="en-MY"/>
              </w:rPr>
              <w:t>60.5</w:t>
            </w:r>
            <w:r w:rsidRPr="00670E27">
              <w:rPr>
                <w:rFonts w:eastAsia="Times New Roman" w:cs="Times New Roman"/>
                <w:b w:val="0"/>
                <w:color w:val="000000"/>
                <w:sz w:val="18"/>
                <w:szCs w:val="18"/>
                <w:lang w:eastAsia="en-MY"/>
              </w:rPr>
              <w:t>A</w:t>
            </w:r>
            <w:r w:rsidRPr="00670E27">
              <w:rPr>
                <w:rFonts w:eastAsia="Times New Roman" w:cs="Times New Roman"/>
                <w:b w:val="0"/>
                <w:color w:val="000000"/>
                <w:sz w:val="18"/>
                <w:szCs w:val="18"/>
                <w:vertAlign w:val="subscript"/>
                <w:lang w:eastAsia="en-MY"/>
              </w:rPr>
              <w:t>2</w:t>
            </w:r>
            <w:r w:rsidRPr="00670E27">
              <w:rPr>
                <w:rFonts w:eastAsia="Times New Roman" w:cs="Times New Roman"/>
                <w:b w:val="0"/>
                <w:color w:val="000000"/>
                <w:sz w:val="18"/>
                <w:szCs w:val="18"/>
                <w:lang w:eastAsia="en-MY"/>
              </w:rPr>
              <w:t>C</w:t>
            </w:r>
            <w:r w:rsidRPr="00670E27">
              <w:rPr>
                <w:rFonts w:eastAsia="Times New Roman" w:cs="Times New Roman"/>
                <w:b w:val="0"/>
                <w:color w:val="000000"/>
                <w:sz w:val="18"/>
                <w:szCs w:val="18"/>
                <w:vertAlign w:val="subscript"/>
                <w:lang w:eastAsia="en-MY"/>
              </w:rPr>
              <w:t>12.5</w:t>
            </w:r>
          </w:p>
        </w:tc>
        <w:tc>
          <w:tcPr>
            <w:tcW w:w="3420" w:type="dxa"/>
            <w:tcBorders>
              <w:top w:val="nil"/>
              <w:left w:val="nil"/>
              <w:bottom w:val="nil"/>
              <w:right w:val="nil"/>
            </w:tcBorders>
            <w:shd w:val="clear" w:color="auto" w:fill="auto"/>
            <w:noWrap/>
            <w:vAlign w:val="center"/>
            <w:hideMark/>
          </w:tcPr>
          <w:p w14:paraId="7B172B1D"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42DDE754"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58.96</w:t>
            </w:r>
          </w:p>
        </w:tc>
        <w:tc>
          <w:tcPr>
            <w:tcW w:w="960" w:type="dxa"/>
            <w:tcBorders>
              <w:top w:val="nil"/>
              <w:left w:val="nil"/>
              <w:bottom w:val="nil"/>
              <w:right w:val="nil"/>
            </w:tcBorders>
            <w:shd w:val="clear" w:color="auto" w:fill="auto"/>
            <w:noWrap/>
            <w:vAlign w:val="center"/>
            <w:hideMark/>
          </w:tcPr>
          <w:p w14:paraId="56005BA7"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3.31</w:t>
            </w:r>
          </w:p>
        </w:tc>
        <w:tc>
          <w:tcPr>
            <w:tcW w:w="960" w:type="dxa"/>
            <w:tcBorders>
              <w:top w:val="nil"/>
              <w:left w:val="nil"/>
              <w:bottom w:val="nil"/>
              <w:right w:val="nil"/>
            </w:tcBorders>
            <w:shd w:val="clear" w:color="auto" w:fill="auto"/>
            <w:noWrap/>
            <w:vAlign w:val="center"/>
            <w:hideMark/>
          </w:tcPr>
          <w:p w14:paraId="66C90336"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11.29</w:t>
            </w:r>
          </w:p>
        </w:tc>
        <w:tc>
          <w:tcPr>
            <w:tcW w:w="960" w:type="dxa"/>
            <w:tcBorders>
              <w:top w:val="nil"/>
              <w:left w:val="nil"/>
              <w:bottom w:val="nil"/>
              <w:right w:val="nil"/>
            </w:tcBorders>
            <w:shd w:val="clear" w:color="auto" w:fill="auto"/>
            <w:noWrap/>
            <w:vAlign w:val="center"/>
            <w:hideMark/>
          </w:tcPr>
          <w:p w14:paraId="488D1DE3"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15.08</w:t>
            </w:r>
          </w:p>
        </w:tc>
        <w:tc>
          <w:tcPr>
            <w:tcW w:w="960" w:type="dxa"/>
            <w:tcBorders>
              <w:top w:val="nil"/>
              <w:left w:val="nil"/>
              <w:bottom w:val="nil"/>
              <w:right w:val="nil"/>
            </w:tcBorders>
            <w:shd w:val="clear" w:color="auto" w:fill="auto"/>
            <w:noWrap/>
            <w:vAlign w:val="center"/>
            <w:hideMark/>
          </w:tcPr>
          <w:p w14:paraId="68C05D30"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11.37</w:t>
            </w:r>
          </w:p>
        </w:tc>
        <w:tc>
          <w:tcPr>
            <w:tcW w:w="960" w:type="dxa"/>
            <w:tcBorders>
              <w:top w:val="nil"/>
              <w:left w:val="nil"/>
              <w:bottom w:val="nil"/>
              <w:right w:val="nil"/>
            </w:tcBorders>
            <w:shd w:val="clear" w:color="auto" w:fill="auto"/>
            <w:noWrap/>
            <w:vAlign w:val="center"/>
            <w:hideMark/>
          </w:tcPr>
          <w:p w14:paraId="36C3DE78"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133A67E1"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42AFE4C0"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56" w:type="dxa"/>
            <w:tcBorders>
              <w:top w:val="nil"/>
              <w:left w:val="nil"/>
              <w:bottom w:val="nil"/>
              <w:right w:val="nil"/>
            </w:tcBorders>
            <w:shd w:val="clear" w:color="auto" w:fill="auto"/>
            <w:noWrap/>
            <w:vAlign w:val="center"/>
            <w:hideMark/>
          </w:tcPr>
          <w:p w14:paraId="70E7748F"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191E5990" w14:textId="77777777" w:rsidTr="00B11F5F">
        <w:trPr>
          <w:trHeight w:val="300"/>
        </w:trPr>
        <w:tc>
          <w:tcPr>
            <w:tcW w:w="754" w:type="dxa"/>
            <w:vMerge/>
            <w:tcBorders>
              <w:top w:val="nil"/>
              <w:left w:val="nil"/>
              <w:bottom w:val="nil"/>
              <w:right w:val="nil"/>
            </w:tcBorders>
            <w:vAlign w:val="center"/>
            <w:hideMark/>
          </w:tcPr>
          <w:p w14:paraId="26212A16"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61586821"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179FA789"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62EAFBAC"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65.886</w:t>
            </w:r>
          </w:p>
        </w:tc>
        <w:tc>
          <w:tcPr>
            <w:tcW w:w="960" w:type="dxa"/>
            <w:tcBorders>
              <w:top w:val="nil"/>
              <w:left w:val="nil"/>
              <w:bottom w:val="nil"/>
              <w:right w:val="nil"/>
            </w:tcBorders>
            <w:shd w:val="clear" w:color="auto" w:fill="auto"/>
            <w:noWrap/>
            <w:vAlign w:val="center"/>
            <w:hideMark/>
          </w:tcPr>
          <w:p w14:paraId="6BC5EB92"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3.035</w:t>
            </w:r>
          </w:p>
        </w:tc>
        <w:tc>
          <w:tcPr>
            <w:tcW w:w="960" w:type="dxa"/>
            <w:tcBorders>
              <w:top w:val="nil"/>
              <w:left w:val="nil"/>
              <w:bottom w:val="nil"/>
              <w:right w:val="nil"/>
            </w:tcBorders>
            <w:shd w:val="clear" w:color="auto" w:fill="auto"/>
            <w:noWrap/>
            <w:vAlign w:val="center"/>
            <w:hideMark/>
          </w:tcPr>
          <w:p w14:paraId="22EB2412"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5.26</w:t>
            </w:r>
          </w:p>
        </w:tc>
        <w:tc>
          <w:tcPr>
            <w:tcW w:w="960" w:type="dxa"/>
            <w:tcBorders>
              <w:top w:val="nil"/>
              <w:left w:val="nil"/>
              <w:bottom w:val="nil"/>
              <w:right w:val="nil"/>
            </w:tcBorders>
            <w:shd w:val="clear" w:color="auto" w:fill="auto"/>
            <w:noWrap/>
            <w:vAlign w:val="center"/>
            <w:hideMark/>
          </w:tcPr>
          <w:p w14:paraId="31D38CE6"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13.686</w:t>
            </w:r>
          </w:p>
        </w:tc>
        <w:tc>
          <w:tcPr>
            <w:tcW w:w="960" w:type="dxa"/>
            <w:tcBorders>
              <w:top w:val="nil"/>
              <w:left w:val="nil"/>
              <w:bottom w:val="nil"/>
              <w:right w:val="nil"/>
            </w:tcBorders>
            <w:shd w:val="clear" w:color="auto" w:fill="auto"/>
            <w:noWrap/>
            <w:vAlign w:val="center"/>
            <w:hideMark/>
          </w:tcPr>
          <w:p w14:paraId="1BD11C8A"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12.133</w:t>
            </w:r>
          </w:p>
        </w:tc>
        <w:tc>
          <w:tcPr>
            <w:tcW w:w="960" w:type="dxa"/>
            <w:tcBorders>
              <w:top w:val="nil"/>
              <w:left w:val="nil"/>
              <w:bottom w:val="nil"/>
              <w:right w:val="nil"/>
            </w:tcBorders>
            <w:shd w:val="clear" w:color="auto" w:fill="auto"/>
            <w:noWrap/>
            <w:vAlign w:val="center"/>
            <w:hideMark/>
          </w:tcPr>
          <w:p w14:paraId="40408A76"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60" w:type="dxa"/>
            <w:tcBorders>
              <w:top w:val="nil"/>
              <w:left w:val="nil"/>
              <w:bottom w:val="nil"/>
              <w:right w:val="nil"/>
            </w:tcBorders>
            <w:shd w:val="clear" w:color="auto" w:fill="auto"/>
            <w:noWrap/>
            <w:vAlign w:val="center"/>
            <w:hideMark/>
          </w:tcPr>
          <w:p w14:paraId="070CB0C7"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760" w:type="dxa"/>
            <w:tcBorders>
              <w:top w:val="nil"/>
              <w:left w:val="nil"/>
              <w:bottom w:val="nil"/>
              <w:right w:val="nil"/>
            </w:tcBorders>
            <w:shd w:val="clear" w:color="auto" w:fill="auto"/>
            <w:noWrap/>
            <w:vAlign w:val="center"/>
            <w:hideMark/>
          </w:tcPr>
          <w:p w14:paraId="0CE688F4"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56" w:type="dxa"/>
            <w:tcBorders>
              <w:top w:val="nil"/>
              <w:left w:val="nil"/>
              <w:bottom w:val="nil"/>
              <w:right w:val="nil"/>
            </w:tcBorders>
            <w:shd w:val="clear" w:color="auto" w:fill="auto"/>
            <w:noWrap/>
            <w:vAlign w:val="center"/>
            <w:hideMark/>
          </w:tcPr>
          <w:p w14:paraId="0320B723"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0945A529" w14:textId="77777777" w:rsidTr="00B11F5F">
        <w:trPr>
          <w:trHeight w:val="315"/>
        </w:trPr>
        <w:tc>
          <w:tcPr>
            <w:tcW w:w="754" w:type="dxa"/>
            <w:vMerge/>
            <w:tcBorders>
              <w:top w:val="nil"/>
              <w:left w:val="nil"/>
              <w:bottom w:val="nil"/>
              <w:right w:val="nil"/>
            </w:tcBorders>
            <w:vAlign w:val="center"/>
            <w:hideMark/>
          </w:tcPr>
          <w:p w14:paraId="3C5EA45C"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15D42D00"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07CF08BC"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2C8EBC7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65.89</w:t>
            </w:r>
          </w:p>
        </w:tc>
        <w:tc>
          <w:tcPr>
            <w:tcW w:w="960" w:type="dxa"/>
            <w:tcBorders>
              <w:top w:val="nil"/>
              <w:left w:val="nil"/>
              <w:bottom w:val="nil"/>
              <w:right w:val="nil"/>
            </w:tcBorders>
            <w:shd w:val="clear" w:color="auto" w:fill="auto"/>
            <w:noWrap/>
            <w:vAlign w:val="center"/>
            <w:hideMark/>
          </w:tcPr>
          <w:p w14:paraId="7AE0BC2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3.04</w:t>
            </w:r>
          </w:p>
        </w:tc>
        <w:tc>
          <w:tcPr>
            <w:tcW w:w="960" w:type="dxa"/>
            <w:tcBorders>
              <w:top w:val="nil"/>
              <w:left w:val="nil"/>
              <w:bottom w:val="nil"/>
              <w:right w:val="nil"/>
            </w:tcBorders>
            <w:shd w:val="clear" w:color="auto" w:fill="auto"/>
            <w:noWrap/>
            <w:vAlign w:val="center"/>
            <w:hideMark/>
          </w:tcPr>
          <w:p w14:paraId="1A9E1FD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2.63</w:t>
            </w:r>
          </w:p>
        </w:tc>
        <w:tc>
          <w:tcPr>
            <w:tcW w:w="960" w:type="dxa"/>
            <w:tcBorders>
              <w:top w:val="nil"/>
              <w:left w:val="nil"/>
              <w:bottom w:val="nil"/>
              <w:right w:val="nil"/>
            </w:tcBorders>
            <w:shd w:val="clear" w:color="auto" w:fill="auto"/>
            <w:noWrap/>
            <w:vAlign w:val="center"/>
            <w:hideMark/>
          </w:tcPr>
          <w:p w14:paraId="3F38840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13.69</w:t>
            </w:r>
          </w:p>
        </w:tc>
        <w:tc>
          <w:tcPr>
            <w:tcW w:w="960" w:type="dxa"/>
            <w:tcBorders>
              <w:top w:val="nil"/>
              <w:left w:val="nil"/>
              <w:bottom w:val="nil"/>
              <w:right w:val="nil"/>
            </w:tcBorders>
            <w:shd w:val="clear" w:color="auto" w:fill="auto"/>
            <w:noWrap/>
            <w:vAlign w:val="center"/>
            <w:hideMark/>
          </w:tcPr>
          <w:p w14:paraId="762CC85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12.13</w:t>
            </w:r>
          </w:p>
        </w:tc>
        <w:tc>
          <w:tcPr>
            <w:tcW w:w="960" w:type="dxa"/>
            <w:tcBorders>
              <w:top w:val="nil"/>
              <w:left w:val="nil"/>
              <w:bottom w:val="nil"/>
              <w:right w:val="nil"/>
            </w:tcBorders>
            <w:shd w:val="clear" w:color="auto" w:fill="auto"/>
            <w:noWrap/>
            <w:vAlign w:val="center"/>
            <w:hideMark/>
          </w:tcPr>
          <w:p w14:paraId="2F0FAC3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074EB3B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nil"/>
              <w:right w:val="nil"/>
            </w:tcBorders>
            <w:shd w:val="clear" w:color="auto" w:fill="auto"/>
            <w:noWrap/>
            <w:vAlign w:val="center"/>
            <w:hideMark/>
          </w:tcPr>
          <w:p w14:paraId="715239D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56" w:type="dxa"/>
            <w:tcBorders>
              <w:top w:val="nil"/>
              <w:left w:val="nil"/>
              <w:bottom w:val="nil"/>
              <w:right w:val="nil"/>
            </w:tcBorders>
            <w:shd w:val="clear" w:color="auto" w:fill="auto"/>
            <w:noWrap/>
            <w:vAlign w:val="center"/>
            <w:hideMark/>
          </w:tcPr>
          <w:p w14:paraId="7A82DC2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r>
      <w:tr w:rsidR="00D740DC" w:rsidRPr="00670E27" w14:paraId="50FFF1D7" w14:textId="77777777" w:rsidTr="00B11F5F">
        <w:trPr>
          <w:trHeight w:val="315"/>
        </w:trPr>
        <w:tc>
          <w:tcPr>
            <w:tcW w:w="754" w:type="dxa"/>
            <w:vMerge/>
            <w:tcBorders>
              <w:top w:val="nil"/>
              <w:left w:val="nil"/>
              <w:bottom w:val="nil"/>
              <w:right w:val="nil"/>
            </w:tcBorders>
            <w:vAlign w:val="center"/>
            <w:hideMark/>
          </w:tcPr>
          <w:p w14:paraId="4FDDBE48"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08D9A654"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20CE93A6"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3003047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67.67</w:t>
            </w:r>
          </w:p>
        </w:tc>
        <w:tc>
          <w:tcPr>
            <w:tcW w:w="960" w:type="dxa"/>
            <w:tcBorders>
              <w:top w:val="nil"/>
              <w:left w:val="nil"/>
              <w:bottom w:val="single" w:sz="4" w:space="0" w:color="auto"/>
              <w:right w:val="nil"/>
            </w:tcBorders>
            <w:shd w:val="clear" w:color="auto" w:fill="auto"/>
            <w:noWrap/>
            <w:vAlign w:val="center"/>
            <w:hideMark/>
          </w:tcPr>
          <w:p w14:paraId="7ECE6BA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3.12</w:t>
            </w:r>
          </w:p>
        </w:tc>
        <w:tc>
          <w:tcPr>
            <w:tcW w:w="960" w:type="dxa"/>
            <w:tcBorders>
              <w:top w:val="nil"/>
              <w:left w:val="nil"/>
              <w:bottom w:val="single" w:sz="4" w:space="0" w:color="auto"/>
              <w:right w:val="nil"/>
            </w:tcBorders>
            <w:shd w:val="clear" w:color="auto" w:fill="auto"/>
            <w:noWrap/>
            <w:vAlign w:val="center"/>
            <w:hideMark/>
          </w:tcPr>
          <w:p w14:paraId="500477C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2.7</w:t>
            </w:r>
          </w:p>
        </w:tc>
        <w:tc>
          <w:tcPr>
            <w:tcW w:w="960" w:type="dxa"/>
            <w:tcBorders>
              <w:top w:val="nil"/>
              <w:left w:val="nil"/>
              <w:bottom w:val="single" w:sz="4" w:space="0" w:color="auto"/>
              <w:right w:val="nil"/>
            </w:tcBorders>
            <w:shd w:val="clear" w:color="auto" w:fill="auto"/>
            <w:noWrap/>
            <w:vAlign w:val="center"/>
            <w:hideMark/>
          </w:tcPr>
          <w:p w14:paraId="5674CBD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14.06</w:t>
            </w:r>
          </w:p>
        </w:tc>
        <w:tc>
          <w:tcPr>
            <w:tcW w:w="960" w:type="dxa"/>
            <w:tcBorders>
              <w:top w:val="nil"/>
              <w:left w:val="nil"/>
              <w:bottom w:val="single" w:sz="4" w:space="0" w:color="auto"/>
              <w:right w:val="nil"/>
            </w:tcBorders>
            <w:shd w:val="clear" w:color="auto" w:fill="auto"/>
            <w:noWrap/>
            <w:vAlign w:val="center"/>
            <w:hideMark/>
          </w:tcPr>
          <w:p w14:paraId="59BBCA5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12.46</w:t>
            </w:r>
          </w:p>
        </w:tc>
        <w:tc>
          <w:tcPr>
            <w:tcW w:w="960" w:type="dxa"/>
            <w:tcBorders>
              <w:top w:val="nil"/>
              <w:left w:val="nil"/>
              <w:bottom w:val="single" w:sz="4" w:space="0" w:color="auto"/>
              <w:right w:val="nil"/>
            </w:tcBorders>
            <w:shd w:val="clear" w:color="auto" w:fill="auto"/>
            <w:noWrap/>
            <w:vAlign w:val="center"/>
            <w:hideMark/>
          </w:tcPr>
          <w:p w14:paraId="144D8AE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7DD57A1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760" w:type="dxa"/>
            <w:tcBorders>
              <w:top w:val="nil"/>
              <w:left w:val="nil"/>
              <w:bottom w:val="single" w:sz="4" w:space="0" w:color="auto"/>
              <w:right w:val="nil"/>
            </w:tcBorders>
            <w:shd w:val="clear" w:color="auto" w:fill="auto"/>
            <w:noWrap/>
            <w:vAlign w:val="center"/>
            <w:hideMark/>
          </w:tcPr>
          <w:p w14:paraId="01BA49A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56" w:type="dxa"/>
            <w:tcBorders>
              <w:top w:val="nil"/>
              <w:left w:val="nil"/>
              <w:bottom w:val="single" w:sz="4" w:space="0" w:color="auto"/>
              <w:right w:val="nil"/>
            </w:tcBorders>
            <w:shd w:val="clear" w:color="auto" w:fill="auto"/>
            <w:noWrap/>
            <w:vAlign w:val="center"/>
            <w:hideMark/>
          </w:tcPr>
          <w:p w14:paraId="62A78E0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r>
    </w:tbl>
    <w:p w14:paraId="05EDB367" w14:textId="77777777" w:rsidR="00D740DC" w:rsidRDefault="00D740DC" w:rsidP="00D740DC">
      <w:pPr>
        <w:tabs>
          <w:tab w:val="left" w:pos="3960"/>
        </w:tabs>
        <w:rPr>
          <w:rFonts w:eastAsia="Calibri" w:cs="Times New Roman"/>
          <w:szCs w:val="24"/>
          <w:lang w:val="en-GB"/>
        </w:rPr>
      </w:pPr>
    </w:p>
    <w:p w14:paraId="0B083849" w14:textId="1EDE17C0" w:rsidR="00D740DC" w:rsidRPr="000E2377" w:rsidRDefault="00D740DC" w:rsidP="00D740DC">
      <w:pPr>
        <w:jc w:val="both"/>
        <w:rPr>
          <w:rFonts w:eastAsia="Calibri" w:cs="Times New Roman"/>
          <w:szCs w:val="24"/>
          <w:lang w:val="en-GB"/>
        </w:rPr>
      </w:pPr>
      <w:r w:rsidRPr="000E2377">
        <w:lastRenderedPageBreak/>
        <w:t xml:space="preserve">Table </w:t>
      </w:r>
      <w:r>
        <w:t>4</w:t>
      </w:r>
      <w:r w:rsidRPr="000E2377">
        <w:t>.</w:t>
      </w:r>
      <w:r w:rsidR="00485C02">
        <w:t>1</w:t>
      </w:r>
      <w:r w:rsidRPr="000E2377">
        <w:rPr>
          <w:bCs/>
          <w:szCs w:val="24"/>
        </w:rPr>
        <w:t xml:space="preserve">: Analysed glass compositions </w:t>
      </w:r>
      <w:r>
        <w:rPr>
          <w:bCs/>
          <w:szCs w:val="24"/>
        </w:rPr>
        <w:t xml:space="preserve">for some of the glasses produced </w:t>
      </w:r>
      <w:r w:rsidRPr="000E2377">
        <w:rPr>
          <w:bCs/>
          <w:szCs w:val="24"/>
        </w:rPr>
        <w:t>(</w:t>
      </w:r>
      <w:proofErr w:type="spellStart"/>
      <w:r w:rsidRPr="000E2377">
        <w:rPr>
          <w:bCs/>
          <w:szCs w:val="24"/>
        </w:rPr>
        <w:t>wt</w:t>
      </w:r>
      <w:proofErr w:type="spellEnd"/>
      <w:r w:rsidRPr="000E2377">
        <w:rPr>
          <w:bCs/>
          <w:szCs w:val="24"/>
        </w:rPr>
        <w:t xml:space="preserve"> %); ICP-OES </w:t>
      </w:r>
      <w:r>
        <w:rPr>
          <w:bCs/>
          <w:szCs w:val="24"/>
        </w:rPr>
        <w:t>for selected glasses and XRF for all glasses.  A</w:t>
      </w:r>
      <w:r w:rsidRPr="000E2377">
        <w:rPr>
          <w:bCs/>
          <w:szCs w:val="24"/>
        </w:rPr>
        <w:t xml:space="preserve">nalysis data normalised to 100 </w:t>
      </w:r>
      <w:proofErr w:type="spellStart"/>
      <w:r w:rsidRPr="000E2377">
        <w:rPr>
          <w:bCs/>
          <w:szCs w:val="24"/>
        </w:rPr>
        <w:t>wt</w:t>
      </w:r>
      <w:proofErr w:type="spellEnd"/>
      <w:r>
        <w:rPr>
          <w:bCs/>
          <w:szCs w:val="24"/>
        </w:rPr>
        <w:t>%.</w:t>
      </w:r>
    </w:p>
    <w:tbl>
      <w:tblPr>
        <w:tblW w:w="14540" w:type="dxa"/>
        <w:tblLook w:val="04A0" w:firstRow="1" w:lastRow="0" w:firstColumn="1" w:lastColumn="0" w:noHBand="0" w:noVBand="1"/>
      </w:tblPr>
      <w:tblGrid>
        <w:gridCol w:w="754"/>
        <w:gridCol w:w="2160"/>
        <w:gridCol w:w="3420"/>
        <w:gridCol w:w="960"/>
        <w:gridCol w:w="960"/>
        <w:gridCol w:w="960"/>
        <w:gridCol w:w="960"/>
        <w:gridCol w:w="960"/>
        <w:gridCol w:w="960"/>
        <w:gridCol w:w="960"/>
        <w:gridCol w:w="760"/>
        <w:gridCol w:w="956"/>
      </w:tblGrid>
      <w:tr w:rsidR="00D740DC" w:rsidRPr="00670E27" w14:paraId="608E68EB" w14:textId="77777777" w:rsidTr="00B11F5F">
        <w:trPr>
          <w:trHeight w:val="300"/>
        </w:trPr>
        <w:tc>
          <w:tcPr>
            <w:tcW w:w="620" w:type="dxa"/>
            <w:tcBorders>
              <w:top w:val="single" w:sz="4" w:space="0" w:color="auto"/>
              <w:left w:val="nil"/>
              <w:bottom w:val="single" w:sz="4" w:space="0" w:color="auto"/>
              <w:right w:val="nil"/>
            </w:tcBorders>
            <w:shd w:val="clear" w:color="auto" w:fill="auto"/>
            <w:noWrap/>
            <w:vAlign w:val="center"/>
            <w:hideMark/>
          </w:tcPr>
          <w:p w14:paraId="5563EF08" w14:textId="77777777" w:rsidR="00D740DC" w:rsidRPr="00670E27" w:rsidRDefault="00D740DC" w:rsidP="00B11F5F">
            <w:pPr>
              <w:spacing w:after="0" w:line="240" w:lineRule="auto"/>
              <w:jc w:val="center"/>
              <w:rPr>
                <w:rFonts w:eastAsia="Times New Roman" w:cs="Times New Roman"/>
                <w:b w:val="0"/>
                <w:color w:val="000000"/>
                <w:sz w:val="22"/>
                <w:lang w:eastAsia="en-MY"/>
              </w:rPr>
            </w:pPr>
            <w:r w:rsidRPr="00670E27">
              <w:rPr>
                <w:rFonts w:eastAsia="Times New Roman" w:cs="Times New Roman"/>
                <w:b w:val="0"/>
                <w:color w:val="000000"/>
                <w:sz w:val="22"/>
                <w:lang w:eastAsia="en-MY"/>
              </w:rPr>
              <w:t>Series</w:t>
            </w:r>
          </w:p>
        </w:tc>
        <w:tc>
          <w:tcPr>
            <w:tcW w:w="2160" w:type="dxa"/>
            <w:tcBorders>
              <w:top w:val="single" w:sz="4" w:space="0" w:color="auto"/>
              <w:left w:val="nil"/>
              <w:bottom w:val="nil"/>
              <w:right w:val="nil"/>
            </w:tcBorders>
            <w:shd w:val="clear" w:color="auto" w:fill="auto"/>
            <w:noWrap/>
            <w:vAlign w:val="center"/>
            <w:hideMark/>
          </w:tcPr>
          <w:p w14:paraId="75D5EDAE"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Glass ID</w:t>
            </w:r>
          </w:p>
        </w:tc>
        <w:tc>
          <w:tcPr>
            <w:tcW w:w="3420" w:type="dxa"/>
            <w:tcBorders>
              <w:top w:val="single" w:sz="4" w:space="0" w:color="auto"/>
              <w:left w:val="nil"/>
              <w:bottom w:val="single" w:sz="4" w:space="0" w:color="auto"/>
              <w:right w:val="nil"/>
            </w:tcBorders>
            <w:shd w:val="clear" w:color="auto" w:fill="auto"/>
            <w:noWrap/>
            <w:vAlign w:val="center"/>
            <w:hideMark/>
          </w:tcPr>
          <w:p w14:paraId="2B0C1C01"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Types</w:t>
            </w:r>
          </w:p>
        </w:tc>
        <w:tc>
          <w:tcPr>
            <w:tcW w:w="960" w:type="dxa"/>
            <w:tcBorders>
              <w:top w:val="single" w:sz="4" w:space="0" w:color="auto"/>
              <w:left w:val="nil"/>
              <w:bottom w:val="single" w:sz="4" w:space="0" w:color="auto"/>
              <w:right w:val="nil"/>
            </w:tcBorders>
            <w:shd w:val="clear" w:color="auto" w:fill="auto"/>
            <w:noWrap/>
            <w:vAlign w:val="center"/>
            <w:hideMark/>
          </w:tcPr>
          <w:p w14:paraId="0A9B2C81"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SiO</w:t>
            </w:r>
            <w:r w:rsidRPr="00670E27">
              <w:rPr>
                <w:rFonts w:eastAsia="Times New Roman" w:cs="Times New Roman"/>
                <w:b w:val="0"/>
                <w:sz w:val="18"/>
                <w:szCs w:val="18"/>
                <w:vertAlign w:val="subscript"/>
                <w:lang w:eastAsia="en-MY"/>
              </w:rPr>
              <w:t>2</w:t>
            </w:r>
          </w:p>
        </w:tc>
        <w:tc>
          <w:tcPr>
            <w:tcW w:w="960" w:type="dxa"/>
            <w:tcBorders>
              <w:top w:val="single" w:sz="4" w:space="0" w:color="auto"/>
              <w:left w:val="nil"/>
              <w:bottom w:val="single" w:sz="4" w:space="0" w:color="auto"/>
              <w:right w:val="nil"/>
            </w:tcBorders>
            <w:shd w:val="clear" w:color="auto" w:fill="auto"/>
            <w:noWrap/>
            <w:vAlign w:val="center"/>
            <w:hideMark/>
          </w:tcPr>
          <w:p w14:paraId="7E07180B"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Al</w:t>
            </w:r>
            <w:r w:rsidRPr="00670E27">
              <w:rPr>
                <w:rFonts w:eastAsia="Times New Roman" w:cs="Times New Roman"/>
                <w:b w:val="0"/>
                <w:sz w:val="18"/>
                <w:szCs w:val="18"/>
                <w:vertAlign w:val="subscript"/>
                <w:lang w:eastAsia="en-MY"/>
              </w:rPr>
              <w:t>2</w:t>
            </w:r>
            <w:r w:rsidRPr="00670E27">
              <w:rPr>
                <w:rFonts w:eastAsia="Times New Roman" w:cs="Times New Roman"/>
                <w:b w:val="0"/>
                <w:sz w:val="18"/>
                <w:szCs w:val="18"/>
                <w:lang w:eastAsia="en-MY"/>
              </w:rPr>
              <w:t>O</w:t>
            </w:r>
            <w:r w:rsidRPr="00670E27">
              <w:rPr>
                <w:rFonts w:eastAsia="Times New Roman" w:cs="Times New Roman"/>
                <w:b w:val="0"/>
                <w:sz w:val="18"/>
                <w:szCs w:val="18"/>
                <w:vertAlign w:val="subscript"/>
                <w:lang w:eastAsia="en-MY"/>
              </w:rPr>
              <w:t>3</w:t>
            </w:r>
          </w:p>
        </w:tc>
        <w:tc>
          <w:tcPr>
            <w:tcW w:w="960" w:type="dxa"/>
            <w:tcBorders>
              <w:top w:val="single" w:sz="4" w:space="0" w:color="auto"/>
              <w:left w:val="nil"/>
              <w:bottom w:val="single" w:sz="4" w:space="0" w:color="auto"/>
              <w:right w:val="nil"/>
            </w:tcBorders>
            <w:shd w:val="clear" w:color="auto" w:fill="auto"/>
            <w:noWrap/>
            <w:vAlign w:val="center"/>
            <w:hideMark/>
          </w:tcPr>
          <w:p w14:paraId="71324D43"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B</w:t>
            </w:r>
            <w:r w:rsidRPr="00670E27">
              <w:rPr>
                <w:rFonts w:eastAsia="Times New Roman" w:cs="Times New Roman"/>
                <w:b w:val="0"/>
                <w:sz w:val="18"/>
                <w:szCs w:val="18"/>
                <w:vertAlign w:val="subscript"/>
                <w:lang w:eastAsia="en-MY"/>
              </w:rPr>
              <w:t>2</w:t>
            </w:r>
            <w:r w:rsidRPr="00670E27">
              <w:rPr>
                <w:rFonts w:eastAsia="Times New Roman" w:cs="Times New Roman"/>
                <w:b w:val="0"/>
                <w:sz w:val="18"/>
                <w:szCs w:val="18"/>
                <w:lang w:eastAsia="en-MY"/>
              </w:rPr>
              <w:t>O</w:t>
            </w:r>
            <w:r w:rsidRPr="00670E27">
              <w:rPr>
                <w:rFonts w:eastAsia="Times New Roman" w:cs="Times New Roman"/>
                <w:b w:val="0"/>
                <w:sz w:val="18"/>
                <w:szCs w:val="18"/>
                <w:vertAlign w:val="subscript"/>
                <w:lang w:eastAsia="en-MY"/>
              </w:rPr>
              <w:t>3</w:t>
            </w:r>
          </w:p>
        </w:tc>
        <w:tc>
          <w:tcPr>
            <w:tcW w:w="960" w:type="dxa"/>
            <w:tcBorders>
              <w:top w:val="single" w:sz="4" w:space="0" w:color="auto"/>
              <w:left w:val="nil"/>
              <w:bottom w:val="single" w:sz="4" w:space="0" w:color="auto"/>
              <w:right w:val="nil"/>
            </w:tcBorders>
            <w:shd w:val="clear" w:color="auto" w:fill="auto"/>
            <w:noWrap/>
            <w:vAlign w:val="center"/>
            <w:hideMark/>
          </w:tcPr>
          <w:p w14:paraId="31CAF981"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Na</w:t>
            </w:r>
            <w:r w:rsidRPr="00670E27">
              <w:rPr>
                <w:rFonts w:eastAsia="Times New Roman" w:cs="Times New Roman"/>
                <w:b w:val="0"/>
                <w:sz w:val="18"/>
                <w:szCs w:val="18"/>
                <w:vertAlign w:val="subscript"/>
                <w:lang w:eastAsia="en-MY"/>
              </w:rPr>
              <w:t>2</w:t>
            </w:r>
            <w:r w:rsidRPr="00670E27">
              <w:rPr>
                <w:rFonts w:eastAsia="Times New Roman" w:cs="Times New Roman"/>
                <w:b w:val="0"/>
                <w:sz w:val="18"/>
                <w:szCs w:val="18"/>
                <w:lang w:eastAsia="en-MY"/>
              </w:rPr>
              <w:t>O</w:t>
            </w:r>
          </w:p>
        </w:tc>
        <w:tc>
          <w:tcPr>
            <w:tcW w:w="960" w:type="dxa"/>
            <w:tcBorders>
              <w:top w:val="single" w:sz="4" w:space="0" w:color="auto"/>
              <w:left w:val="nil"/>
              <w:bottom w:val="single" w:sz="4" w:space="0" w:color="auto"/>
              <w:right w:val="nil"/>
            </w:tcBorders>
            <w:shd w:val="clear" w:color="auto" w:fill="auto"/>
            <w:noWrap/>
            <w:vAlign w:val="center"/>
            <w:hideMark/>
          </w:tcPr>
          <w:p w14:paraId="52D28E92" w14:textId="77777777" w:rsidR="00D740DC" w:rsidRPr="00670E27" w:rsidRDefault="00D740DC" w:rsidP="00B11F5F">
            <w:pPr>
              <w:spacing w:after="0" w:line="240" w:lineRule="auto"/>
              <w:jc w:val="center"/>
              <w:rPr>
                <w:rFonts w:eastAsia="Times New Roman" w:cs="Times New Roman"/>
                <w:b w:val="0"/>
                <w:sz w:val="18"/>
                <w:szCs w:val="18"/>
                <w:lang w:eastAsia="en-MY"/>
              </w:rPr>
            </w:pPr>
            <w:proofErr w:type="spellStart"/>
            <w:r w:rsidRPr="00670E27">
              <w:rPr>
                <w:rFonts w:eastAsia="Times New Roman" w:cs="Times New Roman"/>
                <w:b w:val="0"/>
                <w:sz w:val="18"/>
                <w:szCs w:val="18"/>
                <w:lang w:eastAsia="en-MY"/>
              </w:rPr>
              <w:t>CaO</w:t>
            </w:r>
            <w:proofErr w:type="spellEnd"/>
          </w:p>
        </w:tc>
        <w:tc>
          <w:tcPr>
            <w:tcW w:w="960" w:type="dxa"/>
            <w:tcBorders>
              <w:top w:val="single" w:sz="4" w:space="0" w:color="auto"/>
              <w:left w:val="nil"/>
              <w:bottom w:val="single" w:sz="4" w:space="0" w:color="auto"/>
              <w:right w:val="nil"/>
            </w:tcBorders>
            <w:shd w:val="clear" w:color="auto" w:fill="auto"/>
            <w:noWrap/>
            <w:vAlign w:val="center"/>
            <w:hideMark/>
          </w:tcPr>
          <w:p w14:paraId="72B46688"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MgO</w:t>
            </w:r>
          </w:p>
        </w:tc>
        <w:tc>
          <w:tcPr>
            <w:tcW w:w="960" w:type="dxa"/>
            <w:tcBorders>
              <w:top w:val="single" w:sz="4" w:space="0" w:color="auto"/>
              <w:left w:val="nil"/>
              <w:bottom w:val="single" w:sz="4" w:space="0" w:color="auto"/>
              <w:right w:val="nil"/>
            </w:tcBorders>
            <w:shd w:val="clear" w:color="auto" w:fill="auto"/>
            <w:noWrap/>
            <w:vAlign w:val="center"/>
            <w:hideMark/>
          </w:tcPr>
          <w:p w14:paraId="0DCE540A" w14:textId="77777777" w:rsidR="00D740DC" w:rsidRPr="00670E27" w:rsidRDefault="00D740DC" w:rsidP="00B11F5F">
            <w:pPr>
              <w:spacing w:after="0" w:line="240" w:lineRule="auto"/>
              <w:jc w:val="center"/>
              <w:rPr>
                <w:rFonts w:eastAsia="Times New Roman" w:cs="Times New Roman"/>
                <w:b w:val="0"/>
                <w:sz w:val="18"/>
                <w:szCs w:val="18"/>
                <w:lang w:eastAsia="en-MY"/>
              </w:rPr>
            </w:pPr>
            <w:proofErr w:type="spellStart"/>
            <w:r w:rsidRPr="00670E27">
              <w:rPr>
                <w:rFonts w:eastAsia="Times New Roman" w:cs="Times New Roman"/>
                <w:b w:val="0"/>
                <w:sz w:val="18"/>
                <w:szCs w:val="18"/>
                <w:lang w:eastAsia="en-MY"/>
              </w:rPr>
              <w:t>BaO</w:t>
            </w:r>
            <w:proofErr w:type="spellEnd"/>
          </w:p>
        </w:tc>
        <w:tc>
          <w:tcPr>
            <w:tcW w:w="760" w:type="dxa"/>
            <w:tcBorders>
              <w:top w:val="single" w:sz="4" w:space="0" w:color="auto"/>
              <w:left w:val="nil"/>
              <w:bottom w:val="single" w:sz="4" w:space="0" w:color="auto"/>
              <w:right w:val="nil"/>
            </w:tcBorders>
            <w:shd w:val="clear" w:color="auto" w:fill="auto"/>
            <w:noWrap/>
            <w:vAlign w:val="center"/>
            <w:hideMark/>
          </w:tcPr>
          <w:p w14:paraId="3F7AB503"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SO</w:t>
            </w:r>
            <w:r w:rsidRPr="00670E27">
              <w:rPr>
                <w:rFonts w:eastAsia="Times New Roman" w:cs="Times New Roman"/>
                <w:b w:val="0"/>
                <w:sz w:val="18"/>
                <w:szCs w:val="18"/>
                <w:vertAlign w:val="subscript"/>
                <w:lang w:eastAsia="en-MY"/>
              </w:rPr>
              <w:t>3</w:t>
            </w:r>
          </w:p>
        </w:tc>
        <w:tc>
          <w:tcPr>
            <w:tcW w:w="860" w:type="dxa"/>
            <w:tcBorders>
              <w:top w:val="single" w:sz="4" w:space="0" w:color="auto"/>
              <w:left w:val="nil"/>
              <w:bottom w:val="single" w:sz="4" w:space="0" w:color="auto"/>
              <w:right w:val="nil"/>
            </w:tcBorders>
            <w:shd w:val="clear" w:color="auto" w:fill="auto"/>
            <w:noWrap/>
            <w:vAlign w:val="center"/>
            <w:hideMark/>
          </w:tcPr>
          <w:p w14:paraId="617F0277" w14:textId="77777777" w:rsidR="00D740DC" w:rsidRPr="00670E27" w:rsidRDefault="00D740DC" w:rsidP="00B11F5F">
            <w:pPr>
              <w:spacing w:after="0" w:line="240" w:lineRule="auto"/>
              <w:jc w:val="center"/>
              <w:rPr>
                <w:rFonts w:eastAsia="Times New Roman" w:cs="Times New Roman"/>
                <w:b w:val="0"/>
                <w:sz w:val="18"/>
                <w:szCs w:val="18"/>
                <w:lang w:eastAsia="en-MY"/>
              </w:rPr>
            </w:pPr>
            <w:r w:rsidRPr="00670E27">
              <w:rPr>
                <w:rFonts w:eastAsia="Times New Roman" w:cs="Times New Roman"/>
                <w:b w:val="0"/>
                <w:sz w:val="18"/>
                <w:szCs w:val="18"/>
                <w:lang w:eastAsia="en-MY"/>
              </w:rPr>
              <w:t>Impurities</w:t>
            </w:r>
          </w:p>
        </w:tc>
      </w:tr>
      <w:tr w:rsidR="00D740DC" w:rsidRPr="00670E27" w14:paraId="06EB4549" w14:textId="77777777" w:rsidTr="00B11F5F">
        <w:trPr>
          <w:trHeight w:val="300"/>
        </w:trPr>
        <w:tc>
          <w:tcPr>
            <w:tcW w:w="620" w:type="dxa"/>
            <w:vMerge w:val="restart"/>
            <w:tcBorders>
              <w:top w:val="nil"/>
              <w:left w:val="nil"/>
              <w:bottom w:val="nil"/>
              <w:right w:val="nil"/>
            </w:tcBorders>
            <w:shd w:val="clear" w:color="auto" w:fill="auto"/>
            <w:noWrap/>
            <w:textDirection w:val="btLr"/>
            <w:vAlign w:val="center"/>
            <w:hideMark/>
          </w:tcPr>
          <w:p w14:paraId="525BE978" w14:textId="77777777" w:rsidR="00D740DC" w:rsidRPr="00670E27" w:rsidRDefault="00D740DC" w:rsidP="00B11F5F">
            <w:pPr>
              <w:spacing w:after="0" w:line="240" w:lineRule="auto"/>
              <w:jc w:val="center"/>
              <w:rPr>
                <w:rFonts w:eastAsia="Times New Roman" w:cs="Times New Roman"/>
                <w:bCs/>
                <w:color w:val="000000"/>
                <w:szCs w:val="24"/>
                <w:lang w:eastAsia="en-MY"/>
              </w:rPr>
            </w:pPr>
            <w:r w:rsidRPr="00670E27">
              <w:rPr>
                <w:rFonts w:eastAsia="Times New Roman" w:cs="Times New Roman"/>
                <w:bCs/>
                <w:color w:val="000000"/>
                <w:szCs w:val="24"/>
                <w:lang w:eastAsia="en-MY"/>
              </w:rPr>
              <w:t>N</w:t>
            </w:r>
            <w:r w:rsidRPr="00670E27">
              <w:rPr>
                <w:rFonts w:eastAsia="Times New Roman" w:cs="Times New Roman"/>
                <w:bCs/>
                <w:color w:val="000000"/>
                <w:szCs w:val="24"/>
                <w:vertAlign w:val="subscript"/>
                <w:lang w:eastAsia="en-MY"/>
              </w:rPr>
              <w:t>10</w:t>
            </w:r>
            <w:r w:rsidRPr="00670E27">
              <w:rPr>
                <w:rFonts w:eastAsia="Times New Roman" w:cs="Times New Roman"/>
                <w:bCs/>
                <w:color w:val="000000"/>
                <w:szCs w:val="24"/>
                <w:lang w:eastAsia="en-MY"/>
              </w:rPr>
              <w:t>C</w:t>
            </w:r>
            <w:r w:rsidRPr="00670E27">
              <w:rPr>
                <w:rFonts w:eastAsia="Times New Roman" w:cs="Times New Roman"/>
                <w:bCs/>
                <w:color w:val="000000"/>
                <w:szCs w:val="24"/>
                <w:vertAlign w:val="subscript"/>
                <w:lang w:eastAsia="en-MY"/>
              </w:rPr>
              <w:t>x</w:t>
            </w:r>
            <w:r w:rsidRPr="00670E27">
              <w:rPr>
                <w:rFonts w:eastAsia="Times New Roman" w:cs="Times New Roman"/>
                <w:bCs/>
                <w:color w:val="000000"/>
                <w:szCs w:val="24"/>
                <w:lang w:eastAsia="en-MY"/>
              </w:rPr>
              <w:t>Ba</w:t>
            </w:r>
            <w:r w:rsidRPr="00670E27">
              <w:rPr>
                <w:rFonts w:eastAsia="Times New Roman" w:cs="Times New Roman"/>
                <w:bCs/>
                <w:color w:val="000000"/>
                <w:szCs w:val="24"/>
                <w:vertAlign w:val="subscript"/>
                <w:lang w:eastAsia="en-MY"/>
              </w:rPr>
              <w:t>2</w:t>
            </w:r>
            <w:r w:rsidRPr="00670E27">
              <w:rPr>
                <w:rFonts w:eastAsia="Times New Roman" w:cs="Times New Roman"/>
                <w:bCs/>
                <w:color w:val="000000"/>
                <w:szCs w:val="24"/>
                <w:lang w:eastAsia="en-MY"/>
              </w:rPr>
              <w:t>A</w:t>
            </w:r>
            <w:r w:rsidRPr="00670E27">
              <w:rPr>
                <w:rFonts w:eastAsia="Times New Roman" w:cs="Times New Roman"/>
                <w:bCs/>
                <w:color w:val="000000"/>
                <w:szCs w:val="24"/>
                <w:vertAlign w:val="subscript"/>
                <w:lang w:eastAsia="en-MY"/>
              </w:rPr>
              <w:t>y</w:t>
            </w:r>
            <w:r w:rsidRPr="00670E27">
              <w:rPr>
                <w:rFonts w:eastAsia="Times New Roman" w:cs="Times New Roman"/>
                <w:bCs/>
                <w:color w:val="000000"/>
                <w:szCs w:val="24"/>
                <w:lang w:eastAsia="en-MY"/>
              </w:rPr>
              <w:t>B</w:t>
            </w:r>
            <w:r w:rsidRPr="00670E27">
              <w:rPr>
                <w:rFonts w:eastAsia="Times New Roman" w:cs="Times New Roman"/>
                <w:bCs/>
                <w:color w:val="000000"/>
                <w:szCs w:val="24"/>
                <w:vertAlign w:val="subscript"/>
                <w:lang w:eastAsia="en-MY"/>
              </w:rPr>
              <w:t>10</w:t>
            </w:r>
            <w:r w:rsidRPr="00670E27">
              <w:rPr>
                <w:rFonts w:eastAsia="Times New Roman" w:cs="Times New Roman"/>
                <w:bCs/>
                <w:color w:val="000000"/>
                <w:szCs w:val="24"/>
                <w:lang w:eastAsia="en-MY"/>
              </w:rPr>
              <w:t>S</w:t>
            </w:r>
            <w:r w:rsidRPr="00670E27">
              <w:rPr>
                <w:rFonts w:eastAsia="Times New Roman" w:cs="Times New Roman"/>
                <w:bCs/>
                <w:color w:val="000000"/>
                <w:szCs w:val="24"/>
                <w:vertAlign w:val="subscript"/>
                <w:lang w:eastAsia="en-MY"/>
              </w:rPr>
              <w:t xml:space="preserve">78-x-y </w:t>
            </w:r>
          </w:p>
        </w:tc>
        <w:tc>
          <w:tcPr>
            <w:tcW w:w="2160" w:type="dxa"/>
            <w:vMerge w:val="restart"/>
            <w:tcBorders>
              <w:top w:val="single" w:sz="4" w:space="0" w:color="auto"/>
              <w:left w:val="nil"/>
              <w:bottom w:val="single" w:sz="4" w:space="0" w:color="000000"/>
              <w:right w:val="nil"/>
            </w:tcBorders>
            <w:shd w:val="clear" w:color="auto" w:fill="auto"/>
            <w:noWrap/>
            <w:vAlign w:val="center"/>
            <w:hideMark/>
          </w:tcPr>
          <w:p w14:paraId="2B18823A"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N</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B</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S</w:t>
            </w:r>
            <w:r w:rsidRPr="00670E27">
              <w:rPr>
                <w:rFonts w:eastAsia="Times New Roman" w:cs="Times New Roman"/>
                <w:b w:val="0"/>
                <w:color w:val="000000"/>
                <w:sz w:val="18"/>
                <w:szCs w:val="18"/>
                <w:vertAlign w:val="subscript"/>
                <w:lang w:eastAsia="en-MY"/>
              </w:rPr>
              <w:t>69.9</w:t>
            </w:r>
            <w:r w:rsidRPr="00670E27">
              <w:rPr>
                <w:rFonts w:eastAsia="Times New Roman" w:cs="Times New Roman"/>
                <w:b w:val="0"/>
                <w:color w:val="000000"/>
                <w:sz w:val="18"/>
                <w:szCs w:val="18"/>
                <w:lang w:eastAsia="en-MY"/>
              </w:rPr>
              <w:t>A</w:t>
            </w:r>
            <w:r w:rsidRPr="00670E27">
              <w:rPr>
                <w:rFonts w:eastAsia="Times New Roman" w:cs="Times New Roman"/>
                <w:b w:val="0"/>
                <w:color w:val="000000"/>
                <w:sz w:val="18"/>
                <w:szCs w:val="18"/>
                <w:vertAlign w:val="subscript"/>
                <w:lang w:eastAsia="en-MY"/>
              </w:rPr>
              <w:t>5.7</w:t>
            </w:r>
            <w:r w:rsidRPr="00670E27">
              <w:rPr>
                <w:rFonts w:eastAsia="Times New Roman" w:cs="Times New Roman"/>
                <w:b w:val="0"/>
                <w:color w:val="000000"/>
                <w:sz w:val="18"/>
                <w:szCs w:val="18"/>
                <w:lang w:eastAsia="en-MY"/>
              </w:rPr>
              <w:t>Ba</w:t>
            </w:r>
            <w:r w:rsidRPr="00670E27">
              <w:rPr>
                <w:rFonts w:eastAsia="Times New Roman" w:cs="Times New Roman"/>
                <w:b w:val="0"/>
                <w:color w:val="000000"/>
                <w:sz w:val="18"/>
                <w:szCs w:val="18"/>
                <w:vertAlign w:val="subscript"/>
                <w:lang w:eastAsia="en-MY"/>
              </w:rPr>
              <w:t>2</w:t>
            </w:r>
            <w:r w:rsidRPr="00670E27">
              <w:rPr>
                <w:rFonts w:eastAsia="Times New Roman" w:cs="Times New Roman"/>
                <w:b w:val="0"/>
                <w:color w:val="000000"/>
                <w:sz w:val="18"/>
                <w:szCs w:val="18"/>
                <w:lang w:eastAsia="en-MY"/>
              </w:rPr>
              <w:t>C</w:t>
            </w:r>
            <w:r w:rsidRPr="00670E27">
              <w:rPr>
                <w:rFonts w:eastAsia="Times New Roman" w:cs="Times New Roman"/>
                <w:b w:val="0"/>
                <w:color w:val="000000"/>
                <w:sz w:val="18"/>
                <w:szCs w:val="18"/>
                <w:vertAlign w:val="subscript"/>
                <w:lang w:eastAsia="en-MY"/>
              </w:rPr>
              <w:t>2.4</w:t>
            </w:r>
          </w:p>
        </w:tc>
        <w:tc>
          <w:tcPr>
            <w:tcW w:w="3420" w:type="dxa"/>
            <w:tcBorders>
              <w:top w:val="nil"/>
              <w:left w:val="nil"/>
              <w:bottom w:val="nil"/>
              <w:right w:val="nil"/>
            </w:tcBorders>
            <w:shd w:val="clear" w:color="auto" w:fill="auto"/>
            <w:noWrap/>
            <w:vAlign w:val="center"/>
            <w:hideMark/>
          </w:tcPr>
          <w:p w14:paraId="6648B88B"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0EDCA5A9"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64.24</w:t>
            </w:r>
          </w:p>
        </w:tc>
        <w:tc>
          <w:tcPr>
            <w:tcW w:w="960" w:type="dxa"/>
            <w:tcBorders>
              <w:top w:val="nil"/>
              <w:left w:val="nil"/>
              <w:bottom w:val="nil"/>
              <w:right w:val="nil"/>
            </w:tcBorders>
            <w:shd w:val="clear" w:color="auto" w:fill="auto"/>
            <w:noWrap/>
            <w:vAlign w:val="center"/>
            <w:hideMark/>
          </w:tcPr>
          <w:p w14:paraId="41CBECDB"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8.89</w:t>
            </w:r>
          </w:p>
        </w:tc>
        <w:tc>
          <w:tcPr>
            <w:tcW w:w="960" w:type="dxa"/>
            <w:tcBorders>
              <w:top w:val="nil"/>
              <w:left w:val="nil"/>
              <w:bottom w:val="nil"/>
              <w:right w:val="nil"/>
            </w:tcBorders>
            <w:shd w:val="clear" w:color="auto" w:fill="auto"/>
            <w:noWrap/>
            <w:vAlign w:val="center"/>
            <w:hideMark/>
          </w:tcPr>
          <w:p w14:paraId="474A6AB2"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10.65</w:t>
            </w:r>
          </w:p>
        </w:tc>
        <w:tc>
          <w:tcPr>
            <w:tcW w:w="960" w:type="dxa"/>
            <w:tcBorders>
              <w:top w:val="nil"/>
              <w:left w:val="nil"/>
              <w:bottom w:val="nil"/>
              <w:right w:val="nil"/>
            </w:tcBorders>
            <w:shd w:val="clear" w:color="auto" w:fill="auto"/>
            <w:noWrap/>
            <w:vAlign w:val="center"/>
            <w:hideMark/>
          </w:tcPr>
          <w:p w14:paraId="0CEC000A"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9.48</w:t>
            </w:r>
          </w:p>
        </w:tc>
        <w:tc>
          <w:tcPr>
            <w:tcW w:w="960" w:type="dxa"/>
            <w:tcBorders>
              <w:top w:val="nil"/>
              <w:left w:val="nil"/>
              <w:bottom w:val="nil"/>
              <w:right w:val="nil"/>
            </w:tcBorders>
            <w:shd w:val="clear" w:color="auto" w:fill="auto"/>
            <w:noWrap/>
            <w:vAlign w:val="center"/>
            <w:hideMark/>
          </w:tcPr>
          <w:p w14:paraId="54CA3D26"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2.06</w:t>
            </w:r>
          </w:p>
        </w:tc>
        <w:tc>
          <w:tcPr>
            <w:tcW w:w="960" w:type="dxa"/>
            <w:tcBorders>
              <w:top w:val="nil"/>
              <w:left w:val="nil"/>
              <w:bottom w:val="nil"/>
              <w:right w:val="nil"/>
            </w:tcBorders>
            <w:shd w:val="clear" w:color="auto" w:fill="auto"/>
            <w:noWrap/>
            <w:vAlign w:val="center"/>
            <w:hideMark/>
          </w:tcPr>
          <w:p w14:paraId="6D98B983"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1711C736"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4.69</w:t>
            </w:r>
          </w:p>
        </w:tc>
        <w:tc>
          <w:tcPr>
            <w:tcW w:w="760" w:type="dxa"/>
            <w:tcBorders>
              <w:top w:val="nil"/>
              <w:left w:val="nil"/>
              <w:bottom w:val="nil"/>
              <w:right w:val="nil"/>
            </w:tcBorders>
            <w:shd w:val="clear" w:color="auto" w:fill="auto"/>
            <w:noWrap/>
            <w:vAlign w:val="center"/>
            <w:hideMark/>
          </w:tcPr>
          <w:p w14:paraId="20141665"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860" w:type="dxa"/>
            <w:tcBorders>
              <w:top w:val="nil"/>
              <w:left w:val="nil"/>
              <w:bottom w:val="nil"/>
              <w:right w:val="nil"/>
            </w:tcBorders>
            <w:shd w:val="clear" w:color="auto" w:fill="auto"/>
            <w:noWrap/>
            <w:vAlign w:val="center"/>
            <w:hideMark/>
          </w:tcPr>
          <w:p w14:paraId="3DABE7E0"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7DE996A1" w14:textId="77777777" w:rsidTr="00B11F5F">
        <w:trPr>
          <w:trHeight w:val="300"/>
        </w:trPr>
        <w:tc>
          <w:tcPr>
            <w:tcW w:w="620" w:type="dxa"/>
            <w:vMerge/>
            <w:tcBorders>
              <w:top w:val="nil"/>
              <w:left w:val="nil"/>
              <w:bottom w:val="nil"/>
              <w:right w:val="nil"/>
            </w:tcBorders>
            <w:vAlign w:val="center"/>
            <w:hideMark/>
          </w:tcPr>
          <w:p w14:paraId="0ACDAAE2"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single" w:sz="4" w:space="0" w:color="auto"/>
              <w:left w:val="nil"/>
              <w:bottom w:val="single" w:sz="4" w:space="0" w:color="000000"/>
              <w:right w:val="nil"/>
            </w:tcBorders>
            <w:vAlign w:val="center"/>
            <w:hideMark/>
          </w:tcPr>
          <w:p w14:paraId="0F215DC5"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0E1714DA"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2687B136"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55.61</w:t>
            </w:r>
          </w:p>
        </w:tc>
        <w:tc>
          <w:tcPr>
            <w:tcW w:w="960" w:type="dxa"/>
            <w:tcBorders>
              <w:top w:val="nil"/>
              <w:left w:val="nil"/>
              <w:bottom w:val="nil"/>
              <w:right w:val="nil"/>
            </w:tcBorders>
            <w:shd w:val="clear" w:color="auto" w:fill="auto"/>
            <w:noWrap/>
            <w:vAlign w:val="center"/>
            <w:hideMark/>
          </w:tcPr>
          <w:p w14:paraId="3EA61911"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20.16</w:t>
            </w:r>
          </w:p>
        </w:tc>
        <w:tc>
          <w:tcPr>
            <w:tcW w:w="960" w:type="dxa"/>
            <w:tcBorders>
              <w:top w:val="nil"/>
              <w:left w:val="nil"/>
              <w:bottom w:val="nil"/>
              <w:right w:val="nil"/>
            </w:tcBorders>
            <w:shd w:val="clear" w:color="auto" w:fill="auto"/>
            <w:noWrap/>
            <w:vAlign w:val="center"/>
            <w:hideMark/>
          </w:tcPr>
          <w:p w14:paraId="051C80B7"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10.00</w:t>
            </w:r>
          </w:p>
        </w:tc>
        <w:tc>
          <w:tcPr>
            <w:tcW w:w="960" w:type="dxa"/>
            <w:tcBorders>
              <w:top w:val="nil"/>
              <w:left w:val="nil"/>
              <w:bottom w:val="nil"/>
              <w:right w:val="nil"/>
            </w:tcBorders>
            <w:shd w:val="clear" w:color="auto" w:fill="auto"/>
            <w:noWrap/>
            <w:vAlign w:val="center"/>
            <w:hideMark/>
          </w:tcPr>
          <w:p w14:paraId="3182904C"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7.34</w:t>
            </w:r>
          </w:p>
        </w:tc>
        <w:tc>
          <w:tcPr>
            <w:tcW w:w="960" w:type="dxa"/>
            <w:tcBorders>
              <w:top w:val="nil"/>
              <w:left w:val="nil"/>
              <w:bottom w:val="nil"/>
              <w:right w:val="nil"/>
            </w:tcBorders>
            <w:shd w:val="clear" w:color="auto" w:fill="auto"/>
            <w:noWrap/>
            <w:vAlign w:val="center"/>
            <w:hideMark/>
          </w:tcPr>
          <w:p w14:paraId="78E686B4"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1.94</w:t>
            </w:r>
          </w:p>
        </w:tc>
        <w:tc>
          <w:tcPr>
            <w:tcW w:w="960" w:type="dxa"/>
            <w:tcBorders>
              <w:top w:val="nil"/>
              <w:left w:val="nil"/>
              <w:bottom w:val="nil"/>
              <w:right w:val="nil"/>
            </w:tcBorders>
            <w:shd w:val="clear" w:color="auto" w:fill="auto"/>
            <w:noWrap/>
            <w:vAlign w:val="center"/>
            <w:hideMark/>
          </w:tcPr>
          <w:p w14:paraId="3ECA9217"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7C534901"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3.92</w:t>
            </w:r>
          </w:p>
        </w:tc>
        <w:tc>
          <w:tcPr>
            <w:tcW w:w="760" w:type="dxa"/>
            <w:tcBorders>
              <w:top w:val="nil"/>
              <w:left w:val="nil"/>
              <w:bottom w:val="nil"/>
              <w:right w:val="nil"/>
            </w:tcBorders>
            <w:shd w:val="clear" w:color="auto" w:fill="auto"/>
            <w:noWrap/>
            <w:vAlign w:val="center"/>
            <w:hideMark/>
          </w:tcPr>
          <w:p w14:paraId="2224A499"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0.03</w:t>
            </w:r>
          </w:p>
        </w:tc>
        <w:tc>
          <w:tcPr>
            <w:tcW w:w="860" w:type="dxa"/>
            <w:tcBorders>
              <w:top w:val="nil"/>
              <w:left w:val="nil"/>
              <w:bottom w:val="nil"/>
              <w:right w:val="nil"/>
            </w:tcBorders>
            <w:shd w:val="clear" w:color="auto" w:fill="auto"/>
            <w:noWrap/>
            <w:vAlign w:val="center"/>
            <w:hideMark/>
          </w:tcPr>
          <w:p w14:paraId="72CB5786"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1.01</w:t>
            </w:r>
          </w:p>
        </w:tc>
      </w:tr>
      <w:tr w:rsidR="00D740DC" w:rsidRPr="00670E27" w14:paraId="2F90F1A4" w14:textId="77777777" w:rsidTr="00B11F5F">
        <w:trPr>
          <w:trHeight w:val="300"/>
        </w:trPr>
        <w:tc>
          <w:tcPr>
            <w:tcW w:w="620" w:type="dxa"/>
            <w:vMerge/>
            <w:tcBorders>
              <w:top w:val="nil"/>
              <w:left w:val="nil"/>
              <w:bottom w:val="nil"/>
              <w:right w:val="nil"/>
            </w:tcBorders>
            <w:vAlign w:val="center"/>
            <w:hideMark/>
          </w:tcPr>
          <w:p w14:paraId="05448E83"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single" w:sz="4" w:space="0" w:color="auto"/>
              <w:left w:val="nil"/>
              <w:bottom w:val="single" w:sz="4" w:space="0" w:color="000000"/>
              <w:right w:val="nil"/>
            </w:tcBorders>
            <w:vAlign w:val="center"/>
            <w:hideMark/>
          </w:tcPr>
          <w:p w14:paraId="321BD9FC"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71865A55"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4A445B2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55.61</w:t>
            </w:r>
          </w:p>
        </w:tc>
        <w:tc>
          <w:tcPr>
            <w:tcW w:w="960" w:type="dxa"/>
            <w:tcBorders>
              <w:top w:val="nil"/>
              <w:left w:val="nil"/>
              <w:bottom w:val="nil"/>
              <w:right w:val="nil"/>
            </w:tcBorders>
            <w:shd w:val="clear" w:color="auto" w:fill="auto"/>
            <w:noWrap/>
            <w:vAlign w:val="center"/>
            <w:hideMark/>
          </w:tcPr>
          <w:p w14:paraId="3B69ACC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20.16</w:t>
            </w:r>
          </w:p>
        </w:tc>
        <w:tc>
          <w:tcPr>
            <w:tcW w:w="960" w:type="dxa"/>
            <w:tcBorders>
              <w:top w:val="nil"/>
              <w:left w:val="nil"/>
              <w:bottom w:val="nil"/>
              <w:right w:val="nil"/>
            </w:tcBorders>
            <w:shd w:val="clear" w:color="auto" w:fill="auto"/>
            <w:noWrap/>
            <w:vAlign w:val="center"/>
            <w:hideMark/>
          </w:tcPr>
          <w:p w14:paraId="60161E5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5.00</w:t>
            </w:r>
          </w:p>
        </w:tc>
        <w:tc>
          <w:tcPr>
            <w:tcW w:w="960" w:type="dxa"/>
            <w:tcBorders>
              <w:top w:val="nil"/>
              <w:left w:val="nil"/>
              <w:bottom w:val="nil"/>
              <w:right w:val="nil"/>
            </w:tcBorders>
            <w:shd w:val="clear" w:color="auto" w:fill="auto"/>
            <w:noWrap/>
            <w:vAlign w:val="center"/>
            <w:hideMark/>
          </w:tcPr>
          <w:p w14:paraId="4B95E2F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7.34</w:t>
            </w:r>
          </w:p>
        </w:tc>
        <w:tc>
          <w:tcPr>
            <w:tcW w:w="960" w:type="dxa"/>
            <w:tcBorders>
              <w:top w:val="nil"/>
              <w:left w:val="nil"/>
              <w:bottom w:val="nil"/>
              <w:right w:val="nil"/>
            </w:tcBorders>
            <w:shd w:val="clear" w:color="auto" w:fill="auto"/>
            <w:noWrap/>
            <w:vAlign w:val="center"/>
            <w:hideMark/>
          </w:tcPr>
          <w:p w14:paraId="5030F9E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1.94</w:t>
            </w:r>
          </w:p>
        </w:tc>
        <w:tc>
          <w:tcPr>
            <w:tcW w:w="960" w:type="dxa"/>
            <w:tcBorders>
              <w:top w:val="nil"/>
              <w:left w:val="nil"/>
              <w:bottom w:val="nil"/>
              <w:right w:val="nil"/>
            </w:tcBorders>
            <w:shd w:val="clear" w:color="auto" w:fill="auto"/>
            <w:noWrap/>
            <w:vAlign w:val="center"/>
            <w:hideMark/>
          </w:tcPr>
          <w:p w14:paraId="01EF89B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5D828B1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3.92</w:t>
            </w:r>
          </w:p>
        </w:tc>
        <w:tc>
          <w:tcPr>
            <w:tcW w:w="760" w:type="dxa"/>
            <w:tcBorders>
              <w:top w:val="nil"/>
              <w:left w:val="nil"/>
              <w:bottom w:val="nil"/>
              <w:right w:val="nil"/>
            </w:tcBorders>
            <w:shd w:val="clear" w:color="auto" w:fill="auto"/>
            <w:noWrap/>
            <w:vAlign w:val="center"/>
            <w:hideMark/>
          </w:tcPr>
          <w:p w14:paraId="741FD7B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0.03</w:t>
            </w:r>
          </w:p>
        </w:tc>
        <w:tc>
          <w:tcPr>
            <w:tcW w:w="860" w:type="dxa"/>
            <w:tcBorders>
              <w:top w:val="nil"/>
              <w:left w:val="nil"/>
              <w:bottom w:val="nil"/>
              <w:right w:val="nil"/>
            </w:tcBorders>
            <w:shd w:val="clear" w:color="auto" w:fill="auto"/>
            <w:noWrap/>
            <w:vAlign w:val="center"/>
            <w:hideMark/>
          </w:tcPr>
          <w:p w14:paraId="04A4565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1.01</w:t>
            </w:r>
          </w:p>
        </w:tc>
      </w:tr>
      <w:tr w:rsidR="00D740DC" w:rsidRPr="00670E27" w14:paraId="7E11D5EA" w14:textId="77777777" w:rsidTr="00B11F5F">
        <w:trPr>
          <w:trHeight w:val="300"/>
        </w:trPr>
        <w:tc>
          <w:tcPr>
            <w:tcW w:w="620" w:type="dxa"/>
            <w:vMerge/>
            <w:tcBorders>
              <w:top w:val="nil"/>
              <w:left w:val="nil"/>
              <w:bottom w:val="nil"/>
              <w:right w:val="nil"/>
            </w:tcBorders>
            <w:vAlign w:val="center"/>
            <w:hideMark/>
          </w:tcPr>
          <w:p w14:paraId="6692F698"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single" w:sz="4" w:space="0" w:color="auto"/>
              <w:left w:val="nil"/>
              <w:bottom w:val="single" w:sz="4" w:space="0" w:color="000000"/>
              <w:right w:val="nil"/>
            </w:tcBorders>
            <w:vAlign w:val="center"/>
            <w:hideMark/>
          </w:tcPr>
          <w:p w14:paraId="2F0B1324"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56EA1176"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6CACBD5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58.53</w:t>
            </w:r>
          </w:p>
        </w:tc>
        <w:tc>
          <w:tcPr>
            <w:tcW w:w="960" w:type="dxa"/>
            <w:tcBorders>
              <w:top w:val="nil"/>
              <w:left w:val="nil"/>
              <w:bottom w:val="single" w:sz="4" w:space="0" w:color="auto"/>
              <w:right w:val="nil"/>
            </w:tcBorders>
            <w:shd w:val="clear" w:color="auto" w:fill="auto"/>
            <w:noWrap/>
            <w:vAlign w:val="center"/>
            <w:hideMark/>
          </w:tcPr>
          <w:p w14:paraId="39E8E53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21.22</w:t>
            </w:r>
          </w:p>
        </w:tc>
        <w:tc>
          <w:tcPr>
            <w:tcW w:w="960" w:type="dxa"/>
            <w:tcBorders>
              <w:top w:val="nil"/>
              <w:left w:val="nil"/>
              <w:bottom w:val="single" w:sz="4" w:space="0" w:color="auto"/>
              <w:right w:val="nil"/>
            </w:tcBorders>
            <w:shd w:val="clear" w:color="auto" w:fill="auto"/>
            <w:noWrap/>
            <w:vAlign w:val="center"/>
            <w:hideMark/>
          </w:tcPr>
          <w:p w14:paraId="36AF09D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5.26</w:t>
            </w:r>
          </w:p>
        </w:tc>
        <w:tc>
          <w:tcPr>
            <w:tcW w:w="960" w:type="dxa"/>
            <w:tcBorders>
              <w:top w:val="nil"/>
              <w:left w:val="nil"/>
              <w:bottom w:val="single" w:sz="4" w:space="0" w:color="auto"/>
              <w:right w:val="nil"/>
            </w:tcBorders>
            <w:shd w:val="clear" w:color="auto" w:fill="auto"/>
            <w:noWrap/>
            <w:vAlign w:val="center"/>
            <w:hideMark/>
          </w:tcPr>
          <w:p w14:paraId="741924D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7.73</w:t>
            </w:r>
          </w:p>
        </w:tc>
        <w:tc>
          <w:tcPr>
            <w:tcW w:w="960" w:type="dxa"/>
            <w:tcBorders>
              <w:top w:val="nil"/>
              <w:left w:val="nil"/>
              <w:bottom w:val="single" w:sz="4" w:space="0" w:color="auto"/>
              <w:right w:val="nil"/>
            </w:tcBorders>
            <w:shd w:val="clear" w:color="auto" w:fill="auto"/>
            <w:noWrap/>
            <w:vAlign w:val="center"/>
            <w:hideMark/>
          </w:tcPr>
          <w:p w14:paraId="03A64A1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2.04</w:t>
            </w:r>
          </w:p>
        </w:tc>
        <w:tc>
          <w:tcPr>
            <w:tcW w:w="960" w:type="dxa"/>
            <w:tcBorders>
              <w:top w:val="nil"/>
              <w:left w:val="nil"/>
              <w:bottom w:val="single" w:sz="4" w:space="0" w:color="auto"/>
              <w:right w:val="nil"/>
            </w:tcBorders>
            <w:shd w:val="clear" w:color="auto" w:fill="auto"/>
            <w:noWrap/>
            <w:vAlign w:val="center"/>
            <w:hideMark/>
          </w:tcPr>
          <w:p w14:paraId="1D75C21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49A4468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4.13</w:t>
            </w:r>
          </w:p>
        </w:tc>
        <w:tc>
          <w:tcPr>
            <w:tcW w:w="760" w:type="dxa"/>
            <w:tcBorders>
              <w:top w:val="nil"/>
              <w:left w:val="nil"/>
              <w:bottom w:val="single" w:sz="4" w:space="0" w:color="auto"/>
              <w:right w:val="nil"/>
            </w:tcBorders>
            <w:shd w:val="clear" w:color="auto" w:fill="auto"/>
            <w:noWrap/>
            <w:vAlign w:val="center"/>
            <w:hideMark/>
          </w:tcPr>
          <w:p w14:paraId="3E33404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0.03</w:t>
            </w:r>
          </w:p>
        </w:tc>
        <w:tc>
          <w:tcPr>
            <w:tcW w:w="860" w:type="dxa"/>
            <w:tcBorders>
              <w:top w:val="nil"/>
              <w:left w:val="nil"/>
              <w:bottom w:val="single" w:sz="4" w:space="0" w:color="auto"/>
              <w:right w:val="nil"/>
            </w:tcBorders>
            <w:shd w:val="clear" w:color="auto" w:fill="auto"/>
            <w:noWrap/>
            <w:vAlign w:val="center"/>
            <w:hideMark/>
          </w:tcPr>
          <w:p w14:paraId="4F36A2D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1.06</w:t>
            </w:r>
          </w:p>
        </w:tc>
      </w:tr>
      <w:tr w:rsidR="00D740DC" w:rsidRPr="00670E27" w14:paraId="04F7A97D" w14:textId="77777777" w:rsidTr="00B11F5F">
        <w:trPr>
          <w:trHeight w:val="300"/>
        </w:trPr>
        <w:tc>
          <w:tcPr>
            <w:tcW w:w="620" w:type="dxa"/>
            <w:vMerge/>
            <w:tcBorders>
              <w:top w:val="nil"/>
              <w:left w:val="nil"/>
              <w:bottom w:val="nil"/>
              <w:right w:val="nil"/>
            </w:tcBorders>
            <w:vAlign w:val="center"/>
            <w:hideMark/>
          </w:tcPr>
          <w:p w14:paraId="0D485A9C"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2BC8DC07"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N</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B</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S</w:t>
            </w:r>
            <w:r w:rsidRPr="00670E27">
              <w:rPr>
                <w:rFonts w:eastAsia="Times New Roman" w:cs="Times New Roman"/>
                <w:b w:val="0"/>
                <w:color w:val="000000"/>
                <w:sz w:val="18"/>
                <w:szCs w:val="18"/>
                <w:vertAlign w:val="subscript"/>
                <w:lang w:eastAsia="en-MY"/>
              </w:rPr>
              <w:t>64.3</w:t>
            </w:r>
            <w:r w:rsidRPr="00670E27">
              <w:rPr>
                <w:rFonts w:eastAsia="Times New Roman" w:cs="Times New Roman"/>
                <w:b w:val="0"/>
                <w:color w:val="000000"/>
                <w:sz w:val="18"/>
                <w:szCs w:val="18"/>
                <w:lang w:eastAsia="en-MY"/>
              </w:rPr>
              <w:t>A</w:t>
            </w:r>
            <w:r w:rsidRPr="00670E27">
              <w:rPr>
                <w:rFonts w:eastAsia="Times New Roman" w:cs="Times New Roman"/>
                <w:b w:val="0"/>
                <w:color w:val="000000"/>
                <w:sz w:val="18"/>
                <w:szCs w:val="18"/>
                <w:vertAlign w:val="subscript"/>
                <w:lang w:eastAsia="en-MY"/>
              </w:rPr>
              <w:t>10.1</w:t>
            </w:r>
            <w:r w:rsidRPr="00670E27">
              <w:rPr>
                <w:rFonts w:eastAsia="Times New Roman" w:cs="Times New Roman"/>
                <w:b w:val="0"/>
                <w:color w:val="000000"/>
                <w:sz w:val="18"/>
                <w:szCs w:val="18"/>
                <w:lang w:eastAsia="en-MY"/>
              </w:rPr>
              <w:t>Ba</w:t>
            </w:r>
            <w:r w:rsidRPr="00670E27">
              <w:rPr>
                <w:rFonts w:eastAsia="Times New Roman" w:cs="Times New Roman"/>
                <w:b w:val="0"/>
                <w:color w:val="000000"/>
                <w:sz w:val="18"/>
                <w:szCs w:val="18"/>
                <w:vertAlign w:val="subscript"/>
                <w:lang w:eastAsia="en-MY"/>
              </w:rPr>
              <w:t>2</w:t>
            </w:r>
            <w:r w:rsidRPr="00670E27">
              <w:rPr>
                <w:rFonts w:eastAsia="Times New Roman" w:cs="Times New Roman"/>
                <w:b w:val="0"/>
                <w:color w:val="000000"/>
                <w:sz w:val="18"/>
                <w:szCs w:val="18"/>
                <w:lang w:eastAsia="en-MY"/>
              </w:rPr>
              <w:t>C</w:t>
            </w:r>
            <w:r w:rsidRPr="00670E27">
              <w:rPr>
                <w:rFonts w:eastAsia="Times New Roman" w:cs="Times New Roman"/>
                <w:b w:val="0"/>
                <w:color w:val="000000"/>
                <w:sz w:val="18"/>
                <w:szCs w:val="18"/>
                <w:vertAlign w:val="subscript"/>
                <w:lang w:eastAsia="en-MY"/>
              </w:rPr>
              <w:t>3.6</w:t>
            </w:r>
          </w:p>
        </w:tc>
        <w:tc>
          <w:tcPr>
            <w:tcW w:w="3420" w:type="dxa"/>
            <w:tcBorders>
              <w:top w:val="nil"/>
              <w:left w:val="nil"/>
              <w:bottom w:val="nil"/>
              <w:right w:val="nil"/>
            </w:tcBorders>
            <w:shd w:val="clear" w:color="auto" w:fill="auto"/>
            <w:noWrap/>
            <w:vAlign w:val="center"/>
            <w:hideMark/>
          </w:tcPr>
          <w:p w14:paraId="53ADCBB6"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4D6CF6C8"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57.51</w:t>
            </w:r>
          </w:p>
        </w:tc>
        <w:tc>
          <w:tcPr>
            <w:tcW w:w="960" w:type="dxa"/>
            <w:tcBorders>
              <w:top w:val="nil"/>
              <w:left w:val="nil"/>
              <w:bottom w:val="nil"/>
              <w:right w:val="nil"/>
            </w:tcBorders>
            <w:shd w:val="clear" w:color="auto" w:fill="auto"/>
            <w:noWrap/>
            <w:vAlign w:val="center"/>
            <w:hideMark/>
          </w:tcPr>
          <w:p w14:paraId="6844458C"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15.33</w:t>
            </w:r>
          </w:p>
        </w:tc>
        <w:tc>
          <w:tcPr>
            <w:tcW w:w="960" w:type="dxa"/>
            <w:tcBorders>
              <w:top w:val="nil"/>
              <w:left w:val="nil"/>
              <w:bottom w:val="nil"/>
              <w:right w:val="nil"/>
            </w:tcBorders>
            <w:shd w:val="clear" w:color="auto" w:fill="auto"/>
            <w:noWrap/>
            <w:vAlign w:val="center"/>
            <w:hideMark/>
          </w:tcPr>
          <w:p w14:paraId="1E2D0578"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10.36</w:t>
            </w:r>
          </w:p>
        </w:tc>
        <w:tc>
          <w:tcPr>
            <w:tcW w:w="960" w:type="dxa"/>
            <w:tcBorders>
              <w:top w:val="nil"/>
              <w:left w:val="nil"/>
              <w:bottom w:val="nil"/>
              <w:right w:val="nil"/>
            </w:tcBorders>
            <w:shd w:val="clear" w:color="auto" w:fill="auto"/>
            <w:noWrap/>
            <w:vAlign w:val="center"/>
            <w:hideMark/>
          </w:tcPr>
          <w:p w14:paraId="40379EDE"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9.23</w:t>
            </w:r>
          </w:p>
        </w:tc>
        <w:tc>
          <w:tcPr>
            <w:tcW w:w="960" w:type="dxa"/>
            <w:tcBorders>
              <w:top w:val="nil"/>
              <w:left w:val="nil"/>
              <w:bottom w:val="nil"/>
              <w:right w:val="nil"/>
            </w:tcBorders>
            <w:shd w:val="clear" w:color="auto" w:fill="auto"/>
            <w:noWrap/>
            <w:vAlign w:val="center"/>
            <w:hideMark/>
          </w:tcPr>
          <w:p w14:paraId="30D66F0F"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3.01</w:t>
            </w:r>
          </w:p>
        </w:tc>
        <w:tc>
          <w:tcPr>
            <w:tcW w:w="960" w:type="dxa"/>
            <w:tcBorders>
              <w:top w:val="nil"/>
              <w:left w:val="nil"/>
              <w:bottom w:val="nil"/>
              <w:right w:val="nil"/>
            </w:tcBorders>
            <w:shd w:val="clear" w:color="auto" w:fill="auto"/>
            <w:noWrap/>
            <w:vAlign w:val="center"/>
            <w:hideMark/>
          </w:tcPr>
          <w:p w14:paraId="2D6F6612"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25AB8F4A"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4.56</w:t>
            </w:r>
          </w:p>
        </w:tc>
        <w:tc>
          <w:tcPr>
            <w:tcW w:w="760" w:type="dxa"/>
            <w:tcBorders>
              <w:top w:val="nil"/>
              <w:left w:val="nil"/>
              <w:bottom w:val="nil"/>
              <w:right w:val="nil"/>
            </w:tcBorders>
            <w:shd w:val="clear" w:color="auto" w:fill="auto"/>
            <w:noWrap/>
            <w:vAlign w:val="center"/>
            <w:hideMark/>
          </w:tcPr>
          <w:p w14:paraId="41A4E00D"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860" w:type="dxa"/>
            <w:tcBorders>
              <w:top w:val="nil"/>
              <w:left w:val="nil"/>
              <w:bottom w:val="nil"/>
              <w:right w:val="nil"/>
            </w:tcBorders>
            <w:shd w:val="clear" w:color="auto" w:fill="auto"/>
            <w:noWrap/>
            <w:vAlign w:val="center"/>
            <w:hideMark/>
          </w:tcPr>
          <w:p w14:paraId="6D342837"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34923C64" w14:textId="77777777" w:rsidTr="00B11F5F">
        <w:trPr>
          <w:trHeight w:val="300"/>
        </w:trPr>
        <w:tc>
          <w:tcPr>
            <w:tcW w:w="620" w:type="dxa"/>
            <w:vMerge/>
            <w:tcBorders>
              <w:top w:val="nil"/>
              <w:left w:val="nil"/>
              <w:bottom w:val="nil"/>
              <w:right w:val="nil"/>
            </w:tcBorders>
            <w:vAlign w:val="center"/>
            <w:hideMark/>
          </w:tcPr>
          <w:p w14:paraId="2C2DDC48"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76686EA6"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1F69D4DC"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3A17CDD2"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51.32</w:t>
            </w:r>
          </w:p>
        </w:tc>
        <w:tc>
          <w:tcPr>
            <w:tcW w:w="960" w:type="dxa"/>
            <w:tcBorders>
              <w:top w:val="nil"/>
              <w:left w:val="nil"/>
              <w:bottom w:val="nil"/>
              <w:right w:val="nil"/>
            </w:tcBorders>
            <w:shd w:val="clear" w:color="auto" w:fill="auto"/>
            <w:noWrap/>
            <w:vAlign w:val="center"/>
            <w:hideMark/>
          </w:tcPr>
          <w:p w14:paraId="3E3FB938"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24.53</w:t>
            </w:r>
          </w:p>
        </w:tc>
        <w:tc>
          <w:tcPr>
            <w:tcW w:w="960" w:type="dxa"/>
            <w:tcBorders>
              <w:top w:val="nil"/>
              <w:left w:val="nil"/>
              <w:bottom w:val="nil"/>
              <w:right w:val="nil"/>
            </w:tcBorders>
            <w:shd w:val="clear" w:color="auto" w:fill="auto"/>
            <w:noWrap/>
            <w:vAlign w:val="center"/>
            <w:hideMark/>
          </w:tcPr>
          <w:p w14:paraId="2DB18192"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9.07</w:t>
            </w:r>
          </w:p>
        </w:tc>
        <w:tc>
          <w:tcPr>
            <w:tcW w:w="960" w:type="dxa"/>
            <w:tcBorders>
              <w:top w:val="nil"/>
              <w:left w:val="nil"/>
              <w:bottom w:val="nil"/>
              <w:right w:val="nil"/>
            </w:tcBorders>
            <w:shd w:val="clear" w:color="auto" w:fill="auto"/>
            <w:noWrap/>
            <w:vAlign w:val="center"/>
            <w:hideMark/>
          </w:tcPr>
          <w:p w14:paraId="0DC48AEB"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7.46</w:t>
            </w:r>
          </w:p>
        </w:tc>
        <w:tc>
          <w:tcPr>
            <w:tcW w:w="960" w:type="dxa"/>
            <w:tcBorders>
              <w:top w:val="nil"/>
              <w:left w:val="nil"/>
              <w:bottom w:val="nil"/>
              <w:right w:val="nil"/>
            </w:tcBorders>
            <w:shd w:val="clear" w:color="auto" w:fill="auto"/>
            <w:noWrap/>
            <w:vAlign w:val="center"/>
            <w:hideMark/>
          </w:tcPr>
          <w:p w14:paraId="48121AC9"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2.76</w:t>
            </w:r>
          </w:p>
        </w:tc>
        <w:tc>
          <w:tcPr>
            <w:tcW w:w="960" w:type="dxa"/>
            <w:tcBorders>
              <w:top w:val="nil"/>
              <w:left w:val="nil"/>
              <w:bottom w:val="nil"/>
              <w:right w:val="nil"/>
            </w:tcBorders>
            <w:shd w:val="clear" w:color="auto" w:fill="auto"/>
            <w:noWrap/>
            <w:vAlign w:val="center"/>
            <w:hideMark/>
          </w:tcPr>
          <w:p w14:paraId="799A5A72"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318CC7EB"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3.90</w:t>
            </w:r>
          </w:p>
        </w:tc>
        <w:tc>
          <w:tcPr>
            <w:tcW w:w="760" w:type="dxa"/>
            <w:tcBorders>
              <w:top w:val="nil"/>
              <w:left w:val="nil"/>
              <w:bottom w:val="nil"/>
              <w:right w:val="nil"/>
            </w:tcBorders>
            <w:shd w:val="clear" w:color="auto" w:fill="auto"/>
            <w:noWrap/>
            <w:vAlign w:val="center"/>
            <w:hideMark/>
          </w:tcPr>
          <w:p w14:paraId="00DE49A2"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0.03</w:t>
            </w:r>
          </w:p>
        </w:tc>
        <w:tc>
          <w:tcPr>
            <w:tcW w:w="860" w:type="dxa"/>
            <w:tcBorders>
              <w:top w:val="nil"/>
              <w:left w:val="nil"/>
              <w:bottom w:val="nil"/>
              <w:right w:val="nil"/>
            </w:tcBorders>
            <w:shd w:val="clear" w:color="auto" w:fill="auto"/>
            <w:noWrap/>
            <w:vAlign w:val="center"/>
            <w:hideMark/>
          </w:tcPr>
          <w:p w14:paraId="6ABB755C"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1.36</w:t>
            </w:r>
          </w:p>
        </w:tc>
      </w:tr>
      <w:tr w:rsidR="00D740DC" w:rsidRPr="00670E27" w14:paraId="409C0D5F" w14:textId="77777777" w:rsidTr="00B11F5F">
        <w:trPr>
          <w:trHeight w:val="300"/>
        </w:trPr>
        <w:tc>
          <w:tcPr>
            <w:tcW w:w="620" w:type="dxa"/>
            <w:vMerge/>
            <w:tcBorders>
              <w:top w:val="nil"/>
              <w:left w:val="nil"/>
              <w:bottom w:val="nil"/>
              <w:right w:val="nil"/>
            </w:tcBorders>
            <w:vAlign w:val="center"/>
            <w:hideMark/>
          </w:tcPr>
          <w:p w14:paraId="692391D5"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149E797D"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1EA77379"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1905B23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51.32</w:t>
            </w:r>
          </w:p>
        </w:tc>
        <w:tc>
          <w:tcPr>
            <w:tcW w:w="960" w:type="dxa"/>
            <w:tcBorders>
              <w:top w:val="nil"/>
              <w:left w:val="nil"/>
              <w:bottom w:val="nil"/>
              <w:right w:val="nil"/>
            </w:tcBorders>
            <w:shd w:val="clear" w:color="auto" w:fill="auto"/>
            <w:noWrap/>
            <w:vAlign w:val="center"/>
            <w:hideMark/>
          </w:tcPr>
          <w:p w14:paraId="0A939A5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24.53</w:t>
            </w:r>
          </w:p>
        </w:tc>
        <w:tc>
          <w:tcPr>
            <w:tcW w:w="960" w:type="dxa"/>
            <w:tcBorders>
              <w:top w:val="nil"/>
              <w:left w:val="nil"/>
              <w:bottom w:val="nil"/>
              <w:right w:val="nil"/>
            </w:tcBorders>
            <w:shd w:val="clear" w:color="auto" w:fill="auto"/>
            <w:noWrap/>
            <w:vAlign w:val="center"/>
            <w:hideMark/>
          </w:tcPr>
          <w:p w14:paraId="5B95B13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4.54</w:t>
            </w:r>
          </w:p>
        </w:tc>
        <w:tc>
          <w:tcPr>
            <w:tcW w:w="960" w:type="dxa"/>
            <w:tcBorders>
              <w:top w:val="nil"/>
              <w:left w:val="nil"/>
              <w:bottom w:val="nil"/>
              <w:right w:val="nil"/>
            </w:tcBorders>
            <w:shd w:val="clear" w:color="auto" w:fill="auto"/>
            <w:noWrap/>
            <w:vAlign w:val="center"/>
            <w:hideMark/>
          </w:tcPr>
          <w:p w14:paraId="18BC2CC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7.46</w:t>
            </w:r>
          </w:p>
        </w:tc>
        <w:tc>
          <w:tcPr>
            <w:tcW w:w="960" w:type="dxa"/>
            <w:tcBorders>
              <w:top w:val="nil"/>
              <w:left w:val="nil"/>
              <w:bottom w:val="nil"/>
              <w:right w:val="nil"/>
            </w:tcBorders>
            <w:shd w:val="clear" w:color="auto" w:fill="auto"/>
            <w:noWrap/>
            <w:vAlign w:val="center"/>
            <w:hideMark/>
          </w:tcPr>
          <w:p w14:paraId="060E7EB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2.76</w:t>
            </w:r>
          </w:p>
        </w:tc>
        <w:tc>
          <w:tcPr>
            <w:tcW w:w="960" w:type="dxa"/>
            <w:tcBorders>
              <w:top w:val="nil"/>
              <w:left w:val="nil"/>
              <w:bottom w:val="nil"/>
              <w:right w:val="nil"/>
            </w:tcBorders>
            <w:shd w:val="clear" w:color="auto" w:fill="auto"/>
            <w:noWrap/>
            <w:vAlign w:val="center"/>
            <w:hideMark/>
          </w:tcPr>
          <w:p w14:paraId="751F598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4EBAEC0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3.90</w:t>
            </w:r>
          </w:p>
        </w:tc>
        <w:tc>
          <w:tcPr>
            <w:tcW w:w="760" w:type="dxa"/>
            <w:tcBorders>
              <w:top w:val="nil"/>
              <w:left w:val="nil"/>
              <w:bottom w:val="nil"/>
              <w:right w:val="nil"/>
            </w:tcBorders>
            <w:shd w:val="clear" w:color="auto" w:fill="auto"/>
            <w:noWrap/>
            <w:vAlign w:val="center"/>
            <w:hideMark/>
          </w:tcPr>
          <w:p w14:paraId="73FDD42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0.03</w:t>
            </w:r>
          </w:p>
        </w:tc>
        <w:tc>
          <w:tcPr>
            <w:tcW w:w="860" w:type="dxa"/>
            <w:tcBorders>
              <w:top w:val="nil"/>
              <w:left w:val="nil"/>
              <w:bottom w:val="nil"/>
              <w:right w:val="nil"/>
            </w:tcBorders>
            <w:shd w:val="clear" w:color="auto" w:fill="auto"/>
            <w:noWrap/>
            <w:vAlign w:val="center"/>
            <w:hideMark/>
          </w:tcPr>
          <w:p w14:paraId="6BC0056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1.36</w:t>
            </w:r>
          </w:p>
        </w:tc>
      </w:tr>
      <w:tr w:rsidR="00D740DC" w:rsidRPr="00670E27" w14:paraId="103C39B5" w14:textId="77777777" w:rsidTr="00B11F5F">
        <w:trPr>
          <w:trHeight w:val="300"/>
        </w:trPr>
        <w:tc>
          <w:tcPr>
            <w:tcW w:w="620" w:type="dxa"/>
            <w:vMerge/>
            <w:tcBorders>
              <w:top w:val="nil"/>
              <w:left w:val="nil"/>
              <w:bottom w:val="nil"/>
              <w:right w:val="nil"/>
            </w:tcBorders>
            <w:vAlign w:val="center"/>
            <w:hideMark/>
          </w:tcPr>
          <w:p w14:paraId="3DB9BDF8"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19B99F60"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0123D5E8"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56D1E95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53.52</w:t>
            </w:r>
          </w:p>
        </w:tc>
        <w:tc>
          <w:tcPr>
            <w:tcW w:w="960" w:type="dxa"/>
            <w:tcBorders>
              <w:top w:val="nil"/>
              <w:left w:val="nil"/>
              <w:bottom w:val="single" w:sz="4" w:space="0" w:color="auto"/>
              <w:right w:val="nil"/>
            </w:tcBorders>
            <w:shd w:val="clear" w:color="auto" w:fill="auto"/>
            <w:noWrap/>
            <w:vAlign w:val="center"/>
            <w:hideMark/>
          </w:tcPr>
          <w:p w14:paraId="4DF09F9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25.58</w:t>
            </w:r>
          </w:p>
        </w:tc>
        <w:tc>
          <w:tcPr>
            <w:tcW w:w="960" w:type="dxa"/>
            <w:tcBorders>
              <w:top w:val="nil"/>
              <w:left w:val="nil"/>
              <w:bottom w:val="single" w:sz="4" w:space="0" w:color="auto"/>
              <w:right w:val="nil"/>
            </w:tcBorders>
            <w:shd w:val="clear" w:color="auto" w:fill="auto"/>
            <w:noWrap/>
            <w:vAlign w:val="center"/>
            <w:hideMark/>
          </w:tcPr>
          <w:p w14:paraId="23266C7F"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4.73</w:t>
            </w:r>
          </w:p>
        </w:tc>
        <w:tc>
          <w:tcPr>
            <w:tcW w:w="960" w:type="dxa"/>
            <w:tcBorders>
              <w:top w:val="nil"/>
              <w:left w:val="nil"/>
              <w:bottom w:val="single" w:sz="4" w:space="0" w:color="auto"/>
              <w:right w:val="nil"/>
            </w:tcBorders>
            <w:shd w:val="clear" w:color="auto" w:fill="auto"/>
            <w:noWrap/>
            <w:vAlign w:val="center"/>
            <w:hideMark/>
          </w:tcPr>
          <w:p w14:paraId="141D106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7.77</w:t>
            </w:r>
          </w:p>
        </w:tc>
        <w:tc>
          <w:tcPr>
            <w:tcW w:w="960" w:type="dxa"/>
            <w:tcBorders>
              <w:top w:val="nil"/>
              <w:left w:val="nil"/>
              <w:bottom w:val="single" w:sz="4" w:space="0" w:color="auto"/>
              <w:right w:val="nil"/>
            </w:tcBorders>
            <w:shd w:val="clear" w:color="auto" w:fill="auto"/>
            <w:noWrap/>
            <w:vAlign w:val="center"/>
            <w:hideMark/>
          </w:tcPr>
          <w:p w14:paraId="3A0B88E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2.88</w:t>
            </w:r>
          </w:p>
        </w:tc>
        <w:tc>
          <w:tcPr>
            <w:tcW w:w="960" w:type="dxa"/>
            <w:tcBorders>
              <w:top w:val="nil"/>
              <w:left w:val="nil"/>
              <w:bottom w:val="single" w:sz="4" w:space="0" w:color="auto"/>
              <w:right w:val="nil"/>
            </w:tcBorders>
            <w:shd w:val="clear" w:color="auto" w:fill="auto"/>
            <w:noWrap/>
            <w:vAlign w:val="center"/>
            <w:hideMark/>
          </w:tcPr>
          <w:p w14:paraId="678FC9F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12436CC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4.07</w:t>
            </w:r>
          </w:p>
        </w:tc>
        <w:tc>
          <w:tcPr>
            <w:tcW w:w="760" w:type="dxa"/>
            <w:tcBorders>
              <w:top w:val="nil"/>
              <w:left w:val="nil"/>
              <w:bottom w:val="single" w:sz="4" w:space="0" w:color="auto"/>
              <w:right w:val="nil"/>
            </w:tcBorders>
            <w:shd w:val="clear" w:color="auto" w:fill="auto"/>
            <w:noWrap/>
            <w:vAlign w:val="center"/>
            <w:hideMark/>
          </w:tcPr>
          <w:p w14:paraId="3FB1180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0.03</w:t>
            </w:r>
          </w:p>
        </w:tc>
        <w:tc>
          <w:tcPr>
            <w:tcW w:w="860" w:type="dxa"/>
            <w:tcBorders>
              <w:top w:val="nil"/>
              <w:left w:val="nil"/>
              <w:bottom w:val="single" w:sz="4" w:space="0" w:color="auto"/>
              <w:right w:val="nil"/>
            </w:tcBorders>
            <w:shd w:val="clear" w:color="auto" w:fill="auto"/>
            <w:noWrap/>
            <w:vAlign w:val="center"/>
            <w:hideMark/>
          </w:tcPr>
          <w:p w14:paraId="07F2FF6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1.42</w:t>
            </w:r>
          </w:p>
        </w:tc>
      </w:tr>
      <w:tr w:rsidR="00D740DC" w:rsidRPr="00670E27" w14:paraId="3FF19C4C" w14:textId="77777777" w:rsidTr="00B11F5F">
        <w:trPr>
          <w:trHeight w:val="300"/>
        </w:trPr>
        <w:tc>
          <w:tcPr>
            <w:tcW w:w="620" w:type="dxa"/>
            <w:vMerge/>
            <w:tcBorders>
              <w:top w:val="nil"/>
              <w:left w:val="nil"/>
              <w:bottom w:val="nil"/>
              <w:right w:val="nil"/>
            </w:tcBorders>
            <w:vAlign w:val="center"/>
            <w:hideMark/>
          </w:tcPr>
          <w:p w14:paraId="717E85D4"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1DE1153F"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N</w:t>
            </w:r>
            <w:r w:rsidRPr="00670E27">
              <w:rPr>
                <w:rFonts w:eastAsia="Times New Roman" w:cs="Times New Roman"/>
                <w:b w:val="0"/>
                <w:color w:val="000000"/>
                <w:sz w:val="18"/>
                <w:szCs w:val="18"/>
                <w:vertAlign w:val="subscript"/>
                <w:lang w:eastAsia="en-MY"/>
              </w:rPr>
              <w:t>15</w:t>
            </w:r>
            <w:r w:rsidRPr="00670E27">
              <w:rPr>
                <w:rFonts w:eastAsia="Times New Roman" w:cs="Times New Roman"/>
                <w:b w:val="0"/>
                <w:color w:val="000000"/>
                <w:sz w:val="18"/>
                <w:szCs w:val="18"/>
                <w:lang w:eastAsia="en-MY"/>
              </w:rPr>
              <w:t>B</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S</w:t>
            </w:r>
            <w:r w:rsidRPr="00670E27">
              <w:rPr>
                <w:rFonts w:eastAsia="Times New Roman" w:cs="Times New Roman"/>
                <w:b w:val="0"/>
                <w:color w:val="000000"/>
                <w:sz w:val="18"/>
                <w:szCs w:val="18"/>
                <w:vertAlign w:val="subscript"/>
                <w:lang w:eastAsia="en-MY"/>
              </w:rPr>
              <w:t>66</w:t>
            </w:r>
            <w:r w:rsidRPr="00670E27">
              <w:rPr>
                <w:rFonts w:eastAsia="Times New Roman" w:cs="Times New Roman"/>
                <w:b w:val="0"/>
                <w:color w:val="000000"/>
                <w:sz w:val="18"/>
                <w:szCs w:val="18"/>
                <w:lang w:eastAsia="en-MY"/>
              </w:rPr>
              <w:t>A</w:t>
            </w:r>
            <w:r w:rsidRPr="00670E27">
              <w:rPr>
                <w:rFonts w:eastAsia="Times New Roman" w:cs="Times New Roman"/>
                <w:b w:val="0"/>
                <w:color w:val="000000"/>
                <w:sz w:val="18"/>
                <w:szCs w:val="18"/>
                <w:vertAlign w:val="subscript"/>
                <w:lang w:eastAsia="en-MY"/>
              </w:rPr>
              <w:t>7.1</w:t>
            </w:r>
            <w:r w:rsidRPr="00670E27">
              <w:rPr>
                <w:rFonts w:eastAsia="Times New Roman" w:cs="Times New Roman"/>
                <w:b w:val="0"/>
                <w:color w:val="000000"/>
                <w:sz w:val="18"/>
                <w:szCs w:val="18"/>
                <w:lang w:eastAsia="en-MY"/>
              </w:rPr>
              <w:t>Ba</w:t>
            </w:r>
            <w:r w:rsidRPr="00670E27">
              <w:rPr>
                <w:rFonts w:eastAsia="Times New Roman" w:cs="Times New Roman"/>
                <w:b w:val="0"/>
                <w:color w:val="000000"/>
                <w:sz w:val="18"/>
                <w:szCs w:val="18"/>
                <w:vertAlign w:val="subscript"/>
                <w:lang w:eastAsia="en-MY"/>
              </w:rPr>
              <w:t>2</w:t>
            </w:r>
            <w:r w:rsidRPr="00670E27">
              <w:rPr>
                <w:rFonts w:eastAsia="Times New Roman" w:cs="Times New Roman"/>
                <w:b w:val="0"/>
                <w:color w:val="000000"/>
                <w:sz w:val="18"/>
                <w:szCs w:val="18"/>
                <w:lang w:eastAsia="en-MY"/>
              </w:rPr>
              <w:t>C</w:t>
            </w:r>
            <w:r w:rsidRPr="00670E27">
              <w:rPr>
                <w:rFonts w:eastAsia="Times New Roman" w:cs="Times New Roman"/>
                <w:b w:val="0"/>
                <w:color w:val="000000"/>
                <w:sz w:val="18"/>
                <w:szCs w:val="18"/>
                <w:vertAlign w:val="subscript"/>
                <w:lang w:eastAsia="en-MY"/>
              </w:rPr>
              <w:t>4.9</w:t>
            </w:r>
          </w:p>
        </w:tc>
        <w:tc>
          <w:tcPr>
            <w:tcW w:w="3420" w:type="dxa"/>
            <w:tcBorders>
              <w:top w:val="nil"/>
              <w:left w:val="nil"/>
              <w:bottom w:val="nil"/>
              <w:right w:val="nil"/>
            </w:tcBorders>
            <w:shd w:val="clear" w:color="auto" w:fill="auto"/>
            <w:noWrap/>
            <w:vAlign w:val="center"/>
            <w:hideMark/>
          </w:tcPr>
          <w:p w14:paraId="5EF8D5D8"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0B30B602"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60.20</w:t>
            </w:r>
          </w:p>
        </w:tc>
        <w:tc>
          <w:tcPr>
            <w:tcW w:w="960" w:type="dxa"/>
            <w:tcBorders>
              <w:top w:val="nil"/>
              <w:left w:val="nil"/>
              <w:bottom w:val="nil"/>
              <w:right w:val="nil"/>
            </w:tcBorders>
            <w:shd w:val="clear" w:color="auto" w:fill="auto"/>
            <w:noWrap/>
            <w:vAlign w:val="center"/>
            <w:hideMark/>
          </w:tcPr>
          <w:p w14:paraId="66C32BD6"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10.99</w:t>
            </w:r>
          </w:p>
        </w:tc>
        <w:tc>
          <w:tcPr>
            <w:tcW w:w="960" w:type="dxa"/>
            <w:tcBorders>
              <w:top w:val="nil"/>
              <w:left w:val="nil"/>
              <w:bottom w:val="nil"/>
              <w:right w:val="nil"/>
            </w:tcBorders>
            <w:shd w:val="clear" w:color="auto" w:fill="auto"/>
            <w:noWrap/>
            <w:vAlign w:val="center"/>
            <w:hideMark/>
          </w:tcPr>
          <w:p w14:paraId="6875AB06"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10.57</w:t>
            </w:r>
          </w:p>
        </w:tc>
        <w:tc>
          <w:tcPr>
            <w:tcW w:w="960" w:type="dxa"/>
            <w:tcBorders>
              <w:top w:val="nil"/>
              <w:left w:val="nil"/>
              <w:bottom w:val="nil"/>
              <w:right w:val="nil"/>
            </w:tcBorders>
            <w:shd w:val="clear" w:color="auto" w:fill="auto"/>
            <w:noWrap/>
            <w:vAlign w:val="center"/>
            <w:hideMark/>
          </w:tcPr>
          <w:p w14:paraId="052EEFCE"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9.41</w:t>
            </w:r>
          </w:p>
        </w:tc>
        <w:tc>
          <w:tcPr>
            <w:tcW w:w="960" w:type="dxa"/>
            <w:tcBorders>
              <w:top w:val="nil"/>
              <w:left w:val="nil"/>
              <w:bottom w:val="nil"/>
              <w:right w:val="nil"/>
            </w:tcBorders>
            <w:shd w:val="clear" w:color="auto" w:fill="auto"/>
            <w:noWrap/>
            <w:vAlign w:val="center"/>
            <w:hideMark/>
          </w:tcPr>
          <w:p w14:paraId="74B27784"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4.17</w:t>
            </w:r>
          </w:p>
        </w:tc>
        <w:tc>
          <w:tcPr>
            <w:tcW w:w="960" w:type="dxa"/>
            <w:tcBorders>
              <w:top w:val="nil"/>
              <w:left w:val="nil"/>
              <w:bottom w:val="nil"/>
              <w:right w:val="nil"/>
            </w:tcBorders>
            <w:shd w:val="clear" w:color="auto" w:fill="auto"/>
            <w:noWrap/>
            <w:vAlign w:val="center"/>
            <w:hideMark/>
          </w:tcPr>
          <w:p w14:paraId="7DA0004E"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7E38AC30"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4.66</w:t>
            </w:r>
          </w:p>
        </w:tc>
        <w:tc>
          <w:tcPr>
            <w:tcW w:w="760" w:type="dxa"/>
            <w:tcBorders>
              <w:top w:val="nil"/>
              <w:left w:val="nil"/>
              <w:bottom w:val="nil"/>
              <w:right w:val="nil"/>
            </w:tcBorders>
            <w:shd w:val="clear" w:color="auto" w:fill="auto"/>
            <w:noWrap/>
            <w:vAlign w:val="center"/>
            <w:hideMark/>
          </w:tcPr>
          <w:p w14:paraId="5F32B761"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860" w:type="dxa"/>
            <w:tcBorders>
              <w:top w:val="nil"/>
              <w:left w:val="nil"/>
              <w:bottom w:val="nil"/>
              <w:right w:val="nil"/>
            </w:tcBorders>
            <w:shd w:val="clear" w:color="auto" w:fill="auto"/>
            <w:noWrap/>
            <w:vAlign w:val="center"/>
            <w:hideMark/>
          </w:tcPr>
          <w:p w14:paraId="37B1ED83"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25C2898D" w14:textId="77777777" w:rsidTr="00B11F5F">
        <w:trPr>
          <w:trHeight w:val="300"/>
        </w:trPr>
        <w:tc>
          <w:tcPr>
            <w:tcW w:w="620" w:type="dxa"/>
            <w:vMerge/>
            <w:tcBorders>
              <w:top w:val="nil"/>
              <w:left w:val="nil"/>
              <w:bottom w:val="nil"/>
              <w:right w:val="nil"/>
            </w:tcBorders>
            <w:vAlign w:val="center"/>
            <w:hideMark/>
          </w:tcPr>
          <w:p w14:paraId="3305E40E"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040ABBC4"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2AD1F70A"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53FF143F"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51.98</w:t>
            </w:r>
          </w:p>
        </w:tc>
        <w:tc>
          <w:tcPr>
            <w:tcW w:w="960" w:type="dxa"/>
            <w:tcBorders>
              <w:top w:val="nil"/>
              <w:left w:val="nil"/>
              <w:bottom w:val="nil"/>
              <w:right w:val="nil"/>
            </w:tcBorders>
            <w:shd w:val="clear" w:color="auto" w:fill="auto"/>
            <w:noWrap/>
            <w:vAlign w:val="center"/>
            <w:hideMark/>
          </w:tcPr>
          <w:p w14:paraId="7BB89803"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24.62</w:t>
            </w:r>
          </w:p>
        </w:tc>
        <w:tc>
          <w:tcPr>
            <w:tcW w:w="960" w:type="dxa"/>
            <w:tcBorders>
              <w:top w:val="nil"/>
              <w:left w:val="nil"/>
              <w:bottom w:val="nil"/>
              <w:right w:val="nil"/>
            </w:tcBorders>
            <w:shd w:val="clear" w:color="auto" w:fill="auto"/>
            <w:noWrap/>
            <w:vAlign w:val="center"/>
            <w:hideMark/>
          </w:tcPr>
          <w:p w14:paraId="73ACB734"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8.30</w:t>
            </w:r>
          </w:p>
        </w:tc>
        <w:tc>
          <w:tcPr>
            <w:tcW w:w="960" w:type="dxa"/>
            <w:tcBorders>
              <w:top w:val="nil"/>
              <w:left w:val="nil"/>
              <w:bottom w:val="nil"/>
              <w:right w:val="nil"/>
            </w:tcBorders>
            <w:shd w:val="clear" w:color="auto" w:fill="auto"/>
            <w:noWrap/>
            <w:vAlign w:val="center"/>
            <w:hideMark/>
          </w:tcPr>
          <w:p w14:paraId="43FD3981"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6.85</w:t>
            </w:r>
          </w:p>
        </w:tc>
        <w:tc>
          <w:tcPr>
            <w:tcW w:w="960" w:type="dxa"/>
            <w:tcBorders>
              <w:top w:val="nil"/>
              <w:left w:val="nil"/>
              <w:bottom w:val="nil"/>
              <w:right w:val="nil"/>
            </w:tcBorders>
            <w:shd w:val="clear" w:color="auto" w:fill="auto"/>
            <w:noWrap/>
            <w:vAlign w:val="center"/>
            <w:hideMark/>
          </w:tcPr>
          <w:p w14:paraId="6493EE31"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3.57</w:t>
            </w:r>
          </w:p>
        </w:tc>
        <w:tc>
          <w:tcPr>
            <w:tcW w:w="960" w:type="dxa"/>
            <w:tcBorders>
              <w:top w:val="nil"/>
              <w:left w:val="nil"/>
              <w:bottom w:val="nil"/>
              <w:right w:val="nil"/>
            </w:tcBorders>
            <w:shd w:val="clear" w:color="auto" w:fill="auto"/>
            <w:noWrap/>
            <w:vAlign w:val="center"/>
            <w:hideMark/>
          </w:tcPr>
          <w:p w14:paraId="1A25AFF6"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32DC21E5" w14:textId="77777777" w:rsidR="00D740DC" w:rsidRPr="00C9418A" w:rsidRDefault="00D740DC" w:rsidP="00B11F5F">
            <w:pPr>
              <w:spacing w:after="0" w:line="240" w:lineRule="auto"/>
              <w:jc w:val="center"/>
              <w:rPr>
                <w:rFonts w:eastAsia="Times New Roman" w:cs="Times New Roman"/>
                <w:b w:val="0"/>
                <w:color w:val="000000"/>
                <w:sz w:val="18"/>
                <w:szCs w:val="18"/>
                <w:lang w:eastAsia="en-MY"/>
              </w:rPr>
            </w:pPr>
            <w:r w:rsidRPr="00C9418A">
              <w:rPr>
                <w:rFonts w:eastAsia="Times New Roman" w:cs="Times New Roman"/>
                <w:b w:val="0"/>
                <w:color w:val="000000"/>
                <w:sz w:val="18"/>
                <w:szCs w:val="18"/>
                <w:lang w:eastAsia="en-MY"/>
              </w:rPr>
              <w:t>3.87</w:t>
            </w:r>
          </w:p>
        </w:tc>
        <w:tc>
          <w:tcPr>
            <w:tcW w:w="760" w:type="dxa"/>
            <w:tcBorders>
              <w:top w:val="nil"/>
              <w:left w:val="nil"/>
              <w:bottom w:val="nil"/>
              <w:right w:val="nil"/>
            </w:tcBorders>
            <w:shd w:val="clear" w:color="auto" w:fill="auto"/>
            <w:noWrap/>
            <w:vAlign w:val="center"/>
            <w:hideMark/>
          </w:tcPr>
          <w:p w14:paraId="420D2A81"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0.02</w:t>
            </w:r>
          </w:p>
        </w:tc>
        <w:tc>
          <w:tcPr>
            <w:tcW w:w="860" w:type="dxa"/>
            <w:tcBorders>
              <w:top w:val="nil"/>
              <w:left w:val="nil"/>
              <w:bottom w:val="nil"/>
              <w:right w:val="nil"/>
            </w:tcBorders>
            <w:shd w:val="clear" w:color="auto" w:fill="auto"/>
            <w:noWrap/>
            <w:vAlign w:val="center"/>
            <w:hideMark/>
          </w:tcPr>
          <w:p w14:paraId="0E246850"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0.79</w:t>
            </w:r>
          </w:p>
        </w:tc>
      </w:tr>
      <w:tr w:rsidR="00D740DC" w:rsidRPr="00670E27" w14:paraId="0DB654B2" w14:textId="77777777" w:rsidTr="00B11F5F">
        <w:trPr>
          <w:trHeight w:val="300"/>
        </w:trPr>
        <w:tc>
          <w:tcPr>
            <w:tcW w:w="620" w:type="dxa"/>
            <w:vMerge/>
            <w:tcBorders>
              <w:top w:val="nil"/>
              <w:left w:val="nil"/>
              <w:bottom w:val="nil"/>
              <w:right w:val="nil"/>
            </w:tcBorders>
            <w:vAlign w:val="center"/>
            <w:hideMark/>
          </w:tcPr>
          <w:p w14:paraId="33239A73"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77E8F867"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3F8E8453"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5977363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51.98</w:t>
            </w:r>
          </w:p>
        </w:tc>
        <w:tc>
          <w:tcPr>
            <w:tcW w:w="960" w:type="dxa"/>
            <w:tcBorders>
              <w:top w:val="nil"/>
              <w:left w:val="nil"/>
              <w:bottom w:val="nil"/>
              <w:right w:val="nil"/>
            </w:tcBorders>
            <w:shd w:val="clear" w:color="auto" w:fill="auto"/>
            <w:noWrap/>
            <w:vAlign w:val="center"/>
            <w:hideMark/>
          </w:tcPr>
          <w:p w14:paraId="4D67186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24.62</w:t>
            </w:r>
          </w:p>
        </w:tc>
        <w:tc>
          <w:tcPr>
            <w:tcW w:w="960" w:type="dxa"/>
            <w:tcBorders>
              <w:top w:val="nil"/>
              <w:left w:val="nil"/>
              <w:bottom w:val="nil"/>
              <w:right w:val="nil"/>
            </w:tcBorders>
            <w:shd w:val="clear" w:color="auto" w:fill="auto"/>
            <w:noWrap/>
            <w:vAlign w:val="center"/>
            <w:hideMark/>
          </w:tcPr>
          <w:p w14:paraId="071FBAA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4.15</w:t>
            </w:r>
          </w:p>
        </w:tc>
        <w:tc>
          <w:tcPr>
            <w:tcW w:w="960" w:type="dxa"/>
            <w:tcBorders>
              <w:top w:val="nil"/>
              <w:left w:val="nil"/>
              <w:bottom w:val="nil"/>
              <w:right w:val="nil"/>
            </w:tcBorders>
            <w:shd w:val="clear" w:color="auto" w:fill="auto"/>
            <w:noWrap/>
            <w:vAlign w:val="center"/>
            <w:hideMark/>
          </w:tcPr>
          <w:p w14:paraId="67494C7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6.85</w:t>
            </w:r>
          </w:p>
        </w:tc>
        <w:tc>
          <w:tcPr>
            <w:tcW w:w="960" w:type="dxa"/>
            <w:tcBorders>
              <w:top w:val="nil"/>
              <w:left w:val="nil"/>
              <w:bottom w:val="nil"/>
              <w:right w:val="nil"/>
            </w:tcBorders>
            <w:shd w:val="clear" w:color="auto" w:fill="auto"/>
            <w:noWrap/>
            <w:vAlign w:val="center"/>
            <w:hideMark/>
          </w:tcPr>
          <w:p w14:paraId="02079EB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3.57</w:t>
            </w:r>
          </w:p>
        </w:tc>
        <w:tc>
          <w:tcPr>
            <w:tcW w:w="960" w:type="dxa"/>
            <w:tcBorders>
              <w:top w:val="nil"/>
              <w:left w:val="nil"/>
              <w:bottom w:val="nil"/>
              <w:right w:val="nil"/>
            </w:tcBorders>
            <w:shd w:val="clear" w:color="auto" w:fill="auto"/>
            <w:noWrap/>
            <w:vAlign w:val="center"/>
            <w:hideMark/>
          </w:tcPr>
          <w:p w14:paraId="795FB2E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675E65F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3.87</w:t>
            </w:r>
          </w:p>
        </w:tc>
        <w:tc>
          <w:tcPr>
            <w:tcW w:w="760" w:type="dxa"/>
            <w:tcBorders>
              <w:top w:val="nil"/>
              <w:left w:val="nil"/>
              <w:bottom w:val="nil"/>
              <w:right w:val="nil"/>
            </w:tcBorders>
            <w:shd w:val="clear" w:color="auto" w:fill="auto"/>
            <w:noWrap/>
            <w:vAlign w:val="center"/>
            <w:hideMark/>
          </w:tcPr>
          <w:p w14:paraId="2B7B7C3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0.02</w:t>
            </w:r>
          </w:p>
        </w:tc>
        <w:tc>
          <w:tcPr>
            <w:tcW w:w="860" w:type="dxa"/>
            <w:tcBorders>
              <w:top w:val="nil"/>
              <w:left w:val="nil"/>
              <w:bottom w:val="nil"/>
              <w:right w:val="nil"/>
            </w:tcBorders>
            <w:shd w:val="clear" w:color="auto" w:fill="auto"/>
            <w:noWrap/>
            <w:vAlign w:val="center"/>
            <w:hideMark/>
          </w:tcPr>
          <w:p w14:paraId="3B5A2E7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0.79</w:t>
            </w:r>
          </w:p>
        </w:tc>
      </w:tr>
      <w:tr w:rsidR="00D740DC" w:rsidRPr="00670E27" w14:paraId="1CFFB3D0" w14:textId="77777777" w:rsidTr="00B11F5F">
        <w:trPr>
          <w:trHeight w:val="300"/>
        </w:trPr>
        <w:tc>
          <w:tcPr>
            <w:tcW w:w="620" w:type="dxa"/>
            <w:vMerge/>
            <w:tcBorders>
              <w:top w:val="nil"/>
              <w:left w:val="nil"/>
              <w:bottom w:val="nil"/>
              <w:right w:val="nil"/>
            </w:tcBorders>
            <w:vAlign w:val="center"/>
            <w:hideMark/>
          </w:tcPr>
          <w:p w14:paraId="26DBD7A1"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5AEC0059"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2AD62D66"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75987E7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54.23</w:t>
            </w:r>
          </w:p>
        </w:tc>
        <w:tc>
          <w:tcPr>
            <w:tcW w:w="960" w:type="dxa"/>
            <w:tcBorders>
              <w:top w:val="nil"/>
              <w:left w:val="nil"/>
              <w:bottom w:val="single" w:sz="4" w:space="0" w:color="auto"/>
              <w:right w:val="nil"/>
            </w:tcBorders>
            <w:shd w:val="clear" w:color="auto" w:fill="auto"/>
            <w:noWrap/>
            <w:vAlign w:val="center"/>
            <w:hideMark/>
          </w:tcPr>
          <w:p w14:paraId="76378D7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25.68</w:t>
            </w:r>
          </w:p>
        </w:tc>
        <w:tc>
          <w:tcPr>
            <w:tcW w:w="960" w:type="dxa"/>
            <w:tcBorders>
              <w:top w:val="nil"/>
              <w:left w:val="nil"/>
              <w:bottom w:val="single" w:sz="4" w:space="0" w:color="auto"/>
              <w:right w:val="nil"/>
            </w:tcBorders>
            <w:shd w:val="clear" w:color="auto" w:fill="auto"/>
            <w:noWrap/>
            <w:vAlign w:val="center"/>
            <w:hideMark/>
          </w:tcPr>
          <w:p w14:paraId="4C3AF4F5"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4.33</w:t>
            </w:r>
          </w:p>
        </w:tc>
        <w:tc>
          <w:tcPr>
            <w:tcW w:w="960" w:type="dxa"/>
            <w:tcBorders>
              <w:top w:val="nil"/>
              <w:left w:val="nil"/>
              <w:bottom w:val="single" w:sz="4" w:space="0" w:color="auto"/>
              <w:right w:val="nil"/>
            </w:tcBorders>
            <w:shd w:val="clear" w:color="auto" w:fill="auto"/>
            <w:noWrap/>
            <w:vAlign w:val="center"/>
            <w:hideMark/>
          </w:tcPr>
          <w:p w14:paraId="0CD4360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7.14</w:t>
            </w:r>
          </w:p>
        </w:tc>
        <w:tc>
          <w:tcPr>
            <w:tcW w:w="960" w:type="dxa"/>
            <w:tcBorders>
              <w:top w:val="nil"/>
              <w:left w:val="nil"/>
              <w:bottom w:val="single" w:sz="4" w:space="0" w:color="auto"/>
              <w:right w:val="nil"/>
            </w:tcBorders>
            <w:shd w:val="clear" w:color="auto" w:fill="auto"/>
            <w:noWrap/>
            <w:vAlign w:val="center"/>
            <w:hideMark/>
          </w:tcPr>
          <w:p w14:paraId="442A121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3.73</w:t>
            </w:r>
          </w:p>
        </w:tc>
        <w:tc>
          <w:tcPr>
            <w:tcW w:w="960" w:type="dxa"/>
            <w:tcBorders>
              <w:top w:val="nil"/>
              <w:left w:val="nil"/>
              <w:bottom w:val="single" w:sz="4" w:space="0" w:color="auto"/>
              <w:right w:val="nil"/>
            </w:tcBorders>
            <w:shd w:val="clear" w:color="auto" w:fill="auto"/>
            <w:noWrap/>
            <w:vAlign w:val="center"/>
            <w:hideMark/>
          </w:tcPr>
          <w:p w14:paraId="1D0420B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42680710"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4.04</w:t>
            </w:r>
          </w:p>
        </w:tc>
        <w:tc>
          <w:tcPr>
            <w:tcW w:w="760" w:type="dxa"/>
            <w:tcBorders>
              <w:top w:val="nil"/>
              <w:left w:val="nil"/>
              <w:bottom w:val="single" w:sz="4" w:space="0" w:color="auto"/>
              <w:right w:val="nil"/>
            </w:tcBorders>
            <w:shd w:val="clear" w:color="auto" w:fill="auto"/>
            <w:noWrap/>
            <w:vAlign w:val="center"/>
            <w:hideMark/>
          </w:tcPr>
          <w:p w14:paraId="2BE3D0F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0.02</w:t>
            </w:r>
          </w:p>
        </w:tc>
        <w:tc>
          <w:tcPr>
            <w:tcW w:w="860" w:type="dxa"/>
            <w:tcBorders>
              <w:top w:val="nil"/>
              <w:left w:val="nil"/>
              <w:bottom w:val="single" w:sz="4" w:space="0" w:color="auto"/>
              <w:right w:val="nil"/>
            </w:tcBorders>
            <w:shd w:val="clear" w:color="auto" w:fill="auto"/>
            <w:noWrap/>
            <w:vAlign w:val="center"/>
            <w:hideMark/>
          </w:tcPr>
          <w:p w14:paraId="5DD3AF7A"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0.82</w:t>
            </w:r>
          </w:p>
        </w:tc>
      </w:tr>
      <w:tr w:rsidR="00D740DC" w:rsidRPr="00670E27" w14:paraId="7468464B" w14:textId="77777777" w:rsidTr="00B11F5F">
        <w:trPr>
          <w:trHeight w:val="300"/>
        </w:trPr>
        <w:tc>
          <w:tcPr>
            <w:tcW w:w="620" w:type="dxa"/>
            <w:vMerge/>
            <w:tcBorders>
              <w:top w:val="nil"/>
              <w:left w:val="nil"/>
              <w:bottom w:val="nil"/>
              <w:right w:val="nil"/>
            </w:tcBorders>
            <w:vAlign w:val="center"/>
            <w:hideMark/>
          </w:tcPr>
          <w:p w14:paraId="18A1F9E6"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val="restart"/>
            <w:tcBorders>
              <w:top w:val="nil"/>
              <w:left w:val="nil"/>
              <w:bottom w:val="single" w:sz="4" w:space="0" w:color="000000"/>
              <w:right w:val="nil"/>
            </w:tcBorders>
            <w:shd w:val="clear" w:color="auto" w:fill="auto"/>
            <w:noWrap/>
            <w:vAlign w:val="center"/>
            <w:hideMark/>
          </w:tcPr>
          <w:p w14:paraId="18FC9D09"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N</w:t>
            </w:r>
            <w:r w:rsidRPr="00670E27">
              <w:rPr>
                <w:rFonts w:eastAsia="Times New Roman" w:cs="Times New Roman"/>
                <w:b w:val="0"/>
                <w:color w:val="000000"/>
                <w:sz w:val="18"/>
                <w:szCs w:val="18"/>
                <w:vertAlign w:val="subscript"/>
                <w:lang w:eastAsia="en-MY"/>
              </w:rPr>
              <w:t>15</w:t>
            </w:r>
            <w:r w:rsidRPr="00670E27">
              <w:rPr>
                <w:rFonts w:eastAsia="Times New Roman" w:cs="Times New Roman"/>
                <w:b w:val="0"/>
                <w:color w:val="000000"/>
                <w:sz w:val="18"/>
                <w:szCs w:val="18"/>
                <w:lang w:eastAsia="en-MY"/>
              </w:rPr>
              <w:t>B</w:t>
            </w:r>
            <w:r w:rsidRPr="00670E27">
              <w:rPr>
                <w:rFonts w:eastAsia="Times New Roman" w:cs="Times New Roman"/>
                <w:b w:val="0"/>
                <w:color w:val="000000"/>
                <w:sz w:val="18"/>
                <w:szCs w:val="18"/>
                <w:vertAlign w:val="subscript"/>
                <w:lang w:eastAsia="en-MY"/>
              </w:rPr>
              <w:t>10</w:t>
            </w:r>
            <w:r w:rsidRPr="00670E27">
              <w:rPr>
                <w:rFonts w:eastAsia="Times New Roman" w:cs="Times New Roman"/>
                <w:b w:val="0"/>
                <w:color w:val="000000"/>
                <w:sz w:val="18"/>
                <w:szCs w:val="18"/>
                <w:lang w:eastAsia="en-MY"/>
              </w:rPr>
              <w:t>S</w:t>
            </w:r>
            <w:r w:rsidRPr="00670E27">
              <w:rPr>
                <w:rFonts w:eastAsia="Times New Roman" w:cs="Times New Roman"/>
                <w:b w:val="0"/>
                <w:color w:val="000000"/>
                <w:sz w:val="18"/>
                <w:szCs w:val="18"/>
                <w:vertAlign w:val="subscript"/>
                <w:lang w:eastAsia="en-MY"/>
              </w:rPr>
              <w:t>63</w:t>
            </w:r>
            <w:r w:rsidRPr="00670E27">
              <w:rPr>
                <w:rFonts w:eastAsia="Times New Roman" w:cs="Times New Roman"/>
                <w:b w:val="0"/>
                <w:color w:val="000000"/>
                <w:sz w:val="18"/>
                <w:szCs w:val="18"/>
                <w:lang w:eastAsia="en-MY"/>
              </w:rPr>
              <w:t>A</w:t>
            </w:r>
            <w:r w:rsidRPr="00670E27">
              <w:rPr>
                <w:rFonts w:eastAsia="Times New Roman" w:cs="Times New Roman"/>
                <w:b w:val="0"/>
                <w:color w:val="000000"/>
                <w:sz w:val="18"/>
                <w:szCs w:val="18"/>
                <w:vertAlign w:val="subscript"/>
                <w:lang w:eastAsia="en-MY"/>
              </w:rPr>
              <w:t>12.5</w:t>
            </w:r>
            <w:r w:rsidRPr="00670E27">
              <w:rPr>
                <w:rFonts w:eastAsia="Times New Roman" w:cs="Times New Roman"/>
                <w:b w:val="0"/>
                <w:color w:val="000000"/>
                <w:sz w:val="18"/>
                <w:szCs w:val="18"/>
                <w:lang w:eastAsia="en-MY"/>
              </w:rPr>
              <w:t>Ba</w:t>
            </w:r>
            <w:r w:rsidRPr="00670E27">
              <w:rPr>
                <w:rFonts w:eastAsia="Times New Roman" w:cs="Times New Roman"/>
                <w:b w:val="0"/>
                <w:color w:val="000000"/>
                <w:sz w:val="18"/>
                <w:szCs w:val="18"/>
                <w:vertAlign w:val="subscript"/>
                <w:lang w:eastAsia="en-MY"/>
              </w:rPr>
              <w:t>2</w:t>
            </w:r>
            <w:r w:rsidRPr="00670E27">
              <w:rPr>
                <w:rFonts w:eastAsia="Times New Roman" w:cs="Times New Roman"/>
                <w:b w:val="0"/>
                <w:color w:val="000000"/>
                <w:sz w:val="18"/>
                <w:szCs w:val="18"/>
                <w:lang w:eastAsia="en-MY"/>
              </w:rPr>
              <w:t>C</w:t>
            </w:r>
            <w:r w:rsidRPr="00670E27">
              <w:rPr>
                <w:rFonts w:eastAsia="Times New Roman" w:cs="Times New Roman"/>
                <w:b w:val="0"/>
                <w:color w:val="000000"/>
                <w:sz w:val="18"/>
                <w:szCs w:val="18"/>
                <w:vertAlign w:val="subscript"/>
                <w:lang w:eastAsia="en-MY"/>
              </w:rPr>
              <w:t>2.5</w:t>
            </w:r>
          </w:p>
        </w:tc>
        <w:tc>
          <w:tcPr>
            <w:tcW w:w="3420" w:type="dxa"/>
            <w:tcBorders>
              <w:top w:val="nil"/>
              <w:left w:val="nil"/>
              <w:bottom w:val="nil"/>
              <w:right w:val="nil"/>
            </w:tcBorders>
            <w:shd w:val="clear" w:color="auto" w:fill="auto"/>
            <w:noWrap/>
            <w:vAlign w:val="center"/>
            <w:hideMark/>
          </w:tcPr>
          <w:p w14:paraId="2E2129C1"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 xml:space="preserve">Batched </w:t>
            </w:r>
          </w:p>
        </w:tc>
        <w:tc>
          <w:tcPr>
            <w:tcW w:w="960" w:type="dxa"/>
            <w:tcBorders>
              <w:top w:val="nil"/>
              <w:left w:val="nil"/>
              <w:bottom w:val="nil"/>
              <w:right w:val="nil"/>
            </w:tcBorders>
            <w:shd w:val="clear" w:color="auto" w:fill="auto"/>
            <w:noWrap/>
            <w:vAlign w:val="center"/>
            <w:hideMark/>
          </w:tcPr>
          <w:p w14:paraId="494B8F87"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55.48</w:t>
            </w:r>
          </w:p>
        </w:tc>
        <w:tc>
          <w:tcPr>
            <w:tcW w:w="960" w:type="dxa"/>
            <w:tcBorders>
              <w:top w:val="nil"/>
              <w:left w:val="nil"/>
              <w:bottom w:val="nil"/>
              <w:right w:val="nil"/>
            </w:tcBorders>
            <w:shd w:val="clear" w:color="auto" w:fill="auto"/>
            <w:noWrap/>
            <w:vAlign w:val="center"/>
            <w:hideMark/>
          </w:tcPr>
          <w:p w14:paraId="72CE13A5"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18.68</w:t>
            </w:r>
          </w:p>
        </w:tc>
        <w:tc>
          <w:tcPr>
            <w:tcW w:w="960" w:type="dxa"/>
            <w:tcBorders>
              <w:top w:val="nil"/>
              <w:left w:val="nil"/>
              <w:bottom w:val="nil"/>
              <w:right w:val="nil"/>
            </w:tcBorders>
            <w:shd w:val="clear" w:color="auto" w:fill="auto"/>
            <w:noWrap/>
            <w:vAlign w:val="center"/>
            <w:hideMark/>
          </w:tcPr>
          <w:p w14:paraId="66D48678"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10.20</w:t>
            </w:r>
          </w:p>
        </w:tc>
        <w:tc>
          <w:tcPr>
            <w:tcW w:w="960" w:type="dxa"/>
            <w:tcBorders>
              <w:top w:val="nil"/>
              <w:left w:val="nil"/>
              <w:bottom w:val="nil"/>
              <w:right w:val="nil"/>
            </w:tcBorders>
            <w:shd w:val="clear" w:color="auto" w:fill="auto"/>
            <w:noWrap/>
            <w:vAlign w:val="center"/>
            <w:hideMark/>
          </w:tcPr>
          <w:p w14:paraId="0237883B"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9.08</w:t>
            </w:r>
          </w:p>
        </w:tc>
        <w:tc>
          <w:tcPr>
            <w:tcW w:w="960" w:type="dxa"/>
            <w:tcBorders>
              <w:top w:val="nil"/>
              <w:left w:val="nil"/>
              <w:bottom w:val="nil"/>
              <w:right w:val="nil"/>
            </w:tcBorders>
            <w:shd w:val="clear" w:color="auto" w:fill="auto"/>
            <w:noWrap/>
            <w:vAlign w:val="center"/>
            <w:hideMark/>
          </w:tcPr>
          <w:p w14:paraId="277202B9"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2.05</w:t>
            </w:r>
          </w:p>
        </w:tc>
        <w:tc>
          <w:tcPr>
            <w:tcW w:w="960" w:type="dxa"/>
            <w:tcBorders>
              <w:top w:val="nil"/>
              <w:left w:val="nil"/>
              <w:bottom w:val="nil"/>
              <w:right w:val="nil"/>
            </w:tcBorders>
            <w:shd w:val="clear" w:color="auto" w:fill="auto"/>
            <w:noWrap/>
            <w:vAlign w:val="center"/>
            <w:hideMark/>
          </w:tcPr>
          <w:p w14:paraId="5BDF2B08"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960" w:type="dxa"/>
            <w:tcBorders>
              <w:top w:val="nil"/>
              <w:left w:val="nil"/>
              <w:bottom w:val="nil"/>
              <w:right w:val="nil"/>
            </w:tcBorders>
            <w:shd w:val="clear" w:color="auto" w:fill="auto"/>
            <w:noWrap/>
            <w:vAlign w:val="center"/>
            <w:hideMark/>
          </w:tcPr>
          <w:p w14:paraId="1B82A8C0" w14:textId="77777777" w:rsidR="00D740DC" w:rsidRPr="00C9418A" w:rsidRDefault="00D740DC" w:rsidP="00B11F5F">
            <w:pPr>
              <w:spacing w:after="0" w:line="240" w:lineRule="auto"/>
              <w:jc w:val="center"/>
              <w:rPr>
                <w:rFonts w:eastAsia="Times New Roman" w:cs="Times New Roman"/>
                <w:bCs/>
                <w:sz w:val="18"/>
                <w:szCs w:val="18"/>
                <w:lang w:eastAsia="en-MY"/>
              </w:rPr>
            </w:pPr>
            <w:r w:rsidRPr="00C9418A">
              <w:rPr>
                <w:rFonts w:eastAsia="Times New Roman" w:cs="Times New Roman"/>
                <w:bCs/>
                <w:sz w:val="18"/>
                <w:szCs w:val="18"/>
                <w:lang w:eastAsia="en-MY"/>
              </w:rPr>
              <w:t>4.49</w:t>
            </w:r>
          </w:p>
        </w:tc>
        <w:tc>
          <w:tcPr>
            <w:tcW w:w="760" w:type="dxa"/>
            <w:tcBorders>
              <w:top w:val="nil"/>
              <w:left w:val="nil"/>
              <w:bottom w:val="nil"/>
              <w:right w:val="nil"/>
            </w:tcBorders>
            <w:shd w:val="clear" w:color="auto" w:fill="auto"/>
            <w:noWrap/>
            <w:vAlign w:val="center"/>
            <w:hideMark/>
          </w:tcPr>
          <w:p w14:paraId="7E90953A" w14:textId="77777777" w:rsidR="00D740DC" w:rsidRPr="00C9418A" w:rsidRDefault="00D740DC" w:rsidP="00B11F5F">
            <w:pPr>
              <w:spacing w:after="0" w:line="240" w:lineRule="auto"/>
              <w:jc w:val="center"/>
              <w:rPr>
                <w:rFonts w:eastAsia="Times New Roman" w:cs="Times New Roman"/>
                <w:bCs/>
                <w:sz w:val="18"/>
                <w:szCs w:val="18"/>
                <w:lang w:eastAsia="en-MY"/>
              </w:rPr>
            </w:pPr>
            <w:r>
              <w:rPr>
                <w:rFonts w:eastAsia="Times New Roman" w:cs="Times New Roman"/>
                <w:bCs/>
                <w:sz w:val="18"/>
                <w:szCs w:val="18"/>
                <w:lang w:eastAsia="en-MY"/>
              </w:rPr>
              <w:t>-</w:t>
            </w:r>
          </w:p>
        </w:tc>
        <w:tc>
          <w:tcPr>
            <w:tcW w:w="860" w:type="dxa"/>
            <w:tcBorders>
              <w:top w:val="nil"/>
              <w:left w:val="nil"/>
              <w:bottom w:val="nil"/>
              <w:right w:val="nil"/>
            </w:tcBorders>
            <w:shd w:val="clear" w:color="auto" w:fill="auto"/>
            <w:noWrap/>
            <w:vAlign w:val="center"/>
            <w:hideMark/>
          </w:tcPr>
          <w:p w14:paraId="0BB9DD37" w14:textId="77777777" w:rsidR="00D740DC" w:rsidRPr="00CE3CF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4926FFB8" w14:textId="77777777" w:rsidTr="00B11F5F">
        <w:trPr>
          <w:trHeight w:val="300"/>
        </w:trPr>
        <w:tc>
          <w:tcPr>
            <w:tcW w:w="620" w:type="dxa"/>
            <w:vMerge/>
            <w:tcBorders>
              <w:top w:val="nil"/>
              <w:left w:val="nil"/>
              <w:bottom w:val="nil"/>
              <w:right w:val="nil"/>
            </w:tcBorders>
            <w:vAlign w:val="center"/>
            <w:hideMark/>
          </w:tcPr>
          <w:p w14:paraId="5F5D97BE"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24932E77"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3D6A47EC"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Measured (XRF)</w:t>
            </w:r>
          </w:p>
        </w:tc>
        <w:tc>
          <w:tcPr>
            <w:tcW w:w="960" w:type="dxa"/>
            <w:tcBorders>
              <w:top w:val="nil"/>
              <w:left w:val="nil"/>
              <w:bottom w:val="nil"/>
              <w:right w:val="nil"/>
            </w:tcBorders>
            <w:shd w:val="clear" w:color="auto" w:fill="auto"/>
            <w:noWrap/>
            <w:vAlign w:val="center"/>
            <w:hideMark/>
          </w:tcPr>
          <w:p w14:paraId="31560785"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63.09</w:t>
            </w:r>
          </w:p>
        </w:tc>
        <w:tc>
          <w:tcPr>
            <w:tcW w:w="960" w:type="dxa"/>
            <w:tcBorders>
              <w:top w:val="nil"/>
              <w:left w:val="nil"/>
              <w:bottom w:val="nil"/>
              <w:right w:val="nil"/>
            </w:tcBorders>
            <w:shd w:val="clear" w:color="auto" w:fill="auto"/>
            <w:noWrap/>
            <w:vAlign w:val="center"/>
            <w:hideMark/>
          </w:tcPr>
          <w:p w14:paraId="4C6B4A8A"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20.77</w:t>
            </w:r>
          </w:p>
        </w:tc>
        <w:tc>
          <w:tcPr>
            <w:tcW w:w="960" w:type="dxa"/>
            <w:tcBorders>
              <w:top w:val="nil"/>
              <w:left w:val="nil"/>
              <w:bottom w:val="nil"/>
              <w:right w:val="nil"/>
            </w:tcBorders>
            <w:shd w:val="clear" w:color="auto" w:fill="auto"/>
            <w:noWrap/>
            <w:vAlign w:val="center"/>
            <w:hideMark/>
          </w:tcPr>
          <w:p w14:paraId="4B176613"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4.50</w:t>
            </w:r>
          </w:p>
        </w:tc>
        <w:tc>
          <w:tcPr>
            <w:tcW w:w="960" w:type="dxa"/>
            <w:tcBorders>
              <w:top w:val="nil"/>
              <w:left w:val="nil"/>
              <w:bottom w:val="nil"/>
              <w:right w:val="nil"/>
            </w:tcBorders>
            <w:shd w:val="clear" w:color="auto" w:fill="auto"/>
            <w:noWrap/>
            <w:vAlign w:val="center"/>
            <w:hideMark/>
          </w:tcPr>
          <w:p w14:paraId="5BB3CDDA"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7.85</w:t>
            </w:r>
          </w:p>
        </w:tc>
        <w:tc>
          <w:tcPr>
            <w:tcW w:w="960" w:type="dxa"/>
            <w:tcBorders>
              <w:top w:val="nil"/>
              <w:left w:val="nil"/>
              <w:bottom w:val="nil"/>
              <w:right w:val="nil"/>
            </w:tcBorders>
            <w:shd w:val="clear" w:color="auto" w:fill="auto"/>
            <w:noWrap/>
            <w:vAlign w:val="center"/>
            <w:hideMark/>
          </w:tcPr>
          <w:p w14:paraId="1BED1411"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2.07</w:t>
            </w:r>
          </w:p>
        </w:tc>
        <w:tc>
          <w:tcPr>
            <w:tcW w:w="960" w:type="dxa"/>
            <w:tcBorders>
              <w:top w:val="nil"/>
              <w:left w:val="nil"/>
              <w:bottom w:val="nil"/>
              <w:right w:val="nil"/>
            </w:tcBorders>
            <w:shd w:val="clear" w:color="auto" w:fill="auto"/>
            <w:noWrap/>
            <w:vAlign w:val="center"/>
            <w:hideMark/>
          </w:tcPr>
          <w:p w14:paraId="71278AEB"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c>
          <w:tcPr>
            <w:tcW w:w="960" w:type="dxa"/>
            <w:tcBorders>
              <w:top w:val="nil"/>
              <w:left w:val="nil"/>
              <w:bottom w:val="nil"/>
              <w:right w:val="nil"/>
            </w:tcBorders>
            <w:shd w:val="clear" w:color="auto" w:fill="auto"/>
            <w:noWrap/>
            <w:vAlign w:val="center"/>
            <w:hideMark/>
          </w:tcPr>
          <w:p w14:paraId="150942CC"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1.72</w:t>
            </w:r>
          </w:p>
        </w:tc>
        <w:tc>
          <w:tcPr>
            <w:tcW w:w="760" w:type="dxa"/>
            <w:tcBorders>
              <w:top w:val="nil"/>
              <w:left w:val="nil"/>
              <w:bottom w:val="nil"/>
              <w:right w:val="nil"/>
            </w:tcBorders>
            <w:shd w:val="clear" w:color="auto" w:fill="auto"/>
            <w:noWrap/>
            <w:vAlign w:val="center"/>
            <w:hideMark/>
          </w:tcPr>
          <w:p w14:paraId="1F545577" w14:textId="77777777" w:rsidR="00D740DC" w:rsidRPr="00C9418A" w:rsidRDefault="00D740DC" w:rsidP="00B11F5F">
            <w:pPr>
              <w:spacing w:after="0" w:line="240" w:lineRule="auto"/>
              <w:jc w:val="center"/>
              <w:rPr>
                <w:rFonts w:eastAsia="Times New Roman" w:cs="Times New Roman"/>
                <w:b w:val="0"/>
                <w:sz w:val="18"/>
                <w:szCs w:val="18"/>
                <w:lang w:eastAsia="en-MY"/>
              </w:rPr>
            </w:pPr>
            <w:r w:rsidRPr="00C9418A">
              <w:rPr>
                <w:rFonts w:eastAsia="Times New Roman" w:cs="Times New Roman"/>
                <w:b w:val="0"/>
                <w:sz w:val="18"/>
                <w:szCs w:val="18"/>
                <w:lang w:eastAsia="en-MY"/>
              </w:rPr>
              <w:t>0.03</w:t>
            </w:r>
          </w:p>
        </w:tc>
        <w:tc>
          <w:tcPr>
            <w:tcW w:w="860" w:type="dxa"/>
            <w:tcBorders>
              <w:top w:val="nil"/>
              <w:left w:val="nil"/>
              <w:bottom w:val="nil"/>
              <w:right w:val="nil"/>
            </w:tcBorders>
            <w:shd w:val="clear" w:color="auto" w:fill="auto"/>
            <w:noWrap/>
            <w:vAlign w:val="center"/>
            <w:hideMark/>
          </w:tcPr>
          <w:p w14:paraId="015F8968" w14:textId="77777777" w:rsidR="00D740DC" w:rsidRPr="00C9418A" w:rsidRDefault="00D740DC" w:rsidP="00B11F5F">
            <w:pPr>
              <w:spacing w:after="0" w:line="240" w:lineRule="auto"/>
              <w:jc w:val="center"/>
              <w:rPr>
                <w:rFonts w:eastAsia="Times New Roman" w:cs="Times New Roman"/>
                <w:b w:val="0"/>
                <w:sz w:val="18"/>
                <w:szCs w:val="18"/>
                <w:lang w:eastAsia="en-MY"/>
              </w:rPr>
            </w:pPr>
            <w:r>
              <w:rPr>
                <w:rFonts w:eastAsia="Times New Roman" w:cs="Times New Roman"/>
                <w:b w:val="0"/>
                <w:sz w:val="18"/>
                <w:szCs w:val="18"/>
                <w:lang w:eastAsia="en-MY"/>
              </w:rPr>
              <w:t>-</w:t>
            </w:r>
          </w:p>
        </w:tc>
      </w:tr>
      <w:tr w:rsidR="00D740DC" w:rsidRPr="00670E27" w14:paraId="71B456EA" w14:textId="77777777" w:rsidTr="00B11F5F">
        <w:trPr>
          <w:trHeight w:val="315"/>
        </w:trPr>
        <w:tc>
          <w:tcPr>
            <w:tcW w:w="620" w:type="dxa"/>
            <w:vMerge/>
            <w:tcBorders>
              <w:top w:val="nil"/>
              <w:left w:val="nil"/>
              <w:bottom w:val="nil"/>
              <w:right w:val="nil"/>
            </w:tcBorders>
            <w:vAlign w:val="center"/>
            <w:hideMark/>
          </w:tcPr>
          <w:p w14:paraId="782D24BC"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76E7455E"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nil"/>
              <w:right w:val="nil"/>
            </w:tcBorders>
            <w:shd w:val="clear" w:color="auto" w:fill="auto"/>
            <w:noWrap/>
            <w:vAlign w:val="center"/>
            <w:hideMark/>
          </w:tcPr>
          <w:p w14:paraId="215D17C5"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w:t>
            </w:r>
          </w:p>
        </w:tc>
        <w:tc>
          <w:tcPr>
            <w:tcW w:w="960" w:type="dxa"/>
            <w:tcBorders>
              <w:top w:val="nil"/>
              <w:left w:val="nil"/>
              <w:bottom w:val="nil"/>
              <w:right w:val="nil"/>
            </w:tcBorders>
            <w:shd w:val="clear" w:color="auto" w:fill="auto"/>
            <w:noWrap/>
            <w:vAlign w:val="center"/>
            <w:hideMark/>
          </w:tcPr>
          <w:p w14:paraId="0B65945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63.09</w:t>
            </w:r>
          </w:p>
        </w:tc>
        <w:tc>
          <w:tcPr>
            <w:tcW w:w="960" w:type="dxa"/>
            <w:tcBorders>
              <w:top w:val="nil"/>
              <w:left w:val="nil"/>
              <w:bottom w:val="nil"/>
              <w:right w:val="nil"/>
            </w:tcBorders>
            <w:shd w:val="clear" w:color="auto" w:fill="auto"/>
            <w:noWrap/>
            <w:vAlign w:val="center"/>
            <w:hideMark/>
          </w:tcPr>
          <w:p w14:paraId="52F8BB2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20.77</w:t>
            </w:r>
          </w:p>
        </w:tc>
        <w:tc>
          <w:tcPr>
            <w:tcW w:w="960" w:type="dxa"/>
            <w:tcBorders>
              <w:top w:val="nil"/>
              <w:left w:val="nil"/>
              <w:bottom w:val="nil"/>
              <w:right w:val="nil"/>
            </w:tcBorders>
            <w:shd w:val="clear" w:color="auto" w:fill="auto"/>
            <w:noWrap/>
            <w:vAlign w:val="center"/>
            <w:hideMark/>
          </w:tcPr>
          <w:p w14:paraId="2B309013"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2.25</w:t>
            </w:r>
          </w:p>
        </w:tc>
        <w:tc>
          <w:tcPr>
            <w:tcW w:w="960" w:type="dxa"/>
            <w:tcBorders>
              <w:top w:val="nil"/>
              <w:left w:val="nil"/>
              <w:bottom w:val="nil"/>
              <w:right w:val="nil"/>
            </w:tcBorders>
            <w:shd w:val="clear" w:color="auto" w:fill="auto"/>
            <w:noWrap/>
            <w:vAlign w:val="center"/>
            <w:hideMark/>
          </w:tcPr>
          <w:p w14:paraId="0113F8A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7.85</w:t>
            </w:r>
          </w:p>
        </w:tc>
        <w:tc>
          <w:tcPr>
            <w:tcW w:w="960" w:type="dxa"/>
            <w:tcBorders>
              <w:top w:val="nil"/>
              <w:left w:val="nil"/>
              <w:bottom w:val="nil"/>
              <w:right w:val="nil"/>
            </w:tcBorders>
            <w:shd w:val="clear" w:color="auto" w:fill="auto"/>
            <w:noWrap/>
            <w:vAlign w:val="center"/>
            <w:hideMark/>
          </w:tcPr>
          <w:p w14:paraId="7635F627"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2.07</w:t>
            </w:r>
          </w:p>
        </w:tc>
        <w:tc>
          <w:tcPr>
            <w:tcW w:w="960" w:type="dxa"/>
            <w:tcBorders>
              <w:top w:val="nil"/>
              <w:left w:val="nil"/>
              <w:bottom w:val="nil"/>
              <w:right w:val="nil"/>
            </w:tcBorders>
            <w:shd w:val="clear" w:color="auto" w:fill="auto"/>
            <w:noWrap/>
            <w:vAlign w:val="center"/>
            <w:hideMark/>
          </w:tcPr>
          <w:p w14:paraId="0F3122D2"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nil"/>
              <w:right w:val="nil"/>
            </w:tcBorders>
            <w:shd w:val="clear" w:color="auto" w:fill="auto"/>
            <w:noWrap/>
            <w:vAlign w:val="center"/>
            <w:hideMark/>
          </w:tcPr>
          <w:p w14:paraId="6B11797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1.72</w:t>
            </w:r>
          </w:p>
        </w:tc>
        <w:tc>
          <w:tcPr>
            <w:tcW w:w="760" w:type="dxa"/>
            <w:tcBorders>
              <w:top w:val="nil"/>
              <w:left w:val="nil"/>
              <w:bottom w:val="nil"/>
              <w:right w:val="nil"/>
            </w:tcBorders>
            <w:shd w:val="clear" w:color="auto" w:fill="auto"/>
            <w:noWrap/>
            <w:vAlign w:val="center"/>
            <w:hideMark/>
          </w:tcPr>
          <w:p w14:paraId="186E1716"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0.03</w:t>
            </w:r>
          </w:p>
        </w:tc>
        <w:tc>
          <w:tcPr>
            <w:tcW w:w="860" w:type="dxa"/>
            <w:tcBorders>
              <w:top w:val="nil"/>
              <w:left w:val="nil"/>
              <w:bottom w:val="nil"/>
              <w:right w:val="nil"/>
            </w:tcBorders>
            <w:shd w:val="clear" w:color="auto" w:fill="auto"/>
            <w:noWrap/>
            <w:vAlign w:val="center"/>
            <w:hideMark/>
          </w:tcPr>
          <w:p w14:paraId="527871D8"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r>
      <w:tr w:rsidR="00D740DC" w:rsidRPr="00670E27" w14:paraId="1A6E51DE" w14:textId="77777777" w:rsidTr="00B11F5F">
        <w:trPr>
          <w:trHeight w:val="315"/>
        </w:trPr>
        <w:tc>
          <w:tcPr>
            <w:tcW w:w="620" w:type="dxa"/>
            <w:vMerge/>
            <w:tcBorders>
              <w:top w:val="nil"/>
              <w:left w:val="nil"/>
              <w:bottom w:val="nil"/>
              <w:right w:val="nil"/>
            </w:tcBorders>
            <w:vAlign w:val="center"/>
            <w:hideMark/>
          </w:tcPr>
          <w:p w14:paraId="2E773AFB" w14:textId="77777777" w:rsidR="00D740DC" w:rsidRPr="00670E27" w:rsidRDefault="00D740DC" w:rsidP="00B11F5F">
            <w:pPr>
              <w:spacing w:after="0" w:line="240" w:lineRule="auto"/>
              <w:rPr>
                <w:rFonts w:eastAsia="Times New Roman" w:cs="Times New Roman"/>
                <w:bCs/>
                <w:color w:val="000000"/>
                <w:szCs w:val="24"/>
                <w:lang w:eastAsia="en-MY"/>
              </w:rPr>
            </w:pPr>
          </w:p>
        </w:tc>
        <w:tc>
          <w:tcPr>
            <w:tcW w:w="2160" w:type="dxa"/>
            <w:vMerge/>
            <w:tcBorders>
              <w:top w:val="nil"/>
              <w:left w:val="nil"/>
              <w:bottom w:val="single" w:sz="4" w:space="0" w:color="000000"/>
              <w:right w:val="nil"/>
            </w:tcBorders>
            <w:vAlign w:val="center"/>
            <w:hideMark/>
          </w:tcPr>
          <w:p w14:paraId="2F1E7F49" w14:textId="77777777" w:rsidR="00D740DC" w:rsidRPr="00670E27" w:rsidRDefault="00D740DC" w:rsidP="00B11F5F">
            <w:pPr>
              <w:spacing w:after="0" w:line="240" w:lineRule="auto"/>
              <w:rPr>
                <w:rFonts w:eastAsia="Times New Roman" w:cs="Times New Roman"/>
                <w:b w:val="0"/>
                <w:color w:val="000000"/>
                <w:sz w:val="18"/>
                <w:szCs w:val="18"/>
                <w:lang w:eastAsia="en-MY"/>
              </w:rPr>
            </w:pPr>
          </w:p>
        </w:tc>
        <w:tc>
          <w:tcPr>
            <w:tcW w:w="3420" w:type="dxa"/>
            <w:tcBorders>
              <w:top w:val="nil"/>
              <w:left w:val="nil"/>
              <w:bottom w:val="single" w:sz="4" w:space="0" w:color="auto"/>
              <w:right w:val="nil"/>
            </w:tcBorders>
            <w:shd w:val="clear" w:color="auto" w:fill="auto"/>
            <w:noWrap/>
            <w:vAlign w:val="center"/>
            <w:hideMark/>
          </w:tcPr>
          <w:p w14:paraId="4005CDAA" w14:textId="77777777" w:rsidR="00D740DC" w:rsidRPr="00670E27" w:rsidRDefault="00D740DC" w:rsidP="00B11F5F">
            <w:pPr>
              <w:spacing w:after="0" w:line="240" w:lineRule="auto"/>
              <w:jc w:val="center"/>
              <w:rPr>
                <w:rFonts w:eastAsia="Times New Roman" w:cs="Times New Roman"/>
                <w:b w:val="0"/>
                <w:color w:val="000000"/>
                <w:sz w:val="18"/>
                <w:szCs w:val="18"/>
                <w:lang w:eastAsia="en-MY"/>
              </w:rPr>
            </w:pPr>
            <w:r w:rsidRPr="00670E27">
              <w:rPr>
                <w:rFonts w:eastAsia="Times New Roman" w:cs="Times New Roman"/>
                <w:b w:val="0"/>
                <w:color w:val="000000"/>
                <w:sz w:val="18"/>
                <w:szCs w:val="18"/>
                <w:lang w:eastAsia="en-MY"/>
              </w:rPr>
              <w:t>XRF (half boron - normalised)</w:t>
            </w:r>
          </w:p>
        </w:tc>
        <w:tc>
          <w:tcPr>
            <w:tcW w:w="960" w:type="dxa"/>
            <w:tcBorders>
              <w:top w:val="nil"/>
              <w:left w:val="nil"/>
              <w:bottom w:val="single" w:sz="4" w:space="0" w:color="auto"/>
              <w:right w:val="nil"/>
            </w:tcBorders>
            <w:shd w:val="clear" w:color="auto" w:fill="auto"/>
            <w:noWrap/>
            <w:vAlign w:val="center"/>
            <w:hideMark/>
          </w:tcPr>
          <w:p w14:paraId="39AFCACD"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64.53</w:t>
            </w:r>
          </w:p>
        </w:tc>
        <w:tc>
          <w:tcPr>
            <w:tcW w:w="960" w:type="dxa"/>
            <w:tcBorders>
              <w:top w:val="nil"/>
              <w:left w:val="nil"/>
              <w:bottom w:val="single" w:sz="4" w:space="0" w:color="auto"/>
              <w:right w:val="nil"/>
            </w:tcBorders>
            <w:shd w:val="clear" w:color="auto" w:fill="auto"/>
            <w:noWrap/>
            <w:vAlign w:val="center"/>
            <w:hideMark/>
          </w:tcPr>
          <w:p w14:paraId="2803DE5C"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21.24</w:t>
            </w:r>
          </w:p>
        </w:tc>
        <w:tc>
          <w:tcPr>
            <w:tcW w:w="960" w:type="dxa"/>
            <w:tcBorders>
              <w:top w:val="nil"/>
              <w:left w:val="nil"/>
              <w:bottom w:val="single" w:sz="4" w:space="0" w:color="auto"/>
              <w:right w:val="nil"/>
            </w:tcBorders>
            <w:shd w:val="clear" w:color="auto" w:fill="auto"/>
            <w:noWrap/>
            <w:vAlign w:val="center"/>
            <w:hideMark/>
          </w:tcPr>
          <w:p w14:paraId="377638A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2.3</w:t>
            </w:r>
          </w:p>
        </w:tc>
        <w:tc>
          <w:tcPr>
            <w:tcW w:w="960" w:type="dxa"/>
            <w:tcBorders>
              <w:top w:val="nil"/>
              <w:left w:val="nil"/>
              <w:bottom w:val="single" w:sz="4" w:space="0" w:color="auto"/>
              <w:right w:val="nil"/>
            </w:tcBorders>
            <w:shd w:val="clear" w:color="auto" w:fill="auto"/>
            <w:noWrap/>
            <w:vAlign w:val="center"/>
            <w:hideMark/>
          </w:tcPr>
          <w:p w14:paraId="4D673DB9"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8.02</w:t>
            </w:r>
          </w:p>
        </w:tc>
        <w:tc>
          <w:tcPr>
            <w:tcW w:w="960" w:type="dxa"/>
            <w:tcBorders>
              <w:top w:val="nil"/>
              <w:left w:val="nil"/>
              <w:bottom w:val="single" w:sz="4" w:space="0" w:color="auto"/>
              <w:right w:val="nil"/>
            </w:tcBorders>
            <w:shd w:val="clear" w:color="auto" w:fill="auto"/>
            <w:noWrap/>
            <w:vAlign w:val="center"/>
            <w:hideMark/>
          </w:tcPr>
          <w:p w14:paraId="0CB7B5C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2.12</w:t>
            </w:r>
          </w:p>
        </w:tc>
        <w:tc>
          <w:tcPr>
            <w:tcW w:w="960" w:type="dxa"/>
            <w:tcBorders>
              <w:top w:val="nil"/>
              <w:left w:val="nil"/>
              <w:bottom w:val="single" w:sz="4" w:space="0" w:color="auto"/>
              <w:right w:val="nil"/>
            </w:tcBorders>
            <w:shd w:val="clear" w:color="auto" w:fill="auto"/>
            <w:noWrap/>
            <w:vAlign w:val="center"/>
            <w:hideMark/>
          </w:tcPr>
          <w:p w14:paraId="7EC474E4"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c>
          <w:tcPr>
            <w:tcW w:w="960" w:type="dxa"/>
            <w:tcBorders>
              <w:top w:val="nil"/>
              <w:left w:val="nil"/>
              <w:bottom w:val="single" w:sz="4" w:space="0" w:color="auto"/>
              <w:right w:val="nil"/>
            </w:tcBorders>
            <w:shd w:val="clear" w:color="auto" w:fill="auto"/>
            <w:noWrap/>
            <w:vAlign w:val="center"/>
            <w:hideMark/>
          </w:tcPr>
          <w:p w14:paraId="51C54F7B"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1.76</w:t>
            </w:r>
          </w:p>
        </w:tc>
        <w:tc>
          <w:tcPr>
            <w:tcW w:w="760" w:type="dxa"/>
            <w:tcBorders>
              <w:top w:val="nil"/>
              <w:left w:val="nil"/>
              <w:bottom w:val="single" w:sz="4" w:space="0" w:color="auto"/>
              <w:right w:val="nil"/>
            </w:tcBorders>
            <w:shd w:val="clear" w:color="auto" w:fill="auto"/>
            <w:noWrap/>
            <w:vAlign w:val="center"/>
            <w:hideMark/>
          </w:tcPr>
          <w:p w14:paraId="1986F6E1"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sidRPr="00CE3CFA">
              <w:rPr>
                <w:rFonts w:eastAsia="Times New Roman" w:cs="Times New Roman"/>
                <w:b w:val="0"/>
                <w:color w:val="000000"/>
                <w:sz w:val="18"/>
                <w:szCs w:val="18"/>
                <w:lang w:eastAsia="en-MY"/>
              </w:rPr>
              <w:t>0.03</w:t>
            </w:r>
          </w:p>
        </w:tc>
        <w:tc>
          <w:tcPr>
            <w:tcW w:w="860" w:type="dxa"/>
            <w:tcBorders>
              <w:top w:val="nil"/>
              <w:left w:val="nil"/>
              <w:bottom w:val="single" w:sz="4" w:space="0" w:color="auto"/>
              <w:right w:val="nil"/>
            </w:tcBorders>
            <w:shd w:val="clear" w:color="auto" w:fill="auto"/>
            <w:noWrap/>
            <w:vAlign w:val="center"/>
            <w:hideMark/>
          </w:tcPr>
          <w:p w14:paraId="69B9DD5E" w14:textId="77777777" w:rsidR="00D740DC" w:rsidRPr="00CE3CFA" w:rsidRDefault="00D740DC" w:rsidP="00B11F5F">
            <w:pPr>
              <w:spacing w:after="0" w:line="240" w:lineRule="auto"/>
              <w:jc w:val="center"/>
              <w:rPr>
                <w:rFonts w:eastAsia="Times New Roman" w:cs="Times New Roman"/>
                <w:b w:val="0"/>
                <w:color w:val="000000"/>
                <w:sz w:val="18"/>
                <w:szCs w:val="18"/>
                <w:lang w:eastAsia="en-MY"/>
              </w:rPr>
            </w:pPr>
            <w:r>
              <w:rPr>
                <w:rFonts w:eastAsia="Times New Roman" w:cs="Times New Roman"/>
                <w:b w:val="0"/>
                <w:color w:val="000000"/>
                <w:sz w:val="18"/>
                <w:szCs w:val="18"/>
                <w:lang w:eastAsia="en-MY"/>
              </w:rPr>
              <w:t>-</w:t>
            </w:r>
          </w:p>
        </w:tc>
      </w:tr>
    </w:tbl>
    <w:p w14:paraId="154768A6" w14:textId="77777777" w:rsidR="00D740DC" w:rsidRDefault="00D740DC" w:rsidP="00D740DC">
      <w:pPr>
        <w:tabs>
          <w:tab w:val="left" w:pos="3960"/>
        </w:tabs>
        <w:rPr>
          <w:rFonts w:eastAsia="Calibri" w:cs="Times New Roman"/>
          <w:szCs w:val="24"/>
          <w:lang w:val="en-GB"/>
        </w:rPr>
        <w:sectPr w:rsidR="00D740DC" w:rsidSect="00B11F5F">
          <w:pgSz w:w="16838" w:h="11906" w:orient="landscape"/>
          <w:pgMar w:top="1440" w:right="1440" w:bottom="1440" w:left="1440" w:header="708" w:footer="708" w:gutter="0"/>
          <w:cols w:space="708"/>
          <w:docGrid w:linePitch="360"/>
        </w:sectPr>
      </w:pPr>
      <w:r>
        <w:rPr>
          <w:rFonts w:eastAsia="Calibri" w:cs="Times New Roman"/>
          <w:szCs w:val="24"/>
          <w:lang w:val="en-GB"/>
        </w:rPr>
        <w:tab/>
      </w:r>
    </w:p>
    <w:p w14:paraId="6F866837" w14:textId="77777777" w:rsidR="00D740DC" w:rsidRPr="000E2377" w:rsidRDefault="00D740DC" w:rsidP="00D740DC">
      <w:pPr>
        <w:pStyle w:val="Heading3"/>
      </w:pPr>
      <w:bookmarkStart w:id="660" w:name="_Toc523402932"/>
      <w:bookmarkStart w:id="661" w:name="_Toc525526443"/>
      <w:bookmarkStart w:id="662" w:name="_Toc525707860"/>
      <w:bookmarkStart w:id="663" w:name="_Toc525742525"/>
      <w:bookmarkStart w:id="664" w:name="_Toc12994969"/>
      <w:bookmarkEnd w:id="657"/>
      <w:bookmarkEnd w:id="659"/>
      <w:r w:rsidRPr="000E2377">
        <w:lastRenderedPageBreak/>
        <w:t>4.3 Physical and thermal properties.</w:t>
      </w:r>
      <w:bookmarkEnd w:id="660"/>
      <w:bookmarkEnd w:id="661"/>
      <w:bookmarkEnd w:id="662"/>
      <w:bookmarkEnd w:id="663"/>
      <w:bookmarkEnd w:id="664"/>
      <w:r w:rsidRPr="000E2377">
        <w:t xml:space="preserve"> </w:t>
      </w:r>
    </w:p>
    <w:p w14:paraId="125903DD" w14:textId="77777777" w:rsidR="00D740DC" w:rsidRPr="000E2377" w:rsidRDefault="00D740DC" w:rsidP="00D740DC">
      <w:pPr>
        <w:spacing w:after="0" w:line="360" w:lineRule="auto"/>
        <w:jc w:val="both"/>
        <w:rPr>
          <w:rFonts w:cs="Times New Roman"/>
          <w:szCs w:val="24"/>
        </w:rPr>
      </w:pPr>
      <w:r w:rsidRPr="000E2377">
        <w:rPr>
          <w:rFonts w:asciiTheme="majorBidi" w:hAnsiTheme="majorBidi" w:cstheme="majorBidi"/>
          <w:szCs w:val="24"/>
        </w:rPr>
        <w:t xml:space="preserve">Series </w:t>
      </w: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7.6</w:t>
      </w:r>
      <w:r w:rsidRPr="000E2377">
        <w:rPr>
          <w:rFonts w:eastAsia="Times New Roman" w:cs="Times New Roman"/>
          <w:color w:val="000000"/>
          <w:szCs w:val="24"/>
          <w:lang w:eastAsia="en-MY"/>
        </w:rPr>
        <w:t>M</w:t>
      </w:r>
      <w:r w:rsidRPr="000E2377">
        <w:rPr>
          <w:rFonts w:eastAsia="Times New Roman" w:cs="Times New Roman"/>
          <w:color w:val="000000"/>
          <w:szCs w:val="24"/>
          <w:vertAlign w:val="subscript"/>
          <w:lang w:eastAsia="en-MY"/>
        </w:rPr>
        <w:t>1.1</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3</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7.6</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80.7-x</w:t>
      </w:r>
      <w:r w:rsidRPr="000E2377">
        <w:rPr>
          <w:rFonts w:eastAsia="Times New Roman" w:cs="Times New Roman"/>
          <w:color w:val="000000"/>
          <w:szCs w:val="24"/>
          <w:lang w:eastAsia="en-MY"/>
        </w:rPr>
        <w:t xml:space="preserve"> </w:t>
      </w:r>
      <w:r w:rsidRPr="000E2377">
        <w:rPr>
          <w:rFonts w:cs="Times New Roman"/>
          <w:szCs w:val="24"/>
        </w:rPr>
        <w:t>glasses.</w:t>
      </w:r>
    </w:p>
    <w:p w14:paraId="7BF5EEC0" w14:textId="77777777" w:rsidR="00D740DC" w:rsidRPr="000E2377" w:rsidRDefault="00D740DC" w:rsidP="00D740DC">
      <w:pPr>
        <w:spacing w:after="0" w:line="360" w:lineRule="auto"/>
        <w:jc w:val="center"/>
        <w:rPr>
          <w:rFonts w:cs="Times New Roman"/>
          <w:szCs w:val="24"/>
        </w:rPr>
      </w:pPr>
      <w:r w:rsidRPr="00CE3CFA">
        <w:rPr>
          <w:noProof/>
          <w:lang w:eastAsia="en-MY"/>
        </w:rPr>
        <w:drawing>
          <wp:inline distT="0" distB="0" distL="0" distR="0" wp14:anchorId="002C6D6E" wp14:editId="436EC78A">
            <wp:extent cx="3167242" cy="2520000"/>
            <wp:effectExtent l="0" t="0" r="0" b="0"/>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67242" cy="2520000"/>
                    </a:xfrm>
                    <a:prstGeom prst="rect">
                      <a:avLst/>
                    </a:prstGeom>
                    <a:noFill/>
                    <a:ln>
                      <a:noFill/>
                    </a:ln>
                  </pic:spPr>
                </pic:pic>
              </a:graphicData>
            </a:graphic>
          </wp:inline>
        </w:drawing>
      </w:r>
      <w:r w:rsidRPr="00CE3CFA">
        <w:rPr>
          <w:noProof/>
          <w:lang w:eastAsia="en-MY"/>
        </w:rPr>
        <w:drawing>
          <wp:inline distT="0" distB="0" distL="0" distR="0" wp14:anchorId="0BE9C3EB" wp14:editId="220DB483">
            <wp:extent cx="3167242" cy="2520000"/>
            <wp:effectExtent l="0" t="0" r="0" b="0"/>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67242" cy="2520000"/>
                    </a:xfrm>
                    <a:prstGeom prst="rect">
                      <a:avLst/>
                    </a:prstGeom>
                    <a:noFill/>
                    <a:ln>
                      <a:noFill/>
                    </a:ln>
                  </pic:spPr>
                </pic:pic>
              </a:graphicData>
            </a:graphic>
          </wp:inline>
        </w:drawing>
      </w:r>
    </w:p>
    <w:p w14:paraId="24D5482B" w14:textId="77777777" w:rsidR="00D740DC" w:rsidRPr="000E2377" w:rsidRDefault="00D740DC" w:rsidP="00D740DC">
      <w:pPr>
        <w:spacing w:after="0" w:line="360" w:lineRule="auto"/>
        <w:jc w:val="center"/>
        <w:rPr>
          <w:rFonts w:cs="Times New Roman"/>
          <w:szCs w:val="24"/>
        </w:rPr>
      </w:pPr>
      <w:r w:rsidRPr="001D1D26">
        <w:rPr>
          <w:rFonts w:cs="Times New Roman"/>
          <w:szCs w:val="24"/>
        </w:rPr>
        <w:t xml:space="preserve"> </w:t>
      </w:r>
      <w:r w:rsidRPr="00CE3CFA">
        <w:rPr>
          <w:noProof/>
          <w:lang w:eastAsia="en-MY"/>
        </w:rPr>
        <w:drawing>
          <wp:inline distT="0" distB="0" distL="0" distR="0" wp14:anchorId="02D2CA87" wp14:editId="6BB054B6">
            <wp:extent cx="3063326" cy="2520000"/>
            <wp:effectExtent l="0" t="0" r="3810" b="0"/>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63326" cy="2520000"/>
                    </a:xfrm>
                    <a:prstGeom prst="rect">
                      <a:avLst/>
                    </a:prstGeom>
                    <a:noFill/>
                    <a:ln>
                      <a:noFill/>
                    </a:ln>
                  </pic:spPr>
                </pic:pic>
              </a:graphicData>
            </a:graphic>
          </wp:inline>
        </w:drawing>
      </w:r>
    </w:p>
    <w:p w14:paraId="253E5C62" w14:textId="48489713" w:rsidR="00D740DC" w:rsidRPr="000E2377" w:rsidRDefault="0080406D" w:rsidP="00D740DC">
      <w:pPr>
        <w:pStyle w:val="Caption"/>
        <w:rPr>
          <w:szCs w:val="24"/>
        </w:rPr>
      </w:pPr>
      <w:bookmarkStart w:id="665" w:name="_Ref519578405"/>
      <w:bookmarkStart w:id="666" w:name="_Toc521420469"/>
      <w:bookmarkStart w:id="667" w:name="_Toc525223203"/>
      <w:bookmarkStart w:id="668" w:name="_Toc525528350"/>
      <w:bookmarkStart w:id="669" w:name="_Toc525706365"/>
      <w:r>
        <w:t>Figure 4.2</w:t>
      </w:r>
      <w:r w:rsidR="00D740DC" w:rsidRPr="000E2377">
        <w:t xml:space="preserve">: </w:t>
      </w:r>
      <w:r w:rsidR="00D740DC" w:rsidRPr="000E2377">
        <w:rPr>
          <w:szCs w:val="24"/>
        </w:rPr>
        <w:t xml:space="preserve">Density, molar volume and glass transition of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7.6</w:t>
      </w:r>
      <w:r w:rsidR="00D740DC" w:rsidRPr="000E2377">
        <w:rPr>
          <w:rFonts w:eastAsia="Times New Roman"/>
          <w:color w:val="000000"/>
          <w:szCs w:val="24"/>
          <w:lang w:eastAsia="en-MY"/>
        </w:rPr>
        <w:t>M</w:t>
      </w:r>
      <w:r w:rsidR="00D740DC" w:rsidRPr="000E2377">
        <w:rPr>
          <w:rFonts w:eastAsia="Times New Roman"/>
          <w:color w:val="000000"/>
          <w:szCs w:val="24"/>
          <w:vertAlign w:val="subscript"/>
          <w:lang w:eastAsia="en-MY"/>
        </w:rPr>
        <w:t>1.1</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3</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7.6</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80.7-x</w:t>
      </w:r>
      <w:r w:rsidR="00D740DC">
        <w:rPr>
          <w:szCs w:val="24"/>
        </w:rPr>
        <w:t xml:space="preserve"> </w:t>
      </w:r>
      <w:r w:rsidR="00D740DC" w:rsidRPr="000E2377">
        <w:rPr>
          <w:szCs w:val="24"/>
        </w:rPr>
        <w:t>glass series</w:t>
      </w:r>
      <w:r w:rsidR="00D740DC">
        <w:rPr>
          <w:szCs w:val="24"/>
        </w:rPr>
        <w:t xml:space="preserve"> as a function </w:t>
      </w:r>
      <w:bookmarkEnd w:id="665"/>
      <w:bookmarkEnd w:id="666"/>
      <w:bookmarkEnd w:id="667"/>
      <w:r w:rsidR="00D740DC">
        <w:rPr>
          <w:szCs w:val="24"/>
        </w:rPr>
        <w:t>of network charge balance</w:t>
      </w:r>
      <w:bookmarkEnd w:id="668"/>
      <w:bookmarkEnd w:id="669"/>
      <w:r w:rsidR="00D740DC">
        <w:rPr>
          <w:szCs w:val="24"/>
        </w:rPr>
        <w:t>.</w:t>
      </w:r>
    </w:p>
    <w:p w14:paraId="646AEF5F" w14:textId="6EFB9906" w:rsidR="00D740DC" w:rsidRDefault="00D740DC" w:rsidP="00D740DC">
      <w:pPr>
        <w:spacing w:after="0" w:line="360" w:lineRule="auto"/>
        <w:jc w:val="both"/>
        <w:rPr>
          <w:rFonts w:eastAsia="Times New Roman"/>
          <w:b w:val="0"/>
          <w:color w:val="000000"/>
          <w:szCs w:val="24"/>
          <w:lang w:eastAsia="en-MY"/>
        </w:rPr>
      </w:pPr>
      <w:r>
        <w:rPr>
          <w:b w:val="0"/>
          <w:szCs w:val="24"/>
        </w:rPr>
        <w:lastRenderedPageBreak/>
        <w:t xml:space="preserve">Figure 4.2 shows </w:t>
      </w:r>
      <w:r w:rsidRPr="000E2377">
        <w:rPr>
          <w:b w:val="0"/>
          <w:szCs w:val="24"/>
        </w:rPr>
        <w:t xml:space="preserve">the density, molar volume and glass transition temperature versus </w:t>
      </w:r>
      <w:r>
        <w:rPr>
          <w:b w:val="0"/>
          <w:szCs w:val="24"/>
        </w:rPr>
        <w:t>the total network charge balance</w:t>
      </w:r>
      <w:r w:rsidRPr="000E2377">
        <w:rPr>
          <w:b w:val="0"/>
          <w:szCs w:val="24"/>
        </w:rPr>
        <w:t xml:space="preserve"> for</w:t>
      </w:r>
      <w:r>
        <w:rPr>
          <w:b w:val="0"/>
          <w:szCs w:val="24"/>
        </w:rPr>
        <w:t xml:space="preserve"> the</w:t>
      </w:r>
      <w:r w:rsidRPr="000E2377">
        <w:rPr>
          <w:b w:val="0"/>
          <w:szCs w:val="24"/>
        </w:rPr>
        <w:t xml:space="preserve"> </w:t>
      </w:r>
      <w:r w:rsidRPr="000E2377">
        <w:rPr>
          <w:rFonts w:eastAsia="Times New Roman"/>
          <w:b w:val="0"/>
          <w:color w:val="000000"/>
          <w:szCs w:val="24"/>
          <w:lang w:eastAsia="en-MY"/>
        </w:rPr>
        <w:t>N</w:t>
      </w:r>
      <w:r w:rsidRPr="000E2377">
        <w:rPr>
          <w:rFonts w:eastAsia="Times New Roman"/>
          <w:b w:val="0"/>
          <w:color w:val="000000"/>
          <w:szCs w:val="24"/>
          <w:vertAlign w:val="subscript"/>
          <w:lang w:eastAsia="en-MY"/>
        </w:rPr>
        <w:t>7.6</w:t>
      </w:r>
      <w:r w:rsidRPr="000E2377">
        <w:rPr>
          <w:rFonts w:eastAsia="Times New Roman"/>
          <w:b w:val="0"/>
          <w:color w:val="000000"/>
          <w:szCs w:val="24"/>
          <w:lang w:eastAsia="en-MY"/>
        </w:rPr>
        <w:t>M</w:t>
      </w:r>
      <w:r w:rsidRPr="000E2377">
        <w:rPr>
          <w:rFonts w:eastAsia="Times New Roman"/>
          <w:b w:val="0"/>
          <w:color w:val="000000"/>
          <w:szCs w:val="24"/>
          <w:vertAlign w:val="subscript"/>
          <w:lang w:eastAsia="en-MY"/>
        </w:rPr>
        <w:t>1.1</w:t>
      </w:r>
      <w:r w:rsidRPr="000E2377">
        <w:rPr>
          <w:rFonts w:eastAsia="Times New Roman"/>
          <w:b w:val="0"/>
          <w:color w:val="000000"/>
          <w:szCs w:val="24"/>
          <w:lang w:eastAsia="en-MY"/>
        </w:rPr>
        <w:t>C</w:t>
      </w:r>
      <w:r w:rsidRPr="000E2377">
        <w:rPr>
          <w:rFonts w:eastAsia="Times New Roman"/>
          <w:b w:val="0"/>
          <w:color w:val="000000"/>
          <w:szCs w:val="24"/>
          <w:vertAlign w:val="subscript"/>
          <w:lang w:eastAsia="en-MY"/>
        </w:rPr>
        <w:t>3</w:t>
      </w:r>
      <w:r w:rsidRPr="000E2377">
        <w:rPr>
          <w:rFonts w:eastAsia="Times New Roman"/>
          <w:b w:val="0"/>
          <w:color w:val="000000"/>
          <w:szCs w:val="24"/>
          <w:lang w:eastAsia="en-MY"/>
        </w:rPr>
        <w:t>A</w:t>
      </w:r>
      <w:r w:rsidRPr="000E2377">
        <w:rPr>
          <w:rFonts w:eastAsia="Times New Roman"/>
          <w:b w:val="0"/>
          <w:color w:val="000000"/>
          <w:szCs w:val="24"/>
          <w:vertAlign w:val="subscript"/>
          <w:lang w:eastAsia="en-MY"/>
        </w:rPr>
        <w:t>x</w:t>
      </w:r>
      <w:r w:rsidRPr="000E2377">
        <w:rPr>
          <w:rFonts w:eastAsia="Times New Roman"/>
          <w:b w:val="0"/>
          <w:color w:val="000000"/>
          <w:szCs w:val="24"/>
          <w:lang w:eastAsia="en-MY"/>
        </w:rPr>
        <w:t>B</w:t>
      </w:r>
      <w:r w:rsidRPr="000E2377">
        <w:rPr>
          <w:rFonts w:eastAsia="Times New Roman"/>
          <w:b w:val="0"/>
          <w:color w:val="000000"/>
          <w:szCs w:val="24"/>
          <w:vertAlign w:val="subscript"/>
          <w:lang w:eastAsia="en-MY"/>
        </w:rPr>
        <w:t>7.6</w:t>
      </w:r>
      <w:r w:rsidRPr="000E2377">
        <w:rPr>
          <w:rFonts w:eastAsia="Times New Roman"/>
          <w:b w:val="0"/>
          <w:color w:val="000000"/>
          <w:szCs w:val="24"/>
          <w:lang w:eastAsia="en-MY"/>
        </w:rPr>
        <w:t>S</w:t>
      </w:r>
      <w:r w:rsidRPr="000E2377">
        <w:rPr>
          <w:rFonts w:eastAsia="Times New Roman"/>
          <w:b w:val="0"/>
          <w:color w:val="000000"/>
          <w:szCs w:val="24"/>
          <w:vertAlign w:val="subscript"/>
          <w:lang w:eastAsia="en-MY"/>
        </w:rPr>
        <w:t>80.7-x</w:t>
      </w:r>
      <w:r w:rsidRPr="000E2377">
        <w:rPr>
          <w:b w:val="0"/>
          <w:szCs w:val="24"/>
        </w:rPr>
        <w:t xml:space="preserve"> glass series. </w:t>
      </w:r>
      <w:r>
        <w:rPr>
          <w:rFonts w:cs="Times New Roman"/>
          <w:b w:val="0"/>
          <w:szCs w:val="24"/>
        </w:rPr>
        <w:t>The graphs show that</w:t>
      </w:r>
      <w:r w:rsidRPr="000E2377">
        <w:rPr>
          <w:rFonts w:eastAsia="Times New Roman" w:cs="Times New Roman"/>
          <w:b w:val="0"/>
          <w:color w:val="000000"/>
          <w:szCs w:val="24"/>
          <w:lang w:eastAsia="en-MY"/>
        </w:rPr>
        <w:t xml:space="preserve"> the density slightly increase</w:t>
      </w:r>
      <w:r>
        <w:rPr>
          <w:rFonts w:eastAsia="Times New Roman" w:cs="Times New Roman"/>
          <w:b w:val="0"/>
          <w:color w:val="000000"/>
          <w:szCs w:val="24"/>
          <w:lang w:eastAsia="en-MY"/>
        </w:rPr>
        <w:t>s</w:t>
      </w:r>
      <w:r w:rsidRPr="000E2377">
        <w:rPr>
          <w:rFonts w:eastAsia="Times New Roman" w:cs="Times New Roman"/>
          <w:b w:val="0"/>
          <w:color w:val="000000"/>
          <w:szCs w:val="24"/>
          <w:lang w:eastAsia="en-MY"/>
        </w:rPr>
        <w:t xml:space="preserve"> with increasing network charg</w:t>
      </w:r>
      <w:r>
        <w:rPr>
          <w:rFonts w:eastAsia="Times New Roman" w:cs="Times New Roman"/>
          <w:b w:val="0"/>
          <w:color w:val="000000"/>
          <w:szCs w:val="24"/>
          <w:lang w:eastAsia="en-MY"/>
        </w:rPr>
        <w:t>e balance</w:t>
      </w:r>
      <w:r w:rsidR="002337E8">
        <w:rPr>
          <w:rFonts w:eastAsia="Times New Roman" w:cs="Times New Roman"/>
          <w:b w:val="0"/>
          <w:color w:val="000000"/>
          <w:szCs w:val="24"/>
          <w:lang w:eastAsia="en-MY"/>
        </w:rPr>
        <w:t>,</w:t>
      </w:r>
      <w:r>
        <w:rPr>
          <w:rFonts w:eastAsia="Times New Roman" w:cs="Times New Roman"/>
          <w:b w:val="0"/>
          <w:color w:val="000000"/>
          <w:szCs w:val="24"/>
          <w:lang w:eastAsia="en-MY"/>
        </w:rPr>
        <w:t xml:space="preserve"> whereas</w:t>
      </w:r>
      <w:r w:rsidRPr="000E2377">
        <w:rPr>
          <w:rFonts w:eastAsia="Times New Roman" w:cs="Times New Roman"/>
          <w:b w:val="0"/>
          <w:color w:val="000000"/>
          <w:szCs w:val="24"/>
          <w:lang w:eastAsia="en-MY"/>
        </w:rPr>
        <w:t xml:space="preserve"> the molar volume and glass transition </w:t>
      </w:r>
      <w:r>
        <w:rPr>
          <w:rFonts w:eastAsia="Times New Roman" w:cs="Times New Roman"/>
          <w:b w:val="0"/>
          <w:color w:val="000000"/>
          <w:szCs w:val="24"/>
          <w:lang w:eastAsia="en-MY"/>
        </w:rPr>
        <w:t>temperature decreases.</w:t>
      </w:r>
      <w:r w:rsidRPr="000E2377">
        <w:rPr>
          <w:rFonts w:eastAsia="Times New Roman" w:cs="Times New Roman"/>
          <w:b w:val="0"/>
          <w:color w:val="000000"/>
          <w:szCs w:val="24"/>
          <w:lang w:eastAsia="en-MY"/>
        </w:rPr>
        <w:t xml:space="preserve"> For this </w:t>
      </w:r>
      <w:r>
        <w:rPr>
          <w:rFonts w:eastAsia="Times New Roman" w:cs="Times New Roman"/>
          <w:b w:val="0"/>
          <w:color w:val="000000"/>
          <w:szCs w:val="24"/>
          <w:lang w:eastAsia="en-MY"/>
        </w:rPr>
        <w:t>glass series</w:t>
      </w:r>
      <w:r w:rsidR="00E25445">
        <w:rPr>
          <w:rFonts w:eastAsia="Times New Roman" w:cs="Times New Roman"/>
          <w:b w:val="0"/>
          <w:color w:val="000000"/>
          <w:szCs w:val="24"/>
          <w:lang w:eastAsia="en-MY"/>
        </w:rPr>
        <w:t>,</w:t>
      </w:r>
      <w:r w:rsidRPr="000E2377">
        <w:rPr>
          <w:rFonts w:eastAsia="Times New Roman" w:cs="Times New Roman"/>
          <w:b w:val="0"/>
          <w:color w:val="000000"/>
          <w:szCs w:val="24"/>
          <w:lang w:eastAsia="en-MY"/>
        </w:rPr>
        <w:t xml:space="preserve"> the </w:t>
      </w:r>
      <w:r>
        <w:rPr>
          <w:rFonts w:eastAsia="Times New Roman" w:cs="Times New Roman"/>
          <w:b w:val="0"/>
          <w:color w:val="000000"/>
          <w:szCs w:val="24"/>
          <w:lang w:eastAsia="en-MY"/>
        </w:rPr>
        <w:t xml:space="preserve">compositional </w:t>
      </w:r>
      <w:r w:rsidRPr="000E2377">
        <w:rPr>
          <w:rFonts w:eastAsia="Times New Roman" w:cs="Times New Roman"/>
          <w:b w:val="0"/>
          <w:color w:val="000000"/>
          <w:szCs w:val="24"/>
          <w:lang w:eastAsia="en-MY"/>
        </w:rPr>
        <w:t>variable that change</w:t>
      </w:r>
      <w:r>
        <w:rPr>
          <w:rFonts w:eastAsia="Times New Roman" w:cs="Times New Roman"/>
          <w:b w:val="0"/>
          <w:color w:val="000000"/>
          <w:szCs w:val="24"/>
          <w:lang w:eastAsia="en-MY"/>
        </w:rPr>
        <w:t>s</w:t>
      </w:r>
      <w:r w:rsidRPr="000E2377">
        <w:rPr>
          <w:rFonts w:eastAsia="Times New Roman" w:cs="Times New Roman"/>
          <w:b w:val="0"/>
          <w:color w:val="000000"/>
          <w:szCs w:val="24"/>
          <w:lang w:eastAsia="en-MY"/>
        </w:rPr>
        <w:t xml:space="preserve"> is the </w:t>
      </w:r>
      <w:r>
        <w:rPr>
          <w:rFonts w:eastAsia="Times New Roman" w:cs="Times New Roman"/>
          <w:b w:val="0"/>
          <w:color w:val="000000"/>
          <w:szCs w:val="24"/>
          <w:lang w:eastAsia="en-MY"/>
        </w:rPr>
        <w:t>ratio</w:t>
      </w:r>
      <w:r w:rsidRPr="000E2377">
        <w:rPr>
          <w:rFonts w:eastAsia="Times New Roman" w:cs="Times New Roman"/>
          <w:b w:val="0"/>
          <w:color w:val="000000"/>
          <w:szCs w:val="24"/>
          <w:lang w:eastAsia="en-MY"/>
        </w:rPr>
        <w:t xml:space="preserve"> of </w:t>
      </w:r>
      <w:r>
        <w:rPr>
          <w:rFonts w:eastAsia="Times New Roman" w:cs="Times New Roman"/>
          <w:b w:val="0"/>
          <w:color w:val="000000"/>
          <w:szCs w:val="24"/>
          <w:lang w:eastAsia="en-MY"/>
        </w:rPr>
        <w:t xml:space="preserve">the </w:t>
      </w:r>
      <w:r w:rsidRPr="000E2377">
        <w:rPr>
          <w:rFonts w:eastAsia="Times New Roman" w:cs="Times New Roman"/>
          <w:b w:val="0"/>
          <w:color w:val="000000"/>
          <w:szCs w:val="24"/>
          <w:lang w:eastAsia="en-MY"/>
        </w:rPr>
        <w:t xml:space="preserve">alumina to silica content and when </w:t>
      </w:r>
      <w:r>
        <w:rPr>
          <w:rFonts w:eastAsia="Times New Roman" w:cs="Times New Roman"/>
          <w:b w:val="0"/>
          <w:color w:val="000000"/>
          <w:szCs w:val="24"/>
          <w:lang w:eastAsia="en-MY"/>
        </w:rPr>
        <w:t>alumina</w:t>
      </w:r>
      <w:r w:rsidRPr="000E2377">
        <w:rPr>
          <w:rFonts w:eastAsia="Times New Roman" w:cs="Times New Roman"/>
          <w:b w:val="0"/>
          <w:color w:val="000000"/>
          <w:szCs w:val="24"/>
          <w:lang w:eastAsia="en-MY"/>
        </w:rPr>
        <w:t xml:space="preserve"> is </w:t>
      </w:r>
      <w:r>
        <w:rPr>
          <w:rFonts w:eastAsia="Times New Roman" w:cs="Times New Roman"/>
          <w:b w:val="0"/>
          <w:color w:val="000000"/>
          <w:szCs w:val="24"/>
          <w:lang w:eastAsia="en-MY"/>
        </w:rPr>
        <w:t>reduced</w:t>
      </w:r>
      <w:r w:rsidRPr="000E2377">
        <w:rPr>
          <w:rFonts w:eastAsia="Times New Roman" w:cs="Times New Roman"/>
          <w:b w:val="0"/>
          <w:color w:val="000000"/>
          <w:szCs w:val="24"/>
          <w:lang w:eastAsia="en-MY"/>
        </w:rPr>
        <w:t xml:space="preserve"> th</w:t>
      </w:r>
      <w:r>
        <w:rPr>
          <w:rFonts w:eastAsia="Times New Roman" w:cs="Times New Roman"/>
          <w:b w:val="0"/>
          <w:color w:val="000000"/>
          <w:szCs w:val="24"/>
          <w:lang w:eastAsia="en-MY"/>
        </w:rPr>
        <w:t>e</w:t>
      </w:r>
      <w:r w:rsidRPr="000E2377">
        <w:rPr>
          <w:rFonts w:eastAsia="Times New Roman" w:cs="Times New Roman"/>
          <w:b w:val="0"/>
          <w:color w:val="000000"/>
          <w:szCs w:val="24"/>
          <w:lang w:eastAsia="en-MY"/>
        </w:rPr>
        <w:t xml:space="preserve"> </w:t>
      </w:r>
      <w:r>
        <w:rPr>
          <w:rFonts w:eastAsia="Times New Roman" w:cs="Times New Roman"/>
          <w:b w:val="0"/>
          <w:color w:val="000000"/>
          <w:szCs w:val="24"/>
          <w:lang w:eastAsia="en-MY"/>
        </w:rPr>
        <w:t>network</w:t>
      </w:r>
      <w:r w:rsidRPr="000E2377">
        <w:rPr>
          <w:rFonts w:eastAsia="Times New Roman" w:cs="Times New Roman"/>
          <w:b w:val="0"/>
          <w:color w:val="000000"/>
          <w:szCs w:val="24"/>
          <w:lang w:eastAsia="en-MY"/>
        </w:rPr>
        <w:t xml:space="preserve"> charge balance </w:t>
      </w:r>
      <w:r>
        <w:rPr>
          <w:rFonts w:eastAsia="Times New Roman" w:cs="Times New Roman"/>
          <w:b w:val="0"/>
          <w:color w:val="000000"/>
          <w:szCs w:val="24"/>
          <w:lang w:eastAsia="en-MY"/>
        </w:rPr>
        <w:t>increases.</w:t>
      </w:r>
      <w:r w:rsidRPr="000E2377">
        <w:rPr>
          <w:rFonts w:eastAsia="Times New Roman" w:cs="Times New Roman"/>
          <w:b w:val="0"/>
          <w:color w:val="000000"/>
          <w:szCs w:val="24"/>
          <w:lang w:eastAsia="en-MY"/>
        </w:rPr>
        <w:t xml:space="preserve"> </w:t>
      </w:r>
      <w:r w:rsidRPr="000E2377">
        <w:rPr>
          <w:rFonts w:eastAsia="Times New Roman"/>
          <w:b w:val="0"/>
          <w:color w:val="000000"/>
          <w:szCs w:val="24"/>
          <w:lang w:eastAsia="en-MY"/>
        </w:rPr>
        <w:t xml:space="preserve"> </w:t>
      </w:r>
      <w:r>
        <w:rPr>
          <w:rFonts w:eastAsia="Times New Roman"/>
          <w:b w:val="0"/>
          <w:color w:val="000000"/>
          <w:szCs w:val="24"/>
          <w:lang w:eastAsia="en-MY"/>
        </w:rPr>
        <w:t>The molar volume is measured by dividing the calculated molecular weight of the glass by its density, thus it is expected that increased density would result</w:t>
      </w:r>
      <w:r w:rsidR="00E25445">
        <w:rPr>
          <w:rFonts w:eastAsia="Times New Roman"/>
          <w:b w:val="0"/>
          <w:color w:val="000000"/>
          <w:szCs w:val="24"/>
          <w:lang w:eastAsia="en-MY"/>
        </w:rPr>
        <w:t xml:space="preserve"> in</w:t>
      </w:r>
      <w:r>
        <w:rPr>
          <w:rFonts w:eastAsia="Times New Roman"/>
          <w:b w:val="0"/>
          <w:color w:val="000000"/>
          <w:szCs w:val="24"/>
          <w:lang w:eastAsia="en-MY"/>
        </w:rPr>
        <w:t xml:space="preserve"> decreased of molar volume of glass. The glass transition temperature shows decreasing value with increasing of silicate in composition which might</w:t>
      </w:r>
      <w:r w:rsidR="002337E8">
        <w:rPr>
          <w:rFonts w:eastAsia="Times New Roman"/>
          <w:b w:val="0"/>
          <w:color w:val="000000"/>
          <w:szCs w:val="24"/>
          <w:lang w:eastAsia="en-MY"/>
        </w:rPr>
        <w:t xml:space="preserve"> be</w:t>
      </w:r>
      <w:r>
        <w:rPr>
          <w:rFonts w:eastAsia="Times New Roman"/>
          <w:b w:val="0"/>
          <w:color w:val="000000"/>
          <w:szCs w:val="24"/>
          <w:lang w:eastAsia="en-MY"/>
        </w:rPr>
        <w:t xml:space="preserve"> due to the low alumina content</w:t>
      </w:r>
      <w:r w:rsidR="002337E8">
        <w:rPr>
          <w:rFonts w:eastAsia="Times New Roman"/>
          <w:b w:val="0"/>
          <w:color w:val="000000"/>
          <w:szCs w:val="24"/>
          <w:lang w:eastAsia="en-MY"/>
        </w:rPr>
        <w:t>.</w:t>
      </w:r>
      <w:r>
        <w:rPr>
          <w:rFonts w:eastAsia="Times New Roman"/>
          <w:b w:val="0"/>
          <w:color w:val="000000"/>
          <w:szCs w:val="24"/>
          <w:lang w:eastAsia="en-MY"/>
        </w:rPr>
        <w:t xml:space="preserve"> </w:t>
      </w:r>
      <w:r w:rsidR="002337E8">
        <w:rPr>
          <w:rFonts w:eastAsia="Times New Roman"/>
          <w:b w:val="0"/>
          <w:color w:val="000000"/>
          <w:szCs w:val="24"/>
          <w:lang w:eastAsia="en-MY"/>
        </w:rPr>
        <w:t>T</w:t>
      </w:r>
      <w:r>
        <w:rPr>
          <w:rFonts w:eastAsia="Times New Roman"/>
          <w:b w:val="0"/>
          <w:color w:val="000000"/>
          <w:szCs w:val="24"/>
          <w:lang w:eastAsia="en-MY"/>
        </w:rPr>
        <w:t>hus</w:t>
      </w:r>
      <w:r w:rsidR="002337E8">
        <w:rPr>
          <w:rFonts w:eastAsia="Times New Roman"/>
          <w:b w:val="0"/>
          <w:color w:val="000000"/>
          <w:szCs w:val="24"/>
          <w:lang w:eastAsia="en-MY"/>
        </w:rPr>
        <w:t>,</w:t>
      </w:r>
      <w:r>
        <w:rPr>
          <w:rFonts w:eastAsia="Times New Roman"/>
          <w:b w:val="0"/>
          <w:color w:val="000000"/>
          <w:szCs w:val="24"/>
          <w:lang w:eastAsia="en-MY"/>
        </w:rPr>
        <w:t xml:space="preserve"> the network modifier are used to form NBO’s. The details of alumina effect on glass s</w:t>
      </w:r>
      <w:r w:rsidRPr="00BF2A54">
        <w:rPr>
          <w:rFonts w:asciiTheme="majorBidi" w:hAnsiTheme="majorBidi" w:cstheme="majorBidi"/>
          <w:b w:val="0"/>
          <w:szCs w:val="24"/>
        </w:rPr>
        <w:t xml:space="preserve">eries </w:t>
      </w:r>
      <w:r w:rsidRPr="00BF2A54">
        <w:rPr>
          <w:rFonts w:eastAsia="Times New Roman" w:cs="Times New Roman"/>
          <w:b w:val="0"/>
          <w:color w:val="000000"/>
          <w:szCs w:val="24"/>
          <w:lang w:eastAsia="en-MY"/>
        </w:rPr>
        <w:t>N</w:t>
      </w:r>
      <w:r w:rsidRPr="00BF2A54">
        <w:rPr>
          <w:rFonts w:eastAsia="Times New Roman" w:cs="Times New Roman"/>
          <w:b w:val="0"/>
          <w:color w:val="000000"/>
          <w:szCs w:val="24"/>
          <w:vertAlign w:val="subscript"/>
          <w:lang w:eastAsia="en-MY"/>
        </w:rPr>
        <w:t>7.6</w:t>
      </w:r>
      <w:r w:rsidRPr="00BF2A54">
        <w:rPr>
          <w:rFonts w:eastAsia="Times New Roman" w:cs="Times New Roman"/>
          <w:b w:val="0"/>
          <w:color w:val="000000"/>
          <w:szCs w:val="24"/>
          <w:lang w:eastAsia="en-MY"/>
        </w:rPr>
        <w:t>M</w:t>
      </w:r>
      <w:r w:rsidRPr="00BF2A54">
        <w:rPr>
          <w:rFonts w:eastAsia="Times New Roman" w:cs="Times New Roman"/>
          <w:b w:val="0"/>
          <w:color w:val="000000"/>
          <w:szCs w:val="24"/>
          <w:vertAlign w:val="subscript"/>
          <w:lang w:eastAsia="en-MY"/>
        </w:rPr>
        <w:t>1.1</w:t>
      </w:r>
      <w:r w:rsidRPr="00BF2A54">
        <w:rPr>
          <w:rFonts w:eastAsia="Times New Roman" w:cs="Times New Roman"/>
          <w:b w:val="0"/>
          <w:color w:val="000000"/>
          <w:szCs w:val="24"/>
          <w:lang w:eastAsia="en-MY"/>
        </w:rPr>
        <w:t>C</w:t>
      </w:r>
      <w:r w:rsidRPr="00BF2A54">
        <w:rPr>
          <w:rFonts w:eastAsia="Times New Roman" w:cs="Times New Roman"/>
          <w:b w:val="0"/>
          <w:color w:val="000000"/>
          <w:szCs w:val="24"/>
          <w:vertAlign w:val="subscript"/>
          <w:lang w:eastAsia="en-MY"/>
        </w:rPr>
        <w:t>3</w:t>
      </w:r>
      <w:r w:rsidRPr="00BF2A54">
        <w:rPr>
          <w:rFonts w:eastAsia="Times New Roman" w:cs="Times New Roman"/>
          <w:b w:val="0"/>
          <w:color w:val="000000"/>
          <w:szCs w:val="24"/>
          <w:lang w:eastAsia="en-MY"/>
        </w:rPr>
        <w:t>A</w:t>
      </w:r>
      <w:r w:rsidRPr="00BF2A54">
        <w:rPr>
          <w:rFonts w:eastAsia="Times New Roman" w:cs="Times New Roman"/>
          <w:b w:val="0"/>
          <w:color w:val="000000"/>
          <w:szCs w:val="24"/>
          <w:vertAlign w:val="subscript"/>
          <w:lang w:eastAsia="en-MY"/>
        </w:rPr>
        <w:t>x</w:t>
      </w:r>
      <w:r w:rsidRPr="00BF2A54">
        <w:rPr>
          <w:rFonts w:eastAsia="Times New Roman" w:cs="Times New Roman"/>
          <w:b w:val="0"/>
          <w:color w:val="000000"/>
          <w:szCs w:val="24"/>
          <w:lang w:eastAsia="en-MY"/>
        </w:rPr>
        <w:t>B</w:t>
      </w:r>
      <w:r w:rsidRPr="00BF2A54">
        <w:rPr>
          <w:rFonts w:eastAsia="Times New Roman" w:cs="Times New Roman"/>
          <w:b w:val="0"/>
          <w:color w:val="000000"/>
          <w:szCs w:val="24"/>
          <w:vertAlign w:val="subscript"/>
          <w:lang w:eastAsia="en-MY"/>
        </w:rPr>
        <w:t>7.6</w:t>
      </w:r>
      <w:r w:rsidRPr="00BF2A54">
        <w:rPr>
          <w:rFonts w:eastAsia="Times New Roman" w:cs="Times New Roman"/>
          <w:b w:val="0"/>
          <w:color w:val="000000"/>
          <w:szCs w:val="24"/>
          <w:lang w:eastAsia="en-MY"/>
        </w:rPr>
        <w:t>S</w:t>
      </w:r>
      <w:r w:rsidRPr="00BF2A54">
        <w:rPr>
          <w:rFonts w:eastAsia="Times New Roman" w:cs="Times New Roman"/>
          <w:b w:val="0"/>
          <w:color w:val="000000"/>
          <w:szCs w:val="24"/>
          <w:vertAlign w:val="subscript"/>
          <w:lang w:eastAsia="en-MY"/>
        </w:rPr>
        <w:t>80.7-x</w:t>
      </w:r>
      <w:r w:rsidRPr="00BF2A54">
        <w:rPr>
          <w:rFonts w:eastAsia="Times New Roman" w:cs="Times New Roman"/>
          <w:b w:val="0"/>
          <w:color w:val="000000"/>
          <w:szCs w:val="24"/>
          <w:lang w:eastAsia="en-MY"/>
        </w:rPr>
        <w:t xml:space="preserve"> </w:t>
      </w:r>
      <w:r>
        <w:rPr>
          <w:rFonts w:eastAsia="Times New Roman" w:cs="Times New Roman"/>
          <w:b w:val="0"/>
          <w:color w:val="000000"/>
          <w:szCs w:val="24"/>
          <w:lang w:eastAsia="en-MY"/>
        </w:rPr>
        <w:t>with another glass series</w:t>
      </w:r>
      <w:r w:rsidRPr="00BF2A54">
        <w:rPr>
          <w:rFonts w:cs="Times New Roman"/>
          <w:b w:val="0"/>
          <w:szCs w:val="24"/>
        </w:rPr>
        <w:t xml:space="preserve"> </w:t>
      </w:r>
      <w:r>
        <w:rPr>
          <w:rFonts w:cs="Times New Roman"/>
          <w:b w:val="0"/>
          <w:szCs w:val="24"/>
        </w:rPr>
        <w:t>(</w:t>
      </w:r>
      <w:r w:rsidRPr="00BF2A54">
        <w:rPr>
          <w:rFonts w:eastAsia="Times New Roman" w:cs="Times New Roman"/>
          <w:b w:val="0"/>
          <w:color w:val="000000"/>
          <w:szCs w:val="24"/>
          <w:lang w:eastAsia="en-MY"/>
        </w:rPr>
        <w:t>N</w:t>
      </w:r>
      <w:r w:rsidRPr="00BF2A54">
        <w:rPr>
          <w:rFonts w:eastAsia="Times New Roman" w:cs="Times New Roman"/>
          <w:b w:val="0"/>
          <w:color w:val="000000"/>
          <w:szCs w:val="24"/>
          <w:vertAlign w:val="subscript"/>
          <w:lang w:eastAsia="en-MY"/>
        </w:rPr>
        <w:t>15</w:t>
      </w:r>
      <w:r w:rsidRPr="00BF2A54">
        <w:rPr>
          <w:rFonts w:eastAsia="Times New Roman" w:cs="Times New Roman"/>
          <w:b w:val="0"/>
          <w:color w:val="000000"/>
          <w:szCs w:val="24"/>
          <w:lang w:eastAsia="en-MY"/>
        </w:rPr>
        <w:t>C</w:t>
      </w:r>
      <w:r w:rsidRPr="00BF2A54">
        <w:rPr>
          <w:rFonts w:eastAsia="Times New Roman" w:cs="Times New Roman"/>
          <w:b w:val="0"/>
          <w:color w:val="000000"/>
          <w:szCs w:val="24"/>
          <w:vertAlign w:val="subscript"/>
          <w:lang w:eastAsia="en-MY"/>
        </w:rPr>
        <w:t>5</w:t>
      </w:r>
      <w:r w:rsidRPr="00BF2A54">
        <w:rPr>
          <w:rFonts w:eastAsia="Times New Roman" w:cs="Times New Roman"/>
          <w:b w:val="0"/>
          <w:color w:val="000000"/>
          <w:szCs w:val="24"/>
          <w:lang w:eastAsia="en-MY"/>
        </w:rPr>
        <w:t>A</w:t>
      </w:r>
      <w:r w:rsidRPr="00BF2A54">
        <w:rPr>
          <w:rFonts w:eastAsia="Times New Roman" w:cs="Times New Roman"/>
          <w:b w:val="0"/>
          <w:color w:val="000000"/>
          <w:szCs w:val="24"/>
          <w:vertAlign w:val="subscript"/>
          <w:lang w:eastAsia="en-MY"/>
        </w:rPr>
        <w:t>x</w:t>
      </w:r>
      <w:r w:rsidRPr="00BF2A54">
        <w:rPr>
          <w:rFonts w:eastAsia="Times New Roman" w:cs="Times New Roman"/>
          <w:b w:val="0"/>
          <w:color w:val="000000"/>
          <w:szCs w:val="24"/>
          <w:lang w:eastAsia="en-MY"/>
        </w:rPr>
        <w:t>B</w:t>
      </w:r>
      <w:r w:rsidRPr="00BF2A54">
        <w:rPr>
          <w:rFonts w:eastAsia="Times New Roman" w:cs="Times New Roman"/>
          <w:b w:val="0"/>
          <w:color w:val="000000"/>
          <w:szCs w:val="24"/>
          <w:vertAlign w:val="subscript"/>
          <w:lang w:eastAsia="en-MY"/>
        </w:rPr>
        <w:t>10-x</w:t>
      </w:r>
      <w:r w:rsidRPr="00BF2A54">
        <w:rPr>
          <w:rFonts w:eastAsia="Times New Roman" w:cs="Times New Roman"/>
          <w:b w:val="0"/>
          <w:color w:val="000000"/>
          <w:szCs w:val="24"/>
          <w:lang w:eastAsia="en-MY"/>
        </w:rPr>
        <w:t>S</w:t>
      </w:r>
      <w:r w:rsidRPr="00BF2A54">
        <w:rPr>
          <w:rFonts w:eastAsia="Times New Roman" w:cs="Times New Roman"/>
          <w:b w:val="0"/>
          <w:color w:val="000000"/>
          <w:szCs w:val="24"/>
          <w:vertAlign w:val="subscript"/>
          <w:lang w:eastAsia="en-MY"/>
        </w:rPr>
        <w:t>70</w:t>
      </w:r>
      <w:r w:rsidRPr="00BF2A54">
        <w:rPr>
          <w:rFonts w:cs="Times New Roman"/>
          <w:b w:val="0"/>
          <w:szCs w:val="24"/>
        </w:rPr>
        <w:t xml:space="preserve"> and </w:t>
      </w:r>
      <w:r w:rsidRPr="00BF2A54">
        <w:rPr>
          <w:rFonts w:eastAsia="Times New Roman" w:cs="Times New Roman"/>
          <w:b w:val="0"/>
          <w:color w:val="000000"/>
          <w:szCs w:val="24"/>
          <w:lang w:eastAsia="en-MY"/>
        </w:rPr>
        <w:t>N</w:t>
      </w:r>
      <w:r w:rsidRPr="00BF2A54">
        <w:rPr>
          <w:rFonts w:eastAsia="Times New Roman" w:cs="Times New Roman"/>
          <w:b w:val="0"/>
          <w:color w:val="000000"/>
          <w:szCs w:val="24"/>
          <w:vertAlign w:val="subscript"/>
          <w:lang w:eastAsia="en-MY"/>
        </w:rPr>
        <w:t>15</w:t>
      </w:r>
      <w:r w:rsidRPr="00BF2A54">
        <w:rPr>
          <w:rFonts w:eastAsia="Times New Roman" w:cs="Times New Roman"/>
          <w:b w:val="0"/>
          <w:color w:val="000000"/>
          <w:szCs w:val="24"/>
          <w:lang w:eastAsia="en-MY"/>
        </w:rPr>
        <w:t>C</w:t>
      </w:r>
      <w:r w:rsidRPr="00BF2A54">
        <w:rPr>
          <w:rFonts w:eastAsia="Times New Roman" w:cs="Times New Roman"/>
          <w:b w:val="0"/>
          <w:color w:val="000000"/>
          <w:szCs w:val="24"/>
          <w:vertAlign w:val="subscript"/>
          <w:lang w:eastAsia="en-MY"/>
        </w:rPr>
        <w:t>5</w:t>
      </w:r>
      <w:r w:rsidRPr="00BF2A54">
        <w:rPr>
          <w:rFonts w:eastAsia="Times New Roman" w:cs="Times New Roman"/>
          <w:b w:val="0"/>
          <w:color w:val="000000"/>
          <w:szCs w:val="24"/>
          <w:lang w:eastAsia="en-MY"/>
        </w:rPr>
        <w:t>A</w:t>
      </w:r>
      <w:r w:rsidRPr="00BF2A54">
        <w:rPr>
          <w:rFonts w:eastAsia="Times New Roman" w:cs="Times New Roman"/>
          <w:b w:val="0"/>
          <w:color w:val="000000"/>
          <w:szCs w:val="24"/>
          <w:vertAlign w:val="subscript"/>
          <w:lang w:eastAsia="en-MY"/>
        </w:rPr>
        <w:t>x</w:t>
      </w:r>
      <w:r w:rsidRPr="00BF2A54">
        <w:rPr>
          <w:rFonts w:eastAsia="Times New Roman" w:cs="Times New Roman"/>
          <w:b w:val="0"/>
          <w:color w:val="000000"/>
          <w:szCs w:val="24"/>
          <w:lang w:eastAsia="en-MY"/>
        </w:rPr>
        <w:t>B</w:t>
      </w:r>
      <w:r w:rsidRPr="00BF2A54">
        <w:rPr>
          <w:rFonts w:eastAsia="Times New Roman" w:cs="Times New Roman"/>
          <w:b w:val="0"/>
          <w:color w:val="000000"/>
          <w:szCs w:val="24"/>
          <w:vertAlign w:val="subscript"/>
          <w:lang w:eastAsia="en-MY"/>
        </w:rPr>
        <w:t>20-x</w:t>
      </w:r>
      <w:r w:rsidRPr="00BF2A54">
        <w:rPr>
          <w:rFonts w:eastAsia="Times New Roman" w:cs="Times New Roman"/>
          <w:b w:val="0"/>
          <w:color w:val="000000"/>
          <w:szCs w:val="24"/>
          <w:lang w:eastAsia="en-MY"/>
        </w:rPr>
        <w:t>S</w:t>
      </w:r>
      <w:r w:rsidRPr="00BF2A54">
        <w:rPr>
          <w:rFonts w:eastAsia="Times New Roman" w:cs="Times New Roman"/>
          <w:b w:val="0"/>
          <w:color w:val="000000"/>
          <w:szCs w:val="24"/>
          <w:vertAlign w:val="subscript"/>
          <w:lang w:eastAsia="en-MY"/>
        </w:rPr>
        <w:t>60</w:t>
      </w:r>
      <w:r>
        <w:rPr>
          <w:rFonts w:cs="Times New Roman"/>
          <w:b w:val="0"/>
          <w:szCs w:val="24"/>
        </w:rPr>
        <w:t>)</w:t>
      </w:r>
      <w:r>
        <w:rPr>
          <w:rFonts w:cs="Times New Roman"/>
          <w:szCs w:val="24"/>
        </w:rPr>
        <w:t xml:space="preserve"> </w:t>
      </w:r>
      <w:r w:rsidR="00E25445">
        <w:rPr>
          <w:rFonts w:eastAsia="Times New Roman"/>
          <w:b w:val="0"/>
          <w:color w:val="000000"/>
          <w:szCs w:val="24"/>
          <w:lang w:eastAsia="en-MY"/>
        </w:rPr>
        <w:t>explained</w:t>
      </w:r>
      <w:r>
        <w:rPr>
          <w:rFonts w:eastAsia="Times New Roman"/>
          <w:b w:val="0"/>
          <w:color w:val="000000"/>
          <w:szCs w:val="24"/>
          <w:lang w:eastAsia="en-MY"/>
        </w:rPr>
        <w:t xml:space="preserve"> further in </w:t>
      </w:r>
      <w:r w:rsidR="00E25445">
        <w:rPr>
          <w:rFonts w:eastAsia="Times New Roman"/>
          <w:b w:val="0"/>
          <w:color w:val="000000"/>
          <w:szCs w:val="24"/>
          <w:lang w:eastAsia="en-MY"/>
        </w:rPr>
        <w:t xml:space="preserve">the </w:t>
      </w:r>
      <w:r>
        <w:rPr>
          <w:rFonts w:eastAsia="Times New Roman"/>
          <w:b w:val="0"/>
          <w:color w:val="000000"/>
          <w:szCs w:val="24"/>
          <w:lang w:eastAsia="en-MY"/>
        </w:rPr>
        <w:t xml:space="preserve">discussion chapter. </w:t>
      </w:r>
    </w:p>
    <w:p w14:paraId="756DEC32" w14:textId="77777777" w:rsidR="00D740DC" w:rsidRDefault="00D740DC" w:rsidP="00D740DC">
      <w:pPr>
        <w:spacing w:after="0" w:line="360" w:lineRule="auto"/>
        <w:jc w:val="both"/>
        <w:rPr>
          <w:rFonts w:eastAsia="Times New Roman"/>
          <w:b w:val="0"/>
          <w:color w:val="000000"/>
          <w:szCs w:val="24"/>
          <w:lang w:eastAsia="en-MY"/>
        </w:rPr>
      </w:pPr>
    </w:p>
    <w:p w14:paraId="150B2E75" w14:textId="77777777" w:rsidR="00D740DC" w:rsidRDefault="00D740DC" w:rsidP="00D740DC">
      <w:pPr>
        <w:spacing w:after="0" w:line="360" w:lineRule="auto"/>
        <w:jc w:val="both"/>
        <w:rPr>
          <w:rFonts w:eastAsia="Times New Roman" w:cs="Times New Roman"/>
          <w:color w:val="000000"/>
          <w:szCs w:val="24"/>
          <w:lang w:eastAsia="en-MY"/>
        </w:rPr>
      </w:pPr>
      <w:r>
        <w:rPr>
          <w:rFonts w:cs="Times New Roman"/>
          <w:szCs w:val="24"/>
        </w:rPr>
        <w:t>S</w:t>
      </w:r>
      <w:r w:rsidRPr="000E2377">
        <w:rPr>
          <w:rFonts w:cs="Times New Roman"/>
          <w:szCs w:val="24"/>
        </w:rPr>
        <w:t xml:space="preserve">eries </w:t>
      </w: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15</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15-x</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60</w:t>
      </w:r>
      <w:r w:rsidRPr="000E2377">
        <w:rPr>
          <w:rFonts w:cs="Times New Roman"/>
          <w:szCs w:val="24"/>
        </w:rPr>
        <w:t xml:space="preserve">, </w:t>
      </w: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15</w:t>
      </w:r>
      <w:r w:rsidRPr="000E2377">
        <w:rPr>
          <w:rFonts w:eastAsia="Times New Roman" w:cs="Times New Roman"/>
          <w:color w:val="000000"/>
          <w:szCs w:val="24"/>
          <w:lang w:eastAsia="en-MY"/>
        </w:rPr>
        <w:t>Ba</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15-x</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60</w:t>
      </w:r>
      <w:r w:rsidRPr="000E2377">
        <w:rPr>
          <w:rFonts w:cs="Times New Roman"/>
          <w:szCs w:val="24"/>
        </w:rPr>
        <w:t xml:space="preserve">, </w:t>
      </w: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20-x</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60</w:t>
      </w:r>
      <w:r w:rsidRPr="000E2377">
        <w:rPr>
          <w:rFonts w:cs="Times New Roman"/>
          <w:szCs w:val="24"/>
        </w:rPr>
        <w:t xml:space="preserve"> and </w:t>
      </w: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Ba</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20-x</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 xml:space="preserve">60 </w:t>
      </w:r>
      <w:r w:rsidRPr="000E2377">
        <w:rPr>
          <w:rFonts w:eastAsia="Times New Roman" w:cs="Times New Roman"/>
          <w:color w:val="000000"/>
          <w:szCs w:val="24"/>
          <w:lang w:eastAsia="en-MY"/>
        </w:rPr>
        <w:t>glasses.</w:t>
      </w:r>
    </w:p>
    <w:p w14:paraId="6901EE62" w14:textId="77777777" w:rsidR="00D740DC" w:rsidRDefault="00D740DC" w:rsidP="00D740DC">
      <w:pPr>
        <w:spacing w:after="0" w:line="360" w:lineRule="auto"/>
        <w:jc w:val="center"/>
        <w:rPr>
          <w:rFonts w:eastAsia="Times New Roman"/>
          <w:b w:val="0"/>
          <w:color w:val="000000"/>
          <w:szCs w:val="24"/>
          <w:lang w:eastAsia="en-MY"/>
        </w:rPr>
      </w:pPr>
      <w:r w:rsidRPr="00B230A5">
        <w:rPr>
          <w:noProof/>
          <w:lang w:eastAsia="en-MY"/>
        </w:rPr>
        <w:drawing>
          <wp:inline distT="0" distB="0" distL="0" distR="0" wp14:anchorId="66AEC8BF" wp14:editId="5A583741">
            <wp:extent cx="3791552" cy="3240000"/>
            <wp:effectExtent l="0" t="0" r="0" b="0"/>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791552" cy="3240000"/>
                    </a:xfrm>
                    <a:prstGeom prst="rect">
                      <a:avLst/>
                    </a:prstGeom>
                    <a:noFill/>
                    <a:ln>
                      <a:noFill/>
                    </a:ln>
                  </pic:spPr>
                </pic:pic>
              </a:graphicData>
            </a:graphic>
          </wp:inline>
        </w:drawing>
      </w:r>
    </w:p>
    <w:p w14:paraId="0A230211" w14:textId="025520DE" w:rsidR="00D740DC" w:rsidRPr="000E2377" w:rsidRDefault="0080406D" w:rsidP="00D740DC">
      <w:pPr>
        <w:pStyle w:val="Caption"/>
        <w:rPr>
          <w:szCs w:val="24"/>
        </w:rPr>
      </w:pPr>
      <w:r>
        <w:t>Figure 4.3</w:t>
      </w:r>
      <w:r w:rsidR="00D740DC" w:rsidRPr="000E2377">
        <w:t xml:space="preserve">: </w:t>
      </w:r>
      <w:r w:rsidR="00D740DC" w:rsidRPr="000E2377">
        <w:rPr>
          <w:szCs w:val="24"/>
        </w:rPr>
        <w:t xml:space="preserve">Density, molar volume and glass transition of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15</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15-x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60</w:t>
      </w:r>
      <w:r w:rsidR="00D740DC" w:rsidRPr="000E2377">
        <w:rPr>
          <w:szCs w:val="24"/>
        </w:rPr>
        <w:t xml:space="preserve">,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15</w:t>
      </w:r>
      <w:r w:rsidR="00D740DC" w:rsidRPr="000E2377">
        <w:rPr>
          <w:rFonts w:eastAsia="Times New Roman"/>
          <w:color w:val="000000"/>
          <w:szCs w:val="24"/>
          <w:lang w:eastAsia="en-MY"/>
        </w:rPr>
        <w:t>Ba</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15-x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60</w:t>
      </w:r>
      <w:r w:rsidR="00D740DC" w:rsidRPr="000E2377">
        <w:rPr>
          <w:szCs w:val="24"/>
        </w:rPr>
        <w:t xml:space="preserve">,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20-x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60</w:t>
      </w:r>
      <w:r w:rsidR="00D740DC" w:rsidRPr="000E2377">
        <w:rPr>
          <w:szCs w:val="24"/>
        </w:rPr>
        <w:t xml:space="preserve"> and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Ba</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20-x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 xml:space="preserve">60 </w:t>
      </w:r>
      <w:r w:rsidR="00D740DC" w:rsidRPr="000E2377">
        <w:rPr>
          <w:rFonts w:eastAsia="Times New Roman"/>
          <w:color w:val="000000"/>
          <w:szCs w:val="24"/>
          <w:lang w:eastAsia="en-MY"/>
        </w:rPr>
        <w:t>glass series</w:t>
      </w:r>
      <w:r w:rsidR="00D740DC">
        <w:rPr>
          <w:rFonts w:eastAsia="Times New Roman"/>
          <w:color w:val="000000"/>
          <w:szCs w:val="24"/>
          <w:lang w:eastAsia="en-MY"/>
        </w:rPr>
        <w:t>. (</w:t>
      </w:r>
      <w:r w:rsidR="00D740DC">
        <w:rPr>
          <w:rFonts w:eastAsia="Times New Roman"/>
          <w:i/>
          <w:color w:val="000000"/>
          <w:szCs w:val="24"/>
          <w:lang w:eastAsia="en-MY"/>
        </w:rPr>
        <w:t>Co</w:t>
      </w:r>
      <w:r w:rsidR="00D740DC" w:rsidRPr="00D55E62">
        <w:rPr>
          <w:rFonts w:eastAsia="Times New Roman"/>
          <w:i/>
          <w:color w:val="000000"/>
          <w:szCs w:val="24"/>
          <w:lang w:eastAsia="en-MY"/>
        </w:rPr>
        <w:t>ntinue</w:t>
      </w:r>
      <w:r w:rsidR="00D740DC">
        <w:rPr>
          <w:rFonts w:eastAsia="Times New Roman"/>
          <w:i/>
          <w:color w:val="000000"/>
          <w:szCs w:val="24"/>
          <w:lang w:eastAsia="en-MY"/>
        </w:rPr>
        <w:t>d on</w:t>
      </w:r>
      <w:r w:rsidR="00D740DC" w:rsidRPr="00D55E62">
        <w:rPr>
          <w:rFonts w:eastAsia="Times New Roman"/>
          <w:i/>
          <w:color w:val="000000"/>
          <w:szCs w:val="24"/>
          <w:lang w:eastAsia="en-MY"/>
        </w:rPr>
        <w:t xml:space="preserve"> next page</w:t>
      </w:r>
      <w:r w:rsidR="00D740DC">
        <w:rPr>
          <w:rFonts w:eastAsia="Times New Roman"/>
          <w:color w:val="000000"/>
          <w:szCs w:val="24"/>
          <w:lang w:eastAsia="en-MY"/>
        </w:rPr>
        <w:t xml:space="preserve">) </w:t>
      </w:r>
    </w:p>
    <w:p w14:paraId="7C12FF31" w14:textId="77777777" w:rsidR="00D740DC" w:rsidRDefault="00D740DC" w:rsidP="00D740DC">
      <w:pPr>
        <w:spacing w:after="0" w:line="360" w:lineRule="auto"/>
        <w:jc w:val="center"/>
        <w:rPr>
          <w:rFonts w:eastAsia="Times New Roman"/>
          <w:b w:val="0"/>
          <w:color w:val="000000"/>
          <w:szCs w:val="24"/>
          <w:lang w:eastAsia="en-MY"/>
        </w:rPr>
      </w:pPr>
    </w:p>
    <w:p w14:paraId="7FD503C4" w14:textId="77777777" w:rsidR="00D740DC" w:rsidRPr="00952BB8" w:rsidRDefault="00D740DC" w:rsidP="00D740DC">
      <w:pPr>
        <w:spacing w:after="0" w:line="360" w:lineRule="auto"/>
        <w:jc w:val="center"/>
        <w:rPr>
          <w:rFonts w:eastAsia="Times New Roman"/>
          <w:b w:val="0"/>
          <w:color w:val="000000"/>
          <w:szCs w:val="24"/>
          <w:lang w:eastAsia="en-MY"/>
        </w:rPr>
      </w:pPr>
      <w:r w:rsidRPr="00B230A5">
        <w:rPr>
          <w:noProof/>
          <w:lang w:eastAsia="en-MY"/>
        </w:rPr>
        <w:lastRenderedPageBreak/>
        <w:drawing>
          <wp:inline distT="0" distB="0" distL="0" distR="0" wp14:anchorId="054C99B9" wp14:editId="66B21144">
            <wp:extent cx="3545339" cy="3060000"/>
            <wp:effectExtent l="0" t="0" r="0" b="7620"/>
            <wp:docPr id="1956"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545339" cy="3060000"/>
                    </a:xfrm>
                    <a:prstGeom prst="rect">
                      <a:avLst/>
                    </a:prstGeom>
                    <a:noFill/>
                    <a:ln>
                      <a:noFill/>
                    </a:ln>
                  </pic:spPr>
                </pic:pic>
              </a:graphicData>
            </a:graphic>
          </wp:inline>
        </w:drawing>
      </w:r>
    </w:p>
    <w:p w14:paraId="29FE77E8" w14:textId="77777777" w:rsidR="00D740DC" w:rsidRPr="000E2377" w:rsidRDefault="00D740DC" w:rsidP="00D740DC">
      <w:pPr>
        <w:spacing w:after="0" w:line="360" w:lineRule="auto"/>
        <w:jc w:val="center"/>
        <w:rPr>
          <w:rFonts w:eastAsia="Times New Roman" w:cs="Times New Roman"/>
          <w:color w:val="000000"/>
          <w:szCs w:val="24"/>
          <w:lang w:eastAsia="en-MY"/>
        </w:rPr>
      </w:pPr>
      <w:r w:rsidRPr="00B230A5">
        <w:rPr>
          <w:noProof/>
          <w:lang w:eastAsia="en-MY"/>
        </w:rPr>
        <w:drawing>
          <wp:inline distT="0" distB="0" distL="0" distR="0" wp14:anchorId="584D4D58" wp14:editId="289D1B89">
            <wp:extent cx="3580910" cy="3060000"/>
            <wp:effectExtent l="0" t="0" r="635" b="7620"/>
            <wp:docPr id="2023" name="Pictu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580910" cy="3060000"/>
                    </a:xfrm>
                    <a:prstGeom prst="rect">
                      <a:avLst/>
                    </a:prstGeom>
                    <a:noFill/>
                    <a:ln>
                      <a:noFill/>
                    </a:ln>
                  </pic:spPr>
                </pic:pic>
              </a:graphicData>
            </a:graphic>
          </wp:inline>
        </w:drawing>
      </w:r>
    </w:p>
    <w:p w14:paraId="224AC2F2" w14:textId="743CBE39" w:rsidR="00D740DC" w:rsidRPr="000E2377" w:rsidRDefault="0080406D" w:rsidP="00D740DC">
      <w:pPr>
        <w:pStyle w:val="Caption"/>
        <w:rPr>
          <w:szCs w:val="24"/>
        </w:rPr>
      </w:pPr>
      <w:bookmarkStart w:id="670" w:name="_Toc521420470"/>
      <w:bookmarkStart w:id="671" w:name="_Toc525223204"/>
      <w:bookmarkStart w:id="672" w:name="_Toc525528351"/>
      <w:bookmarkStart w:id="673" w:name="_Toc525706366"/>
      <w:r>
        <w:t>Figure 4.3</w:t>
      </w:r>
      <w:r w:rsidR="00D740DC" w:rsidRPr="000E2377">
        <w:t xml:space="preserve">: </w:t>
      </w:r>
      <w:r w:rsidR="00D740DC" w:rsidRPr="000E2377">
        <w:rPr>
          <w:szCs w:val="24"/>
        </w:rPr>
        <w:t xml:space="preserve">Density, molar volume and glass transition of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15</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15-x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60</w:t>
      </w:r>
      <w:r w:rsidR="00D740DC" w:rsidRPr="000E2377">
        <w:rPr>
          <w:szCs w:val="24"/>
        </w:rPr>
        <w:t xml:space="preserve">,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15</w:t>
      </w:r>
      <w:r w:rsidR="00D740DC" w:rsidRPr="000E2377">
        <w:rPr>
          <w:rFonts w:eastAsia="Times New Roman"/>
          <w:color w:val="000000"/>
          <w:szCs w:val="24"/>
          <w:lang w:eastAsia="en-MY"/>
        </w:rPr>
        <w:t>Ba</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15-x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60</w:t>
      </w:r>
      <w:r w:rsidR="00D740DC" w:rsidRPr="000E2377">
        <w:rPr>
          <w:szCs w:val="24"/>
        </w:rPr>
        <w:t xml:space="preserve">,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20-x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60</w:t>
      </w:r>
      <w:r w:rsidR="00D740DC" w:rsidRPr="000E2377">
        <w:rPr>
          <w:szCs w:val="24"/>
        </w:rPr>
        <w:t xml:space="preserve"> and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Ba</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20-x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 xml:space="preserve">60 </w:t>
      </w:r>
      <w:r w:rsidR="00D740DC" w:rsidRPr="000E2377">
        <w:rPr>
          <w:rFonts w:eastAsia="Times New Roman"/>
          <w:color w:val="000000"/>
          <w:szCs w:val="24"/>
          <w:lang w:eastAsia="en-MY"/>
        </w:rPr>
        <w:t>glass series.</w:t>
      </w:r>
      <w:bookmarkEnd w:id="670"/>
      <w:bookmarkEnd w:id="671"/>
      <w:bookmarkEnd w:id="672"/>
      <w:bookmarkEnd w:id="673"/>
      <w:r w:rsidR="00D740DC">
        <w:rPr>
          <w:rFonts w:eastAsia="Times New Roman"/>
          <w:color w:val="000000"/>
          <w:szCs w:val="24"/>
          <w:lang w:eastAsia="en-MY"/>
        </w:rPr>
        <w:t xml:space="preserve"> </w:t>
      </w:r>
    </w:p>
    <w:p w14:paraId="29257237" w14:textId="452A71DE" w:rsidR="00D740DC" w:rsidRDefault="00D740DC" w:rsidP="00D740DC">
      <w:pPr>
        <w:spacing w:after="0" w:line="360" w:lineRule="auto"/>
        <w:jc w:val="both"/>
        <w:rPr>
          <w:rFonts w:eastAsia="Times New Roman" w:cs="Times New Roman"/>
          <w:b w:val="0"/>
          <w:color w:val="000000"/>
          <w:szCs w:val="24"/>
          <w:lang w:eastAsia="en-MY"/>
        </w:rPr>
      </w:pPr>
      <w:r w:rsidRPr="000E2377">
        <w:rPr>
          <w:rFonts w:cs="Times New Roman"/>
          <w:b w:val="0"/>
          <w:szCs w:val="24"/>
        </w:rPr>
        <w:t xml:space="preserve">There is </w:t>
      </w:r>
      <w:r w:rsidR="00E25445">
        <w:rPr>
          <w:rFonts w:cs="Times New Roman"/>
          <w:b w:val="0"/>
          <w:szCs w:val="24"/>
        </w:rPr>
        <w:t xml:space="preserve">an </w:t>
      </w:r>
      <w:r w:rsidRPr="000E2377">
        <w:rPr>
          <w:rFonts w:cs="Times New Roman"/>
          <w:b w:val="0"/>
          <w:szCs w:val="24"/>
        </w:rPr>
        <w:t>obvious trend when using different amount</w:t>
      </w:r>
      <w:r>
        <w:rPr>
          <w:rFonts w:cs="Times New Roman"/>
          <w:b w:val="0"/>
          <w:szCs w:val="24"/>
        </w:rPr>
        <w:t>s</w:t>
      </w:r>
      <w:r w:rsidRPr="000E2377">
        <w:rPr>
          <w:rFonts w:cs="Times New Roman"/>
          <w:b w:val="0"/>
          <w:szCs w:val="24"/>
        </w:rPr>
        <w:t xml:space="preserve"> and alkaline earth types in composition as can be seen in Figure 4.3. The densit</w:t>
      </w:r>
      <w:r>
        <w:rPr>
          <w:rFonts w:cs="Times New Roman"/>
          <w:b w:val="0"/>
          <w:szCs w:val="24"/>
        </w:rPr>
        <w:t>ies</w:t>
      </w:r>
      <w:r w:rsidRPr="000E2377">
        <w:rPr>
          <w:rFonts w:cs="Times New Roman"/>
          <w:b w:val="0"/>
          <w:szCs w:val="24"/>
        </w:rPr>
        <w:t xml:space="preserve"> of glass</w:t>
      </w:r>
      <w:r>
        <w:rPr>
          <w:rFonts w:cs="Times New Roman"/>
          <w:b w:val="0"/>
          <w:szCs w:val="24"/>
        </w:rPr>
        <w:t>es that contain</w:t>
      </w:r>
      <w:r w:rsidRPr="000E2377">
        <w:rPr>
          <w:rFonts w:cs="Times New Roman"/>
          <w:b w:val="0"/>
          <w:szCs w:val="24"/>
        </w:rPr>
        <w:t xml:space="preserve"> barium </w:t>
      </w:r>
      <w:r>
        <w:rPr>
          <w:rFonts w:cs="Times New Roman"/>
          <w:b w:val="0"/>
          <w:szCs w:val="24"/>
        </w:rPr>
        <w:t>oxide are</w:t>
      </w:r>
      <w:r w:rsidRPr="000E2377">
        <w:rPr>
          <w:rFonts w:cs="Times New Roman"/>
          <w:b w:val="0"/>
          <w:szCs w:val="24"/>
        </w:rPr>
        <w:t xml:space="preserve"> lower than</w:t>
      </w:r>
      <w:r>
        <w:rPr>
          <w:rFonts w:cs="Times New Roman"/>
          <w:b w:val="0"/>
          <w:szCs w:val="24"/>
        </w:rPr>
        <w:t xml:space="preserve"> the equivalent</w:t>
      </w:r>
      <w:r w:rsidRPr="000E2377">
        <w:rPr>
          <w:rFonts w:cs="Times New Roman"/>
          <w:b w:val="0"/>
          <w:szCs w:val="24"/>
        </w:rPr>
        <w:t xml:space="preserve"> calcium</w:t>
      </w:r>
      <w:r>
        <w:rPr>
          <w:rFonts w:cs="Times New Roman"/>
          <w:b w:val="0"/>
          <w:szCs w:val="24"/>
        </w:rPr>
        <w:t xml:space="preserve"> oxide containing glasses when the total charge balance is &gt; 0 but in contrast when total charge balance is &lt; 0 the barium containing glasses have higher densities.</w:t>
      </w:r>
      <w:r w:rsidRPr="000E2377">
        <w:rPr>
          <w:rFonts w:cs="Times New Roman"/>
          <w:b w:val="0"/>
          <w:szCs w:val="24"/>
        </w:rPr>
        <w:t xml:space="preserve"> (</w:t>
      </w:r>
      <w:r>
        <w:rPr>
          <w:rFonts w:cs="Times New Roman"/>
          <w:b w:val="0"/>
          <w:szCs w:val="24"/>
        </w:rPr>
        <w:t xml:space="preserve">total charge balance is </w:t>
      </w:r>
      <w:r w:rsidRPr="000E2377">
        <w:rPr>
          <w:rFonts w:cs="Times New Roman"/>
          <w:b w:val="0"/>
          <w:szCs w:val="24"/>
        </w:rPr>
        <w:t xml:space="preserve">defined as the total amount of network modifier minus the amount of modifier required to charge balance all Al and B as tetrahedral species; negative numbers indicate that the conversion of all Al and B to tetrahedra is not possible) </w:t>
      </w:r>
      <w:r>
        <w:rPr>
          <w:rFonts w:cs="Times New Roman"/>
          <w:b w:val="0"/>
          <w:szCs w:val="24"/>
        </w:rPr>
        <w:t>T</w:t>
      </w:r>
      <w:r w:rsidRPr="000E2377">
        <w:rPr>
          <w:rFonts w:cs="Times New Roman"/>
          <w:b w:val="0"/>
          <w:szCs w:val="24"/>
        </w:rPr>
        <w:t>he high</w:t>
      </w:r>
      <w:r>
        <w:rPr>
          <w:rFonts w:cs="Times New Roman"/>
          <w:b w:val="0"/>
          <w:szCs w:val="24"/>
        </w:rPr>
        <w:t>est</w:t>
      </w:r>
      <w:r w:rsidRPr="000E2377">
        <w:rPr>
          <w:rFonts w:cs="Times New Roman"/>
          <w:b w:val="0"/>
          <w:szCs w:val="24"/>
        </w:rPr>
        <w:t xml:space="preserve"> densit</w:t>
      </w:r>
      <w:r>
        <w:rPr>
          <w:rFonts w:cs="Times New Roman"/>
          <w:b w:val="0"/>
          <w:szCs w:val="24"/>
        </w:rPr>
        <w:t>ies</w:t>
      </w:r>
      <w:r w:rsidRPr="000E2377">
        <w:rPr>
          <w:rFonts w:cs="Times New Roman"/>
          <w:b w:val="0"/>
          <w:szCs w:val="24"/>
        </w:rPr>
        <w:t xml:space="preserve"> occur</w:t>
      </w:r>
      <w:r>
        <w:rPr>
          <w:rFonts w:cs="Times New Roman"/>
          <w:b w:val="0"/>
          <w:szCs w:val="24"/>
        </w:rPr>
        <w:t>red</w:t>
      </w:r>
      <w:r w:rsidRPr="000E2377">
        <w:rPr>
          <w:rFonts w:cs="Times New Roman"/>
          <w:b w:val="0"/>
          <w:szCs w:val="24"/>
        </w:rPr>
        <w:t xml:space="preserve"> </w:t>
      </w:r>
      <w:r>
        <w:rPr>
          <w:rFonts w:cs="Times New Roman"/>
          <w:b w:val="0"/>
          <w:szCs w:val="24"/>
        </w:rPr>
        <w:t>with</w:t>
      </w:r>
      <w:r w:rsidRPr="000E2377">
        <w:rPr>
          <w:rFonts w:cs="Times New Roman"/>
          <w:b w:val="0"/>
          <w:szCs w:val="24"/>
        </w:rPr>
        <w:t xml:space="preserve"> </w:t>
      </w:r>
      <w:r>
        <w:rPr>
          <w:rFonts w:cs="Times New Roman"/>
          <w:b w:val="0"/>
          <w:szCs w:val="24"/>
        </w:rPr>
        <w:t xml:space="preserve">the </w:t>
      </w:r>
      <w:r w:rsidRPr="000E2377">
        <w:rPr>
          <w:rFonts w:cs="Times New Roman"/>
          <w:b w:val="0"/>
          <w:szCs w:val="24"/>
        </w:rPr>
        <w:t>high</w:t>
      </w:r>
      <w:r>
        <w:rPr>
          <w:rFonts w:cs="Times New Roman"/>
          <w:b w:val="0"/>
          <w:szCs w:val="24"/>
        </w:rPr>
        <w:t>est</w:t>
      </w:r>
      <w:r w:rsidRPr="000E2377">
        <w:rPr>
          <w:rFonts w:cs="Times New Roman"/>
          <w:b w:val="0"/>
          <w:szCs w:val="24"/>
        </w:rPr>
        <w:t xml:space="preserve"> alkaline earth</w:t>
      </w:r>
      <w:r>
        <w:rPr>
          <w:rFonts w:cs="Times New Roman"/>
          <w:b w:val="0"/>
          <w:szCs w:val="24"/>
        </w:rPr>
        <w:t xml:space="preserve"> oxide contents.</w:t>
      </w:r>
      <w:r w:rsidRPr="000E2377">
        <w:rPr>
          <w:rFonts w:cs="Times New Roman"/>
          <w:b w:val="0"/>
          <w:szCs w:val="24"/>
        </w:rPr>
        <w:t xml:space="preserve">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eastAsia="Times New Roman" w:cs="Times New Roman"/>
          <w:b w:val="0"/>
          <w:color w:val="000000"/>
          <w:szCs w:val="24"/>
          <w:lang w:eastAsia="en-MY"/>
        </w:rPr>
        <w:t xml:space="preserve">have higher </w:t>
      </w:r>
      <w:r w:rsidRPr="000E2377">
        <w:rPr>
          <w:rFonts w:eastAsia="Times New Roman" w:cs="Times New Roman"/>
          <w:b w:val="0"/>
          <w:color w:val="000000"/>
          <w:szCs w:val="24"/>
          <w:lang w:eastAsia="en-MY"/>
        </w:rPr>
        <w:lastRenderedPageBreak/>
        <w:t xml:space="preserve">calcium </w:t>
      </w:r>
      <w:r>
        <w:rPr>
          <w:rFonts w:eastAsia="Times New Roman" w:cs="Times New Roman"/>
          <w:b w:val="0"/>
          <w:color w:val="000000"/>
          <w:szCs w:val="24"/>
          <w:lang w:eastAsia="en-MY"/>
        </w:rPr>
        <w:t>oxide contents</w:t>
      </w:r>
      <w:r w:rsidRPr="000E2377">
        <w:rPr>
          <w:rFonts w:eastAsia="Times New Roman" w:cs="Times New Roman"/>
          <w:b w:val="0"/>
          <w:color w:val="000000"/>
          <w:szCs w:val="24"/>
          <w:lang w:eastAsia="en-MY"/>
        </w:rPr>
        <w:t xml:space="preserve"> compare</w:t>
      </w:r>
      <w:r>
        <w:rPr>
          <w:rFonts w:eastAsia="Times New Roman" w:cs="Times New Roman"/>
          <w:b w:val="0"/>
          <w:color w:val="000000"/>
          <w:szCs w:val="24"/>
          <w:lang w:eastAsia="en-MY"/>
        </w:rPr>
        <w:t>d</w:t>
      </w:r>
      <w:r w:rsidRPr="000E2377">
        <w:rPr>
          <w:rFonts w:eastAsia="Times New Roman" w:cs="Times New Roman"/>
          <w:b w:val="0"/>
          <w:color w:val="000000"/>
          <w:szCs w:val="24"/>
          <w:lang w:eastAsia="en-MY"/>
        </w:rPr>
        <w:t xml:space="preserve"> to series 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eastAsia="Times New Roman" w:cs="Times New Roman"/>
          <w:b w:val="0"/>
          <w:color w:val="000000"/>
          <w:szCs w:val="24"/>
          <w:lang w:eastAsia="en-MY"/>
        </w:rPr>
        <w:t xml:space="preserve">and </w:t>
      </w:r>
      <w:r>
        <w:rPr>
          <w:rFonts w:eastAsia="Times New Roman" w:cs="Times New Roman"/>
          <w:b w:val="0"/>
          <w:color w:val="000000"/>
          <w:szCs w:val="24"/>
          <w:lang w:eastAsia="en-MY"/>
        </w:rPr>
        <w:t xml:space="preserve">in </w:t>
      </w:r>
      <w:r w:rsidRPr="000E2377">
        <w:rPr>
          <w:rFonts w:eastAsia="Times New Roman" w:cs="Times New Roman"/>
          <w:b w:val="0"/>
          <w:color w:val="000000"/>
          <w:szCs w:val="24"/>
          <w:lang w:eastAsia="en-MY"/>
        </w:rPr>
        <w:t xml:space="preserve">conjunction </w:t>
      </w:r>
      <w:r>
        <w:rPr>
          <w:rFonts w:eastAsia="Times New Roman" w:cs="Times New Roman"/>
          <w:b w:val="0"/>
          <w:color w:val="000000"/>
          <w:szCs w:val="24"/>
          <w:lang w:eastAsia="en-MY"/>
        </w:rPr>
        <w:t>with</w:t>
      </w:r>
      <w:r w:rsidRPr="000E2377">
        <w:rPr>
          <w:rFonts w:eastAsia="Times New Roman" w:cs="Times New Roman"/>
          <w:b w:val="0"/>
          <w:color w:val="000000"/>
          <w:szCs w:val="24"/>
          <w:lang w:eastAsia="en-MY"/>
        </w:rPr>
        <w:t xml:space="preserve"> that</w:t>
      </w:r>
      <w:r w:rsidR="000707B0">
        <w:rPr>
          <w:rFonts w:eastAsia="Times New Roman" w:cs="Times New Roman"/>
          <w:b w:val="0"/>
          <w:color w:val="000000"/>
          <w:szCs w:val="24"/>
          <w:lang w:eastAsia="en-MY"/>
        </w:rPr>
        <w:t>,</w:t>
      </w:r>
      <w:r w:rsidRPr="000E2377">
        <w:rPr>
          <w:rFonts w:eastAsia="Times New Roman" w:cs="Times New Roman"/>
          <w:b w:val="0"/>
          <w:color w:val="000000"/>
          <w:szCs w:val="24"/>
          <w:lang w:eastAsia="en-MY"/>
        </w:rPr>
        <w:t xml:space="preserve"> the network</w:t>
      </w:r>
      <w:r>
        <w:rPr>
          <w:rFonts w:eastAsia="Times New Roman" w:cs="Times New Roman"/>
          <w:b w:val="0"/>
          <w:color w:val="000000"/>
          <w:szCs w:val="24"/>
          <w:lang w:eastAsia="en-MY"/>
        </w:rPr>
        <w:t xml:space="preserve"> charge</w:t>
      </w:r>
      <w:r w:rsidRPr="000E2377">
        <w:rPr>
          <w:rFonts w:eastAsia="Times New Roman" w:cs="Times New Roman"/>
          <w:b w:val="0"/>
          <w:color w:val="000000"/>
          <w:szCs w:val="24"/>
          <w:lang w:eastAsia="en-MY"/>
        </w:rPr>
        <w:t xml:space="preserve"> balance </w:t>
      </w:r>
      <w:r>
        <w:rPr>
          <w:rFonts w:eastAsia="Times New Roman" w:cs="Times New Roman"/>
          <w:b w:val="0"/>
          <w:color w:val="000000"/>
          <w:szCs w:val="24"/>
          <w:lang w:eastAsia="en-MY"/>
        </w:rPr>
        <w:t>is</w:t>
      </w:r>
      <w:r w:rsidRPr="000E2377">
        <w:rPr>
          <w:rFonts w:eastAsia="Times New Roman" w:cs="Times New Roman"/>
          <w:b w:val="0"/>
          <w:color w:val="000000"/>
          <w:szCs w:val="24"/>
          <w:lang w:eastAsia="en-MY"/>
        </w:rPr>
        <w:t xml:space="preserve"> also high. Increas</w:t>
      </w:r>
      <w:r>
        <w:rPr>
          <w:rFonts w:eastAsia="Times New Roman" w:cs="Times New Roman"/>
          <w:b w:val="0"/>
          <w:color w:val="000000"/>
          <w:szCs w:val="24"/>
          <w:lang w:eastAsia="en-MY"/>
        </w:rPr>
        <w:t>ed</w:t>
      </w:r>
      <w:r w:rsidRPr="000E2377">
        <w:rPr>
          <w:rFonts w:eastAsia="Times New Roman" w:cs="Times New Roman"/>
          <w:b w:val="0"/>
          <w:color w:val="000000"/>
          <w:szCs w:val="24"/>
          <w:lang w:eastAsia="en-MY"/>
        </w:rPr>
        <w:t xml:space="preserve"> </w:t>
      </w:r>
      <w:r>
        <w:rPr>
          <w:rFonts w:eastAsia="Times New Roman" w:cs="Times New Roman"/>
          <w:b w:val="0"/>
          <w:color w:val="000000"/>
          <w:szCs w:val="24"/>
          <w:lang w:eastAsia="en-MY"/>
        </w:rPr>
        <w:t>network</w:t>
      </w:r>
      <w:r w:rsidRPr="000E2377">
        <w:rPr>
          <w:rFonts w:eastAsia="Times New Roman" w:cs="Times New Roman"/>
          <w:b w:val="0"/>
          <w:color w:val="000000"/>
          <w:szCs w:val="24"/>
          <w:lang w:eastAsia="en-MY"/>
        </w:rPr>
        <w:t xml:space="preserve"> charge balance </w:t>
      </w:r>
      <w:r>
        <w:rPr>
          <w:rFonts w:eastAsia="Times New Roman" w:cs="Times New Roman"/>
          <w:b w:val="0"/>
          <w:color w:val="000000"/>
          <w:szCs w:val="24"/>
          <w:lang w:eastAsia="en-MY"/>
        </w:rPr>
        <w:t>correlates with</w:t>
      </w:r>
      <w:r w:rsidRPr="000E2377">
        <w:rPr>
          <w:rFonts w:eastAsia="Times New Roman" w:cs="Times New Roman"/>
          <w:b w:val="0"/>
          <w:color w:val="000000"/>
          <w:szCs w:val="24"/>
          <w:lang w:eastAsia="en-MY"/>
        </w:rPr>
        <w:t xml:space="preserve"> increas</w:t>
      </w:r>
      <w:r>
        <w:rPr>
          <w:rFonts w:eastAsia="Times New Roman" w:cs="Times New Roman"/>
          <w:b w:val="0"/>
          <w:color w:val="000000"/>
          <w:szCs w:val="24"/>
          <w:lang w:eastAsia="en-MY"/>
        </w:rPr>
        <w:t>ed</w:t>
      </w:r>
      <w:r w:rsidRPr="000E2377">
        <w:rPr>
          <w:rFonts w:eastAsia="Times New Roman" w:cs="Times New Roman"/>
          <w:b w:val="0"/>
          <w:color w:val="000000"/>
          <w:szCs w:val="24"/>
          <w:lang w:eastAsia="en-MY"/>
        </w:rPr>
        <w:t xml:space="preserve"> density and decreased molar volume for all three series. </w:t>
      </w:r>
      <w:r>
        <w:rPr>
          <w:rFonts w:eastAsia="Times New Roman" w:cs="Times New Roman"/>
          <w:b w:val="0"/>
          <w:color w:val="000000"/>
          <w:szCs w:val="24"/>
          <w:lang w:eastAsia="en-MY"/>
        </w:rPr>
        <w:t>For these glasses</w:t>
      </w:r>
      <w:r w:rsidR="002337E8">
        <w:rPr>
          <w:rFonts w:eastAsia="Times New Roman" w:cs="Times New Roman"/>
          <w:b w:val="0"/>
          <w:color w:val="000000"/>
          <w:szCs w:val="24"/>
          <w:lang w:eastAsia="en-MY"/>
        </w:rPr>
        <w:t>,</w:t>
      </w:r>
      <w:r>
        <w:rPr>
          <w:rFonts w:eastAsia="Times New Roman" w:cs="Times New Roman"/>
          <w:b w:val="0"/>
          <w:color w:val="000000"/>
          <w:szCs w:val="24"/>
          <w:lang w:eastAsia="en-MY"/>
        </w:rPr>
        <w:t xml:space="preserve"> the </w:t>
      </w:r>
      <w:r w:rsidRPr="000E2377">
        <w:rPr>
          <w:rFonts w:eastAsia="Times New Roman" w:cs="Times New Roman"/>
          <w:b w:val="0"/>
          <w:color w:val="000000"/>
          <w:szCs w:val="24"/>
          <w:lang w:eastAsia="en-MY"/>
        </w:rPr>
        <w:t>glass transition temperature</w:t>
      </w:r>
      <w:r>
        <w:rPr>
          <w:rFonts w:eastAsia="Times New Roman" w:cs="Times New Roman"/>
          <w:b w:val="0"/>
          <w:color w:val="000000"/>
          <w:szCs w:val="24"/>
          <w:lang w:eastAsia="en-MY"/>
        </w:rPr>
        <w:t xml:space="preserve"> is notably higher when the network charge balance is negative than when it is positive; positive values indicate an excess of network modifiers and thus a more depolymerised network.</w:t>
      </w:r>
    </w:p>
    <w:p w14:paraId="1C9B7994" w14:textId="77777777" w:rsidR="00D740DC" w:rsidRPr="000E2377" w:rsidRDefault="00D740DC" w:rsidP="00D740DC">
      <w:pPr>
        <w:spacing w:after="0" w:line="360" w:lineRule="auto"/>
        <w:jc w:val="both"/>
        <w:rPr>
          <w:rFonts w:cs="Times New Roman"/>
          <w:b w:val="0"/>
          <w:szCs w:val="24"/>
        </w:rPr>
      </w:pPr>
    </w:p>
    <w:p w14:paraId="1393F531" w14:textId="77777777" w:rsidR="00D740DC" w:rsidRDefault="00D740DC" w:rsidP="00D740DC">
      <w:pPr>
        <w:spacing w:after="0" w:line="360" w:lineRule="auto"/>
        <w:jc w:val="both"/>
        <w:rPr>
          <w:rFonts w:cs="Times New Roman"/>
          <w:szCs w:val="24"/>
        </w:rPr>
      </w:pPr>
      <w:r w:rsidRPr="000E2377">
        <w:rPr>
          <w:rFonts w:cs="Times New Roman"/>
          <w:szCs w:val="24"/>
        </w:rPr>
        <w:t xml:space="preserve">Series </w:t>
      </w: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2</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78-x</w:t>
      </w:r>
      <w:r w:rsidRPr="000E2377">
        <w:rPr>
          <w:rFonts w:cs="Times New Roman"/>
          <w:szCs w:val="24"/>
        </w:rPr>
        <w:t xml:space="preserve"> </w:t>
      </w:r>
      <w:r>
        <w:rPr>
          <w:rFonts w:cs="Times New Roman"/>
          <w:szCs w:val="24"/>
        </w:rPr>
        <w:t>and</w:t>
      </w:r>
      <w:r w:rsidRPr="000E2377">
        <w:rPr>
          <w:rFonts w:eastAsia="Times New Roman" w:cs="Times New Roman"/>
          <w:color w:val="000000"/>
          <w:szCs w:val="24"/>
          <w:lang w:eastAsia="en-MY"/>
        </w:rPr>
        <w:t xml:space="preserve"> N</w:t>
      </w:r>
      <w:r w:rsidRPr="000E2377">
        <w:rPr>
          <w:rFonts w:eastAsia="Times New Roman" w:cs="Times New Roman"/>
          <w:color w:val="000000"/>
          <w:szCs w:val="24"/>
          <w:vertAlign w:val="subscript"/>
          <w:lang w:eastAsia="en-MY"/>
        </w:rPr>
        <w:t>15</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2</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73-x</w:t>
      </w:r>
      <w:r w:rsidRPr="000E2377">
        <w:rPr>
          <w:rFonts w:cs="Times New Roman"/>
          <w:szCs w:val="24"/>
        </w:rPr>
        <w:t xml:space="preserve">, </w:t>
      </w:r>
      <w:r w:rsidRPr="000E2377">
        <w:rPr>
          <w:rFonts w:eastAsia="Times New Roman" w:cs="Times New Roman"/>
          <w:color w:val="000000"/>
          <w:szCs w:val="24"/>
          <w:lang w:eastAsia="en-MY"/>
        </w:rPr>
        <w:t>glasses</w:t>
      </w:r>
      <w:r w:rsidRPr="000E2377">
        <w:rPr>
          <w:rFonts w:cs="Times New Roman"/>
          <w:szCs w:val="24"/>
        </w:rPr>
        <w:t>.</w:t>
      </w:r>
    </w:p>
    <w:p w14:paraId="2E3204C9" w14:textId="77777777" w:rsidR="00D740DC" w:rsidRDefault="00D740DC" w:rsidP="00D740DC">
      <w:pPr>
        <w:spacing w:after="0" w:line="360" w:lineRule="auto"/>
        <w:jc w:val="center"/>
        <w:rPr>
          <w:rFonts w:eastAsia="Times New Roman" w:cs="Times New Roman"/>
          <w:color w:val="000000"/>
          <w:szCs w:val="24"/>
          <w:lang w:eastAsia="en-MY"/>
        </w:rPr>
      </w:pPr>
      <w:r w:rsidRPr="00835471">
        <w:rPr>
          <w:noProof/>
          <w:lang w:eastAsia="en-MY"/>
        </w:rPr>
        <w:drawing>
          <wp:inline distT="0" distB="0" distL="0" distR="0" wp14:anchorId="2E362632" wp14:editId="6E641451">
            <wp:extent cx="3899050" cy="3096000"/>
            <wp:effectExtent l="0" t="0" r="635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899050" cy="3096000"/>
                    </a:xfrm>
                    <a:prstGeom prst="rect">
                      <a:avLst/>
                    </a:prstGeom>
                    <a:noFill/>
                    <a:ln>
                      <a:noFill/>
                    </a:ln>
                  </pic:spPr>
                </pic:pic>
              </a:graphicData>
            </a:graphic>
          </wp:inline>
        </w:drawing>
      </w:r>
      <w:r w:rsidRPr="00835471">
        <w:rPr>
          <w:noProof/>
          <w:lang w:eastAsia="en-MY"/>
        </w:rPr>
        <w:drawing>
          <wp:inline distT="0" distB="0" distL="0" distR="0" wp14:anchorId="106C648F" wp14:editId="295A829D">
            <wp:extent cx="3889824" cy="3096000"/>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889824" cy="3096000"/>
                    </a:xfrm>
                    <a:prstGeom prst="rect">
                      <a:avLst/>
                    </a:prstGeom>
                    <a:noFill/>
                    <a:ln>
                      <a:noFill/>
                    </a:ln>
                  </pic:spPr>
                </pic:pic>
              </a:graphicData>
            </a:graphic>
          </wp:inline>
        </w:drawing>
      </w:r>
    </w:p>
    <w:p w14:paraId="4FEE5E66" w14:textId="157918CC" w:rsidR="00D740DC" w:rsidRPr="000E2377" w:rsidRDefault="0080406D" w:rsidP="00D740DC">
      <w:pPr>
        <w:pStyle w:val="Caption"/>
        <w:rPr>
          <w:szCs w:val="24"/>
        </w:rPr>
      </w:pPr>
      <w:r>
        <w:t>Figure 4.4</w:t>
      </w:r>
      <w:r w:rsidR="00D740DC" w:rsidRPr="000E2377">
        <w:t xml:space="preserve">: </w:t>
      </w:r>
      <w:r w:rsidR="00D740DC" w:rsidRPr="000E2377">
        <w:rPr>
          <w:szCs w:val="24"/>
        </w:rPr>
        <w:t xml:space="preserve">Density, molar volume and glass transition </w:t>
      </w:r>
      <w:r w:rsidR="00D740DC">
        <w:rPr>
          <w:szCs w:val="24"/>
        </w:rPr>
        <w:t xml:space="preserve">temperature </w:t>
      </w:r>
      <w:r w:rsidR="00D740DC" w:rsidRPr="000E2377">
        <w:rPr>
          <w:szCs w:val="24"/>
        </w:rPr>
        <w:t xml:space="preserve">of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2</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78-x</w:t>
      </w:r>
      <w:r w:rsidR="00D740DC" w:rsidRPr="000E2377">
        <w:rPr>
          <w:szCs w:val="24"/>
        </w:rPr>
        <w:t xml:space="preserve"> </w:t>
      </w:r>
      <w:r w:rsidR="00D740DC">
        <w:rPr>
          <w:szCs w:val="24"/>
        </w:rPr>
        <w:t>and</w:t>
      </w:r>
      <w:r w:rsidR="00D740DC" w:rsidRPr="000E2377">
        <w:rPr>
          <w:rFonts w:eastAsia="Times New Roman"/>
          <w:color w:val="000000"/>
          <w:szCs w:val="24"/>
          <w:lang w:eastAsia="en-MY"/>
        </w:rPr>
        <w:t xml:space="preserve"> N</w:t>
      </w:r>
      <w:r w:rsidR="00D740DC" w:rsidRPr="000E2377">
        <w:rPr>
          <w:rFonts w:eastAsia="Times New Roman"/>
          <w:color w:val="000000"/>
          <w:szCs w:val="24"/>
          <w:vertAlign w:val="subscript"/>
          <w:lang w:eastAsia="en-MY"/>
        </w:rPr>
        <w:t>15</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2</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73-x</w:t>
      </w:r>
      <w:r w:rsidR="00D740DC" w:rsidRPr="000E2377">
        <w:rPr>
          <w:szCs w:val="24"/>
        </w:rPr>
        <w:t xml:space="preserve"> </w:t>
      </w:r>
      <w:r w:rsidR="00D740DC" w:rsidRPr="000E2377">
        <w:rPr>
          <w:rFonts w:eastAsia="Times New Roman"/>
          <w:color w:val="000000"/>
          <w:szCs w:val="24"/>
          <w:lang w:eastAsia="en-MY"/>
        </w:rPr>
        <w:t>glass series</w:t>
      </w:r>
      <w:r w:rsidR="00D740DC">
        <w:rPr>
          <w:rFonts w:eastAsia="Times New Roman"/>
          <w:color w:val="000000"/>
          <w:szCs w:val="24"/>
          <w:lang w:eastAsia="en-MY"/>
        </w:rPr>
        <w:t>. (</w:t>
      </w:r>
      <w:r w:rsidR="00D740DC" w:rsidRPr="00D55E62">
        <w:rPr>
          <w:rFonts w:eastAsia="Times New Roman"/>
          <w:i/>
          <w:color w:val="000000"/>
          <w:szCs w:val="24"/>
          <w:lang w:eastAsia="en-MY"/>
        </w:rPr>
        <w:t>Continue</w:t>
      </w:r>
      <w:r w:rsidR="00D740DC">
        <w:rPr>
          <w:rFonts w:eastAsia="Times New Roman"/>
          <w:i/>
          <w:color w:val="000000"/>
          <w:szCs w:val="24"/>
          <w:lang w:eastAsia="en-MY"/>
        </w:rPr>
        <w:t>d on</w:t>
      </w:r>
      <w:r w:rsidR="00D740DC" w:rsidRPr="00D55E62">
        <w:rPr>
          <w:rFonts w:eastAsia="Times New Roman"/>
          <w:i/>
          <w:color w:val="000000"/>
          <w:szCs w:val="24"/>
          <w:lang w:eastAsia="en-MY"/>
        </w:rPr>
        <w:t xml:space="preserve"> next page</w:t>
      </w:r>
      <w:r w:rsidR="00D740DC">
        <w:rPr>
          <w:rFonts w:eastAsia="Times New Roman"/>
          <w:color w:val="000000"/>
          <w:szCs w:val="24"/>
          <w:lang w:eastAsia="en-MY"/>
        </w:rPr>
        <w:t xml:space="preserve">) </w:t>
      </w:r>
    </w:p>
    <w:p w14:paraId="06A83E8F" w14:textId="77777777" w:rsidR="00D740DC" w:rsidRPr="000E2377" w:rsidRDefault="00D740DC" w:rsidP="00D740DC">
      <w:pPr>
        <w:spacing w:after="0" w:line="360" w:lineRule="auto"/>
        <w:jc w:val="center"/>
        <w:rPr>
          <w:rFonts w:eastAsia="Times New Roman" w:cs="Times New Roman"/>
          <w:color w:val="000000"/>
          <w:szCs w:val="24"/>
          <w:lang w:eastAsia="en-MY"/>
        </w:rPr>
      </w:pPr>
      <w:r w:rsidRPr="003D3F0D">
        <w:rPr>
          <w:noProof/>
          <w:lang w:eastAsia="en-MY"/>
        </w:rPr>
        <w:lastRenderedPageBreak/>
        <w:drawing>
          <wp:inline distT="0" distB="0" distL="0" distR="0" wp14:anchorId="10519183" wp14:editId="24480537">
            <wp:extent cx="4029797" cy="3240000"/>
            <wp:effectExtent l="0" t="0" r="8890" b="0"/>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029797" cy="3240000"/>
                    </a:xfrm>
                    <a:prstGeom prst="rect">
                      <a:avLst/>
                    </a:prstGeom>
                    <a:noFill/>
                    <a:ln>
                      <a:noFill/>
                    </a:ln>
                  </pic:spPr>
                </pic:pic>
              </a:graphicData>
            </a:graphic>
          </wp:inline>
        </w:drawing>
      </w:r>
    </w:p>
    <w:p w14:paraId="7F749CB5" w14:textId="3843C3DF" w:rsidR="00D740DC" w:rsidRPr="000E2377" w:rsidRDefault="0080406D" w:rsidP="00D740DC">
      <w:pPr>
        <w:pStyle w:val="Caption"/>
        <w:rPr>
          <w:szCs w:val="24"/>
        </w:rPr>
      </w:pPr>
      <w:bookmarkStart w:id="674" w:name="_Toc521420471"/>
      <w:bookmarkStart w:id="675" w:name="_Toc525223205"/>
      <w:bookmarkStart w:id="676" w:name="_Toc525528352"/>
      <w:bookmarkStart w:id="677" w:name="_Toc525706367"/>
      <w:r>
        <w:t>Figure 4.4</w:t>
      </w:r>
      <w:r w:rsidR="00D740DC" w:rsidRPr="000E2377">
        <w:t xml:space="preserve">: </w:t>
      </w:r>
      <w:r w:rsidR="00D740DC" w:rsidRPr="000E2377">
        <w:rPr>
          <w:szCs w:val="24"/>
        </w:rPr>
        <w:t xml:space="preserve">Density, molar volume and glass transition </w:t>
      </w:r>
      <w:r w:rsidR="00D740DC">
        <w:rPr>
          <w:szCs w:val="24"/>
        </w:rPr>
        <w:t xml:space="preserve">temperature </w:t>
      </w:r>
      <w:r w:rsidR="00D740DC" w:rsidRPr="000E2377">
        <w:rPr>
          <w:szCs w:val="24"/>
        </w:rPr>
        <w:t xml:space="preserve">of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2</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78-x</w:t>
      </w:r>
      <w:r w:rsidR="00D740DC" w:rsidRPr="000E2377">
        <w:rPr>
          <w:szCs w:val="24"/>
        </w:rPr>
        <w:t xml:space="preserve"> </w:t>
      </w:r>
      <w:r w:rsidR="00D740DC">
        <w:rPr>
          <w:szCs w:val="24"/>
        </w:rPr>
        <w:t>and</w:t>
      </w:r>
      <w:r w:rsidR="00D740DC" w:rsidRPr="000E2377">
        <w:rPr>
          <w:rFonts w:eastAsia="Times New Roman"/>
          <w:color w:val="000000"/>
          <w:szCs w:val="24"/>
          <w:lang w:eastAsia="en-MY"/>
        </w:rPr>
        <w:t xml:space="preserve"> N</w:t>
      </w:r>
      <w:r w:rsidR="00D740DC" w:rsidRPr="000E2377">
        <w:rPr>
          <w:rFonts w:eastAsia="Times New Roman"/>
          <w:color w:val="000000"/>
          <w:szCs w:val="24"/>
          <w:vertAlign w:val="subscript"/>
          <w:lang w:eastAsia="en-MY"/>
        </w:rPr>
        <w:t>15</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2</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73-x</w:t>
      </w:r>
      <w:r w:rsidR="00D740DC" w:rsidRPr="000E2377">
        <w:rPr>
          <w:szCs w:val="24"/>
        </w:rPr>
        <w:t xml:space="preserve"> </w:t>
      </w:r>
      <w:r w:rsidR="00D740DC" w:rsidRPr="000E2377">
        <w:rPr>
          <w:rFonts w:eastAsia="Times New Roman"/>
          <w:color w:val="000000"/>
          <w:szCs w:val="24"/>
          <w:lang w:eastAsia="en-MY"/>
        </w:rPr>
        <w:t>glass series.</w:t>
      </w:r>
      <w:bookmarkEnd w:id="674"/>
      <w:bookmarkEnd w:id="675"/>
      <w:bookmarkEnd w:id="676"/>
      <w:bookmarkEnd w:id="677"/>
      <w:r w:rsidR="00D740DC">
        <w:rPr>
          <w:rFonts w:eastAsia="Times New Roman"/>
          <w:color w:val="000000"/>
          <w:szCs w:val="24"/>
          <w:lang w:eastAsia="en-MY"/>
        </w:rPr>
        <w:t xml:space="preserve"> </w:t>
      </w:r>
    </w:p>
    <w:p w14:paraId="37ACC4C4" w14:textId="77777777" w:rsidR="00D740DC" w:rsidRPr="000E2377" w:rsidRDefault="00D740DC" w:rsidP="00D740DC">
      <w:pPr>
        <w:jc w:val="both"/>
        <w:rPr>
          <w:rFonts w:cs="Times New Roman"/>
          <w:szCs w:val="24"/>
        </w:rPr>
      </w:pPr>
    </w:p>
    <w:p w14:paraId="7A05542A" w14:textId="085F20B4" w:rsidR="00D740DC" w:rsidRPr="000E2377" w:rsidRDefault="00D740DC" w:rsidP="00D740DC">
      <w:pPr>
        <w:spacing w:line="360" w:lineRule="auto"/>
        <w:jc w:val="both"/>
        <w:rPr>
          <w:rFonts w:cs="Times New Roman"/>
          <w:b w:val="0"/>
          <w:szCs w:val="24"/>
        </w:rPr>
      </w:pPr>
      <w:r w:rsidRPr="000E2377">
        <w:rPr>
          <w:rFonts w:cs="Times New Roman"/>
          <w:b w:val="0"/>
          <w:szCs w:val="24"/>
        </w:rPr>
        <w:t>Figure 4.4</w:t>
      </w:r>
      <w:r>
        <w:rPr>
          <w:rFonts w:cs="Times New Roman"/>
          <w:b w:val="0"/>
          <w:szCs w:val="24"/>
        </w:rPr>
        <w:t xml:space="preserve"> shows that for</w:t>
      </w:r>
      <w:r w:rsidRPr="000E2377">
        <w:rPr>
          <w:rFonts w:cs="Times New Roman"/>
          <w:b w:val="0"/>
          <w:szCs w:val="24"/>
        </w:rPr>
        <w:t xml:space="preserve"> series </w:t>
      </w:r>
      <w:r w:rsidRPr="000E2377">
        <w:rPr>
          <w:rFonts w:eastAsia="Times New Roman"/>
          <w:b w:val="0"/>
          <w:color w:val="000000"/>
          <w:szCs w:val="24"/>
          <w:lang w:eastAsia="en-MY"/>
        </w:rPr>
        <w:t>N</w:t>
      </w:r>
      <w:r w:rsidRPr="000E2377">
        <w:rPr>
          <w:rFonts w:eastAsia="Times New Roman"/>
          <w:b w:val="0"/>
          <w:color w:val="000000"/>
          <w:szCs w:val="24"/>
          <w:vertAlign w:val="subscript"/>
          <w:lang w:eastAsia="en-MY"/>
        </w:rPr>
        <w:t>10</w:t>
      </w:r>
      <w:r w:rsidRPr="000E2377">
        <w:rPr>
          <w:rFonts w:eastAsia="Times New Roman"/>
          <w:b w:val="0"/>
          <w:color w:val="000000"/>
          <w:szCs w:val="24"/>
          <w:lang w:eastAsia="en-MY"/>
        </w:rPr>
        <w:t>C</w:t>
      </w:r>
      <w:r w:rsidRPr="000E2377">
        <w:rPr>
          <w:rFonts w:eastAsia="Times New Roman"/>
          <w:b w:val="0"/>
          <w:color w:val="000000"/>
          <w:szCs w:val="24"/>
          <w:vertAlign w:val="subscript"/>
          <w:lang w:eastAsia="en-MY"/>
        </w:rPr>
        <w:t>x</w:t>
      </w:r>
      <w:r w:rsidRPr="000E2377">
        <w:rPr>
          <w:rFonts w:eastAsia="Times New Roman"/>
          <w:b w:val="0"/>
          <w:color w:val="000000"/>
          <w:szCs w:val="24"/>
          <w:lang w:eastAsia="en-MY"/>
        </w:rPr>
        <w:t>A</w:t>
      </w:r>
      <w:r w:rsidRPr="000E2377">
        <w:rPr>
          <w:rFonts w:eastAsia="Times New Roman"/>
          <w:b w:val="0"/>
          <w:color w:val="000000"/>
          <w:szCs w:val="24"/>
          <w:vertAlign w:val="subscript"/>
          <w:lang w:eastAsia="en-MY"/>
        </w:rPr>
        <w:t>2</w:t>
      </w:r>
      <w:r w:rsidRPr="000E2377">
        <w:rPr>
          <w:rFonts w:eastAsia="Times New Roman"/>
          <w:b w:val="0"/>
          <w:color w:val="000000"/>
          <w:szCs w:val="24"/>
          <w:lang w:eastAsia="en-MY"/>
        </w:rPr>
        <w:t>B</w:t>
      </w:r>
      <w:r w:rsidRPr="000E2377">
        <w:rPr>
          <w:rFonts w:eastAsia="Times New Roman"/>
          <w:b w:val="0"/>
          <w:color w:val="000000"/>
          <w:szCs w:val="24"/>
          <w:vertAlign w:val="subscript"/>
          <w:lang w:eastAsia="en-MY"/>
        </w:rPr>
        <w:t>10</w:t>
      </w:r>
      <w:r w:rsidRPr="000E2377">
        <w:rPr>
          <w:rFonts w:eastAsia="Times New Roman"/>
          <w:b w:val="0"/>
          <w:color w:val="000000"/>
          <w:szCs w:val="24"/>
          <w:lang w:eastAsia="en-MY"/>
        </w:rPr>
        <w:t>S</w:t>
      </w:r>
      <w:r w:rsidRPr="000E2377">
        <w:rPr>
          <w:rFonts w:eastAsia="Times New Roman"/>
          <w:b w:val="0"/>
          <w:color w:val="000000"/>
          <w:szCs w:val="24"/>
          <w:vertAlign w:val="subscript"/>
          <w:lang w:eastAsia="en-MY"/>
        </w:rPr>
        <w:t>78-x</w:t>
      </w:r>
      <w:r>
        <w:rPr>
          <w:rFonts w:eastAsia="Times New Roman"/>
          <w:b w:val="0"/>
          <w:color w:val="000000"/>
          <w:szCs w:val="24"/>
          <w:vertAlign w:val="subscript"/>
          <w:lang w:eastAsia="en-MY"/>
        </w:rPr>
        <w:t xml:space="preserve"> </w:t>
      </w:r>
      <w:r>
        <w:rPr>
          <w:rFonts w:eastAsia="Times New Roman"/>
          <w:b w:val="0"/>
          <w:color w:val="000000"/>
          <w:szCs w:val="24"/>
          <w:lang w:eastAsia="en-MY"/>
        </w:rPr>
        <w:t>and</w:t>
      </w:r>
      <w:r w:rsidRPr="000E2377">
        <w:rPr>
          <w:rFonts w:eastAsia="Times New Roman"/>
          <w:b w:val="0"/>
          <w:color w:val="000000"/>
          <w:szCs w:val="24"/>
          <w:lang w:eastAsia="en-MY"/>
        </w:rPr>
        <w:t xml:space="preserve"> N</w:t>
      </w:r>
      <w:r w:rsidRPr="000E2377">
        <w:rPr>
          <w:rFonts w:eastAsia="Times New Roman"/>
          <w:b w:val="0"/>
          <w:color w:val="000000"/>
          <w:szCs w:val="24"/>
          <w:vertAlign w:val="subscript"/>
          <w:lang w:eastAsia="en-MY"/>
        </w:rPr>
        <w:t>15</w:t>
      </w:r>
      <w:r w:rsidRPr="000E2377">
        <w:rPr>
          <w:rFonts w:eastAsia="Times New Roman"/>
          <w:b w:val="0"/>
          <w:color w:val="000000"/>
          <w:szCs w:val="24"/>
          <w:lang w:eastAsia="en-MY"/>
        </w:rPr>
        <w:t>C</w:t>
      </w:r>
      <w:r w:rsidRPr="000E2377">
        <w:rPr>
          <w:rFonts w:eastAsia="Times New Roman"/>
          <w:b w:val="0"/>
          <w:color w:val="000000"/>
          <w:szCs w:val="24"/>
          <w:vertAlign w:val="subscript"/>
          <w:lang w:eastAsia="en-MY"/>
        </w:rPr>
        <w:t>x</w:t>
      </w:r>
      <w:r w:rsidRPr="000E2377">
        <w:rPr>
          <w:rFonts w:eastAsia="Times New Roman"/>
          <w:b w:val="0"/>
          <w:color w:val="000000"/>
          <w:szCs w:val="24"/>
          <w:lang w:eastAsia="en-MY"/>
        </w:rPr>
        <w:t>A</w:t>
      </w:r>
      <w:r w:rsidRPr="000E2377">
        <w:rPr>
          <w:rFonts w:eastAsia="Times New Roman"/>
          <w:b w:val="0"/>
          <w:color w:val="000000"/>
          <w:szCs w:val="24"/>
          <w:vertAlign w:val="subscript"/>
          <w:lang w:eastAsia="en-MY"/>
        </w:rPr>
        <w:t>2</w:t>
      </w:r>
      <w:r w:rsidRPr="000E2377">
        <w:rPr>
          <w:rFonts w:eastAsia="Times New Roman"/>
          <w:b w:val="0"/>
          <w:color w:val="000000"/>
          <w:szCs w:val="24"/>
          <w:lang w:eastAsia="en-MY"/>
        </w:rPr>
        <w:t>B</w:t>
      </w:r>
      <w:r w:rsidRPr="000E2377">
        <w:rPr>
          <w:rFonts w:eastAsia="Times New Roman"/>
          <w:b w:val="0"/>
          <w:color w:val="000000"/>
          <w:szCs w:val="24"/>
          <w:vertAlign w:val="subscript"/>
          <w:lang w:eastAsia="en-MY"/>
        </w:rPr>
        <w:t>10</w:t>
      </w:r>
      <w:r w:rsidRPr="000E2377">
        <w:rPr>
          <w:rFonts w:eastAsia="Times New Roman"/>
          <w:b w:val="0"/>
          <w:color w:val="000000"/>
          <w:szCs w:val="24"/>
          <w:lang w:eastAsia="en-MY"/>
        </w:rPr>
        <w:t>S</w:t>
      </w:r>
      <w:r w:rsidRPr="000E2377">
        <w:rPr>
          <w:rFonts w:eastAsia="Times New Roman"/>
          <w:b w:val="0"/>
          <w:color w:val="000000"/>
          <w:szCs w:val="24"/>
          <w:vertAlign w:val="subscript"/>
          <w:lang w:eastAsia="en-MY"/>
        </w:rPr>
        <w:t>73-x</w:t>
      </w:r>
      <w:r>
        <w:rPr>
          <w:rFonts w:eastAsia="Times New Roman"/>
          <w:b w:val="0"/>
          <w:color w:val="000000"/>
          <w:szCs w:val="24"/>
          <w:vertAlign w:val="subscript"/>
          <w:lang w:eastAsia="en-MY"/>
        </w:rPr>
        <w:t>.</w:t>
      </w:r>
      <w:r w:rsidRPr="000E2377">
        <w:rPr>
          <w:rFonts w:eastAsia="Times New Roman"/>
          <w:b w:val="0"/>
          <w:color w:val="000000"/>
          <w:szCs w:val="24"/>
          <w:vertAlign w:val="subscript"/>
          <w:lang w:eastAsia="en-MY"/>
        </w:rPr>
        <w:t xml:space="preserve">-y </w:t>
      </w:r>
      <w:r w:rsidRPr="000E2377">
        <w:rPr>
          <w:rFonts w:eastAsia="Times New Roman"/>
          <w:b w:val="0"/>
          <w:color w:val="000000"/>
          <w:szCs w:val="24"/>
          <w:lang w:eastAsia="en-MY"/>
        </w:rPr>
        <w:t>glass</w:t>
      </w:r>
      <w:r>
        <w:rPr>
          <w:rFonts w:eastAsia="Times New Roman"/>
          <w:b w:val="0"/>
          <w:color w:val="000000"/>
          <w:szCs w:val="24"/>
          <w:lang w:eastAsia="en-MY"/>
        </w:rPr>
        <w:t>es</w:t>
      </w:r>
      <w:r w:rsidR="002337E8">
        <w:rPr>
          <w:rFonts w:eastAsia="Times New Roman"/>
          <w:b w:val="0"/>
          <w:color w:val="000000"/>
          <w:szCs w:val="24"/>
          <w:lang w:eastAsia="en-MY"/>
        </w:rPr>
        <w:t>,</w:t>
      </w:r>
      <w:r>
        <w:rPr>
          <w:rFonts w:eastAsia="Times New Roman"/>
          <w:b w:val="0"/>
          <w:color w:val="000000"/>
          <w:szCs w:val="24"/>
          <w:lang w:eastAsia="en-MY"/>
        </w:rPr>
        <w:t xml:space="preserve"> molar volume decreases with increasing network charge balance.</w:t>
      </w:r>
      <w:r w:rsidRPr="000E2377">
        <w:rPr>
          <w:rFonts w:eastAsia="Times New Roman"/>
          <w:b w:val="0"/>
          <w:color w:val="000000"/>
          <w:szCs w:val="24"/>
          <w:lang w:eastAsia="en-MY"/>
        </w:rPr>
        <w:t xml:space="preserve"> For series N</w:t>
      </w:r>
      <w:r w:rsidRPr="000E2377">
        <w:rPr>
          <w:rFonts w:eastAsia="Times New Roman"/>
          <w:b w:val="0"/>
          <w:color w:val="000000"/>
          <w:szCs w:val="24"/>
          <w:vertAlign w:val="subscript"/>
          <w:lang w:eastAsia="en-MY"/>
        </w:rPr>
        <w:t>10</w:t>
      </w:r>
      <w:r w:rsidRPr="000E2377">
        <w:rPr>
          <w:rFonts w:eastAsia="Times New Roman"/>
          <w:b w:val="0"/>
          <w:color w:val="000000"/>
          <w:szCs w:val="24"/>
          <w:lang w:eastAsia="en-MY"/>
        </w:rPr>
        <w:t>C</w:t>
      </w:r>
      <w:r w:rsidRPr="000E2377">
        <w:rPr>
          <w:rFonts w:eastAsia="Times New Roman"/>
          <w:b w:val="0"/>
          <w:color w:val="000000"/>
          <w:szCs w:val="24"/>
          <w:vertAlign w:val="subscript"/>
          <w:lang w:eastAsia="en-MY"/>
        </w:rPr>
        <w:t>x</w:t>
      </w:r>
      <w:r w:rsidRPr="000E2377">
        <w:rPr>
          <w:rFonts w:eastAsia="Times New Roman"/>
          <w:b w:val="0"/>
          <w:color w:val="000000"/>
          <w:szCs w:val="24"/>
          <w:lang w:eastAsia="en-MY"/>
        </w:rPr>
        <w:t>A</w:t>
      </w:r>
      <w:r w:rsidRPr="000E2377">
        <w:rPr>
          <w:rFonts w:eastAsia="Times New Roman"/>
          <w:b w:val="0"/>
          <w:color w:val="000000"/>
          <w:szCs w:val="24"/>
          <w:vertAlign w:val="subscript"/>
          <w:lang w:eastAsia="en-MY"/>
        </w:rPr>
        <w:t>2</w:t>
      </w:r>
      <w:r w:rsidRPr="000E2377">
        <w:rPr>
          <w:rFonts w:eastAsia="Times New Roman"/>
          <w:b w:val="0"/>
          <w:color w:val="000000"/>
          <w:szCs w:val="24"/>
          <w:lang w:eastAsia="en-MY"/>
        </w:rPr>
        <w:t>B</w:t>
      </w:r>
      <w:r w:rsidRPr="000E2377">
        <w:rPr>
          <w:rFonts w:eastAsia="Times New Roman"/>
          <w:b w:val="0"/>
          <w:color w:val="000000"/>
          <w:szCs w:val="24"/>
          <w:vertAlign w:val="subscript"/>
          <w:lang w:eastAsia="en-MY"/>
        </w:rPr>
        <w:t>10</w:t>
      </w:r>
      <w:r w:rsidRPr="000E2377">
        <w:rPr>
          <w:rFonts w:eastAsia="Times New Roman"/>
          <w:b w:val="0"/>
          <w:color w:val="000000"/>
          <w:szCs w:val="24"/>
          <w:lang w:eastAsia="en-MY"/>
        </w:rPr>
        <w:t>S</w:t>
      </w:r>
      <w:r w:rsidRPr="000E2377">
        <w:rPr>
          <w:rFonts w:eastAsia="Times New Roman"/>
          <w:b w:val="0"/>
          <w:color w:val="000000"/>
          <w:szCs w:val="24"/>
          <w:vertAlign w:val="subscript"/>
          <w:lang w:eastAsia="en-MY"/>
        </w:rPr>
        <w:t>78-x</w:t>
      </w:r>
      <w:r w:rsidRPr="000E2377">
        <w:rPr>
          <w:b w:val="0"/>
          <w:szCs w:val="24"/>
        </w:rPr>
        <w:t xml:space="preserve"> and</w:t>
      </w:r>
      <w:r w:rsidRPr="000E2377">
        <w:rPr>
          <w:rFonts w:eastAsia="Times New Roman"/>
          <w:b w:val="0"/>
          <w:color w:val="000000"/>
          <w:szCs w:val="24"/>
          <w:lang w:eastAsia="en-MY"/>
        </w:rPr>
        <w:t xml:space="preserve"> N</w:t>
      </w:r>
      <w:r w:rsidRPr="000E2377">
        <w:rPr>
          <w:rFonts w:eastAsia="Times New Roman"/>
          <w:b w:val="0"/>
          <w:color w:val="000000"/>
          <w:szCs w:val="24"/>
          <w:vertAlign w:val="subscript"/>
          <w:lang w:eastAsia="en-MY"/>
        </w:rPr>
        <w:t>15</w:t>
      </w:r>
      <w:r w:rsidRPr="000E2377">
        <w:rPr>
          <w:rFonts w:eastAsia="Times New Roman"/>
          <w:b w:val="0"/>
          <w:color w:val="000000"/>
          <w:szCs w:val="24"/>
          <w:lang w:eastAsia="en-MY"/>
        </w:rPr>
        <w:t>C</w:t>
      </w:r>
      <w:r w:rsidRPr="000E2377">
        <w:rPr>
          <w:rFonts w:eastAsia="Times New Roman"/>
          <w:b w:val="0"/>
          <w:color w:val="000000"/>
          <w:szCs w:val="24"/>
          <w:vertAlign w:val="subscript"/>
          <w:lang w:eastAsia="en-MY"/>
        </w:rPr>
        <w:t>x</w:t>
      </w:r>
      <w:r w:rsidRPr="000E2377">
        <w:rPr>
          <w:rFonts w:eastAsia="Times New Roman"/>
          <w:b w:val="0"/>
          <w:color w:val="000000"/>
          <w:szCs w:val="24"/>
          <w:lang w:eastAsia="en-MY"/>
        </w:rPr>
        <w:t>A</w:t>
      </w:r>
      <w:r w:rsidRPr="000E2377">
        <w:rPr>
          <w:rFonts w:eastAsia="Times New Roman"/>
          <w:b w:val="0"/>
          <w:color w:val="000000"/>
          <w:szCs w:val="24"/>
          <w:vertAlign w:val="subscript"/>
          <w:lang w:eastAsia="en-MY"/>
        </w:rPr>
        <w:t>2</w:t>
      </w:r>
      <w:r w:rsidRPr="000E2377">
        <w:rPr>
          <w:rFonts w:eastAsia="Times New Roman"/>
          <w:b w:val="0"/>
          <w:color w:val="000000"/>
          <w:szCs w:val="24"/>
          <w:lang w:eastAsia="en-MY"/>
        </w:rPr>
        <w:t>B</w:t>
      </w:r>
      <w:r w:rsidRPr="000E2377">
        <w:rPr>
          <w:rFonts w:eastAsia="Times New Roman"/>
          <w:b w:val="0"/>
          <w:color w:val="000000"/>
          <w:szCs w:val="24"/>
          <w:vertAlign w:val="subscript"/>
          <w:lang w:eastAsia="en-MY"/>
        </w:rPr>
        <w:t>10</w:t>
      </w:r>
      <w:r w:rsidRPr="000E2377">
        <w:rPr>
          <w:rFonts w:eastAsia="Times New Roman"/>
          <w:b w:val="0"/>
          <w:color w:val="000000"/>
          <w:szCs w:val="24"/>
          <w:lang w:eastAsia="en-MY"/>
        </w:rPr>
        <w:t>S</w:t>
      </w:r>
      <w:r w:rsidRPr="000E2377">
        <w:rPr>
          <w:rFonts w:eastAsia="Times New Roman"/>
          <w:b w:val="0"/>
          <w:color w:val="000000"/>
          <w:szCs w:val="24"/>
          <w:vertAlign w:val="subscript"/>
          <w:lang w:eastAsia="en-MY"/>
        </w:rPr>
        <w:t>73-x</w:t>
      </w:r>
      <w:r w:rsidRPr="000E2377">
        <w:rPr>
          <w:rFonts w:eastAsia="Times New Roman"/>
          <w:b w:val="0"/>
          <w:color w:val="000000"/>
          <w:szCs w:val="24"/>
          <w:lang w:eastAsia="en-MY"/>
        </w:rPr>
        <w:t>, addition</w:t>
      </w:r>
      <w:r>
        <w:rPr>
          <w:rFonts w:eastAsia="Times New Roman"/>
          <w:b w:val="0"/>
          <w:color w:val="000000"/>
          <w:szCs w:val="24"/>
          <w:lang w:eastAsia="en-MY"/>
        </w:rPr>
        <w:t>s</w:t>
      </w:r>
      <w:r w:rsidRPr="000E2377">
        <w:rPr>
          <w:rFonts w:eastAsia="Times New Roman"/>
          <w:b w:val="0"/>
          <w:color w:val="000000"/>
          <w:szCs w:val="24"/>
          <w:lang w:eastAsia="en-MY"/>
        </w:rPr>
        <w:t xml:space="preserve"> of calcium </w:t>
      </w:r>
      <w:r>
        <w:rPr>
          <w:rFonts w:eastAsia="Times New Roman"/>
          <w:b w:val="0"/>
          <w:color w:val="000000"/>
          <w:szCs w:val="24"/>
          <w:lang w:eastAsia="en-MY"/>
        </w:rPr>
        <w:t>while</w:t>
      </w:r>
      <w:r w:rsidRPr="000E2377">
        <w:rPr>
          <w:rFonts w:eastAsia="Times New Roman"/>
          <w:b w:val="0"/>
          <w:color w:val="000000"/>
          <w:szCs w:val="24"/>
          <w:lang w:eastAsia="en-MY"/>
        </w:rPr>
        <w:t xml:space="preserve"> decreasing </w:t>
      </w:r>
      <w:r>
        <w:rPr>
          <w:rFonts w:eastAsia="Times New Roman"/>
          <w:b w:val="0"/>
          <w:color w:val="000000"/>
          <w:szCs w:val="24"/>
          <w:lang w:eastAsia="en-MY"/>
        </w:rPr>
        <w:t>silica</w:t>
      </w:r>
      <w:r w:rsidRPr="000E2377">
        <w:rPr>
          <w:rFonts w:eastAsia="Times New Roman"/>
          <w:b w:val="0"/>
          <w:color w:val="000000"/>
          <w:szCs w:val="24"/>
          <w:lang w:eastAsia="en-MY"/>
        </w:rPr>
        <w:t xml:space="preserve"> </w:t>
      </w:r>
      <w:r>
        <w:rPr>
          <w:rFonts w:eastAsia="Times New Roman"/>
          <w:b w:val="0"/>
          <w:color w:val="000000"/>
          <w:szCs w:val="24"/>
          <w:lang w:eastAsia="en-MY"/>
        </w:rPr>
        <w:t>result</w:t>
      </w:r>
      <w:r w:rsidR="000707B0">
        <w:rPr>
          <w:rFonts w:eastAsia="Times New Roman"/>
          <w:b w:val="0"/>
          <w:color w:val="000000"/>
          <w:szCs w:val="24"/>
          <w:lang w:eastAsia="en-MY"/>
        </w:rPr>
        <w:t>s</w:t>
      </w:r>
      <w:r>
        <w:rPr>
          <w:rFonts w:eastAsia="Times New Roman"/>
          <w:b w:val="0"/>
          <w:color w:val="000000"/>
          <w:szCs w:val="24"/>
          <w:lang w:eastAsia="en-MY"/>
        </w:rPr>
        <w:t xml:space="preserve"> in an</w:t>
      </w:r>
      <w:r w:rsidRPr="000E2377">
        <w:rPr>
          <w:rFonts w:eastAsia="Times New Roman"/>
          <w:b w:val="0"/>
          <w:color w:val="000000"/>
          <w:szCs w:val="24"/>
          <w:lang w:eastAsia="en-MY"/>
        </w:rPr>
        <w:t xml:space="preserve"> increas</w:t>
      </w:r>
      <w:r>
        <w:rPr>
          <w:rFonts w:eastAsia="Times New Roman"/>
          <w:b w:val="0"/>
          <w:color w:val="000000"/>
          <w:szCs w:val="24"/>
          <w:lang w:eastAsia="en-MY"/>
        </w:rPr>
        <w:t>e</w:t>
      </w:r>
      <w:r w:rsidRPr="000E2377">
        <w:rPr>
          <w:rFonts w:eastAsia="Times New Roman"/>
          <w:b w:val="0"/>
          <w:color w:val="000000"/>
          <w:szCs w:val="24"/>
          <w:lang w:eastAsia="en-MY"/>
        </w:rPr>
        <w:t xml:space="preserve"> of density</w:t>
      </w:r>
      <w:r w:rsidR="000707B0">
        <w:rPr>
          <w:rFonts w:eastAsia="Times New Roman"/>
          <w:b w:val="0"/>
          <w:color w:val="000000"/>
          <w:szCs w:val="24"/>
          <w:lang w:eastAsia="en-MY"/>
        </w:rPr>
        <w:t xml:space="preserve"> and</w:t>
      </w:r>
      <w:r w:rsidRPr="000E2377">
        <w:rPr>
          <w:rFonts w:eastAsia="Times New Roman"/>
          <w:b w:val="0"/>
          <w:color w:val="000000"/>
          <w:szCs w:val="24"/>
          <w:lang w:eastAsia="en-MY"/>
        </w:rPr>
        <w:t xml:space="preserve"> </w:t>
      </w:r>
      <w:r w:rsidR="000707B0">
        <w:rPr>
          <w:rFonts w:eastAsia="Times New Roman"/>
          <w:b w:val="0"/>
          <w:color w:val="000000"/>
          <w:szCs w:val="24"/>
          <w:lang w:eastAsia="en-MY"/>
        </w:rPr>
        <w:t xml:space="preserve">a </w:t>
      </w:r>
      <w:r w:rsidRPr="000E2377">
        <w:rPr>
          <w:rFonts w:eastAsia="Times New Roman"/>
          <w:b w:val="0"/>
          <w:color w:val="000000"/>
          <w:szCs w:val="24"/>
          <w:lang w:eastAsia="en-MY"/>
        </w:rPr>
        <w:t>decreas</w:t>
      </w:r>
      <w:r>
        <w:rPr>
          <w:rFonts w:eastAsia="Times New Roman"/>
          <w:b w:val="0"/>
          <w:color w:val="000000"/>
          <w:szCs w:val="24"/>
          <w:lang w:eastAsia="en-MY"/>
        </w:rPr>
        <w:t>e</w:t>
      </w:r>
      <w:r w:rsidRPr="000E2377">
        <w:rPr>
          <w:rFonts w:eastAsia="Times New Roman"/>
          <w:b w:val="0"/>
          <w:color w:val="000000"/>
          <w:szCs w:val="24"/>
          <w:lang w:eastAsia="en-MY"/>
        </w:rPr>
        <w:t xml:space="preserve"> of molar volume</w:t>
      </w:r>
      <w:r>
        <w:rPr>
          <w:rFonts w:eastAsia="Times New Roman"/>
          <w:b w:val="0"/>
          <w:color w:val="000000"/>
          <w:szCs w:val="24"/>
          <w:lang w:eastAsia="en-MY"/>
        </w:rPr>
        <w:t>. However, within error</w:t>
      </w:r>
      <w:r w:rsidR="000707B0">
        <w:rPr>
          <w:rFonts w:eastAsia="Times New Roman"/>
          <w:b w:val="0"/>
          <w:color w:val="000000"/>
          <w:szCs w:val="24"/>
          <w:lang w:eastAsia="en-MY"/>
        </w:rPr>
        <w:t>,</w:t>
      </w:r>
      <w:r>
        <w:rPr>
          <w:rFonts w:eastAsia="Times New Roman"/>
          <w:b w:val="0"/>
          <w:color w:val="000000"/>
          <w:szCs w:val="24"/>
          <w:lang w:eastAsia="en-MY"/>
        </w:rPr>
        <w:t xml:space="preserve"> there is no significant change in the glass transition with temperature. The amount of alkaline earth used are not high enough to change the </w:t>
      </w:r>
      <w:proofErr w:type="spellStart"/>
      <w:r>
        <w:rPr>
          <w:rFonts w:eastAsia="Times New Roman"/>
          <w:b w:val="0"/>
          <w:color w:val="000000"/>
          <w:szCs w:val="24"/>
          <w:lang w:eastAsia="en-MY"/>
        </w:rPr>
        <w:t>Tg</w:t>
      </w:r>
      <w:proofErr w:type="spellEnd"/>
      <w:r>
        <w:rPr>
          <w:rFonts w:eastAsia="Times New Roman"/>
          <w:b w:val="0"/>
          <w:color w:val="000000"/>
          <w:szCs w:val="24"/>
          <w:lang w:eastAsia="en-MY"/>
        </w:rPr>
        <w:t xml:space="preserve">. This is because, based on previous studies, the glass transition should be decreased when increasing of alkaline earth due to decreasing of connectivity that might come from </w:t>
      </w:r>
      <w:proofErr w:type="spellStart"/>
      <w:r>
        <w:rPr>
          <w:rFonts w:eastAsia="Times New Roman"/>
          <w:b w:val="0"/>
          <w:color w:val="000000"/>
          <w:szCs w:val="24"/>
          <w:lang w:eastAsia="en-MY"/>
        </w:rPr>
        <w:t>Al</w:t>
      </w:r>
      <w:r w:rsidRPr="00B5738B">
        <w:rPr>
          <w:rFonts w:eastAsia="Times New Roman"/>
          <w:b w:val="0"/>
          <w:color w:val="000000"/>
          <w:szCs w:val="24"/>
          <w:vertAlign w:val="superscript"/>
          <w:lang w:eastAsia="en-MY"/>
        </w:rPr>
        <w:t>V</w:t>
      </w:r>
      <w:proofErr w:type="spellEnd"/>
      <w:r w:rsidRPr="00B5738B">
        <w:rPr>
          <w:rFonts w:eastAsia="Times New Roman"/>
          <w:b w:val="0"/>
          <w:color w:val="000000"/>
          <w:szCs w:val="24"/>
          <w:vertAlign w:val="superscript"/>
          <w:lang w:eastAsia="en-MY"/>
        </w:rPr>
        <w:t xml:space="preserve"> </w:t>
      </w:r>
      <w:r>
        <w:rPr>
          <w:rFonts w:eastAsia="Times New Roman"/>
          <w:b w:val="0"/>
          <w:color w:val="000000"/>
          <w:szCs w:val="24"/>
          <w:lang w:eastAsia="en-MY"/>
        </w:rPr>
        <w:t xml:space="preserve">or </w:t>
      </w:r>
      <w:proofErr w:type="spellStart"/>
      <w:r>
        <w:rPr>
          <w:rFonts w:eastAsia="Times New Roman"/>
          <w:b w:val="0"/>
          <w:color w:val="000000"/>
          <w:szCs w:val="24"/>
          <w:lang w:eastAsia="en-MY"/>
        </w:rPr>
        <w:t>Al</w:t>
      </w:r>
      <w:r w:rsidRPr="00B5738B">
        <w:rPr>
          <w:rFonts w:eastAsia="Times New Roman"/>
          <w:b w:val="0"/>
          <w:color w:val="000000"/>
          <w:szCs w:val="24"/>
          <w:vertAlign w:val="superscript"/>
          <w:lang w:eastAsia="en-MY"/>
        </w:rPr>
        <w:t>VI</w:t>
      </w:r>
      <w:proofErr w:type="spellEnd"/>
      <w:r>
        <w:rPr>
          <w:rFonts w:eastAsia="Times New Roman"/>
          <w:b w:val="0"/>
          <w:color w:val="000000"/>
          <w:szCs w:val="24"/>
          <w:lang w:eastAsia="en-MY"/>
        </w:rPr>
        <w:t xml:space="preserve"> and also might be from B</w:t>
      </w:r>
      <w:r w:rsidRPr="00B5738B">
        <w:rPr>
          <w:rFonts w:eastAsia="Times New Roman"/>
          <w:b w:val="0"/>
          <w:color w:val="000000"/>
          <w:szCs w:val="24"/>
          <w:vertAlign w:val="superscript"/>
          <w:lang w:eastAsia="en-MY"/>
        </w:rPr>
        <w:t>III</w:t>
      </w:r>
      <w:r>
        <w:rPr>
          <w:rFonts w:eastAsia="Times New Roman"/>
          <w:b w:val="0"/>
          <w:color w:val="000000"/>
          <w:szCs w:val="24"/>
          <w:lang w:eastAsia="en-MY"/>
        </w:rPr>
        <w:t xml:space="preserve"> and NBOs </w:t>
      </w:r>
      <w:r>
        <w:rPr>
          <w:rFonts w:eastAsia="Times New Roman"/>
          <w:b w:val="0"/>
          <w:color w:val="000000"/>
          <w:szCs w:val="24"/>
          <w:lang w:eastAsia="en-MY"/>
        </w:rPr>
        <w:fldChar w:fldCharType="begin" w:fldLock="1"/>
      </w:r>
      <w:r>
        <w:rPr>
          <w:rFonts w:eastAsia="Times New Roman"/>
          <w:b w:val="0"/>
          <w:color w:val="000000"/>
          <w:szCs w:val="24"/>
          <w:lang w:eastAsia="en-MY"/>
        </w:rPr>
        <w:instrText>ADDIN CSL_CITATION { "citationItems" : [ { "id" : "ITEM-1", "itemData" : { "DOI" : "10.1111/jace.12529", "ISSN" : "00027820", "author" : [ { "dropping-particle" : "", "family" : "Smedskjaer", "given" : "Morten M.", "non-dropping-particle" : "", "parse-names" : false, "suffix" : "" }, { "dropping-particle" : "", "family" : "Potuzak", "given" : "Marcel", "non-dropping-particle" : "", "parse-names" : false, "suffix" : "" } ], "container-title" : "Journal of the American Ceramic Society", "editor" : [ { "dropping-particle" : "", "family" : "Ching", "given" : "W.-Y.", "non-dropping-particle" : "", "parse-names" : false, "suffix" : "" } ], "id" : "ITEM-1", "issue" : "9", "issued" : { "date-parts" : [ [ "2013", "9", "17" ] ] }, "page" : "2831-2838", "title" : "Viscosity and Fragility of Alkaline-Earth Sodium Boroaluminosilicate Liquids", "type" : "article-journal", "volume" : "96" }, "uris" : [ "http://www.mendeley.com/documents/?uuid=04778052-8980-4744-b4c4-bcf85d21ff25" ] } ], "mendeley" : { "formattedCitation" : "(Smedskjaer &amp; Potuzak, 2013)", "plainTextFormattedCitation" : "(Smedskjaer &amp; Potuzak, 2013)", "previouslyFormattedCitation" : "(Smedskjaer &amp; Potuzak, 2013)" }, "properties" : { "noteIndex" : 66 }, "schema" : "https://github.com/citation-style-language/schema/raw/master/csl-citation.json" }</w:instrText>
      </w:r>
      <w:r>
        <w:rPr>
          <w:rFonts w:eastAsia="Times New Roman"/>
          <w:b w:val="0"/>
          <w:color w:val="000000"/>
          <w:szCs w:val="24"/>
          <w:lang w:eastAsia="en-MY"/>
        </w:rPr>
        <w:fldChar w:fldCharType="separate"/>
      </w:r>
      <w:r w:rsidRPr="00180F58">
        <w:rPr>
          <w:rFonts w:eastAsia="Times New Roman"/>
          <w:b w:val="0"/>
          <w:noProof/>
          <w:color w:val="000000"/>
          <w:szCs w:val="24"/>
          <w:lang w:eastAsia="en-MY"/>
        </w:rPr>
        <w:t>(Smedskjaer &amp; Potuzak, 2013)</w:t>
      </w:r>
      <w:r>
        <w:rPr>
          <w:rFonts w:eastAsia="Times New Roman"/>
          <w:b w:val="0"/>
          <w:color w:val="000000"/>
          <w:szCs w:val="24"/>
          <w:lang w:eastAsia="en-MY"/>
        </w:rPr>
        <w:fldChar w:fldCharType="end"/>
      </w:r>
      <w:r>
        <w:rPr>
          <w:rFonts w:eastAsia="Times New Roman"/>
          <w:b w:val="0"/>
          <w:color w:val="000000"/>
          <w:szCs w:val="24"/>
          <w:lang w:eastAsia="en-MY"/>
        </w:rPr>
        <w:t xml:space="preserve">. </w:t>
      </w:r>
    </w:p>
    <w:p w14:paraId="397ABB9B" w14:textId="77777777" w:rsidR="00D740DC" w:rsidRDefault="00D740DC" w:rsidP="00D740DC">
      <w:pPr>
        <w:jc w:val="both"/>
        <w:rPr>
          <w:rFonts w:cs="Times New Roman"/>
          <w:szCs w:val="24"/>
        </w:rPr>
      </w:pPr>
    </w:p>
    <w:p w14:paraId="347BF5F6" w14:textId="77777777" w:rsidR="00D740DC" w:rsidRDefault="00D740DC" w:rsidP="00D740DC">
      <w:pPr>
        <w:jc w:val="both"/>
        <w:rPr>
          <w:rFonts w:cs="Times New Roman"/>
          <w:szCs w:val="24"/>
        </w:rPr>
      </w:pPr>
    </w:p>
    <w:p w14:paraId="1297B13E" w14:textId="77777777" w:rsidR="00D740DC" w:rsidRDefault="00D740DC" w:rsidP="00D740DC">
      <w:pPr>
        <w:jc w:val="both"/>
        <w:rPr>
          <w:rFonts w:cs="Times New Roman"/>
          <w:szCs w:val="24"/>
        </w:rPr>
      </w:pPr>
    </w:p>
    <w:p w14:paraId="607746F4" w14:textId="77777777" w:rsidR="00D740DC" w:rsidRDefault="00D740DC" w:rsidP="00D740DC">
      <w:pPr>
        <w:jc w:val="both"/>
        <w:rPr>
          <w:rFonts w:cs="Times New Roman"/>
          <w:szCs w:val="24"/>
        </w:rPr>
      </w:pPr>
    </w:p>
    <w:p w14:paraId="5AE9D7A7" w14:textId="77777777" w:rsidR="00D740DC" w:rsidRDefault="00D740DC" w:rsidP="00D740DC">
      <w:pPr>
        <w:jc w:val="both"/>
        <w:rPr>
          <w:rFonts w:cs="Times New Roman"/>
          <w:szCs w:val="24"/>
        </w:rPr>
      </w:pPr>
    </w:p>
    <w:p w14:paraId="580319C7" w14:textId="77777777" w:rsidR="00D740DC" w:rsidRDefault="00D740DC" w:rsidP="00D740DC">
      <w:pPr>
        <w:jc w:val="both"/>
        <w:rPr>
          <w:rFonts w:cs="Times New Roman"/>
          <w:szCs w:val="24"/>
        </w:rPr>
      </w:pPr>
    </w:p>
    <w:p w14:paraId="0A00C7A8" w14:textId="77777777" w:rsidR="00D740DC" w:rsidRDefault="00D740DC" w:rsidP="00D740DC">
      <w:pPr>
        <w:jc w:val="both"/>
        <w:rPr>
          <w:rFonts w:cs="Times New Roman"/>
          <w:szCs w:val="24"/>
        </w:rPr>
      </w:pPr>
    </w:p>
    <w:p w14:paraId="5AF81BC5" w14:textId="77777777" w:rsidR="00D740DC" w:rsidRDefault="00D740DC" w:rsidP="00D740DC">
      <w:pPr>
        <w:jc w:val="both"/>
        <w:rPr>
          <w:rFonts w:cs="Times New Roman"/>
          <w:szCs w:val="24"/>
        </w:rPr>
      </w:pPr>
    </w:p>
    <w:p w14:paraId="7B4E470E" w14:textId="77777777" w:rsidR="00D740DC" w:rsidRDefault="00D740DC" w:rsidP="00D740DC">
      <w:pPr>
        <w:rPr>
          <w:rFonts w:cs="Times New Roman"/>
          <w:szCs w:val="24"/>
        </w:rPr>
      </w:pPr>
      <w:r w:rsidRPr="000E2377">
        <w:rPr>
          <w:rFonts w:cs="Times New Roman"/>
          <w:szCs w:val="24"/>
        </w:rPr>
        <w:lastRenderedPageBreak/>
        <w:t xml:space="preserve">Overall </w:t>
      </w:r>
      <w:r>
        <w:rPr>
          <w:rFonts w:cs="Times New Roman"/>
          <w:szCs w:val="24"/>
        </w:rPr>
        <w:t xml:space="preserve">trends in </w:t>
      </w:r>
      <w:r w:rsidRPr="000E2377">
        <w:rPr>
          <w:rFonts w:cs="Times New Roman"/>
          <w:szCs w:val="24"/>
        </w:rPr>
        <w:t xml:space="preserve">physical and thermal properties </w:t>
      </w:r>
    </w:p>
    <w:p w14:paraId="0508D2E9" w14:textId="77777777" w:rsidR="00D740DC" w:rsidRPr="000E2377" w:rsidRDefault="00D740DC" w:rsidP="00D740DC">
      <w:pPr>
        <w:jc w:val="center"/>
        <w:rPr>
          <w:rFonts w:cs="Times New Roman"/>
          <w:szCs w:val="24"/>
        </w:rPr>
      </w:pPr>
      <w:r w:rsidRPr="000E2377">
        <w:rPr>
          <w:noProof/>
          <w:lang w:eastAsia="en-MY"/>
        </w:rPr>
        <mc:AlternateContent>
          <mc:Choice Requires="wps">
            <w:drawing>
              <wp:anchor distT="0" distB="0" distL="114300" distR="114300" simplePos="0" relativeHeight="252352512" behindDoc="0" locked="0" layoutInCell="1" allowOverlap="1" wp14:anchorId="79FCD26A" wp14:editId="732118A0">
                <wp:simplePos x="0" y="0"/>
                <wp:positionH relativeFrom="margin">
                  <wp:posOffset>813435</wp:posOffset>
                </wp:positionH>
                <wp:positionV relativeFrom="paragraph">
                  <wp:posOffset>4097020</wp:posOffset>
                </wp:positionV>
                <wp:extent cx="356045" cy="403414"/>
                <wp:effectExtent l="0" t="0" r="0" b="0"/>
                <wp:wrapNone/>
                <wp:docPr id="2265" name="Text Box 2265"/>
                <wp:cNvGraphicFramePr/>
                <a:graphic xmlns:a="http://schemas.openxmlformats.org/drawingml/2006/main">
                  <a:graphicData uri="http://schemas.microsoft.com/office/word/2010/wordprocessingShape">
                    <wps:wsp>
                      <wps:cNvSpPr txBox="1"/>
                      <wps:spPr>
                        <a:xfrm>
                          <a:off x="0" y="0"/>
                          <a:ext cx="356045" cy="403414"/>
                        </a:xfrm>
                        <a:prstGeom prst="rect">
                          <a:avLst/>
                        </a:prstGeom>
                        <a:noFill/>
                        <a:ln w="6350">
                          <a:noFill/>
                        </a:ln>
                      </wps:spPr>
                      <wps:txbx>
                        <w:txbxContent>
                          <w:p w14:paraId="4B5A6AB7" w14:textId="77777777" w:rsidR="00230AB9" w:rsidRDefault="00230AB9" w:rsidP="00D740D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CD26A" id="Text Box 2265" o:spid="_x0000_s1184" type="#_x0000_t202" style="position:absolute;left:0;text-align:left;margin-left:64.05pt;margin-top:322.6pt;width:28.05pt;height:31.75pt;z-index:25235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" filled="f" stroked="f" strokeweight=".5pt">
                <v:textbox>
                  <w:txbxContent>
                    <w:p w14:paraId="4B5A6AB7" w14:textId="77777777" w:rsidR="00230AB9" w:rsidRDefault="00230AB9" w:rsidP="00D740DC">
                      <w:r>
                        <w:t>b)</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351488" behindDoc="0" locked="0" layoutInCell="1" allowOverlap="1" wp14:anchorId="57BAB686" wp14:editId="30F90B05">
                <wp:simplePos x="0" y="0"/>
                <wp:positionH relativeFrom="margin">
                  <wp:posOffset>890270</wp:posOffset>
                </wp:positionH>
                <wp:positionV relativeFrom="paragraph">
                  <wp:posOffset>149225</wp:posOffset>
                </wp:positionV>
                <wp:extent cx="355600" cy="474667"/>
                <wp:effectExtent l="0" t="0" r="0" b="1905"/>
                <wp:wrapNone/>
                <wp:docPr id="2264" name="Text Box 2264"/>
                <wp:cNvGraphicFramePr/>
                <a:graphic xmlns:a="http://schemas.openxmlformats.org/drawingml/2006/main">
                  <a:graphicData uri="http://schemas.microsoft.com/office/word/2010/wordprocessingShape">
                    <wps:wsp>
                      <wps:cNvSpPr txBox="1"/>
                      <wps:spPr>
                        <a:xfrm>
                          <a:off x="0" y="0"/>
                          <a:ext cx="355600" cy="474667"/>
                        </a:xfrm>
                        <a:prstGeom prst="rect">
                          <a:avLst/>
                        </a:prstGeom>
                        <a:noFill/>
                        <a:ln w="6350">
                          <a:noFill/>
                        </a:ln>
                      </wps:spPr>
                      <wps:txbx>
                        <w:txbxContent>
                          <w:p w14:paraId="74D93263" w14:textId="77777777" w:rsidR="00230AB9" w:rsidRDefault="00230AB9" w:rsidP="00D740D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AB686" id="Text Box 2264" o:spid="_x0000_s1185" type="#_x0000_t202" style="position:absolute;left:0;text-align:left;margin-left:70.1pt;margin-top:11.75pt;width:28pt;height:37.4pt;z-index:25235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" filled="f" stroked="f" strokeweight=".5pt">
                <v:textbox>
                  <w:txbxContent>
                    <w:p w14:paraId="74D93263" w14:textId="77777777" w:rsidR="00230AB9" w:rsidRDefault="00230AB9" w:rsidP="00D740DC">
                      <w:r>
                        <w:t>a)</w:t>
                      </w:r>
                    </w:p>
                  </w:txbxContent>
                </v:textbox>
                <w10:wrap anchorx="margin"/>
              </v:shape>
            </w:pict>
          </mc:Fallback>
        </mc:AlternateContent>
      </w:r>
      <w:r w:rsidRPr="00B230A5">
        <w:rPr>
          <w:noProof/>
          <w:lang w:eastAsia="en-MY"/>
        </w:rPr>
        <w:drawing>
          <wp:inline distT="0" distB="0" distL="0" distR="0" wp14:anchorId="5D289E93" wp14:editId="7A584C7C">
            <wp:extent cx="4090625" cy="3960000"/>
            <wp:effectExtent l="0" t="0" r="5715" b="2540"/>
            <wp:docPr id="2029" name="Pictur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090625" cy="3960000"/>
                    </a:xfrm>
                    <a:prstGeom prst="rect">
                      <a:avLst/>
                    </a:prstGeom>
                    <a:noFill/>
                    <a:ln>
                      <a:noFill/>
                    </a:ln>
                  </pic:spPr>
                </pic:pic>
              </a:graphicData>
            </a:graphic>
          </wp:inline>
        </w:drawing>
      </w:r>
      <w:r w:rsidRPr="00A150FE">
        <w:rPr>
          <w:noProof/>
          <w:lang w:eastAsia="en-MY"/>
        </w:rPr>
        <w:drawing>
          <wp:inline distT="0" distB="0" distL="0" distR="0" wp14:anchorId="287B1E25" wp14:editId="164036E7">
            <wp:extent cx="4063125" cy="3960000"/>
            <wp:effectExtent l="0" t="0" r="0" b="2540"/>
            <wp:docPr id="2033" name="Picture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063125" cy="3960000"/>
                    </a:xfrm>
                    <a:prstGeom prst="rect">
                      <a:avLst/>
                    </a:prstGeom>
                    <a:noFill/>
                    <a:ln>
                      <a:noFill/>
                    </a:ln>
                  </pic:spPr>
                </pic:pic>
              </a:graphicData>
            </a:graphic>
          </wp:inline>
        </w:drawing>
      </w:r>
    </w:p>
    <w:p w14:paraId="3E8FDAA2" w14:textId="334A3EBA" w:rsidR="00D740DC" w:rsidRPr="000E2377" w:rsidRDefault="0080406D" w:rsidP="00D740DC">
      <w:pPr>
        <w:pStyle w:val="Caption"/>
        <w:rPr>
          <w:szCs w:val="24"/>
        </w:rPr>
      </w:pPr>
      <w:bookmarkStart w:id="678" w:name="_Toc521420472"/>
      <w:bookmarkStart w:id="679" w:name="_Toc525223206"/>
      <w:bookmarkStart w:id="680" w:name="_Toc525528353"/>
      <w:bookmarkStart w:id="681" w:name="_Toc525706368"/>
      <w:bookmarkStart w:id="682" w:name="_Hlk515396308"/>
      <w:r>
        <w:t>Figure 4.5</w:t>
      </w:r>
      <w:r w:rsidR="00D740DC" w:rsidRPr="000E2377">
        <w:t xml:space="preserve">: </w:t>
      </w:r>
      <w:r w:rsidR="00D740DC" w:rsidRPr="000E2377">
        <w:rPr>
          <w:szCs w:val="24"/>
        </w:rPr>
        <w:t>a) Density and b) molar volume of glasses studied versus total charge balance</w:t>
      </w:r>
      <w:bookmarkEnd w:id="678"/>
      <w:bookmarkEnd w:id="679"/>
      <w:bookmarkEnd w:id="680"/>
      <w:bookmarkEnd w:id="681"/>
      <w:r w:rsidR="00D740DC">
        <w:rPr>
          <w:szCs w:val="24"/>
        </w:rPr>
        <w:t>.</w:t>
      </w:r>
    </w:p>
    <w:bookmarkEnd w:id="682"/>
    <w:p w14:paraId="2FC35637" w14:textId="43A3D886" w:rsidR="00D740DC" w:rsidRPr="000E2377" w:rsidRDefault="00D740DC" w:rsidP="00D740DC">
      <w:pPr>
        <w:spacing w:line="360" w:lineRule="auto"/>
        <w:jc w:val="both"/>
        <w:rPr>
          <w:noProof/>
          <w:lang w:val="en-GB" w:eastAsia="en-GB"/>
        </w:rPr>
      </w:pPr>
      <w:r w:rsidRPr="000E2377">
        <w:rPr>
          <w:rFonts w:cs="Times New Roman"/>
          <w:b w:val="0"/>
          <w:szCs w:val="24"/>
        </w:rPr>
        <w:lastRenderedPageBreak/>
        <w:t xml:space="preserve">Figure 4.5 (a) shows the variation of density and (b) molar volume with increasing total charge balance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Pr>
          <w:rFonts w:eastAsia="Times New Roman" w:cs="Times New Roman"/>
          <w:b w:val="0"/>
          <w:color w:val="000000"/>
          <w:szCs w:val="24"/>
          <w:vertAlign w:val="subscript"/>
          <w:lang w:eastAsia="en-MY"/>
        </w:rPr>
        <w:t xml:space="preserve"> </w:t>
      </w:r>
      <w:r w:rsidRPr="000E2377">
        <w:rPr>
          <w:rFonts w:cs="Times New Roman"/>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szCs w:val="24"/>
        </w:rPr>
        <w:t xml:space="preserve">. For the glass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cs="Times New Roman"/>
          <w:b w:val="0"/>
          <w:szCs w:val="24"/>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r w:rsidRPr="000E2377">
        <w:rPr>
          <w:rFonts w:cs="Times New Roman"/>
          <w:b w:val="0"/>
          <w:szCs w:val="24"/>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cs="Times New Roman"/>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y</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78-x-y</w:t>
      </w:r>
      <w:r w:rsidRPr="000E2377" w:rsidDel="004877C6">
        <w:rPr>
          <w:rFonts w:cs="Times New Roman"/>
          <w:b w:val="0"/>
          <w:szCs w:val="24"/>
        </w:rPr>
        <w:t xml:space="preserve"> </w:t>
      </w:r>
      <w:r w:rsidRPr="000E2377">
        <w:rPr>
          <w:rFonts w:cs="Times New Roman"/>
          <w:b w:val="0"/>
          <w:szCs w:val="24"/>
        </w:rPr>
        <w:t xml:space="preserve">density remains roughly constant or slightly increases with excess network modifier. However, the behaviour of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70 </w:t>
      </w:r>
      <w:r w:rsidRPr="000E2377">
        <w:rPr>
          <w:rFonts w:cs="Times New Roman"/>
          <w:b w:val="0"/>
          <w:color w:val="000000" w:themeColor="text1"/>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cs="Times New Roman"/>
          <w:b w:val="0"/>
          <w:szCs w:val="24"/>
        </w:rPr>
        <w:t>differs. In these glass series, the calcium content is fixed at 5 mol % while the alumina and boron contents are varied. Meanwhile, molar volume (Figure 4.5b) decreases essentially linearly with increasing total charge balance</w:t>
      </w:r>
      <w:r>
        <w:rPr>
          <w:rFonts w:cs="Times New Roman"/>
          <w:b w:val="0"/>
          <w:szCs w:val="24"/>
        </w:rPr>
        <w:t>,</w:t>
      </w:r>
      <w:r w:rsidRPr="000E2377">
        <w:rPr>
          <w:rFonts w:cs="Times New Roman"/>
          <w:b w:val="0"/>
          <w:szCs w:val="24"/>
        </w:rPr>
        <w:t xml:space="preserve"> with only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r>
        <w:rPr>
          <w:rFonts w:eastAsia="Times New Roman" w:cs="Times New Roman"/>
          <w:b w:val="0"/>
          <w:color w:val="000000"/>
          <w:szCs w:val="24"/>
          <w:vertAlign w:val="subscript"/>
          <w:lang w:eastAsia="en-MY"/>
        </w:rPr>
        <w:t xml:space="preserve"> </w:t>
      </w:r>
      <w:r w:rsidRPr="000E2377">
        <w:rPr>
          <w:rFonts w:eastAsia="Times New Roman" w:cs="Times New Roman"/>
          <w:color w:val="000000"/>
          <w:sz w:val="16"/>
          <w:szCs w:val="16"/>
          <w:vertAlign w:val="subscript"/>
          <w:lang w:eastAsia="en-MY"/>
        </w:rPr>
        <w:t xml:space="preserve"> </w:t>
      </w:r>
      <w:r w:rsidRPr="000E2377">
        <w:rPr>
          <w:rFonts w:cs="Times New Roman"/>
          <w:b w:val="0"/>
          <w:szCs w:val="24"/>
        </w:rPr>
        <w:t>deviating significantly from the line. However</w:t>
      </w:r>
      <w:r w:rsidR="00E25445">
        <w:rPr>
          <w:rFonts w:cs="Times New Roman"/>
          <w:b w:val="0"/>
          <w:szCs w:val="24"/>
        </w:rPr>
        <w:t>,</w:t>
      </w:r>
      <w:r w:rsidRPr="000E2377">
        <w:rPr>
          <w:rFonts w:cs="Times New Roman"/>
          <w:b w:val="0"/>
          <w:szCs w:val="24"/>
        </w:rPr>
        <w:t xml:space="preserve"> 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r w:rsidRPr="000E2377">
        <w:rPr>
          <w:rFonts w:eastAsia="Times New Roman" w:cs="Times New Roman"/>
          <w:color w:val="000000"/>
          <w:sz w:val="16"/>
          <w:szCs w:val="16"/>
          <w:vertAlign w:val="subscript"/>
          <w:lang w:eastAsia="en-MY"/>
        </w:rPr>
        <w:t xml:space="preserve"> </w:t>
      </w:r>
      <w:r w:rsidRPr="000E2377">
        <w:rPr>
          <w:rFonts w:cs="Times New Roman"/>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color w:val="000000"/>
          <w:sz w:val="16"/>
          <w:szCs w:val="16"/>
          <w:vertAlign w:val="subscript"/>
          <w:lang w:eastAsia="en-MY"/>
        </w:rPr>
        <w:t xml:space="preserve"> </w:t>
      </w:r>
      <w:r w:rsidRPr="000E2377">
        <w:rPr>
          <w:rFonts w:cs="Times New Roman"/>
          <w:b w:val="0"/>
          <w:szCs w:val="24"/>
        </w:rPr>
        <w:t>series glasses where the total available charge balance does not change</w:t>
      </w:r>
      <w:r>
        <w:rPr>
          <w:rFonts w:cs="Times New Roman"/>
          <w:b w:val="0"/>
          <w:szCs w:val="24"/>
        </w:rPr>
        <w:t xml:space="preserve"> with </w:t>
      </w:r>
      <w:r>
        <w:rPr>
          <w:rFonts w:cs="Times New Roman"/>
          <w:b w:val="0"/>
          <w:i/>
          <w:szCs w:val="24"/>
        </w:rPr>
        <w:t>x</w:t>
      </w:r>
      <w:r w:rsidRPr="000E2377">
        <w:rPr>
          <w:rFonts w:cs="Times New Roman"/>
          <w:b w:val="0"/>
          <w:szCs w:val="24"/>
        </w:rPr>
        <w:t xml:space="preserve"> the data </w:t>
      </w:r>
      <w:r w:rsidR="000707B0">
        <w:rPr>
          <w:rFonts w:cs="Times New Roman"/>
          <w:b w:val="0"/>
          <w:szCs w:val="24"/>
        </w:rPr>
        <w:t>are</w:t>
      </w:r>
      <w:r w:rsidR="000707B0" w:rsidRPr="000E2377">
        <w:rPr>
          <w:rFonts w:cs="Times New Roman"/>
          <w:b w:val="0"/>
          <w:szCs w:val="24"/>
        </w:rPr>
        <w:t xml:space="preserve"> </w:t>
      </w:r>
      <w:r w:rsidRPr="000E2377">
        <w:rPr>
          <w:rFonts w:cs="Times New Roman"/>
          <w:b w:val="0"/>
          <w:szCs w:val="24"/>
        </w:rPr>
        <w:t xml:space="preserve">scattered </w:t>
      </w:r>
      <w:r>
        <w:rPr>
          <w:rFonts w:cs="Times New Roman"/>
          <w:b w:val="0"/>
          <w:szCs w:val="24"/>
        </w:rPr>
        <w:t>above the line</w:t>
      </w:r>
      <w:r w:rsidRPr="000E2377">
        <w:rPr>
          <w:rFonts w:cs="Times New Roman"/>
          <w:b w:val="0"/>
          <w:szCs w:val="24"/>
        </w:rPr>
        <w:t>.</w:t>
      </w:r>
      <w:r>
        <w:rPr>
          <w:rFonts w:cs="Times New Roman"/>
          <w:b w:val="0"/>
          <w:szCs w:val="24"/>
        </w:rPr>
        <w:t xml:space="preserve"> Charge balance </w:t>
      </w:r>
      <w:r w:rsidR="002337E8">
        <w:rPr>
          <w:rFonts w:cs="Times New Roman"/>
          <w:b w:val="0"/>
          <w:szCs w:val="24"/>
        </w:rPr>
        <w:t xml:space="preserve">as </w:t>
      </w:r>
      <w:r>
        <w:rPr>
          <w:rFonts w:cs="Times New Roman"/>
          <w:b w:val="0"/>
          <w:szCs w:val="24"/>
        </w:rPr>
        <w:t>calculated here does not take into consideration the actual value of N</w:t>
      </w:r>
      <w:r>
        <w:rPr>
          <w:rFonts w:cs="Times New Roman"/>
          <w:b w:val="0"/>
          <w:szCs w:val="24"/>
          <w:vertAlign w:val="subscript"/>
        </w:rPr>
        <w:t>4</w:t>
      </w:r>
      <w:r>
        <w:rPr>
          <w:rFonts w:cs="Times New Roman"/>
          <w:b w:val="0"/>
          <w:szCs w:val="24"/>
        </w:rPr>
        <w:t>, which may deviate from being the maximum possible value, and which could</w:t>
      </w:r>
      <w:r w:rsidR="00E25445">
        <w:rPr>
          <w:rFonts w:cs="Times New Roman"/>
          <w:b w:val="0"/>
          <w:szCs w:val="24"/>
        </w:rPr>
        <w:t xml:space="preserve"> therefore,</w:t>
      </w:r>
      <w:r>
        <w:rPr>
          <w:rFonts w:cs="Times New Roman"/>
          <w:b w:val="0"/>
          <w:szCs w:val="24"/>
        </w:rPr>
        <w:t xml:space="preserve"> affect the position of the data</w:t>
      </w:r>
      <w:r w:rsidR="000707B0">
        <w:rPr>
          <w:rFonts w:cs="Times New Roman"/>
          <w:b w:val="0"/>
          <w:szCs w:val="24"/>
        </w:rPr>
        <w:t xml:space="preserve"> </w:t>
      </w:r>
      <w:r>
        <w:rPr>
          <w:rFonts w:cs="Times New Roman"/>
          <w:b w:val="0"/>
          <w:szCs w:val="24"/>
        </w:rPr>
        <w:t xml:space="preserve">points with respect to the x-axis. </w:t>
      </w:r>
    </w:p>
    <w:bookmarkStart w:id="683" w:name="_Hlk515396319"/>
    <w:bookmarkStart w:id="684" w:name="_Toc521420473"/>
    <w:bookmarkStart w:id="685" w:name="_Toc525223207"/>
    <w:bookmarkStart w:id="686" w:name="_Toc525528354"/>
    <w:bookmarkStart w:id="687" w:name="_Toc525706369"/>
    <w:p w14:paraId="73CF3BE4" w14:textId="77777777" w:rsidR="00D740DC" w:rsidRDefault="00D740DC" w:rsidP="00D740DC">
      <w:pPr>
        <w:pStyle w:val="Caption"/>
        <w:spacing w:after="0"/>
      </w:pPr>
      <w:r w:rsidRPr="000E2377">
        <w:rPr>
          <w:noProof/>
          <w:lang w:val="en-MY" w:eastAsia="en-MY"/>
        </w:rPr>
        <mc:AlternateContent>
          <mc:Choice Requires="wps">
            <w:drawing>
              <wp:anchor distT="0" distB="0" distL="114300" distR="114300" simplePos="0" relativeHeight="252405760" behindDoc="0" locked="0" layoutInCell="1" allowOverlap="1" wp14:anchorId="3886FE01" wp14:editId="2DCB4E25">
                <wp:simplePos x="0" y="0"/>
                <wp:positionH relativeFrom="column">
                  <wp:posOffset>2027613</wp:posOffset>
                </wp:positionH>
                <wp:positionV relativeFrom="paragraph">
                  <wp:posOffset>1172096</wp:posOffset>
                </wp:positionV>
                <wp:extent cx="211282" cy="45719"/>
                <wp:effectExtent l="38100" t="38100" r="17780" b="69215"/>
                <wp:wrapNone/>
                <wp:docPr id="199" name="Straight Arrow Connector 199"/>
                <wp:cNvGraphicFramePr/>
                <a:graphic xmlns:a="http://schemas.openxmlformats.org/drawingml/2006/main">
                  <a:graphicData uri="http://schemas.microsoft.com/office/word/2010/wordprocessingShape">
                    <wps:wsp>
                      <wps:cNvCnPr/>
                      <wps:spPr>
                        <a:xfrm flipH="1">
                          <a:off x="0" y="0"/>
                          <a:ext cx="211282"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2E2FFA" id="Straight Arrow Connector 199" o:spid="_x0000_s1026" type="#_x0000_t32" style="position:absolute;margin-left:159.65pt;margin-top:92.3pt;width:16.65pt;height:3.6pt;flip:x;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" strokecolor="black [3040]">
                <v:stroke endarrow="block"/>
              </v:shape>
            </w:pict>
          </mc:Fallback>
        </mc:AlternateContent>
      </w:r>
      <w:r w:rsidRPr="000E2377">
        <w:rPr>
          <w:noProof/>
          <w:lang w:val="en-MY" w:eastAsia="en-MY"/>
        </w:rPr>
        <mc:AlternateContent>
          <mc:Choice Requires="wps">
            <w:drawing>
              <wp:anchor distT="0" distB="0" distL="114300" distR="114300" simplePos="0" relativeHeight="252404736" behindDoc="0" locked="0" layoutInCell="1" allowOverlap="1" wp14:anchorId="6B81BCDA" wp14:editId="6B36E81C">
                <wp:simplePos x="0" y="0"/>
                <wp:positionH relativeFrom="margin">
                  <wp:align>center</wp:align>
                </wp:positionH>
                <wp:positionV relativeFrom="paragraph">
                  <wp:posOffset>1057736</wp:posOffset>
                </wp:positionV>
                <wp:extent cx="1362075" cy="361950"/>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1362075" cy="361950"/>
                        </a:xfrm>
                        <a:prstGeom prst="rect">
                          <a:avLst/>
                        </a:prstGeom>
                        <a:noFill/>
                        <a:ln w="6350">
                          <a:noFill/>
                        </a:ln>
                      </wps:spPr>
                      <wps:txbx>
                        <w:txbxContent>
                          <w:p w14:paraId="7B4C900A" w14:textId="77777777" w:rsidR="00230AB9" w:rsidRPr="00D81617" w:rsidRDefault="00230AB9" w:rsidP="00D740DC">
                            <w:pPr>
                              <w:rPr>
                                <w:sz w:val="16"/>
                                <w:szCs w:val="16"/>
                              </w:rPr>
                            </w:pPr>
                            <w:r w:rsidRPr="00D81617">
                              <w:rPr>
                                <w:rFonts w:eastAsia="Times New Roman" w:cs="Times New Roman"/>
                                <w:b w:val="0"/>
                                <w:color w:val="000000"/>
                                <w:sz w:val="16"/>
                                <w:szCs w:val="16"/>
                                <w:lang w:eastAsia="en-MY"/>
                              </w:rPr>
                              <w:t>N</w:t>
                            </w:r>
                            <w:r w:rsidRPr="00D81617">
                              <w:rPr>
                                <w:rFonts w:eastAsia="Times New Roman" w:cs="Times New Roman"/>
                                <w:b w:val="0"/>
                                <w:color w:val="000000"/>
                                <w:sz w:val="16"/>
                                <w:szCs w:val="16"/>
                                <w:vertAlign w:val="subscript"/>
                                <w:lang w:eastAsia="en-MY"/>
                              </w:rPr>
                              <w:t>15</w:t>
                            </w:r>
                            <w:r w:rsidRPr="00D81617">
                              <w:rPr>
                                <w:rFonts w:eastAsia="Times New Roman" w:cs="Times New Roman"/>
                                <w:b w:val="0"/>
                                <w:color w:val="000000"/>
                                <w:sz w:val="16"/>
                                <w:szCs w:val="16"/>
                                <w:lang w:eastAsia="en-MY"/>
                              </w:rPr>
                              <w:t>C</w:t>
                            </w:r>
                            <w:r w:rsidRPr="00D81617">
                              <w:rPr>
                                <w:rFonts w:eastAsia="Times New Roman" w:cs="Times New Roman"/>
                                <w:b w:val="0"/>
                                <w:color w:val="000000"/>
                                <w:sz w:val="16"/>
                                <w:szCs w:val="16"/>
                                <w:vertAlign w:val="subscript"/>
                                <w:lang w:eastAsia="en-MY"/>
                              </w:rPr>
                              <w:t>5</w:t>
                            </w:r>
                            <w:r w:rsidRPr="00D81617">
                              <w:rPr>
                                <w:rFonts w:eastAsia="Times New Roman" w:cs="Times New Roman"/>
                                <w:b w:val="0"/>
                                <w:color w:val="000000"/>
                                <w:sz w:val="16"/>
                                <w:szCs w:val="16"/>
                                <w:lang w:eastAsia="en-MY"/>
                              </w:rPr>
                              <w:t>A</w:t>
                            </w:r>
                            <w:r>
                              <w:rPr>
                                <w:rFonts w:eastAsia="Times New Roman" w:cs="Times New Roman"/>
                                <w:b w:val="0"/>
                                <w:color w:val="000000"/>
                                <w:sz w:val="16"/>
                                <w:szCs w:val="16"/>
                                <w:vertAlign w:val="subscript"/>
                                <w:lang w:eastAsia="en-MY"/>
                              </w:rPr>
                              <w:t>15</w:t>
                            </w:r>
                            <w:r w:rsidRPr="00D81617">
                              <w:rPr>
                                <w:rFonts w:eastAsia="Times New Roman" w:cs="Times New Roman"/>
                                <w:b w:val="0"/>
                                <w:color w:val="000000"/>
                                <w:sz w:val="16"/>
                                <w:szCs w:val="16"/>
                                <w:lang w:eastAsia="en-MY"/>
                              </w:rPr>
                              <w:t>B</w:t>
                            </w:r>
                            <w:r w:rsidRPr="00D81617">
                              <w:rPr>
                                <w:rFonts w:eastAsia="Times New Roman" w:cs="Times New Roman"/>
                                <w:b w:val="0"/>
                                <w:color w:val="000000"/>
                                <w:sz w:val="16"/>
                                <w:szCs w:val="16"/>
                                <w:vertAlign w:val="subscript"/>
                                <w:lang w:eastAsia="en-MY"/>
                              </w:rPr>
                              <w:t>5</w:t>
                            </w:r>
                            <w:r w:rsidRPr="00D81617">
                              <w:rPr>
                                <w:rFonts w:eastAsia="Times New Roman" w:cs="Times New Roman"/>
                                <w:b w:val="0"/>
                                <w:color w:val="000000"/>
                                <w:sz w:val="16"/>
                                <w:szCs w:val="16"/>
                                <w:lang w:eastAsia="en-MY"/>
                              </w:rPr>
                              <w:t>S</w:t>
                            </w:r>
                            <w:r w:rsidRPr="00D81617">
                              <w:rPr>
                                <w:rFonts w:eastAsia="Times New Roman" w:cs="Times New Roman"/>
                                <w:b w:val="0"/>
                                <w:color w:val="000000"/>
                                <w:sz w:val="16"/>
                                <w:szCs w:val="16"/>
                                <w:vertAlign w:val="subscript"/>
                                <w:lang w:eastAsia="en-MY"/>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1BCDA" id="Text Box 195" o:spid="_x0000_s1186" type="#_x0000_t202" style="position:absolute;left:0;text-align:left;margin-left:0;margin-top:83.3pt;width:107.25pt;height:28.5pt;z-index:252404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" filled="f" stroked="f" strokeweight=".5pt">
                <v:textbox>
                  <w:txbxContent>
                    <w:p w14:paraId="7B4C900A" w14:textId="77777777" w:rsidR="00230AB9" w:rsidRPr="00D81617" w:rsidRDefault="00230AB9" w:rsidP="00D740DC">
                      <w:pPr>
                        <w:rPr>
                          <w:sz w:val="16"/>
                          <w:szCs w:val="16"/>
                        </w:rPr>
                      </w:pPr>
                      <w:r w:rsidRPr="00D81617">
                        <w:rPr>
                          <w:rFonts w:eastAsia="Times New Roman" w:cs="Times New Roman"/>
                          <w:b w:val="0"/>
                          <w:color w:val="000000"/>
                          <w:sz w:val="16"/>
                          <w:szCs w:val="16"/>
                          <w:lang w:eastAsia="en-MY"/>
                        </w:rPr>
                        <w:t>N</w:t>
                      </w:r>
                      <w:r w:rsidRPr="00D81617">
                        <w:rPr>
                          <w:rFonts w:eastAsia="Times New Roman" w:cs="Times New Roman"/>
                          <w:b w:val="0"/>
                          <w:color w:val="000000"/>
                          <w:sz w:val="16"/>
                          <w:szCs w:val="16"/>
                          <w:vertAlign w:val="subscript"/>
                          <w:lang w:eastAsia="en-MY"/>
                        </w:rPr>
                        <w:t>15</w:t>
                      </w:r>
                      <w:r w:rsidRPr="00D81617">
                        <w:rPr>
                          <w:rFonts w:eastAsia="Times New Roman" w:cs="Times New Roman"/>
                          <w:b w:val="0"/>
                          <w:color w:val="000000"/>
                          <w:sz w:val="16"/>
                          <w:szCs w:val="16"/>
                          <w:lang w:eastAsia="en-MY"/>
                        </w:rPr>
                        <w:t>C</w:t>
                      </w:r>
                      <w:r w:rsidRPr="00D81617">
                        <w:rPr>
                          <w:rFonts w:eastAsia="Times New Roman" w:cs="Times New Roman"/>
                          <w:b w:val="0"/>
                          <w:color w:val="000000"/>
                          <w:sz w:val="16"/>
                          <w:szCs w:val="16"/>
                          <w:vertAlign w:val="subscript"/>
                          <w:lang w:eastAsia="en-MY"/>
                        </w:rPr>
                        <w:t>5</w:t>
                      </w:r>
                      <w:r w:rsidRPr="00D81617">
                        <w:rPr>
                          <w:rFonts w:eastAsia="Times New Roman" w:cs="Times New Roman"/>
                          <w:b w:val="0"/>
                          <w:color w:val="000000"/>
                          <w:sz w:val="16"/>
                          <w:szCs w:val="16"/>
                          <w:lang w:eastAsia="en-MY"/>
                        </w:rPr>
                        <w:t>A</w:t>
                      </w:r>
                      <w:r>
                        <w:rPr>
                          <w:rFonts w:eastAsia="Times New Roman" w:cs="Times New Roman"/>
                          <w:b w:val="0"/>
                          <w:color w:val="000000"/>
                          <w:sz w:val="16"/>
                          <w:szCs w:val="16"/>
                          <w:vertAlign w:val="subscript"/>
                          <w:lang w:eastAsia="en-MY"/>
                        </w:rPr>
                        <w:t>15</w:t>
                      </w:r>
                      <w:r w:rsidRPr="00D81617">
                        <w:rPr>
                          <w:rFonts w:eastAsia="Times New Roman" w:cs="Times New Roman"/>
                          <w:b w:val="0"/>
                          <w:color w:val="000000"/>
                          <w:sz w:val="16"/>
                          <w:szCs w:val="16"/>
                          <w:lang w:eastAsia="en-MY"/>
                        </w:rPr>
                        <w:t>B</w:t>
                      </w:r>
                      <w:r w:rsidRPr="00D81617">
                        <w:rPr>
                          <w:rFonts w:eastAsia="Times New Roman" w:cs="Times New Roman"/>
                          <w:b w:val="0"/>
                          <w:color w:val="000000"/>
                          <w:sz w:val="16"/>
                          <w:szCs w:val="16"/>
                          <w:vertAlign w:val="subscript"/>
                          <w:lang w:eastAsia="en-MY"/>
                        </w:rPr>
                        <w:t>5</w:t>
                      </w:r>
                      <w:r w:rsidRPr="00D81617">
                        <w:rPr>
                          <w:rFonts w:eastAsia="Times New Roman" w:cs="Times New Roman"/>
                          <w:b w:val="0"/>
                          <w:color w:val="000000"/>
                          <w:sz w:val="16"/>
                          <w:szCs w:val="16"/>
                          <w:lang w:eastAsia="en-MY"/>
                        </w:rPr>
                        <w:t>S</w:t>
                      </w:r>
                      <w:r w:rsidRPr="00D81617">
                        <w:rPr>
                          <w:rFonts w:eastAsia="Times New Roman" w:cs="Times New Roman"/>
                          <w:b w:val="0"/>
                          <w:color w:val="000000"/>
                          <w:sz w:val="16"/>
                          <w:szCs w:val="16"/>
                          <w:vertAlign w:val="subscript"/>
                          <w:lang w:eastAsia="en-MY"/>
                        </w:rPr>
                        <w:t>70</w:t>
                      </w:r>
                    </w:p>
                  </w:txbxContent>
                </v:textbox>
                <w10:wrap anchorx="margin"/>
              </v:shape>
            </w:pict>
          </mc:Fallback>
        </mc:AlternateContent>
      </w:r>
      <w:r w:rsidRPr="000E2377">
        <w:rPr>
          <w:noProof/>
          <w:lang w:val="en-MY" w:eastAsia="en-MY"/>
        </w:rPr>
        <mc:AlternateContent>
          <mc:Choice Requires="wps">
            <w:drawing>
              <wp:anchor distT="0" distB="0" distL="114300" distR="114300" simplePos="0" relativeHeight="252406784" behindDoc="0" locked="0" layoutInCell="1" allowOverlap="1" wp14:anchorId="3473702F" wp14:editId="4BA39836">
                <wp:simplePos x="0" y="0"/>
                <wp:positionH relativeFrom="column">
                  <wp:posOffset>2089034</wp:posOffset>
                </wp:positionH>
                <wp:positionV relativeFrom="paragraph">
                  <wp:posOffset>2412307</wp:posOffset>
                </wp:positionV>
                <wp:extent cx="106680" cy="86938"/>
                <wp:effectExtent l="0" t="38100" r="64770" b="27940"/>
                <wp:wrapNone/>
                <wp:docPr id="204" name="Straight Arrow Connector 204"/>
                <wp:cNvGraphicFramePr/>
                <a:graphic xmlns:a="http://schemas.openxmlformats.org/drawingml/2006/main">
                  <a:graphicData uri="http://schemas.microsoft.com/office/word/2010/wordprocessingShape">
                    <wps:wsp>
                      <wps:cNvCnPr/>
                      <wps:spPr>
                        <a:xfrm flipV="1">
                          <a:off x="0" y="0"/>
                          <a:ext cx="106680" cy="8693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EA0692" id="Straight Arrow Connector 204" o:spid="_x0000_s1026" type="#_x0000_t32" style="position:absolute;margin-left:164.5pt;margin-top:189.95pt;width:8.4pt;height:6.85pt;flip:y;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" strokecolor="black [3040]">
                <v:stroke endarrow="block"/>
              </v:shape>
            </w:pict>
          </mc:Fallback>
        </mc:AlternateContent>
      </w:r>
      <w:r w:rsidRPr="000E2377">
        <w:rPr>
          <w:noProof/>
          <w:lang w:val="en-MY" w:eastAsia="en-MY"/>
        </w:rPr>
        <mc:AlternateContent>
          <mc:Choice Requires="wps">
            <w:drawing>
              <wp:anchor distT="0" distB="0" distL="114300" distR="114300" simplePos="0" relativeHeight="252403712" behindDoc="0" locked="0" layoutInCell="1" allowOverlap="1" wp14:anchorId="5E1320FD" wp14:editId="1EE56DCB">
                <wp:simplePos x="0" y="0"/>
                <wp:positionH relativeFrom="margin">
                  <wp:posOffset>1453227</wp:posOffset>
                </wp:positionH>
                <wp:positionV relativeFrom="paragraph">
                  <wp:posOffset>2464146</wp:posOffset>
                </wp:positionV>
                <wp:extent cx="1362075" cy="36195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1362075" cy="361950"/>
                        </a:xfrm>
                        <a:prstGeom prst="rect">
                          <a:avLst/>
                        </a:prstGeom>
                        <a:noFill/>
                        <a:ln w="6350">
                          <a:noFill/>
                        </a:ln>
                      </wps:spPr>
                      <wps:txbx>
                        <w:txbxContent>
                          <w:p w14:paraId="59FA8A75" w14:textId="77777777" w:rsidR="00230AB9" w:rsidRPr="006805F0" w:rsidRDefault="00230AB9" w:rsidP="00D740DC">
                            <w:pPr>
                              <w:rPr>
                                <w:sz w:val="16"/>
                                <w:szCs w:val="16"/>
                              </w:rPr>
                            </w:pPr>
                            <w:r w:rsidRPr="006805F0">
                              <w:rPr>
                                <w:rFonts w:eastAsia="Times New Roman" w:cs="Times New Roman"/>
                                <w:b w:val="0"/>
                                <w:color w:val="000000"/>
                                <w:sz w:val="16"/>
                                <w:szCs w:val="16"/>
                                <w:lang w:eastAsia="en-MY"/>
                              </w:rPr>
                              <w:t>N</w:t>
                            </w:r>
                            <w:r w:rsidRPr="006805F0">
                              <w:rPr>
                                <w:rFonts w:eastAsia="Times New Roman" w:cs="Times New Roman"/>
                                <w:b w:val="0"/>
                                <w:color w:val="000000"/>
                                <w:sz w:val="16"/>
                                <w:szCs w:val="16"/>
                                <w:vertAlign w:val="subscript"/>
                                <w:lang w:eastAsia="en-MY"/>
                              </w:rPr>
                              <w:t>15</w:t>
                            </w:r>
                            <w:r w:rsidRPr="006805F0">
                              <w:rPr>
                                <w:rFonts w:eastAsia="Times New Roman" w:cs="Times New Roman"/>
                                <w:b w:val="0"/>
                                <w:color w:val="000000"/>
                                <w:sz w:val="16"/>
                                <w:szCs w:val="16"/>
                                <w:lang w:eastAsia="en-MY"/>
                              </w:rPr>
                              <w:t>C</w:t>
                            </w:r>
                            <w:r w:rsidRPr="006805F0">
                              <w:rPr>
                                <w:rFonts w:eastAsia="Times New Roman" w:cs="Times New Roman"/>
                                <w:b w:val="0"/>
                                <w:color w:val="000000"/>
                                <w:sz w:val="16"/>
                                <w:szCs w:val="16"/>
                                <w:vertAlign w:val="subscript"/>
                                <w:lang w:eastAsia="en-MY"/>
                              </w:rPr>
                              <w:t>5</w:t>
                            </w:r>
                            <w:r w:rsidRPr="006805F0">
                              <w:rPr>
                                <w:rFonts w:eastAsia="Times New Roman" w:cs="Times New Roman"/>
                                <w:b w:val="0"/>
                                <w:color w:val="000000"/>
                                <w:sz w:val="16"/>
                                <w:szCs w:val="16"/>
                                <w:lang w:eastAsia="en-MY"/>
                              </w:rPr>
                              <w:t>A</w:t>
                            </w:r>
                            <w:r>
                              <w:rPr>
                                <w:rFonts w:eastAsia="Times New Roman" w:cs="Times New Roman"/>
                                <w:b w:val="0"/>
                                <w:color w:val="000000"/>
                                <w:sz w:val="16"/>
                                <w:szCs w:val="16"/>
                                <w:vertAlign w:val="subscript"/>
                                <w:lang w:eastAsia="en-MY"/>
                              </w:rPr>
                              <w:t>5</w:t>
                            </w:r>
                            <w:r w:rsidRPr="006805F0">
                              <w:rPr>
                                <w:rFonts w:eastAsia="Times New Roman" w:cs="Times New Roman"/>
                                <w:b w:val="0"/>
                                <w:color w:val="000000"/>
                                <w:sz w:val="16"/>
                                <w:szCs w:val="16"/>
                                <w:lang w:eastAsia="en-MY"/>
                              </w:rPr>
                              <w:t>B</w:t>
                            </w:r>
                            <w:r>
                              <w:rPr>
                                <w:rFonts w:eastAsia="Times New Roman" w:cs="Times New Roman"/>
                                <w:b w:val="0"/>
                                <w:color w:val="000000"/>
                                <w:sz w:val="16"/>
                                <w:szCs w:val="16"/>
                                <w:vertAlign w:val="subscript"/>
                                <w:lang w:eastAsia="en-MY"/>
                              </w:rPr>
                              <w:t>5</w:t>
                            </w:r>
                            <w:r w:rsidRPr="006805F0">
                              <w:rPr>
                                <w:rFonts w:eastAsia="Times New Roman" w:cs="Times New Roman"/>
                                <w:b w:val="0"/>
                                <w:color w:val="000000"/>
                                <w:sz w:val="16"/>
                                <w:szCs w:val="16"/>
                                <w:lang w:eastAsia="en-MY"/>
                              </w:rPr>
                              <w:t>S</w:t>
                            </w:r>
                            <w:r w:rsidRPr="006805F0">
                              <w:rPr>
                                <w:rFonts w:eastAsia="Times New Roman" w:cs="Times New Roman"/>
                                <w:b w:val="0"/>
                                <w:color w:val="000000"/>
                                <w:sz w:val="16"/>
                                <w:szCs w:val="16"/>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320FD" id="Text Box 70" o:spid="_x0000_s1187" type="#_x0000_t202" style="position:absolute;left:0;text-align:left;margin-left:114.45pt;margin-top:194.05pt;width:107.25pt;height:28.5pt;z-index:25240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" filled="f" stroked="f" strokeweight=".5pt">
                <v:textbox>
                  <w:txbxContent>
                    <w:p w14:paraId="59FA8A75" w14:textId="77777777" w:rsidR="00230AB9" w:rsidRPr="006805F0" w:rsidRDefault="00230AB9" w:rsidP="00D740DC">
                      <w:pPr>
                        <w:rPr>
                          <w:sz w:val="16"/>
                          <w:szCs w:val="16"/>
                        </w:rPr>
                      </w:pPr>
                      <w:r w:rsidRPr="006805F0">
                        <w:rPr>
                          <w:rFonts w:eastAsia="Times New Roman" w:cs="Times New Roman"/>
                          <w:b w:val="0"/>
                          <w:color w:val="000000"/>
                          <w:sz w:val="16"/>
                          <w:szCs w:val="16"/>
                          <w:lang w:eastAsia="en-MY"/>
                        </w:rPr>
                        <w:t>N</w:t>
                      </w:r>
                      <w:r w:rsidRPr="006805F0">
                        <w:rPr>
                          <w:rFonts w:eastAsia="Times New Roman" w:cs="Times New Roman"/>
                          <w:b w:val="0"/>
                          <w:color w:val="000000"/>
                          <w:sz w:val="16"/>
                          <w:szCs w:val="16"/>
                          <w:vertAlign w:val="subscript"/>
                          <w:lang w:eastAsia="en-MY"/>
                        </w:rPr>
                        <w:t>15</w:t>
                      </w:r>
                      <w:r w:rsidRPr="006805F0">
                        <w:rPr>
                          <w:rFonts w:eastAsia="Times New Roman" w:cs="Times New Roman"/>
                          <w:b w:val="0"/>
                          <w:color w:val="000000"/>
                          <w:sz w:val="16"/>
                          <w:szCs w:val="16"/>
                          <w:lang w:eastAsia="en-MY"/>
                        </w:rPr>
                        <w:t>C</w:t>
                      </w:r>
                      <w:r w:rsidRPr="006805F0">
                        <w:rPr>
                          <w:rFonts w:eastAsia="Times New Roman" w:cs="Times New Roman"/>
                          <w:b w:val="0"/>
                          <w:color w:val="000000"/>
                          <w:sz w:val="16"/>
                          <w:szCs w:val="16"/>
                          <w:vertAlign w:val="subscript"/>
                          <w:lang w:eastAsia="en-MY"/>
                        </w:rPr>
                        <w:t>5</w:t>
                      </w:r>
                      <w:r w:rsidRPr="006805F0">
                        <w:rPr>
                          <w:rFonts w:eastAsia="Times New Roman" w:cs="Times New Roman"/>
                          <w:b w:val="0"/>
                          <w:color w:val="000000"/>
                          <w:sz w:val="16"/>
                          <w:szCs w:val="16"/>
                          <w:lang w:eastAsia="en-MY"/>
                        </w:rPr>
                        <w:t>A</w:t>
                      </w:r>
                      <w:r>
                        <w:rPr>
                          <w:rFonts w:eastAsia="Times New Roman" w:cs="Times New Roman"/>
                          <w:b w:val="0"/>
                          <w:color w:val="000000"/>
                          <w:sz w:val="16"/>
                          <w:szCs w:val="16"/>
                          <w:vertAlign w:val="subscript"/>
                          <w:lang w:eastAsia="en-MY"/>
                        </w:rPr>
                        <w:t>5</w:t>
                      </w:r>
                      <w:r w:rsidRPr="006805F0">
                        <w:rPr>
                          <w:rFonts w:eastAsia="Times New Roman" w:cs="Times New Roman"/>
                          <w:b w:val="0"/>
                          <w:color w:val="000000"/>
                          <w:sz w:val="16"/>
                          <w:szCs w:val="16"/>
                          <w:lang w:eastAsia="en-MY"/>
                        </w:rPr>
                        <w:t>B</w:t>
                      </w:r>
                      <w:r>
                        <w:rPr>
                          <w:rFonts w:eastAsia="Times New Roman" w:cs="Times New Roman"/>
                          <w:b w:val="0"/>
                          <w:color w:val="000000"/>
                          <w:sz w:val="16"/>
                          <w:szCs w:val="16"/>
                          <w:vertAlign w:val="subscript"/>
                          <w:lang w:eastAsia="en-MY"/>
                        </w:rPr>
                        <w:t>5</w:t>
                      </w:r>
                      <w:r w:rsidRPr="006805F0">
                        <w:rPr>
                          <w:rFonts w:eastAsia="Times New Roman" w:cs="Times New Roman"/>
                          <w:b w:val="0"/>
                          <w:color w:val="000000"/>
                          <w:sz w:val="16"/>
                          <w:szCs w:val="16"/>
                          <w:lang w:eastAsia="en-MY"/>
                        </w:rPr>
                        <w:t>S</w:t>
                      </w:r>
                      <w:r w:rsidRPr="006805F0">
                        <w:rPr>
                          <w:rFonts w:eastAsia="Times New Roman" w:cs="Times New Roman"/>
                          <w:b w:val="0"/>
                          <w:color w:val="000000"/>
                          <w:sz w:val="16"/>
                          <w:szCs w:val="16"/>
                          <w:vertAlign w:val="subscript"/>
                          <w:lang w:eastAsia="en-MY"/>
                        </w:rPr>
                        <w:t>60</w:t>
                      </w:r>
                    </w:p>
                  </w:txbxContent>
                </v:textbox>
                <w10:wrap anchorx="margin"/>
              </v:shape>
            </w:pict>
          </mc:Fallback>
        </mc:AlternateContent>
      </w:r>
      <w:r w:rsidRPr="000E2377">
        <w:rPr>
          <w:noProof/>
          <w:lang w:val="en-MY" w:eastAsia="en-MY"/>
        </w:rPr>
        <mc:AlternateContent>
          <mc:Choice Requires="wps">
            <w:drawing>
              <wp:anchor distT="0" distB="0" distL="114300" distR="114300" simplePos="0" relativeHeight="252402688" behindDoc="0" locked="0" layoutInCell="1" allowOverlap="1" wp14:anchorId="62B1BD17" wp14:editId="57B00BF9">
                <wp:simplePos x="0" y="0"/>
                <wp:positionH relativeFrom="column">
                  <wp:posOffset>2592877</wp:posOffset>
                </wp:positionH>
                <wp:positionV relativeFrom="paragraph">
                  <wp:posOffset>1923011</wp:posOffset>
                </wp:positionV>
                <wp:extent cx="122613" cy="133234"/>
                <wp:effectExtent l="38100" t="0" r="29845" b="57785"/>
                <wp:wrapNone/>
                <wp:docPr id="51" name="Straight Arrow Connector 51"/>
                <wp:cNvGraphicFramePr/>
                <a:graphic xmlns:a="http://schemas.openxmlformats.org/drawingml/2006/main">
                  <a:graphicData uri="http://schemas.microsoft.com/office/word/2010/wordprocessingShape">
                    <wps:wsp>
                      <wps:cNvCnPr/>
                      <wps:spPr>
                        <a:xfrm flipH="1">
                          <a:off x="0" y="0"/>
                          <a:ext cx="122613" cy="13323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745E17" id="Straight Arrow Connector 51" o:spid="_x0000_s1026" type="#_x0000_t32" style="position:absolute;margin-left:204.15pt;margin-top:151.4pt;width:9.65pt;height:10.5pt;flip:x;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" strokecolor="black [3040]">
                <v:stroke endarrow="block"/>
              </v:shape>
            </w:pict>
          </mc:Fallback>
        </mc:AlternateContent>
      </w:r>
      <w:r w:rsidRPr="000E2377">
        <w:rPr>
          <w:noProof/>
          <w:lang w:val="en-MY" w:eastAsia="en-MY"/>
        </w:rPr>
        <mc:AlternateContent>
          <mc:Choice Requires="wps">
            <w:drawing>
              <wp:anchor distT="0" distB="0" distL="114300" distR="114300" simplePos="0" relativeHeight="252401664" behindDoc="0" locked="0" layoutInCell="1" allowOverlap="1" wp14:anchorId="17C82986" wp14:editId="74EDB9E4">
                <wp:simplePos x="0" y="0"/>
                <wp:positionH relativeFrom="margin">
                  <wp:posOffset>2630458</wp:posOffset>
                </wp:positionH>
                <wp:positionV relativeFrom="paragraph">
                  <wp:posOffset>1795145</wp:posOffset>
                </wp:positionV>
                <wp:extent cx="1362075" cy="36195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1362075" cy="361950"/>
                        </a:xfrm>
                        <a:prstGeom prst="rect">
                          <a:avLst/>
                        </a:prstGeom>
                        <a:noFill/>
                        <a:ln w="6350">
                          <a:noFill/>
                        </a:ln>
                      </wps:spPr>
                      <wps:txbx>
                        <w:txbxContent>
                          <w:p w14:paraId="0EF3EB5B" w14:textId="77777777" w:rsidR="00230AB9" w:rsidRPr="00904DC7" w:rsidRDefault="00230AB9" w:rsidP="00D740DC">
                            <w:pPr>
                              <w:rPr>
                                <w:sz w:val="16"/>
                                <w:szCs w:val="16"/>
                              </w:rPr>
                            </w:pPr>
                            <w:r w:rsidRPr="00904DC7">
                              <w:rPr>
                                <w:rFonts w:eastAsia="Times New Roman" w:cs="Times New Roman"/>
                                <w:b w:val="0"/>
                                <w:color w:val="000000"/>
                                <w:sz w:val="16"/>
                                <w:szCs w:val="16"/>
                                <w:lang w:eastAsia="en-MY"/>
                              </w:rPr>
                              <w:t>N</w:t>
                            </w:r>
                            <w:r w:rsidRPr="00904DC7">
                              <w:rPr>
                                <w:rFonts w:eastAsia="Times New Roman" w:cs="Times New Roman"/>
                                <w:b w:val="0"/>
                                <w:color w:val="000000"/>
                                <w:sz w:val="16"/>
                                <w:szCs w:val="16"/>
                                <w:vertAlign w:val="subscript"/>
                                <w:lang w:eastAsia="en-MY"/>
                              </w:rPr>
                              <w:t>10</w:t>
                            </w:r>
                            <w:r w:rsidRPr="00904DC7">
                              <w:rPr>
                                <w:rFonts w:eastAsia="Times New Roman" w:cs="Times New Roman"/>
                                <w:b w:val="0"/>
                                <w:color w:val="000000"/>
                                <w:sz w:val="16"/>
                                <w:szCs w:val="16"/>
                                <w:lang w:eastAsia="en-MY"/>
                              </w:rPr>
                              <w:t>Ba</w:t>
                            </w:r>
                            <w:r w:rsidRPr="00904DC7">
                              <w:rPr>
                                <w:rFonts w:eastAsia="Times New Roman" w:cs="Times New Roman"/>
                                <w:b w:val="0"/>
                                <w:color w:val="000000"/>
                                <w:sz w:val="16"/>
                                <w:szCs w:val="16"/>
                                <w:vertAlign w:val="subscript"/>
                                <w:lang w:eastAsia="en-MY"/>
                              </w:rPr>
                              <w:t>5</w:t>
                            </w:r>
                            <w:r w:rsidRPr="00904DC7">
                              <w:rPr>
                                <w:rFonts w:eastAsia="Times New Roman" w:cs="Times New Roman"/>
                                <w:b w:val="0"/>
                                <w:color w:val="000000"/>
                                <w:sz w:val="16"/>
                                <w:szCs w:val="16"/>
                                <w:lang w:eastAsia="en-MY"/>
                              </w:rPr>
                              <w:t>A</w:t>
                            </w:r>
                            <w:r w:rsidRPr="00904DC7">
                              <w:rPr>
                                <w:rFonts w:eastAsia="Times New Roman" w:cs="Times New Roman"/>
                                <w:b w:val="0"/>
                                <w:color w:val="000000"/>
                                <w:sz w:val="16"/>
                                <w:szCs w:val="16"/>
                                <w:vertAlign w:val="subscript"/>
                                <w:lang w:eastAsia="en-MY"/>
                              </w:rPr>
                              <w:t>15</w:t>
                            </w:r>
                            <w:r w:rsidRPr="00904DC7">
                              <w:rPr>
                                <w:rFonts w:eastAsia="Times New Roman" w:cs="Times New Roman"/>
                                <w:b w:val="0"/>
                                <w:color w:val="000000"/>
                                <w:sz w:val="16"/>
                                <w:szCs w:val="16"/>
                                <w:lang w:eastAsia="en-MY"/>
                              </w:rPr>
                              <w:t>B</w:t>
                            </w:r>
                            <w:r w:rsidRPr="00904DC7">
                              <w:rPr>
                                <w:rFonts w:eastAsia="Times New Roman" w:cs="Times New Roman"/>
                                <w:b w:val="0"/>
                                <w:color w:val="000000"/>
                                <w:sz w:val="16"/>
                                <w:szCs w:val="16"/>
                                <w:vertAlign w:val="subscript"/>
                                <w:lang w:eastAsia="en-MY"/>
                              </w:rPr>
                              <w:t>10</w:t>
                            </w:r>
                            <w:r w:rsidRPr="00904DC7">
                              <w:rPr>
                                <w:rFonts w:eastAsia="Times New Roman" w:cs="Times New Roman"/>
                                <w:b w:val="0"/>
                                <w:color w:val="000000"/>
                                <w:sz w:val="16"/>
                                <w:szCs w:val="16"/>
                                <w:lang w:eastAsia="en-MY"/>
                              </w:rPr>
                              <w:t>S</w:t>
                            </w:r>
                            <w:r w:rsidRPr="00904DC7">
                              <w:rPr>
                                <w:rFonts w:eastAsia="Times New Roman" w:cs="Times New Roman"/>
                                <w:b w:val="0"/>
                                <w:color w:val="000000"/>
                                <w:sz w:val="16"/>
                                <w:szCs w:val="16"/>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82986" id="Text Box 49" o:spid="_x0000_s1188" type="#_x0000_t202" style="position:absolute;left:0;text-align:left;margin-left:207.1pt;margin-top:141.35pt;width:107.25pt;height:28.5pt;z-index:25240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" filled="f" stroked="f" strokeweight=".5pt">
                <v:textbox>
                  <w:txbxContent>
                    <w:p w14:paraId="0EF3EB5B" w14:textId="77777777" w:rsidR="00230AB9" w:rsidRPr="00904DC7" w:rsidRDefault="00230AB9" w:rsidP="00D740DC">
                      <w:pPr>
                        <w:rPr>
                          <w:sz w:val="16"/>
                          <w:szCs w:val="16"/>
                        </w:rPr>
                      </w:pPr>
                      <w:r w:rsidRPr="00904DC7">
                        <w:rPr>
                          <w:rFonts w:eastAsia="Times New Roman" w:cs="Times New Roman"/>
                          <w:b w:val="0"/>
                          <w:color w:val="000000"/>
                          <w:sz w:val="16"/>
                          <w:szCs w:val="16"/>
                          <w:lang w:eastAsia="en-MY"/>
                        </w:rPr>
                        <w:t>N</w:t>
                      </w:r>
                      <w:r w:rsidRPr="00904DC7">
                        <w:rPr>
                          <w:rFonts w:eastAsia="Times New Roman" w:cs="Times New Roman"/>
                          <w:b w:val="0"/>
                          <w:color w:val="000000"/>
                          <w:sz w:val="16"/>
                          <w:szCs w:val="16"/>
                          <w:vertAlign w:val="subscript"/>
                          <w:lang w:eastAsia="en-MY"/>
                        </w:rPr>
                        <w:t>10</w:t>
                      </w:r>
                      <w:r w:rsidRPr="00904DC7">
                        <w:rPr>
                          <w:rFonts w:eastAsia="Times New Roman" w:cs="Times New Roman"/>
                          <w:b w:val="0"/>
                          <w:color w:val="000000"/>
                          <w:sz w:val="16"/>
                          <w:szCs w:val="16"/>
                          <w:lang w:eastAsia="en-MY"/>
                        </w:rPr>
                        <w:t>Ba</w:t>
                      </w:r>
                      <w:r w:rsidRPr="00904DC7">
                        <w:rPr>
                          <w:rFonts w:eastAsia="Times New Roman" w:cs="Times New Roman"/>
                          <w:b w:val="0"/>
                          <w:color w:val="000000"/>
                          <w:sz w:val="16"/>
                          <w:szCs w:val="16"/>
                          <w:vertAlign w:val="subscript"/>
                          <w:lang w:eastAsia="en-MY"/>
                        </w:rPr>
                        <w:t>5</w:t>
                      </w:r>
                      <w:r w:rsidRPr="00904DC7">
                        <w:rPr>
                          <w:rFonts w:eastAsia="Times New Roman" w:cs="Times New Roman"/>
                          <w:b w:val="0"/>
                          <w:color w:val="000000"/>
                          <w:sz w:val="16"/>
                          <w:szCs w:val="16"/>
                          <w:lang w:eastAsia="en-MY"/>
                        </w:rPr>
                        <w:t>A</w:t>
                      </w:r>
                      <w:r w:rsidRPr="00904DC7">
                        <w:rPr>
                          <w:rFonts w:eastAsia="Times New Roman" w:cs="Times New Roman"/>
                          <w:b w:val="0"/>
                          <w:color w:val="000000"/>
                          <w:sz w:val="16"/>
                          <w:szCs w:val="16"/>
                          <w:vertAlign w:val="subscript"/>
                          <w:lang w:eastAsia="en-MY"/>
                        </w:rPr>
                        <w:t>15</w:t>
                      </w:r>
                      <w:r w:rsidRPr="00904DC7">
                        <w:rPr>
                          <w:rFonts w:eastAsia="Times New Roman" w:cs="Times New Roman"/>
                          <w:b w:val="0"/>
                          <w:color w:val="000000"/>
                          <w:sz w:val="16"/>
                          <w:szCs w:val="16"/>
                          <w:lang w:eastAsia="en-MY"/>
                        </w:rPr>
                        <w:t>B</w:t>
                      </w:r>
                      <w:r w:rsidRPr="00904DC7">
                        <w:rPr>
                          <w:rFonts w:eastAsia="Times New Roman" w:cs="Times New Roman"/>
                          <w:b w:val="0"/>
                          <w:color w:val="000000"/>
                          <w:sz w:val="16"/>
                          <w:szCs w:val="16"/>
                          <w:vertAlign w:val="subscript"/>
                          <w:lang w:eastAsia="en-MY"/>
                        </w:rPr>
                        <w:t>10</w:t>
                      </w:r>
                      <w:r w:rsidRPr="00904DC7">
                        <w:rPr>
                          <w:rFonts w:eastAsia="Times New Roman" w:cs="Times New Roman"/>
                          <w:b w:val="0"/>
                          <w:color w:val="000000"/>
                          <w:sz w:val="16"/>
                          <w:szCs w:val="16"/>
                          <w:lang w:eastAsia="en-MY"/>
                        </w:rPr>
                        <w:t>S</w:t>
                      </w:r>
                      <w:r w:rsidRPr="00904DC7">
                        <w:rPr>
                          <w:rFonts w:eastAsia="Times New Roman" w:cs="Times New Roman"/>
                          <w:b w:val="0"/>
                          <w:color w:val="000000"/>
                          <w:sz w:val="16"/>
                          <w:szCs w:val="16"/>
                          <w:vertAlign w:val="subscript"/>
                          <w:lang w:eastAsia="en-MY"/>
                        </w:rPr>
                        <w:t>60</w:t>
                      </w:r>
                    </w:p>
                  </w:txbxContent>
                </v:textbox>
                <w10:wrap anchorx="margin"/>
              </v:shape>
            </w:pict>
          </mc:Fallback>
        </mc:AlternateContent>
      </w:r>
      <w:r w:rsidRPr="000E2377">
        <w:rPr>
          <w:noProof/>
          <w:lang w:val="en-MY" w:eastAsia="en-MY"/>
        </w:rPr>
        <mc:AlternateContent>
          <mc:Choice Requires="wps">
            <w:drawing>
              <wp:anchor distT="0" distB="0" distL="114300" distR="114300" simplePos="0" relativeHeight="252457984" behindDoc="0" locked="0" layoutInCell="1" allowOverlap="1" wp14:anchorId="5F015337" wp14:editId="50E25AB1">
                <wp:simplePos x="0" y="0"/>
                <wp:positionH relativeFrom="column">
                  <wp:posOffset>1972886</wp:posOffset>
                </wp:positionH>
                <wp:positionV relativeFrom="paragraph">
                  <wp:posOffset>1883524</wp:posOffset>
                </wp:positionV>
                <wp:extent cx="96289" cy="133697"/>
                <wp:effectExtent l="0" t="38100" r="56515" b="19050"/>
                <wp:wrapNone/>
                <wp:docPr id="50" name="Straight Arrow Connector 50"/>
                <wp:cNvGraphicFramePr/>
                <a:graphic xmlns:a="http://schemas.openxmlformats.org/drawingml/2006/main">
                  <a:graphicData uri="http://schemas.microsoft.com/office/word/2010/wordprocessingShape">
                    <wps:wsp>
                      <wps:cNvCnPr/>
                      <wps:spPr>
                        <a:xfrm flipV="1">
                          <a:off x="0" y="0"/>
                          <a:ext cx="96289" cy="133697"/>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82F2880" id="Straight Arrow Connector 50" o:spid="_x0000_s1026" type="#_x0000_t32" style="position:absolute;margin-left:155.35pt;margin-top:148.3pt;width:7.6pt;height:10.55pt;flip:y;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">
                <v:stroke endarrow="block"/>
              </v:shape>
            </w:pict>
          </mc:Fallback>
        </mc:AlternateContent>
      </w:r>
      <w:r w:rsidRPr="000E2377">
        <w:rPr>
          <w:noProof/>
          <w:lang w:val="en-MY" w:eastAsia="en-MY"/>
        </w:rPr>
        <mc:AlternateContent>
          <mc:Choice Requires="wps">
            <w:drawing>
              <wp:anchor distT="0" distB="0" distL="114300" distR="114300" simplePos="0" relativeHeight="252456960" behindDoc="0" locked="0" layoutInCell="1" allowOverlap="1" wp14:anchorId="16BE1FDB" wp14:editId="16D8C916">
                <wp:simplePos x="0" y="0"/>
                <wp:positionH relativeFrom="column">
                  <wp:posOffset>1462578</wp:posOffset>
                </wp:positionH>
                <wp:positionV relativeFrom="paragraph">
                  <wp:posOffset>2011680</wp:posOffset>
                </wp:positionV>
                <wp:extent cx="1314450" cy="32385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314450" cy="323850"/>
                        </a:xfrm>
                        <a:prstGeom prst="rect">
                          <a:avLst/>
                        </a:prstGeom>
                        <a:noFill/>
                        <a:ln w="6350">
                          <a:noFill/>
                        </a:ln>
                      </wps:spPr>
                      <wps:txbx>
                        <w:txbxContent>
                          <w:p w14:paraId="02AFE380" w14:textId="77777777" w:rsidR="00230AB9" w:rsidRPr="00904DC7" w:rsidRDefault="00230AB9" w:rsidP="00D740DC">
                            <w:pPr>
                              <w:spacing w:after="0"/>
                              <w:rPr>
                                <w:rFonts w:eastAsia="Times New Roman" w:cs="Times New Roman"/>
                                <w:b w:val="0"/>
                                <w:color w:val="000000"/>
                                <w:sz w:val="16"/>
                                <w:szCs w:val="16"/>
                                <w:vertAlign w:val="subscript"/>
                                <w:lang w:eastAsia="en-MY"/>
                              </w:rPr>
                            </w:pPr>
                            <w:r w:rsidRPr="00904DC7">
                              <w:rPr>
                                <w:rFonts w:eastAsia="Times New Roman" w:cs="Times New Roman"/>
                                <w:b w:val="0"/>
                                <w:color w:val="000000"/>
                                <w:sz w:val="16"/>
                                <w:szCs w:val="16"/>
                                <w:lang w:eastAsia="en-MY"/>
                              </w:rPr>
                              <w:t>N</w:t>
                            </w:r>
                            <w:r w:rsidRPr="00904DC7">
                              <w:rPr>
                                <w:rFonts w:eastAsia="Times New Roman" w:cs="Times New Roman"/>
                                <w:b w:val="0"/>
                                <w:color w:val="000000"/>
                                <w:sz w:val="16"/>
                                <w:szCs w:val="16"/>
                                <w:vertAlign w:val="subscript"/>
                                <w:lang w:eastAsia="en-MY"/>
                              </w:rPr>
                              <w:t>10</w:t>
                            </w:r>
                            <w:r w:rsidRPr="00904DC7">
                              <w:rPr>
                                <w:rFonts w:eastAsia="Times New Roman" w:cs="Times New Roman"/>
                                <w:b w:val="0"/>
                                <w:color w:val="000000"/>
                                <w:sz w:val="16"/>
                                <w:szCs w:val="16"/>
                                <w:lang w:eastAsia="en-MY"/>
                              </w:rPr>
                              <w:t>C</w:t>
                            </w:r>
                            <w:r w:rsidRPr="00904DC7">
                              <w:rPr>
                                <w:rFonts w:eastAsia="Times New Roman" w:cs="Times New Roman"/>
                                <w:b w:val="0"/>
                                <w:color w:val="000000"/>
                                <w:sz w:val="16"/>
                                <w:szCs w:val="16"/>
                                <w:vertAlign w:val="subscript"/>
                                <w:lang w:eastAsia="en-MY"/>
                              </w:rPr>
                              <w:t>5</w:t>
                            </w:r>
                            <w:r w:rsidRPr="00904DC7">
                              <w:rPr>
                                <w:rFonts w:eastAsia="Times New Roman" w:cs="Times New Roman"/>
                                <w:b w:val="0"/>
                                <w:color w:val="000000"/>
                                <w:sz w:val="16"/>
                                <w:szCs w:val="16"/>
                                <w:lang w:eastAsia="en-MY"/>
                              </w:rPr>
                              <w:t>A</w:t>
                            </w:r>
                            <w:r w:rsidRPr="00904DC7">
                              <w:rPr>
                                <w:rFonts w:eastAsia="Times New Roman" w:cs="Times New Roman"/>
                                <w:b w:val="0"/>
                                <w:color w:val="000000"/>
                                <w:sz w:val="16"/>
                                <w:szCs w:val="16"/>
                                <w:vertAlign w:val="subscript"/>
                                <w:lang w:eastAsia="en-MY"/>
                              </w:rPr>
                              <w:t>15</w:t>
                            </w:r>
                            <w:r w:rsidRPr="00904DC7">
                              <w:rPr>
                                <w:rFonts w:eastAsia="Times New Roman" w:cs="Times New Roman"/>
                                <w:b w:val="0"/>
                                <w:color w:val="000000"/>
                                <w:sz w:val="16"/>
                                <w:szCs w:val="16"/>
                                <w:lang w:eastAsia="en-MY"/>
                              </w:rPr>
                              <w:t>B</w:t>
                            </w:r>
                            <w:r w:rsidRPr="00904DC7">
                              <w:rPr>
                                <w:rFonts w:eastAsia="Times New Roman" w:cs="Times New Roman"/>
                                <w:b w:val="0"/>
                                <w:color w:val="000000"/>
                                <w:sz w:val="16"/>
                                <w:szCs w:val="16"/>
                                <w:vertAlign w:val="subscript"/>
                                <w:lang w:eastAsia="en-MY"/>
                              </w:rPr>
                              <w:t>10</w:t>
                            </w:r>
                            <w:r w:rsidRPr="00904DC7">
                              <w:rPr>
                                <w:rFonts w:eastAsia="Times New Roman" w:cs="Times New Roman"/>
                                <w:b w:val="0"/>
                                <w:color w:val="000000"/>
                                <w:sz w:val="16"/>
                                <w:szCs w:val="16"/>
                                <w:lang w:eastAsia="en-MY"/>
                              </w:rPr>
                              <w:t>S</w:t>
                            </w:r>
                            <w:r w:rsidRPr="00904DC7">
                              <w:rPr>
                                <w:rFonts w:eastAsia="Times New Roman" w:cs="Times New Roman"/>
                                <w:b w:val="0"/>
                                <w:color w:val="000000"/>
                                <w:sz w:val="16"/>
                                <w:szCs w:val="16"/>
                                <w:vertAlign w:val="subscript"/>
                                <w:lang w:eastAsia="en-MY"/>
                              </w:rPr>
                              <w:t>60</w:t>
                            </w:r>
                          </w:p>
                          <w:p w14:paraId="30B74618" w14:textId="77777777" w:rsidR="00230AB9" w:rsidRDefault="00230AB9" w:rsidP="00D740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E1FDB" id="Text Box 48" o:spid="_x0000_s1189" type="#_x0000_t202" style="position:absolute;left:0;text-align:left;margin-left:115.15pt;margin-top:158.4pt;width:103.5pt;height:25.5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" filled="f" stroked="f" strokeweight=".5pt">
                <v:textbox>
                  <w:txbxContent>
                    <w:p w14:paraId="02AFE380" w14:textId="77777777" w:rsidR="00230AB9" w:rsidRPr="00904DC7" w:rsidRDefault="00230AB9" w:rsidP="00D740DC">
                      <w:pPr>
                        <w:spacing w:after="0"/>
                        <w:rPr>
                          <w:rFonts w:eastAsia="Times New Roman" w:cs="Times New Roman"/>
                          <w:b w:val="0"/>
                          <w:color w:val="000000"/>
                          <w:sz w:val="16"/>
                          <w:szCs w:val="16"/>
                          <w:vertAlign w:val="subscript"/>
                          <w:lang w:eastAsia="en-MY"/>
                        </w:rPr>
                      </w:pPr>
                      <w:r w:rsidRPr="00904DC7">
                        <w:rPr>
                          <w:rFonts w:eastAsia="Times New Roman" w:cs="Times New Roman"/>
                          <w:b w:val="0"/>
                          <w:color w:val="000000"/>
                          <w:sz w:val="16"/>
                          <w:szCs w:val="16"/>
                          <w:lang w:eastAsia="en-MY"/>
                        </w:rPr>
                        <w:t>N</w:t>
                      </w:r>
                      <w:r w:rsidRPr="00904DC7">
                        <w:rPr>
                          <w:rFonts w:eastAsia="Times New Roman" w:cs="Times New Roman"/>
                          <w:b w:val="0"/>
                          <w:color w:val="000000"/>
                          <w:sz w:val="16"/>
                          <w:szCs w:val="16"/>
                          <w:vertAlign w:val="subscript"/>
                          <w:lang w:eastAsia="en-MY"/>
                        </w:rPr>
                        <w:t>10</w:t>
                      </w:r>
                      <w:r w:rsidRPr="00904DC7">
                        <w:rPr>
                          <w:rFonts w:eastAsia="Times New Roman" w:cs="Times New Roman"/>
                          <w:b w:val="0"/>
                          <w:color w:val="000000"/>
                          <w:sz w:val="16"/>
                          <w:szCs w:val="16"/>
                          <w:lang w:eastAsia="en-MY"/>
                        </w:rPr>
                        <w:t>C</w:t>
                      </w:r>
                      <w:r w:rsidRPr="00904DC7">
                        <w:rPr>
                          <w:rFonts w:eastAsia="Times New Roman" w:cs="Times New Roman"/>
                          <w:b w:val="0"/>
                          <w:color w:val="000000"/>
                          <w:sz w:val="16"/>
                          <w:szCs w:val="16"/>
                          <w:vertAlign w:val="subscript"/>
                          <w:lang w:eastAsia="en-MY"/>
                        </w:rPr>
                        <w:t>5</w:t>
                      </w:r>
                      <w:r w:rsidRPr="00904DC7">
                        <w:rPr>
                          <w:rFonts w:eastAsia="Times New Roman" w:cs="Times New Roman"/>
                          <w:b w:val="0"/>
                          <w:color w:val="000000"/>
                          <w:sz w:val="16"/>
                          <w:szCs w:val="16"/>
                          <w:lang w:eastAsia="en-MY"/>
                        </w:rPr>
                        <w:t>A</w:t>
                      </w:r>
                      <w:r w:rsidRPr="00904DC7">
                        <w:rPr>
                          <w:rFonts w:eastAsia="Times New Roman" w:cs="Times New Roman"/>
                          <w:b w:val="0"/>
                          <w:color w:val="000000"/>
                          <w:sz w:val="16"/>
                          <w:szCs w:val="16"/>
                          <w:vertAlign w:val="subscript"/>
                          <w:lang w:eastAsia="en-MY"/>
                        </w:rPr>
                        <w:t>15</w:t>
                      </w:r>
                      <w:r w:rsidRPr="00904DC7">
                        <w:rPr>
                          <w:rFonts w:eastAsia="Times New Roman" w:cs="Times New Roman"/>
                          <w:b w:val="0"/>
                          <w:color w:val="000000"/>
                          <w:sz w:val="16"/>
                          <w:szCs w:val="16"/>
                          <w:lang w:eastAsia="en-MY"/>
                        </w:rPr>
                        <w:t>B</w:t>
                      </w:r>
                      <w:r w:rsidRPr="00904DC7">
                        <w:rPr>
                          <w:rFonts w:eastAsia="Times New Roman" w:cs="Times New Roman"/>
                          <w:b w:val="0"/>
                          <w:color w:val="000000"/>
                          <w:sz w:val="16"/>
                          <w:szCs w:val="16"/>
                          <w:vertAlign w:val="subscript"/>
                          <w:lang w:eastAsia="en-MY"/>
                        </w:rPr>
                        <w:t>10</w:t>
                      </w:r>
                      <w:r w:rsidRPr="00904DC7">
                        <w:rPr>
                          <w:rFonts w:eastAsia="Times New Roman" w:cs="Times New Roman"/>
                          <w:b w:val="0"/>
                          <w:color w:val="000000"/>
                          <w:sz w:val="16"/>
                          <w:szCs w:val="16"/>
                          <w:lang w:eastAsia="en-MY"/>
                        </w:rPr>
                        <w:t>S</w:t>
                      </w:r>
                      <w:r w:rsidRPr="00904DC7">
                        <w:rPr>
                          <w:rFonts w:eastAsia="Times New Roman" w:cs="Times New Roman"/>
                          <w:b w:val="0"/>
                          <w:color w:val="000000"/>
                          <w:sz w:val="16"/>
                          <w:szCs w:val="16"/>
                          <w:vertAlign w:val="subscript"/>
                          <w:lang w:eastAsia="en-MY"/>
                        </w:rPr>
                        <w:t>60</w:t>
                      </w:r>
                    </w:p>
                    <w:p w14:paraId="30B74618" w14:textId="77777777" w:rsidR="00230AB9" w:rsidRDefault="00230AB9" w:rsidP="00D740DC"/>
                  </w:txbxContent>
                </v:textbox>
              </v:shape>
            </w:pict>
          </mc:Fallback>
        </mc:AlternateContent>
      </w:r>
      <w:r w:rsidRPr="00454227">
        <w:rPr>
          <w:noProof/>
          <w:lang w:eastAsia="en-MY"/>
        </w:rPr>
        <w:t xml:space="preserve"> </w:t>
      </w:r>
      <w:r w:rsidRPr="00A150FE">
        <w:rPr>
          <w:noProof/>
          <w:lang w:val="en-MY" w:eastAsia="en-MY"/>
        </w:rPr>
        <w:drawing>
          <wp:inline distT="0" distB="0" distL="0" distR="0" wp14:anchorId="15A71122" wp14:editId="45490B69">
            <wp:extent cx="4125000" cy="3960000"/>
            <wp:effectExtent l="0" t="0" r="8890" b="2540"/>
            <wp:docPr id="2032" name="Picture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125000" cy="3960000"/>
                    </a:xfrm>
                    <a:prstGeom prst="rect">
                      <a:avLst/>
                    </a:prstGeom>
                    <a:noFill/>
                    <a:ln>
                      <a:noFill/>
                    </a:ln>
                  </pic:spPr>
                </pic:pic>
              </a:graphicData>
            </a:graphic>
          </wp:inline>
        </w:drawing>
      </w:r>
    </w:p>
    <w:p w14:paraId="703997B4" w14:textId="77777777" w:rsidR="00D740DC" w:rsidRDefault="00D740DC" w:rsidP="00D740DC">
      <w:pPr>
        <w:pStyle w:val="Caption"/>
        <w:spacing w:after="0"/>
      </w:pPr>
    </w:p>
    <w:p w14:paraId="6C7DDA96" w14:textId="77777777" w:rsidR="00D740DC" w:rsidRDefault="00D740DC" w:rsidP="00D740DC">
      <w:pPr>
        <w:pStyle w:val="Caption"/>
        <w:spacing w:after="0"/>
      </w:pPr>
    </w:p>
    <w:p w14:paraId="3337929F" w14:textId="46421B56" w:rsidR="00D740DC" w:rsidRPr="000E2377" w:rsidRDefault="0080406D" w:rsidP="00D740DC">
      <w:pPr>
        <w:pStyle w:val="Caption"/>
        <w:spacing w:after="0"/>
        <w:rPr>
          <w:color w:val="FF0000"/>
          <w:szCs w:val="24"/>
        </w:rPr>
      </w:pPr>
      <w:r>
        <w:t>Figure 4.6</w:t>
      </w:r>
      <w:r w:rsidR="00D740DC" w:rsidRPr="000E2377">
        <w:t xml:space="preserve">: </w:t>
      </w:r>
      <w:r w:rsidR="00D740DC" w:rsidRPr="000E2377">
        <w:rPr>
          <w:szCs w:val="24"/>
        </w:rPr>
        <w:t>Glass transition temperature of glasses studied versus total charge balance</w:t>
      </w:r>
      <w:bookmarkEnd w:id="683"/>
      <w:r w:rsidR="00D740DC" w:rsidRPr="000E2377">
        <w:rPr>
          <w:szCs w:val="24"/>
        </w:rPr>
        <w:t>.</w:t>
      </w:r>
      <w:bookmarkEnd w:id="684"/>
      <w:bookmarkEnd w:id="685"/>
      <w:bookmarkEnd w:id="686"/>
      <w:bookmarkEnd w:id="687"/>
      <w:r w:rsidR="00D740DC" w:rsidRPr="000E2377">
        <w:rPr>
          <w:szCs w:val="24"/>
        </w:rPr>
        <w:t xml:space="preserve"> </w:t>
      </w:r>
    </w:p>
    <w:p w14:paraId="7600A76A" w14:textId="77777777" w:rsidR="00D740DC" w:rsidRPr="000E2377" w:rsidRDefault="00D740DC" w:rsidP="00D740DC">
      <w:pPr>
        <w:spacing w:after="0" w:line="360" w:lineRule="auto"/>
        <w:jc w:val="both"/>
        <w:rPr>
          <w:rFonts w:cs="Times New Roman"/>
          <w:b w:val="0"/>
          <w:szCs w:val="24"/>
        </w:rPr>
      </w:pPr>
    </w:p>
    <w:p w14:paraId="12237C8E" w14:textId="1581B73B" w:rsidR="00D740DC" w:rsidRPr="0059060B" w:rsidRDefault="00D740DC" w:rsidP="00D740DC">
      <w:pPr>
        <w:pStyle w:val="CommentText"/>
        <w:spacing w:line="360" w:lineRule="auto"/>
        <w:jc w:val="both"/>
        <w:rPr>
          <w:rFonts w:ascii="Times New Roman" w:hAnsi="Times New Roman" w:cs="Times New Roman"/>
          <w:sz w:val="24"/>
          <w:szCs w:val="24"/>
        </w:rPr>
      </w:pPr>
      <w:r w:rsidRPr="0059060B">
        <w:rPr>
          <w:rFonts w:ascii="Times New Roman" w:hAnsi="Times New Roman" w:cs="Times New Roman"/>
          <w:sz w:val="24"/>
          <w:szCs w:val="24"/>
        </w:rPr>
        <w:t>Figure 4.6 shows that glass transition temperature (</w:t>
      </w:r>
      <w:proofErr w:type="spellStart"/>
      <w:r w:rsidRPr="0059060B">
        <w:rPr>
          <w:rFonts w:ascii="Times New Roman" w:hAnsi="Times New Roman" w:cs="Times New Roman"/>
          <w:sz w:val="24"/>
          <w:szCs w:val="24"/>
        </w:rPr>
        <w:t>T</w:t>
      </w:r>
      <w:r w:rsidRPr="0059060B">
        <w:rPr>
          <w:rFonts w:ascii="Times New Roman" w:hAnsi="Times New Roman" w:cs="Times New Roman"/>
          <w:i/>
          <w:sz w:val="24"/>
          <w:szCs w:val="24"/>
          <w:vertAlign w:val="subscript"/>
        </w:rPr>
        <w:t>g</w:t>
      </w:r>
      <w:proofErr w:type="spellEnd"/>
      <w:r w:rsidRPr="0059060B">
        <w:rPr>
          <w:rFonts w:ascii="Times New Roman" w:hAnsi="Times New Roman" w:cs="Times New Roman"/>
          <w:sz w:val="24"/>
          <w:szCs w:val="24"/>
        </w:rPr>
        <w:t>) tends to decrease with increasing total charge balance, although there are some notable exceptions to this trend. Specifically</w:t>
      </w:r>
      <w:r w:rsidR="000707B0">
        <w:rPr>
          <w:rFonts w:ascii="Times New Roman" w:hAnsi="Times New Roman" w:cs="Times New Roman"/>
          <w:sz w:val="24"/>
          <w:szCs w:val="24"/>
        </w:rPr>
        <w:t>,</w:t>
      </w:r>
      <w:r w:rsidRPr="0059060B">
        <w:rPr>
          <w:rFonts w:ascii="Times New Roman" w:hAnsi="Times New Roman" w:cs="Times New Roman"/>
          <w:sz w:val="24"/>
          <w:szCs w:val="24"/>
        </w:rPr>
        <w:t xml:space="preserve"> at -10 </w:t>
      </w:r>
      <w:r w:rsidRPr="0059060B">
        <w:rPr>
          <w:rFonts w:ascii="Times New Roman" w:hAnsi="Times New Roman" w:cs="Times New Roman"/>
          <w:sz w:val="24"/>
          <w:szCs w:val="24"/>
        </w:rPr>
        <w:lastRenderedPageBreak/>
        <w:t>total charge balance</w:t>
      </w:r>
      <w:r w:rsidR="002337E8">
        <w:rPr>
          <w:rFonts w:ascii="Times New Roman" w:hAnsi="Times New Roman" w:cs="Times New Roman"/>
          <w:sz w:val="24"/>
          <w:szCs w:val="24"/>
        </w:rPr>
        <w:t>,</w:t>
      </w:r>
      <w:r w:rsidRPr="0059060B">
        <w:rPr>
          <w:rFonts w:ascii="Times New Roman" w:hAnsi="Times New Roman" w:cs="Times New Roman"/>
          <w:sz w:val="24"/>
          <w:szCs w:val="24"/>
        </w:rPr>
        <w:t xml:space="preserve"> there are a range of values of </w:t>
      </w:r>
      <w:proofErr w:type="spellStart"/>
      <w:r w:rsidRPr="0059060B">
        <w:rPr>
          <w:rFonts w:ascii="Times New Roman" w:hAnsi="Times New Roman" w:cs="Times New Roman"/>
          <w:sz w:val="24"/>
          <w:szCs w:val="24"/>
        </w:rPr>
        <w:t>T</w:t>
      </w:r>
      <w:r w:rsidRPr="0059060B">
        <w:rPr>
          <w:rFonts w:ascii="Times New Roman" w:hAnsi="Times New Roman" w:cs="Times New Roman"/>
          <w:i/>
          <w:sz w:val="24"/>
          <w:szCs w:val="24"/>
          <w:vertAlign w:val="subscript"/>
        </w:rPr>
        <w:t>g</w:t>
      </w:r>
      <w:proofErr w:type="spellEnd"/>
      <w:r w:rsidRPr="0059060B">
        <w:rPr>
          <w:rFonts w:ascii="Times New Roman" w:hAnsi="Times New Roman" w:cs="Times New Roman"/>
          <w:sz w:val="24"/>
          <w:szCs w:val="24"/>
        </w:rPr>
        <w:t xml:space="preserve"> can be seen, due to the differing amounts of silica, alumina and boron used in the glass series investigated. Only series </w:t>
      </w:r>
      <w:r w:rsidRPr="0059060B">
        <w:rPr>
          <w:rFonts w:ascii="Times New Roman" w:eastAsia="Times New Roman" w:hAnsi="Times New Roman" w:cs="Times New Roman"/>
          <w:color w:val="000000"/>
          <w:sz w:val="24"/>
          <w:szCs w:val="24"/>
          <w:lang w:eastAsia="en-MY"/>
        </w:rPr>
        <w:t>N</w:t>
      </w:r>
      <w:r w:rsidRPr="0059060B">
        <w:rPr>
          <w:rFonts w:ascii="Times New Roman" w:eastAsia="Times New Roman" w:hAnsi="Times New Roman" w:cs="Times New Roman"/>
          <w:color w:val="000000"/>
          <w:sz w:val="24"/>
          <w:szCs w:val="24"/>
          <w:vertAlign w:val="subscript"/>
          <w:lang w:eastAsia="en-MY"/>
        </w:rPr>
        <w:t>7.6</w:t>
      </w:r>
      <w:r w:rsidRPr="0059060B">
        <w:rPr>
          <w:rFonts w:ascii="Times New Roman" w:eastAsia="Times New Roman" w:hAnsi="Times New Roman" w:cs="Times New Roman"/>
          <w:color w:val="000000"/>
          <w:sz w:val="24"/>
          <w:szCs w:val="24"/>
          <w:lang w:eastAsia="en-MY"/>
        </w:rPr>
        <w:t>M</w:t>
      </w:r>
      <w:r w:rsidRPr="0059060B">
        <w:rPr>
          <w:rFonts w:ascii="Times New Roman" w:eastAsia="Times New Roman" w:hAnsi="Times New Roman" w:cs="Times New Roman"/>
          <w:color w:val="000000"/>
          <w:sz w:val="24"/>
          <w:szCs w:val="24"/>
          <w:vertAlign w:val="subscript"/>
          <w:lang w:eastAsia="en-MY"/>
        </w:rPr>
        <w:t>1.1</w:t>
      </w:r>
      <w:r w:rsidRPr="0059060B">
        <w:rPr>
          <w:rFonts w:ascii="Times New Roman" w:eastAsia="Times New Roman" w:hAnsi="Times New Roman" w:cs="Times New Roman"/>
          <w:color w:val="000000"/>
          <w:sz w:val="24"/>
          <w:szCs w:val="24"/>
          <w:lang w:eastAsia="en-MY"/>
        </w:rPr>
        <w:t>C</w:t>
      </w:r>
      <w:r w:rsidRPr="0059060B">
        <w:rPr>
          <w:rFonts w:ascii="Times New Roman" w:eastAsia="Times New Roman" w:hAnsi="Times New Roman" w:cs="Times New Roman"/>
          <w:color w:val="000000"/>
          <w:sz w:val="24"/>
          <w:szCs w:val="24"/>
          <w:vertAlign w:val="subscript"/>
          <w:lang w:eastAsia="en-MY"/>
        </w:rPr>
        <w:t>3</w:t>
      </w:r>
      <w:r w:rsidRPr="0059060B">
        <w:rPr>
          <w:rFonts w:ascii="Times New Roman" w:eastAsia="Times New Roman" w:hAnsi="Times New Roman" w:cs="Times New Roman"/>
          <w:color w:val="000000"/>
          <w:sz w:val="24"/>
          <w:szCs w:val="24"/>
          <w:lang w:eastAsia="en-MY"/>
        </w:rPr>
        <w:t>A</w:t>
      </w:r>
      <w:r w:rsidRPr="0059060B">
        <w:rPr>
          <w:rFonts w:ascii="Times New Roman" w:eastAsia="Times New Roman" w:hAnsi="Times New Roman" w:cs="Times New Roman"/>
          <w:color w:val="000000"/>
          <w:sz w:val="24"/>
          <w:szCs w:val="24"/>
          <w:vertAlign w:val="subscript"/>
          <w:lang w:eastAsia="en-MY"/>
        </w:rPr>
        <w:t>x</w:t>
      </w:r>
      <w:r w:rsidRPr="0059060B">
        <w:rPr>
          <w:rFonts w:ascii="Times New Roman" w:eastAsia="Times New Roman" w:hAnsi="Times New Roman" w:cs="Times New Roman"/>
          <w:color w:val="000000"/>
          <w:sz w:val="24"/>
          <w:szCs w:val="24"/>
          <w:lang w:eastAsia="en-MY"/>
        </w:rPr>
        <w:t>B</w:t>
      </w:r>
      <w:r w:rsidRPr="0059060B">
        <w:rPr>
          <w:rFonts w:ascii="Times New Roman" w:eastAsia="Times New Roman" w:hAnsi="Times New Roman" w:cs="Times New Roman"/>
          <w:color w:val="000000"/>
          <w:sz w:val="24"/>
          <w:szCs w:val="24"/>
          <w:vertAlign w:val="subscript"/>
          <w:lang w:eastAsia="en-MY"/>
        </w:rPr>
        <w:t>7.6</w:t>
      </w:r>
      <w:r w:rsidRPr="0059060B">
        <w:rPr>
          <w:rFonts w:ascii="Times New Roman" w:eastAsia="Times New Roman" w:hAnsi="Times New Roman" w:cs="Times New Roman"/>
          <w:color w:val="000000"/>
          <w:sz w:val="24"/>
          <w:szCs w:val="24"/>
          <w:lang w:eastAsia="en-MY"/>
        </w:rPr>
        <w:t>S</w:t>
      </w:r>
      <w:r w:rsidRPr="0059060B">
        <w:rPr>
          <w:rFonts w:ascii="Times New Roman" w:eastAsia="Times New Roman" w:hAnsi="Times New Roman" w:cs="Times New Roman"/>
          <w:color w:val="000000"/>
          <w:sz w:val="24"/>
          <w:szCs w:val="24"/>
          <w:vertAlign w:val="subscript"/>
          <w:lang w:eastAsia="en-MY"/>
        </w:rPr>
        <w:t>80.7-x</w:t>
      </w:r>
      <w:r w:rsidRPr="0059060B">
        <w:rPr>
          <w:rFonts w:ascii="Times New Roman" w:hAnsi="Times New Roman" w:cs="Times New Roman"/>
          <w:sz w:val="24"/>
          <w:szCs w:val="24"/>
        </w:rPr>
        <w:t xml:space="preserve">, </w:t>
      </w:r>
      <w:r w:rsidRPr="0059060B">
        <w:rPr>
          <w:rFonts w:ascii="Times New Roman" w:eastAsia="Times New Roman" w:hAnsi="Times New Roman" w:cs="Times New Roman"/>
          <w:color w:val="000000"/>
          <w:sz w:val="24"/>
          <w:szCs w:val="24"/>
          <w:lang w:eastAsia="en-MY"/>
        </w:rPr>
        <w:t>N</w:t>
      </w:r>
      <w:r w:rsidRPr="0059060B">
        <w:rPr>
          <w:rFonts w:ascii="Times New Roman" w:eastAsia="Times New Roman" w:hAnsi="Times New Roman" w:cs="Times New Roman"/>
          <w:color w:val="000000"/>
          <w:sz w:val="24"/>
          <w:szCs w:val="24"/>
          <w:vertAlign w:val="subscript"/>
          <w:lang w:eastAsia="en-MY"/>
        </w:rPr>
        <w:t>15</w:t>
      </w:r>
      <w:r w:rsidRPr="0059060B">
        <w:rPr>
          <w:rFonts w:ascii="Times New Roman" w:eastAsia="Times New Roman" w:hAnsi="Times New Roman" w:cs="Times New Roman"/>
          <w:color w:val="000000"/>
          <w:sz w:val="24"/>
          <w:szCs w:val="24"/>
          <w:lang w:eastAsia="en-MY"/>
        </w:rPr>
        <w:t>Ba</w:t>
      </w:r>
      <w:r w:rsidRPr="0059060B">
        <w:rPr>
          <w:rFonts w:ascii="Times New Roman" w:eastAsia="Times New Roman" w:hAnsi="Times New Roman" w:cs="Times New Roman"/>
          <w:color w:val="000000"/>
          <w:sz w:val="24"/>
          <w:szCs w:val="24"/>
          <w:vertAlign w:val="subscript"/>
          <w:lang w:eastAsia="en-MY"/>
        </w:rPr>
        <w:t>x</w:t>
      </w:r>
      <w:r w:rsidRPr="0059060B">
        <w:rPr>
          <w:rFonts w:ascii="Times New Roman" w:eastAsia="Times New Roman" w:hAnsi="Times New Roman" w:cs="Times New Roman"/>
          <w:color w:val="000000"/>
          <w:sz w:val="24"/>
          <w:szCs w:val="24"/>
          <w:lang w:eastAsia="en-MY"/>
        </w:rPr>
        <w:t>A</w:t>
      </w:r>
      <w:r w:rsidRPr="0059060B">
        <w:rPr>
          <w:rFonts w:ascii="Times New Roman" w:eastAsia="Times New Roman" w:hAnsi="Times New Roman" w:cs="Times New Roman"/>
          <w:color w:val="000000"/>
          <w:sz w:val="24"/>
          <w:szCs w:val="24"/>
          <w:vertAlign w:val="subscript"/>
          <w:lang w:eastAsia="en-MY"/>
        </w:rPr>
        <w:t>15-x</w:t>
      </w:r>
      <w:r w:rsidRPr="0059060B">
        <w:rPr>
          <w:rFonts w:ascii="Times New Roman" w:eastAsia="Times New Roman" w:hAnsi="Times New Roman" w:cs="Times New Roman"/>
          <w:color w:val="000000"/>
          <w:sz w:val="24"/>
          <w:szCs w:val="24"/>
          <w:lang w:eastAsia="en-MY"/>
        </w:rPr>
        <w:t>B</w:t>
      </w:r>
      <w:r w:rsidRPr="0059060B">
        <w:rPr>
          <w:rFonts w:ascii="Times New Roman" w:eastAsia="Times New Roman" w:hAnsi="Times New Roman" w:cs="Times New Roman"/>
          <w:color w:val="000000"/>
          <w:sz w:val="24"/>
          <w:szCs w:val="24"/>
          <w:vertAlign w:val="subscript"/>
          <w:lang w:eastAsia="en-MY"/>
        </w:rPr>
        <w:t>10</w:t>
      </w:r>
      <w:r w:rsidRPr="0059060B">
        <w:rPr>
          <w:rFonts w:ascii="Times New Roman" w:eastAsia="Times New Roman" w:hAnsi="Times New Roman" w:cs="Times New Roman"/>
          <w:color w:val="000000"/>
          <w:sz w:val="24"/>
          <w:szCs w:val="24"/>
          <w:lang w:eastAsia="en-MY"/>
        </w:rPr>
        <w:t>S</w:t>
      </w:r>
      <w:r w:rsidRPr="0059060B">
        <w:rPr>
          <w:rFonts w:ascii="Times New Roman" w:eastAsia="Times New Roman" w:hAnsi="Times New Roman" w:cs="Times New Roman"/>
          <w:color w:val="000000"/>
          <w:sz w:val="24"/>
          <w:szCs w:val="24"/>
          <w:vertAlign w:val="subscript"/>
          <w:lang w:eastAsia="en-MY"/>
        </w:rPr>
        <w:t>60</w:t>
      </w:r>
      <w:r w:rsidRPr="0059060B">
        <w:rPr>
          <w:rFonts w:ascii="Times New Roman" w:hAnsi="Times New Roman" w:cs="Times New Roman"/>
          <w:sz w:val="24"/>
          <w:szCs w:val="24"/>
        </w:rPr>
        <w:t xml:space="preserve">, </w:t>
      </w:r>
      <w:r w:rsidRPr="0059060B">
        <w:rPr>
          <w:rFonts w:ascii="Times New Roman" w:eastAsia="Times New Roman" w:hAnsi="Times New Roman" w:cs="Times New Roman"/>
          <w:color w:val="000000"/>
          <w:sz w:val="24"/>
          <w:szCs w:val="24"/>
          <w:lang w:eastAsia="en-MY"/>
        </w:rPr>
        <w:t>N</w:t>
      </w:r>
      <w:r w:rsidRPr="0059060B">
        <w:rPr>
          <w:rFonts w:ascii="Times New Roman" w:eastAsia="Times New Roman" w:hAnsi="Times New Roman" w:cs="Times New Roman"/>
          <w:color w:val="000000"/>
          <w:sz w:val="24"/>
          <w:szCs w:val="24"/>
          <w:vertAlign w:val="subscript"/>
          <w:lang w:eastAsia="en-MY"/>
        </w:rPr>
        <w:t>10</w:t>
      </w:r>
      <w:r w:rsidRPr="0059060B">
        <w:rPr>
          <w:rFonts w:ascii="Times New Roman" w:eastAsia="Times New Roman" w:hAnsi="Times New Roman" w:cs="Times New Roman"/>
          <w:color w:val="000000"/>
          <w:sz w:val="24"/>
          <w:szCs w:val="24"/>
          <w:lang w:eastAsia="en-MY"/>
        </w:rPr>
        <w:t>C</w:t>
      </w:r>
      <w:r w:rsidRPr="0059060B">
        <w:rPr>
          <w:rFonts w:ascii="Times New Roman" w:eastAsia="Times New Roman" w:hAnsi="Times New Roman" w:cs="Times New Roman"/>
          <w:color w:val="000000"/>
          <w:sz w:val="24"/>
          <w:szCs w:val="24"/>
          <w:vertAlign w:val="subscript"/>
          <w:lang w:eastAsia="en-MY"/>
        </w:rPr>
        <w:t>x</w:t>
      </w:r>
      <w:r w:rsidRPr="0059060B">
        <w:rPr>
          <w:rFonts w:ascii="Times New Roman" w:eastAsia="Times New Roman" w:hAnsi="Times New Roman" w:cs="Times New Roman"/>
          <w:color w:val="000000"/>
          <w:sz w:val="24"/>
          <w:szCs w:val="24"/>
          <w:lang w:eastAsia="en-MY"/>
        </w:rPr>
        <w:t>A</w:t>
      </w:r>
      <w:r w:rsidRPr="0059060B">
        <w:rPr>
          <w:rFonts w:ascii="Times New Roman" w:eastAsia="Times New Roman" w:hAnsi="Times New Roman" w:cs="Times New Roman"/>
          <w:color w:val="000000"/>
          <w:sz w:val="24"/>
          <w:szCs w:val="24"/>
          <w:vertAlign w:val="subscript"/>
          <w:lang w:eastAsia="en-MY"/>
        </w:rPr>
        <w:t>2</w:t>
      </w:r>
      <w:r w:rsidRPr="0059060B">
        <w:rPr>
          <w:rFonts w:ascii="Times New Roman" w:eastAsia="Times New Roman" w:hAnsi="Times New Roman" w:cs="Times New Roman"/>
          <w:color w:val="000000"/>
          <w:sz w:val="24"/>
          <w:szCs w:val="24"/>
          <w:lang w:eastAsia="en-MY"/>
        </w:rPr>
        <w:t>B</w:t>
      </w:r>
      <w:r w:rsidRPr="0059060B">
        <w:rPr>
          <w:rFonts w:ascii="Times New Roman" w:eastAsia="Times New Roman" w:hAnsi="Times New Roman" w:cs="Times New Roman"/>
          <w:color w:val="000000"/>
          <w:sz w:val="24"/>
          <w:szCs w:val="24"/>
          <w:vertAlign w:val="subscript"/>
          <w:lang w:eastAsia="en-MY"/>
        </w:rPr>
        <w:t>10</w:t>
      </w:r>
      <w:r w:rsidRPr="0059060B">
        <w:rPr>
          <w:rFonts w:ascii="Times New Roman" w:eastAsia="Times New Roman" w:hAnsi="Times New Roman" w:cs="Times New Roman"/>
          <w:color w:val="000000"/>
          <w:sz w:val="24"/>
          <w:szCs w:val="24"/>
          <w:lang w:eastAsia="en-MY"/>
        </w:rPr>
        <w:t>S</w:t>
      </w:r>
      <w:r w:rsidRPr="0059060B">
        <w:rPr>
          <w:rFonts w:ascii="Times New Roman" w:eastAsia="Times New Roman" w:hAnsi="Times New Roman" w:cs="Times New Roman"/>
          <w:color w:val="000000"/>
          <w:sz w:val="24"/>
          <w:szCs w:val="24"/>
          <w:vertAlign w:val="subscript"/>
          <w:lang w:eastAsia="en-MY"/>
        </w:rPr>
        <w:t>78-x</w:t>
      </w:r>
      <w:r w:rsidRPr="0059060B" w:rsidDel="00C26022">
        <w:rPr>
          <w:rFonts w:ascii="Times New Roman" w:hAnsi="Times New Roman" w:cs="Times New Roman"/>
          <w:sz w:val="24"/>
          <w:szCs w:val="24"/>
        </w:rPr>
        <w:t xml:space="preserve"> </w:t>
      </w:r>
      <w:r w:rsidRPr="0059060B">
        <w:rPr>
          <w:rFonts w:ascii="Times New Roman" w:hAnsi="Times New Roman" w:cs="Times New Roman"/>
          <w:sz w:val="24"/>
          <w:szCs w:val="24"/>
        </w:rPr>
        <w:t xml:space="preserve">and </w:t>
      </w:r>
      <w:r w:rsidRPr="0059060B">
        <w:rPr>
          <w:rFonts w:ascii="Times New Roman" w:eastAsia="Times New Roman" w:hAnsi="Times New Roman" w:cs="Times New Roman"/>
          <w:color w:val="000000"/>
          <w:sz w:val="24"/>
          <w:szCs w:val="24"/>
          <w:lang w:eastAsia="en-MY"/>
        </w:rPr>
        <w:t>N</w:t>
      </w:r>
      <w:r w:rsidRPr="0059060B">
        <w:rPr>
          <w:rFonts w:ascii="Times New Roman" w:eastAsia="Times New Roman" w:hAnsi="Times New Roman" w:cs="Times New Roman"/>
          <w:color w:val="000000"/>
          <w:sz w:val="24"/>
          <w:szCs w:val="24"/>
          <w:vertAlign w:val="subscript"/>
          <w:lang w:eastAsia="en-MY"/>
        </w:rPr>
        <w:t>15</w:t>
      </w:r>
      <w:r w:rsidRPr="0059060B">
        <w:rPr>
          <w:rFonts w:ascii="Times New Roman" w:eastAsia="Times New Roman" w:hAnsi="Times New Roman" w:cs="Times New Roman"/>
          <w:color w:val="000000"/>
          <w:sz w:val="24"/>
          <w:szCs w:val="24"/>
          <w:lang w:eastAsia="en-MY"/>
        </w:rPr>
        <w:t>C</w:t>
      </w:r>
      <w:r w:rsidRPr="0059060B">
        <w:rPr>
          <w:rFonts w:ascii="Times New Roman" w:eastAsia="Times New Roman" w:hAnsi="Times New Roman" w:cs="Times New Roman"/>
          <w:color w:val="000000"/>
          <w:sz w:val="24"/>
          <w:szCs w:val="24"/>
          <w:vertAlign w:val="subscript"/>
          <w:lang w:eastAsia="en-MY"/>
        </w:rPr>
        <w:t>x</w:t>
      </w:r>
      <w:r w:rsidRPr="0059060B">
        <w:rPr>
          <w:rFonts w:ascii="Times New Roman" w:eastAsia="Times New Roman" w:hAnsi="Times New Roman" w:cs="Times New Roman"/>
          <w:color w:val="000000"/>
          <w:sz w:val="24"/>
          <w:szCs w:val="24"/>
          <w:lang w:eastAsia="en-MY"/>
        </w:rPr>
        <w:t>A</w:t>
      </w:r>
      <w:r w:rsidRPr="0059060B">
        <w:rPr>
          <w:rFonts w:ascii="Times New Roman" w:eastAsia="Times New Roman" w:hAnsi="Times New Roman" w:cs="Times New Roman"/>
          <w:color w:val="000000"/>
          <w:sz w:val="24"/>
          <w:szCs w:val="24"/>
          <w:vertAlign w:val="subscript"/>
          <w:lang w:eastAsia="en-MY"/>
        </w:rPr>
        <w:t>2</w:t>
      </w:r>
      <w:r w:rsidRPr="0059060B">
        <w:rPr>
          <w:rFonts w:ascii="Times New Roman" w:eastAsia="Times New Roman" w:hAnsi="Times New Roman" w:cs="Times New Roman"/>
          <w:color w:val="000000"/>
          <w:sz w:val="24"/>
          <w:szCs w:val="24"/>
          <w:lang w:eastAsia="en-MY"/>
        </w:rPr>
        <w:t>B</w:t>
      </w:r>
      <w:r w:rsidRPr="0059060B">
        <w:rPr>
          <w:rFonts w:ascii="Times New Roman" w:eastAsia="Times New Roman" w:hAnsi="Times New Roman" w:cs="Times New Roman"/>
          <w:color w:val="000000"/>
          <w:sz w:val="24"/>
          <w:szCs w:val="24"/>
          <w:vertAlign w:val="subscript"/>
          <w:lang w:eastAsia="en-MY"/>
        </w:rPr>
        <w:t>10</w:t>
      </w:r>
      <w:r w:rsidRPr="0059060B">
        <w:rPr>
          <w:rFonts w:ascii="Times New Roman" w:eastAsia="Times New Roman" w:hAnsi="Times New Roman" w:cs="Times New Roman"/>
          <w:color w:val="000000"/>
          <w:sz w:val="24"/>
          <w:szCs w:val="24"/>
          <w:lang w:eastAsia="en-MY"/>
        </w:rPr>
        <w:t>S</w:t>
      </w:r>
      <w:r w:rsidRPr="0059060B">
        <w:rPr>
          <w:rFonts w:ascii="Times New Roman" w:eastAsia="Times New Roman" w:hAnsi="Times New Roman" w:cs="Times New Roman"/>
          <w:color w:val="000000"/>
          <w:sz w:val="24"/>
          <w:szCs w:val="24"/>
          <w:vertAlign w:val="subscript"/>
          <w:lang w:eastAsia="en-MY"/>
        </w:rPr>
        <w:t>73-x</w:t>
      </w:r>
      <w:r w:rsidRPr="0059060B" w:rsidDel="00C26022">
        <w:rPr>
          <w:rFonts w:ascii="Times New Roman" w:hAnsi="Times New Roman" w:cs="Times New Roman"/>
          <w:sz w:val="24"/>
          <w:szCs w:val="24"/>
        </w:rPr>
        <w:t xml:space="preserve"> </w:t>
      </w:r>
      <w:r w:rsidRPr="0059060B">
        <w:rPr>
          <w:rFonts w:ascii="Times New Roman" w:hAnsi="Times New Roman" w:cs="Times New Roman"/>
          <w:sz w:val="24"/>
          <w:szCs w:val="24"/>
        </w:rPr>
        <w:t xml:space="preserve">show a direct correlation of decreasing </w:t>
      </w:r>
      <w:proofErr w:type="spellStart"/>
      <w:r w:rsidRPr="0059060B">
        <w:rPr>
          <w:rFonts w:ascii="Times New Roman" w:hAnsi="Times New Roman" w:cs="Times New Roman"/>
          <w:sz w:val="24"/>
          <w:szCs w:val="24"/>
        </w:rPr>
        <w:t>T</w:t>
      </w:r>
      <w:r w:rsidRPr="0059060B">
        <w:rPr>
          <w:rFonts w:ascii="Times New Roman" w:hAnsi="Times New Roman" w:cs="Times New Roman"/>
          <w:i/>
          <w:sz w:val="24"/>
          <w:szCs w:val="24"/>
          <w:vertAlign w:val="subscript"/>
        </w:rPr>
        <w:t>g</w:t>
      </w:r>
      <w:proofErr w:type="spellEnd"/>
      <w:r w:rsidRPr="0059060B">
        <w:rPr>
          <w:rFonts w:ascii="Times New Roman" w:hAnsi="Times New Roman" w:cs="Times New Roman"/>
          <w:sz w:val="24"/>
          <w:szCs w:val="24"/>
        </w:rPr>
        <w:t xml:space="preserve"> with increasing of network charge balance. In series </w:t>
      </w:r>
      <w:r w:rsidRPr="0059060B">
        <w:rPr>
          <w:rFonts w:ascii="Times New Roman" w:eastAsia="Times New Roman" w:hAnsi="Times New Roman" w:cs="Times New Roman"/>
          <w:color w:val="000000"/>
          <w:sz w:val="24"/>
          <w:szCs w:val="24"/>
          <w:lang w:eastAsia="en-MY"/>
        </w:rPr>
        <w:t>N</w:t>
      </w:r>
      <w:r w:rsidRPr="0059060B">
        <w:rPr>
          <w:rFonts w:ascii="Times New Roman" w:eastAsia="Times New Roman" w:hAnsi="Times New Roman" w:cs="Times New Roman"/>
          <w:color w:val="000000"/>
          <w:sz w:val="24"/>
          <w:szCs w:val="24"/>
          <w:vertAlign w:val="subscript"/>
          <w:lang w:eastAsia="en-MY"/>
        </w:rPr>
        <w:t>10</w:t>
      </w:r>
      <w:r w:rsidRPr="0059060B">
        <w:rPr>
          <w:rFonts w:ascii="Times New Roman" w:eastAsia="Times New Roman" w:hAnsi="Times New Roman" w:cs="Times New Roman"/>
          <w:color w:val="000000"/>
          <w:sz w:val="24"/>
          <w:szCs w:val="24"/>
          <w:lang w:eastAsia="en-MY"/>
        </w:rPr>
        <w:t>C</w:t>
      </w:r>
      <w:r w:rsidRPr="0059060B">
        <w:rPr>
          <w:rFonts w:ascii="Times New Roman" w:eastAsia="Times New Roman" w:hAnsi="Times New Roman" w:cs="Times New Roman"/>
          <w:color w:val="000000"/>
          <w:sz w:val="24"/>
          <w:szCs w:val="24"/>
          <w:vertAlign w:val="subscript"/>
          <w:lang w:eastAsia="en-MY"/>
        </w:rPr>
        <w:t>x</w:t>
      </w:r>
      <w:r w:rsidRPr="0059060B">
        <w:rPr>
          <w:rFonts w:ascii="Times New Roman" w:eastAsia="Times New Roman" w:hAnsi="Times New Roman" w:cs="Times New Roman"/>
          <w:color w:val="000000"/>
          <w:sz w:val="24"/>
          <w:szCs w:val="24"/>
          <w:lang w:eastAsia="en-MY"/>
        </w:rPr>
        <w:t>A</w:t>
      </w:r>
      <w:r w:rsidRPr="0059060B">
        <w:rPr>
          <w:rFonts w:ascii="Times New Roman" w:eastAsia="Times New Roman" w:hAnsi="Times New Roman" w:cs="Times New Roman"/>
          <w:color w:val="000000"/>
          <w:sz w:val="24"/>
          <w:szCs w:val="24"/>
          <w:vertAlign w:val="subscript"/>
          <w:lang w:eastAsia="en-MY"/>
        </w:rPr>
        <w:t>20-x</w:t>
      </w:r>
      <w:r w:rsidRPr="0059060B">
        <w:rPr>
          <w:rFonts w:ascii="Times New Roman" w:eastAsia="Times New Roman" w:hAnsi="Times New Roman" w:cs="Times New Roman"/>
          <w:color w:val="000000"/>
          <w:sz w:val="24"/>
          <w:szCs w:val="24"/>
          <w:lang w:eastAsia="en-MY"/>
        </w:rPr>
        <w:t>B</w:t>
      </w:r>
      <w:r w:rsidRPr="0059060B">
        <w:rPr>
          <w:rFonts w:ascii="Times New Roman" w:eastAsia="Times New Roman" w:hAnsi="Times New Roman" w:cs="Times New Roman"/>
          <w:color w:val="000000"/>
          <w:sz w:val="24"/>
          <w:szCs w:val="24"/>
          <w:vertAlign w:val="subscript"/>
          <w:lang w:eastAsia="en-MY"/>
        </w:rPr>
        <w:t>10</w:t>
      </w:r>
      <w:r w:rsidRPr="0059060B">
        <w:rPr>
          <w:rFonts w:ascii="Times New Roman" w:eastAsia="Times New Roman" w:hAnsi="Times New Roman" w:cs="Times New Roman"/>
          <w:color w:val="000000"/>
          <w:sz w:val="24"/>
          <w:szCs w:val="24"/>
          <w:lang w:eastAsia="en-MY"/>
        </w:rPr>
        <w:t>S</w:t>
      </w:r>
      <w:r w:rsidRPr="0059060B">
        <w:rPr>
          <w:rFonts w:ascii="Times New Roman" w:eastAsia="Times New Roman" w:hAnsi="Times New Roman" w:cs="Times New Roman"/>
          <w:color w:val="000000"/>
          <w:sz w:val="24"/>
          <w:szCs w:val="24"/>
          <w:vertAlign w:val="subscript"/>
          <w:lang w:eastAsia="en-MY"/>
        </w:rPr>
        <w:t>60</w:t>
      </w:r>
      <w:r w:rsidRPr="0059060B">
        <w:rPr>
          <w:rFonts w:ascii="Times New Roman" w:hAnsi="Times New Roman" w:cs="Times New Roman"/>
          <w:sz w:val="24"/>
          <w:szCs w:val="24"/>
        </w:rPr>
        <w:t xml:space="preserve"> and </w:t>
      </w:r>
      <w:r w:rsidRPr="0059060B">
        <w:rPr>
          <w:rFonts w:ascii="Times New Roman" w:eastAsia="Times New Roman" w:hAnsi="Times New Roman" w:cs="Times New Roman"/>
          <w:color w:val="000000"/>
          <w:sz w:val="24"/>
          <w:szCs w:val="24"/>
          <w:lang w:eastAsia="en-MY"/>
        </w:rPr>
        <w:t>N</w:t>
      </w:r>
      <w:r w:rsidRPr="0059060B">
        <w:rPr>
          <w:rFonts w:ascii="Times New Roman" w:eastAsia="Times New Roman" w:hAnsi="Times New Roman" w:cs="Times New Roman"/>
          <w:color w:val="000000"/>
          <w:sz w:val="24"/>
          <w:szCs w:val="24"/>
          <w:vertAlign w:val="subscript"/>
          <w:lang w:eastAsia="en-MY"/>
        </w:rPr>
        <w:t>10</w:t>
      </w:r>
      <w:r w:rsidRPr="0059060B">
        <w:rPr>
          <w:rFonts w:ascii="Times New Roman" w:eastAsia="Times New Roman" w:hAnsi="Times New Roman" w:cs="Times New Roman"/>
          <w:color w:val="000000"/>
          <w:sz w:val="24"/>
          <w:szCs w:val="24"/>
          <w:lang w:eastAsia="en-MY"/>
        </w:rPr>
        <w:t>Ba</w:t>
      </w:r>
      <w:r w:rsidRPr="0059060B">
        <w:rPr>
          <w:rFonts w:ascii="Times New Roman" w:eastAsia="Times New Roman" w:hAnsi="Times New Roman" w:cs="Times New Roman"/>
          <w:color w:val="000000"/>
          <w:sz w:val="24"/>
          <w:szCs w:val="24"/>
          <w:vertAlign w:val="subscript"/>
          <w:lang w:eastAsia="en-MY"/>
        </w:rPr>
        <w:t>x</w:t>
      </w:r>
      <w:r w:rsidRPr="0059060B">
        <w:rPr>
          <w:rFonts w:ascii="Times New Roman" w:eastAsia="Times New Roman" w:hAnsi="Times New Roman" w:cs="Times New Roman"/>
          <w:color w:val="000000"/>
          <w:sz w:val="24"/>
          <w:szCs w:val="24"/>
          <w:lang w:eastAsia="en-MY"/>
        </w:rPr>
        <w:t>A</w:t>
      </w:r>
      <w:r w:rsidRPr="0059060B">
        <w:rPr>
          <w:rFonts w:ascii="Times New Roman" w:eastAsia="Times New Roman" w:hAnsi="Times New Roman" w:cs="Times New Roman"/>
          <w:color w:val="000000"/>
          <w:sz w:val="24"/>
          <w:szCs w:val="24"/>
          <w:vertAlign w:val="subscript"/>
          <w:lang w:eastAsia="en-MY"/>
        </w:rPr>
        <w:t>20-x</w:t>
      </w:r>
      <w:r w:rsidRPr="0059060B">
        <w:rPr>
          <w:rFonts w:ascii="Times New Roman" w:eastAsia="Times New Roman" w:hAnsi="Times New Roman" w:cs="Times New Roman"/>
          <w:color w:val="000000"/>
          <w:sz w:val="24"/>
          <w:szCs w:val="24"/>
          <w:lang w:eastAsia="en-MY"/>
        </w:rPr>
        <w:t>B</w:t>
      </w:r>
      <w:r w:rsidRPr="0059060B">
        <w:rPr>
          <w:rFonts w:ascii="Times New Roman" w:eastAsia="Times New Roman" w:hAnsi="Times New Roman" w:cs="Times New Roman"/>
          <w:color w:val="000000"/>
          <w:sz w:val="24"/>
          <w:szCs w:val="24"/>
          <w:vertAlign w:val="subscript"/>
          <w:lang w:eastAsia="en-MY"/>
        </w:rPr>
        <w:t>10</w:t>
      </w:r>
      <w:r w:rsidRPr="0059060B">
        <w:rPr>
          <w:rFonts w:ascii="Times New Roman" w:eastAsia="Times New Roman" w:hAnsi="Times New Roman" w:cs="Times New Roman"/>
          <w:color w:val="000000"/>
          <w:sz w:val="24"/>
          <w:szCs w:val="24"/>
          <w:lang w:eastAsia="en-MY"/>
        </w:rPr>
        <w:t>S</w:t>
      </w:r>
      <w:r w:rsidRPr="0059060B">
        <w:rPr>
          <w:rFonts w:ascii="Times New Roman" w:eastAsia="Times New Roman" w:hAnsi="Times New Roman" w:cs="Times New Roman"/>
          <w:color w:val="000000"/>
          <w:sz w:val="24"/>
          <w:szCs w:val="24"/>
          <w:vertAlign w:val="subscript"/>
          <w:lang w:eastAsia="en-MY"/>
        </w:rPr>
        <w:t>60</w:t>
      </w:r>
      <w:r w:rsidRPr="0059060B">
        <w:rPr>
          <w:rFonts w:ascii="Times New Roman" w:hAnsi="Times New Roman" w:cs="Times New Roman"/>
          <w:sz w:val="24"/>
          <w:szCs w:val="24"/>
        </w:rPr>
        <w:t xml:space="preserve">, both the </w:t>
      </w:r>
      <w:r w:rsidRPr="0059060B">
        <w:rPr>
          <w:rFonts w:ascii="Times New Roman" w:eastAsia="Times New Roman" w:hAnsi="Times New Roman" w:cs="Times New Roman"/>
          <w:color w:val="000000"/>
          <w:sz w:val="24"/>
          <w:szCs w:val="24"/>
          <w:lang w:eastAsia="en-MY"/>
        </w:rPr>
        <w:t>N</w:t>
      </w:r>
      <w:r w:rsidRPr="0059060B">
        <w:rPr>
          <w:rFonts w:ascii="Times New Roman" w:eastAsia="Times New Roman" w:hAnsi="Times New Roman" w:cs="Times New Roman"/>
          <w:color w:val="000000"/>
          <w:sz w:val="24"/>
          <w:szCs w:val="24"/>
          <w:vertAlign w:val="subscript"/>
          <w:lang w:eastAsia="en-MY"/>
        </w:rPr>
        <w:t>10</w:t>
      </w:r>
      <w:r w:rsidRPr="0059060B">
        <w:rPr>
          <w:rFonts w:ascii="Times New Roman" w:eastAsia="Times New Roman" w:hAnsi="Times New Roman" w:cs="Times New Roman"/>
          <w:color w:val="000000"/>
          <w:sz w:val="24"/>
          <w:szCs w:val="24"/>
          <w:lang w:eastAsia="en-MY"/>
        </w:rPr>
        <w:t>C</w:t>
      </w:r>
      <w:r w:rsidRPr="0059060B">
        <w:rPr>
          <w:rFonts w:ascii="Times New Roman" w:eastAsia="Times New Roman" w:hAnsi="Times New Roman" w:cs="Times New Roman"/>
          <w:color w:val="000000"/>
          <w:sz w:val="24"/>
          <w:szCs w:val="24"/>
          <w:vertAlign w:val="subscript"/>
          <w:lang w:eastAsia="en-MY"/>
        </w:rPr>
        <w:t>5</w:t>
      </w:r>
      <w:r w:rsidRPr="0059060B">
        <w:rPr>
          <w:rFonts w:ascii="Times New Roman" w:eastAsia="Times New Roman" w:hAnsi="Times New Roman" w:cs="Times New Roman"/>
          <w:color w:val="000000"/>
          <w:sz w:val="24"/>
          <w:szCs w:val="24"/>
          <w:lang w:eastAsia="en-MY"/>
        </w:rPr>
        <w:t>A</w:t>
      </w:r>
      <w:r w:rsidRPr="0059060B">
        <w:rPr>
          <w:rFonts w:ascii="Times New Roman" w:eastAsia="Times New Roman" w:hAnsi="Times New Roman" w:cs="Times New Roman"/>
          <w:color w:val="000000"/>
          <w:sz w:val="24"/>
          <w:szCs w:val="24"/>
          <w:vertAlign w:val="subscript"/>
          <w:lang w:eastAsia="en-MY"/>
        </w:rPr>
        <w:t>15</w:t>
      </w:r>
      <w:r w:rsidRPr="0059060B">
        <w:rPr>
          <w:rFonts w:ascii="Times New Roman" w:eastAsia="Times New Roman" w:hAnsi="Times New Roman" w:cs="Times New Roman"/>
          <w:color w:val="000000"/>
          <w:sz w:val="24"/>
          <w:szCs w:val="24"/>
          <w:lang w:eastAsia="en-MY"/>
        </w:rPr>
        <w:t>B</w:t>
      </w:r>
      <w:r w:rsidRPr="0059060B">
        <w:rPr>
          <w:rFonts w:ascii="Times New Roman" w:eastAsia="Times New Roman" w:hAnsi="Times New Roman" w:cs="Times New Roman"/>
          <w:color w:val="000000"/>
          <w:sz w:val="24"/>
          <w:szCs w:val="24"/>
          <w:vertAlign w:val="subscript"/>
          <w:lang w:eastAsia="en-MY"/>
        </w:rPr>
        <w:t>10</w:t>
      </w:r>
      <w:r w:rsidRPr="0059060B">
        <w:rPr>
          <w:rFonts w:ascii="Times New Roman" w:eastAsia="Times New Roman" w:hAnsi="Times New Roman" w:cs="Times New Roman"/>
          <w:color w:val="000000"/>
          <w:sz w:val="24"/>
          <w:szCs w:val="24"/>
          <w:lang w:eastAsia="en-MY"/>
        </w:rPr>
        <w:t>S</w:t>
      </w:r>
      <w:r w:rsidRPr="0059060B">
        <w:rPr>
          <w:rFonts w:ascii="Times New Roman" w:eastAsia="Times New Roman" w:hAnsi="Times New Roman" w:cs="Times New Roman"/>
          <w:color w:val="000000"/>
          <w:sz w:val="24"/>
          <w:szCs w:val="24"/>
          <w:vertAlign w:val="subscript"/>
          <w:lang w:eastAsia="en-MY"/>
        </w:rPr>
        <w:t>60</w:t>
      </w:r>
      <w:r w:rsidRPr="0059060B">
        <w:rPr>
          <w:rFonts w:ascii="Times New Roman" w:hAnsi="Times New Roman" w:cs="Times New Roman"/>
          <w:sz w:val="24"/>
          <w:szCs w:val="24"/>
        </w:rPr>
        <w:t xml:space="preserve"> and </w:t>
      </w:r>
      <w:r w:rsidRPr="0059060B">
        <w:rPr>
          <w:rFonts w:ascii="Times New Roman" w:eastAsia="Times New Roman" w:hAnsi="Times New Roman" w:cs="Times New Roman"/>
          <w:color w:val="000000"/>
          <w:sz w:val="24"/>
          <w:szCs w:val="24"/>
          <w:lang w:eastAsia="en-MY"/>
        </w:rPr>
        <w:t>N</w:t>
      </w:r>
      <w:r w:rsidRPr="0059060B">
        <w:rPr>
          <w:rFonts w:ascii="Times New Roman" w:eastAsia="Times New Roman" w:hAnsi="Times New Roman" w:cs="Times New Roman"/>
          <w:color w:val="000000"/>
          <w:sz w:val="24"/>
          <w:szCs w:val="24"/>
          <w:vertAlign w:val="subscript"/>
          <w:lang w:eastAsia="en-MY"/>
        </w:rPr>
        <w:t>10</w:t>
      </w:r>
      <w:r w:rsidRPr="0059060B">
        <w:rPr>
          <w:rFonts w:ascii="Times New Roman" w:eastAsia="Times New Roman" w:hAnsi="Times New Roman" w:cs="Times New Roman"/>
          <w:color w:val="000000"/>
          <w:sz w:val="24"/>
          <w:szCs w:val="24"/>
          <w:lang w:eastAsia="en-MY"/>
        </w:rPr>
        <w:t>Ba</w:t>
      </w:r>
      <w:r w:rsidRPr="0059060B">
        <w:rPr>
          <w:rFonts w:ascii="Times New Roman" w:eastAsia="Times New Roman" w:hAnsi="Times New Roman" w:cs="Times New Roman"/>
          <w:color w:val="000000"/>
          <w:sz w:val="24"/>
          <w:szCs w:val="24"/>
          <w:vertAlign w:val="subscript"/>
          <w:lang w:eastAsia="en-MY"/>
        </w:rPr>
        <w:t>5</w:t>
      </w:r>
      <w:r w:rsidRPr="0059060B">
        <w:rPr>
          <w:rFonts w:ascii="Times New Roman" w:eastAsia="Times New Roman" w:hAnsi="Times New Roman" w:cs="Times New Roman"/>
          <w:color w:val="000000"/>
          <w:sz w:val="24"/>
          <w:szCs w:val="24"/>
          <w:lang w:eastAsia="en-MY"/>
        </w:rPr>
        <w:t>A</w:t>
      </w:r>
      <w:r w:rsidRPr="0059060B">
        <w:rPr>
          <w:rFonts w:ascii="Times New Roman" w:eastAsia="Times New Roman" w:hAnsi="Times New Roman" w:cs="Times New Roman"/>
          <w:color w:val="000000"/>
          <w:sz w:val="24"/>
          <w:szCs w:val="24"/>
          <w:vertAlign w:val="subscript"/>
          <w:lang w:eastAsia="en-MY"/>
        </w:rPr>
        <w:t>15</w:t>
      </w:r>
      <w:r w:rsidRPr="0059060B">
        <w:rPr>
          <w:rFonts w:ascii="Times New Roman" w:eastAsia="Times New Roman" w:hAnsi="Times New Roman" w:cs="Times New Roman"/>
          <w:color w:val="000000"/>
          <w:sz w:val="24"/>
          <w:szCs w:val="24"/>
          <w:lang w:eastAsia="en-MY"/>
        </w:rPr>
        <w:t>B</w:t>
      </w:r>
      <w:r w:rsidRPr="0059060B">
        <w:rPr>
          <w:rFonts w:ascii="Times New Roman" w:eastAsia="Times New Roman" w:hAnsi="Times New Roman" w:cs="Times New Roman"/>
          <w:color w:val="000000"/>
          <w:sz w:val="24"/>
          <w:szCs w:val="24"/>
          <w:vertAlign w:val="subscript"/>
          <w:lang w:eastAsia="en-MY"/>
        </w:rPr>
        <w:t>10</w:t>
      </w:r>
      <w:r w:rsidRPr="0059060B">
        <w:rPr>
          <w:rFonts w:ascii="Times New Roman" w:eastAsia="Times New Roman" w:hAnsi="Times New Roman" w:cs="Times New Roman"/>
          <w:color w:val="000000"/>
          <w:sz w:val="24"/>
          <w:szCs w:val="24"/>
          <w:lang w:eastAsia="en-MY"/>
        </w:rPr>
        <w:t>S</w:t>
      </w:r>
      <w:r w:rsidRPr="0059060B">
        <w:rPr>
          <w:rFonts w:ascii="Times New Roman" w:eastAsia="Times New Roman" w:hAnsi="Times New Roman" w:cs="Times New Roman"/>
          <w:color w:val="000000"/>
          <w:sz w:val="24"/>
          <w:szCs w:val="24"/>
          <w:vertAlign w:val="subscript"/>
          <w:lang w:eastAsia="en-MY"/>
        </w:rPr>
        <w:t>60</w:t>
      </w:r>
      <w:r w:rsidRPr="0059060B">
        <w:rPr>
          <w:rFonts w:ascii="Times New Roman" w:hAnsi="Times New Roman" w:cs="Times New Roman"/>
          <w:sz w:val="24"/>
          <w:szCs w:val="24"/>
          <w:vertAlign w:val="subscript"/>
        </w:rPr>
        <w:t xml:space="preserve"> </w:t>
      </w:r>
      <w:r w:rsidRPr="0059060B">
        <w:rPr>
          <w:rFonts w:ascii="Times New Roman" w:hAnsi="Times New Roman" w:cs="Times New Roman"/>
          <w:sz w:val="24"/>
          <w:szCs w:val="24"/>
        </w:rPr>
        <w:t>glasses exhibit relatively lower glass transition temperatures. This might be due to the connectivity of the glass structure because low connectivity of glass will reduce the glass transition temperature</w:t>
      </w:r>
      <w:r>
        <w:rPr>
          <w:rFonts w:ascii="Times New Roman" w:hAnsi="Times New Roman" w:cs="Times New Roman"/>
          <w:sz w:val="24"/>
          <w:szCs w:val="24"/>
        </w:rPr>
        <w:t xml:space="preserve"> (</w:t>
      </w:r>
      <w:proofErr w:type="spellStart"/>
      <w:r w:rsidRPr="0059060B">
        <w:rPr>
          <w:rFonts w:ascii="Times New Roman" w:hAnsi="Times New Roman" w:cs="Times New Roman"/>
          <w:sz w:val="24"/>
          <w:szCs w:val="24"/>
        </w:rPr>
        <w:t>Kilinc</w:t>
      </w:r>
      <w:proofErr w:type="spellEnd"/>
      <w:r w:rsidRPr="0059060B">
        <w:rPr>
          <w:rFonts w:ascii="Times New Roman" w:hAnsi="Times New Roman" w:cs="Times New Roman"/>
          <w:sz w:val="24"/>
          <w:szCs w:val="24"/>
        </w:rPr>
        <w:t xml:space="preserve"> and Hand</w:t>
      </w:r>
      <w:r>
        <w:rPr>
          <w:rFonts w:ascii="Times New Roman" w:hAnsi="Times New Roman" w:cs="Times New Roman"/>
          <w:sz w:val="24"/>
          <w:szCs w:val="24"/>
        </w:rPr>
        <w:t>,</w:t>
      </w:r>
      <w:r w:rsidRPr="0059060B">
        <w:rPr>
          <w:rFonts w:ascii="Times New Roman" w:hAnsi="Times New Roman" w:cs="Times New Roman"/>
          <w:sz w:val="24"/>
          <w:szCs w:val="24"/>
        </w:rPr>
        <w:t xml:space="preserve"> 2015</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8400FF">
        <w:rPr>
          <w:rFonts w:ascii="Times New Roman" w:hAnsi="Times New Roman" w:cs="Times New Roman"/>
          <w:sz w:val="24"/>
          <w:szCs w:val="24"/>
        </w:rPr>
        <w:instrText>ADDIN CSL_CITATION { "citationItems" : [ { "id" : "ITEM-1", "itemData" : { "DOI" : "10.1016/j.jnoncrysol.2012.01.030", "ISSN" : "00223093", "abstract" : "The complicated structural speciation in boroaluminosilicate glasses leads to a mixed network former effect yielding nonlinear variation in many macroscopic properties as a function of chemical composition. Here we study the composition-structure-property relationships in a series of sodium boroaluminosilicate glasses from peralkaline to peraluminous compositions by substituting Al 2O 3 for SiO 2. Our results reveal a pronounced change in all the measured physical properties (density, elastic moduli, hardness, glass transition temperature, and liquid fragility) around [Al 2O 3]-[Na 2O] = 0. The structural origin of this change is elucidated through nuclear magnetic resonance analyses and topological considerations. Furthermore, we find that addition of 1 mol% Fe 2O 3 exerts a complicated impact on the measured properties. \u00a9 2012 Elsevier B.V. All rights reserved.", "author" : [ { "dropping-particle" : "", "family" : "Zheng", "given" : "Qiuju", "non-dropping-particle" : "", "parse-names" : false, "suffix" : "" }, { "dropping-particle" : "", "family" : "Potuzak", "given" : "Marcel", "non-dropping-particle" : "", "parse-names" : false, "suffix" : "" }, { "dropping-particle" : "", "family" : "Mauro", "given" : "John C.", "non-dropping-particle" : "", "parse-names" : false, "suffix" : "" }, { "dropping-particle" : "", "family" : "Smedskjaer", "given" : "Morten M.", "non-dropping-particle" : "", "parse-names" : false, "suffix" : "" }, { "dropping-particle" : "", "family" : "Youngman", "given" : "Randall E.", "non-dropping-particle" : "", "parse-names" : false, "suffix" : "" }, { "dropping-particle" : "", "family" : "Yue", "given" : "Yuanzheng", "non-dropping-particle" : "", "parse-names" : false, "suffix" : "" } ], "container-title" : "Journal of Non-Crystalline Solids", "id" : "ITEM-1", "issued" : { "date-parts" : [ [ "2012" ] ] }, "page" : "993-1002", "title" : "Composition-structure-property relationships in boroaluminosilicate glasses", "type" : "article-journal", "volume" : "358" }, "uris" : [ "http://www.mendeley.com/documents/?uuid=a9d77658-f38e-4ed9-b871-ba825555933a" ] } ], "mendeley" : { "formattedCitation" : "(Q. Zheng et al., 2012)", "manualFormatting" : "Zheng et al., 2012a", "plainTextFormattedCitation" : "(Q. Zheng et al., 2012)", "previouslyFormattedCitation" : "(Q. Zheng et al., 2012)" }, "properties" : { "noteIndex" : 83 }, "schema" : "https://github.com/citation-style-language/schema/raw/master/csl-citation.json" }</w:instrText>
      </w:r>
      <w:r>
        <w:rPr>
          <w:rFonts w:ascii="Times New Roman" w:hAnsi="Times New Roman" w:cs="Times New Roman"/>
          <w:sz w:val="24"/>
          <w:szCs w:val="24"/>
        </w:rPr>
        <w:fldChar w:fldCharType="separate"/>
      </w:r>
      <w:r w:rsidRPr="00DA4213">
        <w:rPr>
          <w:rFonts w:ascii="Times New Roman" w:hAnsi="Times New Roman" w:cs="Times New Roman"/>
          <w:noProof/>
          <w:sz w:val="24"/>
          <w:szCs w:val="24"/>
        </w:rPr>
        <w:t>Zheng et al., 2012a</w:t>
      </w:r>
      <w:r>
        <w:rPr>
          <w:rFonts w:ascii="Times New Roman" w:hAnsi="Times New Roman" w:cs="Times New Roman"/>
          <w:sz w:val="24"/>
          <w:szCs w:val="24"/>
        </w:rPr>
        <w:fldChar w:fldCharType="end"/>
      </w:r>
      <w:r>
        <w:rPr>
          <w:rFonts w:ascii="Times New Roman" w:hAnsi="Times New Roman" w:cs="Times New Roman"/>
          <w:sz w:val="24"/>
          <w:szCs w:val="24"/>
        </w:rPr>
        <w:t>, Kjeldsen et al., 2013)</w:t>
      </w:r>
      <w:r w:rsidRPr="0059060B">
        <w:rPr>
          <w:rFonts w:ascii="Times New Roman" w:hAnsi="Times New Roman" w:cs="Times New Roman"/>
          <w:sz w:val="24"/>
          <w:szCs w:val="24"/>
        </w:rPr>
        <w:t>. Meanwhile</w:t>
      </w:r>
      <w:r w:rsidR="000707B0">
        <w:rPr>
          <w:rFonts w:ascii="Times New Roman" w:hAnsi="Times New Roman" w:cs="Times New Roman"/>
          <w:sz w:val="24"/>
          <w:szCs w:val="24"/>
        </w:rPr>
        <w:t>,</w:t>
      </w:r>
      <w:r w:rsidRPr="0059060B">
        <w:rPr>
          <w:rFonts w:ascii="Times New Roman" w:hAnsi="Times New Roman" w:cs="Times New Roman"/>
          <w:sz w:val="24"/>
          <w:szCs w:val="24"/>
        </w:rPr>
        <w:t xml:space="preserve"> </w:t>
      </w:r>
      <w:r w:rsidRPr="0059060B">
        <w:rPr>
          <w:rFonts w:ascii="Times New Roman" w:hAnsi="Times New Roman" w:cs="Times New Roman"/>
          <w:color w:val="000000" w:themeColor="text1"/>
          <w:sz w:val="24"/>
          <w:szCs w:val="24"/>
        </w:rPr>
        <w:t>f</w:t>
      </w:r>
      <w:r w:rsidRPr="0059060B">
        <w:rPr>
          <w:rFonts w:ascii="Times New Roman" w:hAnsi="Times New Roman" w:cs="Times New Roman"/>
          <w:sz w:val="24"/>
          <w:szCs w:val="24"/>
        </w:rPr>
        <w:t xml:space="preserve">or series </w:t>
      </w:r>
      <w:r w:rsidRPr="0059060B">
        <w:rPr>
          <w:rFonts w:ascii="Times New Roman" w:eastAsia="Times New Roman" w:hAnsi="Times New Roman" w:cs="Times New Roman"/>
          <w:color w:val="000000"/>
          <w:sz w:val="24"/>
          <w:szCs w:val="24"/>
          <w:lang w:eastAsia="en-MY"/>
        </w:rPr>
        <w:t>N</w:t>
      </w:r>
      <w:r w:rsidRPr="0059060B">
        <w:rPr>
          <w:rFonts w:ascii="Times New Roman" w:eastAsia="Times New Roman" w:hAnsi="Times New Roman" w:cs="Times New Roman"/>
          <w:color w:val="000000"/>
          <w:sz w:val="24"/>
          <w:szCs w:val="24"/>
          <w:vertAlign w:val="subscript"/>
          <w:lang w:eastAsia="en-MY"/>
        </w:rPr>
        <w:t>15</w:t>
      </w:r>
      <w:r w:rsidRPr="0059060B">
        <w:rPr>
          <w:rFonts w:ascii="Times New Roman" w:eastAsia="Times New Roman" w:hAnsi="Times New Roman" w:cs="Times New Roman"/>
          <w:color w:val="000000"/>
          <w:sz w:val="24"/>
          <w:szCs w:val="24"/>
          <w:lang w:eastAsia="en-MY"/>
        </w:rPr>
        <w:t>C</w:t>
      </w:r>
      <w:r w:rsidRPr="0059060B">
        <w:rPr>
          <w:rFonts w:ascii="Times New Roman" w:eastAsia="Times New Roman" w:hAnsi="Times New Roman" w:cs="Times New Roman"/>
          <w:color w:val="000000"/>
          <w:sz w:val="24"/>
          <w:szCs w:val="24"/>
          <w:vertAlign w:val="subscript"/>
          <w:lang w:eastAsia="en-MY"/>
        </w:rPr>
        <w:t>5</w:t>
      </w:r>
      <w:r w:rsidRPr="0059060B">
        <w:rPr>
          <w:rFonts w:ascii="Times New Roman" w:eastAsia="Times New Roman" w:hAnsi="Times New Roman" w:cs="Times New Roman"/>
          <w:color w:val="000000"/>
          <w:sz w:val="24"/>
          <w:szCs w:val="24"/>
          <w:lang w:eastAsia="en-MY"/>
        </w:rPr>
        <w:t>A</w:t>
      </w:r>
      <w:r w:rsidRPr="0059060B">
        <w:rPr>
          <w:rFonts w:ascii="Times New Roman" w:eastAsia="Times New Roman" w:hAnsi="Times New Roman" w:cs="Times New Roman"/>
          <w:color w:val="000000"/>
          <w:sz w:val="24"/>
          <w:szCs w:val="24"/>
          <w:vertAlign w:val="subscript"/>
          <w:lang w:eastAsia="en-MY"/>
        </w:rPr>
        <w:t>x</w:t>
      </w:r>
      <w:r w:rsidRPr="0059060B">
        <w:rPr>
          <w:rFonts w:ascii="Times New Roman" w:eastAsia="Times New Roman" w:hAnsi="Times New Roman" w:cs="Times New Roman"/>
          <w:color w:val="000000"/>
          <w:sz w:val="24"/>
          <w:szCs w:val="24"/>
          <w:lang w:eastAsia="en-MY"/>
        </w:rPr>
        <w:t>B</w:t>
      </w:r>
      <w:r w:rsidRPr="0059060B">
        <w:rPr>
          <w:rFonts w:ascii="Times New Roman" w:eastAsia="Times New Roman" w:hAnsi="Times New Roman" w:cs="Times New Roman"/>
          <w:color w:val="000000"/>
          <w:sz w:val="24"/>
          <w:szCs w:val="24"/>
          <w:vertAlign w:val="subscript"/>
          <w:lang w:eastAsia="en-MY"/>
        </w:rPr>
        <w:t>10-x</w:t>
      </w:r>
      <w:r w:rsidRPr="0059060B">
        <w:rPr>
          <w:rFonts w:ascii="Times New Roman" w:eastAsia="Times New Roman" w:hAnsi="Times New Roman" w:cs="Times New Roman"/>
          <w:color w:val="000000"/>
          <w:sz w:val="24"/>
          <w:szCs w:val="24"/>
          <w:lang w:eastAsia="en-MY"/>
        </w:rPr>
        <w:t>S</w:t>
      </w:r>
      <w:r w:rsidRPr="0059060B">
        <w:rPr>
          <w:rFonts w:ascii="Times New Roman" w:eastAsia="Times New Roman" w:hAnsi="Times New Roman" w:cs="Times New Roman"/>
          <w:color w:val="000000"/>
          <w:sz w:val="24"/>
          <w:szCs w:val="24"/>
          <w:vertAlign w:val="subscript"/>
          <w:lang w:eastAsia="en-MY"/>
        </w:rPr>
        <w:t xml:space="preserve">70 </w:t>
      </w:r>
      <w:r w:rsidRPr="0059060B">
        <w:rPr>
          <w:rFonts w:ascii="Times New Roman" w:hAnsi="Times New Roman" w:cs="Times New Roman"/>
          <w:sz w:val="24"/>
          <w:szCs w:val="24"/>
        </w:rPr>
        <w:t xml:space="preserve">and </w:t>
      </w:r>
      <w:r w:rsidRPr="0059060B">
        <w:rPr>
          <w:rFonts w:ascii="Times New Roman" w:eastAsia="Times New Roman" w:hAnsi="Times New Roman" w:cs="Times New Roman"/>
          <w:color w:val="000000"/>
          <w:sz w:val="24"/>
          <w:szCs w:val="24"/>
          <w:lang w:eastAsia="en-MY"/>
        </w:rPr>
        <w:t>N</w:t>
      </w:r>
      <w:r w:rsidRPr="0059060B">
        <w:rPr>
          <w:rFonts w:ascii="Times New Roman" w:eastAsia="Times New Roman" w:hAnsi="Times New Roman" w:cs="Times New Roman"/>
          <w:color w:val="000000"/>
          <w:sz w:val="24"/>
          <w:szCs w:val="24"/>
          <w:vertAlign w:val="subscript"/>
          <w:lang w:eastAsia="en-MY"/>
        </w:rPr>
        <w:t>15</w:t>
      </w:r>
      <w:r w:rsidRPr="0059060B">
        <w:rPr>
          <w:rFonts w:ascii="Times New Roman" w:eastAsia="Times New Roman" w:hAnsi="Times New Roman" w:cs="Times New Roman"/>
          <w:color w:val="000000"/>
          <w:sz w:val="24"/>
          <w:szCs w:val="24"/>
          <w:lang w:eastAsia="en-MY"/>
        </w:rPr>
        <w:t>C</w:t>
      </w:r>
      <w:r w:rsidRPr="0059060B">
        <w:rPr>
          <w:rFonts w:ascii="Times New Roman" w:eastAsia="Times New Roman" w:hAnsi="Times New Roman" w:cs="Times New Roman"/>
          <w:color w:val="000000"/>
          <w:sz w:val="24"/>
          <w:szCs w:val="24"/>
          <w:vertAlign w:val="subscript"/>
          <w:lang w:eastAsia="en-MY"/>
        </w:rPr>
        <w:t>5</w:t>
      </w:r>
      <w:r w:rsidRPr="0059060B">
        <w:rPr>
          <w:rFonts w:ascii="Times New Roman" w:eastAsia="Times New Roman" w:hAnsi="Times New Roman" w:cs="Times New Roman"/>
          <w:color w:val="000000"/>
          <w:sz w:val="24"/>
          <w:szCs w:val="24"/>
          <w:lang w:eastAsia="en-MY"/>
        </w:rPr>
        <w:t>A</w:t>
      </w:r>
      <w:r w:rsidRPr="0059060B">
        <w:rPr>
          <w:rFonts w:ascii="Times New Roman" w:eastAsia="Times New Roman" w:hAnsi="Times New Roman" w:cs="Times New Roman"/>
          <w:color w:val="000000"/>
          <w:sz w:val="24"/>
          <w:szCs w:val="24"/>
          <w:vertAlign w:val="subscript"/>
          <w:lang w:eastAsia="en-MY"/>
        </w:rPr>
        <w:t>x</w:t>
      </w:r>
      <w:r w:rsidRPr="0059060B">
        <w:rPr>
          <w:rFonts w:ascii="Times New Roman" w:eastAsia="Times New Roman" w:hAnsi="Times New Roman" w:cs="Times New Roman"/>
          <w:color w:val="000000"/>
          <w:sz w:val="24"/>
          <w:szCs w:val="24"/>
          <w:lang w:eastAsia="en-MY"/>
        </w:rPr>
        <w:t>B</w:t>
      </w:r>
      <w:r w:rsidRPr="0059060B">
        <w:rPr>
          <w:rFonts w:ascii="Times New Roman" w:eastAsia="Times New Roman" w:hAnsi="Times New Roman" w:cs="Times New Roman"/>
          <w:color w:val="000000"/>
          <w:sz w:val="24"/>
          <w:szCs w:val="24"/>
          <w:vertAlign w:val="subscript"/>
          <w:lang w:eastAsia="en-MY"/>
        </w:rPr>
        <w:t>20-x</w:t>
      </w:r>
      <w:r w:rsidRPr="0059060B">
        <w:rPr>
          <w:rFonts w:ascii="Times New Roman" w:eastAsia="Times New Roman" w:hAnsi="Times New Roman" w:cs="Times New Roman"/>
          <w:color w:val="000000"/>
          <w:sz w:val="24"/>
          <w:szCs w:val="24"/>
          <w:lang w:eastAsia="en-MY"/>
        </w:rPr>
        <w:t>S</w:t>
      </w:r>
      <w:r w:rsidRPr="0059060B">
        <w:rPr>
          <w:rFonts w:ascii="Times New Roman" w:eastAsia="Times New Roman" w:hAnsi="Times New Roman" w:cs="Times New Roman"/>
          <w:color w:val="000000"/>
          <w:sz w:val="24"/>
          <w:szCs w:val="24"/>
          <w:vertAlign w:val="subscript"/>
          <w:lang w:eastAsia="en-MY"/>
        </w:rPr>
        <w:t>60</w:t>
      </w:r>
      <w:r w:rsidR="000707B0">
        <w:rPr>
          <w:rFonts w:ascii="Times New Roman" w:eastAsia="Times New Roman" w:hAnsi="Times New Roman" w:cs="Times New Roman"/>
          <w:color w:val="000000"/>
          <w:sz w:val="24"/>
          <w:szCs w:val="24"/>
          <w:vertAlign w:val="subscript"/>
          <w:lang w:eastAsia="en-MY"/>
        </w:rPr>
        <w:t>,</w:t>
      </w:r>
      <w:r w:rsidRPr="0059060B">
        <w:rPr>
          <w:rFonts w:ascii="Times New Roman" w:eastAsia="Times New Roman" w:hAnsi="Times New Roman" w:cs="Times New Roman"/>
          <w:color w:val="000000"/>
          <w:sz w:val="24"/>
          <w:szCs w:val="24"/>
          <w:vertAlign w:val="subscript"/>
          <w:lang w:eastAsia="en-MY"/>
        </w:rPr>
        <w:t xml:space="preserve"> </w:t>
      </w:r>
      <w:r w:rsidRPr="0059060B">
        <w:rPr>
          <w:rFonts w:ascii="Times New Roman" w:hAnsi="Times New Roman" w:cs="Times New Roman"/>
          <w:sz w:val="24"/>
          <w:szCs w:val="24"/>
        </w:rPr>
        <w:t xml:space="preserve">the glasses with the highest alumina contents </w:t>
      </w:r>
      <w:r w:rsidRPr="0059060B">
        <w:rPr>
          <w:rFonts w:ascii="Times New Roman" w:eastAsia="Times New Roman" w:hAnsi="Times New Roman" w:cs="Times New Roman"/>
          <w:color w:val="000000"/>
          <w:sz w:val="24"/>
          <w:szCs w:val="24"/>
          <w:lang w:eastAsia="en-MY"/>
        </w:rPr>
        <w:t>N</w:t>
      </w:r>
      <w:r w:rsidRPr="0059060B">
        <w:rPr>
          <w:rFonts w:ascii="Times New Roman" w:eastAsia="Times New Roman" w:hAnsi="Times New Roman" w:cs="Times New Roman"/>
          <w:color w:val="000000"/>
          <w:sz w:val="24"/>
          <w:szCs w:val="24"/>
          <w:vertAlign w:val="subscript"/>
          <w:lang w:eastAsia="en-MY"/>
        </w:rPr>
        <w:t>15</w:t>
      </w:r>
      <w:r w:rsidRPr="0059060B">
        <w:rPr>
          <w:rFonts w:ascii="Times New Roman" w:eastAsia="Times New Roman" w:hAnsi="Times New Roman" w:cs="Times New Roman"/>
          <w:color w:val="000000"/>
          <w:sz w:val="24"/>
          <w:szCs w:val="24"/>
          <w:lang w:eastAsia="en-MY"/>
        </w:rPr>
        <w:t>C</w:t>
      </w:r>
      <w:r w:rsidRPr="0059060B">
        <w:rPr>
          <w:rFonts w:ascii="Times New Roman" w:eastAsia="Times New Roman" w:hAnsi="Times New Roman" w:cs="Times New Roman"/>
          <w:color w:val="000000"/>
          <w:sz w:val="24"/>
          <w:szCs w:val="24"/>
          <w:vertAlign w:val="subscript"/>
          <w:lang w:eastAsia="en-MY"/>
        </w:rPr>
        <w:t>5</w:t>
      </w:r>
      <w:r w:rsidRPr="0059060B">
        <w:rPr>
          <w:rFonts w:ascii="Times New Roman" w:eastAsia="Times New Roman" w:hAnsi="Times New Roman" w:cs="Times New Roman"/>
          <w:color w:val="000000"/>
          <w:sz w:val="24"/>
          <w:szCs w:val="24"/>
          <w:lang w:eastAsia="en-MY"/>
        </w:rPr>
        <w:t>A</w:t>
      </w:r>
      <w:r w:rsidRPr="0059060B">
        <w:rPr>
          <w:rFonts w:ascii="Times New Roman" w:eastAsia="Times New Roman" w:hAnsi="Times New Roman" w:cs="Times New Roman"/>
          <w:color w:val="000000"/>
          <w:sz w:val="24"/>
          <w:szCs w:val="24"/>
          <w:vertAlign w:val="subscript"/>
          <w:lang w:eastAsia="en-MY"/>
        </w:rPr>
        <w:t>5</w:t>
      </w:r>
      <w:r w:rsidRPr="0059060B">
        <w:rPr>
          <w:rFonts w:ascii="Times New Roman" w:eastAsia="Times New Roman" w:hAnsi="Times New Roman" w:cs="Times New Roman"/>
          <w:color w:val="000000"/>
          <w:sz w:val="24"/>
          <w:szCs w:val="24"/>
          <w:lang w:eastAsia="en-MY"/>
        </w:rPr>
        <w:t>B</w:t>
      </w:r>
      <w:r w:rsidRPr="0059060B">
        <w:rPr>
          <w:rFonts w:ascii="Times New Roman" w:eastAsia="Times New Roman" w:hAnsi="Times New Roman" w:cs="Times New Roman"/>
          <w:color w:val="000000"/>
          <w:sz w:val="24"/>
          <w:szCs w:val="24"/>
          <w:vertAlign w:val="subscript"/>
          <w:lang w:eastAsia="en-MY"/>
        </w:rPr>
        <w:t>5</w:t>
      </w:r>
      <w:r w:rsidRPr="0059060B">
        <w:rPr>
          <w:rFonts w:ascii="Times New Roman" w:eastAsia="Times New Roman" w:hAnsi="Times New Roman" w:cs="Times New Roman"/>
          <w:color w:val="000000"/>
          <w:sz w:val="24"/>
          <w:szCs w:val="24"/>
          <w:lang w:eastAsia="en-MY"/>
        </w:rPr>
        <w:t>S</w:t>
      </w:r>
      <w:r w:rsidRPr="0059060B">
        <w:rPr>
          <w:rFonts w:ascii="Times New Roman" w:eastAsia="Times New Roman" w:hAnsi="Times New Roman" w:cs="Times New Roman"/>
          <w:color w:val="000000"/>
          <w:sz w:val="24"/>
          <w:szCs w:val="24"/>
          <w:vertAlign w:val="subscript"/>
          <w:lang w:eastAsia="en-MY"/>
        </w:rPr>
        <w:t xml:space="preserve">70 </w:t>
      </w:r>
      <w:r w:rsidRPr="0059060B">
        <w:rPr>
          <w:rFonts w:ascii="Times New Roman" w:hAnsi="Times New Roman" w:cs="Times New Roman"/>
          <w:sz w:val="24"/>
          <w:szCs w:val="24"/>
        </w:rPr>
        <w:t xml:space="preserve">and </w:t>
      </w:r>
      <w:r w:rsidRPr="0059060B">
        <w:rPr>
          <w:rFonts w:ascii="Times New Roman" w:eastAsia="Times New Roman" w:hAnsi="Times New Roman" w:cs="Times New Roman"/>
          <w:color w:val="000000"/>
          <w:sz w:val="24"/>
          <w:szCs w:val="24"/>
          <w:lang w:eastAsia="en-MY"/>
        </w:rPr>
        <w:t>N</w:t>
      </w:r>
      <w:r w:rsidRPr="0059060B">
        <w:rPr>
          <w:rFonts w:ascii="Times New Roman" w:eastAsia="Times New Roman" w:hAnsi="Times New Roman" w:cs="Times New Roman"/>
          <w:color w:val="000000"/>
          <w:sz w:val="24"/>
          <w:szCs w:val="24"/>
          <w:vertAlign w:val="subscript"/>
          <w:lang w:eastAsia="en-MY"/>
        </w:rPr>
        <w:t>10</w:t>
      </w:r>
      <w:r w:rsidRPr="0059060B">
        <w:rPr>
          <w:rFonts w:ascii="Times New Roman" w:eastAsia="Times New Roman" w:hAnsi="Times New Roman" w:cs="Times New Roman"/>
          <w:color w:val="000000"/>
          <w:sz w:val="24"/>
          <w:szCs w:val="24"/>
          <w:lang w:eastAsia="en-MY"/>
        </w:rPr>
        <w:t>C</w:t>
      </w:r>
      <w:r w:rsidRPr="0059060B">
        <w:rPr>
          <w:rFonts w:ascii="Times New Roman" w:eastAsia="Times New Roman" w:hAnsi="Times New Roman" w:cs="Times New Roman"/>
          <w:color w:val="000000"/>
          <w:sz w:val="24"/>
          <w:szCs w:val="24"/>
          <w:vertAlign w:val="subscript"/>
          <w:lang w:eastAsia="en-MY"/>
        </w:rPr>
        <w:t>5</w:t>
      </w:r>
      <w:r w:rsidRPr="0059060B">
        <w:rPr>
          <w:rFonts w:ascii="Times New Roman" w:eastAsia="Times New Roman" w:hAnsi="Times New Roman" w:cs="Times New Roman"/>
          <w:color w:val="000000"/>
          <w:sz w:val="24"/>
          <w:szCs w:val="24"/>
          <w:lang w:eastAsia="en-MY"/>
        </w:rPr>
        <w:t>A</w:t>
      </w:r>
      <w:r w:rsidRPr="0059060B">
        <w:rPr>
          <w:rFonts w:ascii="Times New Roman" w:eastAsia="Times New Roman" w:hAnsi="Times New Roman" w:cs="Times New Roman"/>
          <w:color w:val="000000"/>
          <w:sz w:val="24"/>
          <w:szCs w:val="24"/>
          <w:vertAlign w:val="subscript"/>
          <w:lang w:eastAsia="en-MY"/>
        </w:rPr>
        <w:t>15</w:t>
      </w:r>
      <w:r w:rsidRPr="0059060B">
        <w:rPr>
          <w:rFonts w:ascii="Times New Roman" w:eastAsia="Times New Roman" w:hAnsi="Times New Roman" w:cs="Times New Roman"/>
          <w:color w:val="000000"/>
          <w:sz w:val="24"/>
          <w:szCs w:val="24"/>
          <w:lang w:eastAsia="en-MY"/>
        </w:rPr>
        <w:t>B</w:t>
      </w:r>
      <w:r w:rsidRPr="0059060B">
        <w:rPr>
          <w:rFonts w:ascii="Times New Roman" w:eastAsia="Times New Roman" w:hAnsi="Times New Roman" w:cs="Times New Roman"/>
          <w:color w:val="000000"/>
          <w:sz w:val="24"/>
          <w:szCs w:val="24"/>
          <w:vertAlign w:val="subscript"/>
          <w:lang w:eastAsia="en-MY"/>
        </w:rPr>
        <w:t>10</w:t>
      </w:r>
      <w:r w:rsidRPr="0059060B">
        <w:rPr>
          <w:rFonts w:ascii="Times New Roman" w:eastAsia="Times New Roman" w:hAnsi="Times New Roman" w:cs="Times New Roman"/>
          <w:color w:val="000000"/>
          <w:sz w:val="24"/>
          <w:szCs w:val="24"/>
          <w:lang w:eastAsia="en-MY"/>
        </w:rPr>
        <w:t>S</w:t>
      </w:r>
      <w:r w:rsidRPr="0059060B">
        <w:rPr>
          <w:rFonts w:ascii="Times New Roman" w:eastAsia="Times New Roman" w:hAnsi="Times New Roman" w:cs="Times New Roman"/>
          <w:color w:val="000000"/>
          <w:sz w:val="24"/>
          <w:szCs w:val="24"/>
          <w:vertAlign w:val="subscript"/>
          <w:lang w:eastAsia="en-MY"/>
        </w:rPr>
        <w:t>60</w:t>
      </w:r>
      <w:r w:rsidRPr="0059060B">
        <w:rPr>
          <w:rFonts w:ascii="Times New Roman" w:hAnsi="Times New Roman" w:cs="Times New Roman"/>
          <w:sz w:val="24"/>
          <w:szCs w:val="24"/>
        </w:rPr>
        <w:t xml:space="preserve"> have higher glass transition temperatures. This is due to the increased amount of </w:t>
      </w:r>
      <w:proofErr w:type="spellStart"/>
      <w:r w:rsidRPr="0059060B">
        <w:rPr>
          <w:rFonts w:ascii="Times New Roman" w:hAnsi="Times New Roman" w:cs="Times New Roman"/>
          <w:sz w:val="24"/>
          <w:szCs w:val="24"/>
        </w:rPr>
        <w:t>Al</w:t>
      </w:r>
      <w:r w:rsidRPr="0059060B">
        <w:rPr>
          <w:rFonts w:ascii="Times New Roman" w:hAnsi="Times New Roman" w:cs="Times New Roman"/>
          <w:sz w:val="24"/>
          <w:szCs w:val="24"/>
          <w:vertAlign w:val="superscript"/>
        </w:rPr>
        <w:t>IV</w:t>
      </w:r>
      <w:proofErr w:type="spellEnd"/>
      <w:r w:rsidRPr="0059060B">
        <w:rPr>
          <w:rFonts w:ascii="Times New Roman" w:hAnsi="Times New Roman" w:cs="Times New Roman"/>
          <w:sz w:val="24"/>
          <w:szCs w:val="24"/>
          <w:vertAlign w:val="superscript"/>
        </w:rPr>
        <w:t xml:space="preserve"> </w:t>
      </w:r>
      <w:r w:rsidRPr="0059060B">
        <w:rPr>
          <w:rFonts w:ascii="Times New Roman" w:hAnsi="Times New Roman" w:cs="Times New Roman"/>
          <w:sz w:val="24"/>
          <w:szCs w:val="24"/>
        </w:rPr>
        <w:t xml:space="preserve">(as network former) which increased the </w:t>
      </w:r>
      <w:r>
        <w:rPr>
          <w:rFonts w:ascii="Times New Roman" w:hAnsi="Times New Roman" w:cs="Times New Roman"/>
          <w:sz w:val="24"/>
          <w:szCs w:val="24"/>
        </w:rPr>
        <w:t>connectivity</w:t>
      </w:r>
      <w:r w:rsidRPr="0059060B">
        <w:rPr>
          <w:rFonts w:ascii="Times New Roman" w:hAnsi="Times New Roman" w:cs="Times New Roman"/>
          <w:sz w:val="24"/>
          <w:szCs w:val="24"/>
        </w:rPr>
        <w:t xml:space="preserve"> when all aluminium are charge compensated from network modifier in the glass structure. </w:t>
      </w:r>
      <w:r>
        <w:rPr>
          <w:rFonts w:ascii="Times New Roman" w:hAnsi="Times New Roman" w:cs="Times New Roman"/>
          <w:sz w:val="24"/>
          <w:szCs w:val="24"/>
        </w:rPr>
        <w:t>Meanwhile, s</w:t>
      </w:r>
      <w:r w:rsidRPr="0059060B">
        <w:rPr>
          <w:rFonts w:ascii="Times New Roman" w:hAnsi="Times New Roman" w:cs="Times New Roman"/>
          <w:sz w:val="24"/>
          <w:szCs w:val="24"/>
        </w:rPr>
        <w:t xml:space="preserve">ome of the boron will probably not be charge balanced </w:t>
      </w:r>
      <w:r>
        <w:rPr>
          <w:rFonts w:ascii="Times New Roman" w:hAnsi="Times New Roman" w:cs="Times New Roman"/>
          <w:sz w:val="24"/>
          <w:szCs w:val="24"/>
        </w:rPr>
        <w:t xml:space="preserve">due </w:t>
      </w:r>
      <w:r w:rsidR="000707B0">
        <w:rPr>
          <w:rFonts w:ascii="Times New Roman" w:hAnsi="Times New Roman" w:cs="Times New Roman"/>
          <w:sz w:val="24"/>
          <w:szCs w:val="24"/>
        </w:rPr>
        <w:t xml:space="preserve">to </w:t>
      </w:r>
      <w:r>
        <w:rPr>
          <w:rFonts w:ascii="Times New Roman" w:hAnsi="Times New Roman" w:cs="Times New Roman"/>
          <w:sz w:val="24"/>
          <w:szCs w:val="24"/>
        </w:rPr>
        <w:t xml:space="preserve">the balance of network modifier will either compensate boron or produces NBOs. However, </w:t>
      </w:r>
      <w:r w:rsidRPr="0059060B">
        <w:rPr>
          <w:rFonts w:ascii="Times New Roman" w:hAnsi="Times New Roman" w:cs="Times New Roman"/>
          <w:sz w:val="24"/>
          <w:szCs w:val="24"/>
        </w:rPr>
        <w:t xml:space="preserve">when </w:t>
      </w:r>
      <w:r>
        <w:rPr>
          <w:rFonts w:ascii="Times New Roman" w:hAnsi="Times New Roman" w:cs="Times New Roman"/>
          <w:sz w:val="24"/>
          <w:szCs w:val="24"/>
        </w:rPr>
        <w:t>boron</w:t>
      </w:r>
      <w:r w:rsidRPr="0059060B">
        <w:rPr>
          <w:rFonts w:ascii="Times New Roman" w:hAnsi="Times New Roman" w:cs="Times New Roman"/>
          <w:sz w:val="24"/>
          <w:szCs w:val="24"/>
        </w:rPr>
        <w:t xml:space="preserve"> is replaced by aluminium</w:t>
      </w:r>
      <w:r>
        <w:rPr>
          <w:rFonts w:ascii="Times New Roman" w:hAnsi="Times New Roman" w:cs="Times New Roman"/>
          <w:sz w:val="24"/>
          <w:szCs w:val="24"/>
        </w:rPr>
        <w:t>,</w:t>
      </w:r>
      <w:r w:rsidRPr="0059060B">
        <w:rPr>
          <w:rFonts w:ascii="Times New Roman" w:hAnsi="Times New Roman" w:cs="Times New Roman"/>
          <w:sz w:val="24"/>
          <w:szCs w:val="24"/>
        </w:rPr>
        <w:t xml:space="preserve"> all of the aluminium </w:t>
      </w:r>
      <w:r>
        <w:rPr>
          <w:rFonts w:ascii="Times New Roman" w:hAnsi="Times New Roman" w:cs="Times New Roman"/>
          <w:sz w:val="24"/>
          <w:szCs w:val="24"/>
        </w:rPr>
        <w:t>firstly has been</w:t>
      </w:r>
      <w:r w:rsidRPr="0059060B">
        <w:rPr>
          <w:rFonts w:ascii="Times New Roman" w:hAnsi="Times New Roman" w:cs="Times New Roman"/>
          <w:sz w:val="24"/>
          <w:szCs w:val="24"/>
        </w:rPr>
        <w:t xml:space="preserve"> charge compensated to form  </w:t>
      </w:r>
      <w:proofErr w:type="spellStart"/>
      <w:r w:rsidRPr="0059060B">
        <w:rPr>
          <w:rFonts w:ascii="Times New Roman" w:hAnsi="Times New Roman" w:cs="Times New Roman"/>
          <w:sz w:val="24"/>
          <w:szCs w:val="24"/>
        </w:rPr>
        <w:t>Al</w:t>
      </w:r>
      <w:r w:rsidRPr="0059060B">
        <w:rPr>
          <w:rFonts w:ascii="Times New Roman" w:hAnsi="Times New Roman" w:cs="Times New Roman"/>
          <w:sz w:val="24"/>
          <w:szCs w:val="24"/>
          <w:vertAlign w:val="superscript"/>
        </w:rPr>
        <w:t>IV</w:t>
      </w:r>
      <w:proofErr w:type="spellEnd"/>
      <w:r>
        <w:rPr>
          <w:rFonts w:ascii="Times New Roman" w:hAnsi="Times New Roman" w:cs="Times New Roman"/>
          <w:sz w:val="24"/>
          <w:szCs w:val="24"/>
        </w:rPr>
        <w:t xml:space="preserve"> when there are enough network modifier to charge balance.</w:t>
      </w:r>
    </w:p>
    <w:p w14:paraId="7731358C" w14:textId="77777777" w:rsidR="00D740DC" w:rsidRPr="000E2377" w:rsidRDefault="00D740DC" w:rsidP="00D740DC">
      <w:pPr>
        <w:keepNext/>
        <w:keepLines/>
        <w:spacing w:before="40" w:line="360" w:lineRule="auto"/>
        <w:outlineLvl w:val="2"/>
        <w:rPr>
          <w:rFonts w:eastAsiaTheme="majorEastAsia" w:cstheme="majorBidi"/>
          <w:color w:val="000000" w:themeColor="text1"/>
          <w:szCs w:val="24"/>
        </w:rPr>
      </w:pPr>
      <w:bookmarkStart w:id="688" w:name="_Toc515398736"/>
      <w:bookmarkStart w:id="689" w:name="_Toc523402933"/>
      <w:bookmarkStart w:id="690" w:name="_Toc525526444"/>
      <w:bookmarkStart w:id="691" w:name="_Toc525707861"/>
      <w:bookmarkStart w:id="692" w:name="_Toc525742526"/>
      <w:bookmarkStart w:id="693" w:name="_Toc12994970"/>
      <w:bookmarkStart w:id="694" w:name="_Hlk498774372"/>
      <w:r w:rsidRPr="000E2377">
        <w:rPr>
          <w:rFonts w:eastAsiaTheme="majorEastAsia" w:cstheme="majorBidi"/>
          <w:color w:val="000000" w:themeColor="text1"/>
          <w:szCs w:val="24"/>
        </w:rPr>
        <w:t>4.</w:t>
      </w:r>
      <w:r>
        <w:rPr>
          <w:rFonts w:eastAsiaTheme="majorEastAsia" w:cstheme="majorBidi"/>
          <w:color w:val="000000" w:themeColor="text1"/>
          <w:szCs w:val="24"/>
        </w:rPr>
        <w:t>4</w:t>
      </w:r>
      <w:r w:rsidRPr="000E2377">
        <w:rPr>
          <w:rFonts w:eastAsiaTheme="majorEastAsia" w:cstheme="majorBidi"/>
          <w:color w:val="000000" w:themeColor="text1"/>
          <w:szCs w:val="24"/>
        </w:rPr>
        <w:t xml:space="preserve"> Structural properties</w:t>
      </w:r>
      <w:bookmarkEnd w:id="688"/>
      <w:bookmarkEnd w:id="689"/>
      <w:bookmarkEnd w:id="690"/>
      <w:bookmarkEnd w:id="691"/>
      <w:bookmarkEnd w:id="692"/>
      <w:bookmarkEnd w:id="693"/>
    </w:p>
    <w:p w14:paraId="35E045A7" w14:textId="2C5F0935" w:rsidR="00D740DC" w:rsidRDefault="00D740DC" w:rsidP="00D740DC">
      <w:pPr>
        <w:spacing w:line="360" w:lineRule="auto"/>
        <w:jc w:val="both"/>
        <w:rPr>
          <w:rFonts w:asciiTheme="majorBidi" w:hAnsiTheme="majorBidi" w:cstheme="majorBidi"/>
          <w:b w:val="0"/>
          <w:szCs w:val="24"/>
        </w:rPr>
      </w:pPr>
      <w:r>
        <w:rPr>
          <w:rFonts w:asciiTheme="majorBidi" w:hAnsiTheme="majorBidi" w:cstheme="majorBidi"/>
          <w:b w:val="0"/>
          <w:szCs w:val="24"/>
        </w:rPr>
        <w:t>XRD analysis was undertaken for all of the glasses to ensure that they were fully amorphous. The XRD results are presented in Appendix G</w:t>
      </w:r>
      <w:r w:rsidR="002337E8">
        <w:rPr>
          <w:rFonts w:asciiTheme="majorBidi" w:hAnsiTheme="majorBidi" w:cstheme="majorBidi"/>
          <w:b w:val="0"/>
          <w:szCs w:val="24"/>
        </w:rPr>
        <w:t>,</w:t>
      </w:r>
      <w:r>
        <w:rPr>
          <w:rFonts w:asciiTheme="majorBidi" w:hAnsiTheme="majorBidi" w:cstheme="majorBidi"/>
          <w:b w:val="0"/>
          <w:szCs w:val="24"/>
        </w:rPr>
        <w:t xml:space="preserve"> as all the samples were found to be amorphous. NMR for </w:t>
      </w:r>
      <w:r w:rsidRPr="003F0D09">
        <w:rPr>
          <w:rFonts w:asciiTheme="majorBidi" w:hAnsiTheme="majorBidi" w:cstheme="majorBidi"/>
          <w:b w:val="0"/>
          <w:szCs w:val="24"/>
          <w:vertAlign w:val="superscript"/>
        </w:rPr>
        <w:t>29</w:t>
      </w:r>
      <w:r>
        <w:rPr>
          <w:rFonts w:asciiTheme="majorBidi" w:hAnsiTheme="majorBidi" w:cstheme="majorBidi"/>
          <w:b w:val="0"/>
          <w:szCs w:val="24"/>
        </w:rPr>
        <w:t xml:space="preserve">Si, 27Al and </w:t>
      </w:r>
      <w:r w:rsidRPr="003F0D09">
        <w:rPr>
          <w:rFonts w:asciiTheme="majorBidi" w:hAnsiTheme="majorBidi" w:cstheme="majorBidi"/>
          <w:b w:val="0"/>
          <w:szCs w:val="24"/>
          <w:vertAlign w:val="superscript"/>
        </w:rPr>
        <w:t>11</w:t>
      </w:r>
      <w:r>
        <w:rPr>
          <w:rFonts w:asciiTheme="majorBidi" w:hAnsiTheme="majorBidi" w:cstheme="majorBidi"/>
          <w:b w:val="0"/>
          <w:szCs w:val="24"/>
        </w:rPr>
        <w:t xml:space="preserve">B was conducted and the details of the deconvolution </w:t>
      </w:r>
      <w:r w:rsidR="000707B0">
        <w:rPr>
          <w:rFonts w:asciiTheme="majorBidi" w:hAnsiTheme="majorBidi" w:cstheme="majorBidi"/>
          <w:b w:val="0"/>
          <w:szCs w:val="24"/>
        </w:rPr>
        <w:t xml:space="preserve">were </w:t>
      </w:r>
      <w:r>
        <w:rPr>
          <w:rFonts w:asciiTheme="majorBidi" w:hAnsiTheme="majorBidi" w:cstheme="majorBidi"/>
          <w:b w:val="0"/>
          <w:szCs w:val="24"/>
        </w:rPr>
        <w:t xml:space="preserve">also done to analyse types of coordination present. Meanwhile, </w:t>
      </w:r>
      <w:r w:rsidRPr="000E2377">
        <w:rPr>
          <w:rFonts w:asciiTheme="majorBidi" w:hAnsiTheme="majorBidi" w:cstheme="majorBidi"/>
          <w:b w:val="0"/>
          <w:szCs w:val="24"/>
        </w:rPr>
        <w:t xml:space="preserve">FTIR and Raman spectroscopies have been used to investigate the structural changes arising in the compositions examined. It should be noted that in interpreting Raman spectra, </w:t>
      </w:r>
      <w:r>
        <w:rPr>
          <w:rFonts w:asciiTheme="majorBidi" w:hAnsiTheme="majorBidi" w:cstheme="majorBidi"/>
          <w:b w:val="0"/>
          <w:szCs w:val="24"/>
        </w:rPr>
        <w:t>the different tetrahedral species</w:t>
      </w:r>
      <w:r w:rsidRPr="000E2377">
        <w:rPr>
          <w:rFonts w:asciiTheme="majorBidi" w:hAnsiTheme="majorBidi" w:cstheme="majorBidi"/>
          <w:b w:val="0"/>
          <w:szCs w:val="24"/>
        </w:rPr>
        <w:t xml:space="preserve"> cannot be </w:t>
      </w:r>
      <w:r>
        <w:rPr>
          <w:rFonts w:asciiTheme="majorBidi" w:hAnsiTheme="majorBidi" w:cstheme="majorBidi"/>
          <w:b w:val="0"/>
          <w:szCs w:val="24"/>
        </w:rPr>
        <w:t xml:space="preserve">readily </w:t>
      </w:r>
      <w:r w:rsidRPr="000E2377">
        <w:rPr>
          <w:rFonts w:asciiTheme="majorBidi" w:hAnsiTheme="majorBidi" w:cstheme="majorBidi"/>
          <w:b w:val="0"/>
          <w:szCs w:val="24"/>
        </w:rPr>
        <w:t xml:space="preserve">distinguished </w:t>
      </w:r>
      <w:r w:rsidRPr="000E2377">
        <w:rPr>
          <w:rFonts w:asciiTheme="majorBidi" w:hAnsiTheme="majorBidi" w:cstheme="majorBidi"/>
          <w:b w:val="0"/>
          <w:szCs w:val="24"/>
        </w:rPr>
        <w:fldChar w:fldCharType="begin" w:fldLock="1"/>
      </w:r>
      <w:r w:rsidR="008400FF">
        <w:rPr>
          <w:rFonts w:asciiTheme="majorBidi" w:hAnsiTheme="majorBidi" w:cstheme="majorBidi"/>
          <w:b w:val="0"/>
          <w:szCs w:val="24"/>
        </w:rPr>
        <w:instrText>ADDIN CSL_CITATION { "citationItems" : [ { "id" : "ITEM-1", "itemData" : { "author" : [ { "dropping-particle" : "", "family" : "McKeown", "given" : "D A", "non-dropping-particle" : "", "parse-names" : false, "suffix" : "" }, { "dropping-particle" : "", "family" : "Jr", "given" : "Waychunas G A", "non-dropping-particle" : "", "parse-names" : false, "suffix" : "" }, { "dropping-particle" : "", "family" : "Brown", "given" : "G. E.", "non-dropping-particle" : "", "parse-names" : false, "suffix" : "" } ], "container-title" : "Journal of Non-Crystalline Solids", "id" : "ITEM-1", "issued" : { "date-parts" : [ [ "1985" ] ] }, "page" : "325-348", "title" : "Exafs and Xanes study of the local coordination environment of sodium in series of silica-rich glasses and selected minerals within the Na2O-Al2O3-SiO2 system", "type" : "article-journal", "volume" : "74" }, "uris" : [ "http://www.mendeley.com/documents/?uuid=d79a38f6-122e-4f9e-a5a4-674e184d67cd" ] } ], "mendeley" : { "formattedCitation" : "(McKeown et al., 1985)", "manualFormatting" : "(McKeown et al., 1985)", "plainTextFormattedCitation" : "(McKeown et al., 1985)", "previouslyFormattedCitation" : "(McKeown et al., 1985)" }, "properties" : { "noteIndex" : 5 }, "schema" : "https://github.com/citation-style-language/schema/raw/master/csl-citation.json" }</w:instrText>
      </w:r>
      <w:r w:rsidRPr="000E2377">
        <w:rPr>
          <w:rFonts w:asciiTheme="majorBidi" w:hAnsiTheme="majorBidi" w:cstheme="majorBidi"/>
          <w:b w:val="0"/>
          <w:szCs w:val="24"/>
        </w:rPr>
        <w:fldChar w:fldCharType="separate"/>
      </w:r>
      <w:r w:rsidRPr="000E2377">
        <w:rPr>
          <w:rFonts w:asciiTheme="majorBidi" w:hAnsiTheme="majorBidi" w:cstheme="majorBidi"/>
          <w:b w:val="0"/>
          <w:noProof/>
          <w:szCs w:val="24"/>
        </w:rPr>
        <w:t>(McKeown et al., 1985)</w:t>
      </w:r>
      <w:r w:rsidRPr="000E2377">
        <w:rPr>
          <w:rFonts w:asciiTheme="majorBidi" w:hAnsiTheme="majorBidi" w:cstheme="majorBidi"/>
          <w:b w:val="0"/>
          <w:szCs w:val="24"/>
        </w:rPr>
        <w:fldChar w:fldCharType="end"/>
      </w:r>
      <w:r w:rsidRPr="000E2377">
        <w:rPr>
          <w:rFonts w:asciiTheme="majorBidi" w:hAnsiTheme="majorBidi" w:cstheme="majorBidi"/>
          <w:b w:val="0"/>
          <w:szCs w:val="24"/>
        </w:rPr>
        <w:t xml:space="preserve">. The spectra were normalised by peak area after baseline subtraction using the </w:t>
      </w:r>
      <w:proofErr w:type="spellStart"/>
      <w:r w:rsidRPr="000E2377">
        <w:rPr>
          <w:rFonts w:asciiTheme="majorBidi" w:hAnsiTheme="majorBidi" w:cstheme="majorBidi"/>
          <w:b w:val="0"/>
          <w:szCs w:val="24"/>
        </w:rPr>
        <w:t>WiRE</w:t>
      </w:r>
      <w:proofErr w:type="spellEnd"/>
      <w:r w:rsidRPr="000E2377">
        <w:rPr>
          <w:rFonts w:asciiTheme="majorBidi" w:hAnsiTheme="majorBidi" w:cstheme="majorBidi"/>
          <w:b w:val="0"/>
          <w:szCs w:val="24"/>
        </w:rPr>
        <w:t xml:space="preserve"> 3.4 software. As detailed in section 3.5.4 the spectra were divided into four regions: a low frequency region (180-630 cm</w:t>
      </w:r>
      <w:r w:rsidRPr="000E2377">
        <w:rPr>
          <w:rFonts w:asciiTheme="majorBidi" w:hAnsiTheme="majorBidi" w:cstheme="majorBidi"/>
          <w:b w:val="0"/>
          <w:szCs w:val="24"/>
          <w:vertAlign w:val="superscript"/>
        </w:rPr>
        <w:t>-1</w:t>
      </w:r>
      <w:r w:rsidRPr="000E2377">
        <w:rPr>
          <w:rFonts w:asciiTheme="majorBidi" w:hAnsiTheme="majorBidi" w:cstheme="majorBidi"/>
          <w:b w:val="0"/>
          <w:szCs w:val="24"/>
        </w:rPr>
        <w:t>), a medium frequency region (760-850 cm</w:t>
      </w:r>
      <w:r w:rsidRPr="000E2377">
        <w:rPr>
          <w:rFonts w:asciiTheme="majorBidi" w:hAnsiTheme="majorBidi" w:cstheme="majorBidi"/>
          <w:b w:val="0"/>
          <w:szCs w:val="24"/>
          <w:vertAlign w:val="superscript"/>
        </w:rPr>
        <w:t>-1</w:t>
      </w:r>
      <w:r w:rsidRPr="000E2377">
        <w:rPr>
          <w:rFonts w:asciiTheme="majorBidi" w:hAnsiTheme="majorBidi" w:cstheme="majorBidi"/>
          <w:b w:val="0"/>
          <w:szCs w:val="24"/>
        </w:rPr>
        <w:t xml:space="preserve">) a high frequency region </w:t>
      </w:r>
      <w:r>
        <w:rPr>
          <w:rFonts w:asciiTheme="majorBidi" w:hAnsiTheme="majorBidi" w:cstheme="majorBidi"/>
          <w:b w:val="0"/>
          <w:szCs w:val="24"/>
        </w:rPr>
        <w:t xml:space="preserve">associated with stretching of tetrahedral bonds </w:t>
      </w:r>
      <w:r w:rsidRPr="000E2377">
        <w:rPr>
          <w:rFonts w:asciiTheme="majorBidi" w:hAnsiTheme="majorBidi" w:cstheme="majorBidi"/>
          <w:b w:val="0"/>
          <w:szCs w:val="24"/>
        </w:rPr>
        <w:t>(850-1250 cm</w:t>
      </w:r>
      <w:r w:rsidRPr="000E2377">
        <w:rPr>
          <w:rFonts w:asciiTheme="majorBidi" w:hAnsiTheme="majorBidi" w:cstheme="majorBidi"/>
          <w:b w:val="0"/>
          <w:szCs w:val="24"/>
          <w:vertAlign w:val="superscript"/>
        </w:rPr>
        <w:t>-1</w:t>
      </w:r>
      <w:r w:rsidRPr="000E2377">
        <w:rPr>
          <w:rFonts w:asciiTheme="majorBidi" w:hAnsiTheme="majorBidi" w:cstheme="majorBidi"/>
          <w:b w:val="0"/>
          <w:szCs w:val="24"/>
        </w:rPr>
        <w:t>) and a high frequency B-O region (1350-1600 cm</w:t>
      </w:r>
      <w:r w:rsidRPr="000E2377">
        <w:rPr>
          <w:rFonts w:asciiTheme="majorBidi" w:hAnsiTheme="majorBidi" w:cstheme="majorBidi"/>
          <w:b w:val="0"/>
          <w:szCs w:val="24"/>
          <w:vertAlign w:val="superscript"/>
        </w:rPr>
        <w:t>-1</w:t>
      </w:r>
      <w:r w:rsidRPr="000E2377">
        <w:rPr>
          <w:rFonts w:asciiTheme="majorBidi" w:hAnsiTheme="majorBidi" w:cstheme="majorBidi"/>
          <w:b w:val="0"/>
          <w:szCs w:val="24"/>
        </w:rPr>
        <w:t>) with each region giving different structural information.</w:t>
      </w:r>
      <w:r>
        <w:rPr>
          <w:rFonts w:asciiTheme="majorBidi" w:hAnsiTheme="majorBidi" w:cstheme="majorBidi"/>
          <w:b w:val="0"/>
          <w:szCs w:val="24"/>
        </w:rPr>
        <w:t xml:space="preserve"> </w:t>
      </w:r>
    </w:p>
    <w:p w14:paraId="77DCF301" w14:textId="6DBB0005" w:rsidR="00D740DC" w:rsidRDefault="00D740DC" w:rsidP="00D740DC">
      <w:pPr>
        <w:spacing w:line="360" w:lineRule="auto"/>
        <w:jc w:val="both"/>
        <w:rPr>
          <w:rFonts w:cs="Times New Roman"/>
          <w:b w:val="0"/>
          <w:szCs w:val="24"/>
        </w:rPr>
      </w:pPr>
    </w:p>
    <w:p w14:paraId="39FCC4AA" w14:textId="77777777" w:rsidR="00ED4492" w:rsidRPr="000E2377" w:rsidRDefault="00ED4492" w:rsidP="00D740DC">
      <w:pPr>
        <w:spacing w:line="360" w:lineRule="auto"/>
        <w:jc w:val="both"/>
        <w:rPr>
          <w:rFonts w:cs="Times New Roman"/>
          <w:b w:val="0"/>
          <w:szCs w:val="24"/>
        </w:rPr>
      </w:pPr>
    </w:p>
    <w:p w14:paraId="7263574F" w14:textId="77777777" w:rsidR="00D740DC" w:rsidRPr="000E2377" w:rsidRDefault="00D740DC" w:rsidP="00D740DC">
      <w:pPr>
        <w:tabs>
          <w:tab w:val="left" w:pos="3510"/>
        </w:tabs>
        <w:rPr>
          <w:rFonts w:cs="Times New Roman"/>
          <w:szCs w:val="24"/>
        </w:rPr>
      </w:pPr>
      <w:r w:rsidRPr="000E2377">
        <w:rPr>
          <w:rFonts w:cs="Times New Roman"/>
          <w:szCs w:val="24"/>
        </w:rPr>
        <w:lastRenderedPageBreak/>
        <w:t>4.</w:t>
      </w:r>
      <w:r>
        <w:rPr>
          <w:rFonts w:cs="Times New Roman"/>
          <w:szCs w:val="24"/>
        </w:rPr>
        <w:t>4</w:t>
      </w:r>
      <w:r w:rsidRPr="000E2377">
        <w:rPr>
          <w:rFonts w:cs="Times New Roman"/>
          <w:szCs w:val="24"/>
        </w:rPr>
        <w:t>.</w:t>
      </w:r>
      <w:r>
        <w:rPr>
          <w:rFonts w:cs="Times New Roman"/>
          <w:szCs w:val="24"/>
        </w:rPr>
        <w:t>1</w:t>
      </w:r>
      <w:r w:rsidRPr="000E2377">
        <w:rPr>
          <w:rFonts w:cs="Times New Roman"/>
          <w:szCs w:val="24"/>
        </w:rPr>
        <w:t xml:space="preserve"> NMR Spectroscopy</w:t>
      </w:r>
    </w:p>
    <w:p w14:paraId="68196BE8" w14:textId="0BF6E6FD" w:rsidR="00D740DC" w:rsidRPr="000E2377" w:rsidRDefault="00D740DC" w:rsidP="00D740DC">
      <w:pPr>
        <w:tabs>
          <w:tab w:val="left" w:pos="3510"/>
        </w:tabs>
        <w:spacing w:line="360" w:lineRule="auto"/>
        <w:jc w:val="both"/>
        <w:rPr>
          <w:rFonts w:cs="Times New Roman"/>
          <w:b w:val="0"/>
          <w:szCs w:val="24"/>
        </w:rPr>
      </w:pPr>
      <w:r w:rsidRPr="000E2377">
        <w:rPr>
          <w:rFonts w:cs="Times New Roman"/>
          <w:b w:val="0"/>
          <w:szCs w:val="24"/>
        </w:rPr>
        <w:t xml:space="preserve">The short range order for a few specific glasses in the calcium series has been studied using NMR, to see the effect of composition </w:t>
      </w:r>
      <w:r>
        <w:rPr>
          <w:rFonts w:cs="Times New Roman"/>
          <w:b w:val="0"/>
          <w:szCs w:val="24"/>
        </w:rPr>
        <w:t xml:space="preserve">on </w:t>
      </w:r>
      <w:r w:rsidR="000707B0">
        <w:rPr>
          <w:rFonts w:cs="Times New Roman"/>
          <w:b w:val="0"/>
          <w:szCs w:val="24"/>
        </w:rPr>
        <w:t xml:space="preserve">the </w:t>
      </w:r>
      <w:r>
        <w:rPr>
          <w:rFonts w:cs="Times New Roman"/>
          <w:b w:val="0"/>
          <w:szCs w:val="24"/>
        </w:rPr>
        <w:t>structure</w:t>
      </w:r>
      <w:r w:rsidRPr="000E2377">
        <w:rPr>
          <w:rFonts w:cs="Times New Roman"/>
          <w:b w:val="0"/>
          <w:szCs w:val="24"/>
        </w:rPr>
        <w:t>. Figure</w:t>
      </w:r>
      <w:r>
        <w:rPr>
          <w:rFonts w:cs="Times New Roman"/>
          <w:b w:val="0"/>
          <w:szCs w:val="24"/>
        </w:rPr>
        <w:t>s</w:t>
      </w:r>
      <w:r w:rsidRPr="000E2377">
        <w:rPr>
          <w:rFonts w:cs="Times New Roman"/>
          <w:b w:val="0"/>
          <w:szCs w:val="24"/>
        </w:rPr>
        <w:t xml:space="preserve"> </w:t>
      </w:r>
      <w:r w:rsidRPr="00365C3D">
        <w:rPr>
          <w:rFonts w:cs="Times New Roman"/>
          <w:b w:val="0"/>
          <w:szCs w:val="24"/>
        </w:rPr>
        <w:t>4.7 - 4.9</w:t>
      </w:r>
      <w:r w:rsidRPr="000E2377">
        <w:rPr>
          <w:rFonts w:cs="Times New Roman"/>
          <w:b w:val="0"/>
          <w:szCs w:val="24"/>
        </w:rPr>
        <w:t xml:space="preserve"> shows the results of </w:t>
      </w:r>
      <w:r w:rsidRPr="000E2377">
        <w:rPr>
          <w:rFonts w:cs="Times New Roman"/>
          <w:b w:val="0"/>
          <w:szCs w:val="24"/>
          <w:vertAlign w:val="superscript"/>
        </w:rPr>
        <w:t>29</w:t>
      </w:r>
      <w:r w:rsidRPr="000E2377">
        <w:rPr>
          <w:rFonts w:cs="Times New Roman"/>
          <w:b w:val="0"/>
          <w:szCs w:val="24"/>
        </w:rPr>
        <w:t xml:space="preserve">Si, </w:t>
      </w:r>
      <w:r w:rsidRPr="000E2377">
        <w:rPr>
          <w:rFonts w:cs="Times New Roman"/>
          <w:b w:val="0"/>
          <w:szCs w:val="24"/>
          <w:vertAlign w:val="superscript"/>
        </w:rPr>
        <w:t>17</w:t>
      </w:r>
      <w:r w:rsidRPr="000E2377">
        <w:rPr>
          <w:rFonts w:cs="Times New Roman"/>
          <w:b w:val="0"/>
          <w:szCs w:val="24"/>
        </w:rPr>
        <w:t xml:space="preserve">Al and </w:t>
      </w:r>
      <w:r w:rsidRPr="000E2377">
        <w:rPr>
          <w:rFonts w:cs="Times New Roman"/>
          <w:b w:val="0"/>
          <w:szCs w:val="24"/>
          <w:vertAlign w:val="superscript"/>
        </w:rPr>
        <w:t>11</w:t>
      </w:r>
      <w:r w:rsidRPr="000E2377">
        <w:rPr>
          <w:rFonts w:cs="Times New Roman"/>
          <w:b w:val="0"/>
          <w:szCs w:val="24"/>
        </w:rPr>
        <w:t>B NMR results for 8 glasses.</w:t>
      </w:r>
    </w:p>
    <w:p w14:paraId="324D8703" w14:textId="77777777" w:rsidR="00D740DC" w:rsidRDefault="00D740DC" w:rsidP="00D740DC">
      <w:pPr>
        <w:spacing w:after="0" w:line="360" w:lineRule="auto"/>
        <w:rPr>
          <w:rFonts w:cs="Times New Roman"/>
          <w:b w:val="0"/>
          <w:i/>
          <w:szCs w:val="24"/>
          <w:lang w:val="en-GB"/>
        </w:rPr>
      </w:pPr>
    </w:p>
    <w:p w14:paraId="63414EDC" w14:textId="77777777" w:rsidR="00D740DC" w:rsidRPr="000E2377" w:rsidRDefault="00D740DC" w:rsidP="00D740DC">
      <w:pPr>
        <w:spacing w:after="0" w:line="360" w:lineRule="auto"/>
        <w:rPr>
          <w:rFonts w:cs="Times New Roman"/>
          <w:b w:val="0"/>
          <w:i/>
          <w:szCs w:val="24"/>
          <w:lang w:val="en-GB"/>
        </w:rPr>
      </w:pPr>
      <w:r w:rsidRPr="000E2377">
        <w:rPr>
          <w:rFonts w:cs="Times New Roman"/>
          <w:b w:val="0"/>
          <w:i/>
          <w:szCs w:val="24"/>
          <w:lang w:val="en-GB"/>
        </w:rPr>
        <w:t>4.</w:t>
      </w:r>
      <w:r>
        <w:rPr>
          <w:rFonts w:cs="Times New Roman"/>
          <w:b w:val="0"/>
          <w:i/>
          <w:szCs w:val="24"/>
          <w:lang w:val="en-GB"/>
        </w:rPr>
        <w:t>4</w:t>
      </w:r>
      <w:r w:rsidRPr="000E2377">
        <w:rPr>
          <w:rFonts w:cs="Times New Roman"/>
          <w:b w:val="0"/>
          <w:i/>
          <w:szCs w:val="24"/>
          <w:lang w:val="en-GB"/>
        </w:rPr>
        <w:t>.</w:t>
      </w:r>
      <w:r>
        <w:rPr>
          <w:rFonts w:cs="Times New Roman"/>
          <w:b w:val="0"/>
          <w:i/>
          <w:szCs w:val="24"/>
          <w:lang w:val="en-GB"/>
        </w:rPr>
        <w:t>1</w:t>
      </w:r>
      <w:r w:rsidRPr="000E2377">
        <w:rPr>
          <w:rFonts w:cs="Times New Roman"/>
          <w:b w:val="0"/>
          <w:i/>
          <w:szCs w:val="24"/>
          <w:lang w:val="en-GB"/>
        </w:rPr>
        <w:t>.1</w:t>
      </w:r>
      <w:r w:rsidRPr="000E2377">
        <w:rPr>
          <w:rFonts w:cs="Times New Roman"/>
          <w:b w:val="0"/>
          <w:i/>
          <w:szCs w:val="24"/>
          <w:vertAlign w:val="superscript"/>
          <w:lang w:val="en-GB"/>
        </w:rPr>
        <w:t xml:space="preserve"> 29</w:t>
      </w:r>
      <w:r w:rsidRPr="000E2377">
        <w:rPr>
          <w:rFonts w:cs="Times New Roman"/>
          <w:b w:val="0"/>
          <w:i/>
          <w:szCs w:val="24"/>
          <w:lang w:val="en-GB"/>
        </w:rPr>
        <w:t>Si NMR Spectroscopy</w:t>
      </w:r>
    </w:p>
    <w:p w14:paraId="5B7B46C8" w14:textId="77777777" w:rsidR="00D740DC" w:rsidRPr="000E2377" w:rsidRDefault="00D740DC" w:rsidP="00D740DC">
      <w:pPr>
        <w:rPr>
          <w:rFonts w:cs="Times New Roman"/>
          <w:szCs w:val="24"/>
          <w:lang w:val="en-GB"/>
        </w:rPr>
      </w:pPr>
      <w:r w:rsidRPr="000E2377">
        <w:rPr>
          <w:noProof/>
          <w:lang w:eastAsia="en-MY"/>
        </w:rPr>
        <w:drawing>
          <wp:inline distT="0" distB="0" distL="0" distR="0" wp14:anchorId="1E478E9E" wp14:editId="3A370436">
            <wp:extent cx="6321582" cy="3600000"/>
            <wp:effectExtent l="0" t="0" r="0" b="0"/>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21582" cy="3600000"/>
                    </a:xfrm>
                    <a:prstGeom prst="rect">
                      <a:avLst/>
                    </a:prstGeom>
                    <a:noFill/>
                    <a:ln>
                      <a:noFill/>
                    </a:ln>
                  </pic:spPr>
                </pic:pic>
              </a:graphicData>
            </a:graphic>
          </wp:inline>
        </w:drawing>
      </w:r>
    </w:p>
    <w:p w14:paraId="23573FF9" w14:textId="159F2824" w:rsidR="00D740DC" w:rsidRPr="000E2377" w:rsidRDefault="0080406D" w:rsidP="00D740DC">
      <w:pPr>
        <w:pStyle w:val="Caption"/>
        <w:rPr>
          <w:rFonts w:eastAsia="Times New Roman"/>
          <w:color w:val="000000"/>
          <w:szCs w:val="24"/>
          <w:lang w:eastAsia="en-MY"/>
        </w:rPr>
      </w:pPr>
      <w:bookmarkStart w:id="695" w:name="_Toc525223224"/>
      <w:bookmarkStart w:id="696" w:name="_Toc525528371"/>
      <w:bookmarkStart w:id="697" w:name="_Toc525706386"/>
      <w:bookmarkStart w:id="698" w:name="_Hlk515396593"/>
      <w:bookmarkStart w:id="699" w:name="_Toc521420490"/>
      <w:r>
        <w:t>Figure 4.7</w:t>
      </w:r>
      <w:r w:rsidR="00D740DC" w:rsidRPr="000E2377">
        <w:t>: Normalise</w:t>
      </w:r>
      <w:r w:rsidR="00D740DC">
        <w:t>d</w:t>
      </w:r>
      <w:r w:rsidR="00D740DC" w:rsidRPr="000E2377">
        <w:t xml:space="preserve"> </w:t>
      </w:r>
      <w:r w:rsidR="00D740DC" w:rsidRPr="000E2377">
        <w:rPr>
          <w:szCs w:val="24"/>
          <w:vertAlign w:val="superscript"/>
        </w:rPr>
        <w:t>29</w:t>
      </w:r>
      <w:r w:rsidR="00D740DC" w:rsidRPr="000E2377">
        <w:rPr>
          <w:szCs w:val="24"/>
        </w:rPr>
        <w:t>Si NMR spectra.</w:t>
      </w:r>
      <w:bookmarkEnd w:id="695"/>
      <w:bookmarkEnd w:id="696"/>
      <w:bookmarkEnd w:id="697"/>
      <w:r w:rsidR="00D740DC" w:rsidRPr="000E2377">
        <w:rPr>
          <w:szCs w:val="24"/>
        </w:rPr>
        <w:t xml:space="preserve"> </w:t>
      </w:r>
      <w:bookmarkEnd w:id="698"/>
      <w:bookmarkEnd w:id="699"/>
    </w:p>
    <w:p w14:paraId="653DFAB6" w14:textId="086682F5" w:rsidR="00D740DC" w:rsidRPr="000E2377" w:rsidRDefault="00D740DC" w:rsidP="00D740DC">
      <w:pPr>
        <w:spacing w:line="360" w:lineRule="auto"/>
        <w:jc w:val="both"/>
        <w:rPr>
          <w:rFonts w:eastAsia="Calibri" w:cs="Times New Roman"/>
          <w:b w:val="0"/>
          <w:szCs w:val="24"/>
        </w:rPr>
      </w:pPr>
      <w:r w:rsidRPr="000E2377">
        <w:rPr>
          <w:rFonts w:cs="Times New Roman"/>
          <w:b w:val="0"/>
          <w:szCs w:val="24"/>
          <w:lang w:val="en-GB"/>
        </w:rPr>
        <w:t xml:space="preserve">In previous </w:t>
      </w:r>
      <w:r w:rsidRPr="000E2377">
        <w:rPr>
          <w:rFonts w:cs="Times New Roman"/>
          <w:b w:val="0"/>
          <w:szCs w:val="24"/>
          <w:vertAlign w:val="superscript"/>
          <w:lang w:val="en-GB"/>
        </w:rPr>
        <w:t>29</w:t>
      </w:r>
      <w:r w:rsidRPr="000E2377">
        <w:rPr>
          <w:rFonts w:cs="Times New Roman"/>
          <w:b w:val="0"/>
          <w:szCs w:val="24"/>
          <w:lang w:val="en-GB"/>
        </w:rPr>
        <w:t xml:space="preserve">Si studies of borosilicate and </w:t>
      </w:r>
      <w:r>
        <w:rPr>
          <w:rFonts w:cs="Times New Roman"/>
          <w:b w:val="0"/>
          <w:szCs w:val="24"/>
          <w:lang w:val="en-GB"/>
        </w:rPr>
        <w:t>boroaluminosilicate glasses</w:t>
      </w:r>
      <w:r w:rsidRPr="000E2377">
        <w:rPr>
          <w:rFonts w:cs="Times New Roman"/>
          <w:b w:val="0"/>
          <w:szCs w:val="24"/>
          <w:lang w:val="en-GB"/>
        </w:rPr>
        <w:t xml:space="preserve">, the peaks for </w:t>
      </w:r>
      <w:r w:rsidRPr="000E2377">
        <w:rPr>
          <w:rFonts w:eastAsia="Calibri" w:cs="Times New Roman"/>
          <w:b w:val="0"/>
          <w:szCs w:val="24"/>
        </w:rPr>
        <w:t>Q</w:t>
      </w:r>
      <w:r w:rsidRPr="000E2377">
        <w:rPr>
          <w:rFonts w:eastAsia="Calibri" w:cs="Times New Roman"/>
          <w:b w:val="0"/>
          <w:szCs w:val="24"/>
          <w:vertAlign w:val="superscript"/>
        </w:rPr>
        <w:t>0</w:t>
      </w:r>
      <w:r w:rsidRPr="000E2377">
        <w:rPr>
          <w:rFonts w:eastAsia="Calibri" w:cs="Times New Roman"/>
          <w:b w:val="0"/>
          <w:szCs w:val="24"/>
        </w:rPr>
        <w:t>, Q</w:t>
      </w:r>
      <w:r w:rsidRPr="000E2377">
        <w:rPr>
          <w:rFonts w:eastAsia="Calibri" w:cs="Times New Roman"/>
          <w:b w:val="0"/>
          <w:szCs w:val="24"/>
          <w:vertAlign w:val="superscript"/>
        </w:rPr>
        <w:t>1</w:t>
      </w:r>
      <w:r w:rsidRPr="000E2377">
        <w:rPr>
          <w:rFonts w:eastAsia="Calibri" w:cs="Times New Roman"/>
          <w:b w:val="0"/>
          <w:szCs w:val="24"/>
        </w:rPr>
        <w:t>, Q</w:t>
      </w:r>
      <w:r w:rsidRPr="000E2377">
        <w:rPr>
          <w:rFonts w:eastAsia="Calibri" w:cs="Times New Roman"/>
          <w:b w:val="0"/>
          <w:szCs w:val="24"/>
          <w:vertAlign w:val="superscript"/>
        </w:rPr>
        <w:t>2</w:t>
      </w:r>
      <w:r w:rsidRPr="000E2377">
        <w:rPr>
          <w:rFonts w:eastAsia="Calibri" w:cs="Times New Roman"/>
          <w:b w:val="0"/>
          <w:szCs w:val="24"/>
        </w:rPr>
        <w:t>, Q</w:t>
      </w:r>
      <w:r w:rsidRPr="000E2377">
        <w:rPr>
          <w:rFonts w:eastAsia="Calibri" w:cs="Times New Roman"/>
          <w:b w:val="0"/>
          <w:szCs w:val="24"/>
          <w:vertAlign w:val="superscript"/>
        </w:rPr>
        <w:t xml:space="preserve">3 </w:t>
      </w:r>
      <w:r w:rsidRPr="000E2377">
        <w:rPr>
          <w:rFonts w:eastAsia="Calibri" w:cs="Times New Roman"/>
          <w:b w:val="0"/>
          <w:szCs w:val="24"/>
        </w:rPr>
        <w:t>and Q</w:t>
      </w:r>
      <w:r w:rsidRPr="000E2377">
        <w:rPr>
          <w:rFonts w:eastAsia="Calibri" w:cs="Times New Roman"/>
          <w:b w:val="0"/>
          <w:szCs w:val="24"/>
          <w:vertAlign w:val="superscript"/>
        </w:rPr>
        <w:t>4</w:t>
      </w:r>
      <w:r w:rsidRPr="000E2377">
        <w:rPr>
          <w:rFonts w:eastAsia="Calibri" w:cs="Times New Roman"/>
          <w:b w:val="0"/>
          <w:szCs w:val="24"/>
        </w:rPr>
        <w:t xml:space="preserve"> species</w:t>
      </w:r>
      <w:r w:rsidRPr="000E2377">
        <w:rPr>
          <w:rFonts w:cs="Times New Roman"/>
          <w:b w:val="0"/>
          <w:szCs w:val="24"/>
          <w:lang w:val="en-GB"/>
        </w:rPr>
        <w:t xml:space="preserve"> have been identified as occurring around </w:t>
      </w:r>
      <w:r w:rsidRPr="000E2377">
        <w:rPr>
          <w:rFonts w:eastAsia="Calibri" w:cs="Times New Roman"/>
          <w:b w:val="0"/>
          <w:szCs w:val="24"/>
        </w:rPr>
        <w:t xml:space="preserve">[-60 to -80 ppm], [-65 to – 85 ppm], [-75 to – 95 ppm], [-90 to – 100 ppm] and [-105 to – 120 ppm] </w:t>
      </w:r>
      <w:r w:rsidRPr="000E2377">
        <w:rPr>
          <w:rFonts w:cs="Times New Roman"/>
          <w:b w:val="0"/>
          <w:szCs w:val="24"/>
          <w:lang w:val="en-GB"/>
        </w:rPr>
        <w:t>respectively</w:t>
      </w:r>
      <w:r w:rsidRPr="000E2377">
        <w:rPr>
          <w:rFonts w:eastAsia="Calibri" w:cs="Times New Roman"/>
          <w:b w:val="0"/>
          <w:szCs w:val="24"/>
        </w:rPr>
        <w:t xml:space="preserve"> </w:t>
      </w:r>
      <w:r w:rsidRPr="000E2377">
        <w:rPr>
          <w:rFonts w:eastAsia="Calibri" w:cs="Times New Roman"/>
          <w:b w:val="0"/>
          <w:szCs w:val="24"/>
        </w:rPr>
        <w:fldChar w:fldCharType="begin" w:fldLock="1"/>
      </w:r>
      <w:r w:rsidRPr="000E2377">
        <w:rPr>
          <w:rFonts w:eastAsia="Calibri" w:cs="Times New Roman"/>
          <w:b w:val="0"/>
          <w:szCs w:val="24"/>
        </w:rPr>
        <w:instrText>ADDIN CSL_CITATION { "citationItems" : [ { "id" : "ITEM-1", "itemData" : { "DOI" : "10.1016/0022-3093(84)90020-6", "ISSN" : "00223093", "abstract" : "\"Magic-angle spinning\" NMR of sodium silicate glasses has shown that the introduction of Na2O into the SiO2 structure causes the progressive replacement of [SiO4] tetrahedra containing four bridging oxygens by [SiO4] tetrahedra with three bridging and one non-bridging oxygens. At 33.3 mol.% Na2O all [SiO4] are of the latter type and on further increase of Na2O content they are progressively replaced by [SiO4] with two non-bridging oxygens until complete replacement is achieved at 50 mol/% Na2O. The chemical shifts of both [29SiO4] types and also 23Na vary continuously with composition, i.e. there is no evidence for clustering of either species. The spectra of glasses of the disilicate and metasilicate compositions have been compared with those of the corresponding crystal phases and differences are observed between the sodium sites in both compositions and also for the silicon sites in the disilicate. This indicates that there are no \"crystal-like\" areas in the glass structure. In fact the increase in the 29Si resonance halfwidth on approaching a \"crystal\" composition suggests an increased range of SiOSi bond angles at these compositions. ?? 1984.", "author" : [ { "dropping-particle" : "", "family" : "Dupree", "given" : "R.", "non-dropping-particle" : "", "parse-names" : false, "suffix" : "" }, { "dropping-particle" : "", "family" : "Holland", "given" : "D.", "non-dropping-particle" : "", "parse-names" : false, "suffix" : "" }, { "dropping-particle" : "", "family" : "McMillan", "given" : "P. W.", "non-dropping-particle" : "", "parse-names" : false, "suffix" : "" }, { "dropping-particle" : "", "family" : "Pettifer", "given" : "R. F.", "non-dropping-particle" : "", "parse-names" : false, "suffix" : "" } ], "container-title" : "Journal of Non-Crystalline Solids", "id" : "ITEM-1", "issue" : "2-3", "issued" : { "date-parts" : [ [ "1984" ] ] }, "page" : "399-410", "title" : "The structure of soda-silica glasses: A mas NMR study", "type" : "article-journal", "volume" : "68" }, "uris" : [ "http://www.mendeley.com/documents/?uuid=d360e67c-5dc7-4696-b3d0-a7398eb360f4" ] } ], "mendeley" : { "formattedCitation" : "(Dupree, Holland, McMillan, &amp; Pettifer, 1984)", "manualFormatting" : "(Dupree et al., 1984;", "plainTextFormattedCitation" : "(Dupree, Holland, McMillan, &amp; Pettifer, 1984)", "previouslyFormattedCitation" : "(Dupree, Holland, McMillan, &amp; Pettifer, 1984)" }, "properties" : { "noteIndex" : 12 }, "schema" : "https://github.com/citation-style-language/schema/raw/master/csl-citation.json" }</w:instrText>
      </w:r>
      <w:r w:rsidRPr="000E2377">
        <w:rPr>
          <w:rFonts w:eastAsia="Calibri" w:cs="Times New Roman"/>
          <w:b w:val="0"/>
          <w:szCs w:val="24"/>
        </w:rPr>
        <w:fldChar w:fldCharType="separate"/>
      </w:r>
      <w:r w:rsidRPr="000E2377">
        <w:rPr>
          <w:rFonts w:eastAsia="Calibri" w:cs="Times New Roman"/>
          <w:b w:val="0"/>
          <w:noProof/>
          <w:szCs w:val="24"/>
        </w:rPr>
        <w:t>(Dupree et al., 1984;</w:t>
      </w:r>
      <w:r w:rsidRPr="000E2377">
        <w:rPr>
          <w:rFonts w:eastAsia="Calibri" w:cs="Times New Roman"/>
          <w:b w:val="0"/>
          <w:szCs w:val="24"/>
        </w:rPr>
        <w:fldChar w:fldCharType="end"/>
      </w:r>
      <w:r w:rsidRPr="000E2377">
        <w:rPr>
          <w:rFonts w:eastAsia="Calibri" w:cs="Times New Roman"/>
          <w:b w:val="0"/>
          <w:szCs w:val="24"/>
        </w:rPr>
        <w:t xml:space="preserve"> </w:t>
      </w:r>
      <w:r w:rsidRPr="000E2377">
        <w:rPr>
          <w:rFonts w:eastAsia="Calibri" w:cs="Times New Roman"/>
          <w:b w:val="0"/>
          <w:szCs w:val="24"/>
        </w:rPr>
        <w:fldChar w:fldCharType="begin" w:fldLock="1"/>
      </w:r>
      <w:r w:rsidRPr="000E2377">
        <w:rPr>
          <w:rFonts w:eastAsia="Calibri" w:cs="Times New Roman"/>
          <w:b w:val="0"/>
          <w:szCs w:val="24"/>
        </w:rPr>
        <w:instrText>ADDIN CSL_CITATION { "citationItems" : [ { "id" : "ITEM-1", "itemData" : { "DOI" : "10.1016/0022-3093(91)90400-Z", "ISSN" : "00223093", "PMID" : "14694", "abstract" : "Lithium, sodium and potassium silicate glasses containing 20-56 mol% alkali oxide were investigated by 29Si nuclear magnetic resonance (MAS-NMR) spectroscopy. In the spectrum of each sample, at least two to four distinct peaks were identified. The distributions of SiO4 structural units, Qn, where n is the number of bridging oxygen atoms bound to other Si atoms, were determined as a function of composition. The equilibrium constants of the reactions, 2Qn ??? Qn-1 + Qn+1 (n = 3, 2, 1), were determined. The reaction proceeds to the right direction as cationic power of alkali ion (Z/r) increases (Li+&gt;Na+&gt;K+) at the same alkali oxide concentration. The apparent equilibrium constants of the above reactions are discussed along with a proposed thermodynamic model. The 29Si chemical shifts assigned to each structural unit increase linearly with alkali oxide contents. The slope of these lines decreases as the numbers of attached bridging oxygen (BO) atoms decrease. The average chemical shifts also increase linearly with an increase of alkali content. A close relationship between the average chemical shifts and the theoretical optical basicity was observed. ?? 1991.", "author" : [ { "dropping-particle" : "", "family" : "Maekawa", "given" : "Hideki", "non-dropping-particle" : "", "parse-names" : false, "suffix" : "" }, { "dropping-particle" : "", "family" : "Maekawa", "given" : "Takashi", "non-dropping-particle" : "", "parse-names" : false, "suffix" : "" }, { "dropping-particle" : "", "family" : "Kawamura", "given" : "Katsuyuki", "non-dropping-particle" : "", "parse-names" : false, "suffix" : "" }, { "dropping-particle" : "", "family" : "Yokokawa", "given" : "Toshio", "non-dropping-particle" : "", "parse-names" : false, "suffix" : "" } ], "container-title" : "Journal of Non-Crystalline Solids", "id" : "ITEM-1", "issue" : "1", "issued" : { "date-parts" : [ [ "1991" ] ] }, "page" : "53-64", "title" : "The structural groups of alkali silicate glasses determined from 29Si MAS-NMR", "type" : "article-journal", "volume" : "127" }, "uris" : [ "http://www.mendeley.com/documents/?uuid=a385b65b-f01e-43cf-9aea-8dff11ad5d70" ] } ], "mendeley" : { "formattedCitation" : "(Maekawa, Maekawa, Kawamura, &amp; Yokokawa, 1991)", "manualFormatting" : "Maekawa et al., 1991", "plainTextFormattedCitation" : "(Maekawa, Maekawa, Kawamura, &amp; Yokokawa, 1991)", "previouslyFormattedCitation" : "(Maekawa, Maekawa, Kawamura, &amp; Yokokawa, 1991)" }, "properties" : { "noteIndex" : 12 }, "schema" : "https://github.com/citation-style-language/schema/raw/master/csl-citation.json" }</w:instrText>
      </w:r>
      <w:r w:rsidRPr="000E2377">
        <w:rPr>
          <w:rFonts w:eastAsia="Calibri" w:cs="Times New Roman"/>
          <w:b w:val="0"/>
          <w:szCs w:val="24"/>
        </w:rPr>
        <w:fldChar w:fldCharType="separate"/>
      </w:r>
      <w:r w:rsidRPr="000E2377">
        <w:rPr>
          <w:rFonts w:eastAsia="Calibri" w:cs="Times New Roman"/>
          <w:b w:val="0"/>
          <w:noProof/>
          <w:szCs w:val="24"/>
        </w:rPr>
        <w:t>Maekawa et al., 1991</w:t>
      </w:r>
      <w:r w:rsidRPr="000E2377">
        <w:rPr>
          <w:rFonts w:eastAsia="Calibri" w:cs="Times New Roman"/>
          <w:b w:val="0"/>
          <w:szCs w:val="24"/>
        </w:rPr>
        <w:fldChar w:fldCharType="end"/>
      </w:r>
      <w:r w:rsidRPr="000E2377">
        <w:rPr>
          <w:rFonts w:eastAsia="Calibri" w:cs="Times New Roman"/>
          <w:b w:val="0"/>
          <w:szCs w:val="24"/>
        </w:rPr>
        <w:t xml:space="preserve">; </w:t>
      </w:r>
      <w:r w:rsidRPr="000E2377">
        <w:rPr>
          <w:rFonts w:eastAsia="Calibri" w:cs="Times New Roman"/>
          <w:b w:val="0"/>
          <w:szCs w:val="24"/>
        </w:rPr>
        <w:fldChar w:fldCharType="begin" w:fldLock="1"/>
      </w:r>
      <w:r w:rsidRPr="000E2377">
        <w:rPr>
          <w:rFonts w:eastAsia="Calibri" w:cs="Times New Roman"/>
          <w:b w:val="0"/>
          <w:szCs w:val="24"/>
        </w:rPr>
        <w:instrText>ADDIN CSL_CITATION { "citationItems" : [ { "id" : "ITEM-1", "itemData" : { "DOI" : "10.1016/j.jnoncrysol.2007.10.005", "ISSN" : "00223093", "author" : [ { "dropping-particle" : "", "family" : "Ramkumar", "given" : "Jayshree", "non-dropping-particle" : "", "parse-names" : false, "suffix" : "" }, { "dropping-particle" : "", "family" : "Sudarsan", "given" : "V.", "non-dropping-particle" : "", "parse-names" : false, "suffix" : "" }, { "dropping-particle" : "", "family" : "Chandramouleeswaran", "given" : "S.", "non-dropping-particle" : "", "parse-names" : false, "suffix" : "" }, { "dropping-particle" : "", "family" : "Shrikhande", "given" : "V.K.", "non-dropping-particle" : "", "parse-names" : false, "suffix" : "" }, { "dropping-particle" : "", "family" : "Kothiyal", "given" : "G.P.", "non-dropping-particle" : "", "parse-names" : false, "suffix" : "" }, { "dropping-particle" : "", "family" : "Ravindran", "given" : "P.V.", "non-dropping-particle" : "", "parse-names" : false, "suffix" : "" }, { "dropping-particle" : "", "family" : "Kulshreshtha", "given" : "S.K.", "non-dropping-particle" : "", "parse-names" : false, "suffix" : "" }, { "dropping-particle" : "", "family" : "Mukherjee", "given" : "T.", "non-dropping-particle" : "", "parse-names" : false, "suffix" : "" } ], "container-title" : "Journal of Non-Crystalline Solids", "id" : "ITEM-1", "issue" : "15-16", "issued" : { "date-parts" : [ [ "2008", "3" ] ] }, "page" : "1591-1597", "title" : "Structural studies on boroaluminosilicate glasses", "type" : "article-journal", "volume" : "354" }, "uris" : [ "http://www.mendeley.com/documents/?uuid=fbc8bb9e-c05e-4d4f-81e0-a3b2abf5a5a8" ] } ], "mendeley" : { "formattedCitation" : "(Ramkumar et al., 2008)", "manualFormatting" : "Ramkumar et al., 2008)", "plainTextFormattedCitation" : "(Ramkumar et al., 2008)", "previouslyFormattedCitation" : "(Ramkumar et al., 2008)" }, "properties" : { "noteIndex" : 12 }, "schema" : "https://github.com/citation-style-language/schema/raw/master/csl-citation.json" }</w:instrText>
      </w:r>
      <w:r w:rsidRPr="000E2377">
        <w:rPr>
          <w:rFonts w:eastAsia="Calibri" w:cs="Times New Roman"/>
          <w:b w:val="0"/>
          <w:szCs w:val="24"/>
        </w:rPr>
        <w:fldChar w:fldCharType="separate"/>
      </w:r>
      <w:r w:rsidRPr="000E2377">
        <w:rPr>
          <w:rFonts w:eastAsia="Calibri" w:cs="Times New Roman"/>
          <w:b w:val="0"/>
          <w:noProof/>
          <w:szCs w:val="24"/>
        </w:rPr>
        <w:t>Ramkumar et al., 2008)</w:t>
      </w:r>
      <w:r w:rsidRPr="000E2377">
        <w:rPr>
          <w:rFonts w:eastAsia="Calibri" w:cs="Times New Roman"/>
          <w:b w:val="0"/>
          <w:szCs w:val="24"/>
        </w:rPr>
        <w:fldChar w:fldCharType="end"/>
      </w:r>
      <w:r w:rsidRPr="000E2377">
        <w:rPr>
          <w:rFonts w:eastAsia="Calibri" w:cs="Times New Roman"/>
          <w:b w:val="0"/>
          <w:szCs w:val="24"/>
        </w:rPr>
        <w:t>. Based on these identifications</w:t>
      </w:r>
      <w:r w:rsidR="00040067">
        <w:rPr>
          <w:rFonts w:eastAsia="Calibri" w:cs="Times New Roman"/>
          <w:b w:val="0"/>
          <w:szCs w:val="24"/>
        </w:rPr>
        <w:t>,</w:t>
      </w:r>
      <w:r w:rsidRPr="000E2377">
        <w:rPr>
          <w:rFonts w:eastAsia="Calibri" w:cs="Times New Roman"/>
          <w:b w:val="0"/>
          <w:szCs w:val="24"/>
        </w:rPr>
        <w:t xml:space="preserve"> Table 4.</w:t>
      </w:r>
      <w:r w:rsidR="000E761A">
        <w:rPr>
          <w:rFonts w:eastAsia="Calibri" w:cs="Times New Roman"/>
          <w:b w:val="0"/>
          <w:szCs w:val="24"/>
        </w:rPr>
        <w:t>2</w:t>
      </w:r>
      <w:r w:rsidRPr="000E2377">
        <w:rPr>
          <w:rFonts w:eastAsia="Calibri" w:cs="Times New Roman"/>
          <w:b w:val="0"/>
          <w:szCs w:val="24"/>
        </w:rPr>
        <w:t xml:space="preserve"> shows the summary of </w:t>
      </w:r>
      <w:proofErr w:type="spellStart"/>
      <w:r w:rsidRPr="000E2377">
        <w:rPr>
          <w:rFonts w:eastAsia="Calibri" w:cs="Times New Roman"/>
          <w:b w:val="0"/>
          <w:szCs w:val="24"/>
        </w:rPr>
        <w:t>Q</w:t>
      </w:r>
      <w:r w:rsidRPr="000E2377">
        <w:rPr>
          <w:rFonts w:eastAsia="Calibri" w:cs="Times New Roman"/>
          <w:b w:val="0"/>
          <w:szCs w:val="24"/>
          <w:vertAlign w:val="superscript"/>
        </w:rPr>
        <w:t>n</w:t>
      </w:r>
      <w:proofErr w:type="spellEnd"/>
      <w:r w:rsidRPr="000E2377">
        <w:rPr>
          <w:rFonts w:eastAsia="Calibri" w:cs="Times New Roman"/>
          <w:b w:val="0"/>
          <w:szCs w:val="24"/>
        </w:rPr>
        <w:t xml:space="preserve"> species that appears in the samples examined here.</w:t>
      </w:r>
    </w:p>
    <w:p w14:paraId="15C80E5B" w14:textId="1703A880" w:rsidR="00D740DC" w:rsidRDefault="00D740DC" w:rsidP="00D740DC">
      <w:pPr>
        <w:spacing w:line="360" w:lineRule="auto"/>
        <w:jc w:val="both"/>
        <w:rPr>
          <w:rFonts w:cs="Times New Roman"/>
          <w:b w:val="0"/>
          <w:color w:val="000000" w:themeColor="text1"/>
          <w:szCs w:val="24"/>
        </w:rPr>
      </w:pPr>
      <w:r>
        <w:rPr>
          <w:rFonts w:eastAsia="Calibri" w:cs="Times New Roman"/>
          <w:b w:val="0"/>
          <w:szCs w:val="24"/>
        </w:rPr>
        <w:t>Thus</w:t>
      </w:r>
      <w:r w:rsidRPr="000E2377">
        <w:rPr>
          <w:rFonts w:eastAsia="Calibri" w:cs="Times New Roman"/>
          <w:b w:val="0"/>
          <w:szCs w:val="24"/>
        </w:rPr>
        <w:t xml:space="preserve"> </w:t>
      </w:r>
      <w:r w:rsidRPr="000E2377">
        <w:rPr>
          <w:rFonts w:eastAsia="Calibri" w:cs="Times New Roman"/>
          <w:b w:val="0"/>
          <w:szCs w:val="24"/>
          <w:vertAlign w:val="superscript"/>
        </w:rPr>
        <w:t>29</w:t>
      </w:r>
      <w:r w:rsidRPr="000E2377">
        <w:rPr>
          <w:rFonts w:eastAsia="Calibri" w:cs="Times New Roman"/>
          <w:b w:val="0"/>
          <w:szCs w:val="24"/>
        </w:rPr>
        <w:t>Si NMR</w:t>
      </w:r>
      <w:r>
        <w:rPr>
          <w:rFonts w:eastAsia="Calibri" w:cs="Times New Roman"/>
          <w:b w:val="0"/>
          <w:szCs w:val="24"/>
        </w:rPr>
        <w:t xml:space="preserve"> indicates that</w:t>
      </w:r>
      <w:r w:rsidRPr="000E2377">
        <w:rPr>
          <w:rFonts w:eastAsia="Calibri" w:cs="Times New Roman"/>
          <w:b w:val="0"/>
          <w:szCs w:val="24"/>
        </w:rPr>
        <w:t xml:space="preserve"> only Q</w:t>
      </w:r>
      <w:r w:rsidRPr="000E2377">
        <w:rPr>
          <w:rFonts w:eastAsia="Calibri" w:cs="Times New Roman"/>
          <w:b w:val="0"/>
          <w:szCs w:val="24"/>
          <w:vertAlign w:val="superscript"/>
        </w:rPr>
        <w:t>4</w:t>
      </w:r>
      <w:r w:rsidRPr="000E2377">
        <w:rPr>
          <w:rFonts w:eastAsia="Calibri" w:cs="Times New Roman"/>
          <w:b w:val="0"/>
          <w:szCs w:val="24"/>
        </w:rPr>
        <w:t xml:space="preserve"> and Q</w:t>
      </w:r>
      <w:r w:rsidRPr="000E2377">
        <w:rPr>
          <w:rFonts w:eastAsia="Calibri" w:cs="Times New Roman"/>
          <w:b w:val="0"/>
          <w:szCs w:val="24"/>
          <w:vertAlign w:val="superscript"/>
        </w:rPr>
        <w:t>3</w:t>
      </w:r>
      <w:r w:rsidRPr="000E2377">
        <w:rPr>
          <w:rFonts w:eastAsia="Calibri" w:cs="Times New Roman"/>
          <w:b w:val="0"/>
          <w:szCs w:val="24"/>
        </w:rPr>
        <w:t xml:space="preserve"> species are present in </w:t>
      </w:r>
      <w:r>
        <w:rPr>
          <w:rFonts w:eastAsia="Calibri" w:cs="Times New Roman"/>
          <w:b w:val="0"/>
          <w:szCs w:val="24"/>
        </w:rPr>
        <w:t xml:space="preserve">the </w:t>
      </w:r>
      <w:r w:rsidRPr="000E2377">
        <w:rPr>
          <w:rFonts w:eastAsia="Calibri" w:cs="Times New Roman"/>
          <w:b w:val="0"/>
          <w:szCs w:val="24"/>
        </w:rPr>
        <w:t>glass</w:t>
      </w:r>
      <w:r>
        <w:rPr>
          <w:rFonts w:eastAsia="Calibri" w:cs="Times New Roman"/>
          <w:b w:val="0"/>
          <w:szCs w:val="24"/>
        </w:rPr>
        <w:t>es examined</w:t>
      </w:r>
      <w:r w:rsidRPr="000E2377">
        <w:rPr>
          <w:rFonts w:eastAsia="Calibri" w:cs="Times New Roman"/>
          <w:b w:val="0"/>
          <w:szCs w:val="24"/>
        </w:rPr>
        <w:t>, with no Q</w:t>
      </w:r>
      <w:r w:rsidRPr="000E2377">
        <w:rPr>
          <w:rFonts w:eastAsia="Calibri" w:cs="Times New Roman"/>
          <w:b w:val="0"/>
          <w:szCs w:val="24"/>
          <w:vertAlign w:val="superscript"/>
        </w:rPr>
        <w:t>2</w:t>
      </w:r>
      <w:r w:rsidRPr="000E2377">
        <w:rPr>
          <w:rFonts w:eastAsia="Calibri" w:cs="Times New Roman"/>
          <w:b w:val="0"/>
          <w:szCs w:val="24"/>
        </w:rPr>
        <w:t>, Q</w:t>
      </w:r>
      <w:r w:rsidRPr="000E2377">
        <w:rPr>
          <w:rFonts w:eastAsia="Calibri" w:cs="Times New Roman"/>
          <w:b w:val="0"/>
          <w:szCs w:val="24"/>
          <w:vertAlign w:val="superscript"/>
        </w:rPr>
        <w:t xml:space="preserve">1 </w:t>
      </w:r>
      <w:r w:rsidRPr="000E2377">
        <w:rPr>
          <w:rFonts w:eastAsia="Calibri" w:cs="Times New Roman"/>
          <w:b w:val="0"/>
          <w:szCs w:val="24"/>
        </w:rPr>
        <w:t>and Q</w:t>
      </w:r>
      <w:r w:rsidRPr="000E2377">
        <w:rPr>
          <w:rFonts w:eastAsia="Calibri" w:cs="Times New Roman"/>
          <w:b w:val="0"/>
          <w:szCs w:val="24"/>
          <w:vertAlign w:val="superscript"/>
        </w:rPr>
        <w:t>0</w:t>
      </w:r>
      <w:r w:rsidRPr="000E2377">
        <w:rPr>
          <w:rFonts w:eastAsia="Calibri" w:cs="Times New Roman"/>
          <w:b w:val="0"/>
          <w:szCs w:val="24"/>
        </w:rPr>
        <w:t xml:space="preserve"> as there was no shoulder present at their chemical shift</w:t>
      </w:r>
      <w:r>
        <w:rPr>
          <w:rFonts w:eastAsia="Calibri" w:cs="Times New Roman"/>
          <w:b w:val="0"/>
          <w:szCs w:val="24"/>
        </w:rPr>
        <w:t>s</w:t>
      </w:r>
      <w:r w:rsidRPr="000E2377">
        <w:rPr>
          <w:rFonts w:eastAsia="Calibri" w:cs="Times New Roman"/>
          <w:b w:val="0"/>
          <w:szCs w:val="24"/>
        </w:rPr>
        <w:t xml:space="preserve">. 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eastAsia="Calibri" w:cs="Times New Roman"/>
          <w:b w:val="0"/>
          <w:szCs w:val="24"/>
          <w:vertAlign w:val="subscript"/>
        </w:rPr>
        <w:t xml:space="preserve"> </w:t>
      </w:r>
      <w:r w:rsidRPr="000E2377">
        <w:rPr>
          <w:rFonts w:eastAsia="Calibri" w:cs="Times New Roman"/>
          <w:b w:val="0"/>
          <w:szCs w:val="24"/>
        </w:rPr>
        <w:t>glass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78.2</w:t>
      </w:r>
      <w:r w:rsidRPr="000E2377">
        <w:rPr>
          <w:rFonts w:eastAsia="Times New Roman" w:cs="Times New Roman"/>
          <w:b w:val="0"/>
          <w:color w:val="000000"/>
          <w:szCs w:val="24"/>
          <w:lang w:eastAsia="en-MY"/>
        </w:rPr>
        <w:t xml:space="preserve"> </w:t>
      </w:r>
      <w:r w:rsidRPr="000E2377">
        <w:rPr>
          <w:rFonts w:eastAsia="Calibri" w:cs="Times New Roman"/>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73.2</w:t>
      </w:r>
      <w:r w:rsidRPr="000E2377">
        <w:rPr>
          <w:rFonts w:eastAsia="Calibri" w:cs="Times New Roman"/>
          <w:b w:val="0"/>
          <w:szCs w:val="24"/>
        </w:rPr>
        <w:t>) with increasing alumina, the chemical shift moves to higher ppm which indicates a decrease in Q</w:t>
      </w:r>
      <w:r w:rsidRPr="000E2377">
        <w:rPr>
          <w:rFonts w:eastAsia="Calibri" w:cs="Times New Roman"/>
          <w:b w:val="0"/>
          <w:szCs w:val="24"/>
          <w:vertAlign w:val="superscript"/>
        </w:rPr>
        <w:t>4</w:t>
      </w:r>
      <w:r w:rsidRPr="000E2377">
        <w:rPr>
          <w:rFonts w:eastAsia="Calibri" w:cs="Times New Roman"/>
          <w:b w:val="0"/>
          <w:szCs w:val="24"/>
        </w:rPr>
        <w:t>. However</w:t>
      </w:r>
      <w:r w:rsidR="000707B0">
        <w:rPr>
          <w:rFonts w:eastAsia="Calibri" w:cs="Times New Roman"/>
          <w:b w:val="0"/>
          <w:szCs w:val="24"/>
        </w:rPr>
        <w:t>,</w:t>
      </w:r>
      <w:r w:rsidRPr="000E2377">
        <w:rPr>
          <w:rFonts w:eastAsia="Calibri" w:cs="Times New Roman"/>
          <w:b w:val="0"/>
          <w:szCs w:val="24"/>
        </w:rPr>
        <w:t xml:space="preserve"> the structures must be similar for both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78.2</w:t>
      </w:r>
      <w:r w:rsidRPr="000E2377">
        <w:rPr>
          <w:rFonts w:eastAsia="Times New Roman" w:cs="Times New Roman"/>
          <w:b w:val="0"/>
          <w:color w:val="000000"/>
          <w:szCs w:val="24"/>
          <w:lang w:eastAsia="en-MY"/>
        </w:rPr>
        <w:t xml:space="preserve"> </w:t>
      </w:r>
      <w:r w:rsidRPr="000E2377">
        <w:rPr>
          <w:rFonts w:eastAsia="Calibri" w:cs="Times New Roman"/>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73.2 </w:t>
      </w:r>
      <w:r w:rsidRPr="000E2377">
        <w:rPr>
          <w:rFonts w:eastAsia="Calibri" w:cs="Times New Roman"/>
          <w:b w:val="0"/>
          <w:szCs w:val="24"/>
        </w:rPr>
        <w:t>glasses, as there is only a 1% difference in Q</w:t>
      </w:r>
      <w:r w:rsidRPr="000E2377">
        <w:rPr>
          <w:rFonts w:eastAsia="Calibri" w:cs="Times New Roman"/>
          <w:b w:val="0"/>
          <w:szCs w:val="24"/>
          <w:vertAlign w:val="superscript"/>
        </w:rPr>
        <w:t xml:space="preserve">4 </w:t>
      </w:r>
      <w:r w:rsidRPr="000E2377">
        <w:rPr>
          <w:rFonts w:eastAsia="Calibri" w:cs="Times New Roman"/>
          <w:b w:val="0"/>
          <w:szCs w:val="24"/>
        </w:rPr>
        <w:t xml:space="preserve">between </w:t>
      </w:r>
      <w:r w:rsidRPr="000E2377">
        <w:rPr>
          <w:rFonts w:eastAsia="Times New Roman" w:cs="Times New Roman"/>
          <w:b w:val="0"/>
          <w:color w:val="000000"/>
          <w:szCs w:val="24"/>
          <w:lang w:eastAsia="en-MY"/>
        </w:rPr>
        <w:lastRenderedPageBreak/>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78.2</w:t>
      </w:r>
      <w:r w:rsidRPr="000E2377">
        <w:rPr>
          <w:rFonts w:eastAsia="Times New Roman" w:cs="Times New Roman"/>
          <w:b w:val="0"/>
          <w:color w:val="000000"/>
          <w:szCs w:val="24"/>
          <w:lang w:eastAsia="en-MY"/>
        </w:rPr>
        <w:t xml:space="preserve"> </w:t>
      </w:r>
      <w:r w:rsidRPr="000E2377">
        <w:rPr>
          <w:rFonts w:eastAsia="Calibri" w:cs="Times New Roman"/>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73.2</w:t>
      </w:r>
      <w:r w:rsidRPr="000E2377">
        <w:rPr>
          <w:rFonts w:eastAsia="Calibri" w:cs="Times New Roman"/>
          <w:b w:val="0"/>
          <w:szCs w:val="24"/>
        </w:rPr>
        <w:t>. Meanwhile</w:t>
      </w:r>
      <w:r w:rsidR="000707B0">
        <w:rPr>
          <w:rFonts w:eastAsia="Calibri" w:cs="Times New Roman"/>
          <w:b w:val="0"/>
          <w:szCs w:val="24"/>
        </w:rPr>
        <w:t>,</w:t>
      </w:r>
      <w:r w:rsidRPr="000E2377">
        <w:rPr>
          <w:rFonts w:eastAsia="Calibri" w:cs="Times New Roman"/>
          <w:b w:val="0"/>
          <w:szCs w:val="24"/>
        </w:rPr>
        <w:t xml:space="preserve"> for glass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r w:rsidRPr="000E2377">
        <w:rPr>
          <w:rFonts w:eastAsia="Calibri" w:cs="Times New Roman"/>
          <w:b w:val="0"/>
          <w:szCs w:val="24"/>
        </w:rPr>
        <w:t xml:space="preserve">, </w:t>
      </w:r>
      <w:r>
        <w:rPr>
          <w:rFonts w:eastAsia="Calibri" w:cs="Times New Roman"/>
          <w:b w:val="0"/>
          <w:szCs w:val="24"/>
        </w:rPr>
        <w:t>where the only</w:t>
      </w:r>
      <w:r w:rsidRPr="000E2377">
        <w:rPr>
          <w:rFonts w:eastAsia="Calibri" w:cs="Times New Roman"/>
          <w:b w:val="0"/>
          <w:szCs w:val="24"/>
        </w:rPr>
        <w:t xml:space="preserve"> alumina present</w:t>
      </w:r>
      <w:r>
        <w:rPr>
          <w:rFonts w:eastAsia="Calibri" w:cs="Times New Roman"/>
          <w:b w:val="0"/>
          <w:szCs w:val="24"/>
        </w:rPr>
        <w:t xml:space="preserve"> is due to corrosion of the alumina crucible during melting, t</w:t>
      </w:r>
      <w:r w:rsidRPr="000E2377">
        <w:rPr>
          <w:rFonts w:eastAsia="Calibri" w:cs="Times New Roman"/>
          <w:b w:val="0"/>
          <w:szCs w:val="24"/>
        </w:rPr>
        <w:t>here is 80% Q</w:t>
      </w:r>
      <w:r w:rsidRPr="000E2377">
        <w:rPr>
          <w:rFonts w:eastAsia="Calibri" w:cs="Times New Roman"/>
          <w:b w:val="0"/>
          <w:szCs w:val="24"/>
          <w:vertAlign w:val="superscript"/>
        </w:rPr>
        <w:t>4</w:t>
      </w:r>
      <w:r w:rsidRPr="000E2377">
        <w:rPr>
          <w:rFonts w:eastAsia="Calibri" w:cs="Times New Roman"/>
          <w:b w:val="0"/>
          <w:szCs w:val="24"/>
        </w:rPr>
        <w:t xml:space="preserve"> </w:t>
      </w:r>
      <w:r>
        <w:rPr>
          <w:rFonts w:eastAsia="Calibri" w:cs="Times New Roman"/>
          <w:b w:val="0"/>
          <w:szCs w:val="24"/>
        </w:rPr>
        <w:t>present</w:t>
      </w:r>
      <w:r>
        <w:rPr>
          <w:rFonts w:eastAsia="Times New Roman" w:cs="Times New Roman"/>
          <w:color w:val="000000"/>
          <w:sz w:val="16"/>
          <w:szCs w:val="16"/>
          <w:vertAlign w:val="subscript"/>
          <w:lang w:eastAsia="en-MY"/>
        </w:rPr>
        <w:t xml:space="preserve"> </w:t>
      </w:r>
      <w:r w:rsidRPr="000E2377">
        <w:rPr>
          <w:rFonts w:eastAsia="Calibri" w:cs="Times New Roman"/>
          <w:b w:val="0"/>
          <w:szCs w:val="24"/>
        </w:rPr>
        <w:t xml:space="preserve">compared to 44% in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Calibri" w:cs="Times New Roman"/>
          <w:b w:val="0"/>
          <w:szCs w:val="24"/>
        </w:rPr>
        <w:t>. The high Q</w:t>
      </w:r>
      <w:r w:rsidRPr="000E2377">
        <w:rPr>
          <w:rFonts w:eastAsia="Calibri" w:cs="Times New Roman"/>
          <w:b w:val="0"/>
          <w:szCs w:val="24"/>
          <w:vertAlign w:val="superscript"/>
        </w:rPr>
        <w:t>4</w:t>
      </w:r>
      <w:r w:rsidRPr="000E2377">
        <w:rPr>
          <w:rFonts w:eastAsia="Calibri" w:cs="Times New Roman"/>
          <w:b w:val="0"/>
          <w:szCs w:val="24"/>
        </w:rPr>
        <w:t xml:space="preserve"> in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r w:rsidRPr="000E2377">
        <w:rPr>
          <w:rFonts w:eastAsia="Calibri" w:cs="Times New Roman"/>
          <w:b w:val="0"/>
          <w:szCs w:val="24"/>
        </w:rPr>
        <w:t xml:space="preserve"> might also be due to the different </w:t>
      </w:r>
      <w:r w:rsidRPr="000E2377">
        <w:rPr>
          <w:rFonts w:cs="Times New Roman"/>
          <w:b w:val="0"/>
          <w:szCs w:val="24"/>
        </w:rPr>
        <w:t xml:space="preserve">silica contents in these </w:t>
      </w:r>
      <w:r w:rsidR="00040067">
        <w:rPr>
          <w:rFonts w:cs="Times New Roman"/>
          <w:b w:val="0"/>
          <w:szCs w:val="24"/>
        </w:rPr>
        <w:t>two</w:t>
      </w:r>
      <w:r w:rsidR="00040067" w:rsidRPr="000E2377">
        <w:rPr>
          <w:rFonts w:cs="Times New Roman"/>
          <w:b w:val="0"/>
          <w:szCs w:val="24"/>
        </w:rPr>
        <w:t xml:space="preserve"> </w:t>
      </w:r>
      <w:r w:rsidRPr="000E2377">
        <w:rPr>
          <w:rFonts w:cs="Times New Roman"/>
          <w:b w:val="0"/>
          <w:szCs w:val="24"/>
        </w:rPr>
        <w:t xml:space="preserve">glasses;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r w:rsidRPr="000E2377">
        <w:rPr>
          <w:rFonts w:cs="Times New Roman"/>
          <w:b w:val="0"/>
          <w:szCs w:val="24"/>
        </w:rPr>
        <w:t xml:space="preserve"> contains 70 mol% silica </w:t>
      </w:r>
      <w:r w:rsidR="00040067" w:rsidRPr="000E2377">
        <w:rPr>
          <w:rFonts w:cs="Times New Roman"/>
          <w:b w:val="0"/>
          <w:szCs w:val="24"/>
        </w:rPr>
        <w:t>whil</w:t>
      </w:r>
      <w:r w:rsidR="00040067">
        <w:rPr>
          <w:rFonts w:cs="Times New Roman"/>
          <w:b w:val="0"/>
          <w:szCs w:val="24"/>
        </w:rPr>
        <w:t>e</w:t>
      </w:r>
      <w:r w:rsidR="00040067" w:rsidRPr="000E2377">
        <w:rPr>
          <w:rFonts w:cs="Times New Roman"/>
          <w:b w:val="0"/>
          <w:szCs w:val="24"/>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szCs w:val="24"/>
        </w:rPr>
        <w:t xml:space="preserve"> contains 60 mol% silica</w:t>
      </w:r>
      <w:r>
        <w:rPr>
          <w:rFonts w:cs="Times New Roman"/>
          <w:b w:val="0"/>
          <w:szCs w:val="24"/>
        </w:rPr>
        <w:t>,</w:t>
      </w:r>
      <w:r w:rsidRPr="000E2377">
        <w:rPr>
          <w:rFonts w:cs="Times New Roman"/>
          <w:b w:val="0"/>
          <w:szCs w:val="24"/>
        </w:rPr>
        <w:t xml:space="preserve"> but the amount of calcium is fixed </w:t>
      </w:r>
      <w:r>
        <w:rPr>
          <w:rFonts w:cs="Times New Roman"/>
          <w:b w:val="0"/>
          <w:szCs w:val="24"/>
        </w:rPr>
        <w:t>at</w:t>
      </w:r>
      <w:r w:rsidRPr="000E2377">
        <w:rPr>
          <w:rFonts w:cs="Times New Roman"/>
          <w:b w:val="0"/>
          <w:szCs w:val="24"/>
        </w:rPr>
        <w:t xml:space="preserve"> 5 mol% for both compositions. NMR spectra also show that </w:t>
      </w:r>
      <w:r>
        <w:rPr>
          <w:rFonts w:cs="Times New Roman"/>
          <w:b w:val="0"/>
          <w:szCs w:val="24"/>
        </w:rPr>
        <w:t>the main</w:t>
      </w:r>
      <w:r w:rsidRPr="000E2377">
        <w:rPr>
          <w:rFonts w:cs="Times New Roman"/>
          <w:b w:val="0"/>
          <w:szCs w:val="24"/>
        </w:rPr>
        <w:t xml:space="preserve"> peak o</w:t>
      </w:r>
      <w:r>
        <w:rPr>
          <w:rFonts w:cs="Times New Roman"/>
          <w:b w:val="0"/>
          <w:szCs w:val="24"/>
        </w:rPr>
        <w:t>bserved for</w:t>
      </w:r>
      <w:r w:rsidRPr="000E2377">
        <w:rPr>
          <w:rFonts w:cs="Times New Roman"/>
          <w:b w:val="0"/>
          <w:szCs w:val="24"/>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szCs w:val="24"/>
        </w:rPr>
        <w:t xml:space="preserve"> </w:t>
      </w:r>
      <w:r>
        <w:rPr>
          <w:rFonts w:cs="Times New Roman"/>
          <w:b w:val="0"/>
          <w:szCs w:val="24"/>
        </w:rPr>
        <w:t xml:space="preserve">glass </w:t>
      </w:r>
      <w:r w:rsidRPr="000E2377">
        <w:rPr>
          <w:rFonts w:cs="Times New Roman"/>
          <w:b w:val="0"/>
          <w:szCs w:val="24"/>
        </w:rPr>
        <w:t>(balance</w:t>
      </w:r>
      <w:r>
        <w:rPr>
          <w:rFonts w:cs="Times New Roman"/>
          <w:b w:val="0"/>
          <w:szCs w:val="24"/>
        </w:rPr>
        <w:t>d</w:t>
      </w:r>
      <w:r w:rsidRPr="000E2377">
        <w:rPr>
          <w:rFonts w:cs="Times New Roman"/>
          <w:b w:val="0"/>
          <w:szCs w:val="24"/>
        </w:rPr>
        <w:t xml:space="preserve"> alumina</w:t>
      </w:r>
      <w:r>
        <w:rPr>
          <w:rFonts w:cs="Times New Roman"/>
          <w:b w:val="0"/>
          <w:szCs w:val="24"/>
        </w:rPr>
        <w:t xml:space="preserve"> and boron</w:t>
      </w:r>
      <w:r w:rsidRPr="000E2377">
        <w:rPr>
          <w:rFonts w:cs="Times New Roman"/>
          <w:b w:val="0"/>
          <w:szCs w:val="24"/>
        </w:rPr>
        <w:t xml:space="preserve"> content</w:t>
      </w:r>
      <w:r>
        <w:rPr>
          <w:rFonts w:cs="Times New Roman"/>
          <w:b w:val="0"/>
          <w:szCs w:val="24"/>
        </w:rPr>
        <w:t>s</w:t>
      </w:r>
      <w:r w:rsidRPr="000E2377">
        <w:rPr>
          <w:rFonts w:cs="Times New Roman"/>
          <w:b w:val="0"/>
          <w:szCs w:val="24"/>
        </w:rPr>
        <w:t xml:space="preserve">) </w:t>
      </w:r>
      <w:r>
        <w:rPr>
          <w:rFonts w:cs="Times New Roman"/>
          <w:b w:val="0"/>
          <w:szCs w:val="24"/>
        </w:rPr>
        <w:t>is at</w:t>
      </w:r>
      <w:r w:rsidRPr="000E2377">
        <w:rPr>
          <w:rFonts w:cs="Times New Roman"/>
          <w:b w:val="0"/>
          <w:szCs w:val="24"/>
        </w:rPr>
        <w:t xml:space="preserve"> high</w:t>
      </w:r>
      <w:r>
        <w:rPr>
          <w:rFonts w:cs="Times New Roman"/>
          <w:b w:val="0"/>
          <w:szCs w:val="24"/>
        </w:rPr>
        <w:t>er</w:t>
      </w:r>
      <w:r w:rsidRPr="000E2377">
        <w:rPr>
          <w:rFonts w:cs="Times New Roman"/>
          <w:b w:val="0"/>
          <w:szCs w:val="24"/>
        </w:rPr>
        <w:t xml:space="preserve"> ppm </w:t>
      </w:r>
      <w:r>
        <w:rPr>
          <w:rFonts w:cs="Times New Roman"/>
          <w:b w:val="0"/>
          <w:szCs w:val="24"/>
        </w:rPr>
        <w:t xml:space="preserve">values </w:t>
      </w:r>
      <w:r w:rsidRPr="000E2377">
        <w:rPr>
          <w:rFonts w:cs="Times New Roman"/>
          <w:b w:val="0"/>
          <w:szCs w:val="24"/>
        </w:rPr>
        <w:t xml:space="preserve">compared to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r w:rsidRPr="000E2377">
        <w:rPr>
          <w:rFonts w:cs="Times New Roman"/>
          <w:b w:val="0"/>
          <w:szCs w:val="24"/>
        </w:rPr>
        <w:t xml:space="preserve"> (glass with only boron) glass. </w:t>
      </w:r>
      <w:r>
        <w:rPr>
          <w:rFonts w:cs="Times New Roman"/>
          <w:b w:val="0"/>
          <w:szCs w:val="24"/>
        </w:rPr>
        <w:t>H</w:t>
      </w:r>
      <w:r w:rsidRPr="000E2377">
        <w:rPr>
          <w:rFonts w:cs="Times New Roman"/>
          <w:b w:val="0"/>
          <w:szCs w:val="24"/>
        </w:rPr>
        <w:t>igh</w:t>
      </w:r>
      <w:r>
        <w:rPr>
          <w:rFonts w:cs="Times New Roman"/>
          <w:b w:val="0"/>
          <w:szCs w:val="24"/>
        </w:rPr>
        <w:t>er</w:t>
      </w:r>
      <w:r w:rsidRPr="000E2377">
        <w:rPr>
          <w:rFonts w:cs="Times New Roman"/>
          <w:b w:val="0"/>
          <w:szCs w:val="24"/>
        </w:rPr>
        <w:t xml:space="preserve"> ppm </w:t>
      </w:r>
      <w:r>
        <w:rPr>
          <w:rFonts w:cs="Times New Roman"/>
          <w:b w:val="0"/>
          <w:szCs w:val="24"/>
        </w:rPr>
        <w:t>in the</w:t>
      </w:r>
      <w:r w:rsidRPr="000E2377">
        <w:rPr>
          <w:rFonts w:cs="Times New Roman"/>
          <w:b w:val="0"/>
          <w:szCs w:val="24"/>
        </w:rPr>
        <w:t xml:space="preserve"> NMR spectra means that the glass structure is </w:t>
      </w:r>
      <w:r>
        <w:rPr>
          <w:rFonts w:cs="Times New Roman"/>
          <w:b w:val="0"/>
          <w:szCs w:val="24"/>
        </w:rPr>
        <w:t xml:space="preserve">more </w:t>
      </w:r>
      <w:r w:rsidRPr="000E2377">
        <w:rPr>
          <w:rFonts w:cs="Times New Roman"/>
          <w:b w:val="0"/>
          <w:szCs w:val="24"/>
        </w:rPr>
        <w:t xml:space="preserve">depolymerised </w:t>
      </w:r>
      <w:r>
        <w:rPr>
          <w:rFonts w:cs="Times New Roman"/>
          <w:b w:val="0"/>
          <w:szCs w:val="24"/>
        </w:rPr>
        <w:t>which means that</w:t>
      </w:r>
      <w:r w:rsidRPr="000E2377">
        <w:rPr>
          <w:rFonts w:cs="Times New Roman"/>
          <w:b w:val="0"/>
          <w:szCs w:val="24"/>
        </w:rPr>
        <w:t xml:space="preserve"> Q</w:t>
      </w:r>
      <w:r w:rsidRPr="000E2377">
        <w:rPr>
          <w:rFonts w:cs="Times New Roman"/>
          <w:b w:val="0"/>
          <w:szCs w:val="24"/>
          <w:vertAlign w:val="superscript"/>
        </w:rPr>
        <w:t>4</w:t>
      </w:r>
      <w:r>
        <w:rPr>
          <w:rFonts w:cs="Times New Roman"/>
          <w:b w:val="0"/>
          <w:szCs w:val="24"/>
        </w:rPr>
        <w:t xml:space="preserve"> will be reduced</w:t>
      </w:r>
      <w:r w:rsidRPr="000E2377">
        <w:rPr>
          <w:rFonts w:cs="Times New Roman"/>
          <w:b w:val="0"/>
          <w:szCs w:val="24"/>
        </w:rPr>
        <w:t xml:space="preserve">. </w:t>
      </w:r>
      <w:r w:rsidRPr="000E2377">
        <w:rPr>
          <w:rFonts w:cs="Times New Roman"/>
          <w:b w:val="0"/>
          <w:color w:val="000000" w:themeColor="text1"/>
          <w:szCs w:val="24"/>
        </w:rPr>
        <w:t xml:space="preserve">Meanwhile for glass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color w:val="000000" w:themeColor="text1"/>
          <w:szCs w:val="24"/>
        </w:rPr>
        <w:t xml:space="preserve"> Q</w:t>
      </w:r>
      <w:r w:rsidRPr="000E2377">
        <w:rPr>
          <w:rFonts w:cs="Times New Roman"/>
          <w:b w:val="0"/>
          <w:color w:val="000000" w:themeColor="text1"/>
          <w:szCs w:val="24"/>
          <w:vertAlign w:val="superscript"/>
        </w:rPr>
        <w:t>4</w:t>
      </w:r>
      <w:r w:rsidRPr="000E2377">
        <w:rPr>
          <w:rFonts w:cs="Times New Roman"/>
          <w:b w:val="0"/>
          <w:color w:val="000000" w:themeColor="text1"/>
          <w:szCs w:val="24"/>
          <w:vertAlign w:val="subscript"/>
        </w:rPr>
        <w:t xml:space="preserve"> </w:t>
      </w:r>
      <w:r w:rsidRPr="000E2377">
        <w:rPr>
          <w:rFonts w:cs="Times New Roman"/>
          <w:b w:val="0"/>
          <w:color w:val="000000" w:themeColor="text1"/>
          <w:szCs w:val="24"/>
        </w:rPr>
        <w:t xml:space="preserve">shows </w:t>
      </w:r>
      <w:r>
        <w:rPr>
          <w:rFonts w:cs="Times New Roman"/>
          <w:b w:val="0"/>
          <w:color w:val="000000" w:themeColor="text1"/>
          <w:szCs w:val="24"/>
        </w:rPr>
        <w:t xml:space="preserve">a </w:t>
      </w:r>
      <w:r w:rsidRPr="000E2377">
        <w:rPr>
          <w:rFonts w:cs="Times New Roman"/>
          <w:b w:val="0"/>
          <w:color w:val="000000" w:themeColor="text1"/>
          <w:szCs w:val="24"/>
        </w:rPr>
        <w:t xml:space="preserve">very high value </w:t>
      </w:r>
      <w:r>
        <w:rPr>
          <w:rFonts w:cs="Times New Roman"/>
          <w:b w:val="0"/>
          <w:color w:val="000000" w:themeColor="text1"/>
          <w:szCs w:val="24"/>
        </w:rPr>
        <w:t>of</w:t>
      </w:r>
      <w:r w:rsidRPr="000E2377">
        <w:rPr>
          <w:rFonts w:cs="Times New Roman"/>
          <w:b w:val="0"/>
          <w:color w:val="000000" w:themeColor="text1"/>
          <w:szCs w:val="24"/>
        </w:rPr>
        <w:t xml:space="preserve"> 86% compared to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color w:val="000000" w:themeColor="text1"/>
          <w:szCs w:val="24"/>
        </w:rPr>
        <w:t xml:space="preserve"> with only 47% </w:t>
      </w:r>
      <w:r w:rsidRPr="00724644">
        <w:rPr>
          <w:rFonts w:cs="Times New Roman"/>
          <w:b w:val="0"/>
          <w:color w:val="000000" w:themeColor="text1"/>
          <w:sz w:val="22"/>
          <w:szCs w:val="24"/>
        </w:rPr>
        <w:t>Q</w:t>
      </w:r>
      <w:r w:rsidRPr="00724644">
        <w:rPr>
          <w:rFonts w:cs="Times New Roman"/>
          <w:b w:val="0"/>
          <w:color w:val="000000" w:themeColor="text1"/>
          <w:sz w:val="22"/>
          <w:szCs w:val="24"/>
          <w:vertAlign w:val="superscript"/>
        </w:rPr>
        <w:t>4</w:t>
      </w:r>
      <w:r>
        <w:rPr>
          <w:rFonts w:cs="Times New Roman"/>
          <w:b w:val="0"/>
          <w:color w:val="000000" w:themeColor="text1"/>
          <w:sz w:val="22"/>
          <w:szCs w:val="24"/>
        </w:rPr>
        <w:t xml:space="preserve"> </w:t>
      </w:r>
      <w:r w:rsidRPr="00724644">
        <w:rPr>
          <w:rFonts w:cs="Times New Roman"/>
          <w:b w:val="0"/>
          <w:color w:val="000000" w:themeColor="text1"/>
          <w:sz w:val="22"/>
          <w:szCs w:val="24"/>
        </w:rPr>
        <w:t>even</w:t>
      </w:r>
      <w:r w:rsidRPr="000E2377">
        <w:rPr>
          <w:rFonts w:cs="Times New Roman"/>
          <w:b w:val="0"/>
          <w:color w:val="000000" w:themeColor="text1"/>
          <w:szCs w:val="24"/>
        </w:rPr>
        <w:t xml:space="preserve"> though the</w:t>
      </w:r>
      <w:r>
        <w:rPr>
          <w:rFonts w:cs="Times New Roman"/>
          <w:b w:val="0"/>
          <w:color w:val="000000" w:themeColor="text1"/>
          <w:szCs w:val="24"/>
        </w:rPr>
        <w:t>y both have 60%</w:t>
      </w:r>
      <w:r w:rsidRPr="000E2377">
        <w:rPr>
          <w:rFonts w:cs="Times New Roman"/>
          <w:b w:val="0"/>
          <w:color w:val="000000" w:themeColor="text1"/>
          <w:szCs w:val="24"/>
        </w:rPr>
        <w:t xml:space="preserve"> silica content</w:t>
      </w:r>
      <w:r>
        <w:rPr>
          <w:rFonts w:cs="Times New Roman"/>
          <w:b w:val="0"/>
          <w:color w:val="000000" w:themeColor="text1"/>
          <w:szCs w:val="24"/>
        </w:rPr>
        <w:t>s</w:t>
      </w:r>
      <w:r w:rsidRPr="000E2377">
        <w:rPr>
          <w:rFonts w:cs="Times New Roman"/>
          <w:b w:val="0"/>
          <w:color w:val="000000" w:themeColor="text1"/>
          <w:szCs w:val="24"/>
        </w:rPr>
        <w:t xml:space="preserve">. </w:t>
      </w:r>
    </w:p>
    <w:p w14:paraId="36DB84AA" w14:textId="3A8ED33F" w:rsidR="00D740DC" w:rsidRDefault="00D740DC" w:rsidP="00D740DC">
      <w:pPr>
        <w:spacing w:line="360" w:lineRule="auto"/>
        <w:jc w:val="both"/>
        <w:rPr>
          <w:rFonts w:eastAsia="Calibri" w:cs="Times New Roman"/>
          <w:b w:val="0"/>
          <w:szCs w:val="24"/>
        </w:rPr>
      </w:pPr>
      <w:r w:rsidRPr="000E2377">
        <w:rPr>
          <w:rFonts w:cs="Times New Roman"/>
          <w:b w:val="0"/>
          <w:color w:val="000000" w:themeColor="text1"/>
          <w:szCs w:val="24"/>
        </w:rPr>
        <w:t xml:space="preserve">As shown in </w:t>
      </w:r>
      <w:r w:rsidRPr="007D4AAE">
        <w:rPr>
          <w:rFonts w:cs="Times New Roman"/>
          <w:b w:val="0"/>
          <w:color w:val="000000" w:themeColor="text1"/>
          <w:szCs w:val="24"/>
        </w:rPr>
        <w:t>Figure 4.7,</w:t>
      </w:r>
      <w:r w:rsidRPr="000E2377">
        <w:rPr>
          <w:rFonts w:cs="Times New Roman"/>
          <w:b w:val="0"/>
          <w:color w:val="000000" w:themeColor="text1"/>
          <w:szCs w:val="24"/>
        </w:rPr>
        <w:t xml:space="preserve"> with </w:t>
      </w:r>
      <w:r>
        <w:rPr>
          <w:rFonts w:cs="Times New Roman"/>
          <w:b w:val="0"/>
          <w:color w:val="000000" w:themeColor="text1"/>
          <w:szCs w:val="24"/>
        </w:rPr>
        <w:t xml:space="preserve">a </w:t>
      </w:r>
      <w:r w:rsidRPr="000E2377">
        <w:rPr>
          <w:rFonts w:cs="Times New Roman"/>
          <w:b w:val="0"/>
          <w:color w:val="000000" w:themeColor="text1"/>
          <w:szCs w:val="24"/>
        </w:rPr>
        <w:t xml:space="preserve">high amount of calcium and </w:t>
      </w:r>
      <w:r w:rsidR="000707B0">
        <w:rPr>
          <w:rFonts w:cs="Times New Roman"/>
          <w:b w:val="0"/>
          <w:color w:val="000000" w:themeColor="text1"/>
          <w:szCs w:val="24"/>
        </w:rPr>
        <w:t xml:space="preserve">a </w:t>
      </w:r>
      <w:r w:rsidRPr="000E2377">
        <w:rPr>
          <w:rFonts w:cs="Times New Roman"/>
          <w:b w:val="0"/>
          <w:color w:val="000000" w:themeColor="text1"/>
          <w:szCs w:val="24"/>
        </w:rPr>
        <w:t>low amount of alumina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color w:val="000000" w:themeColor="text1"/>
          <w:szCs w:val="24"/>
        </w:rPr>
        <w:t>), the chemical</w:t>
      </w:r>
      <w:r>
        <w:rPr>
          <w:rFonts w:cs="Times New Roman"/>
          <w:b w:val="0"/>
          <w:color w:val="000000" w:themeColor="text1"/>
          <w:szCs w:val="24"/>
        </w:rPr>
        <w:t xml:space="preserve"> shift</w:t>
      </w:r>
      <w:r w:rsidRPr="000E2377">
        <w:rPr>
          <w:rFonts w:cs="Times New Roman"/>
          <w:b w:val="0"/>
          <w:color w:val="000000" w:themeColor="text1"/>
          <w:szCs w:val="24"/>
        </w:rPr>
        <w:t xml:space="preserve"> </w:t>
      </w:r>
      <w:r>
        <w:rPr>
          <w:rFonts w:cs="Times New Roman"/>
          <w:b w:val="0"/>
          <w:color w:val="000000" w:themeColor="text1"/>
          <w:szCs w:val="24"/>
        </w:rPr>
        <w:t>is</w:t>
      </w:r>
      <w:r w:rsidRPr="000E2377">
        <w:rPr>
          <w:rFonts w:cs="Times New Roman"/>
          <w:b w:val="0"/>
          <w:color w:val="000000" w:themeColor="text1"/>
          <w:szCs w:val="24"/>
        </w:rPr>
        <w:t xml:space="preserve"> at -93 ppm, however when amount of calcium </w:t>
      </w:r>
      <w:r>
        <w:rPr>
          <w:rFonts w:cs="Times New Roman"/>
          <w:b w:val="0"/>
          <w:color w:val="000000" w:themeColor="text1"/>
          <w:szCs w:val="24"/>
        </w:rPr>
        <w:t>is</w:t>
      </w:r>
      <w:r w:rsidRPr="000E2377">
        <w:rPr>
          <w:rFonts w:cs="Times New Roman"/>
          <w:b w:val="0"/>
          <w:color w:val="000000" w:themeColor="text1"/>
          <w:szCs w:val="24"/>
        </w:rPr>
        <w:t xml:space="preserve"> reduced and alumina is increased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color w:val="000000" w:themeColor="text1"/>
          <w:szCs w:val="24"/>
        </w:rPr>
        <w:t xml:space="preserve">) the chemical shift </w:t>
      </w:r>
      <w:r>
        <w:rPr>
          <w:rFonts w:cs="Times New Roman"/>
          <w:b w:val="0"/>
          <w:color w:val="000000" w:themeColor="text1"/>
          <w:szCs w:val="24"/>
        </w:rPr>
        <w:t>moves in a negative direction to</w:t>
      </w:r>
      <w:r w:rsidRPr="000E2377">
        <w:rPr>
          <w:rFonts w:cs="Times New Roman"/>
          <w:b w:val="0"/>
          <w:color w:val="000000" w:themeColor="text1"/>
          <w:szCs w:val="24"/>
        </w:rPr>
        <w:t xml:space="preserve"> -97 ppm due to </w:t>
      </w:r>
      <w:r>
        <w:rPr>
          <w:rFonts w:cs="Times New Roman"/>
          <w:b w:val="0"/>
          <w:color w:val="000000" w:themeColor="text1"/>
          <w:szCs w:val="24"/>
        </w:rPr>
        <w:t xml:space="preserve">increasing </w:t>
      </w:r>
      <w:r w:rsidRPr="000E2377">
        <w:rPr>
          <w:rFonts w:cs="Times New Roman"/>
          <w:b w:val="0"/>
          <w:szCs w:val="24"/>
        </w:rPr>
        <w:t>depolymerisation</w:t>
      </w:r>
      <w:r>
        <w:rPr>
          <w:rFonts w:cs="Times New Roman"/>
          <w:b w:val="0"/>
          <w:szCs w:val="24"/>
        </w:rPr>
        <w:t xml:space="preserve">. </w:t>
      </w:r>
      <w:r>
        <w:rPr>
          <w:rFonts w:cs="Times New Roman"/>
          <w:b w:val="0"/>
          <w:color w:val="000000" w:themeColor="text1"/>
          <w:szCs w:val="24"/>
        </w:rPr>
        <w:t>If</w:t>
      </w:r>
      <w:r w:rsidRPr="000E2377">
        <w:rPr>
          <w:rFonts w:cs="Times New Roman"/>
          <w:b w:val="0"/>
          <w:color w:val="000000" w:themeColor="text1"/>
          <w:szCs w:val="24"/>
        </w:rPr>
        <w:t xml:space="preserve"> Ʃ[M</w:t>
      </w:r>
      <w:r w:rsidRPr="000E2377">
        <w:rPr>
          <w:rFonts w:cs="Times New Roman"/>
          <w:b w:val="0"/>
          <w:color w:val="000000" w:themeColor="text1"/>
          <w:szCs w:val="24"/>
          <w:vertAlign w:val="subscript"/>
        </w:rPr>
        <w:t>2</w:t>
      </w:r>
      <w:r w:rsidRPr="000E2377">
        <w:rPr>
          <w:rFonts w:cs="Times New Roman"/>
          <w:b w:val="0"/>
          <w:color w:val="000000" w:themeColor="text1"/>
          <w:szCs w:val="24"/>
        </w:rPr>
        <w:t>O+M’O]-[Al</w:t>
      </w:r>
      <w:r w:rsidRPr="000E2377">
        <w:rPr>
          <w:rFonts w:cs="Times New Roman"/>
          <w:b w:val="0"/>
          <w:color w:val="000000" w:themeColor="text1"/>
          <w:szCs w:val="24"/>
          <w:vertAlign w:val="subscript"/>
        </w:rPr>
        <w:t>2</w:t>
      </w:r>
      <w:r w:rsidRPr="000E2377">
        <w:rPr>
          <w:rFonts w:cs="Times New Roman"/>
          <w:b w:val="0"/>
          <w:color w:val="000000" w:themeColor="text1"/>
          <w:szCs w:val="24"/>
        </w:rPr>
        <w:t>O</w:t>
      </w:r>
      <w:r w:rsidRPr="000E2377">
        <w:rPr>
          <w:rFonts w:cs="Times New Roman"/>
          <w:b w:val="0"/>
          <w:color w:val="000000" w:themeColor="text1"/>
          <w:szCs w:val="24"/>
          <w:vertAlign w:val="subscript"/>
        </w:rPr>
        <w:t>3</w:t>
      </w:r>
      <w:r w:rsidRPr="000E2377">
        <w:rPr>
          <w:rFonts w:cs="Times New Roman"/>
          <w:b w:val="0"/>
          <w:color w:val="000000" w:themeColor="text1"/>
          <w:szCs w:val="24"/>
        </w:rPr>
        <w:t>]-[B</w:t>
      </w:r>
      <w:r w:rsidRPr="000E2377">
        <w:rPr>
          <w:rFonts w:cs="Times New Roman"/>
          <w:b w:val="0"/>
          <w:color w:val="000000" w:themeColor="text1"/>
          <w:szCs w:val="24"/>
          <w:vertAlign w:val="subscript"/>
        </w:rPr>
        <w:t>2</w:t>
      </w:r>
      <w:r w:rsidRPr="000E2377">
        <w:rPr>
          <w:rFonts w:cs="Times New Roman"/>
          <w:b w:val="0"/>
          <w:color w:val="000000" w:themeColor="text1"/>
          <w:szCs w:val="24"/>
        </w:rPr>
        <w:t>O</w:t>
      </w:r>
      <w:r w:rsidRPr="000E2377">
        <w:rPr>
          <w:rFonts w:cs="Times New Roman"/>
          <w:b w:val="0"/>
          <w:color w:val="000000" w:themeColor="text1"/>
          <w:szCs w:val="24"/>
          <w:vertAlign w:val="subscript"/>
        </w:rPr>
        <w:t>3</w:t>
      </w:r>
      <w:r w:rsidRPr="000E2377">
        <w:rPr>
          <w:rFonts w:cs="Times New Roman"/>
          <w:b w:val="0"/>
          <w:color w:val="000000" w:themeColor="text1"/>
          <w:szCs w:val="24"/>
        </w:rPr>
        <w:t xml:space="preserve">]&lt; 0 </w:t>
      </w:r>
      <w:r>
        <w:rPr>
          <w:rFonts w:cs="Times New Roman"/>
          <w:b w:val="0"/>
          <w:color w:val="000000" w:themeColor="text1"/>
          <w:szCs w:val="24"/>
        </w:rPr>
        <w:t xml:space="preserve">then </w:t>
      </w:r>
      <w:r w:rsidRPr="000E2377">
        <w:rPr>
          <w:rFonts w:cs="Times New Roman"/>
          <w:b w:val="0"/>
          <w:color w:val="000000" w:themeColor="text1"/>
          <w:szCs w:val="24"/>
        </w:rPr>
        <w:t xml:space="preserve">higher </w:t>
      </w:r>
      <w:proofErr w:type="spellStart"/>
      <w:r w:rsidRPr="000E2377">
        <w:rPr>
          <w:rFonts w:cs="Times New Roman"/>
          <w:b w:val="0"/>
          <w:color w:val="000000" w:themeColor="text1"/>
          <w:szCs w:val="24"/>
        </w:rPr>
        <w:t>Q</w:t>
      </w:r>
      <w:r w:rsidRPr="000E2377">
        <w:rPr>
          <w:rFonts w:cs="Times New Roman"/>
          <w:b w:val="0"/>
          <w:color w:val="000000" w:themeColor="text1"/>
          <w:szCs w:val="24"/>
          <w:vertAlign w:val="superscript"/>
        </w:rPr>
        <w:t>n</w:t>
      </w:r>
      <w:proofErr w:type="spellEnd"/>
      <w:r w:rsidRPr="000E2377">
        <w:rPr>
          <w:rFonts w:cs="Times New Roman"/>
          <w:b w:val="0"/>
          <w:color w:val="000000" w:themeColor="text1"/>
          <w:szCs w:val="24"/>
        </w:rPr>
        <w:t xml:space="preserve"> species </w:t>
      </w:r>
      <w:r>
        <w:rPr>
          <w:rFonts w:cs="Times New Roman"/>
          <w:b w:val="0"/>
          <w:color w:val="000000" w:themeColor="text1"/>
          <w:szCs w:val="24"/>
        </w:rPr>
        <w:t>can</w:t>
      </w:r>
      <w:r w:rsidRPr="000E2377">
        <w:rPr>
          <w:rFonts w:cs="Times New Roman"/>
          <w:b w:val="0"/>
          <w:color w:val="000000" w:themeColor="text1"/>
          <w:szCs w:val="24"/>
        </w:rPr>
        <w:t xml:space="preserve"> be </w:t>
      </w:r>
      <w:r>
        <w:rPr>
          <w:rFonts w:cs="Times New Roman"/>
          <w:b w:val="0"/>
          <w:color w:val="000000" w:themeColor="text1"/>
          <w:szCs w:val="24"/>
        </w:rPr>
        <w:t xml:space="preserve">expected. </w:t>
      </w:r>
      <w:r w:rsidRPr="000E2377">
        <w:rPr>
          <w:rFonts w:eastAsia="Calibri" w:cs="Times New Roman"/>
          <w:b w:val="0"/>
          <w:szCs w:val="24"/>
        </w:rPr>
        <w:t xml:space="preserve">The deconvolution is shown in </w:t>
      </w:r>
      <w:r w:rsidR="000707B0">
        <w:rPr>
          <w:rFonts w:eastAsia="Calibri" w:cs="Times New Roman"/>
          <w:b w:val="0"/>
          <w:szCs w:val="24"/>
        </w:rPr>
        <w:t xml:space="preserve">the </w:t>
      </w:r>
      <w:r w:rsidRPr="000E2377">
        <w:rPr>
          <w:rFonts w:eastAsia="Calibri" w:cs="Times New Roman"/>
          <w:b w:val="0"/>
          <w:szCs w:val="24"/>
        </w:rPr>
        <w:t xml:space="preserve">Appendix.  </w:t>
      </w:r>
    </w:p>
    <w:p w14:paraId="1E7D2BCD" w14:textId="77777777" w:rsidR="00D740DC" w:rsidRDefault="00D740DC" w:rsidP="00D740DC">
      <w:pPr>
        <w:tabs>
          <w:tab w:val="left" w:pos="1908"/>
        </w:tabs>
        <w:spacing w:line="360" w:lineRule="auto"/>
        <w:jc w:val="both"/>
        <w:rPr>
          <w:rFonts w:eastAsia="Calibri" w:cs="Times New Roman"/>
          <w:b w:val="0"/>
          <w:szCs w:val="24"/>
        </w:rPr>
        <w:sectPr w:rsidR="00D740DC" w:rsidSect="00B11F5F">
          <w:pgSz w:w="11906" w:h="16838"/>
          <w:pgMar w:top="1440" w:right="1440" w:bottom="1440" w:left="1440" w:header="709" w:footer="709" w:gutter="0"/>
          <w:cols w:space="708"/>
          <w:docGrid w:linePitch="360"/>
        </w:sectPr>
      </w:pPr>
    </w:p>
    <w:p w14:paraId="43061A3C" w14:textId="77777777" w:rsidR="00D740DC" w:rsidRPr="000E2377" w:rsidRDefault="00D740DC" w:rsidP="003129A6">
      <w:pPr>
        <w:spacing w:after="0"/>
        <w:rPr>
          <w:rFonts w:cs="Times New Roman"/>
          <w:i/>
          <w:szCs w:val="24"/>
        </w:rPr>
      </w:pPr>
      <w:r w:rsidRPr="000E2377">
        <w:rPr>
          <w:rFonts w:cs="Times New Roman"/>
          <w:b w:val="0"/>
          <w:i/>
          <w:szCs w:val="24"/>
        </w:rPr>
        <w:t>4.</w:t>
      </w:r>
      <w:r>
        <w:rPr>
          <w:rFonts w:cs="Times New Roman"/>
          <w:b w:val="0"/>
          <w:i/>
          <w:szCs w:val="24"/>
        </w:rPr>
        <w:t>4</w:t>
      </w:r>
      <w:r w:rsidRPr="000E2377">
        <w:rPr>
          <w:rFonts w:cs="Times New Roman"/>
          <w:b w:val="0"/>
          <w:i/>
          <w:szCs w:val="24"/>
        </w:rPr>
        <w:t>.</w:t>
      </w:r>
      <w:r>
        <w:rPr>
          <w:rFonts w:cs="Times New Roman"/>
          <w:b w:val="0"/>
          <w:i/>
          <w:szCs w:val="24"/>
        </w:rPr>
        <w:t>1</w:t>
      </w:r>
      <w:r w:rsidRPr="000E2377">
        <w:rPr>
          <w:rFonts w:cs="Times New Roman"/>
          <w:b w:val="0"/>
          <w:i/>
          <w:szCs w:val="24"/>
        </w:rPr>
        <w:t xml:space="preserve">.2 </w:t>
      </w:r>
      <w:r w:rsidRPr="000E2377">
        <w:rPr>
          <w:rFonts w:cs="Times New Roman"/>
          <w:i/>
          <w:szCs w:val="24"/>
          <w:vertAlign w:val="superscript"/>
        </w:rPr>
        <w:t>27</w:t>
      </w:r>
      <w:r w:rsidRPr="000E2377">
        <w:rPr>
          <w:rFonts w:cs="Times New Roman"/>
          <w:i/>
          <w:szCs w:val="24"/>
        </w:rPr>
        <w:t>Al NMR</w:t>
      </w:r>
    </w:p>
    <w:p w14:paraId="5C294391" w14:textId="3FBB7A4D" w:rsidR="00D740DC" w:rsidRDefault="00D740DC" w:rsidP="00D740DC">
      <w:pPr>
        <w:spacing w:after="0"/>
        <w:jc w:val="center"/>
        <w:rPr>
          <w:rFonts w:cs="Times New Roman"/>
          <w:szCs w:val="24"/>
        </w:rPr>
      </w:pPr>
      <w:r w:rsidRPr="000E2377">
        <w:rPr>
          <w:noProof/>
          <w:lang w:eastAsia="en-MY"/>
        </w:rPr>
        <mc:AlternateContent>
          <mc:Choice Requires="wps">
            <w:drawing>
              <wp:anchor distT="0" distB="0" distL="114300" distR="114300" simplePos="0" relativeHeight="252465152" behindDoc="0" locked="0" layoutInCell="1" allowOverlap="1" wp14:anchorId="6BA96A06" wp14:editId="5D556349">
                <wp:simplePos x="0" y="0"/>
                <wp:positionH relativeFrom="column">
                  <wp:posOffset>2212463</wp:posOffset>
                </wp:positionH>
                <wp:positionV relativeFrom="paragraph">
                  <wp:posOffset>870139</wp:posOffset>
                </wp:positionV>
                <wp:extent cx="510746" cy="296545"/>
                <wp:effectExtent l="0" t="0" r="0" b="0"/>
                <wp:wrapNone/>
                <wp:docPr id="2071" name="Text Box 2071"/>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29AFD5B8" w14:textId="77777777" w:rsidR="00230AB9" w:rsidRPr="00DD12F3" w:rsidRDefault="00230AB9" w:rsidP="00D740DC">
                            <w:pPr>
                              <w:rPr>
                                <w:rFonts w:cs="Times New Roman"/>
                                <w:sz w:val="20"/>
                                <w:szCs w:val="20"/>
                              </w:rPr>
                            </w:pPr>
                            <w:r w:rsidRPr="00DD12F3">
                              <w:rPr>
                                <w:rFonts w:cs="Times New Roman"/>
                                <w:sz w:val="20"/>
                                <w:szCs w:val="20"/>
                              </w:rPr>
                              <w:t>Al</w:t>
                            </w:r>
                            <w:r w:rsidRPr="00DD12F3">
                              <w:rPr>
                                <w:rFonts w:cs="Times New Roman"/>
                                <w:sz w:val="20"/>
                                <w:szCs w:val="20"/>
                                <w:vertAlign w:val="superscript"/>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A96A06" id="Text Box 2071" o:spid="_x0000_s1190" type="#_x0000_t202" style="position:absolute;left:0;text-align:left;margin-left:174.2pt;margin-top:68.5pt;width:40.2pt;height:23.35pt;z-index:25246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" filled="f" stroked="f" strokeweight=".5pt">
                <v:textbox>
                  <w:txbxContent>
                    <w:p w14:paraId="29AFD5B8" w14:textId="77777777" w:rsidR="00230AB9" w:rsidRPr="00DD12F3" w:rsidRDefault="00230AB9" w:rsidP="00D740DC">
                      <w:pPr>
                        <w:rPr>
                          <w:rFonts w:cs="Times New Roman"/>
                          <w:sz w:val="20"/>
                          <w:szCs w:val="20"/>
                        </w:rPr>
                      </w:pPr>
                      <w:r w:rsidRPr="00DD12F3">
                        <w:rPr>
                          <w:rFonts w:cs="Times New Roman"/>
                          <w:sz w:val="20"/>
                          <w:szCs w:val="20"/>
                        </w:rPr>
                        <w:t>Al</w:t>
                      </w:r>
                      <w:r w:rsidRPr="00DD12F3">
                        <w:rPr>
                          <w:rFonts w:cs="Times New Roman"/>
                          <w:sz w:val="20"/>
                          <w:szCs w:val="20"/>
                          <w:vertAlign w:val="superscript"/>
                        </w:rPr>
                        <w:t>5</w:t>
                      </w:r>
                    </w:p>
                  </w:txbxContent>
                </v:textbox>
              </v:shape>
            </w:pict>
          </mc:Fallback>
        </mc:AlternateContent>
      </w:r>
      <w:r w:rsidRPr="000E2377">
        <w:rPr>
          <w:noProof/>
          <w:lang w:eastAsia="en-MY"/>
        </w:rPr>
        <mc:AlternateContent>
          <mc:Choice Requires="wps">
            <w:drawing>
              <wp:anchor distT="0" distB="0" distL="114300" distR="114300" simplePos="0" relativeHeight="252466176" behindDoc="0" locked="0" layoutInCell="1" allowOverlap="1" wp14:anchorId="2FCED225" wp14:editId="2C609B20">
                <wp:simplePos x="0" y="0"/>
                <wp:positionH relativeFrom="column">
                  <wp:posOffset>2232788</wp:posOffset>
                </wp:positionH>
                <wp:positionV relativeFrom="paragraph">
                  <wp:posOffset>1037397</wp:posOffset>
                </wp:positionV>
                <wp:extent cx="284768" cy="450235"/>
                <wp:effectExtent l="0" t="6668" r="13653" b="13652"/>
                <wp:wrapNone/>
                <wp:docPr id="2009" name="Left Brace 2009"/>
                <wp:cNvGraphicFramePr/>
                <a:graphic xmlns:a="http://schemas.openxmlformats.org/drawingml/2006/main">
                  <a:graphicData uri="http://schemas.microsoft.com/office/word/2010/wordprocessingShape">
                    <wps:wsp>
                      <wps:cNvSpPr/>
                      <wps:spPr>
                        <a:xfrm rot="5400000">
                          <a:off x="0" y="0"/>
                          <a:ext cx="284768" cy="450235"/>
                        </a:xfrm>
                        <a:prstGeom prst="leftBrace">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132049"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009" o:spid="_x0000_s1026" type="#_x0000_t87" style="position:absolute;margin-left:175.8pt;margin-top:81.7pt;width:22.4pt;height:35.45pt;rotation:90;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" adj="1138"/>
            </w:pict>
          </mc:Fallback>
        </mc:AlternateContent>
      </w:r>
      <w:r w:rsidRPr="001D2149">
        <w:rPr>
          <w:noProof/>
          <w:lang w:eastAsia="en-MY"/>
        </w:rPr>
        <mc:AlternateContent>
          <mc:Choice Requires="wps">
            <w:drawing>
              <wp:anchor distT="0" distB="0" distL="114300" distR="114300" simplePos="0" relativeHeight="252474368" behindDoc="0" locked="0" layoutInCell="1" allowOverlap="1" wp14:anchorId="112BF19F" wp14:editId="5DE10FD1">
                <wp:simplePos x="0" y="0"/>
                <wp:positionH relativeFrom="column">
                  <wp:posOffset>724329</wp:posOffset>
                </wp:positionH>
                <wp:positionV relativeFrom="paragraph">
                  <wp:posOffset>217566</wp:posOffset>
                </wp:positionV>
                <wp:extent cx="510746" cy="296545"/>
                <wp:effectExtent l="0" t="0" r="0" b="0"/>
                <wp:wrapNone/>
                <wp:docPr id="1784" name="Text Box 1784"/>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6F2D9B3F" w14:textId="77777777" w:rsidR="00230AB9" w:rsidRPr="001D2149" w:rsidRDefault="00230AB9" w:rsidP="00D740DC">
                            <w:pPr>
                              <w:rPr>
                                <w:rFonts w:cs="Times New Roman"/>
                                <w:szCs w:val="24"/>
                              </w:rPr>
                            </w:pPr>
                            <w:r w:rsidRPr="001D2149">
                              <w:rPr>
                                <w:rFonts w:cs="Times New Roman"/>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2BF19F" id="Text Box 1784" o:spid="_x0000_s1191" type="#_x0000_t202" style="position:absolute;left:0;text-align:left;margin-left:57.05pt;margin-top:17.15pt;width:40.2pt;height:23.35pt;z-index:25247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" filled="f" stroked="f" strokeweight=".5pt">
                <v:textbox>
                  <w:txbxContent>
                    <w:p w14:paraId="6F2D9B3F" w14:textId="77777777" w:rsidR="00230AB9" w:rsidRPr="001D2149" w:rsidRDefault="00230AB9" w:rsidP="00D740DC">
                      <w:pPr>
                        <w:rPr>
                          <w:rFonts w:cs="Times New Roman"/>
                          <w:szCs w:val="24"/>
                        </w:rPr>
                      </w:pPr>
                      <w:r w:rsidRPr="001D2149">
                        <w:rPr>
                          <w:rFonts w:cs="Times New Roman"/>
                          <w:szCs w:val="24"/>
                        </w:rPr>
                        <w:t>a)</w:t>
                      </w:r>
                    </w:p>
                  </w:txbxContent>
                </v:textbox>
              </v:shape>
            </w:pict>
          </mc:Fallback>
        </mc:AlternateContent>
      </w:r>
      <w:r w:rsidRPr="000E2377">
        <w:rPr>
          <w:noProof/>
          <w:lang w:eastAsia="en-MY"/>
        </w:rPr>
        <mc:AlternateContent>
          <mc:Choice Requires="wps">
            <w:drawing>
              <wp:anchor distT="0" distB="0" distL="114300" distR="114300" simplePos="0" relativeHeight="252464128" behindDoc="0" locked="0" layoutInCell="1" allowOverlap="1" wp14:anchorId="1E28A177" wp14:editId="17C71239">
                <wp:simplePos x="0" y="0"/>
                <wp:positionH relativeFrom="column">
                  <wp:posOffset>2781704</wp:posOffset>
                </wp:positionH>
                <wp:positionV relativeFrom="paragraph">
                  <wp:posOffset>314210</wp:posOffset>
                </wp:positionV>
                <wp:extent cx="510746" cy="296545"/>
                <wp:effectExtent l="0" t="0" r="0" b="0"/>
                <wp:wrapNone/>
                <wp:docPr id="196" name="Text Box 196"/>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60CDF473"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28A177" id="Text Box 196" o:spid="_x0000_s1192" type="#_x0000_t202" style="position:absolute;left:0;text-align:left;margin-left:219.05pt;margin-top:24.75pt;width:40.2pt;height:23.35pt;z-index:25246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" filled="f" stroked="f" strokeweight=".5pt">
                <v:textbox>
                  <w:txbxContent>
                    <w:p w14:paraId="60CDF473"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v:textbox>
              </v:shape>
            </w:pict>
          </mc:Fallback>
        </mc:AlternateContent>
      </w:r>
      <w:r w:rsidRPr="000E2377">
        <w:rPr>
          <w:noProof/>
          <w:lang w:eastAsia="en-MY"/>
        </w:rPr>
        <w:drawing>
          <wp:inline distT="0" distB="0" distL="0" distR="0" wp14:anchorId="4B12CCD4" wp14:editId="68D3B21A">
            <wp:extent cx="4158748" cy="360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58748" cy="3600000"/>
                    </a:xfrm>
                    <a:prstGeom prst="rect">
                      <a:avLst/>
                    </a:prstGeom>
                    <a:noFill/>
                    <a:ln>
                      <a:noFill/>
                    </a:ln>
                  </pic:spPr>
                </pic:pic>
              </a:graphicData>
            </a:graphic>
          </wp:inline>
        </w:drawing>
      </w:r>
    </w:p>
    <w:p w14:paraId="0B691974" w14:textId="07E23DD9" w:rsidR="003129A6" w:rsidRDefault="0080406D" w:rsidP="003129A6">
      <w:pPr>
        <w:spacing w:line="360" w:lineRule="auto"/>
        <w:jc w:val="center"/>
        <w:rPr>
          <w:szCs w:val="24"/>
        </w:rPr>
      </w:pPr>
      <w:r>
        <w:t>Figure 4.8</w:t>
      </w:r>
      <w:r w:rsidR="003129A6" w:rsidRPr="000E2377">
        <w:t xml:space="preserve">: </w:t>
      </w:r>
      <w:r w:rsidR="003129A6">
        <w:t xml:space="preserve">a) </w:t>
      </w:r>
      <w:r w:rsidR="003129A6" w:rsidRPr="000E2377">
        <w:rPr>
          <w:szCs w:val="24"/>
        </w:rPr>
        <w:t>Normalise</w:t>
      </w:r>
      <w:r w:rsidR="003129A6">
        <w:rPr>
          <w:szCs w:val="24"/>
        </w:rPr>
        <w:t>d</w:t>
      </w:r>
      <w:r w:rsidR="003129A6" w:rsidRPr="000E2377">
        <w:rPr>
          <w:szCs w:val="24"/>
        </w:rPr>
        <w:t xml:space="preserve"> </w:t>
      </w:r>
      <w:r w:rsidR="003129A6" w:rsidRPr="00103D22">
        <w:rPr>
          <w:szCs w:val="24"/>
          <w:vertAlign w:val="superscript"/>
        </w:rPr>
        <w:t>27</w:t>
      </w:r>
      <w:r w:rsidR="003129A6" w:rsidRPr="00103D22">
        <w:rPr>
          <w:szCs w:val="24"/>
        </w:rPr>
        <w:t>Al</w:t>
      </w:r>
      <w:r w:rsidR="003129A6" w:rsidRPr="00564627">
        <w:rPr>
          <w:szCs w:val="24"/>
        </w:rPr>
        <w:t xml:space="preserve"> </w:t>
      </w:r>
      <w:r w:rsidR="003129A6" w:rsidRPr="000E2377">
        <w:rPr>
          <w:szCs w:val="24"/>
        </w:rPr>
        <w:t xml:space="preserve">NMR spectra </w:t>
      </w:r>
      <w:r w:rsidR="003129A6">
        <w:rPr>
          <w:szCs w:val="24"/>
        </w:rPr>
        <w:t xml:space="preserve">and b) deconvolution of </w:t>
      </w:r>
      <w:r w:rsidR="003129A6" w:rsidRPr="00103D22">
        <w:rPr>
          <w:szCs w:val="24"/>
          <w:vertAlign w:val="superscript"/>
        </w:rPr>
        <w:t>27</w:t>
      </w:r>
      <w:r w:rsidR="003129A6">
        <w:rPr>
          <w:szCs w:val="24"/>
        </w:rPr>
        <w:t xml:space="preserve">Al NMR </w:t>
      </w:r>
      <w:r w:rsidR="003129A6" w:rsidRPr="000E2377">
        <w:rPr>
          <w:szCs w:val="24"/>
        </w:rPr>
        <w:t>for selected glasses</w:t>
      </w:r>
      <w:r w:rsidR="003129A6">
        <w:rPr>
          <w:szCs w:val="24"/>
        </w:rPr>
        <w:t>. (Continued on next page)</w:t>
      </w:r>
    </w:p>
    <w:p w14:paraId="5B69E663" w14:textId="41852FE6" w:rsidR="00D740DC" w:rsidRDefault="00B14A8A" w:rsidP="00D740DC">
      <w:pPr>
        <w:spacing w:after="0"/>
        <w:jc w:val="center"/>
        <w:rPr>
          <w:rFonts w:cs="Times New Roman"/>
          <w:szCs w:val="24"/>
        </w:rPr>
      </w:pPr>
      <w:r w:rsidRPr="00BA05DE">
        <w:rPr>
          <w:noProof/>
          <w:lang w:eastAsia="en-MY"/>
        </w:rPr>
        <w:lastRenderedPageBreak/>
        <mc:AlternateContent>
          <mc:Choice Requires="wps">
            <w:drawing>
              <wp:anchor distT="0" distB="0" distL="114300" distR="114300" simplePos="0" relativeHeight="252503040" behindDoc="0" locked="0" layoutInCell="1" allowOverlap="1" wp14:anchorId="207D1200" wp14:editId="2F2C7DE7">
                <wp:simplePos x="0" y="0"/>
                <wp:positionH relativeFrom="margin">
                  <wp:posOffset>-316474</wp:posOffset>
                </wp:positionH>
                <wp:positionV relativeFrom="paragraph">
                  <wp:posOffset>11723</wp:posOffset>
                </wp:positionV>
                <wp:extent cx="510746" cy="296545"/>
                <wp:effectExtent l="0" t="0" r="0" b="0"/>
                <wp:wrapNone/>
                <wp:docPr id="1498" name="Text Box 1498"/>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0AA92A4D" w14:textId="77777777" w:rsidR="00230AB9" w:rsidRPr="00BA05DE" w:rsidRDefault="00230AB9" w:rsidP="00D740DC">
                            <w:pPr>
                              <w:rPr>
                                <w:rFonts w:cs="Times New Roman"/>
                                <w:szCs w:val="24"/>
                              </w:rPr>
                            </w:pPr>
                            <w:r>
                              <w:rPr>
                                <w:rFonts w:cs="Times New Roman"/>
                                <w:szCs w:val="24"/>
                              </w:rPr>
                              <w:t>b</w:t>
                            </w:r>
                            <w:r w:rsidRPr="00BA05DE">
                              <w:rPr>
                                <w:rFonts w:cs="Times New Roman"/>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7D1200" id="Text Box 1498" o:spid="_x0000_s1193" type="#_x0000_t202" style="position:absolute;left:0;text-align:left;margin-left:-24.9pt;margin-top:.9pt;width:40.2pt;height:23.35pt;z-index:2525030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" filled="f" stroked="f" strokeweight=".5pt">
                <v:textbox>
                  <w:txbxContent>
                    <w:p w14:paraId="0AA92A4D" w14:textId="77777777" w:rsidR="00230AB9" w:rsidRPr="00BA05DE" w:rsidRDefault="00230AB9" w:rsidP="00D740DC">
                      <w:pPr>
                        <w:rPr>
                          <w:rFonts w:cs="Times New Roman"/>
                          <w:szCs w:val="24"/>
                        </w:rPr>
                      </w:pPr>
                      <w:r>
                        <w:rPr>
                          <w:rFonts w:cs="Times New Roman"/>
                          <w:szCs w:val="24"/>
                        </w:rPr>
                        <w:t>b</w:t>
                      </w:r>
                      <w:r w:rsidRPr="00BA05DE">
                        <w:rPr>
                          <w:rFonts w:cs="Times New Roman"/>
                          <w:szCs w:val="24"/>
                        </w:rPr>
                        <w:t>)</w:t>
                      </w:r>
                    </w:p>
                  </w:txbxContent>
                </v:textbox>
                <w10:wrap anchorx="margin"/>
              </v:shape>
            </w:pict>
          </mc:Fallback>
        </mc:AlternateContent>
      </w:r>
      <w:r w:rsidRPr="001D2149">
        <w:rPr>
          <w:noProof/>
          <w:lang w:eastAsia="en-MY"/>
        </w:rPr>
        <mc:AlternateContent>
          <mc:Choice Requires="wps">
            <w:drawing>
              <wp:anchor distT="0" distB="0" distL="114300" distR="114300" simplePos="0" relativeHeight="252475392" behindDoc="0" locked="0" layoutInCell="1" allowOverlap="1" wp14:anchorId="33E0AC61" wp14:editId="02E98C0F">
                <wp:simplePos x="0" y="0"/>
                <wp:positionH relativeFrom="column">
                  <wp:posOffset>4146110</wp:posOffset>
                </wp:positionH>
                <wp:positionV relativeFrom="paragraph">
                  <wp:posOffset>576678</wp:posOffset>
                </wp:positionV>
                <wp:extent cx="510746" cy="296545"/>
                <wp:effectExtent l="0" t="0" r="0" b="0"/>
                <wp:wrapNone/>
                <wp:docPr id="1785" name="Text Box 1785"/>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63CFDAAA"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E0AC61" id="Text Box 1785" o:spid="_x0000_s1194" type="#_x0000_t202" style="position:absolute;left:0;text-align:left;margin-left:326.45pt;margin-top:45.4pt;width:40.2pt;height:23.35pt;z-index:25247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" filled="f" stroked="f" strokeweight=".5pt">
                <v:textbox>
                  <w:txbxContent>
                    <w:p w14:paraId="63CFDAAA"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v:textbox>
              </v:shape>
            </w:pict>
          </mc:Fallback>
        </mc:AlternateContent>
      </w:r>
    </w:p>
    <w:tbl>
      <w:tblPr>
        <w:tblStyle w:val="TableGrid"/>
        <w:tblW w:w="0" w:type="auto"/>
        <w:tblLook w:val="04A0" w:firstRow="1" w:lastRow="0" w:firstColumn="1" w:lastColumn="0" w:noHBand="0" w:noVBand="1"/>
      </w:tblPr>
      <w:tblGrid>
        <w:gridCol w:w="4592"/>
        <w:gridCol w:w="4424"/>
      </w:tblGrid>
      <w:tr w:rsidR="00B14A8A" w14:paraId="18DEE6C0" w14:textId="77777777" w:rsidTr="00B14A8A">
        <w:tc>
          <w:tcPr>
            <w:tcW w:w="4689" w:type="dxa"/>
          </w:tcPr>
          <w:p w14:paraId="7ABDEE7C" w14:textId="10344D46" w:rsidR="00B14A8A" w:rsidRDefault="00B14A8A" w:rsidP="00B14A8A">
            <w:pPr>
              <w:spacing w:line="360" w:lineRule="auto"/>
              <w:jc w:val="center"/>
              <w:rPr>
                <w:rFonts w:eastAsia="Times New Roman" w:cs="Times New Roman"/>
                <w:b w:val="0"/>
                <w:color w:val="000000"/>
                <w:sz w:val="20"/>
                <w:szCs w:val="20"/>
                <w:lang w:eastAsia="en-MY"/>
              </w:rPr>
            </w:pPr>
            <w:r w:rsidRPr="00634D4A">
              <w:rPr>
                <w:noProof/>
                <w:lang w:eastAsia="en-MY"/>
              </w:rPr>
              <mc:AlternateContent>
                <mc:Choice Requires="wps">
                  <w:drawing>
                    <wp:anchor distT="0" distB="0" distL="114300" distR="114300" simplePos="0" relativeHeight="252471296" behindDoc="0" locked="0" layoutInCell="1" allowOverlap="1" wp14:anchorId="30E549A7" wp14:editId="599F2062">
                      <wp:simplePos x="0" y="0"/>
                      <wp:positionH relativeFrom="column">
                        <wp:posOffset>1433732</wp:posOffset>
                      </wp:positionH>
                      <wp:positionV relativeFrom="paragraph">
                        <wp:posOffset>342217</wp:posOffset>
                      </wp:positionV>
                      <wp:extent cx="510746" cy="296545"/>
                      <wp:effectExtent l="0" t="0" r="0" b="0"/>
                      <wp:wrapNone/>
                      <wp:docPr id="215" name="Text Box 215"/>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29415788"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E549A7" id="Text Box 215" o:spid="_x0000_s1195" type="#_x0000_t202" style="position:absolute;left:0;text-align:left;margin-left:112.9pt;margin-top:26.95pt;width:40.2pt;height:23.35pt;z-index:25247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" filled="f" stroked="f" strokeweight=".5pt">
                      <v:textbox>
                        <w:txbxContent>
                          <w:p w14:paraId="29415788"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v:textbox>
                    </v:shape>
                  </w:pict>
                </mc:Fallback>
              </mc:AlternateContent>
            </w:r>
            <w:r w:rsidRPr="00634D4A">
              <w:rPr>
                <w:noProof/>
                <w:lang w:eastAsia="en-MY"/>
              </w:rPr>
              <mc:AlternateContent>
                <mc:Choice Requires="wps">
                  <w:drawing>
                    <wp:anchor distT="0" distB="0" distL="114300" distR="114300" simplePos="0" relativeHeight="252472320" behindDoc="0" locked="0" layoutInCell="1" allowOverlap="1" wp14:anchorId="06C32E49" wp14:editId="0C016AB8">
                      <wp:simplePos x="0" y="0"/>
                      <wp:positionH relativeFrom="column">
                        <wp:posOffset>1162685</wp:posOffset>
                      </wp:positionH>
                      <wp:positionV relativeFrom="paragraph">
                        <wp:posOffset>334792</wp:posOffset>
                      </wp:positionV>
                      <wp:extent cx="510746" cy="296545"/>
                      <wp:effectExtent l="0" t="0" r="0" b="0"/>
                      <wp:wrapNone/>
                      <wp:docPr id="1770" name="Text Box 1770"/>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46DD3F0F"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C32E49" id="Text Box 1770" o:spid="_x0000_s1196" type="#_x0000_t202" style="position:absolute;left:0;text-align:left;margin-left:91.55pt;margin-top:26.35pt;width:40.2pt;height:23.35pt;z-index:25247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" filled="f" stroked="f" strokeweight=".5pt">
                      <v:textbox>
                        <w:txbxContent>
                          <w:p w14:paraId="46DD3F0F"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v:textbox>
                    </v:shape>
                  </w:pict>
                </mc:Fallback>
              </mc:AlternateContent>
            </w:r>
            <w:r>
              <w:rPr>
                <w:noProof/>
                <w:lang w:eastAsia="en-MY"/>
              </w:rPr>
              <w:drawing>
                <wp:inline distT="0" distB="0" distL="0" distR="0" wp14:anchorId="29DF1AF8" wp14:editId="52A53DEE">
                  <wp:extent cx="2965269" cy="1439545"/>
                  <wp:effectExtent l="0" t="0" r="6985"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965269" cy="1439545"/>
                          </a:xfrm>
                          <a:prstGeom prst="rect">
                            <a:avLst/>
                          </a:prstGeom>
                        </pic:spPr>
                      </pic:pic>
                    </a:graphicData>
                  </a:graphic>
                </wp:inline>
              </w:drawing>
            </w:r>
          </w:p>
          <w:p w14:paraId="01EAAABB" w14:textId="63730A80" w:rsidR="00B14A8A" w:rsidRPr="001D2149" w:rsidRDefault="00B14A8A" w:rsidP="00B14A8A">
            <w:pPr>
              <w:spacing w:line="360" w:lineRule="auto"/>
              <w:jc w:val="center"/>
              <w:rPr>
                <w:noProof/>
                <w:lang w:val="en-GB" w:eastAsia="en-GB"/>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M</w:t>
            </w:r>
            <w:r w:rsidRPr="00E33297">
              <w:rPr>
                <w:rFonts w:eastAsia="Times New Roman" w:cs="Times New Roman"/>
                <w:b w:val="0"/>
                <w:color w:val="000000"/>
                <w:sz w:val="20"/>
                <w:szCs w:val="20"/>
                <w:vertAlign w:val="subscript"/>
                <w:lang w:eastAsia="en-MY"/>
              </w:rPr>
              <w:t>1.1</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3.0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2.5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78.2</w:t>
            </w:r>
          </w:p>
        </w:tc>
        <w:tc>
          <w:tcPr>
            <w:tcW w:w="4327" w:type="dxa"/>
          </w:tcPr>
          <w:p w14:paraId="03429990" w14:textId="1345FDFD" w:rsidR="00B14A8A" w:rsidRDefault="00B14A8A" w:rsidP="00B14A8A">
            <w:pPr>
              <w:spacing w:line="360" w:lineRule="auto"/>
              <w:jc w:val="center"/>
              <w:rPr>
                <w:rFonts w:eastAsia="Times New Roman" w:cs="Times New Roman"/>
                <w:b w:val="0"/>
                <w:color w:val="000000"/>
                <w:sz w:val="20"/>
                <w:szCs w:val="20"/>
                <w:lang w:eastAsia="en-MY"/>
              </w:rPr>
            </w:pPr>
            <w:r w:rsidRPr="00634D4A">
              <w:rPr>
                <w:noProof/>
                <w:lang w:eastAsia="en-MY"/>
              </w:rPr>
              <mc:AlternateContent>
                <mc:Choice Requires="wps">
                  <w:drawing>
                    <wp:anchor distT="0" distB="0" distL="114300" distR="114300" simplePos="0" relativeHeight="252473344" behindDoc="0" locked="0" layoutInCell="1" allowOverlap="1" wp14:anchorId="700FB6DA" wp14:editId="4C049B28">
                      <wp:simplePos x="0" y="0"/>
                      <wp:positionH relativeFrom="column">
                        <wp:posOffset>1378145</wp:posOffset>
                      </wp:positionH>
                      <wp:positionV relativeFrom="paragraph">
                        <wp:posOffset>394775</wp:posOffset>
                      </wp:positionV>
                      <wp:extent cx="510746" cy="296545"/>
                      <wp:effectExtent l="0" t="0" r="0" b="0"/>
                      <wp:wrapNone/>
                      <wp:docPr id="1780" name="Text Box 1780"/>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20DF2C3F"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0FB6DA" id="Text Box 1780" o:spid="_x0000_s1197" type="#_x0000_t202" style="position:absolute;left:0;text-align:left;margin-left:108.5pt;margin-top:31.1pt;width:40.2pt;height:23.35pt;z-index:25247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" filled="f" stroked="f" strokeweight=".5pt">
                      <v:textbox>
                        <w:txbxContent>
                          <w:p w14:paraId="20DF2C3F"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v:textbox>
                    </v:shape>
                  </w:pict>
                </mc:Fallback>
              </mc:AlternateContent>
            </w:r>
            <w:r w:rsidRPr="001D2149">
              <w:rPr>
                <w:noProof/>
                <w:lang w:eastAsia="en-MY"/>
              </w:rPr>
              <mc:AlternateContent>
                <mc:Choice Requires="wps">
                  <w:drawing>
                    <wp:anchor distT="0" distB="0" distL="114300" distR="114300" simplePos="0" relativeHeight="252477440" behindDoc="0" locked="0" layoutInCell="1" allowOverlap="1" wp14:anchorId="262743DC" wp14:editId="202D0E1D">
                      <wp:simplePos x="0" y="0"/>
                      <wp:positionH relativeFrom="column">
                        <wp:posOffset>692492</wp:posOffset>
                      </wp:positionH>
                      <wp:positionV relativeFrom="paragraph">
                        <wp:posOffset>781929</wp:posOffset>
                      </wp:positionV>
                      <wp:extent cx="510746" cy="296545"/>
                      <wp:effectExtent l="0" t="0" r="0" b="0"/>
                      <wp:wrapNone/>
                      <wp:docPr id="1789" name="Text Box 1789"/>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6C56C461"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2743DC" id="Text Box 1789" o:spid="_x0000_s1198" type="#_x0000_t202" style="position:absolute;left:0;text-align:left;margin-left:54.55pt;margin-top:61.55pt;width:40.2pt;height:23.35pt;z-index:25247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" filled="f" stroked="f" strokeweight=".5pt">
                      <v:textbox>
                        <w:txbxContent>
                          <w:p w14:paraId="6C56C461"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5</w:t>
                            </w:r>
                          </w:p>
                        </w:txbxContent>
                      </v:textbox>
                    </v:shape>
                  </w:pict>
                </mc:Fallback>
              </mc:AlternateContent>
            </w:r>
            <w:r w:rsidRPr="0078024D">
              <w:rPr>
                <w:rFonts w:cs="Times New Roman"/>
                <w:noProof/>
                <w:szCs w:val="24"/>
                <w:lang w:eastAsia="en-MY"/>
              </w:rPr>
              <w:drawing>
                <wp:inline distT="0" distB="0" distL="0" distR="0" wp14:anchorId="5F7E7483" wp14:editId="1148A6C6">
                  <wp:extent cx="2925718" cy="1439349"/>
                  <wp:effectExtent l="0" t="0" r="8255" b="8890"/>
                  <wp:docPr id="1811" name="Picture 1811" descr="C:\Users\Asus A450L\Desktop\PhD Thesis correction January 2019\NMR\al a7.5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 A450L\Desktop\PhD Thesis correction January 2019\NMR\al a7.5 ok.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37277" cy="1445036"/>
                          </a:xfrm>
                          <a:prstGeom prst="rect">
                            <a:avLst/>
                          </a:prstGeom>
                          <a:noFill/>
                          <a:ln>
                            <a:noFill/>
                          </a:ln>
                        </pic:spPr>
                      </pic:pic>
                    </a:graphicData>
                  </a:graphic>
                </wp:inline>
              </w:drawing>
            </w:r>
          </w:p>
          <w:p w14:paraId="22A46C63" w14:textId="63CB2475" w:rsidR="00B14A8A" w:rsidRPr="001D2149" w:rsidRDefault="00B14A8A" w:rsidP="00B11F5F">
            <w:pPr>
              <w:spacing w:line="360" w:lineRule="auto"/>
              <w:jc w:val="center"/>
              <w:rPr>
                <w:noProof/>
                <w:lang w:val="en-GB" w:eastAsia="en-GB"/>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M</w:t>
            </w:r>
            <w:r w:rsidRPr="00E33297">
              <w:rPr>
                <w:rFonts w:eastAsia="Times New Roman" w:cs="Times New Roman"/>
                <w:b w:val="0"/>
                <w:color w:val="000000"/>
                <w:sz w:val="20"/>
                <w:szCs w:val="20"/>
                <w:vertAlign w:val="subscript"/>
                <w:lang w:eastAsia="en-MY"/>
              </w:rPr>
              <w:t>1.1</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3.0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7.5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73.2</w:t>
            </w:r>
          </w:p>
        </w:tc>
      </w:tr>
      <w:tr w:rsidR="00D740DC" w14:paraId="45F2B310" w14:textId="77777777" w:rsidTr="00B14A8A">
        <w:tc>
          <w:tcPr>
            <w:tcW w:w="4689" w:type="dxa"/>
          </w:tcPr>
          <w:p w14:paraId="13D6B66B" w14:textId="64EF7722" w:rsidR="00D740DC" w:rsidRDefault="00B14A8A" w:rsidP="00B11F5F">
            <w:pPr>
              <w:spacing w:line="360" w:lineRule="auto"/>
              <w:jc w:val="both"/>
              <w:rPr>
                <w:rFonts w:cs="Times New Roman"/>
                <w:b w:val="0"/>
                <w:szCs w:val="24"/>
                <w:vertAlign w:val="superscript"/>
              </w:rPr>
            </w:pPr>
            <w:r w:rsidRPr="001D2149">
              <w:rPr>
                <w:noProof/>
                <w:lang w:eastAsia="en-MY"/>
              </w:rPr>
              <mc:AlternateContent>
                <mc:Choice Requires="wps">
                  <w:drawing>
                    <wp:anchor distT="0" distB="0" distL="114300" distR="114300" simplePos="0" relativeHeight="252476416" behindDoc="0" locked="0" layoutInCell="1" allowOverlap="1" wp14:anchorId="1988CEF3" wp14:editId="0238865B">
                      <wp:simplePos x="0" y="0"/>
                      <wp:positionH relativeFrom="column">
                        <wp:posOffset>787644</wp:posOffset>
                      </wp:positionH>
                      <wp:positionV relativeFrom="paragraph">
                        <wp:posOffset>-1155603</wp:posOffset>
                      </wp:positionV>
                      <wp:extent cx="510746" cy="296545"/>
                      <wp:effectExtent l="0" t="0" r="0" b="0"/>
                      <wp:wrapNone/>
                      <wp:docPr id="1786" name="Text Box 1786"/>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267A7D2E"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88CEF3" id="Text Box 1786" o:spid="_x0000_s1199" type="#_x0000_t202" style="position:absolute;left:0;text-align:left;margin-left:62pt;margin-top:-91pt;width:40.2pt;height:23.35pt;z-index:25247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" filled="f" stroked="f" strokeweight=".5pt">
                      <v:textbox>
                        <w:txbxContent>
                          <w:p w14:paraId="267A7D2E"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5</w:t>
                            </w:r>
                          </w:p>
                        </w:txbxContent>
                      </v:textbox>
                    </v:shape>
                  </w:pict>
                </mc:Fallback>
              </mc:AlternateContent>
            </w:r>
            <w:r w:rsidR="00D740DC" w:rsidRPr="001D2149">
              <w:rPr>
                <w:noProof/>
                <w:lang w:eastAsia="en-MY"/>
              </w:rPr>
              <mc:AlternateContent>
                <mc:Choice Requires="wps">
                  <w:drawing>
                    <wp:anchor distT="0" distB="0" distL="114300" distR="114300" simplePos="0" relativeHeight="252482560" behindDoc="0" locked="0" layoutInCell="1" allowOverlap="1" wp14:anchorId="092E03AD" wp14:editId="454FB7B3">
                      <wp:simplePos x="0" y="0"/>
                      <wp:positionH relativeFrom="column">
                        <wp:posOffset>818895</wp:posOffset>
                      </wp:positionH>
                      <wp:positionV relativeFrom="paragraph">
                        <wp:posOffset>761332</wp:posOffset>
                      </wp:positionV>
                      <wp:extent cx="510746" cy="296545"/>
                      <wp:effectExtent l="0" t="0" r="0" b="0"/>
                      <wp:wrapNone/>
                      <wp:docPr id="1796" name="Text Box 1796"/>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25FC15E0"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2E03AD" id="Text Box 1796" o:spid="_x0000_s1200" type="#_x0000_t202" style="position:absolute;left:0;text-align:left;margin-left:64.5pt;margin-top:59.95pt;width:40.2pt;height:23.35pt;z-index:25248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" filled="f" stroked="f" strokeweight=".5pt">
                      <v:textbox>
                        <w:txbxContent>
                          <w:p w14:paraId="25FC15E0"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5</w:t>
                            </w:r>
                          </w:p>
                        </w:txbxContent>
                      </v:textbox>
                    </v:shape>
                  </w:pict>
                </mc:Fallback>
              </mc:AlternateContent>
            </w:r>
            <w:r w:rsidR="00D740DC" w:rsidRPr="001D2149">
              <w:rPr>
                <w:noProof/>
                <w:lang w:eastAsia="en-MY"/>
              </w:rPr>
              <mc:AlternateContent>
                <mc:Choice Requires="wps">
                  <w:drawing>
                    <wp:anchor distT="0" distB="0" distL="114300" distR="114300" simplePos="0" relativeHeight="252479488" behindDoc="0" locked="0" layoutInCell="1" allowOverlap="1" wp14:anchorId="1E47332C" wp14:editId="2C82F1C8">
                      <wp:simplePos x="0" y="0"/>
                      <wp:positionH relativeFrom="column">
                        <wp:posOffset>1483912</wp:posOffset>
                      </wp:positionH>
                      <wp:positionV relativeFrom="paragraph">
                        <wp:posOffset>334159</wp:posOffset>
                      </wp:positionV>
                      <wp:extent cx="510746" cy="296545"/>
                      <wp:effectExtent l="0" t="0" r="0" b="0"/>
                      <wp:wrapNone/>
                      <wp:docPr id="1792" name="Text Box 1792"/>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770819BF"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47332C" id="Text Box 1792" o:spid="_x0000_s1201" type="#_x0000_t202" style="position:absolute;left:0;text-align:left;margin-left:116.85pt;margin-top:26.3pt;width:40.2pt;height:23.35pt;z-index:25247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" filled="f" stroked="f" strokeweight=".5pt">
                      <v:textbox>
                        <w:txbxContent>
                          <w:p w14:paraId="770819BF"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v:textbox>
                    </v:shape>
                  </w:pict>
                </mc:Fallback>
              </mc:AlternateContent>
            </w:r>
            <w:r w:rsidR="00D740DC" w:rsidRPr="001D2149">
              <w:rPr>
                <w:noProof/>
                <w:lang w:eastAsia="en-MY"/>
              </w:rPr>
              <mc:AlternateContent>
                <mc:Choice Requires="wps">
                  <w:drawing>
                    <wp:anchor distT="0" distB="0" distL="114300" distR="114300" simplePos="0" relativeHeight="252478464" behindDoc="0" locked="0" layoutInCell="1" allowOverlap="1" wp14:anchorId="3682547B" wp14:editId="40EFCFD2">
                      <wp:simplePos x="0" y="0"/>
                      <wp:positionH relativeFrom="column">
                        <wp:posOffset>1258281</wp:posOffset>
                      </wp:positionH>
                      <wp:positionV relativeFrom="paragraph">
                        <wp:posOffset>334159</wp:posOffset>
                      </wp:positionV>
                      <wp:extent cx="510746" cy="296545"/>
                      <wp:effectExtent l="0" t="0" r="0" b="0"/>
                      <wp:wrapNone/>
                      <wp:docPr id="1791" name="Text Box 1791"/>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3BEF4A93"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82547B" id="Text Box 1791" o:spid="_x0000_s1202" type="#_x0000_t202" style="position:absolute;left:0;text-align:left;margin-left:99.1pt;margin-top:26.3pt;width:40.2pt;height:23.35pt;z-index:25247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" filled="f" stroked="f" strokeweight=".5pt">
                      <v:textbox>
                        <w:txbxContent>
                          <w:p w14:paraId="3BEF4A93"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v:textbox>
                    </v:shape>
                  </w:pict>
                </mc:Fallback>
              </mc:AlternateContent>
            </w:r>
            <w:r w:rsidR="00D740DC" w:rsidRPr="009C45BA">
              <w:rPr>
                <w:rFonts w:cs="Times New Roman"/>
                <w:b w:val="0"/>
                <w:noProof/>
                <w:szCs w:val="24"/>
                <w:vertAlign w:val="superscript"/>
                <w:lang w:eastAsia="en-MY"/>
              </w:rPr>
              <w:drawing>
                <wp:inline distT="0" distB="0" distL="0" distR="0" wp14:anchorId="4B047CA9" wp14:editId="062F4347">
                  <wp:extent cx="3050931" cy="1437390"/>
                  <wp:effectExtent l="0" t="0" r="0" b="0"/>
                  <wp:docPr id="1910" name="Picture 1910" descr="C:\Users\Asus A450L\Desktop\PhD Thesis correction January 2019\NMR\al AB10 3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 A450L\Desktop\PhD Thesis correction January 2019\NMR\al AB10 3 ok.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91527" cy="1456516"/>
                          </a:xfrm>
                          <a:prstGeom prst="rect">
                            <a:avLst/>
                          </a:prstGeom>
                          <a:noFill/>
                          <a:ln>
                            <a:noFill/>
                          </a:ln>
                        </pic:spPr>
                      </pic:pic>
                    </a:graphicData>
                  </a:graphic>
                </wp:inline>
              </w:drawing>
            </w:r>
          </w:p>
          <w:p w14:paraId="2F20D2DB" w14:textId="77777777" w:rsidR="00D740DC" w:rsidRPr="009C45BA" w:rsidRDefault="00D740DC" w:rsidP="00B11F5F">
            <w:pPr>
              <w:spacing w:line="360" w:lineRule="auto"/>
              <w:jc w:val="center"/>
              <w:rPr>
                <w:rFonts w:cs="Times New Roman"/>
                <w:szCs w:val="24"/>
                <w:vertAlign w:val="superscript"/>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0</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70</w:t>
            </w:r>
          </w:p>
        </w:tc>
        <w:tc>
          <w:tcPr>
            <w:tcW w:w="4327" w:type="dxa"/>
          </w:tcPr>
          <w:p w14:paraId="1945E6F0" w14:textId="2906C4FC" w:rsidR="00D740DC" w:rsidRDefault="00D740DC" w:rsidP="00B11F5F">
            <w:pPr>
              <w:spacing w:line="360" w:lineRule="auto"/>
              <w:jc w:val="center"/>
              <w:rPr>
                <w:rFonts w:cs="Times New Roman"/>
                <w:b w:val="0"/>
                <w:szCs w:val="24"/>
                <w:vertAlign w:val="superscript"/>
              </w:rPr>
            </w:pPr>
            <w:r w:rsidRPr="001D2149">
              <w:rPr>
                <w:noProof/>
                <w:lang w:eastAsia="en-MY"/>
              </w:rPr>
              <mc:AlternateContent>
                <mc:Choice Requires="wps">
                  <w:drawing>
                    <wp:anchor distT="0" distB="0" distL="114300" distR="114300" simplePos="0" relativeHeight="252483584" behindDoc="0" locked="0" layoutInCell="1" allowOverlap="1" wp14:anchorId="5E34B323" wp14:editId="26C93655">
                      <wp:simplePos x="0" y="0"/>
                      <wp:positionH relativeFrom="column">
                        <wp:posOffset>620041</wp:posOffset>
                      </wp:positionH>
                      <wp:positionV relativeFrom="paragraph">
                        <wp:posOffset>765142</wp:posOffset>
                      </wp:positionV>
                      <wp:extent cx="510746" cy="296545"/>
                      <wp:effectExtent l="0" t="0" r="0" b="0"/>
                      <wp:wrapNone/>
                      <wp:docPr id="1797" name="Text Box 1797"/>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10972B20"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34B323" id="Text Box 1797" o:spid="_x0000_s1203" type="#_x0000_t202" style="position:absolute;left:0;text-align:left;margin-left:48.8pt;margin-top:60.25pt;width:40.2pt;height:23.35pt;z-index:25248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" filled="f" stroked="f" strokeweight=".5pt">
                      <v:textbox>
                        <w:txbxContent>
                          <w:p w14:paraId="10972B20"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5</w:t>
                            </w:r>
                          </w:p>
                        </w:txbxContent>
                      </v:textbox>
                    </v:shape>
                  </w:pict>
                </mc:Fallback>
              </mc:AlternateContent>
            </w:r>
            <w:r w:rsidRPr="001D2149">
              <w:rPr>
                <w:noProof/>
                <w:lang w:eastAsia="en-MY"/>
              </w:rPr>
              <mc:AlternateContent>
                <mc:Choice Requires="wps">
                  <w:drawing>
                    <wp:anchor distT="0" distB="0" distL="114300" distR="114300" simplePos="0" relativeHeight="252481536" behindDoc="0" locked="0" layoutInCell="1" allowOverlap="1" wp14:anchorId="103634F2" wp14:editId="0A99E822">
                      <wp:simplePos x="0" y="0"/>
                      <wp:positionH relativeFrom="column">
                        <wp:posOffset>1285224</wp:posOffset>
                      </wp:positionH>
                      <wp:positionV relativeFrom="paragraph">
                        <wp:posOffset>298194</wp:posOffset>
                      </wp:positionV>
                      <wp:extent cx="510746" cy="296545"/>
                      <wp:effectExtent l="0" t="0" r="0" b="0"/>
                      <wp:wrapNone/>
                      <wp:docPr id="1795" name="Text Box 1795"/>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3EE9864D"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3634F2" id="Text Box 1795" o:spid="_x0000_s1204" type="#_x0000_t202" style="position:absolute;left:0;text-align:left;margin-left:101.2pt;margin-top:23.5pt;width:40.2pt;height:23.35pt;z-index:25248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" filled="f" stroked="f" strokeweight=".5pt">
                      <v:textbox>
                        <w:txbxContent>
                          <w:p w14:paraId="3EE9864D"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v:textbox>
                    </v:shape>
                  </w:pict>
                </mc:Fallback>
              </mc:AlternateContent>
            </w:r>
            <w:r w:rsidRPr="001D2149">
              <w:rPr>
                <w:noProof/>
                <w:lang w:eastAsia="en-MY"/>
              </w:rPr>
              <mc:AlternateContent>
                <mc:Choice Requires="wps">
                  <w:drawing>
                    <wp:anchor distT="0" distB="0" distL="114300" distR="114300" simplePos="0" relativeHeight="252480512" behindDoc="0" locked="0" layoutInCell="1" allowOverlap="1" wp14:anchorId="4D6B0704" wp14:editId="1DF8F3CE">
                      <wp:simplePos x="0" y="0"/>
                      <wp:positionH relativeFrom="column">
                        <wp:posOffset>1059592</wp:posOffset>
                      </wp:positionH>
                      <wp:positionV relativeFrom="paragraph">
                        <wp:posOffset>381322</wp:posOffset>
                      </wp:positionV>
                      <wp:extent cx="510746" cy="296545"/>
                      <wp:effectExtent l="0" t="0" r="0" b="0"/>
                      <wp:wrapNone/>
                      <wp:docPr id="1794" name="Text Box 1794"/>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56CBE3B6"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6B0704" id="Text Box 1794" o:spid="_x0000_s1205" type="#_x0000_t202" style="position:absolute;left:0;text-align:left;margin-left:83.45pt;margin-top:30.05pt;width:40.2pt;height:23.35pt;z-index:25248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" filled="f" stroked="f" strokeweight=".5pt">
                      <v:textbox>
                        <w:txbxContent>
                          <w:p w14:paraId="56CBE3B6" w14:textId="77777777" w:rsidR="00230AB9" w:rsidRPr="00DD12F3" w:rsidRDefault="00230AB9" w:rsidP="00D740DC">
                            <w:pPr>
                              <w:rPr>
                                <w:rFonts w:cs="Times New Roman"/>
                                <w:sz w:val="20"/>
                                <w:szCs w:val="20"/>
                              </w:rPr>
                            </w:pPr>
                            <w:r w:rsidRPr="00DD12F3">
                              <w:rPr>
                                <w:rFonts w:cs="Times New Roman"/>
                                <w:sz w:val="20"/>
                                <w:szCs w:val="20"/>
                              </w:rPr>
                              <w:t>Al</w:t>
                            </w:r>
                            <w:r>
                              <w:rPr>
                                <w:rFonts w:cs="Times New Roman"/>
                                <w:sz w:val="20"/>
                                <w:szCs w:val="20"/>
                                <w:vertAlign w:val="superscript"/>
                              </w:rPr>
                              <w:t>4</w:t>
                            </w:r>
                          </w:p>
                        </w:txbxContent>
                      </v:textbox>
                    </v:shape>
                  </w:pict>
                </mc:Fallback>
              </mc:AlternateContent>
            </w:r>
            <w:r w:rsidRPr="00A21A16">
              <w:rPr>
                <w:rFonts w:cs="Times New Roman"/>
                <w:b w:val="0"/>
                <w:noProof/>
                <w:szCs w:val="24"/>
                <w:vertAlign w:val="superscript"/>
                <w:lang w:eastAsia="en-MY"/>
              </w:rPr>
              <w:drawing>
                <wp:inline distT="0" distB="0" distL="0" distR="0" wp14:anchorId="72ADE705" wp14:editId="1484AC12">
                  <wp:extent cx="2461700" cy="1438789"/>
                  <wp:effectExtent l="0" t="0" r="0" b="9525"/>
                  <wp:docPr id="1911" name="Picture 1911" descr="C:\Users\Asus A450L\Desktop\PhD Thesis correction January 2019\NMR\al a10b10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sus A450L\Desktop\PhD Thesis correction January 2019\NMR\al a10b10 ok.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94377" cy="1457888"/>
                          </a:xfrm>
                          <a:prstGeom prst="rect">
                            <a:avLst/>
                          </a:prstGeom>
                          <a:noFill/>
                          <a:ln>
                            <a:noFill/>
                          </a:ln>
                        </pic:spPr>
                      </pic:pic>
                    </a:graphicData>
                  </a:graphic>
                </wp:inline>
              </w:drawing>
            </w:r>
          </w:p>
          <w:p w14:paraId="29B954B0" w14:textId="77777777" w:rsidR="00D740DC" w:rsidRDefault="00D740DC" w:rsidP="00B11F5F">
            <w:pPr>
              <w:spacing w:line="360" w:lineRule="auto"/>
              <w:jc w:val="center"/>
              <w:rPr>
                <w:rFonts w:cs="Times New Roman"/>
                <w:b w:val="0"/>
                <w:szCs w:val="24"/>
                <w:vertAlign w:val="superscript"/>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r>
      <w:tr w:rsidR="00D740DC" w14:paraId="75966A9C" w14:textId="77777777" w:rsidTr="00B14A8A">
        <w:tc>
          <w:tcPr>
            <w:tcW w:w="4689" w:type="dxa"/>
          </w:tcPr>
          <w:p w14:paraId="0ACC3F76" w14:textId="77777777" w:rsidR="00D740DC" w:rsidRDefault="00D740DC" w:rsidP="00B11F5F">
            <w:pPr>
              <w:spacing w:line="360" w:lineRule="auto"/>
              <w:jc w:val="center"/>
              <w:rPr>
                <w:rFonts w:cs="Times New Roman"/>
                <w:b w:val="0"/>
                <w:szCs w:val="24"/>
                <w:vertAlign w:val="superscript"/>
              </w:rPr>
            </w:pPr>
            <w:r w:rsidRPr="00434CFD">
              <w:rPr>
                <w:rFonts w:cs="Times New Roman"/>
                <w:b w:val="0"/>
                <w:noProof/>
                <w:szCs w:val="24"/>
                <w:vertAlign w:val="superscript"/>
                <w:lang w:eastAsia="en-MY"/>
              </w:rPr>
              <w:drawing>
                <wp:inline distT="0" distB="0" distL="0" distR="0" wp14:anchorId="40C9EEC1" wp14:editId="1DD92F24">
                  <wp:extent cx="2741930" cy="1439283"/>
                  <wp:effectExtent l="0" t="0" r="1270" b="8890"/>
                  <wp:docPr id="1912" name="Picture 1912" descr="C:\Users\Asus A450L\Desktop\PhD Thesis correction January 2019\NMR\al C5A10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sus A450L\Desktop\PhD Thesis correction January 2019\NMR\al C5A10 ok.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59322" cy="1448412"/>
                          </a:xfrm>
                          <a:prstGeom prst="rect">
                            <a:avLst/>
                          </a:prstGeom>
                          <a:noFill/>
                          <a:ln>
                            <a:noFill/>
                          </a:ln>
                        </pic:spPr>
                      </pic:pic>
                    </a:graphicData>
                  </a:graphic>
                </wp:inline>
              </w:drawing>
            </w:r>
          </w:p>
          <w:p w14:paraId="58AB52C1" w14:textId="77777777" w:rsidR="00D740DC" w:rsidRDefault="00D740DC" w:rsidP="00B11F5F">
            <w:pPr>
              <w:spacing w:line="360" w:lineRule="auto"/>
              <w:jc w:val="center"/>
              <w:rPr>
                <w:rFonts w:cs="Times New Roman"/>
                <w:b w:val="0"/>
                <w:szCs w:val="24"/>
                <w:vertAlign w:val="superscript"/>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4327" w:type="dxa"/>
          </w:tcPr>
          <w:p w14:paraId="3F929B7E" w14:textId="77777777" w:rsidR="00D740DC" w:rsidRDefault="00D740DC" w:rsidP="00B11F5F">
            <w:pPr>
              <w:spacing w:line="360" w:lineRule="auto"/>
              <w:jc w:val="center"/>
              <w:rPr>
                <w:rFonts w:cs="Times New Roman"/>
                <w:b w:val="0"/>
                <w:szCs w:val="24"/>
                <w:vertAlign w:val="superscript"/>
              </w:rPr>
            </w:pPr>
            <w:r w:rsidRPr="00434CFD">
              <w:rPr>
                <w:rFonts w:cs="Times New Roman"/>
                <w:b w:val="0"/>
                <w:noProof/>
                <w:szCs w:val="24"/>
                <w:vertAlign w:val="superscript"/>
                <w:lang w:eastAsia="en-MY"/>
              </w:rPr>
              <w:drawing>
                <wp:inline distT="0" distB="0" distL="0" distR="0" wp14:anchorId="2FF2476E" wp14:editId="7CAB0825">
                  <wp:extent cx="2804746" cy="1439545"/>
                  <wp:effectExtent l="0" t="0" r="0" b="8255"/>
                  <wp:docPr id="1913" name="Picture 1913" descr="C:\Users\Asus A450L\Desktop\PhD Thesis correction January 2019\NMR\al Ba5A10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us A450L\Desktop\PhD Thesis correction January 2019\NMR\al Ba5A10 ok.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08037" cy="1441234"/>
                          </a:xfrm>
                          <a:prstGeom prst="rect">
                            <a:avLst/>
                          </a:prstGeom>
                          <a:noFill/>
                          <a:ln>
                            <a:noFill/>
                          </a:ln>
                        </pic:spPr>
                      </pic:pic>
                    </a:graphicData>
                  </a:graphic>
                </wp:inline>
              </w:drawing>
            </w:r>
          </w:p>
          <w:p w14:paraId="76640165" w14:textId="77777777" w:rsidR="00D740DC" w:rsidRDefault="00D740DC" w:rsidP="00B11F5F">
            <w:pPr>
              <w:spacing w:line="360" w:lineRule="auto"/>
              <w:jc w:val="center"/>
              <w:rPr>
                <w:rFonts w:cs="Times New Roman"/>
                <w:b w:val="0"/>
                <w:szCs w:val="24"/>
                <w:vertAlign w:val="superscript"/>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Ba</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r>
      <w:tr w:rsidR="00D740DC" w14:paraId="0ABD7628" w14:textId="77777777" w:rsidTr="00B14A8A">
        <w:tc>
          <w:tcPr>
            <w:tcW w:w="4689" w:type="dxa"/>
          </w:tcPr>
          <w:p w14:paraId="2684EAAB" w14:textId="77777777" w:rsidR="00D740DC" w:rsidRDefault="00D740DC" w:rsidP="00B11F5F">
            <w:pPr>
              <w:spacing w:line="360" w:lineRule="auto"/>
              <w:jc w:val="both"/>
              <w:rPr>
                <w:rFonts w:cs="Times New Roman"/>
                <w:b w:val="0"/>
                <w:szCs w:val="24"/>
                <w:vertAlign w:val="superscript"/>
              </w:rPr>
            </w:pPr>
            <w:r w:rsidRPr="004D27CF">
              <w:rPr>
                <w:rFonts w:cs="Times New Roman"/>
                <w:b w:val="0"/>
                <w:noProof/>
                <w:szCs w:val="24"/>
                <w:vertAlign w:val="superscript"/>
                <w:lang w:eastAsia="en-MY"/>
              </w:rPr>
              <w:drawing>
                <wp:inline distT="0" distB="0" distL="0" distR="0" wp14:anchorId="486474B1" wp14:editId="50DD90E0">
                  <wp:extent cx="2391508" cy="1439545"/>
                  <wp:effectExtent l="0" t="0" r="8890" b="8255"/>
                  <wp:docPr id="1914" name="Picture 1914" descr="C:\Users\Asus A450L\Desktop\PhD Thesis correction January 2019\NMR\al C5A15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sus A450L\Desktop\PhD Thesis correction January 2019\NMR\al C5A15 ok.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97318" cy="1443042"/>
                          </a:xfrm>
                          <a:prstGeom prst="rect">
                            <a:avLst/>
                          </a:prstGeom>
                          <a:noFill/>
                          <a:ln>
                            <a:noFill/>
                          </a:ln>
                        </pic:spPr>
                      </pic:pic>
                    </a:graphicData>
                  </a:graphic>
                </wp:inline>
              </w:drawing>
            </w:r>
          </w:p>
          <w:p w14:paraId="542B6FAC" w14:textId="77777777" w:rsidR="00D740DC" w:rsidRDefault="00D740DC" w:rsidP="00B11F5F">
            <w:pPr>
              <w:spacing w:line="360" w:lineRule="auto"/>
              <w:jc w:val="center"/>
              <w:rPr>
                <w:rFonts w:cs="Times New Roman"/>
                <w:b w:val="0"/>
                <w:szCs w:val="24"/>
                <w:vertAlign w:val="superscript"/>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4327" w:type="dxa"/>
          </w:tcPr>
          <w:p w14:paraId="2167F340" w14:textId="77777777" w:rsidR="00D740DC" w:rsidRDefault="00D740DC" w:rsidP="00B11F5F">
            <w:pPr>
              <w:spacing w:line="360" w:lineRule="auto"/>
              <w:jc w:val="both"/>
              <w:rPr>
                <w:rFonts w:cs="Times New Roman"/>
                <w:b w:val="0"/>
                <w:szCs w:val="24"/>
                <w:vertAlign w:val="superscript"/>
              </w:rPr>
            </w:pPr>
            <w:r w:rsidRPr="004D27CF">
              <w:rPr>
                <w:rFonts w:cs="Times New Roman"/>
                <w:b w:val="0"/>
                <w:noProof/>
                <w:szCs w:val="24"/>
                <w:vertAlign w:val="superscript"/>
                <w:lang w:eastAsia="en-MY"/>
              </w:rPr>
              <w:drawing>
                <wp:inline distT="0" distB="0" distL="0" distR="0" wp14:anchorId="5F0BD4C3" wp14:editId="63EE328D">
                  <wp:extent cx="2769039" cy="1439238"/>
                  <wp:effectExtent l="0" t="0" r="0" b="8890"/>
                  <wp:docPr id="1915" name="Picture 1915" descr="C:\Users\Asus A450L\Desktop\PhD Thesis correction January 2019\NMR\al Ba5A15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sus A450L\Desktop\PhD Thesis correction January 2019\NMR\al Ba5A15 ok.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77599" cy="1443687"/>
                          </a:xfrm>
                          <a:prstGeom prst="rect">
                            <a:avLst/>
                          </a:prstGeom>
                          <a:noFill/>
                          <a:ln>
                            <a:noFill/>
                          </a:ln>
                        </pic:spPr>
                      </pic:pic>
                    </a:graphicData>
                  </a:graphic>
                </wp:inline>
              </w:drawing>
            </w:r>
          </w:p>
          <w:p w14:paraId="2BEBA8F4" w14:textId="77777777" w:rsidR="00D740DC" w:rsidRDefault="00D740DC" w:rsidP="00B11F5F">
            <w:pPr>
              <w:spacing w:line="360" w:lineRule="auto"/>
              <w:jc w:val="center"/>
              <w:rPr>
                <w:rFonts w:cs="Times New Roman"/>
                <w:b w:val="0"/>
                <w:szCs w:val="24"/>
                <w:vertAlign w:val="superscript"/>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Ba</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r>
    </w:tbl>
    <w:p w14:paraId="216A8405" w14:textId="77777777" w:rsidR="00D740DC" w:rsidRDefault="00D740DC" w:rsidP="00D740DC">
      <w:pPr>
        <w:spacing w:line="360" w:lineRule="auto"/>
        <w:jc w:val="both"/>
        <w:rPr>
          <w:rFonts w:cs="Times New Roman"/>
          <w:b w:val="0"/>
          <w:szCs w:val="24"/>
          <w:vertAlign w:val="superscript"/>
        </w:rPr>
      </w:pPr>
    </w:p>
    <w:p w14:paraId="0E578318" w14:textId="68678411" w:rsidR="00D740DC" w:rsidRDefault="0080406D" w:rsidP="00D740DC">
      <w:pPr>
        <w:spacing w:line="360" w:lineRule="auto"/>
        <w:jc w:val="center"/>
        <w:rPr>
          <w:szCs w:val="24"/>
        </w:rPr>
      </w:pPr>
      <w:r>
        <w:t>Figure 4.8</w:t>
      </w:r>
      <w:r w:rsidR="00D740DC" w:rsidRPr="000E2377">
        <w:t xml:space="preserve">: </w:t>
      </w:r>
      <w:r w:rsidR="00D740DC">
        <w:t xml:space="preserve">a) </w:t>
      </w:r>
      <w:r w:rsidR="00D740DC" w:rsidRPr="000E2377">
        <w:rPr>
          <w:szCs w:val="24"/>
        </w:rPr>
        <w:t>Normalise</w:t>
      </w:r>
      <w:r w:rsidR="00D740DC">
        <w:rPr>
          <w:szCs w:val="24"/>
        </w:rPr>
        <w:t>d</w:t>
      </w:r>
      <w:r w:rsidR="00D740DC" w:rsidRPr="000E2377">
        <w:rPr>
          <w:szCs w:val="24"/>
        </w:rPr>
        <w:t xml:space="preserve"> </w:t>
      </w:r>
      <w:r w:rsidR="00D740DC" w:rsidRPr="00103D22">
        <w:rPr>
          <w:szCs w:val="24"/>
          <w:vertAlign w:val="superscript"/>
        </w:rPr>
        <w:t>27</w:t>
      </w:r>
      <w:r w:rsidR="00D740DC" w:rsidRPr="00103D22">
        <w:rPr>
          <w:szCs w:val="24"/>
        </w:rPr>
        <w:t>Al</w:t>
      </w:r>
      <w:r w:rsidR="00D740DC" w:rsidRPr="00564627">
        <w:rPr>
          <w:szCs w:val="24"/>
        </w:rPr>
        <w:t xml:space="preserve"> </w:t>
      </w:r>
      <w:r w:rsidR="00D740DC" w:rsidRPr="000E2377">
        <w:rPr>
          <w:szCs w:val="24"/>
        </w:rPr>
        <w:t xml:space="preserve">NMR spectra </w:t>
      </w:r>
      <w:r w:rsidR="00D740DC">
        <w:rPr>
          <w:szCs w:val="24"/>
        </w:rPr>
        <w:t xml:space="preserve">and b) deconvolution of </w:t>
      </w:r>
      <w:r w:rsidR="002240CF" w:rsidRPr="00103D22">
        <w:rPr>
          <w:szCs w:val="24"/>
          <w:vertAlign w:val="superscript"/>
        </w:rPr>
        <w:t>27</w:t>
      </w:r>
      <w:r w:rsidR="00D740DC">
        <w:rPr>
          <w:szCs w:val="24"/>
        </w:rPr>
        <w:t xml:space="preserve">Al NMR </w:t>
      </w:r>
      <w:r w:rsidR="00D740DC" w:rsidRPr="000E2377">
        <w:rPr>
          <w:szCs w:val="24"/>
        </w:rPr>
        <w:t>for selected glasses</w:t>
      </w:r>
      <w:r w:rsidR="001836C2">
        <w:rPr>
          <w:szCs w:val="24"/>
        </w:rPr>
        <w:t>.</w:t>
      </w:r>
      <w:r w:rsidR="00D740DC">
        <w:rPr>
          <w:szCs w:val="24"/>
        </w:rPr>
        <w:t xml:space="preserve"> </w:t>
      </w:r>
    </w:p>
    <w:p w14:paraId="596BD348" w14:textId="77777777" w:rsidR="00B14A8A" w:rsidRDefault="00B14A8A" w:rsidP="00D740DC">
      <w:pPr>
        <w:spacing w:line="360" w:lineRule="auto"/>
        <w:jc w:val="center"/>
        <w:rPr>
          <w:rFonts w:cs="Times New Roman"/>
          <w:b w:val="0"/>
          <w:szCs w:val="24"/>
          <w:vertAlign w:val="superscript"/>
        </w:rPr>
      </w:pPr>
    </w:p>
    <w:p w14:paraId="4E4CE9F0" w14:textId="0264010F" w:rsidR="00D740DC" w:rsidRPr="000E2377" w:rsidRDefault="00D740DC" w:rsidP="00D740DC">
      <w:pPr>
        <w:spacing w:line="360" w:lineRule="auto"/>
        <w:jc w:val="both"/>
        <w:rPr>
          <w:rFonts w:eastAsia="Calibri" w:cs="Times New Roman"/>
          <w:b w:val="0"/>
          <w:szCs w:val="24"/>
        </w:rPr>
      </w:pPr>
      <w:r w:rsidRPr="000E2377">
        <w:rPr>
          <w:rFonts w:cs="Times New Roman"/>
          <w:b w:val="0"/>
          <w:szCs w:val="24"/>
          <w:vertAlign w:val="superscript"/>
        </w:rPr>
        <w:lastRenderedPageBreak/>
        <w:t>27</w:t>
      </w:r>
      <w:r w:rsidRPr="000E2377">
        <w:rPr>
          <w:rFonts w:cs="Times New Roman"/>
          <w:b w:val="0"/>
          <w:szCs w:val="24"/>
        </w:rPr>
        <w:t xml:space="preserve">Al NMR spectra of </w:t>
      </w:r>
      <w:r>
        <w:rPr>
          <w:rFonts w:cs="Times New Roman"/>
          <w:b w:val="0"/>
          <w:szCs w:val="24"/>
        </w:rPr>
        <w:t xml:space="preserve">the </w:t>
      </w:r>
      <w:r w:rsidRPr="000E2377">
        <w:rPr>
          <w:rFonts w:cs="Times New Roman"/>
          <w:b w:val="0"/>
          <w:szCs w:val="24"/>
        </w:rPr>
        <w:t>8 glasses</w:t>
      </w:r>
      <w:r>
        <w:rPr>
          <w:rFonts w:cs="Times New Roman"/>
          <w:b w:val="0"/>
          <w:szCs w:val="24"/>
        </w:rPr>
        <w:t xml:space="preserve"> tested</w:t>
      </w:r>
      <w:r w:rsidRPr="000E2377">
        <w:rPr>
          <w:rFonts w:cs="Times New Roman"/>
          <w:b w:val="0"/>
          <w:szCs w:val="24"/>
        </w:rPr>
        <w:t xml:space="preserve"> </w:t>
      </w:r>
      <w:r>
        <w:rPr>
          <w:rFonts w:cs="Times New Roman"/>
          <w:b w:val="0"/>
          <w:szCs w:val="24"/>
        </w:rPr>
        <w:t xml:space="preserve">with details deconvolution </w:t>
      </w:r>
      <w:r w:rsidRPr="000E2377">
        <w:rPr>
          <w:rFonts w:cs="Times New Roman"/>
          <w:b w:val="0"/>
          <w:szCs w:val="24"/>
        </w:rPr>
        <w:t xml:space="preserve">are </w:t>
      </w:r>
      <w:r>
        <w:rPr>
          <w:rFonts w:cs="Times New Roman"/>
          <w:b w:val="0"/>
          <w:szCs w:val="24"/>
        </w:rPr>
        <w:t>shown in</w:t>
      </w:r>
      <w:r w:rsidRPr="000E2377">
        <w:rPr>
          <w:rFonts w:cs="Times New Roman"/>
          <w:b w:val="0"/>
          <w:szCs w:val="24"/>
        </w:rPr>
        <w:t xml:space="preserve"> Figure 4.</w:t>
      </w:r>
      <w:r>
        <w:rPr>
          <w:rFonts w:cs="Times New Roman"/>
          <w:b w:val="0"/>
          <w:szCs w:val="24"/>
        </w:rPr>
        <w:t>8</w:t>
      </w:r>
      <w:r w:rsidRPr="000E2377">
        <w:rPr>
          <w:rFonts w:cs="Times New Roman"/>
          <w:b w:val="0"/>
          <w:szCs w:val="24"/>
        </w:rPr>
        <w:t>. The predominant maximum peak is at about 50 ppm which is consistent with tetrahedrally coordinated aluminium atoms (Al</w:t>
      </w:r>
      <w:r w:rsidRPr="000E2377">
        <w:rPr>
          <w:rFonts w:cs="Times New Roman"/>
          <w:b w:val="0"/>
          <w:szCs w:val="24"/>
          <w:vertAlign w:val="superscript"/>
        </w:rPr>
        <w:t>4</w:t>
      </w:r>
      <w:r w:rsidRPr="000E2377">
        <w:rPr>
          <w:rFonts w:cs="Times New Roman"/>
          <w:b w:val="0"/>
          <w:szCs w:val="24"/>
        </w:rPr>
        <w:t xml:space="preserve">) </w:t>
      </w:r>
      <w:r w:rsidRPr="000E2377">
        <w:rPr>
          <w:rFonts w:cs="Times New Roman"/>
          <w:b w:val="0"/>
          <w:szCs w:val="24"/>
        </w:rPr>
        <w:fldChar w:fldCharType="begin" w:fldLock="1"/>
      </w:r>
      <w:r w:rsidR="008400FF">
        <w:rPr>
          <w:rFonts w:cs="Times New Roman"/>
          <w:b w:val="0"/>
          <w:szCs w:val="24"/>
        </w:rPr>
        <w:instrText>ADDIN CSL_CITATION { "citationItems" : [ { "id" : "ITEM-1", "itemData" : { "DOI" : "10.1016/j.jnoncrysol.2013.09.019", "ISSN" : "00223093", "author" : [ { "dropping-particle" : "", "family" : "Smedskjaer", "given" : "", "non-dropping-particle" : "", "parse-names" : false, "suffix" : "" }, { "dropping-particle" : "", "family" : "Youngman", "given" : "Randall E.", "non-dropping-particle" : "", "parse-names" : false, "suffix" : "" }, { "dropping-particle" : "", "family" : "Mauro", "given" : "John C.", "non-dropping-particle" : "", "parse-names" : false, "suffix" : "" } ], "container-title" : "Journal of Non-Crystalline Solids", "id" : "ITEM-1", "issued" : { "date-parts" : [ [ "2013", "12" ] ] }, "page" : "58-64", "publisher" : "Elsevier B.V.", "title" : "Impact of ZnO on the structure and properties of sodium aluminosilicate glasses: Comparison with alkaline earth oxides", "type" : "article-journal", "volume" : "381" }, "uris" : [ "http://www.mendeley.com/documents/?uuid=7885aca7-4463-4f5f-a50a-6f969c519d03" ] } ], "mendeley" : { "formattedCitation" : "(Smedskjaer, Youngman, et al., 2013)", "manualFormatting" : "(Smedskjaer et al., 2013)", "plainTextFormattedCitation" : "(Smedskjaer, Youngman, et al., 2013)", "previouslyFormattedCitation" : "(Smedskjaer, Youngman, et al., 2013)" }, "properties" : { "noteIndex" : 66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(Smedskjaer et al., 2013)</w:t>
      </w:r>
      <w:r w:rsidRPr="000E2377">
        <w:rPr>
          <w:rFonts w:cs="Times New Roman"/>
          <w:b w:val="0"/>
          <w:szCs w:val="24"/>
        </w:rPr>
        <w:fldChar w:fldCharType="end"/>
      </w:r>
      <w:r w:rsidRPr="000E2377">
        <w:rPr>
          <w:rFonts w:cs="Times New Roman"/>
          <w:b w:val="0"/>
          <w:szCs w:val="24"/>
        </w:rPr>
        <w:t>. It also seen that the peaks are asymmetrically broader on the lower ppm side which is thought to be due to Al</w:t>
      </w:r>
      <w:r w:rsidRPr="000E2377">
        <w:rPr>
          <w:rFonts w:cs="Times New Roman"/>
          <w:b w:val="0"/>
          <w:szCs w:val="24"/>
          <w:vertAlign w:val="superscript"/>
        </w:rPr>
        <w:t>5</w:t>
      </w:r>
      <w:r>
        <w:rPr>
          <w:rFonts w:cs="Times New Roman"/>
          <w:b w:val="0"/>
          <w:szCs w:val="24"/>
        </w:rPr>
        <w:t>,</w:t>
      </w:r>
      <w:r w:rsidRPr="000E2377">
        <w:rPr>
          <w:rFonts w:cs="Times New Roman"/>
          <w:b w:val="0"/>
          <w:szCs w:val="24"/>
          <w:vertAlign w:val="superscript"/>
        </w:rPr>
        <w:t xml:space="preserve"> </w:t>
      </w:r>
      <w:r>
        <w:rPr>
          <w:rFonts w:cs="Times New Roman"/>
          <w:b w:val="0"/>
          <w:szCs w:val="24"/>
        </w:rPr>
        <w:t xml:space="preserve">usually attributed to </w:t>
      </w:r>
      <w:r w:rsidRPr="000E2377">
        <w:rPr>
          <w:rFonts w:cs="Times New Roman"/>
          <w:b w:val="0"/>
          <w:szCs w:val="24"/>
        </w:rPr>
        <w:t xml:space="preserve">there being </w:t>
      </w:r>
      <w:r w:rsidR="000707B0">
        <w:rPr>
          <w:rFonts w:cs="Times New Roman"/>
          <w:b w:val="0"/>
          <w:szCs w:val="24"/>
        </w:rPr>
        <w:t xml:space="preserve">an </w:t>
      </w:r>
      <w:r w:rsidRPr="000E2377">
        <w:rPr>
          <w:rFonts w:cs="Times New Roman"/>
          <w:b w:val="0"/>
          <w:szCs w:val="24"/>
        </w:rPr>
        <w:t xml:space="preserve">insufficient concentration of charge balancing modifier to stabilize tetrahedral aluminium. The glasses </w:t>
      </w:r>
      <w:r w:rsidR="000707B0">
        <w:rPr>
          <w:rFonts w:cs="Times New Roman"/>
          <w:b w:val="0"/>
          <w:szCs w:val="24"/>
        </w:rPr>
        <w:t xml:space="preserve">have </w:t>
      </w:r>
      <w:r w:rsidRPr="000E2377">
        <w:rPr>
          <w:rFonts w:cs="Times New Roman"/>
          <w:b w:val="0"/>
          <w:szCs w:val="24"/>
        </w:rPr>
        <w:t>shown all have M</w:t>
      </w:r>
      <w:r w:rsidRPr="000E2377">
        <w:rPr>
          <w:rFonts w:cs="Times New Roman"/>
          <w:b w:val="0"/>
          <w:szCs w:val="24"/>
          <w:vertAlign w:val="subscript"/>
        </w:rPr>
        <w:t>2</w:t>
      </w:r>
      <w:r w:rsidRPr="000E2377">
        <w:rPr>
          <w:rFonts w:cs="Times New Roman"/>
          <w:b w:val="0"/>
          <w:szCs w:val="24"/>
        </w:rPr>
        <w:t>O + M’O ≥ Al</w:t>
      </w:r>
      <w:r w:rsidRPr="000E2377">
        <w:rPr>
          <w:rFonts w:cs="Times New Roman"/>
          <w:b w:val="0"/>
          <w:szCs w:val="24"/>
          <w:vertAlign w:val="subscript"/>
        </w:rPr>
        <w:t>2</w:t>
      </w:r>
      <w:r w:rsidRPr="000E2377">
        <w:rPr>
          <w:rFonts w:cs="Times New Roman"/>
          <w:b w:val="0"/>
          <w:szCs w:val="24"/>
        </w:rPr>
        <w:t>O</w:t>
      </w:r>
      <w:r w:rsidRPr="000E2377">
        <w:rPr>
          <w:rFonts w:cs="Times New Roman"/>
          <w:b w:val="0"/>
          <w:szCs w:val="24"/>
          <w:vertAlign w:val="subscript"/>
        </w:rPr>
        <w:t>3</w:t>
      </w:r>
      <w:r w:rsidRPr="000E2377">
        <w:rPr>
          <w:rFonts w:cs="Times New Roman"/>
          <w:b w:val="0"/>
          <w:szCs w:val="24"/>
        </w:rPr>
        <w:t>, hence the spectra are all very similar to each other. In theory</w:t>
      </w:r>
      <w:r w:rsidR="000707B0">
        <w:rPr>
          <w:rFonts w:cs="Times New Roman"/>
          <w:b w:val="0"/>
          <w:szCs w:val="24"/>
        </w:rPr>
        <w:t>,</w:t>
      </w:r>
      <w:r w:rsidRPr="000E2377">
        <w:rPr>
          <w:rFonts w:cs="Times New Roman"/>
          <w:b w:val="0"/>
          <w:szCs w:val="24"/>
        </w:rPr>
        <w:t xml:space="preserve"> as mentioned by </w:t>
      </w:r>
      <w:r w:rsidRPr="000E2377">
        <w:rPr>
          <w:rFonts w:cs="Times New Roman"/>
          <w:b w:val="0"/>
          <w:szCs w:val="24"/>
        </w:rPr>
        <w:fldChar w:fldCharType="begin" w:fldLock="1"/>
      </w:r>
      <w:r w:rsidRPr="000E2377">
        <w:rPr>
          <w:rFonts w:cs="Times New Roman"/>
          <w:b w:val="0"/>
          <w:szCs w:val="24"/>
        </w:rPr>
        <w:instrText>ADDIN CSL_CITATION { "citationItems" : [ { "id" : "ITEM-1", "itemData" : { "DOI" : "10.1111/j.1151-2916.1987.tb04859.x", "ISSN" : "15512916", "author" : [ { "dropping-particle" : "", "family" : "Risbud", "given" : "Subhash H.", "non-dropping-particle" : "", "parse-names" : false, "suffix" : "" }, { "dropping-particle" : "", "family" : "Kirkpatrick", "given" : "R. James", "non-dropping-particle" : "", "parse-names" : false, "suffix" : "" }, { "dropping-particle" : "", "family" : "Taglialavore", "given" : "Antoni P.", "non-dropping-particle" : "", "parse-names" : false, "suffix" : "" }, { "dropping-particle" : "", "family" : "Montez", "given" : "B.", "non-dropping-particle" : "", "parse-names" : false, "suffix" : "" } ], "container-title" : "Journal of the American Ceramic Society", "id" : "ITEM-1", "issue" : "1", "issued" : { "date-parts" : [ [ "1987" ] ] }, "page" : "C\u201010-C\u201012", "title" : "Solid\u2010state NMR Evidence of 4\u2010, 5, and 6\u2010Fold aluminum sites in roller\u2010quenched SiO2\u2010A12O3 glasses", "type" : "article-journal", "volume" : "70" }, "uris" : [ "http://www.mendeley.com/documents/?uuid=6a4a02f2-37e5-4014-ae47-eac451c0d5ba" ] } ], "mendeley" : { "formattedCitation" : "(Risbud, Kirkpatrick, Taglialavore, &amp; Montez, 1987)", "manualFormatting" : "Risbud et al., 1987", "plainTextFormattedCitation" : "(Risbud, Kirkpatrick, Taglialavore, &amp; Montez, 1987)", "previouslyFormattedCitation" : "(Risbud, Kirkpatrick, Taglialavore, &amp; Montez, 1987)" }, "properties" : { "noteIndex" : 86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Risbud et al., 1987</w:t>
      </w:r>
      <w:r w:rsidRPr="000E2377">
        <w:rPr>
          <w:rFonts w:cs="Times New Roman"/>
          <w:b w:val="0"/>
          <w:szCs w:val="24"/>
        </w:rPr>
        <w:fldChar w:fldCharType="end"/>
      </w:r>
      <w:r w:rsidRPr="000E2377">
        <w:rPr>
          <w:rFonts w:cs="Times New Roman"/>
          <w:b w:val="0"/>
          <w:szCs w:val="24"/>
        </w:rPr>
        <w:t xml:space="preserve"> and </w:t>
      </w:r>
      <w:r w:rsidRPr="000E2377">
        <w:rPr>
          <w:rFonts w:cs="Times New Roman"/>
          <w:b w:val="0"/>
          <w:szCs w:val="24"/>
        </w:rPr>
        <w:fldChar w:fldCharType="begin" w:fldLock="1"/>
      </w:r>
      <w:r w:rsidRPr="000E2377">
        <w:rPr>
          <w:rFonts w:cs="Times New Roman"/>
          <w:b w:val="0"/>
          <w:szCs w:val="24"/>
        </w:rPr>
        <w:instrText>ADDIN CSL_CITATION { "citationItems" : [ { "id" : "ITEM-1", "itemData" : { "DOI" : "10.1021/jp031348u", "ISBN" : "1520-6106", "ISSN" : "15206106", "abstract" : "The structure of homogeneous binary SiO2-Al2O3 glasses with 0.4 to up to 12.0 wt % Al2O3 have been studied using high-resolution 27Al, 17O, and 29Si NMR spectroscopic techniques. All glasses are found to contain a mixture of 4-, 5-, and 6-fold coordinated Al sites (AlIV, AlV, and AlVI). The relative proportions of these sites are strongly dependent on composition with AlIV (AlV) being most dominant in glasses with &lt;1 wt % (7 wt %) Al2O3. On the other hand, no significant dependence of Al speciation on fictive temperature is observed. The coordination polyhedra of a significant fraction of the AlVI sites in these glasses are found to be unusually distorted, similar to that in the case of crystalline Al2SiO5 polymorphs. The 17O NMR spectra show the presence of three types of oxygen sites, Si-O-AlV, Si-O-AlIV, and Si-O-Si, in these glasses. The 29Si MAS NMR spectra corroborate these results and reveal the presence of Q4 sites with and without Al next-nearest neighbors. It is hypothesized that the tetrahedral [AlO4/2]-1 units in glasses with &lt;1 wt % Al2O3 are predominantly charge balanced by the formation of oxygen triclusters, whereas the AlV and AlVI sites play the role of charge compensators in glasses with higher Al content. Addition of either low field strength alkali ions such as K+ or high field strength rare earth ions such as La3+ to these glasses results in charge balance and stabilization of AlIV sites.", "author" : [ { "dropping-particle" : "", "family" : "Sen", "given" : "S.", "non-dropping-particle" : "", "parse-names" : false, "suffix" : "" }, { "dropping-particle" : "", "family" : "Youngman", "given" : "R. E.", "non-dropping-particle" : "", "parse-names" : false, "suffix" : "" } ], "container-title" : "Journal of Physical Chemistry B", "id" : "ITEM-1", "issue" : "23", "issued" : { "date-parts" : [ [ "2004" ] ] }, "page" : "7557-7564", "title" : "High-resolution multinuclear NMR structural study of binary aluminosilicate and other related glasses", "type" : "article-journal", "volume" : "108" }, "uris" : [ "http://www.mendeley.com/documents/?uuid=d6077c3b-4338-439e-ba5a-c43e76b994c0" ] } ], "mendeley" : { "formattedCitation" : "(Sen &amp; Youngman, 2004)", "manualFormatting" : "Sen &amp; Youngman, 2004", "plainTextFormattedCitation" : "(Sen &amp; Youngman, 2004)", "previouslyFormattedCitation" : "(Sen &amp; Youngman, 2004)" }, "properties" : { "noteIndex" : 86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Sen &amp; Youngman, 2004</w:t>
      </w:r>
      <w:r w:rsidRPr="000E2377">
        <w:rPr>
          <w:rFonts w:cs="Times New Roman"/>
          <w:b w:val="0"/>
          <w:szCs w:val="24"/>
        </w:rPr>
        <w:fldChar w:fldCharType="end"/>
      </w:r>
      <w:r w:rsidRPr="000E2377">
        <w:rPr>
          <w:rFonts w:cs="Times New Roman"/>
          <w:b w:val="0"/>
          <w:szCs w:val="24"/>
        </w:rPr>
        <w:t xml:space="preserve"> the network modifier first charge compensates </w:t>
      </w:r>
      <w:r>
        <w:rPr>
          <w:rFonts w:cs="Times New Roman"/>
          <w:b w:val="0"/>
          <w:szCs w:val="24"/>
        </w:rPr>
        <w:t>AlO</w:t>
      </w:r>
      <w:r>
        <w:rPr>
          <w:rFonts w:cs="Times New Roman"/>
          <w:b w:val="0"/>
          <w:szCs w:val="24"/>
          <w:vertAlign w:val="subscript"/>
        </w:rPr>
        <w:t>4</w:t>
      </w:r>
      <w:r>
        <w:rPr>
          <w:rFonts w:cs="Times New Roman"/>
          <w:b w:val="0"/>
          <w:szCs w:val="24"/>
        </w:rPr>
        <w:t xml:space="preserve"> units; </w:t>
      </w:r>
      <w:r w:rsidRPr="000E2377">
        <w:rPr>
          <w:rFonts w:cs="Times New Roman"/>
          <w:b w:val="0"/>
          <w:szCs w:val="24"/>
        </w:rPr>
        <w:fldChar w:fldCharType="begin" w:fldLock="1"/>
      </w:r>
      <w:r>
        <w:rPr>
          <w:rFonts w:cs="Times New Roman"/>
          <w:b w:val="0"/>
          <w:szCs w:val="24"/>
        </w:rPr>
        <w:instrText>ADDIN CSL_CITATION { "citationItems" : [ { "id" : "ITEM-1", "itemData" : { "DOI" : "10.1103/PhysRevB.86.054203", "ISSN" : "1098-0121", "author" : [ { "dropping-particle" : "", "family" : "Zheng", "given" : "Q. J.", "non-dropping-particle" : "", "parse-names" : false, "suffix" : "" }, { "dropping-particle" : "", "family" : "Youngman", "given" : "R. E.", "non-dropping-particle" : "", "parse-names" : false, "suffix" : "" }, { "dropping-particle" : "", "family" : "Hogue", "given" : "C. L.", "non-dropping-particle" : "", "parse-names" : false, "suffix" : "" }, { "dropping-particle" : "", "family" : "Mauro", "given" : "J. C.", "non-dropping-particle" : "", "parse-names" : false, "suffix" : "" }, { "dropping-particle" : "", "family" : "Potuzak", "given" : "M.", "non-dropping-particle" : "", "parse-names" : false, "suffix" : "" }, { "dropping-particle" : "", "family" : "Smedskjaer", "given" : "M. M.", "non-dropping-particle" : "", "parse-names" : false, "suffix" : "" }, { "dropping-particle" : "", "family" : "Yue", "given" : "Y. Z.", "non-dropping-particle" : "", "parse-names" : false, "suffix" : "" } ], "container-title" : "Physical Review B", "id" : "ITEM-1", "issue" : "5", "issued" : { "date-parts" : [ [ "2012", "8" ] ] }, "page" : "054203", "title" : "Structure of boroaluminosilicate glasses: Impact of [Al2O3]/[SiO2] ratio on the structural role of sodium", "type" : "article-journal", "volume" : "86" }, "uris" : [ "http://www.mendeley.com/documents/?uuid=f6cfc0d4-ec89-4c18-843d-e1e63022faaf" ] } ], "mendeley" : { "formattedCitation" : "(Q. J. Zheng et al., 2012)", "manualFormatting" : "Zheng et al., (2012) have also shown that the network modifiers are used to compensate alumina", "plainTextFormattedCitation" : "(Q. J. Zheng et al., 2012)", "previouslyFormattedCitation" : "(Q. J. Zheng et al., 2012)" }, "properties" : { "noteIndex" : 83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Zheng et al., (2012) have</w:t>
      </w:r>
      <w:r>
        <w:rPr>
          <w:rFonts w:cs="Times New Roman"/>
          <w:b w:val="0"/>
          <w:noProof/>
          <w:szCs w:val="24"/>
        </w:rPr>
        <w:t xml:space="preserve"> also</w:t>
      </w:r>
      <w:r w:rsidRPr="000E2377">
        <w:rPr>
          <w:rFonts w:cs="Times New Roman"/>
          <w:b w:val="0"/>
          <w:noProof/>
          <w:szCs w:val="24"/>
        </w:rPr>
        <w:t xml:space="preserve"> shown that the network modifiers are used to compensate alumina</w:t>
      </w:r>
      <w:r w:rsidRPr="000E2377">
        <w:rPr>
          <w:rFonts w:cs="Times New Roman"/>
          <w:b w:val="0"/>
          <w:szCs w:val="24"/>
        </w:rPr>
        <w:fldChar w:fldCharType="end"/>
      </w:r>
      <w:r w:rsidRPr="000E2377">
        <w:rPr>
          <w:rFonts w:cs="Times New Roman"/>
          <w:b w:val="0"/>
          <w:szCs w:val="24"/>
        </w:rPr>
        <w:t xml:space="preserve"> before compensating boron or producing NBOs. However</w:t>
      </w:r>
      <w:r w:rsidR="00040067">
        <w:rPr>
          <w:rFonts w:cs="Times New Roman"/>
          <w:b w:val="0"/>
          <w:szCs w:val="24"/>
        </w:rPr>
        <w:t>,</w:t>
      </w:r>
      <w:r w:rsidRPr="000E2377">
        <w:rPr>
          <w:rFonts w:cs="Times New Roman"/>
          <w:b w:val="0"/>
          <w:szCs w:val="24"/>
        </w:rPr>
        <w:t xml:space="preserve"> in this case, even enough there is sufficient change balance to fully compensate Al, some Al</w:t>
      </w:r>
      <w:r w:rsidRPr="000E2377">
        <w:rPr>
          <w:rFonts w:cs="Times New Roman"/>
          <w:b w:val="0"/>
          <w:szCs w:val="24"/>
          <w:vertAlign w:val="superscript"/>
        </w:rPr>
        <w:t>5</w:t>
      </w:r>
      <w:r w:rsidRPr="000E2377">
        <w:rPr>
          <w:rFonts w:cs="Times New Roman"/>
          <w:b w:val="0"/>
          <w:szCs w:val="24"/>
        </w:rPr>
        <w:t xml:space="preserve"> is still present. </w:t>
      </w:r>
      <w:r>
        <w:rPr>
          <w:rFonts w:eastAsia="Calibri" w:cs="Times New Roman"/>
          <w:b w:val="0"/>
          <w:szCs w:val="24"/>
        </w:rPr>
        <w:t>A d</w:t>
      </w:r>
      <w:r w:rsidRPr="000E2377">
        <w:rPr>
          <w:rFonts w:eastAsia="Calibri" w:cs="Times New Roman"/>
          <w:b w:val="0"/>
          <w:szCs w:val="24"/>
        </w:rPr>
        <w:t>istribution of Al</w:t>
      </w:r>
      <w:r w:rsidRPr="000E2377">
        <w:rPr>
          <w:rFonts w:eastAsia="Calibri" w:cs="Times New Roman"/>
          <w:b w:val="0"/>
          <w:szCs w:val="24"/>
          <w:vertAlign w:val="superscript"/>
        </w:rPr>
        <w:t>5</w:t>
      </w:r>
      <w:r w:rsidRPr="000E2377">
        <w:rPr>
          <w:rFonts w:eastAsia="Calibri" w:cs="Times New Roman"/>
          <w:b w:val="0"/>
          <w:szCs w:val="24"/>
        </w:rPr>
        <w:t xml:space="preserve"> and Al</w:t>
      </w:r>
      <w:r w:rsidRPr="000E2377">
        <w:rPr>
          <w:rFonts w:eastAsia="Calibri" w:cs="Times New Roman"/>
          <w:b w:val="0"/>
          <w:szCs w:val="24"/>
          <w:vertAlign w:val="superscript"/>
        </w:rPr>
        <w:t>4</w:t>
      </w:r>
      <w:r w:rsidRPr="000E2377">
        <w:rPr>
          <w:rFonts w:eastAsia="Calibri" w:cs="Times New Roman"/>
          <w:b w:val="0"/>
          <w:szCs w:val="24"/>
        </w:rPr>
        <w:t xml:space="preserve"> species is consistent with </w:t>
      </w:r>
      <w:r w:rsidR="000707B0">
        <w:rPr>
          <w:rFonts w:eastAsia="Calibri" w:cs="Times New Roman"/>
          <w:b w:val="0"/>
          <w:szCs w:val="24"/>
        </w:rPr>
        <w:t xml:space="preserve">the </w:t>
      </w:r>
      <w:r w:rsidRPr="000E2377">
        <w:rPr>
          <w:rFonts w:eastAsia="Calibri" w:cs="Times New Roman"/>
          <w:b w:val="0"/>
          <w:szCs w:val="24"/>
        </w:rPr>
        <w:t xml:space="preserve">work of </w:t>
      </w:r>
      <w:r w:rsidRPr="000E2377">
        <w:rPr>
          <w:rFonts w:eastAsia="Calibri" w:cs="Times New Roman"/>
          <w:b w:val="0"/>
          <w:szCs w:val="24"/>
        </w:rPr>
        <w:fldChar w:fldCharType="begin" w:fldLock="1"/>
      </w:r>
      <w:r w:rsidRPr="000E2377">
        <w:rPr>
          <w:rFonts w:eastAsia="Calibri" w:cs="Times New Roman"/>
          <w:b w:val="0"/>
          <w:szCs w:val="24"/>
        </w:rPr>
        <w:instrText>ADDIN CSL_CITATION { "citationItems" : [ { "id" : "ITEM-1", "itemData" : { "DOI" : "10.1016/j.jnoncrysol.2016.03.011", "ISSN" : "00223093", "abstract" : "Clarifying the effect of pressure on the structure of aluminosilicate glasses is important for understanding the densification mechanism of these materials under pressure and the corresponding changes in macroscopic properties. In this study, we examine changes in density, network structure, indentation hardness, and crack resistance of sodium aluminosilicate glasses with varying Al/Si ratio and thus non-bridging oxygen (NBO) content before and after 1 GPa isostatic compression at elevated temperature. With increasing NBO content, the silicate network depolymerizes, resulting in higher atomic packing density, lower hardness, and higher crack resistance. The ability of the glasses to densify under isostatic compression is higher in the high-NBO glasses, and these glasses also exhibit more pronounced pressure-induced changes in mechanical properties. The 27Al NMR data show a surprising presence of five-fold aluminum in the as-made high-NBO glasses, with additional formation upon compression. Our study therefore provides new insights into the complicated relationship between Al coordination and NBO content in aluminosilicate glasses and how it affects their densification behavior.", "author" : [ { "dropping-particle" : "", "family" : "Bechgaard", "given" : "Tobias K.", "non-dropping-particle" : "", "parse-names" : false, "suffix" : "" }, { "dropping-particle" : "", "family" : "Goel", "given" : "Ashutosh", "non-dropping-particle" : "", "parse-names" : false, "suffix" : "" }, { "dropping-particle" : "", "family" : "Youngman", "given" : "Randall E.", "non-dropping-particle" : "", "parse-names" : false, "suffix" : "" }, { "dropping-particle" : "", "family" : "Mauro", "given" : "John C.", "non-dropping-particle" : "", "parse-names" : false, "suffix" : "" }, { "dropping-particle" : "", "family" : "Rzoska", "given" : "Sylwester J.", "non-dropping-particle" : "", "parse-names" : false, "suffix" : "" }, { "dropping-particle" : "", "family" : "Bockowski", "given" : "Michal", "non-dropping-particle" : "", "parse-names" : false, "suffix" : "" }, { "dropping-particle" : "", "family" : "Jensen", "given" : "Lars R.", "non-dropping-particle" : "", "parse-names" : false, "suffix" : "" }, { "dropping-particle" : "", "family" : "Smedskjaer", "given" : "Morten M.", "non-dropping-particle" : "", "parse-names" : false, "suffix" : "" } ], "container-title" : "Journal of Non-Crystalline Solids", "id" : "ITEM-1", "issued" : { "date-parts" : [ [ "2016" ] ] }, "page" : "49-57", "publisher" : "Elsevier B.V.", "title" : "Structure and mechanical properties of compressed sodium aluminosilicate glasses: Role of non-bridging oxygens", "type" : "article-journal", "volume" : "441" }, "uris" : [ "http://www.mendeley.com/documents/?uuid=f3d81a72-0841-413d-ab23-b0bab4bc6e54" ] } ], "mendeley" : { "formattedCitation" : "(Bechgaard et al., 2016)", "manualFormatting" : "Bechgaard et al., (2016", "plainTextFormattedCitation" : "(Bechgaard et al., 2016)", "previouslyFormattedCitation" : "(Bechgaard et al., 2016)" }, "properties" : { "noteIndex" : 12 }, "schema" : "https://github.com/citation-style-language/schema/raw/master/csl-citation.json" }</w:instrText>
      </w:r>
      <w:r w:rsidRPr="000E2377">
        <w:rPr>
          <w:rFonts w:eastAsia="Calibri" w:cs="Times New Roman"/>
          <w:b w:val="0"/>
          <w:szCs w:val="24"/>
        </w:rPr>
        <w:fldChar w:fldCharType="separate"/>
      </w:r>
      <w:r w:rsidRPr="000E2377">
        <w:rPr>
          <w:rFonts w:eastAsia="Calibri" w:cs="Times New Roman"/>
          <w:b w:val="0"/>
          <w:noProof/>
          <w:szCs w:val="24"/>
        </w:rPr>
        <w:t>Bechgaard et al., (2016</w:t>
      </w:r>
      <w:r w:rsidRPr="000E2377">
        <w:rPr>
          <w:rFonts w:eastAsia="Calibri" w:cs="Times New Roman"/>
          <w:b w:val="0"/>
          <w:szCs w:val="24"/>
        </w:rPr>
        <w:fldChar w:fldCharType="end"/>
      </w:r>
      <w:r w:rsidRPr="000E2377">
        <w:rPr>
          <w:rFonts w:eastAsia="Calibri" w:cs="Times New Roman"/>
          <w:b w:val="0"/>
          <w:szCs w:val="24"/>
        </w:rPr>
        <w:t xml:space="preserve">) on sodium aluminosilicate glass and </w:t>
      </w:r>
      <w:r w:rsidRPr="000E2377">
        <w:rPr>
          <w:rFonts w:eastAsia="Calibri" w:cs="Times New Roman"/>
          <w:b w:val="0"/>
          <w:szCs w:val="24"/>
        </w:rPr>
        <w:fldChar w:fldCharType="begin" w:fldLock="1"/>
      </w:r>
      <w:r w:rsidRPr="000E2377">
        <w:rPr>
          <w:rFonts w:eastAsia="Calibri" w:cs="Times New Roman"/>
          <w:b w:val="0"/>
          <w:szCs w:val="24"/>
        </w:rPr>
        <w:instrText>ADDIN CSL_CITATION { "citationItems" : [ { "id" : "ITEM-1", "itemData" : { "DOI" : "10.1103/PhysRevB.86.054203", "ISSN" : "1098-0121", "author" : [ { "dropping-particle" : "", "family" : "Zheng", "given" : "Q. J.", "non-dropping-particle" : "", "parse-names" : false, "suffix" : "" }, { "dropping-particle" : "", "family" : "Youngman", "given" : "R. E.", "non-dropping-particle" : "", "parse-names" : false, "suffix" : "" }, { "dropping-particle" : "", "family" : "Hogue", "given" : "C. L.", "non-dropping-particle" : "", "parse-names" : false, "suffix" : "" }, { "dropping-particle" : "", "family" : "Mauro", "given" : "J. C.", "non-dropping-particle" : "", "parse-names" : false, "suffix" : "" }, { "dropping-particle" : "", "family" : "Potuzak", "given" : "M.", "non-dropping-particle" : "", "parse-names" : false, "suffix" : "" }, { "dropping-particle" : "", "family" : "Smedskjaer", "given" : "M. M.", "non-dropping-particle" : "", "parse-names" : false, "suffix" : "" }, { "dropping-particle" : "", "family" : "Yue", "given" : "Y. Z.", "non-dropping-particle" : "", "parse-names" : false, "suffix" : "" } ], "container-title" : "Physical Review B", "id" : "ITEM-1", "issue" : "5", "issued" : { "date-parts" : [ [ "2012", "8" ] ] }, "page" : "054203", "title" : "Structure of boroaluminosilicate glasses: Impact of [Al2O3]/[SiO2] ratio on the structural role of sodium", "type" : "article-journal", "volume" : "86" }, "uris" : [ "http://www.mendeley.com/documents/?uuid=f6cfc0d4-ec89-4c18-843d-e1e63022faaf" ] } ], "mendeley" : { "formattedCitation" : "(Q. J. Zheng et al., 2012)", "manualFormatting" : "Zheng et al., (2012) ", "plainTextFormattedCitation" : "(Q. J. Zheng et al., 2012)", "previouslyFormattedCitation" : "(Q. J. Zheng et al., 2012)" }, "properties" : { "noteIndex" : 13 }, "schema" : "https://github.com/citation-style-language/schema/raw/master/csl-citation.json" }</w:instrText>
      </w:r>
      <w:r w:rsidRPr="000E2377">
        <w:rPr>
          <w:rFonts w:eastAsia="Calibri" w:cs="Times New Roman"/>
          <w:b w:val="0"/>
          <w:szCs w:val="24"/>
        </w:rPr>
        <w:fldChar w:fldCharType="separate"/>
      </w:r>
      <w:r w:rsidRPr="000E2377">
        <w:rPr>
          <w:rFonts w:eastAsia="Calibri" w:cs="Times New Roman"/>
          <w:b w:val="0"/>
          <w:noProof/>
          <w:szCs w:val="24"/>
        </w:rPr>
        <w:t xml:space="preserve">Zheng et al., (2012) </w:t>
      </w:r>
      <w:r w:rsidRPr="000E2377">
        <w:rPr>
          <w:rFonts w:eastAsia="Calibri" w:cs="Times New Roman"/>
          <w:b w:val="0"/>
          <w:szCs w:val="24"/>
        </w:rPr>
        <w:fldChar w:fldCharType="end"/>
      </w:r>
      <w:r w:rsidRPr="000E2377">
        <w:rPr>
          <w:rFonts w:eastAsia="Calibri" w:cs="Times New Roman"/>
          <w:b w:val="0"/>
          <w:szCs w:val="24"/>
        </w:rPr>
        <w:t xml:space="preserve">on </w:t>
      </w:r>
      <w:r>
        <w:rPr>
          <w:rFonts w:eastAsia="Calibri" w:cs="Times New Roman"/>
          <w:b w:val="0"/>
          <w:szCs w:val="24"/>
        </w:rPr>
        <w:t>boroaluminosilicate</w:t>
      </w:r>
      <w:r w:rsidRPr="000E2377">
        <w:rPr>
          <w:rFonts w:eastAsia="Calibri" w:cs="Times New Roman"/>
          <w:b w:val="0"/>
          <w:szCs w:val="24"/>
        </w:rPr>
        <w:t xml:space="preserve"> glass. </w:t>
      </w:r>
      <w:r>
        <w:rPr>
          <w:rFonts w:eastAsia="Calibri" w:cs="Times New Roman"/>
          <w:b w:val="0"/>
          <w:szCs w:val="24"/>
        </w:rPr>
        <w:t xml:space="preserve">From the deconvolution of </w:t>
      </w:r>
      <w:r w:rsidRPr="001D2149">
        <w:rPr>
          <w:rFonts w:eastAsia="Calibri" w:cs="Times New Roman"/>
          <w:b w:val="0"/>
          <w:szCs w:val="24"/>
          <w:vertAlign w:val="superscript"/>
        </w:rPr>
        <w:t>27</w:t>
      </w:r>
      <w:r>
        <w:rPr>
          <w:rFonts w:eastAsia="Calibri" w:cs="Times New Roman"/>
          <w:b w:val="0"/>
          <w:szCs w:val="24"/>
        </w:rPr>
        <w:t>Al, there</w:t>
      </w:r>
      <w:r w:rsidR="000707B0">
        <w:rPr>
          <w:rFonts w:eastAsia="Calibri" w:cs="Times New Roman"/>
          <w:b w:val="0"/>
          <w:szCs w:val="24"/>
        </w:rPr>
        <w:t>’</w:t>
      </w:r>
      <w:r>
        <w:rPr>
          <w:rFonts w:eastAsia="Calibri" w:cs="Times New Roman"/>
          <w:b w:val="0"/>
          <w:szCs w:val="24"/>
        </w:rPr>
        <w:t xml:space="preserve">s no huge </w:t>
      </w:r>
      <w:r w:rsidR="000707B0">
        <w:rPr>
          <w:rFonts w:eastAsia="Calibri" w:cs="Times New Roman"/>
          <w:b w:val="0"/>
          <w:szCs w:val="24"/>
        </w:rPr>
        <w:t xml:space="preserve">difference </w:t>
      </w:r>
      <w:r>
        <w:rPr>
          <w:rFonts w:eastAsia="Calibri" w:cs="Times New Roman"/>
          <w:b w:val="0"/>
          <w:szCs w:val="24"/>
        </w:rPr>
        <w:t>can be seen between for each glass with Al</w:t>
      </w:r>
      <w:r w:rsidRPr="001D2149">
        <w:rPr>
          <w:rFonts w:eastAsia="Calibri" w:cs="Times New Roman"/>
          <w:b w:val="0"/>
          <w:szCs w:val="24"/>
          <w:vertAlign w:val="superscript"/>
        </w:rPr>
        <w:t>4</w:t>
      </w:r>
      <w:r>
        <w:rPr>
          <w:rFonts w:eastAsia="Calibri" w:cs="Times New Roman"/>
          <w:b w:val="0"/>
          <w:szCs w:val="24"/>
        </w:rPr>
        <w:t xml:space="preserve"> become </w:t>
      </w:r>
      <w:r w:rsidR="000707B0">
        <w:rPr>
          <w:rFonts w:eastAsia="Calibri" w:cs="Times New Roman"/>
          <w:b w:val="0"/>
          <w:szCs w:val="24"/>
        </w:rPr>
        <w:t xml:space="preserve">a </w:t>
      </w:r>
      <w:r>
        <w:rPr>
          <w:rFonts w:eastAsia="Calibri" w:cs="Times New Roman"/>
          <w:b w:val="0"/>
          <w:szCs w:val="24"/>
        </w:rPr>
        <w:t xml:space="preserve">dominant structure in </w:t>
      </w:r>
      <w:r w:rsidR="000707B0">
        <w:rPr>
          <w:rFonts w:eastAsia="Calibri" w:cs="Times New Roman"/>
          <w:b w:val="0"/>
          <w:szCs w:val="24"/>
        </w:rPr>
        <w:t xml:space="preserve">the </w:t>
      </w:r>
      <w:r>
        <w:rPr>
          <w:rFonts w:eastAsia="Calibri" w:cs="Times New Roman"/>
          <w:b w:val="0"/>
          <w:szCs w:val="24"/>
        </w:rPr>
        <w:t xml:space="preserve">glass composition. </w:t>
      </w:r>
    </w:p>
    <w:p w14:paraId="77B77B32" w14:textId="77777777" w:rsidR="00D740DC" w:rsidRPr="000E2377" w:rsidRDefault="00D740DC" w:rsidP="00D740DC">
      <w:pPr>
        <w:keepNext/>
        <w:rPr>
          <w:rFonts w:cs="Times New Roman"/>
          <w:b w:val="0"/>
          <w:i/>
          <w:szCs w:val="24"/>
        </w:rPr>
      </w:pPr>
      <w:r w:rsidRPr="000E2377">
        <w:rPr>
          <w:rFonts w:cs="Times New Roman"/>
          <w:b w:val="0"/>
          <w:i/>
          <w:szCs w:val="24"/>
        </w:rPr>
        <w:t>4.</w:t>
      </w:r>
      <w:r>
        <w:rPr>
          <w:rFonts w:cs="Times New Roman"/>
          <w:b w:val="0"/>
          <w:i/>
          <w:szCs w:val="24"/>
        </w:rPr>
        <w:t>4</w:t>
      </w:r>
      <w:r w:rsidRPr="000E2377">
        <w:rPr>
          <w:rFonts w:cs="Times New Roman"/>
          <w:b w:val="0"/>
          <w:i/>
          <w:szCs w:val="24"/>
        </w:rPr>
        <w:t>.</w:t>
      </w:r>
      <w:r>
        <w:rPr>
          <w:rFonts w:cs="Times New Roman"/>
          <w:b w:val="0"/>
          <w:i/>
          <w:szCs w:val="24"/>
        </w:rPr>
        <w:t>1</w:t>
      </w:r>
      <w:r w:rsidRPr="000E2377">
        <w:rPr>
          <w:rFonts w:cs="Times New Roman"/>
          <w:b w:val="0"/>
          <w:i/>
          <w:szCs w:val="24"/>
        </w:rPr>
        <w:t xml:space="preserve">.3 </w:t>
      </w:r>
      <w:r w:rsidRPr="000E2377">
        <w:rPr>
          <w:rFonts w:cs="Times New Roman"/>
          <w:b w:val="0"/>
          <w:i/>
          <w:szCs w:val="24"/>
          <w:vertAlign w:val="superscript"/>
        </w:rPr>
        <w:t>11</w:t>
      </w:r>
      <w:r w:rsidRPr="000E2377">
        <w:rPr>
          <w:rFonts w:cs="Times New Roman"/>
          <w:b w:val="0"/>
          <w:i/>
          <w:szCs w:val="24"/>
        </w:rPr>
        <w:t>Boron NMR</w:t>
      </w:r>
    </w:p>
    <w:p w14:paraId="54FE134A" w14:textId="77777777" w:rsidR="00D740DC" w:rsidRPr="000E2377" w:rsidRDefault="00D740DC" w:rsidP="00D740DC">
      <w:pPr>
        <w:jc w:val="center"/>
        <w:rPr>
          <w:rFonts w:cs="Times New Roman"/>
          <w:szCs w:val="24"/>
        </w:rPr>
      </w:pPr>
    </w:p>
    <w:p w14:paraId="3236EDE7" w14:textId="7A09DD88" w:rsidR="00D740DC" w:rsidRDefault="008E655B" w:rsidP="00D740DC">
      <w:pPr>
        <w:rPr>
          <w:rFonts w:cs="Times New Roman"/>
          <w:szCs w:val="24"/>
        </w:rPr>
      </w:pPr>
      <w:r w:rsidRPr="000E2377">
        <w:rPr>
          <w:noProof/>
          <w:lang w:eastAsia="en-MY"/>
        </w:rPr>
        <mc:AlternateContent>
          <mc:Choice Requires="wps">
            <w:drawing>
              <wp:anchor distT="0" distB="0" distL="114300" distR="114300" simplePos="0" relativeHeight="252468224" behindDoc="0" locked="0" layoutInCell="1" allowOverlap="1" wp14:anchorId="3B856CF7" wp14:editId="0EE1CF2A">
                <wp:simplePos x="0" y="0"/>
                <wp:positionH relativeFrom="margin">
                  <wp:posOffset>4085731</wp:posOffset>
                </wp:positionH>
                <wp:positionV relativeFrom="paragraph">
                  <wp:posOffset>29421</wp:posOffset>
                </wp:positionV>
                <wp:extent cx="510746" cy="296545"/>
                <wp:effectExtent l="0" t="0" r="0" b="0"/>
                <wp:wrapNone/>
                <wp:docPr id="2097" name="Text Box 2097"/>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5751DC52"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856CF7" id="Text Box 2097" o:spid="_x0000_s1206" type="#_x0000_t202" style="position:absolute;margin-left:321.7pt;margin-top:2.3pt;width:40.2pt;height:23.35pt;z-index:2524682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" filled="f" stroked="f" strokeweight=".5pt">
                <v:textbox>
                  <w:txbxContent>
                    <w:p w14:paraId="5751DC52"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v:textbox>
                <w10:wrap anchorx="margin"/>
              </v:shape>
            </w:pict>
          </mc:Fallback>
        </mc:AlternateContent>
      </w:r>
      <w:r w:rsidR="00D740DC" w:rsidRPr="00BA05DE">
        <w:rPr>
          <w:noProof/>
          <w:lang w:eastAsia="en-MY"/>
        </w:rPr>
        <mc:AlternateContent>
          <mc:Choice Requires="wps">
            <w:drawing>
              <wp:anchor distT="0" distB="0" distL="114300" distR="114300" simplePos="0" relativeHeight="252500992" behindDoc="0" locked="0" layoutInCell="1" allowOverlap="1" wp14:anchorId="441632C6" wp14:editId="22A6B0D2">
                <wp:simplePos x="0" y="0"/>
                <wp:positionH relativeFrom="margin">
                  <wp:posOffset>0</wp:posOffset>
                </wp:positionH>
                <wp:positionV relativeFrom="paragraph">
                  <wp:posOffset>-635</wp:posOffset>
                </wp:positionV>
                <wp:extent cx="510746" cy="296545"/>
                <wp:effectExtent l="0" t="0" r="0" b="0"/>
                <wp:wrapNone/>
                <wp:docPr id="2176" name="Text Box 2176"/>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77E85CB7" w14:textId="77777777" w:rsidR="00230AB9" w:rsidRPr="00BA05DE" w:rsidRDefault="00230AB9" w:rsidP="00D740DC">
                            <w:pPr>
                              <w:rPr>
                                <w:rFonts w:cs="Times New Roman"/>
                                <w:szCs w:val="24"/>
                              </w:rPr>
                            </w:pPr>
                            <w:r w:rsidRPr="00BA05DE">
                              <w:rPr>
                                <w:rFonts w:cs="Times New Roman"/>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1632C6" id="Text Box 2176" o:spid="_x0000_s1207" type="#_x0000_t202" style="position:absolute;margin-left:0;margin-top:-.05pt;width:40.2pt;height:23.35pt;z-index:2525009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" filled="f" stroked="f" strokeweight=".5pt">
                <v:textbox>
                  <w:txbxContent>
                    <w:p w14:paraId="77E85CB7" w14:textId="77777777" w:rsidR="00230AB9" w:rsidRPr="00BA05DE" w:rsidRDefault="00230AB9" w:rsidP="00D740DC">
                      <w:pPr>
                        <w:rPr>
                          <w:rFonts w:cs="Times New Roman"/>
                          <w:szCs w:val="24"/>
                        </w:rPr>
                      </w:pPr>
                      <w:r w:rsidRPr="00BA05DE">
                        <w:rPr>
                          <w:rFonts w:cs="Times New Roman"/>
                          <w:szCs w:val="24"/>
                        </w:rPr>
                        <w:t>a)</w:t>
                      </w:r>
                    </w:p>
                  </w:txbxContent>
                </v:textbox>
                <w10:wrap anchorx="margin"/>
              </v:shape>
            </w:pict>
          </mc:Fallback>
        </mc:AlternateContent>
      </w:r>
      <w:r w:rsidR="00D740DC" w:rsidRPr="000E2377">
        <w:rPr>
          <w:noProof/>
          <w:lang w:eastAsia="en-MY"/>
        </w:rPr>
        <mc:AlternateContent>
          <mc:Choice Requires="wps">
            <w:drawing>
              <wp:anchor distT="0" distB="0" distL="114300" distR="114300" simplePos="0" relativeHeight="252467200" behindDoc="0" locked="0" layoutInCell="1" allowOverlap="1" wp14:anchorId="6FDA286D" wp14:editId="1F4DCA05">
                <wp:simplePos x="0" y="0"/>
                <wp:positionH relativeFrom="margin">
                  <wp:posOffset>1280160</wp:posOffset>
                </wp:positionH>
                <wp:positionV relativeFrom="paragraph">
                  <wp:posOffset>21821</wp:posOffset>
                </wp:positionV>
                <wp:extent cx="407670" cy="376555"/>
                <wp:effectExtent l="0" t="0" r="0" b="4445"/>
                <wp:wrapNone/>
                <wp:docPr id="2083" name="Text Box 2083"/>
                <wp:cNvGraphicFramePr/>
                <a:graphic xmlns:a="http://schemas.openxmlformats.org/drawingml/2006/main">
                  <a:graphicData uri="http://schemas.microsoft.com/office/word/2010/wordprocessingShape">
                    <wps:wsp>
                      <wps:cNvSpPr txBox="1"/>
                      <wps:spPr>
                        <a:xfrm>
                          <a:off x="0" y="0"/>
                          <a:ext cx="407670" cy="376555"/>
                        </a:xfrm>
                        <a:prstGeom prst="rect">
                          <a:avLst/>
                        </a:prstGeom>
                        <a:noFill/>
                        <a:ln w="6350">
                          <a:noFill/>
                        </a:ln>
                      </wps:spPr>
                      <wps:txbx>
                        <w:txbxContent>
                          <w:p w14:paraId="4C99B626"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A286D" id="Text Box 2083" o:spid="_x0000_s1208" type="#_x0000_t202" style="position:absolute;margin-left:100.8pt;margin-top:1.7pt;width:32.1pt;height:29.65pt;z-index:25246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" filled="f" stroked="f" strokeweight=".5pt">
                <v:textbox>
                  <w:txbxContent>
                    <w:p w14:paraId="4C99B626"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v:textbox>
                <w10:wrap anchorx="margin"/>
              </v:shape>
            </w:pict>
          </mc:Fallback>
        </mc:AlternateContent>
      </w:r>
      <w:r w:rsidR="00D740DC" w:rsidRPr="000E2377">
        <w:rPr>
          <w:noProof/>
          <w:lang w:eastAsia="en-MY"/>
        </w:rPr>
        <mc:AlternateContent>
          <mc:Choice Requires="wps">
            <w:drawing>
              <wp:anchor distT="0" distB="0" distL="114300" distR="114300" simplePos="0" relativeHeight="252469248" behindDoc="0" locked="0" layoutInCell="1" allowOverlap="1" wp14:anchorId="064BF55E" wp14:editId="1C2217C7">
                <wp:simplePos x="0" y="0"/>
                <wp:positionH relativeFrom="margin">
                  <wp:posOffset>1598583</wp:posOffset>
                </wp:positionH>
                <wp:positionV relativeFrom="paragraph">
                  <wp:posOffset>53975</wp:posOffset>
                </wp:positionV>
                <wp:extent cx="510746" cy="296545"/>
                <wp:effectExtent l="0" t="0" r="0" b="0"/>
                <wp:wrapNone/>
                <wp:docPr id="2098" name="Text Box 2098"/>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1B279567"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4BF55E" id="Text Box 2098" o:spid="_x0000_s1209" type="#_x0000_t202" style="position:absolute;margin-left:125.85pt;margin-top:4.25pt;width:40.2pt;height:23.35pt;z-index:2524692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" filled="f" stroked="f" strokeweight=".5pt">
                <v:textbox>
                  <w:txbxContent>
                    <w:p w14:paraId="1B279567"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v:textbox>
                <w10:wrap anchorx="margin"/>
              </v:shape>
            </w:pict>
          </mc:Fallback>
        </mc:AlternateContent>
      </w:r>
      <w:r w:rsidR="00D740DC" w:rsidRPr="000E2377">
        <w:rPr>
          <w:noProof/>
          <w:lang w:eastAsia="en-MY"/>
        </w:rPr>
        <mc:AlternateContent>
          <mc:Choice Requires="wps">
            <w:drawing>
              <wp:anchor distT="0" distB="0" distL="114300" distR="114300" simplePos="0" relativeHeight="252470272" behindDoc="0" locked="0" layoutInCell="1" allowOverlap="1" wp14:anchorId="32D6AFDC" wp14:editId="71255B64">
                <wp:simplePos x="0" y="0"/>
                <wp:positionH relativeFrom="margin">
                  <wp:posOffset>4318000</wp:posOffset>
                </wp:positionH>
                <wp:positionV relativeFrom="paragraph">
                  <wp:posOffset>260350</wp:posOffset>
                </wp:positionV>
                <wp:extent cx="510746" cy="296545"/>
                <wp:effectExtent l="0" t="0" r="0" b="0"/>
                <wp:wrapNone/>
                <wp:docPr id="2099" name="Text Box 2099"/>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51558338"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D6AFDC" id="Text Box 2099" o:spid="_x0000_s1210" type="#_x0000_t202" style="position:absolute;margin-left:340pt;margin-top:20.5pt;width:40.2pt;height:23.35pt;z-index:252470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" filled="f" stroked="f" strokeweight=".5pt">
                <v:textbox>
                  <w:txbxContent>
                    <w:p w14:paraId="51558338"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v:textbox>
                <w10:wrap anchorx="margin"/>
              </v:shape>
            </w:pict>
          </mc:Fallback>
        </mc:AlternateContent>
      </w:r>
      <w:r w:rsidR="00D740DC" w:rsidRPr="000E2377">
        <w:rPr>
          <w:noProof/>
          <w:lang w:eastAsia="en-MY"/>
        </w:rPr>
        <w:drawing>
          <wp:inline distT="0" distB="0" distL="0" distR="0" wp14:anchorId="41300EAD" wp14:editId="6BAFECB8">
            <wp:extent cx="2898525" cy="2196000"/>
            <wp:effectExtent l="0" t="0" r="0" b="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98525" cy="2196000"/>
                    </a:xfrm>
                    <a:prstGeom prst="rect">
                      <a:avLst/>
                    </a:prstGeom>
                    <a:noFill/>
                    <a:ln>
                      <a:noFill/>
                    </a:ln>
                  </pic:spPr>
                </pic:pic>
              </a:graphicData>
            </a:graphic>
          </wp:inline>
        </w:drawing>
      </w:r>
      <w:r w:rsidR="00D740DC" w:rsidRPr="000E2377">
        <w:rPr>
          <w:rFonts w:cs="Times New Roman"/>
          <w:szCs w:val="24"/>
        </w:rPr>
        <w:t xml:space="preserve"> </w:t>
      </w:r>
      <w:r w:rsidR="00D740DC" w:rsidRPr="000E2377">
        <w:rPr>
          <w:noProof/>
          <w:lang w:eastAsia="en-MY"/>
        </w:rPr>
        <w:drawing>
          <wp:inline distT="0" distB="0" distL="0" distR="0" wp14:anchorId="571941EF" wp14:editId="7F0347A9">
            <wp:extent cx="2780524" cy="2052000"/>
            <wp:effectExtent l="0" t="0" r="0"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780524" cy="2052000"/>
                    </a:xfrm>
                    <a:prstGeom prst="rect">
                      <a:avLst/>
                    </a:prstGeom>
                    <a:noFill/>
                    <a:ln>
                      <a:noFill/>
                    </a:ln>
                  </pic:spPr>
                </pic:pic>
              </a:graphicData>
            </a:graphic>
          </wp:inline>
        </w:drawing>
      </w:r>
    </w:p>
    <w:p w14:paraId="1CD4837D" w14:textId="73F88538" w:rsidR="00B14A8A" w:rsidRDefault="0080406D" w:rsidP="00B14A8A">
      <w:pPr>
        <w:pStyle w:val="Caption"/>
        <w:rPr>
          <w:szCs w:val="24"/>
        </w:rPr>
      </w:pPr>
      <w:bookmarkStart w:id="700" w:name="_Toc521420492"/>
      <w:bookmarkStart w:id="701" w:name="_Toc525223226"/>
      <w:bookmarkStart w:id="702" w:name="_Toc525528373"/>
      <w:bookmarkStart w:id="703" w:name="_Toc525706388"/>
      <w:r>
        <w:t>Figure 4.9</w:t>
      </w:r>
      <w:r w:rsidR="00B14A8A" w:rsidRPr="000E2377">
        <w:t>:</w:t>
      </w:r>
      <w:r w:rsidR="00B14A8A" w:rsidRPr="0015240C">
        <w:rPr>
          <w:szCs w:val="24"/>
        </w:rPr>
        <w:t xml:space="preserve"> </w:t>
      </w:r>
      <w:r w:rsidR="00B14A8A">
        <w:rPr>
          <w:szCs w:val="24"/>
        </w:rPr>
        <w:t xml:space="preserve">a) </w:t>
      </w:r>
      <w:r w:rsidR="00B14A8A" w:rsidRPr="000E2377">
        <w:rPr>
          <w:szCs w:val="24"/>
        </w:rPr>
        <w:t>Normalise</w:t>
      </w:r>
      <w:r w:rsidR="00B14A8A">
        <w:rPr>
          <w:szCs w:val="24"/>
        </w:rPr>
        <w:t>d</w:t>
      </w:r>
      <w:r w:rsidR="00B14A8A" w:rsidRPr="000E2377">
        <w:t xml:space="preserve"> </w:t>
      </w:r>
      <w:r w:rsidR="00B14A8A" w:rsidRPr="000E2377">
        <w:rPr>
          <w:szCs w:val="24"/>
          <w:vertAlign w:val="superscript"/>
        </w:rPr>
        <w:t>11</w:t>
      </w:r>
      <w:r w:rsidR="00B14A8A" w:rsidRPr="000E2377">
        <w:rPr>
          <w:szCs w:val="24"/>
        </w:rPr>
        <w:t xml:space="preserve">B NMR spectra </w:t>
      </w:r>
      <w:r w:rsidR="00B14A8A">
        <w:rPr>
          <w:szCs w:val="24"/>
        </w:rPr>
        <w:t xml:space="preserve">and b) deconvolution of </w:t>
      </w:r>
      <w:r w:rsidR="00B14A8A" w:rsidRPr="000E2377">
        <w:rPr>
          <w:szCs w:val="24"/>
          <w:vertAlign w:val="superscript"/>
        </w:rPr>
        <w:t>11</w:t>
      </w:r>
      <w:r w:rsidR="00B14A8A" w:rsidRPr="000E2377">
        <w:rPr>
          <w:szCs w:val="24"/>
        </w:rPr>
        <w:t>B</w:t>
      </w:r>
      <w:r w:rsidR="00B14A8A">
        <w:rPr>
          <w:szCs w:val="24"/>
        </w:rPr>
        <w:t xml:space="preserve"> NMR </w:t>
      </w:r>
      <w:r w:rsidR="00B14A8A" w:rsidRPr="000E2377">
        <w:rPr>
          <w:szCs w:val="24"/>
        </w:rPr>
        <w:t>for selected glasses</w:t>
      </w:r>
      <w:r w:rsidR="00B14A8A">
        <w:rPr>
          <w:szCs w:val="24"/>
        </w:rPr>
        <w:t>. (</w:t>
      </w:r>
      <w:r w:rsidR="00B14A8A" w:rsidRPr="00D55E62">
        <w:rPr>
          <w:i/>
          <w:szCs w:val="24"/>
        </w:rPr>
        <w:t>Continue</w:t>
      </w:r>
      <w:r w:rsidR="00B14A8A">
        <w:rPr>
          <w:i/>
          <w:szCs w:val="24"/>
        </w:rPr>
        <w:t>d on</w:t>
      </w:r>
      <w:r w:rsidR="00B14A8A" w:rsidRPr="00D55E62">
        <w:rPr>
          <w:i/>
          <w:szCs w:val="24"/>
        </w:rPr>
        <w:t xml:space="preserve"> next page</w:t>
      </w:r>
      <w:r w:rsidR="00B14A8A">
        <w:rPr>
          <w:szCs w:val="24"/>
        </w:rPr>
        <w:t>)</w:t>
      </w:r>
      <w:bookmarkEnd w:id="700"/>
      <w:bookmarkEnd w:id="701"/>
      <w:bookmarkEnd w:id="702"/>
      <w:bookmarkEnd w:id="703"/>
    </w:p>
    <w:p w14:paraId="62B13F49" w14:textId="77777777" w:rsidR="00B14A8A" w:rsidRDefault="00B14A8A" w:rsidP="00D740DC">
      <w:pPr>
        <w:rPr>
          <w:rFonts w:cs="Times New Roman"/>
          <w:szCs w:val="24"/>
        </w:rPr>
      </w:pPr>
    </w:p>
    <w:tbl>
      <w:tblPr>
        <w:tblStyle w:val="TableGrid"/>
        <w:tblW w:w="0" w:type="auto"/>
        <w:tblLook w:val="04A0" w:firstRow="1" w:lastRow="0" w:firstColumn="1" w:lastColumn="0" w:noHBand="0" w:noVBand="1"/>
      </w:tblPr>
      <w:tblGrid>
        <w:gridCol w:w="4333"/>
        <w:gridCol w:w="4683"/>
      </w:tblGrid>
      <w:tr w:rsidR="00D740DC" w14:paraId="71B0CAD3" w14:textId="77777777" w:rsidTr="00B11F5F">
        <w:tc>
          <w:tcPr>
            <w:tcW w:w="4508" w:type="dxa"/>
          </w:tcPr>
          <w:p w14:paraId="00517F9A" w14:textId="77777777" w:rsidR="00D740DC" w:rsidRDefault="00D740DC" w:rsidP="00B11F5F">
            <w:pPr>
              <w:rPr>
                <w:rFonts w:cs="Times New Roman"/>
                <w:szCs w:val="24"/>
              </w:rPr>
            </w:pPr>
            <w:r w:rsidRPr="00BA05DE">
              <w:rPr>
                <w:noProof/>
                <w:lang w:eastAsia="en-MY"/>
              </w:rPr>
              <w:lastRenderedPageBreak/>
              <mc:AlternateContent>
                <mc:Choice Requires="wps">
                  <w:drawing>
                    <wp:anchor distT="0" distB="0" distL="114300" distR="114300" simplePos="0" relativeHeight="252502016" behindDoc="0" locked="0" layoutInCell="1" allowOverlap="1" wp14:anchorId="3BE1166E" wp14:editId="45265380">
                      <wp:simplePos x="0" y="0"/>
                      <wp:positionH relativeFrom="margin">
                        <wp:posOffset>-37844</wp:posOffset>
                      </wp:positionH>
                      <wp:positionV relativeFrom="paragraph">
                        <wp:posOffset>-255765</wp:posOffset>
                      </wp:positionV>
                      <wp:extent cx="510746" cy="296545"/>
                      <wp:effectExtent l="0" t="0" r="0" b="0"/>
                      <wp:wrapNone/>
                      <wp:docPr id="2177" name="Text Box 2177"/>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5607E4A8" w14:textId="77777777" w:rsidR="00230AB9" w:rsidRPr="00BA05DE" w:rsidRDefault="00230AB9" w:rsidP="00D740DC">
                                  <w:pPr>
                                    <w:rPr>
                                      <w:rFonts w:cs="Times New Roman"/>
                                      <w:szCs w:val="24"/>
                                    </w:rPr>
                                  </w:pPr>
                                  <w:r>
                                    <w:rPr>
                                      <w:rFonts w:cs="Times New Roman"/>
                                      <w:szCs w:val="24"/>
                                    </w:rPr>
                                    <w:t>b</w:t>
                                  </w:r>
                                  <w:r w:rsidRPr="00BA05DE">
                                    <w:rPr>
                                      <w:rFonts w:cs="Times New Roman"/>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E1166E" id="Text Box 2177" o:spid="_x0000_s1211" type="#_x0000_t202" style="position:absolute;margin-left:-3pt;margin-top:-20.15pt;width:40.2pt;height:23.35pt;z-index:2525020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" filled="f" stroked="f" strokeweight=".5pt">
                      <v:textbox>
                        <w:txbxContent>
                          <w:p w14:paraId="5607E4A8" w14:textId="77777777" w:rsidR="00230AB9" w:rsidRPr="00BA05DE" w:rsidRDefault="00230AB9" w:rsidP="00D740DC">
                            <w:pPr>
                              <w:rPr>
                                <w:rFonts w:cs="Times New Roman"/>
                                <w:szCs w:val="24"/>
                              </w:rPr>
                            </w:pPr>
                            <w:r>
                              <w:rPr>
                                <w:rFonts w:cs="Times New Roman"/>
                                <w:szCs w:val="24"/>
                              </w:rPr>
                              <w:t>b</w:t>
                            </w:r>
                            <w:r w:rsidRPr="00BA05DE">
                              <w:rPr>
                                <w:rFonts w:cs="Times New Roman"/>
                                <w:szCs w:val="24"/>
                              </w:rPr>
                              <w:t>)</w:t>
                            </w:r>
                          </w:p>
                        </w:txbxContent>
                      </v:textbox>
                      <w10:wrap anchorx="margin"/>
                    </v:shape>
                  </w:pict>
                </mc:Fallback>
              </mc:AlternateContent>
            </w:r>
            <w:r w:rsidRPr="00BA05DE">
              <w:rPr>
                <w:noProof/>
                <w:lang w:eastAsia="en-MY"/>
              </w:rPr>
              <mc:AlternateContent>
                <mc:Choice Requires="wps">
                  <w:drawing>
                    <wp:anchor distT="0" distB="0" distL="114300" distR="114300" simplePos="0" relativeHeight="252487680" behindDoc="0" locked="0" layoutInCell="1" allowOverlap="1" wp14:anchorId="6A5E31A9" wp14:editId="3AA40A45">
                      <wp:simplePos x="0" y="0"/>
                      <wp:positionH relativeFrom="margin">
                        <wp:posOffset>700240</wp:posOffset>
                      </wp:positionH>
                      <wp:positionV relativeFrom="paragraph">
                        <wp:posOffset>422976</wp:posOffset>
                      </wp:positionV>
                      <wp:extent cx="510746" cy="296545"/>
                      <wp:effectExtent l="0" t="0" r="0" b="0"/>
                      <wp:wrapNone/>
                      <wp:docPr id="2070" name="Text Box 2070"/>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1942E4DC"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5E31A9" id="Text Box 2070" o:spid="_x0000_s1212" type="#_x0000_t202" style="position:absolute;margin-left:55.15pt;margin-top:33.3pt;width:40.2pt;height:23.35pt;z-index:2524876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" filled="f" stroked="f" strokeweight=".5pt">
                      <v:textbox>
                        <w:txbxContent>
                          <w:p w14:paraId="1942E4DC"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v:textbox>
                      <w10:wrap anchorx="margin"/>
                    </v:shape>
                  </w:pict>
                </mc:Fallback>
              </mc:AlternateContent>
            </w:r>
            <w:r w:rsidRPr="0006562C">
              <w:rPr>
                <w:noProof/>
                <w:lang w:eastAsia="en-MY"/>
              </w:rPr>
              <mc:AlternateContent>
                <mc:Choice Requires="wps">
                  <w:drawing>
                    <wp:anchor distT="0" distB="0" distL="114300" distR="114300" simplePos="0" relativeHeight="252486656" behindDoc="0" locked="0" layoutInCell="1" allowOverlap="1" wp14:anchorId="422AC5CB" wp14:editId="7DF2D695">
                      <wp:simplePos x="0" y="0"/>
                      <wp:positionH relativeFrom="margin">
                        <wp:posOffset>795143</wp:posOffset>
                      </wp:positionH>
                      <wp:positionV relativeFrom="paragraph">
                        <wp:posOffset>149844</wp:posOffset>
                      </wp:positionV>
                      <wp:extent cx="510746" cy="296545"/>
                      <wp:effectExtent l="0" t="0" r="0" b="0"/>
                      <wp:wrapNone/>
                      <wp:docPr id="2008" name="Text Box 2008"/>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14EB895E"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2AC5CB" id="Text Box 2008" o:spid="_x0000_s1213" type="#_x0000_t202" style="position:absolute;margin-left:62.6pt;margin-top:11.8pt;width:40.2pt;height:23.35pt;z-index:252486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" filled="f" stroked="f" strokeweight=".5pt">
                      <v:textbox>
                        <w:txbxContent>
                          <w:p w14:paraId="14EB895E"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v:textbox>
                      <w10:wrap anchorx="margin"/>
                    </v:shape>
                  </w:pict>
                </mc:Fallback>
              </mc:AlternateContent>
            </w:r>
            <w:r w:rsidRPr="0006562C">
              <w:rPr>
                <w:noProof/>
                <w:lang w:eastAsia="en-MY"/>
              </w:rPr>
              <mc:AlternateContent>
                <mc:Choice Requires="wps">
                  <w:drawing>
                    <wp:anchor distT="0" distB="0" distL="114300" distR="114300" simplePos="0" relativeHeight="252485632" behindDoc="0" locked="0" layoutInCell="1" allowOverlap="1" wp14:anchorId="681F0A29" wp14:editId="09D5C6CD">
                      <wp:simplePos x="0" y="0"/>
                      <wp:positionH relativeFrom="margin">
                        <wp:posOffset>1044525</wp:posOffset>
                      </wp:positionH>
                      <wp:positionV relativeFrom="paragraph">
                        <wp:posOffset>719859</wp:posOffset>
                      </wp:positionV>
                      <wp:extent cx="510746" cy="296545"/>
                      <wp:effectExtent l="0" t="0" r="0" b="0"/>
                      <wp:wrapNone/>
                      <wp:docPr id="1966" name="Text Box 1966"/>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798F3657"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1F0A29" id="Text Box 1966" o:spid="_x0000_s1214" type="#_x0000_t202" style="position:absolute;margin-left:82.25pt;margin-top:56.7pt;width:40.2pt;height:23.35pt;z-index:2524856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" filled="f" stroked="f" strokeweight=".5pt">
                      <v:textbox>
                        <w:txbxContent>
                          <w:p w14:paraId="798F3657"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v:textbox>
                      <w10:wrap anchorx="margin"/>
                    </v:shape>
                  </w:pict>
                </mc:Fallback>
              </mc:AlternateContent>
            </w:r>
            <w:r w:rsidRPr="0006562C">
              <w:rPr>
                <w:noProof/>
                <w:lang w:eastAsia="en-MY"/>
              </w:rPr>
              <mc:AlternateContent>
                <mc:Choice Requires="wps">
                  <w:drawing>
                    <wp:anchor distT="0" distB="0" distL="114300" distR="114300" simplePos="0" relativeHeight="252484608" behindDoc="0" locked="0" layoutInCell="1" allowOverlap="1" wp14:anchorId="69385C45" wp14:editId="3238ACF1">
                      <wp:simplePos x="0" y="0"/>
                      <wp:positionH relativeFrom="margin">
                        <wp:posOffset>1531414</wp:posOffset>
                      </wp:positionH>
                      <wp:positionV relativeFrom="paragraph">
                        <wp:posOffset>696108</wp:posOffset>
                      </wp:positionV>
                      <wp:extent cx="510746" cy="296545"/>
                      <wp:effectExtent l="0" t="0" r="0" b="0"/>
                      <wp:wrapNone/>
                      <wp:docPr id="1963" name="Text Box 1963"/>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46AB48EE"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385C45" id="Text Box 1963" o:spid="_x0000_s1215" type="#_x0000_t202" style="position:absolute;margin-left:120.6pt;margin-top:54.8pt;width:40.2pt;height:23.35pt;z-index:2524846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" filled="f" stroked="f" strokeweight=".5pt">
                      <v:textbox>
                        <w:txbxContent>
                          <w:p w14:paraId="46AB48EE"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v:textbox>
                      <w10:wrap anchorx="margin"/>
                    </v:shape>
                  </w:pict>
                </mc:Fallback>
              </mc:AlternateContent>
            </w:r>
            <w:r w:rsidRPr="00CB5744">
              <w:rPr>
                <w:rFonts w:cs="Times New Roman"/>
                <w:noProof/>
                <w:szCs w:val="24"/>
                <w:lang w:eastAsia="en-MY"/>
              </w:rPr>
              <w:drawing>
                <wp:inline distT="0" distB="0" distL="0" distR="0" wp14:anchorId="434F6647" wp14:editId="58138BA1">
                  <wp:extent cx="2540977" cy="1439545"/>
                  <wp:effectExtent l="0" t="0" r="0" b="8255"/>
                  <wp:docPr id="1917" name="Picture 1917" descr="C:\Users\Asus A450L\Desktop\PhD Thesis correction January 2019\NMR\boron\1. B A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sus A450L\Desktop\PhD Thesis correction January 2019\NMR\boron\1. B A2.5.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44717" cy="1441664"/>
                          </a:xfrm>
                          <a:prstGeom prst="rect">
                            <a:avLst/>
                          </a:prstGeom>
                          <a:noFill/>
                          <a:ln>
                            <a:noFill/>
                          </a:ln>
                        </pic:spPr>
                      </pic:pic>
                    </a:graphicData>
                  </a:graphic>
                </wp:inline>
              </w:drawing>
            </w:r>
          </w:p>
          <w:p w14:paraId="7D8A9B27" w14:textId="77777777" w:rsidR="009A6C48" w:rsidRDefault="009A6C48" w:rsidP="00B11F5F">
            <w:pPr>
              <w:jc w:val="center"/>
              <w:rPr>
                <w:rFonts w:eastAsia="Times New Roman" w:cs="Times New Roman"/>
                <w:b w:val="0"/>
                <w:color w:val="000000"/>
                <w:sz w:val="20"/>
                <w:szCs w:val="20"/>
                <w:lang w:eastAsia="en-MY"/>
              </w:rPr>
            </w:pPr>
          </w:p>
          <w:p w14:paraId="5198F1C3" w14:textId="0CFA6894" w:rsidR="00D740DC" w:rsidRDefault="00D740DC" w:rsidP="00B11F5F">
            <w:pPr>
              <w:jc w:val="center"/>
              <w:rPr>
                <w:rFonts w:cs="Times New Roman"/>
                <w:szCs w:val="24"/>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M</w:t>
            </w:r>
            <w:r w:rsidRPr="00E33297">
              <w:rPr>
                <w:rFonts w:eastAsia="Times New Roman" w:cs="Times New Roman"/>
                <w:b w:val="0"/>
                <w:color w:val="000000"/>
                <w:sz w:val="20"/>
                <w:szCs w:val="20"/>
                <w:vertAlign w:val="subscript"/>
                <w:lang w:eastAsia="en-MY"/>
              </w:rPr>
              <w:t>1.1</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3.0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2.5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78.2</w:t>
            </w:r>
          </w:p>
        </w:tc>
        <w:tc>
          <w:tcPr>
            <w:tcW w:w="4508" w:type="dxa"/>
          </w:tcPr>
          <w:p w14:paraId="737FB63B" w14:textId="77777777" w:rsidR="00D740DC" w:rsidRDefault="00D740DC" w:rsidP="00B11F5F">
            <w:pPr>
              <w:rPr>
                <w:rFonts w:cs="Times New Roman"/>
                <w:szCs w:val="24"/>
              </w:rPr>
            </w:pPr>
            <w:r w:rsidRPr="00BA05DE">
              <w:rPr>
                <w:noProof/>
                <w:lang w:eastAsia="en-MY"/>
              </w:rPr>
              <mc:AlternateContent>
                <mc:Choice Requires="wps">
                  <w:drawing>
                    <wp:anchor distT="0" distB="0" distL="114300" distR="114300" simplePos="0" relativeHeight="252491776" behindDoc="0" locked="0" layoutInCell="1" allowOverlap="1" wp14:anchorId="00E09787" wp14:editId="4321C912">
                      <wp:simplePos x="0" y="0"/>
                      <wp:positionH relativeFrom="margin">
                        <wp:posOffset>1794065</wp:posOffset>
                      </wp:positionH>
                      <wp:positionV relativeFrom="paragraph">
                        <wp:posOffset>363600</wp:posOffset>
                      </wp:positionV>
                      <wp:extent cx="510746" cy="296545"/>
                      <wp:effectExtent l="0" t="0" r="0" b="0"/>
                      <wp:wrapNone/>
                      <wp:docPr id="2096" name="Text Box 2096"/>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57C8B995"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E09787" id="Text Box 2096" o:spid="_x0000_s1216" type="#_x0000_t202" style="position:absolute;margin-left:141.25pt;margin-top:28.65pt;width:40.2pt;height:23.35pt;z-index:252491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" filled="f" stroked="f" strokeweight=".5pt">
                      <v:textbox>
                        <w:txbxContent>
                          <w:p w14:paraId="57C8B995"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v:textbox>
                      <w10:wrap anchorx="margin"/>
                    </v:shape>
                  </w:pict>
                </mc:Fallback>
              </mc:AlternateContent>
            </w:r>
            <w:r w:rsidRPr="00BA05DE">
              <w:rPr>
                <w:noProof/>
                <w:lang w:eastAsia="en-MY"/>
              </w:rPr>
              <mc:AlternateContent>
                <mc:Choice Requires="wps">
                  <w:drawing>
                    <wp:anchor distT="0" distB="0" distL="114300" distR="114300" simplePos="0" relativeHeight="252490752" behindDoc="0" locked="0" layoutInCell="1" allowOverlap="1" wp14:anchorId="022B85C5" wp14:editId="5AB7876B">
                      <wp:simplePos x="0" y="0"/>
                      <wp:positionH relativeFrom="margin">
                        <wp:posOffset>1247800</wp:posOffset>
                      </wp:positionH>
                      <wp:positionV relativeFrom="paragraph">
                        <wp:posOffset>541730</wp:posOffset>
                      </wp:positionV>
                      <wp:extent cx="510746" cy="296545"/>
                      <wp:effectExtent l="0" t="0" r="0" b="0"/>
                      <wp:wrapNone/>
                      <wp:docPr id="2089" name="Text Box 2089"/>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57480E10"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2B85C5" id="Text Box 2089" o:spid="_x0000_s1217" type="#_x0000_t202" style="position:absolute;margin-left:98.25pt;margin-top:42.65pt;width:40.2pt;height:23.35pt;z-index:252490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" filled="f" stroked="f" strokeweight=".5pt">
                      <v:textbox>
                        <w:txbxContent>
                          <w:p w14:paraId="57480E10"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v:textbox>
                      <w10:wrap anchorx="margin"/>
                    </v:shape>
                  </w:pict>
                </mc:Fallback>
              </mc:AlternateContent>
            </w:r>
            <w:r w:rsidRPr="00BA05DE">
              <w:rPr>
                <w:noProof/>
                <w:lang w:eastAsia="en-MY"/>
              </w:rPr>
              <mc:AlternateContent>
                <mc:Choice Requires="wps">
                  <w:drawing>
                    <wp:anchor distT="0" distB="0" distL="114300" distR="114300" simplePos="0" relativeHeight="252488704" behindDoc="0" locked="0" layoutInCell="1" allowOverlap="1" wp14:anchorId="4DD2FE32" wp14:editId="326EAB57">
                      <wp:simplePos x="0" y="0"/>
                      <wp:positionH relativeFrom="margin">
                        <wp:posOffset>901437</wp:posOffset>
                      </wp:positionH>
                      <wp:positionV relativeFrom="paragraph">
                        <wp:posOffset>421335</wp:posOffset>
                      </wp:positionV>
                      <wp:extent cx="510746" cy="296545"/>
                      <wp:effectExtent l="0" t="0" r="0" b="0"/>
                      <wp:wrapNone/>
                      <wp:docPr id="2087" name="Text Box 2087"/>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5F0118B1"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D2FE32" id="Text Box 2087" o:spid="_x0000_s1218" type="#_x0000_t202" style="position:absolute;margin-left:71pt;margin-top:33.2pt;width:40.2pt;height:23.35pt;z-index:2524887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" filled="f" stroked="f" strokeweight=".5pt">
                      <v:textbox>
                        <w:txbxContent>
                          <w:p w14:paraId="5F0118B1"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v:textbox>
                      <w10:wrap anchorx="margin"/>
                    </v:shape>
                  </w:pict>
                </mc:Fallback>
              </mc:AlternateContent>
            </w:r>
            <w:r w:rsidRPr="00BA05DE">
              <w:rPr>
                <w:noProof/>
                <w:lang w:eastAsia="en-MY"/>
              </w:rPr>
              <mc:AlternateContent>
                <mc:Choice Requires="wps">
                  <w:drawing>
                    <wp:anchor distT="0" distB="0" distL="114300" distR="114300" simplePos="0" relativeHeight="252489728" behindDoc="0" locked="0" layoutInCell="1" allowOverlap="1" wp14:anchorId="5AB00704" wp14:editId="2E09F933">
                      <wp:simplePos x="0" y="0"/>
                      <wp:positionH relativeFrom="margin">
                        <wp:posOffset>1065711</wp:posOffset>
                      </wp:positionH>
                      <wp:positionV relativeFrom="paragraph">
                        <wp:posOffset>395267</wp:posOffset>
                      </wp:positionV>
                      <wp:extent cx="510746" cy="296545"/>
                      <wp:effectExtent l="0" t="0" r="0" b="0"/>
                      <wp:wrapNone/>
                      <wp:docPr id="2088" name="Text Box 2088"/>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21CC07E1"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B00704" id="Text Box 2088" o:spid="_x0000_s1219" type="#_x0000_t202" style="position:absolute;margin-left:83.9pt;margin-top:31.1pt;width:40.2pt;height:23.35pt;z-index:2524897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" filled="f" stroked="f" strokeweight=".5pt">
                      <v:textbox>
                        <w:txbxContent>
                          <w:p w14:paraId="21CC07E1"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v:textbox>
                      <w10:wrap anchorx="margin"/>
                    </v:shape>
                  </w:pict>
                </mc:Fallback>
              </mc:AlternateContent>
            </w:r>
            <w:r w:rsidRPr="00FE417B">
              <w:rPr>
                <w:rFonts w:cs="Times New Roman"/>
                <w:noProof/>
                <w:szCs w:val="24"/>
                <w:lang w:eastAsia="en-MY"/>
              </w:rPr>
              <w:drawing>
                <wp:inline distT="0" distB="0" distL="0" distR="0" wp14:anchorId="4FA9DDB6" wp14:editId="42AB7432">
                  <wp:extent cx="2910254" cy="1439545"/>
                  <wp:effectExtent l="0" t="0" r="4445" b="8255"/>
                  <wp:docPr id="2058" name="Picture 2058" descr="C:\Users\Asus A450L\Desktop\PhD Thesis correction January 2019\NMR\boron\2. B A7.5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sus A450L\Desktop\PhD Thesis correction January 2019\NMR\boron\2. B A7.5 3.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915323" cy="1442052"/>
                          </a:xfrm>
                          <a:prstGeom prst="rect">
                            <a:avLst/>
                          </a:prstGeom>
                          <a:noFill/>
                          <a:ln>
                            <a:noFill/>
                          </a:ln>
                        </pic:spPr>
                      </pic:pic>
                    </a:graphicData>
                  </a:graphic>
                </wp:inline>
              </w:drawing>
            </w:r>
          </w:p>
          <w:p w14:paraId="46327142" w14:textId="77777777" w:rsidR="009A6C48" w:rsidRDefault="009A6C48" w:rsidP="00B11F5F">
            <w:pPr>
              <w:jc w:val="center"/>
              <w:rPr>
                <w:rFonts w:eastAsia="Times New Roman" w:cs="Times New Roman"/>
                <w:b w:val="0"/>
                <w:color w:val="000000"/>
                <w:sz w:val="20"/>
                <w:szCs w:val="20"/>
                <w:lang w:eastAsia="en-MY"/>
              </w:rPr>
            </w:pPr>
          </w:p>
          <w:p w14:paraId="057EEF59" w14:textId="496F1982" w:rsidR="00D740DC" w:rsidRDefault="00D740DC" w:rsidP="00B11F5F">
            <w:pPr>
              <w:jc w:val="center"/>
              <w:rPr>
                <w:rFonts w:cs="Times New Roman"/>
                <w:szCs w:val="24"/>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M</w:t>
            </w:r>
            <w:r w:rsidRPr="00E33297">
              <w:rPr>
                <w:rFonts w:eastAsia="Times New Roman" w:cs="Times New Roman"/>
                <w:b w:val="0"/>
                <w:color w:val="000000"/>
                <w:sz w:val="20"/>
                <w:szCs w:val="20"/>
                <w:vertAlign w:val="subscript"/>
                <w:lang w:eastAsia="en-MY"/>
              </w:rPr>
              <w:t>1.1</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3.0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7.5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73.2</w:t>
            </w:r>
          </w:p>
        </w:tc>
      </w:tr>
      <w:tr w:rsidR="00D740DC" w14:paraId="4AAC4B80" w14:textId="77777777" w:rsidTr="00B11F5F">
        <w:tc>
          <w:tcPr>
            <w:tcW w:w="4508" w:type="dxa"/>
          </w:tcPr>
          <w:p w14:paraId="2661E1E9" w14:textId="77777777" w:rsidR="00D740DC" w:rsidRDefault="00D740DC" w:rsidP="00B11F5F">
            <w:pPr>
              <w:rPr>
                <w:rFonts w:cs="Times New Roman"/>
                <w:szCs w:val="24"/>
              </w:rPr>
            </w:pPr>
            <w:r w:rsidRPr="00CB5744">
              <w:rPr>
                <w:rFonts w:cs="Times New Roman"/>
                <w:noProof/>
                <w:szCs w:val="24"/>
                <w:lang w:eastAsia="en-MY"/>
              </w:rPr>
              <w:drawing>
                <wp:inline distT="0" distB="0" distL="0" distR="0" wp14:anchorId="46957D47" wp14:editId="6FF3E1D5">
                  <wp:extent cx="2576147" cy="1439545"/>
                  <wp:effectExtent l="0" t="0" r="0" b="8255"/>
                  <wp:docPr id="2017" name="Picture 2017" descr="C:\Users\Asus A450L\Desktop\PhD Thesis correction January 2019\NMR\boron\3. B A0B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sus A450L\Desktop\PhD Thesis correction January 2019\NMR\boron\3. B A0B10.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81215" cy="1442377"/>
                          </a:xfrm>
                          <a:prstGeom prst="rect">
                            <a:avLst/>
                          </a:prstGeom>
                          <a:noFill/>
                          <a:ln>
                            <a:noFill/>
                          </a:ln>
                        </pic:spPr>
                      </pic:pic>
                    </a:graphicData>
                  </a:graphic>
                </wp:inline>
              </w:drawing>
            </w:r>
          </w:p>
          <w:p w14:paraId="7DCF16B9" w14:textId="77777777" w:rsidR="009A6C48" w:rsidRDefault="009A6C48" w:rsidP="00B11F5F">
            <w:pPr>
              <w:jc w:val="center"/>
              <w:rPr>
                <w:rFonts w:eastAsia="Times New Roman" w:cs="Times New Roman"/>
                <w:b w:val="0"/>
                <w:color w:val="000000"/>
                <w:sz w:val="20"/>
                <w:szCs w:val="20"/>
                <w:lang w:eastAsia="en-MY"/>
              </w:rPr>
            </w:pPr>
          </w:p>
          <w:p w14:paraId="142478CB" w14:textId="182FD36F" w:rsidR="00D740DC" w:rsidRDefault="00D740DC" w:rsidP="00B11F5F">
            <w:pPr>
              <w:jc w:val="center"/>
              <w:rPr>
                <w:rFonts w:cs="Times New Roman"/>
                <w:szCs w:val="24"/>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0</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70</w:t>
            </w:r>
          </w:p>
        </w:tc>
        <w:tc>
          <w:tcPr>
            <w:tcW w:w="4508" w:type="dxa"/>
          </w:tcPr>
          <w:p w14:paraId="563AD2B8" w14:textId="77777777" w:rsidR="00D740DC" w:rsidRDefault="00D740DC" w:rsidP="00B11F5F">
            <w:pPr>
              <w:rPr>
                <w:rFonts w:cs="Times New Roman"/>
                <w:szCs w:val="24"/>
              </w:rPr>
            </w:pPr>
            <w:r w:rsidRPr="00CB5744">
              <w:rPr>
                <w:rFonts w:cs="Times New Roman"/>
                <w:noProof/>
                <w:szCs w:val="24"/>
                <w:lang w:eastAsia="en-MY"/>
              </w:rPr>
              <w:drawing>
                <wp:inline distT="0" distB="0" distL="0" distR="0" wp14:anchorId="7A2BAECC" wp14:editId="78DDC337">
                  <wp:extent cx="2892669" cy="1439545"/>
                  <wp:effectExtent l="0" t="0" r="3175" b="8255"/>
                  <wp:docPr id="2030" name="Picture 2030" descr="C:\Users\Asus A450L\Desktop\PhD Thesis correction January 2019\NMR\boron\4. B A10B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sus A450L\Desktop\PhD Thesis correction January 2019\NMR\boron\4. B A10B10 2.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96888" cy="1441645"/>
                          </a:xfrm>
                          <a:prstGeom prst="rect">
                            <a:avLst/>
                          </a:prstGeom>
                          <a:noFill/>
                          <a:ln>
                            <a:noFill/>
                          </a:ln>
                        </pic:spPr>
                      </pic:pic>
                    </a:graphicData>
                  </a:graphic>
                </wp:inline>
              </w:drawing>
            </w:r>
          </w:p>
          <w:p w14:paraId="171A8101" w14:textId="77777777" w:rsidR="009A6C48" w:rsidRDefault="009A6C48" w:rsidP="00B11F5F">
            <w:pPr>
              <w:jc w:val="center"/>
              <w:rPr>
                <w:rFonts w:eastAsia="Times New Roman" w:cs="Times New Roman"/>
                <w:b w:val="0"/>
                <w:color w:val="000000"/>
                <w:sz w:val="20"/>
                <w:szCs w:val="20"/>
                <w:lang w:eastAsia="en-MY"/>
              </w:rPr>
            </w:pPr>
          </w:p>
          <w:p w14:paraId="29B2C7EB" w14:textId="0CA7A967" w:rsidR="00D740DC" w:rsidRDefault="00D740DC" w:rsidP="00B11F5F">
            <w:pPr>
              <w:jc w:val="center"/>
              <w:rPr>
                <w:rFonts w:cs="Times New Roman"/>
                <w:szCs w:val="24"/>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r>
      <w:tr w:rsidR="009A6C48" w14:paraId="28DA06D0" w14:textId="77777777" w:rsidTr="00B11F5F">
        <w:tc>
          <w:tcPr>
            <w:tcW w:w="4508" w:type="dxa"/>
          </w:tcPr>
          <w:p w14:paraId="2C0F6ED6" w14:textId="638DF3B1" w:rsidR="009A6C48" w:rsidRDefault="009A6C48" w:rsidP="00B11F5F">
            <w:pPr>
              <w:rPr>
                <w:rFonts w:eastAsia="Times New Roman" w:cs="Times New Roman"/>
                <w:b w:val="0"/>
                <w:color w:val="000000"/>
                <w:sz w:val="20"/>
                <w:szCs w:val="20"/>
                <w:lang w:eastAsia="en-MY"/>
              </w:rPr>
            </w:pPr>
          </w:p>
          <w:p w14:paraId="313CFEBD" w14:textId="5C62E67E" w:rsidR="009A6C48" w:rsidRDefault="009A6C48" w:rsidP="00B11F5F">
            <w:pPr>
              <w:rPr>
                <w:rFonts w:eastAsia="Times New Roman" w:cs="Times New Roman"/>
                <w:b w:val="0"/>
                <w:color w:val="000000"/>
                <w:sz w:val="20"/>
                <w:szCs w:val="20"/>
                <w:lang w:eastAsia="en-MY"/>
              </w:rPr>
            </w:pPr>
            <w:r w:rsidRPr="00BA05DE">
              <w:rPr>
                <w:noProof/>
                <w:lang w:eastAsia="en-MY"/>
              </w:rPr>
              <mc:AlternateContent>
                <mc:Choice Requires="wps">
                  <w:drawing>
                    <wp:anchor distT="0" distB="0" distL="114300" distR="114300" simplePos="0" relativeHeight="252495872" behindDoc="0" locked="0" layoutInCell="1" allowOverlap="1" wp14:anchorId="5532F2E4" wp14:editId="57120D78">
                      <wp:simplePos x="0" y="0"/>
                      <wp:positionH relativeFrom="margin">
                        <wp:posOffset>1162685</wp:posOffset>
                      </wp:positionH>
                      <wp:positionV relativeFrom="paragraph">
                        <wp:posOffset>920213</wp:posOffset>
                      </wp:positionV>
                      <wp:extent cx="510746" cy="296545"/>
                      <wp:effectExtent l="0" t="0" r="0" b="0"/>
                      <wp:wrapNone/>
                      <wp:docPr id="2145" name="Text Box 2145"/>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69CDBD03"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32F2E4" id="Text Box 2145" o:spid="_x0000_s1220" type="#_x0000_t202" style="position:absolute;margin-left:91.55pt;margin-top:72.45pt;width:40.2pt;height:23.35pt;z-index:2524958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" filled="f" stroked="f" strokeweight=".5pt">
                      <v:textbox>
                        <w:txbxContent>
                          <w:p w14:paraId="69CDBD03"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v:textbox>
                      <w10:wrap anchorx="margin"/>
                    </v:shape>
                  </w:pict>
                </mc:Fallback>
              </mc:AlternateContent>
            </w:r>
            <w:r w:rsidRPr="00BA05DE">
              <w:rPr>
                <w:noProof/>
                <w:lang w:eastAsia="en-MY"/>
              </w:rPr>
              <mc:AlternateContent>
                <mc:Choice Requires="wps">
                  <w:drawing>
                    <wp:anchor distT="0" distB="0" distL="114300" distR="114300" simplePos="0" relativeHeight="252496896" behindDoc="0" locked="0" layoutInCell="1" allowOverlap="1" wp14:anchorId="5EF4A136" wp14:editId="09689695">
                      <wp:simplePos x="0" y="0"/>
                      <wp:positionH relativeFrom="margin">
                        <wp:posOffset>889635</wp:posOffset>
                      </wp:positionH>
                      <wp:positionV relativeFrom="paragraph">
                        <wp:posOffset>252290</wp:posOffset>
                      </wp:positionV>
                      <wp:extent cx="510746" cy="296545"/>
                      <wp:effectExtent l="0" t="0" r="0" b="0"/>
                      <wp:wrapNone/>
                      <wp:docPr id="2147" name="Text Box 2147"/>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51A66400"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F4A136" id="Text Box 2147" o:spid="_x0000_s1221" type="#_x0000_t202" style="position:absolute;margin-left:70.05pt;margin-top:19.85pt;width:40.2pt;height:23.35pt;z-index:2524968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" filled="f" stroked="f" strokeweight=".5pt">
                      <v:textbox>
                        <w:txbxContent>
                          <w:p w14:paraId="51A66400"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v:textbox>
                      <w10:wrap anchorx="margin"/>
                    </v:shape>
                  </w:pict>
                </mc:Fallback>
              </mc:AlternateContent>
            </w:r>
            <w:r w:rsidRPr="00BA05DE">
              <w:rPr>
                <w:noProof/>
                <w:lang w:eastAsia="en-MY"/>
              </w:rPr>
              <mc:AlternateContent>
                <mc:Choice Requires="wps">
                  <w:drawing>
                    <wp:anchor distT="0" distB="0" distL="114300" distR="114300" simplePos="0" relativeHeight="252497920" behindDoc="0" locked="0" layoutInCell="1" allowOverlap="1" wp14:anchorId="6E96FF9A" wp14:editId="40CB5191">
                      <wp:simplePos x="0" y="0"/>
                      <wp:positionH relativeFrom="margin">
                        <wp:posOffset>752817</wp:posOffset>
                      </wp:positionH>
                      <wp:positionV relativeFrom="paragraph">
                        <wp:posOffset>446796</wp:posOffset>
                      </wp:positionV>
                      <wp:extent cx="510746" cy="296545"/>
                      <wp:effectExtent l="0" t="0" r="0" b="0"/>
                      <wp:wrapNone/>
                      <wp:docPr id="2150" name="Text Box 2150"/>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47942F93"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96FF9A" id="Text Box 2150" o:spid="_x0000_s1222" type="#_x0000_t202" style="position:absolute;margin-left:59.3pt;margin-top:35.2pt;width:40.2pt;height:23.35pt;z-index:252497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" filled="f" stroked="f" strokeweight=".5pt">
                      <v:textbox>
                        <w:txbxContent>
                          <w:p w14:paraId="47942F93"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v:textbox>
                      <w10:wrap anchorx="margin"/>
                    </v:shape>
                  </w:pict>
                </mc:Fallback>
              </mc:AlternateContent>
            </w:r>
            <w:r w:rsidRPr="00CB5744">
              <w:rPr>
                <w:rFonts w:eastAsia="Times New Roman" w:cs="Times New Roman"/>
                <w:b w:val="0"/>
                <w:noProof/>
                <w:color w:val="000000"/>
                <w:sz w:val="20"/>
                <w:szCs w:val="20"/>
                <w:lang w:eastAsia="en-MY"/>
              </w:rPr>
              <w:drawing>
                <wp:inline distT="0" distB="0" distL="0" distR="0" wp14:anchorId="24A3F76C" wp14:editId="4157B324">
                  <wp:extent cx="2655277" cy="1439545"/>
                  <wp:effectExtent l="0" t="0" r="0" b="8255"/>
                  <wp:docPr id="2031" name="Picture 2031" descr="C:\Users\Asus A450L\Desktop\PhD Thesis correction January 2019\NMR\boron\5. B C10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sus A450L\Desktop\PhD Thesis correction January 2019\NMR\boron\5. B C10A5.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61229" cy="1442772"/>
                          </a:xfrm>
                          <a:prstGeom prst="rect">
                            <a:avLst/>
                          </a:prstGeom>
                          <a:noFill/>
                          <a:ln>
                            <a:noFill/>
                          </a:ln>
                        </pic:spPr>
                      </pic:pic>
                    </a:graphicData>
                  </a:graphic>
                </wp:inline>
              </w:drawing>
            </w:r>
          </w:p>
          <w:p w14:paraId="4B8A42BC" w14:textId="77777777" w:rsidR="009A6C48" w:rsidRDefault="009A6C48" w:rsidP="009A6C48">
            <w:pPr>
              <w:jc w:val="center"/>
              <w:rPr>
                <w:rFonts w:eastAsia="Times New Roman" w:cs="Times New Roman"/>
                <w:b w:val="0"/>
                <w:color w:val="000000"/>
                <w:sz w:val="20"/>
                <w:szCs w:val="20"/>
                <w:lang w:eastAsia="en-MY"/>
              </w:rPr>
            </w:pPr>
          </w:p>
          <w:p w14:paraId="03B5E523" w14:textId="6ED3B9C2" w:rsidR="009A6C48" w:rsidRPr="00CB5744" w:rsidRDefault="009A6C48" w:rsidP="009A6C48">
            <w:pPr>
              <w:jc w:val="center"/>
              <w:rPr>
                <w:rFonts w:cs="Times New Roman"/>
                <w:noProof/>
                <w:szCs w:val="24"/>
                <w:lang w:val="en-GB" w:eastAsia="en-GB"/>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4508" w:type="dxa"/>
          </w:tcPr>
          <w:p w14:paraId="7E58269F" w14:textId="77777777" w:rsidR="009A6C48" w:rsidRDefault="009A6C48" w:rsidP="00B11F5F">
            <w:pPr>
              <w:rPr>
                <w:rFonts w:cs="Times New Roman"/>
                <w:noProof/>
                <w:szCs w:val="24"/>
                <w:lang w:val="en-GB" w:eastAsia="en-GB"/>
              </w:rPr>
            </w:pPr>
          </w:p>
          <w:p w14:paraId="0D84D0CC" w14:textId="76793726" w:rsidR="009A6C48" w:rsidRDefault="009A6C48" w:rsidP="00B11F5F">
            <w:pPr>
              <w:rPr>
                <w:rFonts w:cs="Times New Roman"/>
                <w:noProof/>
                <w:szCs w:val="24"/>
                <w:lang w:val="en-GB" w:eastAsia="en-GB"/>
              </w:rPr>
            </w:pPr>
            <w:r w:rsidRPr="00BA05DE">
              <w:rPr>
                <w:noProof/>
                <w:lang w:eastAsia="en-MY"/>
              </w:rPr>
              <mc:AlternateContent>
                <mc:Choice Requires="wps">
                  <w:drawing>
                    <wp:anchor distT="0" distB="0" distL="114300" distR="114300" simplePos="0" relativeHeight="252492800" behindDoc="0" locked="0" layoutInCell="1" allowOverlap="1" wp14:anchorId="05081C39" wp14:editId="3FE62739">
                      <wp:simplePos x="0" y="0"/>
                      <wp:positionH relativeFrom="margin">
                        <wp:posOffset>1813316</wp:posOffset>
                      </wp:positionH>
                      <wp:positionV relativeFrom="paragraph">
                        <wp:posOffset>897108</wp:posOffset>
                      </wp:positionV>
                      <wp:extent cx="510746" cy="296545"/>
                      <wp:effectExtent l="0" t="0" r="0" b="0"/>
                      <wp:wrapNone/>
                      <wp:docPr id="2141" name="Text Box 2141"/>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028D5219"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081C39" id="Text Box 2141" o:spid="_x0000_s1223" type="#_x0000_t202" style="position:absolute;margin-left:142.8pt;margin-top:70.65pt;width:40.2pt;height:23.35pt;z-index:2524928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" filled="f" stroked="f" strokeweight=".5pt">
                      <v:textbox>
                        <w:txbxContent>
                          <w:p w14:paraId="028D5219"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v:textbox>
                      <w10:wrap anchorx="margin"/>
                    </v:shape>
                  </w:pict>
                </mc:Fallback>
              </mc:AlternateContent>
            </w:r>
            <w:r w:rsidRPr="00BA05DE">
              <w:rPr>
                <w:noProof/>
                <w:lang w:eastAsia="en-MY"/>
              </w:rPr>
              <mc:AlternateContent>
                <mc:Choice Requires="wps">
                  <w:drawing>
                    <wp:anchor distT="0" distB="0" distL="114300" distR="114300" simplePos="0" relativeHeight="252498944" behindDoc="0" locked="0" layoutInCell="1" allowOverlap="1" wp14:anchorId="2CEA461A" wp14:editId="040D2A8F">
                      <wp:simplePos x="0" y="0"/>
                      <wp:positionH relativeFrom="margin">
                        <wp:posOffset>950546</wp:posOffset>
                      </wp:positionH>
                      <wp:positionV relativeFrom="paragraph">
                        <wp:posOffset>337478</wp:posOffset>
                      </wp:positionV>
                      <wp:extent cx="510746" cy="296545"/>
                      <wp:effectExtent l="0" t="0" r="0" b="0"/>
                      <wp:wrapNone/>
                      <wp:docPr id="2151" name="Text Box 2151"/>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146A0C68"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EA461A" id="Text Box 2151" o:spid="_x0000_s1224" type="#_x0000_t202" style="position:absolute;margin-left:74.85pt;margin-top:26.55pt;width:40.2pt;height:23.35pt;z-index:252498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" filled="f" stroked="f" strokeweight=".5pt">
                      <v:textbox>
                        <w:txbxContent>
                          <w:p w14:paraId="146A0C68"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v:textbox>
                      <w10:wrap anchorx="margin"/>
                    </v:shape>
                  </w:pict>
                </mc:Fallback>
              </mc:AlternateContent>
            </w:r>
            <w:r w:rsidRPr="00BA05DE">
              <w:rPr>
                <w:noProof/>
                <w:lang w:eastAsia="en-MY"/>
              </w:rPr>
              <mc:AlternateContent>
                <mc:Choice Requires="wps">
                  <w:drawing>
                    <wp:anchor distT="0" distB="0" distL="114300" distR="114300" simplePos="0" relativeHeight="252499968" behindDoc="0" locked="0" layoutInCell="1" allowOverlap="1" wp14:anchorId="7116087C" wp14:editId="1B092AD5">
                      <wp:simplePos x="0" y="0"/>
                      <wp:positionH relativeFrom="margin">
                        <wp:posOffset>754038</wp:posOffset>
                      </wp:positionH>
                      <wp:positionV relativeFrom="paragraph">
                        <wp:posOffset>339041</wp:posOffset>
                      </wp:positionV>
                      <wp:extent cx="510746" cy="296545"/>
                      <wp:effectExtent l="0" t="0" r="0" b="0"/>
                      <wp:wrapNone/>
                      <wp:docPr id="2152" name="Text Box 2152"/>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391A3A22"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16087C" id="Text Box 2152" o:spid="_x0000_s1225" type="#_x0000_t202" style="position:absolute;margin-left:59.35pt;margin-top:26.7pt;width:40.2pt;height:23.35pt;z-index:252499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" filled="f" stroked="f" strokeweight=".5pt">
                      <v:textbox>
                        <w:txbxContent>
                          <w:p w14:paraId="391A3A22"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4</w:t>
                            </w:r>
                          </w:p>
                        </w:txbxContent>
                      </v:textbox>
                      <w10:wrap anchorx="margin"/>
                    </v:shape>
                  </w:pict>
                </mc:Fallback>
              </mc:AlternateContent>
            </w:r>
            <w:r w:rsidRPr="00CB5744">
              <w:rPr>
                <w:noProof/>
                <w:lang w:eastAsia="en-MY"/>
              </w:rPr>
              <w:drawing>
                <wp:inline distT="0" distB="0" distL="0" distR="0" wp14:anchorId="1C4E776C" wp14:editId="3E60A028">
                  <wp:extent cx="2795953" cy="1439545"/>
                  <wp:effectExtent l="0" t="0" r="4445" b="8255"/>
                  <wp:docPr id="2043" name="Picture 2043" descr="C:\Users\Asus A450L\Desktop\PhD Thesis correction January 2019\NMR\boron\6. B Ba10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sus A450L\Desktop\PhD Thesis correction January 2019\NMR\boron\6. B Ba10A5.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99612" cy="1441429"/>
                          </a:xfrm>
                          <a:prstGeom prst="rect">
                            <a:avLst/>
                          </a:prstGeom>
                          <a:noFill/>
                          <a:ln>
                            <a:noFill/>
                          </a:ln>
                        </pic:spPr>
                      </pic:pic>
                    </a:graphicData>
                  </a:graphic>
                </wp:inline>
              </w:drawing>
            </w:r>
          </w:p>
          <w:p w14:paraId="2EFFDD94" w14:textId="77777777" w:rsidR="009A6C48" w:rsidRDefault="009A6C48" w:rsidP="009A6C48">
            <w:pPr>
              <w:jc w:val="center"/>
              <w:rPr>
                <w:rFonts w:eastAsia="Times New Roman" w:cs="Times New Roman"/>
                <w:b w:val="0"/>
                <w:color w:val="000000"/>
                <w:sz w:val="20"/>
                <w:szCs w:val="20"/>
                <w:lang w:eastAsia="en-MY"/>
              </w:rPr>
            </w:pPr>
          </w:p>
          <w:p w14:paraId="74241F84" w14:textId="122EF87F" w:rsidR="009A6C48" w:rsidRPr="00CB5744" w:rsidRDefault="009A6C48" w:rsidP="009A6C48">
            <w:pPr>
              <w:jc w:val="center"/>
              <w:rPr>
                <w:rFonts w:cs="Times New Roman"/>
                <w:noProof/>
                <w:szCs w:val="24"/>
                <w:lang w:val="en-GB" w:eastAsia="en-GB"/>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Ba</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r>
      <w:tr w:rsidR="009A6C48" w14:paraId="640FBCD5" w14:textId="77777777" w:rsidTr="00B11F5F">
        <w:tc>
          <w:tcPr>
            <w:tcW w:w="4508" w:type="dxa"/>
          </w:tcPr>
          <w:p w14:paraId="0B55B782" w14:textId="554E7128" w:rsidR="009A6C48" w:rsidRDefault="009A6C48" w:rsidP="00B11F5F">
            <w:pPr>
              <w:rPr>
                <w:rFonts w:eastAsia="Times New Roman" w:cs="Times New Roman"/>
                <w:b w:val="0"/>
                <w:color w:val="000000"/>
                <w:sz w:val="20"/>
                <w:szCs w:val="20"/>
                <w:lang w:eastAsia="en-MY"/>
              </w:rPr>
            </w:pPr>
            <w:r w:rsidRPr="00BA05DE">
              <w:rPr>
                <w:noProof/>
                <w:lang w:eastAsia="en-MY"/>
              </w:rPr>
              <mc:AlternateContent>
                <mc:Choice Requires="wps">
                  <w:drawing>
                    <wp:anchor distT="0" distB="0" distL="114300" distR="114300" simplePos="0" relativeHeight="252494848" behindDoc="0" locked="0" layoutInCell="1" allowOverlap="1" wp14:anchorId="06E437A2" wp14:editId="12A46BAB">
                      <wp:simplePos x="0" y="0"/>
                      <wp:positionH relativeFrom="margin">
                        <wp:posOffset>1787183</wp:posOffset>
                      </wp:positionH>
                      <wp:positionV relativeFrom="paragraph">
                        <wp:posOffset>-797804</wp:posOffset>
                      </wp:positionV>
                      <wp:extent cx="510746" cy="296545"/>
                      <wp:effectExtent l="0" t="0" r="0" b="0"/>
                      <wp:wrapNone/>
                      <wp:docPr id="2143" name="Text Box 2143"/>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65F753BF"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E437A2" id="Text Box 2143" o:spid="_x0000_s1226" type="#_x0000_t202" style="position:absolute;margin-left:140.7pt;margin-top:-62.8pt;width:40.2pt;height:23.35pt;z-index:2524948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" filled="f" stroked="f" strokeweight=".5pt">
                      <v:textbox>
                        <w:txbxContent>
                          <w:p w14:paraId="65F753BF"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v:textbox>
                      <w10:wrap anchorx="margin"/>
                    </v:shape>
                  </w:pict>
                </mc:Fallback>
              </mc:AlternateContent>
            </w:r>
          </w:p>
          <w:p w14:paraId="4E9BFBE4" w14:textId="3E26EA23" w:rsidR="009A6C48" w:rsidRDefault="009A6C48" w:rsidP="009A6C48">
            <w:pPr>
              <w:jc w:val="center"/>
              <w:rPr>
                <w:rFonts w:eastAsia="Times New Roman" w:cs="Times New Roman"/>
                <w:b w:val="0"/>
                <w:color w:val="000000"/>
                <w:sz w:val="20"/>
                <w:szCs w:val="20"/>
                <w:lang w:eastAsia="en-MY"/>
              </w:rPr>
            </w:pPr>
            <w:r w:rsidRPr="00CB5744">
              <w:rPr>
                <w:rFonts w:eastAsia="Times New Roman" w:cs="Times New Roman"/>
                <w:b w:val="0"/>
                <w:noProof/>
                <w:color w:val="000000"/>
                <w:sz w:val="20"/>
                <w:szCs w:val="20"/>
                <w:lang w:eastAsia="en-MY"/>
              </w:rPr>
              <w:drawing>
                <wp:inline distT="0" distB="0" distL="0" distR="0" wp14:anchorId="4037ADFA" wp14:editId="331A1F2C">
                  <wp:extent cx="2681654" cy="1439545"/>
                  <wp:effectExtent l="0" t="0" r="4445" b="8255"/>
                  <wp:docPr id="2055" name="Picture 2055" descr="C:\Users\Asus A450L\Desktop\PhD Thesis correction January 2019\NMR\boron\7. B C5A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sus A450L\Desktop\PhD Thesis correction January 2019\NMR\boron\7. B C5A15.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85255" cy="1441478"/>
                          </a:xfrm>
                          <a:prstGeom prst="rect">
                            <a:avLst/>
                          </a:prstGeom>
                          <a:noFill/>
                          <a:ln>
                            <a:noFill/>
                          </a:ln>
                        </pic:spPr>
                      </pic:pic>
                    </a:graphicData>
                  </a:graphic>
                </wp:inline>
              </w:drawing>
            </w:r>
          </w:p>
          <w:p w14:paraId="1C3DA1D5" w14:textId="77777777" w:rsidR="009A6C48" w:rsidRDefault="009A6C48" w:rsidP="009A6C48">
            <w:pPr>
              <w:jc w:val="center"/>
              <w:rPr>
                <w:rFonts w:eastAsia="Times New Roman" w:cs="Times New Roman"/>
                <w:b w:val="0"/>
                <w:color w:val="000000"/>
                <w:sz w:val="20"/>
                <w:szCs w:val="20"/>
                <w:lang w:eastAsia="en-MY"/>
              </w:rPr>
            </w:pPr>
          </w:p>
          <w:p w14:paraId="683B0FC4" w14:textId="25E9FA8C" w:rsidR="009A6C48" w:rsidRPr="00CB5744" w:rsidRDefault="009A6C48" w:rsidP="009A6C48">
            <w:pPr>
              <w:jc w:val="center"/>
              <w:rPr>
                <w:rFonts w:cs="Times New Roman"/>
                <w:noProof/>
                <w:szCs w:val="24"/>
                <w:lang w:val="en-GB" w:eastAsia="en-GB"/>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4508" w:type="dxa"/>
          </w:tcPr>
          <w:p w14:paraId="588D4757" w14:textId="23459808" w:rsidR="009A6C48" w:rsidRDefault="009A6C48" w:rsidP="00B11F5F">
            <w:pPr>
              <w:rPr>
                <w:rFonts w:eastAsia="Times New Roman" w:cs="Times New Roman"/>
                <w:b w:val="0"/>
                <w:color w:val="000000"/>
                <w:sz w:val="20"/>
                <w:szCs w:val="20"/>
                <w:lang w:eastAsia="en-MY"/>
              </w:rPr>
            </w:pPr>
            <w:r w:rsidRPr="00BA05DE">
              <w:rPr>
                <w:noProof/>
                <w:lang w:eastAsia="en-MY"/>
              </w:rPr>
              <mc:AlternateContent>
                <mc:Choice Requires="wps">
                  <w:drawing>
                    <wp:anchor distT="0" distB="0" distL="114300" distR="114300" simplePos="0" relativeHeight="252493824" behindDoc="0" locked="0" layoutInCell="1" allowOverlap="1" wp14:anchorId="5C0FCA44" wp14:editId="4426F74C">
                      <wp:simplePos x="0" y="0"/>
                      <wp:positionH relativeFrom="margin">
                        <wp:posOffset>1253490</wp:posOffset>
                      </wp:positionH>
                      <wp:positionV relativeFrom="paragraph">
                        <wp:posOffset>-890905</wp:posOffset>
                      </wp:positionV>
                      <wp:extent cx="510746" cy="296545"/>
                      <wp:effectExtent l="0" t="0" r="0" b="0"/>
                      <wp:wrapNone/>
                      <wp:docPr id="2142" name="Text Box 2142"/>
                      <wp:cNvGraphicFramePr/>
                      <a:graphic xmlns:a="http://schemas.openxmlformats.org/drawingml/2006/main">
                        <a:graphicData uri="http://schemas.microsoft.com/office/word/2010/wordprocessingShape">
                          <wps:wsp>
                            <wps:cNvSpPr txBox="1"/>
                            <wps:spPr>
                              <a:xfrm>
                                <a:off x="0" y="0"/>
                                <a:ext cx="510746" cy="296545"/>
                              </a:xfrm>
                              <a:prstGeom prst="rect">
                                <a:avLst/>
                              </a:prstGeom>
                              <a:noFill/>
                              <a:ln w="6350">
                                <a:noFill/>
                              </a:ln>
                            </wps:spPr>
                            <wps:txbx>
                              <w:txbxContent>
                                <w:p w14:paraId="6C38F352"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0FCA44" id="Text Box 2142" o:spid="_x0000_s1227" type="#_x0000_t202" style="position:absolute;margin-left:98.7pt;margin-top:-70.15pt;width:40.2pt;height:23.35pt;z-index:252493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" filled="f" stroked="f" strokeweight=".5pt">
                      <v:textbox>
                        <w:txbxContent>
                          <w:p w14:paraId="6C38F352" w14:textId="77777777" w:rsidR="00230AB9" w:rsidRPr="00DD12F3" w:rsidRDefault="00230AB9" w:rsidP="00D740DC">
                            <w:pPr>
                              <w:rPr>
                                <w:rFonts w:cs="Times New Roman"/>
                                <w:sz w:val="20"/>
                                <w:szCs w:val="20"/>
                              </w:rPr>
                            </w:pPr>
                            <w:r>
                              <w:rPr>
                                <w:rFonts w:cs="Times New Roman"/>
                                <w:sz w:val="20"/>
                                <w:szCs w:val="20"/>
                              </w:rPr>
                              <w:t>B</w:t>
                            </w:r>
                            <w:r>
                              <w:rPr>
                                <w:rFonts w:cs="Times New Roman"/>
                                <w:sz w:val="20"/>
                                <w:szCs w:val="20"/>
                                <w:vertAlign w:val="superscript"/>
                              </w:rPr>
                              <w:t>3</w:t>
                            </w:r>
                          </w:p>
                        </w:txbxContent>
                      </v:textbox>
                      <w10:wrap anchorx="margin"/>
                    </v:shape>
                  </w:pict>
                </mc:Fallback>
              </mc:AlternateContent>
            </w:r>
          </w:p>
          <w:p w14:paraId="64DB94F1" w14:textId="5CC65013" w:rsidR="009A6C48" w:rsidRDefault="009A6C48" w:rsidP="00B11F5F">
            <w:pPr>
              <w:rPr>
                <w:rFonts w:eastAsia="Times New Roman" w:cs="Times New Roman"/>
                <w:b w:val="0"/>
                <w:color w:val="000000"/>
                <w:sz w:val="20"/>
                <w:szCs w:val="20"/>
                <w:lang w:eastAsia="en-MY"/>
              </w:rPr>
            </w:pPr>
            <w:r w:rsidRPr="00CB5744">
              <w:rPr>
                <w:noProof/>
                <w:lang w:eastAsia="en-MY"/>
              </w:rPr>
              <w:drawing>
                <wp:inline distT="0" distB="0" distL="0" distR="0" wp14:anchorId="76DE2E08" wp14:editId="4498E403">
                  <wp:extent cx="2857500" cy="1439545"/>
                  <wp:effectExtent l="0" t="0" r="0" b="8255"/>
                  <wp:docPr id="2056" name="Picture 2056" descr="C:\Users\Asus A450L\Desktop\PhD Thesis correction January 2019\NMR\boron\8. B Ba5A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sus A450L\Desktop\PhD Thesis correction January 2019\NMR\boron\8. B Ba5A15.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61206" cy="1441412"/>
                          </a:xfrm>
                          <a:prstGeom prst="rect">
                            <a:avLst/>
                          </a:prstGeom>
                          <a:noFill/>
                          <a:ln>
                            <a:noFill/>
                          </a:ln>
                        </pic:spPr>
                      </pic:pic>
                    </a:graphicData>
                  </a:graphic>
                </wp:inline>
              </w:drawing>
            </w:r>
          </w:p>
          <w:p w14:paraId="64FAB386" w14:textId="77777777" w:rsidR="009A6C48" w:rsidRDefault="009A6C48" w:rsidP="009A6C48">
            <w:pPr>
              <w:jc w:val="center"/>
              <w:rPr>
                <w:rFonts w:eastAsia="Times New Roman" w:cs="Times New Roman"/>
                <w:b w:val="0"/>
                <w:color w:val="000000"/>
                <w:sz w:val="20"/>
                <w:szCs w:val="20"/>
                <w:lang w:eastAsia="en-MY"/>
              </w:rPr>
            </w:pPr>
          </w:p>
          <w:p w14:paraId="3CD8CBD0" w14:textId="03761B1C" w:rsidR="009A6C48" w:rsidRPr="00CB5744" w:rsidRDefault="009A6C48" w:rsidP="009A6C48">
            <w:pPr>
              <w:jc w:val="center"/>
              <w:rPr>
                <w:rFonts w:cs="Times New Roman"/>
                <w:noProof/>
                <w:szCs w:val="24"/>
                <w:lang w:val="en-GB" w:eastAsia="en-GB"/>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Ba</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r>
    </w:tbl>
    <w:p w14:paraId="4ED95221" w14:textId="4BFA0C00" w:rsidR="00D740DC" w:rsidRDefault="00D740DC" w:rsidP="00D740DC">
      <w:pPr>
        <w:rPr>
          <w:rFonts w:cs="Times New Roman"/>
          <w:szCs w:val="24"/>
        </w:rPr>
      </w:pPr>
    </w:p>
    <w:p w14:paraId="5AE1BF13" w14:textId="102FCDAB" w:rsidR="00D740DC" w:rsidRDefault="0080406D" w:rsidP="00D740DC">
      <w:pPr>
        <w:jc w:val="center"/>
        <w:rPr>
          <w:szCs w:val="24"/>
        </w:rPr>
      </w:pPr>
      <w:bookmarkStart w:id="704" w:name="_Hlk515396671"/>
      <w:r>
        <w:t>Figure 4.9</w:t>
      </w:r>
      <w:r w:rsidR="00D740DC" w:rsidRPr="000E2377">
        <w:t>:</w:t>
      </w:r>
      <w:r w:rsidR="00D740DC" w:rsidRPr="0015240C">
        <w:rPr>
          <w:szCs w:val="24"/>
        </w:rPr>
        <w:t xml:space="preserve"> </w:t>
      </w:r>
      <w:r w:rsidR="00D740DC">
        <w:rPr>
          <w:szCs w:val="24"/>
        </w:rPr>
        <w:t xml:space="preserve">a) </w:t>
      </w:r>
      <w:r w:rsidR="00D740DC" w:rsidRPr="000E2377">
        <w:rPr>
          <w:szCs w:val="24"/>
        </w:rPr>
        <w:t>Normalise</w:t>
      </w:r>
      <w:r w:rsidR="00D740DC">
        <w:rPr>
          <w:szCs w:val="24"/>
        </w:rPr>
        <w:t>d</w:t>
      </w:r>
      <w:r w:rsidR="00D740DC" w:rsidRPr="000E2377">
        <w:t xml:space="preserve"> </w:t>
      </w:r>
      <w:r w:rsidR="00D740DC" w:rsidRPr="000E2377">
        <w:rPr>
          <w:szCs w:val="24"/>
          <w:vertAlign w:val="superscript"/>
        </w:rPr>
        <w:t>11</w:t>
      </w:r>
      <w:r w:rsidR="00D740DC" w:rsidRPr="000E2377">
        <w:rPr>
          <w:szCs w:val="24"/>
        </w:rPr>
        <w:t xml:space="preserve">B NMR spectra </w:t>
      </w:r>
      <w:r w:rsidR="00D740DC">
        <w:rPr>
          <w:szCs w:val="24"/>
        </w:rPr>
        <w:t xml:space="preserve">and b) deconvolution of </w:t>
      </w:r>
      <w:r w:rsidR="002240CF" w:rsidRPr="000E2377">
        <w:rPr>
          <w:szCs w:val="24"/>
          <w:vertAlign w:val="superscript"/>
        </w:rPr>
        <w:t>11</w:t>
      </w:r>
      <w:r w:rsidR="002240CF" w:rsidRPr="000E2377">
        <w:rPr>
          <w:szCs w:val="24"/>
        </w:rPr>
        <w:t>B</w:t>
      </w:r>
      <w:r w:rsidR="00D740DC">
        <w:rPr>
          <w:szCs w:val="24"/>
        </w:rPr>
        <w:t xml:space="preserve"> NMR </w:t>
      </w:r>
      <w:r w:rsidR="00D740DC" w:rsidRPr="000E2377">
        <w:rPr>
          <w:szCs w:val="24"/>
        </w:rPr>
        <w:t>for selected glasses</w:t>
      </w:r>
      <w:r w:rsidR="00D740DC">
        <w:rPr>
          <w:szCs w:val="24"/>
        </w:rPr>
        <w:t>.</w:t>
      </w:r>
    </w:p>
    <w:p w14:paraId="45C4BCDA" w14:textId="77777777" w:rsidR="009A6C48" w:rsidRPr="00087AA2" w:rsidRDefault="009A6C48" w:rsidP="00D740DC">
      <w:pPr>
        <w:jc w:val="center"/>
        <w:rPr>
          <w:lang w:val="en-GB"/>
        </w:rPr>
      </w:pPr>
    </w:p>
    <w:bookmarkEnd w:id="704"/>
    <w:p w14:paraId="216C30A5" w14:textId="1A423A7E" w:rsidR="00D740DC" w:rsidRPr="00072524" w:rsidRDefault="00D740DC" w:rsidP="00D740DC">
      <w:pPr>
        <w:spacing w:line="360" w:lineRule="auto"/>
        <w:jc w:val="both"/>
        <w:rPr>
          <w:rFonts w:cs="Times New Roman"/>
          <w:b w:val="0"/>
          <w:szCs w:val="24"/>
        </w:rPr>
      </w:pPr>
      <w:r w:rsidRPr="000E2377">
        <w:rPr>
          <w:rFonts w:cs="Times New Roman"/>
          <w:b w:val="0"/>
          <w:szCs w:val="24"/>
          <w:vertAlign w:val="superscript"/>
        </w:rPr>
        <w:lastRenderedPageBreak/>
        <w:t>11</w:t>
      </w:r>
      <w:r w:rsidRPr="000E2377">
        <w:rPr>
          <w:rFonts w:cs="Times New Roman"/>
          <w:b w:val="0"/>
          <w:szCs w:val="24"/>
        </w:rPr>
        <w:t xml:space="preserve">B NMR spectra of </w:t>
      </w:r>
      <w:r>
        <w:rPr>
          <w:rFonts w:cs="Times New Roman"/>
          <w:b w:val="0"/>
          <w:szCs w:val="24"/>
        </w:rPr>
        <w:t xml:space="preserve">the </w:t>
      </w:r>
      <w:r w:rsidRPr="000E2377">
        <w:rPr>
          <w:rFonts w:cs="Times New Roman"/>
          <w:b w:val="0"/>
          <w:szCs w:val="24"/>
        </w:rPr>
        <w:t xml:space="preserve">eight glasses </w:t>
      </w:r>
      <w:r>
        <w:rPr>
          <w:rFonts w:cs="Times New Roman"/>
          <w:b w:val="0"/>
          <w:szCs w:val="24"/>
        </w:rPr>
        <w:t xml:space="preserve">examined by NMR </w:t>
      </w:r>
      <w:r w:rsidRPr="000E2377">
        <w:rPr>
          <w:rFonts w:cs="Times New Roman"/>
          <w:b w:val="0"/>
          <w:szCs w:val="24"/>
        </w:rPr>
        <w:t>are shown in Figure 4.</w:t>
      </w:r>
      <w:r>
        <w:rPr>
          <w:rFonts w:cs="Times New Roman"/>
          <w:b w:val="0"/>
          <w:szCs w:val="24"/>
        </w:rPr>
        <w:t>9</w:t>
      </w:r>
      <w:r w:rsidRPr="000E2377">
        <w:rPr>
          <w:rFonts w:cs="Times New Roman"/>
          <w:b w:val="0"/>
          <w:szCs w:val="24"/>
        </w:rPr>
        <w:t>. A broad peak centred at 7-8 ppm corresponds to B</w:t>
      </w:r>
      <w:r w:rsidRPr="000E2377">
        <w:rPr>
          <w:rFonts w:cs="Times New Roman"/>
          <w:b w:val="0"/>
          <w:szCs w:val="24"/>
          <w:vertAlign w:val="superscript"/>
        </w:rPr>
        <w:t>3</w:t>
      </w:r>
      <w:r w:rsidRPr="000E2377">
        <w:rPr>
          <w:rFonts w:cs="Times New Roman"/>
          <w:b w:val="0"/>
          <w:szCs w:val="24"/>
        </w:rPr>
        <w:t xml:space="preserve"> and a narrow peak at 2-5 ppm corresponds to B</w:t>
      </w:r>
      <w:r w:rsidRPr="000E2377">
        <w:rPr>
          <w:rFonts w:cs="Times New Roman"/>
          <w:b w:val="0"/>
          <w:szCs w:val="24"/>
          <w:vertAlign w:val="superscript"/>
        </w:rPr>
        <w:t>4</w:t>
      </w:r>
      <w:r w:rsidRPr="000E2377">
        <w:rPr>
          <w:rFonts w:cs="Times New Roman"/>
          <w:b w:val="0"/>
          <w:szCs w:val="24"/>
        </w:rPr>
        <w:t xml:space="preserve"> sites. </w:t>
      </w:r>
      <w:r w:rsidRPr="000E2377">
        <w:rPr>
          <w:rFonts w:eastAsia="Calibri" w:cs="Times New Roman"/>
          <w:b w:val="0"/>
          <w:szCs w:val="24"/>
        </w:rPr>
        <w:fldChar w:fldCharType="begin" w:fldLock="1"/>
      </w:r>
      <w:r w:rsidRPr="000E2377">
        <w:rPr>
          <w:rFonts w:eastAsia="Calibri" w:cs="Times New Roman"/>
          <w:b w:val="0"/>
          <w:szCs w:val="24"/>
        </w:rPr>
        <w:instrText>ADDIN CSL_CITATION { "citationItems" : [ { "id" : "ITEM-1", "itemData" : { "DOI" : "10.1103/PhysRevB.86.054203", "ISSN" : "1098-0121", "author" : [ { "dropping-particle" : "", "family" : "Zheng", "given" : "Q. J.", "non-dropping-particle" : "", "parse-names" : false, "suffix" : "" }, { "dropping-particle" : "", "family" : "Youngman", "given" : "R. E.", "non-dropping-particle" : "", "parse-names" : false, "suffix" : "" }, { "dropping-particle" : "", "family" : "Hogue", "given" : "C. L.", "non-dropping-particle" : "", "parse-names" : false, "suffix" : "" }, { "dropping-particle" : "", "family" : "Mauro", "given" : "J. C.", "non-dropping-particle" : "", "parse-names" : false, "suffix" : "" }, { "dropping-particle" : "", "family" : "Potuzak", "given" : "M.", "non-dropping-particle" : "", "parse-names" : false, "suffix" : "" }, { "dropping-particle" : "", "family" : "Smedskjaer", "given" : "M. M.", "non-dropping-particle" : "", "parse-names" : false, "suffix" : "" }, { "dropping-particle" : "", "family" : "Yue", "given" : "Y. Z.", "non-dropping-particle" : "", "parse-names" : false, "suffix" : "" } ], "container-title" : "Physical Review B", "id" : "ITEM-1", "issue" : "5", "issued" : { "date-parts" : [ [ "2012", "8" ] ] }, "page" : "054203", "title" : "Structure of boroaluminosilicate glasses: Impact of [Al2O3]/[SiO2] ratio on the structural role of sodium", "type" : "article-journal", "volume" : "86" }, "uris" : [ "http://www.mendeley.com/documents/?uuid=f6cfc0d4-ec89-4c18-843d-e1e63022faaf" ] } ], "mendeley" : { "formattedCitation" : "(Q. J. Zheng et al., 2012)", "manualFormatting" : "Zheng et al., 2012", "plainTextFormattedCitation" : "(Q. J. Zheng et al., 2012)", "previouslyFormattedCitation" : "(Q. J. Zheng et al., 2012)" }, "properties" : { "noteIndex" : 14 }, "schema" : "https://github.com/citation-style-language/schema/raw/master/csl-citation.json" }</w:instrText>
      </w:r>
      <w:r w:rsidRPr="000E2377">
        <w:rPr>
          <w:rFonts w:eastAsia="Calibri" w:cs="Times New Roman"/>
          <w:b w:val="0"/>
          <w:szCs w:val="24"/>
        </w:rPr>
        <w:fldChar w:fldCharType="separate"/>
      </w:r>
      <w:r w:rsidRPr="000E2377">
        <w:rPr>
          <w:rFonts w:eastAsia="Calibri" w:cs="Times New Roman"/>
          <w:b w:val="0"/>
          <w:noProof/>
          <w:szCs w:val="24"/>
        </w:rPr>
        <w:t>Zheng et al., 2012</w:t>
      </w:r>
      <w:r w:rsidRPr="000E2377">
        <w:rPr>
          <w:rFonts w:eastAsia="Calibri" w:cs="Times New Roman"/>
          <w:b w:val="0"/>
          <w:szCs w:val="24"/>
        </w:rPr>
        <w:fldChar w:fldCharType="end"/>
      </w:r>
      <w:r w:rsidRPr="000E2377">
        <w:rPr>
          <w:rFonts w:eastAsia="Calibri" w:cs="Times New Roman"/>
          <w:b w:val="0"/>
          <w:szCs w:val="24"/>
        </w:rPr>
        <w:t xml:space="preserve">, </w:t>
      </w:r>
      <w:r w:rsidRPr="000E2377">
        <w:rPr>
          <w:rFonts w:cs="Times New Roman"/>
          <w:b w:val="0"/>
          <w:szCs w:val="24"/>
        </w:rPr>
        <w:t xml:space="preserve"> stated that when Al</w:t>
      </w:r>
      <w:r w:rsidRPr="000E2377">
        <w:rPr>
          <w:rFonts w:cs="Times New Roman"/>
          <w:b w:val="0"/>
          <w:szCs w:val="24"/>
          <w:vertAlign w:val="subscript"/>
        </w:rPr>
        <w:t>2</w:t>
      </w:r>
      <w:r w:rsidRPr="000E2377">
        <w:rPr>
          <w:rFonts w:cs="Times New Roman"/>
          <w:b w:val="0"/>
          <w:szCs w:val="24"/>
        </w:rPr>
        <w:t>O</w:t>
      </w:r>
      <w:r w:rsidRPr="000E2377">
        <w:rPr>
          <w:rFonts w:cs="Times New Roman"/>
          <w:b w:val="0"/>
          <w:szCs w:val="24"/>
          <w:vertAlign w:val="subscript"/>
        </w:rPr>
        <w:t>3</w:t>
      </w:r>
      <w:r w:rsidRPr="000E2377">
        <w:rPr>
          <w:rFonts w:cs="Times New Roman"/>
          <w:b w:val="0"/>
          <w:szCs w:val="24"/>
        </w:rPr>
        <w:t xml:space="preserve"> ≤ Na</w:t>
      </w:r>
      <w:r w:rsidRPr="000E2377">
        <w:rPr>
          <w:rFonts w:cs="Times New Roman"/>
          <w:b w:val="0"/>
          <w:szCs w:val="24"/>
          <w:vertAlign w:val="subscript"/>
        </w:rPr>
        <w:t>2</w:t>
      </w:r>
      <w:r w:rsidRPr="000E2377">
        <w:rPr>
          <w:rFonts w:cs="Times New Roman"/>
          <w:b w:val="0"/>
          <w:szCs w:val="24"/>
        </w:rPr>
        <w:t>O</w:t>
      </w:r>
      <w:r w:rsidR="00040067">
        <w:rPr>
          <w:rFonts w:cs="Times New Roman"/>
          <w:b w:val="0"/>
          <w:szCs w:val="24"/>
        </w:rPr>
        <w:t>,</w:t>
      </w:r>
      <w:r w:rsidRPr="000E2377">
        <w:rPr>
          <w:rFonts w:cs="Times New Roman"/>
          <w:b w:val="0"/>
          <w:szCs w:val="24"/>
        </w:rPr>
        <w:t xml:space="preserve"> both B</w:t>
      </w:r>
      <w:r w:rsidRPr="000E2377">
        <w:rPr>
          <w:rFonts w:cs="Times New Roman"/>
          <w:b w:val="0"/>
          <w:szCs w:val="24"/>
          <w:vertAlign w:val="superscript"/>
        </w:rPr>
        <w:t>3</w:t>
      </w:r>
      <w:r w:rsidRPr="000E2377">
        <w:rPr>
          <w:rFonts w:cs="Times New Roman"/>
          <w:b w:val="0"/>
          <w:szCs w:val="24"/>
        </w:rPr>
        <w:t xml:space="preserve"> and B</w:t>
      </w:r>
      <w:r w:rsidRPr="000E2377">
        <w:rPr>
          <w:rFonts w:cs="Times New Roman"/>
          <w:b w:val="0"/>
          <w:szCs w:val="24"/>
          <w:vertAlign w:val="superscript"/>
        </w:rPr>
        <w:t>4</w:t>
      </w:r>
      <w:r w:rsidRPr="000E2377">
        <w:rPr>
          <w:rFonts w:cs="Times New Roman"/>
          <w:b w:val="0"/>
          <w:szCs w:val="24"/>
        </w:rPr>
        <w:t xml:space="preserve"> spectra are present. With the current glasses</w:t>
      </w:r>
      <w:r w:rsidR="000707B0">
        <w:rPr>
          <w:rFonts w:cs="Times New Roman"/>
          <w:b w:val="0"/>
          <w:szCs w:val="24"/>
        </w:rPr>
        <w:t>,</w:t>
      </w:r>
      <w:r w:rsidRPr="000E2377">
        <w:rPr>
          <w:rFonts w:cs="Times New Roman"/>
          <w:b w:val="0"/>
          <w:szCs w:val="24"/>
        </w:rPr>
        <w:t xml:space="preserve"> all of the glasses </w:t>
      </w:r>
      <w:r>
        <w:rPr>
          <w:rFonts w:cs="Times New Roman"/>
          <w:b w:val="0"/>
          <w:szCs w:val="24"/>
        </w:rPr>
        <w:t xml:space="preserve">considered by NMR </w:t>
      </w:r>
      <w:r w:rsidRPr="000E2377">
        <w:rPr>
          <w:rFonts w:cs="Times New Roman"/>
          <w:b w:val="0"/>
          <w:szCs w:val="24"/>
        </w:rPr>
        <w:t xml:space="preserve">have enough network modifier to charge balance boron. This is the reason </w:t>
      </w:r>
      <w:r>
        <w:rPr>
          <w:rFonts w:cs="Times New Roman"/>
          <w:b w:val="0"/>
          <w:szCs w:val="24"/>
        </w:rPr>
        <w:t xml:space="preserve">for the </w:t>
      </w:r>
      <w:r w:rsidRPr="000E2377">
        <w:rPr>
          <w:rFonts w:cs="Times New Roman"/>
          <w:b w:val="0"/>
          <w:szCs w:val="24"/>
        </w:rPr>
        <w:t>appearance of both B</w:t>
      </w:r>
      <w:r w:rsidRPr="000E2377">
        <w:rPr>
          <w:rFonts w:cs="Times New Roman"/>
          <w:b w:val="0"/>
          <w:szCs w:val="24"/>
          <w:vertAlign w:val="superscript"/>
        </w:rPr>
        <w:t>3</w:t>
      </w:r>
      <w:r w:rsidRPr="000E2377">
        <w:rPr>
          <w:rFonts w:cs="Times New Roman"/>
          <w:b w:val="0"/>
          <w:szCs w:val="24"/>
        </w:rPr>
        <w:t xml:space="preserve"> and B</w:t>
      </w:r>
      <w:r w:rsidRPr="000E2377">
        <w:rPr>
          <w:rFonts w:cs="Times New Roman"/>
          <w:b w:val="0"/>
          <w:szCs w:val="24"/>
          <w:vertAlign w:val="superscript"/>
        </w:rPr>
        <w:t>4</w:t>
      </w:r>
      <w:r w:rsidRPr="000E2377">
        <w:rPr>
          <w:rFonts w:cs="Times New Roman"/>
          <w:b w:val="0"/>
          <w:szCs w:val="24"/>
        </w:rPr>
        <w:t xml:space="preserve">. However complete charge balance of B is not in general expected. 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szCs w:val="24"/>
          <w:vertAlign w:val="subscript"/>
        </w:rPr>
        <w:t xml:space="preserve"> </w:t>
      </w:r>
      <w:r w:rsidRPr="000E2377">
        <w:rPr>
          <w:rFonts w:cs="Times New Roman"/>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szCs w:val="24"/>
        </w:rPr>
        <w:t xml:space="preserve"> glasses</w:t>
      </w:r>
      <w:r w:rsidR="000707B0">
        <w:rPr>
          <w:rFonts w:cs="Times New Roman"/>
          <w:b w:val="0"/>
          <w:szCs w:val="24"/>
        </w:rPr>
        <w:t>,</w:t>
      </w:r>
      <w:r w:rsidRPr="000E2377">
        <w:rPr>
          <w:rFonts w:cs="Times New Roman"/>
          <w:b w:val="0"/>
          <w:szCs w:val="24"/>
        </w:rPr>
        <w:t xml:space="preserve"> there is more B</w:t>
      </w:r>
      <w:r w:rsidRPr="000E2377">
        <w:rPr>
          <w:rFonts w:cs="Times New Roman"/>
          <w:b w:val="0"/>
          <w:szCs w:val="24"/>
          <w:vertAlign w:val="superscript"/>
        </w:rPr>
        <w:t>3</w:t>
      </w:r>
      <w:r w:rsidRPr="000E2377">
        <w:rPr>
          <w:rFonts w:cs="Times New Roman"/>
          <w:b w:val="0"/>
          <w:szCs w:val="24"/>
        </w:rPr>
        <w:t xml:space="preserve"> than B</w:t>
      </w:r>
      <w:r w:rsidRPr="000E2377">
        <w:rPr>
          <w:rFonts w:cs="Times New Roman"/>
          <w:b w:val="0"/>
          <w:szCs w:val="24"/>
          <w:vertAlign w:val="superscript"/>
        </w:rPr>
        <w:t>4</w:t>
      </w:r>
      <w:r w:rsidRPr="000E2377">
        <w:rPr>
          <w:rFonts w:cs="Times New Roman"/>
          <w:b w:val="0"/>
          <w:szCs w:val="24"/>
        </w:rPr>
        <w:t xml:space="preserve"> in the glass structure. In the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eastAsia="Times New Roman" w:cs="Times New Roman"/>
          <w:color w:val="000000"/>
          <w:sz w:val="16"/>
          <w:szCs w:val="16"/>
          <w:lang w:eastAsia="en-MY"/>
        </w:rPr>
        <w:t xml:space="preserve"> </w:t>
      </w:r>
      <w:r w:rsidRPr="000E2377">
        <w:rPr>
          <w:rFonts w:cs="Times New Roman"/>
          <w:b w:val="0"/>
          <w:szCs w:val="24"/>
        </w:rPr>
        <w:t xml:space="preserve"> series, the fraction of B</w:t>
      </w:r>
      <w:r w:rsidRPr="000E2377">
        <w:rPr>
          <w:rFonts w:cs="Times New Roman"/>
          <w:b w:val="0"/>
          <w:szCs w:val="24"/>
          <w:vertAlign w:val="superscript"/>
        </w:rPr>
        <w:t>4</w:t>
      </w:r>
      <w:r w:rsidRPr="000E2377">
        <w:rPr>
          <w:rFonts w:cs="Times New Roman"/>
          <w:b w:val="0"/>
          <w:szCs w:val="24"/>
        </w:rPr>
        <w:t xml:space="preserve"> decreased with increasing Al content. Larger concentrations of network modifier to charge balance boron give decreased intensity</w:t>
      </w:r>
      <w:r w:rsidRPr="000E2377">
        <w:rPr>
          <w:rFonts w:eastAsia="Times New Roman" w:cs="Times New Roman"/>
          <w:b w:val="0"/>
          <w:color w:val="000000"/>
          <w:szCs w:val="24"/>
          <w:lang w:eastAsia="en-MY"/>
        </w:rPr>
        <w:t xml:space="preserve"> for B</w:t>
      </w:r>
      <w:r w:rsidRPr="000E2377">
        <w:rPr>
          <w:rFonts w:eastAsia="Times New Roman" w:cs="Times New Roman"/>
          <w:b w:val="0"/>
          <w:color w:val="000000"/>
          <w:szCs w:val="24"/>
          <w:vertAlign w:val="superscript"/>
          <w:lang w:eastAsia="en-MY"/>
        </w:rPr>
        <w:t xml:space="preserve">3  </w:t>
      </w:r>
      <w:r w:rsidRPr="000E2377">
        <w:rPr>
          <w:rFonts w:eastAsia="Times New Roman" w:cs="Times New Roman"/>
          <w:b w:val="0"/>
          <w:color w:val="000000"/>
          <w:szCs w:val="24"/>
          <w:lang w:eastAsia="en-MY"/>
        </w:rPr>
        <w:t>as seen in both</w:t>
      </w:r>
      <w:r w:rsidRPr="000E2377">
        <w:rPr>
          <w:rFonts w:cs="Times New Roman"/>
          <w:b w:val="0"/>
          <w:szCs w:val="24"/>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r w:rsidRPr="000E2377">
        <w:rPr>
          <w:rFonts w:cs="Times New Roman"/>
          <w:b w:val="0"/>
          <w:szCs w:val="24"/>
        </w:rPr>
        <w:t xml:space="preserve"> 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szCs w:val="24"/>
        </w:rPr>
        <w:t xml:space="preserve">. </w:t>
      </w:r>
      <w:bookmarkStart w:id="705" w:name="_Hlk496160419"/>
      <w:r w:rsidRPr="000E2377">
        <w:rPr>
          <w:rFonts w:cs="Times New Roman"/>
          <w:b w:val="0"/>
          <w:szCs w:val="24"/>
        </w:rPr>
        <w:t>Figure 4.2</w:t>
      </w:r>
      <w:r>
        <w:rPr>
          <w:rFonts w:cs="Times New Roman"/>
          <w:b w:val="0"/>
          <w:szCs w:val="24"/>
        </w:rPr>
        <w:t>5</w:t>
      </w:r>
      <w:r w:rsidRPr="000E2377">
        <w:rPr>
          <w:rFonts w:cs="Times New Roman"/>
          <w:b w:val="0"/>
          <w:szCs w:val="24"/>
        </w:rPr>
        <w:t xml:space="preserve"> shows that different alkaline earths do not affect the fraction of B</w:t>
      </w:r>
      <w:r w:rsidRPr="000E2377">
        <w:rPr>
          <w:rFonts w:cs="Times New Roman"/>
          <w:b w:val="0"/>
          <w:szCs w:val="24"/>
          <w:vertAlign w:val="superscript"/>
        </w:rPr>
        <w:t>4</w:t>
      </w:r>
      <w:r w:rsidRPr="000E2377">
        <w:rPr>
          <w:rFonts w:cs="Times New Roman"/>
          <w:b w:val="0"/>
          <w:szCs w:val="24"/>
        </w:rPr>
        <w:t xml:space="preserve"> and B</w:t>
      </w:r>
      <w:r w:rsidRPr="000E2377">
        <w:rPr>
          <w:rFonts w:cs="Times New Roman"/>
          <w:b w:val="0"/>
          <w:szCs w:val="24"/>
          <w:vertAlign w:val="superscript"/>
        </w:rPr>
        <w:t>3</w:t>
      </w:r>
      <w:r w:rsidRPr="000E2377">
        <w:rPr>
          <w:rFonts w:cs="Times New Roman"/>
          <w:b w:val="0"/>
          <w:szCs w:val="24"/>
        </w:rPr>
        <w:t>. However, there is</w:t>
      </w:r>
      <w:r w:rsidR="000707B0">
        <w:rPr>
          <w:rFonts w:cs="Times New Roman"/>
          <w:b w:val="0"/>
          <w:szCs w:val="24"/>
        </w:rPr>
        <w:t xml:space="preserve"> a</w:t>
      </w:r>
      <w:r w:rsidRPr="000E2377">
        <w:rPr>
          <w:rFonts w:cs="Times New Roman"/>
          <w:b w:val="0"/>
          <w:szCs w:val="24"/>
        </w:rPr>
        <w:t xml:space="preserve"> significant reduction in the intensity of the B</w:t>
      </w:r>
      <w:r w:rsidRPr="000E2377">
        <w:rPr>
          <w:rFonts w:cs="Times New Roman"/>
          <w:b w:val="0"/>
          <w:szCs w:val="24"/>
          <w:vertAlign w:val="superscript"/>
        </w:rPr>
        <w:t>3</w:t>
      </w:r>
      <w:r w:rsidRPr="000E2377">
        <w:rPr>
          <w:rFonts w:cs="Times New Roman"/>
          <w:b w:val="0"/>
          <w:szCs w:val="24"/>
        </w:rPr>
        <w:t xml:space="preserve"> peak with the amount of network modifier used; the greater amount of network modifier in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b w:val="0"/>
          <w:color w:val="000000"/>
          <w:szCs w:val="24"/>
          <w:lang w:eastAsia="en-MY"/>
        </w:rPr>
        <w:t xml:space="preserve"> and 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b w:val="0"/>
          <w:color w:val="000000"/>
          <w:szCs w:val="24"/>
          <w:lang w:eastAsia="en-MY"/>
        </w:rPr>
        <w:t xml:space="preserve">, results in </w:t>
      </w:r>
      <w:r w:rsidR="000707B0">
        <w:rPr>
          <w:rFonts w:eastAsia="Times New Roman" w:cs="Times New Roman"/>
          <w:b w:val="0"/>
          <w:color w:val="000000"/>
          <w:szCs w:val="24"/>
          <w:lang w:eastAsia="en-MY"/>
        </w:rPr>
        <w:t xml:space="preserve">the </w:t>
      </w:r>
      <w:r w:rsidRPr="000E2377">
        <w:rPr>
          <w:rFonts w:eastAsia="Times New Roman" w:cs="Times New Roman"/>
          <w:b w:val="0"/>
          <w:color w:val="000000"/>
          <w:szCs w:val="24"/>
          <w:lang w:eastAsia="en-MY"/>
        </w:rPr>
        <w:t>decreased intensity of B</w:t>
      </w:r>
      <w:r w:rsidRPr="000E2377">
        <w:rPr>
          <w:rFonts w:eastAsia="Times New Roman" w:cs="Times New Roman"/>
          <w:b w:val="0"/>
          <w:color w:val="000000"/>
          <w:szCs w:val="24"/>
          <w:vertAlign w:val="superscript"/>
          <w:lang w:eastAsia="en-MY"/>
        </w:rPr>
        <w:t>3</w:t>
      </w:r>
      <w:r w:rsidRPr="000E2377">
        <w:rPr>
          <w:rFonts w:cs="Times New Roman"/>
          <w:b w:val="0"/>
          <w:szCs w:val="24"/>
        </w:rPr>
        <w:t xml:space="preserve">, due to sufficient concentration of network modifier to charge balance boron coordination. </w:t>
      </w:r>
      <w:r>
        <w:rPr>
          <w:rFonts w:cs="Times New Roman"/>
          <w:b w:val="0"/>
          <w:szCs w:val="24"/>
        </w:rPr>
        <w:t xml:space="preserve">The deconvolution of </w:t>
      </w:r>
      <w:r w:rsidRPr="00772147">
        <w:rPr>
          <w:rFonts w:cs="Times New Roman"/>
          <w:b w:val="0"/>
          <w:szCs w:val="24"/>
          <w:vertAlign w:val="superscript"/>
        </w:rPr>
        <w:t>11</w:t>
      </w:r>
      <w:r>
        <w:rPr>
          <w:rFonts w:cs="Times New Roman"/>
          <w:b w:val="0"/>
          <w:szCs w:val="24"/>
        </w:rPr>
        <w:t>B  can be seen that</w:t>
      </w:r>
      <w:r w:rsidRPr="000E2377">
        <w:rPr>
          <w:rFonts w:cs="Times New Roman"/>
          <w:b w:val="0"/>
          <w:szCs w:val="24"/>
        </w:rPr>
        <w:t xml:space="preserve"> </w:t>
      </w:r>
      <w:bookmarkEnd w:id="705"/>
      <w:r>
        <w:rPr>
          <w:rFonts w:cs="Times New Roman"/>
          <w:b w:val="0"/>
          <w:szCs w:val="24"/>
        </w:rPr>
        <w:t xml:space="preserve">there is </w:t>
      </w:r>
      <w:r w:rsidR="00E25445">
        <w:rPr>
          <w:rFonts w:cs="Times New Roman"/>
          <w:b w:val="0"/>
          <w:szCs w:val="24"/>
        </w:rPr>
        <w:t xml:space="preserve">a </w:t>
      </w:r>
      <w:r>
        <w:rPr>
          <w:rFonts w:cs="Times New Roman"/>
          <w:b w:val="0"/>
          <w:szCs w:val="24"/>
        </w:rPr>
        <w:t xml:space="preserve">huge </w:t>
      </w:r>
      <w:r w:rsidR="000707B0">
        <w:rPr>
          <w:rFonts w:cs="Times New Roman"/>
          <w:b w:val="0"/>
          <w:szCs w:val="24"/>
        </w:rPr>
        <w:t xml:space="preserve">difference </w:t>
      </w:r>
      <w:r>
        <w:rPr>
          <w:rFonts w:cs="Times New Roman"/>
          <w:b w:val="0"/>
          <w:szCs w:val="24"/>
        </w:rPr>
        <w:t xml:space="preserve">of </w:t>
      </w:r>
      <w:r w:rsidR="000707B0">
        <w:rPr>
          <w:rFonts w:cs="Times New Roman"/>
          <w:b w:val="0"/>
          <w:szCs w:val="24"/>
        </w:rPr>
        <w:t xml:space="preserve">the </w:t>
      </w:r>
      <w:r>
        <w:rPr>
          <w:rFonts w:cs="Times New Roman"/>
          <w:b w:val="0"/>
          <w:szCs w:val="24"/>
        </w:rPr>
        <w:t>area under the curve representing B</w:t>
      </w:r>
      <w:r w:rsidRPr="00072524">
        <w:rPr>
          <w:rFonts w:cs="Times New Roman"/>
          <w:b w:val="0"/>
          <w:szCs w:val="24"/>
          <w:vertAlign w:val="superscript"/>
        </w:rPr>
        <w:t>3</w:t>
      </w:r>
      <w:r w:rsidR="00040067" w:rsidRPr="00040067">
        <w:rPr>
          <w:rFonts w:cs="Times New Roman"/>
          <w:b w:val="0"/>
          <w:szCs w:val="24"/>
        </w:rPr>
        <w:t>,</w:t>
      </w:r>
      <w:r>
        <w:rPr>
          <w:rFonts w:cs="Times New Roman"/>
          <w:b w:val="0"/>
          <w:szCs w:val="24"/>
        </w:rPr>
        <w:t xml:space="preserve"> especially for glasses </w:t>
      </w:r>
      <w:r w:rsidRPr="00072524">
        <w:rPr>
          <w:rFonts w:eastAsia="Times New Roman" w:cs="Times New Roman"/>
          <w:b w:val="0"/>
          <w:color w:val="000000"/>
          <w:szCs w:val="24"/>
          <w:lang w:eastAsia="en-MY"/>
        </w:rPr>
        <w:t>N</w:t>
      </w:r>
      <w:r w:rsidRPr="00072524">
        <w:rPr>
          <w:rFonts w:eastAsia="Times New Roman" w:cs="Times New Roman"/>
          <w:b w:val="0"/>
          <w:color w:val="000000"/>
          <w:szCs w:val="24"/>
          <w:vertAlign w:val="subscript"/>
          <w:lang w:eastAsia="en-MY"/>
        </w:rPr>
        <w:t>15</w:t>
      </w:r>
      <w:r w:rsidRPr="00072524">
        <w:rPr>
          <w:rFonts w:eastAsia="Times New Roman" w:cs="Times New Roman"/>
          <w:b w:val="0"/>
          <w:color w:val="000000"/>
          <w:szCs w:val="24"/>
          <w:lang w:eastAsia="en-MY"/>
        </w:rPr>
        <w:t>C</w:t>
      </w:r>
      <w:r w:rsidRPr="00072524">
        <w:rPr>
          <w:rFonts w:eastAsia="Times New Roman" w:cs="Times New Roman"/>
          <w:b w:val="0"/>
          <w:color w:val="000000"/>
          <w:szCs w:val="24"/>
          <w:vertAlign w:val="subscript"/>
          <w:lang w:eastAsia="en-MY"/>
        </w:rPr>
        <w:t>5</w:t>
      </w:r>
      <w:r w:rsidRPr="00072524">
        <w:rPr>
          <w:rFonts w:eastAsia="Times New Roman" w:cs="Times New Roman"/>
          <w:b w:val="0"/>
          <w:color w:val="000000"/>
          <w:szCs w:val="24"/>
          <w:lang w:eastAsia="en-MY"/>
        </w:rPr>
        <w:t>A</w:t>
      </w:r>
      <w:r w:rsidRPr="00072524">
        <w:rPr>
          <w:rFonts w:eastAsia="Times New Roman" w:cs="Times New Roman"/>
          <w:b w:val="0"/>
          <w:color w:val="000000"/>
          <w:szCs w:val="24"/>
          <w:vertAlign w:val="subscript"/>
          <w:lang w:eastAsia="en-MY"/>
        </w:rPr>
        <w:t>10</w:t>
      </w:r>
      <w:r w:rsidRPr="00072524">
        <w:rPr>
          <w:rFonts w:eastAsia="Times New Roman" w:cs="Times New Roman"/>
          <w:b w:val="0"/>
          <w:color w:val="000000"/>
          <w:szCs w:val="24"/>
          <w:lang w:eastAsia="en-MY"/>
        </w:rPr>
        <w:t>B</w:t>
      </w:r>
      <w:r w:rsidRPr="00072524">
        <w:rPr>
          <w:rFonts w:eastAsia="Times New Roman" w:cs="Times New Roman"/>
          <w:b w:val="0"/>
          <w:color w:val="000000"/>
          <w:szCs w:val="24"/>
          <w:vertAlign w:val="subscript"/>
          <w:lang w:eastAsia="en-MY"/>
        </w:rPr>
        <w:t>10</w:t>
      </w:r>
      <w:r w:rsidRPr="00072524">
        <w:rPr>
          <w:rFonts w:eastAsia="Times New Roman" w:cs="Times New Roman"/>
          <w:b w:val="0"/>
          <w:color w:val="000000"/>
          <w:szCs w:val="24"/>
          <w:lang w:eastAsia="en-MY"/>
        </w:rPr>
        <w:t>S</w:t>
      </w:r>
      <w:r w:rsidRPr="00072524">
        <w:rPr>
          <w:rFonts w:eastAsia="Times New Roman" w:cs="Times New Roman"/>
          <w:b w:val="0"/>
          <w:color w:val="000000"/>
          <w:szCs w:val="24"/>
          <w:vertAlign w:val="subscript"/>
          <w:lang w:eastAsia="en-MY"/>
        </w:rPr>
        <w:t>60</w:t>
      </w:r>
      <w:r w:rsidRPr="00072524">
        <w:rPr>
          <w:rFonts w:eastAsia="Times New Roman" w:cs="Times New Roman"/>
          <w:b w:val="0"/>
          <w:color w:val="000000"/>
          <w:szCs w:val="24"/>
          <w:lang w:eastAsia="en-MY"/>
        </w:rPr>
        <w:t>, N</w:t>
      </w:r>
      <w:r w:rsidRPr="00072524">
        <w:rPr>
          <w:rFonts w:eastAsia="Times New Roman" w:cs="Times New Roman"/>
          <w:b w:val="0"/>
          <w:color w:val="000000"/>
          <w:szCs w:val="24"/>
          <w:vertAlign w:val="subscript"/>
          <w:lang w:eastAsia="en-MY"/>
        </w:rPr>
        <w:t>10</w:t>
      </w:r>
      <w:r w:rsidRPr="00072524">
        <w:rPr>
          <w:rFonts w:eastAsia="Times New Roman" w:cs="Times New Roman"/>
          <w:b w:val="0"/>
          <w:color w:val="000000"/>
          <w:szCs w:val="24"/>
          <w:lang w:eastAsia="en-MY"/>
        </w:rPr>
        <w:t>C</w:t>
      </w:r>
      <w:r w:rsidRPr="00072524">
        <w:rPr>
          <w:rFonts w:eastAsia="Times New Roman" w:cs="Times New Roman"/>
          <w:b w:val="0"/>
          <w:color w:val="000000"/>
          <w:szCs w:val="24"/>
          <w:vertAlign w:val="subscript"/>
          <w:lang w:eastAsia="en-MY"/>
        </w:rPr>
        <w:t>5</w:t>
      </w:r>
      <w:r w:rsidRPr="00072524">
        <w:rPr>
          <w:rFonts w:eastAsia="Times New Roman" w:cs="Times New Roman"/>
          <w:b w:val="0"/>
          <w:color w:val="000000"/>
          <w:szCs w:val="24"/>
          <w:lang w:eastAsia="en-MY"/>
        </w:rPr>
        <w:t>A</w:t>
      </w:r>
      <w:r w:rsidRPr="00072524">
        <w:rPr>
          <w:rFonts w:eastAsia="Times New Roman" w:cs="Times New Roman"/>
          <w:b w:val="0"/>
          <w:color w:val="000000"/>
          <w:szCs w:val="24"/>
          <w:vertAlign w:val="subscript"/>
          <w:lang w:eastAsia="en-MY"/>
        </w:rPr>
        <w:t>15</w:t>
      </w:r>
      <w:r w:rsidRPr="00072524">
        <w:rPr>
          <w:rFonts w:eastAsia="Times New Roman" w:cs="Times New Roman"/>
          <w:b w:val="0"/>
          <w:color w:val="000000"/>
          <w:szCs w:val="24"/>
          <w:lang w:eastAsia="en-MY"/>
        </w:rPr>
        <w:t>B</w:t>
      </w:r>
      <w:r w:rsidRPr="00072524">
        <w:rPr>
          <w:rFonts w:eastAsia="Times New Roman" w:cs="Times New Roman"/>
          <w:b w:val="0"/>
          <w:color w:val="000000"/>
          <w:szCs w:val="24"/>
          <w:vertAlign w:val="subscript"/>
          <w:lang w:eastAsia="en-MY"/>
        </w:rPr>
        <w:t>10</w:t>
      </w:r>
      <w:r w:rsidRPr="00072524">
        <w:rPr>
          <w:rFonts w:eastAsia="Times New Roman" w:cs="Times New Roman"/>
          <w:b w:val="0"/>
          <w:color w:val="000000"/>
          <w:szCs w:val="24"/>
          <w:lang w:eastAsia="en-MY"/>
        </w:rPr>
        <w:t>S</w:t>
      </w:r>
      <w:r w:rsidRPr="00072524">
        <w:rPr>
          <w:rFonts w:eastAsia="Times New Roman" w:cs="Times New Roman"/>
          <w:b w:val="0"/>
          <w:color w:val="000000"/>
          <w:szCs w:val="24"/>
          <w:vertAlign w:val="subscript"/>
          <w:lang w:eastAsia="en-MY"/>
        </w:rPr>
        <w:t>60</w:t>
      </w:r>
      <w:r w:rsidRPr="00072524">
        <w:rPr>
          <w:rFonts w:eastAsia="Times New Roman" w:cs="Times New Roman"/>
          <w:b w:val="0"/>
          <w:color w:val="000000"/>
          <w:szCs w:val="24"/>
          <w:lang w:eastAsia="en-MY"/>
        </w:rPr>
        <w:t xml:space="preserve"> and</w:t>
      </w:r>
      <w:r>
        <w:rPr>
          <w:rFonts w:eastAsia="Times New Roman" w:cs="Times New Roman"/>
          <w:b w:val="0"/>
          <w:color w:val="000000"/>
          <w:szCs w:val="24"/>
          <w:lang w:eastAsia="en-MY"/>
        </w:rPr>
        <w:t xml:space="preserve"> </w:t>
      </w:r>
      <w:r w:rsidRPr="00072524">
        <w:rPr>
          <w:rFonts w:eastAsia="Times New Roman" w:cs="Times New Roman"/>
          <w:b w:val="0"/>
          <w:color w:val="000000"/>
          <w:szCs w:val="24"/>
          <w:lang w:eastAsia="en-MY"/>
        </w:rPr>
        <w:t>N</w:t>
      </w:r>
      <w:r w:rsidRPr="00072524">
        <w:rPr>
          <w:rFonts w:eastAsia="Times New Roman" w:cs="Times New Roman"/>
          <w:b w:val="0"/>
          <w:color w:val="000000"/>
          <w:szCs w:val="24"/>
          <w:vertAlign w:val="subscript"/>
          <w:lang w:eastAsia="en-MY"/>
        </w:rPr>
        <w:t>10</w:t>
      </w:r>
      <w:r w:rsidRPr="00072524">
        <w:rPr>
          <w:rFonts w:eastAsia="Times New Roman" w:cs="Times New Roman"/>
          <w:b w:val="0"/>
          <w:color w:val="000000"/>
          <w:szCs w:val="24"/>
          <w:lang w:eastAsia="en-MY"/>
        </w:rPr>
        <w:t>Ba</w:t>
      </w:r>
      <w:r w:rsidRPr="00072524">
        <w:rPr>
          <w:rFonts w:eastAsia="Times New Roman" w:cs="Times New Roman"/>
          <w:b w:val="0"/>
          <w:color w:val="000000"/>
          <w:szCs w:val="24"/>
          <w:vertAlign w:val="subscript"/>
          <w:lang w:eastAsia="en-MY"/>
        </w:rPr>
        <w:t>5</w:t>
      </w:r>
      <w:r w:rsidRPr="00072524">
        <w:rPr>
          <w:rFonts w:eastAsia="Times New Roman" w:cs="Times New Roman"/>
          <w:b w:val="0"/>
          <w:color w:val="000000"/>
          <w:szCs w:val="24"/>
          <w:lang w:eastAsia="en-MY"/>
        </w:rPr>
        <w:t>A</w:t>
      </w:r>
      <w:r w:rsidRPr="00072524">
        <w:rPr>
          <w:rFonts w:eastAsia="Times New Roman" w:cs="Times New Roman"/>
          <w:b w:val="0"/>
          <w:color w:val="000000"/>
          <w:szCs w:val="24"/>
          <w:vertAlign w:val="subscript"/>
          <w:lang w:eastAsia="en-MY"/>
        </w:rPr>
        <w:t>15</w:t>
      </w:r>
      <w:r w:rsidRPr="00072524">
        <w:rPr>
          <w:rFonts w:eastAsia="Times New Roman" w:cs="Times New Roman"/>
          <w:b w:val="0"/>
          <w:color w:val="000000"/>
          <w:szCs w:val="24"/>
          <w:lang w:eastAsia="en-MY"/>
        </w:rPr>
        <w:t>B</w:t>
      </w:r>
      <w:r w:rsidRPr="00072524">
        <w:rPr>
          <w:rFonts w:eastAsia="Times New Roman" w:cs="Times New Roman"/>
          <w:b w:val="0"/>
          <w:color w:val="000000"/>
          <w:szCs w:val="24"/>
          <w:vertAlign w:val="subscript"/>
          <w:lang w:eastAsia="en-MY"/>
        </w:rPr>
        <w:t>10</w:t>
      </w:r>
      <w:r w:rsidRPr="00072524">
        <w:rPr>
          <w:rFonts w:eastAsia="Times New Roman" w:cs="Times New Roman"/>
          <w:b w:val="0"/>
          <w:color w:val="000000"/>
          <w:szCs w:val="24"/>
          <w:lang w:eastAsia="en-MY"/>
        </w:rPr>
        <w:t>S</w:t>
      </w:r>
      <w:r w:rsidRPr="00072524">
        <w:rPr>
          <w:rFonts w:eastAsia="Times New Roman" w:cs="Times New Roman"/>
          <w:b w:val="0"/>
          <w:color w:val="000000"/>
          <w:szCs w:val="24"/>
          <w:vertAlign w:val="subscript"/>
          <w:lang w:eastAsia="en-MY"/>
        </w:rPr>
        <w:t>60</w:t>
      </w:r>
      <w:r>
        <w:rPr>
          <w:rFonts w:eastAsia="Times New Roman" w:cs="Times New Roman"/>
          <w:b w:val="0"/>
          <w:color w:val="000000"/>
          <w:szCs w:val="24"/>
          <w:lang w:eastAsia="en-MY"/>
        </w:rPr>
        <w:t xml:space="preserve">. </w:t>
      </w:r>
    </w:p>
    <w:p w14:paraId="4E92DD44" w14:textId="77777777" w:rsidR="00D740DC" w:rsidRDefault="00D740DC" w:rsidP="00D740DC">
      <w:pPr>
        <w:spacing w:after="0" w:line="360" w:lineRule="auto"/>
        <w:jc w:val="both"/>
        <w:rPr>
          <w:rFonts w:asciiTheme="majorBidi" w:hAnsiTheme="majorBidi" w:cstheme="majorBidi"/>
          <w:szCs w:val="24"/>
        </w:rPr>
      </w:pPr>
    </w:p>
    <w:p w14:paraId="733F63CC" w14:textId="77777777" w:rsidR="00D740DC" w:rsidRDefault="00D740DC" w:rsidP="00D740DC">
      <w:pPr>
        <w:spacing w:after="0" w:line="360" w:lineRule="auto"/>
        <w:jc w:val="both"/>
        <w:rPr>
          <w:rFonts w:asciiTheme="majorBidi" w:hAnsiTheme="majorBidi" w:cstheme="majorBidi"/>
          <w:szCs w:val="24"/>
        </w:rPr>
      </w:pPr>
    </w:p>
    <w:p w14:paraId="61E4911A" w14:textId="77777777" w:rsidR="00D740DC" w:rsidRDefault="00D740DC" w:rsidP="00D740DC">
      <w:pPr>
        <w:spacing w:after="0" w:line="360" w:lineRule="auto"/>
        <w:jc w:val="both"/>
        <w:rPr>
          <w:rFonts w:asciiTheme="majorBidi" w:hAnsiTheme="majorBidi" w:cstheme="majorBidi"/>
          <w:szCs w:val="24"/>
        </w:rPr>
      </w:pPr>
    </w:p>
    <w:p w14:paraId="189F865D" w14:textId="77777777" w:rsidR="00D740DC" w:rsidRDefault="00D740DC" w:rsidP="00D740DC">
      <w:pPr>
        <w:spacing w:after="0" w:line="360" w:lineRule="auto"/>
        <w:jc w:val="both"/>
        <w:rPr>
          <w:rFonts w:asciiTheme="majorBidi" w:hAnsiTheme="majorBidi" w:cstheme="majorBidi"/>
          <w:szCs w:val="24"/>
        </w:rPr>
      </w:pPr>
    </w:p>
    <w:p w14:paraId="3AF25130" w14:textId="77777777" w:rsidR="00D740DC" w:rsidRDefault="00D740DC" w:rsidP="00D740DC">
      <w:pPr>
        <w:spacing w:after="0" w:line="360" w:lineRule="auto"/>
        <w:jc w:val="both"/>
        <w:rPr>
          <w:rFonts w:asciiTheme="majorBidi" w:hAnsiTheme="majorBidi" w:cstheme="majorBidi"/>
          <w:szCs w:val="24"/>
        </w:rPr>
      </w:pPr>
    </w:p>
    <w:p w14:paraId="7D216923" w14:textId="77777777" w:rsidR="00D740DC" w:rsidRDefault="00D740DC" w:rsidP="00D740DC">
      <w:pPr>
        <w:spacing w:after="0" w:line="360" w:lineRule="auto"/>
        <w:jc w:val="both"/>
        <w:rPr>
          <w:rFonts w:asciiTheme="majorBidi" w:hAnsiTheme="majorBidi" w:cstheme="majorBidi"/>
          <w:szCs w:val="24"/>
        </w:rPr>
      </w:pPr>
    </w:p>
    <w:p w14:paraId="05CB6798" w14:textId="77777777" w:rsidR="00D740DC" w:rsidRDefault="00D740DC" w:rsidP="00D740DC">
      <w:pPr>
        <w:spacing w:after="0" w:line="360" w:lineRule="auto"/>
        <w:jc w:val="both"/>
        <w:rPr>
          <w:rFonts w:asciiTheme="majorBidi" w:hAnsiTheme="majorBidi" w:cstheme="majorBidi"/>
          <w:szCs w:val="24"/>
        </w:rPr>
      </w:pPr>
    </w:p>
    <w:p w14:paraId="6751D9B4" w14:textId="77777777" w:rsidR="00D740DC" w:rsidRDefault="00D740DC" w:rsidP="00D740DC">
      <w:pPr>
        <w:spacing w:after="0" w:line="360" w:lineRule="auto"/>
        <w:jc w:val="both"/>
        <w:rPr>
          <w:rFonts w:asciiTheme="majorBidi" w:hAnsiTheme="majorBidi" w:cstheme="majorBidi"/>
          <w:szCs w:val="24"/>
        </w:rPr>
      </w:pPr>
    </w:p>
    <w:p w14:paraId="4A19C407" w14:textId="77777777" w:rsidR="00D740DC" w:rsidRDefault="00D740DC" w:rsidP="00D740DC">
      <w:pPr>
        <w:spacing w:after="0" w:line="360" w:lineRule="auto"/>
        <w:jc w:val="both"/>
        <w:rPr>
          <w:rFonts w:asciiTheme="majorBidi" w:hAnsiTheme="majorBidi" w:cstheme="majorBidi"/>
          <w:szCs w:val="24"/>
        </w:rPr>
      </w:pPr>
    </w:p>
    <w:p w14:paraId="59822120" w14:textId="77777777" w:rsidR="00D740DC" w:rsidRDefault="00D740DC" w:rsidP="00D740DC">
      <w:pPr>
        <w:spacing w:after="0" w:line="360" w:lineRule="auto"/>
        <w:jc w:val="both"/>
        <w:rPr>
          <w:rFonts w:asciiTheme="majorBidi" w:hAnsiTheme="majorBidi" w:cstheme="majorBidi"/>
          <w:szCs w:val="24"/>
        </w:rPr>
      </w:pPr>
    </w:p>
    <w:p w14:paraId="703DA7A2" w14:textId="77777777" w:rsidR="00D740DC" w:rsidRDefault="00D740DC" w:rsidP="00D740DC">
      <w:pPr>
        <w:spacing w:after="0" w:line="360" w:lineRule="auto"/>
        <w:jc w:val="both"/>
        <w:rPr>
          <w:rFonts w:asciiTheme="majorBidi" w:hAnsiTheme="majorBidi" w:cstheme="majorBidi"/>
          <w:szCs w:val="24"/>
        </w:rPr>
      </w:pPr>
    </w:p>
    <w:p w14:paraId="0854D7FC" w14:textId="77777777" w:rsidR="00D740DC" w:rsidRDefault="00D740DC" w:rsidP="00D740DC">
      <w:pPr>
        <w:spacing w:after="0" w:line="360" w:lineRule="auto"/>
        <w:jc w:val="both"/>
        <w:rPr>
          <w:rFonts w:asciiTheme="majorBidi" w:hAnsiTheme="majorBidi" w:cstheme="majorBidi"/>
          <w:szCs w:val="24"/>
        </w:rPr>
      </w:pPr>
    </w:p>
    <w:p w14:paraId="39EE81D7" w14:textId="77777777" w:rsidR="00D740DC" w:rsidRDefault="00D740DC" w:rsidP="00D740DC">
      <w:pPr>
        <w:spacing w:after="0" w:line="360" w:lineRule="auto"/>
        <w:jc w:val="both"/>
        <w:rPr>
          <w:rFonts w:asciiTheme="majorBidi" w:hAnsiTheme="majorBidi" w:cstheme="majorBidi"/>
          <w:szCs w:val="24"/>
        </w:rPr>
      </w:pPr>
    </w:p>
    <w:p w14:paraId="0DF7DDCA" w14:textId="3143FBDC" w:rsidR="00D740DC" w:rsidRDefault="00D740DC" w:rsidP="00D740DC">
      <w:pPr>
        <w:spacing w:after="0" w:line="360" w:lineRule="auto"/>
        <w:jc w:val="both"/>
        <w:rPr>
          <w:rFonts w:asciiTheme="majorBidi" w:hAnsiTheme="majorBidi" w:cstheme="majorBidi"/>
          <w:szCs w:val="24"/>
        </w:rPr>
      </w:pPr>
    </w:p>
    <w:p w14:paraId="1821E856" w14:textId="67DAF4AB" w:rsidR="009A6C48" w:rsidRDefault="009A6C48" w:rsidP="00D740DC">
      <w:pPr>
        <w:spacing w:after="0" w:line="360" w:lineRule="auto"/>
        <w:jc w:val="both"/>
        <w:rPr>
          <w:rFonts w:asciiTheme="majorBidi" w:hAnsiTheme="majorBidi" w:cstheme="majorBidi"/>
          <w:szCs w:val="24"/>
        </w:rPr>
      </w:pPr>
    </w:p>
    <w:p w14:paraId="55E9449F" w14:textId="70FA754E" w:rsidR="009A6C48" w:rsidRDefault="009A6C48" w:rsidP="00D740DC">
      <w:pPr>
        <w:spacing w:after="0" w:line="360" w:lineRule="auto"/>
        <w:jc w:val="both"/>
        <w:rPr>
          <w:rFonts w:asciiTheme="majorBidi" w:hAnsiTheme="majorBidi" w:cstheme="majorBidi"/>
          <w:szCs w:val="24"/>
        </w:rPr>
      </w:pPr>
    </w:p>
    <w:p w14:paraId="5373209B" w14:textId="02B6AA1C" w:rsidR="009A6C48" w:rsidRDefault="009A6C48" w:rsidP="00D740DC">
      <w:pPr>
        <w:spacing w:after="0" w:line="360" w:lineRule="auto"/>
        <w:jc w:val="both"/>
        <w:rPr>
          <w:rFonts w:asciiTheme="majorBidi" w:hAnsiTheme="majorBidi" w:cstheme="majorBidi"/>
          <w:szCs w:val="24"/>
        </w:rPr>
      </w:pPr>
    </w:p>
    <w:p w14:paraId="624118C4" w14:textId="77777777" w:rsidR="00D740DC" w:rsidRPr="000E2377" w:rsidRDefault="00D740DC" w:rsidP="00D740DC">
      <w:pPr>
        <w:spacing w:after="0" w:line="360" w:lineRule="auto"/>
        <w:jc w:val="both"/>
        <w:rPr>
          <w:rFonts w:cs="Times New Roman"/>
          <w:szCs w:val="24"/>
        </w:rPr>
      </w:pPr>
      <w:r w:rsidRPr="000E2377">
        <w:rPr>
          <w:rFonts w:asciiTheme="majorBidi" w:hAnsiTheme="majorBidi" w:cstheme="majorBidi"/>
          <w:szCs w:val="24"/>
        </w:rPr>
        <w:lastRenderedPageBreak/>
        <w:t>4.</w:t>
      </w:r>
      <w:r>
        <w:rPr>
          <w:rFonts w:asciiTheme="majorBidi" w:hAnsiTheme="majorBidi" w:cstheme="majorBidi"/>
          <w:szCs w:val="24"/>
        </w:rPr>
        <w:t>4</w:t>
      </w:r>
      <w:r w:rsidRPr="000E2377">
        <w:rPr>
          <w:rFonts w:asciiTheme="majorBidi" w:hAnsiTheme="majorBidi" w:cstheme="majorBidi"/>
          <w:szCs w:val="24"/>
        </w:rPr>
        <w:t>.</w:t>
      </w:r>
      <w:r>
        <w:rPr>
          <w:rFonts w:asciiTheme="majorBidi" w:hAnsiTheme="majorBidi" w:cstheme="majorBidi"/>
          <w:szCs w:val="24"/>
        </w:rPr>
        <w:t>2</w:t>
      </w:r>
      <w:r w:rsidRPr="000E2377">
        <w:rPr>
          <w:rFonts w:asciiTheme="majorBidi" w:hAnsiTheme="majorBidi" w:cstheme="majorBidi"/>
          <w:szCs w:val="24"/>
        </w:rPr>
        <w:t xml:space="preserve"> Series </w:t>
      </w: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7.6</w:t>
      </w:r>
      <w:r w:rsidRPr="000E2377">
        <w:rPr>
          <w:rFonts w:eastAsia="Times New Roman" w:cs="Times New Roman"/>
          <w:color w:val="000000"/>
          <w:szCs w:val="24"/>
          <w:lang w:eastAsia="en-MY"/>
        </w:rPr>
        <w:t>M</w:t>
      </w:r>
      <w:r w:rsidRPr="000E2377">
        <w:rPr>
          <w:rFonts w:eastAsia="Times New Roman" w:cs="Times New Roman"/>
          <w:color w:val="000000"/>
          <w:szCs w:val="24"/>
          <w:vertAlign w:val="subscript"/>
          <w:lang w:eastAsia="en-MY"/>
        </w:rPr>
        <w:t>1.1</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3</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7.6</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80.7-x</w:t>
      </w:r>
      <w:r w:rsidRPr="000E2377">
        <w:rPr>
          <w:rFonts w:eastAsia="Times New Roman" w:cs="Times New Roman"/>
          <w:color w:val="000000"/>
          <w:szCs w:val="24"/>
          <w:lang w:eastAsia="en-MY"/>
        </w:rPr>
        <w:t xml:space="preserve"> </w:t>
      </w:r>
      <w:r w:rsidRPr="000E2377">
        <w:rPr>
          <w:rFonts w:cs="Times New Roman"/>
          <w:szCs w:val="24"/>
        </w:rPr>
        <w:t xml:space="preserve">, </w:t>
      </w: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15</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5</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10-x</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70</w:t>
      </w:r>
      <w:r w:rsidRPr="000E2377">
        <w:rPr>
          <w:rFonts w:cs="Times New Roman"/>
          <w:szCs w:val="24"/>
        </w:rPr>
        <w:t xml:space="preserve"> and </w:t>
      </w: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15</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5</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20-x</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 xml:space="preserve">60 </w:t>
      </w:r>
      <w:r w:rsidRPr="000E2377">
        <w:rPr>
          <w:rFonts w:cs="Times New Roman"/>
          <w:szCs w:val="24"/>
        </w:rPr>
        <w:t xml:space="preserve">glasses. </w:t>
      </w:r>
    </w:p>
    <w:p w14:paraId="76600977" w14:textId="77777777" w:rsidR="00D740DC" w:rsidRDefault="00D740DC" w:rsidP="00D740DC">
      <w:pPr>
        <w:spacing w:after="0" w:line="360" w:lineRule="auto"/>
        <w:jc w:val="center"/>
        <w:rPr>
          <w:rFonts w:cs="Times New Roman"/>
          <w:szCs w:val="24"/>
        </w:rPr>
      </w:pPr>
      <w:r w:rsidRPr="000E2377">
        <w:rPr>
          <w:noProof/>
          <w:lang w:eastAsia="en-MY"/>
        </w:rPr>
        <mc:AlternateContent>
          <mc:Choice Requires="wps">
            <w:drawing>
              <wp:anchor distT="0" distB="0" distL="114300" distR="114300" simplePos="0" relativeHeight="252408832" behindDoc="0" locked="0" layoutInCell="1" allowOverlap="1" wp14:anchorId="107DC1FE" wp14:editId="4387D968">
                <wp:simplePos x="0" y="0"/>
                <wp:positionH relativeFrom="margin">
                  <wp:posOffset>4412974</wp:posOffset>
                </wp:positionH>
                <wp:positionV relativeFrom="paragraph">
                  <wp:posOffset>1742715</wp:posOffset>
                </wp:positionV>
                <wp:extent cx="1391202" cy="238539"/>
                <wp:effectExtent l="0" t="0" r="0" b="9525"/>
                <wp:wrapNone/>
                <wp:docPr id="1614" name="Text Box 1614"/>
                <wp:cNvGraphicFramePr/>
                <a:graphic xmlns:a="http://schemas.openxmlformats.org/drawingml/2006/main">
                  <a:graphicData uri="http://schemas.microsoft.com/office/word/2010/wordprocessingShape">
                    <wps:wsp>
                      <wps:cNvSpPr txBox="1"/>
                      <wps:spPr>
                        <a:xfrm>
                          <a:off x="0" y="0"/>
                          <a:ext cx="1391202" cy="238539"/>
                        </a:xfrm>
                        <a:prstGeom prst="rect">
                          <a:avLst/>
                        </a:prstGeom>
                        <a:solidFill>
                          <a:sysClr val="window" lastClr="FFFFFF"/>
                        </a:solidFill>
                        <a:ln w="6350">
                          <a:noFill/>
                        </a:ln>
                      </wps:spPr>
                      <wps:txbx>
                        <w:txbxContent>
                          <w:p w14:paraId="6470382B" w14:textId="77777777" w:rsidR="00230AB9" w:rsidRDefault="00230AB9" w:rsidP="00D740DC">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M</w:t>
                            </w:r>
                            <w:r w:rsidRPr="001333B2">
                              <w:rPr>
                                <w:rFonts w:eastAsia="Times New Roman" w:cs="Times New Roman"/>
                                <w:color w:val="000000"/>
                                <w:sz w:val="20"/>
                                <w:szCs w:val="20"/>
                                <w:vertAlign w:val="subscript"/>
                                <w:lang w:eastAsia="en-MY"/>
                              </w:rPr>
                              <w:t>1.1</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3</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2.5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78.2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DC1FE" id="Text Box 1614" o:spid="_x0000_s1228" type="#_x0000_t202" style="position:absolute;left:0;text-align:left;margin-left:347.5pt;margin-top:137.2pt;width:109.55pt;height:18.8pt;z-index:25240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" fillcolor="window" stroked="f" strokeweight=".5pt">
                <v:textbox>
                  <w:txbxContent>
                    <w:p w14:paraId="6470382B" w14:textId="77777777" w:rsidR="00230AB9" w:rsidRDefault="00230AB9" w:rsidP="00D740DC">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M</w:t>
                      </w:r>
                      <w:r w:rsidRPr="001333B2">
                        <w:rPr>
                          <w:rFonts w:eastAsia="Times New Roman" w:cs="Times New Roman"/>
                          <w:color w:val="000000"/>
                          <w:sz w:val="20"/>
                          <w:szCs w:val="20"/>
                          <w:vertAlign w:val="subscript"/>
                          <w:lang w:eastAsia="en-MY"/>
                        </w:rPr>
                        <w:t>1.1</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3</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2.5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78.2</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407808" behindDoc="0" locked="0" layoutInCell="1" allowOverlap="1" wp14:anchorId="4DAC4418" wp14:editId="64BD3A56">
                <wp:simplePos x="0" y="0"/>
                <wp:positionH relativeFrom="margin">
                  <wp:posOffset>4591878</wp:posOffset>
                </wp:positionH>
                <wp:positionV relativeFrom="paragraph">
                  <wp:posOffset>1494238</wp:posOffset>
                </wp:positionV>
                <wp:extent cx="1331844" cy="248285"/>
                <wp:effectExtent l="0" t="0" r="1905" b="0"/>
                <wp:wrapNone/>
                <wp:docPr id="214" name="Text Box 214"/>
                <wp:cNvGraphicFramePr/>
                <a:graphic xmlns:a="http://schemas.openxmlformats.org/drawingml/2006/main">
                  <a:graphicData uri="http://schemas.microsoft.com/office/word/2010/wordprocessingShape">
                    <wps:wsp>
                      <wps:cNvSpPr txBox="1"/>
                      <wps:spPr>
                        <a:xfrm>
                          <a:off x="0" y="0"/>
                          <a:ext cx="1331844" cy="248285"/>
                        </a:xfrm>
                        <a:prstGeom prst="rect">
                          <a:avLst/>
                        </a:prstGeom>
                        <a:solidFill>
                          <a:schemeClr val="lt1"/>
                        </a:solidFill>
                        <a:ln w="6350">
                          <a:noFill/>
                        </a:ln>
                      </wps:spPr>
                      <wps:txbx>
                        <w:txbxContent>
                          <w:p w14:paraId="4BC20904"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M</w:t>
                            </w:r>
                            <w:r w:rsidRPr="001333B2">
                              <w:rPr>
                                <w:rFonts w:eastAsia="Times New Roman" w:cs="Times New Roman"/>
                                <w:color w:val="000000"/>
                                <w:sz w:val="20"/>
                                <w:szCs w:val="20"/>
                                <w:vertAlign w:val="subscript"/>
                                <w:lang w:eastAsia="en-MY"/>
                              </w:rPr>
                              <w:t>1.1</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3</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1</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79.7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C4418" id="Text Box 214" o:spid="_x0000_s1229" type="#_x0000_t202" style="position:absolute;left:0;text-align:left;margin-left:361.55pt;margin-top:117.65pt;width:104.85pt;height:19.55pt;z-index:25240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" fillcolor="white [3201]" stroked="f" strokeweight=".5pt">
                <v:textbox>
                  <w:txbxContent>
                    <w:p w14:paraId="4BC20904"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M</w:t>
                      </w:r>
                      <w:r w:rsidRPr="001333B2">
                        <w:rPr>
                          <w:rFonts w:eastAsia="Times New Roman" w:cs="Times New Roman"/>
                          <w:color w:val="000000"/>
                          <w:sz w:val="20"/>
                          <w:szCs w:val="20"/>
                          <w:vertAlign w:val="subscript"/>
                          <w:lang w:eastAsia="en-MY"/>
                        </w:rPr>
                        <w:t>1.1</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3</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1</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79.7</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411904" behindDoc="0" locked="0" layoutInCell="1" allowOverlap="1" wp14:anchorId="4A73EB7B" wp14:editId="5C1D9949">
                <wp:simplePos x="0" y="0"/>
                <wp:positionH relativeFrom="margin">
                  <wp:posOffset>3836504</wp:posOffset>
                </wp:positionH>
                <wp:positionV relativeFrom="paragraph">
                  <wp:posOffset>2438455</wp:posOffset>
                </wp:positionV>
                <wp:extent cx="1649896" cy="248478"/>
                <wp:effectExtent l="0" t="0" r="7620" b="0"/>
                <wp:wrapNone/>
                <wp:docPr id="1635" name="Text Box 1635"/>
                <wp:cNvGraphicFramePr/>
                <a:graphic xmlns:a="http://schemas.openxmlformats.org/drawingml/2006/main">
                  <a:graphicData uri="http://schemas.microsoft.com/office/word/2010/wordprocessingShape">
                    <wps:wsp>
                      <wps:cNvSpPr txBox="1"/>
                      <wps:spPr>
                        <a:xfrm>
                          <a:off x="0" y="0"/>
                          <a:ext cx="1649896" cy="248478"/>
                        </a:xfrm>
                        <a:prstGeom prst="rect">
                          <a:avLst/>
                        </a:prstGeom>
                        <a:solidFill>
                          <a:sysClr val="window" lastClr="FFFFFF"/>
                        </a:solidFill>
                        <a:ln w="6350">
                          <a:noFill/>
                        </a:ln>
                      </wps:spPr>
                      <wps:txbx>
                        <w:txbxContent>
                          <w:p w14:paraId="6138E4D9"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M</w:t>
                            </w:r>
                            <w:r w:rsidRPr="001333B2">
                              <w:rPr>
                                <w:rFonts w:eastAsia="Times New Roman" w:cs="Times New Roman"/>
                                <w:color w:val="000000"/>
                                <w:sz w:val="20"/>
                                <w:szCs w:val="20"/>
                                <w:vertAlign w:val="subscript"/>
                                <w:lang w:eastAsia="en-MY"/>
                              </w:rPr>
                              <w:t>1.1</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3</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7.5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73.2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3EB7B" id="Text Box 1635" o:spid="_x0000_s1230" type="#_x0000_t202" style="position:absolute;left:0;text-align:left;margin-left:302.1pt;margin-top:192pt;width:129.9pt;height:19.55pt;z-index:25241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" fillcolor="window" stroked="f" strokeweight=".5pt">
                <v:textbox>
                  <w:txbxContent>
                    <w:p w14:paraId="6138E4D9"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M</w:t>
                      </w:r>
                      <w:r w:rsidRPr="001333B2">
                        <w:rPr>
                          <w:rFonts w:eastAsia="Times New Roman" w:cs="Times New Roman"/>
                          <w:color w:val="000000"/>
                          <w:sz w:val="20"/>
                          <w:szCs w:val="20"/>
                          <w:vertAlign w:val="subscript"/>
                          <w:lang w:eastAsia="en-MY"/>
                        </w:rPr>
                        <w:t>1.1</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3</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7.5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73.2</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410880" behindDoc="0" locked="0" layoutInCell="1" allowOverlap="1" wp14:anchorId="768E69EC" wp14:editId="50826BDC">
                <wp:simplePos x="0" y="0"/>
                <wp:positionH relativeFrom="margin">
                  <wp:posOffset>4045226</wp:posOffset>
                </wp:positionH>
                <wp:positionV relativeFrom="paragraph">
                  <wp:posOffset>2189977</wp:posOffset>
                </wp:positionV>
                <wp:extent cx="1759226" cy="278296"/>
                <wp:effectExtent l="0" t="0" r="0" b="7620"/>
                <wp:wrapNone/>
                <wp:docPr id="1634" name="Text Box 1634"/>
                <wp:cNvGraphicFramePr/>
                <a:graphic xmlns:a="http://schemas.openxmlformats.org/drawingml/2006/main">
                  <a:graphicData uri="http://schemas.microsoft.com/office/word/2010/wordprocessingShape">
                    <wps:wsp>
                      <wps:cNvSpPr txBox="1"/>
                      <wps:spPr>
                        <a:xfrm>
                          <a:off x="0" y="0"/>
                          <a:ext cx="1759226" cy="278296"/>
                        </a:xfrm>
                        <a:prstGeom prst="rect">
                          <a:avLst/>
                        </a:prstGeom>
                        <a:solidFill>
                          <a:sysClr val="window" lastClr="FFFFFF"/>
                        </a:solidFill>
                        <a:ln w="6350">
                          <a:noFill/>
                        </a:ln>
                      </wps:spPr>
                      <wps:txbx>
                        <w:txbxContent>
                          <w:p w14:paraId="2A27300D"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M</w:t>
                            </w:r>
                            <w:r w:rsidRPr="001333B2">
                              <w:rPr>
                                <w:rFonts w:eastAsia="Times New Roman" w:cs="Times New Roman"/>
                                <w:color w:val="000000"/>
                                <w:sz w:val="20"/>
                                <w:szCs w:val="20"/>
                                <w:vertAlign w:val="subscript"/>
                                <w:lang w:eastAsia="en-MY"/>
                              </w:rPr>
                              <w:t>1.1</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3</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5.2</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75.5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E69EC" id="Text Box 1634" o:spid="_x0000_s1231" type="#_x0000_t202" style="position:absolute;left:0;text-align:left;margin-left:318.5pt;margin-top:172.45pt;width:138.5pt;height:21.9pt;z-index:25241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" fillcolor="window" stroked="f" strokeweight=".5pt">
                <v:textbox>
                  <w:txbxContent>
                    <w:p w14:paraId="2A27300D"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M</w:t>
                      </w:r>
                      <w:r w:rsidRPr="001333B2">
                        <w:rPr>
                          <w:rFonts w:eastAsia="Times New Roman" w:cs="Times New Roman"/>
                          <w:color w:val="000000"/>
                          <w:sz w:val="20"/>
                          <w:szCs w:val="20"/>
                          <w:vertAlign w:val="subscript"/>
                          <w:lang w:eastAsia="en-MY"/>
                        </w:rPr>
                        <w:t>1.1</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3</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5.2</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75.5</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409856" behindDoc="0" locked="0" layoutInCell="1" allowOverlap="1" wp14:anchorId="3670AAC4" wp14:editId="1B5404DC">
                <wp:simplePos x="0" y="0"/>
                <wp:positionH relativeFrom="margin">
                  <wp:align>right</wp:align>
                </wp:positionH>
                <wp:positionV relativeFrom="paragraph">
                  <wp:posOffset>1971317</wp:posOffset>
                </wp:positionV>
                <wp:extent cx="1530157" cy="238539"/>
                <wp:effectExtent l="0" t="0" r="0" b="9525"/>
                <wp:wrapNone/>
                <wp:docPr id="1630" name="Text Box 1630"/>
                <wp:cNvGraphicFramePr/>
                <a:graphic xmlns:a="http://schemas.openxmlformats.org/drawingml/2006/main">
                  <a:graphicData uri="http://schemas.microsoft.com/office/word/2010/wordprocessingShape">
                    <wps:wsp>
                      <wps:cNvSpPr txBox="1"/>
                      <wps:spPr>
                        <a:xfrm>
                          <a:off x="0" y="0"/>
                          <a:ext cx="1530157" cy="238539"/>
                        </a:xfrm>
                        <a:prstGeom prst="rect">
                          <a:avLst/>
                        </a:prstGeom>
                        <a:solidFill>
                          <a:sysClr val="window" lastClr="FFFFFF"/>
                        </a:solidFill>
                        <a:ln w="6350">
                          <a:noFill/>
                        </a:ln>
                      </wps:spPr>
                      <wps:txbx>
                        <w:txbxContent>
                          <w:p w14:paraId="78B47558"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M</w:t>
                            </w:r>
                            <w:r w:rsidRPr="001333B2">
                              <w:rPr>
                                <w:rFonts w:eastAsia="Times New Roman" w:cs="Times New Roman"/>
                                <w:color w:val="000000"/>
                                <w:sz w:val="20"/>
                                <w:szCs w:val="20"/>
                                <w:vertAlign w:val="subscript"/>
                                <w:lang w:eastAsia="en-MY"/>
                              </w:rPr>
                              <w:t>1.1</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3</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75.7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0AAC4" id="Text Box 1630" o:spid="_x0000_s1232" type="#_x0000_t202" style="position:absolute;left:0;text-align:left;margin-left:69.3pt;margin-top:155.2pt;width:120.5pt;height:18.8pt;z-index:252409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" fillcolor="window" stroked="f" strokeweight=".5pt">
                <v:textbox>
                  <w:txbxContent>
                    <w:p w14:paraId="78B47558"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M</w:t>
                      </w:r>
                      <w:r w:rsidRPr="001333B2">
                        <w:rPr>
                          <w:rFonts w:eastAsia="Times New Roman" w:cs="Times New Roman"/>
                          <w:color w:val="000000"/>
                          <w:sz w:val="20"/>
                          <w:szCs w:val="20"/>
                          <w:vertAlign w:val="subscript"/>
                          <w:lang w:eastAsia="en-MY"/>
                        </w:rPr>
                        <w:t>1.1</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3</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7.6</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75.7</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350464" behindDoc="0" locked="0" layoutInCell="1" allowOverlap="1" wp14:anchorId="014B35BB" wp14:editId="3D58F730">
                <wp:simplePos x="0" y="0"/>
                <wp:positionH relativeFrom="column">
                  <wp:posOffset>3216910</wp:posOffset>
                </wp:positionH>
                <wp:positionV relativeFrom="paragraph">
                  <wp:posOffset>2438400</wp:posOffset>
                </wp:positionV>
                <wp:extent cx="653415" cy="225425"/>
                <wp:effectExtent l="0" t="0" r="0" b="3175"/>
                <wp:wrapNone/>
                <wp:docPr id="2132" name="Text Box 2132"/>
                <wp:cNvGraphicFramePr/>
                <a:graphic xmlns:a="http://schemas.openxmlformats.org/drawingml/2006/main">
                  <a:graphicData uri="http://schemas.microsoft.com/office/word/2010/wordprocessingShape">
                    <wps:wsp>
                      <wps:cNvSpPr txBox="1"/>
                      <wps:spPr>
                        <a:xfrm>
                          <a:off x="0" y="0"/>
                          <a:ext cx="653415" cy="225425"/>
                        </a:xfrm>
                        <a:prstGeom prst="rect">
                          <a:avLst/>
                        </a:prstGeom>
                        <a:noFill/>
                        <a:ln w="6350">
                          <a:noFill/>
                        </a:ln>
                      </wps:spPr>
                      <wps:txbx>
                        <w:txbxContent>
                          <w:p w14:paraId="2085C538" w14:textId="77777777" w:rsidR="00230AB9" w:rsidRDefault="00230AB9" w:rsidP="00D740DC">
                            <w:pPr>
                              <w:rPr>
                                <w:sz w:val="16"/>
                                <w:szCs w:val="16"/>
                              </w:rPr>
                            </w:pPr>
                            <w:r>
                              <w:rPr>
                                <w:sz w:val="16"/>
                                <w:szCs w:val="16"/>
                              </w:rPr>
                              <w:t>Region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B35BB" id="Text Box 2132" o:spid="_x0000_s1233" type="#_x0000_t202" style="position:absolute;left:0;text-align:left;margin-left:253.3pt;margin-top:192pt;width:51.45pt;height:17.7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" filled="f" stroked="f" strokeweight=".5pt">
                <v:textbox>
                  <w:txbxContent>
                    <w:p w14:paraId="2085C538" w14:textId="77777777" w:rsidR="00230AB9" w:rsidRDefault="00230AB9" w:rsidP="00D740DC">
                      <w:pPr>
                        <w:rPr>
                          <w:sz w:val="16"/>
                          <w:szCs w:val="16"/>
                        </w:rPr>
                      </w:pPr>
                      <w:r>
                        <w:rPr>
                          <w:sz w:val="16"/>
                          <w:szCs w:val="16"/>
                        </w:rPr>
                        <w:t>Region D</w:t>
                      </w:r>
                    </w:p>
                  </w:txbxContent>
                </v:textbox>
              </v:shape>
            </w:pict>
          </mc:Fallback>
        </mc:AlternateContent>
      </w:r>
      <w:r w:rsidRPr="000E2377">
        <w:rPr>
          <w:noProof/>
          <w:lang w:eastAsia="en-MY"/>
        </w:rPr>
        <mc:AlternateContent>
          <mc:Choice Requires="wps">
            <w:drawing>
              <wp:anchor distT="0" distB="0" distL="114300" distR="114300" simplePos="0" relativeHeight="252349440" behindDoc="0" locked="0" layoutInCell="1" allowOverlap="1" wp14:anchorId="190FC562" wp14:editId="0D13F07C">
                <wp:simplePos x="0" y="0"/>
                <wp:positionH relativeFrom="margin">
                  <wp:align>center</wp:align>
                </wp:positionH>
                <wp:positionV relativeFrom="paragraph">
                  <wp:posOffset>2428875</wp:posOffset>
                </wp:positionV>
                <wp:extent cx="653415" cy="225425"/>
                <wp:effectExtent l="0" t="0" r="0" b="3175"/>
                <wp:wrapNone/>
                <wp:docPr id="2131" name="Text Box 2131"/>
                <wp:cNvGraphicFramePr/>
                <a:graphic xmlns:a="http://schemas.openxmlformats.org/drawingml/2006/main">
                  <a:graphicData uri="http://schemas.microsoft.com/office/word/2010/wordprocessingShape">
                    <wps:wsp>
                      <wps:cNvSpPr txBox="1"/>
                      <wps:spPr>
                        <a:xfrm>
                          <a:off x="0" y="0"/>
                          <a:ext cx="653415" cy="225425"/>
                        </a:xfrm>
                        <a:prstGeom prst="rect">
                          <a:avLst/>
                        </a:prstGeom>
                        <a:noFill/>
                        <a:ln w="6350">
                          <a:noFill/>
                        </a:ln>
                      </wps:spPr>
                      <wps:txbx>
                        <w:txbxContent>
                          <w:p w14:paraId="5AE064A4" w14:textId="77777777" w:rsidR="00230AB9" w:rsidRDefault="00230AB9" w:rsidP="00D740DC">
                            <w:pPr>
                              <w:rPr>
                                <w:sz w:val="16"/>
                                <w:szCs w:val="16"/>
                              </w:rPr>
                            </w:pPr>
                            <w:r>
                              <w:rPr>
                                <w:sz w:val="16"/>
                                <w:szCs w:val="16"/>
                              </w:rPr>
                              <w:t>Region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FC562" id="Text Box 2131" o:spid="_x0000_s1234" type="#_x0000_t202" style="position:absolute;left:0;text-align:left;margin-left:0;margin-top:191.25pt;width:51.45pt;height:17.75pt;z-index:252349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" filled="f" stroked="f" strokeweight=".5pt">
                <v:textbox>
                  <w:txbxContent>
                    <w:p w14:paraId="5AE064A4" w14:textId="77777777" w:rsidR="00230AB9" w:rsidRDefault="00230AB9" w:rsidP="00D740DC">
                      <w:pPr>
                        <w:rPr>
                          <w:sz w:val="16"/>
                          <w:szCs w:val="16"/>
                        </w:rPr>
                      </w:pPr>
                      <w:r>
                        <w:rPr>
                          <w:sz w:val="16"/>
                          <w:szCs w:val="16"/>
                        </w:rPr>
                        <w:t>Region C</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348416" behindDoc="0" locked="0" layoutInCell="1" allowOverlap="1" wp14:anchorId="50FD7B25" wp14:editId="276A19D4">
                <wp:simplePos x="0" y="0"/>
                <wp:positionH relativeFrom="column">
                  <wp:posOffset>1917065</wp:posOffset>
                </wp:positionH>
                <wp:positionV relativeFrom="paragraph">
                  <wp:posOffset>2424430</wp:posOffset>
                </wp:positionV>
                <wp:extent cx="653415" cy="225425"/>
                <wp:effectExtent l="0" t="0" r="0" b="3175"/>
                <wp:wrapNone/>
                <wp:docPr id="2130" name="Text Box 2130"/>
                <wp:cNvGraphicFramePr/>
                <a:graphic xmlns:a="http://schemas.openxmlformats.org/drawingml/2006/main">
                  <a:graphicData uri="http://schemas.microsoft.com/office/word/2010/wordprocessingShape">
                    <wps:wsp>
                      <wps:cNvSpPr txBox="1"/>
                      <wps:spPr>
                        <a:xfrm>
                          <a:off x="0" y="0"/>
                          <a:ext cx="653415" cy="225425"/>
                        </a:xfrm>
                        <a:prstGeom prst="rect">
                          <a:avLst/>
                        </a:prstGeom>
                        <a:noFill/>
                        <a:ln w="6350">
                          <a:noFill/>
                        </a:ln>
                      </wps:spPr>
                      <wps:txbx>
                        <w:txbxContent>
                          <w:p w14:paraId="2575DC97" w14:textId="77777777" w:rsidR="00230AB9" w:rsidRDefault="00230AB9" w:rsidP="00D740DC">
                            <w:pPr>
                              <w:rPr>
                                <w:sz w:val="16"/>
                                <w:szCs w:val="16"/>
                              </w:rPr>
                            </w:pPr>
                            <w:r>
                              <w:rPr>
                                <w:sz w:val="16"/>
                                <w:szCs w:val="16"/>
                              </w:rPr>
                              <w:t>Region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D7B25" id="Text Box 2130" o:spid="_x0000_s1235" type="#_x0000_t202" style="position:absolute;left:0;text-align:left;margin-left:150.95pt;margin-top:190.9pt;width:51.45pt;height:17.7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" filled="f" stroked="f" strokeweight=".5pt">
                <v:textbox>
                  <w:txbxContent>
                    <w:p w14:paraId="2575DC97" w14:textId="77777777" w:rsidR="00230AB9" w:rsidRDefault="00230AB9" w:rsidP="00D740DC">
                      <w:pPr>
                        <w:rPr>
                          <w:sz w:val="16"/>
                          <w:szCs w:val="16"/>
                        </w:rPr>
                      </w:pPr>
                      <w:r>
                        <w:rPr>
                          <w:sz w:val="16"/>
                          <w:szCs w:val="16"/>
                        </w:rPr>
                        <w:t>Region B</w:t>
                      </w:r>
                    </w:p>
                  </w:txbxContent>
                </v:textbox>
              </v:shape>
            </w:pict>
          </mc:Fallback>
        </mc:AlternateContent>
      </w:r>
      <w:r w:rsidRPr="000E2377">
        <w:rPr>
          <w:noProof/>
          <w:lang w:eastAsia="en-MY"/>
        </w:rPr>
        <mc:AlternateContent>
          <mc:Choice Requires="wps">
            <w:drawing>
              <wp:anchor distT="0" distB="0" distL="114300" distR="114300" simplePos="0" relativeHeight="252343296" behindDoc="0" locked="0" layoutInCell="1" allowOverlap="1" wp14:anchorId="2C6D9642" wp14:editId="032A3D51">
                <wp:simplePos x="0" y="0"/>
                <wp:positionH relativeFrom="column">
                  <wp:posOffset>1080135</wp:posOffset>
                </wp:positionH>
                <wp:positionV relativeFrom="paragraph">
                  <wp:posOffset>2397125</wp:posOffset>
                </wp:positionV>
                <wp:extent cx="653415" cy="225425"/>
                <wp:effectExtent l="0" t="0" r="0" b="3175"/>
                <wp:wrapNone/>
                <wp:docPr id="2137" name="Text Box 2137"/>
                <wp:cNvGraphicFramePr/>
                <a:graphic xmlns:a="http://schemas.openxmlformats.org/drawingml/2006/main">
                  <a:graphicData uri="http://schemas.microsoft.com/office/word/2010/wordprocessingShape">
                    <wps:wsp>
                      <wps:cNvSpPr txBox="1"/>
                      <wps:spPr>
                        <a:xfrm>
                          <a:off x="0" y="0"/>
                          <a:ext cx="653415" cy="225425"/>
                        </a:xfrm>
                        <a:prstGeom prst="rect">
                          <a:avLst/>
                        </a:prstGeom>
                        <a:noFill/>
                        <a:ln w="6350">
                          <a:noFill/>
                        </a:ln>
                      </wps:spPr>
                      <wps:txbx>
                        <w:txbxContent>
                          <w:p w14:paraId="476542A7" w14:textId="77777777" w:rsidR="00230AB9" w:rsidRDefault="00230AB9" w:rsidP="00D740DC">
                            <w:pPr>
                              <w:rPr>
                                <w:sz w:val="16"/>
                                <w:szCs w:val="16"/>
                              </w:rPr>
                            </w:pPr>
                            <w:r>
                              <w:rPr>
                                <w:sz w:val="16"/>
                                <w:szCs w:val="16"/>
                              </w:rPr>
                              <w:t>Region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D9642" id="Text Box 2137" o:spid="_x0000_s1236" type="#_x0000_t202" style="position:absolute;left:0;text-align:left;margin-left:85.05pt;margin-top:188.75pt;width:51.45pt;height:17.7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" filled="f" stroked="f" strokeweight=".5pt">
                <v:textbox>
                  <w:txbxContent>
                    <w:p w14:paraId="476542A7" w14:textId="77777777" w:rsidR="00230AB9" w:rsidRDefault="00230AB9" w:rsidP="00D740DC">
                      <w:pPr>
                        <w:rPr>
                          <w:sz w:val="16"/>
                          <w:szCs w:val="16"/>
                        </w:rPr>
                      </w:pPr>
                      <w:r>
                        <w:rPr>
                          <w:sz w:val="16"/>
                          <w:szCs w:val="16"/>
                        </w:rPr>
                        <w:t>Region A</w:t>
                      </w:r>
                    </w:p>
                  </w:txbxContent>
                </v:textbox>
              </v:shape>
            </w:pict>
          </mc:Fallback>
        </mc:AlternateContent>
      </w:r>
      <w:r w:rsidRPr="000E2377">
        <w:rPr>
          <w:noProof/>
          <w:lang w:eastAsia="en-MY"/>
        </w:rPr>
        <mc:AlternateContent>
          <mc:Choice Requires="wps">
            <w:drawing>
              <wp:anchor distT="0" distB="0" distL="114300" distR="114300" simplePos="0" relativeHeight="252341248" behindDoc="0" locked="0" layoutInCell="1" allowOverlap="1" wp14:anchorId="067F1004" wp14:editId="539616C9">
                <wp:simplePos x="0" y="0"/>
                <wp:positionH relativeFrom="column">
                  <wp:posOffset>694541</wp:posOffset>
                </wp:positionH>
                <wp:positionV relativeFrom="paragraph">
                  <wp:posOffset>211866</wp:posOffset>
                </wp:positionV>
                <wp:extent cx="379730" cy="273050"/>
                <wp:effectExtent l="0" t="0" r="0" b="0"/>
                <wp:wrapNone/>
                <wp:docPr id="2133" name="Text Box 2133"/>
                <wp:cNvGraphicFramePr/>
                <a:graphic xmlns:a="http://schemas.openxmlformats.org/drawingml/2006/main">
                  <a:graphicData uri="http://schemas.microsoft.com/office/word/2010/wordprocessingShape">
                    <wps:wsp>
                      <wps:cNvSpPr txBox="1"/>
                      <wps:spPr>
                        <a:xfrm>
                          <a:off x="0" y="0"/>
                          <a:ext cx="379730" cy="273050"/>
                        </a:xfrm>
                        <a:prstGeom prst="rect">
                          <a:avLst/>
                        </a:prstGeom>
                        <a:noFill/>
                        <a:ln w="6350">
                          <a:noFill/>
                        </a:ln>
                      </wps:spPr>
                      <wps:txbx>
                        <w:txbxContent>
                          <w:p w14:paraId="25F8B7EB" w14:textId="77777777" w:rsidR="00230AB9" w:rsidRDefault="00230AB9" w:rsidP="00D740D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67F1004" id="Text Box 2133" o:spid="_x0000_s1237" type="#_x0000_t202" style="position:absolute;left:0;text-align:left;margin-left:54.7pt;margin-top:16.7pt;width:29.9pt;height:21.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" filled="f" stroked="f" strokeweight=".5pt">
                <v:textbox>
                  <w:txbxContent>
                    <w:p w14:paraId="25F8B7EB" w14:textId="77777777" w:rsidR="00230AB9" w:rsidRDefault="00230AB9" w:rsidP="00D740DC">
                      <w:r>
                        <w:t>a)</w:t>
                      </w:r>
                    </w:p>
                  </w:txbxContent>
                </v:textbox>
              </v:shape>
            </w:pict>
          </mc:Fallback>
        </mc:AlternateContent>
      </w:r>
      <w:r w:rsidRPr="000E2377">
        <w:rPr>
          <w:noProof/>
          <w:lang w:eastAsia="en-MY"/>
        </w:rPr>
        <w:drawing>
          <wp:inline distT="0" distB="0" distL="0" distR="0" wp14:anchorId="3FF509BB" wp14:editId="36832AFE">
            <wp:extent cx="4337215" cy="306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337215" cy="3060000"/>
                    </a:xfrm>
                    <a:prstGeom prst="rect">
                      <a:avLst/>
                    </a:prstGeom>
                    <a:noFill/>
                    <a:ln>
                      <a:noFill/>
                    </a:ln>
                  </pic:spPr>
                </pic:pic>
              </a:graphicData>
            </a:graphic>
          </wp:inline>
        </w:drawing>
      </w:r>
    </w:p>
    <w:p w14:paraId="5D581A82" w14:textId="11EBF024" w:rsidR="00D740DC" w:rsidRPr="000E2377" w:rsidRDefault="00D740DC" w:rsidP="00D740DC">
      <w:pPr>
        <w:pStyle w:val="Caption"/>
        <w:rPr>
          <w:szCs w:val="24"/>
        </w:rPr>
      </w:pPr>
      <w:bookmarkStart w:id="706" w:name="_Toc521420474"/>
      <w:bookmarkStart w:id="707" w:name="_Toc525223208"/>
      <w:bookmarkStart w:id="708" w:name="_Toc525528355"/>
      <w:bookmarkStart w:id="709" w:name="_Toc525706370"/>
      <w:r w:rsidRPr="000E2377">
        <w:rPr>
          <w:noProof/>
          <w:lang w:val="en-MY" w:eastAsia="en-MY"/>
        </w:rPr>
        <mc:AlternateContent>
          <mc:Choice Requires="wps">
            <w:drawing>
              <wp:anchor distT="0" distB="0" distL="114300" distR="114300" simplePos="0" relativeHeight="252417024" behindDoc="0" locked="0" layoutInCell="1" allowOverlap="1" wp14:anchorId="611526DE" wp14:editId="0380EF44">
                <wp:simplePos x="0" y="0"/>
                <wp:positionH relativeFrom="margin">
                  <wp:posOffset>3806687</wp:posOffset>
                </wp:positionH>
                <wp:positionV relativeFrom="paragraph">
                  <wp:posOffset>2422221</wp:posOffset>
                </wp:positionV>
                <wp:extent cx="1133475" cy="278296"/>
                <wp:effectExtent l="0" t="0" r="9525" b="7620"/>
                <wp:wrapNone/>
                <wp:docPr id="1640" name="Text Box 1640"/>
                <wp:cNvGraphicFramePr/>
                <a:graphic xmlns:a="http://schemas.openxmlformats.org/drawingml/2006/main">
                  <a:graphicData uri="http://schemas.microsoft.com/office/word/2010/wordprocessingShape">
                    <wps:wsp>
                      <wps:cNvSpPr txBox="1"/>
                      <wps:spPr>
                        <a:xfrm>
                          <a:off x="0" y="0"/>
                          <a:ext cx="1133475" cy="278296"/>
                        </a:xfrm>
                        <a:prstGeom prst="rect">
                          <a:avLst/>
                        </a:prstGeom>
                        <a:solidFill>
                          <a:sysClr val="window" lastClr="FFFFFF"/>
                        </a:solidFill>
                        <a:ln w="6350">
                          <a:noFill/>
                        </a:ln>
                      </wps:spPr>
                      <wps:txbx>
                        <w:txbxContent>
                          <w:p w14:paraId="11C7FB17"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526DE" id="Text Box 1640" o:spid="_x0000_s1238" type="#_x0000_t202" style="position:absolute;left:0;text-align:left;margin-left:299.75pt;margin-top:190.75pt;width:89.25pt;height:21.9pt;z-index:25241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" fillcolor="window" stroked="f" strokeweight=".5pt">
                <v:textbox>
                  <w:txbxContent>
                    <w:p w14:paraId="11C7FB17"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p>
                  </w:txbxContent>
                </v:textbox>
                <w10:wrap anchorx="margin"/>
              </v:shape>
            </w:pict>
          </mc:Fallback>
        </mc:AlternateContent>
      </w:r>
      <w:r w:rsidRPr="000E2377">
        <w:rPr>
          <w:noProof/>
          <w:lang w:val="en-MY" w:eastAsia="en-MY"/>
        </w:rPr>
        <mc:AlternateContent>
          <mc:Choice Requires="wps">
            <w:drawing>
              <wp:anchor distT="0" distB="0" distL="114300" distR="114300" simplePos="0" relativeHeight="252416000" behindDoc="0" locked="0" layoutInCell="1" allowOverlap="1" wp14:anchorId="0467A44D" wp14:editId="1716D1FA">
                <wp:simplePos x="0" y="0"/>
                <wp:positionH relativeFrom="margin">
                  <wp:posOffset>3985591</wp:posOffset>
                </wp:positionH>
                <wp:positionV relativeFrom="paragraph">
                  <wp:posOffset>2193621</wp:posOffset>
                </wp:positionV>
                <wp:extent cx="1133475" cy="288235"/>
                <wp:effectExtent l="0" t="0" r="9525" b="0"/>
                <wp:wrapNone/>
                <wp:docPr id="1639" name="Text Box 1639"/>
                <wp:cNvGraphicFramePr/>
                <a:graphic xmlns:a="http://schemas.openxmlformats.org/drawingml/2006/main">
                  <a:graphicData uri="http://schemas.microsoft.com/office/word/2010/wordprocessingShape">
                    <wps:wsp>
                      <wps:cNvSpPr txBox="1"/>
                      <wps:spPr>
                        <a:xfrm>
                          <a:off x="0" y="0"/>
                          <a:ext cx="1133475" cy="288235"/>
                        </a:xfrm>
                        <a:prstGeom prst="rect">
                          <a:avLst/>
                        </a:prstGeom>
                        <a:solidFill>
                          <a:sysClr val="window" lastClr="FFFFFF"/>
                        </a:solidFill>
                        <a:ln w="6350">
                          <a:noFill/>
                        </a:ln>
                      </wps:spPr>
                      <wps:txbx>
                        <w:txbxContent>
                          <w:p w14:paraId="38BDD44E"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7A44D" id="Text Box 1639" o:spid="_x0000_s1239" type="#_x0000_t202" style="position:absolute;left:0;text-align:left;margin-left:313.85pt;margin-top:172.75pt;width:89.25pt;height:22.7pt;z-index:25241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" fillcolor="window" stroked="f" strokeweight=".5pt">
                <v:textbox>
                  <w:txbxContent>
                    <w:p w14:paraId="38BDD44E"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p>
                  </w:txbxContent>
                </v:textbox>
                <w10:wrap anchorx="margin"/>
              </v:shape>
            </w:pict>
          </mc:Fallback>
        </mc:AlternateContent>
      </w:r>
      <w:r w:rsidRPr="000E2377">
        <w:rPr>
          <w:noProof/>
          <w:lang w:val="en-MY" w:eastAsia="en-MY"/>
        </w:rPr>
        <mc:AlternateContent>
          <mc:Choice Requires="wps">
            <w:drawing>
              <wp:anchor distT="0" distB="0" distL="114300" distR="114300" simplePos="0" relativeHeight="252414976" behindDoc="0" locked="0" layoutInCell="1" allowOverlap="1" wp14:anchorId="6182198B" wp14:editId="571ACC66">
                <wp:simplePos x="0" y="0"/>
                <wp:positionH relativeFrom="margin">
                  <wp:posOffset>4164496</wp:posOffset>
                </wp:positionH>
                <wp:positionV relativeFrom="paragraph">
                  <wp:posOffset>1965021</wp:posOffset>
                </wp:positionV>
                <wp:extent cx="1133475" cy="268357"/>
                <wp:effectExtent l="0" t="0" r="9525" b="0"/>
                <wp:wrapNone/>
                <wp:docPr id="1638" name="Text Box 1638"/>
                <wp:cNvGraphicFramePr/>
                <a:graphic xmlns:a="http://schemas.openxmlformats.org/drawingml/2006/main">
                  <a:graphicData uri="http://schemas.microsoft.com/office/word/2010/wordprocessingShape">
                    <wps:wsp>
                      <wps:cNvSpPr txBox="1"/>
                      <wps:spPr>
                        <a:xfrm>
                          <a:off x="0" y="0"/>
                          <a:ext cx="1133475" cy="268357"/>
                        </a:xfrm>
                        <a:prstGeom prst="rect">
                          <a:avLst/>
                        </a:prstGeom>
                        <a:solidFill>
                          <a:sysClr val="window" lastClr="FFFFFF"/>
                        </a:solidFill>
                        <a:ln w="6350">
                          <a:noFill/>
                        </a:ln>
                      </wps:spPr>
                      <wps:txbx>
                        <w:txbxContent>
                          <w:p w14:paraId="7500B1EA"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2198B" id="Text Box 1638" o:spid="_x0000_s1240" type="#_x0000_t202" style="position:absolute;left:0;text-align:left;margin-left:327.9pt;margin-top:154.75pt;width:89.25pt;height:21.15pt;z-index:25241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" fillcolor="window" stroked="f" strokeweight=".5pt">
                <v:textbox>
                  <w:txbxContent>
                    <w:p w14:paraId="7500B1EA"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p>
                  </w:txbxContent>
                </v:textbox>
                <w10:wrap anchorx="margin"/>
              </v:shape>
            </w:pict>
          </mc:Fallback>
        </mc:AlternateContent>
      </w:r>
      <w:r w:rsidRPr="000E2377">
        <w:rPr>
          <w:noProof/>
          <w:lang w:val="en-MY" w:eastAsia="en-MY"/>
        </w:rPr>
        <mc:AlternateContent>
          <mc:Choice Requires="wps">
            <w:drawing>
              <wp:anchor distT="0" distB="0" distL="114300" distR="114300" simplePos="0" relativeHeight="252412928" behindDoc="0" locked="0" layoutInCell="1" allowOverlap="1" wp14:anchorId="3A205C44" wp14:editId="0680762C">
                <wp:simplePos x="0" y="0"/>
                <wp:positionH relativeFrom="margin">
                  <wp:posOffset>4522304</wp:posOffset>
                </wp:positionH>
                <wp:positionV relativeFrom="paragraph">
                  <wp:posOffset>1497882</wp:posOffset>
                </wp:positionV>
                <wp:extent cx="1133475" cy="278296"/>
                <wp:effectExtent l="0" t="0" r="9525" b="7620"/>
                <wp:wrapNone/>
                <wp:docPr id="1636" name="Text Box 1636"/>
                <wp:cNvGraphicFramePr/>
                <a:graphic xmlns:a="http://schemas.openxmlformats.org/drawingml/2006/main">
                  <a:graphicData uri="http://schemas.microsoft.com/office/word/2010/wordprocessingShape">
                    <wps:wsp>
                      <wps:cNvSpPr txBox="1"/>
                      <wps:spPr>
                        <a:xfrm>
                          <a:off x="0" y="0"/>
                          <a:ext cx="1133475" cy="278296"/>
                        </a:xfrm>
                        <a:prstGeom prst="rect">
                          <a:avLst/>
                        </a:prstGeom>
                        <a:solidFill>
                          <a:sysClr val="window" lastClr="FFFFFF"/>
                        </a:solidFill>
                        <a:ln w="6350">
                          <a:noFill/>
                        </a:ln>
                      </wps:spPr>
                      <wps:txbx>
                        <w:txbxContent>
                          <w:p w14:paraId="0C8B57E7"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0</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05C44" id="Text Box 1636" o:spid="_x0000_s1241" type="#_x0000_t202" style="position:absolute;left:0;text-align:left;margin-left:356.1pt;margin-top:117.95pt;width:89.25pt;height:21.9pt;z-index:25241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" fillcolor="window" stroked="f" strokeweight=".5pt">
                <v:textbox>
                  <w:txbxContent>
                    <w:p w14:paraId="0C8B57E7"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0</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70</w:t>
                      </w:r>
                    </w:p>
                  </w:txbxContent>
                </v:textbox>
                <w10:wrap anchorx="margin"/>
              </v:shape>
            </w:pict>
          </mc:Fallback>
        </mc:AlternateContent>
      </w:r>
      <w:r w:rsidRPr="000E2377">
        <w:rPr>
          <w:noProof/>
          <w:lang w:val="en-MY" w:eastAsia="en-MY"/>
        </w:rPr>
        <mc:AlternateContent>
          <mc:Choice Requires="wps">
            <w:drawing>
              <wp:anchor distT="0" distB="0" distL="114300" distR="114300" simplePos="0" relativeHeight="252413952" behindDoc="0" locked="0" layoutInCell="1" allowOverlap="1" wp14:anchorId="094224D1" wp14:editId="498B2D8F">
                <wp:simplePos x="0" y="0"/>
                <wp:positionH relativeFrom="margin">
                  <wp:posOffset>4333461</wp:posOffset>
                </wp:positionH>
                <wp:positionV relativeFrom="paragraph">
                  <wp:posOffset>1716543</wp:posOffset>
                </wp:positionV>
                <wp:extent cx="1133475" cy="268357"/>
                <wp:effectExtent l="0" t="0" r="9525" b="0"/>
                <wp:wrapNone/>
                <wp:docPr id="1637" name="Text Box 1637"/>
                <wp:cNvGraphicFramePr/>
                <a:graphic xmlns:a="http://schemas.openxmlformats.org/drawingml/2006/main">
                  <a:graphicData uri="http://schemas.microsoft.com/office/word/2010/wordprocessingShape">
                    <wps:wsp>
                      <wps:cNvSpPr txBox="1"/>
                      <wps:spPr>
                        <a:xfrm>
                          <a:off x="0" y="0"/>
                          <a:ext cx="1133475" cy="268357"/>
                        </a:xfrm>
                        <a:prstGeom prst="rect">
                          <a:avLst/>
                        </a:prstGeom>
                        <a:solidFill>
                          <a:sysClr val="window" lastClr="FFFFFF"/>
                        </a:solidFill>
                        <a:ln w="6350">
                          <a:noFill/>
                        </a:ln>
                      </wps:spPr>
                      <wps:txbx>
                        <w:txbxContent>
                          <w:p w14:paraId="2472FF2A"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224D1" id="Text Box 1637" o:spid="_x0000_s1242" type="#_x0000_t202" style="position:absolute;left:0;text-align:left;margin-left:341.2pt;margin-top:135.15pt;width:89.25pt;height:21.15pt;z-index:25241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" fillcolor="window" stroked="f" strokeweight=".5pt">
                <v:textbox>
                  <w:txbxContent>
                    <w:p w14:paraId="2472FF2A"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70</w:t>
                      </w:r>
                    </w:p>
                  </w:txbxContent>
                </v:textbox>
                <w10:wrap anchorx="margin"/>
              </v:shape>
            </w:pict>
          </mc:Fallback>
        </mc:AlternateContent>
      </w:r>
      <w:r w:rsidRPr="000E2377">
        <w:rPr>
          <w:noProof/>
          <w:lang w:val="en-MY" w:eastAsia="en-MY"/>
        </w:rPr>
        <mc:AlternateContent>
          <mc:Choice Requires="wps">
            <w:drawing>
              <wp:anchor distT="0" distB="0" distL="114300" distR="114300" simplePos="0" relativeHeight="252346368" behindDoc="0" locked="0" layoutInCell="1" allowOverlap="1" wp14:anchorId="7B5F934C" wp14:editId="1CA2CE56">
                <wp:simplePos x="0" y="0"/>
                <wp:positionH relativeFrom="column">
                  <wp:posOffset>3092450</wp:posOffset>
                </wp:positionH>
                <wp:positionV relativeFrom="paragraph">
                  <wp:posOffset>2431415</wp:posOffset>
                </wp:positionV>
                <wp:extent cx="653415" cy="225425"/>
                <wp:effectExtent l="0" t="0" r="0" b="3175"/>
                <wp:wrapNone/>
                <wp:docPr id="2136" name="Text Box 2136"/>
                <wp:cNvGraphicFramePr/>
                <a:graphic xmlns:a="http://schemas.openxmlformats.org/drawingml/2006/main">
                  <a:graphicData uri="http://schemas.microsoft.com/office/word/2010/wordprocessingShape">
                    <wps:wsp>
                      <wps:cNvSpPr txBox="1"/>
                      <wps:spPr>
                        <a:xfrm>
                          <a:off x="0" y="0"/>
                          <a:ext cx="653415" cy="225425"/>
                        </a:xfrm>
                        <a:prstGeom prst="rect">
                          <a:avLst/>
                        </a:prstGeom>
                        <a:noFill/>
                        <a:ln w="6350">
                          <a:noFill/>
                        </a:ln>
                      </wps:spPr>
                      <wps:txbx>
                        <w:txbxContent>
                          <w:p w14:paraId="0C586C8B" w14:textId="77777777" w:rsidR="00230AB9" w:rsidRDefault="00230AB9" w:rsidP="00D740DC">
                            <w:pPr>
                              <w:rPr>
                                <w:sz w:val="16"/>
                                <w:szCs w:val="16"/>
                              </w:rPr>
                            </w:pPr>
                            <w:r>
                              <w:rPr>
                                <w:sz w:val="16"/>
                                <w:szCs w:val="16"/>
                              </w:rPr>
                              <w:t>Region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F934C" id="Text Box 2136" o:spid="_x0000_s1243" type="#_x0000_t202" style="position:absolute;left:0;text-align:left;margin-left:243.5pt;margin-top:191.45pt;width:51.45pt;height:17.7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" filled="f" stroked="f" strokeweight=".5pt">
                <v:textbox>
                  <w:txbxContent>
                    <w:p w14:paraId="0C586C8B" w14:textId="77777777" w:rsidR="00230AB9" w:rsidRDefault="00230AB9" w:rsidP="00D740DC">
                      <w:pPr>
                        <w:rPr>
                          <w:sz w:val="16"/>
                          <w:szCs w:val="16"/>
                        </w:rPr>
                      </w:pPr>
                      <w:r>
                        <w:rPr>
                          <w:sz w:val="16"/>
                          <w:szCs w:val="16"/>
                        </w:rPr>
                        <w:t>Region D</w:t>
                      </w:r>
                    </w:p>
                  </w:txbxContent>
                </v:textbox>
              </v:shape>
            </w:pict>
          </mc:Fallback>
        </mc:AlternateContent>
      </w:r>
      <w:r w:rsidRPr="000E2377">
        <w:rPr>
          <w:noProof/>
          <w:lang w:val="en-MY" w:eastAsia="en-MY"/>
        </w:rPr>
        <mc:AlternateContent>
          <mc:Choice Requires="wps">
            <w:drawing>
              <wp:anchor distT="0" distB="0" distL="114300" distR="114300" simplePos="0" relativeHeight="252345344" behindDoc="0" locked="0" layoutInCell="1" allowOverlap="1" wp14:anchorId="2CD2794F" wp14:editId="21848ACB">
                <wp:simplePos x="0" y="0"/>
                <wp:positionH relativeFrom="margin">
                  <wp:posOffset>2341245</wp:posOffset>
                </wp:positionH>
                <wp:positionV relativeFrom="paragraph">
                  <wp:posOffset>2426335</wp:posOffset>
                </wp:positionV>
                <wp:extent cx="813836" cy="224924"/>
                <wp:effectExtent l="0" t="0" r="0" b="3810"/>
                <wp:wrapNone/>
                <wp:docPr id="2135" name="Text Box 2135"/>
                <wp:cNvGraphicFramePr/>
                <a:graphic xmlns:a="http://schemas.openxmlformats.org/drawingml/2006/main">
                  <a:graphicData uri="http://schemas.microsoft.com/office/word/2010/wordprocessingShape">
                    <wps:wsp>
                      <wps:cNvSpPr txBox="1"/>
                      <wps:spPr>
                        <a:xfrm>
                          <a:off x="0" y="0"/>
                          <a:ext cx="813836" cy="224924"/>
                        </a:xfrm>
                        <a:prstGeom prst="rect">
                          <a:avLst/>
                        </a:prstGeom>
                        <a:noFill/>
                        <a:ln w="6350">
                          <a:noFill/>
                        </a:ln>
                      </wps:spPr>
                      <wps:txbx>
                        <w:txbxContent>
                          <w:p w14:paraId="0002BD12" w14:textId="77777777" w:rsidR="00230AB9" w:rsidRDefault="00230AB9" w:rsidP="00D740DC">
                            <w:pPr>
                              <w:rPr>
                                <w:sz w:val="16"/>
                                <w:szCs w:val="16"/>
                              </w:rPr>
                            </w:pPr>
                            <w:r>
                              <w:rPr>
                                <w:sz w:val="16"/>
                                <w:szCs w:val="16"/>
                              </w:rPr>
                              <w:t>Region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2794F" id="Text Box 2135" o:spid="_x0000_s1244" type="#_x0000_t202" style="position:absolute;left:0;text-align:left;margin-left:184.35pt;margin-top:191.05pt;width:64.1pt;height:17.7pt;z-index:25234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" filled="f" stroked="f" strokeweight=".5pt">
                <v:textbox>
                  <w:txbxContent>
                    <w:p w14:paraId="0002BD12" w14:textId="77777777" w:rsidR="00230AB9" w:rsidRDefault="00230AB9" w:rsidP="00D740DC">
                      <w:pPr>
                        <w:rPr>
                          <w:sz w:val="16"/>
                          <w:szCs w:val="16"/>
                        </w:rPr>
                      </w:pPr>
                      <w:r>
                        <w:rPr>
                          <w:sz w:val="16"/>
                          <w:szCs w:val="16"/>
                        </w:rPr>
                        <w:t>Region C</w:t>
                      </w:r>
                    </w:p>
                  </w:txbxContent>
                </v:textbox>
                <w10:wrap anchorx="margin"/>
              </v:shape>
            </w:pict>
          </mc:Fallback>
        </mc:AlternateContent>
      </w:r>
      <w:r w:rsidRPr="000E2377">
        <w:rPr>
          <w:noProof/>
          <w:lang w:val="en-MY" w:eastAsia="en-MY"/>
        </w:rPr>
        <mc:AlternateContent>
          <mc:Choice Requires="wps">
            <w:drawing>
              <wp:anchor distT="0" distB="0" distL="114300" distR="114300" simplePos="0" relativeHeight="252344320" behindDoc="0" locked="0" layoutInCell="1" allowOverlap="1" wp14:anchorId="74CD3EF9" wp14:editId="00F5BD43">
                <wp:simplePos x="0" y="0"/>
                <wp:positionH relativeFrom="column">
                  <wp:posOffset>1715770</wp:posOffset>
                </wp:positionH>
                <wp:positionV relativeFrom="paragraph">
                  <wp:posOffset>2439035</wp:posOffset>
                </wp:positionV>
                <wp:extent cx="653415" cy="225425"/>
                <wp:effectExtent l="0" t="0" r="0" b="3175"/>
                <wp:wrapNone/>
                <wp:docPr id="2134" name="Text Box 2134"/>
                <wp:cNvGraphicFramePr/>
                <a:graphic xmlns:a="http://schemas.openxmlformats.org/drawingml/2006/main">
                  <a:graphicData uri="http://schemas.microsoft.com/office/word/2010/wordprocessingShape">
                    <wps:wsp>
                      <wps:cNvSpPr txBox="1"/>
                      <wps:spPr>
                        <a:xfrm>
                          <a:off x="0" y="0"/>
                          <a:ext cx="653415" cy="225425"/>
                        </a:xfrm>
                        <a:prstGeom prst="rect">
                          <a:avLst/>
                        </a:prstGeom>
                        <a:noFill/>
                        <a:ln w="6350">
                          <a:noFill/>
                        </a:ln>
                      </wps:spPr>
                      <wps:txbx>
                        <w:txbxContent>
                          <w:p w14:paraId="419E9377" w14:textId="77777777" w:rsidR="00230AB9" w:rsidRDefault="00230AB9" w:rsidP="00D740DC">
                            <w:pPr>
                              <w:rPr>
                                <w:sz w:val="16"/>
                                <w:szCs w:val="16"/>
                              </w:rPr>
                            </w:pPr>
                            <w:r>
                              <w:rPr>
                                <w:sz w:val="16"/>
                                <w:szCs w:val="16"/>
                              </w:rPr>
                              <w:t>Region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D3EF9" id="Text Box 2134" o:spid="_x0000_s1245" type="#_x0000_t202" style="position:absolute;left:0;text-align:left;margin-left:135.1pt;margin-top:192.05pt;width:51.45pt;height:17.7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" filled="f" stroked="f" strokeweight=".5pt">
                <v:textbox>
                  <w:txbxContent>
                    <w:p w14:paraId="419E9377" w14:textId="77777777" w:rsidR="00230AB9" w:rsidRDefault="00230AB9" w:rsidP="00D740DC">
                      <w:pPr>
                        <w:rPr>
                          <w:sz w:val="16"/>
                          <w:szCs w:val="16"/>
                        </w:rPr>
                      </w:pPr>
                      <w:r>
                        <w:rPr>
                          <w:sz w:val="16"/>
                          <w:szCs w:val="16"/>
                        </w:rPr>
                        <w:t>Region B</w:t>
                      </w:r>
                    </w:p>
                  </w:txbxContent>
                </v:textbox>
              </v:shape>
            </w:pict>
          </mc:Fallback>
        </mc:AlternateContent>
      </w:r>
      <w:r w:rsidRPr="000E2377">
        <w:rPr>
          <w:noProof/>
          <w:lang w:val="en-MY" w:eastAsia="en-MY"/>
        </w:rPr>
        <mc:AlternateContent>
          <mc:Choice Requires="wps">
            <w:drawing>
              <wp:anchor distT="0" distB="0" distL="114300" distR="114300" simplePos="0" relativeHeight="252347392" behindDoc="0" locked="0" layoutInCell="1" allowOverlap="1" wp14:anchorId="6E6A6EE8" wp14:editId="042DA3A3">
                <wp:simplePos x="0" y="0"/>
                <wp:positionH relativeFrom="column">
                  <wp:posOffset>1125855</wp:posOffset>
                </wp:positionH>
                <wp:positionV relativeFrom="paragraph">
                  <wp:posOffset>2400935</wp:posOffset>
                </wp:positionV>
                <wp:extent cx="653415" cy="225425"/>
                <wp:effectExtent l="0" t="0" r="0" b="3175"/>
                <wp:wrapNone/>
                <wp:docPr id="2129" name="Text Box 2129"/>
                <wp:cNvGraphicFramePr/>
                <a:graphic xmlns:a="http://schemas.openxmlformats.org/drawingml/2006/main">
                  <a:graphicData uri="http://schemas.microsoft.com/office/word/2010/wordprocessingShape">
                    <wps:wsp>
                      <wps:cNvSpPr txBox="1"/>
                      <wps:spPr>
                        <a:xfrm>
                          <a:off x="0" y="0"/>
                          <a:ext cx="653415" cy="225425"/>
                        </a:xfrm>
                        <a:prstGeom prst="rect">
                          <a:avLst/>
                        </a:prstGeom>
                        <a:noFill/>
                        <a:ln w="6350">
                          <a:noFill/>
                        </a:ln>
                      </wps:spPr>
                      <wps:txbx>
                        <w:txbxContent>
                          <w:p w14:paraId="48A3A956" w14:textId="77777777" w:rsidR="00230AB9" w:rsidRDefault="00230AB9" w:rsidP="00D740DC">
                            <w:pPr>
                              <w:rPr>
                                <w:sz w:val="16"/>
                                <w:szCs w:val="16"/>
                              </w:rPr>
                            </w:pPr>
                            <w:r>
                              <w:rPr>
                                <w:sz w:val="16"/>
                                <w:szCs w:val="16"/>
                              </w:rPr>
                              <w:t>Region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A6EE8" id="Text Box 2129" o:spid="_x0000_s1246" type="#_x0000_t202" style="position:absolute;left:0;text-align:left;margin-left:88.65pt;margin-top:189.05pt;width:51.45pt;height:17.7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" filled="f" stroked="f" strokeweight=".5pt">
                <v:textbox>
                  <w:txbxContent>
                    <w:p w14:paraId="48A3A956" w14:textId="77777777" w:rsidR="00230AB9" w:rsidRDefault="00230AB9" w:rsidP="00D740DC">
                      <w:pPr>
                        <w:rPr>
                          <w:sz w:val="16"/>
                          <w:szCs w:val="16"/>
                        </w:rPr>
                      </w:pPr>
                      <w:r>
                        <w:rPr>
                          <w:sz w:val="16"/>
                          <w:szCs w:val="16"/>
                        </w:rPr>
                        <w:t>Region A</w:t>
                      </w:r>
                    </w:p>
                  </w:txbxContent>
                </v:textbox>
              </v:shape>
            </w:pict>
          </mc:Fallback>
        </mc:AlternateContent>
      </w:r>
      <w:r w:rsidRPr="000E2377">
        <w:rPr>
          <w:noProof/>
          <w:lang w:val="en-MY" w:eastAsia="en-MY"/>
        </w:rPr>
        <mc:AlternateContent>
          <mc:Choice Requires="wps">
            <w:drawing>
              <wp:anchor distT="0" distB="0" distL="114300" distR="114300" simplePos="0" relativeHeight="252342272" behindDoc="0" locked="0" layoutInCell="1" allowOverlap="1" wp14:anchorId="65EB4BB3" wp14:editId="0EC407AB">
                <wp:simplePos x="0" y="0"/>
                <wp:positionH relativeFrom="column">
                  <wp:posOffset>696595</wp:posOffset>
                </wp:positionH>
                <wp:positionV relativeFrom="paragraph">
                  <wp:posOffset>175895</wp:posOffset>
                </wp:positionV>
                <wp:extent cx="379730" cy="273050"/>
                <wp:effectExtent l="0" t="0" r="0" b="0"/>
                <wp:wrapNone/>
                <wp:docPr id="2128" name="Text Box 2128"/>
                <wp:cNvGraphicFramePr/>
                <a:graphic xmlns:a="http://schemas.openxmlformats.org/drawingml/2006/main">
                  <a:graphicData uri="http://schemas.microsoft.com/office/word/2010/wordprocessingShape">
                    <wps:wsp>
                      <wps:cNvSpPr txBox="1"/>
                      <wps:spPr>
                        <a:xfrm>
                          <a:off x="0" y="0"/>
                          <a:ext cx="379730" cy="273050"/>
                        </a:xfrm>
                        <a:prstGeom prst="rect">
                          <a:avLst/>
                        </a:prstGeom>
                        <a:noFill/>
                        <a:ln w="6350">
                          <a:noFill/>
                        </a:ln>
                      </wps:spPr>
                      <wps:txbx>
                        <w:txbxContent>
                          <w:p w14:paraId="384F1637" w14:textId="77777777" w:rsidR="00230AB9" w:rsidRDefault="00230AB9" w:rsidP="00D740D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5EB4BB3" id="Text Box 2128" o:spid="_x0000_s1247" type="#_x0000_t202" style="position:absolute;left:0;text-align:left;margin-left:54.85pt;margin-top:13.85pt;width:29.9pt;height:21.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" filled="f" stroked="f" strokeweight=".5pt">
                <v:textbox>
                  <w:txbxContent>
                    <w:p w14:paraId="384F1637" w14:textId="77777777" w:rsidR="00230AB9" w:rsidRDefault="00230AB9" w:rsidP="00D740DC">
                      <w:r>
                        <w:t>b)</w:t>
                      </w:r>
                    </w:p>
                  </w:txbxContent>
                </v:textbox>
              </v:shape>
            </w:pict>
          </mc:Fallback>
        </mc:AlternateContent>
      </w:r>
      <w:r w:rsidRPr="005F3BB5">
        <w:rPr>
          <w:noProof/>
          <w:lang w:val="en-MY" w:eastAsia="en-MY"/>
        </w:rPr>
        <w:drawing>
          <wp:inline distT="0" distB="0" distL="0" distR="0" wp14:anchorId="1166E558" wp14:editId="3379199E">
            <wp:extent cx="4523550" cy="3096000"/>
            <wp:effectExtent l="0" t="0" r="0" b="0"/>
            <wp:docPr id="1484" name="Pictur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23550" cy="3096000"/>
                    </a:xfrm>
                    <a:prstGeom prst="rect">
                      <a:avLst/>
                    </a:prstGeom>
                    <a:noFill/>
                    <a:ln>
                      <a:noFill/>
                    </a:ln>
                  </pic:spPr>
                </pic:pic>
              </a:graphicData>
            </a:graphic>
          </wp:inline>
        </w:drawing>
      </w:r>
      <w:r w:rsidRPr="000E2377">
        <w:br w:type="textWrapping" w:clear="all"/>
      </w:r>
      <w:bookmarkStart w:id="710" w:name="_Hlk515396343"/>
      <w:r w:rsidR="0080406D">
        <w:t>Figure 4.10</w:t>
      </w:r>
      <w:r w:rsidRPr="000E2377">
        <w:t xml:space="preserve">: </w:t>
      </w:r>
      <w:r w:rsidRPr="000E2377">
        <w:rPr>
          <w:szCs w:val="24"/>
        </w:rPr>
        <w:t xml:space="preserve">Normalised Raman spectra of a) </w:t>
      </w:r>
      <w:r w:rsidRPr="000E2377">
        <w:rPr>
          <w:rFonts w:eastAsia="Times New Roman"/>
          <w:color w:val="000000"/>
          <w:szCs w:val="24"/>
          <w:lang w:eastAsia="en-MY"/>
        </w:rPr>
        <w:t>N</w:t>
      </w:r>
      <w:r w:rsidRPr="000E2377">
        <w:rPr>
          <w:rFonts w:eastAsia="Times New Roman"/>
          <w:color w:val="000000"/>
          <w:szCs w:val="24"/>
          <w:vertAlign w:val="subscript"/>
          <w:lang w:eastAsia="en-MY"/>
        </w:rPr>
        <w:t>7.6</w:t>
      </w:r>
      <w:r w:rsidRPr="000E2377">
        <w:rPr>
          <w:rFonts w:eastAsia="Times New Roman"/>
          <w:color w:val="000000"/>
          <w:szCs w:val="24"/>
          <w:lang w:eastAsia="en-MY"/>
        </w:rPr>
        <w:t>M</w:t>
      </w:r>
      <w:r w:rsidRPr="000E2377">
        <w:rPr>
          <w:rFonts w:eastAsia="Times New Roman"/>
          <w:color w:val="000000"/>
          <w:szCs w:val="24"/>
          <w:vertAlign w:val="subscript"/>
          <w:lang w:eastAsia="en-MY"/>
        </w:rPr>
        <w:t>1.1</w:t>
      </w:r>
      <w:r w:rsidRPr="000E2377">
        <w:rPr>
          <w:rFonts w:eastAsia="Times New Roman"/>
          <w:color w:val="000000"/>
          <w:szCs w:val="24"/>
          <w:lang w:eastAsia="en-MY"/>
        </w:rPr>
        <w:t>C</w:t>
      </w:r>
      <w:r w:rsidRPr="000E2377">
        <w:rPr>
          <w:rFonts w:eastAsia="Times New Roman"/>
          <w:color w:val="000000"/>
          <w:szCs w:val="24"/>
          <w:vertAlign w:val="subscript"/>
          <w:lang w:eastAsia="en-MY"/>
        </w:rPr>
        <w:t>3</w:t>
      </w:r>
      <w:r w:rsidRPr="000E2377">
        <w:rPr>
          <w:rFonts w:eastAsia="Times New Roman"/>
          <w:color w:val="000000"/>
          <w:szCs w:val="24"/>
          <w:lang w:eastAsia="en-MY"/>
        </w:rPr>
        <w:t>A</w:t>
      </w:r>
      <w:r w:rsidRPr="000E2377">
        <w:rPr>
          <w:rFonts w:eastAsia="Times New Roman"/>
          <w:color w:val="000000"/>
          <w:szCs w:val="24"/>
          <w:vertAlign w:val="subscript"/>
          <w:lang w:eastAsia="en-MY"/>
        </w:rPr>
        <w:t>x</w:t>
      </w:r>
      <w:r w:rsidRPr="000E2377">
        <w:rPr>
          <w:rFonts w:eastAsia="Times New Roman"/>
          <w:color w:val="000000"/>
          <w:szCs w:val="24"/>
          <w:lang w:eastAsia="en-MY"/>
        </w:rPr>
        <w:t>B</w:t>
      </w:r>
      <w:r w:rsidRPr="000E2377">
        <w:rPr>
          <w:rFonts w:eastAsia="Times New Roman"/>
          <w:color w:val="000000"/>
          <w:szCs w:val="24"/>
          <w:vertAlign w:val="subscript"/>
          <w:lang w:eastAsia="en-MY"/>
        </w:rPr>
        <w:t>7.6</w:t>
      </w:r>
      <w:r w:rsidRPr="000E2377">
        <w:rPr>
          <w:rFonts w:eastAsia="Times New Roman"/>
          <w:color w:val="000000"/>
          <w:szCs w:val="24"/>
          <w:lang w:eastAsia="en-MY"/>
        </w:rPr>
        <w:t>S</w:t>
      </w:r>
      <w:r w:rsidRPr="000E2377">
        <w:rPr>
          <w:rFonts w:eastAsia="Times New Roman"/>
          <w:color w:val="000000"/>
          <w:szCs w:val="24"/>
          <w:vertAlign w:val="subscript"/>
          <w:lang w:eastAsia="en-MY"/>
        </w:rPr>
        <w:t>80.7-x</w:t>
      </w:r>
      <w:r w:rsidRPr="000E2377">
        <w:rPr>
          <w:rFonts w:eastAsia="Times New Roman"/>
          <w:color w:val="000000"/>
          <w:sz w:val="16"/>
          <w:szCs w:val="16"/>
          <w:lang w:eastAsia="en-MY"/>
        </w:rPr>
        <w:t xml:space="preserve"> </w:t>
      </w:r>
      <w:r w:rsidRPr="000E2377">
        <w:rPr>
          <w:szCs w:val="24"/>
        </w:rPr>
        <w:t xml:space="preserve">and b) </w:t>
      </w:r>
      <w:r w:rsidRPr="000E2377">
        <w:rPr>
          <w:rFonts w:eastAsia="Times New Roman"/>
          <w:color w:val="000000"/>
          <w:szCs w:val="24"/>
          <w:lang w:eastAsia="en-MY"/>
        </w:rPr>
        <w:t>N</w:t>
      </w:r>
      <w:r w:rsidRPr="000E2377">
        <w:rPr>
          <w:rFonts w:eastAsia="Times New Roman"/>
          <w:color w:val="000000"/>
          <w:szCs w:val="24"/>
          <w:vertAlign w:val="subscript"/>
          <w:lang w:eastAsia="en-MY"/>
        </w:rPr>
        <w:t>15</w:t>
      </w:r>
      <w:r w:rsidRPr="000E2377">
        <w:rPr>
          <w:rFonts w:eastAsia="Times New Roman"/>
          <w:color w:val="000000"/>
          <w:szCs w:val="24"/>
          <w:lang w:eastAsia="en-MY"/>
        </w:rPr>
        <w:t>C</w:t>
      </w:r>
      <w:r w:rsidRPr="000E2377">
        <w:rPr>
          <w:rFonts w:eastAsia="Times New Roman"/>
          <w:color w:val="000000"/>
          <w:szCs w:val="24"/>
          <w:vertAlign w:val="subscript"/>
          <w:lang w:eastAsia="en-MY"/>
        </w:rPr>
        <w:t>5</w:t>
      </w:r>
      <w:r w:rsidRPr="000E2377">
        <w:rPr>
          <w:rFonts w:eastAsia="Times New Roman"/>
          <w:color w:val="000000"/>
          <w:szCs w:val="24"/>
          <w:lang w:eastAsia="en-MY"/>
        </w:rPr>
        <w:t>A</w:t>
      </w:r>
      <w:r w:rsidRPr="000E2377">
        <w:rPr>
          <w:rFonts w:eastAsia="Times New Roman"/>
          <w:color w:val="000000"/>
          <w:szCs w:val="24"/>
          <w:vertAlign w:val="subscript"/>
          <w:lang w:eastAsia="en-MY"/>
        </w:rPr>
        <w:t>x</w:t>
      </w:r>
      <w:r w:rsidRPr="000E2377">
        <w:rPr>
          <w:rFonts w:eastAsia="Times New Roman"/>
          <w:color w:val="000000"/>
          <w:szCs w:val="24"/>
          <w:lang w:eastAsia="en-MY"/>
        </w:rPr>
        <w:t>B</w:t>
      </w:r>
      <w:r w:rsidRPr="000E2377">
        <w:rPr>
          <w:rFonts w:eastAsia="Times New Roman"/>
          <w:color w:val="000000"/>
          <w:szCs w:val="24"/>
          <w:vertAlign w:val="subscript"/>
          <w:lang w:eastAsia="en-MY"/>
        </w:rPr>
        <w:t>10-x</w:t>
      </w:r>
      <w:r w:rsidRPr="000E2377">
        <w:rPr>
          <w:rFonts w:eastAsia="Times New Roman"/>
          <w:color w:val="000000"/>
          <w:szCs w:val="24"/>
          <w:lang w:eastAsia="en-MY"/>
        </w:rPr>
        <w:t>S</w:t>
      </w:r>
      <w:r w:rsidRPr="000E2377">
        <w:rPr>
          <w:rFonts w:eastAsia="Times New Roman"/>
          <w:color w:val="000000"/>
          <w:szCs w:val="24"/>
          <w:vertAlign w:val="subscript"/>
          <w:lang w:eastAsia="en-MY"/>
        </w:rPr>
        <w:t>70</w:t>
      </w:r>
      <w:r w:rsidRPr="000E2377">
        <w:rPr>
          <w:b w:val="0"/>
          <w:szCs w:val="24"/>
        </w:rPr>
        <w:t xml:space="preserve">, </w:t>
      </w:r>
      <w:r w:rsidRPr="000E2377">
        <w:rPr>
          <w:rFonts w:eastAsia="Times New Roman"/>
          <w:color w:val="000000"/>
          <w:szCs w:val="24"/>
          <w:lang w:eastAsia="en-MY"/>
        </w:rPr>
        <w:t>N</w:t>
      </w:r>
      <w:r w:rsidRPr="000E2377">
        <w:rPr>
          <w:rFonts w:eastAsia="Times New Roman"/>
          <w:color w:val="000000"/>
          <w:szCs w:val="24"/>
          <w:vertAlign w:val="subscript"/>
          <w:lang w:eastAsia="en-MY"/>
        </w:rPr>
        <w:t>15</w:t>
      </w:r>
      <w:r w:rsidRPr="000E2377">
        <w:rPr>
          <w:rFonts w:eastAsia="Times New Roman"/>
          <w:color w:val="000000"/>
          <w:szCs w:val="24"/>
          <w:lang w:eastAsia="en-MY"/>
        </w:rPr>
        <w:t>C</w:t>
      </w:r>
      <w:r w:rsidRPr="000E2377">
        <w:rPr>
          <w:rFonts w:eastAsia="Times New Roman"/>
          <w:color w:val="000000"/>
          <w:szCs w:val="24"/>
          <w:vertAlign w:val="subscript"/>
          <w:lang w:eastAsia="en-MY"/>
        </w:rPr>
        <w:t>5</w:t>
      </w:r>
      <w:r w:rsidRPr="000E2377">
        <w:rPr>
          <w:rFonts w:eastAsia="Times New Roman"/>
          <w:color w:val="000000"/>
          <w:szCs w:val="24"/>
          <w:lang w:eastAsia="en-MY"/>
        </w:rPr>
        <w:t>A</w:t>
      </w:r>
      <w:r w:rsidRPr="000E2377">
        <w:rPr>
          <w:rFonts w:eastAsia="Times New Roman"/>
          <w:color w:val="000000"/>
          <w:szCs w:val="24"/>
          <w:vertAlign w:val="subscript"/>
          <w:lang w:eastAsia="en-MY"/>
        </w:rPr>
        <w:t>x</w:t>
      </w:r>
      <w:r w:rsidRPr="000E2377">
        <w:rPr>
          <w:rFonts w:eastAsia="Times New Roman"/>
          <w:color w:val="000000"/>
          <w:szCs w:val="24"/>
          <w:lang w:eastAsia="en-MY"/>
        </w:rPr>
        <w:t>B</w:t>
      </w:r>
      <w:r w:rsidRPr="000E2377">
        <w:rPr>
          <w:rFonts w:eastAsia="Times New Roman"/>
          <w:color w:val="000000"/>
          <w:szCs w:val="24"/>
          <w:vertAlign w:val="subscript"/>
          <w:lang w:eastAsia="en-MY"/>
        </w:rPr>
        <w:t>20-x</w:t>
      </w:r>
      <w:r w:rsidRPr="000E2377">
        <w:rPr>
          <w:rFonts w:eastAsia="Times New Roman"/>
          <w:color w:val="000000"/>
          <w:szCs w:val="24"/>
          <w:lang w:eastAsia="en-MY"/>
        </w:rPr>
        <w:t>S</w:t>
      </w:r>
      <w:r w:rsidRPr="000E2377">
        <w:rPr>
          <w:rFonts w:eastAsia="Times New Roman"/>
          <w:color w:val="000000"/>
          <w:szCs w:val="24"/>
          <w:vertAlign w:val="subscript"/>
          <w:lang w:eastAsia="en-MY"/>
        </w:rPr>
        <w:t xml:space="preserve">60 </w:t>
      </w:r>
      <w:r w:rsidRPr="000E2377">
        <w:rPr>
          <w:szCs w:val="24"/>
        </w:rPr>
        <w:t xml:space="preserve"> glass series</w:t>
      </w:r>
      <w:bookmarkEnd w:id="706"/>
      <w:bookmarkEnd w:id="710"/>
      <w:r w:rsidRPr="000E2377">
        <w:rPr>
          <w:szCs w:val="24"/>
        </w:rPr>
        <w:t>.</w:t>
      </w:r>
      <w:bookmarkEnd w:id="707"/>
      <w:bookmarkEnd w:id="708"/>
      <w:bookmarkEnd w:id="709"/>
    </w:p>
    <w:p w14:paraId="17FDC5DF" w14:textId="77777777" w:rsidR="00D740DC" w:rsidRPr="000E2377" w:rsidRDefault="00D740DC" w:rsidP="00D740DC">
      <w:pPr>
        <w:spacing w:after="0" w:line="240" w:lineRule="auto"/>
        <w:jc w:val="both"/>
        <w:rPr>
          <w:rFonts w:cs="Times New Roman"/>
          <w:szCs w:val="24"/>
        </w:rPr>
      </w:pPr>
    </w:p>
    <w:p w14:paraId="7D9CAAEA" w14:textId="306F1E91" w:rsidR="00D740DC" w:rsidRPr="000E2377" w:rsidRDefault="00D740DC" w:rsidP="00D740DC">
      <w:pPr>
        <w:spacing w:line="360" w:lineRule="auto"/>
        <w:jc w:val="both"/>
        <w:rPr>
          <w:rFonts w:cs="Times New Roman"/>
          <w:b w:val="0"/>
          <w:szCs w:val="24"/>
        </w:rPr>
      </w:pPr>
      <w:r w:rsidRPr="000E2377">
        <w:rPr>
          <w:rFonts w:cs="Times New Roman"/>
          <w:b w:val="0"/>
          <w:szCs w:val="24"/>
        </w:rPr>
        <w:t>Figure 4.</w:t>
      </w:r>
      <w:r>
        <w:rPr>
          <w:rFonts w:cs="Times New Roman"/>
          <w:b w:val="0"/>
          <w:szCs w:val="24"/>
        </w:rPr>
        <w:t>10</w:t>
      </w:r>
      <w:r w:rsidRPr="000E2377">
        <w:rPr>
          <w:rFonts w:cs="Times New Roman"/>
          <w:b w:val="0"/>
          <w:szCs w:val="24"/>
        </w:rPr>
        <w:t xml:space="preserve"> shows the normalised Raman spectra of the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eastAsia="Times New Roman" w:cs="Times New Roman"/>
          <w:color w:val="000000"/>
          <w:sz w:val="16"/>
          <w:szCs w:val="16"/>
          <w:lang w:eastAsia="en-MY"/>
        </w:rPr>
        <w:t xml:space="preserve"> </w:t>
      </w:r>
      <w:r w:rsidRPr="000E2377">
        <w:rPr>
          <w:rFonts w:cs="Times New Roman"/>
          <w:b w:val="0"/>
          <w:szCs w:val="24"/>
        </w:rPr>
        <w:t xml:space="preserve">and b)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r w:rsidRPr="000E2377">
        <w:rPr>
          <w:rFonts w:cs="Times New Roman"/>
          <w:b w:val="0"/>
          <w:szCs w:val="24"/>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color w:val="000000"/>
          <w:szCs w:val="24"/>
          <w:vertAlign w:val="subscript"/>
          <w:lang w:eastAsia="en-MY"/>
        </w:rPr>
        <w:t xml:space="preserve"> </w:t>
      </w:r>
      <w:r w:rsidRPr="000E2377">
        <w:rPr>
          <w:rFonts w:cs="Times New Roman"/>
          <w:b w:val="0"/>
          <w:szCs w:val="24"/>
        </w:rPr>
        <w:t xml:space="preserve">glasses. It can be seen that in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cs="Times New Roman"/>
          <w:b w:val="0"/>
          <w:szCs w:val="24"/>
        </w:rPr>
        <w:t xml:space="preserve"> glasses</w:t>
      </w:r>
      <w:r>
        <w:rPr>
          <w:rFonts w:cs="Times New Roman"/>
          <w:b w:val="0"/>
          <w:szCs w:val="24"/>
        </w:rPr>
        <w:t xml:space="preserve"> (Figure 4.</w:t>
      </w:r>
      <w:r w:rsidR="00D43458">
        <w:rPr>
          <w:rFonts w:cs="Times New Roman"/>
          <w:b w:val="0"/>
          <w:szCs w:val="24"/>
        </w:rPr>
        <w:t>10</w:t>
      </w:r>
      <w:r>
        <w:rPr>
          <w:rFonts w:cs="Times New Roman"/>
          <w:b w:val="0"/>
          <w:szCs w:val="24"/>
        </w:rPr>
        <w:t>a),</w:t>
      </w:r>
      <w:r w:rsidRPr="000E2377">
        <w:rPr>
          <w:rFonts w:cs="Times New Roman"/>
          <w:b w:val="0"/>
          <w:szCs w:val="24"/>
        </w:rPr>
        <w:t xml:space="preserve"> at lower x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78.2</w:t>
      </w:r>
      <w:r w:rsidRPr="000E2377">
        <w:rPr>
          <w:rFonts w:cs="Times New Roman"/>
          <w:b w:val="0"/>
          <w:szCs w:val="24"/>
        </w:rPr>
        <w:t>), the Raman low frequency peaks (between 180-730 cm</w:t>
      </w:r>
      <w:r w:rsidRPr="000E2377">
        <w:rPr>
          <w:rFonts w:cs="Times New Roman"/>
          <w:b w:val="0"/>
          <w:szCs w:val="24"/>
          <w:vertAlign w:val="superscript"/>
        </w:rPr>
        <w:t>-1</w:t>
      </w:r>
      <w:r w:rsidRPr="000E2377">
        <w:rPr>
          <w:rFonts w:cs="Times New Roman"/>
          <w:b w:val="0"/>
          <w:szCs w:val="24"/>
        </w:rPr>
        <w:t xml:space="preserve">) have the same shape and the </w:t>
      </w:r>
      <w:r>
        <w:rPr>
          <w:rFonts w:cs="Times New Roman"/>
          <w:b w:val="0"/>
          <w:szCs w:val="24"/>
        </w:rPr>
        <w:t>peak maximum</w:t>
      </w:r>
      <w:r w:rsidRPr="000E2377">
        <w:rPr>
          <w:rFonts w:cs="Times New Roman"/>
          <w:b w:val="0"/>
          <w:szCs w:val="24"/>
        </w:rPr>
        <w:t xml:space="preserve"> </w:t>
      </w:r>
      <w:r>
        <w:rPr>
          <w:rFonts w:cs="Times New Roman"/>
          <w:b w:val="0"/>
          <w:szCs w:val="24"/>
        </w:rPr>
        <w:t>shift</w:t>
      </w:r>
      <w:r w:rsidRPr="000E2377">
        <w:rPr>
          <w:rFonts w:cs="Times New Roman"/>
          <w:b w:val="0"/>
          <w:szCs w:val="24"/>
        </w:rPr>
        <w:t>s from 454 cm</w:t>
      </w:r>
      <w:r w:rsidRPr="000E2377">
        <w:rPr>
          <w:rFonts w:cs="Times New Roman"/>
          <w:b w:val="0"/>
          <w:szCs w:val="24"/>
          <w:vertAlign w:val="superscript"/>
        </w:rPr>
        <w:t>-1</w:t>
      </w:r>
      <w:r w:rsidRPr="000E2377">
        <w:rPr>
          <w:rFonts w:cs="Times New Roman"/>
          <w:b w:val="0"/>
          <w:szCs w:val="24"/>
        </w:rPr>
        <w:t xml:space="preserve"> to 474 cm</w:t>
      </w:r>
      <w:r w:rsidRPr="000E2377">
        <w:rPr>
          <w:rFonts w:cs="Times New Roman"/>
          <w:b w:val="0"/>
          <w:szCs w:val="24"/>
          <w:vertAlign w:val="superscript"/>
        </w:rPr>
        <w:t xml:space="preserve">-1 </w:t>
      </w:r>
      <w:r w:rsidRPr="000E2377">
        <w:rPr>
          <w:rFonts w:cs="Times New Roman"/>
          <w:b w:val="0"/>
          <w:szCs w:val="24"/>
        </w:rPr>
        <w:t xml:space="preserve">with increasing x. </w:t>
      </w:r>
      <w:r>
        <w:rPr>
          <w:rFonts w:cs="Times New Roman"/>
          <w:b w:val="0"/>
          <w:szCs w:val="24"/>
        </w:rPr>
        <w:t>The p</w:t>
      </w:r>
      <w:r w:rsidRPr="000E2377">
        <w:rPr>
          <w:rFonts w:cs="Times New Roman"/>
          <w:b w:val="0"/>
          <w:szCs w:val="24"/>
        </w:rPr>
        <w:t xml:space="preserve">eak shift to higher </w:t>
      </w:r>
      <w:r>
        <w:rPr>
          <w:rFonts w:cs="Times New Roman"/>
          <w:b w:val="0"/>
          <w:szCs w:val="24"/>
        </w:rPr>
        <w:t>wave</w:t>
      </w:r>
      <w:r w:rsidRPr="000E2377">
        <w:rPr>
          <w:rFonts w:cs="Times New Roman"/>
          <w:b w:val="0"/>
          <w:szCs w:val="24"/>
        </w:rPr>
        <w:t>number</w:t>
      </w:r>
      <w:r>
        <w:rPr>
          <w:rFonts w:cs="Times New Roman"/>
          <w:b w:val="0"/>
          <w:szCs w:val="24"/>
        </w:rPr>
        <w:t>s</w:t>
      </w:r>
      <w:r w:rsidRPr="000E2377">
        <w:rPr>
          <w:rFonts w:cs="Times New Roman"/>
          <w:b w:val="0"/>
          <w:szCs w:val="24"/>
        </w:rPr>
        <w:t xml:space="preserve"> indicates that the Al-O-Al bridges</w:t>
      </w:r>
      <w:r>
        <w:rPr>
          <w:rFonts w:cs="Times New Roman"/>
          <w:b w:val="0"/>
          <w:szCs w:val="24"/>
        </w:rPr>
        <w:t xml:space="preserve"> are reducing</w:t>
      </w:r>
      <w:r w:rsidRPr="000E2377">
        <w:rPr>
          <w:rFonts w:cs="Times New Roman"/>
          <w:b w:val="0"/>
          <w:szCs w:val="24"/>
        </w:rPr>
        <w:t xml:space="preserve"> </w:t>
      </w:r>
      <w:r>
        <w:rPr>
          <w:rFonts w:cs="Times New Roman"/>
          <w:b w:val="0"/>
          <w:szCs w:val="24"/>
        </w:rPr>
        <w:t xml:space="preserve">and that </w:t>
      </w:r>
      <w:proofErr w:type="spellStart"/>
      <w:r>
        <w:rPr>
          <w:rFonts w:cs="Times New Roman"/>
          <w:b w:val="0"/>
          <w:szCs w:val="24"/>
        </w:rPr>
        <w:t>Q</w:t>
      </w:r>
      <w:r w:rsidRPr="00374CFB">
        <w:rPr>
          <w:rFonts w:cs="Times New Roman"/>
          <w:b w:val="0"/>
          <w:szCs w:val="24"/>
          <w:vertAlign w:val="superscript"/>
        </w:rPr>
        <w:t>n</w:t>
      </w:r>
      <w:proofErr w:type="spellEnd"/>
      <w:r>
        <w:rPr>
          <w:rFonts w:cs="Times New Roman"/>
          <w:b w:val="0"/>
          <w:szCs w:val="24"/>
        </w:rPr>
        <w:t xml:space="preserve"> is increasing </w:t>
      </w:r>
      <w:r w:rsidRPr="000E2377">
        <w:rPr>
          <w:rFonts w:cs="Times New Roman"/>
          <w:b w:val="0"/>
          <w:szCs w:val="24"/>
        </w:rPr>
        <w:fldChar w:fldCharType="begin" w:fldLock="1"/>
      </w:r>
      <w:r w:rsidRPr="000E2377">
        <w:rPr>
          <w:rFonts w:cs="Times New Roman"/>
          <w:b w:val="0"/>
          <w:szCs w:val="24"/>
        </w:rPr>
        <w:instrText>ADDIN CSL_CITATION { "citationItems" : [ { "id" : "ITEM-1", "itemData" : { "DOI" : "10.1016/j.jnoncrysol.2017.05.014", "ISSN" : "00223093", "abstract" : "Understanding the composition dependence of the atomic structure of multicomponent aluminosilicate glasses is a challenging problem. Aluminum has a crucial influence on the structure-property relations in these systems, but there are still questions regarding its local structural environment. Here, we present results detailing the network structure of twenty quaternary MgO/CaO-Na2O-Al2O3-SiO2 glasses upon Al2O3-for-SiO2 and MgO-for-CaO substitutions using room temperature and in situ high-temperature Raman spectroscopy. The Raman spectra reveal that the Mg-containing glasses violate the Al-avoidance at lower Al2O3 concentration than the Ca-containing glasses. Furthermore, the alkaline earth ions acting as charge-compensators for tetrahedral aluminum are found to have a similar effect on the network structure (Qn speciation and Al/Si mixing), while they affect the network differently when they are in a modifying role. Increasing cation field strength allows for stabilization of networks with a larger distribution of bond angles.", "author" : [ { "dropping-particle" : "", "family" : "Bechgaard", "given" : "Tobias K.", "non-dropping-particle" : "", "parse-names" : false, "suffix" : "" }, { "dropping-particle" : "", "family" : "Scannell", "given" : "Garth", "non-dropping-particle" : "", "parse-names" : false, "suffix" : "" }, { "dropping-particle" : "", "family" : "Huang", "given" : "Liping", "non-dropping-particle" : "", "parse-names" : false, "suffix" : "" }, { "dropping-particle" : "", "family" : "Youngman", "given" : "Randall E.", "non-dropping-particle" : "", "parse-names" : false, "suffix" : "" }, { "dropping-particle" : "", "family" : "Mauro", "given" : "John C.", "non-dropping-particle" : "", "parse-names" : false, "suffix" : "" }, { "dropping-particle" : "", "family" : "Smedskjaer", "given" : "Morten M.", "non-dropping-particle" : "", "parse-names" : false, "suffix" : "" } ], "container-title" : "Journal of Non-Crystalline Solids", "id" : "ITEM-1", "issue" : "May", "issued" : { "date-parts" : [ [ "2017" ] ] }, "page" : "145-151", "publisher" : "Elsevier", "title" : "Structure of MgO/CaO sodium aluminosilicate glasses: Raman spectroscopy study", "type" : "article-journal", "volume" : "470" }, "uris" : [ "http://www.mendeley.com/documents/?uuid=5cf65158-50c8-4307-9884-4b54e25ec7a3" ] } ], "mendeley" : { "formattedCitation" : "(Bechgaard et al., 2017)", "plainTextFormattedCitation" : "(Bechgaard et al., 2017)", "previouslyFormattedCitation" : "(Bechgaard et al., 2017)" }, "properties" : { "noteIndex" : 74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(Bechgaard et al., 2017)</w:t>
      </w:r>
      <w:r w:rsidRPr="000E2377">
        <w:rPr>
          <w:rFonts w:cs="Times New Roman"/>
          <w:b w:val="0"/>
          <w:szCs w:val="24"/>
        </w:rPr>
        <w:fldChar w:fldCharType="end"/>
      </w:r>
      <w:r>
        <w:rPr>
          <w:rFonts w:cs="Times New Roman"/>
          <w:b w:val="0"/>
          <w:szCs w:val="24"/>
        </w:rPr>
        <w:t xml:space="preserve"> and this will affect the </w:t>
      </w:r>
      <w:r>
        <w:rPr>
          <w:rFonts w:cs="Times New Roman"/>
          <w:b w:val="0"/>
          <w:szCs w:val="24"/>
        </w:rPr>
        <w:lastRenderedPageBreak/>
        <w:t>peak areas used to calculate</w:t>
      </w:r>
      <w:r w:rsidRPr="000E2377">
        <w:rPr>
          <w:rFonts w:cs="Times New Roman"/>
          <w:b w:val="0"/>
          <w:szCs w:val="24"/>
        </w:rPr>
        <w:t xml:space="preserve"> the polymerisation degree of glass.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70 </w:t>
      </w:r>
      <w:r w:rsidRPr="000E2377">
        <w:rPr>
          <w:rFonts w:cs="Times New Roman"/>
          <w:b w:val="0"/>
          <w:szCs w:val="24"/>
        </w:rPr>
        <w:t>and</w:t>
      </w:r>
      <w:r w:rsidRPr="000E2377">
        <w:rPr>
          <w:rFonts w:cs="Times New Roman"/>
          <w:b w:val="0"/>
          <w:szCs w:val="24"/>
          <w:vertAlign w:val="subscript"/>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color w:val="000000"/>
          <w:szCs w:val="24"/>
          <w:vertAlign w:val="subscript"/>
          <w:lang w:eastAsia="en-MY"/>
        </w:rPr>
        <w:t xml:space="preserve"> </w:t>
      </w:r>
      <w:r w:rsidRPr="000E2377">
        <w:rPr>
          <w:rFonts w:cs="Times New Roman"/>
          <w:b w:val="0"/>
          <w:szCs w:val="24"/>
        </w:rPr>
        <w:t>glasses</w:t>
      </w:r>
      <w:r w:rsidR="000707B0">
        <w:rPr>
          <w:rFonts w:cs="Times New Roman"/>
          <w:b w:val="0"/>
          <w:szCs w:val="24"/>
        </w:rPr>
        <w:t>,</w:t>
      </w:r>
      <w:r w:rsidRPr="000E2377">
        <w:rPr>
          <w:rFonts w:cs="Times New Roman"/>
          <w:b w:val="0"/>
          <w:szCs w:val="24"/>
        </w:rPr>
        <w:t xml:space="preserve"> the highest intensity peak is at 485 cm</w:t>
      </w:r>
      <w:r w:rsidRPr="000E2377">
        <w:rPr>
          <w:rFonts w:cs="Times New Roman"/>
          <w:b w:val="0"/>
          <w:szCs w:val="24"/>
          <w:vertAlign w:val="superscript"/>
        </w:rPr>
        <w:t xml:space="preserve">-1 </w:t>
      </w:r>
      <w:r w:rsidRPr="000E2377">
        <w:rPr>
          <w:rFonts w:cs="Times New Roman"/>
          <w:b w:val="0"/>
          <w:szCs w:val="24"/>
        </w:rPr>
        <w:t>(Figure 4.</w:t>
      </w:r>
      <w:r>
        <w:rPr>
          <w:rFonts w:cs="Times New Roman"/>
          <w:b w:val="0"/>
          <w:szCs w:val="24"/>
        </w:rPr>
        <w:t>10</w:t>
      </w:r>
      <w:r w:rsidRPr="000E2377">
        <w:rPr>
          <w:rFonts w:cs="Times New Roman"/>
          <w:b w:val="0"/>
          <w:szCs w:val="24"/>
        </w:rPr>
        <w:t xml:space="preserve">b).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eastAsia="Times New Roman" w:cs="Times New Roman"/>
          <w:color w:val="000000"/>
          <w:sz w:val="16"/>
          <w:szCs w:val="16"/>
          <w:lang w:eastAsia="en-MY"/>
        </w:rPr>
        <w:t xml:space="preserve"> </w:t>
      </w:r>
      <w:r w:rsidRPr="000E2377">
        <w:rPr>
          <w:rFonts w:cs="Times New Roman"/>
          <w:b w:val="0"/>
          <w:szCs w:val="24"/>
        </w:rPr>
        <w:t>glasses (Figure 4.</w:t>
      </w:r>
      <w:r>
        <w:rPr>
          <w:rFonts w:cs="Times New Roman"/>
          <w:b w:val="0"/>
          <w:szCs w:val="24"/>
        </w:rPr>
        <w:t>10</w:t>
      </w:r>
      <w:r w:rsidRPr="000E2377">
        <w:rPr>
          <w:rFonts w:cs="Times New Roman"/>
          <w:b w:val="0"/>
          <w:szCs w:val="24"/>
        </w:rPr>
        <w:t xml:space="preserve">a) at lower x, the </w:t>
      </w:r>
      <w:r>
        <w:rPr>
          <w:rFonts w:cs="Times New Roman"/>
          <w:b w:val="0"/>
          <w:szCs w:val="24"/>
        </w:rPr>
        <w:t xml:space="preserve">band associated with </w:t>
      </w:r>
      <w:r w:rsidRPr="000E2377">
        <w:rPr>
          <w:rFonts w:cs="Times New Roman"/>
          <w:b w:val="0"/>
          <w:szCs w:val="24"/>
        </w:rPr>
        <w:t>breathing vibrations of 3-</w:t>
      </w:r>
      <w:r>
        <w:rPr>
          <w:rFonts w:cs="Times New Roman"/>
          <w:b w:val="0"/>
          <w:szCs w:val="24"/>
        </w:rPr>
        <w:t>member silica rings</w:t>
      </w:r>
      <w:r w:rsidRPr="000E2377">
        <w:rPr>
          <w:rFonts w:cs="Times New Roman"/>
          <w:b w:val="0"/>
          <w:szCs w:val="24"/>
        </w:rPr>
        <w:t xml:space="preserve"> (D</w:t>
      </w:r>
      <w:r w:rsidRPr="000E2377">
        <w:rPr>
          <w:rFonts w:cs="Times New Roman"/>
          <w:b w:val="0"/>
          <w:szCs w:val="24"/>
          <w:vertAlign w:val="subscript"/>
        </w:rPr>
        <w:t>2</w:t>
      </w:r>
      <w:r w:rsidRPr="000E2377">
        <w:rPr>
          <w:rFonts w:cs="Times New Roman"/>
          <w:b w:val="0"/>
          <w:szCs w:val="24"/>
        </w:rPr>
        <w:t xml:space="preserve">), also known as </w:t>
      </w:r>
      <w:r>
        <w:rPr>
          <w:rFonts w:cs="Times New Roman"/>
          <w:b w:val="0"/>
          <w:szCs w:val="24"/>
        </w:rPr>
        <w:t xml:space="preserve">a </w:t>
      </w:r>
      <w:r w:rsidRPr="000E2377">
        <w:rPr>
          <w:rFonts w:cs="Times New Roman"/>
          <w:b w:val="0"/>
          <w:szCs w:val="24"/>
        </w:rPr>
        <w:t>defect mode is present as a shoulder (3 ring modes) at around 630 cm</w:t>
      </w:r>
      <w:r w:rsidRPr="000E2377">
        <w:rPr>
          <w:rFonts w:cs="Times New Roman"/>
          <w:b w:val="0"/>
          <w:szCs w:val="24"/>
          <w:vertAlign w:val="superscript"/>
        </w:rPr>
        <w:t>-1</w:t>
      </w:r>
      <w:r w:rsidRPr="000E2377">
        <w:rPr>
          <w:rFonts w:cs="Times New Roman"/>
          <w:b w:val="0"/>
          <w:szCs w:val="24"/>
        </w:rPr>
        <w:t xml:space="preserve"> </w:t>
      </w:r>
      <w:r w:rsidRPr="000E2377">
        <w:rPr>
          <w:rFonts w:cs="Times New Roman"/>
          <w:b w:val="0"/>
          <w:szCs w:val="24"/>
        </w:rPr>
        <w:fldChar w:fldCharType="begin" w:fldLock="1"/>
      </w:r>
      <w:r w:rsidRPr="000E2377">
        <w:rPr>
          <w:rFonts w:cs="Times New Roman"/>
          <w:b w:val="0"/>
          <w:szCs w:val="24"/>
        </w:rPr>
        <w:instrText>ADDIN CSL_CITATION { "citationItems" : [ { "id" : "ITEM-1", "itemData" : { "DOI" : "10.1039/C5RA13043C", "ISBN" : "1842-6573", "ISSN" : "2046-2069", "PMID" : "24173598", "abstract" : "The family of glass is very wide and it is continuously developing. The rapid development of advanced and innovative glasses is under progress. The glasses have variety of applications in the daily use articles as well as advanced technological fields like protection of X-ray, fibre, optical instruments or lab glasswares. Glasses are basically consisted by network formers such as borate, silicate, phosphate, borosilicate, borophosphate and network modifiers like alkali, alkaline earth and transition metals. In present review article, Raman spectroscopic results for structures of borate, silicate, phosphate, borosilicate, borophosphate, aluminosilicate, phosphosilicate, alumino-borosilicate and tellurite glasses are summarized.", "author" : [ { "dropping-particle" : "", "family" : "Yadav", "given" : "Avadhesh Kumar", "non-dropping-particle" : "", "parse-names" : false, "suffix" : "" }, { "dropping-particle" : "", "family" : "Singh", "given" : "Prabhakar", "non-dropping-particle" : "", "parse-names" : false, "suffix" : "" } ], "container-title" : "RSC Adv.", "id" : "ITEM-1", "issued" : { "date-parts" : [ [ "2015" ] ] }, "page" : "67583-67609", "publisher" : "Royal Society of Chemistry", "title" : "A Review on Structure of Glasses by Raman Spectroscopy", "type" : "article-journal", "volume" : "5" }, "uris" : [ "http://www.mendeley.com/documents/?uuid=a55e4a38-92de-452f-a462-d587dd7582cd" ] } ], "mendeley" : { "formattedCitation" : "(Yadav &amp; Singh, 2015)", "plainTextFormattedCitation" : "(Yadav &amp; Singh, 2015)", "previouslyFormattedCitation" : "(Yadav &amp; Singh, 2015)" }, "properties" : { "noteIndex" : 74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(Yadav &amp; Singh, 2015)</w:t>
      </w:r>
      <w:r w:rsidRPr="000E2377">
        <w:rPr>
          <w:rFonts w:cs="Times New Roman"/>
          <w:b w:val="0"/>
          <w:szCs w:val="24"/>
        </w:rPr>
        <w:fldChar w:fldCharType="end"/>
      </w:r>
      <w:r w:rsidRPr="000E2377">
        <w:rPr>
          <w:rFonts w:cs="Times New Roman"/>
          <w:b w:val="0"/>
          <w:szCs w:val="24"/>
        </w:rPr>
        <w:fldChar w:fldCharType="begin" w:fldLock="1"/>
      </w:r>
      <w:r w:rsidRPr="000E2377">
        <w:rPr>
          <w:rFonts w:cs="Times New Roman"/>
          <w:b w:val="0"/>
          <w:szCs w:val="24"/>
        </w:rPr>
        <w:instrText>ADDIN CSL_CITATION { "citationItems" : [ { "id" : "ITEM-1", "itemData" : { "DOI" : "10.1016/j.jnoncrysol.2013.03.015", "ISSN" : "00223093", "abstract" : "While the mixed alkali effect has received significant attention in the glass literature, the mixed alkaline earth effect has not been thoroughly studied. Here, we investigate the latter effect by partial substitution of magnesium for calcium in sodium aluminosilicate glasses. We use Raman and NMR spectroscopies to obtain insights into the structural and topological features of these glasses, and hence into the mixed alkaline earth effect. We demonstrate that the mixed alkaline earth effectmanifests itself as a maximumin the amount of bonded tetrahedral units and as a minimum in liquid fragility index, glass transition temperature, Vickers microhardness, and isokom temperatures (viz., the temperatures at \u03b7 =1013.5 and 1012.2 Pa s). The observedmin- ima in fragility, glass transition temperature, and isokomtemperature are ascribed to bondweakening in the local structural environment around the network modifiers. We suggest that, since the elastic properties of the investi- gated system are compositionally independent, the minimum in Vickers microhardness is closely correlated to the minimum in isokom temperatures. Both of these properties are related to plastic flow and the translational motion of structural units, and hence both may be related to the same underlying topological constraints. This indicates that there might not be any significant difference in the onset of the rigid sub-Tg constraints for the inves- tigated compositions.", "author" : [ { "dropping-particle" : "", "family" : "Kjeldsen", "given" : "Jonas", "non-dropping-particle" : "", "parse-names" : false, "suffix" : "" }, { "dropping-particle" : "", "family" : "Smedskjaer", "given" : "Morten M.", "non-dropping-particle" : "", "parse-names" : false, "suffix" : "" }, { "dropping-particle" : "", "family" : "Mauro", "given" : "John C.", "non-dropping-particle" : "", "parse-names" : false, "suffix" : "" }, { "dropping-particle" : "", "family" : "Youngman", "given" : "Randall E.", "non-dropping-particle" : "", "parse-names" : false, "suffix" : "" }, { "dropping-particle" : "", "family" : "Huang", "given" : "Liping", "non-dropping-particle" : "", "parse-names" : false, "suffix" : "" }, { "dropping-particle" : "", "family" : "Yue", "given" : "Yuanzheng", "non-dropping-particle" : "", "parse-names" : false, "suffix" : "" } ], "container-title" : "Journal of Non-Crystalline Solids", "id" : "ITEM-1", "issued" : { "date-parts" : [ [ "2013", "6" ] ] }, "page" : "61-68", "publisher" : "Elsevier B.V.", "title" : "Mixed alkaline earth effect in sodium aluminosilicate glasses", "type" : "article-journal", "volume" : "369" }, "uris" : [ "http://www.mendeley.com/documents/?uuid=45c1a899-47ec-44ab-ab46-735af4607463" ] } ], "mendeley" : { "formattedCitation" : "(Kjeldsen et al., 2013)", "plainTextFormattedCitation" : "(Kjeldsen et al., 2013)", "previouslyFormattedCitation" : "(Kjeldsen et al., 2013)" }, "properties" : { "noteIndex" : 74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(Kjeldsen et al., 2013)</w:t>
      </w:r>
      <w:r w:rsidRPr="000E2377">
        <w:rPr>
          <w:rFonts w:cs="Times New Roman"/>
          <w:b w:val="0"/>
          <w:szCs w:val="24"/>
        </w:rPr>
        <w:fldChar w:fldCharType="end"/>
      </w:r>
      <w:r w:rsidRPr="000E2377">
        <w:rPr>
          <w:rFonts w:cs="Times New Roman"/>
          <w:b w:val="0"/>
          <w:szCs w:val="24"/>
        </w:rPr>
        <w:t xml:space="preserve"> and this shoulder shifts to lower wavenumbers with increasing x while its intensity decreases.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70 </w:t>
      </w:r>
      <w:r w:rsidRPr="000E2377">
        <w:rPr>
          <w:rFonts w:cs="Times New Roman"/>
          <w:b w:val="0"/>
          <w:szCs w:val="24"/>
        </w:rPr>
        <w:t>and</w:t>
      </w:r>
      <w:r w:rsidRPr="000E2377">
        <w:rPr>
          <w:rFonts w:cs="Times New Roman"/>
          <w:b w:val="0"/>
          <w:szCs w:val="24"/>
          <w:vertAlign w:val="subscript"/>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color w:val="000000"/>
          <w:szCs w:val="24"/>
          <w:vertAlign w:val="subscript"/>
          <w:lang w:eastAsia="en-MY"/>
        </w:rPr>
        <w:t xml:space="preserve"> </w:t>
      </w:r>
      <w:r w:rsidRPr="000E2377">
        <w:rPr>
          <w:rFonts w:cs="Times New Roman"/>
          <w:b w:val="0"/>
          <w:szCs w:val="24"/>
        </w:rPr>
        <w:t>glasses the D</w:t>
      </w:r>
      <w:r w:rsidRPr="000E2377">
        <w:rPr>
          <w:rFonts w:cs="Times New Roman"/>
          <w:b w:val="0"/>
          <w:szCs w:val="24"/>
          <w:vertAlign w:val="subscript"/>
        </w:rPr>
        <w:t>2</w:t>
      </w:r>
      <w:r w:rsidRPr="000E2377">
        <w:rPr>
          <w:rFonts w:cs="Times New Roman"/>
          <w:b w:val="0"/>
          <w:szCs w:val="24"/>
        </w:rPr>
        <w:t xml:space="preserve"> peaks are present at 564 cm</w:t>
      </w:r>
      <w:r w:rsidRPr="000E2377">
        <w:rPr>
          <w:rFonts w:cs="Times New Roman"/>
          <w:b w:val="0"/>
          <w:szCs w:val="24"/>
          <w:vertAlign w:val="superscript"/>
        </w:rPr>
        <w:t>-1</w:t>
      </w:r>
      <w:r w:rsidRPr="000E2377">
        <w:rPr>
          <w:rFonts w:cs="Times New Roman"/>
          <w:b w:val="0"/>
          <w:szCs w:val="24"/>
        </w:rPr>
        <w:t xml:space="preserve"> and 569 cm</w:t>
      </w:r>
      <w:r w:rsidRPr="000E2377">
        <w:rPr>
          <w:rFonts w:cs="Times New Roman"/>
          <w:b w:val="0"/>
          <w:szCs w:val="24"/>
          <w:vertAlign w:val="superscript"/>
        </w:rPr>
        <w:t>-1</w:t>
      </w:r>
      <w:r w:rsidRPr="000E2377">
        <w:rPr>
          <w:rFonts w:cs="Times New Roman"/>
          <w:b w:val="0"/>
          <w:szCs w:val="24"/>
        </w:rPr>
        <w:t xml:space="preserve">. The structural defects </w:t>
      </w:r>
      <w:r>
        <w:rPr>
          <w:rFonts w:cs="Times New Roman"/>
          <w:b w:val="0"/>
          <w:szCs w:val="24"/>
        </w:rPr>
        <w:t>are</w:t>
      </w:r>
      <w:r w:rsidRPr="000E2377">
        <w:rPr>
          <w:rFonts w:cs="Times New Roman"/>
          <w:b w:val="0"/>
          <w:szCs w:val="24"/>
        </w:rPr>
        <w:t xml:space="preserve"> relate</w:t>
      </w:r>
      <w:r>
        <w:rPr>
          <w:rFonts w:cs="Times New Roman"/>
          <w:b w:val="0"/>
          <w:szCs w:val="24"/>
        </w:rPr>
        <w:t>d</w:t>
      </w:r>
      <w:r w:rsidRPr="000E2377">
        <w:rPr>
          <w:rFonts w:cs="Times New Roman"/>
          <w:b w:val="0"/>
          <w:szCs w:val="24"/>
        </w:rPr>
        <w:t xml:space="preserve"> to </w:t>
      </w:r>
      <w:r w:rsidRPr="007D6442">
        <w:rPr>
          <w:rFonts w:cs="Times New Roman"/>
          <w:b w:val="0"/>
          <w:szCs w:val="24"/>
        </w:rPr>
        <w:t>breathing vibrations of 3-fold silicate rings</w:t>
      </w:r>
      <w:r>
        <w:rPr>
          <w:rFonts w:cs="Times New Roman"/>
          <w:b w:val="0"/>
          <w:szCs w:val="24"/>
        </w:rPr>
        <w:t xml:space="preserve"> (</w:t>
      </w:r>
      <w:r w:rsidRPr="007D6442">
        <w:rPr>
          <w:rFonts w:cs="Times New Roman"/>
          <w:b w:val="0"/>
          <w:szCs w:val="24"/>
        </w:rPr>
        <w:t>Furukawa et al</w:t>
      </w:r>
      <w:r>
        <w:rPr>
          <w:rFonts w:cs="Times New Roman"/>
          <w:b w:val="0"/>
          <w:szCs w:val="24"/>
        </w:rPr>
        <w:t>.,</w:t>
      </w:r>
      <w:r w:rsidRPr="007D6442">
        <w:rPr>
          <w:rFonts w:cs="Times New Roman"/>
          <w:b w:val="0"/>
          <w:szCs w:val="24"/>
        </w:rPr>
        <w:t xml:space="preserve"> 1981, McKeown et al</w:t>
      </w:r>
      <w:r>
        <w:rPr>
          <w:rFonts w:cs="Times New Roman"/>
          <w:b w:val="0"/>
          <w:szCs w:val="24"/>
        </w:rPr>
        <w:t>.,</w:t>
      </w:r>
      <w:r w:rsidRPr="007D6442">
        <w:rPr>
          <w:rFonts w:cs="Times New Roman"/>
          <w:b w:val="0"/>
          <w:szCs w:val="24"/>
        </w:rPr>
        <w:t xml:space="preserve"> 2010, Kjeldsen et al</w:t>
      </w:r>
      <w:r>
        <w:rPr>
          <w:rFonts w:cs="Times New Roman"/>
          <w:b w:val="0"/>
          <w:szCs w:val="24"/>
        </w:rPr>
        <w:t>.,</w:t>
      </w:r>
      <w:r w:rsidRPr="007D6442">
        <w:rPr>
          <w:rFonts w:cs="Times New Roman"/>
          <w:b w:val="0"/>
          <w:szCs w:val="24"/>
        </w:rPr>
        <w:t xml:space="preserve"> 2013</w:t>
      </w:r>
      <w:r>
        <w:rPr>
          <w:rFonts w:cs="Times New Roman"/>
          <w:b w:val="0"/>
          <w:szCs w:val="24"/>
        </w:rPr>
        <w:t>).</w:t>
      </w:r>
    </w:p>
    <w:p w14:paraId="7E55C7F8" w14:textId="35641F2C" w:rsidR="00D740DC" w:rsidRPr="000E2377" w:rsidRDefault="00D740DC" w:rsidP="00D740DC">
      <w:pPr>
        <w:spacing w:line="360" w:lineRule="auto"/>
        <w:jc w:val="both"/>
        <w:rPr>
          <w:rFonts w:cs="Times New Roman"/>
          <w:b w:val="0"/>
          <w:szCs w:val="24"/>
        </w:rPr>
      </w:pPr>
      <w:r w:rsidRPr="000E2377">
        <w:rPr>
          <w:rFonts w:cs="Times New Roman"/>
          <w:b w:val="0"/>
          <w:szCs w:val="24"/>
        </w:rPr>
        <w:t>The band at 750-850</w:t>
      </w:r>
      <w:r w:rsidRPr="000E2377">
        <w:rPr>
          <w:rFonts w:cs="Times New Roman"/>
          <w:b w:val="0"/>
          <w:i/>
          <w:szCs w:val="24"/>
        </w:rPr>
        <w:t xml:space="preserve"> </w:t>
      </w:r>
      <w:r w:rsidRPr="000E2377">
        <w:rPr>
          <w:rFonts w:cs="Times New Roman"/>
          <w:b w:val="0"/>
          <w:szCs w:val="24"/>
        </w:rPr>
        <w:t>cm</w:t>
      </w:r>
      <w:r w:rsidRPr="000E2377">
        <w:rPr>
          <w:rFonts w:cs="Times New Roman"/>
          <w:b w:val="0"/>
          <w:szCs w:val="24"/>
          <w:vertAlign w:val="superscript"/>
        </w:rPr>
        <w:t>-1</w:t>
      </w:r>
      <w:r w:rsidRPr="000E2377">
        <w:rPr>
          <w:rFonts w:cs="Times New Roman"/>
          <w:b w:val="0"/>
          <w:szCs w:val="24"/>
        </w:rPr>
        <w:t xml:space="preserve"> is due to Si-O-Si bending </w:t>
      </w:r>
      <w:r w:rsidRPr="000E2377">
        <w:rPr>
          <w:rFonts w:cs="Times New Roman"/>
          <w:b w:val="0"/>
          <w:szCs w:val="24"/>
        </w:rPr>
        <w:fldChar w:fldCharType="begin" w:fldLock="1"/>
      </w:r>
      <w:r w:rsidR="008400FF">
        <w:rPr>
          <w:rFonts w:cs="Times New Roman"/>
          <w:b w:val="0"/>
          <w:szCs w:val="24"/>
        </w:rPr>
        <w:instrText>ADDIN CSL_CITATION { "citationItems" : [ { "id" : "ITEM-1", "itemData" : { "DOI" : "10.1016/j.jnoncrysol.2009.01.010", "ISSN" : "00223093", "author" : [ { "dropping-particle" : "", "family" : "Aguiar", "given" : "H.", "non-dropping-particle" : "", "parse-names" : false, "suffix" : "" }, { "dropping-particle" : "", "family" : "Serra", "given" : "J.", "non-dropping-particle" : "", "parse-names" : false, "suffix" : "" }, { "dropping-particle" : "", "family" : "Gonzalez", "given" : "P.", "non-dropping-particle" : "", "parse-names" : false, "suffix" : "" }, { "dropping-particle" : "", "family" : "Leon", "given" : "B.", "non-dropping-particle" : "", "parse-names" : false, "suffix" : "" } ], "container-title" : "Journal of Non-Crystalline Solids", "id" : "ITEM-1", "issue" : "8", "issued" : { "date-parts" : [ [ "2009", "4" ] ] }, "page" : "475-480", "publisher" : "Elsevier B.V.", "title" : "Structural study of sol\u2013gel silicate glasses by IR and Raman spectroscopies", "type" : "article-journal", "volume" : "355" }, "uris" : [ "http://www.mendeley.com/documents/?uuid=fa1706ce-1229-4c44-8083-af8ec9efbbbd" ] }, { "id" : "ITEM-2", "itemData" : { "DOI" : "10.1016/0038-1098(86)90470-9", "ISSN" : "00381098", "abstract" : "Under the above title Galeener and Wright (GW) have criticized [1] a lengthy review article by me [2]. Their six-page discussion includes some cogent observations but also a number of misinterpretations of my model which I wish to correct here. I also wish to draw the reader's attention to recent refinements of my model not discussed by GW. \u00a9 1986.", "author" : [ { "dropping-particle" : "", "family" : "Galeener", "given" : "F.L.", "non-dropping-particle" : "", "parse-names" : false, "suffix" : "" }, { "dropping-particle" : "", "family" : "A.C Wright", "given" : "", "non-dropping-particle" : "", "parse-names" : false, "suffix" : "" } ], "container-title" : "Solid State Communications", "id" : "ITEM-2", "issue" : "3", "issued" : { "date-parts" : [ [ "1986" ] ] }, "page" : "299-300", "title" : "The J.C. Phillips model for vitreous SiO2: A critical appraisal", "type" : "article-journal", "volume" : "60" }, "uris" : [ "http://www.mendeley.com/documents/?uuid=6af3a102-8fdf-46b9-902e-54a3b9e7a4e2" ] } ], "mendeley" : { "formattedCitation" : "(Aguiar et al., 2009; Galeener &amp; A.C Wright, 1986)", "manualFormatting" : "(Aguiar et al., 2009; Galeener &amp; Wright, 1986)", "plainTextFormattedCitation" : "(Aguiar et al., 2009; Galeener &amp; A.C Wright, 1986)", "previouslyFormattedCitation" : "(Aguiar et al., 2009; Galeener &amp; A.C Wright, 1986)" }, "properties" : { "noteIndex" : 5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(Aguiar et al., 2009; Galeener &amp; Wright, 1986)</w:t>
      </w:r>
      <w:r w:rsidRPr="000E2377">
        <w:rPr>
          <w:rFonts w:cs="Times New Roman"/>
          <w:b w:val="0"/>
          <w:szCs w:val="24"/>
        </w:rPr>
        <w:fldChar w:fldCharType="end"/>
      </w:r>
      <w:r w:rsidRPr="000E2377">
        <w:rPr>
          <w:rFonts w:cs="Times New Roman"/>
          <w:b w:val="0"/>
          <w:szCs w:val="24"/>
        </w:rPr>
        <w:t>. The highest peak for this region remains at 780-790 cm</w:t>
      </w:r>
      <w:r w:rsidRPr="000E2377">
        <w:rPr>
          <w:rFonts w:cs="Times New Roman"/>
          <w:b w:val="0"/>
          <w:szCs w:val="24"/>
          <w:vertAlign w:val="superscript"/>
        </w:rPr>
        <w:t>-1</w:t>
      </w:r>
      <w:r w:rsidRPr="000E2377">
        <w:rPr>
          <w:rFonts w:cs="Times New Roman"/>
          <w:b w:val="0"/>
          <w:szCs w:val="24"/>
        </w:rPr>
        <w:t xml:space="preserve"> for these series of glasses. In this frequency region,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eastAsia="Times New Roman" w:cs="Times New Roman"/>
          <w:color w:val="000000"/>
          <w:sz w:val="16"/>
          <w:szCs w:val="16"/>
          <w:lang w:eastAsia="en-MY"/>
        </w:rPr>
        <w:t xml:space="preserve"> </w:t>
      </w:r>
      <w:r w:rsidRPr="000E2377">
        <w:rPr>
          <w:rFonts w:cs="Times New Roman"/>
          <w:b w:val="0"/>
          <w:szCs w:val="24"/>
        </w:rPr>
        <w:t xml:space="preserve"> 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szCs w:val="24"/>
        </w:rPr>
        <w:t xml:space="preserve"> glasses</w:t>
      </w:r>
      <w:r w:rsidR="000707B0">
        <w:rPr>
          <w:rFonts w:cs="Times New Roman"/>
          <w:b w:val="0"/>
          <w:szCs w:val="24"/>
        </w:rPr>
        <w:t>,</w:t>
      </w:r>
      <w:r w:rsidRPr="000E2377">
        <w:rPr>
          <w:rFonts w:cs="Times New Roman"/>
          <w:b w:val="0"/>
          <w:szCs w:val="24"/>
        </w:rPr>
        <w:t xml:space="preserve"> the peak is narrow</w:t>
      </w:r>
      <w:r>
        <w:rPr>
          <w:rFonts w:cs="Times New Roman"/>
          <w:b w:val="0"/>
          <w:szCs w:val="24"/>
        </w:rPr>
        <w:t>er</w:t>
      </w:r>
      <w:r w:rsidRPr="000E2377">
        <w:rPr>
          <w:rFonts w:cs="Times New Roman"/>
          <w:b w:val="0"/>
          <w:szCs w:val="24"/>
        </w:rPr>
        <w:t xml:space="preserve"> compared to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70 </w:t>
      </w:r>
      <w:r w:rsidRPr="000E2377">
        <w:rPr>
          <w:rFonts w:cs="Times New Roman"/>
          <w:b w:val="0"/>
          <w:szCs w:val="24"/>
        </w:rPr>
        <w:t xml:space="preserve">glasses or other glasses studied.  </w:t>
      </w:r>
    </w:p>
    <w:p w14:paraId="3BE563C3" w14:textId="77777777" w:rsidR="00D740DC" w:rsidRPr="000E2377" w:rsidRDefault="00D740DC" w:rsidP="00D740DC">
      <w:pPr>
        <w:jc w:val="center"/>
      </w:pPr>
      <w:r w:rsidRPr="000E2377">
        <w:rPr>
          <w:noProof/>
          <w:lang w:eastAsia="en-MY"/>
        </w:rPr>
        <mc:AlternateContent>
          <mc:Choice Requires="wps">
            <w:drawing>
              <wp:anchor distT="0" distB="0" distL="114300" distR="114300" simplePos="0" relativeHeight="252337152" behindDoc="0" locked="0" layoutInCell="1" allowOverlap="1" wp14:anchorId="47D8822A" wp14:editId="58064ED6">
                <wp:simplePos x="0" y="0"/>
                <wp:positionH relativeFrom="column">
                  <wp:posOffset>3071660</wp:posOffset>
                </wp:positionH>
                <wp:positionV relativeFrom="paragraph">
                  <wp:posOffset>13418</wp:posOffset>
                </wp:positionV>
                <wp:extent cx="379730" cy="332740"/>
                <wp:effectExtent l="0" t="0" r="0" b="0"/>
                <wp:wrapNone/>
                <wp:docPr id="2126" name="Text Box 2126"/>
                <wp:cNvGraphicFramePr/>
                <a:graphic xmlns:a="http://schemas.openxmlformats.org/drawingml/2006/main">
                  <a:graphicData uri="http://schemas.microsoft.com/office/word/2010/wordprocessingShape">
                    <wps:wsp>
                      <wps:cNvSpPr txBox="1"/>
                      <wps:spPr>
                        <a:xfrm>
                          <a:off x="0" y="0"/>
                          <a:ext cx="379730" cy="332740"/>
                        </a:xfrm>
                        <a:prstGeom prst="rect">
                          <a:avLst/>
                        </a:prstGeom>
                        <a:noFill/>
                        <a:ln w="6350">
                          <a:noFill/>
                        </a:ln>
                      </wps:spPr>
                      <wps:txbx>
                        <w:txbxContent>
                          <w:p w14:paraId="16FD664F" w14:textId="77777777" w:rsidR="00230AB9" w:rsidRDefault="00230AB9" w:rsidP="00D740D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8822A" id="Text Box 2126" o:spid="_x0000_s1248" type="#_x0000_t202" style="position:absolute;left:0;text-align:left;margin-left:241.85pt;margin-top:1.05pt;width:29.9pt;height:26.2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" filled="f" stroked="f" strokeweight=".5pt">
                <v:textbox>
                  <w:txbxContent>
                    <w:p w14:paraId="16FD664F" w14:textId="77777777" w:rsidR="00230AB9" w:rsidRDefault="00230AB9" w:rsidP="00D740DC">
                      <w:r>
                        <w:t>b)</w:t>
                      </w:r>
                    </w:p>
                  </w:txbxContent>
                </v:textbox>
              </v:shape>
            </w:pict>
          </mc:Fallback>
        </mc:AlternateContent>
      </w:r>
      <w:r w:rsidRPr="000E2377">
        <w:rPr>
          <w:noProof/>
          <w:lang w:eastAsia="en-MY"/>
        </w:rPr>
        <mc:AlternateContent>
          <mc:Choice Requires="wps">
            <w:drawing>
              <wp:anchor distT="0" distB="0" distL="114300" distR="114300" simplePos="0" relativeHeight="252338176" behindDoc="0" locked="0" layoutInCell="1" allowOverlap="1" wp14:anchorId="050B4FD2" wp14:editId="1E01EA3B">
                <wp:simplePos x="0" y="0"/>
                <wp:positionH relativeFrom="margin">
                  <wp:align>left</wp:align>
                </wp:positionH>
                <wp:positionV relativeFrom="paragraph">
                  <wp:posOffset>10795</wp:posOffset>
                </wp:positionV>
                <wp:extent cx="379730" cy="332740"/>
                <wp:effectExtent l="0" t="0" r="0" b="0"/>
                <wp:wrapNone/>
                <wp:docPr id="2127" name="Text Box 2127"/>
                <wp:cNvGraphicFramePr/>
                <a:graphic xmlns:a="http://schemas.openxmlformats.org/drawingml/2006/main">
                  <a:graphicData uri="http://schemas.microsoft.com/office/word/2010/wordprocessingShape">
                    <wps:wsp>
                      <wps:cNvSpPr txBox="1"/>
                      <wps:spPr>
                        <a:xfrm>
                          <a:off x="0" y="0"/>
                          <a:ext cx="379730" cy="332740"/>
                        </a:xfrm>
                        <a:prstGeom prst="rect">
                          <a:avLst/>
                        </a:prstGeom>
                        <a:noFill/>
                        <a:ln w="6350">
                          <a:noFill/>
                        </a:ln>
                      </wps:spPr>
                      <wps:txbx>
                        <w:txbxContent>
                          <w:p w14:paraId="536F0000" w14:textId="77777777" w:rsidR="00230AB9" w:rsidRDefault="00230AB9" w:rsidP="00D740D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B4FD2" id="Text Box 2127" o:spid="_x0000_s1249" type="#_x0000_t202" style="position:absolute;left:0;text-align:left;margin-left:0;margin-top:.85pt;width:29.9pt;height:26.2pt;z-index:252338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" filled="f" stroked="f" strokeweight=".5pt">
                <v:textbox>
                  <w:txbxContent>
                    <w:p w14:paraId="536F0000" w14:textId="77777777" w:rsidR="00230AB9" w:rsidRDefault="00230AB9" w:rsidP="00D740DC">
                      <w:r>
                        <w:t>a)</w:t>
                      </w:r>
                    </w:p>
                  </w:txbxContent>
                </v:textbox>
                <w10:wrap anchorx="margin"/>
              </v:shape>
            </w:pict>
          </mc:Fallback>
        </mc:AlternateContent>
      </w:r>
      <w:r w:rsidRPr="000E2377">
        <w:rPr>
          <w:noProof/>
          <w:lang w:eastAsia="en-MY"/>
        </w:rPr>
        <w:drawing>
          <wp:inline distT="0" distB="0" distL="0" distR="0" wp14:anchorId="4A83A316" wp14:editId="37147209">
            <wp:extent cx="2738487" cy="2340000"/>
            <wp:effectExtent l="0" t="0" r="508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38487" cy="2340000"/>
                    </a:xfrm>
                    <a:prstGeom prst="rect">
                      <a:avLst/>
                    </a:prstGeom>
                    <a:noFill/>
                    <a:ln>
                      <a:noFill/>
                    </a:ln>
                  </pic:spPr>
                </pic:pic>
              </a:graphicData>
            </a:graphic>
          </wp:inline>
        </w:drawing>
      </w:r>
      <w:r w:rsidRPr="000E2377">
        <w:rPr>
          <w:noProof/>
          <w:lang w:eastAsia="en-MY"/>
        </w:rPr>
        <w:drawing>
          <wp:inline distT="0" distB="0" distL="0" distR="0" wp14:anchorId="2667A474" wp14:editId="711CC02B">
            <wp:extent cx="2782491" cy="2340000"/>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82491" cy="2340000"/>
                    </a:xfrm>
                    <a:prstGeom prst="rect">
                      <a:avLst/>
                    </a:prstGeom>
                    <a:noFill/>
                    <a:ln>
                      <a:noFill/>
                    </a:ln>
                  </pic:spPr>
                </pic:pic>
              </a:graphicData>
            </a:graphic>
          </wp:inline>
        </w:drawing>
      </w:r>
    </w:p>
    <w:p w14:paraId="6A31149E" w14:textId="3BE1EFF0" w:rsidR="00D740DC" w:rsidRDefault="0080406D" w:rsidP="00D740DC">
      <w:pPr>
        <w:pStyle w:val="Caption"/>
        <w:rPr>
          <w:szCs w:val="24"/>
        </w:rPr>
      </w:pPr>
      <w:bookmarkStart w:id="711" w:name="_Toc521420475"/>
      <w:bookmarkStart w:id="712" w:name="_Toc525223209"/>
      <w:bookmarkStart w:id="713" w:name="_Toc525528356"/>
      <w:bookmarkStart w:id="714" w:name="_Toc525706371"/>
      <w:bookmarkStart w:id="715" w:name="_Hlk515396355"/>
      <w:r>
        <w:t>Figure 4.11</w:t>
      </w:r>
      <w:r w:rsidR="00D740DC" w:rsidRPr="000E2377">
        <w:t xml:space="preserve">: Normalised </w:t>
      </w:r>
      <w:r w:rsidR="00D740DC" w:rsidRPr="000E2377">
        <w:rPr>
          <w:bCs w:val="0"/>
          <w:szCs w:val="24"/>
        </w:rPr>
        <w:t>Raman spectra of the glass series in 850-1250 cm</w:t>
      </w:r>
      <w:r w:rsidR="00D740DC" w:rsidRPr="000E2377">
        <w:rPr>
          <w:bCs w:val="0"/>
          <w:szCs w:val="24"/>
          <w:vertAlign w:val="superscript"/>
        </w:rPr>
        <w:t>-1</w:t>
      </w:r>
      <w:r w:rsidR="00D740DC" w:rsidRPr="000E2377">
        <w:rPr>
          <w:bCs w:val="0"/>
          <w:szCs w:val="24"/>
        </w:rPr>
        <w:t xml:space="preserve"> region </w:t>
      </w:r>
      <w:r w:rsidR="00D740DC" w:rsidRPr="000E2377">
        <w:rPr>
          <w:szCs w:val="24"/>
        </w:rPr>
        <w:t xml:space="preserve">a)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7.6</w:t>
      </w:r>
      <w:r w:rsidR="00D740DC" w:rsidRPr="000E2377">
        <w:rPr>
          <w:rFonts w:eastAsia="Times New Roman"/>
          <w:color w:val="000000"/>
          <w:szCs w:val="24"/>
          <w:lang w:eastAsia="en-MY"/>
        </w:rPr>
        <w:t>M</w:t>
      </w:r>
      <w:r w:rsidR="00D740DC" w:rsidRPr="000E2377">
        <w:rPr>
          <w:rFonts w:eastAsia="Times New Roman"/>
          <w:color w:val="000000"/>
          <w:szCs w:val="24"/>
          <w:vertAlign w:val="subscript"/>
          <w:lang w:eastAsia="en-MY"/>
        </w:rPr>
        <w:t>1.1</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3</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7.6</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80.7-x</w:t>
      </w:r>
      <w:r w:rsidR="00D740DC" w:rsidRPr="000E2377">
        <w:rPr>
          <w:rFonts w:eastAsia="Times New Roman"/>
          <w:color w:val="000000"/>
          <w:szCs w:val="24"/>
          <w:lang w:eastAsia="en-MY"/>
        </w:rPr>
        <w:t xml:space="preserve"> </w:t>
      </w:r>
      <w:r w:rsidR="00D740DC" w:rsidRPr="000E2377">
        <w:rPr>
          <w:szCs w:val="24"/>
        </w:rPr>
        <w:t xml:space="preserve"> b)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15</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5</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10-x</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70</w:t>
      </w:r>
      <w:r w:rsidR="00D740DC" w:rsidRPr="000E2377">
        <w:rPr>
          <w:szCs w:val="24"/>
        </w:rPr>
        <w:t xml:space="preserve">,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15</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5</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20-x</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60</w:t>
      </w:r>
      <w:r w:rsidR="00D740DC" w:rsidRPr="000E2377">
        <w:rPr>
          <w:rFonts w:eastAsia="Times New Roman"/>
          <w:color w:val="000000"/>
          <w:sz w:val="16"/>
          <w:szCs w:val="16"/>
          <w:vertAlign w:val="subscript"/>
          <w:lang w:eastAsia="en-MY"/>
        </w:rPr>
        <w:t xml:space="preserve"> </w:t>
      </w:r>
      <w:r w:rsidR="00D740DC" w:rsidRPr="000E2377">
        <w:rPr>
          <w:szCs w:val="24"/>
        </w:rPr>
        <w:t xml:space="preserve">glasses; peaks normalised to the peak area between </w:t>
      </w:r>
      <w:r w:rsidR="00D740DC" w:rsidRPr="000E2377">
        <w:rPr>
          <w:bCs w:val="0"/>
          <w:szCs w:val="24"/>
        </w:rPr>
        <w:t>850-1250 cm</w:t>
      </w:r>
      <w:r w:rsidR="00D740DC" w:rsidRPr="000E2377">
        <w:rPr>
          <w:bCs w:val="0"/>
          <w:szCs w:val="24"/>
          <w:vertAlign w:val="superscript"/>
        </w:rPr>
        <w:t>-1</w:t>
      </w:r>
      <w:r w:rsidR="00D740DC" w:rsidRPr="000E2377">
        <w:rPr>
          <w:bCs w:val="0"/>
          <w:szCs w:val="24"/>
        </w:rPr>
        <w:t>.</w:t>
      </w:r>
      <w:bookmarkEnd w:id="711"/>
      <w:bookmarkEnd w:id="712"/>
      <w:bookmarkEnd w:id="713"/>
      <w:bookmarkEnd w:id="714"/>
      <w:r w:rsidR="00D740DC" w:rsidRPr="000E2377">
        <w:rPr>
          <w:bCs w:val="0"/>
          <w:szCs w:val="24"/>
        </w:rPr>
        <w:t xml:space="preserve"> </w:t>
      </w:r>
      <w:r w:rsidR="00D740DC" w:rsidRPr="000E2377">
        <w:rPr>
          <w:szCs w:val="24"/>
        </w:rPr>
        <w:t xml:space="preserve"> </w:t>
      </w:r>
    </w:p>
    <w:p w14:paraId="77F0D700" w14:textId="77777777" w:rsidR="00D740DC" w:rsidRPr="0095540D" w:rsidRDefault="00D740DC" w:rsidP="00D740DC">
      <w:pPr>
        <w:rPr>
          <w:lang w:val="en-GB"/>
        </w:rPr>
      </w:pPr>
    </w:p>
    <w:bookmarkEnd w:id="715"/>
    <w:p w14:paraId="6D750087" w14:textId="3B4C2714" w:rsidR="00D740DC" w:rsidRPr="000E2377" w:rsidRDefault="00D740DC" w:rsidP="00D740DC">
      <w:pPr>
        <w:spacing w:after="0" w:line="360" w:lineRule="auto"/>
        <w:jc w:val="both"/>
        <w:rPr>
          <w:rFonts w:asciiTheme="majorBidi" w:hAnsiTheme="majorBidi" w:cstheme="majorBidi"/>
          <w:b w:val="0"/>
          <w:szCs w:val="24"/>
        </w:rPr>
      </w:pPr>
      <w:r w:rsidRPr="000E2377">
        <w:rPr>
          <w:rFonts w:cs="Times New Roman"/>
          <w:b w:val="0"/>
          <w:szCs w:val="24"/>
        </w:rPr>
        <w:t>The high frequency band (830-1280 cm</w:t>
      </w:r>
      <w:r w:rsidRPr="000E2377">
        <w:rPr>
          <w:rFonts w:cs="Times New Roman"/>
          <w:b w:val="0"/>
          <w:szCs w:val="24"/>
          <w:vertAlign w:val="superscript"/>
        </w:rPr>
        <w:t>-1</w:t>
      </w:r>
      <w:r w:rsidRPr="000E2377">
        <w:rPr>
          <w:rFonts w:cs="Times New Roman"/>
          <w:b w:val="0"/>
          <w:szCs w:val="24"/>
        </w:rPr>
        <w:t xml:space="preserve">) is generally associated with stretching </w:t>
      </w:r>
      <w:r>
        <w:rPr>
          <w:rFonts w:cs="Times New Roman"/>
          <w:b w:val="0"/>
          <w:szCs w:val="24"/>
        </w:rPr>
        <w:t xml:space="preserve">modes of tetrahedral units </w:t>
      </w:r>
      <w:r w:rsidRPr="000E2377">
        <w:rPr>
          <w:rFonts w:cs="Times New Roman"/>
          <w:b w:val="0"/>
          <w:szCs w:val="24"/>
        </w:rPr>
        <w:t xml:space="preserve">and </w:t>
      </w:r>
      <w:r>
        <w:rPr>
          <w:rFonts w:cs="Times New Roman"/>
          <w:b w:val="0"/>
          <w:szCs w:val="24"/>
        </w:rPr>
        <w:t xml:space="preserve">thus although </w:t>
      </w:r>
      <w:r w:rsidRPr="000E2377">
        <w:rPr>
          <w:rFonts w:cs="Times New Roman"/>
          <w:b w:val="0"/>
          <w:szCs w:val="24"/>
        </w:rPr>
        <w:t xml:space="preserve">variations in these peaks </w:t>
      </w:r>
      <w:r>
        <w:rPr>
          <w:rFonts w:cs="Times New Roman"/>
          <w:b w:val="0"/>
          <w:szCs w:val="24"/>
        </w:rPr>
        <w:t>can in principle be assigned to</w:t>
      </w:r>
      <w:r w:rsidRPr="000E2377">
        <w:rPr>
          <w:rFonts w:cs="Times New Roman"/>
          <w:b w:val="0"/>
          <w:szCs w:val="24"/>
        </w:rPr>
        <w:t xml:space="preserve"> </w:t>
      </w:r>
      <w:proofErr w:type="spellStart"/>
      <w:r w:rsidRPr="000E2377">
        <w:rPr>
          <w:rFonts w:cs="Times New Roman"/>
          <w:b w:val="0"/>
          <w:szCs w:val="24"/>
        </w:rPr>
        <w:t>Q</w:t>
      </w:r>
      <w:r w:rsidRPr="000E2377">
        <w:rPr>
          <w:rFonts w:cs="Times New Roman"/>
          <w:b w:val="0"/>
          <w:szCs w:val="24"/>
          <w:vertAlign w:val="superscript"/>
        </w:rPr>
        <w:t>n</w:t>
      </w:r>
      <w:proofErr w:type="spellEnd"/>
      <w:r w:rsidRPr="000E2377">
        <w:rPr>
          <w:rFonts w:cs="Times New Roman"/>
          <w:b w:val="0"/>
          <w:szCs w:val="24"/>
        </w:rPr>
        <w:t xml:space="preserve"> units </w:t>
      </w:r>
      <w:r w:rsidRPr="000E2377">
        <w:rPr>
          <w:rFonts w:cs="Times New Roman"/>
          <w:b w:val="0"/>
          <w:szCs w:val="24"/>
        </w:rPr>
        <w:fldChar w:fldCharType="begin" w:fldLock="1"/>
      </w:r>
      <w:r w:rsidRPr="000E2377">
        <w:rPr>
          <w:rFonts w:cs="Times New Roman"/>
          <w:b w:val="0"/>
          <w:szCs w:val="24"/>
        </w:rPr>
        <w:instrText>ADDIN CSL_CITATION { "citationItems" : [ { "id" : "ITEM-1", "itemData" : { "DOI" : "10.1016/0016-7037(94)90156-2", "ISBN" : "0016-7037", "ISSN" : "00167037", "abstract" : "We have measured in situ Raman spectra of SiO2 glass between room temperature through the glass transformation range to the supercooled liquid at 1950 K, using a new wire loop heating technique. These results provide valuable insights into the structural and dynamic behaviour of this prototype silicate system at magmatic temperatures. The principal low frequency Raman band in the glass shows an anomalous increase in frequency with increasing temperature, indicating that the average SiOSi angle narrows as temperature is increased, due to anharmonic vibrational effects. Configurational changes at temperatures above Tg result in further increases in the band frequency. These effects are responsible for the anomalous volume behaviour of SiO2 glass and supercooled liquid with increasing temperature, including the low thermal expansivity over most of the temperature range, and the occurrence of density maxima at low and high temperatures. From experiments on glasses with different fictive temperatures, there is an increase in the intensity of the 606 cm-1 band, due to an increase in the proportion of three-membered ring \"defect\" species in the glass above Tg. This indicates that structural relaxation in the liquid state is accompanied by Si - O - Si bond breaking and reforming reactions, consistent with the measured magnitude of the activation energy for viscous flow. This observation is combined with recent results on the mechanism of structural relaxation in silicate liquids to propose an energetic model for viscous relaxation in SiO2, involving O2- transfer via formation of a vSi intermediate. This model is then generalized to ternary aluminosilicate systems, to provide a rationalization for the observed viscosity maximum at constant silica content, in high silica rock-forming melt compositions. \u00a9 1994.", "author" : [ { "dropping-particle" : "", "family" : "McMillan", "given" : "P. F.", "non-dropping-particle" : "", "parse-names" : false, "suffix" : "" }, { "dropping-particle" : "", "family" : "Poe", "given" : "B. T.", "non-dropping-particle" : "", "parse-names" : false, "suffix" : "" }, { "dropping-particle" : "", "family" : "Gillet", "given" : "P. H.", "non-dropping-particle" : "", "parse-names" : false, "suffix" : "" }, { "dropping-particle" : "", "family" : "Reynard", "given" : "B.", "non-dropping-particle" : "", "parse-names" : false, "suffix" : "" } ], "container-title" : "Geochimica et Cosmochimica Acta", "id" : "ITEM-1", "issue" : "17", "issued" : { "date-parts" : [ [ "1994" ] ] }, "page" : "3653-3664", "title" : "A study of SiO2 glass and supercooled liquid to 1950 K via high-temperature Raman spectroscopy", "type" : "article-journal", "volume" : "58" }, "uris" : [ "http://www.mendeley.com/documents/?uuid=28273400-8808-4671-a6fa-2018439194a3" ] } ], "mendeley" : { "formattedCitation" : "(McMillan, Poe, Gillet, &amp; Reynard, 1994)", "manualFormatting" : "(McMillan et al.,1994)", "plainTextFormattedCitation" : "(McMillan, Poe, Gillet, &amp; Reynard, 1994)", "previouslyFormattedCitation" : "(McMillan, Poe, Gillet, &amp; Reynard, 1994)" }, "properties" : { "noteIndex" : 7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(McMillan et al.,1994)</w:t>
      </w:r>
      <w:r w:rsidRPr="000E2377">
        <w:rPr>
          <w:rFonts w:cs="Times New Roman"/>
          <w:b w:val="0"/>
          <w:szCs w:val="24"/>
        </w:rPr>
        <w:fldChar w:fldCharType="end"/>
      </w:r>
      <w:r>
        <w:rPr>
          <w:rFonts w:cs="Times New Roman"/>
          <w:b w:val="0"/>
          <w:szCs w:val="24"/>
        </w:rPr>
        <w:t xml:space="preserve"> </w:t>
      </w:r>
      <w:r w:rsidRPr="000E2377">
        <w:rPr>
          <w:rFonts w:cs="Times New Roman"/>
          <w:b w:val="0"/>
          <w:szCs w:val="24"/>
        </w:rPr>
        <w:fldChar w:fldCharType="begin" w:fldLock="1"/>
      </w:r>
      <w:r>
        <w:rPr>
          <w:rFonts w:cs="Times New Roman"/>
          <w:b w:val="0"/>
          <w:szCs w:val="24"/>
        </w:rPr>
        <w:instrText>ADDIN CSL_CITATION { "citationItems" : [ { "id" : "ITEM-1", "itemData" : { "DOI" : "10.2138/am-2003-11-1206", "ISSN" : "0003-004X", "author" : [ { "dropping-particle" : "", "family" : "Mysen", "given" : "B Jorn O M", "non-dropping-particle" : "", "parse-names" : false, "suffix" : "" }, { "dropping-particle" : "", "family" : "Lucier", "given" : "a M I E", "non-dropping-particle" : "", "parse-names" : false, "suffix" : "" }, { "dropping-particle" : "", "family" : "Cody", "given" : "G Eorge D", "non-dropping-particle" : "", "parse-names" : false, "suffix" : "" } ], "container-title" : "American Mineralogist", "id" : "ITEM-1", "issued" : { "date-parts" : [ [ "2003" ] ] }, "page" : "1668-1678", "title" : "The structural behavior of Al 3 + in peralkaline melts and glasses in the system Na 2 O-Al 2 O 3 -SiO 2 Si NMR spectroscopy", "type" : "article-journal", "volume" : "88" }, "uris" : [ "http://www.mendeley.com/documents/?uuid=31a55ae5-54f1-4bcd-8979-be94588ee41e" ] } ], "mendeley" : { "formattedCitation" : "(B. J. O. M. Mysen, Lucier, &amp; Cody, 2003)", "manualFormatting" : "(Mysen et al., 2003)", "plainTextFormattedCitation" : "(B. J. O. M. Mysen, Lucier, &amp; Cody, 2003)", "previouslyFormattedCitation" : "(B. J. O. M. Mysen, Lucier, &amp; Cody, 2003)" }, "properties" : { "noteIndex" : 7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(Mysen et al., 2003)</w:t>
      </w:r>
      <w:r w:rsidRPr="000E2377">
        <w:rPr>
          <w:rFonts w:cs="Times New Roman"/>
          <w:b w:val="0"/>
          <w:szCs w:val="24"/>
        </w:rPr>
        <w:fldChar w:fldCharType="end"/>
      </w:r>
      <w:r>
        <w:rPr>
          <w:rFonts w:cs="Times New Roman"/>
          <w:b w:val="0"/>
          <w:szCs w:val="24"/>
        </w:rPr>
        <w:t xml:space="preserve"> for these glasses where there are multiple tetrahedral species this is far from straightforward</w:t>
      </w:r>
      <w:r w:rsidRPr="000E2377">
        <w:rPr>
          <w:rFonts w:cs="Times New Roman"/>
          <w:b w:val="0"/>
          <w:szCs w:val="24"/>
        </w:rPr>
        <w:t xml:space="preserve">. 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eastAsia="Times New Roman" w:cs="Times New Roman"/>
          <w:color w:val="000000"/>
          <w:sz w:val="16"/>
          <w:szCs w:val="16"/>
          <w:lang w:eastAsia="en-MY"/>
        </w:rPr>
        <w:t xml:space="preserve"> </w:t>
      </w:r>
      <w:r w:rsidRPr="000E2377">
        <w:rPr>
          <w:rFonts w:cs="Times New Roman"/>
          <w:b w:val="0"/>
          <w:szCs w:val="24"/>
        </w:rPr>
        <w:t xml:space="preserve"> series glasses with lower alumina contents</w:t>
      </w:r>
      <w:r w:rsidR="000707B0">
        <w:rPr>
          <w:rFonts w:cs="Times New Roman"/>
          <w:b w:val="0"/>
          <w:szCs w:val="24"/>
        </w:rPr>
        <w:t>,</w:t>
      </w:r>
      <w:r w:rsidRPr="000E2377">
        <w:rPr>
          <w:rFonts w:cs="Times New Roman"/>
          <w:b w:val="0"/>
          <w:szCs w:val="24"/>
        </w:rPr>
        <w:t xml:space="preserve"> the peak is narrow and it becomes broader with increasing alumina content indicative of a wider range of Q species being present.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vertAlign w:val="subscript"/>
          <w:lang w:eastAsia="en-MY"/>
        </w:rPr>
        <w:lastRenderedPageBreak/>
        <w:t>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70 </w:t>
      </w:r>
      <w:r w:rsidRPr="000E2377">
        <w:rPr>
          <w:rFonts w:cs="Times New Roman"/>
          <w:b w:val="0"/>
          <w:szCs w:val="24"/>
        </w:rPr>
        <w:t xml:space="preserve">glasses, this peak changes in intensity with alumina content, although the peak maximum remains at the same wavenumber as seen in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eastAsia="Times New Roman" w:cs="Times New Roman"/>
          <w:color w:val="000000"/>
          <w:sz w:val="16"/>
          <w:szCs w:val="16"/>
          <w:lang w:eastAsia="en-MY"/>
        </w:rPr>
        <w:t xml:space="preserve"> </w:t>
      </w:r>
      <w:r w:rsidRPr="000E2377">
        <w:rPr>
          <w:rFonts w:cs="Times New Roman"/>
          <w:b w:val="0"/>
          <w:szCs w:val="24"/>
        </w:rPr>
        <w:t xml:space="preserve"> glasses. </w:t>
      </w:r>
      <w:r w:rsidRPr="000E2377">
        <w:rPr>
          <w:rFonts w:asciiTheme="majorBidi" w:hAnsiTheme="majorBidi" w:cstheme="majorBidi"/>
          <w:b w:val="0"/>
          <w:szCs w:val="24"/>
        </w:rPr>
        <w:t xml:space="preserve">For this </w:t>
      </w:r>
      <w:r w:rsidRPr="000E2377">
        <w:rPr>
          <w:rFonts w:cs="Times New Roman"/>
          <w:b w:val="0"/>
          <w:szCs w:val="24"/>
        </w:rPr>
        <w:t>high frequency region,</w:t>
      </w:r>
      <w:r w:rsidRPr="000E2377">
        <w:rPr>
          <w:rFonts w:asciiTheme="majorBidi" w:hAnsiTheme="majorBidi" w:cstheme="majorBidi"/>
          <w:b w:val="0"/>
          <w:szCs w:val="24"/>
        </w:rPr>
        <w:t xml:space="preserve"> plots of the peaks normalised to the peak area between </w:t>
      </w:r>
      <w:r w:rsidRPr="000E2377">
        <w:rPr>
          <w:rFonts w:cs="Times New Roman"/>
          <w:b w:val="0"/>
          <w:szCs w:val="24"/>
        </w:rPr>
        <w:t>830-1280 cm</w:t>
      </w:r>
      <w:r w:rsidRPr="000E2377">
        <w:rPr>
          <w:rFonts w:cs="Times New Roman"/>
          <w:b w:val="0"/>
          <w:szCs w:val="24"/>
          <w:vertAlign w:val="superscript"/>
        </w:rPr>
        <w:t xml:space="preserve">-1 </w:t>
      </w:r>
      <w:r w:rsidRPr="000E2377">
        <w:rPr>
          <w:rFonts w:asciiTheme="majorBidi" w:hAnsiTheme="majorBidi" w:cstheme="majorBidi"/>
          <w:b w:val="0"/>
          <w:szCs w:val="24"/>
        </w:rPr>
        <w:t>are shown in Figure 4.</w:t>
      </w:r>
      <w:r>
        <w:rPr>
          <w:rFonts w:asciiTheme="majorBidi" w:hAnsiTheme="majorBidi" w:cstheme="majorBidi"/>
          <w:b w:val="0"/>
          <w:szCs w:val="24"/>
        </w:rPr>
        <w:t>11</w:t>
      </w:r>
      <w:r w:rsidRPr="000E2377">
        <w:rPr>
          <w:rFonts w:asciiTheme="majorBidi" w:hAnsiTheme="majorBidi" w:cstheme="majorBidi"/>
          <w:b w:val="0"/>
          <w:szCs w:val="24"/>
        </w:rPr>
        <w:t xml:space="preserve">. </w:t>
      </w:r>
      <w:r w:rsidRPr="000E2377">
        <w:rPr>
          <w:rFonts w:cs="Times New Roman"/>
          <w:b w:val="0"/>
          <w:szCs w:val="24"/>
        </w:rPr>
        <w:t>I</w:t>
      </w:r>
      <w:r w:rsidRPr="000E2377">
        <w:rPr>
          <w:rFonts w:asciiTheme="majorBidi" w:hAnsiTheme="majorBidi" w:cstheme="majorBidi"/>
          <w:b w:val="0"/>
          <w:szCs w:val="24"/>
        </w:rPr>
        <w:t xml:space="preserve">t can be seen that the Raman peak in this region changes shape significantly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cs="Times New Roman"/>
          <w:b w:val="0"/>
          <w:szCs w:val="24"/>
        </w:rPr>
        <w:t xml:space="preserve"> 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70 </w:t>
      </w:r>
      <w:r w:rsidRPr="000E2377">
        <w:rPr>
          <w:rFonts w:asciiTheme="majorBidi" w:hAnsiTheme="majorBidi" w:cstheme="majorBidi"/>
          <w:b w:val="0"/>
          <w:szCs w:val="24"/>
        </w:rPr>
        <w:t xml:space="preserve">indicative of notable changes in the detailed structure of the glass including connectivity with composition.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eastAsia="Times New Roman" w:cs="Times New Roman"/>
          <w:color w:val="000000"/>
          <w:sz w:val="16"/>
          <w:szCs w:val="16"/>
          <w:lang w:eastAsia="en-MY"/>
        </w:rPr>
        <w:t xml:space="preserve"> </w:t>
      </w:r>
      <w:r w:rsidRPr="000E2377">
        <w:rPr>
          <w:rFonts w:cs="Times New Roman"/>
          <w:b w:val="0"/>
          <w:szCs w:val="24"/>
        </w:rPr>
        <w:t xml:space="preserve"> </w:t>
      </w:r>
      <w:r w:rsidRPr="000E2377">
        <w:rPr>
          <w:rFonts w:asciiTheme="majorBidi" w:hAnsiTheme="majorBidi" w:cstheme="majorBidi"/>
          <w:b w:val="0"/>
          <w:szCs w:val="24"/>
        </w:rPr>
        <w:t>glasses, the change of peak shape</w:t>
      </w:r>
      <w:r>
        <w:rPr>
          <w:rFonts w:asciiTheme="majorBidi" w:hAnsiTheme="majorBidi" w:cstheme="majorBidi"/>
          <w:b w:val="0"/>
          <w:szCs w:val="24"/>
        </w:rPr>
        <w:t xml:space="preserve"> with </w:t>
      </w:r>
      <w:r w:rsidR="000707B0">
        <w:rPr>
          <w:rFonts w:asciiTheme="majorBidi" w:hAnsiTheme="majorBidi" w:cstheme="majorBidi"/>
          <w:b w:val="0"/>
          <w:szCs w:val="24"/>
        </w:rPr>
        <w:t xml:space="preserve">an </w:t>
      </w:r>
      <w:r>
        <w:rPr>
          <w:rFonts w:asciiTheme="majorBidi" w:hAnsiTheme="majorBidi" w:cstheme="majorBidi"/>
          <w:b w:val="0"/>
          <w:szCs w:val="24"/>
        </w:rPr>
        <w:t>increasing amount of alumina</w:t>
      </w:r>
      <w:r w:rsidRPr="000E2377">
        <w:rPr>
          <w:rFonts w:asciiTheme="majorBidi" w:hAnsiTheme="majorBidi" w:cstheme="majorBidi"/>
          <w:b w:val="0"/>
          <w:szCs w:val="24"/>
        </w:rPr>
        <w:t xml:space="preserve"> is indicative of increased network connectivity</w:t>
      </w:r>
      <w:r w:rsidRPr="000E2377">
        <w:rPr>
          <w:rFonts w:cs="Times New Roman"/>
          <w:b w:val="0"/>
          <w:szCs w:val="24"/>
        </w:rPr>
        <w:t>. For lower Al contents the peak is narrower with its highest value around 1076 cm</w:t>
      </w:r>
      <w:r w:rsidRPr="000E2377">
        <w:rPr>
          <w:rFonts w:cs="Times New Roman"/>
          <w:b w:val="0"/>
          <w:szCs w:val="24"/>
          <w:vertAlign w:val="superscript"/>
        </w:rPr>
        <w:t>-1</w:t>
      </w:r>
      <w:r w:rsidRPr="000E2377">
        <w:rPr>
          <w:rFonts w:cs="Times New Roman"/>
          <w:b w:val="0"/>
          <w:szCs w:val="24"/>
        </w:rPr>
        <w:t xml:space="preserve">. The peak becomes notably broader with increased additions of alumina although no shift of position occurs. </w:t>
      </w:r>
      <w:r w:rsidRPr="000E2377">
        <w:rPr>
          <w:rFonts w:asciiTheme="majorBidi" w:hAnsiTheme="majorBidi" w:cstheme="majorBidi"/>
          <w:b w:val="0"/>
          <w:szCs w:val="24"/>
        </w:rPr>
        <w:t xml:space="preserve"> </w:t>
      </w:r>
    </w:p>
    <w:p w14:paraId="3CA219AE" w14:textId="77777777" w:rsidR="00D740DC" w:rsidRDefault="00D740DC" w:rsidP="00D740DC">
      <w:pPr>
        <w:spacing w:after="0" w:line="360" w:lineRule="auto"/>
        <w:jc w:val="both"/>
        <w:rPr>
          <w:rFonts w:asciiTheme="majorBidi" w:hAnsiTheme="majorBidi" w:cstheme="majorBidi"/>
          <w:b w:val="0"/>
          <w:szCs w:val="24"/>
        </w:rPr>
      </w:pPr>
    </w:p>
    <w:p w14:paraId="31BFEB93" w14:textId="77777777" w:rsidR="00D740DC" w:rsidRPr="000E2377" w:rsidRDefault="00D740DC" w:rsidP="00D740DC">
      <w:pPr>
        <w:spacing w:after="0" w:line="360" w:lineRule="auto"/>
        <w:jc w:val="both"/>
        <w:rPr>
          <w:rFonts w:asciiTheme="majorBidi" w:hAnsiTheme="majorBidi" w:cstheme="majorBidi"/>
          <w:b w:val="0"/>
          <w:szCs w:val="24"/>
        </w:rPr>
      </w:pPr>
      <w:r w:rsidRPr="000E2377">
        <w:rPr>
          <w:b w:val="0"/>
          <w:noProof/>
          <w:lang w:eastAsia="en-MY"/>
        </w:rPr>
        <mc:AlternateContent>
          <mc:Choice Requires="wps">
            <w:drawing>
              <wp:anchor distT="0" distB="0" distL="114300" distR="114300" simplePos="0" relativeHeight="252320768" behindDoc="0" locked="0" layoutInCell="1" allowOverlap="1" wp14:anchorId="77051D24" wp14:editId="1A3BE118">
                <wp:simplePos x="0" y="0"/>
                <wp:positionH relativeFrom="column">
                  <wp:posOffset>2980706</wp:posOffset>
                </wp:positionH>
                <wp:positionV relativeFrom="paragraph">
                  <wp:posOffset>97082</wp:posOffset>
                </wp:positionV>
                <wp:extent cx="2576946" cy="343980"/>
                <wp:effectExtent l="0" t="0" r="0" b="0"/>
                <wp:wrapNone/>
                <wp:docPr id="1998" name="Text Box 1998"/>
                <wp:cNvGraphicFramePr/>
                <a:graphic xmlns:a="http://schemas.openxmlformats.org/drawingml/2006/main">
                  <a:graphicData uri="http://schemas.microsoft.com/office/word/2010/wordprocessingShape">
                    <wps:wsp>
                      <wps:cNvSpPr txBox="1"/>
                      <wps:spPr>
                        <a:xfrm>
                          <a:off x="0" y="0"/>
                          <a:ext cx="2576946" cy="343980"/>
                        </a:xfrm>
                        <a:prstGeom prst="rect">
                          <a:avLst/>
                        </a:prstGeom>
                        <a:noFill/>
                        <a:ln w="6350">
                          <a:noFill/>
                        </a:ln>
                      </wps:spPr>
                      <wps:txbx>
                        <w:txbxContent>
                          <w:p w14:paraId="4E17C90D" w14:textId="77777777" w:rsidR="00230AB9" w:rsidRPr="0067795A" w:rsidRDefault="00230AB9" w:rsidP="00D740DC">
                            <w:pPr>
                              <w:jc w:val="center"/>
                              <w:rPr>
                                <w:szCs w:val="24"/>
                              </w:rPr>
                            </w:pPr>
                            <w:r w:rsidRPr="007D3B1A">
                              <w:rPr>
                                <w:rFonts w:eastAsia="Times New Roman" w:cs="Times New Roman"/>
                                <w:color w:val="000000"/>
                                <w:szCs w:val="24"/>
                                <w:lang w:eastAsia="en-MY"/>
                              </w:rPr>
                              <w:t>N</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M</w:t>
                            </w:r>
                            <w:r w:rsidRPr="007D3B1A">
                              <w:rPr>
                                <w:rFonts w:eastAsia="Times New Roman" w:cs="Times New Roman"/>
                                <w:color w:val="000000"/>
                                <w:szCs w:val="24"/>
                                <w:vertAlign w:val="subscript"/>
                                <w:lang w:eastAsia="en-MY"/>
                              </w:rPr>
                              <w:t>1.1</w:t>
                            </w:r>
                            <w:r w:rsidRPr="007D3B1A">
                              <w:rPr>
                                <w:rFonts w:eastAsia="Times New Roman" w:cs="Times New Roman"/>
                                <w:color w:val="000000"/>
                                <w:szCs w:val="24"/>
                                <w:lang w:eastAsia="en-MY"/>
                              </w:rPr>
                              <w:t>C</w:t>
                            </w:r>
                            <w:r w:rsidRPr="007D3B1A">
                              <w:rPr>
                                <w:rFonts w:eastAsia="Times New Roman" w:cs="Times New Roman"/>
                                <w:color w:val="000000"/>
                                <w:szCs w:val="24"/>
                                <w:vertAlign w:val="subscript"/>
                                <w:lang w:eastAsia="en-MY"/>
                              </w:rPr>
                              <w:t>3</w:t>
                            </w:r>
                            <w:r w:rsidRPr="007D3B1A">
                              <w:rPr>
                                <w:rFonts w:eastAsia="Times New Roman" w:cs="Times New Roman"/>
                                <w:color w:val="000000"/>
                                <w:szCs w:val="24"/>
                                <w:lang w:eastAsia="en-MY"/>
                              </w:rPr>
                              <w:t>A</w:t>
                            </w:r>
                            <w:r w:rsidRPr="007D3B1A">
                              <w:rPr>
                                <w:rFonts w:eastAsia="Times New Roman" w:cs="Times New Roman"/>
                                <w:color w:val="000000"/>
                                <w:szCs w:val="24"/>
                                <w:vertAlign w:val="subscript"/>
                                <w:lang w:eastAsia="en-MY"/>
                              </w:rPr>
                              <w:t>2.5</w:t>
                            </w:r>
                            <w:r w:rsidRPr="007D3B1A">
                              <w:rPr>
                                <w:rFonts w:eastAsia="Times New Roman" w:cs="Times New Roman"/>
                                <w:color w:val="000000"/>
                                <w:szCs w:val="24"/>
                                <w:lang w:eastAsia="en-MY"/>
                              </w:rPr>
                              <w:t>B</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S</w:t>
                            </w:r>
                            <w:r w:rsidRPr="007D3B1A">
                              <w:rPr>
                                <w:rFonts w:eastAsia="Times New Roman" w:cs="Times New Roman"/>
                                <w:color w:val="000000"/>
                                <w:szCs w:val="24"/>
                                <w:vertAlign w:val="subscript"/>
                                <w:lang w:eastAsia="en-MY"/>
                              </w:rPr>
                              <w:t>78.2</w:t>
                            </w:r>
                            <w:r w:rsidRPr="007D3B1A">
                              <w:rPr>
                                <w:rFonts w:eastAsia="Times New Roman" w:cs="Times New Roman"/>
                                <w:color w:val="000000"/>
                                <w:szCs w:val="24"/>
                                <w:lang w:eastAsia="en-MY"/>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51D24" id="Text Box 1998" o:spid="_x0000_s1250" type="#_x0000_t202" style="position:absolute;left:0;text-align:left;margin-left:234.7pt;margin-top:7.65pt;width:202.9pt;height:27.1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" filled="f" stroked="f" strokeweight=".5pt">
                <v:textbox>
                  <w:txbxContent>
                    <w:p w14:paraId="4E17C90D" w14:textId="77777777" w:rsidR="00230AB9" w:rsidRPr="0067795A" w:rsidRDefault="00230AB9" w:rsidP="00D740DC">
                      <w:pPr>
                        <w:jc w:val="center"/>
                        <w:rPr>
                          <w:szCs w:val="24"/>
                        </w:rPr>
                      </w:pPr>
                      <w:r w:rsidRPr="007D3B1A">
                        <w:rPr>
                          <w:rFonts w:eastAsia="Times New Roman" w:cs="Times New Roman"/>
                          <w:color w:val="000000"/>
                          <w:szCs w:val="24"/>
                          <w:lang w:eastAsia="en-MY"/>
                        </w:rPr>
                        <w:t>N</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M</w:t>
                      </w:r>
                      <w:r w:rsidRPr="007D3B1A">
                        <w:rPr>
                          <w:rFonts w:eastAsia="Times New Roman" w:cs="Times New Roman"/>
                          <w:color w:val="000000"/>
                          <w:szCs w:val="24"/>
                          <w:vertAlign w:val="subscript"/>
                          <w:lang w:eastAsia="en-MY"/>
                        </w:rPr>
                        <w:t>1.1</w:t>
                      </w:r>
                      <w:r w:rsidRPr="007D3B1A">
                        <w:rPr>
                          <w:rFonts w:eastAsia="Times New Roman" w:cs="Times New Roman"/>
                          <w:color w:val="000000"/>
                          <w:szCs w:val="24"/>
                          <w:lang w:eastAsia="en-MY"/>
                        </w:rPr>
                        <w:t>C</w:t>
                      </w:r>
                      <w:r w:rsidRPr="007D3B1A">
                        <w:rPr>
                          <w:rFonts w:eastAsia="Times New Roman" w:cs="Times New Roman"/>
                          <w:color w:val="000000"/>
                          <w:szCs w:val="24"/>
                          <w:vertAlign w:val="subscript"/>
                          <w:lang w:eastAsia="en-MY"/>
                        </w:rPr>
                        <w:t>3</w:t>
                      </w:r>
                      <w:r w:rsidRPr="007D3B1A">
                        <w:rPr>
                          <w:rFonts w:eastAsia="Times New Roman" w:cs="Times New Roman"/>
                          <w:color w:val="000000"/>
                          <w:szCs w:val="24"/>
                          <w:lang w:eastAsia="en-MY"/>
                        </w:rPr>
                        <w:t>A</w:t>
                      </w:r>
                      <w:r w:rsidRPr="007D3B1A">
                        <w:rPr>
                          <w:rFonts w:eastAsia="Times New Roman" w:cs="Times New Roman"/>
                          <w:color w:val="000000"/>
                          <w:szCs w:val="24"/>
                          <w:vertAlign w:val="subscript"/>
                          <w:lang w:eastAsia="en-MY"/>
                        </w:rPr>
                        <w:t>2.5</w:t>
                      </w:r>
                      <w:r w:rsidRPr="007D3B1A">
                        <w:rPr>
                          <w:rFonts w:eastAsia="Times New Roman" w:cs="Times New Roman"/>
                          <w:color w:val="000000"/>
                          <w:szCs w:val="24"/>
                          <w:lang w:eastAsia="en-MY"/>
                        </w:rPr>
                        <w:t>B</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S</w:t>
                      </w:r>
                      <w:r w:rsidRPr="007D3B1A">
                        <w:rPr>
                          <w:rFonts w:eastAsia="Times New Roman" w:cs="Times New Roman"/>
                          <w:color w:val="000000"/>
                          <w:szCs w:val="24"/>
                          <w:vertAlign w:val="subscript"/>
                          <w:lang w:eastAsia="en-MY"/>
                        </w:rPr>
                        <w:t>78.2</w:t>
                      </w:r>
                      <w:r w:rsidRPr="007D3B1A">
                        <w:rPr>
                          <w:rFonts w:eastAsia="Times New Roman" w:cs="Times New Roman"/>
                          <w:color w:val="000000"/>
                          <w:szCs w:val="24"/>
                          <w:lang w:eastAsia="en-MY"/>
                        </w:rPr>
                        <w:t xml:space="preserve"> </w:t>
                      </w:r>
                    </w:p>
                  </w:txbxContent>
                </v:textbox>
              </v:shape>
            </w:pict>
          </mc:Fallback>
        </mc:AlternateContent>
      </w:r>
      <w:r w:rsidRPr="000E2377">
        <w:rPr>
          <w:b w:val="0"/>
          <w:noProof/>
          <w:lang w:eastAsia="en-MY"/>
        </w:rPr>
        <mc:AlternateContent>
          <mc:Choice Requires="wps">
            <w:drawing>
              <wp:anchor distT="0" distB="0" distL="114300" distR="114300" simplePos="0" relativeHeight="252319744" behindDoc="0" locked="0" layoutInCell="1" allowOverlap="1" wp14:anchorId="063728AB" wp14:editId="0D1FDE86">
                <wp:simplePos x="0" y="0"/>
                <wp:positionH relativeFrom="column">
                  <wp:posOffset>47500</wp:posOffset>
                </wp:positionH>
                <wp:positionV relativeFrom="paragraph">
                  <wp:posOffset>85205</wp:posOffset>
                </wp:positionV>
                <wp:extent cx="2422567" cy="332105"/>
                <wp:effectExtent l="0" t="0" r="0" b="0"/>
                <wp:wrapNone/>
                <wp:docPr id="1992" name="Text Box 1992"/>
                <wp:cNvGraphicFramePr/>
                <a:graphic xmlns:a="http://schemas.openxmlformats.org/drawingml/2006/main">
                  <a:graphicData uri="http://schemas.microsoft.com/office/word/2010/wordprocessingShape">
                    <wps:wsp>
                      <wps:cNvSpPr txBox="1"/>
                      <wps:spPr>
                        <a:xfrm>
                          <a:off x="0" y="0"/>
                          <a:ext cx="2422567" cy="332105"/>
                        </a:xfrm>
                        <a:prstGeom prst="rect">
                          <a:avLst/>
                        </a:prstGeom>
                        <a:noFill/>
                        <a:ln w="6350">
                          <a:noFill/>
                        </a:ln>
                      </wps:spPr>
                      <wps:txbx>
                        <w:txbxContent>
                          <w:p w14:paraId="788616DC" w14:textId="77777777" w:rsidR="00230AB9" w:rsidRPr="0067795A" w:rsidRDefault="00230AB9" w:rsidP="00D740DC">
                            <w:pPr>
                              <w:jc w:val="center"/>
                              <w:rPr>
                                <w:szCs w:val="24"/>
                              </w:rPr>
                            </w:pPr>
                            <w:r w:rsidRPr="007D3B1A">
                              <w:rPr>
                                <w:rFonts w:eastAsia="Times New Roman" w:cs="Times New Roman"/>
                                <w:color w:val="000000"/>
                                <w:szCs w:val="24"/>
                                <w:lang w:eastAsia="en-MY"/>
                              </w:rPr>
                              <w:t>N</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M</w:t>
                            </w:r>
                            <w:r w:rsidRPr="007D3B1A">
                              <w:rPr>
                                <w:rFonts w:eastAsia="Times New Roman" w:cs="Times New Roman"/>
                                <w:color w:val="000000"/>
                                <w:szCs w:val="24"/>
                                <w:vertAlign w:val="subscript"/>
                                <w:lang w:eastAsia="en-MY"/>
                              </w:rPr>
                              <w:t>1.1</w:t>
                            </w:r>
                            <w:r w:rsidRPr="007D3B1A">
                              <w:rPr>
                                <w:rFonts w:eastAsia="Times New Roman" w:cs="Times New Roman"/>
                                <w:color w:val="000000"/>
                                <w:szCs w:val="24"/>
                                <w:lang w:eastAsia="en-MY"/>
                              </w:rPr>
                              <w:t>C</w:t>
                            </w:r>
                            <w:r w:rsidRPr="007D3B1A">
                              <w:rPr>
                                <w:rFonts w:eastAsia="Times New Roman" w:cs="Times New Roman"/>
                                <w:color w:val="000000"/>
                                <w:szCs w:val="24"/>
                                <w:vertAlign w:val="subscript"/>
                                <w:lang w:eastAsia="en-MY"/>
                              </w:rPr>
                              <w:t>3</w:t>
                            </w:r>
                            <w:r w:rsidRPr="007D3B1A">
                              <w:rPr>
                                <w:rFonts w:eastAsia="Times New Roman" w:cs="Times New Roman"/>
                                <w:color w:val="000000"/>
                                <w:szCs w:val="24"/>
                                <w:lang w:eastAsia="en-MY"/>
                              </w:rPr>
                              <w:t>A</w:t>
                            </w:r>
                            <w:r w:rsidRPr="007D3B1A">
                              <w:rPr>
                                <w:rFonts w:eastAsia="Times New Roman" w:cs="Times New Roman"/>
                                <w:color w:val="000000"/>
                                <w:szCs w:val="24"/>
                                <w:vertAlign w:val="subscript"/>
                                <w:lang w:eastAsia="en-MY"/>
                              </w:rPr>
                              <w:t>1</w:t>
                            </w:r>
                            <w:r w:rsidRPr="007D3B1A">
                              <w:rPr>
                                <w:rFonts w:eastAsia="Times New Roman" w:cs="Times New Roman"/>
                                <w:color w:val="000000"/>
                                <w:szCs w:val="24"/>
                                <w:lang w:eastAsia="en-MY"/>
                              </w:rPr>
                              <w:t>B</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S</w:t>
                            </w:r>
                            <w:r w:rsidRPr="007D3B1A">
                              <w:rPr>
                                <w:rFonts w:eastAsia="Times New Roman" w:cs="Times New Roman"/>
                                <w:color w:val="000000"/>
                                <w:szCs w:val="24"/>
                                <w:vertAlign w:val="subscript"/>
                                <w:lang w:eastAsia="en-MY"/>
                              </w:rPr>
                              <w:t>79.7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728AB" id="Text Box 1992" o:spid="_x0000_s1251" type="#_x0000_t202" style="position:absolute;left:0;text-align:left;margin-left:3.75pt;margin-top:6.7pt;width:190.75pt;height:26.1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" filled="f" stroked="f" strokeweight=".5pt">
                <v:textbox>
                  <w:txbxContent>
                    <w:p w14:paraId="788616DC" w14:textId="77777777" w:rsidR="00230AB9" w:rsidRPr="0067795A" w:rsidRDefault="00230AB9" w:rsidP="00D740DC">
                      <w:pPr>
                        <w:jc w:val="center"/>
                        <w:rPr>
                          <w:szCs w:val="24"/>
                        </w:rPr>
                      </w:pPr>
                      <w:r w:rsidRPr="007D3B1A">
                        <w:rPr>
                          <w:rFonts w:eastAsia="Times New Roman" w:cs="Times New Roman"/>
                          <w:color w:val="000000"/>
                          <w:szCs w:val="24"/>
                          <w:lang w:eastAsia="en-MY"/>
                        </w:rPr>
                        <w:t>N</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M</w:t>
                      </w:r>
                      <w:r w:rsidRPr="007D3B1A">
                        <w:rPr>
                          <w:rFonts w:eastAsia="Times New Roman" w:cs="Times New Roman"/>
                          <w:color w:val="000000"/>
                          <w:szCs w:val="24"/>
                          <w:vertAlign w:val="subscript"/>
                          <w:lang w:eastAsia="en-MY"/>
                        </w:rPr>
                        <w:t>1.1</w:t>
                      </w:r>
                      <w:r w:rsidRPr="007D3B1A">
                        <w:rPr>
                          <w:rFonts w:eastAsia="Times New Roman" w:cs="Times New Roman"/>
                          <w:color w:val="000000"/>
                          <w:szCs w:val="24"/>
                          <w:lang w:eastAsia="en-MY"/>
                        </w:rPr>
                        <w:t>C</w:t>
                      </w:r>
                      <w:r w:rsidRPr="007D3B1A">
                        <w:rPr>
                          <w:rFonts w:eastAsia="Times New Roman" w:cs="Times New Roman"/>
                          <w:color w:val="000000"/>
                          <w:szCs w:val="24"/>
                          <w:vertAlign w:val="subscript"/>
                          <w:lang w:eastAsia="en-MY"/>
                        </w:rPr>
                        <w:t>3</w:t>
                      </w:r>
                      <w:r w:rsidRPr="007D3B1A">
                        <w:rPr>
                          <w:rFonts w:eastAsia="Times New Roman" w:cs="Times New Roman"/>
                          <w:color w:val="000000"/>
                          <w:szCs w:val="24"/>
                          <w:lang w:eastAsia="en-MY"/>
                        </w:rPr>
                        <w:t>A</w:t>
                      </w:r>
                      <w:r w:rsidRPr="007D3B1A">
                        <w:rPr>
                          <w:rFonts w:eastAsia="Times New Roman" w:cs="Times New Roman"/>
                          <w:color w:val="000000"/>
                          <w:szCs w:val="24"/>
                          <w:vertAlign w:val="subscript"/>
                          <w:lang w:eastAsia="en-MY"/>
                        </w:rPr>
                        <w:t>1</w:t>
                      </w:r>
                      <w:r w:rsidRPr="007D3B1A">
                        <w:rPr>
                          <w:rFonts w:eastAsia="Times New Roman" w:cs="Times New Roman"/>
                          <w:color w:val="000000"/>
                          <w:szCs w:val="24"/>
                          <w:lang w:eastAsia="en-MY"/>
                        </w:rPr>
                        <w:t>B</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S</w:t>
                      </w:r>
                      <w:r w:rsidRPr="007D3B1A">
                        <w:rPr>
                          <w:rFonts w:eastAsia="Times New Roman" w:cs="Times New Roman"/>
                          <w:color w:val="000000"/>
                          <w:szCs w:val="24"/>
                          <w:vertAlign w:val="subscript"/>
                          <w:lang w:eastAsia="en-MY"/>
                        </w:rPr>
                        <w:t>79.7</w:t>
                      </w:r>
                    </w:p>
                  </w:txbxContent>
                </v:textbox>
              </v:shape>
            </w:pict>
          </mc:Fallback>
        </mc:AlternateContent>
      </w:r>
    </w:p>
    <w:p w14:paraId="2ABD2532" w14:textId="77777777" w:rsidR="00D740DC" w:rsidRPr="000E2377" w:rsidRDefault="00D740DC" w:rsidP="00D740DC">
      <w:pPr>
        <w:rPr>
          <w:b w:val="0"/>
        </w:rPr>
      </w:pPr>
      <w:r w:rsidRPr="000E2377">
        <w:rPr>
          <w:b w:val="0"/>
          <w:noProof/>
          <w:lang w:eastAsia="en-MY"/>
        </w:rPr>
        <mc:AlternateContent>
          <mc:Choice Requires="wps">
            <w:drawing>
              <wp:anchor distT="0" distB="0" distL="114300" distR="114300" simplePos="0" relativeHeight="252507136" behindDoc="0" locked="0" layoutInCell="1" allowOverlap="1" wp14:anchorId="1AA86936" wp14:editId="49D90EBD">
                <wp:simplePos x="0" y="0"/>
                <wp:positionH relativeFrom="column">
                  <wp:posOffset>720898</wp:posOffset>
                </wp:positionH>
                <wp:positionV relativeFrom="paragraph">
                  <wp:posOffset>688470</wp:posOffset>
                </wp:positionV>
                <wp:extent cx="725170" cy="528810"/>
                <wp:effectExtent l="0" t="0" r="0" b="5080"/>
                <wp:wrapNone/>
                <wp:docPr id="2026" name="Text Box 2026"/>
                <wp:cNvGraphicFramePr/>
                <a:graphic xmlns:a="http://schemas.openxmlformats.org/drawingml/2006/main">
                  <a:graphicData uri="http://schemas.microsoft.com/office/word/2010/wordprocessingShape">
                    <wps:wsp>
                      <wps:cNvSpPr txBox="1"/>
                      <wps:spPr>
                        <a:xfrm>
                          <a:off x="0" y="0"/>
                          <a:ext cx="725170" cy="528810"/>
                        </a:xfrm>
                        <a:prstGeom prst="rect">
                          <a:avLst/>
                        </a:prstGeom>
                        <a:noFill/>
                        <a:ln w="6350">
                          <a:noFill/>
                        </a:ln>
                      </wps:spPr>
                      <wps:txbx>
                        <w:txbxContent>
                          <w:p w14:paraId="585078F1" w14:textId="77777777" w:rsidR="00230AB9" w:rsidRDefault="00230AB9" w:rsidP="00D740DC">
                            <w:pPr>
                              <w:spacing w:after="0" w:line="240" w:lineRule="auto"/>
                              <w:jc w:val="center"/>
                              <w:rPr>
                                <w:sz w:val="20"/>
                                <w:szCs w:val="20"/>
                                <w:vertAlign w:val="superscript"/>
                              </w:rPr>
                            </w:pPr>
                            <w:r w:rsidRPr="00357B0D">
                              <w:rPr>
                                <w:sz w:val="20"/>
                                <w:szCs w:val="20"/>
                              </w:rPr>
                              <w:t>Q</w:t>
                            </w:r>
                            <w:r w:rsidRPr="007D3B1A">
                              <w:rPr>
                                <w:sz w:val="20"/>
                                <w:szCs w:val="20"/>
                                <w:vertAlign w:val="superscript"/>
                              </w:rPr>
                              <w:t>3</w:t>
                            </w:r>
                          </w:p>
                          <w:p w14:paraId="223CA426" w14:textId="77777777" w:rsidR="00230AB9" w:rsidRPr="00E45D66" w:rsidRDefault="00230AB9" w:rsidP="00D740DC">
                            <w:pPr>
                              <w:spacing w:after="0" w:line="240" w:lineRule="auto"/>
                              <w:jc w:val="center"/>
                              <w:rPr>
                                <w:b w:val="0"/>
                                <w:sz w:val="20"/>
                                <w:szCs w:val="20"/>
                              </w:rPr>
                            </w:pPr>
                            <w:r>
                              <w:rPr>
                                <w:sz w:val="20"/>
                                <w:szCs w:val="20"/>
                              </w:rPr>
                              <w:t>Boron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86936" id="Text Box 2026" o:spid="_x0000_s1252" type="#_x0000_t202" style="position:absolute;margin-left:56.75pt;margin-top:54.2pt;width:57.1pt;height:41.65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" filled="f" stroked="f" strokeweight=".5pt">
                <v:textbox>
                  <w:txbxContent>
                    <w:p w14:paraId="585078F1" w14:textId="77777777" w:rsidR="00230AB9" w:rsidRDefault="00230AB9" w:rsidP="00D740DC">
                      <w:pPr>
                        <w:spacing w:after="0" w:line="240" w:lineRule="auto"/>
                        <w:jc w:val="center"/>
                        <w:rPr>
                          <w:sz w:val="20"/>
                          <w:szCs w:val="20"/>
                          <w:vertAlign w:val="superscript"/>
                        </w:rPr>
                      </w:pPr>
                      <w:r w:rsidRPr="00357B0D">
                        <w:rPr>
                          <w:sz w:val="20"/>
                          <w:szCs w:val="20"/>
                        </w:rPr>
                        <w:t>Q</w:t>
                      </w:r>
                      <w:r w:rsidRPr="007D3B1A">
                        <w:rPr>
                          <w:sz w:val="20"/>
                          <w:szCs w:val="20"/>
                          <w:vertAlign w:val="superscript"/>
                        </w:rPr>
                        <w:t>3</w:t>
                      </w:r>
                    </w:p>
                    <w:p w14:paraId="223CA426" w14:textId="77777777" w:rsidR="00230AB9" w:rsidRPr="00E45D66" w:rsidRDefault="00230AB9" w:rsidP="00D740DC">
                      <w:pPr>
                        <w:spacing w:after="0" w:line="240" w:lineRule="auto"/>
                        <w:jc w:val="center"/>
                        <w:rPr>
                          <w:b w:val="0"/>
                          <w:sz w:val="20"/>
                          <w:szCs w:val="20"/>
                        </w:rPr>
                      </w:pPr>
                      <w:r>
                        <w:rPr>
                          <w:sz w:val="20"/>
                          <w:szCs w:val="20"/>
                        </w:rPr>
                        <w:t>Boron</w:t>
                      </w:r>
                    </w:p>
                  </w:txbxContent>
                </v:textbox>
              </v:shape>
            </w:pict>
          </mc:Fallback>
        </mc:AlternateContent>
      </w:r>
      <w:r w:rsidRPr="000E2377">
        <w:rPr>
          <w:b w:val="0"/>
          <w:noProof/>
          <w:lang w:eastAsia="en-MY"/>
        </w:rPr>
        <mc:AlternateContent>
          <mc:Choice Requires="wps">
            <w:drawing>
              <wp:anchor distT="0" distB="0" distL="114300" distR="114300" simplePos="0" relativeHeight="252509184" behindDoc="0" locked="0" layoutInCell="1" allowOverlap="1" wp14:anchorId="27174580" wp14:editId="42D1F500">
                <wp:simplePos x="0" y="0"/>
                <wp:positionH relativeFrom="column">
                  <wp:posOffset>1137438</wp:posOffset>
                </wp:positionH>
                <wp:positionV relativeFrom="paragraph">
                  <wp:posOffset>533685</wp:posOffset>
                </wp:positionV>
                <wp:extent cx="746234" cy="525518"/>
                <wp:effectExtent l="0" t="0" r="0" b="0"/>
                <wp:wrapNone/>
                <wp:docPr id="2028" name="Text Box 2028"/>
                <wp:cNvGraphicFramePr/>
                <a:graphic xmlns:a="http://schemas.openxmlformats.org/drawingml/2006/main">
                  <a:graphicData uri="http://schemas.microsoft.com/office/word/2010/wordprocessingShape">
                    <wps:wsp>
                      <wps:cNvSpPr txBox="1"/>
                      <wps:spPr>
                        <a:xfrm>
                          <a:off x="0" y="0"/>
                          <a:ext cx="746234" cy="525518"/>
                        </a:xfrm>
                        <a:prstGeom prst="rect">
                          <a:avLst/>
                        </a:prstGeom>
                        <a:noFill/>
                        <a:ln w="6350">
                          <a:noFill/>
                        </a:ln>
                      </wps:spPr>
                      <wps:txbx>
                        <w:txbxContent>
                          <w:p w14:paraId="2F0A8A1B" w14:textId="77777777" w:rsidR="00230AB9" w:rsidRPr="00357B0D" w:rsidRDefault="00230AB9" w:rsidP="00D740DC">
                            <w:pPr>
                              <w:spacing w:line="240" w:lineRule="auto"/>
                              <w:jc w:val="center"/>
                              <w:rPr>
                                <w:b w:val="0"/>
                                <w:sz w:val="20"/>
                                <w:szCs w:val="20"/>
                              </w:rPr>
                            </w:pPr>
                            <w:r>
                              <w:rPr>
                                <w:sz w:val="20"/>
                                <w:szCs w:val="20"/>
                              </w:rPr>
                              <w:t>Al stretching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74580" id="Text Box 2028" o:spid="_x0000_s1253" type="#_x0000_t202" style="position:absolute;margin-left:89.55pt;margin-top:42pt;width:58.75pt;height:41.4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" filled="f" stroked="f" strokeweight=".5pt">
                <v:textbox>
                  <w:txbxContent>
                    <w:p w14:paraId="2F0A8A1B" w14:textId="77777777" w:rsidR="00230AB9" w:rsidRPr="00357B0D" w:rsidRDefault="00230AB9" w:rsidP="00D740DC">
                      <w:pPr>
                        <w:spacing w:line="240" w:lineRule="auto"/>
                        <w:jc w:val="center"/>
                        <w:rPr>
                          <w:b w:val="0"/>
                          <w:sz w:val="20"/>
                          <w:szCs w:val="20"/>
                        </w:rPr>
                      </w:pPr>
                      <w:r>
                        <w:rPr>
                          <w:sz w:val="20"/>
                          <w:szCs w:val="20"/>
                        </w:rPr>
                        <w:t>Al stretching</w:t>
                      </w:r>
                    </w:p>
                  </w:txbxContent>
                </v:textbox>
              </v:shape>
            </w:pict>
          </mc:Fallback>
        </mc:AlternateContent>
      </w:r>
      <w:r w:rsidRPr="000E2377">
        <w:rPr>
          <w:b w:val="0"/>
          <w:noProof/>
          <w:lang w:eastAsia="en-MY"/>
        </w:rPr>
        <mc:AlternateContent>
          <mc:Choice Requires="wps">
            <w:drawing>
              <wp:anchor distT="0" distB="0" distL="114300" distR="114300" simplePos="0" relativeHeight="252329984" behindDoc="0" locked="0" layoutInCell="1" allowOverlap="1" wp14:anchorId="0BB0CF01" wp14:editId="19021037">
                <wp:simplePos x="0" y="0"/>
                <wp:positionH relativeFrom="column">
                  <wp:posOffset>1153729</wp:posOffset>
                </wp:positionH>
                <wp:positionV relativeFrom="paragraph">
                  <wp:posOffset>331864</wp:posOffset>
                </wp:positionV>
                <wp:extent cx="486541" cy="368135"/>
                <wp:effectExtent l="0" t="0" r="0" b="0"/>
                <wp:wrapNone/>
                <wp:docPr id="2156" name="Text Box 2156"/>
                <wp:cNvGraphicFramePr/>
                <a:graphic xmlns:a="http://schemas.openxmlformats.org/drawingml/2006/main">
                  <a:graphicData uri="http://schemas.microsoft.com/office/word/2010/wordprocessingShape">
                    <wps:wsp>
                      <wps:cNvSpPr txBox="1"/>
                      <wps:spPr>
                        <a:xfrm>
                          <a:off x="0" y="0"/>
                          <a:ext cx="486541" cy="368135"/>
                        </a:xfrm>
                        <a:prstGeom prst="rect">
                          <a:avLst/>
                        </a:prstGeom>
                        <a:noFill/>
                        <a:ln w="6350">
                          <a:noFill/>
                        </a:ln>
                      </wps:spPr>
                      <wps:txbx>
                        <w:txbxContent>
                          <w:p w14:paraId="1BFFA48E" w14:textId="77777777" w:rsidR="00230AB9" w:rsidRPr="00357B0D" w:rsidRDefault="00230AB9" w:rsidP="00D740DC">
                            <w:pPr>
                              <w:rPr>
                                <w:b w:val="0"/>
                                <w:sz w:val="20"/>
                                <w:szCs w:val="20"/>
                              </w:rPr>
                            </w:pPr>
                            <w:r w:rsidRPr="00357B0D">
                              <w:rPr>
                                <w:sz w:val="20"/>
                                <w:szCs w:val="20"/>
                              </w:rPr>
                              <w:t>Q</w:t>
                            </w:r>
                            <w:r w:rsidRPr="007D3B1A">
                              <w:rPr>
                                <w:sz w:val="20"/>
                                <w:szCs w:val="20"/>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0CF01" id="Text Box 2156" o:spid="_x0000_s1254" type="#_x0000_t202" style="position:absolute;margin-left:90.85pt;margin-top:26.15pt;width:38.3pt;height:29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" filled="f" stroked="f" strokeweight=".5pt">
                <v:textbox>
                  <w:txbxContent>
                    <w:p w14:paraId="1BFFA48E" w14:textId="77777777" w:rsidR="00230AB9" w:rsidRPr="00357B0D" w:rsidRDefault="00230AB9" w:rsidP="00D740DC">
                      <w:pPr>
                        <w:rPr>
                          <w:b w:val="0"/>
                          <w:sz w:val="20"/>
                          <w:szCs w:val="20"/>
                        </w:rPr>
                      </w:pPr>
                      <w:r w:rsidRPr="00357B0D">
                        <w:rPr>
                          <w:sz w:val="20"/>
                          <w:szCs w:val="20"/>
                        </w:rPr>
                        <w:t>Q</w:t>
                      </w:r>
                      <w:r w:rsidRPr="007D3B1A">
                        <w:rPr>
                          <w:sz w:val="20"/>
                          <w:szCs w:val="20"/>
                          <w:vertAlign w:val="superscript"/>
                        </w:rPr>
                        <w:t>3</w:t>
                      </w:r>
                    </w:p>
                  </w:txbxContent>
                </v:textbox>
              </v:shape>
            </w:pict>
          </mc:Fallback>
        </mc:AlternateContent>
      </w:r>
      <w:r w:rsidRPr="000E2377">
        <w:rPr>
          <w:b w:val="0"/>
          <w:noProof/>
          <w:lang w:eastAsia="en-MY"/>
        </w:rPr>
        <mc:AlternateContent>
          <mc:Choice Requires="wps">
            <w:drawing>
              <wp:anchor distT="0" distB="0" distL="114300" distR="114300" simplePos="0" relativeHeight="252324864" behindDoc="0" locked="0" layoutInCell="1" allowOverlap="1" wp14:anchorId="7F34BFF4" wp14:editId="25B4F9C4">
                <wp:simplePos x="0" y="0"/>
                <wp:positionH relativeFrom="column">
                  <wp:posOffset>1127760</wp:posOffset>
                </wp:positionH>
                <wp:positionV relativeFrom="paragraph">
                  <wp:posOffset>191441</wp:posOffset>
                </wp:positionV>
                <wp:extent cx="462915" cy="285008"/>
                <wp:effectExtent l="0" t="0" r="0" b="1270"/>
                <wp:wrapNone/>
                <wp:docPr id="2139" name="Text Box 2139"/>
                <wp:cNvGraphicFramePr/>
                <a:graphic xmlns:a="http://schemas.openxmlformats.org/drawingml/2006/main">
                  <a:graphicData uri="http://schemas.microsoft.com/office/word/2010/wordprocessingShape">
                    <wps:wsp>
                      <wps:cNvSpPr txBox="1"/>
                      <wps:spPr>
                        <a:xfrm>
                          <a:off x="0" y="0"/>
                          <a:ext cx="462915" cy="285008"/>
                        </a:xfrm>
                        <a:prstGeom prst="rect">
                          <a:avLst/>
                        </a:prstGeom>
                        <a:noFill/>
                        <a:ln w="6350">
                          <a:noFill/>
                        </a:ln>
                      </wps:spPr>
                      <wps:txbx>
                        <w:txbxContent>
                          <w:p w14:paraId="14A633CC" w14:textId="77777777" w:rsidR="00230AB9" w:rsidRPr="00B14723" w:rsidRDefault="00230AB9" w:rsidP="00D740DC">
                            <w:pPr>
                              <w:rPr>
                                <w:b w:val="0"/>
                                <w:sz w:val="16"/>
                                <w:szCs w:val="16"/>
                              </w:rPr>
                            </w:pPr>
                            <w:r w:rsidRPr="00B14723">
                              <w:rPr>
                                <w:sz w:val="16"/>
                                <w:szCs w:val="16"/>
                              </w:rPr>
                              <w:t>1070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4BFF4" id="Text Box 2139" o:spid="_x0000_s1255" type="#_x0000_t202" style="position:absolute;margin-left:88.8pt;margin-top:15.05pt;width:36.45pt;height:22.4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" filled="f" stroked="f" strokeweight=".5pt">
                <v:textbox>
                  <w:txbxContent>
                    <w:p w14:paraId="14A633CC" w14:textId="77777777" w:rsidR="00230AB9" w:rsidRPr="00B14723" w:rsidRDefault="00230AB9" w:rsidP="00D740DC">
                      <w:pPr>
                        <w:rPr>
                          <w:b w:val="0"/>
                          <w:sz w:val="16"/>
                          <w:szCs w:val="16"/>
                        </w:rPr>
                      </w:pPr>
                      <w:r w:rsidRPr="00B14723">
                        <w:rPr>
                          <w:sz w:val="16"/>
                          <w:szCs w:val="16"/>
                        </w:rPr>
                        <w:t>1070</w:t>
                      </w:r>
                    </w:p>
                  </w:txbxContent>
                </v:textbox>
              </v:shape>
            </w:pict>
          </mc:Fallback>
        </mc:AlternateContent>
      </w:r>
      <w:r w:rsidRPr="000E2377">
        <w:rPr>
          <w:b w:val="0"/>
          <w:noProof/>
          <w:lang w:eastAsia="en-MY"/>
        </w:rPr>
        <mc:AlternateContent>
          <mc:Choice Requires="wps">
            <w:drawing>
              <wp:anchor distT="0" distB="0" distL="114300" distR="114300" simplePos="0" relativeHeight="252328960" behindDoc="0" locked="0" layoutInCell="1" allowOverlap="1" wp14:anchorId="2ADE8D13" wp14:editId="36D6E692">
                <wp:simplePos x="0" y="0"/>
                <wp:positionH relativeFrom="column">
                  <wp:posOffset>688340</wp:posOffset>
                </wp:positionH>
                <wp:positionV relativeFrom="paragraph">
                  <wp:posOffset>577433</wp:posOffset>
                </wp:positionV>
                <wp:extent cx="486541" cy="368135"/>
                <wp:effectExtent l="0" t="0" r="0" b="0"/>
                <wp:wrapNone/>
                <wp:docPr id="2155" name="Text Box 2155"/>
                <wp:cNvGraphicFramePr/>
                <a:graphic xmlns:a="http://schemas.openxmlformats.org/drawingml/2006/main">
                  <a:graphicData uri="http://schemas.microsoft.com/office/word/2010/wordprocessingShape">
                    <wps:wsp>
                      <wps:cNvSpPr txBox="1"/>
                      <wps:spPr>
                        <a:xfrm>
                          <a:off x="0" y="0"/>
                          <a:ext cx="486541" cy="368135"/>
                        </a:xfrm>
                        <a:prstGeom prst="rect">
                          <a:avLst/>
                        </a:prstGeom>
                        <a:noFill/>
                        <a:ln w="6350">
                          <a:noFill/>
                        </a:ln>
                      </wps:spPr>
                      <wps:txbx>
                        <w:txbxContent>
                          <w:p w14:paraId="6165F850" w14:textId="77777777" w:rsidR="00230AB9" w:rsidRPr="00357B0D" w:rsidRDefault="00230AB9" w:rsidP="00D740DC">
                            <w:pPr>
                              <w:rPr>
                                <w:b w:val="0"/>
                                <w:sz w:val="20"/>
                                <w:szCs w:val="20"/>
                              </w:rPr>
                            </w:pPr>
                            <w:r w:rsidRPr="00357B0D">
                              <w:rPr>
                                <w:sz w:val="20"/>
                                <w:szCs w:val="20"/>
                              </w:rPr>
                              <w:t>Q</w:t>
                            </w:r>
                            <w:r w:rsidRPr="007D3B1A">
                              <w:rPr>
                                <w:sz w:val="20"/>
                                <w:szCs w:val="20"/>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E8D13" id="Text Box 2155" o:spid="_x0000_s1256" type="#_x0000_t202" style="position:absolute;margin-left:54.2pt;margin-top:45.45pt;width:38.3pt;height:29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" filled="f" stroked="f" strokeweight=".5pt">
                <v:textbox>
                  <w:txbxContent>
                    <w:p w14:paraId="6165F850" w14:textId="77777777" w:rsidR="00230AB9" w:rsidRPr="00357B0D" w:rsidRDefault="00230AB9" w:rsidP="00D740DC">
                      <w:pPr>
                        <w:rPr>
                          <w:b w:val="0"/>
                          <w:sz w:val="20"/>
                          <w:szCs w:val="20"/>
                        </w:rPr>
                      </w:pPr>
                      <w:r w:rsidRPr="00357B0D">
                        <w:rPr>
                          <w:sz w:val="20"/>
                          <w:szCs w:val="20"/>
                        </w:rPr>
                        <w:t>Q</w:t>
                      </w:r>
                      <w:r w:rsidRPr="007D3B1A">
                        <w:rPr>
                          <w:sz w:val="20"/>
                          <w:szCs w:val="20"/>
                          <w:vertAlign w:val="superscript"/>
                        </w:rPr>
                        <w:t>3</w:t>
                      </w:r>
                    </w:p>
                  </w:txbxContent>
                </v:textbox>
              </v:shape>
            </w:pict>
          </mc:Fallback>
        </mc:AlternateContent>
      </w:r>
      <w:r w:rsidRPr="000E2377">
        <w:rPr>
          <w:b w:val="0"/>
          <w:noProof/>
          <w:lang w:eastAsia="en-MY"/>
        </w:rPr>
        <mc:AlternateContent>
          <mc:Choice Requires="wps">
            <w:drawing>
              <wp:anchor distT="0" distB="0" distL="114300" distR="114300" simplePos="0" relativeHeight="252508160" behindDoc="0" locked="0" layoutInCell="1" allowOverlap="1" wp14:anchorId="6D58529E" wp14:editId="70666098">
                <wp:simplePos x="0" y="0"/>
                <wp:positionH relativeFrom="column">
                  <wp:posOffset>451945</wp:posOffset>
                </wp:positionH>
                <wp:positionV relativeFrom="paragraph">
                  <wp:posOffset>776298</wp:posOffset>
                </wp:positionV>
                <wp:extent cx="486541" cy="368135"/>
                <wp:effectExtent l="0" t="0" r="0" b="0"/>
                <wp:wrapNone/>
                <wp:docPr id="2027" name="Text Box 2027"/>
                <wp:cNvGraphicFramePr/>
                <a:graphic xmlns:a="http://schemas.openxmlformats.org/drawingml/2006/main">
                  <a:graphicData uri="http://schemas.microsoft.com/office/word/2010/wordprocessingShape">
                    <wps:wsp>
                      <wps:cNvSpPr txBox="1"/>
                      <wps:spPr>
                        <a:xfrm>
                          <a:off x="0" y="0"/>
                          <a:ext cx="486541" cy="368135"/>
                        </a:xfrm>
                        <a:prstGeom prst="rect">
                          <a:avLst/>
                        </a:prstGeom>
                        <a:noFill/>
                        <a:ln w="6350">
                          <a:noFill/>
                        </a:ln>
                      </wps:spPr>
                      <wps:txbx>
                        <w:txbxContent>
                          <w:p w14:paraId="6D85558D" w14:textId="77777777" w:rsidR="00230AB9" w:rsidRPr="00357B0D" w:rsidRDefault="00230AB9" w:rsidP="00D740DC">
                            <w:pPr>
                              <w:rPr>
                                <w:b w:val="0"/>
                                <w:sz w:val="20"/>
                                <w:szCs w:val="20"/>
                              </w:rPr>
                            </w:pPr>
                            <w:r>
                              <w:rPr>
                                <w:sz w:val="20"/>
                                <w:szCs w:val="20"/>
                              </w:rPr>
                              <w:t>Al-O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8529E" id="Text Box 2027" o:spid="_x0000_s1257" type="#_x0000_t202" style="position:absolute;margin-left:35.6pt;margin-top:61.15pt;width:38.3pt;height:29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" filled="f" stroked="f" strokeweight=".5pt">
                <v:textbox>
                  <w:txbxContent>
                    <w:p w14:paraId="6D85558D" w14:textId="77777777" w:rsidR="00230AB9" w:rsidRPr="00357B0D" w:rsidRDefault="00230AB9" w:rsidP="00D740DC">
                      <w:pPr>
                        <w:rPr>
                          <w:b w:val="0"/>
                          <w:sz w:val="20"/>
                          <w:szCs w:val="20"/>
                        </w:rPr>
                      </w:pPr>
                      <w:r>
                        <w:rPr>
                          <w:sz w:val="20"/>
                          <w:szCs w:val="20"/>
                        </w:rPr>
                        <w:t>Al-O</w:t>
                      </w:r>
                    </w:p>
                  </w:txbxContent>
                </v:textbox>
              </v:shape>
            </w:pict>
          </mc:Fallback>
        </mc:AlternateContent>
      </w:r>
      <w:r w:rsidRPr="000E2377">
        <w:rPr>
          <w:b w:val="0"/>
          <w:noProof/>
          <w:lang w:eastAsia="en-MY"/>
        </w:rPr>
        <mc:AlternateContent>
          <mc:Choice Requires="wps">
            <w:drawing>
              <wp:anchor distT="0" distB="0" distL="114300" distR="114300" simplePos="0" relativeHeight="252331008" behindDoc="0" locked="0" layoutInCell="1" allowOverlap="1" wp14:anchorId="2294A853" wp14:editId="3C0A2A6E">
                <wp:simplePos x="0" y="0"/>
                <wp:positionH relativeFrom="column">
                  <wp:posOffset>1757548</wp:posOffset>
                </wp:positionH>
                <wp:positionV relativeFrom="paragraph">
                  <wp:posOffset>724395</wp:posOffset>
                </wp:positionV>
                <wp:extent cx="486541" cy="368135"/>
                <wp:effectExtent l="0" t="0" r="0" b="0"/>
                <wp:wrapNone/>
                <wp:docPr id="2157" name="Text Box 2157"/>
                <wp:cNvGraphicFramePr/>
                <a:graphic xmlns:a="http://schemas.openxmlformats.org/drawingml/2006/main">
                  <a:graphicData uri="http://schemas.microsoft.com/office/word/2010/wordprocessingShape">
                    <wps:wsp>
                      <wps:cNvSpPr txBox="1"/>
                      <wps:spPr>
                        <a:xfrm>
                          <a:off x="0" y="0"/>
                          <a:ext cx="486541" cy="368135"/>
                        </a:xfrm>
                        <a:prstGeom prst="rect">
                          <a:avLst/>
                        </a:prstGeom>
                        <a:noFill/>
                        <a:ln w="6350">
                          <a:noFill/>
                        </a:ln>
                      </wps:spPr>
                      <wps:txbx>
                        <w:txbxContent>
                          <w:p w14:paraId="5DF13754" w14:textId="77777777" w:rsidR="00230AB9" w:rsidRPr="00357B0D" w:rsidRDefault="00230AB9" w:rsidP="00D740DC">
                            <w:pPr>
                              <w:rPr>
                                <w:b w:val="0"/>
                                <w:sz w:val="20"/>
                                <w:szCs w:val="20"/>
                              </w:rPr>
                            </w:pPr>
                            <w:r w:rsidRPr="00357B0D">
                              <w:rPr>
                                <w:sz w:val="20"/>
                                <w:szCs w:val="20"/>
                              </w:rPr>
                              <w:t>Q</w:t>
                            </w:r>
                            <w:r w:rsidRPr="007D3B1A">
                              <w:rPr>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4A853" id="Text Box 2157" o:spid="_x0000_s1258" type="#_x0000_t202" style="position:absolute;margin-left:138.4pt;margin-top:57.05pt;width:38.3pt;height:29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" filled="f" stroked="f" strokeweight=".5pt">
                <v:textbox>
                  <w:txbxContent>
                    <w:p w14:paraId="5DF13754" w14:textId="77777777" w:rsidR="00230AB9" w:rsidRPr="00357B0D" w:rsidRDefault="00230AB9" w:rsidP="00D740DC">
                      <w:pPr>
                        <w:rPr>
                          <w:b w:val="0"/>
                          <w:sz w:val="20"/>
                          <w:szCs w:val="20"/>
                        </w:rPr>
                      </w:pPr>
                      <w:r w:rsidRPr="00357B0D">
                        <w:rPr>
                          <w:sz w:val="20"/>
                          <w:szCs w:val="20"/>
                        </w:rPr>
                        <w:t>Q</w:t>
                      </w:r>
                      <w:r w:rsidRPr="007D3B1A">
                        <w:rPr>
                          <w:sz w:val="20"/>
                          <w:szCs w:val="20"/>
                          <w:vertAlign w:val="superscript"/>
                        </w:rPr>
                        <w:t>4</w:t>
                      </w:r>
                    </w:p>
                  </w:txbxContent>
                </v:textbox>
              </v:shape>
            </w:pict>
          </mc:Fallback>
        </mc:AlternateContent>
      </w:r>
      <w:r w:rsidRPr="000E2377">
        <w:rPr>
          <w:b w:val="0"/>
          <w:noProof/>
          <w:lang w:eastAsia="en-MY"/>
        </w:rPr>
        <mc:AlternateContent>
          <mc:Choice Requires="wps">
            <w:drawing>
              <wp:anchor distT="0" distB="0" distL="114300" distR="114300" simplePos="0" relativeHeight="252327936" behindDoc="0" locked="0" layoutInCell="1" allowOverlap="1" wp14:anchorId="6D0A933A" wp14:editId="49BF0D08">
                <wp:simplePos x="0" y="0"/>
                <wp:positionH relativeFrom="column">
                  <wp:posOffset>248796</wp:posOffset>
                </wp:positionH>
                <wp:positionV relativeFrom="paragraph">
                  <wp:posOffset>807464</wp:posOffset>
                </wp:positionV>
                <wp:extent cx="486541" cy="368135"/>
                <wp:effectExtent l="0" t="0" r="0" b="0"/>
                <wp:wrapNone/>
                <wp:docPr id="2154" name="Text Box 2154"/>
                <wp:cNvGraphicFramePr/>
                <a:graphic xmlns:a="http://schemas.openxmlformats.org/drawingml/2006/main">
                  <a:graphicData uri="http://schemas.microsoft.com/office/word/2010/wordprocessingShape">
                    <wps:wsp>
                      <wps:cNvSpPr txBox="1"/>
                      <wps:spPr>
                        <a:xfrm>
                          <a:off x="0" y="0"/>
                          <a:ext cx="486541" cy="368135"/>
                        </a:xfrm>
                        <a:prstGeom prst="rect">
                          <a:avLst/>
                        </a:prstGeom>
                        <a:noFill/>
                        <a:ln w="6350">
                          <a:noFill/>
                        </a:ln>
                      </wps:spPr>
                      <wps:txbx>
                        <w:txbxContent>
                          <w:p w14:paraId="1D729727" w14:textId="77777777" w:rsidR="00230AB9" w:rsidRPr="00357B0D" w:rsidRDefault="00230AB9" w:rsidP="00D740DC">
                            <w:pPr>
                              <w:rPr>
                                <w:b w:val="0"/>
                                <w:sz w:val="20"/>
                                <w:szCs w:val="20"/>
                              </w:rPr>
                            </w:pPr>
                            <w:r w:rsidRPr="00357B0D">
                              <w:rPr>
                                <w:sz w:val="20"/>
                                <w:szCs w:val="20"/>
                              </w:rPr>
                              <w:t>Q</w:t>
                            </w:r>
                            <w:r w:rsidRPr="007D3B1A">
                              <w:rPr>
                                <w:sz w:val="20"/>
                                <w:szCs w:val="20"/>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A933A" id="Text Box 2154" o:spid="_x0000_s1259" type="#_x0000_t202" style="position:absolute;margin-left:19.6pt;margin-top:63.6pt;width:38.3pt;height:29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" filled="f" stroked="f" strokeweight=".5pt">
                <v:textbox>
                  <w:txbxContent>
                    <w:p w14:paraId="1D729727" w14:textId="77777777" w:rsidR="00230AB9" w:rsidRPr="00357B0D" w:rsidRDefault="00230AB9" w:rsidP="00D740DC">
                      <w:pPr>
                        <w:rPr>
                          <w:b w:val="0"/>
                          <w:sz w:val="20"/>
                          <w:szCs w:val="20"/>
                        </w:rPr>
                      </w:pPr>
                      <w:r w:rsidRPr="00357B0D">
                        <w:rPr>
                          <w:sz w:val="20"/>
                          <w:szCs w:val="20"/>
                        </w:rPr>
                        <w:t>Q</w:t>
                      </w:r>
                      <w:r w:rsidRPr="007D3B1A">
                        <w:rPr>
                          <w:sz w:val="20"/>
                          <w:szCs w:val="20"/>
                          <w:vertAlign w:val="superscript"/>
                        </w:rPr>
                        <w:t>2</w:t>
                      </w:r>
                    </w:p>
                  </w:txbxContent>
                </v:textbox>
              </v:shape>
            </w:pict>
          </mc:Fallback>
        </mc:AlternateContent>
      </w:r>
      <w:r w:rsidRPr="000E2377">
        <w:rPr>
          <w:b w:val="0"/>
          <w:noProof/>
          <w:lang w:eastAsia="en-MY"/>
        </w:rPr>
        <mc:AlternateContent>
          <mc:Choice Requires="wps">
            <w:drawing>
              <wp:anchor distT="0" distB="0" distL="114300" distR="114300" simplePos="0" relativeHeight="252325888" behindDoc="0" locked="0" layoutInCell="1" allowOverlap="1" wp14:anchorId="4163DA93" wp14:editId="2EC51E1B">
                <wp:simplePos x="0" y="0"/>
                <wp:positionH relativeFrom="column">
                  <wp:posOffset>4108862</wp:posOffset>
                </wp:positionH>
                <wp:positionV relativeFrom="paragraph">
                  <wp:posOffset>332509</wp:posOffset>
                </wp:positionV>
                <wp:extent cx="462915" cy="273133"/>
                <wp:effectExtent l="0" t="0" r="0" b="0"/>
                <wp:wrapNone/>
                <wp:docPr id="2140" name="Text Box 2140"/>
                <wp:cNvGraphicFramePr/>
                <a:graphic xmlns:a="http://schemas.openxmlformats.org/drawingml/2006/main">
                  <a:graphicData uri="http://schemas.microsoft.com/office/word/2010/wordprocessingShape">
                    <wps:wsp>
                      <wps:cNvSpPr txBox="1"/>
                      <wps:spPr>
                        <a:xfrm>
                          <a:off x="0" y="0"/>
                          <a:ext cx="462915" cy="273133"/>
                        </a:xfrm>
                        <a:prstGeom prst="rect">
                          <a:avLst/>
                        </a:prstGeom>
                        <a:noFill/>
                        <a:ln w="6350">
                          <a:noFill/>
                        </a:ln>
                      </wps:spPr>
                      <wps:txbx>
                        <w:txbxContent>
                          <w:p w14:paraId="1464A931" w14:textId="77777777" w:rsidR="00230AB9" w:rsidRPr="00B14723" w:rsidRDefault="00230AB9" w:rsidP="00D740DC">
                            <w:pPr>
                              <w:rPr>
                                <w:b w:val="0"/>
                                <w:sz w:val="16"/>
                                <w:szCs w:val="16"/>
                              </w:rPr>
                            </w:pPr>
                            <w:r w:rsidRPr="00B14723">
                              <w:rPr>
                                <w:sz w:val="16"/>
                                <w:szCs w:val="16"/>
                              </w:rPr>
                              <w:t>1070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3DA93" id="Text Box 2140" o:spid="_x0000_s1260" type="#_x0000_t202" style="position:absolute;margin-left:323.55pt;margin-top:26.2pt;width:36.45pt;height:21.5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" filled="f" stroked="f" strokeweight=".5pt">
                <v:textbox>
                  <w:txbxContent>
                    <w:p w14:paraId="1464A931" w14:textId="77777777" w:rsidR="00230AB9" w:rsidRPr="00B14723" w:rsidRDefault="00230AB9" w:rsidP="00D740DC">
                      <w:pPr>
                        <w:rPr>
                          <w:b w:val="0"/>
                          <w:sz w:val="16"/>
                          <w:szCs w:val="16"/>
                        </w:rPr>
                      </w:pPr>
                      <w:r w:rsidRPr="00B14723">
                        <w:rPr>
                          <w:sz w:val="16"/>
                          <w:szCs w:val="16"/>
                        </w:rPr>
                        <w:t>1070</w:t>
                      </w:r>
                    </w:p>
                  </w:txbxContent>
                </v:textbox>
              </v:shape>
            </w:pict>
          </mc:Fallback>
        </mc:AlternateContent>
      </w:r>
      <w:r w:rsidRPr="000E2377">
        <w:rPr>
          <w:b w:val="0"/>
          <w:noProof/>
          <w:lang w:eastAsia="en-MY"/>
        </w:rPr>
        <mc:AlternateContent>
          <mc:Choice Requires="wps">
            <w:drawing>
              <wp:anchor distT="0" distB="0" distL="114300" distR="114300" simplePos="0" relativeHeight="252315648" behindDoc="0" locked="0" layoutInCell="1" allowOverlap="1" wp14:anchorId="5B20D071" wp14:editId="14E968B4">
                <wp:simplePos x="0" y="0"/>
                <wp:positionH relativeFrom="leftMargin">
                  <wp:posOffset>2778509</wp:posOffset>
                </wp:positionH>
                <wp:positionV relativeFrom="paragraph">
                  <wp:posOffset>416766</wp:posOffset>
                </wp:positionV>
                <wp:extent cx="1793174" cy="249382"/>
                <wp:effectExtent l="0" t="0" r="7937" b="0"/>
                <wp:wrapNone/>
                <wp:docPr id="2054" name="Text Box 2054"/>
                <wp:cNvGraphicFramePr/>
                <a:graphic xmlns:a="http://schemas.openxmlformats.org/drawingml/2006/main">
                  <a:graphicData uri="http://schemas.microsoft.com/office/word/2010/wordprocessingShape">
                    <wps:wsp>
                      <wps:cNvSpPr txBox="1"/>
                      <wps:spPr>
                        <a:xfrm rot="16200000">
                          <a:off x="0" y="0"/>
                          <a:ext cx="1793174" cy="249382"/>
                        </a:xfrm>
                        <a:prstGeom prst="rect">
                          <a:avLst/>
                        </a:prstGeom>
                        <a:noFill/>
                        <a:ln w="6350">
                          <a:noFill/>
                        </a:ln>
                      </wps:spPr>
                      <wps:txbx>
                        <w:txbxContent>
                          <w:p w14:paraId="57CBEE93"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20D071" id="Text Box 2054" o:spid="_x0000_s1261" type="#_x0000_t202" style="position:absolute;margin-left:218.8pt;margin-top:32.8pt;width:141.2pt;height:19.65pt;rotation:-90;z-index:252315648;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" filled="f" stroked="f" strokeweight=".5pt">
                <v:textbox>
                  <w:txbxContent>
                    <w:p w14:paraId="57CBEE93"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v:textbox>
                <w10:wrap anchorx="margin"/>
              </v:shape>
            </w:pict>
          </mc:Fallback>
        </mc:AlternateContent>
      </w:r>
      <w:r w:rsidRPr="000E2377">
        <w:rPr>
          <w:b w:val="0"/>
          <w:noProof/>
          <w:lang w:eastAsia="en-MY"/>
        </w:rPr>
        <mc:AlternateContent>
          <mc:Choice Requires="wps">
            <w:drawing>
              <wp:anchor distT="0" distB="0" distL="114300" distR="114300" simplePos="0" relativeHeight="252314624" behindDoc="0" locked="0" layoutInCell="1" allowOverlap="1" wp14:anchorId="59627936" wp14:editId="31D0F2D2">
                <wp:simplePos x="0" y="0"/>
                <wp:positionH relativeFrom="leftMargin">
                  <wp:align>right</wp:align>
                </wp:positionH>
                <wp:positionV relativeFrom="paragraph">
                  <wp:posOffset>446912</wp:posOffset>
                </wp:positionV>
                <wp:extent cx="1793174" cy="249382"/>
                <wp:effectExtent l="0" t="0" r="7937" b="0"/>
                <wp:wrapNone/>
                <wp:docPr id="2053" name="Text Box 2053"/>
                <wp:cNvGraphicFramePr/>
                <a:graphic xmlns:a="http://schemas.openxmlformats.org/drawingml/2006/main">
                  <a:graphicData uri="http://schemas.microsoft.com/office/word/2010/wordprocessingShape">
                    <wps:wsp>
                      <wps:cNvSpPr txBox="1"/>
                      <wps:spPr>
                        <a:xfrm rot="16200000">
                          <a:off x="0" y="0"/>
                          <a:ext cx="1793174" cy="249382"/>
                        </a:xfrm>
                        <a:prstGeom prst="rect">
                          <a:avLst/>
                        </a:prstGeom>
                        <a:noFill/>
                        <a:ln w="6350">
                          <a:noFill/>
                        </a:ln>
                      </wps:spPr>
                      <wps:txbx>
                        <w:txbxContent>
                          <w:p w14:paraId="33D938C0"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627936" id="Text Box 2053" o:spid="_x0000_s1262" type="#_x0000_t202" style="position:absolute;margin-left:90pt;margin-top:35.2pt;width:141.2pt;height:19.65pt;rotation:-90;z-index:252314624;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" filled="f" stroked="f" strokeweight=".5pt">
                <v:textbox>
                  <w:txbxContent>
                    <w:p w14:paraId="33D938C0"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v:textbox>
                <w10:wrap anchorx="margin"/>
              </v:shape>
            </w:pict>
          </mc:Fallback>
        </mc:AlternateContent>
      </w:r>
      <w:r w:rsidRPr="000E2377">
        <w:rPr>
          <w:b w:val="0"/>
          <w:noProof/>
          <w:lang w:eastAsia="en-MY"/>
        </w:rPr>
        <mc:AlternateContent>
          <mc:Choice Requires="wps">
            <w:drawing>
              <wp:anchor distT="0" distB="0" distL="114300" distR="114300" simplePos="0" relativeHeight="252310528" behindDoc="0" locked="0" layoutInCell="1" allowOverlap="1" wp14:anchorId="380032D6" wp14:editId="7AAB1FB1">
                <wp:simplePos x="0" y="0"/>
                <wp:positionH relativeFrom="column">
                  <wp:posOffset>3408144</wp:posOffset>
                </wp:positionH>
                <wp:positionV relativeFrom="paragraph">
                  <wp:posOffset>1305857</wp:posOffset>
                </wp:positionV>
                <wp:extent cx="1793174" cy="249382"/>
                <wp:effectExtent l="0" t="0" r="0" b="0"/>
                <wp:wrapNone/>
                <wp:docPr id="2049" name="Text Box 2049"/>
                <wp:cNvGraphicFramePr/>
                <a:graphic xmlns:a="http://schemas.openxmlformats.org/drawingml/2006/main">
                  <a:graphicData uri="http://schemas.microsoft.com/office/word/2010/wordprocessingShape">
                    <wps:wsp>
                      <wps:cNvSpPr txBox="1"/>
                      <wps:spPr>
                        <a:xfrm>
                          <a:off x="0" y="0"/>
                          <a:ext cx="1793174" cy="249382"/>
                        </a:xfrm>
                        <a:prstGeom prst="rect">
                          <a:avLst/>
                        </a:prstGeom>
                        <a:noFill/>
                        <a:ln w="6350">
                          <a:noFill/>
                        </a:ln>
                      </wps:spPr>
                      <wps:txbx>
                        <w:txbxContent>
                          <w:p w14:paraId="7E999D60" w14:textId="77777777" w:rsidR="00230AB9" w:rsidRPr="001B142B" w:rsidRDefault="00230AB9" w:rsidP="00D740DC">
                            <w:pPr>
                              <w:jc w:val="center"/>
                              <w:rPr>
                                <w:b w:val="0"/>
                                <w:sz w:val="16"/>
                                <w:szCs w:val="16"/>
                              </w:rPr>
                            </w:pPr>
                            <w:r w:rsidRPr="001B142B">
                              <w:rPr>
                                <w:sz w:val="16"/>
                                <w:szCs w:val="16"/>
                              </w:rPr>
                              <w:t>Wavenumber (cm</w:t>
                            </w:r>
                            <w:r w:rsidRPr="001B142B">
                              <w:rPr>
                                <w:sz w:val="16"/>
                                <w:szCs w:val="16"/>
                                <w:vertAlign w:val="superscript"/>
                              </w:rPr>
                              <w:t>-1</w:t>
                            </w:r>
                            <w:r w:rsidRPr="001B142B">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0032D6" id="Text Box 2049" o:spid="_x0000_s1263" type="#_x0000_t202" style="position:absolute;margin-left:268.35pt;margin-top:102.8pt;width:141.2pt;height:19.65pt;z-index:25231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" filled="f" stroked="f" strokeweight=".5pt">
                <v:textbox>
                  <w:txbxContent>
                    <w:p w14:paraId="7E999D60" w14:textId="77777777" w:rsidR="00230AB9" w:rsidRPr="001B142B" w:rsidRDefault="00230AB9" w:rsidP="00D740DC">
                      <w:pPr>
                        <w:jc w:val="center"/>
                        <w:rPr>
                          <w:b w:val="0"/>
                          <w:sz w:val="16"/>
                          <w:szCs w:val="16"/>
                        </w:rPr>
                      </w:pPr>
                      <w:r w:rsidRPr="001B142B">
                        <w:rPr>
                          <w:sz w:val="16"/>
                          <w:szCs w:val="16"/>
                        </w:rPr>
                        <w:t>Wavenumber (cm</w:t>
                      </w:r>
                      <w:r w:rsidRPr="001B142B">
                        <w:rPr>
                          <w:sz w:val="16"/>
                          <w:szCs w:val="16"/>
                          <w:vertAlign w:val="superscript"/>
                        </w:rPr>
                        <w:t>-1</w:t>
                      </w:r>
                      <w:r w:rsidRPr="001B142B">
                        <w:rPr>
                          <w:sz w:val="16"/>
                          <w:szCs w:val="16"/>
                        </w:rPr>
                        <w:t>)</w:t>
                      </w:r>
                    </w:p>
                  </w:txbxContent>
                </v:textbox>
              </v:shape>
            </w:pict>
          </mc:Fallback>
        </mc:AlternateContent>
      </w:r>
      <w:r w:rsidRPr="000E2377">
        <w:rPr>
          <w:b w:val="0"/>
          <w:noProof/>
          <w:lang w:eastAsia="en-MY"/>
        </w:rPr>
        <mc:AlternateContent>
          <mc:Choice Requires="wps">
            <w:drawing>
              <wp:anchor distT="0" distB="0" distL="114300" distR="114300" simplePos="0" relativeHeight="252309504" behindDoc="0" locked="0" layoutInCell="1" allowOverlap="1" wp14:anchorId="11EBD558" wp14:editId="1F64572E">
                <wp:simplePos x="0" y="0"/>
                <wp:positionH relativeFrom="column">
                  <wp:posOffset>473883</wp:posOffset>
                </wp:positionH>
                <wp:positionV relativeFrom="paragraph">
                  <wp:posOffset>1329426</wp:posOffset>
                </wp:positionV>
                <wp:extent cx="1793174" cy="249382"/>
                <wp:effectExtent l="0" t="0" r="0" b="0"/>
                <wp:wrapNone/>
                <wp:docPr id="2015" name="Text Box 2015"/>
                <wp:cNvGraphicFramePr/>
                <a:graphic xmlns:a="http://schemas.openxmlformats.org/drawingml/2006/main">
                  <a:graphicData uri="http://schemas.microsoft.com/office/word/2010/wordprocessingShape">
                    <wps:wsp>
                      <wps:cNvSpPr txBox="1"/>
                      <wps:spPr>
                        <a:xfrm>
                          <a:off x="0" y="0"/>
                          <a:ext cx="1793174" cy="249382"/>
                        </a:xfrm>
                        <a:prstGeom prst="rect">
                          <a:avLst/>
                        </a:prstGeom>
                        <a:noFill/>
                        <a:ln w="6350">
                          <a:noFill/>
                        </a:ln>
                      </wps:spPr>
                      <wps:txbx>
                        <w:txbxContent>
                          <w:p w14:paraId="75B31E99" w14:textId="77777777" w:rsidR="00230AB9" w:rsidRPr="001B142B" w:rsidRDefault="00230AB9" w:rsidP="00D740DC">
                            <w:pPr>
                              <w:jc w:val="center"/>
                              <w:rPr>
                                <w:b w:val="0"/>
                                <w:sz w:val="16"/>
                                <w:szCs w:val="16"/>
                              </w:rPr>
                            </w:pPr>
                            <w:r w:rsidRPr="001B142B">
                              <w:rPr>
                                <w:sz w:val="16"/>
                                <w:szCs w:val="16"/>
                              </w:rPr>
                              <w:t>Wavenumber (cm</w:t>
                            </w:r>
                            <w:r w:rsidRPr="001B142B">
                              <w:rPr>
                                <w:sz w:val="16"/>
                                <w:szCs w:val="16"/>
                                <w:vertAlign w:val="superscript"/>
                              </w:rPr>
                              <w:t>-1</w:t>
                            </w:r>
                            <w:r w:rsidRPr="001B142B">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EBD558" id="Text Box 2015" o:spid="_x0000_s1264" type="#_x0000_t202" style="position:absolute;margin-left:37.3pt;margin-top:104.7pt;width:141.2pt;height:19.65pt;z-index:25230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" filled="f" stroked="f" strokeweight=".5pt">
                <v:textbox>
                  <w:txbxContent>
                    <w:p w14:paraId="75B31E99" w14:textId="77777777" w:rsidR="00230AB9" w:rsidRPr="001B142B" w:rsidRDefault="00230AB9" w:rsidP="00D740DC">
                      <w:pPr>
                        <w:jc w:val="center"/>
                        <w:rPr>
                          <w:b w:val="0"/>
                          <w:sz w:val="16"/>
                          <w:szCs w:val="16"/>
                        </w:rPr>
                      </w:pPr>
                      <w:r w:rsidRPr="001B142B">
                        <w:rPr>
                          <w:sz w:val="16"/>
                          <w:szCs w:val="16"/>
                        </w:rPr>
                        <w:t>Wavenumber (cm</w:t>
                      </w:r>
                      <w:r w:rsidRPr="001B142B">
                        <w:rPr>
                          <w:sz w:val="16"/>
                          <w:szCs w:val="16"/>
                          <w:vertAlign w:val="superscript"/>
                        </w:rPr>
                        <w:t>-1</w:t>
                      </w:r>
                      <w:r w:rsidRPr="001B142B">
                        <w:rPr>
                          <w:sz w:val="16"/>
                          <w:szCs w:val="16"/>
                        </w:rPr>
                        <w:t>)</w:t>
                      </w:r>
                    </w:p>
                  </w:txbxContent>
                </v:textbox>
              </v:shape>
            </w:pict>
          </mc:Fallback>
        </mc:AlternateContent>
      </w:r>
      <w:r w:rsidRPr="000E2377">
        <w:rPr>
          <w:b w:val="0"/>
          <w:noProof/>
          <w:lang w:eastAsia="en-MY"/>
        </w:rPr>
        <w:drawing>
          <wp:inline distT="0" distB="0" distL="0" distR="0" wp14:anchorId="67713AC1" wp14:editId="7DE7DD0B">
            <wp:extent cx="2808554" cy="1440000"/>
            <wp:effectExtent l="0" t="0" r="0" b="8255"/>
            <wp:docPr id="2010" name="Pictur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08554" cy="1440000"/>
                    </a:xfrm>
                    <a:prstGeom prst="rect">
                      <a:avLst/>
                    </a:prstGeom>
                    <a:noFill/>
                  </pic:spPr>
                </pic:pic>
              </a:graphicData>
            </a:graphic>
          </wp:inline>
        </w:drawing>
      </w:r>
      <w:r w:rsidRPr="000E2377">
        <w:rPr>
          <w:b w:val="0"/>
          <w:noProof/>
          <w:lang w:eastAsia="en-MY"/>
        </w:rPr>
        <w:drawing>
          <wp:inline distT="0" distB="0" distL="0" distR="0" wp14:anchorId="4317F485" wp14:editId="090C602C">
            <wp:extent cx="2912612" cy="1440000"/>
            <wp:effectExtent l="0" t="0" r="2540" b="8255"/>
            <wp:docPr id="2011" name="Pictur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912612" cy="1440000"/>
                    </a:xfrm>
                    <a:prstGeom prst="rect">
                      <a:avLst/>
                    </a:prstGeom>
                    <a:noFill/>
                  </pic:spPr>
                </pic:pic>
              </a:graphicData>
            </a:graphic>
          </wp:inline>
        </w:drawing>
      </w:r>
    </w:p>
    <w:p w14:paraId="3548AAE2" w14:textId="77777777" w:rsidR="00D740DC" w:rsidRPr="000E2377" w:rsidRDefault="00D740DC" w:rsidP="00D740DC">
      <w:pPr>
        <w:rPr>
          <w:b w:val="0"/>
        </w:rPr>
      </w:pPr>
      <w:r w:rsidRPr="000E2377">
        <w:rPr>
          <w:b w:val="0"/>
          <w:noProof/>
          <w:lang w:eastAsia="en-MY"/>
        </w:rPr>
        <mc:AlternateContent>
          <mc:Choice Requires="wps">
            <w:drawing>
              <wp:anchor distT="0" distB="0" distL="114300" distR="114300" simplePos="0" relativeHeight="252322816" behindDoc="0" locked="0" layoutInCell="1" allowOverlap="1" wp14:anchorId="3AD220E5" wp14:editId="2A44D1C7">
                <wp:simplePos x="0" y="0"/>
                <wp:positionH relativeFrom="column">
                  <wp:posOffset>3146614</wp:posOffset>
                </wp:positionH>
                <wp:positionV relativeFrom="paragraph">
                  <wp:posOffset>109418</wp:posOffset>
                </wp:positionV>
                <wp:extent cx="2327564" cy="332105"/>
                <wp:effectExtent l="0" t="0" r="0" b="0"/>
                <wp:wrapNone/>
                <wp:docPr id="2000" name="Text Box 2000"/>
                <wp:cNvGraphicFramePr/>
                <a:graphic xmlns:a="http://schemas.openxmlformats.org/drawingml/2006/main">
                  <a:graphicData uri="http://schemas.microsoft.com/office/word/2010/wordprocessingShape">
                    <wps:wsp>
                      <wps:cNvSpPr txBox="1"/>
                      <wps:spPr>
                        <a:xfrm>
                          <a:off x="0" y="0"/>
                          <a:ext cx="2327564" cy="332105"/>
                        </a:xfrm>
                        <a:prstGeom prst="rect">
                          <a:avLst/>
                        </a:prstGeom>
                        <a:noFill/>
                        <a:ln w="6350">
                          <a:noFill/>
                        </a:ln>
                      </wps:spPr>
                      <wps:txbx>
                        <w:txbxContent>
                          <w:p w14:paraId="53E9C674" w14:textId="77777777" w:rsidR="00230AB9" w:rsidRPr="0067795A" w:rsidRDefault="00230AB9" w:rsidP="00D740DC">
                            <w:pPr>
                              <w:jc w:val="center"/>
                              <w:rPr>
                                <w:szCs w:val="24"/>
                              </w:rPr>
                            </w:pPr>
                            <w:r w:rsidRPr="007D3B1A">
                              <w:rPr>
                                <w:rFonts w:eastAsia="Times New Roman" w:cs="Times New Roman"/>
                                <w:color w:val="000000"/>
                                <w:szCs w:val="24"/>
                                <w:lang w:eastAsia="en-MY"/>
                              </w:rPr>
                              <w:t>N</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M</w:t>
                            </w:r>
                            <w:r w:rsidRPr="007D3B1A">
                              <w:rPr>
                                <w:rFonts w:eastAsia="Times New Roman" w:cs="Times New Roman"/>
                                <w:color w:val="000000"/>
                                <w:szCs w:val="24"/>
                                <w:vertAlign w:val="subscript"/>
                                <w:lang w:eastAsia="en-MY"/>
                              </w:rPr>
                              <w:t>1.1</w:t>
                            </w:r>
                            <w:r w:rsidRPr="007D3B1A">
                              <w:rPr>
                                <w:rFonts w:eastAsia="Times New Roman" w:cs="Times New Roman"/>
                                <w:color w:val="000000"/>
                                <w:szCs w:val="24"/>
                                <w:lang w:eastAsia="en-MY"/>
                              </w:rPr>
                              <w:t>C</w:t>
                            </w:r>
                            <w:r w:rsidRPr="007D3B1A">
                              <w:rPr>
                                <w:rFonts w:eastAsia="Times New Roman" w:cs="Times New Roman"/>
                                <w:color w:val="000000"/>
                                <w:szCs w:val="24"/>
                                <w:vertAlign w:val="subscript"/>
                                <w:lang w:eastAsia="en-MY"/>
                              </w:rPr>
                              <w:t>3</w:t>
                            </w:r>
                            <w:r w:rsidRPr="007D3B1A">
                              <w:rPr>
                                <w:rFonts w:eastAsia="Times New Roman" w:cs="Times New Roman"/>
                                <w:color w:val="000000"/>
                                <w:szCs w:val="24"/>
                                <w:lang w:eastAsia="en-MY"/>
                              </w:rPr>
                              <w:t>A</w:t>
                            </w:r>
                            <w:r w:rsidRPr="007D3B1A">
                              <w:rPr>
                                <w:rFonts w:eastAsia="Times New Roman" w:cs="Times New Roman"/>
                                <w:color w:val="000000"/>
                                <w:szCs w:val="24"/>
                                <w:vertAlign w:val="subscript"/>
                                <w:lang w:eastAsia="en-MY"/>
                              </w:rPr>
                              <w:t>5.2</w:t>
                            </w:r>
                            <w:r w:rsidRPr="007D3B1A">
                              <w:rPr>
                                <w:rFonts w:eastAsia="Times New Roman" w:cs="Times New Roman"/>
                                <w:color w:val="000000"/>
                                <w:szCs w:val="24"/>
                                <w:lang w:eastAsia="en-MY"/>
                              </w:rPr>
                              <w:t>B</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S</w:t>
                            </w:r>
                            <w:r w:rsidRPr="007D3B1A">
                              <w:rPr>
                                <w:rFonts w:eastAsia="Times New Roman" w:cs="Times New Roman"/>
                                <w:color w:val="000000"/>
                                <w:szCs w:val="24"/>
                                <w:vertAlign w:val="subscript"/>
                                <w:lang w:eastAsia="en-MY"/>
                              </w:rPr>
                              <w:t>75.5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220E5" id="Text Box 2000" o:spid="_x0000_s1265" type="#_x0000_t202" style="position:absolute;margin-left:247.75pt;margin-top:8.6pt;width:183.25pt;height:26.1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" filled="f" stroked="f" strokeweight=".5pt">
                <v:textbox>
                  <w:txbxContent>
                    <w:p w14:paraId="53E9C674" w14:textId="77777777" w:rsidR="00230AB9" w:rsidRPr="0067795A" w:rsidRDefault="00230AB9" w:rsidP="00D740DC">
                      <w:pPr>
                        <w:jc w:val="center"/>
                        <w:rPr>
                          <w:szCs w:val="24"/>
                        </w:rPr>
                      </w:pPr>
                      <w:r w:rsidRPr="007D3B1A">
                        <w:rPr>
                          <w:rFonts w:eastAsia="Times New Roman" w:cs="Times New Roman"/>
                          <w:color w:val="000000"/>
                          <w:szCs w:val="24"/>
                          <w:lang w:eastAsia="en-MY"/>
                        </w:rPr>
                        <w:t>N</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M</w:t>
                      </w:r>
                      <w:r w:rsidRPr="007D3B1A">
                        <w:rPr>
                          <w:rFonts w:eastAsia="Times New Roman" w:cs="Times New Roman"/>
                          <w:color w:val="000000"/>
                          <w:szCs w:val="24"/>
                          <w:vertAlign w:val="subscript"/>
                          <w:lang w:eastAsia="en-MY"/>
                        </w:rPr>
                        <w:t>1.1</w:t>
                      </w:r>
                      <w:r w:rsidRPr="007D3B1A">
                        <w:rPr>
                          <w:rFonts w:eastAsia="Times New Roman" w:cs="Times New Roman"/>
                          <w:color w:val="000000"/>
                          <w:szCs w:val="24"/>
                          <w:lang w:eastAsia="en-MY"/>
                        </w:rPr>
                        <w:t>C</w:t>
                      </w:r>
                      <w:r w:rsidRPr="007D3B1A">
                        <w:rPr>
                          <w:rFonts w:eastAsia="Times New Roman" w:cs="Times New Roman"/>
                          <w:color w:val="000000"/>
                          <w:szCs w:val="24"/>
                          <w:vertAlign w:val="subscript"/>
                          <w:lang w:eastAsia="en-MY"/>
                        </w:rPr>
                        <w:t>3</w:t>
                      </w:r>
                      <w:r w:rsidRPr="007D3B1A">
                        <w:rPr>
                          <w:rFonts w:eastAsia="Times New Roman" w:cs="Times New Roman"/>
                          <w:color w:val="000000"/>
                          <w:szCs w:val="24"/>
                          <w:lang w:eastAsia="en-MY"/>
                        </w:rPr>
                        <w:t>A</w:t>
                      </w:r>
                      <w:r w:rsidRPr="007D3B1A">
                        <w:rPr>
                          <w:rFonts w:eastAsia="Times New Roman" w:cs="Times New Roman"/>
                          <w:color w:val="000000"/>
                          <w:szCs w:val="24"/>
                          <w:vertAlign w:val="subscript"/>
                          <w:lang w:eastAsia="en-MY"/>
                        </w:rPr>
                        <w:t>5.2</w:t>
                      </w:r>
                      <w:r w:rsidRPr="007D3B1A">
                        <w:rPr>
                          <w:rFonts w:eastAsia="Times New Roman" w:cs="Times New Roman"/>
                          <w:color w:val="000000"/>
                          <w:szCs w:val="24"/>
                          <w:lang w:eastAsia="en-MY"/>
                        </w:rPr>
                        <w:t>B</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S</w:t>
                      </w:r>
                      <w:r w:rsidRPr="007D3B1A">
                        <w:rPr>
                          <w:rFonts w:eastAsia="Times New Roman" w:cs="Times New Roman"/>
                          <w:color w:val="000000"/>
                          <w:szCs w:val="24"/>
                          <w:vertAlign w:val="subscript"/>
                          <w:lang w:eastAsia="en-MY"/>
                        </w:rPr>
                        <w:t>75.5</w:t>
                      </w:r>
                    </w:p>
                  </w:txbxContent>
                </v:textbox>
              </v:shape>
            </w:pict>
          </mc:Fallback>
        </mc:AlternateContent>
      </w:r>
      <w:r w:rsidRPr="000E2377">
        <w:rPr>
          <w:b w:val="0"/>
          <w:noProof/>
          <w:lang w:eastAsia="en-MY"/>
        </w:rPr>
        <mc:AlternateContent>
          <mc:Choice Requires="wps">
            <w:drawing>
              <wp:anchor distT="0" distB="0" distL="114300" distR="114300" simplePos="0" relativeHeight="252321792" behindDoc="0" locked="0" layoutInCell="1" allowOverlap="1" wp14:anchorId="2D3077F1" wp14:editId="37761851">
                <wp:simplePos x="0" y="0"/>
                <wp:positionH relativeFrom="column">
                  <wp:posOffset>379986</wp:posOffset>
                </wp:positionH>
                <wp:positionV relativeFrom="paragraph">
                  <wp:posOffset>109162</wp:posOffset>
                </wp:positionV>
                <wp:extent cx="2042556" cy="356235"/>
                <wp:effectExtent l="0" t="0" r="0" b="5715"/>
                <wp:wrapNone/>
                <wp:docPr id="1999" name="Text Box 1999"/>
                <wp:cNvGraphicFramePr/>
                <a:graphic xmlns:a="http://schemas.openxmlformats.org/drawingml/2006/main">
                  <a:graphicData uri="http://schemas.microsoft.com/office/word/2010/wordprocessingShape">
                    <wps:wsp>
                      <wps:cNvSpPr txBox="1"/>
                      <wps:spPr>
                        <a:xfrm>
                          <a:off x="0" y="0"/>
                          <a:ext cx="2042556" cy="356235"/>
                        </a:xfrm>
                        <a:prstGeom prst="rect">
                          <a:avLst/>
                        </a:prstGeom>
                        <a:noFill/>
                        <a:ln w="6350">
                          <a:noFill/>
                        </a:ln>
                      </wps:spPr>
                      <wps:txbx>
                        <w:txbxContent>
                          <w:p w14:paraId="287EB344" w14:textId="77777777" w:rsidR="00230AB9" w:rsidRPr="0067795A" w:rsidRDefault="00230AB9" w:rsidP="00D740DC">
                            <w:pPr>
                              <w:jc w:val="center"/>
                              <w:rPr>
                                <w:szCs w:val="24"/>
                              </w:rPr>
                            </w:pPr>
                            <w:r w:rsidRPr="007D3B1A">
                              <w:rPr>
                                <w:rFonts w:eastAsia="Times New Roman" w:cs="Times New Roman"/>
                                <w:color w:val="000000"/>
                                <w:szCs w:val="24"/>
                                <w:lang w:eastAsia="en-MY"/>
                              </w:rPr>
                              <w:t>N</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M</w:t>
                            </w:r>
                            <w:r w:rsidRPr="007D3B1A">
                              <w:rPr>
                                <w:rFonts w:eastAsia="Times New Roman" w:cs="Times New Roman"/>
                                <w:color w:val="000000"/>
                                <w:szCs w:val="24"/>
                                <w:vertAlign w:val="subscript"/>
                                <w:lang w:eastAsia="en-MY"/>
                              </w:rPr>
                              <w:t>1.1</w:t>
                            </w:r>
                            <w:r w:rsidRPr="007D3B1A">
                              <w:rPr>
                                <w:rFonts w:eastAsia="Times New Roman" w:cs="Times New Roman"/>
                                <w:color w:val="000000"/>
                                <w:szCs w:val="24"/>
                                <w:lang w:eastAsia="en-MY"/>
                              </w:rPr>
                              <w:t>C</w:t>
                            </w:r>
                            <w:r w:rsidRPr="007D3B1A">
                              <w:rPr>
                                <w:rFonts w:eastAsia="Times New Roman" w:cs="Times New Roman"/>
                                <w:color w:val="000000"/>
                                <w:szCs w:val="24"/>
                                <w:vertAlign w:val="subscript"/>
                                <w:lang w:eastAsia="en-MY"/>
                              </w:rPr>
                              <w:t>3</w:t>
                            </w:r>
                            <w:r w:rsidRPr="007D3B1A">
                              <w:rPr>
                                <w:rFonts w:eastAsia="Times New Roman" w:cs="Times New Roman"/>
                                <w:color w:val="000000"/>
                                <w:szCs w:val="24"/>
                                <w:lang w:eastAsia="en-MY"/>
                              </w:rPr>
                              <w:t>A</w:t>
                            </w:r>
                            <w:r w:rsidRPr="007D3B1A">
                              <w:rPr>
                                <w:rFonts w:eastAsia="Times New Roman" w:cs="Times New Roman"/>
                                <w:color w:val="000000"/>
                                <w:szCs w:val="24"/>
                                <w:vertAlign w:val="subscript"/>
                                <w:lang w:eastAsia="en-MY"/>
                              </w:rPr>
                              <w:t>5</w:t>
                            </w:r>
                            <w:r w:rsidRPr="007D3B1A">
                              <w:rPr>
                                <w:rFonts w:eastAsia="Times New Roman" w:cs="Times New Roman"/>
                                <w:color w:val="000000"/>
                                <w:szCs w:val="24"/>
                                <w:lang w:eastAsia="en-MY"/>
                              </w:rPr>
                              <w:t>B</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S</w:t>
                            </w:r>
                            <w:r w:rsidRPr="007D3B1A">
                              <w:rPr>
                                <w:rFonts w:eastAsia="Times New Roman" w:cs="Times New Roman"/>
                                <w:color w:val="000000"/>
                                <w:szCs w:val="24"/>
                                <w:vertAlign w:val="subscript"/>
                                <w:lang w:eastAsia="en-MY"/>
                              </w:rPr>
                              <w:t>75.7</w:t>
                            </w:r>
                            <w:r w:rsidRPr="007D3B1A">
                              <w:rPr>
                                <w:rFonts w:eastAsia="Times New Roman" w:cs="Times New Roman"/>
                                <w:color w:val="000000"/>
                                <w:szCs w:val="24"/>
                                <w:lang w:eastAsia="en-MY"/>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077F1" id="Text Box 1999" o:spid="_x0000_s1266" type="#_x0000_t202" style="position:absolute;margin-left:29.9pt;margin-top:8.6pt;width:160.85pt;height:28.0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" filled="f" stroked="f" strokeweight=".5pt">
                <v:textbox>
                  <w:txbxContent>
                    <w:p w14:paraId="287EB344" w14:textId="77777777" w:rsidR="00230AB9" w:rsidRPr="0067795A" w:rsidRDefault="00230AB9" w:rsidP="00D740DC">
                      <w:pPr>
                        <w:jc w:val="center"/>
                        <w:rPr>
                          <w:szCs w:val="24"/>
                        </w:rPr>
                      </w:pPr>
                      <w:r w:rsidRPr="007D3B1A">
                        <w:rPr>
                          <w:rFonts w:eastAsia="Times New Roman" w:cs="Times New Roman"/>
                          <w:color w:val="000000"/>
                          <w:szCs w:val="24"/>
                          <w:lang w:eastAsia="en-MY"/>
                        </w:rPr>
                        <w:t>N</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M</w:t>
                      </w:r>
                      <w:r w:rsidRPr="007D3B1A">
                        <w:rPr>
                          <w:rFonts w:eastAsia="Times New Roman" w:cs="Times New Roman"/>
                          <w:color w:val="000000"/>
                          <w:szCs w:val="24"/>
                          <w:vertAlign w:val="subscript"/>
                          <w:lang w:eastAsia="en-MY"/>
                        </w:rPr>
                        <w:t>1.1</w:t>
                      </w:r>
                      <w:r w:rsidRPr="007D3B1A">
                        <w:rPr>
                          <w:rFonts w:eastAsia="Times New Roman" w:cs="Times New Roman"/>
                          <w:color w:val="000000"/>
                          <w:szCs w:val="24"/>
                          <w:lang w:eastAsia="en-MY"/>
                        </w:rPr>
                        <w:t>C</w:t>
                      </w:r>
                      <w:r w:rsidRPr="007D3B1A">
                        <w:rPr>
                          <w:rFonts w:eastAsia="Times New Roman" w:cs="Times New Roman"/>
                          <w:color w:val="000000"/>
                          <w:szCs w:val="24"/>
                          <w:vertAlign w:val="subscript"/>
                          <w:lang w:eastAsia="en-MY"/>
                        </w:rPr>
                        <w:t>3</w:t>
                      </w:r>
                      <w:r w:rsidRPr="007D3B1A">
                        <w:rPr>
                          <w:rFonts w:eastAsia="Times New Roman" w:cs="Times New Roman"/>
                          <w:color w:val="000000"/>
                          <w:szCs w:val="24"/>
                          <w:lang w:eastAsia="en-MY"/>
                        </w:rPr>
                        <w:t>A</w:t>
                      </w:r>
                      <w:r w:rsidRPr="007D3B1A">
                        <w:rPr>
                          <w:rFonts w:eastAsia="Times New Roman" w:cs="Times New Roman"/>
                          <w:color w:val="000000"/>
                          <w:szCs w:val="24"/>
                          <w:vertAlign w:val="subscript"/>
                          <w:lang w:eastAsia="en-MY"/>
                        </w:rPr>
                        <w:t>5</w:t>
                      </w:r>
                      <w:r w:rsidRPr="007D3B1A">
                        <w:rPr>
                          <w:rFonts w:eastAsia="Times New Roman" w:cs="Times New Roman"/>
                          <w:color w:val="000000"/>
                          <w:szCs w:val="24"/>
                          <w:lang w:eastAsia="en-MY"/>
                        </w:rPr>
                        <w:t>B</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S</w:t>
                      </w:r>
                      <w:r w:rsidRPr="007D3B1A">
                        <w:rPr>
                          <w:rFonts w:eastAsia="Times New Roman" w:cs="Times New Roman"/>
                          <w:color w:val="000000"/>
                          <w:szCs w:val="24"/>
                          <w:vertAlign w:val="subscript"/>
                          <w:lang w:eastAsia="en-MY"/>
                        </w:rPr>
                        <w:t>75.7</w:t>
                      </w:r>
                      <w:r w:rsidRPr="007D3B1A">
                        <w:rPr>
                          <w:rFonts w:eastAsia="Times New Roman" w:cs="Times New Roman"/>
                          <w:color w:val="000000"/>
                          <w:szCs w:val="24"/>
                          <w:lang w:eastAsia="en-MY"/>
                        </w:rPr>
                        <w:t xml:space="preserve"> </w:t>
                      </w:r>
                    </w:p>
                  </w:txbxContent>
                </v:textbox>
              </v:shape>
            </w:pict>
          </mc:Fallback>
        </mc:AlternateContent>
      </w:r>
      <w:r w:rsidRPr="000E2377">
        <w:rPr>
          <w:b w:val="0"/>
          <w:noProof/>
          <w:lang w:eastAsia="en-MY"/>
        </w:rPr>
        <mc:AlternateContent>
          <mc:Choice Requires="wps">
            <w:drawing>
              <wp:anchor distT="0" distB="0" distL="114300" distR="114300" simplePos="0" relativeHeight="252317696" behindDoc="0" locked="0" layoutInCell="1" allowOverlap="1" wp14:anchorId="488FA501" wp14:editId="49B9FF70">
                <wp:simplePos x="0" y="0"/>
                <wp:positionH relativeFrom="leftMargin">
                  <wp:posOffset>2849761</wp:posOffset>
                </wp:positionH>
                <wp:positionV relativeFrom="paragraph">
                  <wp:posOffset>416767</wp:posOffset>
                </wp:positionV>
                <wp:extent cx="1793174" cy="249382"/>
                <wp:effectExtent l="0" t="0" r="7937" b="0"/>
                <wp:wrapNone/>
                <wp:docPr id="2065" name="Text Box 2065"/>
                <wp:cNvGraphicFramePr/>
                <a:graphic xmlns:a="http://schemas.openxmlformats.org/drawingml/2006/main">
                  <a:graphicData uri="http://schemas.microsoft.com/office/word/2010/wordprocessingShape">
                    <wps:wsp>
                      <wps:cNvSpPr txBox="1"/>
                      <wps:spPr>
                        <a:xfrm rot="16200000">
                          <a:off x="0" y="0"/>
                          <a:ext cx="1793174" cy="249382"/>
                        </a:xfrm>
                        <a:prstGeom prst="rect">
                          <a:avLst/>
                        </a:prstGeom>
                        <a:noFill/>
                        <a:ln w="6350">
                          <a:noFill/>
                        </a:ln>
                      </wps:spPr>
                      <wps:txbx>
                        <w:txbxContent>
                          <w:p w14:paraId="4025189A"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8FA501" id="Text Box 2065" o:spid="_x0000_s1267" type="#_x0000_t202" style="position:absolute;margin-left:224.4pt;margin-top:32.8pt;width:141.2pt;height:19.65pt;rotation:-90;z-index:252317696;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" filled="f" stroked="f" strokeweight=".5pt">
                <v:textbox>
                  <w:txbxContent>
                    <w:p w14:paraId="4025189A"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v:textbox>
                <w10:wrap anchorx="margin"/>
              </v:shape>
            </w:pict>
          </mc:Fallback>
        </mc:AlternateContent>
      </w:r>
      <w:r w:rsidRPr="000E2377">
        <w:rPr>
          <w:b w:val="0"/>
          <w:noProof/>
          <w:lang w:eastAsia="en-MY"/>
        </w:rPr>
        <mc:AlternateContent>
          <mc:Choice Requires="wps">
            <w:drawing>
              <wp:anchor distT="0" distB="0" distL="114300" distR="114300" simplePos="0" relativeHeight="252316672" behindDoc="0" locked="0" layoutInCell="1" allowOverlap="1" wp14:anchorId="7F8950FD" wp14:editId="51F4E9ED">
                <wp:simplePos x="0" y="0"/>
                <wp:positionH relativeFrom="leftMargin">
                  <wp:posOffset>-106680</wp:posOffset>
                </wp:positionH>
                <wp:positionV relativeFrom="paragraph">
                  <wp:posOffset>416131</wp:posOffset>
                </wp:positionV>
                <wp:extent cx="1793174" cy="249382"/>
                <wp:effectExtent l="0" t="0" r="7937" b="0"/>
                <wp:wrapNone/>
                <wp:docPr id="2064" name="Text Box 2064"/>
                <wp:cNvGraphicFramePr/>
                <a:graphic xmlns:a="http://schemas.openxmlformats.org/drawingml/2006/main">
                  <a:graphicData uri="http://schemas.microsoft.com/office/word/2010/wordprocessingShape">
                    <wps:wsp>
                      <wps:cNvSpPr txBox="1"/>
                      <wps:spPr>
                        <a:xfrm rot="16200000">
                          <a:off x="0" y="0"/>
                          <a:ext cx="1793174" cy="249382"/>
                        </a:xfrm>
                        <a:prstGeom prst="rect">
                          <a:avLst/>
                        </a:prstGeom>
                        <a:noFill/>
                        <a:ln w="6350">
                          <a:noFill/>
                        </a:ln>
                      </wps:spPr>
                      <wps:txbx>
                        <w:txbxContent>
                          <w:p w14:paraId="715E02CC"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8950FD" id="Text Box 2064" o:spid="_x0000_s1268" type="#_x0000_t202" style="position:absolute;margin-left:-8.4pt;margin-top:32.75pt;width:141.2pt;height:19.65pt;rotation:-90;z-index:252316672;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" filled="f" stroked="f" strokeweight=".5pt">
                <v:textbox>
                  <w:txbxContent>
                    <w:p w14:paraId="715E02CC"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v:textbox>
                <w10:wrap anchorx="margin"/>
              </v:shape>
            </w:pict>
          </mc:Fallback>
        </mc:AlternateContent>
      </w:r>
      <w:r w:rsidRPr="000E2377">
        <w:rPr>
          <w:b w:val="0"/>
          <w:noProof/>
          <w:lang w:eastAsia="en-MY"/>
        </w:rPr>
        <mc:AlternateContent>
          <mc:Choice Requires="wps">
            <w:drawing>
              <wp:anchor distT="0" distB="0" distL="114300" distR="114300" simplePos="0" relativeHeight="252312576" behindDoc="0" locked="0" layoutInCell="1" allowOverlap="1" wp14:anchorId="3BBF1838" wp14:editId="2D10DE22">
                <wp:simplePos x="0" y="0"/>
                <wp:positionH relativeFrom="column">
                  <wp:posOffset>3550722</wp:posOffset>
                </wp:positionH>
                <wp:positionV relativeFrom="paragraph">
                  <wp:posOffset>1339578</wp:posOffset>
                </wp:positionV>
                <wp:extent cx="1793174" cy="249382"/>
                <wp:effectExtent l="0" t="0" r="0" b="0"/>
                <wp:wrapNone/>
                <wp:docPr id="2051" name="Text Box 2051"/>
                <wp:cNvGraphicFramePr/>
                <a:graphic xmlns:a="http://schemas.openxmlformats.org/drawingml/2006/main">
                  <a:graphicData uri="http://schemas.microsoft.com/office/word/2010/wordprocessingShape">
                    <wps:wsp>
                      <wps:cNvSpPr txBox="1"/>
                      <wps:spPr>
                        <a:xfrm>
                          <a:off x="0" y="0"/>
                          <a:ext cx="1793174" cy="249382"/>
                        </a:xfrm>
                        <a:prstGeom prst="rect">
                          <a:avLst/>
                        </a:prstGeom>
                        <a:noFill/>
                        <a:ln w="6350">
                          <a:noFill/>
                        </a:ln>
                      </wps:spPr>
                      <wps:txbx>
                        <w:txbxContent>
                          <w:p w14:paraId="56F14CB1" w14:textId="77777777" w:rsidR="00230AB9" w:rsidRPr="001B142B" w:rsidRDefault="00230AB9" w:rsidP="00D740DC">
                            <w:pPr>
                              <w:jc w:val="center"/>
                              <w:rPr>
                                <w:b w:val="0"/>
                                <w:sz w:val="16"/>
                                <w:szCs w:val="16"/>
                              </w:rPr>
                            </w:pPr>
                            <w:r w:rsidRPr="001B142B">
                              <w:rPr>
                                <w:sz w:val="16"/>
                                <w:szCs w:val="16"/>
                              </w:rPr>
                              <w:t>Wavenumber (cm</w:t>
                            </w:r>
                            <w:r w:rsidRPr="001B142B">
                              <w:rPr>
                                <w:sz w:val="16"/>
                                <w:szCs w:val="16"/>
                                <w:vertAlign w:val="superscript"/>
                              </w:rPr>
                              <w:t>-1</w:t>
                            </w:r>
                            <w:r w:rsidRPr="001B142B">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BF1838" id="Text Box 2051" o:spid="_x0000_s1269" type="#_x0000_t202" style="position:absolute;margin-left:279.6pt;margin-top:105.5pt;width:141.2pt;height:19.65pt;z-index:25231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" filled="f" stroked="f" strokeweight=".5pt">
                <v:textbox>
                  <w:txbxContent>
                    <w:p w14:paraId="56F14CB1" w14:textId="77777777" w:rsidR="00230AB9" w:rsidRPr="001B142B" w:rsidRDefault="00230AB9" w:rsidP="00D740DC">
                      <w:pPr>
                        <w:jc w:val="center"/>
                        <w:rPr>
                          <w:b w:val="0"/>
                          <w:sz w:val="16"/>
                          <w:szCs w:val="16"/>
                        </w:rPr>
                      </w:pPr>
                      <w:r w:rsidRPr="001B142B">
                        <w:rPr>
                          <w:sz w:val="16"/>
                          <w:szCs w:val="16"/>
                        </w:rPr>
                        <w:t>Wavenumber (cm</w:t>
                      </w:r>
                      <w:r w:rsidRPr="001B142B">
                        <w:rPr>
                          <w:sz w:val="16"/>
                          <w:szCs w:val="16"/>
                          <w:vertAlign w:val="superscript"/>
                        </w:rPr>
                        <w:t>-1</w:t>
                      </w:r>
                      <w:r w:rsidRPr="001B142B">
                        <w:rPr>
                          <w:sz w:val="16"/>
                          <w:szCs w:val="16"/>
                        </w:rPr>
                        <w:t>)</w:t>
                      </w:r>
                    </w:p>
                  </w:txbxContent>
                </v:textbox>
              </v:shape>
            </w:pict>
          </mc:Fallback>
        </mc:AlternateContent>
      </w:r>
      <w:r w:rsidRPr="000E2377">
        <w:rPr>
          <w:b w:val="0"/>
          <w:noProof/>
          <w:lang w:eastAsia="en-MY"/>
        </w:rPr>
        <mc:AlternateContent>
          <mc:Choice Requires="wps">
            <w:drawing>
              <wp:anchor distT="0" distB="0" distL="114300" distR="114300" simplePos="0" relativeHeight="252311552" behindDoc="0" locked="0" layoutInCell="1" allowOverlap="1" wp14:anchorId="7B268442" wp14:editId="0FACC3E0">
                <wp:simplePos x="0" y="0"/>
                <wp:positionH relativeFrom="column">
                  <wp:posOffset>570015</wp:posOffset>
                </wp:positionH>
                <wp:positionV relativeFrom="paragraph">
                  <wp:posOffset>1351915</wp:posOffset>
                </wp:positionV>
                <wp:extent cx="1793174" cy="249382"/>
                <wp:effectExtent l="0" t="0" r="0" b="0"/>
                <wp:wrapNone/>
                <wp:docPr id="2050" name="Text Box 2050"/>
                <wp:cNvGraphicFramePr/>
                <a:graphic xmlns:a="http://schemas.openxmlformats.org/drawingml/2006/main">
                  <a:graphicData uri="http://schemas.microsoft.com/office/word/2010/wordprocessingShape">
                    <wps:wsp>
                      <wps:cNvSpPr txBox="1"/>
                      <wps:spPr>
                        <a:xfrm>
                          <a:off x="0" y="0"/>
                          <a:ext cx="1793174" cy="249382"/>
                        </a:xfrm>
                        <a:prstGeom prst="rect">
                          <a:avLst/>
                        </a:prstGeom>
                        <a:noFill/>
                        <a:ln w="6350">
                          <a:noFill/>
                        </a:ln>
                      </wps:spPr>
                      <wps:txbx>
                        <w:txbxContent>
                          <w:p w14:paraId="6EFF8DED" w14:textId="77777777" w:rsidR="00230AB9" w:rsidRPr="001B142B" w:rsidRDefault="00230AB9" w:rsidP="00D740DC">
                            <w:pPr>
                              <w:jc w:val="center"/>
                              <w:rPr>
                                <w:b w:val="0"/>
                                <w:sz w:val="16"/>
                                <w:szCs w:val="16"/>
                              </w:rPr>
                            </w:pPr>
                            <w:r w:rsidRPr="001B142B">
                              <w:rPr>
                                <w:sz w:val="16"/>
                                <w:szCs w:val="16"/>
                              </w:rPr>
                              <w:t>Wavenumber (cm</w:t>
                            </w:r>
                            <w:r w:rsidRPr="001B142B">
                              <w:rPr>
                                <w:sz w:val="16"/>
                                <w:szCs w:val="16"/>
                                <w:vertAlign w:val="superscript"/>
                              </w:rPr>
                              <w:t>-1</w:t>
                            </w:r>
                            <w:r w:rsidRPr="001B142B">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268442" id="Text Box 2050" o:spid="_x0000_s1270" type="#_x0000_t202" style="position:absolute;margin-left:44.9pt;margin-top:106.45pt;width:141.2pt;height:19.65pt;z-index:25231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" filled="f" stroked="f" strokeweight=".5pt">
                <v:textbox>
                  <w:txbxContent>
                    <w:p w14:paraId="6EFF8DED" w14:textId="77777777" w:rsidR="00230AB9" w:rsidRPr="001B142B" w:rsidRDefault="00230AB9" w:rsidP="00D740DC">
                      <w:pPr>
                        <w:jc w:val="center"/>
                        <w:rPr>
                          <w:b w:val="0"/>
                          <w:sz w:val="16"/>
                          <w:szCs w:val="16"/>
                        </w:rPr>
                      </w:pPr>
                      <w:r w:rsidRPr="001B142B">
                        <w:rPr>
                          <w:sz w:val="16"/>
                          <w:szCs w:val="16"/>
                        </w:rPr>
                        <w:t>Wavenumber (cm</w:t>
                      </w:r>
                      <w:r w:rsidRPr="001B142B">
                        <w:rPr>
                          <w:sz w:val="16"/>
                          <w:szCs w:val="16"/>
                          <w:vertAlign w:val="superscript"/>
                        </w:rPr>
                        <w:t>-1</w:t>
                      </w:r>
                      <w:r w:rsidRPr="001B142B">
                        <w:rPr>
                          <w:sz w:val="16"/>
                          <w:szCs w:val="16"/>
                        </w:rPr>
                        <w:t>)</w:t>
                      </w:r>
                    </w:p>
                  </w:txbxContent>
                </v:textbox>
              </v:shape>
            </w:pict>
          </mc:Fallback>
        </mc:AlternateContent>
      </w:r>
      <w:r w:rsidRPr="000E2377">
        <w:rPr>
          <w:b w:val="0"/>
          <w:noProof/>
          <w:lang w:eastAsia="en-MY"/>
        </w:rPr>
        <w:drawing>
          <wp:inline distT="0" distB="0" distL="0" distR="0" wp14:anchorId="71E3316D" wp14:editId="33EC269F">
            <wp:extent cx="2898843" cy="1439545"/>
            <wp:effectExtent l="0" t="0" r="0" b="8255"/>
            <wp:docPr id="2012" name="Pictur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01106" cy="1440669"/>
                    </a:xfrm>
                    <a:prstGeom prst="rect">
                      <a:avLst/>
                    </a:prstGeom>
                    <a:noFill/>
                  </pic:spPr>
                </pic:pic>
              </a:graphicData>
            </a:graphic>
          </wp:inline>
        </w:drawing>
      </w:r>
      <w:r w:rsidRPr="000E2377">
        <w:rPr>
          <w:b w:val="0"/>
          <w:noProof/>
          <w:lang w:eastAsia="en-MY"/>
        </w:rPr>
        <w:drawing>
          <wp:inline distT="0" distB="0" distL="0" distR="0" wp14:anchorId="05927DB4" wp14:editId="5FED10FF">
            <wp:extent cx="2801566" cy="1439424"/>
            <wp:effectExtent l="0" t="0" r="0" b="8890"/>
            <wp:docPr id="2013" name="Pictur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07666" cy="1442558"/>
                    </a:xfrm>
                    <a:prstGeom prst="rect">
                      <a:avLst/>
                    </a:prstGeom>
                    <a:noFill/>
                  </pic:spPr>
                </pic:pic>
              </a:graphicData>
            </a:graphic>
          </wp:inline>
        </w:drawing>
      </w:r>
    </w:p>
    <w:p w14:paraId="3FD07106" w14:textId="77777777" w:rsidR="00D740DC" w:rsidRPr="000E2377" w:rsidRDefault="00D740DC" w:rsidP="00D740DC">
      <w:pPr>
        <w:jc w:val="center"/>
        <w:rPr>
          <w:b w:val="0"/>
        </w:rPr>
      </w:pPr>
      <w:r w:rsidRPr="000E2377">
        <w:rPr>
          <w:b w:val="0"/>
          <w:noProof/>
          <w:lang w:eastAsia="en-MY"/>
        </w:rPr>
        <mc:AlternateContent>
          <mc:Choice Requires="wps">
            <w:drawing>
              <wp:anchor distT="0" distB="0" distL="114300" distR="114300" simplePos="0" relativeHeight="252323840" behindDoc="0" locked="0" layoutInCell="1" allowOverlap="1" wp14:anchorId="24B1DFBA" wp14:editId="56E0BB49">
                <wp:simplePos x="0" y="0"/>
                <wp:positionH relativeFrom="column">
                  <wp:posOffset>1590518</wp:posOffset>
                </wp:positionH>
                <wp:positionV relativeFrom="paragraph">
                  <wp:posOffset>122876</wp:posOffset>
                </wp:positionV>
                <wp:extent cx="2636322" cy="332509"/>
                <wp:effectExtent l="0" t="0" r="0" b="0"/>
                <wp:wrapNone/>
                <wp:docPr id="2003" name="Text Box 2003"/>
                <wp:cNvGraphicFramePr/>
                <a:graphic xmlns:a="http://schemas.openxmlformats.org/drawingml/2006/main">
                  <a:graphicData uri="http://schemas.microsoft.com/office/word/2010/wordprocessingShape">
                    <wps:wsp>
                      <wps:cNvSpPr txBox="1"/>
                      <wps:spPr>
                        <a:xfrm>
                          <a:off x="0" y="0"/>
                          <a:ext cx="2636322" cy="332509"/>
                        </a:xfrm>
                        <a:prstGeom prst="rect">
                          <a:avLst/>
                        </a:prstGeom>
                        <a:noFill/>
                        <a:ln w="6350">
                          <a:noFill/>
                        </a:ln>
                      </wps:spPr>
                      <wps:txbx>
                        <w:txbxContent>
                          <w:p w14:paraId="324BD007" w14:textId="77777777" w:rsidR="00230AB9" w:rsidRPr="0067795A" w:rsidRDefault="00230AB9" w:rsidP="00D740DC">
                            <w:pPr>
                              <w:jc w:val="center"/>
                              <w:rPr>
                                <w:szCs w:val="24"/>
                              </w:rPr>
                            </w:pPr>
                            <w:r w:rsidRPr="007D3B1A">
                              <w:rPr>
                                <w:rFonts w:eastAsia="Times New Roman" w:cs="Times New Roman"/>
                                <w:color w:val="000000"/>
                                <w:szCs w:val="24"/>
                                <w:lang w:eastAsia="en-MY"/>
                              </w:rPr>
                              <w:t>N</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M</w:t>
                            </w:r>
                            <w:r w:rsidRPr="007D3B1A">
                              <w:rPr>
                                <w:rFonts w:eastAsia="Times New Roman" w:cs="Times New Roman"/>
                                <w:color w:val="000000"/>
                                <w:szCs w:val="24"/>
                                <w:vertAlign w:val="subscript"/>
                                <w:lang w:eastAsia="en-MY"/>
                              </w:rPr>
                              <w:t>1.1</w:t>
                            </w:r>
                            <w:r w:rsidRPr="007D3B1A">
                              <w:rPr>
                                <w:rFonts w:eastAsia="Times New Roman" w:cs="Times New Roman"/>
                                <w:color w:val="000000"/>
                                <w:szCs w:val="24"/>
                                <w:lang w:eastAsia="en-MY"/>
                              </w:rPr>
                              <w:t>C</w:t>
                            </w:r>
                            <w:r w:rsidRPr="007D3B1A">
                              <w:rPr>
                                <w:rFonts w:eastAsia="Times New Roman" w:cs="Times New Roman"/>
                                <w:color w:val="000000"/>
                                <w:szCs w:val="24"/>
                                <w:vertAlign w:val="subscript"/>
                                <w:lang w:eastAsia="en-MY"/>
                              </w:rPr>
                              <w:t>3</w:t>
                            </w:r>
                            <w:r w:rsidRPr="007D3B1A">
                              <w:rPr>
                                <w:rFonts w:eastAsia="Times New Roman" w:cs="Times New Roman"/>
                                <w:color w:val="000000"/>
                                <w:szCs w:val="24"/>
                                <w:lang w:eastAsia="en-MY"/>
                              </w:rPr>
                              <w:t>A</w:t>
                            </w:r>
                            <w:r w:rsidRPr="007D3B1A">
                              <w:rPr>
                                <w:rFonts w:eastAsia="Times New Roman" w:cs="Times New Roman"/>
                                <w:color w:val="000000"/>
                                <w:szCs w:val="24"/>
                                <w:vertAlign w:val="subscript"/>
                                <w:lang w:eastAsia="en-MY"/>
                              </w:rPr>
                              <w:t>7.5</w:t>
                            </w:r>
                            <w:r w:rsidRPr="007D3B1A">
                              <w:rPr>
                                <w:rFonts w:eastAsia="Times New Roman" w:cs="Times New Roman"/>
                                <w:color w:val="000000"/>
                                <w:szCs w:val="24"/>
                                <w:lang w:eastAsia="en-MY"/>
                              </w:rPr>
                              <w:t>B</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S</w:t>
                            </w:r>
                            <w:r w:rsidRPr="007D3B1A">
                              <w:rPr>
                                <w:rFonts w:eastAsia="Times New Roman" w:cs="Times New Roman"/>
                                <w:color w:val="000000"/>
                                <w:szCs w:val="24"/>
                                <w:vertAlign w:val="subscript"/>
                                <w:lang w:eastAsia="en-MY"/>
                              </w:rPr>
                              <w:t>73.2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1DFBA" id="Text Box 2003" o:spid="_x0000_s1271" type="#_x0000_t202" style="position:absolute;left:0;text-align:left;margin-left:125.25pt;margin-top:9.7pt;width:207.6pt;height:26.2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" filled="f" stroked="f" strokeweight=".5pt">
                <v:textbox>
                  <w:txbxContent>
                    <w:p w14:paraId="324BD007" w14:textId="77777777" w:rsidR="00230AB9" w:rsidRPr="0067795A" w:rsidRDefault="00230AB9" w:rsidP="00D740DC">
                      <w:pPr>
                        <w:jc w:val="center"/>
                        <w:rPr>
                          <w:szCs w:val="24"/>
                        </w:rPr>
                      </w:pPr>
                      <w:r w:rsidRPr="007D3B1A">
                        <w:rPr>
                          <w:rFonts w:eastAsia="Times New Roman" w:cs="Times New Roman"/>
                          <w:color w:val="000000"/>
                          <w:szCs w:val="24"/>
                          <w:lang w:eastAsia="en-MY"/>
                        </w:rPr>
                        <w:t>N</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M</w:t>
                      </w:r>
                      <w:r w:rsidRPr="007D3B1A">
                        <w:rPr>
                          <w:rFonts w:eastAsia="Times New Roman" w:cs="Times New Roman"/>
                          <w:color w:val="000000"/>
                          <w:szCs w:val="24"/>
                          <w:vertAlign w:val="subscript"/>
                          <w:lang w:eastAsia="en-MY"/>
                        </w:rPr>
                        <w:t>1.1</w:t>
                      </w:r>
                      <w:r w:rsidRPr="007D3B1A">
                        <w:rPr>
                          <w:rFonts w:eastAsia="Times New Roman" w:cs="Times New Roman"/>
                          <w:color w:val="000000"/>
                          <w:szCs w:val="24"/>
                          <w:lang w:eastAsia="en-MY"/>
                        </w:rPr>
                        <w:t>C</w:t>
                      </w:r>
                      <w:r w:rsidRPr="007D3B1A">
                        <w:rPr>
                          <w:rFonts w:eastAsia="Times New Roman" w:cs="Times New Roman"/>
                          <w:color w:val="000000"/>
                          <w:szCs w:val="24"/>
                          <w:vertAlign w:val="subscript"/>
                          <w:lang w:eastAsia="en-MY"/>
                        </w:rPr>
                        <w:t>3</w:t>
                      </w:r>
                      <w:r w:rsidRPr="007D3B1A">
                        <w:rPr>
                          <w:rFonts w:eastAsia="Times New Roman" w:cs="Times New Roman"/>
                          <w:color w:val="000000"/>
                          <w:szCs w:val="24"/>
                          <w:lang w:eastAsia="en-MY"/>
                        </w:rPr>
                        <w:t>A</w:t>
                      </w:r>
                      <w:r w:rsidRPr="007D3B1A">
                        <w:rPr>
                          <w:rFonts w:eastAsia="Times New Roman" w:cs="Times New Roman"/>
                          <w:color w:val="000000"/>
                          <w:szCs w:val="24"/>
                          <w:vertAlign w:val="subscript"/>
                          <w:lang w:eastAsia="en-MY"/>
                        </w:rPr>
                        <w:t>7.5</w:t>
                      </w:r>
                      <w:r w:rsidRPr="007D3B1A">
                        <w:rPr>
                          <w:rFonts w:eastAsia="Times New Roman" w:cs="Times New Roman"/>
                          <w:color w:val="000000"/>
                          <w:szCs w:val="24"/>
                          <w:lang w:eastAsia="en-MY"/>
                        </w:rPr>
                        <w:t>B</w:t>
                      </w:r>
                      <w:r w:rsidRPr="007D3B1A">
                        <w:rPr>
                          <w:rFonts w:eastAsia="Times New Roman" w:cs="Times New Roman"/>
                          <w:color w:val="000000"/>
                          <w:szCs w:val="24"/>
                          <w:vertAlign w:val="subscript"/>
                          <w:lang w:eastAsia="en-MY"/>
                        </w:rPr>
                        <w:t>7.6</w:t>
                      </w:r>
                      <w:r w:rsidRPr="007D3B1A">
                        <w:rPr>
                          <w:rFonts w:eastAsia="Times New Roman" w:cs="Times New Roman"/>
                          <w:color w:val="000000"/>
                          <w:szCs w:val="24"/>
                          <w:lang w:eastAsia="en-MY"/>
                        </w:rPr>
                        <w:t>S</w:t>
                      </w:r>
                      <w:r w:rsidRPr="007D3B1A">
                        <w:rPr>
                          <w:rFonts w:eastAsia="Times New Roman" w:cs="Times New Roman"/>
                          <w:color w:val="000000"/>
                          <w:szCs w:val="24"/>
                          <w:vertAlign w:val="subscript"/>
                          <w:lang w:eastAsia="en-MY"/>
                        </w:rPr>
                        <w:t>73.2</w:t>
                      </w:r>
                    </w:p>
                  </w:txbxContent>
                </v:textbox>
              </v:shape>
            </w:pict>
          </mc:Fallback>
        </mc:AlternateContent>
      </w:r>
      <w:r w:rsidRPr="000E2377">
        <w:rPr>
          <w:b w:val="0"/>
          <w:noProof/>
          <w:lang w:eastAsia="en-MY"/>
        </w:rPr>
        <mc:AlternateContent>
          <mc:Choice Requires="wps">
            <w:drawing>
              <wp:anchor distT="0" distB="0" distL="114300" distR="114300" simplePos="0" relativeHeight="252318720" behindDoc="0" locked="0" layoutInCell="1" allowOverlap="1" wp14:anchorId="067DBBC3" wp14:editId="2098CBF5">
                <wp:simplePos x="0" y="0"/>
                <wp:positionH relativeFrom="leftMargin">
                  <wp:posOffset>1341595</wp:posOffset>
                </wp:positionH>
                <wp:positionV relativeFrom="paragraph">
                  <wp:posOffset>486572</wp:posOffset>
                </wp:positionV>
                <wp:extent cx="1793174" cy="249382"/>
                <wp:effectExtent l="0" t="0" r="7937" b="0"/>
                <wp:wrapNone/>
                <wp:docPr id="2066" name="Text Box 2066"/>
                <wp:cNvGraphicFramePr/>
                <a:graphic xmlns:a="http://schemas.openxmlformats.org/drawingml/2006/main">
                  <a:graphicData uri="http://schemas.microsoft.com/office/word/2010/wordprocessingShape">
                    <wps:wsp>
                      <wps:cNvSpPr txBox="1"/>
                      <wps:spPr>
                        <a:xfrm rot="16200000">
                          <a:off x="0" y="0"/>
                          <a:ext cx="1793174" cy="249382"/>
                        </a:xfrm>
                        <a:prstGeom prst="rect">
                          <a:avLst/>
                        </a:prstGeom>
                        <a:noFill/>
                        <a:ln w="6350">
                          <a:noFill/>
                        </a:ln>
                      </wps:spPr>
                      <wps:txbx>
                        <w:txbxContent>
                          <w:p w14:paraId="243A4C99"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7DBBC3" id="Text Box 2066" o:spid="_x0000_s1272" type="#_x0000_t202" style="position:absolute;left:0;text-align:left;margin-left:105.65pt;margin-top:38.3pt;width:141.2pt;height:19.65pt;rotation:-90;z-index:252318720;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" filled="f" stroked="f" strokeweight=".5pt">
                <v:textbox>
                  <w:txbxContent>
                    <w:p w14:paraId="243A4C99"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v:textbox>
                <w10:wrap anchorx="margin"/>
              </v:shape>
            </w:pict>
          </mc:Fallback>
        </mc:AlternateContent>
      </w:r>
      <w:r w:rsidRPr="000E2377">
        <w:rPr>
          <w:b w:val="0"/>
          <w:noProof/>
          <w:lang w:eastAsia="en-MY"/>
        </w:rPr>
        <mc:AlternateContent>
          <mc:Choice Requires="wps">
            <w:drawing>
              <wp:anchor distT="0" distB="0" distL="114300" distR="114300" simplePos="0" relativeHeight="252313600" behindDoc="0" locked="0" layoutInCell="1" allowOverlap="1" wp14:anchorId="20D53E9D" wp14:editId="2FCFC0E3">
                <wp:simplePos x="0" y="0"/>
                <wp:positionH relativeFrom="column">
                  <wp:posOffset>1947554</wp:posOffset>
                </wp:positionH>
                <wp:positionV relativeFrom="paragraph">
                  <wp:posOffset>1424404</wp:posOffset>
                </wp:positionV>
                <wp:extent cx="1793174" cy="249382"/>
                <wp:effectExtent l="0" t="0" r="0" b="0"/>
                <wp:wrapNone/>
                <wp:docPr id="2052" name="Text Box 2052"/>
                <wp:cNvGraphicFramePr/>
                <a:graphic xmlns:a="http://schemas.openxmlformats.org/drawingml/2006/main">
                  <a:graphicData uri="http://schemas.microsoft.com/office/word/2010/wordprocessingShape">
                    <wps:wsp>
                      <wps:cNvSpPr txBox="1"/>
                      <wps:spPr>
                        <a:xfrm>
                          <a:off x="0" y="0"/>
                          <a:ext cx="1793174" cy="249382"/>
                        </a:xfrm>
                        <a:prstGeom prst="rect">
                          <a:avLst/>
                        </a:prstGeom>
                        <a:noFill/>
                        <a:ln w="6350">
                          <a:noFill/>
                        </a:ln>
                      </wps:spPr>
                      <wps:txbx>
                        <w:txbxContent>
                          <w:p w14:paraId="7115D6A0" w14:textId="77777777" w:rsidR="00230AB9" w:rsidRPr="001B142B" w:rsidRDefault="00230AB9" w:rsidP="00D740DC">
                            <w:pPr>
                              <w:jc w:val="center"/>
                              <w:rPr>
                                <w:b w:val="0"/>
                                <w:sz w:val="16"/>
                                <w:szCs w:val="16"/>
                              </w:rPr>
                            </w:pPr>
                            <w:r w:rsidRPr="001B142B">
                              <w:rPr>
                                <w:sz w:val="16"/>
                                <w:szCs w:val="16"/>
                              </w:rPr>
                              <w:t>Wavenumber (cm</w:t>
                            </w:r>
                            <w:r w:rsidRPr="001B142B">
                              <w:rPr>
                                <w:sz w:val="16"/>
                                <w:szCs w:val="16"/>
                                <w:vertAlign w:val="superscript"/>
                              </w:rPr>
                              <w:t>-1</w:t>
                            </w:r>
                            <w:r w:rsidRPr="001B142B">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D53E9D" id="Text Box 2052" o:spid="_x0000_s1273" type="#_x0000_t202" style="position:absolute;left:0;text-align:left;margin-left:153.35pt;margin-top:112.15pt;width:141.2pt;height:19.65pt;z-index:25231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" filled="f" stroked="f" strokeweight=".5pt">
                <v:textbox>
                  <w:txbxContent>
                    <w:p w14:paraId="7115D6A0" w14:textId="77777777" w:rsidR="00230AB9" w:rsidRPr="001B142B" w:rsidRDefault="00230AB9" w:rsidP="00D740DC">
                      <w:pPr>
                        <w:jc w:val="center"/>
                        <w:rPr>
                          <w:b w:val="0"/>
                          <w:sz w:val="16"/>
                          <w:szCs w:val="16"/>
                        </w:rPr>
                      </w:pPr>
                      <w:r w:rsidRPr="001B142B">
                        <w:rPr>
                          <w:sz w:val="16"/>
                          <w:szCs w:val="16"/>
                        </w:rPr>
                        <w:t>Wavenumber (cm</w:t>
                      </w:r>
                      <w:r w:rsidRPr="001B142B">
                        <w:rPr>
                          <w:sz w:val="16"/>
                          <w:szCs w:val="16"/>
                          <w:vertAlign w:val="superscript"/>
                        </w:rPr>
                        <w:t>-1</w:t>
                      </w:r>
                      <w:r w:rsidRPr="001B142B">
                        <w:rPr>
                          <w:sz w:val="16"/>
                          <w:szCs w:val="16"/>
                        </w:rPr>
                        <w:t>)</w:t>
                      </w:r>
                    </w:p>
                  </w:txbxContent>
                </v:textbox>
              </v:shape>
            </w:pict>
          </mc:Fallback>
        </mc:AlternateContent>
      </w:r>
      <w:r w:rsidRPr="000E2377">
        <w:rPr>
          <w:b w:val="0"/>
          <w:noProof/>
          <w:lang w:eastAsia="en-MY"/>
        </w:rPr>
        <w:drawing>
          <wp:inline distT="0" distB="0" distL="0" distR="0" wp14:anchorId="5027929D" wp14:editId="19307C2F">
            <wp:extent cx="3030047" cy="1440000"/>
            <wp:effectExtent l="0" t="0" r="0" b="8255"/>
            <wp:docPr id="2014" name="Pictur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030047" cy="1440000"/>
                    </a:xfrm>
                    <a:prstGeom prst="rect">
                      <a:avLst/>
                    </a:prstGeom>
                    <a:noFill/>
                  </pic:spPr>
                </pic:pic>
              </a:graphicData>
            </a:graphic>
          </wp:inline>
        </w:drawing>
      </w:r>
    </w:p>
    <w:p w14:paraId="3A8CD39D" w14:textId="6CFE8AAB" w:rsidR="00D740DC" w:rsidRDefault="0080406D" w:rsidP="00D740DC">
      <w:pPr>
        <w:pStyle w:val="Caption"/>
        <w:rPr>
          <w:szCs w:val="24"/>
        </w:rPr>
      </w:pPr>
      <w:bookmarkStart w:id="716" w:name="_Toc521420476"/>
      <w:bookmarkStart w:id="717" w:name="_Toc525223210"/>
      <w:bookmarkStart w:id="718" w:name="_Toc525528357"/>
      <w:bookmarkStart w:id="719" w:name="_Toc525706372"/>
      <w:bookmarkStart w:id="720" w:name="_Hlk515396369"/>
      <w:r>
        <w:t>Figure 4.12</w:t>
      </w:r>
      <w:r w:rsidR="00D740DC" w:rsidRPr="000E2377">
        <w:t xml:space="preserve">: </w:t>
      </w:r>
      <w:r w:rsidR="00D740DC" w:rsidRPr="000E2377">
        <w:rPr>
          <w:szCs w:val="24"/>
        </w:rPr>
        <w:t>Deconvolution of the 850–1300 cm</w:t>
      </w:r>
      <w:r w:rsidR="00D740DC" w:rsidRPr="000E2377">
        <w:rPr>
          <w:szCs w:val="24"/>
          <w:vertAlign w:val="superscript"/>
        </w:rPr>
        <w:t>-1</w:t>
      </w:r>
      <w:r w:rsidR="00D740DC" w:rsidRPr="000E2377">
        <w:rPr>
          <w:szCs w:val="24"/>
        </w:rPr>
        <w:t xml:space="preserve"> peak in the Raman spectra for the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7.6</w:t>
      </w:r>
      <w:r w:rsidR="00D740DC" w:rsidRPr="000E2377">
        <w:rPr>
          <w:rFonts w:eastAsia="Times New Roman"/>
          <w:color w:val="000000"/>
          <w:szCs w:val="24"/>
          <w:lang w:eastAsia="en-MY"/>
        </w:rPr>
        <w:t>M</w:t>
      </w:r>
      <w:r w:rsidR="00D740DC" w:rsidRPr="000E2377">
        <w:rPr>
          <w:rFonts w:eastAsia="Times New Roman"/>
          <w:color w:val="000000"/>
          <w:szCs w:val="24"/>
          <w:vertAlign w:val="subscript"/>
          <w:lang w:eastAsia="en-MY"/>
        </w:rPr>
        <w:t>1.1</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3</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7.6</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80.7-x</w:t>
      </w:r>
      <w:r w:rsidR="00D740DC" w:rsidRPr="000E2377">
        <w:rPr>
          <w:rFonts w:eastAsia="Times New Roman"/>
          <w:color w:val="000000"/>
          <w:sz w:val="16"/>
          <w:szCs w:val="16"/>
          <w:lang w:eastAsia="en-MY"/>
        </w:rPr>
        <w:t xml:space="preserve"> </w:t>
      </w:r>
      <w:r w:rsidR="00D740DC" w:rsidRPr="000E2377">
        <w:rPr>
          <w:szCs w:val="24"/>
        </w:rPr>
        <w:t xml:space="preserve"> glasses.</w:t>
      </w:r>
      <w:bookmarkEnd w:id="716"/>
      <w:bookmarkEnd w:id="717"/>
      <w:bookmarkEnd w:id="718"/>
      <w:bookmarkEnd w:id="719"/>
    </w:p>
    <w:p w14:paraId="479EFF1C" w14:textId="77777777" w:rsidR="00D740DC" w:rsidRPr="00A46A3D" w:rsidRDefault="00D740DC" w:rsidP="00D740DC">
      <w:pPr>
        <w:rPr>
          <w:lang w:val="en-GB"/>
        </w:rPr>
      </w:pPr>
    </w:p>
    <w:bookmarkEnd w:id="720"/>
    <w:p w14:paraId="39AD9D2E" w14:textId="58452137" w:rsidR="00D740DC" w:rsidRPr="000E2377" w:rsidRDefault="00D740DC" w:rsidP="00D740DC">
      <w:pPr>
        <w:spacing w:after="0" w:line="360" w:lineRule="auto"/>
        <w:jc w:val="both"/>
        <w:rPr>
          <w:rFonts w:asciiTheme="majorBidi" w:hAnsiTheme="majorBidi" w:cstheme="majorBidi"/>
          <w:b w:val="0"/>
          <w:szCs w:val="24"/>
        </w:rPr>
      </w:pPr>
      <w:r w:rsidRPr="000E2377">
        <w:rPr>
          <w:rFonts w:asciiTheme="majorBidi" w:hAnsiTheme="majorBidi" w:cstheme="majorBidi"/>
          <w:b w:val="0"/>
          <w:szCs w:val="24"/>
        </w:rPr>
        <w:lastRenderedPageBreak/>
        <w:t xml:space="preserve">Deconvolutions of the high frequency band of the Raman spectra 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cs="Times New Roman"/>
          <w:b w:val="0"/>
          <w:szCs w:val="24"/>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r w:rsidRPr="000E2377">
        <w:rPr>
          <w:rFonts w:cs="Times New Roman"/>
          <w:b w:val="0"/>
          <w:szCs w:val="24"/>
        </w:rPr>
        <w:t xml:space="preserve"> 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color w:val="000000"/>
          <w:sz w:val="16"/>
          <w:szCs w:val="16"/>
          <w:vertAlign w:val="subscript"/>
          <w:lang w:eastAsia="en-MY"/>
        </w:rPr>
        <w:t xml:space="preserve"> </w:t>
      </w:r>
      <w:r w:rsidRPr="000E2377">
        <w:rPr>
          <w:rFonts w:eastAsia="Times New Roman" w:cs="Times New Roman"/>
          <w:b w:val="0"/>
          <w:color w:val="000000"/>
          <w:szCs w:val="24"/>
          <w:lang w:eastAsia="en-MY"/>
        </w:rPr>
        <w:t>glasses</w:t>
      </w:r>
      <w:r w:rsidRPr="000E2377">
        <w:rPr>
          <w:rFonts w:asciiTheme="majorBidi" w:hAnsiTheme="majorBidi" w:cstheme="majorBidi"/>
          <w:b w:val="0"/>
          <w:szCs w:val="24"/>
        </w:rPr>
        <w:t xml:space="preserve"> are shown in Figures 4.</w:t>
      </w:r>
      <w:r>
        <w:rPr>
          <w:rFonts w:asciiTheme="majorBidi" w:hAnsiTheme="majorBidi" w:cstheme="majorBidi"/>
          <w:b w:val="0"/>
          <w:szCs w:val="24"/>
        </w:rPr>
        <w:t>12</w:t>
      </w:r>
      <w:r w:rsidRPr="000E2377">
        <w:rPr>
          <w:rFonts w:asciiTheme="majorBidi" w:hAnsiTheme="majorBidi" w:cstheme="majorBidi"/>
          <w:b w:val="0"/>
          <w:szCs w:val="24"/>
        </w:rPr>
        <w:t xml:space="preserve"> and Figure 4.1</w:t>
      </w:r>
      <w:r>
        <w:rPr>
          <w:rFonts w:asciiTheme="majorBidi" w:hAnsiTheme="majorBidi" w:cstheme="majorBidi"/>
          <w:b w:val="0"/>
          <w:szCs w:val="24"/>
        </w:rPr>
        <w:t>3</w:t>
      </w:r>
      <w:r w:rsidRPr="000E2377">
        <w:rPr>
          <w:rFonts w:asciiTheme="majorBidi" w:hAnsiTheme="majorBidi" w:cstheme="majorBidi"/>
          <w:b w:val="0"/>
          <w:szCs w:val="24"/>
        </w:rPr>
        <w:t>. The deconvolutions used 4 Gaussian peaks centred around ~915 cm</w:t>
      </w:r>
      <w:r w:rsidRPr="000E2377">
        <w:rPr>
          <w:rFonts w:asciiTheme="majorBidi" w:hAnsiTheme="majorBidi" w:cstheme="majorBidi"/>
          <w:b w:val="0"/>
          <w:szCs w:val="24"/>
          <w:vertAlign w:val="superscript"/>
        </w:rPr>
        <w:t xml:space="preserve">-1 </w:t>
      </w:r>
      <w:r w:rsidRPr="000E2377">
        <w:rPr>
          <w:rFonts w:asciiTheme="majorBidi" w:hAnsiTheme="majorBidi" w:cstheme="majorBidi"/>
          <w:b w:val="0"/>
          <w:szCs w:val="24"/>
        </w:rPr>
        <w:t>(Q</w:t>
      </w:r>
      <w:r w:rsidRPr="000E2377">
        <w:rPr>
          <w:rFonts w:asciiTheme="majorBidi" w:hAnsiTheme="majorBidi" w:cstheme="majorBidi"/>
          <w:b w:val="0"/>
          <w:szCs w:val="24"/>
          <w:vertAlign w:val="superscript"/>
        </w:rPr>
        <w:t>2</w:t>
      </w:r>
      <w:r w:rsidRPr="000E2377">
        <w:rPr>
          <w:rFonts w:asciiTheme="majorBidi" w:hAnsiTheme="majorBidi" w:cstheme="majorBidi"/>
          <w:b w:val="0"/>
          <w:szCs w:val="24"/>
        </w:rPr>
        <w:t>), 980 cm</w:t>
      </w:r>
      <w:r w:rsidRPr="000E2377">
        <w:rPr>
          <w:rFonts w:asciiTheme="majorBidi" w:hAnsiTheme="majorBidi" w:cstheme="majorBidi"/>
          <w:b w:val="0"/>
          <w:szCs w:val="24"/>
          <w:vertAlign w:val="superscript"/>
        </w:rPr>
        <w:t>-1</w:t>
      </w:r>
      <w:r w:rsidRPr="000E2377">
        <w:rPr>
          <w:rFonts w:asciiTheme="majorBidi" w:hAnsiTheme="majorBidi" w:cstheme="majorBidi"/>
          <w:b w:val="0"/>
          <w:szCs w:val="24"/>
        </w:rPr>
        <w:t xml:space="preserve"> (Q</w:t>
      </w:r>
      <w:r w:rsidRPr="000E2377">
        <w:rPr>
          <w:rFonts w:asciiTheme="majorBidi" w:hAnsiTheme="majorBidi" w:cstheme="majorBidi"/>
          <w:b w:val="0"/>
          <w:szCs w:val="24"/>
          <w:vertAlign w:val="superscript"/>
        </w:rPr>
        <w:t>3</w:t>
      </w:r>
      <w:r w:rsidRPr="000E2377">
        <w:rPr>
          <w:rFonts w:asciiTheme="majorBidi" w:hAnsiTheme="majorBidi" w:cstheme="majorBidi"/>
          <w:b w:val="0"/>
          <w:szCs w:val="24"/>
        </w:rPr>
        <w:t>), 1070 cm</w:t>
      </w:r>
      <w:r w:rsidRPr="000E2377">
        <w:rPr>
          <w:rFonts w:asciiTheme="majorBidi" w:hAnsiTheme="majorBidi" w:cstheme="majorBidi"/>
          <w:b w:val="0"/>
          <w:szCs w:val="24"/>
          <w:vertAlign w:val="superscript"/>
        </w:rPr>
        <w:t xml:space="preserve">-1 </w:t>
      </w:r>
      <w:r w:rsidRPr="000E2377">
        <w:rPr>
          <w:rFonts w:asciiTheme="majorBidi" w:hAnsiTheme="majorBidi" w:cstheme="majorBidi"/>
          <w:b w:val="0"/>
          <w:szCs w:val="24"/>
        </w:rPr>
        <w:t>(Q</w:t>
      </w:r>
      <w:r w:rsidRPr="000E2377">
        <w:rPr>
          <w:rFonts w:asciiTheme="majorBidi" w:hAnsiTheme="majorBidi" w:cstheme="majorBidi"/>
          <w:b w:val="0"/>
          <w:szCs w:val="24"/>
          <w:vertAlign w:val="superscript"/>
        </w:rPr>
        <w:t>3</w:t>
      </w:r>
      <w:r w:rsidRPr="000E2377">
        <w:rPr>
          <w:rFonts w:asciiTheme="majorBidi" w:hAnsiTheme="majorBidi" w:cstheme="majorBidi"/>
          <w:b w:val="0"/>
          <w:szCs w:val="24"/>
        </w:rPr>
        <w:t>) and 1160 cm</w:t>
      </w:r>
      <w:r w:rsidRPr="000E2377">
        <w:rPr>
          <w:rFonts w:asciiTheme="majorBidi" w:hAnsiTheme="majorBidi" w:cstheme="majorBidi"/>
          <w:b w:val="0"/>
          <w:szCs w:val="24"/>
          <w:vertAlign w:val="superscript"/>
        </w:rPr>
        <w:t xml:space="preserve">-1 </w:t>
      </w:r>
      <w:r w:rsidRPr="000E2377">
        <w:rPr>
          <w:rFonts w:asciiTheme="majorBidi" w:hAnsiTheme="majorBidi" w:cstheme="majorBidi"/>
          <w:b w:val="0"/>
          <w:szCs w:val="24"/>
        </w:rPr>
        <w:t>(Q</w:t>
      </w:r>
      <w:r w:rsidRPr="000E2377">
        <w:rPr>
          <w:rFonts w:asciiTheme="majorBidi" w:hAnsiTheme="majorBidi" w:cstheme="majorBidi"/>
          <w:b w:val="0"/>
          <w:szCs w:val="24"/>
          <w:vertAlign w:val="superscript"/>
        </w:rPr>
        <w:t>4</w:t>
      </w:r>
      <w:r w:rsidRPr="000E2377">
        <w:rPr>
          <w:rFonts w:asciiTheme="majorBidi" w:hAnsiTheme="majorBidi" w:cstheme="majorBidi"/>
          <w:b w:val="0"/>
          <w:szCs w:val="24"/>
        </w:rPr>
        <w:t>).</w:t>
      </w:r>
      <w:r>
        <w:rPr>
          <w:rFonts w:asciiTheme="majorBidi" w:hAnsiTheme="majorBidi" w:cstheme="majorBidi"/>
          <w:b w:val="0"/>
          <w:szCs w:val="24"/>
        </w:rPr>
        <w:t xml:space="preserve"> In Q</w:t>
      </w:r>
      <w:r>
        <w:rPr>
          <w:rFonts w:asciiTheme="majorBidi" w:hAnsiTheme="majorBidi" w:cstheme="majorBidi"/>
          <w:b w:val="0"/>
          <w:szCs w:val="24"/>
          <w:vertAlign w:val="superscript"/>
        </w:rPr>
        <w:t xml:space="preserve">3 </w:t>
      </w:r>
      <w:r>
        <w:rPr>
          <w:rFonts w:asciiTheme="majorBidi" w:hAnsiTheme="majorBidi" w:cstheme="majorBidi"/>
          <w:b w:val="0"/>
          <w:szCs w:val="24"/>
        </w:rPr>
        <w:t>peak at range 870 – 1100 cm</w:t>
      </w:r>
      <w:r w:rsidRPr="00952B83">
        <w:rPr>
          <w:rFonts w:asciiTheme="majorBidi" w:hAnsiTheme="majorBidi" w:cstheme="majorBidi"/>
          <w:b w:val="0"/>
          <w:szCs w:val="24"/>
          <w:vertAlign w:val="superscript"/>
        </w:rPr>
        <w:t>-3</w:t>
      </w:r>
      <w:r>
        <w:rPr>
          <w:rFonts w:asciiTheme="majorBidi" w:hAnsiTheme="majorBidi" w:cstheme="majorBidi"/>
          <w:b w:val="0"/>
          <w:szCs w:val="24"/>
        </w:rPr>
        <w:t>, Al-O and Q</w:t>
      </w:r>
      <w:r w:rsidRPr="006534D3">
        <w:rPr>
          <w:rFonts w:asciiTheme="majorBidi" w:hAnsiTheme="majorBidi" w:cstheme="majorBidi"/>
          <w:b w:val="0"/>
          <w:szCs w:val="24"/>
          <w:vertAlign w:val="superscript"/>
        </w:rPr>
        <w:t>3</w:t>
      </w:r>
      <w:r>
        <w:rPr>
          <w:rFonts w:asciiTheme="majorBidi" w:hAnsiTheme="majorBidi" w:cstheme="majorBidi"/>
          <w:b w:val="0"/>
          <w:szCs w:val="24"/>
        </w:rPr>
        <w:t xml:space="preserve"> boron are also present in this peak range which is at 950-1000 cm</w:t>
      </w:r>
      <w:r w:rsidRPr="00E45D66">
        <w:rPr>
          <w:rFonts w:asciiTheme="majorBidi" w:hAnsiTheme="majorBidi" w:cstheme="majorBidi"/>
          <w:b w:val="0"/>
          <w:szCs w:val="24"/>
          <w:vertAlign w:val="superscript"/>
        </w:rPr>
        <w:t>-3</w:t>
      </w:r>
      <w:r>
        <w:rPr>
          <w:rFonts w:asciiTheme="majorBidi" w:hAnsiTheme="majorBidi" w:cstheme="majorBidi"/>
          <w:b w:val="0"/>
          <w:szCs w:val="24"/>
        </w:rPr>
        <w:t xml:space="preserve"> and 970-980 cm</w:t>
      </w:r>
      <w:r w:rsidRPr="00E45D66">
        <w:rPr>
          <w:rFonts w:asciiTheme="majorBidi" w:hAnsiTheme="majorBidi" w:cstheme="majorBidi"/>
          <w:b w:val="0"/>
          <w:szCs w:val="24"/>
          <w:vertAlign w:val="superscript"/>
        </w:rPr>
        <w:t>-3</w:t>
      </w:r>
      <w:r>
        <w:rPr>
          <w:rFonts w:asciiTheme="majorBidi" w:hAnsiTheme="majorBidi" w:cstheme="majorBidi"/>
          <w:b w:val="0"/>
          <w:szCs w:val="24"/>
        </w:rPr>
        <w:t>. Meanwhile in Q</w:t>
      </w:r>
      <w:r w:rsidRPr="00AE2F56">
        <w:rPr>
          <w:rFonts w:asciiTheme="majorBidi" w:hAnsiTheme="majorBidi" w:cstheme="majorBidi"/>
          <w:b w:val="0"/>
          <w:szCs w:val="24"/>
          <w:vertAlign w:val="superscript"/>
        </w:rPr>
        <w:t>3</w:t>
      </w:r>
      <w:r>
        <w:rPr>
          <w:rFonts w:asciiTheme="majorBidi" w:hAnsiTheme="majorBidi" w:cstheme="majorBidi"/>
          <w:b w:val="0"/>
          <w:szCs w:val="24"/>
          <w:vertAlign w:val="superscript"/>
        </w:rPr>
        <w:t xml:space="preserve"> </w:t>
      </w:r>
      <w:r>
        <w:rPr>
          <w:rFonts w:asciiTheme="majorBidi" w:hAnsiTheme="majorBidi" w:cstheme="majorBidi"/>
          <w:b w:val="0"/>
          <w:szCs w:val="24"/>
        </w:rPr>
        <w:t>at range 950- 1230 cm</w:t>
      </w:r>
      <w:r w:rsidRPr="00952B83">
        <w:rPr>
          <w:rFonts w:asciiTheme="majorBidi" w:hAnsiTheme="majorBidi" w:cstheme="majorBidi"/>
          <w:b w:val="0"/>
          <w:szCs w:val="24"/>
          <w:vertAlign w:val="superscript"/>
        </w:rPr>
        <w:t>-1</w:t>
      </w:r>
      <w:r>
        <w:rPr>
          <w:rFonts w:asciiTheme="majorBidi" w:hAnsiTheme="majorBidi" w:cstheme="majorBidi"/>
          <w:b w:val="0"/>
          <w:szCs w:val="24"/>
        </w:rPr>
        <w:t xml:space="preserve">, </w:t>
      </w:r>
      <w:r w:rsidR="00E439AE">
        <w:rPr>
          <w:rFonts w:asciiTheme="majorBidi" w:hAnsiTheme="majorBidi" w:cstheme="majorBidi"/>
          <w:b w:val="0"/>
          <w:szCs w:val="24"/>
        </w:rPr>
        <w:t>stretching Al</w:t>
      </w:r>
      <w:r>
        <w:rPr>
          <w:rFonts w:asciiTheme="majorBidi" w:hAnsiTheme="majorBidi" w:cstheme="majorBidi"/>
          <w:b w:val="0"/>
          <w:szCs w:val="24"/>
        </w:rPr>
        <w:t xml:space="preserve"> are also present at 1100 cm</w:t>
      </w:r>
      <w:r w:rsidRPr="001544B7">
        <w:rPr>
          <w:rFonts w:asciiTheme="majorBidi" w:hAnsiTheme="majorBidi" w:cstheme="majorBidi"/>
          <w:b w:val="0"/>
          <w:szCs w:val="24"/>
          <w:vertAlign w:val="superscript"/>
        </w:rPr>
        <w:t>-1</w:t>
      </w:r>
      <w:r>
        <w:rPr>
          <w:rFonts w:asciiTheme="majorBidi" w:hAnsiTheme="majorBidi" w:cstheme="majorBidi"/>
          <w:b w:val="0"/>
          <w:szCs w:val="24"/>
        </w:rPr>
        <w:t>.</w:t>
      </w:r>
    </w:p>
    <w:p w14:paraId="5473B68A" w14:textId="742D84A6" w:rsidR="00D740DC" w:rsidRPr="000E2377" w:rsidRDefault="00D740DC" w:rsidP="00D740DC">
      <w:pPr>
        <w:spacing w:line="360" w:lineRule="auto"/>
        <w:jc w:val="both"/>
        <w:rPr>
          <w:rFonts w:cs="Times New Roman"/>
          <w:b w:val="0"/>
          <w:color w:val="FF0000"/>
          <w:szCs w:val="24"/>
          <w:lang w:val="en-GB"/>
        </w:rPr>
      </w:pPr>
      <w:r w:rsidRPr="000E2377">
        <w:rPr>
          <w:rFonts w:cs="Times New Roman"/>
          <w:b w:val="0"/>
          <w:szCs w:val="24"/>
          <w:lang w:val="en-GB"/>
        </w:rPr>
        <w:t>Figure 4.</w:t>
      </w:r>
      <w:r>
        <w:rPr>
          <w:rFonts w:cs="Times New Roman"/>
          <w:b w:val="0"/>
          <w:szCs w:val="24"/>
          <w:lang w:val="en-GB"/>
        </w:rPr>
        <w:t>12</w:t>
      </w:r>
      <w:r w:rsidRPr="000E2377">
        <w:rPr>
          <w:rFonts w:cs="Times New Roman"/>
          <w:b w:val="0"/>
          <w:szCs w:val="24"/>
          <w:lang w:val="en-GB"/>
        </w:rPr>
        <w:t xml:space="preserve"> shows that the intensity of the Q</w:t>
      </w:r>
      <w:r w:rsidRPr="000E2377">
        <w:rPr>
          <w:rFonts w:cs="Times New Roman"/>
          <w:b w:val="0"/>
          <w:szCs w:val="24"/>
          <w:vertAlign w:val="superscript"/>
          <w:lang w:val="en-GB"/>
        </w:rPr>
        <w:t>2</w:t>
      </w:r>
      <w:r w:rsidRPr="000E2377">
        <w:rPr>
          <w:rFonts w:cs="Times New Roman"/>
          <w:b w:val="0"/>
          <w:szCs w:val="24"/>
          <w:lang w:val="en-GB"/>
        </w:rPr>
        <w:t xml:space="preserve"> peak 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eastAsia="Times New Roman" w:cs="Times New Roman"/>
          <w:b w:val="0"/>
          <w:color w:val="000000"/>
          <w:szCs w:val="24"/>
          <w:lang w:eastAsia="en-MY"/>
        </w:rPr>
        <w:t xml:space="preserve"> series</w:t>
      </w:r>
      <w:r w:rsidRPr="000E2377">
        <w:rPr>
          <w:rFonts w:eastAsia="Times New Roman" w:cs="Times New Roman"/>
          <w:color w:val="000000"/>
          <w:sz w:val="16"/>
          <w:szCs w:val="16"/>
          <w:lang w:eastAsia="en-MY"/>
        </w:rPr>
        <w:t xml:space="preserve"> </w:t>
      </w:r>
      <w:r w:rsidRPr="000E2377">
        <w:rPr>
          <w:rFonts w:cs="Times New Roman"/>
          <w:b w:val="0"/>
          <w:szCs w:val="24"/>
          <w:lang w:val="en-GB"/>
        </w:rPr>
        <w:t xml:space="preserve">at </w:t>
      </w:r>
      <w:r w:rsidRPr="000E2377">
        <w:rPr>
          <w:rFonts w:asciiTheme="majorBidi" w:hAnsiTheme="majorBidi" w:cstheme="majorBidi"/>
          <w:b w:val="0"/>
          <w:szCs w:val="24"/>
        </w:rPr>
        <w:t>~915 cm</w:t>
      </w:r>
      <w:r w:rsidRPr="000E2377">
        <w:rPr>
          <w:rFonts w:asciiTheme="majorBidi" w:hAnsiTheme="majorBidi" w:cstheme="majorBidi"/>
          <w:b w:val="0"/>
          <w:szCs w:val="24"/>
          <w:vertAlign w:val="superscript"/>
        </w:rPr>
        <w:t>-1</w:t>
      </w:r>
      <w:r w:rsidRPr="007159EC">
        <w:rPr>
          <w:rFonts w:asciiTheme="majorBidi" w:hAnsiTheme="majorBidi" w:cstheme="majorBidi"/>
          <w:b w:val="0"/>
          <w:szCs w:val="24"/>
        </w:rPr>
        <w:t xml:space="preserve"> decreased</w:t>
      </w:r>
      <w:r>
        <w:rPr>
          <w:rFonts w:asciiTheme="majorBidi" w:hAnsiTheme="majorBidi" w:cstheme="majorBidi"/>
          <w:b w:val="0"/>
          <w:szCs w:val="24"/>
          <w:vertAlign w:val="superscript"/>
        </w:rPr>
        <w:t xml:space="preserve"> </w:t>
      </w:r>
      <w:r w:rsidRPr="000E2377">
        <w:rPr>
          <w:rFonts w:cs="Times New Roman"/>
          <w:b w:val="0"/>
          <w:szCs w:val="24"/>
          <w:lang w:val="en-GB"/>
        </w:rPr>
        <w:t>and the Q</w:t>
      </w:r>
      <w:r w:rsidRPr="000E2377">
        <w:rPr>
          <w:rFonts w:cs="Times New Roman"/>
          <w:b w:val="0"/>
          <w:szCs w:val="24"/>
          <w:vertAlign w:val="superscript"/>
          <w:lang w:val="en-GB"/>
        </w:rPr>
        <w:t>3</w:t>
      </w:r>
      <w:r w:rsidRPr="000E2377">
        <w:rPr>
          <w:rFonts w:cs="Times New Roman"/>
          <w:b w:val="0"/>
          <w:szCs w:val="24"/>
          <w:lang w:val="en-GB"/>
        </w:rPr>
        <w:t xml:space="preserve"> peak at </w:t>
      </w:r>
      <w:r w:rsidRPr="000E2377">
        <w:rPr>
          <w:rFonts w:asciiTheme="majorBidi" w:hAnsiTheme="majorBidi" w:cstheme="majorBidi"/>
          <w:b w:val="0"/>
          <w:szCs w:val="24"/>
        </w:rPr>
        <w:t>980 cm</w:t>
      </w:r>
      <w:r w:rsidRPr="000E2377">
        <w:rPr>
          <w:rFonts w:asciiTheme="majorBidi" w:hAnsiTheme="majorBidi" w:cstheme="majorBidi"/>
          <w:b w:val="0"/>
          <w:szCs w:val="24"/>
          <w:vertAlign w:val="superscript"/>
        </w:rPr>
        <w:t>-1</w:t>
      </w:r>
      <w:r w:rsidRPr="000E2377">
        <w:rPr>
          <w:rFonts w:asciiTheme="majorBidi" w:hAnsiTheme="majorBidi" w:cstheme="majorBidi"/>
          <w:b w:val="0"/>
          <w:szCs w:val="24"/>
        </w:rPr>
        <w:t xml:space="preserve"> increases with </w:t>
      </w:r>
      <w:r w:rsidR="000707B0">
        <w:rPr>
          <w:rFonts w:asciiTheme="majorBidi" w:hAnsiTheme="majorBidi" w:cstheme="majorBidi"/>
          <w:b w:val="0"/>
          <w:szCs w:val="24"/>
        </w:rPr>
        <w:t xml:space="preserve">the </w:t>
      </w:r>
      <w:r w:rsidRPr="000E2377">
        <w:rPr>
          <w:rFonts w:asciiTheme="majorBidi" w:hAnsiTheme="majorBidi" w:cstheme="majorBidi"/>
          <w:b w:val="0"/>
          <w:szCs w:val="24"/>
        </w:rPr>
        <w:t xml:space="preserve">amount of Al in </w:t>
      </w:r>
      <w:r w:rsidR="000707B0">
        <w:rPr>
          <w:rFonts w:asciiTheme="majorBidi" w:hAnsiTheme="majorBidi" w:cstheme="majorBidi"/>
          <w:b w:val="0"/>
          <w:szCs w:val="24"/>
        </w:rPr>
        <w:t xml:space="preserve">the </w:t>
      </w:r>
      <w:r w:rsidRPr="000E2377">
        <w:rPr>
          <w:rFonts w:asciiTheme="majorBidi" w:hAnsiTheme="majorBidi" w:cstheme="majorBidi"/>
          <w:b w:val="0"/>
          <w:szCs w:val="24"/>
        </w:rPr>
        <w:t xml:space="preserve">glass composition, </w:t>
      </w:r>
      <w:r>
        <w:rPr>
          <w:rFonts w:asciiTheme="majorBidi" w:hAnsiTheme="majorBidi" w:cstheme="majorBidi"/>
          <w:b w:val="0"/>
          <w:szCs w:val="24"/>
        </w:rPr>
        <w:t>however</w:t>
      </w:r>
      <w:r w:rsidRPr="000E2377">
        <w:rPr>
          <w:rFonts w:cs="Times New Roman"/>
          <w:b w:val="0"/>
          <w:szCs w:val="24"/>
          <w:lang w:val="en-GB"/>
        </w:rPr>
        <w:t xml:space="preserve"> the Q</w:t>
      </w:r>
      <w:r w:rsidRPr="000E2377">
        <w:rPr>
          <w:rFonts w:cs="Times New Roman"/>
          <w:b w:val="0"/>
          <w:szCs w:val="24"/>
          <w:vertAlign w:val="superscript"/>
          <w:lang w:val="en-GB"/>
        </w:rPr>
        <w:t>3</w:t>
      </w:r>
      <w:r w:rsidRPr="000E2377">
        <w:rPr>
          <w:rFonts w:cs="Times New Roman"/>
          <w:b w:val="0"/>
          <w:szCs w:val="24"/>
          <w:lang w:val="en-GB"/>
        </w:rPr>
        <w:t xml:space="preserve"> peak at </w:t>
      </w:r>
      <w:r w:rsidRPr="000E2377">
        <w:rPr>
          <w:rFonts w:asciiTheme="majorBidi" w:hAnsiTheme="majorBidi" w:cstheme="majorBidi"/>
          <w:b w:val="0"/>
          <w:szCs w:val="24"/>
        </w:rPr>
        <w:t>1070 cm</w:t>
      </w:r>
      <w:r w:rsidRPr="000E2377">
        <w:rPr>
          <w:rFonts w:asciiTheme="majorBidi" w:hAnsiTheme="majorBidi" w:cstheme="majorBidi"/>
          <w:b w:val="0"/>
          <w:szCs w:val="24"/>
          <w:vertAlign w:val="superscript"/>
        </w:rPr>
        <w:t xml:space="preserve">-1 </w:t>
      </w:r>
      <w:r w:rsidRPr="000E2377">
        <w:rPr>
          <w:rFonts w:cs="Times New Roman"/>
          <w:b w:val="0"/>
          <w:szCs w:val="24"/>
          <w:lang w:val="en-GB"/>
        </w:rPr>
        <w:t xml:space="preserve">decreases in intensity with increasing alumina content. </w:t>
      </w:r>
      <w:r>
        <w:rPr>
          <w:rFonts w:cs="Times New Roman"/>
          <w:b w:val="0"/>
          <w:szCs w:val="24"/>
          <w:lang w:val="en-GB"/>
        </w:rPr>
        <w:t xml:space="preserve">The details Q species from deconvolution from Raman analysis of glasses from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eastAsia="Times New Roman" w:cs="Times New Roman"/>
          <w:b w:val="0"/>
          <w:color w:val="000000"/>
          <w:szCs w:val="24"/>
          <w:lang w:eastAsia="en-MY"/>
        </w:rPr>
        <w:t xml:space="preserve"> </w:t>
      </w:r>
      <w:r>
        <w:rPr>
          <w:rFonts w:eastAsia="Times New Roman" w:cs="Times New Roman"/>
          <w:b w:val="0"/>
          <w:color w:val="000000"/>
          <w:szCs w:val="24"/>
          <w:lang w:eastAsia="en-MY"/>
        </w:rPr>
        <w:t xml:space="preserve">are presented before in </w:t>
      </w:r>
      <w:r w:rsidRPr="00E45D66">
        <w:rPr>
          <w:rFonts w:eastAsia="Times New Roman" w:cs="Times New Roman"/>
          <w:b w:val="0"/>
          <w:color w:val="000000"/>
          <w:szCs w:val="24"/>
          <w:lang w:eastAsia="en-MY"/>
        </w:rPr>
        <w:t>Table 3.6.</w:t>
      </w:r>
    </w:p>
    <w:p w14:paraId="762EBB40" w14:textId="77777777" w:rsidR="00D740DC" w:rsidRPr="000E2377" w:rsidRDefault="00D740DC" w:rsidP="00D740DC">
      <w:pPr>
        <w:spacing w:line="240" w:lineRule="auto"/>
        <w:jc w:val="center"/>
        <w:rPr>
          <w:rFonts w:eastAsia="Calibri" w:cs="Times New Roman"/>
          <w:b w:val="0"/>
          <w:bCs/>
          <w:szCs w:val="24"/>
          <w:lang w:val="en-GB"/>
        </w:rPr>
      </w:pPr>
      <w:r w:rsidRPr="000E2377">
        <w:rPr>
          <w:rFonts w:cs="Times New Roman"/>
          <w:noProof/>
          <w:szCs w:val="24"/>
          <w:lang w:eastAsia="en-MY"/>
        </w:rPr>
        <mc:AlternateContent>
          <mc:Choice Requires="wps">
            <w:drawing>
              <wp:anchor distT="0" distB="0" distL="114300" distR="114300" simplePos="0" relativeHeight="252422144" behindDoc="0" locked="0" layoutInCell="1" allowOverlap="1" wp14:anchorId="7418E72B" wp14:editId="7A69637D">
                <wp:simplePos x="0" y="0"/>
                <wp:positionH relativeFrom="column">
                  <wp:posOffset>3529684</wp:posOffset>
                </wp:positionH>
                <wp:positionV relativeFrom="paragraph">
                  <wp:posOffset>37712</wp:posOffset>
                </wp:positionV>
                <wp:extent cx="1206230" cy="332105"/>
                <wp:effectExtent l="0" t="0" r="0" b="0"/>
                <wp:wrapNone/>
                <wp:docPr id="1641" name="Text Box 1641"/>
                <wp:cNvGraphicFramePr/>
                <a:graphic xmlns:a="http://schemas.openxmlformats.org/drawingml/2006/main">
                  <a:graphicData uri="http://schemas.microsoft.com/office/word/2010/wordprocessingShape">
                    <wps:wsp>
                      <wps:cNvSpPr txBox="1"/>
                      <wps:spPr>
                        <a:xfrm>
                          <a:off x="0" y="0"/>
                          <a:ext cx="1206230" cy="332105"/>
                        </a:xfrm>
                        <a:prstGeom prst="rect">
                          <a:avLst/>
                        </a:prstGeom>
                        <a:noFill/>
                        <a:ln w="6350">
                          <a:noFill/>
                        </a:ln>
                      </wps:spPr>
                      <wps:txbx>
                        <w:txbxContent>
                          <w:p w14:paraId="084B7A51" w14:textId="77777777" w:rsidR="00230AB9" w:rsidRPr="003803CE" w:rsidRDefault="00230AB9" w:rsidP="00D740DC">
                            <w:pPr>
                              <w:rPr>
                                <w:szCs w:val="24"/>
                              </w:rPr>
                            </w:pPr>
                            <w:r w:rsidRPr="0067527B">
                              <w:rPr>
                                <w:rFonts w:eastAsia="Times New Roman" w:cs="Times New Roman"/>
                                <w:color w:val="000000"/>
                                <w:szCs w:val="24"/>
                                <w:lang w:eastAsia="en-MY"/>
                              </w:rPr>
                              <w:t>N</w:t>
                            </w:r>
                            <w:r w:rsidRPr="0067527B">
                              <w:rPr>
                                <w:rFonts w:eastAsia="Times New Roman" w:cs="Times New Roman"/>
                                <w:color w:val="000000"/>
                                <w:szCs w:val="24"/>
                                <w:vertAlign w:val="subscript"/>
                                <w:lang w:eastAsia="en-MY"/>
                              </w:rPr>
                              <w:t>15</w:t>
                            </w:r>
                            <w:r w:rsidRPr="0067527B">
                              <w:rPr>
                                <w:rFonts w:eastAsia="Times New Roman" w:cs="Times New Roman"/>
                                <w:color w:val="000000"/>
                                <w:szCs w:val="24"/>
                                <w:lang w:eastAsia="en-MY"/>
                              </w:rPr>
                              <w:t>C</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A</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B</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S</w:t>
                            </w:r>
                            <w:r w:rsidRPr="0067527B">
                              <w:rPr>
                                <w:rFonts w:eastAsia="Times New Roman" w:cs="Times New Roman"/>
                                <w:color w:val="000000"/>
                                <w:szCs w:val="24"/>
                                <w:vertAlign w:val="subscript"/>
                                <w:lang w:eastAsia="en-MY"/>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18E72B" id="Text Box 1641" o:spid="_x0000_s1274" type="#_x0000_t202" style="position:absolute;left:0;text-align:left;margin-left:277.95pt;margin-top:2.95pt;width:95pt;height:26.15pt;z-index:25242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" filled="f" stroked="f" strokeweight=".5pt">
                <v:textbox>
                  <w:txbxContent>
                    <w:p w14:paraId="084B7A51" w14:textId="77777777" w:rsidR="00230AB9" w:rsidRPr="003803CE" w:rsidRDefault="00230AB9" w:rsidP="00D740DC">
                      <w:pPr>
                        <w:rPr>
                          <w:szCs w:val="24"/>
                        </w:rPr>
                      </w:pPr>
                      <w:r w:rsidRPr="0067527B">
                        <w:rPr>
                          <w:rFonts w:eastAsia="Times New Roman" w:cs="Times New Roman"/>
                          <w:color w:val="000000"/>
                          <w:szCs w:val="24"/>
                          <w:lang w:eastAsia="en-MY"/>
                        </w:rPr>
                        <w:t>N</w:t>
                      </w:r>
                      <w:r w:rsidRPr="0067527B">
                        <w:rPr>
                          <w:rFonts w:eastAsia="Times New Roman" w:cs="Times New Roman"/>
                          <w:color w:val="000000"/>
                          <w:szCs w:val="24"/>
                          <w:vertAlign w:val="subscript"/>
                          <w:lang w:eastAsia="en-MY"/>
                        </w:rPr>
                        <w:t>15</w:t>
                      </w:r>
                      <w:r w:rsidRPr="0067527B">
                        <w:rPr>
                          <w:rFonts w:eastAsia="Times New Roman" w:cs="Times New Roman"/>
                          <w:color w:val="000000"/>
                          <w:szCs w:val="24"/>
                          <w:lang w:eastAsia="en-MY"/>
                        </w:rPr>
                        <w:t>C</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A</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B</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S</w:t>
                      </w:r>
                      <w:r w:rsidRPr="0067527B">
                        <w:rPr>
                          <w:rFonts w:eastAsia="Times New Roman" w:cs="Times New Roman"/>
                          <w:color w:val="000000"/>
                          <w:szCs w:val="24"/>
                          <w:vertAlign w:val="subscript"/>
                          <w:lang w:eastAsia="en-MY"/>
                        </w:rPr>
                        <w:t>70</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421120" behindDoc="0" locked="0" layoutInCell="1" allowOverlap="1" wp14:anchorId="381AB0D1" wp14:editId="72FE05E2">
                <wp:simplePos x="0" y="0"/>
                <wp:positionH relativeFrom="column">
                  <wp:posOffset>1070775</wp:posOffset>
                </wp:positionH>
                <wp:positionV relativeFrom="paragraph">
                  <wp:posOffset>85213</wp:posOffset>
                </wp:positionV>
                <wp:extent cx="1322962" cy="332105"/>
                <wp:effectExtent l="0" t="0" r="0" b="0"/>
                <wp:wrapNone/>
                <wp:docPr id="1642" name="Text Box 1642"/>
                <wp:cNvGraphicFramePr/>
                <a:graphic xmlns:a="http://schemas.openxmlformats.org/drawingml/2006/main">
                  <a:graphicData uri="http://schemas.microsoft.com/office/word/2010/wordprocessingShape">
                    <wps:wsp>
                      <wps:cNvSpPr txBox="1"/>
                      <wps:spPr>
                        <a:xfrm>
                          <a:off x="0" y="0"/>
                          <a:ext cx="1322962" cy="332105"/>
                        </a:xfrm>
                        <a:prstGeom prst="rect">
                          <a:avLst/>
                        </a:prstGeom>
                        <a:noFill/>
                        <a:ln w="6350">
                          <a:noFill/>
                        </a:ln>
                      </wps:spPr>
                      <wps:txbx>
                        <w:txbxContent>
                          <w:p w14:paraId="66A12854" w14:textId="77777777" w:rsidR="00230AB9" w:rsidRPr="003803CE" w:rsidRDefault="00230AB9" w:rsidP="00D740DC">
                            <w:pPr>
                              <w:rPr>
                                <w:szCs w:val="24"/>
                              </w:rPr>
                            </w:pPr>
                            <w:r w:rsidRPr="0067527B">
                              <w:rPr>
                                <w:rFonts w:eastAsia="Times New Roman" w:cs="Times New Roman"/>
                                <w:color w:val="000000"/>
                                <w:szCs w:val="24"/>
                                <w:lang w:eastAsia="en-MY"/>
                              </w:rPr>
                              <w:t>N</w:t>
                            </w:r>
                            <w:r w:rsidRPr="0067527B">
                              <w:rPr>
                                <w:rFonts w:eastAsia="Times New Roman" w:cs="Times New Roman"/>
                                <w:color w:val="000000"/>
                                <w:szCs w:val="24"/>
                                <w:vertAlign w:val="subscript"/>
                                <w:lang w:eastAsia="en-MY"/>
                              </w:rPr>
                              <w:t>15</w:t>
                            </w:r>
                            <w:r w:rsidRPr="0067527B">
                              <w:rPr>
                                <w:rFonts w:eastAsia="Times New Roman" w:cs="Times New Roman"/>
                                <w:color w:val="000000"/>
                                <w:szCs w:val="24"/>
                                <w:lang w:eastAsia="en-MY"/>
                              </w:rPr>
                              <w:t>C</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A</w:t>
                            </w:r>
                            <w:r w:rsidRPr="0067527B">
                              <w:rPr>
                                <w:rFonts w:eastAsia="Times New Roman" w:cs="Times New Roman"/>
                                <w:color w:val="000000"/>
                                <w:szCs w:val="24"/>
                                <w:vertAlign w:val="subscript"/>
                                <w:lang w:eastAsia="en-MY"/>
                              </w:rPr>
                              <w:t>0</w:t>
                            </w:r>
                            <w:r w:rsidRPr="0067527B">
                              <w:rPr>
                                <w:rFonts w:eastAsia="Times New Roman" w:cs="Times New Roman"/>
                                <w:color w:val="000000"/>
                                <w:szCs w:val="24"/>
                                <w:lang w:eastAsia="en-MY"/>
                              </w:rPr>
                              <w:t>B</w:t>
                            </w:r>
                            <w:r w:rsidRPr="0067527B">
                              <w:rPr>
                                <w:rFonts w:eastAsia="Times New Roman" w:cs="Times New Roman"/>
                                <w:color w:val="000000"/>
                                <w:szCs w:val="24"/>
                                <w:vertAlign w:val="subscript"/>
                                <w:lang w:eastAsia="en-MY"/>
                              </w:rPr>
                              <w:t>10</w:t>
                            </w:r>
                            <w:r w:rsidRPr="0067527B">
                              <w:rPr>
                                <w:rFonts w:eastAsia="Times New Roman" w:cs="Times New Roman"/>
                                <w:color w:val="000000"/>
                                <w:szCs w:val="24"/>
                                <w:lang w:eastAsia="en-MY"/>
                              </w:rPr>
                              <w:t>S</w:t>
                            </w:r>
                            <w:r w:rsidRPr="0067527B">
                              <w:rPr>
                                <w:rFonts w:eastAsia="Times New Roman" w:cs="Times New Roman"/>
                                <w:color w:val="000000"/>
                                <w:szCs w:val="24"/>
                                <w:vertAlign w:val="subscript"/>
                                <w:lang w:eastAsia="en-MY"/>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1AB0D1" id="Text Box 1642" o:spid="_x0000_s1275" type="#_x0000_t202" style="position:absolute;left:0;text-align:left;margin-left:84.3pt;margin-top:6.7pt;width:104.15pt;height:26.15pt;z-index:25242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" filled="f" stroked="f" strokeweight=".5pt">
                <v:textbox>
                  <w:txbxContent>
                    <w:p w14:paraId="66A12854" w14:textId="77777777" w:rsidR="00230AB9" w:rsidRPr="003803CE" w:rsidRDefault="00230AB9" w:rsidP="00D740DC">
                      <w:pPr>
                        <w:rPr>
                          <w:szCs w:val="24"/>
                        </w:rPr>
                      </w:pPr>
                      <w:r w:rsidRPr="0067527B">
                        <w:rPr>
                          <w:rFonts w:eastAsia="Times New Roman" w:cs="Times New Roman"/>
                          <w:color w:val="000000"/>
                          <w:szCs w:val="24"/>
                          <w:lang w:eastAsia="en-MY"/>
                        </w:rPr>
                        <w:t>N</w:t>
                      </w:r>
                      <w:r w:rsidRPr="0067527B">
                        <w:rPr>
                          <w:rFonts w:eastAsia="Times New Roman" w:cs="Times New Roman"/>
                          <w:color w:val="000000"/>
                          <w:szCs w:val="24"/>
                          <w:vertAlign w:val="subscript"/>
                          <w:lang w:eastAsia="en-MY"/>
                        </w:rPr>
                        <w:t>15</w:t>
                      </w:r>
                      <w:r w:rsidRPr="0067527B">
                        <w:rPr>
                          <w:rFonts w:eastAsia="Times New Roman" w:cs="Times New Roman"/>
                          <w:color w:val="000000"/>
                          <w:szCs w:val="24"/>
                          <w:lang w:eastAsia="en-MY"/>
                        </w:rPr>
                        <w:t>C</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A</w:t>
                      </w:r>
                      <w:r w:rsidRPr="0067527B">
                        <w:rPr>
                          <w:rFonts w:eastAsia="Times New Roman" w:cs="Times New Roman"/>
                          <w:color w:val="000000"/>
                          <w:szCs w:val="24"/>
                          <w:vertAlign w:val="subscript"/>
                          <w:lang w:eastAsia="en-MY"/>
                        </w:rPr>
                        <w:t>0</w:t>
                      </w:r>
                      <w:r w:rsidRPr="0067527B">
                        <w:rPr>
                          <w:rFonts w:eastAsia="Times New Roman" w:cs="Times New Roman"/>
                          <w:color w:val="000000"/>
                          <w:szCs w:val="24"/>
                          <w:lang w:eastAsia="en-MY"/>
                        </w:rPr>
                        <w:t>B</w:t>
                      </w:r>
                      <w:r w:rsidRPr="0067527B">
                        <w:rPr>
                          <w:rFonts w:eastAsia="Times New Roman" w:cs="Times New Roman"/>
                          <w:color w:val="000000"/>
                          <w:szCs w:val="24"/>
                          <w:vertAlign w:val="subscript"/>
                          <w:lang w:eastAsia="en-MY"/>
                        </w:rPr>
                        <w:t>10</w:t>
                      </w:r>
                      <w:r w:rsidRPr="0067527B">
                        <w:rPr>
                          <w:rFonts w:eastAsia="Times New Roman" w:cs="Times New Roman"/>
                          <w:color w:val="000000"/>
                          <w:szCs w:val="24"/>
                          <w:lang w:eastAsia="en-MY"/>
                        </w:rPr>
                        <w:t>S</w:t>
                      </w:r>
                      <w:r w:rsidRPr="0067527B">
                        <w:rPr>
                          <w:rFonts w:eastAsia="Times New Roman" w:cs="Times New Roman"/>
                          <w:color w:val="000000"/>
                          <w:szCs w:val="24"/>
                          <w:vertAlign w:val="subscript"/>
                          <w:lang w:eastAsia="en-MY"/>
                        </w:rPr>
                        <w:t>70</w:t>
                      </w:r>
                    </w:p>
                  </w:txbxContent>
                </v:textbox>
              </v:shape>
            </w:pict>
          </mc:Fallback>
        </mc:AlternateContent>
      </w:r>
    </w:p>
    <w:p w14:paraId="79D26E66" w14:textId="77777777" w:rsidR="00D740DC" w:rsidRPr="000E2377" w:rsidRDefault="00D740DC" w:rsidP="00D740DC">
      <w:pPr>
        <w:spacing w:line="360" w:lineRule="auto"/>
        <w:jc w:val="center"/>
        <w:rPr>
          <w:rFonts w:cs="Times New Roman"/>
          <w:szCs w:val="24"/>
          <w:lang w:val="en-GB"/>
        </w:rPr>
      </w:pPr>
      <w:r w:rsidRPr="000E2377">
        <w:rPr>
          <w:rFonts w:cs="Times New Roman"/>
          <w:noProof/>
          <w:szCs w:val="24"/>
          <w:lang w:eastAsia="en-MY"/>
        </w:rPr>
        <mc:AlternateContent>
          <mc:Choice Requires="wps">
            <w:drawing>
              <wp:anchor distT="0" distB="0" distL="114300" distR="114300" simplePos="0" relativeHeight="252419072" behindDoc="0" locked="0" layoutInCell="1" allowOverlap="1" wp14:anchorId="1634A5A4" wp14:editId="7CC345D6">
                <wp:simplePos x="0" y="0"/>
                <wp:positionH relativeFrom="column">
                  <wp:posOffset>3557946</wp:posOffset>
                </wp:positionH>
                <wp:positionV relativeFrom="paragraph">
                  <wp:posOffset>1628585</wp:posOffset>
                </wp:positionV>
                <wp:extent cx="1546698" cy="332105"/>
                <wp:effectExtent l="0" t="0" r="0" b="0"/>
                <wp:wrapNone/>
                <wp:docPr id="1644" name="Text Box 1644"/>
                <wp:cNvGraphicFramePr/>
                <a:graphic xmlns:a="http://schemas.openxmlformats.org/drawingml/2006/main">
                  <a:graphicData uri="http://schemas.microsoft.com/office/word/2010/wordprocessingShape">
                    <wps:wsp>
                      <wps:cNvSpPr txBox="1"/>
                      <wps:spPr>
                        <a:xfrm>
                          <a:off x="0" y="0"/>
                          <a:ext cx="1546698" cy="332105"/>
                        </a:xfrm>
                        <a:prstGeom prst="rect">
                          <a:avLst/>
                        </a:prstGeom>
                        <a:noFill/>
                        <a:ln w="6350">
                          <a:noFill/>
                        </a:ln>
                      </wps:spPr>
                      <wps:txbx>
                        <w:txbxContent>
                          <w:p w14:paraId="22D4780A" w14:textId="77777777" w:rsidR="00230AB9" w:rsidRPr="003803CE" w:rsidRDefault="00230AB9" w:rsidP="00D740DC">
                            <w:pPr>
                              <w:rPr>
                                <w:szCs w:val="24"/>
                              </w:rPr>
                            </w:pPr>
                            <w:r w:rsidRPr="0067527B">
                              <w:rPr>
                                <w:rFonts w:eastAsia="Times New Roman" w:cs="Times New Roman"/>
                                <w:color w:val="000000"/>
                                <w:szCs w:val="24"/>
                                <w:lang w:eastAsia="en-MY"/>
                              </w:rPr>
                              <w:t>N</w:t>
                            </w:r>
                            <w:r w:rsidRPr="0067527B">
                              <w:rPr>
                                <w:rFonts w:eastAsia="Times New Roman" w:cs="Times New Roman"/>
                                <w:color w:val="000000"/>
                                <w:szCs w:val="24"/>
                                <w:vertAlign w:val="subscript"/>
                                <w:lang w:eastAsia="en-MY"/>
                              </w:rPr>
                              <w:t>15</w:t>
                            </w:r>
                            <w:r w:rsidRPr="0067527B">
                              <w:rPr>
                                <w:rFonts w:eastAsia="Times New Roman" w:cs="Times New Roman"/>
                                <w:color w:val="000000"/>
                                <w:szCs w:val="24"/>
                                <w:lang w:eastAsia="en-MY"/>
                              </w:rPr>
                              <w:t>C</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A</w:t>
                            </w:r>
                            <w:r w:rsidRPr="0067527B">
                              <w:rPr>
                                <w:rFonts w:eastAsia="Times New Roman" w:cs="Times New Roman"/>
                                <w:color w:val="000000"/>
                                <w:szCs w:val="24"/>
                                <w:vertAlign w:val="subscript"/>
                                <w:lang w:eastAsia="en-MY"/>
                              </w:rPr>
                              <w:t>10</w:t>
                            </w:r>
                            <w:r w:rsidRPr="0067527B">
                              <w:rPr>
                                <w:rFonts w:eastAsia="Times New Roman" w:cs="Times New Roman"/>
                                <w:color w:val="000000"/>
                                <w:szCs w:val="24"/>
                                <w:lang w:eastAsia="en-MY"/>
                              </w:rPr>
                              <w:t>B</w:t>
                            </w:r>
                            <w:r w:rsidRPr="0067527B">
                              <w:rPr>
                                <w:rFonts w:eastAsia="Times New Roman" w:cs="Times New Roman"/>
                                <w:color w:val="000000"/>
                                <w:szCs w:val="24"/>
                                <w:vertAlign w:val="subscript"/>
                                <w:lang w:eastAsia="en-MY"/>
                              </w:rPr>
                              <w:t>10</w:t>
                            </w:r>
                            <w:r w:rsidRPr="0067527B">
                              <w:rPr>
                                <w:rFonts w:eastAsia="Times New Roman" w:cs="Times New Roman"/>
                                <w:color w:val="000000"/>
                                <w:szCs w:val="24"/>
                                <w:lang w:eastAsia="en-MY"/>
                              </w:rPr>
                              <w:t>S</w:t>
                            </w:r>
                            <w:r w:rsidRPr="0067527B">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34A5A4" id="Text Box 1644" o:spid="_x0000_s1276" type="#_x0000_t202" style="position:absolute;left:0;text-align:left;margin-left:280.15pt;margin-top:128.25pt;width:121.8pt;height:26.15pt;z-index:25241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" filled="f" stroked="f" strokeweight=".5pt">
                <v:textbox>
                  <w:txbxContent>
                    <w:p w14:paraId="22D4780A" w14:textId="77777777" w:rsidR="00230AB9" w:rsidRPr="003803CE" w:rsidRDefault="00230AB9" w:rsidP="00D740DC">
                      <w:pPr>
                        <w:rPr>
                          <w:szCs w:val="24"/>
                        </w:rPr>
                      </w:pPr>
                      <w:r w:rsidRPr="0067527B">
                        <w:rPr>
                          <w:rFonts w:eastAsia="Times New Roman" w:cs="Times New Roman"/>
                          <w:color w:val="000000"/>
                          <w:szCs w:val="24"/>
                          <w:lang w:eastAsia="en-MY"/>
                        </w:rPr>
                        <w:t>N</w:t>
                      </w:r>
                      <w:r w:rsidRPr="0067527B">
                        <w:rPr>
                          <w:rFonts w:eastAsia="Times New Roman" w:cs="Times New Roman"/>
                          <w:color w:val="000000"/>
                          <w:szCs w:val="24"/>
                          <w:vertAlign w:val="subscript"/>
                          <w:lang w:eastAsia="en-MY"/>
                        </w:rPr>
                        <w:t>15</w:t>
                      </w:r>
                      <w:r w:rsidRPr="0067527B">
                        <w:rPr>
                          <w:rFonts w:eastAsia="Times New Roman" w:cs="Times New Roman"/>
                          <w:color w:val="000000"/>
                          <w:szCs w:val="24"/>
                          <w:lang w:eastAsia="en-MY"/>
                        </w:rPr>
                        <w:t>C</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A</w:t>
                      </w:r>
                      <w:r w:rsidRPr="0067527B">
                        <w:rPr>
                          <w:rFonts w:eastAsia="Times New Roman" w:cs="Times New Roman"/>
                          <w:color w:val="000000"/>
                          <w:szCs w:val="24"/>
                          <w:vertAlign w:val="subscript"/>
                          <w:lang w:eastAsia="en-MY"/>
                        </w:rPr>
                        <w:t>10</w:t>
                      </w:r>
                      <w:r w:rsidRPr="0067527B">
                        <w:rPr>
                          <w:rFonts w:eastAsia="Times New Roman" w:cs="Times New Roman"/>
                          <w:color w:val="000000"/>
                          <w:szCs w:val="24"/>
                          <w:lang w:eastAsia="en-MY"/>
                        </w:rPr>
                        <w:t>B</w:t>
                      </w:r>
                      <w:r w:rsidRPr="0067527B">
                        <w:rPr>
                          <w:rFonts w:eastAsia="Times New Roman" w:cs="Times New Roman"/>
                          <w:color w:val="000000"/>
                          <w:szCs w:val="24"/>
                          <w:vertAlign w:val="subscript"/>
                          <w:lang w:eastAsia="en-MY"/>
                        </w:rPr>
                        <w:t>10</w:t>
                      </w:r>
                      <w:r w:rsidRPr="0067527B">
                        <w:rPr>
                          <w:rFonts w:eastAsia="Times New Roman" w:cs="Times New Roman"/>
                          <w:color w:val="000000"/>
                          <w:szCs w:val="24"/>
                          <w:lang w:eastAsia="en-MY"/>
                        </w:rPr>
                        <w:t>S</w:t>
                      </w:r>
                      <w:r w:rsidRPr="0067527B">
                        <w:rPr>
                          <w:rFonts w:eastAsia="Times New Roman" w:cs="Times New Roman"/>
                          <w:color w:val="000000"/>
                          <w:szCs w:val="24"/>
                          <w:vertAlign w:val="subscript"/>
                          <w:lang w:eastAsia="en-MY"/>
                        </w:rPr>
                        <w:t>60</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418048" behindDoc="0" locked="0" layoutInCell="1" allowOverlap="1" wp14:anchorId="6A5B2AF6" wp14:editId="468C01E6">
                <wp:simplePos x="0" y="0"/>
                <wp:positionH relativeFrom="column">
                  <wp:posOffset>1069600</wp:posOffset>
                </wp:positionH>
                <wp:positionV relativeFrom="paragraph">
                  <wp:posOffset>1608579</wp:posOffset>
                </wp:positionV>
                <wp:extent cx="1634247" cy="332105"/>
                <wp:effectExtent l="0" t="0" r="0" b="0"/>
                <wp:wrapNone/>
                <wp:docPr id="1645" name="Text Box 1645"/>
                <wp:cNvGraphicFramePr/>
                <a:graphic xmlns:a="http://schemas.openxmlformats.org/drawingml/2006/main">
                  <a:graphicData uri="http://schemas.microsoft.com/office/word/2010/wordprocessingShape">
                    <wps:wsp>
                      <wps:cNvSpPr txBox="1"/>
                      <wps:spPr>
                        <a:xfrm>
                          <a:off x="0" y="0"/>
                          <a:ext cx="1634247" cy="332105"/>
                        </a:xfrm>
                        <a:prstGeom prst="rect">
                          <a:avLst/>
                        </a:prstGeom>
                        <a:noFill/>
                        <a:ln w="6350">
                          <a:noFill/>
                        </a:ln>
                      </wps:spPr>
                      <wps:txbx>
                        <w:txbxContent>
                          <w:p w14:paraId="4CD04DD2" w14:textId="77777777" w:rsidR="00230AB9" w:rsidRPr="003803CE" w:rsidRDefault="00230AB9" w:rsidP="00D740DC">
                            <w:pPr>
                              <w:rPr>
                                <w:szCs w:val="24"/>
                              </w:rPr>
                            </w:pPr>
                            <w:r w:rsidRPr="0067527B">
                              <w:rPr>
                                <w:rFonts w:eastAsia="Times New Roman" w:cs="Times New Roman"/>
                                <w:color w:val="000000"/>
                                <w:szCs w:val="24"/>
                                <w:lang w:eastAsia="en-MY"/>
                              </w:rPr>
                              <w:t>N</w:t>
                            </w:r>
                            <w:r w:rsidRPr="0067527B">
                              <w:rPr>
                                <w:rFonts w:eastAsia="Times New Roman" w:cs="Times New Roman"/>
                                <w:color w:val="000000"/>
                                <w:szCs w:val="24"/>
                                <w:vertAlign w:val="subscript"/>
                                <w:lang w:eastAsia="en-MY"/>
                              </w:rPr>
                              <w:t>15</w:t>
                            </w:r>
                            <w:r w:rsidRPr="0067527B">
                              <w:rPr>
                                <w:rFonts w:eastAsia="Times New Roman" w:cs="Times New Roman"/>
                                <w:color w:val="000000"/>
                                <w:szCs w:val="24"/>
                                <w:lang w:eastAsia="en-MY"/>
                              </w:rPr>
                              <w:t>C</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A</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B</w:t>
                            </w:r>
                            <w:r w:rsidRPr="0067527B">
                              <w:rPr>
                                <w:rFonts w:eastAsia="Times New Roman" w:cs="Times New Roman"/>
                                <w:color w:val="000000"/>
                                <w:szCs w:val="24"/>
                                <w:vertAlign w:val="subscript"/>
                                <w:lang w:eastAsia="en-MY"/>
                              </w:rPr>
                              <w:t>15</w:t>
                            </w:r>
                            <w:r w:rsidRPr="0067527B">
                              <w:rPr>
                                <w:rFonts w:eastAsia="Times New Roman" w:cs="Times New Roman"/>
                                <w:color w:val="000000"/>
                                <w:szCs w:val="24"/>
                                <w:lang w:eastAsia="en-MY"/>
                              </w:rPr>
                              <w:t>S</w:t>
                            </w:r>
                            <w:r w:rsidRPr="0067527B">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5B2AF6" id="Text Box 1645" o:spid="_x0000_s1277" type="#_x0000_t202" style="position:absolute;left:0;text-align:left;margin-left:84.2pt;margin-top:126.65pt;width:128.7pt;height:26.15pt;z-index:25241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" filled="f" stroked="f" strokeweight=".5pt">
                <v:textbox>
                  <w:txbxContent>
                    <w:p w14:paraId="4CD04DD2" w14:textId="77777777" w:rsidR="00230AB9" w:rsidRPr="003803CE" w:rsidRDefault="00230AB9" w:rsidP="00D740DC">
                      <w:pPr>
                        <w:rPr>
                          <w:szCs w:val="24"/>
                        </w:rPr>
                      </w:pPr>
                      <w:r w:rsidRPr="0067527B">
                        <w:rPr>
                          <w:rFonts w:eastAsia="Times New Roman" w:cs="Times New Roman"/>
                          <w:color w:val="000000"/>
                          <w:szCs w:val="24"/>
                          <w:lang w:eastAsia="en-MY"/>
                        </w:rPr>
                        <w:t>N</w:t>
                      </w:r>
                      <w:r w:rsidRPr="0067527B">
                        <w:rPr>
                          <w:rFonts w:eastAsia="Times New Roman" w:cs="Times New Roman"/>
                          <w:color w:val="000000"/>
                          <w:szCs w:val="24"/>
                          <w:vertAlign w:val="subscript"/>
                          <w:lang w:eastAsia="en-MY"/>
                        </w:rPr>
                        <w:t>15</w:t>
                      </w:r>
                      <w:r w:rsidRPr="0067527B">
                        <w:rPr>
                          <w:rFonts w:eastAsia="Times New Roman" w:cs="Times New Roman"/>
                          <w:color w:val="000000"/>
                          <w:szCs w:val="24"/>
                          <w:lang w:eastAsia="en-MY"/>
                        </w:rPr>
                        <w:t>C</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A</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B</w:t>
                      </w:r>
                      <w:r w:rsidRPr="0067527B">
                        <w:rPr>
                          <w:rFonts w:eastAsia="Times New Roman" w:cs="Times New Roman"/>
                          <w:color w:val="000000"/>
                          <w:szCs w:val="24"/>
                          <w:vertAlign w:val="subscript"/>
                          <w:lang w:eastAsia="en-MY"/>
                        </w:rPr>
                        <w:t>15</w:t>
                      </w:r>
                      <w:r w:rsidRPr="0067527B">
                        <w:rPr>
                          <w:rFonts w:eastAsia="Times New Roman" w:cs="Times New Roman"/>
                          <w:color w:val="000000"/>
                          <w:szCs w:val="24"/>
                          <w:lang w:eastAsia="en-MY"/>
                        </w:rPr>
                        <w:t>S</w:t>
                      </w:r>
                      <w:r w:rsidRPr="0067527B">
                        <w:rPr>
                          <w:rFonts w:eastAsia="Times New Roman" w:cs="Times New Roman"/>
                          <w:color w:val="000000"/>
                          <w:szCs w:val="24"/>
                          <w:vertAlign w:val="subscript"/>
                          <w:lang w:eastAsia="en-MY"/>
                        </w:rPr>
                        <w:t>60</w:t>
                      </w:r>
                    </w:p>
                  </w:txbxContent>
                </v:textbox>
              </v:shape>
            </w:pict>
          </mc:Fallback>
        </mc:AlternateContent>
      </w:r>
      <w:r w:rsidRPr="001A6056">
        <w:rPr>
          <w:b w:val="0"/>
          <w:noProof/>
          <w:lang w:eastAsia="en-MY"/>
        </w:rPr>
        <mc:AlternateContent>
          <mc:Choice Requires="wps">
            <w:drawing>
              <wp:anchor distT="0" distB="0" distL="114300" distR="114300" simplePos="0" relativeHeight="252460032" behindDoc="0" locked="0" layoutInCell="1" allowOverlap="1" wp14:anchorId="0431A8EE" wp14:editId="002A53CF">
                <wp:simplePos x="0" y="0"/>
                <wp:positionH relativeFrom="leftMargin">
                  <wp:posOffset>2837886</wp:posOffset>
                </wp:positionH>
                <wp:positionV relativeFrom="paragraph">
                  <wp:posOffset>396213</wp:posOffset>
                </wp:positionV>
                <wp:extent cx="1793174" cy="249382"/>
                <wp:effectExtent l="0" t="0" r="7937" b="0"/>
                <wp:wrapNone/>
                <wp:docPr id="1489" name="Text Box 1489"/>
                <wp:cNvGraphicFramePr/>
                <a:graphic xmlns:a="http://schemas.openxmlformats.org/drawingml/2006/main">
                  <a:graphicData uri="http://schemas.microsoft.com/office/word/2010/wordprocessingShape">
                    <wps:wsp>
                      <wps:cNvSpPr txBox="1"/>
                      <wps:spPr>
                        <a:xfrm rot="16200000">
                          <a:off x="0" y="0"/>
                          <a:ext cx="1793174" cy="249382"/>
                        </a:xfrm>
                        <a:prstGeom prst="rect">
                          <a:avLst/>
                        </a:prstGeom>
                        <a:noFill/>
                        <a:ln w="6350">
                          <a:noFill/>
                        </a:ln>
                      </wps:spPr>
                      <wps:txbx>
                        <w:txbxContent>
                          <w:p w14:paraId="196C8649"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31A8EE" id="Text Box 1489" o:spid="_x0000_s1278" type="#_x0000_t202" style="position:absolute;left:0;text-align:left;margin-left:223.45pt;margin-top:31.2pt;width:141.2pt;height:19.65pt;rotation:-90;z-index:252460032;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" filled="f" stroked="f" strokeweight=".5pt">
                <v:textbox>
                  <w:txbxContent>
                    <w:p w14:paraId="196C8649"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v:textbox>
                <w10:wrap anchorx="margin"/>
              </v:shape>
            </w:pict>
          </mc:Fallback>
        </mc:AlternateContent>
      </w:r>
      <w:r w:rsidRPr="001A6056">
        <w:rPr>
          <w:b w:val="0"/>
          <w:noProof/>
          <w:lang w:eastAsia="en-MY"/>
        </w:rPr>
        <mc:AlternateContent>
          <mc:Choice Requires="wps">
            <w:drawing>
              <wp:anchor distT="0" distB="0" distL="114300" distR="114300" simplePos="0" relativeHeight="252459008" behindDoc="0" locked="0" layoutInCell="1" allowOverlap="1" wp14:anchorId="72DDD927" wp14:editId="43E0ACC6">
                <wp:simplePos x="0" y="0"/>
                <wp:positionH relativeFrom="leftMargin">
                  <wp:posOffset>306828</wp:posOffset>
                </wp:positionH>
                <wp:positionV relativeFrom="paragraph">
                  <wp:posOffset>486571</wp:posOffset>
                </wp:positionV>
                <wp:extent cx="1793174" cy="249382"/>
                <wp:effectExtent l="0" t="0" r="7937" b="0"/>
                <wp:wrapNone/>
                <wp:docPr id="1488" name="Text Box 1488"/>
                <wp:cNvGraphicFramePr/>
                <a:graphic xmlns:a="http://schemas.openxmlformats.org/drawingml/2006/main">
                  <a:graphicData uri="http://schemas.microsoft.com/office/word/2010/wordprocessingShape">
                    <wps:wsp>
                      <wps:cNvSpPr txBox="1"/>
                      <wps:spPr>
                        <a:xfrm rot="16200000">
                          <a:off x="0" y="0"/>
                          <a:ext cx="1793174" cy="249382"/>
                        </a:xfrm>
                        <a:prstGeom prst="rect">
                          <a:avLst/>
                        </a:prstGeom>
                        <a:noFill/>
                        <a:ln w="6350">
                          <a:noFill/>
                        </a:ln>
                      </wps:spPr>
                      <wps:txbx>
                        <w:txbxContent>
                          <w:p w14:paraId="041E7550"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DDD927" id="Text Box 1488" o:spid="_x0000_s1279" type="#_x0000_t202" style="position:absolute;left:0;text-align:left;margin-left:24.15pt;margin-top:38.3pt;width:141.2pt;height:19.65pt;rotation:-90;z-index:252459008;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" filled="f" stroked="f" strokeweight=".5pt">
                <v:textbox>
                  <w:txbxContent>
                    <w:p w14:paraId="041E7550"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v:textbox>
                <w10:wrap anchorx="margin"/>
              </v:shape>
            </w:pict>
          </mc:Fallback>
        </mc:AlternateContent>
      </w:r>
      <w:r w:rsidRPr="000E2377">
        <w:rPr>
          <w:rFonts w:cs="Times New Roman"/>
          <w:noProof/>
          <w:szCs w:val="24"/>
          <w:lang w:eastAsia="en-MY"/>
        </w:rPr>
        <w:drawing>
          <wp:inline distT="0" distB="0" distL="0" distR="0" wp14:anchorId="1D50F6AF" wp14:editId="46144761">
            <wp:extent cx="2459821" cy="1512000"/>
            <wp:effectExtent l="0" t="0" r="0" b="0"/>
            <wp:docPr id="1647" name="Picture 1647" descr="C:\Users\Asus A450L\Google Drive\0. Master data\PART 4  Results\picture\Dec S2\AB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sus A450L\Google Drive\0. Master data\PART 4  Results\picture\Dec S2\AB10.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459821" cy="1512000"/>
                    </a:xfrm>
                    <a:prstGeom prst="rect">
                      <a:avLst/>
                    </a:prstGeom>
                    <a:noFill/>
                    <a:ln>
                      <a:noFill/>
                    </a:ln>
                  </pic:spPr>
                </pic:pic>
              </a:graphicData>
            </a:graphic>
          </wp:inline>
        </w:drawing>
      </w:r>
      <w:r w:rsidRPr="000E2377">
        <w:rPr>
          <w:rFonts w:cs="Times New Roman"/>
          <w:noProof/>
          <w:szCs w:val="24"/>
          <w:lang w:eastAsia="en-MY"/>
        </w:rPr>
        <w:drawing>
          <wp:inline distT="0" distB="0" distL="0" distR="0" wp14:anchorId="130329BC" wp14:editId="7B64CE6F">
            <wp:extent cx="2443636" cy="1512000"/>
            <wp:effectExtent l="0" t="0" r="0" b="0"/>
            <wp:docPr id="1648" name="Picture 1648" descr="C:\Users\Asus A450L\Google Drive\0. Master data\PART 4  Results\picture\Dec S2\A5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sus A450L\Google Drive\0. Master data\PART 4  Results\picture\Dec S2\A5B5.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43636" cy="1512000"/>
                    </a:xfrm>
                    <a:prstGeom prst="rect">
                      <a:avLst/>
                    </a:prstGeom>
                    <a:noFill/>
                    <a:ln>
                      <a:noFill/>
                    </a:ln>
                  </pic:spPr>
                </pic:pic>
              </a:graphicData>
            </a:graphic>
          </wp:inline>
        </w:drawing>
      </w:r>
    </w:p>
    <w:p w14:paraId="18E22B7B" w14:textId="77777777" w:rsidR="00D740DC" w:rsidRPr="000E2377" w:rsidRDefault="00D740DC" w:rsidP="00D740DC">
      <w:pPr>
        <w:spacing w:line="360" w:lineRule="auto"/>
        <w:jc w:val="center"/>
        <w:rPr>
          <w:rFonts w:cs="Times New Roman"/>
          <w:szCs w:val="24"/>
          <w:lang w:val="en-GB"/>
        </w:rPr>
      </w:pPr>
      <w:r w:rsidRPr="000E2377">
        <w:rPr>
          <w:rFonts w:cs="Times New Roman"/>
          <w:noProof/>
          <w:szCs w:val="24"/>
          <w:lang w:eastAsia="en-MY"/>
        </w:rPr>
        <mc:AlternateContent>
          <mc:Choice Requires="wps">
            <w:drawing>
              <wp:anchor distT="0" distB="0" distL="114300" distR="114300" simplePos="0" relativeHeight="252420096" behindDoc="0" locked="0" layoutInCell="1" allowOverlap="1" wp14:anchorId="655080EB" wp14:editId="5C6E964E">
                <wp:simplePos x="0" y="0"/>
                <wp:positionH relativeFrom="margin">
                  <wp:align>center</wp:align>
                </wp:positionH>
                <wp:positionV relativeFrom="paragraph">
                  <wp:posOffset>1512273</wp:posOffset>
                </wp:positionV>
                <wp:extent cx="1575881" cy="332509"/>
                <wp:effectExtent l="0" t="0" r="0" b="0"/>
                <wp:wrapNone/>
                <wp:docPr id="1646" name="Text Box 1646"/>
                <wp:cNvGraphicFramePr/>
                <a:graphic xmlns:a="http://schemas.openxmlformats.org/drawingml/2006/main">
                  <a:graphicData uri="http://schemas.microsoft.com/office/word/2010/wordprocessingShape">
                    <wps:wsp>
                      <wps:cNvSpPr txBox="1"/>
                      <wps:spPr>
                        <a:xfrm>
                          <a:off x="0" y="0"/>
                          <a:ext cx="1575881" cy="332509"/>
                        </a:xfrm>
                        <a:prstGeom prst="rect">
                          <a:avLst/>
                        </a:prstGeom>
                        <a:noFill/>
                        <a:ln w="6350">
                          <a:noFill/>
                        </a:ln>
                      </wps:spPr>
                      <wps:txbx>
                        <w:txbxContent>
                          <w:p w14:paraId="2078CD53" w14:textId="77777777" w:rsidR="00230AB9" w:rsidRPr="003803CE" w:rsidRDefault="00230AB9" w:rsidP="00D740DC">
                            <w:pPr>
                              <w:rPr>
                                <w:szCs w:val="24"/>
                              </w:rPr>
                            </w:pPr>
                            <w:r w:rsidRPr="0067527B">
                              <w:rPr>
                                <w:rFonts w:eastAsia="Times New Roman" w:cs="Times New Roman"/>
                                <w:color w:val="000000"/>
                                <w:szCs w:val="24"/>
                                <w:lang w:eastAsia="en-MY"/>
                              </w:rPr>
                              <w:t>N</w:t>
                            </w:r>
                            <w:r w:rsidRPr="0067527B">
                              <w:rPr>
                                <w:rFonts w:eastAsia="Times New Roman" w:cs="Times New Roman"/>
                                <w:color w:val="000000"/>
                                <w:szCs w:val="24"/>
                                <w:vertAlign w:val="subscript"/>
                                <w:lang w:eastAsia="en-MY"/>
                              </w:rPr>
                              <w:t>15</w:t>
                            </w:r>
                            <w:r w:rsidRPr="0067527B">
                              <w:rPr>
                                <w:rFonts w:eastAsia="Times New Roman" w:cs="Times New Roman"/>
                                <w:color w:val="000000"/>
                                <w:szCs w:val="24"/>
                                <w:lang w:eastAsia="en-MY"/>
                              </w:rPr>
                              <w:t>C</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A</w:t>
                            </w:r>
                            <w:r w:rsidRPr="0067527B">
                              <w:rPr>
                                <w:rFonts w:eastAsia="Times New Roman" w:cs="Times New Roman"/>
                                <w:color w:val="000000"/>
                                <w:szCs w:val="24"/>
                                <w:vertAlign w:val="subscript"/>
                                <w:lang w:eastAsia="en-MY"/>
                              </w:rPr>
                              <w:t>15</w:t>
                            </w:r>
                            <w:r w:rsidRPr="0067527B">
                              <w:rPr>
                                <w:rFonts w:eastAsia="Times New Roman" w:cs="Times New Roman"/>
                                <w:color w:val="000000"/>
                                <w:szCs w:val="24"/>
                                <w:lang w:eastAsia="en-MY"/>
                              </w:rPr>
                              <w:t>B</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S</w:t>
                            </w:r>
                            <w:r w:rsidRPr="0067527B">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5080EB" id="Text Box 1646" o:spid="_x0000_s1280" type="#_x0000_t202" style="position:absolute;left:0;text-align:left;margin-left:0;margin-top:119.1pt;width:124.1pt;height:26.2pt;z-index:25242009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" filled="f" stroked="f" strokeweight=".5pt">
                <v:textbox>
                  <w:txbxContent>
                    <w:p w14:paraId="2078CD53" w14:textId="77777777" w:rsidR="00230AB9" w:rsidRPr="003803CE" w:rsidRDefault="00230AB9" w:rsidP="00D740DC">
                      <w:pPr>
                        <w:rPr>
                          <w:szCs w:val="24"/>
                        </w:rPr>
                      </w:pPr>
                      <w:r w:rsidRPr="0067527B">
                        <w:rPr>
                          <w:rFonts w:eastAsia="Times New Roman" w:cs="Times New Roman"/>
                          <w:color w:val="000000"/>
                          <w:szCs w:val="24"/>
                          <w:lang w:eastAsia="en-MY"/>
                        </w:rPr>
                        <w:t>N</w:t>
                      </w:r>
                      <w:r w:rsidRPr="0067527B">
                        <w:rPr>
                          <w:rFonts w:eastAsia="Times New Roman" w:cs="Times New Roman"/>
                          <w:color w:val="000000"/>
                          <w:szCs w:val="24"/>
                          <w:vertAlign w:val="subscript"/>
                          <w:lang w:eastAsia="en-MY"/>
                        </w:rPr>
                        <w:t>15</w:t>
                      </w:r>
                      <w:r w:rsidRPr="0067527B">
                        <w:rPr>
                          <w:rFonts w:eastAsia="Times New Roman" w:cs="Times New Roman"/>
                          <w:color w:val="000000"/>
                          <w:szCs w:val="24"/>
                          <w:lang w:eastAsia="en-MY"/>
                        </w:rPr>
                        <w:t>C</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A</w:t>
                      </w:r>
                      <w:r w:rsidRPr="0067527B">
                        <w:rPr>
                          <w:rFonts w:eastAsia="Times New Roman" w:cs="Times New Roman"/>
                          <w:color w:val="000000"/>
                          <w:szCs w:val="24"/>
                          <w:vertAlign w:val="subscript"/>
                          <w:lang w:eastAsia="en-MY"/>
                        </w:rPr>
                        <w:t>15</w:t>
                      </w:r>
                      <w:r w:rsidRPr="0067527B">
                        <w:rPr>
                          <w:rFonts w:eastAsia="Times New Roman" w:cs="Times New Roman"/>
                          <w:color w:val="000000"/>
                          <w:szCs w:val="24"/>
                          <w:lang w:eastAsia="en-MY"/>
                        </w:rPr>
                        <w:t>B</w:t>
                      </w:r>
                      <w:r w:rsidRPr="0067527B">
                        <w:rPr>
                          <w:rFonts w:eastAsia="Times New Roman" w:cs="Times New Roman"/>
                          <w:color w:val="000000"/>
                          <w:szCs w:val="24"/>
                          <w:vertAlign w:val="subscript"/>
                          <w:lang w:eastAsia="en-MY"/>
                        </w:rPr>
                        <w:t>5</w:t>
                      </w:r>
                      <w:r w:rsidRPr="0067527B">
                        <w:rPr>
                          <w:rFonts w:eastAsia="Times New Roman" w:cs="Times New Roman"/>
                          <w:color w:val="000000"/>
                          <w:szCs w:val="24"/>
                          <w:lang w:eastAsia="en-MY"/>
                        </w:rPr>
                        <w:t>S</w:t>
                      </w:r>
                      <w:r w:rsidRPr="0067527B">
                        <w:rPr>
                          <w:rFonts w:eastAsia="Times New Roman" w:cs="Times New Roman"/>
                          <w:color w:val="000000"/>
                          <w:szCs w:val="24"/>
                          <w:vertAlign w:val="subscript"/>
                          <w:lang w:eastAsia="en-MY"/>
                        </w:rPr>
                        <w:t>60</w:t>
                      </w:r>
                    </w:p>
                  </w:txbxContent>
                </v:textbox>
                <w10:wrap anchorx="margin"/>
              </v:shape>
            </w:pict>
          </mc:Fallback>
        </mc:AlternateContent>
      </w:r>
      <w:r w:rsidRPr="001A6056">
        <w:rPr>
          <w:b w:val="0"/>
          <w:noProof/>
          <w:lang w:eastAsia="en-MY"/>
        </w:rPr>
        <mc:AlternateContent>
          <mc:Choice Requires="wps">
            <w:drawing>
              <wp:anchor distT="0" distB="0" distL="114300" distR="114300" simplePos="0" relativeHeight="252462080" behindDoc="0" locked="0" layoutInCell="1" allowOverlap="1" wp14:anchorId="19890D7F" wp14:editId="39D78ED7">
                <wp:simplePos x="0" y="0"/>
                <wp:positionH relativeFrom="leftMargin">
                  <wp:posOffset>2765021</wp:posOffset>
                </wp:positionH>
                <wp:positionV relativeFrom="paragraph">
                  <wp:posOffset>360587</wp:posOffset>
                </wp:positionV>
                <wp:extent cx="1793174" cy="249382"/>
                <wp:effectExtent l="0" t="0" r="7937" b="0"/>
                <wp:wrapNone/>
                <wp:docPr id="1495" name="Text Box 1495"/>
                <wp:cNvGraphicFramePr/>
                <a:graphic xmlns:a="http://schemas.openxmlformats.org/drawingml/2006/main">
                  <a:graphicData uri="http://schemas.microsoft.com/office/word/2010/wordprocessingShape">
                    <wps:wsp>
                      <wps:cNvSpPr txBox="1"/>
                      <wps:spPr>
                        <a:xfrm rot="16200000">
                          <a:off x="0" y="0"/>
                          <a:ext cx="1793174" cy="249382"/>
                        </a:xfrm>
                        <a:prstGeom prst="rect">
                          <a:avLst/>
                        </a:prstGeom>
                        <a:noFill/>
                        <a:ln w="6350">
                          <a:noFill/>
                        </a:ln>
                      </wps:spPr>
                      <wps:txbx>
                        <w:txbxContent>
                          <w:p w14:paraId="5211C27C"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890D7F" id="Text Box 1495" o:spid="_x0000_s1281" type="#_x0000_t202" style="position:absolute;left:0;text-align:left;margin-left:217.7pt;margin-top:28.4pt;width:141.2pt;height:19.65pt;rotation:-90;z-index:252462080;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" filled="f" stroked="f" strokeweight=".5pt">
                <v:textbox>
                  <w:txbxContent>
                    <w:p w14:paraId="5211C27C"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v:textbox>
                <w10:wrap anchorx="margin"/>
              </v:shape>
            </w:pict>
          </mc:Fallback>
        </mc:AlternateContent>
      </w:r>
      <w:r w:rsidRPr="001A6056">
        <w:rPr>
          <w:b w:val="0"/>
          <w:noProof/>
          <w:lang w:eastAsia="en-MY"/>
        </w:rPr>
        <mc:AlternateContent>
          <mc:Choice Requires="wps">
            <w:drawing>
              <wp:anchor distT="0" distB="0" distL="114300" distR="114300" simplePos="0" relativeHeight="252461056" behindDoc="0" locked="0" layoutInCell="1" allowOverlap="1" wp14:anchorId="1D8F8F72" wp14:editId="277ECAE1">
                <wp:simplePos x="0" y="0"/>
                <wp:positionH relativeFrom="leftMargin">
                  <wp:posOffset>310516</wp:posOffset>
                </wp:positionH>
                <wp:positionV relativeFrom="paragraph">
                  <wp:posOffset>415319</wp:posOffset>
                </wp:positionV>
                <wp:extent cx="1793174" cy="249382"/>
                <wp:effectExtent l="0" t="0" r="7937" b="0"/>
                <wp:wrapNone/>
                <wp:docPr id="1491" name="Text Box 1491"/>
                <wp:cNvGraphicFramePr/>
                <a:graphic xmlns:a="http://schemas.openxmlformats.org/drawingml/2006/main">
                  <a:graphicData uri="http://schemas.microsoft.com/office/word/2010/wordprocessingShape">
                    <wps:wsp>
                      <wps:cNvSpPr txBox="1"/>
                      <wps:spPr>
                        <a:xfrm rot="16200000">
                          <a:off x="0" y="0"/>
                          <a:ext cx="1793174" cy="249382"/>
                        </a:xfrm>
                        <a:prstGeom prst="rect">
                          <a:avLst/>
                        </a:prstGeom>
                        <a:noFill/>
                        <a:ln w="6350">
                          <a:noFill/>
                        </a:ln>
                      </wps:spPr>
                      <wps:txbx>
                        <w:txbxContent>
                          <w:p w14:paraId="6A191E22"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8F8F72" id="Text Box 1491" o:spid="_x0000_s1282" type="#_x0000_t202" style="position:absolute;left:0;text-align:left;margin-left:24.45pt;margin-top:32.7pt;width:141.2pt;height:19.65pt;rotation:-90;z-index:252461056;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" filled="f" stroked="f" strokeweight=".5pt">
                <v:textbox>
                  <w:txbxContent>
                    <w:p w14:paraId="6A191E22"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v:textbox>
                <w10:wrap anchorx="margin"/>
              </v:shape>
            </w:pict>
          </mc:Fallback>
        </mc:AlternateContent>
      </w:r>
      <w:r w:rsidRPr="000E2377">
        <w:rPr>
          <w:rFonts w:cs="Times New Roman"/>
          <w:noProof/>
          <w:szCs w:val="24"/>
          <w:lang w:eastAsia="en-MY"/>
        </w:rPr>
        <w:drawing>
          <wp:inline distT="0" distB="0" distL="0" distR="0" wp14:anchorId="4639D1A2" wp14:editId="332C2106">
            <wp:extent cx="2445995" cy="1512000"/>
            <wp:effectExtent l="0" t="0" r="0" b="0"/>
            <wp:docPr id="1649" name="Picture 1649" descr="C:\Users\Asus A450L\Google Drive\0. Master data\PART 4  Results\picture\Dec S2\A5B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sus A450L\Google Drive\0. Master data\PART 4  Results\picture\Dec S2\A5B15.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45995" cy="1512000"/>
                    </a:xfrm>
                    <a:prstGeom prst="rect">
                      <a:avLst/>
                    </a:prstGeom>
                    <a:noFill/>
                    <a:ln>
                      <a:noFill/>
                    </a:ln>
                  </pic:spPr>
                </pic:pic>
              </a:graphicData>
            </a:graphic>
          </wp:inline>
        </w:drawing>
      </w:r>
      <w:r w:rsidRPr="000E2377">
        <w:rPr>
          <w:rFonts w:cs="Times New Roman"/>
          <w:noProof/>
          <w:szCs w:val="24"/>
          <w:lang w:eastAsia="en-MY"/>
        </w:rPr>
        <w:drawing>
          <wp:inline distT="0" distB="0" distL="0" distR="0" wp14:anchorId="3EFBAF9B" wp14:editId="588CB1A3">
            <wp:extent cx="2553198" cy="1512000"/>
            <wp:effectExtent l="0" t="0" r="0" b="0"/>
            <wp:docPr id="1650" name="Picture 1650" descr="C:\Users\Asus A450L\Google Drive\0. Master data\PART 4  Results\picture\Dec S2\A10B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sus A450L\Google Drive\0. Master data\PART 4  Results\picture\Dec S2\A10B10.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53198" cy="1512000"/>
                    </a:xfrm>
                    <a:prstGeom prst="rect">
                      <a:avLst/>
                    </a:prstGeom>
                    <a:noFill/>
                    <a:ln>
                      <a:noFill/>
                    </a:ln>
                  </pic:spPr>
                </pic:pic>
              </a:graphicData>
            </a:graphic>
          </wp:inline>
        </w:drawing>
      </w:r>
    </w:p>
    <w:p w14:paraId="37AABADE" w14:textId="77777777" w:rsidR="00D740DC" w:rsidRPr="000E2377" w:rsidRDefault="00D740DC" w:rsidP="00D740DC">
      <w:pPr>
        <w:spacing w:line="360" w:lineRule="auto"/>
        <w:jc w:val="center"/>
        <w:rPr>
          <w:rFonts w:cs="Times New Roman"/>
          <w:szCs w:val="24"/>
          <w:lang w:val="en-GB"/>
        </w:rPr>
      </w:pPr>
      <w:r w:rsidRPr="001A6056">
        <w:rPr>
          <w:b w:val="0"/>
          <w:noProof/>
          <w:lang w:eastAsia="en-MY"/>
        </w:rPr>
        <mc:AlternateContent>
          <mc:Choice Requires="wps">
            <w:drawing>
              <wp:anchor distT="0" distB="0" distL="114300" distR="114300" simplePos="0" relativeHeight="252463104" behindDoc="0" locked="0" layoutInCell="1" allowOverlap="1" wp14:anchorId="28879C5F" wp14:editId="7586C066">
                <wp:simplePos x="0" y="0"/>
                <wp:positionH relativeFrom="leftMargin">
                  <wp:posOffset>1495974</wp:posOffset>
                </wp:positionH>
                <wp:positionV relativeFrom="paragraph">
                  <wp:posOffset>426626</wp:posOffset>
                </wp:positionV>
                <wp:extent cx="1793174" cy="249382"/>
                <wp:effectExtent l="0" t="0" r="7937" b="0"/>
                <wp:wrapNone/>
                <wp:docPr id="205" name="Text Box 205"/>
                <wp:cNvGraphicFramePr/>
                <a:graphic xmlns:a="http://schemas.openxmlformats.org/drawingml/2006/main">
                  <a:graphicData uri="http://schemas.microsoft.com/office/word/2010/wordprocessingShape">
                    <wps:wsp>
                      <wps:cNvSpPr txBox="1"/>
                      <wps:spPr>
                        <a:xfrm rot="16200000">
                          <a:off x="0" y="0"/>
                          <a:ext cx="1793174" cy="249382"/>
                        </a:xfrm>
                        <a:prstGeom prst="rect">
                          <a:avLst/>
                        </a:prstGeom>
                        <a:noFill/>
                        <a:ln w="6350">
                          <a:noFill/>
                        </a:ln>
                      </wps:spPr>
                      <wps:txbx>
                        <w:txbxContent>
                          <w:p w14:paraId="5B122008"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879C5F" id="Text Box 205" o:spid="_x0000_s1283" type="#_x0000_t202" style="position:absolute;left:0;text-align:left;margin-left:117.8pt;margin-top:33.6pt;width:141.2pt;height:19.65pt;rotation:-90;z-index:252463104;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" filled="f" stroked="f" strokeweight=".5pt">
                <v:textbox>
                  <w:txbxContent>
                    <w:p w14:paraId="5B122008" w14:textId="77777777" w:rsidR="00230AB9" w:rsidRPr="001B142B" w:rsidRDefault="00230AB9" w:rsidP="00D740DC">
                      <w:pPr>
                        <w:jc w:val="center"/>
                        <w:rPr>
                          <w:b w:val="0"/>
                          <w:sz w:val="16"/>
                          <w:szCs w:val="16"/>
                        </w:rPr>
                      </w:pPr>
                      <w:r>
                        <w:rPr>
                          <w:sz w:val="16"/>
                          <w:szCs w:val="16"/>
                        </w:rPr>
                        <w:t>Intensity (</w:t>
                      </w:r>
                      <w:proofErr w:type="spellStart"/>
                      <w:r>
                        <w:rPr>
                          <w:sz w:val="16"/>
                          <w:szCs w:val="16"/>
                        </w:rPr>
                        <w:t>a.u</w:t>
                      </w:r>
                      <w:proofErr w:type="spellEnd"/>
                      <w:r>
                        <w:rPr>
                          <w:sz w:val="16"/>
                          <w:szCs w:val="16"/>
                        </w:rPr>
                        <w:t>)</w:t>
                      </w:r>
                    </w:p>
                  </w:txbxContent>
                </v:textbox>
                <w10:wrap anchorx="margin"/>
              </v:shape>
            </w:pict>
          </mc:Fallback>
        </mc:AlternateContent>
      </w:r>
      <w:r w:rsidRPr="000E2377">
        <w:rPr>
          <w:rFonts w:cs="Times New Roman"/>
          <w:noProof/>
          <w:szCs w:val="24"/>
          <w:lang w:eastAsia="en-MY"/>
        </w:rPr>
        <w:drawing>
          <wp:inline distT="0" distB="0" distL="0" distR="0" wp14:anchorId="4D900BBB" wp14:editId="2A1ED662">
            <wp:extent cx="2465723" cy="1512000"/>
            <wp:effectExtent l="0" t="0" r="0" b="0"/>
            <wp:docPr id="1651" name="Picture 1651" descr="C:\Users\Asus A450L\Google Drive\0. Master data\PART 4  Results\picture\Dec S2\A15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sus A450L\Google Drive\0. Master data\PART 4  Results\picture\Dec S2\A15B5.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465723" cy="1512000"/>
                    </a:xfrm>
                    <a:prstGeom prst="rect">
                      <a:avLst/>
                    </a:prstGeom>
                    <a:noFill/>
                    <a:ln>
                      <a:noFill/>
                    </a:ln>
                  </pic:spPr>
                </pic:pic>
              </a:graphicData>
            </a:graphic>
          </wp:inline>
        </w:drawing>
      </w:r>
    </w:p>
    <w:p w14:paraId="2BCF9E6E" w14:textId="5D1B9CF8" w:rsidR="00D740DC" w:rsidRDefault="0080406D" w:rsidP="00D740DC">
      <w:pPr>
        <w:pStyle w:val="Caption"/>
        <w:rPr>
          <w:szCs w:val="24"/>
        </w:rPr>
      </w:pPr>
      <w:bookmarkStart w:id="721" w:name="_Toc521420477"/>
      <w:bookmarkStart w:id="722" w:name="_Toc525223211"/>
      <w:bookmarkStart w:id="723" w:name="_Toc525528358"/>
      <w:bookmarkStart w:id="724" w:name="_Toc525706373"/>
      <w:r>
        <w:t>Figure 4.13</w:t>
      </w:r>
      <w:r w:rsidR="00D740DC" w:rsidRPr="000E2377">
        <w:t xml:space="preserve">: </w:t>
      </w:r>
      <w:r w:rsidR="00D740DC" w:rsidRPr="000E2377">
        <w:rPr>
          <w:szCs w:val="24"/>
        </w:rPr>
        <w:t>Deconvolution of the 850–1300 cm</w:t>
      </w:r>
      <w:r w:rsidR="00D740DC" w:rsidRPr="000E2377">
        <w:rPr>
          <w:szCs w:val="24"/>
          <w:vertAlign w:val="superscript"/>
        </w:rPr>
        <w:t>-1</w:t>
      </w:r>
      <w:r w:rsidR="00D740DC" w:rsidRPr="000E2377">
        <w:rPr>
          <w:szCs w:val="24"/>
        </w:rPr>
        <w:t xml:space="preserve"> peak in the Raman spectra for the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15</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5</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10-x</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 xml:space="preserve">70 </w:t>
      </w:r>
      <w:r w:rsidR="00D740DC" w:rsidRPr="000E2377">
        <w:rPr>
          <w:rFonts w:eastAsia="Times New Roman"/>
          <w:color w:val="000000"/>
          <w:szCs w:val="24"/>
          <w:lang w:eastAsia="en-MY"/>
        </w:rPr>
        <w:t>and</w:t>
      </w:r>
      <w:r w:rsidR="00D740DC" w:rsidRPr="000E2377">
        <w:rPr>
          <w:szCs w:val="24"/>
        </w:rPr>
        <w:t xml:space="preserve">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15</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5</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20-x</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60</w:t>
      </w:r>
      <w:r w:rsidR="00D740DC" w:rsidRPr="000E2377">
        <w:rPr>
          <w:rFonts w:eastAsia="Times New Roman"/>
          <w:color w:val="000000"/>
          <w:sz w:val="16"/>
          <w:szCs w:val="16"/>
          <w:vertAlign w:val="subscript"/>
          <w:lang w:eastAsia="en-MY"/>
        </w:rPr>
        <w:t xml:space="preserve"> </w:t>
      </w:r>
      <w:r w:rsidR="00D740DC" w:rsidRPr="000E2377">
        <w:rPr>
          <w:rFonts w:eastAsia="Times New Roman"/>
          <w:color w:val="000000"/>
          <w:szCs w:val="24"/>
          <w:lang w:eastAsia="en-MY"/>
        </w:rPr>
        <w:t>glasses</w:t>
      </w:r>
      <w:r w:rsidR="00D740DC" w:rsidRPr="000E2377">
        <w:rPr>
          <w:szCs w:val="24"/>
        </w:rPr>
        <w:t>.</w:t>
      </w:r>
      <w:bookmarkEnd w:id="721"/>
      <w:bookmarkEnd w:id="722"/>
      <w:bookmarkEnd w:id="723"/>
      <w:bookmarkEnd w:id="724"/>
    </w:p>
    <w:p w14:paraId="56FDBC40" w14:textId="5745EFC5" w:rsidR="00D740DC" w:rsidRPr="0095296E" w:rsidRDefault="00D740DC" w:rsidP="00D740DC">
      <w:pPr>
        <w:spacing w:line="360" w:lineRule="auto"/>
        <w:jc w:val="both"/>
        <w:rPr>
          <w:rFonts w:cs="Times New Roman"/>
          <w:b w:val="0"/>
          <w:color w:val="FF0000"/>
          <w:szCs w:val="24"/>
          <w:lang w:val="en-GB"/>
        </w:rPr>
      </w:pPr>
      <w:r>
        <w:rPr>
          <w:rFonts w:cs="Times New Roman"/>
          <w:b w:val="0"/>
          <w:szCs w:val="24"/>
          <w:lang w:val="en-GB"/>
        </w:rPr>
        <w:lastRenderedPageBreak/>
        <w:t>T</w:t>
      </w:r>
      <w:r w:rsidRPr="000E2377">
        <w:rPr>
          <w:rFonts w:cs="Times New Roman"/>
          <w:b w:val="0"/>
          <w:szCs w:val="24"/>
          <w:lang w:val="en-GB"/>
        </w:rPr>
        <w:t>he Q</w:t>
      </w:r>
      <w:r w:rsidRPr="000E2377">
        <w:rPr>
          <w:rFonts w:cs="Times New Roman"/>
          <w:b w:val="0"/>
          <w:szCs w:val="24"/>
          <w:vertAlign w:val="superscript"/>
          <w:lang w:val="en-GB"/>
        </w:rPr>
        <w:t xml:space="preserve">4 </w:t>
      </w:r>
      <w:r w:rsidRPr="000E2377">
        <w:rPr>
          <w:rFonts w:cs="Times New Roman"/>
          <w:b w:val="0"/>
          <w:szCs w:val="24"/>
          <w:lang w:val="en-GB"/>
        </w:rPr>
        <w:t xml:space="preserve">peak at </w:t>
      </w:r>
      <w:r w:rsidRPr="000E2377">
        <w:rPr>
          <w:rFonts w:asciiTheme="majorBidi" w:hAnsiTheme="majorBidi" w:cstheme="majorBidi"/>
          <w:b w:val="0"/>
          <w:szCs w:val="24"/>
        </w:rPr>
        <w:t>1160 cm</w:t>
      </w:r>
      <w:r w:rsidRPr="000E2377">
        <w:rPr>
          <w:rFonts w:asciiTheme="majorBidi" w:hAnsiTheme="majorBidi" w:cstheme="majorBidi"/>
          <w:b w:val="0"/>
          <w:szCs w:val="24"/>
          <w:vertAlign w:val="superscript"/>
        </w:rPr>
        <w:t xml:space="preserve">-1 </w:t>
      </w:r>
      <w:r w:rsidRPr="000E2377">
        <w:rPr>
          <w:rFonts w:cs="Times New Roman"/>
          <w:b w:val="0"/>
          <w:szCs w:val="24"/>
          <w:lang w:val="en-GB"/>
        </w:rPr>
        <w:t xml:space="preserve">decreases in intensity from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79.7</w:t>
      </w:r>
      <w:r w:rsidRPr="000E2377">
        <w:rPr>
          <w:rFonts w:cs="Times New Roman"/>
          <w:b w:val="0"/>
          <w:szCs w:val="24"/>
          <w:lang w:val="en-GB"/>
        </w:rPr>
        <w:t xml:space="preserve"> to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75.7</w:t>
      </w:r>
      <w:r>
        <w:rPr>
          <w:rFonts w:eastAsia="Times New Roman" w:cs="Times New Roman"/>
          <w:b w:val="0"/>
          <w:color w:val="000000"/>
          <w:szCs w:val="24"/>
          <w:lang w:eastAsia="en-MY"/>
        </w:rPr>
        <w:t xml:space="preserve"> and the value of Q</w:t>
      </w:r>
      <w:r w:rsidRPr="00C83D79">
        <w:rPr>
          <w:rFonts w:eastAsia="Times New Roman" w:cs="Times New Roman"/>
          <w:b w:val="0"/>
          <w:color w:val="000000"/>
          <w:szCs w:val="24"/>
          <w:vertAlign w:val="superscript"/>
          <w:lang w:eastAsia="en-MY"/>
        </w:rPr>
        <w:t>4</w:t>
      </w:r>
      <w:r>
        <w:rPr>
          <w:rFonts w:eastAsia="Times New Roman" w:cs="Times New Roman"/>
          <w:b w:val="0"/>
          <w:color w:val="000000"/>
          <w:szCs w:val="24"/>
          <w:lang w:eastAsia="en-MY"/>
        </w:rPr>
        <w:t xml:space="preserve"> species shows that it increased with increasing alumina but then decreased at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75.5</w:t>
      </w:r>
      <w:r w:rsidRPr="000E2377">
        <w:rPr>
          <w:rFonts w:cs="Times New Roman"/>
          <w:b w:val="0"/>
          <w:szCs w:val="24"/>
          <w:lang w:val="en-GB"/>
        </w:rPr>
        <w:t>. Figure 4.1</w:t>
      </w:r>
      <w:r>
        <w:rPr>
          <w:rFonts w:cs="Times New Roman"/>
          <w:b w:val="0"/>
          <w:szCs w:val="24"/>
          <w:lang w:val="en-GB"/>
        </w:rPr>
        <w:t>3</w:t>
      </w:r>
      <w:r w:rsidRPr="000E2377">
        <w:rPr>
          <w:rFonts w:cs="Times New Roman"/>
          <w:b w:val="0"/>
          <w:szCs w:val="24"/>
          <w:lang w:val="en-GB"/>
        </w:rPr>
        <w:t xml:space="preserve"> shows </w:t>
      </w:r>
      <w:r w:rsidR="000707B0">
        <w:rPr>
          <w:rFonts w:cs="Times New Roman"/>
          <w:b w:val="0"/>
          <w:szCs w:val="24"/>
          <w:lang w:val="en-GB"/>
        </w:rPr>
        <w:t xml:space="preserve">the </w:t>
      </w:r>
      <w:r w:rsidRPr="000E2377">
        <w:rPr>
          <w:rFonts w:cs="Times New Roman"/>
          <w:b w:val="0"/>
          <w:szCs w:val="24"/>
          <w:lang w:val="en-GB"/>
        </w:rPr>
        <w:t>deconvolution of</w:t>
      </w:r>
      <w:r>
        <w:rPr>
          <w:rFonts w:cs="Times New Roman"/>
          <w:b w:val="0"/>
          <w:szCs w:val="24"/>
          <w:lang w:val="en-GB"/>
        </w:rPr>
        <w:t xml:space="preserve"> </w:t>
      </w:r>
      <w:r w:rsidRPr="000E2377">
        <w:rPr>
          <w:rFonts w:cs="Times New Roman"/>
          <w:b w:val="0"/>
          <w:szCs w:val="24"/>
          <w:lang w:val="en-GB"/>
        </w:rPr>
        <w:t xml:space="preserve">another two series </w:t>
      </w:r>
      <w:r>
        <w:rPr>
          <w:rFonts w:cs="Times New Roman"/>
          <w:b w:val="0"/>
          <w:szCs w:val="24"/>
          <w:lang w:val="en-GB"/>
        </w:rPr>
        <w:t xml:space="preserve">of </w:t>
      </w:r>
      <w:r w:rsidRPr="000E2377">
        <w:rPr>
          <w:rFonts w:cs="Times New Roman"/>
          <w:b w:val="0"/>
          <w:szCs w:val="24"/>
          <w:lang w:val="en-GB"/>
        </w:rPr>
        <w:t>glass</w:t>
      </w:r>
      <w:r>
        <w:rPr>
          <w:rFonts w:cs="Times New Roman"/>
          <w:b w:val="0"/>
          <w:szCs w:val="24"/>
          <w:lang w:val="en-GB"/>
        </w:rPr>
        <w:t>es</w:t>
      </w:r>
      <w:r w:rsidRPr="000E2377">
        <w:rPr>
          <w:rFonts w:cs="Times New Roman"/>
          <w:b w:val="0"/>
          <w:szCs w:val="24"/>
          <w:lang w:val="en-GB"/>
        </w:rPr>
        <w:t xml:space="preserve"> (</w:t>
      </w:r>
      <w:r w:rsidRPr="000E2377">
        <w:rPr>
          <w:rFonts w:eastAsia="Times New Roman"/>
          <w:b w:val="0"/>
          <w:color w:val="000000"/>
          <w:szCs w:val="24"/>
          <w:lang w:eastAsia="en-MY"/>
        </w:rPr>
        <w:t>N</w:t>
      </w:r>
      <w:r w:rsidRPr="000E2377">
        <w:rPr>
          <w:rFonts w:eastAsia="Times New Roman"/>
          <w:b w:val="0"/>
          <w:color w:val="000000"/>
          <w:szCs w:val="24"/>
          <w:vertAlign w:val="subscript"/>
          <w:lang w:eastAsia="en-MY"/>
        </w:rPr>
        <w:t>15</w:t>
      </w:r>
      <w:r w:rsidRPr="000E2377">
        <w:rPr>
          <w:rFonts w:eastAsia="Times New Roman"/>
          <w:b w:val="0"/>
          <w:color w:val="000000"/>
          <w:szCs w:val="24"/>
          <w:lang w:eastAsia="en-MY"/>
        </w:rPr>
        <w:t>C</w:t>
      </w:r>
      <w:r w:rsidRPr="000E2377">
        <w:rPr>
          <w:rFonts w:eastAsia="Times New Roman"/>
          <w:b w:val="0"/>
          <w:color w:val="000000"/>
          <w:szCs w:val="24"/>
          <w:vertAlign w:val="subscript"/>
          <w:lang w:eastAsia="en-MY"/>
        </w:rPr>
        <w:t>5</w:t>
      </w:r>
      <w:r w:rsidRPr="000E2377">
        <w:rPr>
          <w:rFonts w:eastAsia="Times New Roman"/>
          <w:b w:val="0"/>
          <w:color w:val="000000"/>
          <w:szCs w:val="24"/>
          <w:lang w:eastAsia="en-MY"/>
        </w:rPr>
        <w:t>A</w:t>
      </w:r>
      <w:r w:rsidRPr="000E2377">
        <w:rPr>
          <w:rFonts w:eastAsia="Times New Roman"/>
          <w:b w:val="0"/>
          <w:color w:val="000000"/>
          <w:szCs w:val="24"/>
          <w:vertAlign w:val="subscript"/>
          <w:lang w:eastAsia="en-MY"/>
        </w:rPr>
        <w:t>x</w:t>
      </w:r>
      <w:r w:rsidRPr="000E2377">
        <w:rPr>
          <w:rFonts w:eastAsia="Times New Roman"/>
          <w:b w:val="0"/>
          <w:color w:val="000000"/>
          <w:szCs w:val="24"/>
          <w:lang w:eastAsia="en-MY"/>
        </w:rPr>
        <w:t>B</w:t>
      </w:r>
      <w:r w:rsidRPr="000E2377">
        <w:rPr>
          <w:rFonts w:eastAsia="Times New Roman"/>
          <w:b w:val="0"/>
          <w:color w:val="000000"/>
          <w:szCs w:val="24"/>
          <w:vertAlign w:val="subscript"/>
          <w:lang w:eastAsia="en-MY"/>
        </w:rPr>
        <w:t>10-x</w:t>
      </w:r>
      <w:r w:rsidRPr="000E2377">
        <w:rPr>
          <w:rFonts w:eastAsia="Times New Roman"/>
          <w:b w:val="0"/>
          <w:color w:val="000000"/>
          <w:szCs w:val="24"/>
          <w:lang w:eastAsia="en-MY"/>
        </w:rPr>
        <w:t>S</w:t>
      </w:r>
      <w:r w:rsidRPr="000E2377">
        <w:rPr>
          <w:rFonts w:eastAsia="Times New Roman"/>
          <w:b w:val="0"/>
          <w:color w:val="000000"/>
          <w:szCs w:val="24"/>
          <w:vertAlign w:val="subscript"/>
          <w:lang w:eastAsia="en-MY"/>
        </w:rPr>
        <w:t xml:space="preserve">70 </w:t>
      </w:r>
      <w:r w:rsidRPr="000E2377">
        <w:rPr>
          <w:rFonts w:eastAsia="Times New Roman"/>
          <w:b w:val="0"/>
          <w:color w:val="000000"/>
          <w:szCs w:val="24"/>
          <w:lang w:eastAsia="en-MY"/>
        </w:rPr>
        <w:t>and</w:t>
      </w:r>
      <w:r w:rsidRPr="000E2377">
        <w:rPr>
          <w:b w:val="0"/>
          <w:szCs w:val="24"/>
        </w:rPr>
        <w:t xml:space="preserve"> </w:t>
      </w:r>
      <w:r w:rsidRPr="000E2377">
        <w:rPr>
          <w:rFonts w:eastAsia="Times New Roman"/>
          <w:b w:val="0"/>
          <w:color w:val="000000"/>
          <w:szCs w:val="24"/>
          <w:lang w:eastAsia="en-MY"/>
        </w:rPr>
        <w:t>N</w:t>
      </w:r>
      <w:r w:rsidRPr="000E2377">
        <w:rPr>
          <w:rFonts w:eastAsia="Times New Roman"/>
          <w:b w:val="0"/>
          <w:color w:val="000000"/>
          <w:szCs w:val="24"/>
          <w:vertAlign w:val="subscript"/>
          <w:lang w:eastAsia="en-MY"/>
        </w:rPr>
        <w:t>15</w:t>
      </w:r>
      <w:r w:rsidRPr="000E2377">
        <w:rPr>
          <w:rFonts w:eastAsia="Times New Roman"/>
          <w:b w:val="0"/>
          <w:color w:val="000000"/>
          <w:szCs w:val="24"/>
          <w:lang w:eastAsia="en-MY"/>
        </w:rPr>
        <w:t>C</w:t>
      </w:r>
      <w:r w:rsidRPr="000E2377">
        <w:rPr>
          <w:rFonts w:eastAsia="Times New Roman"/>
          <w:b w:val="0"/>
          <w:color w:val="000000"/>
          <w:szCs w:val="24"/>
          <w:vertAlign w:val="subscript"/>
          <w:lang w:eastAsia="en-MY"/>
        </w:rPr>
        <w:t>5</w:t>
      </w:r>
      <w:r w:rsidRPr="000E2377">
        <w:rPr>
          <w:rFonts w:eastAsia="Times New Roman"/>
          <w:b w:val="0"/>
          <w:color w:val="000000"/>
          <w:szCs w:val="24"/>
          <w:lang w:eastAsia="en-MY"/>
        </w:rPr>
        <w:t>A</w:t>
      </w:r>
      <w:r w:rsidRPr="000E2377">
        <w:rPr>
          <w:rFonts w:eastAsia="Times New Roman"/>
          <w:b w:val="0"/>
          <w:color w:val="000000"/>
          <w:szCs w:val="24"/>
          <w:vertAlign w:val="subscript"/>
          <w:lang w:eastAsia="en-MY"/>
        </w:rPr>
        <w:t>x</w:t>
      </w:r>
      <w:r w:rsidRPr="000E2377">
        <w:rPr>
          <w:rFonts w:eastAsia="Times New Roman"/>
          <w:b w:val="0"/>
          <w:color w:val="000000"/>
          <w:szCs w:val="24"/>
          <w:lang w:eastAsia="en-MY"/>
        </w:rPr>
        <w:t>B</w:t>
      </w:r>
      <w:r w:rsidRPr="000E2377">
        <w:rPr>
          <w:rFonts w:eastAsia="Times New Roman"/>
          <w:b w:val="0"/>
          <w:color w:val="000000"/>
          <w:szCs w:val="24"/>
          <w:vertAlign w:val="subscript"/>
          <w:lang w:eastAsia="en-MY"/>
        </w:rPr>
        <w:t>20-x</w:t>
      </w:r>
      <w:r w:rsidRPr="000E2377">
        <w:rPr>
          <w:rFonts w:eastAsia="Times New Roman"/>
          <w:b w:val="0"/>
          <w:color w:val="000000"/>
          <w:szCs w:val="24"/>
          <w:lang w:eastAsia="en-MY"/>
        </w:rPr>
        <w:t>S</w:t>
      </w:r>
      <w:r w:rsidRPr="000E2377">
        <w:rPr>
          <w:rFonts w:eastAsia="Times New Roman"/>
          <w:b w:val="0"/>
          <w:color w:val="000000"/>
          <w:szCs w:val="24"/>
          <w:vertAlign w:val="subscript"/>
          <w:lang w:eastAsia="en-MY"/>
        </w:rPr>
        <w:t>60</w:t>
      </w:r>
      <w:r w:rsidRPr="000E2377">
        <w:rPr>
          <w:rFonts w:eastAsia="Times New Roman"/>
          <w:b w:val="0"/>
          <w:color w:val="000000"/>
          <w:sz w:val="16"/>
          <w:szCs w:val="16"/>
          <w:vertAlign w:val="subscript"/>
          <w:lang w:eastAsia="en-MY"/>
        </w:rPr>
        <w:t xml:space="preserve"> </w:t>
      </w:r>
      <w:r w:rsidRPr="000E2377">
        <w:rPr>
          <w:rFonts w:eastAsia="Times New Roman"/>
          <w:b w:val="0"/>
          <w:color w:val="000000"/>
          <w:szCs w:val="24"/>
          <w:lang w:eastAsia="en-MY"/>
        </w:rPr>
        <w:t>glasses</w:t>
      </w:r>
      <w:r w:rsidRPr="000E2377">
        <w:rPr>
          <w:rFonts w:cs="Times New Roman"/>
          <w:b w:val="0"/>
          <w:szCs w:val="24"/>
          <w:lang w:val="en-GB"/>
        </w:rPr>
        <w:t xml:space="preserve">). The </w:t>
      </w:r>
      <w:r>
        <w:rPr>
          <w:rFonts w:cs="Times New Roman"/>
          <w:b w:val="0"/>
          <w:szCs w:val="24"/>
          <w:lang w:val="en-GB"/>
        </w:rPr>
        <w:t xml:space="preserve">other calculated Q species </w:t>
      </w:r>
      <w:r w:rsidRPr="000E2377">
        <w:rPr>
          <w:rFonts w:cs="Times New Roman"/>
          <w:b w:val="0"/>
          <w:szCs w:val="24"/>
          <w:lang w:val="en-GB"/>
        </w:rPr>
        <w:t xml:space="preserve">in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cs="Times New Roman"/>
          <w:b w:val="0"/>
          <w:szCs w:val="24"/>
          <w:lang w:val="en-GB"/>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70 </w:t>
      </w:r>
      <w:r w:rsidRPr="000E2377">
        <w:rPr>
          <w:rFonts w:cs="Times New Roman"/>
          <w:b w:val="0"/>
          <w:szCs w:val="24"/>
        </w:rPr>
        <w:t>and</w:t>
      </w:r>
      <w:r w:rsidRPr="000E2377">
        <w:rPr>
          <w:rFonts w:cs="Times New Roman"/>
          <w:b w:val="0"/>
          <w:szCs w:val="24"/>
          <w:vertAlign w:val="subscript"/>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cs="Times New Roman"/>
          <w:b w:val="0"/>
          <w:szCs w:val="24"/>
          <w:lang w:val="en-GB"/>
        </w:rPr>
        <w:t xml:space="preserve">glasses based on the deconvolution </w:t>
      </w:r>
      <w:r w:rsidR="000707B0">
        <w:rPr>
          <w:rFonts w:cs="Times New Roman"/>
          <w:b w:val="0"/>
          <w:szCs w:val="24"/>
          <w:lang w:val="en-GB"/>
        </w:rPr>
        <w:t>are</w:t>
      </w:r>
      <w:r w:rsidR="000707B0" w:rsidRPr="000E2377">
        <w:rPr>
          <w:rFonts w:cs="Times New Roman"/>
          <w:b w:val="0"/>
          <w:szCs w:val="24"/>
          <w:lang w:val="en-GB"/>
        </w:rPr>
        <w:t xml:space="preserve"> </w:t>
      </w:r>
      <w:r w:rsidRPr="000E2377">
        <w:rPr>
          <w:rFonts w:cs="Times New Roman"/>
          <w:b w:val="0"/>
          <w:szCs w:val="24"/>
          <w:lang w:val="en-GB"/>
        </w:rPr>
        <w:t xml:space="preserve">given </w:t>
      </w:r>
      <w:r w:rsidRPr="00185177">
        <w:rPr>
          <w:rFonts w:cs="Times New Roman"/>
          <w:b w:val="0"/>
          <w:szCs w:val="24"/>
          <w:lang w:val="en-GB"/>
        </w:rPr>
        <w:t xml:space="preserve">details </w:t>
      </w:r>
      <w:r w:rsidRPr="00427757">
        <w:rPr>
          <w:rFonts w:cs="Times New Roman"/>
          <w:b w:val="0"/>
          <w:szCs w:val="24"/>
          <w:lang w:val="en-GB"/>
        </w:rPr>
        <w:t>in Table 3.6. It needs to be born in mind that Si and Al tetrahedra cannot be distinguished in these deconvolutions. Hence the percentages of Q species are measured, other specification also need</w:t>
      </w:r>
      <w:r w:rsidR="000707B0">
        <w:rPr>
          <w:rFonts w:cs="Times New Roman"/>
          <w:b w:val="0"/>
          <w:szCs w:val="24"/>
          <w:lang w:val="en-GB"/>
        </w:rPr>
        <w:t>s</w:t>
      </w:r>
      <w:r w:rsidRPr="00427757">
        <w:rPr>
          <w:rFonts w:cs="Times New Roman"/>
          <w:b w:val="0"/>
          <w:szCs w:val="24"/>
          <w:lang w:val="en-GB"/>
        </w:rPr>
        <w:t xml:space="preserve"> to be considered as in</w:t>
      </w:r>
      <w:r w:rsidR="00E25445">
        <w:rPr>
          <w:rFonts w:cs="Times New Roman"/>
          <w:b w:val="0"/>
          <w:szCs w:val="24"/>
          <w:lang w:val="en-GB"/>
        </w:rPr>
        <w:t xml:space="preserve"> </w:t>
      </w:r>
      <w:r w:rsidRPr="00427757">
        <w:rPr>
          <w:rFonts w:cs="Times New Roman"/>
          <w:b w:val="0"/>
          <w:szCs w:val="24"/>
          <w:lang w:val="en-GB"/>
        </w:rPr>
        <w:t>boroaluminosilicate glass, Al</w:t>
      </w:r>
      <w:r w:rsidRPr="00427757">
        <w:rPr>
          <w:rFonts w:cs="Times New Roman"/>
          <w:b w:val="0"/>
          <w:szCs w:val="24"/>
          <w:vertAlign w:val="subscript"/>
          <w:lang w:val="en-GB"/>
        </w:rPr>
        <w:t>2</w:t>
      </w:r>
      <w:r w:rsidRPr="00427757">
        <w:rPr>
          <w:rFonts w:cs="Times New Roman"/>
          <w:b w:val="0"/>
          <w:szCs w:val="24"/>
          <w:lang w:val="en-GB"/>
        </w:rPr>
        <w:t>O</w:t>
      </w:r>
      <w:r w:rsidRPr="00427757">
        <w:rPr>
          <w:rFonts w:cs="Times New Roman"/>
          <w:b w:val="0"/>
          <w:szCs w:val="24"/>
          <w:vertAlign w:val="subscript"/>
          <w:lang w:val="en-GB"/>
        </w:rPr>
        <w:t>3</w:t>
      </w:r>
      <w:r w:rsidRPr="00427757">
        <w:rPr>
          <w:rFonts w:cs="Times New Roman"/>
          <w:b w:val="0"/>
          <w:szCs w:val="24"/>
          <w:lang w:val="en-GB"/>
        </w:rPr>
        <w:t>, B</w:t>
      </w:r>
      <w:r w:rsidRPr="00427757">
        <w:rPr>
          <w:rFonts w:cs="Times New Roman"/>
          <w:b w:val="0"/>
          <w:szCs w:val="24"/>
          <w:vertAlign w:val="subscript"/>
          <w:lang w:val="en-GB"/>
        </w:rPr>
        <w:t>2</w:t>
      </w:r>
      <w:r w:rsidRPr="00427757">
        <w:rPr>
          <w:rFonts w:cs="Times New Roman"/>
          <w:b w:val="0"/>
          <w:szCs w:val="24"/>
          <w:lang w:val="en-GB"/>
        </w:rPr>
        <w:t>O</w:t>
      </w:r>
      <w:r w:rsidRPr="00427757">
        <w:rPr>
          <w:rFonts w:cs="Times New Roman"/>
          <w:b w:val="0"/>
          <w:szCs w:val="24"/>
          <w:vertAlign w:val="subscript"/>
          <w:lang w:val="en-GB"/>
        </w:rPr>
        <w:t>3</w:t>
      </w:r>
      <w:r w:rsidRPr="00427757">
        <w:rPr>
          <w:rFonts w:cs="Times New Roman"/>
          <w:b w:val="0"/>
          <w:szCs w:val="24"/>
          <w:lang w:val="en-GB"/>
        </w:rPr>
        <w:t xml:space="preserve"> and SiO</w:t>
      </w:r>
      <w:r w:rsidRPr="00427757">
        <w:rPr>
          <w:rFonts w:cs="Times New Roman"/>
          <w:b w:val="0"/>
          <w:szCs w:val="24"/>
          <w:vertAlign w:val="subscript"/>
          <w:lang w:val="en-GB"/>
        </w:rPr>
        <w:t>4</w:t>
      </w:r>
      <w:r w:rsidRPr="00427757">
        <w:rPr>
          <w:rFonts w:cs="Times New Roman"/>
          <w:b w:val="0"/>
          <w:szCs w:val="24"/>
          <w:lang w:val="en-GB"/>
        </w:rPr>
        <w:t xml:space="preserve"> are mixed together and variation of tetrahedral might present at range 850 cm</w:t>
      </w:r>
      <w:r w:rsidRPr="00427757">
        <w:rPr>
          <w:rFonts w:cs="Times New Roman"/>
          <w:b w:val="0"/>
          <w:szCs w:val="24"/>
          <w:vertAlign w:val="superscript"/>
          <w:lang w:val="en-GB"/>
        </w:rPr>
        <w:t>-1</w:t>
      </w:r>
      <w:r w:rsidRPr="00427757">
        <w:rPr>
          <w:rFonts w:cs="Times New Roman"/>
          <w:b w:val="0"/>
          <w:szCs w:val="24"/>
          <w:lang w:val="en-GB"/>
        </w:rPr>
        <w:t>-1200 cm</w:t>
      </w:r>
      <w:r w:rsidRPr="00427757">
        <w:rPr>
          <w:rFonts w:cs="Times New Roman"/>
          <w:b w:val="0"/>
          <w:szCs w:val="24"/>
          <w:vertAlign w:val="superscript"/>
          <w:lang w:val="en-GB"/>
        </w:rPr>
        <w:t>-1</w:t>
      </w:r>
      <w:r w:rsidRPr="00427757">
        <w:rPr>
          <w:rFonts w:cs="Times New Roman"/>
          <w:b w:val="0"/>
          <w:szCs w:val="24"/>
          <w:lang w:val="en-GB"/>
        </w:rPr>
        <w:t xml:space="preserve">. The other tetrahedral such as </w:t>
      </w:r>
      <w:r w:rsidRPr="00427757">
        <w:rPr>
          <w:rFonts w:eastAsia="Times New Roman" w:cs="Times New Roman"/>
          <w:b w:val="0"/>
          <w:color w:val="000000"/>
          <w:szCs w:val="24"/>
          <w:lang w:eastAsia="en-MY"/>
        </w:rPr>
        <w:t>Al-O stretching</w:t>
      </w:r>
      <w:r w:rsidRPr="00427757">
        <w:rPr>
          <w:rFonts w:cs="Times New Roman"/>
          <w:b w:val="0"/>
          <w:szCs w:val="24"/>
          <w:lang w:val="en-GB"/>
        </w:rPr>
        <w:t xml:space="preserve"> and B-O-B bonding vibration might present as summarise</w:t>
      </w:r>
      <w:r w:rsidR="000707B0">
        <w:rPr>
          <w:rFonts w:cs="Times New Roman"/>
          <w:b w:val="0"/>
          <w:szCs w:val="24"/>
          <w:lang w:val="en-GB"/>
        </w:rPr>
        <w:t>d</w:t>
      </w:r>
      <w:r w:rsidRPr="00427757">
        <w:rPr>
          <w:rFonts w:cs="Times New Roman"/>
          <w:b w:val="0"/>
          <w:szCs w:val="24"/>
          <w:lang w:val="en-GB"/>
        </w:rPr>
        <w:t xml:space="preserve"> in Table 3.5. Thus, the Q species present are fu</w:t>
      </w:r>
      <w:r w:rsidR="000707B0">
        <w:rPr>
          <w:rFonts w:cs="Times New Roman"/>
          <w:b w:val="0"/>
          <w:szCs w:val="24"/>
          <w:lang w:val="en-GB"/>
        </w:rPr>
        <w:t>r</w:t>
      </w:r>
      <w:r w:rsidRPr="00427757">
        <w:rPr>
          <w:rFonts w:cs="Times New Roman"/>
          <w:b w:val="0"/>
          <w:szCs w:val="24"/>
          <w:lang w:val="en-GB"/>
        </w:rPr>
        <w:t>ther details study using NMR and the results between Q species</w:t>
      </w:r>
      <w:r>
        <w:rPr>
          <w:rFonts w:cs="Times New Roman"/>
          <w:b w:val="0"/>
          <w:szCs w:val="24"/>
          <w:lang w:val="en-GB"/>
        </w:rPr>
        <w:t xml:space="preserve"> from NMR and Raman are discussed in </w:t>
      </w:r>
      <w:r w:rsidRPr="00185177">
        <w:rPr>
          <w:rFonts w:cs="Times New Roman"/>
          <w:b w:val="0"/>
          <w:szCs w:val="24"/>
          <w:lang w:val="en-GB"/>
        </w:rPr>
        <w:t>subchapter 4.4.4</w:t>
      </w:r>
      <w:r w:rsidRPr="00D43458">
        <w:rPr>
          <w:rFonts w:cs="Times New Roman"/>
          <w:b w:val="0"/>
          <w:szCs w:val="24"/>
          <w:lang w:val="en-GB"/>
        </w:rPr>
        <w:t>.</w:t>
      </w:r>
    </w:p>
    <w:p w14:paraId="5F2BB85E" w14:textId="493EAFDF" w:rsidR="00D740DC" w:rsidRDefault="00D740DC" w:rsidP="00D740DC">
      <w:pPr>
        <w:spacing w:line="360" w:lineRule="auto"/>
        <w:jc w:val="both"/>
        <w:rPr>
          <w:rFonts w:eastAsia="Times New Roman" w:cs="Times New Roman"/>
          <w:b w:val="0"/>
          <w:color w:val="000000"/>
          <w:szCs w:val="24"/>
          <w:lang w:eastAsia="en-MY"/>
        </w:rPr>
      </w:pPr>
      <w:r w:rsidRPr="000E2377">
        <w:rPr>
          <w:rFonts w:cs="Times New Roman"/>
          <w:b w:val="0"/>
          <w:szCs w:val="24"/>
        </w:rPr>
        <w:t>The high frequency band at 1450-1600 cm</w:t>
      </w:r>
      <w:r w:rsidRPr="000E2377">
        <w:rPr>
          <w:rFonts w:cs="Times New Roman"/>
          <w:b w:val="0"/>
          <w:szCs w:val="24"/>
          <w:vertAlign w:val="superscript"/>
        </w:rPr>
        <w:t>-1</w:t>
      </w:r>
      <w:r w:rsidRPr="000E2377">
        <w:rPr>
          <w:noProof/>
        </w:rPr>
        <w:t xml:space="preserve"> </w:t>
      </w:r>
      <w:r w:rsidRPr="000E2377">
        <w:rPr>
          <w:rFonts w:cs="Times New Roman"/>
          <w:b w:val="0"/>
          <w:szCs w:val="24"/>
        </w:rPr>
        <w:t>is associated with B-O stretching modes and thus differences in this peak arise from charge balancing of boron and aluminium</w:t>
      </w:r>
      <w:r>
        <w:rPr>
          <w:rFonts w:cs="Times New Roman"/>
          <w:b w:val="0"/>
          <w:szCs w:val="24"/>
        </w:rPr>
        <w:t xml:space="preserve"> tetrahedra</w:t>
      </w:r>
      <w:r w:rsidRPr="000E2377">
        <w:rPr>
          <w:rFonts w:cs="Times New Roman"/>
          <w:b w:val="0"/>
          <w:szCs w:val="24"/>
        </w:rPr>
        <w:t xml:space="preserve"> by network modifiers in the glass. This peak has a low intensity compared to other regions which ha</w:t>
      </w:r>
      <w:r w:rsidR="000707B0">
        <w:rPr>
          <w:rFonts w:cs="Times New Roman"/>
          <w:b w:val="0"/>
          <w:szCs w:val="24"/>
        </w:rPr>
        <w:t>ve</w:t>
      </w:r>
      <w:r w:rsidRPr="000E2377">
        <w:rPr>
          <w:rFonts w:cs="Times New Roman"/>
          <w:b w:val="0"/>
          <w:szCs w:val="24"/>
        </w:rPr>
        <w:t xml:space="preserve"> been seen elsewhere </w:t>
      </w:r>
      <w:r w:rsidRPr="000E2377">
        <w:rPr>
          <w:rFonts w:cs="Times New Roman"/>
          <w:b w:val="0"/>
          <w:szCs w:val="24"/>
        </w:rPr>
        <w:fldChar w:fldCharType="begin" w:fldLock="1"/>
      </w:r>
      <w:r w:rsidRPr="000E2377">
        <w:rPr>
          <w:rFonts w:cs="Times New Roman"/>
          <w:b w:val="0"/>
          <w:szCs w:val="24"/>
        </w:rPr>
        <w:instrText>ADDIN CSL_CITATION { "citationItems" : [ { "id" : "ITEM-1", "itemData" : { "DOI" : "10.1039/C5RA13043C", "ISBN" : "1842-6573", "ISSN" : "2046-2069", "PMID" : "24173598", "abstract" : "The family of glass is very wide and it is continuously developing. The rapid development of advanced and innovative glasses is under progress. The glasses have variety of applications in the daily use articles as well as advanced technological fields like protection of X-ray, fibre, optical instruments or lab glasswares. Glasses are basically consisted by network formers such as borate, silicate, phosphate, borosilicate, borophosphate and network modifiers like alkali, alkaline earth and transition metals. In present review article, Raman spectroscopic results for structures of borate, silicate, phosphate, borosilicate, borophosphate, aluminosilicate, phosphosilicate, alumino-borosilicate and tellurite glasses are summarized.", "author" : [ { "dropping-particle" : "", "family" : "Yadav", "given" : "Avadhesh Kumar", "non-dropping-particle" : "", "parse-names" : false, "suffix" : "" }, { "dropping-particle" : "", "family" : "Singh", "given" : "Prabhakar", "non-dropping-particle" : "", "parse-names" : false, "suffix" : "" } ], "container-title" : "RSC Adv.", "id" : "ITEM-1", "issued" : { "date-parts" : [ [ "2015" ] ] }, "page" : "67583-67609", "publisher" : "Royal Society of Chemistry", "title" : "A Review on Structure of Glasses by Raman Spectroscopy", "type" : "article-journal", "volume" : "5" }, "uris" : [ "http://www.mendeley.com/documents/?uuid=a55e4a38-92de-452f-a462-d587dd7582cd" ] } ], "mendeley" : { "formattedCitation" : "(Yadav &amp; Singh, 2015)", "plainTextFormattedCitation" : "(Yadav &amp; Singh, 2015)", "previouslyFormattedCitation" : "(Yadav &amp; Singh, 2015)" }, "properties" : { "noteIndex" : 63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(Yadav &amp; Singh, 2015)</w:t>
      </w:r>
      <w:r w:rsidRPr="000E2377">
        <w:rPr>
          <w:rFonts w:cs="Times New Roman"/>
          <w:b w:val="0"/>
          <w:szCs w:val="24"/>
        </w:rPr>
        <w:fldChar w:fldCharType="end"/>
      </w:r>
      <w:r w:rsidRPr="000E2377">
        <w:rPr>
          <w:rFonts w:cs="Times New Roman"/>
          <w:b w:val="0"/>
          <w:szCs w:val="24"/>
        </w:rPr>
        <w:t>.</w:t>
      </w:r>
      <w:r>
        <w:rPr>
          <w:rFonts w:cs="Times New Roman"/>
          <w:b w:val="0"/>
          <w:szCs w:val="24"/>
        </w:rPr>
        <w:t xml:space="preserve"> The example of fitting for this peak are shown in </w:t>
      </w:r>
      <w:r w:rsidR="000707B0">
        <w:rPr>
          <w:rFonts w:cs="Times New Roman"/>
          <w:b w:val="0"/>
          <w:szCs w:val="24"/>
        </w:rPr>
        <w:t xml:space="preserve">the </w:t>
      </w:r>
      <w:r>
        <w:rPr>
          <w:rFonts w:cs="Times New Roman"/>
          <w:b w:val="0"/>
          <w:szCs w:val="24"/>
        </w:rPr>
        <w:t>Appendix.</w:t>
      </w:r>
      <w:r w:rsidRPr="000E2377">
        <w:rPr>
          <w:rFonts w:cs="Times New Roman"/>
          <w:b w:val="0"/>
          <w:szCs w:val="24"/>
        </w:rPr>
        <w:t xml:space="preserve">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cs="Times New Roman"/>
          <w:b w:val="0"/>
          <w:szCs w:val="24"/>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70 </w:t>
      </w:r>
      <w:r w:rsidRPr="000E2377">
        <w:rPr>
          <w:rFonts w:cs="Times New Roman"/>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cs="Times New Roman"/>
          <w:b w:val="0"/>
          <w:szCs w:val="24"/>
        </w:rPr>
        <w:t>glasses the peak does not shift from 1420 cm</w:t>
      </w:r>
      <w:r w:rsidRPr="000E2377">
        <w:rPr>
          <w:rFonts w:cs="Times New Roman"/>
          <w:b w:val="0"/>
          <w:szCs w:val="24"/>
          <w:vertAlign w:val="superscript"/>
        </w:rPr>
        <w:t>-1</w:t>
      </w:r>
      <w:r w:rsidRPr="000E2377">
        <w:rPr>
          <w:rFonts w:cs="Times New Roman"/>
          <w:b w:val="0"/>
          <w:szCs w:val="24"/>
        </w:rPr>
        <w:t>. However, there is a differen</w:t>
      </w:r>
      <w:r>
        <w:rPr>
          <w:rFonts w:cs="Times New Roman"/>
          <w:b w:val="0"/>
          <w:szCs w:val="24"/>
        </w:rPr>
        <w:t xml:space="preserve">ce </w:t>
      </w:r>
      <w:r w:rsidRPr="000E2377">
        <w:rPr>
          <w:rFonts w:cs="Times New Roman"/>
          <w:b w:val="0"/>
          <w:szCs w:val="24"/>
        </w:rPr>
        <w:t>in</w:t>
      </w:r>
      <w:r>
        <w:rPr>
          <w:rFonts w:cs="Times New Roman"/>
          <w:b w:val="0"/>
          <w:szCs w:val="24"/>
        </w:rPr>
        <w:t xml:space="preserve"> the peak</w:t>
      </w:r>
      <w:r w:rsidRPr="000E2377">
        <w:rPr>
          <w:rFonts w:cs="Times New Roman"/>
          <w:b w:val="0"/>
          <w:szCs w:val="24"/>
        </w:rPr>
        <w:t xml:space="preserve"> shape between those all </w:t>
      </w:r>
      <w:r w:rsidR="002337E8">
        <w:rPr>
          <w:rFonts w:cs="Times New Roman"/>
          <w:b w:val="0"/>
          <w:szCs w:val="24"/>
        </w:rPr>
        <w:t>three</w:t>
      </w:r>
      <w:r w:rsidR="002337E8" w:rsidRPr="000E2377">
        <w:rPr>
          <w:rFonts w:cs="Times New Roman"/>
          <w:b w:val="0"/>
          <w:szCs w:val="24"/>
        </w:rPr>
        <w:t xml:space="preserve"> </w:t>
      </w:r>
      <w:r w:rsidRPr="000E2377">
        <w:rPr>
          <w:rFonts w:cs="Times New Roman"/>
          <w:b w:val="0"/>
          <w:szCs w:val="24"/>
        </w:rPr>
        <w:t xml:space="preserve">series.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eastAsia="Times New Roman" w:cs="Times New Roman"/>
          <w:b w:val="0"/>
          <w:color w:val="000000"/>
          <w:szCs w:val="24"/>
          <w:lang w:eastAsia="en-MY"/>
        </w:rPr>
        <w:t xml:space="preserve">, </w:t>
      </w:r>
      <w:r>
        <w:rPr>
          <w:rFonts w:eastAsia="Times New Roman" w:cs="Times New Roman"/>
          <w:b w:val="0"/>
          <w:color w:val="000000"/>
          <w:szCs w:val="24"/>
          <w:lang w:eastAsia="en-MY"/>
        </w:rPr>
        <w:t>with</w:t>
      </w:r>
      <w:r w:rsidRPr="000E2377">
        <w:rPr>
          <w:rFonts w:eastAsia="Times New Roman" w:cs="Times New Roman"/>
          <w:b w:val="0"/>
          <w:color w:val="000000"/>
          <w:szCs w:val="24"/>
          <w:lang w:eastAsia="en-MY"/>
        </w:rPr>
        <w:t xml:space="preserve"> lower alumina content, the peak is narrow, but </w:t>
      </w:r>
      <w:r>
        <w:rPr>
          <w:rFonts w:eastAsia="Times New Roman" w:cs="Times New Roman"/>
          <w:b w:val="0"/>
          <w:color w:val="000000"/>
          <w:szCs w:val="24"/>
          <w:lang w:eastAsia="en-MY"/>
        </w:rPr>
        <w:t>with</w:t>
      </w:r>
      <w:r w:rsidRPr="000E2377">
        <w:rPr>
          <w:rFonts w:eastAsia="Times New Roman" w:cs="Times New Roman"/>
          <w:b w:val="0"/>
          <w:color w:val="000000"/>
          <w:szCs w:val="24"/>
          <w:lang w:eastAsia="en-MY"/>
        </w:rPr>
        <w:t xml:space="preserve"> increasing alumina, the peak </w:t>
      </w:r>
      <w:r>
        <w:rPr>
          <w:rFonts w:eastAsia="Times New Roman" w:cs="Times New Roman"/>
          <w:b w:val="0"/>
          <w:color w:val="000000"/>
          <w:szCs w:val="24"/>
          <w:lang w:eastAsia="en-MY"/>
        </w:rPr>
        <w:t>becomes broader and more plateau like</w:t>
      </w:r>
      <w:r w:rsidRPr="000E2377">
        <w:rPr>
          <w:rFonts w:eastAsia="Times New Roman" w:cs="Times New Roman"/>
          <w:b w:val="0"/>
          <w:color w:val="000000"/>
          <w:szCs w:val="24"/>
          <w:lang w:eastAsia="en-MY"/>
        </w:rPr>
        <w:t>. Meanwhile</w:t>
      </w:r>
      <w:r w:rsidR="000707B0">
        <w:rPr>
          <w:rFonts w:eastAsia="Times New Roman" w:cs="Times New Roman"/>
          <w:b w:val="0"/>
          <w:color w:val="000000"/>
          <w:szCs w:val="24"/>
          <w:lang w:eastAsia="en-MY"/>
        </w:rPr>
        <w:t>,</w:t>
      </w:r>
      <w:r w:rsidRPr="000E2377">
        <w:rPr>
          <w:rFonts w:eastAsia="Times New Roman" w:cs="Times New Roman"/>
          <w:b w:val="0"/>
          <w:color w:val="000000"/>
          <w:szCs w:val="24"/>
          <w:lang w:eastAsia="en-MY"/>
        </w:rPr>
        <w:t xml:space="preserve"> for series  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r w:rsidRPr="000E2377">
        <w:rPr>
          <w:rFonts w:eastAsia="Times New Roman" w:cs="Times New Roman"/>
          <w:b w:val="0"/>
          <w:color w:val="000000"/>
          <w:szCs w:val="24"/>
          <w:lang w:eastAsia="en-MY"/>
        </w:rPr>
        <w:t xml:space="preserve">, the peak </w:t>
      </w:r>
      <w:r>
        <w:rPr>
          <w:rFonts w:eastAsia="Times New Roman" w:cs="Times New Roman"/>
          <w:b w:val="0"/>
          <w:color w:val="000000"/>
          <w:szCs w:val="24"/>
          <w:lang w:eastAsia="en-MY"/>
        </w:rPr>
        <w:t>is sharper more like that of the</w:t>
      </w:r>
      <w:r w:rsidRPr="000E2377">
        <w:rPr>
          <w:rFonts w:eastAsia="Times New Roman" w:cs="Times New Roman"/>
          <w:b w:val="0"/>
          <w:color w:val="000000"/>
          <w:szCs w:val="24"/>
          <w:lang w:eastAsia="en-MY"/>
        </w:rPr>
        <w:t xml:space="preserve"> 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eastAsia="Times New Roman" w:cs="Times New Roman"/>
          <w:b w:val="0"/>
          <w:color w:val="000000"/>
          <w:szCs w:val="24"/>
          <w:lang w:eastAsia="en-MY"/>
        </w:rPr>
        <w:t xml:space="preserve"> series</w:t>
      </w:r>
      <w:r>
        <w:rPr>
          <w:rFonts w:eastAsia="Times New Roman" w:cs="Times New Roman"/>
          <w:b w:val="0"/>
          <w:color w:val="000000"/>
          <w:szCs w:val="24"/>
          <w:lang w:eastAsia="en-MY"/>
        </w:rPr>
        <w:t xml:space="preserve"> glasses</w:t>
      </w:r>
      <w:r w:rsidRPr="000E2377">
        <w:rPr>
          <w:rFonts w:eastAsia="Times New Roman" w:cs="Times New Roman"/>
          <w:b w:val="0"/>
          <w:color w:val="000000"/>
          <w:szCs w:val="24"/>
          <w:lang w:eastAsia="en-MY"/>
        </w:rPr>
        <w:t xml:space="preserve"> with low alumina content. </w:t>
      </w:r>
      <w:r>
        <w:rPr>
          <w:rFonts w:eastAsia="Times New Roman" w:cs="Times New Roman"/>
          <w:b w:val="0"/>
          <w:color w:val="000000"/>
          <w:szCs w:val="24"/>
          <w:lang w:eastAsia="en-MY"/>
        </w:rPr>
        <w:t>Meanwhile</w:t>
      </w:r>
      <w:r w:rsidR="002337E8">
        <w:rPr>
          <w:rFonts w:eastAsia="Times New Roman" w:cs="Times New Roman"/>
          <w:b w:val="0"/>
          <w:color w:val="000000"/>
          <w:szCs w:val="24"/>
          <w:lang w:eastAsia="en-MY"/>
        </w:rPr>
        <w:t>,</w:t>
      </w:r>
      <w:r w:rsidRPr="000E2377">
        <w:rPr>
          <w:rFonts w:eastAsia="Times New Roman" w:cs="Times New Roman"/>
          <w:b w:val="0"/>
          <w:color w:val="000000"/>
          <w:szCs w:val="24"/>
          <w:lang w:eastAsia="en-MY"/>
        </w:rPr>
        <w:t xml:space="preserve"> series 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b w:val="0"/>
          <w:color w:val="000000"/>
          <w:szCs w:val="24"/>
          <w:lang w:eastAsia="en-MY"/>
        </w:rPr>
        <w:t xml:space="preserve"> </w:t>
      </w:r>
      <w:r>
        <w:rPr>
          <w:rFonts w:eastAsia="Times New Roman" w:cs="Times New Roman"/>
          <w:b w:val="0"/>
          <w:color w:val="000000"/>
          <w:szCs w:val="24"/>
          <w:lang w:eastAsia="en-MY"/>
        </w:rPr>
        <w:t xml:space="preserve">has </w:t>
      </w:r>
      <w:r w:rsidR="002337E8">
        <w:rPr>
          <w:rFonts w:eastAsia="Times New Roman" w:cs="Times New Roman"/>
          <w:b w:val="0"/>
          <w:color w:val="000000"/>
          <w:szCs w:val="24"/>
          <w:lang w:eastAsia="en-MY"/>
        </w:rPr>
        <w:t xml:space="preserve">a </w:t>
      </w:r>
      <w:r>
        <w:rPr>
          <w:rFonts w:eastAsia="Times New Roman" w:cs="Times New Roman"/>
          <w:b w:val="0"/>
          <w:color w:val="000000"/>
          <w:szCs w:val="24"/>
          <w:lang w:eastAsia="en-MY"/>
        </w:rPr>
        <w:t>broad plateau like</w:t>
      </w:r>
      <w:r w:rsidRPr="000E2377">
        <w:rPr>
          <w:rFonts w:eastAsia="Times New Roman" w:cs="Times New Roman"/>
          <w:b w:val="0"/>
          <w:color w:val="000000"/>
          <w:szCs w:val="24"/>
          <w:lang w:eastAsia="en-MY"/>
        </w:rPr>
        <w:t xml:space="preserve"> peak </w:t>
      </w:r>
      <w:r>
        <w:rPr>
          <w:rFonts w:eastAsia="Times New Roman" w:cs="Times New Roman"/>
          <w:b w:val="0"/>
          <w:color w:val="000000"/>
          <w:szCs w:val="24"/>
          <w:lang w:eastAsia="en-MY"/>
        </w:rPr>
        <w:t xml:space="preserve">between </w:t>
      </w:r>
      <w:r w:rsidRPr="000E2377">
        <w:rPr>
          <w:rFonts w:eastAsia="Times New Roman" w:cs="Times New Roman"/>
          <w:b w:val="0"/>
          <w:color w:val="000000"/>
          <w:szCs w:val="24"/>
          <w:lang w:eastAsia="en-MY"/>
        </w:rPr>
        <w:t>980 cm</w:t>
      </w:r>
      <w:r w:rsidRPr="000E2377">
        <w:rPr>
          <w:rFonts w:eastAsia="Times New Roman" w:cs="Times New Roman"/>
          <w:b w:val="0"/>
          <w:color w:val="000000"/>
          <w:szCs w:val="24"/>
          <w:vertAlign w:val="superscript"/>
          <w:lang w:eastAsia="en-MY"/>
        </w:rPr>
        <w:t>-1</w:t>
      </w:r>
      <w:r w:rsidRPr="000E2377">
        <w:rPr>
          <w:rFonts w:eastAsia="Times New Roman" w:cs="Times New Roman"/>
          <w:b w:val="0"/>
          <w:color w:val="000000"/>
          <w:szCs w:val="24"/>
          <w:lang w:eastAsia="en-MY"/>
        </w:rPr>
        <w:t xml:space="preserve"> to 1080 cm</w:t>
      </w:r>
      <w:r w:rsidRPr="000E2377">
        <w:rPr>
          <w:rFonts w:eastAsia="Times New Roman" w:cs="Times New Roman"/>
          <w:b w:val="0"/>
          <w:color w:val="000000"/>
          <w:szCs w:val="24"/>
          <w:vertAlign w:val="superscript"/>
          <w:lang w:eastAsia="en-MY"/>
        </w:rPr>
        <w:t>-1</w:t>
      </w:r>
      <w:r w:rsidRPr="000E2377">
        <w:rPr>
          <w:rFonts w:eastAsia="Times New Roman" w:cs="Times New Roman"/>
          <w:b w:val="0"/>
          <w:color w:val="000000"/>
          <w:szCs w:val="24"/>
          <w:lang w:eastAsia="en-MY"/>
        </w:rPr>
        <w:t xml:space="preserve">. </w:t>
      </w:r>
    </w:p>
    <w:p w14:paraId="2B4CD52D" w14:textId="5F0A87D3" w:rsidR="00D740DC" w:rsidRPr="000E2377" w:rsidRDefault="00D740DC" w:rsidP="00D740DC">
      <w:pPr>
        <w:spacing w:line="360" w:lineRule="auto"/>
        <w:jc w:val="both"/>
        <w:rPr>
          <w:rFonts w:cs="Times New Roman"/>
          <w:b w:val="0"/>
          <w:szCs w:val="24"/>
        </w:rPr>
      </w:pPr>
      <w:r>
        <w:rPr>
          <w:rFonts w:eastAsia="Times New Roman" w:cs="Times New Roman"/>
          <w:b w:val="0"/>
          <w:color w:val="000000"/>
          <w:szCs w:val="24"/>
          <w:lang w:eastAsia="en-MY"/>
        </w:rPr>
        <w:t>Even</w:t>
      </w:r>
      <w:r w:rsidR="000707B0">
        <w:rPr>
          <w:rFonts w:eastAsia="Times New Roman" w:cs="Times New Roman"/>
          <w:b w:val="0"/>
          <w:color w:val="000000"/>
          <w:szCs w:val="24"/>
          <w:lang w:eastAsia="en-MY"/>
        </w:rPr>
        <w:t xml:space="preserve"> </w:t>
      </w:r>
      <w:r>
        <w:rPr>
          <w:rFonts w:eastAsia="Times New Roman" w:cs="Times New Roman"/>
          <w:b w:val="0"/>
          <w:color w:val="000000"/>
          <w:szCs w:val="24"/>
          <w:lang w:eastAsia="en-MY"/>
        </w:rPr>
        <w:t>though there</w:t>
      </w:r>
      <w:r w:rsidR="000707B0">
        <w:rPr>
          <w:rFonts w:eastAsia="Times New Roman" w:cs="Times New Roman"/>
          <w:b w:val="0"/>
          <w:color w:val="000000"/>
          <w:szCs w:val="24"/>
          <w:lang w:eastAsia="en-MY"/>
        </w:rPr>
        <w:t>’</w:t>
      </w:r>
      <w:r>
        <w:rPr>
          <w:rFonts w:eastAsia="Times New Roman" w:cs="Times New Roman"/>
          <w:b w:val="0"/>
          <w:color w:val="000000"/>
          <w:szCs w:val="24"/>
          <w:lang w:eastAsia="en-MY"/>
        </w:rPr>
        <w:t xml:space="preserve">s also proved from </w:t>
      </w:r>
      <w:r w:rsidR="000707B0">
        <w:rPr>
          <w:rFonts w:eastAsia="Times New Roman" w:cs="Times New Roman"/>
          <w:b w:val="0"/>
          <w:color w:val="000000"/>
          <w:szCs w:val="24"/>
          <w:lang w:eastAsia="en-MY"/>
        </w:rPr>
        <w:t xml:space="preserve">the </w:t>
      </w:r>
      <w:r>
        <w:rPr>
          <w:rFonts w:eastAsia="Times New Roman" w:cs="Times New Roman"/>
          <w:b w:val="0"/>
          <w:color w:val="000000"/>
          <w:szCs w:val="24"/>
          <w:lang w:eastAsia="en-MY"/>
        </w:rPr>
        <w:t>previous researcher that there</w:t>
      </w:r>
      <w:r w:rsidR="000707B0">
        <w:rPr>
          <w:rFonts w:eastAsia="Times New Roman" w:cs="Times New Roman"/>
          <w:b w:val="0"/>
          <w:color w:val="000000"/>
          <w:szCs w:val="24"/>
          <w:lang w:eastAsia="en-MY"/>
        </w:rPr>
        <w:t>’</w:t>
      </w:r>
      <w:r>
        <w:rPr>
          <w:rFonts w:eastAsia="Times New Roman" w:cs="Times New Roman"/>
          <w:b w:val="0"/>
          <w:color w:val="000000"/>
          <w:szCs w:val="24"/>
          <w:lang w:eastAsia="en-MY"/>
        </w:rPr>
        <w:t xml:space="preserve">s </w:t>
      </w:r>
      <w:r w:rsidR="00E25445">
        <w:rPr>
          <w:rFonts w:eastAsia="Times New Roman" w:cs="Times New Roman"/>
          <w:b w:val="0"/>
          <w:color w:val="000000"/>
          <w:szCs w:val="24"/>
          <w:lang w:eastAsia="en-MY"/>
        </w:rPr>
        <w:t xml:space="preserve">an </w:t>
      </w:r>
      <w:r>
        <w:rPr>
          <w:rFonts w:eastAsia="Times New Roman" w:cs="Times New Roman"/>
          <w:b w:val="0"/>
          <w:color w:val="000000"/>
          <w:szCs w:val="24"/>
          <w:lang w:eastAsia="en-MY"/>
        </w:rPr>
        <w:t>appearance of B-O bonding and Al-O stretching in peak 850-1300 cm</w:t>
      </w:r>
      <w:r w:rsidRPr="007D7850">
        <w:rPr>
          <w:rFonts w:eastAsia="Times New Roman" w:cs="Times New Roman"/>
          <w:b w:val="0"/>
          <w:color w:val="000000"/>
          <w:szCs w:val="24"/>
          <w:vertAlign w:val="superscript"/>
          <w:lang w:eastAsia="en-MY"/>
        </w:rPr>
        <w:t>-1</w:t>
      </w:r>
      <w:r>
        <w:rPr>
          <w:rFonts w:eastAsia="Times New Roman" w:cs="Times New Roman"/>
          <w:b w:val="0"/>
          <w:color w:val="000000"/>
          <w:szCs w:val="24"/>
          <w:vertAlign w:val="superscript"/>
          <w:lang w:eastAsia="en-MY"/>
        </w:rPr>
        <w:t xml:space="preserve"> </w:t>
      </w:r>
      <w:r>
        <w:rPr>
          <w:rFonts w:eastAsia="Times New Roman" w:cs="Times New Roman"/>
          <w:b w:val="0"/>
          <w:color w:val="000000"/>
          <w:szCs w:val="24"/>
          <w:lang w:eastAsia="en-MY"/>
        </w:rPr>
        <w:t xml:space="preserve">(as present </w:t>
      </w:r>
      <w:r w:rsidRPr="00427757">
        <w:rPr>
          <w:rFonts w:eastAsia="Times New Roman" w:cs="Times New Roman"/>
          <w:b w:val="0"/>
          <w:color w:val="000000"/>
          <w:szCs w:val="24"/>
          <w:lang w:eastAsia="en-MY"/>
        </w:rPr>
        <w:t>in Table 3.5),</w:t>
      </w:r>
      <w:r>
        <w:rPr>
          <w:rFonts w:eastAsia="Times New Roman" w:cs="Times New Roman"/>
          <w:b w:val="0"/>
          <w:color w:val="000000"/>
          <w:szCs w:val="24"/>
          <w:lang w:eastAsia="en-MY"/>
        </w:rPr>
        <w:t xml:space="preserve"> the boron and alumina bonding did not observe due to </w:t>
      </w:r>
      <w:r w:rsidR="00E25445">
        <w:rPr>
          <w:rFonts w:eastAsia="Times New Roman" w:cs="Times New Roman"/>
          <w:b w:val="0"/>
          <w:color w:val="000000"/>
          <w:szCs w:val="24"/>
          <w:lang w:eastAsia="en-MY"/>
        </w:rPr>
        <w:t xml:space="preserve">the </w:t>
      </w:r>
      <w:r>
        <w:rPr>
          <w:rFonts w:eastAsia="Times New Roman" w:cs="Times New Roman"/>
          <w:b w:val="0"/>
          <w:color w:val="000000"/>
          <w:szCs w:val="24"/>
          <w:lang w:eastAsia="en-MY"/>
        </w:rPr>
        <w:t>overlap</w:t>
      </w:r>
      <w:r w:rsidR="00E25445">
        <w:rPr>
          <w:rFonts w:eastAsia="Times New Roman" w:cs="Times New Roman"/>
          <w:b w:val="0"/>
          <w:color w:val="000000"/>
          <w:szCs w:val="24"/>
          <w:lang w:eastAsia="en-MY"/>
        </w:rPr>
        <w:t>ping</w:t>
      </w:r>
      <w:r>
        <w:rPr>
          <w:rFonts w:eastAsia="Times New Roman" w:cs="Times New Roman"/>
          <w:b w:val="0"/>
          <w:color w:val="000000"/>
          <w:szCs w:val="24"/>
          <w:lang w:eastAsia="en-MY"/>
        </w:rPr>
        <w:t xml:space="preserve"> </w:t>
      </w:r>
      <w:r w:rsidR="00E25445">
        <w:rPr>
          <w:rFonts w:eastAsia="Times New Roman" w:cs="Times New Roman"/>
          <w:b w:val="0"/>
          <w:color w:val="000000"/>
          <w:szCs w:val="24"/>
          <w:lang w:eastAsia="en-MY"/>
        </w:rPr>
        <w:t xml:space="preserve">of </w:t>
      </w:r>
      <w:r>
        <w:rPr>
          <w:rFonts w:eastAsia="Times New Roman" w:cs="Times New Roman"/>
          <w:b w:val="0"/>
          <w:color w:val="000000"/>
          <w:szCs w:val="24"/>
          <w:lang w:eastAsia="en-MY"/>
        </w:rPr>
        <w:t>SiO</w:t>
      </w:r>
      <w:r w:rsidRPr="00303F87">
        <w:rPr>
          <w:rFonts w:eastAsia="Times New Roman" w:cs="Times New Roman"/>
          <w:b w:val="0"/>
          <w:color w:val="000000"/>
          <w:szCs w:val="24"/>
          <w:vertAlign w:val="subscript"/>
          <w:lang w:eastAsia="en-MY"/>
        </w:rPr>
        <w:t>4</w:t>
      </w:r>
      <w:r>
        <w:rPr>
          <w:rFonts w:eastAsia="Times New Roman" w:cs="Times New Roman"/>
          <w:b w:val="0"/>
          <w:color w:val="000000"/>
          <w:szCs w:val="24"/>
          <w:lang w:eastAsia="en-MY"/>
        </w:rPr>
        <w:t xml:space="preserve"> stretching in this region with formation of SiO</w:t>
      </w:r>
      <w:r w:rsidRPr="00303F87">
        <w:rPr>
          <w:rFonts w:eastAsia="Times New Roman" w:cs="Times New Roman"/>
          <w:b w:val="0"/>
          <w:color w:val="000000"/>
          <w:szCs w:val="24"/>
          <w:vertAlign w:val="subscript"/>
          <w:lang w:eastAsia="en-MY"/>
        </w:rPr>
        <w:t>4</w:t>
      </w:r>
      <w:r>
        <w:rPr>
          <w:rFonts w:eastAsia="Times New Roman" w:cs="Times New Roman"/>
          <w:b w:val="0"/>
          <w:color w:val="000000"/>
          <w:szCs w:val="24"/>
          <w:lang w:eastAsia="en-MY"/>
        </w:rPr>
        <w:t xml:space="preserve"> and NBO’s. Thus the Raman Q species are analyse</w:t>
      </w:r>
      <w:r w:rsidR="000707B0">
        <w:rPr>
          <w:rFonts w:eastAsia="Times New Roman" w:cs="Times New Roman"/>
          <w:b w:val="0"/>
          <w:color w:val="000000"/>
          <w:szCs w:val="24"/>
          <w:lang w:eastAsia="en-MY"/>
        </w:rPr>
        <w:t>d</w:t>
      </w:r>
      <w:r>
        <w:rPr>
          <w:rFonts w:eastAsia="Times New Roman" w:cs="Times New Roman"/>
          <w:b w:val="0"/>
          <w:color w:val="000000"/>
          <w:szCs w:val="24"/>
          <w:lang w:eastAsia="en-MY"/>
        </w:rPr>
        <w:t xml:space="preserve"> to see the rough preference of the structure present with the details of silica, alumina and boron speciation details are observed in NMR analysis.</w:t>
      </w:r>
    </w:p>
    <w:p w14:paraId="3D9AEFD2" w14:textId="77777777" w:rsidR="00D740DC" w:rsidRPr="000E2377" w:rsidRDefault="00D740DC" w:rsidP="00D740DC">
      <w:pPr>
        <w:jc w:val="center"/>
        <w:rPr>
          <w:rFonts w:cs="Times New Roman"/>
          <w:szCs w:val="24"/>
          <w:u w:val="single"/>
        </w:rPr>
      </w:pPr>
      <w:r w:rsidRPr="000E2377">
        <w:rPr>
          <w:noProof/>
          <w:lang w:eastAsia="en-MY"/>
        </w:rPr>
        <w:lastRenderedPageBreak/>
        <mc:AlternateContent>
          <mc:Choice Requires="wps">
            <w:drawing>
              <wp:anchor distT="0" distB="0" distL="114300" distR="114300" simplePos="0" relativeHeight="252286976" behindDoc="0" locked="0" layoutInCell="1" allowOverlap="1" wp14:anchorId="7C133215" wp14:editId="07755096">
                <wp:simplePos x="0" y="0"/>
                <wp:positionH relativeFrom="column">
                  <wp:posOffset>3947823</wp:posOffset>
                </wp:positionH>
                <wp:positionV relativeFrom="paragraph">
                  <wp:posOffset>528348</wp:posOffset>
                </wp:positionV>
                <wp:extent cx="0" cy="1103276"/>
                <wp:effectExtent l="0" t="0" r="38100" b="20955"/>
                <wp:wrapNone/>
                <wp:docPr id="209" name="Straight Connector 209"/>
                <wp:cNvGraphicFramePr/>
                <a:graphic xmlns:a="http://schemas.openxmlformats.org/drawingml/2006/main">
                  <a:graphicData uri="http://schemas.microsoft.com/office/word/2010/wordprocessingShape">
                    <wps:wsp>
                      <wps:cNvCnPr/>
                      <wps:spPr>
                        <a:xfrm>
                          <a:off x="0" y="0"/>
                          <a:ext cx="0" cy="1103276"/>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213DE295" id="Straight Connector 209" o:spid="_x0000_s1026" style="position:absolute;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0.85pt,41.6pt" to="310.85pt,12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">
                <v:stroke dashstyle="dash"/>
              </v:line>
            </w:pict>
          </mc:Fallback>
        </mc:AlternateContent>
      </w:r>
      <w:r w:rsidRPr="000E2377">
        <w:rPr>
          <w:noProof/>
          <w:lang w:eastAsia="en-MY"/>
        </w:rPr>
        <mc:AlternateContent>
          <mc:Choice Requires="wps">
            <w:drawing>
              <wp:anchor distT="0" distB="0" distL="114300" distR="114300" simplePos="0" relativeHeight="252291072" behindDoc="0" locked="0" layoutInCell="1" allowOverlap="1" wp14:anchorId="3AA12ED5" wp14:editId="548E7EE3">
                <wp:simplePos x="0" y="0"/>
                <wp:positionH relativeFrom="column">
                  <wp:posOffset>4486086</wp:posOffset>
                </wp:positionH>
                <wp:positionV relativeFrom="paragraph">
                  <wp:posOffset>906408</wp:posOffset>
                </wp:positionV>
                <wp:extent cx="581660" cy="320040"/>
                <wp:effectExtent l="0" t="0" r="0" b="3810"/>
                <wp:wrapNone/>
                <wp:docPr id="1820" name="Text Box 1820"/>
                <wp:cNvGraphicFramePr/>
                <a:graphic xmlns:a="http://schemas.openxmlformats.org/drawingml/2006/main">
                  <a:graphicData uri="http://schemas.microsoft.com/office/word/2010/wordprocessingShape">
                    <wps:wsp>
                      <wps:cNvSpPr txBox="1"/>
                      <wps:spPr>
                        <a:xfrm>
                          <a:off x="0" y="0"/>
                          <a:ext cx="581660" cy="320040"/>
                        </a:xfrm>
                        <a:prstGeom prst="rect">
                          <a:avLst/>
                        </a:prstGeom>
                        <a:noFill/>
                        <a:ln w="6350">
                          <a:noFill/>
                        </a:ln>
                      </wps:spPr>
                      <wps:txbx>
                        <w:txbxContent>
                          <w:p w14:paraId="4B8A4328" w14:textId="77777777" w:rsidR="00230AB9" w:rsidRDefault="00230AB9" w:rsidP="00D740DC">
                            <w:r w:rsidRPr="009D11DA">
                              <w:rPr>
                                <w:rFonts w:asciiTheme="majorBidi" w:eastAsia="Times New Roman" w:hAnsiTheme="majorBidi" w:cstheme="majorBidi"/>
                                <w:color w:val="000000"/>
                                <w:sz w:val="16"/>
                                <w:szCs w:val="16"/>
                                <w:lang w:eastAsia="en-MY"/>
                              </w:rPr>
                              <w:t>1310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A12ED5" id="Text Box 1820" o:spid="_x0000_s1284" type="#_x0000_t202" style="position:absolute;left:0;text-align:left;margin-left:353.25pt;margin-top:71.35pt;width:45.8pt;height:25.2pt;z-index:25229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" filled="f" stroked="f" strokeweight=".5pt">
                <v:textbox>
                  <w:txbxContent>
                    <w:p w14:paraId="4B8A4328" w14:textId="77777777" w:rsidR="00230AB9" w:rsidRDefault="00230AB9" w:rsidP="00D740DC">
                      <w:r w:rsidRPr="009D11DA">
                        <w:rPr>
                          <w:rFonts w:asciiTheme="majorBidi" w:eastAsia="Times New Roman" w:hAnsiTheme="majorBidi" w:cstheme="majorBidi"/>
                          <w:color w:val="000000"/>
                          <w:sz w:val="16"/>
                          <w:szCs w:val="16"/>
                          <w:lang w:eastAsia="en-MY"/>
                        </w:rPr>
                        <w:t>1310</w:t>
                      </w:r>
                    </w:p>
                  </w:txbxContent>
                </v:textbox>
              </v:shape>
            </w:pict>
          </mc:Fallback>
        </mc:AlternateContent>
      </w:r>
      <w:r w:rsidRPr="000E2377">
        <w:rPr>
          <w:noProof/>
          <w:lang w:eastAsia="en-MY"/>
        </w:rPr>
        <mc:AlternateContent>
          <mc:Choice Requires="wps">
            <w:drawing>
              <wp:anchor distT="0" distB="0" distL="114300" distR="114300" simplePos="0" relativeHeight="252293120" behindDoc="0" locked="0" layoutInCell="1" allowOverlap="1" wp14:anchorId="79A6BEAD" wp14:editId="0CEDE87D">
                <wp:simplePos x="0" y="0"/>
                <wp:positionH relativeFrom="column">
                  <wp:posOffset>4728466</wp:posOffset>
                </wp:positionH>
                <wp:positionV relativeFrom="paragraph">
                  <wp:posOffset>891317</wp:posOffset>
                </wp:positionV>
                <wp:extent cx="581660" cy="320040"/>
                <wp:effectExtent l="0" t="0" r="0" b="3810"/>
                <wp:wrapNone/>
                <wp:docPr id="2068" name="Text Box 2068"/>
                <wp:cNvGraphicFramePr/>
                <a:graphic xmlns:a="http://schemas.openxmlformats.org/drawingml/2006/main">
                  <a:graphicData uri="http://schemas.microsoft.com/office/word/2010/wordprocessingShape">
                    <wps:wsp>
                      <wps:cNvSpPr txBox="1"/>
                      <wps:spPr>
                        <a:xfrm>
                          <a:off x="0" y="0"/>
                          <a:ext cx="581660" cy="320040"/>
                        </a:xfrm>
                        <a:prstGeom prst="rect">
                          <a:avLst/>
                        </a:prstGeom>
                        <a:noFill/>
                        <a:ln w="6350">
                          <a:noFill/>
                        </a:ln>
                      </wps:spPr>
                      <wps:txbx>
                        <w:txbxContent>
                          <w:p w14:paraId="1E175508" w14:textId="77777777" w:rsidR="00230AB9" w:rsidRPr="009D11DA" w:rsidRDefault="00230AB9" w:rsidP="00D740DC">
                            <w:pPr>
                              <w:rPr>
                                <w:sz w:val="16"/>
                                <w:szCs w:val="16"/>
                              </w:rPr>
                            </w:pPr>
                            <w:r w:rsidRPr="009D11DA">
                              <w:rPr>
                                <w:rFonts w:asciiTheme="majorBidi" w:eastAsia="Times New Roman" w:hAnsiTheme="majorBidi" w:cstheme="majorBidi"/>
                                <w:color w:val="000000"/>
                                <w:sz w:val="16"/>
                                <w:szCs w:val="16"/>
                                <w:lang w:eastAsia="en-MY"/>
                              </w:rPr>
                              <w:t>1406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A6BEAD" id="Text Box 2068" o:spid="_x0000_s1285" type="#_x0000_t202" style="position:absolute;left:0;text-align:left;margin-left:372.3pt;margin-top:70.2pt;width:45.8pt;height:25.2pt;z-index:25229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" filled="f" stroked="f" strokeweight=".5pt">
                <v:textbox>
                  <w:txbxContent>
                    <w:p w14:paraId="1E175508" w14:textId="77777777" w:rsidR="00230AB9" w:rsidRPr="009D11DA" w:rsidRDefault="00230AB9" w:rsidP="00D740DC">
                      <w:pPr>
                        <w:rPr>
                          <w:sz w:val="16"/>
                          <w:szCs w:val="16"/>
                        </w:rPr>
                      </w:pPr>
                      <w:r w:rsidRPr="009D11DA">
                        <w:rPr>
                          <w:rFonts w:asciiTheme="majorBidi" w:eastAsia="Times New Roman" w:hAnsiTheme="majorBidi" w:cstheme="majorBidi"/>
                          <w:color w:val="000000"/>
                          <w:sz w:val="16"/>
                          <w:szCs w:val="16"/>
                          <w:lang w:eastAsia="en-MY"/>
                        </w:rPr>
                        <w:t>1406</w:t>
                      </w:r>
                    </w:p>
                  </w:txbxContent>
                </v:textbox>
              </v:shape>
            </w:pict>
          </mc:Fallback>
        </mc:AlternateContent>
      </w:r>
      <w:r w:rsidRPr="000E2377">
        <w:rPr>
          <w:noProof/>
          <w:lang w:eastAsia="en-MY"/>
        </w:rPr>
        <mc:AlternateContent>
          <mc:Choice Requires="wps">
            <w:drawing>
              <wp:anchor distT="0" distB="0" distL="114300" distR="114300" simplePos="0" relativeHeight="252292096" behindDoc="0" locked="0" layoutInCell="1" allowOverlap="1" wp14:anchorId="1DFCBDC8" wp14:editId="0409683E">
                <wp:simplePos x="0" y="0"/>
                <wp:positionH relativeFrom="column">
                  <wp:posOffset>4915939</wp:posOffset>
                </wp:positionH>
                <wp:positionV relativeFrom="paragraph">
                  <wp:posOffset>1057176</wp:posOffset>
                </wp:positionV>
                <wp:extent cx="0" cy="771113"/>
                <wp:effectExtent l="0" t="0" r="38100" b="29210"/>
                <wp:wrapNone/>
                <wp:docPr id="2067" name="Straight Connector 2067"/>
                <wp:cNvGraphicFramePr/>
                <a:graphic xmlns:a="http://schemas.openxmlformats.org/drawingml/2006/main">
                  <a:graphicData uri="http://schemas.microsoft.com/office/word/2010/wordprocessingShape">
                    <wps:wsp>
                      <wps:cNvCnPr/>
                      <wps:spPr>
                        <a:xfrm>
                          <a:off x="0" y="0"/>
                          <a:ext cx="0" cy="771113"/>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59E613CE" id="Straight Connector 2067" o:spid="_x0000_s1026" style="position:absolute;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1pt,83.25pt" to="387.1pt,1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">
                <v:stroke dashstyle="dash"/>
              </v:line>
            </w:pict>
          </mc:Fallback>
        </mc:AlternateContent>
      </w:r>
      <w:r w:rsidRPr="000E2377">
        <w:rPr>
          <w:noProof/>
          <w:lang w:eastAsia="en-MY"/>
        </w:rPr>
        <mc:AlternateContent>
          <mc:Choice Requires="wps">
            <w:drawing>
              <wp:anchor distT="0" distB="0" distL="114300" distR="114300" simplePos="0" relativeHeight="252288000" behindDoc="0" locked="0" layoutInCell="1" allowOverlap="1" wp14:anchorId="77F0CA0B" wp14:editId="6B83F8B0">
                <wp:simplePos x="0" y="0"/>
                <wp:positionH relativeFrom="column">
                  <wp:posOffset>4678877</wp:posOffset>
                </wp:positionH>
                <wp:positionV relativeFrom="paragraph">
                  <wp:posOffset>1080926</wp:posOffset>
                </wp:positionV>
                <wp:extent cx="0" cy="747617"/>
                <wp:effectExtent l="0" t="0" r="38100" b="33655"/>
                <wp:wrapNone/>
                <wp:docPr id="216" name="Straight Connector 216"/>
                <wp:cNvGraphicFramePr/>
                <a:graphic xmlns:a="http://schemas.openxmlformats.org/drawingml/2006/main">
                  <a:graphicData uri="http://schemas.microsoft.com/office/word/2010/wordprocessingShape">
                    <wps:wsp>
                      <wps:cNvCnPr/>
                      <wps:spPr>
                        <a:xfrm flipH="1">
                          <a:off x="0" y="0"/>
                          <a:ext cx="0" cy="747617"/>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43184B0D" id="Straight Connector 216" o:spid="_x0000_s1026" style="position:absolute;flip:x;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4pt,85.1pt" to="368.4pt,1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">
                <v:stroke dashstyle="dash"/>
              </v:line>
            </w:pict>
          </mc:Fallback>
        </mc:AlternateContent>
      </w:r>
      <w:r w:rsidRPr="000E2377">
        <w:rPr>
          <w:noProof/>
          <w:lang w:eastAsia="en-MY"/>
        </w:rPr>
        <mc:AlternateContent>
          <mc:Choice Requires="wps">
            <w:drawing>
              <wp:anchor distT="0" distB="0" distL="114300" distR="114300" simplePos="0" relativeHeight="252289024" behindDoc="0" locked="0" layoutInCell="1" allowOverlap="1" wp14:anchorId="40E858F8" wp14:editId="2CAA04A0">
                <wp:simplePos x="0" y="0"/>
                <wp:positionH relativeFrom="column">
                  <wp:posOffset>3170712</wp:posOffset>
                </wp:positionH>
                <wp:positionV relativeFrom="paragraph">
                  <wp:posOffset>641539</wp:posOffset>
                </wp:positionV>
                <wp:extent cx="380010" cy="308131"/>
                <wp:effectExtent l="0" t="0" r="0" b="0"/>
                <wp:wrapNone/>
                <wp:docPr id="1805" name="Text Box 1805"/>
                <wp:cNvGraphicFramePr/>
                <a:graphic xmlns:a="http://schemas.openxmlformats.org/drawingml/2006/main">
                  <a:graphicData uri="http://schemas.microsoft.com/office/word/2010/wordprocessingShape">
                    <wps:wsp>
                      <wps:cNvSpPr txBox="1"/>
                      <wps:spPr>
                        <a:xfrm>
                          <a:off x="0" y="0"/>
                          <a:ext cx="380010" cy="308131"/>
                        </a:xfrm>
                        <a:prstGeom prst="rect">
                          <a:avLst/>
                        </a:prstGeom>
                        <a:noFill/>
                        <a:ln w="6350">
                          <a:noFill/>
                        </a:ln>
                      </wps:spPr>
                      <wps:txbx>
                        <w:txbxContent>
                          <w:p w14:paraId="43BDD384" w14:textId="77777777" w:rsidR="00230AB9" w:rsidRDefault="00230AB9" w:rsidP="00D740DC">
                            <w:r w:rsidRPr="009D11DA">
                              <w:rPr>
                                <w:rFonts w:asciiTheme="majorBidi" w:eastAsia="Times New Roman" w:hAnsiTheme="majorBidi" w:cstheme="majorBidi"/>
                                <w:color w:val="000000"/>
                                <w:sz w:val="16"/>
                                <w:szCs w:val="16"/>
                                <w:lang w:eastAsia="en-MY"/>
                              </w:rPr>
                              <w:t>697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858F8" id="Text Box 1805" o:spid="_x0000_s1286" type="#_x0000_t202" style="position:absolute;left:0;text-align:left;margin-left:249.65pt;margin-top:50.5pt;width:29.9pt;height:24.2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" filled="f" stroked="f" strokeweight=".5pt">
                <v:textbox>
                  <w:txbxContent>
                    <w:p w14:paraId="43BDD384" w14:textId="77777777" w:rsidR="00230AB9" w:rsidRDefault="00230AB9" w:rsidP="00D740DC">
                      <w:r w:rsidRPr="009D11DA">
                        <w:rPr>
                          <w:rFonts w:asciiTheme="majorBidi" w:eastAsia="Times New Roman" w:hAnsiTheme="majorBidi" w:cstheme="majorBidi"/>
                          <w:color w:val="000000"/>
                          <w:sz w:val="16"/>
                          <w:szCs w:val="16"/>
                          <w:lang w:eastAsia="en-MY"/>
                        </w:rPr>
                        <w:t>697</w:t>
                      </w:r>
                    </w:p>
                  </w:txbxContent>
                </v:textbox>
              </v:shape>
            </w:pict>
          </mc:Fallback>
        </mc:AlternateContent>
      </w:r>
      <w:r w:rsidRPr="000E2377">
        <w:rPr>
          <w:noProof/>
          <w:lang w:eastAsia="en-MY"/>
        </w:rPr>
        <mc:AlternateContent>
          <mc:Choice Requires="wps">
            <w:drawing>
              <wp:anchor distT="0" distB="0" distL="114300" distR="114300" simplePos="0" relativeHeight="252294144" behindDoc="0" locked="0" layoutInCell="1" allowOverlap="1" wp14:anchorId="1180427F" wp14:editId="0083C9D9">
                <wp:simplePos x="0" y="0"/>
                <wp:positionH relativeFrom="column">
                  <wp:posOffset>3360461</wp:posOffset>
                </wp:positionH>
                <wp:positionV relativeFrom="paragraph">
                  <wp:posOffset>795919</wp:posOffset>
                </wp:positionV>
                <wp:extent cx="0" cy="878172"/>
                <wp:effectExtent l="0" t="0" r="38100" b="36830"/>
                <wp:wrapNone/>
                <wp:docPr id="2069" name="Straight Connector 2069"/>
                <wp:cNvGraphicFramePr/>
                <a:graphic xmlns:a="http://schemas.openxmlformats.org/drawingml/2006/main">
                  <a:graphicData uri="http://schemas.microsoft.com/office/word/2010/wordprocessingShape">
                    <wps:wsp>
                      <wps:cNvCnPr/>
                      <wps:spPr>
                        <a:xfrm>
                          <a:off x="0" y="0"/>
                          <a:ext cx="0" cy="878172"/>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6F52E13F" id="Straight Connector 2069" o:spid="_x0000_s1026" style="position:absolute;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6pt,62.65pt" to="264.6pt,1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">
                <v:stroke dashstyle="dash"/>
              </v:line>
            </w:pict>
          </mc:Fallback>
        </mc:AlternateContent>
      </w:r>
      <w:r w:rsidRPr="000E2377">
        <w:rPr>
          <w:noProof/>
          <w:lang w:eastAsia="en-MY"/>
        </w:rPr>
        <mc:AlternateContent>
          <mc:Choice Requires="wps">
            <w:drawing>
              <wp:anchor distT="0" distB="0" distL="114300" distR="114300" simplePos="0" relativeHeight="252290048" behindDoc="0" locked="0" layoutInCell="1" allowOverlap="1" wp14:anchorId="5AE336CA" wp14:editId="59B9BC9F">
                <wp:simplePos x="0" y="0"/>
                <wp:positionH relativeFrom="column">
                  <wp:posOffset>3824036</wp:posOffset>
                </wp:positionH>
                <wp:positionV relativeFrom="paragraph">
                  <wp:posOffset>386640</wp:posOffset>
                </wp:positionV>
                <wp:extent cx="521970" cy="248920"/>
                <wp:effectExtent l="0" t="0" r="0" b="0"/>
                <wp:wrapNone/>
                <wp:docPr id="1819" name="Text Box 1819"/>
                <wp:cNvGraphicFramePr/>
                <a:graphic xmlns:a="http://schemas.openxmlformats.org/drawingml/2006/main">
                  <a:graphicData uri="http://schemas.microsoft.com/office/word/2010/wordprocessingShape">
                    <wps:wsp>
                      <wps:cNvSpPr txBox="1"/>
                      <wps:spPr>
                        <a:xfrm>
                          <a:off x="0" y="0"/>
                          <a:ext cx="521970" cy="248920"/>
                        </a:xfrm>
                        <a:prstGeom prst="rect">
                          <a:avLst/>
                        </a:prstGeom>
                        <a:noFill/>
                        <a:ln w="6350">
                          <a:noFill/>
                        </a:ln>
                      </wps:spPr>
                      <wps:txbx>
                        <w:txbxContent>
                          <w:p w14:paraId="0FC3338C" w14:textId="77777777" w:rsidR="00230AB9" w:rsidRPr="009D11DA" w:rsidRDefault="00230AB9" w:rsidP="00D740DC">
                            <w:pPr>
                              <w:rPr>
                                <w:sz w:val="16"/>
                                <w:szCs w:val="16"/>
                              </w:rPr>
                            </w:pPr>
                            <w:r w:rsidRPr="009D11DA">
                              <w:rPr>
                                <w:rFonts w:asciiTheme="majorBidi" w:eastAsia="Times New Roman" w:hAnsiTheme="majorBidi" w:cstheme="majorBidi"/>
                                <w:color w:val="000000"/>
                                <w:sz w:val="16"/>
                                <w:szCs w:val="16"/>
                                <w:lang w:eastAsia="en-MY"/>
                              </w:rPr>
                              <w:t>976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E336CA" id="Text Box 1819" o:spid="_x0000_s1287" type="#_x0000_t202" style="position:absolute;left:0;text-align:left;margin-left:301.1pt;margin-top:30.45pt;width:41.1pt;height:19.6pt;z-index:25229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" filled="f" stroked="f" strokeweight=".5pt">
                <v:textbox>
                  <w:txbxContent>
                    <w:p w14:paraId="0FC3338C" w14:textId="77777777" w:rsidR="00230AB9" w:rsidRPr="009D11DA" w:rsidRDefault="00230AB9" w:rsidP="00D740DC">
                      <w:pPr>
                        <w:rPr>
                          <w:sz w:val="16"/>
                          <w:szCs w:val="16"/>
                        </w:rPr>
                      </w:pPr>
                      <w:r w:rsidRPr="009D11DA">
                        <w:rPr>
                          <w:rFonts w:asciiTheme="majorBidi" w:eastAsia="Times New Roman" w:hAnsiTheme="majorBidi" w:cstheme="majorBidi"/>
                          <w:color w:val="000000"/>
                          <w:sz w:val="16"/>
                          <w:szCs w:val="16"/>
                          <w:lang w:eastAsia="en-MY"/>
                        </w:rPr>
                        <w:t>976</w:t>
                      </w:r>
                    </w:p>
                  </w:txbxContent>
                </v:textbox>
              </v:shape>
            </w:pict>
          </mc:Fallback>
        </mc:AlternateContent>
      </w:r>
      <w:r w:rsidRPr="000E2377">
        <w:rPr>
          <w:noProof/>
          <w:lang w:eastAsia="en-MY"/>
        </w:rPr>
        <mc:AlternateContent>
          <mc:Choice Requires="wps">
            <w:drawing>
              <wp:anchor distT="0" distB="0" distL="114300" distR="114300" simplePos="0" relativeHeight="252297216" behindDoc="0" locked="0" layoutInCell="1" allowOverlap="1" wp14:anchorId="458611E1" wp14:editId="4368B0B7">
                <wp:simplePos x="0" y="0"/>
                <wp:positionH relativeFrom="column">
                  <wp:posOffset>1235331</wp:posOffset>
                </wp:positionH>
                <wp:positionV relativeFrom="paragraph">
                  <wp:posOffset>416386</wp:posOffset>
                </wp:positionV>
                <wp:extent cx="522514" cy="249382"/>
                <wp:effectExtent l="0" t="0" r="0" b="0"/>
                <wp:wrapNone/>
                <wp:docPr id="203" name="Text Box 203"/>
                <wp:cNvGraphicFramePr/>
                <a:graphic xmlns:a="http://schemas.openxmlformats.org/drawingml/2006/main">
                  <a:graphicData uri="http://schemas.microsoft.com/office/word/2010/wordprocessingShape">
                    <wps:wsp>
                      <wps:cNvSpPr txBox="1"/>
                      <wps:spPr>
                        <a:xfrm>
                          <a:off x="0" y="0"/>
                          <a:ext cx="522514" cy="249382"/>
                        </a:xfrm>
                        <a:prstGeom prst="rect">
                          <a:avLst/>
                        </a:prstGeom>
                        <a:noFill/>
                        <a:ln w="6350">
                          <a:noFill/>
                        </a:ln>
                      </wps:spPr>
                      <wps:txbx>
                        <w:txbxContent>
                          <w:p w14:paraId="03CE4AFB" w14:textId="77777777" w:rsidR="00230AB9" w:rsidRPr="009D11DA" w:rsidRDefault="00230AB9" w:rsidP="00D740DC">
                            <w:pPr>
                              <w:rPr>
                                <w:sz w:val="16"/>
                                <w:szCs w:val="16"/>
                              </w:rPr>
                            </w:pPr>
                            <w:r w:rsidRPr="009D11DA">
                              <w:rPr>
                                <w:rFonts w:asciiTheme="majorBidi" w:eastAsia="Times New Roman" w:hAnsiTheme="majorBidi" w:cstheme="majorBidi"/>
                                <w:color w:val="000000"/>
                                <w:sz w:val="16"/>
                                <w:szCs w:val="16"/>
                                <w:lang w:eastAsia="en-MY"/>
                              </w:rPr>
                              <w:t>1047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611E1" id="Text Box 203" o:spid="_x0000_s1288" type="#_x0000_t202" style="position:absolute;left:0;text-align:left;margin-left:97.25pt;margin-top:32.8pt;width:41.15pt;height:19.6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" filled="f" stroked="f" strokeweight=".5pt">
                <v:textbox>
                  <w:txbxContent>
                    <w:p w14:paraId="03CE4AFB" w14:textId="77777777" w:rsidR="00230AB9" w:rsidRPr="009D11DA" w:rsidRDefault="00230AB9" w:rsidP="00D740DC">
                      <w:pPr>
                        <w:rPr>
                          <w:sz w:val="16"/>
                          <w:szCs w:val="16"/>
                        </w:rPr>
                      </w:pPr>
                      <w:r w:rsidRPr="009D11DA">
                        <w:rPr>
                          <w:rFonts w:asciiTheme="majorBidi" w:eastAsia="Times New Roman" w:hAnsiTheme="majorBidi" w:cstheme="majorBidi"/>
                          <w:color w:val="000000"/>
                          <w:sz w:val="16"/>
                          <w:szCs w:val="16"/>
                          <w:lang w:eastAsia="en-MY"/>
                        </w:rPr>
                        <w:t>1047</w:t>
                      </w:r>
                    </w:p>
                  </w:txbxContent>
                </v:textbox>
              </v:shape>
            </w:pict>
          </mc:Fallback>
        </mc:AlternateContent>
      </w:r>
      <w:r w:rsidRPr="000E2377">
        <w:rPr>
          <w:noProof/>
          <w:lang w:eastAsia="en-MY"/>
        </w:rPr>
        <mc:AlternateContent>
          <mc:Choice Requires="wps">
            <w:drawing>
              <wp:anchor distT="0" distB="0" distL="114300" distR="114300" simplePos="0" relativeHeight="252296192" behindDoc="0" locked="0" layoutInCell="1" allowOverlap="1" wp14:anchorId="22503D5D" wp14:editId="7B4EED4D">
                <wp:simplePos x="0" y="0"/>
                <wp:positionH relativeFrom="column">
                  <wp:posOffset>1389412</wp:posOffset>
                </wp:positionH>
                <wp:positionV relativeFrom="paragraph">
                  <wp:posOffset>570287</wp:posOffset>
                </wp:positionV>
                <wp:extent cx="11875" cy="1092035"/>
                <wp:effectExtent l="0" t="0" r="26670" b="32385"/>
                <wp:wrapNone/>
                <wp:docPr id="2036" name="Straight Connector 2036"/>
                <wp:cNvGraphicFramePr/>
                <a:graphic xmlns:a="http://schemas.openxmlformats.org/drawingml/2006/main">
                  <a:graphicData uri="http://schemas.microsoft.com/office/word/2010/wordprocessingShape">
                    <wps:wsp>
                      <wps:cNvCnPr/>
                      <wps:spPr>
                        <a:xfrm flipH="1">
                          <a:off x="0" y="0"/>
                          <a:ext cx="11875" cy="1092035"/>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2AB31728" id="Straight Connector 2036" o:spid="_x0000_s1026" style="position:absolute;flip:x;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4pt,44.9pt" to="110.35pt,1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">
                <v:stroke dashstyle="dash"/>
              </v:line>
            </w:pict>
          </mc:Fallback>
        </mc:AlternateContent>
      </w:r>
      <w:r w:rsidRPr="000E2377">
        <w:rPr>
          <w:noProof/>
          <w:lang w:eastAsia="en-MY"/>
        </w:rPr>
        <mc:AlternateContent>
          <mc:Choice Requires="wps">
            <w:drawing>
              <wp:anchor distT="0" distB="0" distL="114300" distR="114300" simplePos="0" relativeHeight="252285952" behindDoc="0" locked="0" layoutInCell="1" allowOverlap="1" wp14:anchorId="1DF29EFB" wp14:editId="7FC9CE55">
                <wp:simplePos x="0" y="0"/>
                <wp:positionH relativeFrom="column">
                  <wp:posOffset>2885317</wp:posOffset>
                </wp:positionH>
                <wp:positionV relativeFrom="paragraph">
                  <wp:posOffset>75466</wp:posOffset>
                </wp:positionV>
                <wp:extent cx="356260" cy="296883"/>
                <wp:effectExtent l="0" t="0" r="0" b="0"/>
                <wp:wrapNone/>
                <wp:docPr id="1995" name="Text Box 1995"/>
                <wp:cNvGraphicFramePr/>
                <a:graphic xmlns:a="http://schemas.openxmlformats.org/drawingml/2006/main">
                  <a:graphicData uri="http://schemas.microsoft.com/office/word/2010/wordprocessingShape">
                    <wps:wsp>
                      <wps:cNvSpPr txBox="1"/>
                      <wps:spPr>
                        <a:xfrm>
                          <a:off x="0" y="0"/>
                          <a:ext cx="356260" cy="296883"/>
                        </a:xfrm>
                        <a:prstGeom prst="rect">
                          <a:avLst/>
                        </a:prstGeom>
                        <a:noFill/>
                        <a:ln w="6350">
                          <a:noFill/>
                        </a:ln>
                      </wps:spPr>
                      <wps:txbx>
                        <w:txbxContent>
                          <w:p w14:paraId="75C47998" w14:textId="77777777" w:rsidR="00230AB9" w:rsidRPr="004C08E8" w:rsidRDefault="00230AB9" w:rsidP="00D740DC">
                            <w:pPr>
                              <w:rPr>
                                <w:rFonts w:cs="Times New Roman"/>
                                <w:szCs w:val="24"/>
                              </w:rPr>
                            </w:pPr>
                            <w:r>
                              <w:rPr>
                                <w:rFonts w:cs="Times New Roman"/>
                                <w:szCs w:val="24"/>
                              </w:rPr>
                              <w:t>b</w:t>
                            </w:r>
                            <w:r w:rsidRPr="004C08E8">
                              <w:rPr>
                                <w:rFonts w:cs="Times New Roman"/>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F29EFB" id="Text Box 1995" o:spid="_x0000_s1289" type="#_x0000_t202" style="position:absolute;left:0;text-align:left;margin-left:227.2pt;margin-top:5.95pt;width:28.05pt;height:23.4pt;z-index:25228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" filled="f" stroked="f" strokeweight=".5pt">
                <v:textbox>
                  <w:txbxContent>
                    <w:p w14:paraId="75C47998" w14:textId="77777777" w:rsidR="00230AB9" w:rsidRPr="004C08E8" w:rsidRDefault="00230AB9" w:rsidP="00D740DC">
                      <w:pPr>
                        <w:rPr>
                          <w:rFonts w:cs="Times New Roman"/>
                          <w:szCs w:val="24"/>
                        </w:rPr>
                      </w:pPr>
                      <w:r>
                        <w:rPr>
                          <w:rFonts w:cs="Times New Roman"/>
                          <w:szCs w:val="24"/>
                        </w:rPr>
                        <w:t>b</w:t>
                      </w:r>
                      <w:r w:rsidRPr="004C08E8">
                        <w:rPr>
                          <w:rFonts w:cs="Times New Roman"/>
                          <w:szCs w:val="24"/>
                        </w:rPr>
                        <w:t>)</w:t>
                      </w:r>
                    </w:p>
                  </w:txbxContent>
                </v:textbox>
              </v:shape>
            </w:pict>
          </mc:Fallback>
        </mc:AlternateContent>
      </w:r>
      <w:r w:rsidRPr="000E2377">
        <w:rPr>
          <w:noProof/>
          <w:lang w:eastAsia="en-MY"/>
        </w:rPr>
        <mc:AlternateContent>
          <mc:Choice Requires="wps">
            <w:drawing>
              <wp:anchor distT="0" distB="0" distL="114300" distR="114300" simplePos="0" relativeHeight="252295168" behindDoc="0" locked="0" layoutInCell="1" allowOverlap="1" wp14:anchorId="7BFD9A32" wp14:editId="4B11722A">
                <wp:simplePos x="0" y="0"/>
                <wp:positionH relativeFrom="column">
                  <wp:posOffset>248986</wp:posOffset>
                </wp:positionH>
                <wp:positionV relativeFrom="paragraph">
                  <wp:posOffset>116618</wp:posOffset>
                </wp:positionV>
                <wp:extent cx="356260" cy="296883"/>
                <wp:effectExtent l="0" t="0" r="0" b="0"/>
                <wp:wrapNone/>
                <wp:docPr id="2025" name="Text Box 2025"/>
                <wp:cNvGraphicFramePr/>
                <a:graphic xmlns:a="http://schemas.openxmlformats.org/drawingml/2006/main">
                  <a:graphicData uri="http://schemas.microsoft.com/office/word/2010/wordprocessingShape">
                    <wps:wsp>
                      <wps:cNvSpPr txBox="1"/>
                      <wps:spPr>
                        <a:xfrm>
                          <a:off x="0" y="0"/>
                          <a:ext cx="356260" cy="296883"/>
                        </a:xfrm>
                        <a:prstGeom prst="rect">
                          <a:avLst/>
                        </a:prstGeom>
                        <a:noFill/>
                        <a:ln w="6350">
                          <a:noFill/>
                        </a:ln>
                      </wps:spPr>
                      <wps:txbx>
                        <w:txbxContent>
                          <w:p w14:paraId="132442A3" w14:textId="77777777" w:rsidR="00230AB9" w:rsidRPr="004C08E8" w:rsidRDefault="00230AB9" w:rsidP="00D740DC">
                            <w:pPr>
                              <w:rPr>
                                <w:rFonts w:cs="Times New Roman"/>
                                <w:szCs w:val="24"/>
                              </w:rPr>
                            </w:pPr>
                            <w:r>
                              <w:rPr>
                                <w:rFonts w:cs="Times New Roman"/>
                                <w:szCs w:val="24"/>
                              </w:rPr>
                              <w:t>a</w:t>
                            </w:r>
                            <w:r w:rsidRPr="004C08E8">
                              <w:rPr>
                                <w:rFonts w:cs="Times New Roman"/>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FD9A32" id="Text Box 2025" o:spid="_x0000_s1290" type="#_x0000_t202" style="position:absolute;left:0;text-align:left;margin-left:19.6pt;margin-top:9.2pt;width:28.05pt;height:23.4pt;z-index:25229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" filled="f" stroked="f" strokeweight=".5pt">
                <v:textbox>
                  <w:txbxContent>
                    <w:p w14:paraId="132442A3" w14:textId="77777777" w:rsidR="00230AB9" w:rsidRPr="004C08E8" w:rsidRDefault="00230AB9" w:rsidP="00D740DC">
                      <w:pPr>
                        <w:rPr>
                          <w:rFonts w:cs="Times New Roman"/>
                          <w:szCs w:val="24"/>
                        </w:rPr>
                      </w:pPr>
                      <w:r>
                        <w:rPr>
                          <w:rFonts w:cs="Times New Roman"/>
                          <w:szCs w:val="24"/>
                        </w:rPr>
                        <w:t>a</w:t>
                      </w:r>
                      <w:r w:rsidRPr="004C08E8">
                        <w:rPr>
                          <w:rFonts w:cs="Times New Roman"/>
                          <w:szCs w:val="24"/>
                        </w:rPr>
                        <w:t>)</w:t>
                      </w:r>
                    </w:p>
                  </w:txbxContent>
                </v:textbox>
              </v:shape>
            </w:pict>
          </mc:Fallback>
        </mc:AlternateContent>
      </w:r>
      <w:r w:rsidRPr="000E2377">
        <w:rPr>
          <w:noProof/>
          <w:lang w:eastAsia="en-MY"/>
        </w:rPr>
        <w:drawing>
          <wp:inline distT="0" distB="0" distL="0" distR="0" wp14:anchorId="775594CA" wp14:editId="2939F9ED">
            <wp:extent cx="2540486" cy="2340000"/>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540486" cy="2340000"/>
                    </a:xfrm>
                    <a:prstGeom prst="rect">
                      <a:avLst/>
                    </a:prstGeom>
                    <a:noFill/>
                    <a:ln>
                      <a:noFill/>
                    </a:ln>
                  </pic:spPr>
                </pic:pic>
              </a:graphicData>
            </a:graphic>
          </wp:inline>
        </w:drawing>
      </w:r>
      <w:r w:rsidRPr="000E2377">
        <w:rPr>
          <w:noProof/>
          <w:lang w:eastAsia="en-MY"/>
        </w:rPr>
        <w:drawing>
          <wp:inline distT="0" distB="0" distL="0" distR="0" wp14:anchorId="3035CC58" wp14:editId="1AED1E3E">
            <wp:extent cx="2564977" cy="2340000"/>
            <wp:effectExtent l="0" t="0" r="6985"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64977" cy="2340000"/>
                    </a:xfrm>
                    <a:prstGeom prst="rect">
                      <a:avLst/>
                    </a:prstGeom>
                    <a:noFill/>
                    <a:ln>
                      <a:noFill/>
                    </a:ln>
                  </pic:spPr>
                </pic:pic>
              </a:graphicData>
            </a:graphic>
          </wp:inline>
        </w:drawing>
      </w:r>
    </w:p>
    <w:p w14:paraId="7BEF2846" w14:textId="79D6766A" w:rsidR="00D740DC" w:rsidRPr="000E2377" w:rsidRDefault="0080406D" w:rsidP="00D740DC">
      <w:pPr>
        <w:pStyle w:val="Caption"/>
        <w:rPr>
          <w:rFonts w:eastAsia="Times New Roman"/>
          <w:color w:val="000000"/>
          <w:szCs w:val="24"/>
          <w:lang w:eastAsia="en-MY"/>
        </w:rPr>
      </w:pPr>
      <w:bookmarkStart w:id="725" w:name="_Toc521420478"/>
      <w:bookmarkStart w:id="726" w:name="_Toc525223212"/>
      <w:bookmarkStart w:id="727" w:name="_Toc525528359"/>
      <w:bookmarkStart w:id="728" w:name="_Toc525706374"/>
      <w:bookmarkStart w:id="729" w:name="_Hlk515396426"/>
      <w:r>
        <w:t>Figure 4.14</w:t>
      </w:r>
      <w:r w:rsidR="00D740DC" w:rsidRPr="000E2377">
        <w:t xml:space="preserve">: </w:t>
      </w:r>
      <w:r w:rsidR="00D740DC" w:rsidRPr="000E2377">
        <w:rPr>
          <w:rFonts w:asciiTheme="majorBidi" w:hAnsiTheme="majorBidi" w:cstheme="majorBidi"/>
          <w:szCs w:val="24"/>
        </w:rPr>
        <w:t xml:space="preserve">FTIR spectra for glass series </w:t>
      </w:r>
      <w:r w:rsidR="00D740DC" w:rsidRPr="000E2377">
        <w:rPr>
          <w:szCs w:val="24"/>
        </w:rPr>
        <w:t xml:space="preserve">a)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7.6</w:t>
      </w:r>
      <w:r w:rsidR="00D740DC" w:rsidRPr="000E2377">
        <w:rPr>
          <w:rFonts w:eastAsia="Times New Roman"/>
          <w:color w:val="000000"/>
          <w:szCs w:val="24"/>
          <w:lang w:eastAsia="en-MY"/>
        </w:rPr>
        <w:t>M</w:t>
      </w:r>
      <w:r w:rsidR="00D740DC" w:rsidRPr="000E2377">
        <w:rPr>
          <w:rFonts w:eastAsia="Times New Roman"/>
          <w:color w:val="000000"/>
          <w:szCs w:val="24"/>
          <w:vertAlign w:val="subscript"/>
          <w:lang w:eastAsia="en-MY"/>
        </w:rPr>
        <w:t>1.1</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3</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7.6</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80.7-x</w:t>
      </w:r>
      <w:r w:rsidR="00D740DC" w:rsidRPr="000E2377">
        <w:rPr>
          <w:rFonts w:eastAsia="Times New Roman"/>
          <w:color w:val="000000"/>
          <w:szCs w:val="24"/>
          <w:lang w:eastAsia="en-MY"/>
        </w:rPr>
        <w:t xml:space="preserve"> </w:t>
      </w:r>
      <w:r w:rsidR="00D740DC" w:rsidRPr="000E2377">
        <w:rPr>
          <w:szCs w:val="24"/>
        </w:rPr>
        <w:t xml:space="preserve"> b)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15</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5</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10-x</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70</w:t>
      </w:r>
      <w:r w:rsidR="00D740DC" w:rsidRPr="000E2377">
        <w:rPr>
          <w:szCs w:val="24"/>
        </w:rPr>
        <w:t xml:space="preserve"> and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15</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5</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20-x</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60</w:t>
      </w:r>
      <w:r w:rsidR="00D740DC" w:rsidRPr="000E2377">
        <w:rPr>
          <w:rFonts w:eastAsia="Times New Roman"/>
          <w:color w:val="000000"/>
          <w:sz w:val="16"/>
          <w:szCs w:val="16"/>
          <w:vertAlign w:val="subscript"/>
          <w:lang w:eastAsia="en-MY"/>
        </w:rPr>
        <w:t xml:space="preserve"> </w:t>
      </w:r>
      <w:r w:rsidR="00D740DC" w:rsidRPr="000E2377">
        <w:rPr>
          <w:szCs w:val="24"/>
        </w:rPr>
        <w:t>.</w:t>
      </w:r>
      <w:bookmarkEnd w:id="725"/>
      <w:bookmarkEnd w:id="726"/>
      <w:bookmarkEnd w:id="727"/>
      <w:bookmarkEnd w:id="728"/>
    </w:p>
    <w:bookmarkEnd w:id="729"/>
    <w:p w14:paraId="20E8EF3B" w14:textId="48A34EA2" w:rsidR="00D740DC" w:rsidRDefault="00D740DC" w:rsidP="00D740DC">
      <w:pPr>
        <w:spacing w:before="200" w:line="360" w:lineRule="auto"/>
        <w:jc w:val="both"/>
        <w:rPr>
          <w:rFonts w:eastAsia="Calibri" w:cs="Times New Roman"/>
          <w:b w:val="0"/>
          <w:szCs w:val="24"/>
        </w:rPr>
      </w:pPr>
      <w:r w:rsidRPr="000E2377">
        <w:rPr>
          <w:rFonts w:eastAsia="Calibri" w:cs="Times New Roman"/>
          <w:b w:val="0"/>
          <w:szCs w:val="24"/>
        </w:rPr>
        <w:t>ATR-FTIR spectra in the range 600-1600 cm</w:t>
      </w:r>
      <w:r w:rsidRPr="000E2377">
        <w:rPr>
          <w:rFonts w:eastAsia="Calibri" w:cs="Times New Roman"/>
          <w:b w:val="0"/>
          <w:szCs w:val="24"/>
          <w:vertAlign w:val="superscript"/>
        </w:rPr>
        <w:t>-1</w:t>
      </w:r>
      <w:r w:rsidRPr="000E2377">
        <w:rPr>
          <w:rFonts w:asciiTheme="majorBidi" w:hAnsiTheme="majorBidi" w:cstheme="majorBidi"/>
          <w:b w:val="0"/>
          <w:szCs w:val="24"/>
        </w:rPr>
        <w:t xml:space="preserve"> 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cs="Times New Roman"/>
          <w:b w:val="0"/>
          <w:szCs w:val="24"/>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70 </w:t>
      </w:r>
      <w:r w:rsidRPr="000E2377">
        <w:rPr>
          <w:rFonts w:cs="Times New Roman"/>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eastAsia="Times New Roman" w:cs="Times New Roman"/>
          <w:b w:val="0"/>
          <w:color w:val="000000"/>
          <w:szCs w:val="24"/>
          <w:lang w:eastAsia="en-MY"/>
        </w:rPr>
        <w:t>glasses</w:t>
      </w:r>
      <w:r w:rsidRPr="000E2377">
        <w:rPr>
          <w:rFonts w:asciiTheme="majorBidi" w:hAnsiTheme="majorBidi" w:cstheme="majorBidi"/>
          <w:b w:val="0"/>
          <w:szCs w:val="24"/>
        </w:rPr>
        <w:t xml:space="preserve"> are presented in Figure 4.1</w:t>
      </w:r>
      <w:r>
        <w:rPr>
          <w:rFonts w:asciiTheme="majorBidi" w:hAnsiTheme="majorBidi" w:cstheme="majorBidi"/>
          <w:b w:val="0"/>
          <w:szCs w:val="24"/>
        </w:rPr>
        <w:t>4</w:t>
      </w:r>
      <w:r w:rsidRPr="000E2377">
        <w:rPr>
          <w:rFonts w:asciiTheme="majorBidi" w:hAnsiTheme="majorBidi" w:cstheme="majorBidi"/>
          <w:b w:val="0"/>
          <w:szCs w:val="24"/>
        </w:rPr>
        <w:t xml:space="preserve">. </w:t>
      </w:r>
      <w:r w:rsidRPr="000E2377">
        <w:rPr>
          <w:rFonts w:eastAsia="Calibri" w:cs="Times New Roman"/>
          <w:b w:val="0"/>
          <w:szCs w:val="24"/>
        </w:rPr>
        <w:t xml:space="preserve">There is limitation for structural studies by FTIR for ternary silicate glasses, compared to Raman spectroscopy because in this wavenumber </w:t>
      </w:r>
      <w:r>
        <w:rPr>
          <w:rFonts w:eastAsia="Calibri" w:cs="Times New Roman"/>
          <w:b w:val="0"/>
          <w:szCs w:val="24"/>
        </w:rPr>
        <w:t xml:space="preserve">in </w:t>
      </w:r>
      <w:r w:rsidRPr="000E2377">
        <w:rPr>
          <w:rFonts w:eastAsia="Calibri" w:cs="Times New Roman"/>
          <w:b w:val="0"/>
          <w:szCs w:val="24"/>
        </w:rPr>
        <w:t xml:space="preserve">range </w:t>
      </w:r>
      <w:r>
        <w:rPr>
          <w:rFonts w:eastAsia="Calibri" w:cs="Times New Roman"/>
          <w:b w:val="0"/>
          <w:szCs w:val="24"/>
        </w:rPr>
        <w:t>800 to 1300 cm</w:t>
      </w:r>
      <w:r w:rsidRPr="00612BFB">
        <w:rPr>
          <w:rFonts w:eastAsia="Calibri" w:cs="Times New Roman"/>
          <w:b w:val="0"/>
          <w:szCs w:val="24"/>
          <w:vertAlign w:val="superscript"/>
        </w:rPr>
        <w:t>-1</w:t>
      </w:r>
      <w:r>
        <w:rPr>
          <w:rFonts w:eastAsia="Calibri" w:cs="Times New Roman"/>
          <w:b w:val="0"/>
          <w:szCs w:val="24"/>
        </w:rPr>
        <w:t xml:space="preserve">, </w:t>
      </w:r>
      <w:r w:rsidRPr="000E2377">
        <w:rPr>
          <w:rFonts w:eastAsia="Calibri" w:cs="Times New Roman"/>
          <w:b w:val="0"/>
          <w:szCs w:val="24"/>
        </w:rPr>
        <w:t>Raman spectra only shows [Si-O] bond stretching</w:t>
      </w:r>
      <w:r>
        <w:rPr>
          <w:rFonts w:eastAsia="Calibri" w:cs="Times New Roman"/>
          <w:b w:val="0"/>
          <w:szCs w:val="24"/>
        </w:rPr>
        <w:t>, Al and B bond</w:t>
      </w:r>
      <w:r w:rsidRPr="000E2377">
        <w:rPr>
          <w:rFonts w:eastAsia="Calibri" w:cs="Times New Roman"/>
          <w:b w:val="0"/>
          <w:szCs w:val="24"/>
        </w:rPr>
        <w:t xml:space="preserve"> while this band in IR relates to asymmetric stretching of [Si-O</w:t>
      </w:r>
      <w:r w:rsidRPr="000E2377">
        <w:rPr>
          <w:rFonts w:eastAsia="Calibri" w:cs="Times New Roman"/>
          <w:b w:val="0"/>
          <w:szCs w:val="24"/>
          <w:vertAlign w:val="superscript"/>
        </w:rPr>
        <w:t xml:space="preserve"> </w:t>
      </w:r>
      <w:r w:rsidRPr="000E2377">
        <w:rPr>
          <w:rFonts w:eastAsia="Calibri" w:cs="Times New Roman"/>
          <w:b w:val="0"/>
          <w:szCs w:val="24"/>
        </w:rPr>
        <w:t xml:space="preserve">] and [Si-O-Si] bonds, which makes FTIR spectra more complex to interpret in this region </w:t>
      </w:r>
      <w:r w:rsidRPr="000E2377">
        <w:rPr>
          <w:rFonts w:eastAsia="Calibri" w:cs="Times New Roman"/>
          <w:b w:val="0"/>
          <w:szCs w:val="24"/>
        </w:rPr>
        <w:fldChar w:fldCharType="begin" w:fldLock="1"/>
      </w:r>
      <w:r w:rsidRPr="000E2377">
        <w:rPr>
          <w:rFonts w:eastAsia="Calibri" w:cs="Times New Roman"/>
          <w:b w:val="0"/>
          <w:szCs w:val="24"/>
        </w:rPr>
        <w:instrText>ADDIN CSL_CITATION { "citationItems" : [ { "id" : "ITEM-1", "itemData" : { "author" : [ { "dropping-particle" : "", "family" : "Taylor W R", "given" : "", "non-dropping-particle" : "", "parse-names" : false, "suffix" : "" } ], "id" : "ITEM-1", "issued" : { "date-parts" : [ [ "1990" ] ] }, "page" : "99-117", "publisher" : "Proc. Indian. Acad. Sci. (Earth Planet. Sci.),", "title" : "Application of infrared spectroscopy to studies of silicate glass structure: Examples from the melilite glasses and the systems Na2O-SiO2- and Na2O-Al2O3-SiO2", "type" : "article" }, "uris" : [ "http://www.mendeley.com/documents/?uuid=ca720430-5cdc-4c94-84f5-1d2c54872862" ] } ], "mendeley" : { "formattedCitation" : "(Taylor W R, 1990)", "manualFormatting" : "(Taylor, 1990)", "plainTextFormattedCitation" : "(Taylor W R, 1990)", "previouslyFormattedCitation" : "(Taylor W R, 1990)" }, "properties" : { "noteIndex" : 63 }, "schema" : "https://github.com/citation-style-language/schema/raw/master/csl-citation.json" }</w:instrText>
      </w:r>
      <w:r w:rsidRPr="000E2377">
        <w:rPr>
          <w:rFonts w:eastAsia="Calibri" w:cs="Times New Roman"/>
          <w:b w:val="0"/>
          <w:szCs w:val="24"/>
        </w:rPr>
        <w:fldChar w:fldCharType="separate"/>
      </w:r>
      <w:r w:rsidRPr="000E2377">
        <w:rPr>
          <w:rFonts w:eastAsia="Calibri" w:cs="Times New Roman"/>
          <w:b w:val="0"/>
          <w:noProof/>
          <w:szCs w:val="24"/>
        </w:rPr>
        <w:t>(Taylor, 1990)</w:t>
      </w:r>
      <w:r w:rsidRPr="000E2377">
        <w:rPr>
          <w:rFonts w:eastAsia="Calibri" w:cs="Times New Roman"/>
          <w:b w:val="0"/>
          <w:szCs w:val="24"/>
        </w:rPr>
        <w:fldChar w:fldCharType="end"/>
      </w:r>
      <w:r w:rsidRPr="000E2377">
        <w:rPr>
          <w:rFonts w:eastAsia="Calibri" w:cs="Times New Roman"/>
          <w:b w:val="0"/>
          <w:szCs w:val="24"/>
        </w:rPr>
        <w:t xml:space="preserve">. The IR spectra show </w:t>
      </w:r>
      <w:r w:rsidR="002337E8">
        <w:rPr>
          <w:rFonts w:eastAsia="Calibri" w:cs="Times New Roman"/>
          <w:b w:val="0"/>
          <w:szCs w:val="24"/>
        </w:rPr>
        <w:t>three</w:t>
      </w:r>
      <w:r w:rsidR="002337E8" w:rsidRPr="000E2377">
        <w:rPr>
          <w:rFonts w:eastAsia="Calibri" w:cs="Times New Roman"/>
          <w:b w:val="0"/>
          <w:szCs w:val="24"/>
        </w:rPr>
        <w:t xml:space="preserve"> </w:t>
      </w:r>
      <w:r w:rsidRPr="000E2377">
        <w:rPr>
          <w:rFonts w:eastAsia="Calibri" w:cs="Times New Roman"/>
          <w:b w:val="0"/>
          <w:szCs w:val="24"/>
        </w:rPr>
        <w:t>main bands located at 700, 1000 and 1400 cm</w:t>
      </w:r>
      <w:r w:rsidRPr="000E2377">
        <w:rPr>
          <w:rFonts w:eastAsia="Calibri" w:cs="Times New Roman"/>
          <w:b w:val="0"/>
          <w:szCs w:val="24"/>
          <w:vertAlign w:val="superscript"/>
        </w:rPr>
        <w:t>-1</w:t>
      </w:r>
      <w:r w:rsidRPr="000E2377">
        <w:rPr>
          <w:rFonts w:eastAsia="Calibri" w:cs="Times New Roman"/>
          <w:b w:val="0"/>
          <w:szCs w:val="24"/>
        </w:rPr>
        <w:t xml:space="preserve">. </w:t>
      </w:r>
    </w:p>
    <w:p w14:paraId="232E7032" w14:textId="77777777" w:rsidR="00D740DC" w:rsidRPr="00427757" w:rsidRDefault="00D740DC" w:rsidP="00D740DC">
      <w:pPr>
        <w:spacing w:before="200" w:line="360" w:lineRule="auto"/>
        <w:jc w:val="both"/>
        <w:rPr>
          <w:rFonts w:eastAsia="Calibri" w:cs="Times New Roman"/>
          <w:b w:val="0"/>
          <w:szCs w:val="24"/>
        </w:rPr>
      </w:pPr>
      <w:r w:rsidRPr="00427757">
        <w:rPr>
          <w:rFonts w:eastAsia="Calibri" w:cs="Times New Roman"/>
          <w:b w:val="0"/>
          <w:szCs w:val="24"/>
        </w:rPr>
        <w:t>The main peaks can be summarised as follows:</w:t>
      </w:r>
    </w:p>
    <w:p w14:paraId="4792E5C3" w14:textId="77777777" w:rsidR="00D740DC" w:rsidRPr="00427757" w:rsidRDefault="00D740DC" w:rsidP="00D740DC">
      <w:pPr>
        <w:numPr>
          <w:ilvl w:val="0"/>
          <w:numId w:val="8"/>
        </w:numPr>
        <w:spacing w:before="200" w:after="0" w:line="360" w:lineRule="auto"/>
        <w:ind w:left="1069"/>
        <w:contextualSpacing/>
        <w:jc w:val="both"/>
        <w:rPr>
          <w:rFonts w:eastAsia="Calibri" w:cs="Times New Roman"/>
          <w:b w:val="0"/>
          <w:szCs w:val="24"/>
        </w:rPr>
      </w:pPr>
      <w:r w:rsidRPr="00427757">
        <w:rPr>
          <w:rFonts w:eastAsia="Calibri" w:cs="Times New Roman"/>
          <w:b w:val="0"/>
          <w:szCs w:val="24"/>
        </w:rPr>
        <w:t>630-800 cm</w:t>
      </w:r>
      <w:r w:rsidRPr="00427757">
        <w:rPr>
          <w:rFonts w:eastAsia="Calibri" w:cs="Times New Roman"/>
          <w:b w:val="0"/>
          <w:szCs w:val="24"/>
          <w:vertAlign w:val="superscript"/>
        </w:rPr>
        <w:t>-1</w:t>
      </w:r>
      <w:r w:rsidRPr="00427757">
        <w:rPr>
          <w:rFonts w:eastAsia="Calibri" w:cs="Times New Roman"/>
          <w:b w:val="0"/>
          <w:szCs w:val="24"/>
        </w:rPr>
        <w:t xml:space="preserve">, broad medium intensity band, assigned to B-O-B bending or Al-O-Al stretching vibrations </w:t>
      </w:r>
      <w:r w:rsidRPr="00427757">
        <w:rPr>
          <w:rFonts w:eastAsia="Calibri" w:cs="Times New Roman"/>
          <w:b w:val="0"/>
          <w:szCs w:val="24"/>
        </w:rPr>
        <w:fldChar w:fldCharType="begin" w:fldLock="1"/>
      </w:r>
      <w:r w:rsidRPr="00427757">
        <w:rPr>
          <w:rFonts w:eastAsia="Calibri" w:cs="Times New Roman"/>
          <w:b w:val="0"/>
          <w:szCs w:val="24"/>
        </w:rPr>
        <w:instrText>ADDIN CSL_CITATION { "citationItems" : [ { "id" : "ITEM-1", "itemData" : { "author" : [ { "dropping-particle" : "", "family" : "Wang", "given" : "Donsheng S.", "non-dropping-particle" : "", "parse-names" : false, "suffix" : "" }, { "dropping-particle" : "", "family" : "Pantano", "given" : "Carlo G", "non-dropping-particle" : "", "parse-names" : false, "suffix" : "" } ], "container-title" : "Journal of Non-Crystalline Solids", "id" : "ITEM-1", "issued" : { "date-parts" : [ [ "1992" ] ] }, "page" : "225-233", "title" : "Structural characterization of C a O - B 2 0 3 - A 1 2 0 3 - S i O 2 xerogels and glasses", "type" : "article-journal", "volume" : "142" }, "uris" : [ "http://www.mendeley.com/documents/?uuid=66d0cb81-85f0-4934-a121-1e580f9788f8" ] } ], "mendeley" : { "formattedCitation" : "(D. S. Wang &amp; Pantano, 1992)", "manualFormatting" : "(Wang &amp; Pantano, 1992)", "plainTextFormattedCitation" : "(D. S. Wang &amp; Pantano, 1992)", "previouslyFormattedCitation" : "(D. S. Wang &amp; Pantano, 1992)" }, "properties" : { "noteIndex" : 8 }, "schema" : "https://github.com/citation-style-language/schema/raw/master/csl-citation.json" }</w:instrText>
      </w:r>
      <w:r w:rsidRPr="00427757">
        <w:rPr>
          <w:rFonts w:eastAsia="Calibri" w:cs="Times New Roman"/>
          <w:b w:val="0"/>
          <w:szCs w:val="24"/>
        </w:rPr>
        <w:fldChar w:fldCharType="separate"/>
      </w:r>
      <w:r w:rsidRPr="00427757">
        <w:rPr>
          <w:rFonts w:eastAsia="Calibri" w:cs="Times New Roman"/>
          <w:b w:val="0"/>
          <w:noProof/>
          <w:szCs w:val="24"/>
        </w:rPr>
        <w:t>(Wang &amp; Pantano, 1992)</w:t>
      </w:r>
      <w:r w:rsidRPr="00427757">
        <w:rPr>
          <w:rFonts w:eastAsia="Calibri" w:cs="Times New Roman"/>
          <w:b w:val="0"/>
          <w:szCs w:val="24"/>
        </w:rPr>
        <w:fldChar w:fldCharType="end"/>
      </w:r>
      <w:r w:rsidRPr="00427757">
        <w:rPr>
          <w:rFonts w:eastAsia="Calibri" w:cs="Times New Roman"/>
          <w:b w:val="0"/>
          <w:szCs w:val="24"/>
        </w:rPr>
        <w:t>.</w:t>
      </w:r>
    </w:p>
    <w:p w14:paraId="69853B23" w14:textId="06FD1E80" w:rsidR="00D740DC" w:rsidRPr="00427757" w:rsidRDefault="00D740DC" w:rsidP="00D740DC">
      <w:pPr>
        <w:numPr>
          <w:ilvl w:val="0"/>
          <w:numId w:val="8"/>
        </w:numPr>
        <w:spacing w:line="360" w:lineRule="auto"/>
        <w:ind w:left="1069"/>
        <w:contextualSpacing/>
        <w:jc w:val="both"/>
        <w:rPr>
          <w:rFonts w:eastAsia="Calibri" w:cs="Times New Roman"/>
          <w:b w:val="0"/>
          <w:szCs w:val="24"/>
        </w:rPr>
      </w:pPr>
      <w:r w:rsidRPr="00427757">
        <w:rPr>
          <w:rFonts w:asciiTheme="majorBidi" w:eastAsia="Times New Roman" w:hAnsiTheme="majorBidi" w:cstheme="majorBidi"/>
          <w:b w:val="0"/>
          <w:color w:val="000000"/>
          <w:szCs w:val="24"/>
          <w:lang w:eastAsia="en-MY"/>
        </w:rPr>
        <w:t>800 – 1230 cm</w:t>
      </w:r>
      <w:r w:rsidRPr="00427757">
        <w:rPr>
          <w:rFonts w:asciiTheme="majorBidi" w:eastAsia="Times New Roman" w:hAnsiTheme="majorBidi" w:cstheme="majorBidi"/>
          <w:b w:val="0"/>
          <w:color w:val="000000"/>
          <w:szCs w:val="24"/>
          <w:vertAlign w:val="superscript"/>
          <w:lang w:eastAsia="en-MY"/>
        </w:rPr>
        <w:t>-1</w:t>
      </w:r>
      <w:r w:rsidRPr="00427757">
        <w:rPr>
          <w:rFonts w:asciiTheme="majorBidi" w:eastAsia="Times New Roman" w:hAnsiTheme="majorBidi" w:cstheme="majorBidi"/>
          <w:b w:val="0"/>
          <w:color w:val="000000"/>
          <w:szCs w:val="24"/>
          <w:lang w:eastAsia="en-MY"/>
        </w:rPr>
        <w:t xml:space="preserve">, broad band (with </w:t>
      </w:r>
      <w:r w:rsidR="000707B0">
        <w:rPr>
          <w:rFonts w:asciiTheme="majorBidi" w:eastAsia="Times New Roman" w:hAnsiTheme="majorBidi" w:cstheme="majorBidi"/>
          <w:b w:val="0"/>
          <w:color w:val="000000"/>
          <w:szCs w:val="24"/>
          <w:lang w:eastAsia="en-MY"/>
        </w:rPr>
        <w:t xml:space="preserve">the </w:t>
      </w:r>
      <w:r w:rsidRPr="00427757">
        <w:rPr>
          <w:rFonts w:asciiTheme="majorBidi" w:eastAsia="Times New Roman" w:hAnsiTheme="majorBidi" w:cstheme="majorBidi"/>
          <w:b w:val="0"/>
          <w:color w:val="000000"/>
          <w:szCs w:val="24"/>
          <w:lang w:eastAsia="en-MY"/>
        </w:rPr>
        <w:t>highest peak ~1050 cm</w:t>
      </w:r>
      <w:r w:rsidRPr="00427757">
        <w:rPr>
          <w:rFonts w:asciiTheme="majorBidi" w:eastAsia="Times New Roman" w:hAnsiTheme="majorBidi" w:cstheme="majorBidi"/>
          <w:b w:val="0"/>
          <w:color w:val="000000"/>
          <w:szCs w:val="24"/>
          <w:vertAlign w:val="superscript"/>
          <w:lang w:eastAsia="en-MY"/>
        </w:rPr>
        <w:t>-1</w:t>
      </w:r>
      <w:r w:rsidRPr="00427757">
        <w:rPr>
          <w:rFonts w:asciiTheme="majorBidi" w:eastAsia="Times New Roman" w:hAnsiTheme="majorBidi" w:cstheme="majorBidi"/>
          <w:b w:val="0"/>
          <w:color w:val="000000"/>
          <w:szCs w:val="24"/>
          <w:lang w:eastAsia="en-MY"/>
        </w:rPr>
        <w:t xml:space="preserve">), assigned to Si-O-Si  asymmetric stretching </w:t>
      </w:r>
      <w:r w:rsidRPr="00427757">
        <w:rPr>
          <w:rFonts w:asciiTheme="majorBidi" w:eastAsia="Times New Roman" w:hAnsiTheme="majorBidi" w:cstheme="majorBidi"/>
          <w:b w:val="0"/>
          <w:color w:val="000000"/>
          <w:szCs w:val="24"/>
          <w:lang w:eastAsia="en-MY"/>
        </w:rPr>
        <w:fldChar w:fldCharType="begin" w:fldLock="1"/>
      </w:r>
      <w:r w:rsidRPr="00427757">
        <w:rPr>
          <w:rFonts w:asciiTheme="majorBidi" w:eastAsia="Times New Roman" w:hAnsiTheme="majorBidi" w:cstheme="majorBidi"/>
          <w:b w:val="0"/>
          <w:color w:val="000000"/>
          <w:szCs w:val="24"/>
          <w:lang w:eastAsia="en-MY"/>
        </w:rPr>
        <w:instrText>ADDIN CSL_CITATION { "citationItems" : [ { "id" : "ITEM-1", "itemData" : { "DOI" : "10.1016/j.jnoncrysol.2006.02.118", "ISSN" : "00223093", "author" : [ { "dropping-particle" : "", "family" : "Bengisu", "given" : "M.", "non-dropping-particle" : "", "parse-names" : false, "suffix" : "" }, { "dropping-particle" : "", "family" : "Brow", "given" : "R.K.", "non-dropping-particle" : "", "parse-names" : false, "suffix" : "" }, { "dropping-particle" : "", "family" : "Yilmaz", "given" : "E.", "non-dropping-particle" : "", "parse-names" : false, "suffix" : "" }, { "dropping-particle" : "", "family" : "Mogu\u0161-Milankovi\u0107", "given" : "a.", "non-dropping-particle" : "", "parse-names" : false, "suffix" : "" }, { "dropping-particle" : "", "family" : "Reis", "given" : "S.T.", "non-dropping-particle" : "", "parse-names" : false, "suffix" : "" } ], "container-title" : "Journal of Non-Crystalline Solids", "id" : "ITEM-1", "issue" : "32-35", "issued" : { "date-parts" : [ [ "2006", "9" ] ] }, "page" : "3668-3676", "title" : "Aluminoborate and aluminoborosilicate glasses with high chemical durability and the effect of P2O5 additions on the properties", "type" : "article-journal", "volume" : "352" }, "uris" : [ "http://www.mendeley.com/documents/?uuid=aa486e55-9227-4481-83ee-f315b86c0d07" ] } ], "mendeley" : { "formattedCitation" : "(Bengisu et al., 2006)", "manualFormatting" : "(Bengisu et al., 2006)", "plainTextFormattedCitation" : "(Bengisu et al., 2006)", "previouslyFormattedCitation" : "(Bengisu et al., 2006)" }, "properties" : { "noteIndex" : 0 }, "schema" : "https://github.com/citation-style-language/schema/raw/master/csl-citation.json" }</w:instrText>
      </w:r>
      <w:r w:rsidRPr="00427757">
        <w:rPr>
          <w:rFonts w:asciiTheme="majorBidi" w:eastAsia="Times New Roman" w:hAnsiTheme="majorBidi" w:cstheme="majorBidi"/>
          <w:b w:val="0"/>
          <w:color w:val="000000"/>
          <w:szCs w:val="24"/>
          <w:lang w:eastAsia="en-MY"/>
        </w:rPr>
        <w:fldChar w:fldCharType="separate"/>
      </w:r>
      <w:r w:rsidRPr="00427757">
        <w:rPr>
          <w:rFonts w:asciiTheme="majorBidi" w:eastAsia="Times New Roman" w:hAnsiTheme="majorBidi" w:cstheme="majorBidi"/>
          <w:b w:val="0"/>
          <w:noProof/>
          <w:color w:val="000000"/>
          <w:szCs w:val="24"/>
          <w:lang w:eastAsia="en-MY"/>
        </w:rPr>
        <w:t>(Bengisu et al., 2006)</w:t>
      </w:r>
      <w:r w:rsidRPr="00427757">
        <w:rPr>
          <w:rFonts w:asciiTheme="majorBidi" w:eastAsia="Times New Roman" w:hAnsiTheme="majorBidi" w:cstheme="majorBidi"/>
          <w:b w:val="0"/>
          <w:color w:val="000000"/>
          <w:szCs w:val="24"/>
          <w:lang w:eastAsia="en-MY"/>
        </w:rPr>
        <w:fldChar w:fldCharType="end"/>
      </w:r>
      <w:r w:rsidRPr="00427757">
        <w:rPr>
          <w:rFonts w:asciiTheme="majorBidi" w:eastAsia="Times New Roman" w:hAnsiTheme="majorBidi" w:cstheme="majorBidi"/>
          <w:b w:val="0"/>
          <w:color w:val="000000"/>
          <w:szCs w:val="24"/>
          <w:lang w:eastAsia="en-MY"/>
        </w:rPr>
        <w:t>,</w:t>
      </w:r>
      <w:r w:rsidRPr="00427757">
        <w:rPr>
          <w:rFonts w:asciiTheme="majorBidi" w:eastAsia="Times New Roman" w:hAnsiTheme="majorBidi" w:cstheme="majorBidi"/>
          <w:b w:val="0"/>
          <w:color w:val="000000"/>
          <w:szCs w:val="24"/>
          <w:lang w:eastAsia="en-MY"/>
        </w:rPr>
        <w:fldChar w:fldCharType="begin" w:fldLock="1"/>
      </w:r>
      <w:r w:rsidRPr="00427757">
        <w:rPr>
          <w:rFonts w:asciiTheme="majorBidi" w:eastAsia="Times New Roman" w:hAnsiTheme="majorBidi" w:cstheme="majorBidi"/>
          <w:b w:val="0"/>
          <w:color w:val="000000"/>
          <w:szCs w:val="24"/>
          <w:lang w:eastAsia="en-MY"/>
        </w:rPr>
        <w:instrText>ADDIN CSL_CITATION { "citationItems" : [ { "id" : "ITEM-1", "itemData" : { "DOI" : "10.1016/j.molstruc.2014.01.062", "ISSN" : "00222860", "author" : [ { "dropping-particle" : "", "family" : "Wang", "given" : "Mitang", "non-dropping-particle" : "", "parse-names" : false, "suffix" : "" }, { "dropping-particle" : "", "family" : "Li", "given" : "Mei", "non-dropping-particle" : "", "parse-names" : false, "suffix" : "" }, { "dropping-particle" : "", "family" : "Cheng", "given" : "Jinshu", "non-dropping-particle" : "", "parse-names" : false, "suffix" : "" }, { "dropping-particle" : "", "family" : "He", "given" : "Feng", "non-dropping-particle" : "", "parse-names" : false, "suffix" : "" } ], "container-title" : "Journal of Molecular Structure", "id" : "ITEM-1", "issued" : { "date-parts" : [ [ "2014", "4" ] ] }, "page" : "139-144", "publisher" : "Elsevier B.V.", "title" : "Structure and viscosity of soda lime silicate glasses with varying Gd2O3 content", "type" : "article-journal", "volume" : "1063" }, "uris" : [ "http://www.mendeley.com/documents/?uuid=6018699b-2fbe-485e-a176-20b2004988c0" ] } ], "mendeley" : { "formattedCitation" : "(M. Wang et al., 2014)", "manualFormatting" : "(Wang et al., 2014)", "plainTextFormattedCitation" : "(M. Wang et al., 2014)", "previouslyFormattedCitation" : "(M. Wang et al., 2014)" }, "properties" : { "noteIndex" : 0 }, "schema" : "https://github.com/citation-style-language/schema/raw/master/csl-citation.json" }</w:instrText>
      </w:r>
      <w:r w:rsidRPr="00427757">
        <w:rPr>
          <w:rFonts w:asciiTheme="majorBidi" w:eastAsia="Times New Roman" w:hAnsiTheme="majorBidi" w:cstheme="majorBidi"/>
          <w:b w:val="0"/>
          <w:color w:val="000000"/>
          <w:szCs w:val="24"/>
          <w:lang w:eastAsia="en-MY"/>
        </w:rPr>
        <w:fldChar w:fldCharType="separate"/>
      </w:r>
      <w:r w:rsidRPr="00427757">
        <w:rPr>
          <w:rFonts w:asciiTheme="majorBidi" w:eastAsia="Times New Roman" w:hAnsiTheme="majorBidi" w:cstheme="majorBidi"/>
          <w:b w:val="0"/>
          <w:noProof/>
          <w:color w:val="000000"/>
          <w:szCs w:val="24"/>
          <w:lang w:eastAsia="en-MY"/>
        </w:rPr>
        <w:t>(Wang et al., 2014)</w:t>
      </w:r>
      <w:r w:rsidRPr="00427757">
        <w:rPr>
          <w:rFonts w:asciiTheme="majorBidi" w:eastAsia="Times New Roman" w:hAnsiTheme="majorBidi" w:cstheme="majorBidi"/>
          <w:b w:val="0"/>
          <w:color w:val="000000"/>
          <w:szCs w:val="24"/>
          <w:lang w:eastAsia="en-MY"/>
        </w:rPr>
        <w:fldChar w:fldCharType="end"/>
      </w:r>
    </w:p>
    <w:p w14:paraId="373A8AA0" w14:textId="77777777" w:rsidR="00D740DC" w:rsidRDefault="00D740DC" w:rsidP="00D740DC">
      <w:pPr>
        <w:numPr>
          <w:ilvl w:val="0"/>
          <w:numId w:val="8"/>
        </w:numPr>
        <w:spacing w:before="200" w:line="360" w:lineRule="auto"/>
        <w:ind w:left="1069"/>
        <w:contextualSpacing/>
        <w:jc w:val="both"/>
        <w:rPr>
          <w:rFonts w:eastAsia="Calibri" w:cs="Times New Roman"/>
          <w:b w:val="0"/>
          <w:szCs w:val="24"/>
        </w:rPr>
      </w:pPr>
      <w:r w:rsidRPr="00427757">
        <w:rPr>
          <w:rFonts w:asciiTheme="majorBidi" w:eastAsia="Times New Roman" w:hAnsiTheme="majorBidi" w:cstheme="majorBidi"/>
          <w:b w:val="0"/>
          <w:color w:val="000000"/>
          <w:szCs w:val="24"/>
          <w:lang w:eastAsia="en-MY"/>
        </w:rPr>
        <w:t>1240 – 1522 cm</w:t>
      </w:r>
      <w:r w:rsidRPr="00427757">
        <w:rPr>
          <w:rFonts w:asciiTheme="majorBidi" w:eastAsia="Times New Roman" w:hAnsiTheme="majorBidi" w:cstheme="majorBidi"/>
          <w:b w:val="0"/>
          <w:color w:val="000000"/>
          <w:szCs w:val="24"/>
          <w:vertAlign w:val="superscript"/>
          <w:lang w:eastAsia="en-MY"/>
        </w:rPr>
        <w:t>-1</w:t>
      </w:r>
      <w:r w:rsidRPr="00427757">
        <w:rPr>
          <w:rFonts w:asciiTheme="majorBidi" w:eastAsia="Times New Roman" w:hAnsiTheme="majorBidi" w:cstheme="majorBidi"/>
          <w:b w:val="0"/>
          <w:color w:val="000000"/>
          <w:szCs w:val="24"/>
          <w:lang w:eastAsia="en-MY"/>
        </w:rPr>
        <w:t xml:space="preserve">, very broad shoulder assigned to B-O-B stretching </w:t>
      </w:r>
      <w:r w:rsidRPr="00427757">
        <w:rPr>
          <w:rFonts w:asciiTheme="majorBidi" w:eastAsia="Times New Roman" w:hAnsiTheme="majorBidi" w:cstheme="majorBidi"/>
          <w:b w:val="0"/>
          <w:color w:val="000000"/>
          <w:szCs w:val="24"/>
          <w:lang w:eastAsia="en-MY"/>
        </w:rPr>
        <w:fldChar w:fldCharType="begin" w:fldLock="1"/>
      </w:r>
      <w:r w:rsidRPr="00427757">
        <w:rPr>
          <w:rFonts w:asciiTheme="majorBidi" w:eastAsia="Times New Roman" w:hAnsiTheme="majorBidi" w:cstheme="majorBidi"/>
          <w:b w:val="0"/>
          <w:color w:val="000000"/>
          <w:szCs w:val="24"/>
          <w:lang w:eastAsia="en-MY"/>
        </w:rPr>
        <w:instrText>ADDIN CSL_CITATION { "citationItems" : [ { "id" : "ITEM-1", "itemData" : { "author" : [ { "dropping-particle" : "", "family" : "Wang", "given" : "Donsheng S.", "non-dropping-particle" : "", "parse-names" : false, "suffix" : "" }, { "dropping-particle" : "", "family" : "Pantano", "given" : "Carlo G", "non-dropping-particle" : "", "parse-names" : false, "suffix" : "" } ], "container-title" : "Journal of Non-Crystalline Solids", "id" : "ITEM-1", "issued" : { "date-parts" : [ [ "1992" ] ] }, "page" : "225-233", "title" : "Structural characterization of C a O - B 2 0 3 - A 1 2 0 3 - S i O 2 xerogels and glasses", "type" : "article-journal", "volume" : "142" }, "uris" : [ "http://www.mendeley.com/documents/?uuid=66d0cb81-85f0-4934-a121-1e580f9788f8" ] } ], "mendeley" : { "formattedCitation" : "(D. S. Wang &amp; Pantano, 1992)", "manualFormatting" : "(Wang &amp; Pantano, 1992)", "plainTextFormattedCitation" : "(D. S. Wang &amp; Pantano, 1992)", "previouslyFormattedCitation" : "(D. S. Wang &amp; Pantano, 1992)" }, "properties" : { "noteIndex" : 0 }, "schema" : "https://github.com/citation-style-language/schema/raw/master/csl-citation.json" }</w:instrText>
      </w:r>
      <w:r w:rsidRPr="00427757">
        <w:rPr>
          <w:rFonts w:asciiTheme="majorBidi" w:eastAsia="Times New Roman" w:hAnsiTheme="majorBidi" w:cstheme="majorBidi"/>
          <w:b w:val="0"/>
          <w:color w:val="000000"/>
          <w:szCs w:val="24"/>
          <w:lang w:eastAsia="en-MY"/>
        </w:rPr>
        <w:fldChar w:fldCharType="separate"/>
      </w:r>
      <w:r w:rsidRPr="00427757">
        <w:rPr>
          <w:rFonts w:asciiTheme="majorBidi" w:eastAsia="Times New Roman" w:hAnsiTheme="majorBidi" w:cstheme="majorBidi"/>
          <w:b w:val="0"/>
          <w:noProof/>
          <w:color w:val="000000"/>
          <w:szCs w:val="24"/>
          <w:lang w:eastAsia="en-MY"/>
        </w:rPr>
        <w:t>(Wang &amp; Pantano, 1992)</w:t>
      </w:r>
      <w:r w:rsidRPr="00427757">
        <w:rPr>
          <w:rFonts w:asciiTheme="majorBidi" w:eastAsia="Times New Roman" w:hAnsiTheme="majorBidi" w:cstheme="majorBidi"/>
          <w:b w:val="0"/>
          <w:color w:val="000000"/>
          <w:szCs w:val="24"/>
          <w:lang w:eastAsia="en-MY"/>
        </w:rPr>
        <w:fldChar w:fldCharType="end"/>
      </w:r>
    </w:p>
    <w:p w14:paraId="5BE4FEF4" w14:textId="7BBAE5A0" w:rsidR="00D740DC" w:rsidRPr="00AB5679" w:rsidRDefault="00D740DC" w:rsidP="00D740DC">
      <w:pPr>
        <w:numPr>
          <w:ilvl w:val="0"/>
          <w:numId w:val="8"/>
        </w:numPr>
        <w:spacing w:before="200" w:line="360" w:lineRule="auto"/>
        <w:ind w:left="1069"/>
        <w:contextualSpacing/>
        <w:jc w:val="both"/>
        <w:rPr>
          <w:rFonts w:eastAsia="Calibri" w:cs="Times New Roman"/>
          <w:b w:val="0"/>
          <w:szCs w:val="24"/>
        </w:rPr>
      </w:pPr>
      <w:r w:rsidRPr="00AB5679">
        <w:rPr>
          <w:rFonts w:eastAsia="Calibri" w:cs="Times New Roman"/>
          <w:b w:val="0"/>
          <w:noProof/>
          <w:szCs w:val="24"/>
          <w:lang w:eastAsia="en-GB"/>
        </w:rPr>
        <w:t xml:space="preserve">The highest peak of </w:t>
      </w:r>
      <w:r w:rsidRPr="00AB5679">
        <w:rPr>
          <w:rFonts w:eastAsia="Times New Roman" w:cs="Times New Roman"/>
          <w:b w:val="0"/>
          <w:color w:val="000000"/>
          <w:szCs w:val="24"/>
          <w:lang w:eastAsia="en-MY"/>
        </w:rPr>
        <w:t>N</w:t>
      </w:r>
      <w:r w:rsidRPr="00AB5679">
        <w:rPr>
          <w:rFonts w:eastAsia="Times New Roman" w:cs="Times New Roman"/>
          <w:b w:val="0"/>
          <w:color w:val="000000"/>
          <w:szCs w:val="24"/>
          <w:vertAlign w:val="subscript"/>
          <w:lang w:eastAsia="en-MY"/>
        </w:rPr>
        <w:t>7.6</w:t>
      </w:r>
      <w:r w:rsidRPr="00AB5679">
        <w:rPr>
          <w:rFonts w:eastAsia="Times New Roman" w:cs="Times New Roman"/>
          <w:b w:val="0"/>
          <w:color w:val="000000"/>
          <w:szCs w:val="24"/>
          <w:lang w:eastAsia="en-MY"/>
        </w:rPr>
        <w:t>M</w:t>
      </w:r>
      <w:r w:rsidRPr="00AB5679">
        <w:rPr>
          <w:rFonts w:eastAsia="Times New Roman" w:cs="Times New Roman"/>
          <w:b w:val="0"/>
          <w:color w:val="000000"/>
          <w:szCs w:val="24"/>
          <w:vertAlign w:val="subscript"/>
          <w:lang w:eastAsia="en-MY"/>
        </w:rPr>
        <w:t>1.1</w:t>
      </w:r>
      <w:r w:rsidRPr="00AB5679">
        <w:rPr>
          <w:rFonts w:eastAsia="Times New Roman" w:cs="Times New Roman"/>
          <w:b w:val="0"/>
          <w:color w:val="000000"/>
          <w:szCs w:val="24"/>
          <w:lang w:eastAsia="en-MY"/>
        </w:rPr>
        <w:t>C</w:t>
      </w:r>
      <w:r w:rsidRPr="00AB5679">
        <w:rPr>
          <w:rFonts w:eastAsia="Times New Roman" w:cs="Times New Roman"/>
          <w:b w:val="0"/>
          <w:color w:val="000000"/>
          <w:szCs w:val="24"/>
          <w:vertAlign w:val="subscript"/>
          <w:lang w:eastAsia="en-MY"/>
        </w:rPr>
        <w:t>3</w:t>
      </w:r>
      <w:r w:rsidRPr="00AB5679">
        <w:rPr>
          <w:rFonts w:eastAsia="Times New Roman" w:cs="Times New Roman"/>
          <w:b w:val="0"/>
          <w:color w:val="000000"/>
          <w:szCs w:val="24"/>
          <w:lang w:eastAsia="en-MY"/>
        </w:rPr>
        <w:t>A</w:t>
      </w:r>
      <w:r w:rsidRPr="00AB5679">
        <w:rPr>
          <w:rFonts w:eastAsia="Times New Roman" w:cs="Times New Roman"/>
          <w:b w:val="0"/>
          <w:color w:val="000000"/>
          <w:szCs w:val="24"/>
          <w:vertAlign w:val="subscript"/>
          <w:lang w:eastAsia="en-MY"/>
        </w:rPr>
        <w:t>7.5</w:t>
      </w:r>
      <w:r w:rsidRPr="00AB5679">
        <w:rPr>
          <w:rFonts w:eastAsia="Times New Roman" w:cs="Times New Roman"/>
          <w:b w:val="0"/>
          <w:color w:val="000000"/>
          <w:szCs w:val="24"/>
          <w:lang w:eastAsia="en-MY"/>
        </w:rPr>
        <w:t>B</w:t>
      </w:r>
      <w:r w:rsidRPr="00AB5679">
        <w:rPr>
          <w:rFonts w:eastAsia="Times New Roman" w:cs="Times New Roman"/>
          <w:b w:val="0"/>
          <w:color w:val="000000"/>
          <w:szCs w:val="24"/>
          <w:vertAlign w:val="subscript"/>
          <w:lang w:eastAsia="en-MY"/>
        </w:rPr>
        <w:t>7.6</w:t>
      </w:r>
      <w:r w:rsidRPr="00AB5679">
        <w:rPr>
          <w:rFonts w:eastAsia="Times New Roman" w:cs="Times New Roman"/>
          <w:b w:val="0"/>
          <w:color w:val="000000"/>
          <w:szCs w:val="24"/>
          <w:lang w:eastAsia="en-MY"/>
        </w:rPr>
        <w:t>S</w:t>
      </w:r>
      <w:r w:rsidRPr="00AB5679">
        <w:rPr>
          <w:rFonts w:eastAsia="Times New Roman" w:cs="Times New Roman"/>
          <w:b w:val="0"/>
          <w:color w:val="000000"/>
          <w:szCs w:val="24"/>
          <w:vertAlign w:val="subscript"/>
          <w:lang w:eastAsia="en-MY"/>
        </w:rPr>
        <w:t>73.2</w:t>
      </w:r>
      <w:r w:rsidRPr="00AB5679">
        <w:rPr>
          <w:rFonts w:eastAsia="Times New Roman" w:cs="Times New Roman"/>
          <w:color w:val="000000"/>
          <w:sz w:val="16"/>
          <w:szCs w:val="16"/>
          <w:vertAlign w:val="subscript"/>
          <w:lang w:eastAsia="en-MY"/>
        </w:rPr>
        <w:t xml:space="preserve"> </w:t>
      </w:r>
      <w:r w:rsidRPr="00AB5679">
        <w:rPr>
          <w:rFonts w:eastAsia="Times New Roman" w:cs="Times New Roman"/>
          <w:color w:val="000000"/>
          <w:szCs w:val="24"/>
          <w:lang w:eastAsia="en-MY"/>
        </w:rPr>
        <w:t xml:space="preserve"> </w:t>
      </w:r>
      <w:r w:rsidRPr="00AB5679">
        <w:rPr>
          <w:rFonts w:eastAsia="Times New Roman" w:cs="Times New Roman"/>
          <w:b w:val="0"/>
          <w:color w:val="000000"/>
          <w:szCs w:val="24"/>
          <w:lang w:eastAsia="en-MY"/>
        </w:rPr>
        <w:t>glass</w:t>
      </w:r>
      <w:r w:rsidRPr="00AB5679">
        <w:rPr>
          <w:rFonts w:eastAsia="Times New Roman" w:cs="Times New Roman"/>
          <w:color w:val="000000"/>
          <w:sz w:val="16"/>
          <w:szCs w:val="16"/>
          <w:vertAlign w:val="subscript"/>
          <w:lang w:eastAsia="en-MY"/>
        </w:rPr>
        <w:t xml:space="preserve"> </w:t>
      </w:r>
      <w:r w:rsidRPr="00AB5679">
        <w:rPr>
          <w:rFonts w:eastAsia="Calibri" w:cs="Times New Roman"/>
          <w:b w:val="0"/>
          <w:noProof/>
          <w:szCs w:val="24"/>
          <w:lang w:eastAsia="en-GB"/>
        </w:rPr>
        <w:t xml:space="preserve">moves to lower wavenumber with high alumina compared to other glass in series </w:t>
      </w:r>
      <w:r w:rsidRPr="00AB5679">
        <w:rPr>
          <w:rFonts w:eastAsia="Times New Roman" w:cs="Times New Roman"/>
          <w:b w:val="0"/>
          <w:color w:val="000000"/>
          <w:szCs w:val="24"/>
          <w:lang w:eastAsia="en-MY"/>
        </w:rPr>
        <w:t>N</w:t>
      </w:r>
      <w:r w:rsidRPr="00AB5679">
        <w:rPr>
          <w:rFonts w:eastAsia="Times New Roman" w:cs="Times New Roman"/>
          <w:b w:val="0"/>
          <w:color w:val="000000"/>
          <w:szCs w:val="24"/>
          <w:vertAlign w:val="subscript"/>
          <w:lang w:eastAsia="en-MY"/>
        </w:rPr>
        <w:t>7.6</w:t>
      </w:r>
      <w:r w:rsidRPr="00AB5679">
        <w:rPr>
          <w:rFonts w:eastAsia="Times New Roman" w:cs="Times New Roman"/>
          <w:b w:val="0"/>
          <w:color w:val="000000"/>
          <w:szCs w:val="24"/>
          <w:lang w:eastAsia="en-MY"/>
        </w:rPr>
        <w:t>M</w:t>
      </w:r>
      <w:r w:rsidRPr="00AB5679">
        <w:rPr>
          <w:rFonts w:eastAsia="Times New Roman" w:cs="Times New Roman"/>
          <w:b w:val="0"/>
          <w:color w:val="000000"/>
          <w:szCs w:val="24"/>
          <w:vertAlign w:val="subscript"/>
          <w:lang w:eastAsia="en-MY"/>
        </w:rPr>
        <w:t>1.1</w:t>
      </w:r>
      <w:r w:rsidRPr="00AB5679">
        <w:rPr>
          <w:rFonts w:eastAsia="Times New Roman" w:cs="Times New Roman"/>
          <w:b w:val="0"/>
          <w:color w:val="000000"/>
          <w:szCs w:val="24"/>
          <w:lang w:eastAsia="en-MY"/>
        </w:rPr>
        <w:t>C</w:t>
      </w:r>
      <w:r w:rsidRPr="00AB5679">
        <w:rPr>
          <w:rFonts w:eastAsia="Times New Roman" w:cs="Times New Roman"/>
          <w:b w:val="0"/>
          <w:color w:val="000000"/>
          <w:szCs w:val="24"/>
          <w:vertAlign w:val="subscript"/>
          <w:lang w:eastAsia="en-MY"/>
        </w:rPr>
        <w:t>3</w:t>
      </w:r>
      <w:r w:rsidRPr="00AB5679">
        <w:rPr>
          <w:rFonts w:eastAsia="Times New Roman" w:cs="Times New Roman"/>
          <w:b w:val="0"/>
          <w:color w:val="000000"/>
          <w:szCs w:val="24"/>
          <w:lang w:eastAsia="en-MY"/>
        </w:rPr>
        <w:t>A</w:t>
      </w:r>
      <w:r w:rsidRPr="00AB5679">
        <w:rPr>
          <w:rFonts w:eastAsia="Times New Roman" w:cs="Times New Roman"/>
          <w:b w:val="0"/>
          <w:color w:val="000000"/>
          <w:szCs w:val="24"/>
          <w:vertAlign w:val="subscript"/>
          <w:lang w:eastAsia="en-MY"/>
        </w:rPr>
        <w:t>x</w:t>
      </w:r>
      <w:r w:rsidRPr="00AB5679">
        <w:rPr>
          <w:rFonts w:eastAsia="Times New Roman" w:cs="Times New Roman"/>
          <w:b w:val="0"/>
          <w:color w:val="000000"/>
          <w:szCs w:val="24"/>
          <w:lang w:eastAsia="en-MY"/>
        </w:rPr>
        <w:t>B</w:t>
      </w:r>
      <w:r w:rsidRPr="00AB5679">
        <w:rPr>
          <w:rFonts w:eastAsia="Times New Roman" w:cs="Times New Roman"/>
          <w:b w:val="0"/>
          <w:color w:val="000000"/>
          <w:szCs w:val="24"/>
          <w:vertAlign w:val="subscript"/>
          <w:lang w:eastAsia="en-MY"/>
        </w:rPr>
        <w:t>7.6</w:t>
      </w:r>
      <w:r w:rsidRPr="00AB5679">
        <w:rPr>
          <w:rFonts w:eastAsia="Times New Roman" w:cs="Times New Roman"/>
          <w:b w:val="0"/>
          <w:color w:val="000000"/>
          <w:szCs w:val="24"/>
          <w:lang w:eastAsia="en-MY"/>
        </w:rPr>
        <w:t>S</w:t>
      </w:r>
      <w:r w:rsidRPr="00AB5679">
        <w:rPr>
          <w:rFonts w:eastAsia="Times New Roman" w:cs="Times New Roman"/>
          <w:b w:val="0"/>
          <w:color w:val="000000"/>
          <w:szCs w:val="24"/>
          <w:vertAlign w:val="subscript"/>
          <w:lang w:eastAsia="en-MY"/>
        </w:rPr>
        <w:t>80.7</w:t>
      </w:r>
      <w:r w:rsidRPr="00AB5679">
        <w:rPr>
          <w:rFonts w:eastAsia="Times New Roman" w:cs="Times New Roman"/>
          <w:color w:val="000000"/>
          <w:sz w:val="16"/>
          <w:szCs w:val="16"/>
          <w:vertAlign w:val="subscript"/>
          <w:lang w:eastAsia="en-MY"/>
        </w:rPr>
        <w:t xml:space="preserve"> </w:t>
      </w:r>
      <w:r w:rsidRPr="00AB5679">
        <w:rPr>
          <w:rFonts w:eastAsia="Calibri" w:cs="Times New Roman"/>
          <w:b w:val="0"/>
          <w:noProof/>
          <w:szCs w:val="24"/>
          <w:lang w:eastAsia="en-GB"/>
        </w:rPr>
        <w:t xml:space="preserve"> indicating that depolymerisation is occur</w:t>
      </w:r>
      <w:r w:rsidR="000707B0">
        <w:rPr>
          <w:rFonts w:eastAsia="Calibri" w:cs="Times New Roman"/>
          <w:b w:val="0"/>
          <w:noProof/>
          <w:szCs w:val="24"/>
          <w:lang w:eastAsia="en-GB"/>
        </w:rPr>
        <w:t>r</w:t>
      </w:r>
      <w:r w:rsidRPr="00AB5679">
        <w:rPr>
          <w:rFonts w:eastAsia="Calibri" w:cs="Times New Roman"/>
          <w:b w:val="0"/>
          <w:noProof/>
          <w:szCs w:val="24"/>
          <w:lang w:eastAsia="en-GB"/>
        </w:rPr>
        <w:t>ing in agreement with the Raman polymerisation index data (see Figure 4.14). The higher alumina in glass composition will produce Al in tetrahedral when there is enough network modifier to compensate Al, while others have low Al (with all Al will produce Al</w:t>
      </w:r>
      <w:r w:rsidRPr="00AB5679">
        <w:rPr>
          <w:rFonts w:eastAsia="Calibri" w:cs="Times New Roman"/>
          <w:b w:val="0"/>
          <w:noProof/>
          <w:szCs w:val="24"/>
          <w:vertAlign w:val="superscript"/>
          <w:lang w:eastAsia="en-GB"/>
        </w:rPr>
        <w:t>IV</w:t>
      </w:r>
      <w:r w:rsidRPr="00AB5679">
        <w:rPr>
          <w:rFonts w:eastAsia="Calibri" w:cs="Times New Roman"/>
          <w:b w:val="0"/>
          <w:noProof/>
          <w:szCs w:val="24"/>
          <w:lang w:eastAsia="en-GB"/>
        </w:rPr>
        <w:t>) and there</w:t>
      </w:r>
      <w:r w:rsidR="000707B0">
        <w:rPr>
          <w:rFonts w:eastAsia="Calibri" w:cs="Times New Roman"/>
          <w:b w:val="0"/>
          <w:noProof/>
          <w:szCs w:val="24"/>
          <w:lang w:eastAsia="en-GB"/>
        </w:rPr>
        <w:t>’</w:t>
      </w:r>
      <w:r w:rsidRPr="00AB5679">
        <w:rPr>
          <w:rFonts w:eastAsia="Calibri" w:cs="Times New Roman"/>
          <w:b w:val="0"/>
          <w:noProof/>
          <w:szCs w:val="24"/>
          <w:lang w:eastAsia="en-GB"/>
        </w:rPr>
        <w:t>s enough network modifier that might produce B</w:t>
      </w:r>
      <w:r w:rsidRPr="00AB5679">
        <w:rPr>
          <w:rFonts w:eastAsia="Calibri" w:cs="Times New Roman"/>
          <w:b w:val="0"/>
          <w:noProof/>
          <w:szCs w:val="24"/>
          <w:vertAlign w:val="superscript"/>
          <w:lang w:eastAsia="en-GB"/>
        </w:rPr>
        <w:t>IV</w:t>
      </w:r>
      <w:r w:rsidRPr="00AB5679">
        <w:rPr>
          <w:rFonts w:eastAsia="Calibri" w:cs="Times New Roman"/>
          <w:b w:val="0"/>
          <w:noProof/>
          <w:szCs w:val="24"/>
          <w:lang w:eastAsia="en-GB"/>
        </w:rPr>
        <w:t xml:space="preserve"> which increased the polymerisation.</w:t>
      </w:r>
    </w:p>
    <w:p w14:paraId="7B15C6E1" w14:textId="77777777" w:rsidR="00D740DC" w:rsidRPr="000E2377" w:rsidRDefault="00D740DC" w:rsidP="00D740DC">
      <w:pPr>
        <w:spacing w:after="0" w:line="360" w:lineRule="auto"/>
        <w:jc w:val="both"/>
        <w:rPr>
          <w:rFonts w:eastAsia="Times New Roman" w:cs="Times New Roman"/>
          <w:color w:val="000000"/>
          <w:szCs w:val="24"/>
          <w:lang w:eastAsia="en-MY"/>
        </w:rPr>
      </w:pPr>
      <w:r w:rsidRPr="000E2377">
        <w:rPr>
          <w:rFonts w:cs="Times New Roman"/>
          <w:szCs w:val="24"/>
        </w:rPr>
        <w:lastRenderedPageBreak/>
        <w:t>4.</w:t>
      </w:r>
      <w:r>
        <w:rPr>
          <w:rFonts w:cs="Times New Roman"/>
          <w:szCs w:val="24"/>
        </w:rPr>
        <w:t>4</w:t>
      </w:r>
      <w:r w:rsidRPr="000E2377">
        <w:rPr>
          <w:rFonts w:cs="Times New Roman"/>
          <w:szCs w:val="24"/>
        </w:rPr>
        <w:t>.</w:t>
      </w:r>
      <w:r>
        <w:rPr>
          <w:rFonts w:cs="Times New Roman"/>
          <w:szCs w:val="24"/>
        </w:rPr>
        <w:t>3</w:t>
      </w:r>
      <w:r w:rsidRPr="000E2377">
        <w:rPr>
          <w:rFonts w:cs="Times New Roman"/>
          <w:szCs w:val="24"/>
        </w:rPr>
        <w:t xml:space="preserve"> Series </w:t>
      </w: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15</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15-x</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60</w:t>
      </w:r>
      <w:r w:rsidRPr="000E2377">
        <w:rPr>
          <w:rFonts w:cs="Times New Roman"/>
          <w:szCs w:val="24"/>
        </w:rPr>
        <w:t xml:space="preserve">, </w:t>
      </w: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15</w:t>
      </w:r>
      <w:r w:rsidRPr="000E2377">
        <w:rPr>
          <w:rFonts w:eastAsia="Times New Roman" w:cs="Times New Roman"/>
          <w:color w:val="000000"/>
          <w:szCs w:val="24"/>
          <w:lang w:eastAsia="en-MY"/>
        </w:rPr>
        <w:t>Ba</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15-x</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60</w:t>
      </w:r>
      <w:r w:rsidRPr="000E2377">
        <w:rPr>
          <w:rFonts w:cs="Times New Roman"/>
          <w:szCs w:val="24"/>
        </w:rPr>
        <w:t xml:space="preserve">, </w:t>
      </w: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20-x</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60</w:t>
      </w:r>
      <w:r w:rsidRPr="000E2377">
        <w:rPr>
          <w:rFonts w:cs="Times New Roman"/>
          <w:szCs w:val="24"/>
        </w:rPr>
        <w:t xml:space="preserve"> and </w:t>
      </w: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Ba</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20-x</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 xml:space="preserve">60 </w:t>
      </w:r>
      <w:r w:rsidRPr="000E2377">
        <w:rPr>
          <w:rFonts w:eastAsia="Times New Roman" w:cs="Times New Roman"/>
          <w:color w:val="000000"/>
          <w:szCs w:val="24"/>
          <w:lang w:eastAsia="en-MY"/>
        </w:rPr>
        <w:t>glasses.</w:t>
      </w:r>
    </w:p>
    <w:p w14:paraId="0D7BA9B1" w14:textId="77777777" w:rsidR="00D740DC" w:rsidRPr="000E2377" w:rsidRDefault="00D740DC" w:rsidP="00D740DC">
      <w:pPr>
        <w:spacing w:line="360" w:lineRule="auto"/>
        <w:jc w:val="center"/>
        <w:rPr>
          <w:rFonts w:eastAsia="Times New Roman" w:cs="Times New Roman"/>
          <w:color w:val="000000"/>
          <w:szCs w:val="24"/>
          <w:lang w:eastAsia="en-MY"/>
        </w:rPr>
      </w:pPr>
      <w:r w:rsidRPr="000E2377">
        <w:rPr>
          <w:noProof/>
          <w:lang w:eastAsia="en-MY"/>
        </w:rPr>
        <mc:AlternateContent>
          <mc:Choice Requires="wps">
            <w:drawing>
              <wp:anchor distT="0" distB="0" distL="114300" distR="114300" simplePos="0" relativeHeight="252428288" behindDoc="0" locked="0" layoutInCell="1" allowOverlap="1" wp14:anchorId="15ADF4F0" wp14:editId="4D9A4872">
                <wp:simplePos x="0" y="0"/>
                <wp:positionH relativeFrom="margin">
                  <wp:posOffset>3773529</wp:posOffset>
                </wp:positionH>
                <wp:positionV relativeFrom="paragraph">
                  <wp:posOffset>2577418</wp:posOffset>
                </wp:positionV>
                <wp:extent cx="1341782" cy="258418"/>
                <wp:effectExtent l="0" t="0" r="0" b="8890"/>
                <wp:wrapNone/>
                <wp:docPr id="1382" name="Text Box 1382"/>
                <wp:cNvGraphicFramePr/>
                <a:graphic xmlns:a="http://schemas.openxmlformats.org/drawingml/2006/main">
                  <a:graphicData uri="http://schemas.microsoft.com/office/word/2010/wordprocessingShape">
                    <wps:wsp>
                      <wps:cNvSpPr txBox="1"/>
                      <wps:spPr>
                        <a:xfrm>
                          <a:off x="0" y="0"/>
                          <a:ext cx="1341782" cy="258418"/>
                        </a:xfrm>
                        <a:prstGeom prst="rect">
                          <a:avLst/>
                        </a:prstGeom>
                        <a:solidFill>
                          <a:sysClr val="window" lastClr="FFFFFF"/>
                        </a:solidFill>
                        <a:ln w="6350">
                          <a:noFill/>
                        </a:ln>
                      </wps:spPr>
                      <wps:txbx>
                        <w:txbxContent>
                          <w:p w14:paraId="07E5C3D3"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Ba</w:t>
                            </w:r>
                            <w:r w:rsidRPr="001333B2">
                              <w:rPr>
                                <w:rFonts w:eastAsia="Times New Roman" w:cs="Times New Roman"/>
                                <w:color w:val="000000"/>
                                <w:sz w:val="20"/>
                                <w:szCs w:val="20"/>
                                <w:vertAlign w:val="subscript"/>
                                <w:lang w:eastAsia="en-MY"/>
                              </w:rPr>
                              <w:t>12.5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2.5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ADF4F0" id="Text Box 1382" o:spid="_x0000_s1291" type="#_x0000_t202" style="position:absolute;left:0;text-align:left;margin-left:297.15pt;margin-top:202.95pt;width:105.65pt;height:20.35pt;z-index:252428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" fillcolor="window" stroked="f" strokeweight=".5pt">
                <v:textbox>
                  <w:txbxContent>
                    <w:p w14:paraId="07E5C3D3"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Ba</w:t>
                      </w:r>
                      <w:r w:rsidRPr="001333B2">
                        <w:rPr>
                          <w:rFonts w:eastAsia="Times New Roman" w:cs="Times New Roman"/>
                          <w:color w:val="000000"/>
                          <w:sz w:val="20"/>
                          <w:szCs w:val="20"/>
                          <w:vertAlign w:val="subscript"/>
                          <w:lang w:eastAsia="en-MY"/>
                        </w:rPr>
                        <w:t>12.5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2.5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427264" behindDoc="0" locked="0" layoutInCell="1" allowOverlap="1" wp14:anchorId="32DA0C2A" wp14:editId="72117D6C">
                <wp:simplePos x="0" y="0"/>
                <wp:positionH relativeFrom="column">
                  <wp:posOffset>3972421</wp:posOffset>
                </wp:positionH>
                <wp:positionV relativeFrom="paragraph">
                  <wp:posOffset>2381912</wp:posOffset>
                </wp:positionV>
                <wp:extent cx="1341782" cy="258418"/>
                <wp:effectExtent l="0" t="0" r="0" b="8890"/>
                <wp:wrapNone/>
                <wp:docPr id="1379" name="Text Box 1379"/>
                <wp:cNvGraphicFramePr/>
                <a:graphic xmlns:a="http://schemas.openxmlformats.org/drawingml/2006/main">
                  <a:graphicData uri="http://schemas.microsoft.com/office/word/2010/wordprocessingShape">
                    <wps:wsp>
                      <wps:cNvSpPr txBox="1"/>
                      <wps:spPr>
                        <a:xfrm>
                          <a:off x="0" y="0"/>
                          <a:ext cx="1341782" cy="258418"/>
                        </a:xfrm>
                        <a:prstGeom prst="rect">
                          <a:avLst/>
                        </a:prstGeom>
                        <a:solidFill>
                          <a:sysClr val="window" lastClr="FFFFFF"/>
                        </a:solidFill>
                        <a:ln w="6350">
                          <a:noFill/>
                        </a:ln>
                      </wps:spPr>
                      <wps:txbx>
                        <w:txbxContent>
                          <w:p w14:paraId="616F54BE" w14:textId="77777777" w:rsidR="00230AB9" w:rsidRDefault="00230AB9" w:rsidP="00D740DC">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Ba</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r w:rsidRPr="001333B2">
                              <w:rPr>
                                <w:rFonts w:eastAsia="Times New Roman" w:cs="Times New Roman"/>
                                <w:color w:val="000000"/>
                                <w:sz w:val="20"/>
                                <w:szCs w:val="20"/>
                                <w:lang w:eastAsia="en-MY"/>
                              </w:rPr>
                              <w:t xml:space="preserve"> </w:t>
                            </w:r>
                            <w:proofErr w:type="spellStart"/>
                            <w:r w:rsidRPr="001F0CB4">
                              <w:rPr>
                                <w:rFonts w:eastAsia="Times New Roman" w:cs="Times New Roman"/>
                                <w:color w:val="000000"/>
                                <w:sz w:val="16"/>
                                <w:szCs w:val="16"/>
                                <w:lang w:eastAsia="en-MY"/>
                              </w:rPr>
                              <w:t>N</w:t>
                            </w:r>
                            <w:r w:rsidRPr="001F0CB4">
                              <w:rPr>
                                <w:rFonts w:eastAsia="Times New Roman" w:cs="Times New Roman"/>
                                <w:color w:val="000000"/>
                                <w:sz w:val="16"/>
                                <w:szCs w:val="16"/>
                                <w:vertAlign w:val="subscript"/>
                                <w:lang w:eastAsia="en-MY"/>
                              </w:rPr>
                              <w:t>15</w:t>
                            </w:r>
                            <w:r w:rsidRPr="001F0CB4">
                              <w:rPr>
                                <w:rFonts w:eastAsia="Times New Roman" w:cs="Times New Roman"/>
                                <w:color w:val="000000"/>
                                <w:sz w:val="16"/>
                                <w:szCs w:val="16"/>
                                <w:lang w:eastAsia="en-MY"/>
                              </w:rPr>
                              <w:t>Ba</w:t>
                            </w:r>
                            <w:r w:rsidRPr="001F0CB4">
                              <w:rPr>
                                <w:rFonts w:eastAsia="Times New Roman" w:cs="Times New Roman"/>
                                <w:color w:val="000000"/>
                                <w:sz w:val="16"/>
                                <w:szCs w:val="16"/>
                                <w:vertAlign w:val="subscript"/>
                                <w:lang w:eastAsia="en-MY"/>
                              </w:rPr>
                              <w:t>10</w:t>
                            </w:r>
                            <w:r w:rsidRPr="001F0CB4">
                              <w:rPr>
                                <w:rFonts w:eastAsia="Times New Roman" w:cs="Times New Roman"/>
                                <w:color w:val="000000"/>
                                <w:sz w:val="16"/>
                                <w:szCs w:val="16"/>
                                <w:lang w:eastAsia="en-MY"/>
                              </w:rPr>
                              <w:t>A</w:t>
                            </w:r>
                            <w:r w:rsidRPr="001F0CB4">
                              <w:rPr>
                                <w:rFonts w:eastAsia="Times New Roman" w:cs="Times New Roman"/>
                                <w:color w:val="000000"/>
                                <w:sz w:val="16"/>
                                <w:szCs w:val="16"/>
                                <w:vertAlign w:val="subscript"/>
                                <w:lang w:eastAsia="en-MY"/>
                              </w:rPr>
                              <w:t>5</w:t>
                            </w:r>
                            <w:r w:rsidRPr="001F0CB4">
                              <w:rPr>
                                <w:rFonts w:eastAsia="Times New Roman" w:cs="Times New Roman"/>
                                <w:color w:val="000000"/>
                                <w:sz w:val="16"/>
                                <w:szCs w:val="16"/>
                                <w:lang w:eastAsia="en-MY"/>
                              </w:rPr>
                              <w:t>B</w:t>
                            </w:r>
                            <w:r w:rsidRPr="001F0CB4">
                              <w:rPr>
                                <w:rFonts w:eastAsia="Times New Roman" w:cs="Times New Roman"/>
                                <w:color w:val="000000"/>
                                <w:sz w:val="16"/>
                                <w:szCs w:val="16"/>
                                <w:vertAlign w:val="subscript"/>
                                <w:lang w:eastAsia="en-MY"/>
                              </w:rPr>
                              <w:t>10</w:t>
                            </w:r>
                            <w:r w:rsidRPr="001F0CB4">
                              <w:rPr>
                                <w:rFonts w:eastAsia="Times New Roman" w:cs="Times New Roman"/>
                                <w:color w:val="000000"/>
                                <w:sz w:val="16"/>
                                <w:szCs w:val="16"/>
                                <w:lang w:eastAsia="en-MY"/>
                              </w:rPr>
                              <w:t>S</w:t>
                            </w:r>
                            <w:r w:rsidRPr="001F0CB4">
                              <w:rPr>
                                <w:rFonts w:eastAsia="Times New Roman" w:cs="Times New Roman"/>
                                <w:color w:val="000000"/>
                                <w:sz w:val="16"/>
                                <w:szCs w:val="16"/>
                                <w:vertAlign w:val="subscript"/>
                                <w:lang w:eastAsia="en-MY"/>
                              </w:rPr>
                              <w:t>60</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DA0C2A" id="Text Box 1379" o:spid="_x0000_s1292" type="#_x0000_t202" style="position:absolute;left:0;text-align:left;margin-left:312.8pt;margin-top:187.55pt;width:105.65pt;height:20.35pt;z-index:25242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" fillcolor="window" stroked="f" strokeweight=".5pt">
                <v:textbox>
                  <w:txbxContent>
                    <w:p w14:paraId="616F54BE" w14:textId="77777777" w:rsidR="00230AB9" w:rsidRDefault="00230AB9" w:rsidP="00D740DC">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Ba</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r w:rsidRPr="001333B2">
                        <w:rPr>
                          <w:rFonts w:eastAsia="Times New Roman" w:cs="Times New Roman"/>
                          <w:color w:val="000000"/>
                          <w:sz w:val="20"/>
                          <w:szCs w:val="20"/>
                          <w:lang w:eastAsia="en-MY"/>
                        </w:rPr>
                        <w:t xml:space="preserve"> </w:t>
                      </w:r>
                      <w:proofErr w:type="spellStart"/>
                      <w:r w:rsidRPr="001F0CB4">
                        <w:rPr>
                          <w:rFonts w:eastAsia="Times New Roman" w:cs="Times New Roman"/>
                          <w:color w:val="000000"/>
                          <w:sz w:val="16"/>
                          <w:szCs w:val="16"/>
                          <w:lang w:eastAsia="en-MY"/>
                        </w:rPr>
                        <w:t>N</w:t>
                      </w:r>
                      <w:r w:rsidRPr="001F0CB4">
                        <w:rPr>
                          <w:rFonts w:eastAsia="Times New Roman" w:cs="Times New Roman"/>
                          <w:color w:val="000000"/>
                          <w:sz w:val="16"/>
                          <w:szCs w:val="16"/>
                          <w:vertAlign w:val="subscript"/>
                          <w:lang w:eastAsia="en-MY"/>
                        </w:rPr>
                        <w:t>15</w:t>
                      </w:r>
                      <w:r w:rsidRPr="001F0CB4">
                        <w:rPr>
                          <w:rFonts w:eastAsia="Times New Roman" w:cs="Times New Roman"/>
                          <w:color w:val="000000"/>
                          <w:sz w:val="16"/>
                          <w:szCs w:val="16"/>
                          <w:lang w:eastAsia="en-MY"/>
                        </w:rPr>
                        <w:t>Ba</w:t>
                      </w:r>
                      <w:r w:rsidRPr="001F0CB4">
                        <w:rPr>
                          <w:rFonts w:eastAsia="Times New Roman" w:cs="Times New Roman"/>
                          <w:color w:val="000000"/>
                          <w:sz w:val="16"/>
                          <w:szCs w:val="16"/>
                          <w:vertAlign w:val="subscript"/>
                          <w:lang w:eastAsia="en-MY"/>
                        </w:rPr>
                        <w:t>10</w:t>
                      </w:r>
                      <w:r w:rsidRPr="001F0CB4">
                        <w:rPr>
                          <w:rFonts w:eastAsia="Times New Roman" w:cs="Times New Roman"/>
                          <w:color w:val="000000"/>
                          <w:sz w:val="16"/>
                          <w:szCs w:val="16"/>
                          <w:lang w:eastAsia="en-MY"/>
                        </w:rPr>
                        <w:t>A</w:t>
                      </w:r>
                      <w:r w:rsidRPr="001F0CB4">
                        <w:rPr>
                          <w:rFonts w:eastAsia="Times New Roman" w:cs="Times New Roman"/>
                          <w:color w:val="000000"/>
                          <w:sz w:val="16"/>
                          <w:szCs w:val="16"/>
                          <w:vertAlign w:val="subscript"/>
                          <w:lang w:eastAsia="en-MY"/>
                        </w:rPr>
                        <w:t>5</w:t>
                      </w:r>
                      <w:r w:rsidRPr="001F0CB4">
                        <w:rPr>
                          <w:rFonts w:eastAsia="Times New Roman" w:cs="Times New Roman"/>
                          <w:color w:val="000000"/>
                          <w:sz w:val="16"/>
                          <w:szCs w:val="16"/>
                          <w:lang w:eastAsia="en-MY"/>
                        </w:rPr>
                        <w:t>B</w:t>
                      </w:r>
                      <w:r w:rsidRPr="001F0CB4">
                        <w:rPr>
                          <w:rFonts w:eastAsia="Times New Roman" w:cs="Times New Roman"/>
                          <w:color w:val="000000"/>
                          <w:sz w:val="16"/>
                          <w:szCs w:val="16"/>
                          <w:vertAlign w:val="subscript"/>
                          <w:lang w:eastAsia="en-MY"/>
                        </w:rPr>
                        <w:t>10</w:t>
                      </w:r>
                      <w:r w:rsidRPr="001F0CB4">
                        <w:rPr>
                          <w:rFonts w:eastAsia="Times New Roman" w:cs="Times New Roman"/>
                          <w:color w:val="000000"/>
                          <w:sz w:val="16"/>
                          <w:szCs w:val="16"/>
                          <w:lang w:eastAsia="en-MY"/>
                        </w:rPr>
                        <w:t>S</w:t>
                      </w:r>
                      <w:r w:rsidRPr="001F0CB4">
                        <w:rPr>
                          <w:rFonts w:eastAsia="Times New Roman" w:cs="Times New Roman"/>
                          <w:color w:val="000000"/>
                          <w:sz w:val="16"/>
                          <w:szCs w:val="16"/>
                          <w:vertAlign w:val="subscript"/>
                          <w:lang w:eastAsia="en-MY"/>
                        </w:rPr>
                        <w:t>60</w:t>
                      </w:r>
                      <w:proofErr w:type="spellEnd"/>
                    </w:p>
                  </w:txbxContent>
                </v:textbox>
              </v:shape>
            </w:pict>
          </mc:Fallback>
        </mc:AlternateContent>
      </w:r>
      <w:r w:rsidRPr="000E2377">
        <w:rPr>
          <w:noProof/>
          <w:lang w:eastAsia="en-MY"/>
        </w:rPr>
        <mc:AlternateContent>
          <mc:Choice Requires="wps">
            <w:drawing>
              <wp:anchor distT="0" distB="0" distL="114300" distR="114300" simplePos="0" relativeHeight="252426240" behindDoc="0" locked="0" layoutInCell="1" allowOverlap="1" wp14:anchorId="24059418" wp14:editId="050F19F0">
                <wp:simplePos x="0" y="0"/>
                <wp:positionH relativeFrom="column">
                  <wp:posOffset>4104281</wp:posOffset>
                </wp:positionH>
                <wp:positionV relativeFrom="paragraph">
                  <wp:posOffset>2195830</wp:posOffset>
                </wp:positionV>
                <wp:extent cx="1341782" cy="258418"/>
                <wp:effectExtent l="0" t="0" r="0" b="8890"/>
                <wp:wrapNone/>
                <wp:docPr id="17" name="Text Box 17"/>
                <wp:cNvGraphicFramePr/>
                <a:graphic xmlns:a="http://schemas.openxmlformats.org/drawingml/2006/main">
                  <a:graphicData uri="http://schemas.microsoft.com/office/word/2010/wordprocessingShape">
                    <wps:wsp>
                      <wps:cNvSpPr txBox="1"/>
                      <wps:spPr>
                        <a:xfrm>
                          <a:off x="0" y="0"/>
                          <a:ext cx="1341782" cy="258418"/>
                        </a:xfrm>
                        <a:prstGeom prst="rect">
                          <a:avLst/>
                        </a:prstGeom>
                        <a:solidFill>
                          <a:sysClr val="window" lastClr="FFFFFF"/>
                        </a:solidFill>
                        <a:ln w="6350">
                          <a:noFill/>
                        </a:ln>
                      </wps:spPr>
                      <wps:txbx>
                        <w:txbxContent>
                          <w:p w14:paraId="7B591078"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Ba</w:t>
                            </w:r>
                            <w:r w:rsidRPr="001333B2">
                              <w:rPr>
                                <w:rFonts w:eastAsia="Times New Roman" w:cs="Times New Roman"/>
                                <w:color w:val="000000"/>
                                <w:sz w:val="20"/>
                                <w:szCs w:val="20"/>
                                <w:vertAlign w:val="subscript"/>
                                <w:lang w:eastAsia="en-MY"/>
                              </w:rPr>
                              <w:t>7.5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7.5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059418" id="Text Box 17" o:spid="_x0000_s1293" type="#_x0000_t202" style="position:absolute;left:0;text-align:left;margin-left:323.15pt;margin-top:172.9pt;width:105.65pt;height:20.35pt;z-index:25242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" fillcolor="window" stroked="f" strokeweight=".5pt">
                <v:textbox>
                  <w:txbxContent>
                    <w:p w14:paraId="7B591078"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Ba</w:t>
                      </w:r>
                      <w:r w:rsidRPr="001333B2">
                        <w:rPr>
                          <w:rFonts w:eastAsia="Times New Roman" w:cs="Times New Roman"/>
                          <w:color w:val="000000"/>
                          <w:sz w:val="20"/>
                          <w:szCs w:val="20"/>
                          <w:vertAlign w:val="subscript"/>
                          <w:lang w:eastAsia="en-MY"/>
                        </w:rPr>
                        <w:t>7.5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7.5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p>
                  </w:txbxContent>
                </v:textbox>
              </v:shape>
            </w:pict>
          </mc:Fallback>
        </mc:AlternateContent>
      </w:r>
      <w:r w:rsidRPr="000E2377">
        <w:rPr>
          <w:noProof/>
          <w:lang w:eastAsia="en-MY"/>
        </w:rPr>
        <mc:AlternateContent>
          <mc:Choice Requires="wps">
            <w:drawing>
              <wp:anchor distT="0" distB="0" distL="114300" distR="114300" simplePos="0" relativeHeight="252425216" behindDoc="0" locked="0" layoutInCell="1" allowOverlap="1" wp14:anchorId="2F62CF06" wp14:editId="7CACF3EA">
                <wp:simplePos x="0" y="0"/>
                <wp:positionH relativeFrom="column">
                  <wp:posOffset>4273826</wp:posOffset>
                </wp:positionH>
                <wp:positionV relativeFrom="paragraph">
                  <wp:posOffset>1976976</wp:posOffset>
                </wp:positionV>
                <wp:extent cx="1341782" cy="258418"/>
                <wp:effectExtent l="0" t="0" r="0" b="8890"/>
                <wp:wrapNone/>
                <wp:docPr id="16" name="Text Box 16"/>
                <wp:cNvGraphicFramePr/>
                <a:graphic xmlns:a="http://schemas.openxmlformats.org/drawingml/2006/main">
                  <a:graphicData uri="http://schemas.microsoft.com/office/word/2010/wordprocessingShape">
                    <wps:wsp>
                      <wps:cNvSpPr txBox="1"/>
                      <wps:spPr>
                        <a:xfrm>
                          <a:off x="0" y="0"/>
                          <a:ext cx="1341782" cy="258418"/>
                        </a:xfrm>
                        <a:prstGeom prst="rect">
                          <a:avLst/>
                        </a:prstGeom>
                        <a:solidFill>
                          <a:sysClr val="window" lastClr="FFFFFF"/>
                        </a:solidFill>
                        <a:ln w="6350">
                          <a:noFill/>
                        </a:ln>
                      </wps:spPr>
                      <wps:txbx>
                        <w:txbxContent>
                          <w:p w14:paraId="1586843A"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12.5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2.5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62CF06" id="Text Box 16" o:spid="_x0000_s1294" type="#_x0000_t202" style="position:absolute;left:0;text-align:left;margin-left:336.5pt;margin-top:155.65pt;width:105.65pt;height:20.35pt;z-index:25242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" fillcolor="window" stroked="f" strokeweight=".5pt">
                <v:textbox>
                  <w:txbxContent>
                    <w:p w14:paraId="1586843A"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12.5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2.5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p>
                  </w:txbxContent>
                </v:textbox>
              </v:shape>
            </w:pict>
          </mc:Fallback>
        </mc:AlternateContent>
      </w:r>
      <w:r w:rsidRPr="000E2377">
        <w:rPr>
          <w:noProof/>
          <w:lang w:eastAsia="en-MY"/>
        </w:rPr>
        <mc:AlternateContent>
          <mc:Choice Requires="wps">
            <w:drawing>
              <wp:anchor distT="0" distB="0" distL="114300" distR="114300" simplePos="0" relativeHeight="252424192" behindDoc="0" locked="0" layoutInCell="1" allowOverlap="1" wp14:anchorId="121656F1" wp14:editId="7E1203A2">
                <wp:simplePos x="0" y="0"/>
                <wp:positionH relativeFrom="column">
                  <wp:posOffset>4422471</wp:posOffset>
                </wp:positionH>
                <wp:positionV relativeFrom="paragraph">
                  <wp:posOffset>1767868</wp:posOffset>
                </wp:positionV>
                <wp:extent cx="1341782" cy="258418"/>
                <wp:effectExtent l="0" t="0" r="0" b="8890"/>
                <wp:wrapNone/>
                <wp:docPr id="15" name="Text Box 15"/>
                <wp:cNvGraphicFramePr/>
                <a:graphic xmlns:a="http://schemas.openxmlformats.org/drawingml/2006/main">
                  <a:graphicData uri="http://schemas.microsoft.com/office/word/2010/wordprocessingShape">
                    <wps:wsp>
                      <wps:cNvSpPr txBox="1"/>
                      <wps:spPr>
                        <a:xfrm>
                          <a:off x="0" y="0"/>
                          <a:ext cx="1341782" cy="258418"/>
                        </a:xfrm>
                        <a:prstGeom prst="rect">
                          <a:avLst/>
                        </a:prstGeom>
                        <a:solidFill>
                          <a:sysClr val="window" lastClr="FFFFFF"/>
                        </a:solidFill>
                        <a:ln w="6350">
                          <a:noFill/>
                        </a:ln>
                      </wps:spPr>
                      <wps:txbx>
                        <w:txbxContent>
                          <w:p w14:paraId="50272C29"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656F1" id="Text Box 15" o:spid="_x0000_s1295" type="#_x0000_t202" style="position:absolute;left:0;text-align:left;margin-left:348.25pt;margin-top:139.2pt;width:105.65pt;height:20.3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" fillcolor="window" stroked="f" strokeweight=".5pt">
                <v:textbox>
                  <w:txbxContent>
                    <w:p w14:paraId="50272C29"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p>
                  </w:txbxContent>
                </v:textbox>
              </v:shape>
            </w:pict>
          </mc:Fallback>
        </mc:AlternateContent>
      </w:r>
      <w:r w:rsidRPr="000E2377">
        <w:rPr>
          <w:noProof/>
          <w:lang w:eastAsia="en-MY"/>
        </w:rPr>
        <mc:AlternateContent>
          <mc:Choice Requires="wps">
            <w:drawing>
              <wp:anchor distT="0" distB="0" distL="114300" distR="114300" simplePos="0" relativeHeight="252423168" behindDoc="0" locked="0" layoutInCell="1" allowOverlap="1" wp14:anchorId="142264E0" wp14:editId="0684A525">
                <wp:simplePos x="0" y="0"/>
                <wp:positionH relativeFrom="column">
                  <wp:posOffset>4572000</wp:posOffset>
                </wp:positionH>
                <wp:positionV relativeFrom="paragraph">
                  <wp:posOffset>1573309</wp:posOffset>
                </wp:positionV>
                <wp:extent cx="1341782" cy="258418"/>
                <wp:effectExtent l="0" t="0" r="0" b="8890"/>
                <wp:wrapNone/>
                <wp:docPr id="14" name="Text Box 14"/>
                <wp:cNvGraphicFramePr/>
                <a:graphic xmlns:a="http://schemas.openxmlformats.org/drawingml/2006/main">
                  <a:graphicData uri="http://schemas.microsoft.com/office/word/2010/wordprocessingShape">
                    <wps:wsp>
                      <wps:cNvSpPr txBox="1"/>
                      <wps:spPr>
                        <a:xfrm>
                          <a:off x="0" y="0"/>
                          <a:ext cx="1341782" cy="258418"/>
                        </a:xfrm>
                        <a:prstGeom prst="rect">
                          <a:avLst/>
                        </a:prstGeom>
                        <a:solidFill>
                          <a:schemeClr val="lt1"/>
                        </a:solidFill>
                        <a:ln w="6350">
                          <a:noFill/>
                        </a:ln>
                      </wps:spPr>
                      <wps:txbx>
                        <w:txbxContent>
                          <w:p w14:paraId="72E0DA5E"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7.5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7.5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2264E0" id="Text Box 14" o:spid="_x0000_s1296" type="#_x0000_t202" style="position:absolute;left:0;text-align:left;margin-left:5in;margin-top:123.9pt;width:105.65pt;height:20.35pt;z-index:25242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" fillcolor="white [3201]" stroked="f" strokeweight=".5pt">
                <v:textbox>
                  <w:txbxContent>
                    <w:p w14:paraId="72E0DA5E" w14:textId="77777777" w:rsidR="00230AB9" w:rsidRPr="001333B2" w:rsidRDefault="00230AB9" w:rsidP="00D740DC">
                      <w:pPr>
                        <w:rPr>
                          <w:sz w:val="20"/>
                          <w:szCs w:val="20"/>
                        </w:rPr>
                      </w:pPr>
                      <w:r w:rsidRPr="001333B2">
                        <w:rPr>
                          <w:rFonts w:eastAsia="Times New Roman" w:cs="Times New Roman"/>
                          <w:color w:val="000000"/>
                          <w:sz w:val="20"/>
                          <w:szCs w:val="20"/>
                          <w:lang w:eastAsia="en-MY"/>
                        </w:rPr>
                        <w:t>N</w:t>
                      </w:r>
                      <w:r w:rsidRPr="001333B2">
                        <w:rPr>
                          <w:rFonts w:eastAsia="Times New Roman" w:cs="Times New Roman"/>
                          <w:color w:val="000000"/>
                          <w:sz w:val="20"/>
                          <w:szCs w:val="20"/>
                          <w:vertAlign w:val="subscript"/>
                          <w:lang w:eastAsia="en-MY"/>
                        </w:rPr>
                        <w:t>15</w:t>
                      </w:r>
                      <w:r w:rsidRPr="001333B2">
                        <w:rPr>
                          <w:rFonts w:eastAsia="Times New Roman" w:cs="Times New Roman"/>
                          <w:color w:val="000000"/>
                          <w:sz w:val="20"/>
                          <w:szCs w:val="20"/>
                          <w:lang w:eastAsia="en-MY"/>
                        </w:rPr>
                        <w:t>C</w:t>
                      </w:r>
                      <w:r w:rsidRPr="001333B2">
                        <w:rPr>
                          <w:rFonts w:eastAsia="Times New Roman" w:cs="Times New Roman"/>
                          <w:color w:val="000000"/>
                          <w:sz w:val="20"/>
                          <w:szCs w:val="20"/>
                          <w:vertAlign w:val="subscript"/>
                          <w:lang w:eastAsia="en-MY"/>
                        </w:rPr>
                        <w:t>7.5</w:t>
                      </w:r>
                      <w:r w:rsidRPr="001333B2">
                        <w:rPr>
                          <w:rFonts w:eastAsia="Times New Roman" w:cs="Times New Roman"/>
                          <w:color w:val="000000"/>
                          <w:sz w:val="20"/>
                          <w:szCs w:val="20"/>
                          <w:lang w:eastAsia="en-MY"/>
                        </w:rPr>
                        <w:t>A</w:t>
                      </w:r>
                      <w:r w:rsidRPr="001333B2">
                        <w:rPr>
                          <w:rFonts w:eastAsia="Times New Roman" w:cs="Times New Roman"/>
                          <w:color w:val="000000"/>
                          <w:sz w:val="20"/>
                          <w:szCs w:val="20"/>
                          <w:vertAlign w:val="subscript"/>
                          <w:lang w:eastAsia="en-MY"/>
                        </w:rPr>
                        <w:t>7.5</w:t>
                      </w:r>
                      <w:r w:rsidRPr="001333B2">
                        <w:rPr>
                          <w:rFonts w:eastAsia="Times New Roman" w:cs="Times New Roman"/>
                          <w:color w:val="000000"/>
                          <w:sz w:val="20"/>
                          <w:szCs w:val="20"/>
                          <w:lang w:eastAsia="en-MY"/>
                        </w:rPr>
                        <w:t>B</w:t>
                      </w:r>
                      <w:r w:rsidRPr="001333B2">
                        <w:rPr>
                          <w:rFonts w:eastAsia="Times New Roman" w:cs="Times New Roman"/>
                          <w:color w:val="000000"/>
                          <w:sz w:val="20"/>
                          <w:szCs w:val="20"/>
                          <w:vertAlign w:val="subscript"/>
                          <w:lang w:eastAsia="en-MY"/>
                        </w:rPr>
                        <w:t>10</w:t>
                      </w:r>
                      <w:r w:rsidRPr="001333B2">
                        <w:rPr>
                          <w:rFonts w:eastAsia="Times New Roman" w:cs="Times New Roman"/>
                          <w:color w:val="000000"/>
                          <w:sz w:val="20"/>
                          <w:szCs w:val="20"/>
                          <w:lang w:eastAsia="en-MY"/>
                        </w:rPr>
                        <w:t>S</w:t>
                      </w:r>
                      <w:r w:rsidRPr="001333B2">
                        <w:rPr>
                          <w:rFonts w:eastAsia="Times New Roman" w:cs="Times New Roman"/>
                          <w:color w:val="000000"/>
                          <w:sz w:val="20"/>
                          <w:szCs w:val="20"/>
                          <w:vertAlign w:val="subscript"/>
                          <w:lang w:eastAsia="en-MY"/>
                        </w:rPr>
                        <w:t>60</w:t>
                      </w:r>
                    </w:p>
                  </w:txbxContent>
                </v:textbox>
              </v:shape>
            </w:pict>
          </mc:Fallback>
        </mc:AlternateContent>
      </w:r>
      <w:r w:rsidRPr="000E2377">
        <w:rPr>
          <w:noProof/>
          <w:lang w:eastAsia="en-MY"/>
        </w:rPr>
        <mc:AlternateContent>
          <mc:Choice Requires="wps">
            <w:drawing>
              <wp:anchor distT="0" distB="0" distL="114300" distR="114300" simplePos="0" relativeHeight="252280832" behindDoc="0" locked="0" layoutInCell="1" allowOverlap="1" wp14:anchorId="29C01FA9" wp14:editId="4A8B581B">
                <wp:simplePos x="0" y="0"/>
                <wp:positionH relativeFrom="column">
                  <wp:posOffset>613166</wp:posOffset>
                </wp:positionH>
                <wp:positionV relativeFrom="paragraph">
                  <wp:posOffset>144926</wp:posOffset>
                </wp:positionV>
                <wp:extent cx="337820" cy="337820"/>
                <wp:effectExtent l="0" t="0" r="0" b="5080"/>
                <wp:wrapNone/>
                <wp:docPr id="2125" name="Text Box 2125"/>
                <wp:cNvGraphicFramePr/>
                <a:graphic xmlns:a="http://schemas.openxmlformats.org/drawingml/2006/main">
                  <a:graphicData uri="http://schemas.microsoft.com/office/word/2010/wordprocessingShape">
                    <wps:wsp>
                      <wps:cNvSpPr txBox="1"/>
                      <wps:spPr>
                        <a:xfrm>
                          <a:off x="0" y="0"/>
                          <a:ext cx="337820" cy="337820"/>
                        </a:xfrm>
                        <a:prstGeom prst="rect">
                          <a:avLst/>
                        </a:prstGeom>
                        <a:noFill/>
                        <a:ln w="6350">
                          <a:noFill/>
                        </a:ln>
                      </wps:spPr>
                      <wps:txbx>
                        <w:txbxContent>
                          <w:p w14:paraId="52FA5322" w14:textId="77777777" w:rsidR="00230AB9" w:rsidRDefault="00230AB9" w:rsidP="00D740DC">
                            <w:pPr>
                              <w:rPr>
                                <w:b w:val="0"/>
                              </w:rP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01FA9" id="Text Box 2125" o:spid="_x0000_s1297" type="#_x0000_t202" style="position:absolute;left:0;text-align:left;margin-left:48.3pt;margin-top:11.4pt;width:26.6pt;height:26.6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" filled="f" stroked="f" strokeweight=".5pt">
                <v:textbox>
                  <w:txbxContent>
                    <w:p w14:paraId="52FA5322" w14:textId="77777777" w:rsidR="00230AB9" w:rsidRDefault="00230AB9" w:rsidP="00D740DC">
                      <w:pPr>
                        <w:rPr>
                          <w:b w:val="0"/>
                        </w:rPr>
                      </w:pPr>
                      <w:r>
                        <w:t>a)</w:t>
                      </w:r>
                    </w:p>
                  </w:txbxContent>
                </v:textbox>
              </v:shape>
            </w:pict>
          </mc:Fallback>
        </mc:AlternateContent>
      </w:r>
      <w:r w:rsidRPr="000E2377">
        <w:rPr>
          <w:noProof/>
          <w:lang w:eastAsia="en-MY"/>
        </w:rPr>
        <mc:AlternateContent>
          <mc:Choice Requires="wpg">
            <w:drawing>
              <wp:anchor distT="0" distB="0" distL="114300" distR="114300" simplePos="0" relativeHeight="252270592" behindDoc="0" locked="0" layoutInCell="1" allowOverlap="1" wp14:anchorId="5EBFE91C" wp14:editId="035EC732">
                <wp:simplePos x="0" y="0"/>
                <wp:positionH relativeFrom="column">
                  <wp:posOffset>1265701</wp:posOffset>
                </wp:positionH>
                <wp:positionV relativeFrom="paragraph">
                  <wp:posOffset>2569112</wp:posOffset>
                </wp:positionV>
                <wp:extent cx="2425944" cy="239492"/>
                <wp:effectExtent l="0" t="0" r="0" b="0"/>
                <wp:wrapNone/>
                <wp:docPr id="2367" name="Group 2367"/>
                <wp:cNvGraphicFramePr/>
                <a:graphic xmlns:a="http://schemas.openxmlformats.org/drawingml/2006/main">
                  <a:graphicData uri="http://schemas.microsoft.com/office/word/2010/wordprocessingGroup">
                    <wpg:wgp>
                      <wpg:cNvGrpSpPr/>
                      <wpg:grpSpPr>
                        <a:xfrm>
                          <a:off x="0" y="0"/>
                          <a:ext cx="2425944" cy="239492"/>
                          <a:chOff x="0" y="0"/>
                          <a:chExt cx="2425944" cy="239492"/>
                        </a:xfrm>
                      </wpg:grpSpPr>
                      <wps:wsp>
                        <wps:cNvPr id="2117" name="Text Box 2117"/>
                        <wps:cNvSpPr txBox="1"/>
                        <wps:spPr>
                          <a:xfrm>
                            <a:off x="0" y="0"/>
                            <a:ext cx="653415" cy="225425"/>
                          </a:xfrm>
                          <a:prstGeom prst="rect">
                            <a:avLst/>
                          </a:prstGeom>
                          <a:noFill/>
                          <a:ln w="6350">
                            <a:noFill/>
                          </a:ln>
                        </wps:spPr>
                        <wps:txbx>
                          <w:txbxContent>
                            <w:p w14:paraId="7F14CA6C" w14:textId="77777777" w:rsidR="00230AB9" w:rsidRDefault="00230AB9" w:rsidP="00D740DC">
                              <w:pPr>
                                <w:rPr>
                                  <w:sz w:val="16"/>
                                  <w:szCs w:val="16"/>
                                </w:rPr>
                              </w:pPr>
                              <w:r>
                                <w:rPr>
                                  <w:sz w:val="16"/>
                                  <w:szCs w:val="16"/>
                                </w:rPr>
                                <w:t>Region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6" name="Text Box 2116"/>
                        <wps:cNvSpPr txBox="1"/>
                        <wps:spPr>
                          <a:xfrm>
                            <a:off x="478302" y="14067"/>
                            <a:ext cx="653415" cy="225425"/>
                          </a:xfrm>
                          <a:prstGeom prst="rect">
                            <a:avLst/>
                          </a:prstGeom>
                          <a:noFill/>
                          <a:ln w="6350">
                            <a:noFill/>
                          </a:ln>
                        </wps:spPr>
                        <wps:txbx>
                          <w:txbxContent>
                            <w:p w14:paraId="221790FD" w14:textId="77777777" w:rsidR="00230AB9" w:rsidRDefault="00230AB9" w:rsidP="00D740DC">
                              <w:pPr>
                                <w:rPr>
                                  <w:sz w:val="16"/>
                                  <w:szCs w:val="16"/>
                                </w:rPr>
                              </w:pPr>
                              <w:r>
                                <w:rPr>
                                  <w:sz w:val="16"/>
                                  <w:szCs w:val="16"/>
                                </w:rPr>
                                <w:t>Region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8" name="Text Box 2118"/>
                        <wps:cNvSpPr txBox="1"/>
                        <wps:spPr>
                          <a:xfrm>
                            <a:off x="1012874" y="0"/>
                            <a:ext cx="652780" cy="225425"/>
                          </a:xfrm>
                          <a:prstGeom prst="rect">
                            <a:avLst/>
                          </a:prstGeom>
                          <a:noFill/>
                          <a:ln w="6350">
                            <a:noFill/>
                          </a:ln>
                        </wps:spPr>
                        <wps:txbx>
                          <w:txbxContent>
                            <w:p w14:paraId="1BEFC5DE" w14:textId="77777777" w:rsidR="00230AB9" w:rsidRDefault="00230AB9" w:rsidP="00D740DC">
                              <w:pPr>
                                <w:rPr>
                                  <w:sz w:val="16"/>
                                  <w:szCs w:val="16"/>
                                </w:rPr>
                              </w:pPr>
                              <w:r>
                                <w:rPr>
                                  <w:sz w:val="16"/>
                                  <w:szCs w:val="16"/>
                                </w:rPr>
                                <w:t>Region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9" name="Text Box 2119"/>
                        <wps:cNvSpPr txBox="1"/>
                        <wps:spPr>
                          <a:xfrm>
                            <a:off x="1772529" y="14067"/>
                            <a:ext cx="653415" cy="225425"/>
                          </a:xfrm>
                          <a:prstGeom prst="rect">
                            <a:avLst/>
                          </a:prstGeom>
                          <a:noFill/>
                          <a:ln w="6350">
                            <a:noFill/>
                          </a:ln>
                        </wps:spPr>
                        <wps:txbx>
                          <w:txbxContent>
                            <w:p w14:paraId="409CF061" w14:textId="77777777" w:rsidR="00230AB9" w:rsidRDefault="00230AB9" w:rsidP="00D740DC">
                              <w:pPr>
                                <w:rPr>
                                  <w:sz w:val="16"/>
                                  <w:szCs w:val="16"/>
                                </w:rPr>
                              </w:pPr>
                              <w:r>
                                <w:rPr>
                                  <w:sz w:val="16"/>
                                  <w:szCs w:val="16"/>
                                </w:rPr>
                                <w:t>Region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EBFE91C" id="Group 2367" o:spid="_x0000_s1298" style="position:absolute;left:0;text-align:left;margin-left:99.65pt;margin-top:202.3pt;width:191pt;height:18.85pt;z-index:252270592" coordsize="24259,2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">
                <v:shape id="Text Box 2117" o:spid="_x0000_s1299" type="#_x0000_t202" style="position:absolute;width:6534;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" filled="f" stroked="f" strokeweight=".5pt">
                  <v:textbox>
                    <w:txbxContent>
                      <w:p w14:paraId="7F14CA6C" w14:textId="77777777" w:rsidR="00230AB9" w:rsidRDefault="00230AB9" w:rsidP="00D740DC">
                        <w:pPr>
                          <w:rPr>
                            <w:sz w:val="16"/>
                            <w:szCs w:val="16"/>
                          </w:rPr>
                        </w:pPr>
                        <w:r>
                          <w:rPr>
                            <w:sz w:val="16"/>
                            <w:szCs w:val="16"/>
                          </w:rPr>
                          <w:t>Region A</w:t>
                        </w:r>
                      </w:p>
                    </w:txbxContent>
                  </v:textbox>
                </v:shape>
                <v:shape id="Text Box 2116" o:spid="_x0000_s1300" type="#_x0000_t202" style="position:absolute;left:4783;top:140;width:6534;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" filled="f" stroked="f" strokeweight=".5pt">
                  <v:textbox>
                    <w:txbxContent>
                      <w:p w14:paraId="221790FD" w14:textId="77777777" w:rsidR="00230AB9" w:rsidRDefault="00230AB9" w:rsidP="00D740DC">
                        <w:pPr>
                          <w:rPr>
                            <w:sz w:val="16"/>
                            <w:szCs w:val="16"/>
                          </w:rPr>
                        </w:pPr>
                        <w:r>
                          <w:rPr>
                            <w:sz w:val="16"/>
                            <w:szCs w:val="16"/>
                          </w:rPr>
                          <w:t>Region B</w:t>
                        </w:r>
                      </w:p>
                    </w:txbxContent>
                  </v:textbox>
                </v:shape>
                <v:shape id="Text Box 2118" o:spid="_x0000_s1301" type="#_x0000_t202" style="position:absolute;left:10128;width:6528;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" filled="f" stroked="f" strokeweight=".5pt">
                  <v:textbox>
                    <w:txbxContent>
                      <w:p w14:paraId="1BEFC5DE" w14:textId="77777777" w:rsidR="00230AB9" w:rsidRDefault="00230AB9" w:rsidP="00D740DC">
                        <w:pPr>
                          <w:rPr>
                            <w:sz w:val="16"/>
                            <w:szCs w:val="16"/>
                          </w:rPr>
                        </w:pPr>
                        <w:r>
                          <w:rPr>
                            <w:sz w:val="16"/>
                            <w:szCs w:val="16"/>
                          </w:rPr>
                          <w:t>Region C</w:t>
                        </w:r>
                      </w:p>
                    </w:txbxContent>
                  </v:textbox>
                </v:shape>
                <v:shape id="Text Box 2119" o:spid="_x0000_s1302" type="#_x0000_t202" style="position:absolute;left:17725;top:140;width:6534;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" filled="f" stroked="f" strokeweight=".5pt">
                  <v:textbox>
                    <w:txbxContent>
                      <w:p w14:paraId="409CF061" w14:textId="77777777" w:rsidR="00230AB9" w:rsidRDefault="00230AB9" w:rsidP="00D740DC">
                        <w:pPr>
                          <w:rPr>
                            <w:sz w:val="16"/>
                            <w:szCs w:val="16"/>
                          </w:rPr>
                        </w:pPr>
                        <w:r>
                          <w:rPr>
                            <w:sz w:val="16"/>
                            <w:szCs w:val="16"/>
                          </w:rPr>
                          <w:t>Region D</w:t>
                        </w:r>
                      </w:p>
                    </w:txbxContent>
                  </v:textbox>
                </v:shape>
              </v:group>
            </w:pict>
          </mc:Fallback>
        </mc:AlternateContent>
      </w:r>
      <w:r w:rsidRPr="000E2377">
        <w:rPr>
          <w:noProof/>
          <w:lang w:eastAsia="en-MY"/>
        </w:rPr>
        <w:drawing>
          <wp:inline distT="0" distB="0" distL="0" distR="0" wp14:anchorId="660C6B7B" wp14:editId="05842EDF">
            <wp:extent cx="4897674" cy="3240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97674" cy="3240000"/>
                    </a:xfrm>
                    <a:prstGeom prst="rect">
                      <a:avLst/>
                    </a:prstGeom>
                    <a:noFill/>
                    <a:ln>
                      <a:noFill/>
                    </a:ln>
                  </pic:spPr>
                </pic:pic>
              </a:graphicData>
            </a:graphic>
          </wp:inline>
        </w:drawing>
      </w:r>
    </w:p>
    <w:p w14:paraId="5C2999D4" w14:textId="77777777" w:rsidR="00D740DC" w:rsidRPr="000E2377" w:rsidRDefault="00D740DC" w:rsidP="00D740DC">
      <w:pPr>
        <w:spacing w:after="0" w:line="360" w:lineRule="auto"/>
        <w:jc w:val="center"/>
        <w:rPr>
          <w:rFonts w:cs="Times New Roman"/>
          <w:b w:val="0"/>
          <w:szCs w:val="24"/>
        </w:rPr>
      </w:pPr>
      <w:r w:rsidRPr="000E2377">
        <w:rPr>
          <w:noProof/>
          <w:lang w:eastAsia="en-MY"/>
        </w:rPr>
        <mc:AlternateContent>
          <mc:Choice Requires="wps">
            <w:drawing>
              <wp:anchor distT="0" distB="0" distL="114300" distR="114300" simplePos="0" relativeHeight="252429312" behindDoc="0" locked="0" layoutInCell="1" allowOverlap="1" wp14:anchorId="3B06C4AE" wp14:editId="0DB40C60">
                <wp:simplePos x="0" y="0"/>
                <wp:positionH relativeFrom="margin">
                  <wp:align>right</wp:align>
                </wp:positionH>
                <wp:positionV relativeFrom="paragraph">
                  <wp:posOffset>1540565</wp:posOffset>
                </wp:positionV>
                <wp:extent cx="1143000" cy="244800"/>
                <wp:effectExtent l="0" t="0" r="0" b="3175"/>
                <wp:wrapNone/>
                <wp:docPr id="1383" name="Text Box 1383"/>
                <wp:cNvGraphicFramePr/>
                <a:graphic xmlns:a="http://schemas.openxmlformats.org/drawingml/2006/main">
                  <a:graphicData uri="http://schemas.microsoft.com/office/word/2010/wordprocessingShape">
                    <wps:wsp>
                      <wps:cNvSpPr txBox="1"/>
                      <wps:spPr>
                        <a:xfrm>
                          <a:off x="0" y="0"/>
                          <a:ext cx="1143000" cy="244800"/>
                        </a:xfrm>
                        <a:prstGeom prst="rect">
                          <a:avLst/>
                        </a:prstGeom>
                        <a:solidFill>
                          <a:schemeClr val="lt1"/>
                        </a:solidFill>
                        <a:ln w="6350">
                          <a:noFill/>
                        </a:ln>
                      </wps:spPr>
                      <wps:txbx>
                        <w:txbxContent>
                          <w:p w14:paraId="2A5FD77F" w14:textId="77777777" w:rsidR="00230AB9" w:rsidRPr="001C1D2E" w:rsidRDefault="00230AB9" w:rsidP="00D740DC">
                            <w:pPr>
                              <w:rPr>
                                <w:sz w:val="20"/>
                                <w:szCs w:val="20"/>
                              </w:rPr>
                            </w:pPr>
                            <w:r w:rsidRPr="001C1D2E">
                              <w:rPr>
                                <w:rFonts w:eastAsia="Times New Roman" w:cs="Times New Roman"/>
                                <w:color w:val="000000"/>
                                <w:sz w:val="20"/>
                                <w:szCs w:val="20"/>
                                <w:lang w:eastAsia="en-MY"/>
                              </w:rPr>
                              <w:t>N</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C</w:t>
                            </w:r>
                            <w:r w:rsidRPr="001C1D2E">
                              <w:rPr>
                                <w:rFonts w:eastAsia="Times New Roman" w:cs="Times New Roman"/>
                                <w:color w:val="000000"/>
                                <w:sz w:val="20"/>
                                <w:szCs w:val="20"/>
                                <w:vertAlign w:val="subscript"/>
                                <w:lang w:eastAsia="en-MY"/>
                              </w:rPr>
                              <w:t>2.5</w:t>
                            </w:r>
                            <w:r w:rsidRPr="001C1D2E">
                              <w:rPr>
                                <w:rFonts w:eastAsia="Times New Roman" w:cs="Times New Roman"/>
                                <w:color w:val="000000"/>
                                <w:sz w:val="20"/>
                                <w:szCs w:val="20"/>
                                <w:lang w:eastAsia="en-MY"/>
                              </w:rPr>
                              <w:t>A</w:t>
                            </w:r>
                            <w:r w:rsidRPr="001C1D2E">
                              <w:rPr>
                                <w:rFonts w:eastAsia="Times New Roman" w:cs="Times New Roman"/>
                                <w:color w:val="000000"/>
                                <w:sz w:val="20"/>
                                <w:szCs w:val="20"/>
                                <w:vertAlign w:val="subscript"/>
                                <w:lang w:eastAsia="en-MY"/>
                              </w:rPr>
                              <w:t>17.5</w:t>
                            </w:r>
                            <w:r w:rsidRPr="001C1D2E">
                              <w:rPr>
                                <w:rFonts w:eastAsia="Times New Roman" w:cs="Times New Roman"/>
                                <w:color w:val="000000"/>
                                <w:sz w:val="20"/>
                                <w:szCs w:val="20"/>
                                <w:lang w:eastAsia="en-MY"/>
                              </w:rPr>
                              <w:t>B</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S</w:t>
                            </w:r>
                            <w:r w:rsidRPr="001C1D2E">
                              <w:rPr>
                                <w:rFonts w:eastAsia="Times New Roman" w:cs="Times New Roman"/>
                                <w:color w:val="000000"/>
                                <w:sz w:val="20"/>
                                <w:szCs w:val="20"/>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6C4AE" id="Text Box 1383" o:spid="_x0000_s1303" type="#_x0000_t202" style="position:absolute;left:0;text-align:left;margin-left:38.8pt;margin-top:121.3pt;width:90pt;height:19.3pt;z-index:252429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" fillcolor="white [3201]" stroked="f" strokeweight=".5pt">
                <v:textbox>
                  <w:txbxContent>
                    <w:p w14:paraId="2A5FD77F" w14:textId="77777777" w:rsidR="00230AB9" w:rsidRPr="001C1D2E" w:rsidRDefault="00230AB9" w:rsidP="00D740DC">
                      <w:pPr>
                        <w:rPr>
                          <w:sz w:val="20"/>
                          <w:szCs w:val="20"/>
                        </w:rPr>
                      </w:pPr>
                      <w:r w:rsidRPr="001C1D2E">
                        <w:rPr>
                          <w:rFonts w:eastAsia="Times New Roman" w:cs="Times New Roman"/>
                          <w:color w:val="000000"/>
                          <w:sz w:val="20"/>
                          <w:szCs w:val="20"/>
                          <w:lang w:eastAsia="en-MY"/>
                        </w:rPr>
                        <w:t>N</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C</w:t>
                      </w:r>
                      <w:r w:rsidRPr="001C1D2E">
                        <w:rPr>
                          <w:rFonts w:eastAsia="Times New Roman" w:cs="Times New Roman"/>
                          <w:color w:val="000000"/>
                          <w:sz w:val="20"/>
                          <w:szCs w:val="20"/>
                          <w:vertAlign w:val="subscript"/>
                          <w:lang w:eastAsia="en-MY"/>
                        </w:rPr>
                        <w:t>2.5</w:t>
                      </w:r>
                      <w:r w:rsidRPr="001C1D2E">
                        <w:rPr>
                          <w:rFonts w:eastAsia="Times New Roman" w:cs="Times New Roman"/>
                          <w:color w:val="000000"/>
                          <w:sz w:val="20"/>
                          <w:szCs w:val="20"/>
                          <w:lang w:eastAsia="en-MY"/>
                        </w:rPr>
                        <w:t>A</w:t>
                      </w:r>
                      <w:r w:rsidRPr="001C1D2E">
                        <w:rPr>
                          <w:rFonts w:eastAsia="Times New Roman" w:cs="Times New Roman"/>
                          <w:color w:val="000000"/>
                          <w:sz w:val="20"/>
                          <w:szCs w:val="20"/>
                          <w:vertAlign w:val="subscript"/>
                          <w:lang w:eastAsia="en-MY"/>
                        </w:rPr>
                        <w:t>17.5</w:t>
                      </w:r>
                      <w:r w:rsidRPr="001C1D2E">
                        <w:rPr>
                          <w:rFonts w:eastAsia="Times New Roman" w:cs="Times New Roman"/>
                          <w:color w:val="000000"/>
                          <w:sz w:val="20"/>
                          <w:szCs w:val="20"/>
                          <w:lang w:eastAsia="en-MY"/>
                        </w:rPr>
                        <w:t>B</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S</w:t>
                      </w:r>
                      <w:r w:rsidRPr="001C1D2E">
                        <w:rPr>
                          <w:rFonts w:eastAsia="Times New Roman" w:cs="Times New Roman"/>
                          <w:color w:val="000000"/>
                          <w:sz w:val="20"/>
                          <w:szCs w:val="20"/>
                          <w:vertAlign w:val="subscript"/>
                          <w:lang w:eastAsia="en-MY"/>
                        </w:rPr>
                        <w:t>60</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434432" behindDoc="0" locked="0" layoutInCell="1" allowOverlap="1" wp14:anchorId="4F4B6516" wp14:editId="1A71EF43">
                <wp:simplePos x="0" y="0"/>
                <wp:positionH relativeFrom="column">
                  <wp:posOffset>3806687</wp:posOffset>
                </wp:positionH>
                <wp:positionV relativeFrom="paragraph">
                  <wp:posOffset>2584174</wp:posOffset>
                </wp:positionV>
                <wp:extent cx="1391478" cy="248478"/>
                <wp:effectExtent l="0" t="0" r="0" b="0"/>
                <wp:wrapNone/>
                <wp:docPr id="47" name="Text Box 47"/>
                <wp:cNvGraphicFramePr/>
                <a:graphic xmlns:a="http://schemas.openxmlformats.org/drawingml/2006/main">
                  <a:graphicData uri="http://schemas.microsoft.com/office/word/2010/wordprocessingShape">
                    <wps:wsp>
                      <wps:cNvSpPr txBox="1"/>
                      <wps:spPr>
                        <a:xfrm>
                          <a:off x="0" y="0"/>
                          <a:ext cx="1391478" cy="248478"/>
                        </a:xfrm>
                        <a:prstGeom prst="rect">
                          <a:avLst/>
                        </a:prstGeom>
                        <a:solidFill>
                          <a:sysClr val="window" lastClr="FFFFFF"/>
                        </a:solidFill>
                        <a:ln w="6350">
                          <a:noFill/>
                        </a:ln>
                      </wps:spPr>
                      <wps:txbx>
                        <w:txbxContent>
                          <w:p w14:paraId="1C8D4985" w14:textId="77777777" w:rsidR="00230AB9" w:rsidRPr="001C1D2E" w:rsidRDefault="00230AB9" w:rsidP="00D740DC">
                            <w:pPr>
                              <w:rPr>
                                <w:sz w:val="20"/>
                                <w:szCs w:val="20"/>
                              </w:rPr>
                            </w:pPr>
                            <w:r w:rsidRPr="001C1D2E">
                              <w:rPr>
                                <w:rFonts w:eastAsia="Times New Roman" w:cs="Times New Roman"/>
                                <w:color w:val="000000"/>
                                <w:sz w:val="20"/>
                                <w:szCs w:val="20"/>
                                <w:lang w:eastAsia="en-MY"/>
                              </w:rPr>
                              <w:t>N</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Ba</w:t>
                            </w:r>
                            <w:r w:rsidRPr="001C1D2E">
                              <w:rPr>
                                <w:rFonts w:eastAsia="Times New Roman" w:cs="Times New Roman"/>
                                <w:color w:val="000000"/>
                                <w:sz w:val="20"/>
                                <w:szCs w:val="20"/>
                                <w:vertAlign w:val="subscript"/>
                                <w:lang w:eastAsia="en-MY"/>
                              </w:rPr>
                              <w:t>7.5</w:t>
                            </w:r>
                            <w:r w:rsidRPr="001C1D2E">
                              <w:rPr>
                                <w:rFonts w:eastAsia="Times New Roman" w:cs="Times New Roman"/>
                                <w:color w:val="000000"/>
                                <w:sz w:val="20"/>
                                <w:szCs w:val="20"/>
                                <w:lang w:eastAsia="en-MY"/>
                              </w:rPr>
                              <w:t>A</w:t>
                            </w:r>
                            <w:r w:rsidRPr="001C1D2E">
                              <w:rPr>
                                <w:rFonts w:eastAsia="Times New Roman" w:cs="Times New Roman"/>
                                <w:color w:val="000000"/>
                                <w:sz w:val="20"/>
                                <w:szCs w:val="20"/>
                                <w:vertAlign w:val="subscript"/>
                                <w:lang w:eastAsia="en-MY"/>
                              </w:rPr>
                              <w:t>12.5</w:t>
                            </w:r>
                            <w:r w:rsidRPr="001C1D2E">
                              <w:rPr>
                                <w:rFonts w:eastAsia="Times New Roman" w:cs="Times New Roman"/>
                                <w:color w:val="000000"/>
                                <w:sz w:val="20"/>
                                <w:szCs w:val="20"/>
                                <w:lang w:eastAsia="en-MY"/>
                              </w:rPr>
                              <w:t>B</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S</w:t>
                            </w:r>
                            <w:r w:rsidRPr="001C1D2E">
                              <w:rPr>
                                <w:rFonts w:eastAsia="Times New Roman" w:cs="Times New Roman"/>
                                <w:color w:val="000000"/>
                                <w:sz w:val="20"/>
                                <w:szCs w:val="20"/>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B6516" id="Text Box 47" o:spid="_x0000_s1304" type="#_x0000_t202" style="position:absolute;left:0;text-align:left;margin-left:299.75pt;margin-top:203.5pt;width:109.55pt;height:19.55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" fillcolor="window" stroked="f" strokeweight=".5pt">
                <v:textbox>
                  <w:txbxContent>
                    <w:p w14:paraId="1C8D4985" w14:textId="77777777" w:rsidR="00230AB9" w:rsidRPr="001C1D2E" w:rsidRDefault="00230AB9" w:rsidP="00D740DC">
                      <w:pPr>
                        <w:rPr>
                          <w:sz w:val="20"/>
                          <w:szCs w:val="20"/>
                        </w:rPr>
                      </w:pPr>
                      <w:r w:rsidRPr="001C1D2E">
                        <w:rPr>
                          <w:rFonts w:eastAsia="Times New Roman" w:cs="Times New Roman"/>
                          <w:color w:val="000000"/>
                          <w:sz w:val="20"/>
                          <w:szCs w:val="20"/>
                          <w:lang w:eastAsia="en-MY"/>
                        </w:rPr>
                        <w:t>N</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Ba</w:t>
                      </w:r>
                      <w:r w:rsidRPr="001C1D2E">
                        <w:rPr>
                          <w:rFonts w:eastAsia="Times New Roman" w:cs="Times New Roman"/>
                          <w:color w:val="000000"/>
                          <w:sz w:val="20"/>
                          <w:szCs w:val="20"/>
                          <w:vertAlign w:val="subscript"/>
                          <w:lang w:eastAsia="en-MY"/>
                        </w:rPr>
                        <w:t>7.5</w:t>
                      </w:r>
                      <w:r w:rsidRPr="001C1D2E">
                        <w:rPr>
                          <w:rFonts w:eastAsia="Times New Roman" w:cs="Times New Roman"/>
                          <w:color w:val="000000"/>
                          <w:sz w:val="20"/>
                          <w:szCs w:val="20"/>
                          <w:lang w:eastAsia="en-MY"/>
                        </w:rPr>
                        <w:t>A</w:t>
                      </w:r>
                      <w:r w:rsidRPr="001C1D2E">
                        <w:rPr>
                          <w:rFonts w:eastAsia="Times New Roman" w:cs="Times New Roman"/>
                          <w:color w:val="000000"/>
                          <w:sz w:val="20"/>
                          <w:szCs w:val="20"/>
                          <w:vertAlign w:val="subscript"/>
                          <w:lang w:eastAsia="en-MY"/>
                        </w:rPr>
                        <w:t>12.5</w:t>
                      </w:r>
                      <w:r w:rsidRPr="001C1D2E">
                        <w:rPr>
                          <w:rFonts w:eastAsia="Times New Roman" w:cs="Times New Roman"/>
                          <w:color w:val="000000"/>
                          <w:sz w:val="20"/>
                          <w:szCs w:val="20"/>
                          <w:lang w:eastAsia="en-MY"/>
                        </w:rPr>
                        <w:t>B</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S</w:t>
                      </w:r>
                      <w:r w:rsidRPr="001C1D2E">
                        <w:rPr>
                          <w:rFonts w:eastAsia="Times New Roman" w:cs="Times New Roman"/>
                          <w:color w:val="000000"/>
                          <w:sz w:val="20"/>
                          <w:szCs w:val="20"/>
                          <w:vertAlign w:val="subscript"/>
                          <w:lang w:eastAsia="en-MY"/>
                        </w:rPr>
                        <w:t>60</w:t>
                      </w:r>
                    </w:p>
                  </w:txbxContent>
                </v:textbox>
              </v:shape>
            </w:pict>
          </mc:Fallback>
        </mc:AlternateContent>
      </w:r>
      <w:r w:rsidRPr="000E2377">
        <w:rPr>
          <w:noProof/>
          <w:lang w:eastAsia="en-MY"/>
        </w:rPr>
        <mc:AlternateContent>
          <mc:Choice Requires="wps">
            <w:drawing>
              <wp:anchor distT="0" distB="0" distL="114300" distR="114300" simplePos="0" relativeHeight="252433408" behindDoc="0" locked="0" layoutInCell="1" allowOverlap="1" wp14:anchorId="1FF490E5" wp14:editId="04675379">
                <wp:simplePos x="0" y="0"/>
                <wp:positionH relativeFrom="column">
                  <wp:posOffset>3965712</wp:posOffset>
                </wp:positionH>
                <wp:positionV relativeFrom="paragraph">
                  <wp:posOffset>2365513</wp:posOffset>
                </wp:positionV>
                <wp:extent cx="1326819" cy="238539"/>
                <wp:effectExtent l="0" t="0" r="6985" b="9525"/>
                <wp:wrapNone/>
                <wp:docPr id="43" name="Text Box 43"/>
                <wp:cNvGraphicFramePr/>
                <a:graphic xmlns:a="http://schemas.openxmlformats.org/drawingml/2006/main">
                  <a:graphicData uri="http://schemas.microsoft.com/office/word/2010/wordprocessingShape">
                    <wps:wsp>
                      <wps:cNvSpPr txBox="1"/>
                      <wps:spPr>
                        <a:xfrm>
                          <a:off x="0" y="0"/>
                          <a:ext cx="1326819" cy="238539"/>
                        </a:xfrm>
                        <a:prstGeom prst="rect">
                          <a:avLst/>
                        </a:prstGeom>
                        <a:solidFill>
                          <a:sysClr val="window" lastClr="FFFFFF"/>
                        </a:solidFill>
                        <a:ln w="6350">
                          <a:noFill/>
                        </a:ln>
                      </wps:spPr>
                      <wps:txbx>
                        <w:txbxContent>
                          <w:p w14:paraId="7EED0958" w14:textId="77777777" w:rsidR="00230AB9" w:rsidRPr="001C1D2E" w:rsidRDefault="00230AB9" w:rsidP="00D740DC">
                            <w:pPr>
                              <w:rPr>
                                <w:sz w:val="20"/>
                                <w:szCs w:val="20"/>
                              </w:rPr>
                            </w:pPr>
                            <w:r w:rsidRPr="001C1D2E">
                              <w:rPr>
                                <w:rFonts w:eastAsia="Times New Roman" w:cs="Times New Roman"/>
                                <w:color w:val="000000"/>
                                <w:sz w:val="20"/>
                                <w:szCs w:val="20"/>
                                <w:lang w:eastAsia="en-MY"/>
                              </w:rPr>
                              <w:t>N</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Ba</w:t>
                            </w:r>
                            <w:r w:rsidRPr="001C1D2E">
                              <w:rPr>
                                <w:rFonts w:eastAsia="Times New Roman" w:cs="Times New Roman"/>
                                <w:color w:val="000000"/>
                                <w:sz w:val="20"/>
                                <w:szCs w:val="20"/>
                                <w:vertAlign w:val="subscript"/>
                                <w:lang w:eastAsia="en-MY"/>
                              </w:rPr>
                              <w:t>5</w:t>
                            </w:r>
                            <w:r w:rsidRPr="001C1D2E">
                              <w:rPr>
                                <w:rFonts w:eastAsia="Times New Roman" w:cs="Times New Roman"/>
                                <w:color w:val="000000"/>
                                <w:sz w:val="20"/>
                                <w:szCs w:val="20"/>
                                <w:lang w:eastAsia="en-MY"/>
                              </w:rPr>
                              <w:t>A</w:t>
                            </w:r>
                            <w:r w:rsidRPr="001C1D2E">
                              <w:rPr>
                                <w:rFonts w:eastAsia="Times New Roman" w:cs="Times New Roman"/>
                                <w:color w:val="000000"/>
                                <w:sz w:val="20"/>
                                <w:szCs w:val="20"/>
                                <w:vertAlign w:val="subscript"/>
                                <w:lang w:eastAsia="en-MY"/>
                              </w:rPr>
                              <w:t>15</w:t>
                            </w:r>
                            <w:r w:rsidRPr="001C1D2E">
                              <w:rPr>
                                <w:rFonts w:eastAsia="Times New Roman" w:cs="Times New Roman"/>
                                <w:color w:val="000000"/>
                                <w:sz w:val="20"/>
                                <w:szCs w:val="20"/>
                                <w:lang w:eastAsia="en-MY"/>
                              </w:rPr>
                              <w:t>B</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S</w:t>
                            </w:r>
                            <w:r w:rsidRPr="001C1D2E">
                              <w:rPr>
                                <w:rFonts w:eastAsia="Times New Roman" w:cs="Times New Roman"/>
                                <w:color w:val="000000"/>
                                <w:sz w:val="20"/>
                                <w:szCs w:val="20"/>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490E5" id="Text Box 43" o:spid="_x0000_s1305" type="#_x0000_t202" style="position:absolute;left:0;text-align:left;margin-left:312.25pt;margin-top:186.25pt;width:104.45pt;height:18.8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" fillcolor="window" stroked="f" strokeweight=".5pt">
                <v:textbox>
                  <w:txbxContent>
                    <w:p w14:paraId="7EED0958" w14:textId="77777777" w:rsidR="00230AB9" w:rsidRPr="001C1D2E" w:rsidRDefault="00230AB9" w:rsidP="00D740DC">
                      <w:pPr>
                        <w:rPr>
                          <w:sz w:val="20"/>
                          <w:szCs w:val="20"/>
                        </w:rPr>
                      </w:pPr>
                      <w:r w:rsidRPr="001C1D2E">
                        <w:rPr>
                          <w:rFonts w:eastAsia="Times New Roman" w:cs="Times New Roman"/>
                          <w:color w:val="000000"/>
                          <w:sz w:val="20"/>
                          <w:szCs w:val="20"/>
                          <w:lang w:eastAsia="en-MY"/>
                        </w:rPr>
                        <w:t>N</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Ba</w:t>
                      </w:r>
                      <w:r w:rsidRPr="001C1D2E">
                        <w:rPr>
                          <w:rFonts w:eastAsia="Times New Roman" w:cs="Times New Roman"/>
                          <w:color w:val="000000"/>
                          <w:sz w:val="20"/>
                          <w:szCs w:val="20"/>
                          <w:vertAlign w:val="subscript"/>
                          <w:lang w:eastAsia="en-MY"/>
                        </w:rPr>
                        <w:t>5</w:t>
                      </w:r>
                      <w:r w:rsidRPr="001C1D2E">
                        <w:rPr>
                          <w:rFonts w:eastAsia="Times New Roman" w:cs="Times New Roman"/>
                          <w:color w:val="000000"/>
                          <w:sz w:val="20"/>
                          <w:szCs w:val="20"/>
                          <w:lang w:eastAsia="en-MY"/>
                        </w:rPr>
                        <w:t>A</w:t>
                      </w:r>
                      <w:r w:rsidRPr="001C1D2E">
                        <w:rPr>
                          <w:rFonts w:eastAsia="Times New Roman" w:cs="Times New Roman"/>
                          <w:color w:val="000000"/>
                          <w:sz w:val="20"/>
                          <w:szCs w:val="20"/>
                          <w:vertAlign w:val="subscript"/>
                          <w:lang w:eastAsia="en-MY"/>
                        </w:rPr>
                        <w:t>15</w:t>
                      </w:r>
                      <w:r w:rsidRPr="001C1D2E">
                        <w:rPr>
                          <w:rFonts w:eastAsia="Times New Roman" w:cs="Times New Roman"/>
                          <w:color w:val="000000"/>
                          <w:sz w:val="20"/>
                          <w:szCs w:val="20"/>
                          <w:lang w:eastAsia="en-MY"/>
                        </w:rPr>
                        <w:t>B</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S</w:t>
                      </w:r>
                      <w:r w:rsidRPr="001C1D2E">
                        <w:rPr>
                          <w:rFonts w:eastAsia="Times New Roman" w:cs="Times New Roman"/>
                          <w:color w:val="000000"/>
                          <w:sz w:val="20"/>
                          <w:szCs w:val="20"/>
                          <w:vertAlign w:val="subscript"/>
                          <w:lang w:eastAsia="en-MY"/>
                        </w:rPr>
                        <w:t>60</w:t>
                      </w:r>
                    </w:p>
                  </w:txbxContent>
                </v:textbox>
              </v:shape>
            </w:pict>
          </mc:Fallback>
        </mc:AlternateContent>
      </w:r>
      <w:r w:rsidRPr="000E2377">
        <w:rPr>
          <w:noProof/>
          <w:lang w:eastAsia="en-MY"/>
        </w:rPr>
        <mc:AlternateContent>
          <mc:Choice Requires="wps">
            <w:drawing>
              <wp:anchor distT="0" distB="0" distL="114300" distR="114300" simplePos="0" relativeHeight="252432384" behindDoc="0" locked="0" layoutInCell="1" allowOverlap="1" wp14:anchorId="0AF9F7DE" wp14:editId="32A6A7E3">
                <wp:simplePos x="0" y="0"/>
                <wp:positionH relativeFrom="column">
                  <wp:posOffset>4114800</wp:posOffset>
                </wp:positionH>
                <wp:positionV relativeFrom="paragraph">
                  <wp:posOffset>2156791</wp:posOffset>
                </wp:positionV>
                <wp:extent cx="1391478" cy="258418"/>
                <wp:effectExtent l="0" t="0" r="0" b="8890"/>
                <wp:wrapNone/>
                <wp:docPr id="1386" name="Text Box 1386"/>
                <wp:cNvGraphicFramePr/>
                <a:graphic xmlns:a="http://schemas.openxmlformats.org/drawingml/2006/main">
                  <a:graphicData uri="http://schemas.microsoft.com/office/word/2010/wordprocessingShape">
                    <wps:wsp>
                      <wps:cNvSpPr txBox="1"/>
                      <wps:spPr>
                        <a:xfrm>
                          <a:off x="0" y="0"/>
                          <a:ext cx="1391478" cy="258418"/>
                        </a:xfrm>
                        <a:prstGeom prst="rect">
                          <a:avLst/>
                        </a:prstGeom>
                        <a:solidFill>
                          <a:sysClr val="window" lastClr="FFFFFF"/>
                        </a:solidFill>
                        <a:ln w="6350">
                          <a:noFill/>
                        </a:ln>
                      </wps:spPr>
                      <wps:txbx>
                        <w:txbxContent>
                          <w:p w14:paraId="370A58A0" w14:textId="77777777" w:rsidR="00230AB9" w:rsidRPr="001C1D2E" w:rsidRDefault="00230AB9" w:rsidP="00D740DC">
                            <w:pPr>
                              <w:rPr>
                                <w:sz w:val="20"/>
                                <w:szCs w:val="20"/>
                              </w:rPr>
                            </w:pPr>
                            <w:r w:rsidRPr="001C1D2E">
                              <w:rPr>
                                <w:rFonts w:eastAsia="Times New Roman" w:cs="Times New Roman"/>
                                <w:color w:val="000000"/>
                                <w:sz w:val="20"/>
                                <w:szCs w:val="20"/>
                                <w:lang w:eastAsia="en-MY"/>
                              </w:rPr>
                              <w:t>N</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Ba</w:t>
                            </w:r>
                            <w:r w:rsidRPr="001C1D2E">
                              <w:rPr>
                                <w:rFonts w:eastAsia="Times New Roman" w:cs="Times New Roman"/>
                                <w:color w:val="000000"/>
                                <w:sz w:val="20"/>
                                <w:szCs w:val="20"/>
                                <w:vertAlign w:val="subscript"/>
                                <w:lang w:eastAsia="en-MY"/>
                              </w:rPr>
                              <w:t>2.5</w:t>
                            </w:r>
                            <w:r w:rsidRPr="001C1D2E">
                              <w:rPr>
                                <w:rFonts w:eastAsia="Times New Roman" w:cs="Times New Roman"/>
                                <w:color w:val="000000"/>
                                <w:sz w:val="20"/>
                                <w:szCs w:val="20"/>
                                <w:lang w:eastAsia="en-MY"/>
                              </w:rPr>
                              <w:t>A</w:t>
                            </w:r>
                            <w:r w:rsidRPr="001C1D2E">
                              <w:rPr>
                                <w:rFonts w:eastAsia="Times New Roman" w:cs="Times New Roman"/>
                                <w:color w:val="000000"/>
                                <w:sz w:val="20"/>
                                <w:szCs w:val="20"/>
                                <w:vertAlign w:val="subscript"/>
                                <w:lang w:eastAsia="en-MY"/>
                              </w:rPr>
                              <w:t>17.5</w:t>
                            </w:r>
                            <w:r w:rsidRPr="001C1D2E">
                              <w:rPr>
                                <w:rFonts w:eastAsia="Times New Roman" w:cs="Times New Roman"/>
                                <w:color w:val="000000"/>
                                <w:sz w:val="20"/>
                                <w:szCs w:val="20"/>
                                <w:lang w:eastAsia="en-MY"/>
                              </w:rPr>
                              <w:t>B</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S</w:t>
                            </w:r>
                            <w:r w:rsidRPr="001C1D2E">
                              <w:rPr>
                                <w:rFonts w:eastAsia="Times New Roman" w:cs="Times New Roman"/>
                                <w:color w:val="000000"/>
                                <w:sz w:val="20"/>
                                <w:szCs w:val="20"/>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9F7DE" id="Text Box 1386" o:spid="_x0000_s1306" type="#_x0000_t202" style="position:absolute;left:0;text-align:left;margin-left:324pt;margin-top:169.85pt;width:109.55pt;height:20.35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" fillcolor="window" stroked="f" strokeweight=".5pt">
                <v:textbox>
                  <w:txbxContent>
                    <w:p w14:paraId="370A58A0" w14:textId="77777777" w:rsidR="00230AB9" w:rsidRPr="001C1D2E" w:rsidRDefault="00230AB9" w:rsidP="00D740DC">
                      <w:pPr>
                        <w:rPr>
                          <w:sz w:val="20"/>
                          <w:szCs w:val="20"/>
                        </w:rPr>
                      </w:pPr>
                      <w:r w:rsidRPr="001C1D2E">
                        <w:rPr>
                          <w:rFonts w:eastAsia="Times New Roman" w:cs="Times New Roman"/>
                          <w:color w:val="000000"/>
                          <w:sz w:val="20"/>
                          <w:szCs w:val="20"/>
                          <w:lang w:eastAsia="en-MY"/>
                        </w:rPr>
                        <w:t>N</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Ba</w:t>
                      </w:r>
                      <w:r w:rsidRPr="001C1D2E">
                        <w:rPr>
                          <w:rFonts w:eastAsia="Times New Roman" w:cs="Times New Roman"/>
                          <w:color w:val="000000"/>
                          <w:sz w:val="20"/>
                          <w:szCs w:val="20"/>
                          <w:vertAlign w:val="subscript"/>
                          <w:lang w:eastAsia="en-MY"/>
                        </w:rPr>
                        <w:t>2.5</w:t>
                      </w:r>
                      <w:r w:rsidRPr="001C1D2E">
                        <w:rPr>
                          <w:rFonts w:eastAsia="Times New Roman" w:cs="Times New Roman"/>
                          <w:color w:val="000000"/>
                          <w:sz w:val="20"/>
                          <w:szCs w:val="20"/>
                          <w:lang w:eastAsia="en-MY"/>
                        </w:rPr>
                        <w:t>A</w:t>
                      </w:r>
                      <w:r w:rsidRPr="001C1D2E">
                        <w:rPr>
                          <w:rFonts w:eastAsia="Times New Roman" w:cs="Times New Roman"/>
                          <w:color w:val="000000"/>
                          <w:sz w:val="20"/>
                          <w:szCs w:val="20"/>
                          <w:vertAlign w:val="subscript"/>
                          <w:lang w:eastAsia="en-MY"/>
                        </w:rPr>
                        <w:t>17.5</w:t>
                      </w:r>
                      <w:r w:rsidRPr="001C1D2E">
                        <w:rPr>
                          <w:rFonts w:eastAsia="Times New Roman" w:cs="Times New Roman"/>
                          <w:color w:val="000000"/>
                          <w:sz w:val="20"/>
                          <w:szCs w:val="20"/>
                          <w:lang w:eastAsia="en-MY"/>
                        </w:rPr>
                        <w:t>B</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S</w:t>
                      </w:r>
                      <w:r w:rsidRPr="001C1D2E">
                        <w:rPr>
                          <w:rFonts w:eastAsia="Times New Roman" w:cs="Times New Roman"/>
                          <w:color w:val="000000"/>
                          <w:sz w:val="20"/>
                          <w:szCs w:val="20"/>
                          <w:vertAlign w:val="subscript"/>
                          <w:lang w:eastAsia="en-MY"/>
                        </w:rPr>
                        <w:t>60</w:t>
                      </w:r>
                    </w:p>
                  </w:txbxContent>
                </v:textbox>
              </v:shape>
            </w:pict>
          </mc:Fallback>
        </mc:AlternateContent>
      </w:r>
      <w:r w:rsidRPr="000E2377">
        <w:rPr>
          <w:noProof/>
          <w:lang w:eastAsia="en-MY"/>
        </w:rPr>
        <mc:AlternateContent>
          <mc:Choice Requires="wps">
            <w:drawing>
              <wp:anchor distT="0" distB="0" distL="114300" distR="114300" simplePos="0" relativeHeight="252431360" behindDoc="0" locked="0" layoutInCell="1" allowOverlap="1" wp14:anchorId="3E8377B2" wp14:editId="5493C566">
                <wp:simplePos x="0" y="0"/>
                <wp:positionH relativeFrom="column">
                  <wp:posOffset>4303642</wp:posOffset>
                </wp:positionH>
                <wp:positionV relativeFrom="paragraph">
                  <wp:posOffset>1958008</wp:posOffset>
                </wp:positionV>
                <wp:extent cx="1182757" cy="258417"/>
                <wp:effectExtent l="0" t="0" r="0" b="8890"/>
                <wp:wrapNone/>
                <wp:docPr id="1385" name="Text Box 1385"/>
                <wp:cNvGraphicFramePr/>
                <a:graphic xmlns:a="http://schemas.openxmlformats.org/drawingml/2006/main">
                  <a:graphicData uri="http://schemas.microsoft.com/office/word/2010/wordprocessingShape">
                    <wps:wsp>
                      <wps:cNvSpPr txBox="1"/>
                      <wps:spPr>
                        <a:xfrm>
                          <a:off x="0" y="0"/>
                          <a:ext cx="1182757" cy="258417"/>
                        </a:xfrm>
                        <a:prstGeom prst="rect">
                          <a:avLst/>
                        </a:prstGeom>
                        <a:solidFill>
                          <a:sysClr val="window" lastClr="FFFFFF"/>
                        </a:solidFill>
                        <a:ln w="6350">
                          <a:noFill/>
                        </a:ln>
                      </wps:spPr>
                      <wps:txbx>
                        <w:txbxContent>
                          <w:p w14:paraId="71BC2BBC" w14:textId="77777777" w:rsidR="00230AB9" w:rsidRPr="001C1D2E" w:rsidRDefault="00230AB9" w:rsidP="00D740DC">
                            <w:pPr>
                              <w:rPr>
                                <w:sz w:val="20"/>
                                <w:szCs w:val="20"/>
                              </w:rPr>
                            </w:pPr>
                            <w:r w:rsidRPr="001C1D2E">
                              <w:rPr>
                                <w:rFonts w:eastAsia="Times New Roman" w:cs="Times New Roman"/>
                                <w:color w:val="000000"/>
                                <w:sz w:val="20"/>
                                <w:szCs w:val="20"/>
                                <w:lang w:eastAsia="en-MY"/>
                              </w:rPr>
                              <w:t>N</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C</w:t>
                            </w:r>
                            <w:r w:rsidRPr="001C1D2E">
                              <w:rPr>
                                <w:rFonts w:eastAsia="Times New Roman" w:cs="Times New Roman"/>
                                <w:color w:val="000000"/>
                                <w:sz w:val="20"/>
                                <w:szCs w:val="20"/>
                                <w:vertAlign w:val="subscript"/>
                                <w:lang w:eastAsia="en-MY"/>
                              </w:rPr>
                              <w:t>7.5</w:t>
                            </w:r>
                            <w:r w:rsidRPr="001C1D2E">
                              <w:rPr>
                                <w:rFonts w:eastAsia="Times New Roman" w:cs="Times New Roman"/>
                                <w:color w:val="000000"/>
                                <w:sz w:val="20"/>
                                <w:szCs w:val="20"/>
                                <w:lang w:eastAsia="en-MY"/>
                              </w:rPr>
                              <w:t>A</w:t>
                            </w:r>
                            <w:r w:rsidRPr="001C1D2E">
                              <w:rPr>
                                <w:rFonts w:eastAsia="Times New Roman" w:cs="Times New Roman"/>
                                <w:color w:val="000000"/>
                                <w:sz w:val="20"/>
                                <w:szCs w:val="20"/>
                                <w:vertAlign w:val="subscript"/>
                                <w:lang w:eastAsia="en-MY"/>
                              </w:rPr>
                              <w:t>12.5</w:t>
                            </w:r>
                            <w:r w:rsidRPr="001C1D2E">
                              <w:rPr>
                                <w:rFonts w:eastAsia="Times New Roman" w:cs="Times New Roman"/>
                                <w:color w:val="000000"/>
                                <w:sz w:val="20"/>
                                <w:szCs w:val="20"/>
                                <w:lang w:eastAsia="en-MY"/>
                              </w:rPr>
                              <w:t>B</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S</w:t>
                            </w:r>
                            <w:r w:rsidRPr="001C1D2E">
                              <w:rPr>
                                <w:rFonts w:eastAsia="Times New Roman" w:cs="Times New Roman"/>
                                <w:color w:val="000000"/>
                                <w:sz w:val="20"/>
                                <w:szCs w:val="20"/>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377B2" id="Text Box 1385" o:spid="_x0000_s1307" type="#_x0000_t202" style="position:absolute;left:0;text-align:left;margin-left:338.85pt;margin-top:154.15pt;width:93.15pt;height:20.35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" fillcolor="window" stroked="f" strokeweight=".5pt">
                <v:textbox>
                  <w:txbxContent>
                    <w:p w14:paraId="71BC2BBC" w14:textId="77777777" w:rsidR="00230AB9" w:rsidRPr="001C1D2E" w:rsidRDefault="00230AB9" w:rsidP="00D740DC">
                      <w:pPr>
                        <w:rPr>
                          <w:sz w:val="20"/>
                          <w:szCs w:val="20"/>
                        </w:rPr>
                      </w:pPr>
                      <w:r w:rsidRPr="001C1D2E">
                        <w:rPr>
                          <w:rFonts w:eastAsia="Times New Roman" w:cs="Times New Roman"/>
                          <w:color w:val="000000"/>
                          <w:sz w:val="20"/>
                          <w:szCs w:val="20"/>
                          <w:lang w:eastAsia="en-MY"/>
                        </w:rPr>
                        <w:t>N</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C</w:t>
                      </w:r>
                      <w:r w:rsidRPr="001C1D2E">
                        <w:rPr>
                          <w:rFonts w:eastAsia="Times New Roman" w:cs="Times New Roman"/>
                          <w:color w:val="000000"/>
                          <w:sz w:val="20"/>
                          <w:szCs w:val="20"/>
                          <w:vertAlign w:val="subscript"/>
                          <w:lang w:eastAsia="en-MY"/>
                        </w:rPr>
                        <w:t>7.5</w:t>
                      </w:r>
                      <w:r w:rsidRPr="001C1D2E">
                        <w:rPr>
                          <w:rFonts w:eastAsia="Times New Roman" w:cs="Times New Roman"/>
                          <w:color w:val="000000"/>
                          <w:sz w:val="20"/>
                          <w:szCs w:val="20"/>
                          <w:lang w:eastAsia="en-MY"/>
                        </w:rPr>
                        <w:t>A</w:t>
                      </w:r>
                      <w:r w:rsidRPr="001C1D2E">
                        <w:rPr>
                          <w:rFonts w:eastAsia="Times New Roman" w:cs="Times New Roman"/>
                          <w:color w:val="000000"/>
                          <w:sz w:val="20"/>
                          <w:szCs w:val="20"/>
                          <w:vertAlign w:val="subscript"/>
                          <w:lang w:eastAsia="en-MY"/>
                        </w:rPr>
                        <w:t>12.5</w:t>
                      </w:r>
                      <w:r w:rsidRPr="001C1D2E">
                        <w:rPr>
                          <w:rFonts w:eastAsia="Times New Roman" w:cs="Times New Roman"/>
                          <w:color w:val="000000"/>
                          <w:sz w:val="20"/>
                          <w:szCs w:val="20"/>
                          <w:lang w:eastAsia="en-MY"/>
                        </w:rPr>
                        <w:t>B</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S</w:t>
                      </w:r>
                      <w:r w:rsidRPr="001C1D2E">
                        <w:rPr>
                          <w:rFonts w:eastAsia="Times New Roman" w:cs="Times New Roman"/>
                          <w:color w:val="000000"/>
                          <w:sz w:val="20"/>
                          <w:szCs w:val="20"/>
                          <w:vertAlign w:val="subscript"/>
                          <w:lang w:eastAsia="en-MY"/>
                        </w:rPr>
                        <w:t>60</w:t>
                      </w:r>
                    </w:p>
                  </w:txbxContent>
                </v:textbox>
              </v:shape>
            </w:pict>
          </mc:Fallback>
        </mc:AlternateContent>
      </w:r>
      <w:r w:rsidRPr="000E2377">
        <w:rPr>
          <w:noProof/>
          <w:lang w:eastAsia="en-MY"/>
        </w:rPr>
        <mc:AlternateContent>
          <mc:Choice Requires="wps">
            <w:drawing>
              <wp:anchor distT="0" distB="0" distL="114300" distR="114300" simplePos="0" relativeHeight="252430336" behindDoc="0" locked="0" layoutInCell="1" allowOverlap="1" wp14:anchorId="4408BCCF" wp14:editId="1E403A7A">
                <wp:simplePos x="0" y="0"/>
                <wp:positionH relativeFrom="column">
                  <wp:posOffset>4442791</wp:posOffset>
                </wp:positionH>
                <wp:positionV relativeFrom="paragraph">
                  <wp:posOffset>1739348</wp:posOffset>
                </wp:positionV>
                <wp:extent cx="1192696" cy="248478"/>
                <wp:effectExtent l="0" t="0" r="7620" b="0"/>
                <wp:wrapNone/>
                <wp:docPr id="1384" name="Text Box 1384"/>
                <wp:cNvGraphicFramePr/>
                <a:graphic xmlns:a="http://schemas.openxmlformats.org/drawingml/2006/main">
                  <a:graphicData uri="http://schemas.microsoft.com/office/word/2010/wordprocessingShape">
                    <wps:wsp>
                      <wps:cNvSpPr txBox="1"/>
                      <wps:spPr>
                        <a:xfrm>
                          <a:off x="0" y="0"/>
                          <a:ext cx="1192696" cy="248478"/>
                        </a:xfrm>
                        <a:prstGeom prst="rect">
                          <a:avLst/>
                        </a:prstGeom>
                        <a:solidFill>
                          <a:sysClr val="window" lastClr="FFFFFF"/>
                        </a:solidFill>
                        <a:ln w="6350">
                          <a:noFill/>
                        </a:ln>
                      </wps:spPr>
                      <wps:txbx>
                        <w:txbxContent>
                          <w:p w14:paraId="61E62D02" w14:textId="77777777" w:rsidR="00230AB9" w:rsidRPr="001C1D2E" w:rsidRDefault="00230AB9" w:rsidP="00D740DC">
                            <w:pPr>
                              <w:rPr>
                                <w:sz w:val="20"/>
                                <w:szCs w:val="20"/>
                              </w:rPr>
                            </w:pPr>
                            <w:r w:rsidRPr="001C1D2E">
                              <w:rPr>
                                <w:rFonts w:eastAsia="Times New Roman" w:cs="Times New Roman"/>
                                <w:color w:val="000000"/>
                                <w:sz w:val="20"/>
                                <w:szCs w:val="20"/>
                                <w:lang w:eastAsia="en-MY"/>
                              </w:rPr>
                              <w:t>N</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C</w:t>
                            </w:r>
                            <w:r w:rsidRPr="001C1D2E">
                              <w:rPr>
                                <w:rFonts w:eastAsia="Times New Roman" w:cs="Times New Roman"/>
                                <w:color w:val="000000"/>
                                <w:sz w:val="20"/>
                                <w:szCs w:val="20"/>
                                <w:vertAlign w:val="subscript"/>
                                <w:lang w:eastAsia="en-MY"/>
                              </w:rPr>
                              <w:t>5</w:t>
                            </w:r>
                            <w:r w:rsidRPr="001C1D2E">
                              <w:rPr>
                                <w:rFonts w:eastAsia="Times New Roman" w:cs="Times New Roman"/>
                                <w:color w:val="000000"/>
                                <w:sz w:val="20"/>
                                <w:szCs w:val="20"/>
                                <w:lang w:eastAsia="en-MY"/>
                              </w:rPr>
                              <w:t>A</w:t>
                            </w:r>
                            <w:r w:rsidRPr="001C1D2E">
                              <w:rPr>
                                <w:rFonts w:eastAsia="Times New Roman" w:cs="Times New Roman"/>
                                <w:color w:val="000000"/>
                                <w:sz w:val="20"/>
                                <w:szCs w:val="20"/>
                                <w:vertAlign w:val="subscript"/>
                                <w:lang w:eastAsia="en-MY"/>
                              </w:rPr>
                              <w:t>15</w:t>
                            </w:r>
                            <w:r w:rsidRPr="001C1D2E">
                              <w:rPr>
                                <w:rFonts w:eastAsia="Times New Roman" w:cs="Times New Roman"/>
                                <w:color w:val="000000"/>
                                <w:sz w:val="20"/>
                                <w:szCs w:val="20"/>
                                <w:lang w:eastAsia="en-MY"/>
                              </w:rPr>
                              <w:t>B</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S</w:t>
                            </w:r>
                            <w:r w:rsidRPr="001C1D2E">
                              <w:rPr>
                                <w:rFonts w:eastAsia="Times New Roman" w:cs="Times New Roman"/>
                                <w:color w:val="000000"/>
                                <w:sz w:val="20"/>
                                <w:szCs w:val="20"/>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8BCCF" id="Text Box 1384" o:spid="_x0000_s1308" type="#_x0000_t202" style="position:absolute;left:0;text-align:left;margin-left:349.85pt;margin-top:136.95pt;width:93.9pt;height:19.5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" fillcolor="window" stroked="f" strokeweight=".5pt">
                <v:textbox>
                  <w:txbxContent>
                    <w:p w14:paraId="61E62D02" w14:textId="77777777" w:rsidR="00230AB9" w:rsidRPr="001C1D2E" w:rsidRDefault="00230AB9" w:rsidP="00D740DC">
                      <w:pPr>
                        <w:rPr>
                          <w:sz w:val="20"/>
                          <w:szCs w:val="20"/>
                        </w:rPr>
                      </w:pPr>
                      <w:r w:rsidRPr="001C1D2E">
                        <w:rPr>
                          <w:rFonts w:eastAsia="Times New Roman" w:cs="Times New Roman"/>
                          <w:color w:val="000000"/>
                          <w:sz w:val="20"/>
                          <w:szCs w:val="20"/>
                          <w:lang w:eastAsia="en-MY"/>
                        </w:rPr>
                        <w:t>N</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C</w:t>
                      </w:r>
                      <w:r w:rsidRPr="001C1D2E">
                        <w:rPr>
                          <w:rFonts w:eastAsia="Times New Roman" w:cs="Times New Roman"/>
                          <w:color w:val="000000"/>
                          <w:sz w:val="20"/>
                          <w:szCs w:val="20"/>
                          <w:vertAlign w:val="subscript"/>
                          <w:lang w:eastAsia="en-MY"/>
                        </w:rPr>
                        <w:t>5</w:t>
                      </w:r>
                      <w:r w:rsidRPr="001C1D2E">
                        <w:rPr>
                          <w:rFonts w:eastAsia="Times New Roman" w:cs="Times New Roman"/>
                          <w:color w:val="000000"/>
                          <w:sz w:val="20"/>
                          <w:szCs w:val="20"/>
                          <w:lang w:eastAsia="en-MY"/>
                        </w:rPr>
                        <w:t>A</w:t>
                      </w:r>
                      <w:r w:rsidRPr="001C1D2E">
                        <w:rPr>
                          <w:rFonts w:eastAsia="Times New Roman" w:cs="Times New Roman"/>
                          <w:color w:val="000000"/>
                          <w:sz w:val="20"/>
                          <w:szCs w:val="20"/>
                          <w:vertAlign w:val="subscript"/>
                          <w:lang w:eastAsia="en-MY"/>
                        </w:rPr>
                        <w:t>15</w:t>
                      </w:r>
                      <w:r w:rsidRPr="001C1D2E">
                        <w:rPr>
                          <w:rFonts w:eastAsia="Times New Roman" w:cs="Times New Roman"/>
                          <w:color w:val="000000"/>
                          <w:sz w:val="20"/>
                          <w:szCs w:val="20"/>
                          <w:lang w:eastAsia="en-MY"/>
                        </w:rPr>
                        <w:t>B</w:t>
                      </w:r>
                      <w:r w:rsidRPr="001C1D2E">
                        <w:rPr>
                          <w:rFonts w:eastAsia="Times New Roman" w:cs="Times New Roman"/>
                          <w:color w:val="000000"/>
                          <w:sz w:val="20"/>
                          <w:szCs w:val="20"/>
                          <w:vertAlign w:val="subscript"/>
                          <w:lang w:eastAsia="en-MY"/>
                        </w:rPr>
                        <w:t>10</w:t>
                      </w:r>
                      <w:r w:rsidRPr="001C1D2E">
                        <w:rPr>
                          <w:rFonts w:eastAsia="Times New Roman" w:cs="Times New Roman"/>
                          <w:color w:val="000000"/>
                          <w:sz w:val="20"/>
                          <w:szCs w:val="20"/>
                          <w:lang w:eastAsia="en-MY"/>
                        </w:rPr>
                        <w:t>S</w:t>
                      </w:r>
                      <w:r w:rsidRPr="001C1D2E">
                        <w:rPr>
                          <w:rFonts w:eastAsia="Times New Roman" w:cs="Times New Roman"/>
                          <w:color w:val="000000"/>
                          <w:sz w:val="20"/>
                          <w:szCs w:val="20"/>
                          <w:vertAlign w:val="subscript"/>
                          <w:lang w:eastAsia="en-MY"/>
                        </w:rPr>
                        <w:t>60</w:t>
                      </w:r>
                    </w:p>
                  </w:txbxContent>
                </v:textbox>
              </v:shape>
            </w:pict>
          </mc:Fallback>
        </mc:AlternateContent>
      </w:r>
      <w:r w:rsidRPr="000E2377">
        <w:rPr>
          <w:noProof/>
          <w:lang w:eastAsia="en-MY"/>
        </w:rPr>
        <mc:AlternateContent>
          <mc:Choice Requires="wps">
            <w:drawing>
              <wp:anchor distT="0" distB="0" distL="114300" distR="114300" simplePos="0" relativeHeight="252279808" behindDoc="0" locked="0" layoutInCell="1" allowOverlap="1" wp14:anchorId="211015AA" wp14:editId="011BEF35">
                <wp:simplePos x="0" y="0"/>
                <wp:positionH relativeFrom="column">
                  <wp:posOffset>231384</wp:posOffset>
                </wp:positionH>
                <wp:positionV relativeFrom="paragraph">
                  <wp:posOffset>59202</wp:posOffset>
                </wp:positionV>
                <wp:extent cx="337820" cy="337820"/>
                <wp:effectExtent l="0" t="0" r="0" b="5080"/>
                <wp:wrapNone/>
                <wp:docPr id="2120" name="Text Box 2120"/>
                <wp:cNvGraphicFramePr/>
                <a:graphic xmlns:a="http://schemas.openxmlformats.org/drawingml/2006/main">
                  <a:graphicData uri="http://schemas.microsoft.com/office/word/2010/wordprocessingShape">
                    <wps:wsp>
                      <wps:cNvSpPr txBox="1"/>
                      <wps:spPr>
                        <a:xfrm>
                          <a:off x="0" y="0"/>
                          <a:ext cx="337820" cy="337820"/>
                        </a:xfrm>
                        <a:prstGeom prst="rect">
                          <a:avLst/>
                        </a:prstGeom>
                        <a:noFill/>
                        <a:ln w="6350">
                          <a:noFill/>
                        </a:ln>
                      </wps:spPr>
                      <wps:txbx>
                        <w:txbxContent>
                          <w:p w14:paraId="4545AF67" w14:textId="77777777" w:rsidR="00230AB9" w:rsidRDefault="00230AB9" w:rsidP="00D740DC">
                            <w:pPr>
                              <w:rPr>
                                <w:b w:val="0"/>
                              </w:rPr>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015AA" id="Text Box 2120" o:spid="_x0000_s1309" type="#_x0000_t202" style="position:absolute;left:0;text-align:left;margin-left:18.2pt;margin-top:4.65pt;width:26.6pt;height:26.6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" filled="f" stroked="f" strokeweight=".5pt">
                <v:textbox>
                  <w:txbxContent>
                    <w:p w14:paraId="4545AF67" w14:textId="77777777" w:rsidR="00230AB9" w:rsidRDefault="00230AB9" w:rsidP="00D740DC">
                      <w:pPr>
                        <w:rPr>
                          <w:b w:val="0"/>
                        </w:rPr>
                      </w:pPr>
                      <w:r>
                        <w:t>b)</w:t>
                      </w:r>
                    </w:p>
                  </w:txbxContent>
                </v:textbox>
              </v:shape>
            </w:pict>
          </mc:Fallback>
        </mc:AlternateContent>
      </w:r>
      <w:r w:rsidRPr="000E2377">
        <w:rPr>
          <w:rFonts w:cs="Times New Roman"/>
          <w:b w:val="0"/>
          <w:noProof/>
          <w:szCs w:val="24"/>
          <w:lang w:eastAsia="en-MY"/>
        </w:rPr>
        <mc:AlternateContent>
          <mc:Choice Requires="wpg">
            <w:drawing>
              <wp:anchor distT="0" distB="0" distL="114300" distR="114300" simplePos="0" relativeHeight="252269568" behindDoc="0" locked="0" layoutInCell="1" allowOverlap="1" wp14:anchorId="27B46C91" wp14:editId="4FB5C5E0">
                <wp:simplePos x="0" y="0"/>
                <wp:positionH relativeFrom="column">
                  <wp:posOffset>984250</wp:posOffset>
                </wp:positionH>
                <wp:positionV relativeFrom="paragraph">
                  <wp:posOffset>2560125</wp:posOffset>
                </wp:positionV>
                <wp:extent cx="2763569" cy="225425"/>
                <wp:effectExtent l="0" t="0" r="0" b="3175"/>
                <wp:wrapNone/>
                <wp:docPr id="2368" name="Group 2368"/>
                <wp:cNvGraphicFramePr/>
                <a:graphic xmlns:a="http://schemas.openxmlformats.org/drawingml/2006/main">
                  <a:graphicData uri="http://schemas.microsoft.com/office/word/2010/wordprocessingGroup">
                    <wpg:wgp>
                      <wpg:cNvGrpSpPr/>
                      <wpg:grpSpPr>
                        <a:xfrm>
                          <a:off x="0" y="0"/>
                          <a:ext cx="2763569" cy="225425"/>
                          <a:chOff x="0" y="0"/>
                          <a:chExt cx="2763569" cy="225425"/>
                        </a:xfrm>
                      </wpg:grpSpPr>
                      <wps:wsp>
                        <wps:cNvPr id="2122" name="Text Box 2122"/>
                        <wps:cNvSpPr txBox="1"/>
                        <wps:spPr>
                          <a:xfrm>
                            <a:off x="0" y="0"/>
                            <a:ext cx="653415" cy="225425"/>
                          </a:xfrm>
                          <a:prstGeom prst="rect">
                            <a:avLst/>
                          </a:prstGeom>
                          <a:noFill/>
                          <a:ln w="6350">
                            <a:noFill/>
                          </a:ln>
                        </wps:spPr>
                        <wps:txbx>
                          <w:txbxContent>
                            <w:p w14:paraId="10BA6385" w14:textId="77777777" w:rsidR="00230AB9" w:rsidRDefault="00230AB9" w:rsidP="00D740DC">
                              <w:pPr>
                                <w:rPr>
                                  <w:sz w:val="16"/>
                                  <w:szCs w:val="16"/>
                                </w:rPr>
                              </w:pPr>
                              <w:r>
                                <w:rPr>
                                  <w:sz w:val="16"/>
                                  <w:szCs w:val="16"/>
                                </w:rPr>
                                <w:t>Region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1" name="Text Box 2121"/>
                        <wps:cNvSpPr txBox="1"/>
                        <wps:spPr>
                          <a:xfrm>
                            <a:off x="675250" y="0"/>
                            <a:ext cx="653415" cy="225425"/>
                          </a:xfrm>
                          <a:prstGeom prst="rect">
                            <a:avLst/>
                          </a:prstGeom>
                          <a:noFill/>
                          <a:ln w="6350">
                            <a:noFill/>
                          </a:ln>
                        </wps:spPr>
                        <wps:txbx>
                          <w:txbxContent>
                            <w:p w14:paraId="681E1822" w14:textId="77777777" w:rsidR="00230AB9" w:rsidRDefault="00230AB9" w:rsidP="00D740DC">
                              <w:pPr>
                                <w:rPr>
                                  <w:sz w:val="16"/>
                                  <w:szCs w:val="16"/>
                                </w:rPr>
                              </w:pPr>
                              <w:r>
                                <w:rPr>
                                  <w:sz w:val="16"/>
                                  <w:szCs w:val="16"/>
                                </w:rPr>
                                <w:t>Region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3" name="Text Box 2123"/>
                        <wps:cNvSpPr txBox="1"/>
                        <wps:spPr>
                          <a:xfrm>
                            <a:off x="1322364" y="0"/>
                            <a:ext cx="653415" cy="225425"/>
                          </a:xfrm>
                          <a:prstGeom prst="rect">
                            <a:avLst/>
                          </a:prstGeom>
                          <a:noFill/>
                          <a:ln w="6350">
                            <a:noFill/>
                          </a:ln>
                        </wps:spPr>
                        <wps:txbx>
                          <w:txbxContent>
                            <w:p w14:paraId="7B453B4E" w14:textId="77777777" w:rsidR="00230AB9" w:rsidRDefault="00230AB9" w:rsidP="00D740DC">
                              <w:pPr>
                                <w:rPr>
                                  <w:sz w:val="16"/>
                                  <w:szCs w:val="16"/>
                                </w:rPr>
                              </w:pPr>
                              <w:r>
                                <w:rPr>
                                  <w:sz w:val="16"/>
                                  <w:szCs w:val="16"/>
                                </w:rPr>
                                <w:t>Region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4" name="Text Box 2124"/>
                        <wps:cNvSpPr txBox="1"/>
                        <wps:spPr>
                          <a:xfrm>
                            <a:off x="2110154" y="0"/>
                            <a:ext cx="653415" cy="225425"/>
                          </a:xfrm>
                          <a:prstGeom prst="rect">
                            <a:avLst/>
                          </a:prstGeom>
                          <a:noFill/>
                          <a:ln w="6350">
                            <a:noFill/>
                          </a:ln>
                        </wps:spPr>
                        <wps:txbx>
                          <w:txbxContent>
                            <w:p w14:paraId="059D000F" w14:textId="77777777" w:rsidR="00230AB9" w:rsidRDefault="00230AB9" w:rsidP="00D740DC">
                              <w:pPr>
                                <w:rPr>
                                  <w:sz w:val="16"/>
                                  <w:szCs w:val="16"/>
                                </w:rPr>
                              </w:pPr>
                              <w:r>
                                <w:rPr>
                                  <w:sz w:val="16"/>
                                  <w:szCs w:val="16"/>
                                </w:rPr>
                                <w:t>Region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7B46C91" id="Group 2368" o:spid="_x0000_s1310" style="position:absolute;left:0;text-align:left;margin-left:77.5pt;margin-top:201.6pt;width:217.6pt;height:17.75pt;z-index:252269568" coordsize="27635,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">
                <v:shape id="Text Box 2122" o:spid="_x0000_s1311" type="#_x0000_t202" style="position:absolute;width:6534;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" filled="f" stroked="f" strokeweight=".5pt">
                  <v:textbox>
                    <w:txbxContent>
                      <w:p w14:paraId="10BA6385" w14:textId="77777777" w:rsidR="00230AB9" w:rsidRDefault="00230AB9" w:rsidP="00D740DC">
                        <w:pPr>
                          <w:rPr>
                            <w:sz w:val="16"/>
                            <w:szCs w:val="16"/>
                          </w:rPr>
                        </w:pPr>
                        <w:r>
                          <w:rPr>
                            <w:sz w:val="16"/>
                            <w:szCs w:val="16"/>
                          </w:rPr>
                          <w:t>Region A</w:t>
                        </w:r>
                      </w:p>
                    </w:txbxContent>
                  </v:textbox>
                </v:shape>
                <v:shape id="Text Box 2121" o:spid="_x0000_s1312" type="#_x0000_t202" style="position:absolute;left:6752;width:6534;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" filled="f" stroked="f" strokeweight=".5pt">
                  <v:textbox>
                    <w:txbxContent>
                      <w:p w14:paraId="681E1822" w14:textId="77777777" w:rsidR="00230AB9" w:rsidRDefault="00230AB9" w:rsidP="00D740DC">
                        <w:pPr>
                          <w:rPr>
                            <w:sz w:val="16"/>
                            <w:szCs w:val="16"/>
                          </w:rPr>
                        </w:pPr>
                        <w:r>
                          <w:rPr>
                            <w:sz w:val="16"/>
                            <w:szCs w:val="16"/>
                          </w:rPr>
                          <w:t>Region B</w:t>
                        </w:r>
                      </w:p>
                    </w:txbxContent>
                  </v:textbox>
                </v:shape>
                <v:shape id="Text Box 2123" o:spid="_x0000_s1313" type="#_x0000_t202" style="position:absolute;left:13223;width:6534;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" filled="f" stroked="f" strokeweight=".5pt">
                  <v:textbox>
                    <w:txbxContent>
                      <w:p w14:paraId="7B453B4E" w14:textId="77777777" w:rsidR="00230AB9" w:rsidRDefault="00230AB9" w:rsidP="00D740DC">
                        <w:pPr>
                          <w:rPr>
                            <w:sz w:val="16"/>
                            <w:szCs w:val="16"/>
                          </w:rPr>
                        </w:pPr>
                        <w:r>
                          <w:rPr>
                            <w:sz w:val="16"/>
                            <w:szCs w:val="16"/>
                          </w:rPr>
                          <w:t>Region C</w:t>
                        </w:r>
                      </w:p>
                    </w:txbxContent>
                  </v:textbox>
                </v:shape>
                <v:shape id="Text Box 2124" o:spid="_x0000_s1314" type="#_x0000_t202" style="position:absolute;left:21101;width:6534;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" filled="f" stroked="f" strokeweight=".5pt">
                  <v:textbox>
                    <w:txbxContent>
                      <w:p w14:paraId="059D000F" w14:textId="77777777" w:rsidR="00230AB9" w:rsidRDefault="00230AB9" w:rsidP="00D740DC">
                        <w:pPr>
                          <w:rPr>
                            <w:sz w:val="16"/>
                            <w:szCs w:val="16"/>
                          </w:rPr>
                        </w:pPr>
                        <w:r>
                          <w:rPr>
                            <w:sz w:val="16"/>
                            <w:szCs w:val="16"/>
                          </w:rPr>
                          <w:t>Region D</w:t>
                        </w:r>
                      </w:p>
                    </w:txbxContent>
                  </v:textbox>
                </v:shape>
              </v:group>
            </w:pict>
          </mc:Fallback>
        </mc:AlternateContent>
      </w:r>
      <w:r w:rsidRPr="000E2377">
        <w:rPr>
          <w:noProof/>
          <w:lang w:eastAsia="en-MY"/>
        </w:rPr>
        <w:drawing>
          <wp:inline distT="0" distB="0" distL="0" distR="0" wp14:anchorId="0B75077F" wp14:editId="23AD3827">
            <wp:extent cx="4855305" cy="324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55305" cy="3240000"/>
                    </a:xfrm>
                    <a:prstGeom prst="rect">
                      <a:avLst/>
                    </a:prstGeom>
                    <a:noFill/>
                    <a:ln>
                      <a:noFill/>
                    </a:ln>
                  </pic:spPr>
                </pic:pic>
              </a:graphicData>
            </a:graphic>
          </wp:inline>
        </w:drawing>
      </w:r>
    </w:p>
    <w:p w14:paraId="42FF5280" w14:textId="460C5B44" w:rsidR="00D740DC" w:rsidRPr="000E2377" w:rsidRDefault="009F4E44" w:rsidP="00D740DC">
      <w:pPr>
        <w:pStyle w:val="Caption"/>
        <w:rPr>
          <w:rFonts w:eastAsia="Times New Roman"/>
          <w:color w:val="000000"/>
          <w:szCs w:val="24"/>
          <w:lang w:eastAsia="en-MY"/>
        </w:rPr>
      </w:pPr>
      <w:bookmarkStart w:id="730" w:name="_Toc521420479"/>
      <w:bookmarkStart w:id="731" w:name="_Toc525223213"/>
      <w:bookmarkStart w:id="732" w:name="_Toc525528360"/>
      <w:bookmarkStart w:id="733" w:name="_Toc525706375"/>
      <w:bookmarkStart w:id="734" w:name="_Hlk515396439"/>
      <w:r>
        <w:t>Figure 4.15:</w:t>
      </w:r>
      <w:r w:rsidR="00D740DC" w:rsidRPr="000E2377">
        <w:t xml:space="preserve"> </w:t>
      </w:r>
      <w:r w:rsidR="00D740DC" w:rsidRPr="000E2377">
        <w:rPr>
          <w:szCs w:val="24"/>
        </w:rPr>
        <w:t xml:space="preserve">Normalised Raman spectra for series a)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15</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15-x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60</w:t>
      </w:r>
      <w:r w:rsidR="00D740DC" w:rsidRPr="000E2377">
        <w:rPr>
          <w:szCs w:val="24"/>
        </w:rPr>
        <w:t xml:space="preserve">,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15</w:t>
      </w:r>
      <w:r w:rsidR="00D740DC" w:rsidRPr="000E2377">
        <w:rPr>
          <w:rFonts w:eastAsia="Times New Roman"/>
          <w:color w:val="000000"/>
          <w:szCs w:val="24"/>
          <w:lang w:eastAsia="en-MY"/>
        </w:rPr>
        <w:t>Ba</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15-x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 xml:space="preserve">60 </w:t>
      </w:r>
      <w:r w:rsidR="00D740DC" w:rsidRPr="000E2377">
        <w:rPr>
          <w:rFonts w:eastAsia="Times New Roman"/>
          <w:color w:val="000000"/>
          <w:szCs w:val="24"/>
          <w:lang w:eastAsia="en-MY"/>
        </w:rPr>
        <w:t>and b) N</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20-x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60</w:t>
      </w:r>
      <w:r w:rsidR="00D740DC" w:rsidRPr="000E2377">
        <w:rPr>
          <w:szCs w:val="24"/>
        </w:rPr>
        <w:t xml:space="preserve"> and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Ba</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20-x</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 xml:space="preserve">60 </w:t>
      </w:r>
      <w:r w:rsidR="00D740DC" w:rsidRPr="000E2377">
        <w:rPr>
          <w:rFonts w:eastAsia="Times New Roman"/>
          <w:color w:val="000000"/>
          <w:szCs w:val="24"/>
          <w:lang w:eastAsia="en-MY"/>
        </w:rPr>
        <w:t>glasses.</w:t>
      </w:r>
      <w:bookmarkEnd w:id="730"/>
      <w:bookmarkEnd w:id="731"/>
      <w:bookmarkEnd w:id="732"/>
      <w:bookmarkEnd w:id="733"/>
    </w:p>
    <w:bookmarkEnd w:id="734"/>
    <w:p w14:paraId="580CD556" w14:textId="3C0C89DF" w:rsidR="00D740DC" w:rsidRPr="000E2377" w:rsidRDefault="00D740DC" w:rsidP="00D740DC">
      <w:pPr>
        <w:spacing w:line="360" w:lineRule="auto"/>
        <w:jc w:val="both"/>
        <w:rPr>
          <w:rFonts w:cs="Times New Roman"/>
          <w:b w:val="0"/>
          <w:szCs w:val="24"/>
        </w:rPr>
      </w:pPr>
      <w:r w:rsidRPr="000E2377">
        <w:rPr>
          <w:rFonts w:cs="Times New Roman"/>
          <w:b w:val="0"/>
          <w:szCs w:val="24"/>
        </w:rPr>
        <w:t xml:space="preserve">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szCs w:val="24"/>
        </w:rPr>
        <w:t xml:space="preserve"> 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color w:val="000000"/>
          <w:szCs w:val="24"/>
          <w:vertAlign w:val="subscript"/>
          <w:lang w:eastAsia="en-MY"/>
        </w:rPr>
        <w:t xml:space="preserve"> </w:t>
      </w:r>
      <w:r w:rsidRPr="000E2377">
        <w:rPr>
          <w:rFonts w:cs="Times New Roman"/>
          <w:b w:val="0"/>
          <w:szCs w:val="24"/>
        </w:rPr>
        <w:t>glasses (Figure 4.1</w:t>
      </w:r>
      <w:r>
        <w:rPr>
          <w:rFonts w:cs="Times New Roman"/>
          <w:b w:val="0"/>
          <w:szCs w:val="24"/>
        </w:rPr>
        <w:t>5</w:t>
      </w:r>
      <w:r w:rsidRPr="000E2377">
        <w:rPr>
          <w:rFonts w:cs="Times New Roman"/>
          <w:b w:val="0"/>
          <w:szCs w:val="24"/>
        </w:rPr>
        <w:t xml:space="preserve">a), the low frequency Raman peak has a lower relative intensity than for the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cs="Times New Roman"/>
          <w:b w:val="0"/>
          <w:szCs w:val="24"/>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70 </w:t>
      </w:r>
      <w:r w:rsidRPr="000E2377">
        <w:rPr>
          <w:rFonts w:cs="Times New Roman"/>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cs="Times New Roman"/>
          <w:b w:val="0"/>
          <w:szCs w:val="24"/>
        </w:rPr>
        <w:t xml:space="preserve">glasses. With increasing calcium oxide or barium oxide in the composition, the position of the highest intensity moves to higher wavenumbers but decreases in intensity. </w:t>
      </w:r>
      <w:r w:rsidRPr="000E2377">
        <w:rPr>
          <w:rFonts w:cs="Times New Roman"/>
          <w:b w:val="0"/>
          <w:szCs w:val="24"/>
        </w:rPr>
        <w:lastRenderedPageBreak/>
        <w:t>The D</w:t>
      </w:r>
      <w:r w:rsidRPr="000E2377">
        <w:rPr>
          <w:rFonts w:cs="Times New Roman"/>
          <w:b w:val="0"/>
          <w:szCs w:val="24"/>
          <w:vertAlign w:val="subscript"/>
        </w:rPr>
        <w:t xml:space="preserve">2 </w:t>
      </w:r>
      <w:r w:rsidRPr="000E2377">
        <w:rPr>
          <w:rFonts w:cs="Times New Roman"/>
          <w:b w:val="0"/>
          <w:szCs w:val="24"/>
        </w:rPr>
        <w:t>shoulder was present in all cases at ~625 cm</w:t>
      </w:r>
      <w:r w:rsidRPr="000E2377">
        <w:rPr>
          <w:rFonts w:cs="Times New Roman"/>
          <w:b w:val="0"/>
          <w:szCs w:val="24"/>
          <w:vertAlign w:val="superscript"/>
        </w:rPr>
        <w:t>-1</w:t>
      </w:r>
      <w:r w:rsidRPr="000E2377">
        <w:rPr>
          <w:rFonts w:cs="Times New Roman"/>
          <w:b w:val="0"/>
          <w:szCs w:val="24"/>
        </w:rPr>
        <w:t>. At the highest calcium and barium oxide contents considered another small peak appeared at around 570 cm</w:t>
      </w:r>
      <w:r w:rsidRPr="000E2377">
        <w:rPr>
          <w:rFonts w:cs="Times New Roman"/>
          <w:b w:val="0"/>
          <w:szCs w:val="24"/>
          <w:vertAlign w:val="superscript"/>
        </w:rPr>
        <w:t>-1</w:t>
      </w:r>
      <w:r w:rsidRPr="000E2377">
        <w:rPr>
          <w:rFonts w:cs="Times New Roman"/>
          <w:b w:val="0"/>
          <w:szCs w:val="24"/>
        </w:rPr>
        <w:t xml:space="preserve">.  Meanwhile 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b w:val="0"/>
          <w:color w:val="000000"/>
          <w:szCs w:val="24"/>
          <w:lang w:eastAsia="en-MY"/>
        </w:rPr>
        <w:t>, 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color w:val="000000"/>
          <w:sz w:val="16"/>
          <w:szCs w:val="16"/>
          <w:vertAlign w:val="subscript"/>
          <w:lang w:eastAsia="en-MY"/>
        </w:rPr>
        <w:t xml:space="preserve"> </w:t>
      </w:r>
      <w:r w:rsidRPr="000E2377">
        <w:rPr>
          <w:rFonts w:cs="Times New Roman"/>
          <w:b w:val="0"/>
          <w:szCs w:val="24"/>
        </w:rPr>
        <w:t>glasses (Figure 4.1</w:t>
      </w:r>
      <w:r>
        <w:rPr>
          <w:rFonts w:cs="Times New Roman"/>
          <w:b w:val="0"/>
          <w:szCs w:val="24"/>
        </w:rPr>
        <w:t>5</w:t>
      </w:r>
      <w:r w:rsidRPr="000E2377">
        <w:rPr>
          <w:rFonts w:cs="Times New Roman"/>
          <w:b w:val="0"/>
          <w:szCs w:val="24"/>
        </w:rPr>
        <w:t>b) the peak at 490-550 cm</w:t>
      </w:r>
      <w:r w:rsidRPr="000E2377">
        <w:rPr>
          <w:rFonts w:cs="Times New Roman"/>
          <w:b w:val="0"/>
          <w:szCs w:val="24"/>
          <w:vertAlign w:val="superscript"/>
        </w:rPr>
        <w:t>-1</w:t>
      </w:r>
      <w:r w:rsidRPr="000E2377">
        <w:rPr>
          <w:rFonts w:cs="Times New Roman"/>
          <w:b w:val="0"/>
          <w:szCs w:val="24"/>
        </w:rPr>
        <w:t xml:space="preserve"> is more intense than 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cs="Times New Roman"/>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szCs w:val="24"/>
        </w:rPr>
        <w:t xml:space="preserve"> glasses. Again as the content of calcium oxide or barium oxide is increased the position of maximum intensity moves to slightly higher wavenumbers (from 480 to 490 cm</w:t>
      </w:r>
      <w:r w:rsidRPr="000E2377">
        <w:rPr>
          <w:rFonts w:cs="Times New Roman"/>
          <w:b w:val="0"/>
          <w:szCs w:val="24"/>
          <w:vertAlign w:val="superscript"/>
        </w:rPr>
        <w:t>-1</w:t>
      </w:r>
      <w:r w:rsidRPr="000E2377">
        <w:rPr>
          <w:rFonts w:cs="Times New Roman"/>
          <w:b w:val="0"/>
          <w:szCs w:val="24"/>
        </w:rPr>
        <w:t>). Furthermore</w:t>
      </w:r>
      <w:r w:rsidR="000707B0">
        <w:rPr>
          <w:rFonts w:cs="Times New Roman"/>
          <w:b w:val="0"/>
          <w:szCs w:val="24"/>
        </w:rPr>
        <w:t>,</w:t>
      </w:r>
      <w:r w:rsidRPr="000E2377">
        <w:rPr>
          <w:rFonts w:cs="Times New Roman"/>
          <w:b w:val="0"/>
          <w:szCs w:val="24"/>
        </w:rPr>
        <w:t xml:space="preserve"> a secondary shoulder appeared at </w:t>
      </w:r>
      <w:r>
        <w:rPr>
          <w:rFonts w:cs="Times New Roman"/>
          <w:b w:val="0"/>
          <w:szCs w:val="24"/>
        </w:rPr>
        <w:t xml:space="preserve">the </w:t>
      </w:r>
      <w:r w:rsidRPr="000E2377">
        <w:rPr>
          <w:rFonts w:cs="Times New Roman"/>
          <w:b w:val="0"/>
          <w:szCs w:val="24"/>
        </w:rPr>
        <w:t>same wavenumber, 584 cm</w:t>
      </w:r>
      <w:r w:rsidRPr="000E2377">
        <w:rPr>
          <w:rFonts w:cs="Times New Roman"/>
          <w:b w:val="0"/>
          <w:szCs w:val="24"/>
          <w:vertAlign w:val="superscript"/>
        </w:rPr>
        <w:t>-1</w:t>
      </w:r>
      <w:r>
        <w:rPr>
          <w:rFonts w:cs="Times New Roman"/>
          <w:b w:val="0"/>
          <w:szCs w:val="24"/>
          <w:vertAlign w:val="superscript"/>
        </w:rPr>
        <w:t xml:space="preserve"> </w:t>
      </w:r>
      <w:r w:rsidRPr="000E2377">
        <w:rPr>
          <w:rFonts w:cs="Times New Roman"/>
          <w:b w:val="0"/>
          <w:szCs w:val="24"/>
        </w:rPr>
        <w:t>with a small shoulder at around ~580 cm</w:t>
      </w:r>
      <w:r w:rsidRPr="000E2377">
        <w:rPr>
          <w:rFonts w:cs="Times New Roman"/>
          <w:b w:val="0"/>
          <w:szCs w:val="24"/>
          <w:vertAlign w:val="superscript"/>
        </w:rPr>
        <w:t>-1</w:t>
      </w:r>
      <w:r w:rsidRPr="000E2377">
        <w:rPr>
          <w:rFonts w:cs="Times New Roman"/>
          <w:b w:val="0"/>
          <w:szCs w:val="24"/>
        </w:rPr>
        <w:t>. These shoulders correspond to 3-fold rings in the glass and Q</w:t>
      </w:r>
      <w:r w:rsidRPr="000E2377">
        <w:rPr>
          <w:rFonts w:cs="Times New Roman"/>
          <w:b w:val="0"/>
          <w:szCs w:val="24"/>
          <w:vertAlign w:val="superscript"/>
        </w:rPr>
        <w:t>3</w:t>
      </w:r>
      <w:r w:rsidRPr="000E2377">
        <w:rPr>
          <w:rFonts w:cs="Times New Roman"/>
          <w:b w:val="0"/>
          <w:szCs w:val="24"/>
        </w:rPr>
        <w:t xml:space="preserve"> units</w:t>
      </w:r>
      <w:r w:rsidR="002337E8">
        <w:rPr>
          <w:rFonts w:cs="Times New Roman"/>
          <w:b w:val="0"/>
          <w:szCs w:val="24"/>
        </w:rPr>
        <w:t>,</w:t>
      </w:r>
      <w:r w:rsidRPr="000E2377">
        <w:rPr>
          <w:rFonts w:cs="Times New Roman"/>
          <w:b w:val="0"/>
          <w:szCs w:val="24"/>
        </w:rPr>
        <w:t xml:space="preserve"> respectively </w:t>
      </w:r>
      <w:r w:rsidRPr="000E2377">
        <w:rPr>
          <w:rFonts w:cs="Times New Roman"/>
          <w:b w:val="0"/>
          <w:szCs w:val="24"/>
        </w:rPr>
        <w:fldChar w:fldCharType="begin" w:fldLock="1"/>
      </w:r>
      <w:r w:rsidR="008400FF">
        <w:rPr>
          <w:rFonts w:cs="Times New Roman"/>
          <w:b w:val="0"/>
          <w:szCs w:val="24"/>
        </w:rPr>
        <w:instrText>ADDIN CSL_CITATION { "citationItems" : [ { "id" : "ITEM-1", "itemData" : { "DOI" : "10.1016/j.gca.2013.11.010", "ISSN" : "00167037", "abstract" : "Because of their importance in both the geosciences and the glass-making industry, alkali aluminosilicate melts have been the focal point of many past studies, but despite progress many problems remain unresolved, such as the complex behaviour of the thermodynamic properties of aluminium-rich alkali silicate melts. This paper presents a study of Na2O-Al2O3-SiO2 glasses and melts, containing 75mol% SiO2 and different Al/(Al+Na) ratios. Their structure has been investigated by using Raman spectroscopy, as well as, 23Na, 27Al and 29Si 1D MAS NMR spectroscopy. Results confirm the role change of Na+ cations from network modifier to charge compensator in the presence of Al3+ ions. In addition, polymerization increases with increase of the Al/(Al+Na) ratio. These structural changes explain the observed variations in the viscosity of these melts. The viscosity data in turn allow us to calculate the configurational entropy of melts at the glass transition temperature [the Sconf(Tg)]. The variations of the Sconf(Tg) are strongly nonlinear, with sharp increases and decreases depending on the Al/(Al+Na) ratio. More importantly, a strong increase of the Sconf(Tg) is observed when a few Al2O3 is added to sodium silicate melt. A strong decrease is observed after crossing the tectosilicate join, when Al/(Al+Na)&gt;0.5 and when Al3+ ions are present in fivefold coordination, Al[5], in the glass. Furthermore, in situ 27Al NMR spectra of the peraluminous melt show a clear increase of the Al[5] concentration with increasing temperature. When considered in combination with melt fragility and heat capacity, our data demonstrate that Al[5] is clearly a transient unit at high temperature in highly polymerized tectosilicate and peraluminous melts. However, when present in glasses, Al[5] increases the stability of the aluminosilicate network, hence the Tg of glasses. This could be explained by the ability of Al[5] to carry threefold coordinated oxygen atoms in its first coordination shell, as observed in minerals. Localisation of threefold coordinated oxygen atoms on Al[5] implies an increase of the medium-range order in the glass, an hypothesis that is in agreement with the low Sconf(Tg) of peraluminous glasses. \u00a9 2013 Elsevier Ltd.", "author" : [ { "dropping-particle" : "", "family" : "Losq", "given" : "Charles", "non-dropping-particle" : "Le", "parse-names" : false, "suffix" : "" }, { "dropping-particle" : "", "family" : "Neuville", "given" : "Daniel R.", "non-dropping-particle" : "", "parse-names" : false, "suffix" : "" }, { "dropping-particle" : "", "family" : "Florian", "given" : "Pierre", "non-dropping-particle" : "", "parse-names" : false, "suffix" : "" }, { "dropping-particle" : "", "family" : "Henderson", "given" : "Grant S.", "non-dropping-particle" : "", "parse-names" : false, "suffix" : "" }, { "dropping-particle" : "", "family" : "Massiot", "given" : "Dominique", "non-dropping-particle" : "", "parse-names" : false, "suffix" : "" } ], "container-title" : "Geochimica et Cosmochimica Acta", "id" : "ITEM-1", "issued" : { "date-parts" : [ [ "2014" ] ] }, "page" : "495-517", "publisher" : "Elsevier Ltd", "title" : "The role of Al3+ on rheology and structural changes in sodium silicate and aluminosilicate glasses and melts", "type" : "article-journal", "volume" : "126" }, "uris" : [ "http://www.mendeley.com/documents/?uuid=8c0885da-0335-4684-91c6-5b4d6c08b2e1" ] } ], "mendeley" : { "formattedCitation" : "(Le Losq et al., 2014)", "manualFormatting" : "(Le Losq et al., 2014)", "plainTextFormattedCitation" : "(Le Losq et al., 2014)", "previouslyFormattedCitation" : "(Le Losq et al., 2014)" }, "properties" : { "noteIndex" : 59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(Le Losq et al., 2014)</w:t>
      </w:r>
      <w:r w:rsidRPr="000E2377">
        <w:rPr>
          <w:rFonts w:cs="Times New Roman"/>
          <w:b w:val="0"/>
          <w:szCs w:val="24"/>
        </w:rPr>
        <w:fldChar w:fldCharType="end"/>
      </w:r>
      <w:r w:rsidRPr="000E2377">
        <w:rPr>
          <w:rFonts w:cs="Times New Roman"/>
          <w:b w:val="0"/>
          <w:szCs w:val="24"/>
        </w:rPr>
        <w:t xml:space="preserve">. </w:t>
      </w:r>
    </w:p>
    <w:p w14:paraId="7F61201A" w14:textId="4C082F4C" w:rsidR="00D740DC" w:rsidRPr="000E2377" w:rsidRDefault="00D740DC" w:rsidP="00D740DC">
      <w:pPr>
        <w:spacing w:after="0" w:line="360" w:lineRule="auto"/>
        <w:jc w:val="both"/>
        <w:rPr>
          <w:rFonts w:cs="Times New Roman"/>
          <w:b w:val="0"/>
          <w:szCs w:val="24"/>
        </w:rPr>
      </w:pPr>
      <w:r w:rsidRPr="000E2377">
        <w:rPr>
          <w:rFonts w:cs="Times New Roman"/>
          <w:b w:val="0"/>
          <w:szCs w:val="24"/>
        </w:rPr>
        <w:t xml:space="preserve">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eastAsia="Times New Roman" w:cs="Times New Roman"/>
          <w:b w:val="0"/>
          <w:color w:val="000000"/>
          <w:szCs w:val="24"/>
          <w:lang w:eastAsia="en-MY"/>
        </w:rPr>
        <w:t>and 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color w:val="000000"/>
          <w:sz w:val="16"/>
          <w:szCs w:val="16"/>
          <w:vertAlign w:val="subscript"/>
          <w:lang w:eastAsia="en-MY"/>
        </w:rPr>
        <w:t xml:space="preserve"> </w:t>
      </w:r>
      <w:r w:rsidRPr="000E2377">
        <w:rPr>
          <w:rFonts w:cs="Times New Roman"/>
          <w:b w:val="0"/>
          <w:szCs w:val="24"/>
        </w:rPr>
        <w:t>glasses</w:t>
      </w:r>
      <w:r w:rsidR="000707B0">
        <w:rPr>
          <w:rFonts w:cs="Times New Roman"/>
          <w:b w:val="0"/>
          <w:szCs w:val="24"/>
        </w:rPr>
        <w:t>,</w:t>
      </w:r>
      <w:r w:rsidRPr="000E2377">
        <w:rPr>
          <w:rFonts w:cs="Times New Roman"/>
          <w:b w:val="0"/>
          <w:szCs w:val="24"/>
        </w:rPr>
        <w:t xml:space="preserve"> the medium frequency Raman peak for the calcium containing samples </w:t>
      </w:r>
      <w:r w:rsidR="000707B0">
        <w:rPr>
          <w:rFonts w:cs="Times New Roman"/>
          <w:b w:val="0"/>
          <w:szCs w:val="24"/>
        </w:rPr>
        <w:t>had</w:t>
      </w:r>
      <w:r w:rsidR="000707B0" w:rsidRPr="000E2377">
        <w:rPr>
          <w:rFonts w:cs="Times New Roman"/>
          <w:b w:val="0"/>
          <w:szCs w:val="24"/>
        </w:rPr>
        <w:t xml:space="preserve"> </w:t>
      </w:r>
      <w:r w:rsidRPr="000E2377">
        <w:rPr>
          <w:rFonts w:cs="Times New Roman"/>
          <w:b w:val="0"/>
          <w:szCs w:val="24"/>
        </w:rPr>
        <w:t>a greater relative intensity than for the barium containing samples. However, the peak maximum is at the same wavenumber for all of the glasses in these two series namely 790 cm</w:t>
      </w:r>
      <w:r w:rsidRPr="000E2377">
        <w:rPr>
          <w:rFonts w:cs="Times New Roman"/>
          <w:b w:val="0"/>
          <w:szCs w:val="24"/>
          <w:vertAlign w:val="superscript"/>
        </w:rPr>
        <w:t>-1</w:t>
      </w:r>
      <w:r w:rsidRPr="000E2377">
        <w:rPr>
          <w:rFonts w:cs="Times New Roman"/>
          <w:b w:val="0"/>
          <w:szCs w:val="24"/>
        </w:rPr>
        <w:t>. Meanwhile</w:t>
      </w:r>
      <w:r w:rsidR="000707B0">
        <w:rPr>
          <w:rFonts w:cs="Times New Roman"/>
          <w:b w:val="0"/>
          <w:szCs w:val="24"/>
        </w:rPr>
        <w:t>,</w:t>
      </w:r>
      <w:r w:rsidRPr="000E2377">
        <w:rPr>
          <w:rFonts w:cs="Times New Roman"/>
          <w:b w:val="0"/>
          <w:szCs w:val="24"/>
        </w:rPr>
        <w:t xml:space="preserve">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eastAsia="Times New Roman" w:cs="Times New Roman"/>
          <w:b w:val="0"/>
          <w:color w:val="000000"/>
          <w:szCs w:val="24"/>
          <w:lang w:eastAsia="en-MY"/>
        </w:rPr>
        <w:t>and 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eastAsia="Times New Roman" w:cs="Times New Roman"/>
          <w:b w:val="0"/>
          <w:color w:val="000000"/>
          <w:szCs w:val="24"/>
          <w:lang w:eastAsia="en-MY"/>
        </w:rPr>
        <w:t>glasses</w:t>
      </w:r>
      <w:r w:rsidRPr="000E2377">
        <w:rPr>
          <w:rFonts w:cs="Times New Roman"/>
          <w:b w:val="0"/>
          <w:szCs w:val="24"/>
        </w:rPr>
        <w:t>, the equivalent peak occurs at a slightly higher wavenumber of ~795cm</w:t>
      </w:r>
      <w:r w:rsidRPr="000E2377">
        <w:rPr>
          <w:rFonts w:cs="Times New Roman"/>
          <w:b w:val="0"/>
          <w:szCs w:val="24"/>
          <w:vertAlign w:val="superscript"/>
        </w:rPr>
        <w:t>-1</w:t>
      </w:r>
      <w:r w:rsidRPr="000E2377">
        <w:rPr>
          <w:rFonts w:cs="Times New Roman"/>
          <w:b w:val="0"/>
          <w:szCs w:val="24"/>
        </w:rPr>
        <w:t xml:space="preserve"> independent of which alkaline earth is present.</w:t>
      </w:r>
    </w:p>
    <w:p w14:paraId="4C1979CF" w14:textId="77777777" w:rsidR="00D740DC" w:rsidRPr="000E2377" w:rsidRDefault="00D740DC" w:rsidP="00D740DC">
      <w:pPr>
        <w:spacing w:after="0" w:line="360" w:lineRule="auto"/>
        <w:jc w:val="both"/>
        <w:rPr>
          <w:rFonts w:cs="Times New Roman"/>
          <w:b w:val="0"/>
          <w:i/>
          <w:szCs w:val="24"/>
        </w:rPr>
      </w:pPr>
    </w:p>
    <w:p w14:paraId="0862D77D" w14:textId="77777777" w:rsidR="00D740DC" w:rsidRPr="000E2377" w:rsidRDefault="00D740DC" w:rsidP="00D740DC">
      <w:pPr>
        <w:spacing w:after="0" w:line="360" w:lineRule="auto"/>
        <w:jc w:val="both"/>
        <w:rPr>
          <w:rFonts w:asciiTheme="majorBidi" w:hAnsiTheme="majorBidi" w:cstheme="majorBidi"/>
          <w:b w:val="0"/>
          <w:szCs w:val="24"/>
        </w:rPr>
      </w:pPr>
      <w:r w:rsidRPr="000E2377">
        <w:rPr>
          <w:rFonts w:asciiTheme="majorBidi" w:hAnsiTheme="majorBidi" w:cstheme="majorBidi"/>
          <w:b w:val="0"/>
          <w:szCs w:val="24"/>
        </w:rPr>
        <w:t>Figure 4.1</w:t>
      </w:r>
      <w:r>
        <w:rPr>
          <w:rFonts w:asciiTheme="majorBidi" w:hAnsiTheme="majorBidi" w:cstheme="majorBidi"/>
          <w:b w:val="0"/>
          <w:szCs w:val="24"/>
        </w:rPr>
        <w:t>5</w:t>
      </w:r>
      <w:r w:rsidRPr="000E2377">
        <w:rPr>
          <w:rFonts w:asciiTheme="majorBidi" w:hAnsiTheme="majorBidi" w:cstheme="majorBidi"/>
          <w:b w:val="0"/>
          <w:szCs w:val="24"/>
        </w:rPr>
        <w:t>a shows that the peak shape at ~ 1060 cm</w:t>
      </w:r>
      <w:r w:rsidRPr="000E2377">
        <w:rPr>
          <w:rFonts w:asciiTheme="majorBidi" w:hAnsiTheme="majorBidi" w:cstheme="majorBidi"/>
          <w:b w:val="0"/>
          <w:szCs w:val="24"/>
          <w:vertAlign w:val="superscript"/>
        </w:rPr>
        <w:t>–1</w:t>
      </w:r>
      <w:r w:rsidRPr="000E2377">
        <w:rPr>
          <w:rFonts w:asciiTheme="majorBidi" w:hAnsiTheme="majorBidi" w:cstheme="majorBidi"/>
          <w:b w:val="0"/>
          <w:szCs w:val="24"/>
        </w:rPr>
        <w:t xml:space="preserve"> </w:t>
      </w:r>
      <w:r>
        <w:rPr>
          <w:rFonts w:asciiTheme="majorBidi" w:hAnsiTheme="majorBidi" w:cstheme="majorBidi"/>
          <w:b w:val="0"/>
          <w:szCs w:val="24"/>
        </w:rPr>
        <w:t>is</w:t>
      </w:r>
      <w:r w:rsidRPr="000E2377">
        <w:rPr>
          <w:rFonts w:asciiTheme="majorBidi" w:hAnsiTheme="majorBidi" w:cstheme="majorBidi"/>
          <w:b w:val="0"/>
          <w:szCs w:val="24"/>
        </w:rPr>
        <w:t xml:space="preserve"> slightly changed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asciiTheme="majorBidi" w:hAnsiTheme="majorBidi" w:cstheme="majorBidi"/>
          <w:b w:val="0"/>
          <w:szCs w:val="24"/>
        </w:rPr>
        <w:t xml:space="preserve">, 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Pr>
          <w:rFonts w:eastAsia="Times New Roman" w:cs="Times New Roman"/>
          <w:b w:val="0"/>
          <w:color w:val="000000"/>
          <w:szCs w:val="24"/>
          <w:lang w:eastAsia="en-MY"/>
        </w:rPr>
        <w:t xml:space="preserve">glasses </w:t>
      </w:r>
      <w:r w:rsidRPr="000E2377">
        <w:rPr>
          <w:rFonts w:asciiTheme="majorBidi" w:hAnsiTheme="majorBidi" w:cstheme="majorBidi"/>
          <w:b w:val="0"/>
          <w:szCs w:val="24"/>
        </w:rPr>
        <w:t>when different alkaline earths are present. For series</w:t>
      </w:r>
      <w:r w:rsidRPr="000E2377">
        <w:rPr>
          <w:rFonts w:cs="Times New Roman"/>
          <w:b w:val="0"/>
          <w:szCs w:val="24"/>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eastAsia="Times New Roman" w:cs="Times New Roman"/>
          <w:b w:val="0"/>
          <w:color w:val="000000"/>
          <w:szCs w:val="24"/>
          <w:lang w:eastAsia="en-MY"/>
        </w:rPr>
        <w:t>(Figure 4.1</w:t>
      </w:r>
      <w:r>
        <w:rPr>
          <w:rFonts w:eastAsia="Times New Roman" w:cs="Times New Roman"/>
          <w:b w:val="0"/>
          <w:color w:val="000000"/>
          <w:szCs w:val="24"/>
          <w:lang w:eastAsia="en-MY"/>
        </w:rPr>
        <w:t>5</w:t>
      </w:r>
      <w:r w:rsidRPr="000E2377">
        <w:rPr>
          <w:rFonts w:eastAsia="Times New Roman" w:cs="Times New Roman"/>
          <w:b w:val="0"/>
          <w:color w:val="000000"/>
          <w:szCs w:val="24"/>
          <w:lang w:eastAsia="en-MY"/>
        </w:rPr>
        <w:t>a)</w:t>
      </w:r>
      <w:r w:rsidRPr="000E2377">
        <w:rPr>
          <w:rFonts w:cs="Times New Roman"/>
          <w:b w:val="0"/>
          <w:szCs w:val="24"/>
        </w:rPr>
        <w:t>, increasing calcium oxide content increased the intensity of the peak. For some of these glasses, there is a narrow second peak at around 990 cm</w:t>
      </w:r>
      <w:r w:rsidRPr="000E2377">
        <w:rPr>
          <w:rFonts w:cs="Times New Roman"/>
          <w:b w:val="0"/>
          <w:szCs w:val="24"/>
          <w:vertAlign w:val="superscript"/>
        </w:rPr>
        <w:t>-1</w:t>
      </w:r>
      <w:r w:rsidRPr="000E2377">
        <w:rPr>
          <w:rFonts w:cs="Times New Roman"/>
          <w:b w:val="0"/>
          <w:szCs w:val="24"/>
        </w:rPr>
        <w:t xml:space="preserve"> which is due to </w:t>
      </w:r>
      <w:r w:rsidRPr="000E2377">
        <w:rPr>
          <w:rFonts w:asciiTheme="majorBidi" w:hAnsiTheme="majorBidi" w:cstheme="majorBidi"/>
          <w:b w:val="0"/>
          <w:szCs w:val="24"/>
        </w:rPr>
        <w:t>residual sulphur from the use of sulphate refining in the glass preparation.</w:t>
      </w:r>
      <w:r w:rsidRPr="000E2377">
        <w:rPr>
          <w:rFonts w:cs="Times New Roman"/>
          <w:b w:val="0"/>
          <w:szCs w:val="24"/>
        </w:rPr>
        <w:t xml:space="preserve"> </w:t>
      </w:r>
      <w:r w:rsidRPr="000E2377">
        <w:rPr>
          <w:rFonts w:asciiTheme="majorBidi" w:hAnsiTheme="majorBidi" w:cstheme="majorBidi"/>
          <w:b w:val="0"/>
          <w:szCs w:val="24"/>
        </w:rPr>
        <w:t xml:space="preserve">The Raman peak shape also changed 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eastAsia="Times New Roman" w:cs="Times New Roman"/>
          <w:b w:val="0"/>
          <w:color w:val="000000"/>
          <w:szCs w:val="24"/>
          <w:lang w:eastAsia="en-MY"/>
        </w:rPr>
        <w:t>and 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color w:val="000000"/>
          <w:sz w:val="16"/>
          <w:szCs w:val="16"/>
          <w:vertAlign w:val="subscript"/>
          <w:lang w:eastAsia="en-MY"/>
        </w:rPr>
        <w:t xml:space="preserve"> </w:t>
      </w:r>
      <w:r w:rsidRPr="000E2377">
        <w:rPr>
          <w:rFonts w:asciiTheme="majorBidi" w:hAnsiTheme="majorBidi" w:cstheme="majorBidi"/>
          <w:b w:val="0"/>
          <w:szCs w:val="24"/>
        </w:rPr>
        <w:t xml:space="preserve">glass series. </w:t>
      </w:r>
    </w:p>
    <w:p w14:paraId="181571B3" w14:textId="77777777" w:rsidR="00D740DC" w:rsidRPr="000E2377" w:rsidRDefault="00D740DC" w:rsidP="00D740DC">
      <w:r w:rsidRPr="000E2377">
        <w:rPr>
          <w:noProof/>
          <w:lang w:eastAsia="en-MY"/>
        </w:rPr>
        <mc:AlternateContent>
          <mc:Choice Requires="wps">
            <w:drawing>
              <wp:anchor distT="0" distB="0" distL="114300" distR="114300" simplePos="0" relativeHeight="252284928" behindDoc="0" locked="0" layoutInCell="1" allowOverlap="1" wp14:anchorId="474FFFAB" wp14:editId="6310123E">
                <wp:simplePos x="0" y="0"/>
                <wp:positionH relativeFrom="column">
                  <wp:posOffset>2928427</wp:posOffset>
                </wp:positionH>
                <wp:positionV relativeFrom="paragraph">
                  <wp:posOffset>3976</wp:posOffset>
                </wp:positionV>
                <wp:extent cx="379730" cy="332740"/>
                <wp:effectExtent l="0" t="0" r="0" b="0"/>
                <wp:wrapNone/>
                <wp:docPr id="2114" name="Text Box 2114"/>
                <wp:cNvGraphicFramePr/>
                <a:graphic xmlns:a="http://schemas.openxmlformats.org/drawingml/2006/main">
                  <a:graphicData uri="http://schemas.microsoft.com/office/word/2010/wordprocessingShape">
                    <wps:wsp>
                      <wps:cNvSpPr txBox="1"/>
                      <wps:spPr>
                        <a:xfrm>
                          <a:off x="0" y="0"/>
                          <a:ext cx="379730" cy="332740"/>
                        </a:xfrm>
                        <a:prstGeom prst="rect">
                          <a:avLst/>
                        </a:prstGeom>
                        <a:noFill/>
                        <a:ln w="6350">
                          <a:noFill/>
                        </a:ln>
                      </wps:spPr>
                      <wps:txbx>
                        <w:txbxContent>
                          <w:p w14:paraId="760EFF74" w14:textId="77777777" w:rsidR="00230AB9" w:rsidRDefault="00230AB9" w:rsidP="00D740D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FFFAB" id="Text Box 2114" o:spid="_x0000_s1315" type="#_x0000_t202" style="position:absolute;margin-left:230.6pt;margin-top:.3pt;width:29.9pt;height:26.2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" filled="f" stroked="f" strokeweight=".5pt">
                <v:textbox>
                  <w:txbxContent>
                    <w:p w14:paraId="760EFF74" w14:textId="77777777" w:rsidR="00230AB9" w:rsidRDefault="00230AB9" w:rsidP="00D740DC">
                      <w:r>
                        <w:t>b)</w:t>
                      </w:r>
                    </w:p>
                  </w:txbxContent>
                </v:textbox>
              </v:shape>
            </w:pict>
          </mc:Fallback>
        </mc:AlternateContent>
      </w:r>
      <w:r w:rsidRPr="000E2377">
        <w:rPr>
          <w:noProof/>
          <w:lang w:eastAsia="en-MY"/>
        </w:rPr>
        <mc:AlternateContent>
          <mc:Choice Requires="wps">
            <w:drawing>
              <wp:anchor distT="0" distB="0" distL="114300" distR="114300" simplePos="0" relativeHeight="252283904" behindDoc="0" locked="0" layoutInCell="1" allowOverlap="1" wp14:anchorId="7A98CD88" wp14:editId="5311C1A8">
                <wp:simplePos x="0" y="0"/>
                <wp:positionH relativeFrom="column">
                  <wp:posOffset>105410</wp:posOffset>
                </wp:positionH>
                <wp:positionV relativeFrom="paragraph">
                  <wp:posOffset>5080</wp:posOffset>
                </wp:positionV>
                <wp:extent cx="379730" cy="332740"/>
                <wp:effectExtent l="0" t="0" r="0" b="0"/>
                <wp:wrapNone/>
                <wp:docPr id="2115" name="Text Box 2115"/>
                <wp:cNvGraphicFramePr/>
                <a:graphic xmlns:a="http://schemas.openxmlformats.org/drawingml/2006/main">
                  <a:graphicData uri="http://schemas.microsoft.com/office/word/2010/wordprocessingShape">
                    <wps:wsp>
                      <wps:cNvSpPr txBox="1"/>
                      <wps:spPr>
                        <a:xfrm>
                          <a:off x="0" y="0"/>
                          <a:ext cx="379730" cy="332740"/>
                        </a:xfrm>
                        <a:prstGeom prst="rect">
                          <a:avLst/>
                        </a:prstGeom>
                        <a:noFill/>
                        <a:ln w="6350">
                          <a:noFill/>
                        </a:ln>
                      </wps:spPr>
                      <wps:txbx>
                        <w:txbxContent>
                          <w:p w14:paraId="78BF407E" w14:textId="77777777" w:rsidR="00230AB9" w:rsidRDefault="00230AB9" w:rsidP="00D740D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8CD88" id="Text Box 2115" o:spid="_x0000_s1316" type="#_x0000_t202" style="position:absolute;margin-left:8.3pt;margin-top:.4pt;width:29.9pt;height:26.2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" filled="f" stroked="f" strokeweight=".5pt">
                <v:textbox>
                  <w:txbxContent>
                    <w:p w14:paraId="78BF407E" w14:textId="77777777" w:rsidR="00230AB9" w:rsidRDefault="00230AB9" w:rsidP="00D740DC">
                      <w:r>
                        <w:t>a)</w:t>
                      </w:r>
                    </w:p>
                  </w:txbxContent>
                </v:textbox>
              </v:shape>
            </w:pict>
          </mc:Fallback>
        </mc:AlternateContent>
      </w:r>
      <w:r w:rsidRPr="000E2377">
        <w:rPr>
          <w:noProof/>
          <w:lang w:eastAsia="en-MY"/>
        </w:rPr>
        <w:drawing>
          <wp:inline distT="0" distB="0" distL="0" distR="0" wp14:anchorId="6B3F2F8F" wp14:editId="72105F82">
            <wp:extent cx="2738487" cy="2340000"/>
            <wp:effectExtent l="0" t="0" r="5080" b="3175"/>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738487" cy="2340000"/>
                    </a:xfrm>
                    <a:prstGeom prst="rect">
                      <a:avLst/>
                    </a:prstGeom>
                    <a:noFill/>
                    <a:ln>
                      <a:noFill/>
                    </a:ln>
                  </pic:spPr>
                </pic:pic>
              </a:graphicData>
            </a:graphic>
          </wp:inline>
        </w:drawing>
      </w:r>
      <w:r w:rsidRPr="000E2377">
        <w:rPr>
          <w:noProof/>
          <w:lang w:eastAsia="en-MY"/>
        </w:rPr>
        <w:drawing>
          <wp:inline distT="0" distB="0" distL="0" distR="0" wp14:anchorId="792CE10E" wp14:editId="49C2C667">
            <wp:extent cx="2754868" cy="2340000"/>
            <wp:effectExtent l="0" t="0" r="7620" b="3175"/>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54868" cy="2340000"/>
                    </a:xfrm>
                    <a:prstGeom prst="rect">
                      <a:avLst/>
                    </a:prstGeom>
                    <a:noFill/>
                    <a:ln>
                      <a:noFill/>
                    </a:ln>
                  </pic:spPr>
                </pic:pic>
              </a:graphicData>
            </a:graphic>
          </wp:inline>
        </w:drawing>
      </w:r>
    </w:p>
    <w:p w14:paraId="09B79920" w14:textId="57B6F2CD" w:rsidR="00D740DC" w:rsidRPr="000E2377" w:rsidRDefault="00D740DC" w:rsidP="00D740DC">
      <w:pPr>
        <w:pStyle w:val="Caption"/>
        <w:rPr>
          <w:b w:val="0"/>
          <w:i/>
          <w:szCs w:val="24"/>
        </w:rPr>
      </w:pPr>
      <w:bookmarkStart w:id="735" w:name="_Toc521420480"/>
      <w:bookmarkStart w:id="736" w:name="_Toc525223214"/>
      <w:bookmarkStart w:id="737" w:name="_Toc525528361"/>
      <w:bookmarkStart w:id="738" w:name="_Toc525706376"/>
      <w:bookmarkStart w:id="739" w:name="_Hlk515396458"/>
      <w:r w:rsidRPr="000E2377">
        <w:t xml:space="preserve">Figure </w:t>
      </w:r>
      <w:r w:rsidR="009F4E44">
        <w:t xml:space="preserve">4.16: </w:t>
      </w:r>
      <w:r w:rsidRPr="000E2377">
        <w:t xml:space="preserve">Normalised </w:t>
      </w:r>
      <w:r w:rsidRPr="000E2377">
        <w:rPr>
          <w:bCs w:val="0"/>
          <w:szCs w:val="24"/>
        </w:rPr>
        <w:t>Raman spectra in the 850-1250 cm</w:t>
      </w:r>
      <w:r w:rsidRPr="000E2377">
        <w:rPr>
          <w:bCs w:val="0"/>
          <w:szCs w:val="24"/>
          <w:vertAlign w:val="superscript"/>
        </w:rPr>
        <w:t>-1</w:t>
      </w:r>
      <w:r w:rsidRPr="000E2377">
        <w:rPr>
          <w:bCs w:val="0"/>
          <w:szCs w:val="24"/>
        </w:rPr>
        <w:t xml:space="preserve"> region </w:t>
      </w:r>
      <w:r w:rsidRPr="000E2377">
        <w:rPr>
          <w:szCs w:val="24"/>
        </w:rPr>
        <w:t xml:space="preserve">a) </w:t>
      </w:r>
      <w:r w:rsidRPr="000E2377">
        <w:rPr>
          <w:rFonts w:eastAsia="Times New Roman"/>
          <w:color w:val="000000"/>
          <w:szCs w:val="24"/>
          <w:lang w:eastAsia="en-MY"/>
        </w:rPr>
        <w:t>N</w:t>
      </w:r>
      <w:r w:rsidRPr="000E2377">
        <w:rPr>
          <w:rFonts w:eastAsia="Times New Roman"/>
          <w:color w:val="000000"/>
          <w:szCs w:val="24"/>
          <w:vertAlign w:val="subscript"/>
          <w:lang w:eastAsia="en-MY"/>
        </w:rPr>
        <w:t>15</w:t>
      </w:r>
      <w:r w:rsidRPr="000E2377">
        <w:rPr>
          <w:rFonts w:eastAsia="Times New Roman"/>
          <w:color w:val="000000"/>
          <w:szCs w:val="24"/>
          <w:lang w:eastAsia="en-MY"/>
        </w:rPr>
        <w:t>C</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15-x</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60</w:t>
      </w:r>
      <w:r w:rsidRPr="000E2377">
        <w:rPr>
          <w:szCs w:val="24"/>
        </w:rPr>
        <w:t xml:space="preserve">, </w:t>
      </w:r>
      <w:r w:rsidRPr="000E2377">
        <w:rPr>
          <w:rFonts w:eastAsia="Times New Roman"/>
          <w:color w:val="000000"/>
          <w:szCs w:val="24"/>
          <w:lang w:eastAsia="en-MY"/>
        </w:rPr>
        <w:t>N</w:t>
      </w:r>
      <w:r w:rsidRPr="000E2377">
        <w:rPr>
          <w:rFonts w:eastAsia="Times New Roman"/>
          <w:color w:val="000000"/>
          <w:szCs w:val="24"/>
          <w:vertAlign w:val="subscript"/>
          <w:lang w:eastAsia="en-MY"/>
        </w:rPr>
        <w:t>15</w:t>
      </w:r>
      <w:r w:rsidRPr="000E2377">
        <w:rPr>
          <w:rFonts w:eastAsia="Times New Roman"/>
          <w:color w:val="000000"/>
          <w:szCs w:val="24"/>
          <w:lang w:eastAsia="en-MY"/>
        </w:rPr>
        <w:t>Ba</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15-x</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 xml:space="preserve">60 </w:t>
      </w:r>
      <w:r w:rsidRPr="000E2377">
        <w:rPr>
          <w:rFonts w:eastAsia="Times New Roman"/>
          <w:color w:val="000000"/>
          <w:szCs w:val="24"/>
          <w:lang w:eastAsia="en-MY"/>
        </w:rPr>
        <w:t>and b) N</w:t>
      </w:r>
      <w:r w:rsidRPr="000E2377">
        <w:rPr>
          <w:rFonts w:eastAsia="Times New Roman"/>
          <w:color w:val="000000"/>
          <w:szCs w:val="24"/>
          <w:vertAlign w:val="subscript"/>
          <w:lang w:eastAsia="en-MY"/>
        </w:rPr>
        <w:t>10</w:t>
      </w:r>
      <w:r w:rsidRPr="000E2377">
        <w:rPr>
          <w:rFonts w:eastAsia="Times New Roman"/>
          <w:color w:val="000000"/>
          <w:szCs w:val="24"/>
          <w:lang w:eastAsia="en-MY"/>
        </w:rPr>
        <w:t>C</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20-x</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60</w:t>
      </w:r>
      <w:r w:rsidRPr="000E2377">
        <w:rPr>
          <w:szCs w:val="24"/>
        </w:rPr>
        <w:t xml:space="preserve">, </w:t>
      </w:r>
      <w:r w:rsidRPr="000E2377">
        <w:rPr>
          <w:rFonts w:eastAsia="Times New Roman"/>
          <w:color w:val="000000"/>
          <w:szCs w:val="24"/>
          <w:lang w:eastAsia="en-MY"/>
        </w:rPr>
        <w:t>N</w:t>
      </w:r>
      <w:r w:rsidRPr="000E2377">
        <w:rPr>
          <w:rFonts w:eastAsia="Times New Roman"/>
          <w:color w:val="000000"/>
          <w:szCs w:val="24"/>
          <w:vertAlign w:val="subscript"/>
          <w:lang w:eastAsia="en-MY"/>
        </w:rPr>
        <w:t>10</w:t>
      </w:r>
      <w:r w:rsidRPr="000E2377">
        <w:rPr>
          <w:rFonts w:eastAsia="Times New Roman"/>
          <w:color w:val="000000"/>
          <w:szCs w:val="24"/>
          <w:lang w:eastAsia="en-MY"/>
        </w:rPr>
        <w:t>Ba</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20-x</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 xml:space="preserve">60 </w:t>
      </w:r>
      <w:r w:rsidRPr="000E2377">
        <w:rPr>
          <w:szCs w:val="24"/>
        </w:rPr>
        <w:t xml:space="preserve">glasses. Peaks normalised to the peak area between </w:t>
      </w:r>
      <w:r w:rsidRPr="000E2377">
        <w:rPr>
          <w:bCs w:val="0"/>
          <w:szCs w:val="24"/>
        </w:rPr>
        <w:t>850-1250 cm</w:t>
      </w:r>
      <w:r w:rsidRPr="000E2377">
        <w:rPr>
          <w:bCs w:val="0"/>
          <w:szCs w:val="24"/>
          <w:vertAlign w:val="superscript"/>
        </w:rPr>
        <w:t>-1</w:t>
      </w:r>
      <w:r w:rsidRPr="000E2377">
        <w:rPr>
          <w:bCs w:val="0"/>
          <w:szCs w:val="24"/>
        </w:rPr>
        <w:t>.</w:t>
      </w:r>
      <w:bookmarkEnd w:id="735"/>
      <w:bookmarkEnd w:id="736"/>
      <w:bookmarkEnd w:id="737"/>
      <w:bookmarkEnd w:id="738"/>
    </w:p>
    <w:bookmarkEnd w:id="739"/>
    <w:p w14:paraId="5FBD9FF5" w14:textId="77777777" w:rsidR="00D740DC" w:rsidRPr="000E2377" w:rsidRDefault="00D740DC" w:rsidP="00D740DC">
      <w:pPr>
        <w:spacing w:line="360" w:lineRule="auto"/>
        <w:jc w:val="both"/>
        <w:rPr>
          <w:rFonts w:cs="Times New Roman"/>
          <w:b w:val="0"/>
          <w:szCs w:val="24"/>
        </w:rPr>
      </w:pPr>
      <w:r w:rsidRPr="000E2377">
        <w:rPr>
          <w:rFonts w:cs="Times New Roman"/>
          <w:b w:val="0"/>
          <w:szCs w:val="24"/>
        </w:rPr>
        <w:lastRenderedPageBreak/>
        <w:t>Figure 4.1</w:t>
      </w:r>
      <w:r>
        <w:rPr>
          <w:rFonts w:cs="Times New Roman"/>
          <w:b w:val="0"/>
          <w:szCs w:val="24"/>
        </w:rPr>
        <w:t>6</w:t>
      </w:r>
      <w:r w:rsidRPr="000E2377">
        <w:rPr>
          <w:rFonts w:cs="Times New Roman"/>
          <w:b w:val="0"/>
          <w:szCs w:val="24"/>
        </w:rPr>
        <w:t>a shows that t</w:t>
      </w:r>
      <w:r w:rsidRPr="000E2377">
        <w:rPr>
          <w:rFonts w:asciiTheme="majorBidi" w:hAnsiTheme="majorBidi" w:cstheme="majorBidi"/>
          <w:b w:val="0"/>
          <w:szCs w:val="24"/>
        </w:rPr>
        <w:t xml:space="preserve">he major change 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szCs w:val="24"/>
        </w:rPr>
        <w:t xml:space="preserve"> glasses is that the maximum peak intensity increases with increasing alkaline earth content, but this not happen 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szCs w:val="24"/>
          <w:vertAlign w:val="subscript"/>
        </w:rPr>
        <w:t xml:space="preserve"> </w:t>
      </w:r>
      <w:r w:rsidRPr="000E2377">
        <w:rPr>
          <w:rFonts w:cs="Times New Roman"/>
          <w:b w:val="0"/>
          <w:szCs w:val="24"/>
        </w:rPr>
        <w:t>glasses.</w:t>
      </w:r>
      <w:r w:rsidRPr="000E2377">
        <w:rPr>
          <w:rFonts w:cs="Times New Roman"/>
          <w:b w:val="0"/>
          <w:szCs w:val="24"/>
          <w:vertAlign w:val="subscript"/>
        </w:rPr>
        <w:t xml:space="preserve"> </w:t>
      </w:r>
      <w:r w:rsidRPr="000E2377">
        <w:rPr>
          <w:rFonts w:cs="Times New Roman"/>
          <w:b w:val="0"/>
          <w:szCs w:val="24"/>
        </w:rPr>
        <w:t>However,</w:t>
      </w:r>
      <w:r w:rsidRPr="000E2377">
        <w:rPr>
          <w:rFonts w:cs="Times New Roman"/>
          <w:b w:val="0"/>
          <w:szCs w:val="24"/>
          <w:vertAlign w:val="subscript"/>
        </w:rPr>
        <w:t xml:space="preserve"> </w:t>
      </w:r>
      <w:r w:rsidRPr="000E2377">
        <w:rPr>
          <w:rFonts w:cs="Times New Roman"/>
          <w:b w:val="0"/>
          <w:szCs w:val="24"/>
        </w:rPr>
        <w:t>a second peak at lower wavenumbers starts to appear due to the sulphur present arising from the use of sulphate refining with some of these melts</w:t>
      </w:r>
      <w:r w:rsidRPr="000E2377">
        <w:rPr>
          <w:rFonts w:asciiTheme="majorBidi" w:hAnsiTheme="majorBidi" w:cstheme="majorBidi"/>
          <w:b w:val="0"/>
          <w:szCs w:val="24"/>
        </w:rPr>
        <w:t>. Meanwhile, the 850-1250 cm</w:t>
      </w:r>
      <w:r w:rsidRPr="000E2377">
        <w:rPr>
          <w:rFonts w:asciiTheme="majorBidi" w:hAnsiTheme="majorBidi" w:cstheme="majorBidi"/>
          <w:b w:val="0"/>
          <w:szCs w:val="24"/>
          <w:vertAlign w:val="superscript"/>
        </w:rPr>
        <w:t>–1</w:t>
      </w:r>
      <w:r w:rsidRPr="000E2377">
        <w:rPr>
          <w:rFonts w:asciiTheme="majorBidi" w:hAnsiTheme="majorBidi" w:cstheme="majorBidi"/>
          <w:b w:val="0"/>
          <w:szCs w:val="24"/>
        </w:rPr>
        <w:t xml:space="preserve"> peak of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b w:val="0"/>
          <w:color w:val="000000"/>
          <w:szCs w:val="24"/>
          <w:lang w:eastAsia="en-MY"/>
        </w:rPr>
        <w:t>, 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color w:val="000000"/>
          <w:sz w:val="16"/>
          <w:szCs w:val="16"/>
          <w:vertAlign w:val="subscript"/>
          <w:lang w:eastAsia="en-MY"/>
        </w:rPr>
        <w:t xml:space="preserve"> </w:t>
      </w:r>
      <w:r w:rsidRPr="000E2377">
        <w:rPr>
          <w:rFonts w:cs="Times New Roman"/>
          <w:b w:val="0"/>
          <w:szCs w:val="24"/>
        </w:rPr>
        <w:t>glasses</w:t>
      </w:r>
      <w:r w:rsidRPr="000E2377">
        <w:rPr>
          <w:rFonts w:asciiTheme="majorBidi" w:hAnsiTheme="majorBidi" w:cstheme="majorBidi"/>
          <w:b w:val="0"/>
          <w:szCs w:val="24"/>
        </w:rPr>
        <w:t xml:space="preserve"> in Figure 4.1</w:t>
      </w:r>
      <w:r>
        <w:rPr>
          <w:rFonts w:asciiTheme="majorBidi" w:hAnsiTheme="majorBidi" w:cstheme="majorBidi"/>
          <w:b w:val="0"/>
          <w:szCs w:val="24"/>
        </w:rPr>
        <w:t>6</w:t>
      </w:r>
      <w:r w:rsidRPr="000E2377">
        <w:rPr>
          <w:rFonts w:asciiTheme="majorBidi" w:hAnsiTheme="majorBidi" w:cstheme="majorBidi"/>
          <w:b w:val="0"/>
          <w:szCs w:val="24"/>
        </w:rPr>
        <w:t xml:space="preserve">b is rather narrower than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asciiTheme="majorBidi" w:hAnsiTheme="majorBidi" w:cstheme="majorBidi"/>
          <w:b w:val="0"/>
          <w:szCs w:val="24"/>
        </w:rPr>
        <w:t xml:space="preserve">, 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color w:val="000000"/>
          <w:sz w:val="16"/>
          <w:szCs w:val="16"/>
          <w:vertAlign w:val="subscript"/>
          <w:lang w:eastAsia="en-MY"/>
        </w:rPr>
        <w:t xml:space="preserve"> </w:t>
      </w:r>
      <w:r w:rsidRPr="000E2377">
        <w:rPr>
          <w:rFonts w:asciiTheme="majorBidi" w:hAnsiTheme="majorBidi" w:cstheme="majorBidi"/>
          <w:b w:val="0"/>
          <w:szCs w:val="24"/>
        </w:rPr>
        <w:t xml:space="preserve">indicative of notable changes in the detailed structure of the glass including silica connectivity with composition. </w:t>
      </w:r>
    </w:p>
    <w:p w14:paraId="08AE6455" w14:textId="77777777" w:rsidR="00D740DC" w:rsidRPr="000E2377" w:rsidRDefault="00D740DC" w:rsidP="00D740DC">
      <w:pPr>
        <w:spacing w:after="0" w:line="360" w:lineRule="auto"/>
        <w:jc w:val="center"/>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254BBAB1" w14:textId="77777777" w:rsidR="00D740DC" w:rsidRPr="000E2377" w:rsidRDefault="00D740DC" w:rsidP="00D740DC">
      <w:pPr>
        <w:spacing w:after="0" w:line="360" w:lineRule="auto"/>
        <w:jc w:val="center"/>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6545D969" w14:textId="77777777" w:rsidR="00D740DC" w:rsidRPr="000E2377" w:rsidRDefault="00D740DC" w:rsidP="00D740DC">
      <w:pPr>
        <w:spacing w:after="0" w:line="360" w:lineRule="auto"/>
        <w:jc w:val="center"/>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43B28B6D" w14:textId="77777777" w:rsidR="00D740DC" w:rsidRPr="000E2377" w:rsidRDefault="00D740DC" w:rsidP="00D740DC">
      <w:pPr>
        <w:spacing w:after="0" w:line="360" w:lineRule="auto"/>
        <w:jc w:val="center"/>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339BBF39" w14:textId="77777777" w:rsidR="00D740DC" w:rsidRPr="000E2377" w:rsidRDefault="00D740DC" w:rsidP="00D740DC">
      <w:pPr>
        <w:spacing w:after="0" w:line="360" w:lineRule="auto"/>
        <w:jc w:val="center"/>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7903B363" w14:textId="77777777" w:rsidR="00D740DC" w:rsidRPr="000E2377" w:rsidRDefault="00D740DC" w:rsidP="00D740DC">
      <w:pPr>
        <w:spacing w:after="0" w:line="360" w:lineRule="auto"/>
        <w:jc w:val="center"/>
        <w:rPr>
          <w:rFonts w:eastAsia="Times New Roman" w:cs="Times New Roman"/>
          <w:snapToGrid w:val="0"/>
          <w:color w:val="000000"/>
          <w:w w:val="0"/>
          <w:sz w:val="0"/>
          <w:szCs w:val="0"/>
          <w:u w:color="000000"/>
          <w:bdr w:val="none" w:sz="0" w:space="0" w:color="000000"/>
          <w:shd w:val="clear" w:color="000000" w:fill="000000"/>
          <w:lang w:val="x-none" w:eastAsia="x-none" w:bidi="x-none"/>
        </w:rPr>
      </w:pPr>
    </w:p>
    <w:p w14:paraId="1E05DA53" w14:textId="21F24C0D" w:rsidR="00D740DC" w:rsidRPr="000E2377" w:rsidRDefault="00D740DC" w:rsidP="00D740DC">
      <w:pPr>
        <w:spacing w:line="360" w:lineRule="auto"/>
        <w:jc w:val="both"/>
        <w:rPr>
          <w:rFonts w:cs="Times New Roman"/>
          <w:b w:val="0"/>
          <w:szCs w:val="24"/>
        </w:rPr>
      </w:pPr>
      <w:r w:rsidRPr="000E2377">
        <w:rPr>
          <w:rFonts w:cs="Times New Roman"/>
          <w:b w:val="0"/>
          <w:szCs w:val="24"/>
        </w:rPr>
        <w:t>For series</w:t>
      </w:r>
      <w:r w:rsidRPr="000E2377">
        <w:rPr>
          <w:rFonts w:cs="Times New Roman"/>
          <w:szCs w:val="24"/>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color w:val="000000"/>
          <w:sz w:val="16"/>
          <w:szCs w:val="16"/>
          <w:vertAlign w:val="subscript"/>
          <w:lang w:eastAsia="en-MY"/>
        </w:rPr>
        <w:t xml:space="preserve"> </w:t>
      </w:r>
      <w:r w:rsidRPr="000E2377">
        <w:rPr>
          <w:rFonts w:cs="Times New Roman"/>
          <w:b w:val="0"/>
          <w:szCs w:val="24"/>
        </w:rPr>
        <w:t>the borate peaks shifts from 1450 cm</w:t>
      </w:r>
      <w:r w:rsidRPr="000E2377">
        <w:rPr>
          <w:rFonts w:cs="Times New Roman"/>
          <w:b w:val="0"/>
          <w:szCs w:val="24"/>
          <w:vertAlign w:val="superscript"/>
        </w:rPr>
        <w:t>-1</w:t>
      </w:r>
      <w:r w:rsidRPr="000E2377">
        <w:rPr>
          <w:rFonts w:cs="Times New Roman"/>
          <w:b w:val="0"/>
          <w:szCs w:val="24"/>
        </w:rPr>
        <w:t xml:space="preserve"> to 1422 cm</w:t>
      </w:r>
      <w:r w:rsidRPr="000E2377">
        <w:rPr>
          <w:rFonts w:cs="Times New Roman"/>
          <w:b w:val="0"/>
          <w:szCs w:val="24"/>
          <w:vertAlign w:val="superscript"/>
        </w:rPr>
        <w:t>-1</w:t>
      </w:r>
      <w:r w:rsidRPr="000E2377">
        <w:rPr>
          <w:rFonts w:cs="Times New Roman"/>
          <w:b w:val="0"/>
          <w:szCs w:val="24"/>
        </w:rPr>
        <w:t xml:space="preserve"> with increasing charge balance. Comparing the curves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color w:val="000000"/>
          <w:sz w:val="16"/>
          <w:szCs w:val="16"/>
          <w:vertAlign w:val="subscript"/>
          <w:lang w:eastAsia="en-MY"/>
        </w:rPr>
        <w:t xml:space="preserve"> </w:t>
      </w:r>
      <w:r w:rsidRPr="000E2377">
        <w:rPr>
          <w:rFonts w:eastAsia="Times New Roman" w:cs="Times New Roman"/>
          <w:b w:val="0"/>
          <w:color w:val="000000"/>
          <w:szCs w:val="24"/>
          <w:lang w:eastAsia="en-MY"/>
        </w:rPr>
        <w:t>and 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color w:val="000000"/>
          <w:sz w:val="16"/>
          <w:szCs w:val="16"/>
          <w:vertAlign w:val="subscript"/>
          <w:lang w:eastAsia="en-MY"/>
        </w:rPr>
        <w:t xml:space="preserve"> </w:t>
      </w:r>
      <w:r w:rsidRPr="000E2377">
        <w:rPr>
          <w:rFonts w:cs="Times New Roman"/>
          <w:b w:val="0"/>
          <w:szCs w:val="24"/>
        </w:rPr>
        <w:t>glasses it can be seen that the peak for calcium containing glasses are higher than barium. Meanwhile</w:t>
      </w:r>
      <w:r w:rsidR="000707B0">
        <w:rPr>
          <w:rFonts w:cs="Times New Roman"/>
          <w:b w:val="0"/>
          <w:szCs w:val="24"/>
        </w:rPr>
        <w:t>,</w:t>
      </w:r>
      <w:r w:rsidRPr="000E2377">
        <w:rPr>
          <w:rFonts w:cs="Times New Roman"/>
          <w:b w:val="0"/>
          <w:szCs w:val="24"/>
        </w:rPr>
        <w:t xml:space="preserve">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b w:val="0"/>
          <w:color w:val="000000"/>
          <w:szCs w:val="24"/>
          <w:lang w:eastAsia="en-MY"/>
        </w:rPr>
        <w:t xml:space="preserve"> and 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000707B0" w:rsidRPr="000707B0">
        <w:rPr>
          <w:rFonts w:eastAsia="Times New Roman" w:cs="Times New Roman"/>
          <w:b w:val="0"/>
          <w:color w:val="000000"/>
          <w:szCs w:val="24"/>
          <w:lang w:eastAsia="en-MY"/>
        </w:rPr>
        <w:t>,</w:t>
      </w:r>
      <w:r w:rsidRPr="000E2377">
        <w:rPr>
          <w:rFonts w:eastAsia="Times New Roman" w:cs="Times New Roman"/>
          <w:color w:val="000000"/>
          <w:sz w:val="16"/>
          <w:szCs w:val="16"/>
          <w:lang w:eastAsia="en-MY"/>
        </w:rPr>
        <w:t xml:space="preserve"> </w:t>
      </w:r>
      <w:r w:rsidRPr="000E2377">
        <w:rPr>
          <w:rFonts w:cs="Times New Roman"/>
          <w:b w:val="0"/>
          <w:szCs w:val="24"/>
        </w:rPr>
        <w:t xml:space="preserve">no major differences can be seen in the borate peak with the highest peak being at the same wavenumbers for all glasses. </w:t>
      </w:r>
    </w:p>
    <w:p w14:paraId="61955148" w14:textId="77777777" w:rsidR="00D740DC" w:rsidRPr="000E2377" w:rsidRDefault="00D740DC" w:rsidP="00D740DC">
      <w:pPr>
        <w:spacing w:after="0"/>
        <w:rPr>
          <w:rFonts w:cs="Times New Roman"/>
          <w:szCs w:val="24"/>
        </w:rPr>
      </w:pPr>
      <w:r w:rsidRPr="000E2377">
        <w:rPr>
          <w:rFonts w:cs="Times New Roman"/>
          <w:szCs w:val="24"/>
        </w:rPr>
        <w:t xml:space="preserve"> </w:t>
      </w:r>
    </w:p>
    <w:p w14:paraId="385C1AA9" w14:textId="77777777" w:rsidR="00D740DC" w:rsidRPr="000E2377" w:rsidRDefault="00D740DC" w:rsidP="00D740DC">
      <w:pPr>
        <w:spacing w:after="0"/>
        <w:rPr>
          <w:noProof/>
          <w:lang w:val="en-GB" w:eastAsia="en-GB"/>
        </w:rPr>
      </w:pPr>
      <w:r w:rsidRPr="000E2377">
        <w:rPr>
          <w:noProof/>
          <w:lang w:eastAsia="en-MY"/>
        </w:rPr>
        <mc:AlternateContent>
          <mc:Choice Requires="wps">
            <w:drawing>
              <wp:anchor distT="0" distB="0" distL="114300" distR="114300" simplePos="0" relativeHeight="252299264" behindDoc="0" locked="0" layoutInCell="1" allowOverlap="1" wp14:anchorId="5042420C" wp14:editId="18EC9E07">
                <wp:simplePos x="0" y="0"/>
                <wp:positionH relativeFrom="column">
                  <wp:posOffset>2907492</wp:posOffset>
                </wp:positionH>
                <wp:positionV relativeFrom="paragraph">
                  <wp:posOffset>133985</wp:posOffset>
                </wp:positionV>
                <wp:extent cx="356260" cy="296883"/>
                <wp:effectExtent l="0" t="0" r="0" b="0"/>
                <wp:wrapNone/>
                <wp:docPr id="2022" name="Text Box 2022"/>
                <wp:cNvGraphicFramePr/>
                <a:graphic xmlns:a="http://schemas.openxmlformats.org/drawingml/2006/main">
                  <a:graphicData uri="http://schemas.microsoft.com/office/word/2010/wordprocessingShape">
                    <wps:wsp>
                      <wps:cNvSpPr txBox="1"/>
                      <wps:spPr>
                        <a:xfrm>
                          <a:off x="0" y="0"/>
                          <a:ext cx="356260" cy="296883"/>
                        </a:xfrm>
                        <a:prstGeom prst="rect">
                          <a:avLst/>
                        </a:prstGeom>
                        <a:noFill/>
                        <a:ln w="6350">
                          <a:noFill/>
                        </a:ln>
                      </wps:spPr>
                      <wps:txbx>
                        <w:txbxContent>
                          <w:p w14:paraId="72B8986D" w14:textId="77777777" w:rsidR="00230AB9" w:rsidRPr="004C08E8" w:rsidRDefault="00230AB9" w:rsidP="00D740DC">
                            <w:pPr>
                              <w:rPr>
                                <w:rFonts w:cs="Times New Roman"/>
                                <w:szCs w:val="24"/>
                              </w:rPr>
                            </w:pPr>
                            <w:r>
                              <w:rPr>
                                <w:rFonts w:cs="Times New Roman"/>
                                <w:szCs w:val="24"/>
                              </w:rPr>
                              <w:t>b</w:t>
                            </w:r>
                            <w:r w:rsidRPr="004C08E8">
                              <w:rPr>
                                <w:rFonts w:cs="Times New Roman"/>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42420C" id="Text Box 2022" o:spid="_x0000_s1317" type="#_x0000_t202" style="position:absolute;margin-left:228.95pt;margin-top:10.55pt;width:28.05pt;height:23.4pt;z-index:25229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" filled="f" stroked="f" strokeweight=".5pt">
                <v:textbox>
                  <w:txbxContent>
                    <w:p w14:paraId="72B8986D" w14:textId="77777777" w:rsidR="00230AB9" w:rsidRPr="004C08E8" w:rsidRDefault="00230AB9" w:rsidP="00D740DC">
                      <w:pPr>
                        <w:rPr>
                          <w:rFonts w:cs="Times New Roman"/>
                          <w:szCs w:val="24"/>
                        </w:rPr>
                      </w:pPr>
                      <w:r>
                        <w:rPr>
                          <w:rFonts w:cs="Times New Roman"/>
                          <w:szCs w:val="24"/>
                        </w:rPr>
                        <w:t>b</w:t>
                      </w:r>
                      <w:r w:rsidRPr="004C08E8">
                        <w:rPr>
                          <w:rFonts w:cs="Times New Roman"/>
                          <w:szCs w:val="24"/>
                        </w:rPr>
                        <w:t>)</w:t>
                      </w:r>
                    </w:p>
                  </w:txbxContent>
                </v:textbox>
              </v:shape>
            </w:pict>
          </mc:Fallback>
        </mc:AlternateContent>
      </w:r>
      <w:r w:rsidRPr="000E2377">
        <w:rPr>
          <w:noProof/>
          <w:lang w:eastAsia="en-MY"/>
        </w:rPr>
        <mc:AlternateContent>
          <mc:Choice Requires="wps">
            <w:drawing>
              <wp:anchor distT="0" distB="0" distL="114300" distR="114300" simplePos="0" relativeHeight="252298240" behindDoc="0" locked="0" layoutInCell="1" allowOverlap="1" wp14:anchorId="487739F3" wp14:editId="20F6FD17">
                <wp:simplePos x="0" y="0"/>
                <wp:positionH relativeFrom="margin">
                  <wp:posOffset>23750</wp:posOffset>
                </wp:positionH>
                <wp:positionV relativeFrom="paragraph">
                  <wp:posOffset>144442</wp:posOffset>
                </wp:positionV>
                <wp:extent cx="356260" cy="296883"/>
                <wp:effectExtent l="0" t="0" r="0" b="0"/>
                <wp:wrapNone/>
                <wp:docPr id="2021" name="Text Box 2021"/>
                <wp:cNvGraphicFramePr/>
                <a:graphic xmlns:a="http://schemas.openxmlformats.org/drawingml/2006/main">
                  <a:graphicData uri="http://schemas.microsoft.com/office/word/2010/wordprocessingShape">
                    <wps:wsp>
                      <wps:cNvSpPr txBox="1"/>
                      <wps:spPr>
                        <a:xfrm>
                          <a:off x="0" y="0"/>
                          <a:ext cx="356260" cy="296883"/>
                        </a:xfrm>
                        <a:prstGeom prst="rect">
                          <a:avLst/>
                        </a:prstGeom>
                        <a:noFill/>
                        <a:ln w="6350">
                          <a:noFill/>
                        </a:ln>
                      </wps:spPr>
                      <wps:txbx>
                        <w:txbxContent>
                          <w:p w14:paraId="1364DA1E" w14:textId="77777777" w:rsidR="00230AB9" w:rsidRPr="004C08E8" w:rsidRDefault="00230AB9" w:rsidP="00D740DC">
                            <w:pPr>
                              <w:rPr>
                                <w:rFonts w:cs="Times New Roman"/>
                                <w:szCs w:val="24"/>
                              </w:rPr>
                            </w:pPr>
                            <w:r>
                              <w:rPr>
                                <w:rFonts w:cs="Times New Roman"/>
                                <w:szCs w:val="24"/>
                              </w:rPr>
                              <w:t>a</w:t>
                            </w:r>
                            <w:r w:rsidRPr="004C08E8">
                              <w:rPr>
                                <w:rFonts w:cs="Times New Roman"/>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7739F3" id="Text Box 2021" o:spid="_x0000_s1318" type="#_x0000_t202" style="position:absolute;margin-left:1.85pt;margin-top:11.35pt;width:28.05pt;height:23.4pt;z-index:2522982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" filled="f" stroked="f" strokeweight=".5pt">
                <v:textbox>
                  <w:txbxContent>
                    <w:p w14:paraId="1364DA1E" w14:textId="77777777" w:rsidR="00230AB9" w:rsidRPr="004C08E8" w:rsidRDefault="00230AB9" w:rsidP="00D740DC">
                      <w:pPr>
                        <w:rPr>
                          <w:rFonts w:cs="Times New Roman"/>
                          <w:szCs w:val="24"/>
                        </w:rPr>
                      </w:pPr>
                      <w:r>
                        <w:rPr>
                          <w:rFonts w:cs="Times New Roman"/>
                          <w:szCs w:val="24"/>
                        </w:rPr>
                        <w:t>a</w:t>
                      </w:r>
                      <w:r w:rsidRPr="004C08E8">
                        <w:rPr>
                          <w:rFonts w:cs="Times New Roman"/>
                          <w:szCs w:val="24"/>
                        </w:rPr>
                        <w:t>)</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300288" behindDoc="0" locked="0" layoutInCell="1" allowOverlap="1" wp14:anchorId="3E581EB7" wp14:editId="559F37A2">
                <wp:simplePos x="0" y="0"/>
                <wp:positionH relativeFrom="column">
                  <wp:posOffset>914400</wp:posOffset>
                </wp:positionH>
                <wp:positionV relativeFrom="paragraph">
                  <wp:posOffset>476761</wp:posOffset>
                </wp:positionV>
                <wp:extent cx="521970" cy="213294"/>
                <wp:effectExtent l="0" t="0" r="0" b="0"/>
                <wp:wrapNone/>
                <wp:docPr id="220" name="Text Box 220"/>
                <wp:cNvGraphicFramePr/>
                <a:graphic xmlns:a="http://schemas.openxmlformats.org/drawingml/2006/main">
                  <a:graphicData uri="http://schemas.microsoft.com/office/word/2010/wordprocessingShape">
                    <wps:wsp>
                      <wps:cNvSpPr txBox="1"/>
                      <wps:spPr>
                        <a:xfrm>
                          <a:off x="0" y="0"/>
                          <a:ext cx="521970" cy="213294"/>
                        </a:xfrm>
                        <a:prstGeom prst="rect">
                          <a:avLst/>
                        </a:prstGeom>
                        <a:noFill/>
                        <a:ln w="6350">
                          <a:noFill/>
                        </a:ln>
                      </wps:spPr>
                      <wps:txbx>
                        <w:txbxContent>
                          <w:p w14:paraId="51523AC8" w14:textId="77777777" w:rsidR="00230AB9" w:rsidRPr="005A33C6" w:rsidRDefault="00230AB9" w:rsidP="00D740DC">
                            <w:pPr>
                              <w:rPr>
                                <w:sz w:val="16"/>
                                <w:szCs w:val="16"/>
                              </w:rPr>
                            </w:pPr>
                            <w:r w:rsidRPr="005A33C6">
                              <w:rPr>
                                <w:rFonts w:asciiTheme="majorBidi" w:eastAsia="Times New Roman" w:hAnsiTheme="majorBidi" w:cstheme="majorBidi"/>
                                <w:color w:val="000000"/>
                                <w:sz w:val="16"/>
                                <w:szCs w:val="16"/>
                                <w:lang w:eastAsia="en-MY"/>
                              </w:rPr>
                              <w:t>971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81EB7" id="Text Box 220" o:spid="_x0000_s1319" type="#_x0000_t202" style="position:absolute;margin-left:1in;margin-top:37.55pt;width:41.1pt;height:16.8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" filled="f" stroked="f" strokeweight=".5pt">
                <v:textbox>
                  <w:txbxContent>
                    <w:p w14:paraId="51523AC8" w14:textId="77777777" w:rsidR="00230AB9" w:rsidRPr="005A33C6" w:rsidRDefault="00230AB9" w:rsidP="00D740DC">
                      <w:pPr>
                        <w:rPr>
                          <w:sz w:val="16"/>
                          <w:szCs w:val="16"/>
                        </w:rPr>
                      </w:pPr>
                      <w:r w:rsidRPr="005A33C6">
                        <w:rPr>
                          <w:rFonts w:asciiTheme="majorBidi" w:eastAsia="Times New Roman" w:hAnsiTheme="majorBidi" w:cstheme="majorBidi"/>
                          <w:color w:val="000000"/>
                          <w:sz w:val="16"/>
                          <w:szCs w:val="16"/>
                          <w:lang w:eastAsia="en-MY"/>
                        </w:rPr>
                        <w:t>971</w:t>
                      </w:r>
                    </w:p>
                  </w:txbxContent>
                </v:textbox>
              </v:shape>
            </w:pict>
          </mc:Fallback>
        </mc:AlternateContent>
      </w:r>
      <w:r w:rsidRPr="000E2377">
        <w:rPr>
          <w:noProof/>
          <w:lang w:eastAsia="en-MY"/>
        </w:rPr>
        <mc:AlternateContent>
          <mc:Choice Requires="wps">
            <w:drawing>
              <wp:anchor distT="0" distB="0" distL="114300" distR="114300" simplePos="0" relativeHeight="252389376" behindDoc="0" locked="0" layoutInCell="1" allowOverlap="1" wp14:anchorId="582623EE" wp14:editId="4A3D58BF">
                <wp:simplePos x="0" y="0"/>
                <wp:positionH relativeFrom="column">
                  <wp:posOffset>1068779</wp:posOffset>
                </wp:positionH>
                <wp:positionV relativeFrom="paragraph">
                  <wp:posOffset>595515</wp:posOffset>
                </wp:positionV>
                <wp:extent cx="0" cy="914400"/>
                <wp:effectExtent l="0" t="0" r="38100" b="19050"/>
                <wp:wrapNone/>
                <wp:docPr id="1476" name="Straight Connector 1476"/>
                <wp:cNvGraphicFramePr/>
                <a:graphic xmlns:a="http://schemas.openxmlformats.org/drawingml/2006/main">
                  <a:graphicData uri="http://schemas.microsoft.com/office/word/2010/wordprocessingShape">
                    <wps:wsp>
                      <wps:cNvCnPr/>
                      <wps:spPr>
                        <a:xfrm>
                          <a:off x="0" y="0"/>
                          <a:ext cx="0" cy="91440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AB0761" id="Straight Connector 1476" o:spid="_x0000_s1026" style="position:absolute;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15pt,46.9pt" to="84.15pt,1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" strokecolor="black [3040]">
                <v:stroke dashstyle="dash"/>
              </v:line>
            </w:pict>
          </mc:Fallback>
        </mc:AlternateContent>
      </w:r>
      <w:r w:rsidRPr="000E2377">
        <w:rPr>
          <w:noProof/>
          <w:lang w:eastAsia="en-MY"/>
        </w:rPr>
        <mc:AlternateContent>
          <mc:Choice Requires="wps">
            <w:drawing>
              <wp:anchor distT="0" distB="0" distL="114300" distR="114300" simplePos="0" relativeHeight="252301312" behindDoc="0" locked="0" layoutInCell="1" allowOverlap="1" wp14:anchorId="2E8277D2" wp14:editId="5E3B845C">
                <wp:simplePos x="0" y="0"/>
                <wp:positionH relativeFrom="column">
                  <wp:posOffset>3883042</wp:posOffset>
                </wp:positionH>
                <wp:positionV relativeFrom="paragraph">
                  <wp:posOffset>438447</wp:posOffset>
                </wp:positionV>
                <wp:extent cx="522514" cy="249382"/>
                <wp:effectExtent l="0" t="0" r="0" b="0"/>
                <wp:wrapNone/>
                <wp:docPr id="223" name="Text Box 223"/>
                <wp:cNvGraphicFramePr/>
                <a:graphic xmlns:a="http://schemas.openxmlformats.org/drawingml/2006/main">
                  <a:graphicData uri="http://schemas.microsoft.com/office/word/2010/wordprocessingShape">
                    <wps:wsp>
                      <wps:cNvSpPr txBox="1"/>
                      <wps:spPr>
                        <a:xfrm>
                          <a:off x="0" y="0"/>
                          <a:ext cx="522514" cy="249382"/>
                        </a:xfrm>
                        <a:prstGeom prst="rect">
                          <a:avLst/>
                        </a:prstGeom>
                        <a:noFill/>
                        <a:ln w="6350">
                          <a:noFill/>
                        </a:ln>
                      </wps:spPr>
                      <wps:txbx>
                        <w:txbxContent>
                          <w:p w14:paraId="2A0204E3" w14:textId="77777777" w:rsidR="00230AB9" w:rsidRDefault="00230AB9" w:rsidP="00D740DC">
                            <w:r w:rsidRPr="005A33C6">
                              <w:rPr>
                                <w:rFonts w:asciiTheme="majorBidi" w:eastAsia="Times New Roman" w:hAnsiTheme="majorBidi" w:cstheme="majorBidi"/>
                                <w:color w:val="000000"/>
                                <w:sz w:val="16"/>
                                <w:szCs w:val="16"/>
                                <w:lang w:eastAsia="en-MY"/>
                              </w:rPr>
                              <w:t>998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277D2" id="Text Box 223" o:spid="_x0000_s1320" type="#_x0000_t202" style="position:absolute;margin-left:305.75pt;margin-top:34.5pt;width:41.15pt;height:19.6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" filled="f" stroked="f" strokeweight=".5pt">
                <v:textbox>
                  <w:txbxContent>
                    <w:p w14:paraId="2A0204E3" w14:textId="77777777" w:rsidR="00230AB9" w:rsidRDefault="00230AB9" w:rsidP="00D740DC">
                      <w:r w:rsidRPr="005A33C6">
                        <w:rPr>
                          <w:rFonts w:asciiTheme="majorBidi" w:eastAsia="Times New Roman" w:hAnsiTheme="majorBidi" w:cstheme="majorBidi"/>
                          <w:color w:val="000000"/>
                          <w:sz w:val="16"/>
                          <w:szCs w:val="16"/>
                          <w:lang w:eastAsia="en-MY"/>
                        </w:rPr>
                        <w:t>998</w:t>
                      </w:r>
                    </w:p>
                  </w:txbxContent>
                </v:textbox>
              </v:shape>
            </w:pict>
          </mc:Fallback>
        </mc:AlternateContent>
      </w:r>
      <w:r w:rsidRPr="000E2377">
        <w:rPr>
          <w:noProof/>
          <w:lang w:eastAsia="en-MY"/>
        </w:rPr>
        <mc:AlternateContent>
          <mc:Choice Requires="wps">
            <w:drawing>
              <wp:anchor distT="0" distB="0" distL="114300" distR="114300" simplePos="0" relativeHeight="252390400" behindDoc="0" locked="0" layoutInCell="1" allowOverlap="1" wp14:anchorId="2C51ABCB" wp14:editId="54385393">
                <wp:simplePos x="0" y="0"/>
                <wp:positionH relativeFrom="column">
                  <wp:posOffset>4025010</wp:posOffset>
                </wp:positionH>
                <wp:positionV relativeFrom="paragraph">
                  <wp:posOffset>547560</wp:posOffset>
                </wp:positionV>
                <wp:extent cx="11875" cy="1163782"/>
                <wp:effectExtent l="0" t="0" r="26670" b="17780"/>
                <wp:wrapNone/>
                <wp:docPr id="1479" name="Straight Connector 1479"/>
                <wp:cNvGraphicFramePr/>
                <a:graphic xmlns:a="http://schemas.openxmlformats.org/drawingml/2006/main">
                  <a:graphicData uri="http://schemas.microsoft.com/office/word/2010/wordprocessingShape">
                    <wps:wsp>
                      <wps:cNvCnPr/>
                      <wps:spPr>
                        <a:xfrm flipH="1" flipV="1">
                          <a:off x="0" y="0"/>
                          <a:ext cx="11875" cy="1163782"/>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2AE18B4" id="Straight Connector 1479" o:spid="_x0000_s1026" style="position:absolute;flip:x y;z-index:252390400;visibility:visible;mso-wrap-style:square;mso-wrap-distance-left:9pt;mso-wrap-distance-top:0;mso-wrap-distance-right:9pt;mso-wrap-distance-bottom:0;mso-position-horizontal:absolute;mso-position-horizontal-relative:text;mso-position-vertical:absolute;mso-position-vertical-relative:text" from="316.95pt,43.1pt" to="317.9pt,13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" strokecolor="black [3040]">
                <v:stroke dashstyle="dash"/>
              </v:line>
            </w:pict>
          </mc:Fallback>
        </mc:AlternateContent>
      </w:r>
      <w:r w:rsidRPr="000E2377">
        <w:rPr>
          <w:noProof/>
          <w:lang w:eastAsia="en-MY"/>
        </w:rPr>
        <w:drawing>
          <wp:inline distT="0" distB="0" distL="0" distR="0" wp14:anchorId="0FEB1D86" wp14:editId="49D85F77">
            <wp:extent cx="2820900" cy="2592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20900" cy="2592000"/>
                    </a:xfrm>
                    <a:prstGeom prst="rect">
                      <a:avLst/>
                    </a:prstGeom>
                    <a:noFill/>
                    <a:ln>
                      <a:noFill/>
                    </a:ln>
                  </pic:spPr>
                </pic:pic>
              </a:graphicData>
            </a:graphic>
          </wp:inline>
        </w:drawing>
      </w:r>
      <w:r w:rsidRPr="000E2377">
        <w:rPr>
          <w:noProof/>
          <w:lang w:val="en-GB" w:eastAsia="en-GB"/>
        </w:rPr>
        <w:t xml:space="preserve"> </w:t>
      </w:r>
      <w:r w:rsidRPr="000E2377">
        <w:rPr>
          <w:noProof/>
          <w:lang w:eastAsia="en-MY"/>
        </w:rPr>
        <w:drawing>
          <wp:inline distT="0" distB="0" distL="0" distR="0" wp14:anchorId="0CD34481" wp14:editId="1FF7CE66">
            <wp:extent cx="2834646" cy="2592000"/>
            <wp:effectExtent l="0" t="0" r="381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34646" cy="2592000"/>
                    </a:xfrm>
                    <a:prstGeom prst="rect">
                      <a:avLst/>
                    </a:prstGeom>
                    <a:noFill/>
                    <a:ln>
                      <a:noFill/>
                    </a:ln>
                  </pic:spPr>
                </pic:pic>
              </a:graphicData>
            </a:graphic>
          </wp:inline>
        </w:drawing>
      </w:r>
    </w:p>
    <w:p w14:paraId="4077A7A0" w14:textId="51067A7A" w:rsidR="00D740DC" w:rsidRPr="000E2377" w:rsidRDefault="00D740DC" w:rsidP="00D740DC">
      <w:pPr>
        <w:pStyle w:val="Caption"/>
        <w:rPr>
          <w:rFonts w:eastAsia="Times New Roman"/>
          <w:color w:val="000000"/>
          <w:szCs w:val="24"/>
          <w:lang w:eastAsia="en-MY"/>
        </w:rPr>
      </w:pPr>
      <w:bookmarkStart w:id="740" w:name="_Hlk515396474"/>
      <w:bookmarkStart w:id="741" w:name="_Toc521420481"/>
      <w:bookmarkStart w:id="742" w:name="_Toc525223215"/>
      <w:bookmarkStart w:id="743" w:name="_Toc525528362"/>
      <w:bookmarkStart w:id="744" w:name="_Toc525706377"/>
      <w:r w:rsidRPr="000E2377">
        <w:t xml:space="preserve">Figure </w:t>
      </w:r>
      <w:r w:rsidR="009F4E44">
        <w:t>4.17:</w:t>
      </w:r>
      <w:r w:rsidRPr="000E2377">
        <w:t xml:space="preserve"> </w:t>
      </w:r>
      <w:r w:rsidRPr="000E2377">
        <w:rPr>
          <w:rFonts w:asciiTheme="majorBidi" w:hAnsiTheme="majorBidi" w:cstheme="majorBidi"/>
          <w:szCs w:val="24"/>
        </w:rPr>
        <w:t xml:space="preserve">FTIR spectra for </w:t>
      </w:r>
      <w:r w:rsidRPr="000E2377">
        <w:rPr>
          <w:szCs w:val="24"/>
        </w:rPr>
        <w:t xml:space="preserve">a) </w:t>
      </w:r>
      <w:r w:rsidRPr="000E2377">
        <w:rPr>
          <w:rFonts w:eastAsia="Times New Roman"/>
          <w:color w:val="000000"/>
          <w:szCs w:val="24"/>
          <w:lang w:eastAsia="en-MY"/>
        </w:rPr>
        <w:t>N</w:t>
      </w:r>
      <w:r w:rsidRPr="000E2377">
        <w:rPr>
          <w:rFonts w:eastAsia="Times New Roman"/>
          <w:color w:val="000000"/>
          <w:szCs w:val="24"/>
          <w:vertAlign w:val="subscript"/>
          <w:lang w:eastAsia="en-MY"/>
        </w:rPr>
        <w:t>15</w:t>
      </w:r>
      <w:r w:rsidRPr="000E2377">
        <w:rPr>
          <w:rFonts w:eastAsia="Times New Roman"/>
          <w:color w:val="000000"/>
          <w:szCs w:val="24"/>
          <w:lang w:eastAsia="en-MY"/>
        </w:rPr>
        <w:t>C</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15-x</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60</w:t>
      </w:r>
      <w:r w:rsidRPr="000E2377">
        <w:rPr>
          <w:szCs w:val="24"/>
        </w:rPr>
        <w:t xml:space="preserve">, </w:t>
      </w:r>
      <w:r w:rsidRPr="000E2377">
        <w:rPr>
          <w:rFonts w:eastAsia="Times New Roman"/>
          <w:color w:val="000000"/>
          <w:szCs w:val="24"/>
          <w:lang w:eastAsia="en-MY"/>
        </w:rPr>
        <w:t>N</w:t>
      </w:r>
      <w:r w:rsidRPr="000E2377">
        <w:rPr>
          <w:rFonts w:eastAsia="Times New Roman"/>
          <w:color w:val="000000"/>
          <w:szCs w:val="24"/>
          <w:vertAlign w:val="subscript"/>
          <w:lang w:eastAsia="en-MY"/>
        </w:rPr>
        <w:t>15</w:t>
      </w:r>
      <w:r w:rsidRPr="000E2377">
        <w:rPr>
          <w:rFonts w:eastAsia="Times New Roman"/>
          <w:color w:val="000000"/>
          <w:szCs w:val="24"/>
          <w:lang w:eastAsia="en-MY"/>
        </w:rPr>
        <w:t>Ba</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15-x</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 xml:space="preserve">60 </w:t>
      </w:r>
      <w:r w:rsidRPr="000E2377">
        <w:rPr>
          <w:rFonts w:eastAsia="Times New Roman"/>
          <w:color w:val="000000"/>
          <w:szCs w:val="24"/>
          <w:lang w:eastAsia="en-MY"/>
        </w:rPr>
        <w:t>and b) N</w:t>
      </w:r>
      <w:r w:rsidRPr="000E2377">
        <w:rPr>
          <w:rFonts w:eastAsia="Times New Roman"/>
          <w:color w:val="000000"/>
          <w:szCs w:val="24"/>
          <w:vertAlign w:val="subscript"/>
          <w:lang w:eastAsia="en-MY"/>
        </w:rPr>
        <w:t>10</w:t>
      </w:r>
      <w:r w:rsidRPr="000E2377">
        <w:rPr>
          <w:rFonts w:eastAsia="Times New Roman"/>
          <w:color w:val="000000"/>
          <w:szCs w:val="24"/>
          <w:lang w:eastAsia="en-MY"/>
        </w:rPr>
        <w:t>C</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20-x</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60</w:t>
      </w:r>
      <w:r w:rsidRPr="000E2377">
        <w:rPr>
          <w:szCs w:val="24"/>
        </w:rPr>
        <w:t xml:space="preserve">, </w:t>
      </w:r>
      <w:r w:rsidRPr="000E2377">
        <w:rPr>
          <w:rFonts w:eastAsia="Times New Roman"/>
          <w:color w:val="000000"/>
          <w:szCs w:val="24"/>
          <w:lang w:eastAsia="en-MY"/>
        </w:rPr>
        <w:t>N</w:t>
      </w:r>
      <w:r w:rsidRPr="000E2377">
        <w:rPr>
          <w:rFonts w:eastAsia="Times New Roman"/>
          <w:color w:val="000000"/>
          <w:szCs w:val="24"/>
          <w:vertAlign w:val="subscript"/>
          <w:lang w:eastAsia="en-MY"/>
        </w:rPr>
        <w:t>10</w:t>
      </w:r>
      <w:r w:rsidRPr="000E2377">
        <w:rPr>
          <w:rFonts w:eastAsia="Times New Roman"/>
          <w:color w:val="000000"/>
          <w:szCs w:val="24"/>
          <w:lang w:eastAsia="en-MY"/>
        </w:rPr>
        <w:t>Ba</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20-x</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 xml:space="preserve">60 </w:t>
      </w:r>
      <w:r w:rsidRPr="000E2377">
        <w:rPr>
          <w:rFonts w:eastAsia="Times New Roman"/>
          <w:color w:val="000000"/>
          <w:szCs w:val="24"/>
          <w:lang w:eastAsia="en-MY"/>
        </w:rPr>
        <w:t>glasses</w:t>
      </w:r>
      <w:bookmarkEnd w:id="740"/>
      <w:bookmarkEnd w:id="741"/>
      <w:r w:rsidRPr="000E2377">
        <w:rPr>
          <w:rFonts w:eastAsia="Times New Roman"/>
          <w:color w:val="000000"/>
          <w:szCs w:val="24"/>
          <w:lang w:eastAsia="en-MY"/>
        </w:rPr>
        <w:t>.</w:t>
      </w:r>
      <w:bookmarkEnd w:id="742"/>
      <w:bookmarkEnd w:id="743"/>
      <w:bookmarkEnd w:id="744"/>
    </w:p>
    <w:p w14:paraId="496683FC" w14:textId="2901BA29" w:rsidR="00D740DC" w:rsidRDefault="00D740DC" w:rsidP="00D740DC">
      <w:pPr>
        <w:spacing w:before="200" w:line="360" w:lineRule="auto"/>
        <w:jc w:val="both"/>
        <w:rPr>
          <w:rFonts w:cs="Times New Roman"/>
          <w:b w:val="0"/>
          <w:szCs w:val="24"/>
        </w:rPr>
      </w:pPr>
    </w:p>
    <w:p w14:paraId="424F8EDC" w14:textId="01287135" w:rsidR="00ED4492" w:rsidRDefault="00ED4492" w:rsidP="00D740DC">
      <w:pPr>
        <w:spacing w:before="200" w:line="360" w:lineRule="auto"/>
        <w:jc w:val="both"/>
        <w:rPr>
          <w:rFonts w:cs="Times New Roman"/>
          <w:b w:val="0"/>
          <w:szCs w:val="24"/>
        </w:rPr>
      </w:pPr>
    </w:p>
    <w:p w14:paraId="078BA538" w14:textId="134E1A35" w:rsidR="00ED4492" w:rsidRDefault="00ED4492" w:rsidP="00D740DC">
      <w:pPr>
        <w:spacing w:before="200" w:line="360" w:lineRule="auto"/>
        <w:jc w:val="both"/>
        <w:rPr>
          <w:rFonts w:cs="Times New Roman"/>
          <w:b w:val="0"/>
          <w:szCs w:val="24"/>
        </w:rPr>
      </w:pPr>
    </w:p>
    <w:p w14:paraId="36501F76" w14:textId="77777777" w:rsidR="00ED4492" w:rsidRPr="000E2377" w:rsidRDefault="00ED4492" w:rsidP="00D740DC">
      <w:pPr>
        <w:spacing w:before="200" w:line="360" w:lineRule="auto"/>
        <w:jc w:val="both"/>
        <w:rPr>
          <w:rFonts w:cs="Times New Roman"/>
          <w:b w:val="0"/>
          <w:szCs w:val="24"/>
        </w:rPr>
      </w:pPr>
    </w:p>
    <w:p w14:paraId="7CE232BC" w14:textId="5ABD60AE" w:rsidR="00D740DC" w:rsidRPr="000E2377" w:rsidRDefault="00D740DC" w:rsidP="00D740DC">
      <w:pPr>
        <w:spacing w:before="200" w:line="360" w:lineRule="auto"/>
        <w:jc w:val="both"/>
        <w:rPr>
          <w:rFonts w:cs="Times New Roman"/>
          <w:b w:val="0"/>
          <w:szCs w:val="24"/>
        </w:rPr>
      </w:pPr>
      <w:r w:rsidRPr="000E2377">
        <w:rPr>
          <w:rFonts w:cs="Times New Roman"/>
          <w:b w:val="0"/>
          <w:szCs w:val="24"/>
        </w:rPr>
        <w:lastRenderedPageBreak/>
        <w:t xml:space="preserve">FTIR spectra for the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b w:val="0"/>
          <w:color w:val="000000"/>
          <w:szCs w:val="24"/>
          <w:lang w:eastAsia="en-MY"/>
        </w:rPr>
        <w:t>,</w:t>
      </w:r>
      <w:r w:rsidRPr="000E2377">
        <w:rPr>
          <w:rFonts w:eastAsia="Times New Roman" w:cs="Times New Roman"/>
          <w:b w:val="0"/>
          <w:color w:val="000000"/>
          <w:szCs w:val="24"/>
          <w:vertAlign w:val="subscript"/>
          <w:lang w:eastAsia="en-MY"/>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b w:val="0"/>
          <w:color w:val="000000"/>
          <w:szCs w:val="24"/>
          <w:lang w:eastAsia="en-MY"/>
        </w:rPr>
        <w:t>, 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eastAsia="Times New Roman" w:cs="Times New Roman"/>
          <w:b w:val="0"/>
          <w:color w:val="000000"/>
          <w:szCs w:val="24"/>
          <w:lang w:eastAsia="en-MY"/>
        </w:rPr>
        <w:t>and</w:t>
      </w:r>
      <w:r w:rsidRPr="000E2377">
        <w:rPr>
          <w:rFonts w:eastAsia="Times New Roman" w:cs="Times New Roman"/>
          <w:b w:val="0"/>
          <w:color w:val="000000"/>
          <w:szCs w:val="24"/>
          <w:vertAlign w:val="subscript"/>
          <w:lang w:eastAsia="en-MY"/>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eastAsia="Times New Roman" w:cs="Times New Roman"/>
          <w:b w:val="0"/>
          <w:color w:val="000000"/>
          <w:szCs w:val="24"/>
          <w:lang w:eastAsia="en-MY"/>
        </w:rPr>
        <w:t>glass</w:t>
      </w:r>
      <w:r w:rsidRPr="000E2377">
        <w:rPr>
          <w:rFonts w:eastAsia="Times New Roman" w:cs="Times New Roman"/>
          <w:color w:val="000000"/>
          <w:szCs w:val="24"/>
          <w:lang w:eastAsia="en-MY"/>
        </w:rPr>
        <w:t xml:space="preserve"> </w:t>
      </w:r>
      <w:r w:rsidRPr="000E2377">
        <w:rPr>
          <w:rFonts w:cs="Times New Roman"/>
          <w:b w:val="0"/>
          <w:szCs w:val="24"/>
        </w:rPr>
        <w:t>series are shown in Figure 4.1</w:t>
      </w:r>
      <w:r>
        <w:rPr>
          <w:rFonts w:cs="Times New Roman"/>
          <w:b w:val="0"/>
          <w:szCs w:val="24"/>
        </w:rPr>
        <w:t>7</w:t>
      </w:r>
      <w:r w:rsidRPr="000E2377">
        <w:rPr>
          <w:rFonts w:cs="Times New Roman"/>
          <w:b w:val="0"/>
          <w:szCs w:val="24"/>
        </w:rPr>
        <w:t xml:space="preserve"> a and b; no differences in peak shape can be seen. Meanwhile</w:t>
      </w:r>
      <w:r w:rsidR="000707B0">
        <w:rPr>
          <w:rFonts w:cs="Times New Roman"/>
          <w:b w:val="0"/>
          <w:szCs w:val="24"/>
        </w:rPr>
        <w:t>,</w:t>
      </w:r>
      <w:r w:rsidRPr="000E2377">
        <w:rPr>
          <w:rFonts w:cs="Times New Roman"/>
          <w:b w:val="0"/>
          <w:szCs w:val="24"/>
        </w:rPr>
        <w:t xml:space="preserve"> Figure 4.1</w:t>
      </w:r>
      <w:r>
        <w:rPr>
          <w:rFonts w:cs="Times New Roman"/>
          <w:b w:val="0"/>
          <w:szCs w:val="24"/>
        </w:rPr>
        <w:t>8</w:t>
      </w:r>
      <w:r w:rsidRPr="000E2377">
        <w:rPr>
          <w:rFonts w:cs="Times New Roman"/>
          <w:b w:val="0"/>
          <w:szCs w:val="24"/>
        </w:rPr>
        <w:t xml:space="preserve"> shows that the wavenumber of the highest peak increased with increasing alumina to network modifier ratio indicating depolymerisation. Calcium gives a higher intensity and slightly higher wavenumber value for the highest peak</w:t>
      </w:r>
      <w:r w:rsidR="000707B0">
        <w:rPr>
          <w:rFonts w:cs="Times New Roman"/>
          <w:b w:val="0"/>
          <w:szCs w:val="24"/>
        </w:rPr>
        <w:t>,</w:t>
      </w:r>
      <w:r w:rsidRPr="000E2377">
        <w:rPr>
          <w:rFonts w:cs="Times New Roman"/>
          <w:b w:val="0"/>
          <w:szCs w:val="24"/>
        </w:rPr>
        <w:t xml:space="preserve"> especially when comparing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cs="Times New Roman"/>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szCs w:val="24"/>
        </w:rPr>
        <w:t xml:space="preserve">. </w:t>
      </w:r>
    </w:p>
    <w:p w14:paraId="0CC14E7C" w14:textId="77777777" w:rsidR="00D740DC" w:rsidRPr="000E2377" w:rsidRDefault="00D740DC" w:rsidP="00D740DC">
      <w:pPr>
        <w:spacing w:before="200" w:line="360" w:lineRule="auto"/>
        <w:jc w:val="center"/>
        <w:rPr>
          <w:rFonts w:eastAsia="Calibri" w:cs="Times New Roman"/>
          <w:b w:val="0"/>
          <w:noProof/>
          <w:szCs w:val="24"/>
          <w:lang w:eastAsia="en-GB"/>
        </w:rPr>
      </w:pPr>
      <w:r w:rsidRPr="000E2377">
        <w:rPr>
          <w:rFonts w:eastAsia="Calibri" w:cs="Times New Roman"/>
          <w:b w:val="0"/>
          <w:noProof/>
          <w:szCs w:val="24"/>
          <w:lang w:eastAsia="en-GB"/>
        </w:rPr>
        <w:t xml:space="preserve"> </w:t>
      </w:r>
      <w:r w:rsidRPr="00541B44">
        <w:rPr>
          <w:noProof/>
          <w:lang w:eastAsia="en-MY"/>
        </w:rPr>
        <w:drawing>
          <wp:inline distT="0" distB="0" distL="0" distR="0" wp14:anchorId="00B5E81D" wp14:editId="5D9657D5">
            <wp:extent cx="3629049" cy="288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629049" cy="2880000"/>
                    </a:xfrm>
                    <a:prstGeom prst="rect">
                      <a:avLst/>
                    </a:prstGeom>
                    <a:noFill/>
                    <a:ln>
                      <a:noFill/>
                    </a:ln>
                  </pic:spPr>
                </pic:pic>
              </a:graphicData>
            </a:graphic>
          </wp:inline>
        </w:drawing>
      </w:r>
    </w:p>
    <w:p w14:paraId="6EECAC02" w14:textId="67F442FA" w:rsidR="00D740DC" w:rsidRPr="000E2377" w:rsidRDefault="00D740DC" w:rsidP="00D740DC">
      <w:pPr>
        <w:pStyle w:val="Caption"/>
        <w:rPr>
          <w:rFonts w:eastAsia="Times New Roman"/>
          <w:color w:val="000000"/>
          <w:szCs w:val="24"/>
          <w:lang w:eastAsia="en-MY"/>
        </w:rPr>
        <w:sectPr w:rsidR="00D740DC" w:rsidRPr="000E2377" w:rsidSect="00B11F5F">
          <w:type w:val="continuous"/>
          <w:pgSz w:w="11906" w:h="16838"/>
          <w:pgMar w:top="1440" w:right="1440" w:bottom="1440" w:left="1440" w:header="708" w:footer="708" w:gutter="0"/>
          <w:cols w:space="708"/>
          <w:docGrid w:linePitch="360"/>
        </w:sectPr>
      </w:pPr>
      <w:bookmarkStart w:id="745" w:name="_Toc521420482"/>
      <w:bookmarkStart w:id="746" w:name="_Toc525223216"/>
      <w:bookmarkStart w:id="747" w:name="_Toc525528363"/>
      <w:bookmarkStart w:id="748" w:name="_Toc525706378"/>
      <w:bookmarkStart w:id="749" w:name="_Hlk515396485"/>
      <w:r w:rsidRPr="000E2377">
        <w:t xml:space="preserve">Figure </w:t>
      </w:r>
      <w:r w:rsidR="009F4E44">
        <w:t xml:space="preserve">4.18: </w:t>
      </w:r>
      <w:r w:rsidRPr="000E2377">
        <w:rPr>
          <w:szCs w:val="24"/>
        </w:rPr>
        <w:t xml:space="preserve">Variation of the </w:t>
      </w:r>
      <w:r w:rsidRPr="000E2377">
        <w:rPr>
          <w:rFonts w:asciiTheme="majorBidi" w:hAnsiTheme="majorBidi" w:cstheme="majorBidi"/>
          <w:szCs w:val="24"/>
        </w:rPr>
        <w:t>FTIR major peak position with alumina to modifier ratio</w:t>
      </w:r>
      <w:r w:rsidRPr="000E2377">
        <w:rPr>
          <w:rFonts w:eastAsia="Times New Roman"/>
          <w:color w:val="000000"/>
          <w:szCs w:val="24"/>
          <w:lang w:eastAsia="en-MY"/>
        </w:rPr>
        <w:t xml:space="preserve"> </w:t>
      </w:r>
      <w:r w:rsidRPr="000E2377">
        <w:rPr>
          <w:rFonts w:asciiTheme="majorBidi" w:hAnsiTheme="majorBidi" w:cstheme="majorBidi"/>
          <w:szCs w:val="24"/>
        </w:rPr>
        <w:t xml:space="preserve">for </w:t>
      </w:r>
      <w:r w:rsidRPr="000E2377">
        <w:rPr>
          <w:rFonts w:eastAsia="Times New Roman"/>
          <w:color w:val="000000"/>
          <w:szCs w:val="24"/>
          <w:lang w:eastAsia="en-MY"/>
        </w:rPr>
        <w:t>N</w:t>
      </w:r>
      <w:r w:rsidRPr="000E2377">
        <w:rPr>
          <w:rFonts w:eastAsia="Times New Roman"/>
          <w:color w:val="000000"/>
          <w:szCs w:val="24"/>
          <w:vertAlign w:val="subscript"/>
          <w:lang w:eastAsia="en-MY"/>
        </w:rPr>
        <w:t>15</w:t>
      </w:r>
      <w:r w:rsidRPr="000E2377">
        <w:rPr>
          <w:rFonts w:eastAsia="Times New Roman"/>
          <w:color w:val="000000"/>
          <w:szCs w:val="24"/>
          <w:lang w:eastAsia="en-MY"/>
        </w:rPr>
        <w:t>C</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15-x</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60</w:t>
      </w:r>
      <w:r w:rsidRPr="000E2377">
        <w:rPr>
          <w:szCs w:val="24"/>
        </w:rPr>
        <w:t xml:space="preserve">, </w:t>
      </w:r>
      <w:r w:rsidRPr="000E2377">
        <w:rPr>
          <w:rFonts w:eastAsia="Times New Roman"/>
          <w:color w:val="000000"/>
          <w:szCs w:val="24"/>
          <w:lang w:eastAsia="en-MY"/>
        </w:rPr>
        <w:t>N</w:t>
      </w:r>
      <w:r w:rsidRPr="000E2377">
        <w:rPr>
          <w:rFonts w:eastAsia="Times New Roman"/>
          <w:color w:val="000000"/>
          <w:szCs w:val="24"/>
          <w:vertAlign w:val="subscript"/>
          <w:lang w:eastAsia="en-MY"/>
        </w:rPr>
        <w:t>15</w:t>
      </w:r>
      <w:r w:rsidRPr="000E2377">
        <w:rPr>
          <w:rFonts w:eastAsia="Times New Roman"/>
          <w:color w:val="000000"/>
          <w:szCs w:val="24"/>
          <w:lang w:eastAsia="en-MY"/>
        </w:rPr>
        <w:t>Ba</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15-x</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60</w:t>
      </w:r>
      <w:r w:rsidRPr="000E2377">
        <w:rPr>
          <w:rFonts w:eastAsia="Times New Roman"/>
          <w:color w:val="000000"/>
          <w:szCs w:val="24"/>
          <w:lang w:eastAsia="en-MY"/>
        </w:rPr>
        <w:t>, N</w:t>
      </w:r>
      <w:r w:rsidRPr="000E2377">
        <w:rPr>
          <w:rFonts w:eastAsia="Times New Roman"/>
          <w:color w:val="000000"/>
          <w:szCs w:val="24"/>
          <w:vertAlign w:val="subscript"/>
          <w:lang w:eastAsia="en-MY"/>
        </w:rPr>
        <w:t>10</w:t>
      </w:r>
      <w:r w:rsidRPr="000E2377">
        <w:rPr>
          <w:rFonts w:eastAsia="Times New Roman"/>
          <w:color w:val="000000"/>
          <w:szCs w:val="24"/>
          <w:lang w:eastAsia="en-MY"/>
        </w:rPr>
        <w:t>C</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20-x</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60</w:t>
      </w:r>
      <w:r w:rsidRPr="000E2377">
        <w:rPr>
          <w:szCs w:val="24"/>
        </w:rPr>
        <w:t xml:space="preserve"> and </w:t>
      </w:r>
      <w:r w:rsidRPr="000E2377">
        <w:rPr>
          <w:rFonts w:eastAsia="Times New Roman"/>
          <w:color w:val="000000"/>
          <w:szCs w:val="24"/>
          <w:lang w:eastAsia="en-MY"/>
        </w:rPr>
        <w:t>N</w:t>
      </w:r>
      <w:r w:rsidRPr="000E2377">
        <w:rPr>
          <w:rFonts w:eastAsia="Times New Roman"/>
          <w:color w:val="000000"/>
          <w:szCs w:val="24"/>
          <w:vertAlign w:val="subscript"/>
          <w:lang w:eastAsia="en-MY"/>
        </w:rPr>
        <w:t>10</w:t>
      </w:r>
      <w:r w:rsidRPr="000E2377">
        <w:rPr>
          <w:rFonts w:eastAsia="Times New Roman"/>
          <w:color w:val="000000"/>
          <w:szCs w:val="24"/>
          <w:lang w:eastAsia="en-MY"/>
        </w:rPr>
        <w:t>Ba</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20-x</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 xml:space="preserve">60 </w:t>
      </w:r>
      <w:r w:rsidRPr="000E2377">
        <w:rPr>
          <w:rFonts w:eastAsia="Times New Roman"/>
          <w:color w:val="000000"/>
          <w:szCs w:val="24"/>
          <w:lang w:eastAsia="en-MY"/>
        </w:rPr>
        <w:t>glass series</w:t>
      </w:r>
      <w:bookmarkEnd w:id="745"/>
      <w:bookmarkEnd w:id="746"/>
      <w:bookmarkEnd w:id="747"/>
      <w:bookmarkEnd w:id="748"/>
      <w:r>
        <w:rPr>
          <w:rFonts w:eastAsia="Times New Roman"/>
          <w:color w:val="000000"/>
          <w:szCs w:val="24"/>
          <w:lang w:eastAsia="en-MY"/>
        </w:rPr>
        <w:t>.</w:t>
      </w:r>
    </w:p>
    <w:bookmarkEnd w:id="749"/>
    <w:p w14:paraId="088FB514" w14:textId="77777777" w:rsidR="00D740DC" w:rsidRPr="000E2377" w:rsidRDefault="00D740DC" w:rsidP="00D740DC">
      <w:pPr>
        <w:spacing w:after="0" w:line="360" w:lineRule="auto"/>
        <w:jc w:val="both"/>
        <w:rPr>
          <w:rFonts w:cs="Times New Roman"/>
          <w:szCs w:val="24"/>
        </w:rPr>
      </w:pPr>
      <w:r w:rsidRPr="000E2377">
        <w:rPr>
          <w:rFonts w:eastAsia="Times New Roman" w:cs="Times New Roman"/>
          <w:color w:val="000000"/>
          <w:szCs w:val="24"/>
          <w:lang w:eastAsia="en-MY"/>
        </w:rPr>
        <w:lastRenderedPageBreak/>
        <w:t>4.</w:t>
      </w:r>
      <w:r>
        <w:rPr>
          <w:rFonts w:eastAsia="Times New Roman" w:cs="Times New Roman"/>
          <w:color w:val="000000"/>
          <w:szCs w:val="24"/>
          <w:lang w:eastAsia="en-MY"/>
        </w:rPr>
        <w:t>4</w:t>
      </w:r>
      <w:r w:rsidRPr="000E2377">
        <w:rPr>
          <w:rFonts w:eastAsia="Times New Roman" w:cs="Times New Roman"/>
          <w:color w:val="000000"/>
          <w:szCs w:val="24"/>
          <w:lang w:eastAsia="en-MY"/>
        </w:rPr>
        <w:t xml:space="preserve">.3 </w:t>
      </w:r>
      <w:r w:rsidRPr="000E2377">
        <w:rPr>
          <w:rFonts w:cs="Times New Roman"/>
          <w:szCs w:val="24"/>
        </w:rPr>
        <w:t xml:space="preserve">Series </w:t>
      </w: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2</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78-x</w:t>
      </w:r>
      <w:r w:rsidRPr="000E2377">
        <w:rPr>
          <w:rFonts w:cs="Times New Roman"/>
          <w:szCs w:val="24"/>
        </w:rPr>
        <w:t xml:space="preserve"> ,</w:t>
      </w:r>
      <w:r w:rsidRPr="000E2377">
        <w:rPr>
          <w:rFonts w:eastAsia="Times New Roman" w:cs="Times New Roman"/>
          <w:color w:val="000000"/>
          <w:szCs w:val="24"/>
          <w:lang w:eastAsia="en-MY"/>
        </w:rPr>
        <w:t xml:space="preserve"> N</w:t>
      </w:r>
      <w:r w:rsidRPr="000E2377">
        <w:rPr>
          <w:rFonts w:eastAsia="Times New Roman" w:cs="Times New Roman"/>
          <w:color w:val="000000"/>
          <w:szCs w:val="24"/>
          <w:vertAlign w:val="subscript"/>
          <w:lang w:eastAsia="en-MY"/>
        </w:rPr>
        <w:t>15</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2</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73-x</w:t>
      </w:r>
      <w:r w:rsidRPr="000E2377">
        <w:rPr>
          <w:rFonts w:cs="Times New Roman"/>
          <w:szCs w:val="24"/>
        </w:rPr>
        <w:t xml:space="preserve">, and </w:t>
      </w: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Ba</w:t>
      </w:r>
      <w:r w:rsidRPr="000E2377">
        <w:rPr>
          <w:rFonts w:eastAsia="Times New Roman" w:cs="Times New Roman"/>
          <w:color w:val="000000"/>
          <w:szCs w:val="24"/>
          <w:vertAlign w:val="subscript"/>
          <w:lang w:eastAsia="en-MY"/>
        </w:rPr>
        <w:t>2</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y</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 xml:space="preserve">78-x-y </w:t>
      </w:r>
      <w:r w:rsidRPr="000E2377">
        <w:rPr>
          <w:rFonts w:eastAsia="Times New Roman" w:cs="Times New Roman"/>
          <w:color w:val="000000"/>
          <w:szCs w:val="24"/>
          <w:lang w:eastAsia="en-MY"/>
        </w:rPr>
        <w:t>glasses</w:t>
      </w:r>
      <w:r w:rsidRPr="000E2377">
        <w:rPr>
          <w:rFonts w:cs="Times New Roman"/>
          <w:szCs w:val="24"/>
        </w:rPr>
        <w:t>.</w:t>
      </w:r>
    </w:p>
    <w:p w14:paraId="0C22668F" w14:textId="77777777" w:rsidR="00D740DC" w:rsidRPr="000E2377" w:rsidRDefault="00D740DC" w:rsidP="00D740DC">
      <w:pPr>
        <w:spacing w:after="0"/>
        <w:rPr>
          <w:rFonts w:eastAsia="Times New Roman" w:cs="Times New Roman"/>
          <w:color w:val="000000"/>
          <w:szCs w:val="24"/>
          <w:lang w:eastAsia="en-MY"/>
        </w:rPr>
      </w:pPr>
    </w:p>
    <w:p w14:paraId="1EC52875" w14:textId="77777777" w:rsidR="00D740DC" w:rsidRPr="000E2377" w:rsidRDefault="00D740DC" w:rsidP="00D740DC">
      <w:pPr>
        <w:spacing w:after="0"/>
        <w:jc w:val="center"/>
        <w:rPr>
          <w:noProof/>
          <w:lang w:val="en-GB" w:eastAsia="en-GB"/>
        </w:rPr>
      </w:pPr>
      <w:r w:rsidRPr="000E2377">
        <w:rPr>
          <w:noProof/>
          <w:lang w:eastAsia="en-MY"/>
        </w:rPr>
        <mc:AlternateContent>
          <mc:Choice Requires="wps">
            <w:drawing>
              <wp:anchor distT="0" distB="0" distL="114300" distR="114300" simplePos="0" relativeHeight="252440576" behindDoc="0" locked="0" layoutInCell="1" allowOverlap="1" wp14:anchorId="6BB4622A" wp14:editId="0226DE1F">
                <wp:simplePos x="0" y="0"/>
                <wp:positionH relativeFrom="margin">
                  <wp:posOffset>3837600</wp:posOffset>
                </wp:positionH>
                <wp:positionV relativeFrom="paragraph">
                  <wp:posOffset>2588615</wp:posOffset>
                </wp:positionV>
                <wp:extent cx="1143000" cy="273600"/>
                <wp:effectExtent l="0" t="0" r="0" b="0"/>
                <wp:wrapNone/>
                <wp:docPr id="1761" name="Text Box 1761"/>
                <wp:cNvGraphicFramePr/>
                <a:graphic xmlns:a="http://schemas.openxmlformats.org/drawingml/2006/main">
                  <a:graphicData uri="http://schemas.microsoft.com/office/word/2010/wordprocessingShape">
                    <wps:wsp>
                      <wps:cNvSpPr txBox="1"/>
                      <wps:spPr>
                        <a:xfrm>
                          <a:off x="0" y="0"/>
                          <a:ext cx="1143000" cy="273600"/>
                        </a:xfrm>
                        <a:prstGeom prst="rect">
                          <a:avLst/>
                        </a:prstGeom>
                        <a:solidFill>
                          <a:sysClr val="window" lastClr="FFFFFF"/>
                        </a:solidFill>
                        <a:ln w="6350">
                          <a:noFill/>
                        </a:ln>
                      </wps:spPr>
                      <wps:txbx>
                        <w:txbxContent>
                          <w:p w14:paraId="622C8812" w14:textId="77777777" w:rsidR="00230AB9" w:rsidRPr="00221C87" w:rsidRDefault="00230AB9" w:rsidP="00D740DC">
                            <w:pPr>
                              <w:rPr>
                                <w:sz w:val="20"/>
                                <w:szCs w:val="20"/>
                              </w:rPr>
                            </w:pPr>
                            <w:r w:rsidRPr="00221C87">
                              <w:rPr>
                                <w:rFonts w:eastAsia="Times New Roman" w:cs="Times New Roman"/>
                                <w:color w:val="000000"/>
                                <w:sz w:val="20"/>
                                <w:szCs w:val="20"/>
                                <w:lang w:eastAsia="en-MY"/>
                              </w:rPr>
                              <w:t>N</w:t>
                            </w:r>
                            <w:r w:rsidRPr="00221C87">
                              <w:rPr>
                                <w:rFonts w:eastAsia="Times New Roman" w:cs="Times New Roman"/>
                                <w:color w:val="000000"/>
                                <w:sz w:val="20"/>
                                <w:szCs w:val="20"/>
                                <w:vertAlign w:val="subscript"/>
                                <w:lang w:eastAsia="en-MY"/>
                              </w:rPr>
                              <w:t>15</w:t>
                            </w:r>
                            <w:r w:rsidRPr="00221C87">
                              <w:rPr>
                                <w:rFonts w:eastAsia="Times New Roman" w:cs="Times New Roman"/>
                                <w:color w:val="000000"/>
                                <w:sz w:val="20"/>
                                <w:szCs w:val="20"/>
                                <w:lang w:eastAsia="en-MY"/>
                              </w:rPr>
                              <w:t>C</w:t>
                            </w:r>
                            <w:r w:rsidRPr="00221C87">
                              <w:rPr>
                                <w:rFonts w:eastAsia="Times New Roman" w:cs="Times New Roman"/>
                                <w:color w:val="000000"/>
                                <w:sz w:val="20"/>
                                <w:szCs w:val="20"/>
                                <w:vertAlign w:val="subscript"/>
                                <w:lang w:eastAsia="en-MY"/>
                              </w:rPr>
                              <w:t>12.5</w:t>
                            </w:r>
                            <w:r w:rsidRPr="00221C87">
                              <w:rPr>
                                <w:rFonts w:eastAsia="Times New Roman" w:cs="Times New Roman"/>
                                <w:color w:val="000000"/>
                                <w:sz w:val="20"/>
                                <w:szCs w:val="20"/>
                                <w:lang w:eastAsia="en-MY"/>
                              </w:rPr>
                              <w:t>A</w:t>
                            </w:r>
                            <w:r w:rsidRPr="00221C87">
                              <w:rPr>
                                <w:rFonts w:eastAsia="Times New Roman" w:cs="Times New Roman"/>
                                <w:color w:val="000000"/>
                                <w:sz w:val="20"/>
                                <w:szCs w:val="20"/>
                                <w:vertAlign w:val="subscript"/>
                                <w:lang w:eastAsia="en-MY"/>
                              </w:rPr>
                              <w:t>2</w:t>
                            </w:r>
                            <w:r w:rsidRPr="00221C87">
                              <w:rPr>
                                <w:rFonts w:eastAsia="Times New Roman" w:cs="Times New Roman"/>
                                <w:color w:val="000000"/>
                                <w:sz w:val="20"/>
                                <w:szCs w:val="20"/>
                                <w:lang w:eastAsia="en-MY"/>
                              </w:rPr>
                              <w:t>B</w:t>
                            </w:r>
                            <w:r w:rsidRPr="00221C87">
                              <w:rPr>
                                <w:rFonts w:eastAsia="Times New Roman" w:cs="Times New Roman"/>
                                <w:color w:val="000000"/>
                                <w:sz w:val="20"/>
                                <w:szCs w:val="20"/>
                                <w:vertAlign w:val="subscript"/>
                                <w:lang w:eastAsia="en-MY"/>
                              </w:rPr>
                              <w:t>10</w:t>
                            </w:r>
                            <w:r w:rsidRPr="00221C87">
                              <w:rPr>
                                <w:rFonts w:eastAsia="Times New Roman" w:cs="Times New Roman"/>
                                <w:color w:val="000000"/>
                                <w:sz w:val="20"/>
                                <w:szCs w:val="20"/>
                                <w:lang w:eastAsia="en-MY"/>
                              </w:rPr>
                              <w:t>S</w:t>
                            </w:r>
                            <w:r w:rsidRPr="00221C87">
                              <w:rPr>
                                <w:rFonts w:eastAsia="Times New Roman" w:cs="Times New Roman"/>
                                <w:color w:val="000000"/>
                                <w:sz w:val="20"/>
                                <w:szCs w:val="20"/>
                                <w:vertAlign w:val="subscript"/>
                                <w:lang w:eastAsia="en-MY"/>
                              </w:rPr>
                              <w:t>60.5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4622A" id="Text Box 1761" o:spid="_x0000_s1321" type="#_x0000_t202" style="position:absolute;left:0;text-align:left;margin-left:302.15pt;margin-top:203.85pt;width:90pt;height:21.55pt;z-index:25244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" fillcolor="window" stroked="f" strokeweight=".5pt">
                <v:textbox>
                  <w:txbxContent>
                    <w:p w14:paraId="622C8812" w14:textId="77777777" w:rsidR="00230AB9" w:rsidRPr="00221C87" w:rsidRDefault="00230AB9" w:rsidP="00D740DC">
                      <w:pPr>
                        <w:rPr>
                          <w:sz w:val="20"/>
                          <w:szCs w:val="20"/>
                        </w:rPr>
                      </w:pPr>
                      <w:r w:rsidRPr="00221C87">
                        <w:rPr>
                          <w:rFonts w:eastAsia="Times New Roman" w:cs="Times New Roman"/>
                          <w:color w:val="000000"/>
                          <w:sz w:val="20"/>
                          <w:szCs w:val="20"/>
                          <w:lang w:eastAsia="en-MY"/>
                        </w:rPr>
                        <w:t>N</w:t>
                      </w:r>
                      <w:r w:rsidRPr="00221C87">
                        <w:rPr>
                          <w:rFonts w:eastAsia="Times New Roman" w:cs="Times New Roman"/>
                          <w:color w:val="000000"/>
                          <w:sz w:val="20"/>
                          <w:szCs w:val="20"/>
                          <w:vertAlign w:val="subscript"/>
                          <w:lang w:eastAsia="en-MY"/>
                        </w:rPr>
                        <w:t>15</w:t>
                      </w:r>
                      <w:r w:rsidRPr="00221C87">
                        <w:rPr>
                          <w:rFonts w:eastAsia="Times New Roman" w:cs="Times New Roman"/>
                          <w:color w:val="000000"/>
                          <w:sz w:val="20"/>
                          <w:szCs w:val="20"/>
                          <w:lang w:eastAsia="en-MY"/>
                        </w:rPr>
                        <w:t>C</w:t>
                      </w:r>
                      <w:r w:rsidRPr="00221C87">
                        <w:rPr>
                          <w:rFonts w:eastAsia="Times New Roman" w:cs="Times New Roman"/>
                          <w:color w:val="000000"/>
                          <w:sz w:val="20"/>
                          <w:szCs w:val="20"/>
                          <w:vertAlign w:val="subscript"/>
                          <w:lang w:eastAsia="en-MY"/>
                        </w:rPr>
                        <w:t>12.5</w:t>
                      </w:r>
                      <w:r w:rsidRPr="00221C87">
                        <w:rPr>
                          <w:rFonts w:eastAsia="Times New Roman" w:cs="Times New Roman"/>
                          <w:color w:val="000000"/>
                          <w:sz w:val="20"/>
                          <w:szCs w:val="20"/>
                          <w:lang w:eastAsia="en-MY"/>
                        </w:rPr>
                        <w:t>A</w:t>
                      </w:r>
                      <w:r w:rsidRPr="00221C87">
                        <w:rPr>
                          <w:rFonts w:eastAsia="Times New Roman" w:cs="Times New Roman"/>
                          <w:color w:val="000000"/>
                          <w:sz w:val="20"/>
                          <w:szCs w:val="20"/>
                          <w:vertAlign w:val="subscript"/>
                          <w:lang w:eastAsia="en-MY"/>
                        </w:rPr>
                        <w:t>2</w:t>
                      </w:r>
                      <w:r w:rsidRPr="00221C87">
                        <w:rPr>
                          <w:rFonts w:eastAsia="Times New Roman" w:cs="Times New Roman"/>
                          <w:color w:val="000000"/>
                          <w:sz w:val="20"/>
                          <w:szCs w:val="20"/>
                          <w:lang w:eastAsia="en-MY"/>
                        </w:rPr>
                        <w:t>B</w:t>
                      </w:r>
                      <w:r w:rsidRPr="00221C87">
                        <w:rPr>
                          <w:rFonts w:eastAsia="Times New Roman" w:cs="Times New Roman"/>
                          <w:color w:val="000000"/>
                          <w:sz w:val="20"/>
                          <w:szCs w:val="20"/>
                          <w:vertAlign w:val="subscript"/>
                          <w:lang w:eastAsia="en-MY"/>
                        </w:rPr>
                        <w:t>10</w:t>
                      </w:r>
                      <w:r w:rsidRPr="00221C87">
                        <w:rPr>
                          <w:rFonts w:eastAsia="Times New Roman" w:cs="Times New Roman"/>
                          <w:color w:val="000000"/>
                          <w:sz w:val="20"/>
                          <w:szCs w:val="20"/>
                          <w:lang w:eastAsia="en-MY"/>
                        </w:rPr>
                        <w:t>S</w:t>
                      </w:r>
                      <w:r w:rsidRPr="00221C87">
                        <w:rPr>
                          <w:rFonts w:eastAsia="Times New Roman" w:cs="Times New Roman"/>
                          <w:color w:val="000000"/>
                          <w:sz w:val="20"/>
                          <w:szCs w:val="20"/>
                          <w:vertAlign w:val="subscript"/>
                          <w:lang w:eastAsia="en-MY"/>
                        </w:rPr>
                        <w:t>60.5</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439552" behindDoc="0" locked="0" layoutInCell="1" allowOverlap="1" wp14:anchorId="2823FE4A" wp14:editId="07DF2B1D">
                <wp:simplePos x="0" y="0"/>
                <wp:positionH relativeFrom="margin">
                  <wp:posOffset>3981600</wp:posOffset>
                </wp:positionH>
                <wp:positionV relativeFrom="paragraph">
                  <wp:posOffset>2379815</wp:posOffset>
                </wp:positionV>
                <wp:extent cx="1143000" cy="259200"/>
                <wp:effectExtent l="0" t="0" r="0" b="7620"/>
                <wp:wrapNone/>
                <wp:docPr id="349" name="Text Box 349"/>
                <wp:cNvGraphicFramePr/>
                <a:graphic xmlns:a="http://schemas.openxmlformats.org/drawingml/2006/main">
                  <a:graphicData uri="http://schemas.microsoft.com/office/word/2010/wordprocessingShape">
                    <wps:wsp>
                      <wps:cNvSpPr txBox="1"/>
                      <wps:spPr>
                        <a:xfrm>
                          <a:off x="0" y="0"/>
                          <a:ext cx="1143000" cy="259200"/>
                        </a:xfrm>
                        <a:prstGeom prst="rect">
                          <a:avLst/>
                        </a:prstGeom>
                        <a:solidFill>
                          <a:sysClr val="window" lastClr="FFFFFF"/>
                        </a:solidFill>
                        <a:ln w="6350">
                          <a:noFill/>
                        </a:ln>
                      </wps:spPr>
                      <wps:txbx>
                        <w:txbxContent>
                          <w:p w14:paraId="2D9FCB20" w14:textId="77777777" w:rsidR="00230AB9" w:rsidRPr="00221C87" w:rsidRDefault="00230AB9" w:rsidP="00D740DC">
                            <w:pPr>
                              <w:rPr>
                                <w:sz w:val="20"/>
                                <w:szCs w:val="20"/>
                              </w:rPr>
                            </w:pPr>
                            <w:r w:rsidRPr="00221C87">
                              <w:rPr>
                                <w:rFonts w:eastAsia="Times New Roman" w:cs="Times New Roman"/>
                                <w:color w:val="000000"/>
                                <w:sz w:val="20"/>
                                <w:szCs w:val="20"/>
                                <w:lang w:eastAsia="en-MY"/>
                              </w:rPr>
                              <w:t>N</w:t>
                            </w:r>
                            <w:r w:rsidRPr="00221C87">
                              <w:rPr>
                                <w:rFonts w:eastAsia="Times New Roman" w:cs="Times New Roman"/>
                                <w:color w:val="000000"/>
                                <w:sz w:val="20"/>
                                <w:szCs w:val="20"/>
                                <w:vertAlign w:val="subscript"/>
                                <w:lang w:eastAsia="en-MY"/>
                              </w:rPr>
                              <w:t>15</w:t>
                            </w:r>
                            <w:r w:rsidRPr="00221C87">
                              <w:rPr>
                                <w:rFonts w:eastAsia="Times New Roman" w:cs="Times New Roman"/>
                                <w:color w:val="000000"/>
                                <w:sz w:val="20"/>
                                <w:szCs w:val="20"/>
                                <w:lang w:eastAsia="en-MY"/>
                              </w:rPr>
                              <w:t>C</w:t>
                            </w:r>
                            <w:r w:rsidRPr="00221C87">
                              <w:rPr>
                                <w:rFonts w:eastAsia="Times New Roman" w:cs="Times New Roman"/>
                                <w:color w:val="000000"/>
                                <w:sz w:val="20"/>
                                <w:szCs w:val="20"/>
                                <w:vertAlign w:val="subscript"/>
                                <w:lang w:eastAsia="en-MY"/>
                              </w:rPr>
                              <w:t>10</w:t>
                            </w:r>
                            <w:r w:rsidRPr="00221C87">
                              <w:rPr>
                                <w:rFonts w:eastAsia="Times New Roman" w:cs="Times New Roman"/>
                                <w:color w:val="000000"/>
                                <w:sz w:val="20"/>
                                <w:szCs w:val="20"/>
                                <w:lang w:eastAsia="en-MY"/>
                              </w:rPr>
                              <w:t>A</w:t>
                            </w:r>
                            <w:r w:rsidRPr="00221C87">
                              <w:rPr>
                                <w:rFonts w:eastAsia="Times New Roman" w:cs="Times New Roman"/>
                                <w:color w:val="000000"/>
                                <w:sz w:val="20"/>
                                <w:szCs w:val="20"/>
                                <w:vertAlign w:val="subscript"/>
                                <w:lang w:eastAsia="en-MY"/>
                              </w:rPr>
                              <w:t>2</w:t>
                            </w:r>
                            <w:r w:rsidRPr="00221C87">
                              <w:rPr>
                                <w:rFonts w:eastAsia="Times New Roman" w:cs="Times New Roman"/>
                                <w:color w:val="000000"/>
                                <w:sz w:val="20"/>
                                <w:szCs w:val="20"/>
                                <w:lang w:eastAsia="en-MY"/>
                              </w:rPr>
                              <w:t>B</w:t>
                            </w:r>
                            <w:r w:rsidRPr="00221C87">
                              <w:rPr>
                                <w:rFonts w:eastAsia="Times New Roman" w:cs="Times New Roman"/>
                                <w:color w:val="000000"/>
                                <w:sz w:val="20"/>
                                <w:szCs w:val="20"/>
                                <w:vertAlign w:val="subscript"/>
                                <w:lang w:eastAsia="en-MY"/>
                              </w:rPr>
                              <w:t>10</w:t>
                            </w:r>
                            <w:r w:rsidRPr="00221C87">
                              <w:rPr>
                                <w:rFonts w:eastAsia="Times New Roman" w:cs="Times New Roman"/>
                                <w:color w:val="000000"/>
                                <w:sz w:val="20"/>
                                <w:szCs w:val="20"/>
                                <w:lang w:eastAsia="en-MY"/>
                              </w:rPr>
                              <w:t>S</w:t>
                            </w:r>
                            <w:r w:rsidRPr="00221C87">
                              <w:rPr>
                                <w:rFonts w:eastAsia="Times New Roman" w:cs="Times New Roman"/>
                                <w:color w:val="000000"/>
                                <w:sz w:val="20"/>
                                <w:szCs w:val="20"/>
                                <w:vertAlign w:val="subscript"/>
                                <w:lang w:eastAsia="en-MY"/>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3FE4A" id="Text Box 349" o:spid="_x0000_s1322" type="#_x0000_t202" style="position:absolute;left:0;text-align:left;margin-left:313.5pt;margin-top:187.4pt;width:90pt;height:20.4pt;z-index:25243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" fillcolor="window" stroked="f" strokeweight=".5pt">
                <v:textbox>
                  <w:txbxContent>
                    <w:p w14:paraId="2D9FCB20" w14:textId="77777777" w:rsidR="00230AB9" w:rsidRPr="00221C87" w:rsidRDefault="00230AB9" w:rsidP="00D740DC">
                      <w:pPr>
                        <w:rPr>
                          <w:sz w:val="20"/>
                          <w:szCs w:val="20"/>
                        </w:rPr>
                      </w:pPr>
                      <w:r w:rsidRPr="00221C87">
                        <w:rPr>
                          <w:rFonts w:eastAsia="Times New Roman" w:cs="Times New Roman"/>
                          <w:color w:val="000000"/>
                          <w:sz w:val="20"/>
                          <w:szCs w:val="20"/>
                          <w:lang w:eastAsia="en-MY"/>
                        </w:rPr>
                        <w:t>N</w:t>
                      </w:r>
                      <w:r w:rsidRPr="00221C87">
                        <w:rPr>
                          <w:rFonts w:eastAsia="Times New Roman" w:cs="Times New Roman"/>
                          <w:color w:val="000000"/>
                          <w:sz w:val="20"/>
                          <w:szCs w:val="20"/>
                          <w:vertAlign w:val="subscript"/>
                          <w:lang w:eastAsia="en-MY"/>
                        </w:rPr>
                        <w:t>15</w:t>
                      </w:r>
                      <w:r w:rsidRPr="00221C87">
                        <w:rPr>
                          <w:rFonts w:eastAsia="Times New Roman" w:cs="Times New Roman"/>
                          <w:color w:val="000000"/>
                          <w:sz w:val="20"/>
                          <w:szCs w:val="20"/>
                          <w:lang w:eastAsia="en-MY"/>
                        </w:rPr>
                        <w:t>C</w:t>
                      </w:r>
                      <w:r w:rsidRPr="00221C87">
                        <w:rPr>
                          <w:rFonts w:eastAsia="Times New Roman" w:cs="Times New Roman"/>
                          <w:color w:val="000000"/>
                          <w:sz w:val="20"/>
                          <w:szCs w:val="20"/>
                          <w:vertAlign w:val="subscript"/>
                          <w:lang w:eastAsia="en-MY"/>
                        </w:rPr>
                        <w:t>10</w:t>
                      </w:r>
                      <w:r w:rsidRPr="00221C87">
                        <w:rPr>
                          <w:rFonts w:eastAsia="Times New Roman" w:cs="Times New Roman"/>
                          <w:color w:val="000000"/>
                          <w:sz w:val="20"/>
                          <w:szCs w:val="20"/>
                          <w:lang w:eastAsia="en-MY"/>
                        </w:rPr>
                        <w:t>A</w:t>
                      </w:r>
                      <w:r w:rsidRPr="00221C87">
                        <w:rPr>
                          <w:rFonts w:eastAsia="Times New Roman" w:cs="Times New Roman"/>
                          <w:color w:val="000000"/>
                          <w:sz w:val="20"/>
                          <w:szCs w:val="20"/>
                          <w:vertAlign w:val="subscript"/>
                          <w:lang w:eastAsia="en-MY"/>
                        </w:rPr>
                        <w:t>2</w:t>
                      </w:r>
                      <w:r w:rsidRPr="00221C87">
                        <w:rPr>
                          <w:rFonts w:eastAsia="Times New Roman" w:cs="Times New Roman"/>
                          <w:color w:val="000000"/>
                          <w:sz w:val="20"/>
                          <w:szCs w:val="20"/>
                          <w:lang w:eastAsia="en-MY"/>
                        </w:rPr>
                        <w:t>B</w:t>
                      </w:r>
                      <w:r w:rsidRPr="00221C87">
                        <w:rPr>
                          <w:rFonts w:eastAsia="Times New Roman" w:cs="Times New Roman"/>
                          <w:color w:val="000000"/>
                          <w:sz w:val="20"/>
                          <w:szCs w:val="20"/>
                          <w:vertAlign w:val="subscript"/>
                          <w:lang w:eastAsia="en-MY"/>
                        </w:rPr>
                        <w:t>10</w:t>
                      </w:r>
                      <w:r w:rsidRPr="00221C87">
                        <w:rPr>
                          <w:rFonts w:eastAsia="Times New Roman" w:cs="Times New Roman"/>
                          <w:color w:val="000000"/>
                          <w:sz w:val="20"/>
                          <w:szCs w:val="20"/>
                          <w:lang w:eastAsia="en-MY"/>
                        </w:rPr>
                        <w:t>S</w:t>
                      </w:r>
                      <w:r w:rsidRPr="00221C87">
                        <w:rPr>
                          <w:rFonts w:eastAsia="Times New Roman" w:cs="Times New Roman"/>
                          <w:color w:val="000000"/>
                          <w:sz w:val="20"/>
                          <w:szCs w:val="20"/>
                          <w:vertAlign w:val="subscript"/>
                          <w:lang w:eastAsia="en-MY"/>
                        </w:rPr>
                        <w:t>63</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438528" behindDoc="0" locked="0" layoutInCell="1" allowOverlap="1" wp14:anchorId="1785B3EE" wp14:editId="7F54745E">
                <wp:simplePos x="0" y="0"/>
                <wp:positionH relativeFrom="margin">
                  <wp:posOffset>4132800</wp:posOffset>
                </wp:positionH>
                <wp:positionV relativeFrom="paragraph">
                  <wp:posOffset>2185415</wp:posOffset>
                </wp:positionV>
                <wp:extent cx="1143000" cy="244800"/>
                <wp:effectExtent l="0" t="0" r="0" b="3175"/>
                <wp:wrapNone/>
                <wp:docPr id="1654" name="Text Box 1654"/>
                <wp:cNvGraphicFramePr/>
                <a:graphic xmlns:a="http://schemas.openxmlformats.org/drawingml/2006/main">
                  <a:graphicData uri="http://schemas.microsoft.com/office/word/2010/wordprocessingShape">
                    <wps:wsp>
                      <wps:cNvSpPr txBox="1"/>
                      <wps:spPr>
                        <a:xfrm>
                          <a:off x="0" y="0"/>
                          <a:ext cx="1143000" cy="244800"/>
                        </a:xfrm>
                        <a:prstGeom prst="rect">
                          <a:avLst/>
                        </a:prstGeom>
                        <a:solidFill>
                          <a:sysClr val="window" lastClr="FFFFFF"/>
                        </a:solidFill>
                        <a:ln w="6350">
                          <a:noFill/>
                        </a:ln>
                      </wps:spPr>
                      <wps:txbx>
                        <w:txbxContent>
                          <w:p w14:paraId="4CC8B884" w14:textId="77777777" w:rsidR="00230AB9" w:rsidRPr="00221C87" w:rsidRDefault="00230AB9" w:rsidP="00D740DC">
                            <w:pPr>
                              <w:rPr>
                                <w:sz w:val="20"/>
                                <w:szCs w:val="20"/>
                              </w:rPr>
                            </w:pPr>
                            <w:r w:rsidRPr="00221C87">
                              <w:rPr>
                                <w:rFonts w:eastAsia="Times New Roman" w:cs="Times New Roman"/>
                                <w:color w:val="000000"/>
                                <w:sz w:val="20"/>
                                <w:szCs w:val="20"/>
                                <w:lang w:eastAsia="en-MY"/>
                              </w:rPr>
                              <w:t>N</w:t>
                            </w:r>
                            <w:r w:rsidRPr="00221C87">
                              <w:rPr>
                                <w:rFonts w:eastAsia="Times New Roman" w:cs="Times New Roman"/>
                                <w:color w:val="000000"/>
                                <w:sz w:val="20"/>
                                <w:szCs w:val="20"/>
                                <w:vertAlign w:val="subscript"/>
                                <w:lang w:eastAsia="en-MY"/>
                              </w:rPr>
                              <w:t>15</w:t>
                            </w:r>
                            <w:r w:rsidRPr="00221C87">
                              <w:rPr>
                                <w:rFonts w:eastAsia="Times New Roman" w:cs="Times New Roman"/>
                                <w:color w:val="000000"/>
                                <w:sz w:val="20"/>
                                <w:szCs w:val="20"/>
                                <w:lang w:eastAsia="en-MY"/>
                              </w:rPr>
                              <w:t>C</w:t>
                            </w:r>
                            <w:r w:rsidRPr="00221C87">
                              <w:rPr>
                                <w:rFonts w:eastAsia="Times New Roman" w:cs="Times New Roman"/>
                                <w:color w:val="000000"/>
                                <w:sz w:val="20"/>
                                <w:szCs w:val="20"/>
                                <w:vertAlign w:val="subscript"/>
                                <w:lang w:eastAsia="en-MY"/>
                              </w:rPr>
                              <w:t>7.5</w:t>
                            </w:r>
                            <w:r w:rsidRPr="00221C87">
                              <w:rPr>
                                <w:rFonts w:eastAsia="Times New Roman" w:cs="Times New Roman"/>
                                <w:color w:val="000000"/>
                                <w:sz w:val="20"/>
                                <w:szCs w:val="20"/>
                                <w:lang w:eastAsia="en-MY"/>
                              </w:rPr>
                              <w:t>A</w:t>
                            </w:r>
                            <w:r w:rsidRPr="00221C87">
                              <w:rPr>
                                <w:rFonts w:eastAsia="Times New Roman" w:cs="Times New Roman"/>
                                <w:color w:val="000000"/>
                                <w:sz w:val="20"/>
                                <w:szCs w:val="20"/>
                                <w:vertAlign w:val="subscript"/>
                                <w:lang w:eastAsia="en-MY"/>
                              </w:rPr>
                              <w:t>2</w:t>
                            </w:r>
                            <w:r w:rsidRPr="00221C87">
                              <w:rPr>
                                <w:rFonts w:eastAsia="Times New Roman" w:cs="Times New Roman"/>
                                <w:color w:val="000000"/>
                                <w:sz w:val="20"/>
                                <w:szCs w:val="20"/>
                                <w:lang w:eastAsia="en-MY"/>
                              </w:rPr>
                              <w:t>B</w:t>
                            </w:r>
                            <w:r w:rsidRPr="00221C87">
                              <w:rPr>
                                <w:rFonts w:eastAsia="Times New Roman" w:cs="Times New Roman"/>
                                <w:color w:val="000000"/>
                                <w:sz w:val="20"/>
                                <w:szCs w:val="20"/>
                                <w:vertAlign w:val="subscript"/>
                                <w:lang w:eastAsia="en-MY"/>
                              </w:rPr>
                              <w:t>10</w:t>
                            </w:r>
                            <w:r w:rsidRPr="00221C87">
                              <w:rPr>
                                <w:rFonts w:eastAsia="Times New Roman" w:cs="Times New Roman"/>
                                <w:color w:val="000000"/>
                                <w:sz w:val="20"/>
                                <w:szCs w:val="20"/>
                                <w:lang w:eastAsia="en-MY"/>
                              </w:rPr>
                              <w:t>S</w:t>
                            </w:r>
                            <w:r w:rsidRPr="00221C87">
                              <w:rPr>
                                <w:rFonts w:eastAsia="Times New Roman" w:cs="Times New Roman"/>
                                <w:color w:val="000000"/>
                                <w:sz w:val="20"/>
                                <w:szCs w:val="20"/>
                                <w:vertAlign w:val="subscript"/>
                                <w:lang w:eastAsia="en-MY"/>
                              </w:rPr>
                              <w:t>65.5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5B3EE" id="Text Box 1654" o:spid="_x0000_s1323" type="#_x0000_t202" style="position:absolute;left:0;text-align:left;margin-left:325.4pt;margin-top:172.1pt;width:90pt;height:19.3pt;z-index:25243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" fillcolor="window" stroked="f" strokeweight=".5pt">
                <v:textbox>
                  <w:txbxContent>
                    <w:p w14:paraId="4CC8B884" w14:textId="77777777" w:rsidR="00230AB9" w:rsidRPr="00221C87" w:rsidRDefault="00230AB9" w:rsidP="00D740DC">
                      <w:pPr>
                        <w:rPr>
                          <w:sz w:val="20"/>
                          <w:szCs w:val="20"/>
                        </w:rPr>
                      </w:pPr>
                      <w:r w:rsidRPr="00221C87">
                        <w:rPr>
                          <w:rFonts w:eastAsia="Times New Roman" w:cs="Times New Roman"/>
                          <w:color w:val="000000"/>
                          <w:sz w:val="20"/>
                          <w:szCs w:val="20"/>
                          <w:lang w:eastAsia="en-MY"/>
                        </w:rPr>
                        <w:t>N</w:t>
                      </w:r>
                      <w:r w:rsidRPr="00221C87">
                        <w:rPr>
                          <w:rFonts w:eastAsia="Times New Roman" w:cs="Times New Roman"/>
                          <w:color w:val="000000"/>
                          <w:sz w:val="20"/>
                          <w:szCs w:val="20"/>
                          <w:vertAlign w:val="subscript"/>
                          <w:lang w:eastAsia="en-MY"/>
                        </w:rPr>
                        <w:t>15</w:t>
                      </w:r>
                      <w:r w:rsidRPr="00221C87">
                        <w:rPr>
                          <w:rFonts w:eastAsia="Times New Roman" w:cs="Times New Roman"/>
                          <w:color w:val="000000"/>
                          <w:sz w:val="20"/>
                          <w:szCs w:val="20"/>
                          <w:lang w:eastAsia="en-MY"/>
                        </w:rPr>
                        <w:t>C</w:t>
                      </w:r>
                      <w:r w:rsidRPr="00221C87">
                        <w:rPr>
                          <w:rFonts w:eastAsia="Times New Roman" w:cs="Times New Roman"/>
                          <w:color w:val="000000"/>
                          <w:sz w:val="20"/>
                          <w:szCs w:val="20"/>
                          <w:vertAlign w:val="subscript"/>
                          <w:lang w:eastAsia="en-MY"/>
                        </w:rPr>
                        <w:t>7.5</w:t>
                      </w:r>
                      <w:r w:rsidRPr="00221C87">
                        <w:rPr>
                          <w:rFonts w:eastAsia="Times New Roman" w:cs="Times New Roman"/>
                          <w:color w:val="000000"/>
                          <w:sz w:val="20"/>
                          <w:szCs w:val="20"/>
                          <w:lang w:eastAsia="en-MY"/>
                        </w:rPr>
                        <w:t>A</w:t>
                      </w:r>
                      <w:r w:rsidRPr="00221C87">
                        <w:rPr>
                          <w:rFonts w:eastAsia="Times New Roman" w:cs="Times New Roman"/>
                          <w:color w:val="000000"/>
                          <w:sz w:val="20"/>
                          <w:szCs w:val="20"/>
                          <w:vertAlign w:val="subscript"/>
                          <w:lang w:eastAsia="en-MY"/>
                        </w:rPr>
                        <w:t>2</w:t>
                      </w:r>
                      <w:r w:rsidRPr="00221C87">
                        <w:rPr>
                          <w:rFonts w:eastAsia="Times New Roman" w:cs="Times New Roman"/>
                          <w:color w:val="000000"/>
                          <w:sz w:val="20"/>
                          <w:szCs w:val="20"/>
                          <w:lang w:eastAsia="en-MY"/>
                        </w:rPr>
                        <w:t>B</w:t>
                      </w:r>
                      <w:r w:rsidRPr="00221C87">
                        <w:rPr>
                          <w:rFonts w:eastAsia="Times New Roman" w:cs="Times New Roman"/>
                          <w:color w:val="000000"/>
                          <w:sz w:val="20"/>
                          <w:szCs w:val="20"/>
                          <w:vertAlign w:val="subscript"/>
                          <w:lang w:eastAsia="en-MY"/>
                        </w:rPr>
                        <w:t>10</w:t>
                      </w:r>
                      <w:r w:rsidRPr="00221C87">
                        <w:rPr>
                          <w:rFonts w:eastAsia="Times New Roman" w:cs="Times New Roman"/>
                          <w:color w:val="000000"/>
                          <w:sz w:val="20"/>
                          <w:szCs w:val="20"/>
                          <w:lang w:eastAsia="en-MY"/>
                        </w:rPr>
                        <w:t>S</w:t>
                      </w:r>
                      <w:r w:rsidRPr="00221C87">
                        <w:rPr>
                          <w:rFonts w:eastAsia="Times New Roman" w:cs="Times New Roman"/>
                          <w:color w:val="000000"/>
                          <w:sz w:val="20"/>
                          <w:szCs w:val="20"/>
                          <w:vertAlign w:val="subscript"/>
                          <w:lang w:eastAsia="en-MY"/>
                        </w:rPr>
                        <w:t>65.5</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437504" behindDoc="0" locked="0" layoutInCell="1" allowOverlap="1" wp14:anchorId="66014237" wp14:editId="595632C9">
                <wp:simplePos x="0" y="0"/>
                <wp:positionH relativeFrom="margin">
                  <wp:posOffset>4284000</wp:posOffset>
                </wp:positionH>
                <wp:positionV relativeFrom="paragraph">
                  <wp:posOffset>1998215</wp:posOffset>
                </wp:positionV>
                <wp:extent cx="1143000" cy="273600"/>
                <wp:effectExtent l="0" t="0" r="0" b="0"/>
                <wp:wrapNone/>
                <wp:docPr id="1653" name="Text Box 1653"/>
                <wp:cNvGraphicFramePr/>
                <a:graphic xmlns:a="http://schemas.openxmlformats.org/drawingml/2006/main">
                  <a:graphicData uri="http://schemas.microsoft.com/office/word/2010/wordprocessingShape">
                    <wps:wsp>
                      <wps:cNvSpPr txBox="1"/>
                      <wps:spPr>
                        <a:xfrm>
                          <a:off x="0" y="0"/>
                          <a:ext cx="1143000" cy="273600"/>
                        </a:xfrm>
                        <a:prstGeom prst="rect">
                          <a:avLst/>
                        </a:prstGeom>
                        <a:solidFill>
                          <a:sysClr val="window" lastClr="FFFFFF"/>
                        </a:solidFill>
                        <a:ln w="6350">
                          <a:noFill/>
                        </a:ln>
                      </wps:spPr>
                      <wps:txbx>
                        <w:txbxContent>
                          <w:p w14:paraId="12BD6B7E" w14:textId="77777777" w:rsidR="00230AB9" w:rsidRPr="00221C87" w:rsidRDefault="00230AB9" w:rsidP="00D740DC">
                            <w:pPr>
                              <w:rPr>
                                <w:color w:val="000000" w:themeColor="text1"/>
                                <w:sz w:val="20"/>
                                <w:szCs w:val="20"/>
                              </w:rPr>
                            </w:pPr>
                            <w:r w:rsidRPr="00221C87">
                              <w:rPr>
                                <w:rFonts w:eastAsia="Times New Roman" w:cs="Times New Roman"/>
                                <w:color w:val="000000" w:themeColor="text1"/>
                                <w:sz w:val="20"/>
                                <w:szCs w:val="20"/>
                                <w:lang w:eastAsia="en-MY"/>
                              </w:rPr>
                              <w:t>N</w:t>
                            </w:r>
                            <w:r w:rsidRPr="00221C87">
                              <w:rPr>
                                <w:rFonts w:eastAsia="Times New Roman" w:cs="Times New Roman"/>
                                <w:color w:val="000000" w:themeColor="text1"/>
                                <w:sz w:val="20"/>
                                <w:szCs w:val="20"/>
                                <w:vertAlign w:val="subscript"/>
                                <w:lang w:eastAsia="en-MY"/>
                              </w:rPr>
                              <w:t>10</w:t>
                            </w:r>
                            <w:r w:rsidRPr="00221C87">
                              <w:rPr>
                                <w:rFonts w:eastAsia="Times New Roman" w:cs="Times New Roman"/>
                                <w:color w:val="000000" w:themeColor="text1"/>
                                <w:sz w:val="20"/>
                                <w:szCs w:val="20"/>
                                <w:lang w:eastAsia="en-MY"/>
                              </w:rPr>
                              <w:t>C</w:t>
                            </w:r>
                            <w:r w:rsidRPr="00221C87">
                              <w:rPr>
                                <w:rFonts w:eastAsia="Times New Roman" w:cs="Times New Roman"/>
                                <w:color w:val="000000" w:themeColor="text1"/>
                                <w:sz w:val="20"/>
                                <w:szCs w:val="20"/>
                                <w:vertAlign w:val="subscript"/>
                                <w:lang w:eastAsia="en-MY"/>
                              </w:rPr>
                              <w:t>7.5</w:t>
                            </w:r>
                            <w:r w:rsidRPr="00221C87">
                              <w:rPr>
                                <w:rFonts w:eastAsia="Times New Roman" w:cs="Times New Roman"/>
                                <w:color w:val="000000" w:themeColor="text1"/>
                                <w:sz w:val="20"/>
                                <w:szCs w:val="20"/>
                                <w:lang w:eastAsia="en-MY"/>
                              </w:rPr>
                              <w:t>A</w:t>
                            </w:r>
                            <w:r w:rsidRPr="00221C87">
                              <w:rPr>
                                <w:rFonts w:eastAsia="Times New Roman" w:cs="Times New Roman"/>
                                <w:color w:val="000000" w:themeColor="text1"/>
                                <w:sz w:val="20"/>
                                <w:szCs w:val="20"/>
                                <w:vertAlign w:val="subscript"/>
                                <w:lang w:eastAsia="en-MY"/>
                              </w:rPr>
                              <w:t>2</w:t>
                            </w:r>
                            <w:r w:rsidRPr="00221C87">
                              <w:rPr>
                                <w:rFonts w:eastAsia="Times New Roman" w:cs="Times New Roman"/>
                                <w:color w:val="000000" w:themeColor="text1"/>
                                <w:sz w:val="20"/>
                                <w:szCs w:val="20"/>
                                <w:lang w:eastAsia="en-MY"/>
                              </w:rPr>
                              <w:t>B</w:t>
                            </w:r>
                            <w:r w:rsidRPr="00221C87">
                              <w:rPr>
                                <w:rFonts w:eastAsia="Times New Roman" w:cs="Times New Roman"/>
                                <w:color w:val="000000" w:themeColor="text1"/>
                                <w:sz w:val="20"/>
                                <w:szCs w:val="20"/>
                                <w:vertAlign w:val="subscript"/>
                                <w:lang w:eastAsia="en-MY"/>
                              </w:rPr>
                              <w:t>10</w:t>
                            </w:r>
                            <w:r w:rsidRPr="00221C87">
                              <w:rPr>
                                <w:rFonts w:eastAsia="Times New Roman" w:cs="Times New Roman"/>
                                <w:color w:val="000000" w:themeColor="text1"/>
                                <w:sz w:val="20"/>
                                <w:szCs w:val="20"/>
                                <w:lang w:eastAsia="en-MY"/>
                              </w:rPr>
                              <w:t>S</w:t>
                            </w:r>
                            <w:r w:rsidRPr="00221C87">
                              <w:rPr>
                                <w:rFonts w:eastAsia="Times New Roman" w:cs="Times New Roman"/>
                                <w:color w:val="000000" w:themeColor="text1"/>
                                <w:sz w:val="20"/>
                                <w:szCs w:val="20"/>
                                <w:vertAlign w:val="subscript"/>
                                <w:lang w:eastAsia="en-MY"/>
                              </w:rPr>
                              <w:t>70.5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14237" id="Text Box 1653" o:spid="_x0000_s1324" type="#_x0000_t202" style="position:absolute;left:0;text-align:left;margin-left:337.3pt;margin-top:157.35pt;width:90pt;height:21.55pt;z-index:25243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" fillcolor="window" stroked="f" strokeweight=".5pt">
                <v:textbox>
                  <w:txbxContent>
                    <w:p w14:paraId="12BD6B7E" w14:textId="77777777" w:rsidR="00230AB9" w:rsidRPr="00221C87" w:rsidRDefault="00230AB9" w:rsidP="00D740DC">
                      <w:pPr>
                        <w:rPr>
                          <w:color w:val="000000" w:themeColor="text1"/>
                          <w:sz w:val="20"/>
                          <w:szCs w:val="20"/>
                        </w:rPr>
                      </w:pPr>
                      <w:r w:rsidRPr="00221C87">
                        <w:rPr>
                          <w:rFonts w:eastAsia="Times New Roman" w:cs="Times New Roman"/>
                          <w:color w:val="000000" w:themeColor="text1"/>
                          <w:sz w:val="20"/>
                          <w:szCs w:val="20"/>
                          <w:lang w:eastAsia="en-MY"/>
                        </w:rPr>
                        <w:t>N</w:t>
                      </w:r>
                      <w:r w:rsidRPr="00221C87">
                        <w:rPr>
                          <w:rFonts w:eastAsia="Times New Roman" w:cs="Times New Roman"/>
                          <w:color w:val="000000" w:themeColor="text1"/>
                          <w:sz w:val="20"/>
                          <w:szCs w:val="20"/>
                          <w:vertAlign w:val="subscript"/>
                          <w:lang w:eastAsia="en-MY"/>
                        </w:rPr>
                        <w:t>10</w:t>
                      </w:r>
                      <w:r w:rsidRPr="00221C87">
                        <w:rPr>
                          <w:rFonts w:eastAsia="Times New Roman" w:cs="Times New Roman"/>
                          <w:color w:val="000000" w:themeColor="text1"/>
                          <w:sz w:val="20"/>
                          <w:szCs w:val="20"/>
                          <w:lang w:eastAsia="en-MY"/>
                        </w:rPr>
                        <w:t>C</w:t>
                      </w:r>
                      <w:r w:rsidRPr="00221C87">
                        <w:rPr>
                          <w:rFonts w:eastAsia="Times New Roman" w:cs="Times New Roman"/>
                          <w:color w:val="000000" w:themeColor="text1"/>
                          <w:sz w:val="20"/>
                          <w:szCs w:val="20"/>
                          <w:vertAlign w:val="subscript"/>
                          <w:lang w:eastAsia="en-MY"/>
                        </w:rPr>
                        <w:t>7.5</w:t>
                      </w:r>
                      <w:r w:rsidRPr="00221C87">
                        <w:rPr>
                          <w:rFonts w:eastAsia="Times New Roman" w:cs="Times New Roman"/>
                          <w:color w:val="000000" w:themeColor="text1"/>
                          <w:sz w:val="20"/>
                          <w:szCs w:val="20"/>
                          <w:lang w:eastAsia="en-MY"/>
                        </w:rPr>
                        <w:t>A</w:t>
                      </w:r>
                      <w:r w:rsidRPr="00221C87">
                        <w:rPr>
                          <w:rFonts w:eastAsia="Times New Roman" w:cs="Times New Roman"/>
                          <w:color w:val="000000" w:themeColor="text1"/>
                          <w:sz w:val="20"/>
                          <w:szCs w:val="20"/>
                          <w:vertAlign w:val="subscript"/>
                          <w:lang w:eastAsia="en-MY"/>
                        </w:rPr>
                        <w:t>2</w:t>
                      </w:r>
                      <w:r w:rsidRPr="00221C87">
                        <w:rPr>
                          <w:rFonts w:eastAsia="Times New Roman" w:cs="Times New Roman"/>
                          <w:color w:val="000000" w:themeColor="text1"/>
                          <w:sz w:val="20"/>
                          <w:szCs w:val="20"/>
                          <w:lang w:eastAsia="en-MY"/>
                        </w:rPr>
                        <w:t>B</w:t>
                      </w:r>
                      <w:r w:rsidRPr="00221C87">
                        <w:rPr>
                          <w:rFonts w:eastAsia="Times New Roman" w:cs="Times New Roman"/>
                          <w:color w:val="000000" w:themeColor="text1"/>
                          <w:sz w:val="20"/>
                          <w:szCs w:val="20"/>
                          <w:vertAlign w:val="subscript"/>
                          <w:lang w:eastAsia="en-MY"/>
                        </w:rPr>
                        <w:t>10</w:t>
                      </w:r>
                      <w:r w:rsidRPr="00221C87">
                        <w:rPr>
                          <w:rFonts w:eastAsia="Times New Roman" w:cs="Times New Roman"/>
                          <w:color w:val="000000" w:themeColor="text1"/>
                          <w:sz w:val="20"/>
                          <w:szCs w:val="20"/>
                          <w:lang w:eastAsia="en-MY"/>
                        </w:rPr>
                        <w:t>S</w:t>
                      </w:r>
                      <w:r w:rsidRPr="00221C87">
                        <w:rPr>
                          <w:rFonts w:eastAsia="Times New Roman" w:cs="Times New Roman"/>
                          <w:color w:val="000000" w:themeColor="text1"/>
                          <w:sz w:val="20"/>
                          <w:szCs w:val="20"/>
                          <w:vertAlign w:val="subscript"/>
                          <w:lang w:eastAsia="en-MY"/>
                        </w:rPr>
                        <w:t>70.5</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436480" behindDoc="0" locked="0" layoutInCell="1" allowOverlap="1" wp14:anchorId="5AE73E0E" wp14:editId="744494A5">
                <wp:simplePos x="0" y="0"/>
                <wp:positionH relativeFrom="margin">
                  <wp:posOffset>4442400</wp:posOffset>
                </wp:positionH>
                <wp:positionV relativeFrom="paragraph">
                  <wp:posOffset>1796615</wp:posOffset>
                </wp:positionV>
                <wp:extent cx="1143000" cy="266400"/>
                <wp:effectExtent l="0" t="0" r="0" b="635"/>
                <wp:wrapNone/>
                <wp:docPr id="192" name="Text Box 192"/>
                <wp:cNvGraphicFramePr/>
                <a:graphic xmlns:a="http://schemas.openxmlformats.org/drawingml/2006/main">
                  <a:graphicData uri="http://schemas.microsoft.com/office/word/2010/wordprocessingShape">
                    <wps:wsp>
                      <wps:cNvSpPr txBox="1"/>
                      <wps:spPr>
                        <a:xfrm>
                          <a:off x="0" y="0"/>
                          <a:ext cx="1143000" cy="266400"/>
                        </a:xfrm>
                        <a:prstGeom prst="rect">
                          <a:avLst/>
                        </a:prstGeom>
                        <a:solidFill>
                          <a:sysClr val="window" lastClr="FFFFFF"/>
                        </a:solidFill>
                        <a:ln w="6350">
                          <a:noFill/>
                        </a:ln>
                      </wps:spPr>
                      <wps:txbx>
                        <w:txbxContent>
                          <w:p w14:paraId="0D28819A" w14:textId="77777777" w:rsidR="00230AB9" w:rsidRPr="00221C87" w:rsidRDefault="00230AB9" w:rsidP="00D740DC">
                            <w:pPr>
                              <w:rPr>
                                <w:sz w:val="20"/>
                                <w:szCs w:val="20"/>
                              </w:rPr>
                            </w:pPr>
                            <w:r w:rsidRPr="00221C87">
                              <w:rPr>
                                <w:rFonts w:eastAsia="Times New Roman" w:cs="Times New Roman"/>
                                <w:sz w:val="20"/>
                                <w:szCs w:val="20"/>
                                <w:lang w:eastAsia="en-MY"/>
                              </w:rPr>
                              <w:t>N</w:t>
                            </w:r>
                            <w:r w:rsidRPr="00221C87">
                              <w:rPr>
                                <w:rFonts w:eastAsia="Times New Roman" w:cs="Times New Roman"/>
                                <w:sz w:val="20"/>
                                <w:szCs w:val="20"/>
                                <w:vertAlign w:val="subscript"/>
                                <w:lang w:eastAsia="en-MY"/>
                              </w:rPr>
                              <w:t>10</w:t>
                            </w:r>
                            <w:r w:rsidRPr="00221C87">
                              <w:rPr>
                                <w:rFonts w:eastAsia="Times New Roman" w:cs="Times New Roman"/>
                                <w:sz w:val="20"/>
                                <w:szCs w:val="20"/>
                                <w:lang w:eastAsia="en-MY"/>
                              </w:rPr>
                              <w:t>C</w:t>
                            </w:r>
                            <w:r w:rsidRPr="00221C87">
                              <w:rPr>
                                <w:rFonts w:eastAsia="Times New Roman" w:cs="Times New Roman"/>
                                <w:sz w:val="20"/>
                                <w:szCs w:val="20"/>
                                <w:vertAlign w:val="subscript"/>
                                <w:lang w:eastAsia="en-MY"/>
                              </w:rPr>
                              <w:t>5</w:t>
                            </w:r>
                            <w:r w:rsidRPr="00221C87">
                              <w:rPr>
                                <w:rFonts w:eastAsia="Times New Roman" w:cs="Times New Roman"/>
                                <w:sz w:val="20"/>
                                <w:szCs w:val="20"/>
                                <w:lang w:eastAsia="en-MY"/>
                              </w:rPr>
                              <w:t>A</w:t>
                            </w:r>
                            <w:r w:rsidRPr="00221C87">
                              <w:rPr>
                                <w:rFonts w:eastAsia="Times New Roman" w:cs="Times New Roman"/>
                                <w:sz w:val="20"/>
                                <w:szCs w:val="20"/>
                                <w:vertAlign w:val="subscript"/>
                                <w:lang w:eastAsia="en-MY"/>
                              </w:rPr>
                              <w:t>2</w:t>
                            </w:r>
                            <w:r w:rsidRPr="00221C87">
                              <w:rPr>
                                <w:rFonts w:eastAsia="Times New Roman" w:cs="Times New Roman"/>
                                <w:sz w:val="20"/>
                                <w:szCs w:val="20"/>
                                <w:lang w:eastAsia="en-MY"/>
                              </w:rPr>
                              <w:t>B</w:t>
                            </w:r>
                            <w:r w:rsidRPr="00221C87">
                              <w:rPr>
                                <w:rFonts w:eastAsia="Times New Roman" w:cs="Times New Roman"/>
                                <w:sz w:val="20"/>
                                <w:szCs w:val="20"/>
                                <w:vertAlign w:val="subscript"/>
                                <w:lang w:eastAsia="en-MY"/>
                              </w:rPr>
                              <w:t>10</w:t>
                            </w:r>
                            <w:r w:rsidRPr="00221C87">
                              <w:rPr>
                                <w:rFonts w:eastAsia="Times New Roman" w:cs="Times New Roman"/>
                                <w:sz w:val="20"/>
                                <w:szCs w:val="20"/>
                                <w:lang w:eastAsia="en-MY"/>
                              </w:rPr>
                              <w:t>S</w:t>
                            </w:r>
                            <w:r w:rsidRPr="00221C87">
                              <w:rPr>
                                <w:rFonts w:eastAsia="Times New Roman" w:cs="Times New Roman"/>
                                <w:sz w:val="20"/>
                                <w:szCs w:val="20"/>
                                <w:vertAlign w:val="subscript"/>
                                <w:lang w:eastAsia="en-MY"/>
                              </w:rPr>
                              <w:t>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73E0E" id="Text Box 192" o:spid="_x0000_s1325" type="#_x0000_t202" style="position:absolute;left:0;text-align:left;margin-left:349.8pt;margin-top:141.45pt;width:90pt;height:21pt;z-index:25243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" fillcolor="window" stroked="f" strokeweight=".5pt">
                <v:textbox>
                  <w:txbxContent>
                    <w:p w14:paraId="0D28819A" w14:textId="77777777" w:rsidR="00230AB9" w:rsidRPr="00221C87" w:rsidRDefault="00230AB9" w:rsidP="00D740DC">
                      <w:pPr>
                        <w:rPr>
                          <w:sz w:val="20"/>
                          <w:szCs w:val="20"/>
                        </w:rPr>
                      </w:pPr>
                      <w:r w:rsidRPr="00221C87">
                        <w:rPr>
                          <w:rFonts w:eastAsia="Times New Roman" w:cs="Times New Roman"/>
                          <w:sz w:val="20"/>
                          <w:szCs w:val="20"/>
                          <w:lang w:eastAsia="en-MY"/>
                        </w:rPr>
                        <w:t>N</w:t>
                      </w:r>
                      <w:r w:rsidRPr="00221C87">
                        <w:rPr>
                          <w:rFonts w:eastAsia="Times New Roman" w:cs="Times New Roman"/>
                          <w:sz w:val="20"/>
                          <w:szCs w:val="20"/>
                          <w:vertAlign w:val="subscript"/>
                          <w:lang w:eastAsia="en-MY"/>
                        </w:rPr>
                        <w:t>10</w:t>
                      </w:r>
                      <w:r w:rsidRPr="00221C87">
                        <w:rPr>
                          <w:rFonts w:eastAsia="Times New Roman" w:cs="Times New Roman"/>
                          <w:sz w:val="20"/>
                          <w:szCs w:val="20"/>
                          <w:lang w:eastAsia="en-MY"/>
                        </w:rPr>
                        <w:t>C</w:t>
                      </w:r>
                      <w:r w:rsidRPr="00221C87">
                        <w:rPr>
                          <w:rFonts w:eastAsia="Times New Roman" w:cs="Times New Roman"/>
                          <w:sz w:val="20"/>
                          <w:szCs w:val="20"/>
                          <w:vertAlign w:val="subscript"/>
                          <w:lang w:eastAsia="en-MY"/>
                        </w:rPr>
                        <w:t>5</w:t>
                      </w:r>
                      <w:r w:rsidRPr="00221C87">
                        <w:rPr>
                          <w:rFonts w:eastAsia="Times New Roman" w:cs="Times New Roman"/>
                          <w:sz w:val="20"/>
                          <w:szCs w:val="20"/>
                          <w:lang w:eastAsia="en-MY"/>
                        </w:rPr>
                        <w:t>A</w:t>
                      </w:r>
                      <w:r w:rsidRPr="00221C87">
                        <w:rPr>
                          <w:rFonts w:eastAsia="Times New Roman" w:cs="Times New Roman"/>
                          <w:sz w:val="20"/>
                          <w:szCs w:val="20"/>
                          <w:vertAlign w:val="subscript"/>
                          <w:lang w:eastAsia="en-MY"/>
                        </w:rPr>
                        <w:t>2</w:t>
                      </w:r>
                      <w:r w:rsidRPr="00221C87">
                        <w:rPr>
                          <w:rFonts w:eastAsia="Times New Roman" w:cs="Times New Roman"/>
                          <w:sz w:val="20"/>
                          <w:szCs w:val="20"/>
                          <w:lang w:eastAsia="en-MY"/>
                        </w:rPr>
                        <w:t>B</w:t>
                      </w:r>
                      <w:r w:rsidRPr="00221C87">
                        <w:rPr>
                          <w:rFonts w:eastAsia="Times New Roman" w:cs="Times New Roman"/>
                          <w:sz w:val="20"/>
                          <w:szCs w:val="20"/>
                          <w:vertAlign w:val="subscript"/>
                          <w:lang w:eastAsia="en-MY"/>
                        </w:rPr>
                        <w:t>10</w:t>
                      </w:r>
                      <w:r w:rsidRPr="00221C87">
                        <w:rPr>
                          <w:rFonts w:eastAsia="Times New Roman" w:cs="Times New Roman"/>
                          <w:sz w:val="20"/>
                          <w:szCs w:val="20"/>
                          <w:lang w:eastAsia="en-MY"/>
                        </w:rPr>
                        <w:t>S</w:t>
                      </w:r>
                      <w:r w:rsidRPr="00221C87">
                        <w:rPr>
                          <w:rFonts w:eastAsia="Times New Roman" w:cs="Times New Roman"/>
                          <w:sz w:val="20"/>
                          <w:szCs w:val="20"/>
                          <w:vertAlign w:val="subscript"/>
                          <w:lang w:eastAsia="en-MY"/>
                        </w:rPr>
                        <w:t>73</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435456" behindDoc="0" locked="0" layoutInCell="1" allowOverlap="1" wp14:anchorId="06077DEC" wp14:editId="68768380">
                <wp:simplePos x="0" y="0"/>
                <wp:positionH relativeFrom="margin">
                  <wp:align>right</wp:align>
                </wp:positionH>
                <wp:positionV relativeFrom="paragraph">
                  <wp:posOffset>1568212</wp:posOffset>
                </wp:positionV>
                <wp:extent cx="1143000" cy="259200"/>
                <wp:effectExtent l="0" t="0" r="0" b="7620"/>
                <wp:wrapNone/>
                <wp:docPr id="86" name="Text Box 86"/>
                <wp:cNvGraphicFramePr/>
                <a:graphic xmlns:a="http://schemas.openxmlformats.org/drawingml/2006/main">
                  <a:graphicData uri="http://schemas.microsoft.com/office/word/2010/wordprocessingShape">
                    <wps:wsp>
                      <wps:cNvSpPr txBox="1"/>
                      <wps:spPr>
                        <a:xfrm>
                          <a:off x="0" y="0"/>
                          <a:ext cx="1143000" cy="259200"/>
                        </a:xfrm>
                        <a:prstGeom prst="rect">
                          <a:avLst/>
                        </a:prstGeom>
                        <a:solidFill>
                          <a:sysClr val="window" lastClr="FFFFFF"/>
                        </a:solidFill>
                        <a:ln w="6350">
                          <a:noFill/>
                        </a:ln>
                      </wps:spPr>
                      <wps:txbx>
                        <w:txbxContent>
                          <w:p w14:paraId="41B374C7" w14:textId="77777777" w:rsidR="00230AB9" w:rsidRPr="00221C87" w:rsidRDefault="00230AB9" w:rsidP="00D740DC">
                            <w:pPr>
                              <w:rPr>
                                <w:color w:val="000000" w:themeColor="text1"/>
                                <w:sz w:val="20"/>
                                <w:szCs w:val="20"/>
                              </w:rPr>
                            </w:pPr>
                            <w:r w:rsidRPr="00221C87">
                              <w:rPr>
                                <w:rFonts w:eastAsia="Times New Roman" w:cs="Times New Roman"/>
                                <w:color w:val="000000" w:themeColor="text1"/>
                                <w:sz w:val="20"/>
                                <w:szCs w:val="20"/>
                                <w:lang w:eastAsia="en-MY"/>
                              </w:rPr>
                              <w:t>N</w:t>
                            </w:r>
                            <w:r w:rsidRPr="00221C87">
                              <w:rPr>
                                <w:rFonts w:eastAsia="Times New Roman" w:cs="Times New Roman"/>
                                <w:color w:val="000000" w:themeColor="text1"/>
                                <w:sz w:val="20"/>
                                <w:szCs w:val="20"/>
                                <w:vertAlign w:val="subscript"/>
                                <w:lang w:eastAsia="en-MY"/>
                              </w:rPr>
                              <w:t>10</w:t>
                            </w:r>
                            <w:r w:rsidRPr="00221C87">
                              <w:rPr>
                                <w:rFonts w:eastAsia="Times New Roman" w:cs="Times New Roman"/>
                                <w:color w:val="000000" w:themeColor="text1"/>
                                <w:sz w:val="20"/>
                                <w:szCs w:val="20"/>
                                <w:lang w:eastAsia="en-MY"/>
                              </w:rPr>
                              <w:t>C</w:t>
                            </w:r>
                            <w:r w:rsidRPr="00221C87">
                              <w:rPr>
                                <w:rFonts w:eastAsia="Times New Roman" w:cs="Times New Roman"/>
                                <w:color w:val="000000" w:themeColor="text1"/>
                                <w:sz w:val="20"/>
                                <w:szCs w:val="20"/>
                                <w:vertAlign w:val="subscript"/>
                                <w:lang w:eastAsia="en-MY"/>
                              </w:rPr>
                              <w:t>2.5</w:t>
                            </w:r>
                            <w:r w:rsidRPr="00221C87">
                              <w:rPr>
                                <w:rFonts w:eastAsia="Times New Roman" w:cs="Times New Roman"/>
                                <w:color w:val="000000" w:themeColor="text1"/>
                                <w:sz w:val="20"/>
                                <w:szCs w:val="20"/>
                                <w:lang w:eastAsia="en-MY"/>
                              </w:rPr>
                              <w:t>A</w:t>
                            </w:r>
                            <w:r w:rsidRPr="00221C87">
                              <w:rPr>
                                <w:rFonts w:eastAsia="Times New Roman" w:cs="Times New Roman"/>
                                <w:color w:val="000000" w:themeColor="text1"/>
                                <w:sz w:val="20"/>
                                <w:szCs w:val="20"/>
                                <w:vertAlign w:val="subscript"/>
                                <w:lang w:eastAsia="en-MY"/>
                              </w:rPr>
                              <w:t>2</w:t>
                            </w:r>
                            <w:r w:rsidRPr="00221C87">
                              <w:rPr>
                                <w:rFonts w:eastAsia="Times New Roman" w:cs="Times New Roman"/>
                                <w:color w:val="000000" w:themeColor="text1"/>
                                <w:sz w:val="20"/>
                                <w:szCs w:val="20"/>
                                <w:lang w:eastAsia="en-MY"/>
                              </w:rPr>
                              <w:t>B</w:t>
                            </w:r>
                            <w:r w:rsidRPr="00221C87">
                              <w:rPr>
                                <w:rFonts w:eastAsia="Times New Roman" w:cs="Times New Roman"/>
                                <w:color w:val="000000" w:themeColor="text1"/>
                                <w:sz w:val="20"/>
                                <w:szCs w:val="20"/>
                                <w:vertAlign w:val="subscript"/>
                                <w:lang w:eastAsia="en-MY"/>
                              </w:rPr>
                              <w:t>10</w:t>
                            </w:r>
                            <w:r w:rsidRPr="00221C87">
                              <w:rPr>
                                <w:rFonts w:eastAsia="Times New Roman" w:cs="Times New Roman"/>
                                <w:color w:val="000000" w:themeColor="text1"/>
                                <w:sz w:val="20"/>
                                <w:szCs w:val="20"/>
                                <w:lang w:eastAsia="en-MY"/>
                              </w:rPr>
                              <w:t>S</w:t>
                            </w:r>
                            <w:r w:rsidRPr="00221C87">
                              <w:rPr>
                                <w:rFonts w:eastAsia="Times New Roman" w:cs="Times New Roman"/>
                                <w:color w:val="000000" w:themeColor="text1"/>
                                <w:sz w:val="20"/>
                                <w:szCs w:val="20"/>
                                <w:vertAlign w:val="subscript"/>
                                <w:lang w:eastAsia="en-MY"/>
                              </w:rPr>
                              <w:t>75.5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77DEC" id="Text Box 86" o:spid="_x0000_s1326" type="#_x0000_t202" style="position:absolute;left:0;text-align:left;margin-left:38.8pt;margin-top:123.5pt;width:90pt;height:20.4pt;z-index:252435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" fillcolor="window" stroked="f" strokeweight=".5pt">
                <v:textbox>
                  <w:txbxContent>
                    <w:p w14:paraId="41B374C7" w14:textId="77777777" w:rsidR="00230AB9" w:rsidRPr="00221C87" w:rsidRDefault="00230AB9" w:rsidP="00D740DC">
                      <w:pPr>
                        <w:rPr>
                          <w:color w:val="000000" w:themeColor="text1"/>
                          <w:sz w:val="20"/>
                          <w:szCs w:val="20"/>
                        </w:rPr>
                      </w:pPr>
                      <w:r w:rsidRPr="00221C87">
                        <w:rPr>
                          <w:rFonts w:eastAsia="Times New Roman" w:cs="Times New Roman"/>
                          <w:color w:val="000000" w:themeColor="text1"/>
                          <w:sz w:val="20"/>
                          <w:szCs w:val="20"/>
                          <w:lang w:eastAsia="en-MY"/>
                        </w:rPr>
                        <w:t>N</w:t>
                      </w:r>
                      <w:r w:rsidRPr="00221C87">
                        <w:rPr>
                          <w:rFonts w:eastAsia="Times New Roman" w:cs="Times New Roman"/>
                          <w:color w:val="000000" w:themeColor="text1"/>
                          <w:sz w:val="20"/>
                          <w:szCs w:val="20"/>
                          <w:vertAlign w:val="subscript"/>
                          <w:lang w:eastAsia="en-MY"/>
                        </w:rPr>
                        <w:t>10</w:t>
                      </w:r>
                      <w:r w:rsidRPr="00221C87">
                        <w:rPr>
                          <w:rFonts w:eastAsia="Times New Roman" w:cs="Times New Roman"/>
                          <w:color w:val="000000" w:themeColor="text1"/>
                          <w:sz w:val="20"/>
                          <w:szCs w:val="20"/>
                          <w:lang w:eastAsia="en-MY"/>
                        </w:rPr>
                        <w:t>C</w:t>
                      </w:r>
                      <w:r w:rsidRPr="00221C87">
                        <w:rPr>
                          <w:rFonts w:eastAsia="Times New Roman" w:cs="Times New Roman"/>
                          <w:color w:val="000000" w:themeColor="text1"/>
                          <w:sz w:val="20"/>
                          <w:szCs w:val="20"/>
                          <w:vertAlign w:val="subscript"/>
                          <w:lang w:eastAsia="en-MY"/>
                        </w:rPr>
                        <w:t>2.5</w:t>
                      </w:r>
                      <w:r w:rsidRPr="00221C87">
                        <w:rPr>
                          <w:rFonts w:eastAsia="Times New Roman" w:cs="Times New Roman"/>
                          <w:color w:val="000000" w:themeColor="text1"/>
                          <w:sz w:val="20"/>
                          <w:szCs w:val="20"/>
                          <w:lang w:eastAsia="en-MY"/>
                        </w:rPr>
                        <w:t>A</w:t>
                      </w:r>
                      <w:r w:rsidRPr="00221C87">
                        <w:rPr>
                          <w:rFonts w:eastAsia="Times New Roman" w:cs="Times New Roman"/>
                          <w:color w:val="000000" w:themeColor="text1"/>
                          <w:sz w:val="20"/>
                          <w:szCs w:val="20"/>
                          <w:vertAlign w:val="subscript"/>
                          <w:lang w:eastAsia="en-MY"/>
                        </w:rPr>
                        <w:t>2</w:t>
                      </w:r>
                      <w:r w:rsidRPr="00221C87">
                        <w:rPr>
                          <w:rFonts w:eastAsia="Times New Roman" w:cs="Times New Roman"/>
                          <w:color w:val="000000" w:themeColor="text1"/>
                          <w:sz w:val="20"/>
                          <w:szCs w:val="20"/>
                          <w:lang w:eastAsia="en-MY"/>
                        </w:rPr>
                        <w:t>B</w:t>
                      </w:r>
                      <w:r w:rsidRPr="00221C87">
                        <w:rPr>
                          <w:rFonts w:eastAsia="Times New Roman" w:cs="Times New Roman"/>
                          <w:color w:val="000000" w:themeColor="text1"/>
                          <w:sz w:val="20"/>
                          <w:szCs w:val="20"/>
                          <w:vertAlign w:val="subscript"/>
                          <w:lang w:eastAsia="en-MY"/>
                        </w:rPr>
                        <w:t>10</w:t>
                      </w:r>
                      <w:r w:rsidRPr="00221C87">
                        <w:rPr>
                          <w:rFonts w:eastAsia="Times New Roman" w:cs="Times New Roman"/>
                          <w:color w:val="000000" w:themeColor="text1"/>
                          <w:sz w:val="20"/>
                          <w:szCs w:val="20"/>
                          <w:lang w:eastAsia="en-MY"/>
                        </w:rPr>
                        <w:t>S</w:t>
                      </w:r>
                      <w:r w:rsidRPr="00221C87">
                        <w:rPr>
                          <w:rFonts w:eastAsia="Times New Roman" w:cs="Times New Roman"/>
                          <w:color w:val="000000" w:themeColor="text1"/>
                          <w:sz w:val="20"/>
                          <w:szCs w:val="20"/>
                          <w:vertAlign w:val="subscript"/>
                          <w:lang w:eastAsia="en-MY"/>
                        </w:rPr>
                        <w:t>75.5</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444672" behindDoc="0" locked="0" layoutInCell="1" allowOverlap="1" wp14:anchorId="259FAB41" wp14:editId="7979A9B6">
                <wp:simplePos x="0" y="0"/>
                <wp:positionH relativeFrom="margin">
                  <wp:posOffset>3787200</wp:posOffset>
                </wp:positionH>
                <wp:positionV relativeFrom="paragraph">
                  <wp:posOffset>5828615</wp:posOffset>
                </wp:positionV>
                <wp:extent cx="1463040" cy="280800"/>
                <wp:effectExtent l="0" t="0" r="3810" b="5080"/>
                <wp:wrapNone/>
                <wp:docPr id="1765" name="Text Box 1765"/>
                <wp:cNvGraphicFramePr/>
                <a:graphic xmlns:a="http://schemas.openxmlformats.org/drawingml/2006/main">
                  <a:graphicData uri="http://schemas.microsoft.com/office/word/2010/wordprocessingShape">
                    <wps:wsp>
                      <wps:cNvSpPr txBox="1"/>
                      <wps:spPr>
                        <a:xfrm>
                          <a:off x="0" y="0"/>
                          <a:ext cx="1463040" cy="280800"/>
                        </a:xfrm>
                        <a:prstGeom prst="rect">
                          <a:avLst/>
                        </a:prstGeom>
                        <a:solidFill>
                          <a:sysClr val="window" lastClr="FFFFFF"/>
                        </a:solidFill>
                        <a:ln w="6350">
                          <a:noFill/>
                        </a:ln>
                      </wps:spPr>
                      <wps:txbx>
                        <w:txbxContent>
                          <w:p w14:paraId="6CF521E9" w14:textId="77777777" w:rsidR="00230AB9" w:rsidRPr="003367E1" w:rsidRDefault="00230AB9" w:rsidP="00D740DC">
                            <w:pPr>
                              <w:rPr>
                                <w:sz w:val="20"/>
                                <w:szCs w:val="20"/>
                              </w:rPr>
                            </w:pPr>
                            <w:r w:rsidRPr="003367E1">
                              <w:rPr>
                                <w:rFonts w:eastAsia="Times New Roman" w:cs="Times New Roman"/>
                                <w:color w:val="000000"/>
                                <w:sz w:val="20"/>
                                <w:szCs w:val="20"/>
                                <w:lang w:eastAsia="en-MY"/>
                              </w:rPr>
                              <w:t>N</w:t>
                            </w:r>
                            <w:r w:rsidRPr="003367E1">
                              <w:rPr>
                                <w:rFonts w:eastAsia="Times New Roman" w:cs="Times New Roman"/>
                                <w:color w:val="000000"/>
                                <w:sz w:val="20"/>
                                <w:szCs w:val="20"/>
                                <w:vertAlign w:val="subscript"/>
                                <w:lang w:eastAsia="en-MY"/>
                              </w:rPr>
                              <w:t>10</w:t>
                            </w:r>
                            <w:r w:rsidRPr="003367E1">
                              <w:rPr>
                                <w:rFonts w:eastAsia="Times New Roman" w:cs="Times New Roman"/>
                                <w:color w:val="000000"/>
                                <w:sz w:val="20"/>
                                <w:szCs w:val="20"/>
                                <w:lang w:eastAsia="en-MY"/>
                              </w:rPr>
                              <w:t>C</w:t>
                            </w:r>
                            <w:r w:rsidRPr="003367E1">
                              <w:rPr>
                                <w:rFonts w:eastAsia="Times New Roman" w:cs="Times New Roman"/>
                                <w:color w:val="000000"/>
                                <w:sz w:val="20"/>
                                <w:szCs w:val="20"/>
                                <w:vertAlign w:val="subscript"/>
                                <w:lang w:eastAsia="en-MY"/>
                              </w:rPr>
                              <w:t>2.5</w:t>
                            </w:r>
                            <w:r w:rsidRPr="003367E1">
                              <w:rPr>
                                <w:rFonts w:eastAsia="Times New Roman" w:cs="Times New Roman"/>
                                <w:color w:val="000000"/>
                                <w:sz w:val="20"/>
                                <w:szCs w:val="20"/>
                                <w:lang w:eastAsia="en-MY"/>
                              </w:rPr>
                              <w:t>Ba</w:t>
                            </w:r>
                            <w:r w:rsidRPr="003367E1">
                              <w:rPr>
                                <w:rFonts w:eastAsia="Times New Roman" w:cs="Times New Roman"/>
                                <w:color w:val="000000"/>
                                <w:sz w:val="20"/>
                                <w:szCs w:val="20"/>
                                <w:vertAlign w:val="subscript"/>
                                <w:lang w:eastAsia="en-MY"/>
                              </w:rPr>
                              <w:t>2</w:t>
                            </w:r>
                            <w:r w:rsidRPr="003367E1">
                              <w:rPr>
                                <w:rFonts w:eastAsia="Times New Roman" w:cs="Times New Roman"/>
                                <w:color w:val="000000"/>
                                <w:sz w:val="20"/>
                                <w:szCs w:val="20"/>
                                <w:lang w:eastAsia="en-MY"/>
                              </w:rPr>
                              <w:t>A</w:t>
                            </w:r>
                            <w:r w:rsidRPr="003367E1">
                              <w:rPr>
                                <w:rFonts w:eastAsia="Times New Roman" w:cs="Times New Roman"/>
                                <w:color w:val="000000"/>
                                <w:sz w:val="20"/>
                                <w:szCs w:val="20"/>
                                <w:vertAlign w:val="subscript"/>
                                <w:lang w:eastAsia="en-MY"/>
                              </w:rPr>
                              <w:t>12.5</w:t>
                            </w:r>
                            <w:r w:rsidRPr="003367E1">
                              <w:rPr>
                                <w:rFonts w:eastAsia="Times New Roman" w:cs="Times New Roman"/>
                                <w:color w:val="000000"/>
                                <w:sz w:val="20"/>
                                <w:szCs w:val="20"/>
                                <w:lang w:eastAsia="en-MY"/>
                              </w:rPr>
                              <w:t>B</w:t>
                            </w:r>
                            <w:r w:rsidRPr="003367E1">
                              <w:rPr>
                                <w:rFonts w:eastAsia="Times New Roman" w:cs="Times New Roman"/>
                                <w:color w:val="000000"/>
                                <w:sz w:val="20"/>
                                <w:szCs w:val="20"/>
                                <w:vertAlign w:val="subscript"/>
                                <w:lang w:eastAsia="en-MY"/>
                              </w:rPr>
                              <w:t>10</w:t>
                            </w:r>
                            <w:r w:rsidRPr="003367E1">
                              <w:rPr>
                                <w:rFonts w:eastAsia="Times New Roman" w:cs="Times New Roman"/>
                                <w:color w:val="000000"/>
                                <w:sz w:val="20"/>
                                <w:szCs w:val="20"/>
                                <w:lang w:eastAsia="en-MY"/>
                              </w:rPr>
                              <w:t>S</w:t>
                            </w:r>
                            <w:r w:rsidRPr="003367E1">
                              <w:rPr>
                                <w:rFonts w:eastAsia="Times New Roman" w:cs="Times New Roman"/>
                                <w:color w:val="000000"/>
                                <w:sz w:val="20"/>
                                <w:szCs w:val="20"/>
                                <w:vertAlign w:val="subscript"/>
                                <w:lang w:eastAsia="en-MY"/>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FAB41" id="Text Box 1765" o:spid="_x0000_s1327" type="#_x0000_t202" style="position:absolute;left:0;text-align:left;margin-left:298.2pt;margin-top:458.95pt;width:115.2pt;height:22.1pt;z-index:25244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" fillcolor="window" stroked="f" strokeweight=".5pt">
                <v:textbox>
                  <w:txbxContent>
                    <w:p w14:paraId="6CF521E9" w14:textId="77777777" w:rsidR="00230AB9" w:rsidRPr="003367E1" w:rsidRDefault="00230AB9" w:rsidP="00D740DC">
                      <w:pPr>
                        <w:rPr>
                          <w:sz w:val="20"/>
                          <w:szCs w:val="20"/>
                        </w:rPr>
                      </w:pPr>
                      <w:r w:rsidRPr="003367E1">
                        <w:rPr>
                          <w:rFonts w:eastAsia="Times New Roman" w:cs="Times New Roman"/>
                          <w:color w:val="000000"/>
                          <w:sz w:val="20"/>
                          <w:szCs w:val="20"/>
                          <w:lang w:eastAsia="en-MY"/>
                        </w:rPr>
                        <w:t>N</w:t>
                      </w:r>
                      <w:r w:rsidRPr="003367E1">
                        <w:rPr>
                          <w:rFonts w:eastAsia="Times New Roman" w:cs="Times New Roman"/>
                          <w:color w:val="000000"/>
                          <w:sz w:val="20"/>
                          <w:szCs w:val="20"/>
                          <w:vertAlign w:val="subscript"/>
                          <w:lang w:eastAsia="en-MY"/>
                        </w:rPr>
                        <w:t>10</w:t>
                      </w:r>
                      <w:r w:rsidRPr="003367E1">
                        <w:rPr>
                          <w:rFonts w:eastAsia="Times New Roman" w:cs="Times New Roman"/>
                          <w:color w:val="000000"/>
                          <w:sz w:val="20"/>
                          <w:szCs w:val="20"/>
                          <w:lang w:eastAsia="en-MY"/>
                        </w:rPr>
                        <w:t>C</w:t>
                      </w:r>
                      <w:r w:rsidRPr="003367E1">
                        <w:rPr>
                          <w:rFonts w:eastAsia="Times New Roman" w:cs="Times New Roman"/>
                          <w:color w:val="000000"/>
                          <w:sz w:val="20"/>
                          <w:szCs w:val="20"/>
                          <w:vertAlign w:val="subscript"/>
                          <w:lang w:eastAsia="en-MY"/>
                        </w:rPr>
                        <w:t>2.5</w:t>
                      </w:r>
                      <w:r w:rsidRPr="003367E1">
                        <w:rPr>
                          <w:rFonts w:eastAsia="Times New Roman" w:cs="Times New Roman"/>
                          <w:color w:val="000000"/>
                          <w:sz w:val="20"/>
                          <w:szCs w:val="20"/>
                          <w:lang w:eastAsia="en-MY"/>
                        </w:rPr>
                        <w:t>Ba</w:t>
                      </w:r>
                      <w:r w:rsidRPr="003367E1">
                        <w:rPr>
                          <w:rFonts w:eastAsia="Times New Roman" w:cs="Times New Roman"/>
                          <w:color w:val="000000"/>
                          <w:sz w:val="20"/>
                          <w:szCs w:val="20"/>
                          <w:vertAlign w:val="subscript"/>
                          <w:lang w:eastAsia="en-MY"/>
                        </w:rPr>
                        <w:t>2</w:t>
                      </w:r>
                      <w:r w:rsidRPr="003367E1">
                        <w:rPr>
                          <w:rFonts w:eastAsia="Times New Roman" w:cs="Times New Roman"/>
                          <w:color w:val="000000"/>
                          <w:sz w:val="20"/>
                          <w:szCs w:val="20"/>
                          <w:lang w:eastAsia="en-MY"/>
                        </w:rPr>
                        <w:t>A</w:t>
                      </w:r>
                      <w:r w:rsidRPr="003367E1">
                        <w:rPr>
                          <w:rFonts w:eastAsia="Times New Roman" w:cs="Times New Roman"/>
                          <w:color w:val="000000"/>
                          <w:sz w:val="20"/>
                          <w:szCs w:val="20"/>
                          <w:vertAlign w:val="subscript"/>
                          <w:lang w:eastAsia="en-MY"/>
                        </w:rPr>
                        <w:t>12.5</w:t>
                      </w:r>
                      <w:r w:rsidRPr="003367E1">
                        <w:rPr>
                          <w:rFonts w:eastAsia="Times New Roman" w:cs="Times New Roman"/>
                          <w:color w:val="000000"/>
                          <w:sz w:val="20"/>
                          <w:szCs w:val="20"/>
                          <w:lang w:eastAsia="en-MY"/>
                        </w:rPr>
                        <w:t>B</w:t>
                      </w:r>
                      <w:r w:rsidRPr="003367E1">
                        <w:rPr>
                          <w:rFonts w:eastAsia="Times New Roman" w:cs="Times New Roman"/>
                          <w:color w:val="000000"/>
                          <w:sz w:val="20"/>
                          <w:szCs w:val="20"/>
                          <w:vertAlign w:val="subscript"/>
                          <w:lang w:eastAsia="en-MY"/>
                        </w:rPr>
                        <w:t>10</w:t>
                      </w:r>
                      <w:r w:rsidRPr="003367E1">
                        <w:rPr>
                          <w:rFonts w:eastAsia="Times New Roman" w:cs="Times New Roman"/>
                          <w:color w:val="000000"/>
                          <w:sz w:val="20"/>
                          <w:szCs w:val="20"/>
                          <w:lang w:eastAsia="en-MY"/>
                        </w:rPr>
                        <w:t>S</w:t>
                      </w:r>
                      <w:r w:rsidRPr="003367E1">
                        <w:rPr>
                          <w:rFonts w:eastAsia="Times New Roman" w:cs="Times New Roman"/>
                          <w:color w:val="000000"/>
                          <w:sz w:val="20"/>
                          <w:szCs w:val="20"/>
                          <w:vertAlign w:val="subscript"/>
                          <w:lang w:eastAsia="en-MY"/>
                        </w:rPr>
                        <w:t>63</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443648" behindDoc="0" locked="0" layoutInCell="1" allowOverlap="1" wp14:anchorId="4B70A7CC" wp14:editId="3BE2208A">
                <wp:simplePos x="0" y="0"/>
                <wp:positionH relativeFrom="margin">
                  <wp:posOffset>4003200</wp:posOffset>
                </wp:positionH>
                <wp:positionV relativeFrom="paragraph">
                  <wp:posOffset>5519015</wp:posOffset>
                </wp:positionV>
                <wp:extent cx="1463040" cy="252000"/>
                <wp:effectExtent l="0" t="0" r="3810" b="0"/>
                <wp:wrapNone/>
                <wp:docPr id="1764" name="Text Box 1764"/>
                <wp:cNvGraphicFramePr/>
                <a:graphic xmlns:a="http://schemas.openxmlformats.org/drawingml/2006/main">
                  <a:graphicData uri="http://schemas.microsoft.com/office/word/2010/wordprocessingShape">
                    <wps:wsp>
                      <wps:cNvSpPr txBox="1"/>
                      <wps:spPr>
                        <a:xfrm>
                          <a:off x="0" y="0"/>
                          <a:ext cx="1463040" cy="252000"/>
                        </a:xfrm>
                        <a:prstGeom prst="rect">
                          <a:avLst/>
                        </a:prstGeom>
                        <a:solidFill>
                          <a:sysClr val="window" lastClr="FFFFFF"/>
                        </a:solidFill>
                        <a:ln w="6350">
                          <a:noFill/>
                        </a:ln>
                      </wps:spPr>
                      <wps:txbx>
                        <w:txbxContent>
                          <w:p w14:paraId="3A81BFE5" w14:textId="77777777" w:rsidR="00230AB9" w:rsidRPr="003367E1" w:rsidRDefault="00230AB9" w:rsidP="00D740DC">
                            <w:pPr>
                              <w:rPr>
                                <w:sz w:val="20"/>
                                <w:szCs w:val="20"/>
                              </w:rPr>
                            </w:pPr>
                            <w:r w:rsidRPr="003367E1">
                              <w:rPr>
                                <w:rFonts w:eastAsia="Times New Roman" w:cs="Times New Roman"/>
                                <w:color w:val="000000"/>
                                <w:sz w:val="20"/>
                                <w:szCs w:val="20"/>
                                <w:lang w:eastAsia="en-MY"/>
                              </w:rPr>
                              <w:t>N</w:t>
                            </w:r>
                            <w:r w:rsidRPr="003367E1">
                              <w:rPr>
                                <w:rFonts w:eastAsia="Times New Roman" w:cs="Times New Roman"/>
                                <w:color w:val="000000"/>
                                <w:sz w:val="20"/>
                                <w:szCs w:val="20"/>
                                <w:vertAlign w:val="subscript"/>
                                <w:lang w:eastAsia="en-MY"/>
                              </w:rPr>
                              <w:t>10</w:t>
                            </w:r>
                            <w:r w:rsidRPr="003367E1">
                              <w:rPr>
                                <w:rFonts w:eastAsia="Times New Roman" w:cs="Times New Roman"/>
                                <w:color w:val="000000"/>
                                <w:sz w:val="20"/>
                                <w:szCs w:val="20"/>
                                <w:lang w:eastAsia="en-MY"/>
                              </w:rPr>
                              <w:t>C</w:t>
                            </w:r>
                            <w:r w:rsidRPr="003367E1">
                              <w:rPr>
                                <w:rFonts w:eastAsia="Times New Roman" w:cs="Times New Roman"/>
                                <w:color w:val="000000"/>
                                <w:sz w:val="20"/>
                                <w:szCs w:val="20"/>
                                <w:vertAlign w:val="subscript"/>
                                <w:lang w:eastAsia="en-MY"/>
                              </w:rPr>
                              <w:t>3.6</w:t>
                            </w:r>
                            <w:r w:rsidRPr="003367E1">
                              <w:rPr>
                                <w:rFonts w:eastAsia="Times New Roman" w:cs="Times New Roman"/>
                                <w:color w:val="000000"/>
                                <w:sz w:val="20"/>
                                <w:szCs w:val="20"/>
                                <w:lang w:eastAsia="en-MY"/>
                              </w:rPr>
                              <w:t>Ba</w:t>
                            </w:r>
                            <w:r w:rsidRPr="003367E1">
                              <w:rPr>
                                <w:rFonts w:eastAsia="Times New Roman" w:cs="Times New Roman"/>
                                <w:color w:val="000000"/>
                                <w:sz w:val="20"/>
                                <w:szCs w:val="20"/>
                                <w:vertAlign w:val="subscript"/>
                                <w:lang w:eastAsia="en-MY"/>
                              </w:rPr>
                              <w:t>2</w:t>
                            </w:r>
                            <w:r w:rsidRPr="003367E1">
                              <w:rPr>
                                <w:rFonts w:eastAsia="Times New Roman" w:cs="Times New Roman"/>
                                <w:color w:val="000000"/>
                                <w:sz w:val="20"/>
                                <w:szCs w:val="20"/>
                                <w:lang w:eastAsia="en-MY"/>
                              </w:rPr>
                              <w:t>A</w:t>
                            </w:r>
                            <w:r w:rsidRPr="003367E1">
                              <w:rPr>
                                <w:rFonts w:eastAsia="Times New Roman" w:cs="Times New Roman"/>
                                <w:color w:val="000000"/>
                                <w:sz w:val="20"/>
                                <w:szCs w:val="20"/>
                                <w:vertAlign w:val="subscript"/>
                                <w:lang w:eastAsia="en-MY"/>
                              </w:rPr>
                              <w:t>10.1</w:t>
                            </w:r>
                            <w:r w:rsidRPr="003367E1">
                              <w:rPr>
                                <w:rFonts w:eastAsia="Times New Roman" w:cs="Times New Roman"/>
                                <w:color w:val="000000"/>
                                <w:sz w:val="20"/>
                                <w:szCs w:val="20"/>
                                <w:lang w:eastAsia="en-MY"/>
                              </w:rPr>
                              <w:t>B</w:t>
                            </w:r>
                            <w:r w:rsidRPr="003367E1">
                              <w:rPr>
                                <w:rFonts w:eastAsia="Times New Roman" w:cs="Times New Roman"/>
                                <w:color w:val="000000"/>
                                <w:sz w:val="20"/>
                                <w:szCs w:val="20"/>
                                <w:vertAlign w:val="subscript"/>
                                <w:lang w:eastAsia="en-MY"/>
                              </w:rPr>
                              <w:t>10</w:t>
                            </w:r>
                            <w:r w:rsidRPr="003367E1">
                              <w:rPr>
                                <w:rFonts w:eastAsia="Times New Roman" w:cs="Times New Roman"/>
                                <w:color w:val="000000"/>
                                <w:sz w:val="20"/>
                                <w:szCs w:val="20"/>
                                <w:lang w:eastAsia="en-MY"/>
                              </w:rPr>
                              <w:t>S</w:t>
                            </w:r>
                            <w:r w:rsidRPr="003367E1">
                              <w:rPr>
                                <w:rFonts w:eastAsia="Times New Roman" w:cs="Times New Roman"/>
                                <w:color w:val="000000"/>
                                <w:sz w:val="20"/>
                                <w:szCs w:val="20"/>
                                <w:vertAlign w:val="subscript"/>
                                <w:lang w:eastAsia="en-MY"/>
                              </w:rPr>
                              <w:t>64.3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0A7CC" id="Text Box 1764" o:spid="_x0000_s1328" type="#_x0000_t202" style="position:absolute;left:0;text-align:left;margin-left:315.2pt;margin-top:434.55pt;width:115.2pt;height:19.85pt;z-index:25244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" fillcolor="window" stroked="f" strokeweight=".5pt">
                <v:textbox>
                  <w:txbxContent>
                    <w:p w14:paraId="3A81BFE5" w14:textId="77777777" w:rsidR="00230AB9" w:rsidRPr="003367E1" w:rsidRDefault="00230AB9" w:rsidP="00D740DC">
                      <w:pPr>
                        <w:rPr>
                          <w:sz w:val="20"/>
                          <w:szCs w:val="20"/>
                        </w:rPr>
                      </w:pPr>
                      <w:r w:rsidRPr="003367E1">
                        <w:rPr>
                          <w:rFonts w:eastAsia="Times New Roman" w:cs="Times New Roman"/>
                          <w:color w:val="000000"/>
                          <w:sz w:val="20"/>
                          <w:szCs w:val="20"/>
                          <w:lang w:eastAsia="en-MY"/>
                        </w:rPr>
                        <w:t>N</w:t>
                      </w:r>
                      <w:r w:rsidRPr="003367E1">
                        <w:rPr>
                          <w:rFonts w:eastAsia="Times New Roman" w:cs="Times New Roman"/>
                          <w:color w:val="000000"/>
                          <w:sz w:val="20"/>
                          <w:szCs w:val="20"/>
                          <w:vertAlign w:val="subscript"/>
                          <w:lang w:eastAsia="en-MY"/>
                        </w:rPr>
                        <w:t>10</w:t>
                      </w:r>
                      <w:r w:rsidRPr="003367E1">
                        <w:rPr>
                          <w:rFonts w:eastAsia="Times New Roman" w:cs="Times New Roman"/>
                          <w:color w:val="000000"/>
                          <w:sz w:val="20"/>
                          <w:szCs w:val="20"/>
                          <w:lang w:eastAsia="en-MY"/>
                        </w:rPr>
                        <w:t>C</w:t>
                      </w:r>
                      <w:r w:rsidRPr="003367E1">
                        <w:rPr>
                          <w:rFonts w:eastAsia="Times New Roman" w:cs="Times New Roman"/>
                          <w:color w:val="000000"/>
                          <w:sz w:val="20"/>
                          <w:szCs w:val="20"/>
                          <w:vertAlign w:val="subscript"/>
                          <w:lang w:eastAsia="en-MY"/>
                        </w:rPr>
                        <w:t>3.6</w:t>
                      </w:r>
                      <w:r w:rsidRPr="003367E1">
                        <w:rPr>
                          <w:rFonts w:eastAsia="Times New Roman" w:cs="Times New Roman"/>
                          <w:color w:val="000000"/>
                          <w:sz w:val="20"/>
                          <w:szCs w:val="20"/>
                          <w:lang w:eastAsia="en-MY"/>
                        </w:rPr>
                        <w:t>Ba</w:t>
                      </w:r>
                      <w:r w:rsidRPr="003367E1">
                        <w:rPr>
                          <w:rFonts w:eastAsia="Times New Roman" w:cs="Times New Roman"/>
                          <w:color w:val="000000"/>
                          <w:sz w:val="20"/>
                          <w:szCs w:val="20"/>
                          <w:vertAlign w:val="subscript"/>
                          <w:lang w:eastAsia="en-MY"/>
                        </w:rPr>
                        <w:t>2</w:t>
                      </w:r>
                      <w:r w:rsidRPr="003367E1">
                        <w:rPr>
                          <w:rFonts w:eastAsia="Times New Roman" w:cs="Times New Roman"/>
                          <w:color w:val="000000"/>
                          <w:sz w:val="20"/>
                          <w:szCs w:val="20"/>
                          <w:lang w:eastAsia="en-MY"/>
                        </w:rPr>
                        <w:t>A</w:t>
                      </w:r>
                      <w:r w:rsidRPr="003367E1">
                        <w:rPr>
                          <w:rFonts w:eastAsia="Times New Roman" w:cs="Times New Roman"/>
                          <w:color w:val="000000"/>
                          <w:sz w:val="20"/>
                          <w:szCs w:val="20"/>
                          <w:vertAlign w:val="subscript"/>
                          <w:lang w:eastAsia="en-MY"/>
                        </w:rPr>
                        <w:t>10.1</w:t>
                      </w:r>
                      <w:r w:rsidRPr="003367E1">
                        <w:rPr>
                          <w:rFonts w:eastAsia="Times New Roman" w:cs="Times New Roman"/>
                          <w:color w:val="000000"/>
                          <w:sz w:val="20"/>
                          <w:szCs w:val="20"/>
                          <w:lang w:eastAsia="en-MY"/>
                        </w:rPr>
                        <w:t>B</w:t>
                      </w:r>
                      <w:r w:rsidRPr="003367E1">
                        <w:rPr>
                          <w:rFonts w:eastAsia="Times New Roman" w:cs="Times New Roman"/>
                          <w:color w:val="000000"/>
                          <w:sz w:val="20"/>
                          <w:szCs w:val="20"/>
                          <w:vertAlign w:val="subscript"/>
                          <w:lang w:eastAsia="en-MY"/>
                        </w:rPr>
                        <w:t>10</w:t>
                      </w:r>
                      <w:r w:rsidRPr="003367E1">
                        <w:rPr>
                          <w:rFonts w:eastAsia="Times New Roman" w:cs="Times New Roman"/>
                          <w:color w:val="000000"/>
                          <w:sz w:val="20"/>
                          <w:szCs w:val="20"/>
                          <w:lang w:eastAsia="en-MY"/>
                        </w:rPr>
                        <w:t>S</w:t>
                      </w:r>
                      <w:r w:rsidRPr="003367E1">
                        <w:rPr>
                          <w:rFonts w:eastAsia="Times New Roman" w:cs="Times New Roman"/>
                          <w:color w:val="000000"/>
                          <w:sz w:val="20"/>
                          <w:szCs w:val="20"/>
                          <w:vertAlign w:val="subscript"/>
                          <w:lang w:eastAsia="en-MY"/>
                        </w:rPr>
                        <w:t>64.3</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442624" behindDoc="0" locked="0" layoutInCell="1" allowOverlap="1" wp14:anchorId="6D072965" wp14:editId="46CBEAAC">
                <wp:simplePos x="0" y="0"/>
                <wp:positionH relativeFrom="margin">
                  <wp:align>right</wp:align>
                </wp:positionH>
                <wp:positionV relativeFrom="paragraph">
                  <wp:posOffset>5201014</wp:posOffset>
                </wp:positionV>
                <wp:extent cx="1463332" cy="266400"/>
                <wp:effectExtent l="0" t="0" r="3810" b="635"/>
                <wp:wrapNone/>
                <wp:docPr id="1763" name="Text Box 1763"/>
                <wp:cNvGraphicFramePr/>
                <a:graphic xmlns:a="http://schemas.openxmlformats.org/drawingml/2006/main">
                  <a:graphicData uri="http://schemas.microsoft.com/office/word/2010/wordprocessingShape">
                    <wps:wsp>
                      <wps:cNvSpPr txBox="1"/>
                      <wps:spPr>
                        <a:xfrm>
                          <a:off x="0" y="0"/>
                          <a:ext cx="1463332" cy="266400"/>
                        </a:xfrm>
                        <a:prstGeom prst="rect">
                          <a:avLst/>
                        </a:prstGeom>
                        <a:solidFill>
                          <a:sysClr val="window" lastClr="FFFFFF"/>
                        </a:solidFill>
                        <a:ln w="6350">
                          <a:noFill/>
                        </a:ln>
                      </wps:spPr>
                      <wps:txbx>
                        <w:txbxContent>
                          <w:p w14:paraId="37CAAB30" w14:textId="77777777" w:rsidR="00230AB9" w:rsidRPr="00221C87" w:rsidRDefault="00230AB9" w:rsidP="00D740DC">
                            <w:pPr>
                              <w:rPr>
                                <w:sz w:val="20"/>
                                <w:szCs w:val="20"/>
                              </w:rPr>
                            </w:pPr>
                            <w:r w:rsidRPr="00221C87">
                              <w:rPr>
                                <w:rFonts w:eastAsia="Times New Roman" w:cs="Times New Roman"/>
                                <w:color w:val="000000"/>
                                <w:sz w:val="20"/>
                                <w:szCs w:val="20"/>
                                <w:lang w:eastAsia="en-MY"/>
                              </w:rPr>
                              <w:t>N</w:t>
                            </w:r>
                            <w:r w:rsidRPr="00221C87">
                              <w:rPr>
                                <w:rFonts w:eastAsia="Times New Roman" w:cs="Times New Roman"/>
                                <w:color w:val="000000"/>
                                <w:sz w:val="20"/>
                                <w:szCs w:val="20"/>
                                <w:vertAlign w:val="subscript"/>
                                <w:lang w:eastAsia="en-MY"/>
                              </w:rPr>
                              <w:t>10</w:t>
                            </w:r>
                            <w:r w:rsidRPr="00221C87">
                              <w:rPr>
                                <w:rFonts w:eastAsia="Times New Roman" w:cs="Times New Roman"/>
                                <w:color w:val="000000"/>
                                <w:sz w:val="20"/>
                                <w:szCs w:val="20"/>
                                <w:lang w:eastAsia="en-MY"/>
                              </w:rPr>
                              <w:t>C</w:t>
                            </w:r>
                            <w:r w:rsidRPr="00221C87">
                              <w:rPr>
                                <w:rFonts w:eastAsia="Times New Roman" w:cs="Times New Roman"/>
                                <w:color w:val="000000"/>
                                <w:sz w:val="20"/>
                                <w:szCs w:val="20"/>
                                <w:vertAlign w:val="subscript"/>
                                <w:lang w:eastAsia="en-MY"/>
                              </w:rPr>
                              <w:t>4.9</w:t>
                            </w:r>
                            <w:r w:rsidRPr="00221C87">
                              <w:rPr>
                                <w:rFonts w:eastAsia="Times New Roman" w:cs="Times New Roman"/>
                                <w:color w:val="000000"/>
                                <w:sz w:val="20"/>
                                <w:szCs w:val="20"/>
                                <w:lang w:eastAsia="en-MY"/>
                              </w:rPr>
                              <w:t>Ba</w:t>
                            </w:r>
                            <w:r w:rsidRPr="00221C87">
                              <w:rPr>
                                <w:rFonts w:eastAsia="Times New Roman" w:cs="Times New Roman"/>
                                <w:color w:val="000000"/>
                                <w:sz w:val="20"/>
                                <w:szCs w:val="20"/>
                                <w:vertAlign w:val="subscript"/>
                                <w:lang w:eastAsia="en-MY"/>
                              </w:rPr>
                              <w:t>2</w:t>
                            </w:r>
                            <w:r w:rsidRPr="00221C87">
                              <w:rPr>
                                <w:rFonts w:eastAsia="Times New Roman" w:cs="Times New Roman"/>
                                <w:color w:val="000000"/>
                                <w:sz w:val="20"/>
                                <w:szCs w:val="20"/>
                                <w:lang w:eastAsia="en-MY"/>
                              </w:rPr>
                              <w:t>A</w:t>
                            </w:r>
                            <w:r w:rsidRPr="00221C87">
                              <w:rPr>
                                <w:rFonts w:eastAsia="Times New Roman" w:cs="Times New Roman"/>
                                <w:color w:val="000000"/>
                                <w:sz w:val="20"/>
                                <w:szCs w:val="20"/>
                                <w:vertAlign w:val="subscript"/>
                                <w:lang w:eastAsia="en-MY"/>
                              </w:rPr>
                              <w:t>7.1</w:t>
                            </w:r>
                            <w:r w:rsidRPr="00221C87">
                              <w:rPr>
                                <w:rFonts w:eastAsia="Times New Roman" w:cs="Times New Roman"/>
                                <w:color w:val="000000"/>
                                <w:sz w:val="20"/>
                                <w:szCs w:val="20"/>
                                <w:lang w:eastAsia="en-MY"/>
                              </w:rPr>
                              <w:t>B</w:t>
                            </w:r>
                            <w:r w:rsidRPr="00221C87">
                              <w:rPr>
                                <w:rFonts w:eastAsia="Times New Roman" w:cs="Times New Roman"/>
                                <w:color w:val="000000"/>
                                <w:sz w:val="20"/>
                                <w:szCs w:val="20"/>
                                <w:vertAlign w:val="subscript"/>
                                <w:lang w:eastAsia="en-MY"/>
                              </w:rPr>
                              <w:t>10</w:t>
                            </w:r>
                            <w:r w:rsidRPr="00221C87">
                              <w:rPr>
                                <w:rFonts w:eastAsia="Times New Roman" w:cs="Times New Roman"/>
                                <w:color w:val="000000"/>
                                <w:sz w:val="20"/>
                                <w:szCs w:val="20"/>
                                <w:lang w:eastAsia="en-MY"/>
                              </w:rPr>
                              <w:t>S</w:t>
                            </w:r>
                            <w:r w:rsidRPr="00221C87">
                              <w:rPr>
                                <w:rFonts w:eastAsia="Times New Roman" w:cs="Times New Roman"/>
                                <w:color w:val="000000"/>
                                <w:sz w:val="20"/>
                                <w:szCs w:val="20"/>
                                <w:vertAlign w:val="subscript"/>
                                <w:lang w:eastAsia="en-MY"/>
                              </w:rPr>
                              <w:t>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72965" id="Text Box 1763" o:spid="_x0000_s1329" type="#_x0000_t202" style="position:absolute;left:0;text-align:left;margin-left:64pt;margin-top:409.55pt;width:115.2pt;height:21pt;z-index:252442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" fillcolor="window" stroked="f" strokeweight=".5pt">
                <v:textbox>
                  <w:txbxContent>
                    <w:p w14:paraId="37CAAB30" w14:textId="77777777" w:rsidR="00230AB9" w:rsidRPr="00221C87" w:rsidRDefault="00230AB9" w:rsidP="00D740DC">
                      <w:pPr>
                        <w:rPr>
                          <w:sz w:val="20"/>
                          <w:szCs w:val="20"/>
                        </w:rPr>
                      </w:pPr>
                      <w:r w:rsidRPr="00221C87">
                        <w:rPr>
                          <w:rFonts w:eastAsia="Times New Roman" w:cs="Times New Roman"/>
                          <w:color w:val="000000"/>
                          <w:sz w:val="20"/>
                          <w:szCs w:val="20"/>
                          <w:lang w:eastAsia="en-MY"/>
                        </w:rPr>
                        <w:t>N</w:t>
                      </w:r>
                      <w:r w:rsidRPr="00221C87">
                        <w:rPr>
                          <w:rFonts w:eastAsia="Times New Roman" w:cs="Times New Roman"/>
                          <w:color w:val="000000"/>
                          <w:sz w:val="20"/>
                          <w:szCs w:val="20"/>
                          <w:vertAlign w:val="subscript"/>
                          <w:lang w:eastAsia="en-MY"/>
                        </w:rPr>
                        <w:t>10</w:t>
                      </w:r>
                      <w:r w:rsidRPr="00221C87">
                        <w:rPr>
                          <w:rFonts w:eastAsia="Times New Roman" w:cs="Times New Roman"/>
                          <w:color w:val="000000"/>
                          <w:sz w:val="20"/>
                          <w:szCs w:val="20"/>
                          <w:lang w:eastAsia="en-MY"/>
                        </w:rPr>
                        <w:t>C</w:t>
                      </w:r>
                      <w:r w:rsidRPr="00221C87">
                        <w:rPr>
                          <w:rFonts w:eastAsia="Times New Roman" w:cs="Times New Roman"/>
                          <w:color w:val="000000"/>
                          <w:sz w:val="20"/>
                          <w:szCs w:val="20"/>
                          <w:vertAlign w:val="subscript"/>
                          <w:lang w:eastAsia="en-MY"/>
                        </w:rPr>
                        <w:t>4.9</w:t>
                      </w:r>
                      <w:r w:rsidRPr="00221C87">
                        <w:rPr>
                          <w:rFonts w:eastAsia="Times New Roman" w:cs="Times New Roman"/>
                          <w:color w:val="000000"/>
                          <w:sz w:val="20"/>
                          <w:szCs w:val="20"/>
                          <w:lang w:eastAsia="en-MY"/>
                        </w:rPr>
                        <w:t>Ba</w:t>
                      </w:r>
                      <w:r w:rsidRPr="00221C87">
                        <w:rPr>
                          <w:rFonts w:eastAsia="Times New Roman" w:cs="Times New Roman"/>
                          <w:color w:val="000000"/>
                          <w:sz w:val="20"/>
                          <w:szCs w:val="20"/>
                          <w:vertAlign w:val="subscript"/>
                          <w:lang w:eastAsia="en-MY"/>
                        </w:rPr>
                        <w:t>2</w:t>
                      </w:r>
                      <w:r w:rsidRPr="00221C87">
                        <w:rPr>
                          <w:rFonts w:eastAsia="Times New Roman" w:cs="Times New Roman"/>
                          <w:color w:val="000000"/>
                          <w:sz w:val="20"/>
                          <w:szCs w:val="20"/>
                          <w:lang w:eastAsia="en-MY"/>
                        </w:rPr>
                        <w:t>A</w:t>
                      </w:r>
                      <w:r w:rsidRPr="00221C87">
                        <w:rPr>
                          <w:rFonts w:eastAsia="Times New Roman" w:cs="Times New Roman"/>
                          <w:color w:val="000000"/>
                          <w:sz w:val="20"/>
                          <w:szCs w:val="20"/>
                          <w:vertAlign w:val="subscript"/>
                          <w:lang w:eastAsia="en-MY"/>
                        </w:rPr>
                        <w:t>7.1</w:t>
                      </w:r>
                      <w:r w:rsidRPr="00221C87">
                        <w:rPr>
                          <w:rFonts w:eastAsia="Times New Roman" w:cs="Times New Roman"/>
                          <w:color w:val="000000"/>
                          <w:sz w:val="20"/>
                          <w:szCs w:val="20"/>
                          <w:lang w:eastAsia="en-MY"/>
                        </w:rPr>
                        <w:t>B</w:t>
                      </w:r>
                      <w:r w:rsidRPr="00221C87">
                        <w:rPr>
                          <w:rFonts w:eastAsia="Times New Roman" w:cs="Times New Roman"/>
                          <w:color w:val="000000"/>
                          <w:sz w:val="20"/>
                          <w:szCs w:val="20"/>
                          <w:vertAlign w:val="subscript"/>
                          <w:lang w:eastAsia="en-MY"/>
                        </w:rPr>
                        <w:t>10</w:t>
                      </w:r>
                      <w:r w:rsidRPr="00221C87">
                        <w:rPr>
                          <w:rFonts w:eastAsia="Times New Roman" w:cs="Times New Roman"/>
                          <w:color w:val="000000"/>
                          <w:sz w:val="20"/>
                          <w:szCs w:val="20"/>
                          <w:lang w:eastAsia="en-MY"/>
                        </w:rPr>
                        <w:t>S</w:t>
                      </w:r>
                      <w:r w:rsidRPr="00221C87">
                        <w:rPr>
                          <w:rFonts w:eastAsia="Times New Roman" w:cs="Times New Roman"/>
                          <w:color w:val="000000"/>
                          <w:sz w:val="20"/>
                          <w:szCs w:val="20"/>
                          <w:vertAlign w:val="subscript"/>
                          <w:lang w:eastAsia="en-MY"/>
                        </w:rPr>
                        <w:t>66</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441600" behindDoc="0" locked="0" layoutInCell="1" allowOverlap="1" wp14:anchorId="17F6A061" wp14:editId="6B735F2F">
                <wp:simplePos x="0" y="0"/>
                <wp:positionH relativeFrom="margin">
                  <wp:posOffset>4485600</wp:posOffset>
                </wp:positionH>
                <wp:positionV relativeFrom="paragraph">
                  <wp:posOffset>4899815</wp:posOffset>
                </wp:positionV>
                <wp:extent cx="1385570" cy="266400"/>
                <wp:effectExtent l="0" t="0" r="5080" b="635"/>
                <wp:wrapNone/>
                <wp:docPr id="1762" name="Text Box 1762"/>
                <wp:cNvGraphicFramePr/>
                <a:graphic xmlns:a="http://schemas.openxmlformats.org/drawingml/2006/main">
                  <a:graphicData uri="http://schemas.microsoft.com/office/word/2010/wordprocessingShape">
                    <wps:wsp>
                      <wps:cNvSpPr txBox="1"/>
                      <wps:spPr>
                        <a:xfrm>
                          <a:off x="0" y="0"/>
                          <a:ext cx="1385570" cy="266400"/>
                        </a:xfrm>
                        <a:prstGeom prst="rect">
                          <a:avLst/>
                        </a:prstGeom>
                        <a:solidFill>
                          <a:sysClr val="window" lastClr="FFFFFF"/>
                        </a:solidFill>
                        <a:ln w="6350">
                          <a:noFill/>
                        </a:ln>
                      </wps:spPr>
                      <wps:txbx>
                        <w:txbxContent>
                          <w:p w14:paraId="6F8E89E2" w14:textId="77777777" w:rsidR="00230AB9" w:rsidRPr="00221C87" w:rsidRDefault="00230AB9" w:rsidP="00D740DC">
                            <w:pPr>
                              <w:rPr>
                                <w:sz w:val="20"/>
                                <w:szCs w:val="20"/>
                              </w:rPr>
                            </w:pPr>
                            <w:r w:rsidRPr="00221C87">
                              <w:rPr>
                                <w:rFonts w:eastAsia="Times New Roman" w:cs="Times New Roman"/>
                                <w:color w:val="000000"/>
                                <w:sz w:val="20"/>
                                <w:szCs w:val="20"/>
                                <w:lang w:eastAsia="en-MY"/>
                              </w:rPr>
                              <w:t>N</w:t>
                            </w:r>
                            <w:r w:rsidRPr="00221C87">
                              <w:rPr>
                                <w:rFonts w:eastAsia="Times New Roman" w:cs="Times New Roman"/>
                                <w:color w:val="000000"/>
                                <w:sz w:val="20"/>
                                <w:szCs w:val="20"/>
                                <w:vertAlign w:val="subscript"/>
                                <w:lang w:eastAsia="en-MY"/>
                              </w:rPr>
                              <w:t>10</w:t>
                            </w:r>
                            <w:r w:rsidRPr="00221C87">
                              <w:rPr>
                                <w:rFonts w:eastAsia="Times New Roman" w:cs="Times New Roman"/>
                                <w:color w:val="000000"/>
                                <w:sz w:val="20"/>
                                <w:szCs w:val="20"/>
                                <w:lang w:eastAsia="en-MY"/>
                              </w:rPr>
                              <w:t>C</w:t>
                            </w:r>
                            <w:r w:rsidRPr="00221C87">
                              <w:rPr>
                                <w:rFonts w:eastAsia="Times New Roman" w:cs="Times New Roman"/>
                                <w:color w:val="000000"/>
                                <w:sz w:val="20"/>
                                <w:szCs w:val="20"/>
                                <w:vertAlign w:val="subscript"/>
                                <w:lang w:eastAsia="en-MY"/>
                              </w:rPr>
                              <w:t>2.4</w:t>
                            </w:r>
                            <w:r w:rsidRPr="00221C87">
                              <w:rPr>
                                <w:rFonts w:eastAsia="Times New Roman" w:cs="Times New Roman"/>
                                <w:color w:val="000000"/>
                                <w:sz w:val="20"/>
                                <w:szCs w:val="20"/>
                                <w:lang w:eastAsia="en-MY"/>
                              </w:rPr>
                              <w:t>Ba</w:t>
                            </w:r>
                            <w:r w:rsidRPr="00221C87">
                              <w:rPr>
                                <w:rFonts w:eastAsia="Times New Roman" w:cs="Times New Roman"/>
                                <w:color w:val="000000"/>
                                <w:sz w:val="20"/>
                                <w:szCs w:val="20"/>
                                <w:vertAlign w:val="subscript"/>
                                <w:lang w:eastAsia="en-MY"/>
                              </w:rPr>
                              <w:t>2</w:t>
                            </w:r>
                            <w:r w:rsidRPr="00221C87">
                              <w:rPr>
                                <w:rFonts w:eastAsia="Times New Roman" w:cs="Times New Roman"/>
                                <w:color w:val="000000"/>
                                <w:sz w:val="20"/>
                                <w:szCs w:val="20"/>
                                <w:lang w:eastAsia="en-MY"/>
                              </w:rPr>
                              <w:t>A</w:t>
                            </w:r>
                            <w:r w:rsidRPr="00221C87">
                              <w:rPr>
                                <w:rFonts w:eastAsia="Times New Roman" w:cs="Times New Roman"/>
                                <w:color w:val="000000"/>
                                <w:sz w:val="20"/>
                                <w:szCs w:val="20"/>
                                <w:vertAlign w:val="subscript"/>
                                <w:lang w:eastAsia="en-MY"/>
                              </w:rPr>
                              <w:t>5.7</w:t>
                            </w:r>
                            <w:r w:rsidRPr="00221C87">
                              <w:rPr>
                                <w:rFonts w:eastAsia="Times New Roman" w:cs="Times New Roman"/>
                                <w:color w:val="000000"/>
                                <w:sz w:val="20"/>
                                <w:szCs w:val="20"/>
                                <w:lang w:eastAsia="en-MY"/>
                              </w:rPr>
                              <w:t>B</w:t>
                            </w:r>
                            <w:r w:rsidRPr="00221C87">
                              <w:rPr>
                                <w:rFonts w:eastAsia="Times New Roman" w:cs="Times New Roman"/>
                                <w:color w:val="000000"/>
                                <w:sz w:val="20"/>
                                <w:szCs w:val="20"/>
                                <w:vertAlign w:val="subscript"/>
                                <w:lang w:eastAsia="en-MY"/>
                              </w:rPr>
                              <w:t>10</w:t>
                            </w:r>
                            <w:r w:rsidRPr="00221C87">
                              <w:rPr>
                                <w:rFonts w:eastAsia="Times New Roman" w:cs="Times New Roman"/>
                                <w:color w:val="000000"/>
                                <w:sz w:val="20"/>
                                <w:szCs w:val="20"/>
                                <w:lang w:eastAsia="en-MY"/>
                              </w:rPr>
                              <w:t>S</w:t>
                            </w:r>
                            <w:r w:rsidRPr="00221C87">
                              <w:rPr>
                                <w:rFonts w:eastAsia="Times New Roman" w:cs="Times New Roman"/>
                                <w:color w:val="000000"/>
                                <w:sz w:val="20"/>
                                <w:szCs w:val="20"/>
                                <w:vertAlign w:val="subscript"/>
                                <w:lang w:eastAsia="en-MY"/>
                              </w:rPr>
                              <w:t>69.9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6A061" id="Text Box 1762" o:spid="_x0000_s1330" type="#_x0000_t202" style="position:absolute;left:0;text-align:left;margin-left:353.2pt;margin-top:385.8pt;width:109.1pt;height:21pt;z-index:25244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" fillcolor="window" stroked="f" strokeweight=".5pt">
                <v:textbox>
                  <w:txbxContent>
                    <w:p w14:paraId="6F8E89E2" w14:textId="77777777" w:rsidR="00230AB9" w:rsidRPr="00221C87" w:rsidRDefault="00230AB9" w:rsidP="00D740DC">
                      <w:pPr>
                        <w:rPr>
                          <w:sz w:val="20"/>
                          <w:szCs w:val="20"/>
                        </w:rPr>
                      </w:pPr>
                      <w:r w:rsidRPr="00221C87">
                        <w:rPr>
                          <w:rFonts w:eastAsia="Times New Roman" w:cs="Times New Roman"/>
                          <w:color w:val="000000"/>
                          <w:sz w:val="20"/>
                          <w:szCs w:val="20"/>
                          <w:lang w:eastAsia="en-MY"/>
                        </w:rPr>
                        <w:t>N</w:t>
                      </w:r>
                      <w:r w:rsidRPr="00221C87">
                        <w:rPr>
                          <w:rFonts w:eastAsia="Times New Roman" w:cs="Times New Roman"/>
                          <w:color w:val="000000"/>
                          <w:sz w:val="20"/>
                          <w:szCs w:val="20"/>
                          <w:vertAlign w:val="subscript"/>
                          <w:lang w:eastAsia="en-MY"/>
                        </w:rPr>
                        <w:t>10</w:t>
                      </w:r>
                      <w:r w:rsidRPr="00221C87">
                        <w:rPr>
                          <w:rFonts w:eastAsia="Times New Roman" w:cs="Times New Roman"/>
                          <w:color w:val="000000"/>
                          <w:sz w:val="20"/>
                          <w:szCs w:val="20"/>
                          <w:lang w:eastAsia="en-MY"/>
                        </w:rPr>
                        <w:t>C</w:t>
                      </w:r>
                      <w:r w:rsidRPr="00221C87">
                        <w:rPr>
                          <w:rFonts w:eastAsia="Times New Roman" w:cs="Times New Roman"/>
                          <w:color w:val="000000"/>
                          <w:sz w:val="20"/>
                          <w:szCs w:val="20"/>
                          <w:vertAlign w:val="subscript"/>
                          <w:lang w:eastAsia="en-MY"/>
                        </w:rPr>
                        <w:t>2.4</w:t>
                      </w:r>
                      <w:r w:rsidRPr="00221C87">
                        <w:rPr>
                          <w:rFonts w:eastAsia="Times New Roman" w:cs="Times New Roman"/>
                          <w:color w:val="000000"/>
                          <w:sz w:val="20"/>
                          <w:szCs w:val="20"/>
                          <w:lang w:eastAsia="en-MY"/>
                        </w:rPr>
                        <w:t>Ba</w:t>
                      </w:r>
                      <w:r w:rsidRPr="00221C87">
                        <w:rPr>
                          <w:rFonts w:eastAsia="Times New Roman" w:cs="Times New Roman"/>
                          <w:color w:val="000000"/>
                          <w:sz w:val="20"/>
                          <w:szCs w:val="20"/>
                          <w:vertAlign w:val="subscript"/>
                          <w:lang w:eastAsia="en-MY"/>
                        </w:rPr>
                        <w:t>2</w:t>
                      </w:r>
                      <w:r w:rsidRPr="00221C87">
                        <w:rPr>
                          <w:rFonts w:eastAsia="Times New Roman" w:cs="Times New Roman"/>
                          <w:color w:val="000000"/>
                          <w:sz w:val="20"/>
                          <w:szCs w:val="20"/>
                          <w:lang w:eastAsia="en-MY"/>
                        </w:rPr>
                        <w:t>A</w:t>
                      </w:r>
                      <w:r w:rsidRPr="00221C87">
                        <w:rPr>
                          <w:rFonts w:eastAsia="Times New Roman" w:cs="Times New Roman"/>
                          <w:color w:val="000000"/>
                          <w:sz w:val="20"/>
                          <w:szCs w:val="20"/>
                          <w:vertAlign w:val="subscript"/>
                          <w:lang w:eastAsia="en-MY"/>
                        </w:rPr>
                        <w:t>5.7</w:t>
                      </w:r>
                      <w:r w:rsidRPr="00221C87">
                        <w:rPr>
                          <w:rFonts w:eastAsia="Times New Roman" w:cs="Times New Roman"/>
                          <w:color w:val="000000"/>
                          <w:sz w:val="20"/>
                          <w:szCs w:val="20"/>
                          <w:lang w:eastAsia="en-MY"/>
                        </w:rPr>
                        <w:t>B</w:t>
                      </w:r>
                      <w:r w:rsidRPr="00221C87">
                        <w:rPr>
                          <w:rFonts w:eastAsia="Times New Roman" w:cs="Times New Roman"/>
                          <w:color w:val="000000"/>
                          <w:sz w:val="20"/>
                          <w:szCs w:val="20"/>
                          <w:vertAlign w:val="subscript"/>
                          <w:lang w:eastAsia="en-MY"/>
                        </w:rPr>
                        <w:t>10</w:t>
                      </w:r>
                      <w:r w:rsidRPr="00221C87">
                        <w:rPr>
                          <w:rFonts w:eastAsia="Times New Roman" w:cs="Times New Roman"/>
                          <w:color w:val="000000"/>
                          <w:sz w:val="20"/>
                          <w:szCs w:val="20"/>
                          <w:lang w:eastAsia="en-MY"/>
                        </w:rPr>
                        <w:t>S</w:t>
                      </w:r>
                      <w:r w:rsidRPr="00221C87">
                        <w:rPr>
                          <w:rFonts w:eastAsia="Times New Roman" w:cs="Times New Roman"/>
                          <w:color w:val="000000"/>
                          <w:sz w:val="20"/>
                          <w:szCs w:val="20"/>
                          <w:vertAlign w:val="subscript"/>
                          <w:lang w:eastAsia="en-MY"/>
                        </w:rPr>
                        <w:t>69.9</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281856" behindDoc="0" locked="0" layoutInCell="1" allowOverlap="1" wp14:anchorId="441785E2" wp14:editId="55781A06">
                <wp:simplePos x="0" y="0"/>
                <wp:positionH relativeFrom="column">
                  <wp:posOffset>337820</wp:posOffset>
                </wp:positionH>
                <wp:positionV relativeFrom="paragraph">
                  <wp:posOffset>3417570</wp:posOffset>
                </wp:positionV>
                <wp:extent cx="337820" cy="337820"/>
                <wp:effectExtent l="0" t="0" r="0" b="5080"/>
                <wp:wrapNone/>
                <wp:docPr id="2110" name="Text Box 2110"/>
                <wp:cNvGraphicFramePr/>
                <a:graphic xmlns:a="http://schemas.openxmlformats.org/drawingml/2006/main">
                  <a:graphicData uri="http://schemas.microsoft.com/office/word/2010/wordprocessingShape">
                    <wps:wsp>
                      <wps:cNvSpPr txBox="1"/>
                      <wps:spPr>
                        <a:xfrm>
                          <a:off x="0" y="0"/>
                          <a:ext cx="337820" cy="337820"/>
                        </a:xfrm>
                        <a:prstGeom prst="rect">
                          <a:avLst/>
                        </a:prstGeom>
                        <a:noFill/>
                        <a:ln w="6350">
                          <a:noFill/>
                        </a:ln>
                      </wps:spPr>
                      <wps:txbx>
                        <w:txbxContent>
                          <w:p w14:paraId="77784C38" w14:textId="77777777" w:rsidR="00230AB9" w:rsidRDefault="00230AB9" w:rsidP="00D740DC">
                            <w:pPr>
                              <w:rPr>
                                <w:b w:val="0"/>
                              </w:rPr>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785E2" id="Text Box 2110" o:spid="_x0000_s1331" type="#_x0000_t202" style="position:absolute;left:0;text-align:left;margin-left:26.6pt;margin-top:269.1pt;width:26.6pt;height:26.6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" filled="f" stroked="f" strokeweight=".5pt">
                <v:textbox>
                  <w:txbxContent>
                    <w:p w14:paraId="77784C38" w14:textId="77777777" w:rsidR="00230AB9" w:rsidRDefault="00230AB9" w:rsidP="00D740DC">
                      <w:pPr>
                        <w:rPr>
                          <w:b w:val="0"/>
                        </w:rPr>
                      </w:pPr>
                      <w:r>
                        <w:t>b)</w:t>
                      </w:r>
                    </w:p>
                  </w:txbxContent>
                </v:textbox>
              </v:shape>
            </w:pict>
          </mc:Fallback>
        </mc:AlternateContent>
      </w:r>
      <w:r w:rsidRPr="000E2377">
        <w:rPr>
          <w:noProof/>
          <w:lang w:eastAsia="en-MY"/>
        </w:rPr>
        <mc:AlternateContent>
          <mc:Choice Requires="wps">
            <w:drawing>
              <wp:anchor distT="0" distB="0" distL="114300" distR="114300" simplePos="0" relativeHeight="252282880" behindDoc="0" locked="0" layoutInCell="1" allowOverlap="1" wp14:anchorId="7B8B39BC" wp14:editId="2732CE2B">
                <wp:simplePos x="0" y="0"/>
                <wp:positionH relativeFrom="column">
                  <wp:posOffset>320040</wp:posOffset>
                </wp:positionH>
                <wp:positionV relativeFrom="paragraph">
                  <wp:posOffset>102235</wp:posOffset>
                </wp:positionV>
                <wp:extent cx="337820" cy="337820"/>
                <wp:effectExtent l="0" t="0" r="0" b="5080"/>
                <wp:wrapNone/>
                <wp:docPr id="2113" name="Text Box 2113"/>
                <wp:cNvGraphicFramePr/>
                <a:graphic xmlns:a="http://schemas.openxmlformats.org/drawingml/2006/main">
                  <a:graphicData uri="http://schemas.microsoft.com/office/word/2010/wordprocessingShape">
                    <wps:wsp>
                      <wps:cNvSpPr txBox="1"/>
                      <wps:spPr>
                        <a:xfrm>
                          <a:off x="0" y="0"/>
                          <a:ext cx="337820" cy="337820"/>
                        </a:xfrm>
                        <a:prstGeom prst="rect">
                          <a:avLst/>
                        </a:prstGeom>
                        <a:noFill/>
                        <a:ln w="6350">
                          <a:noFill/>
                        </a:ln>
                      </wps:spPr>
                      <wps:txbx>
                        <w:txbxContent>
                          <w:p w14:paraId="70B36827" w14:textId="77777777" w:rsidR="00230AB9" w:rsidRDefault="00230AB9" w:rsidP="00D740DC">
                            <w:pPr>
                              <w:rPr>
                                <w:b w:val="0"/>
                              </w:rP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B39BC" id="Text Box 2113" o:spid="_x0000_s1332" type="#_x0000_t202" style="position:absolute;left:0;text-align:left;margin-left:25.2pt;margin-top:8.05pt;width:26.6pt;height:26.6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" filled="f" stroked="f" strokeweight=".5pt">
                <v:textbox>
                  <w:txbxContent>
                    <w:p w14:paraId="70B36827" w14:textId="77777777" w:rsidR="00230AB9" w:rsidRDefault="00230AB9" w:rsidP="00D740DC">
                      <w:pPr>
                        <w:rPr>
                          <w:b w:val="0"/>
                        </w:rPr>
                      </w:pPr>
                      <w:r>
                        <w:t>a)</w:t>
                      </w:r>
                    </w:p>
                  </w:txbxContent>
                </v:textbox>
              </v:shape>
            </w:pict>
          </mc:Fallback>
        </mc:AlternateContent>
      </w:r>
      <w:r w:rsidRPr="000E2377">
        <w:rPr>
          <w:noProof/>
          <w:lang w:eastAsia="en-MY"/>
        </w:rPr>
        <mc:AlternateContent>
          <mc:Choice Requires="wps">
            <w:drawing>
              <wp:anchor distT="0" distB="0" distL="114300" distR="114300" simplePos="0" relativeHeight="252278784" behindDoc="0" locked="0" layoutInCell="1" allowOverlap="1" wp14:anchorId="631C1E9C" wp14:editId="48CF4274">
                <wp:simplePos x="0" y="0"/>
                <wp:positionH relativeFrom="column">
                  <wp:posOffset>3055246</wp:posOffset>
                </wp:positionH>
                <wp:positionV relativeFrom="paragraph">
                  <wp:posOffset>5834790</wp:posOffset>
                </wp:positionV>
                <wp:extent cx="653415" cy="225425"/>
                <wp:effectExtent l="0" t="0" r="0" b="3175"/>
                <wp:wrapNone/>
                <wp:docPr id="2109" name="Text Box 2109"/>
                <wp:cNvGraphicFramePr/>
                <a:graphic xmlns:a="http://schemas.openxmlformats.org/drawingml/2006/main">
                  <a:graphicData uri="http://schemas.microsoft.com/office/word/2010/wordprocessingShape">
                    <wps:wsp>
                      <wps:cNvSpPr txBox="1"/>
                      <wps:spPr>
                        <a:xfrm>
                          <a:off x="0" y="0"/>
                          <a:ext cx="653415" cy="225425"/>
                        </a:xfrm>
                        <a:prstGeom prst="rect">
                          <a:avLst/>
                        </a:prstGeom>
                        <a:noFill/>
                        <a:ln w="6350">
                          <a:noFill/>
                        </a:ln>
                      </wps:spPr>
                      <wps:txbx>
                        <w:txbxContent>
                          <w:p w14:paraId="434F695D" w14:textId="77777777" w:rsidR="00230AB9" w:rsidRDefault="00230AB9" w:rsidP="00D740DC">
                            <w:pPr>
                              <w:rPr>
                                <w:sz w:val="16"/>
                                <w:szCs w:val="16"/>
                              </w:rPr>
                            </w:pPr>
                            <w:r>
                              <w:rPr>
                                <w:sz w:val="16"/>
                                <w:szCs w:val="16"/>
                              </w:rPr>
                              <w:t>Region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C1E9C" id="Text Box 2109" o:spid="_x0000_s1333" type="#_x0000_t202" style="position:absolute;left:0;text-align:left;margin-left:240.55pt;margin-top:459.45pt;width:51.45pt;height:17.7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" filled="f" stroked="f" strokeweight=".5pt">
                <v:textbox>
                  <w:txbxContent>
                    <w:p w14:paraId="434F695D" w14:textId="77777777" w:rsidR="00230AB9" w:rsidRDefault="00230AB9" w:rsidP="00D740DC">
                      <w:pPr>
                        <w:rPr>
                          <w:sz w:val="16"/>
                          <w:szCs w:val="16"/>
                        </w:rPr>
                      </w:pPr>
                      <w:r>
                        <w:rPr>
                          <w:sz w:val="16"/>
                          <w:szCs w:val="16"/>
                        </w:rPr>
                        <w:t>Region D</w:t>
                      </w:r>
                    </w:p>
                  </w:txbxContent>
                </v:textbox>
              </v:shape>
            </w:pict>
          </mc:Fallback>
        </mc:AlternateContent>
      </w:r>
      <w:r w:rsidRPr="000E2377">
        <w:rPr>
          <w:noProof/>
          <w:lang w:eastAsia="en-MY"/>
        </w:rPr>
        <mc:AlternateContent>
          <mc:Choice Requires="wps">
            <w:drawing>
              <wp:anchor distT="0" distB="0" distL="114300" distR="114300" simplePos="0" relativeHeight="252273664" behindDoc="0" locked="0" layoutInCell="1" allowOverlap="1" wp14:anchorId="523538AD" wp14:editId="5ECC2B33">
                <wp:simplePos x="0" y="0"/>
                <wp:positionH relativeFrom="column">
                  <wp:posOffset>2273337</wp:posOffset>
                </wp:positionH>
                <wp:positionV relativeFrom="paragraph">
                  <wp:posOffset>5813611</wp:posOffset>
                </wp:positionV>
                <wp:extent cx="653415" cy="225425"/>
                <wp:effectExtent l="0" t="0" r="0" b="3175"/>
                <wp:wrapNone/>
                <wp:docPr id="1283" name="Text Box 1283"/>
                <wp:cNvGraphicFramePr/>
                <a:graphic xmlns:a="http://schemas.openxmlformats.org/drawingml/2006/main">
                  <a:graphicData uri="http://schemas.microsoft.com/office/word/2010/wordprocessingShape">
                    <wps:wsp>
                      <wps:cNvSpPr txBox="1"/>
                      <wps:spPr>
                        <a:xfrm>
                          <a:off x="0" y="0"/>
                          <a:ext cx="653415" cy="225425"/>
                        </a:xfrm>
                        <a:prstGeom prst="rect">
                          <a:avLst/>
                        </a:prstGeom>
                        <a:noFill/>
                        <a:ln w="6350">
                          <a:noFill/>
                        </a:ln>
                      </wps:spPr>
                      <wps:txbx>
                        <w:txbxContent>
                          <w:p w14:paraId="3D71EEDC" w14:textId="77777777" w:rsidR="00230AB9" w:rsidRDefault="00230AB9" w:rsidP="00D740DC">
                            <w:pPr>
                              <w:rPr>
                                <w:sz w:val="16"/>
                                <w:szCs w:val="16"/>
                              </w:rPr>
                            </w:pPr>
                            <w:r>
                              <w:rPr>
                                <w:sz w:val="16"/>
                                <w:szCs w:val="16"/>
                              </w:rPr>
                              <w:t>Region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538AD" id="Text Box 1283" o:spid="_x0000_s1334" type="#_x0000_t202" style="position:absolute;left:0;text-align:left;margin-left:179pt;margin-top:457.75pt;width:51.45pt;height:17.7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" filled="f" stroked="f" strokeweight=".5pt">
                <v:textbox>
                  <w:txbxContent>
                    <w:p w14:paraId="3D71EEDC" w14:textId="77777777" w:rsidR="00230AB9" w:rsidRDefault="00230AB9" w:rsidP="00D740DC">
                      <w:pPr>
                        <w:rPr>
                          <w:sz w:val="16"/>
                          <w:szCs w:val="16"/>
                        </w:rPr>
                      </w:pPr>
                      <w:r>
                        <w:rPr>
                          <w:sz w:val="16"/>
                          <w:szCs w:val="16"/>
                        </w:rPr>
                        <w:t>Region C</w:t>
                      </w:r>
                    </w:p>
                  </w:txbxContent>
                </v:textbox>
              </v:shape>
            </w:pict>
          </mc:Fallback>
        </mc:AlternateContent>
      </w:r>
      <w:r w:rsidRPr="000E2377">
        <w:rPr>
          <w:noProof/>
          <w:lang w:eastAsia="en-MY"/>
        </w:rPr>
        <mc:AlternateContent>
          <mc:Choice Requires="wps">
            <w:drawing>
              <wp:anchor distT="0" distB="0" distL="114300" distR="114300" simplePos="0" relativeHeight="252276736" behindDoc="0" locked="0" layoutInCell="1" allowOverlap="1" wp14:anchorId="59A22203" wp14:editId="3BFFA8CD">
                <wp:simplePos x="0" y="0"/>
                <wp:positionH relativeFrom="column">
                  <wp:posOffset>1703145</wp:posOffset>
                </wp:positionH>
                <wp:positionV relativeFrom="paragraph">
                  <wp:posOffset>5828963</wp:posOffset>
                </wp:positionV>
                <wp:extent cx="653415" cy="225425"/>
                <wp:effectExtent l="0" t="0" r="0" b="3175"/>
                <wp:wrapNone/>
                <wp:docPr id="2106" name="Text Box 2106"/>
                <wp:cNvGraphicFramePr/>
                <a:graphic xmlns:a="http://schemas.openxmlformats.org/drawingml/2006/main">
                  <a:graphicData uri="http://schemas.microsoft.com/office/word/2010/wordprocessingShape">
                    <wps:wsp>
                      <wps:cNvSpPr txBox="1"/>
                      <wps:spPr>
                        <a:xfrm>
                          <a:off x="0" y="0"/>
                          <a:ext cx="653415" cy="225425"/>
                        </a:xfrm>
                        <a:prstGeom prst="rect">
                          <a:avLst/>
                        </a:prstGeom>
                        <a:noFill/>
                        <a:ln w="6350">
                          <a:noFill/>
                        </a:ln>
                      </wps:spPr>
                      <wps:txbx>
                        <w:txbxContent>
                          <w:p w14:paraId="3410403F" w14:textId="77777777" w:rsidR="00230AB9" w:rsidRDefault="00230AB9" w:rsidP="00D740DC">
                            <w:pPr>
                              <w:rPr>
                                <w:sz w:val="16"/>
                                <w:szCs w:val="16"/>
                              </w:rPr>
                            </w:pPr>
                            <w:r>
                              <w:rPr>
                                <w:sz w:val="16"/>
                                <w:szCs w:val="16"/>
                              </w:rPr>
                              <w:t>Region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22203" id="Text Box 2106" o:spid="_x0000_s1335" type="#_x0000_t202" style="position:absolute;left:0;text-align:left;margin-left:134.1pt;margin-top:458.95pt;width:51.45pt;height:17.7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" filled="f" stroked="f" strokeweight=".5pt">
                <v:textbox>
                  <w:txbxContent>
                    <w:p w14:paraId="3410403F" w14:textId="77777777" w:rsidR="00230AB9" w:rsidRDefault="00230AB9" w:rsidP="00D740DC">
                      <w:pPr>
                        <w:rPr>
                          <w:sz w:val="16"/>
                          <w:szCs w:val="16"/>
                        </w:rPr>
                      </w:pPr>
                      <w:r>
                        <w:rPr>
                          <w:sz w:val="16"/>
                          <w:szCs w:val="16"/>
                        </w:rPr>
                        <w:t>Region B</w:t>
                      </w:r>
                    </w:p>
                  </w:txbxContent>
                </v:textbox>
              </v:shape>
            </w:pict>
          </mc:Fallback>
        </mc:AlternateContent>
      </w:r>
      <w:r w:rsidRPr="000E2377">
        <w:rPr>
          <w:noProof/>
          <w:lang w:eastAsia="en-MY"/>
        </w:rPr>
        <mc:AlternateContent>
          <mc:Choice Requires="wps">
            <w:drawing>
              <wp:anchor distT="0" distB="0" distL="114300" distR="114300" simplePos="0" relativeHeight="252271616" behindDoc="0" locked="0" layoutInCell="1" allowOverlap="1" wp14:anchorId="59FBA6E6" wp14:editId="263EAB02">
                <wp:simplePos x="0" y="0"/>
                <wp:positionH relativeFrom="column">
                  <wp:posOffset>881716</wp:posOffset>
                </wp:positionH>
                <wp:positionV relativeFrom="paragraph">
                  <wp:posOffset>5819401</wp:posOffset>
                </wp:positionV>
                <wp:extent cx="653415" cy="225425"/>
                <wp:effectExtent l="0" t="0" r="0" b="3175"/>
                <wp:wrapNone/>
                <wp:docPr id="2111" name="Text Box 2111"/>
                <wp:cNvGraphicFramePr/>
                <a:graphic xmlns:a="http://schemas.openxmlformats.org/drawingml/2006/main">
                  <a:graphicData uri="http://schemas.microsoft.com/office/word/2010/wordprocessingShape">
                    <wps:wsp>
                      <wps:cNvSpPr txBox="1"/>
                      <wps:spPr>
                        <a:xfrm>
                          <a:off x="0" y="0"/>
                          <a:ext cx="653415" cy="225425"/>
                        </a:xfrm>
                        <a:prstGeom prst="rect">
                          <a:avLst/>
                        </a:prstGeom>
                        <a:noFill/>
                        <a:ln w="6350">
                          <a:noFill/>
                        </a:ln>
                      </wps:spPr>
                      <wps:txbx>
                        <w:txbxContent>
                          <w:p w14:paraId="60B2F994" w14:textId="77777777" w:rsidR="00230AB9" w:rsidRDefault="00230AB9" w:rsidP="00D740DC">
                            <w:pPr>
                              <w:rPr>
                                <w:sz w:val="16"/>
                                <w:szCs w:val="16"/>
                              </w:rPr>
                            </w:pPr>
                            <w:r>
                              <w:rPr>
                                <w:sz w:val="16"/>
                                <w:szCs w:val="16"/>
                              </w:rPr>
                              <w:t>Region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BA6E6" id="Text Box 2111" o:spid="_x0000_s1336" type="#_x0000_t202" style="position:absolute;left:0;text-align:left;margin-left:69.45pt;margin-top:458.2pt;width:51.45pt;height:17.7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" filled="f" stroked="f" strokeweight=".5pt">
                <v:textbox>
                  <w:txbxContent>
                    <w:p w14:paraId="60B2F994" w14:textId="77777777" w:rsidR="00230AB9" w:rsidRDefault="00230AB9" w:rsidP="00D740DC">
                      <w:pPr>
                        <w:rPr>
                          <w:sz w:val="16"/>
                          <w:szCs w:val="16"/>
                        </w:rPr>
                      </w:pPr>
                      <w:r>
                        <w:rPr>
                          <w:sz w:val="16"/>
                          <w:szCs w:val="16"/>
                        </w:rPr>
                        <w:t>Region A</w:t>
                      </w:r>
                    </w:p>
                  </w:txbxContent>
                </v:textbox>
              </v:shape>
            </w:pict>
          </mc:Fallback>
        </mc:AlternateContent>
      </w:r>
      <w:r w:rsidRPr="000E2377">
        <w:rPr>
          <w:noProof/>
          <w:lang w:eastAsia="en-MY"/>
        </w:rPr>
        <mc:AlternateContent>
          <mc:Choice Requires="wps">
            <w:drawing>
              <wp:anchor distT="0" distB="0" distL="114300" distR="114300" simplePos="0" relativeHeight="252275712" behindDoc="0" locked="0" layoutInCell="1" allowOverlap="1" wp14:anchorId="4D334351" wp14:editId="42AA613A">
                <wp:simplePos x="0" y="0"/>
                <wp:positionH relativeFrom="column">
                  <wp:posOffset>1260182</wp:posOffset>
                </wp:positionH>
                <wp:positionV relativeFrom="paragraph">
                  <wp:posOffset>2567305</wp:posOffset>
                </wp:positionV>
                <wp:extent cx="653415" cy="225425"/>
                <wp:effectExtent l="0" t="0" r="0" b="3175"/>
                <wp:wrapNone/>
                <wp:docPr id="2107" name="Text Box 2107"/>
                <wp:cNvGraphicFramePr/>
                <a:graphic xmlns:a="http://schemas.openxmlformats.org/drawingml/2006/main">
                  <a:graphicData uri="http://schemas.microsoft.com/office/word/2010/wordprocessingShape">
                    <wps:wsp>
                      <wps:cNvSpPr txBox="1"/>
                      <wps:spPr>
                        <a:xfrm>
                          <a:off x="0" y="0"/>
                          <a:ext cx="653415" cy="225425"/>
                        </a:xfrm>
                        <a:prstGeom prst="rect">
                          <a:avLst/>
                        </a:prstGeom>
                        <a:noFill/>
                        <a:ln w="6350">
                          <a:noFill/>
                        </a:ln>
                      </wps:spPr>
                      <wps:txbx>
                        <w:txbxContent>
                          <w:p w14:paraId="00B7C72C" w14:textId="77777777" w:rsidR="00230AB9" w:rsidRDefault="00230AB9" w:rsidP="00D740DC">
                            <w:pPr>
                              <w:rPr>
                                <w:sz w:val="16"/>
                                <w:szCs w:val="16"/>
                              </w:rPr>
                            </w:pPr>
                            <w:r>
                              <w:rPr>
                                <w:sz w:val="16"/>
                                <w:szCs w:val="16"/>
                              </w:rPr>
                              <w:t>Region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34351" id="Text Box 2107" o:spid="_x0000_s1337" type="#_x0000_t202" style="position:absolute;left:0;text-align:left;margin-left:99.25pt;margin-top:202.15pt;width:51.45pt;height:17.7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" filled="f" stroked="f" strokeweight=".5pt">
                <v:textbox>
                  <w:txbxContent>
                    <w:p w14:paraId="00B7C72C" w14:textId="77777777" w:rsidR="00230AB9" w:rsidRDefault="00230AB9" w:rsidP="00D740DC">
                      <w:pPr>
                        <w:rPr>
                          <w:sz w:val="16"/>
                          <w:szCs w:val="16"/>
                        </w:rPr>
                      </w:pPr>
                      <w:r>
                        <w:rPr>
                          <w:sz w:val="16"/>
                          <w:szCs w:val="16"/>
                        </w:rPr>
                        <w:t>Region A</w:t>
                      </w:r>
                    </w:p>
                  </w:txbxContent>
                </v:textbox>
              </v:shape>
            </w:pict>
          </mc:Fallback>
        </mc:AlternateContent>
      </w:r>
      <w:r w:rsidRPr="000E2377">
        <w:rPr>
          <w:noProof/>
          <w:lang w:eastAsia="en-MY"/>
        </w:rPr>
        <mc:AlternateContent>
          <mc:Choice Requires="wps">
            <w:drawing>
              <wp:anchor distT="0" distB="0" distL="114300" distR="114300" simplePos="0" relativeHeight="252272640" behindDoc="0" locked="0" layoutInCell="1" allowOverlap="1" wp14:anchorId="1D60D001" wp14:editId="2618795A">
                <wp:simplePos x="0" y="0"/>
                <wp:positionH relativeFrom="column">
                  <wp:posOffset>1765300</wp:posOffset>
                </wp:positionH>
                <wp:positionV relativeFrom="paragraph">
                  <wp:posOffset>2574925</wp:posOffset>
                </wp:positionV>
                <wp:extent cx="653415" cy="225425"/>
                <wp:effectExtent l="0" t="0" r="0" b="3175"/>
                <wp:wrapNone/>
                <wp:docPr id="1282" name="Text Box 1282"/>
                <wp:cNvGraphicFramePr/>
                <a:graphic xmlns:a="http://schemas.openxmlformats.org/drawingml/2006/main">
                  <a:graphicData uri="http://schemas.microsoft.com/office/word/2010/wordprocessingShape">
                    <wps:wsp>
                      <wps:cNvSpPr txBox="1"/>
                      <wps:spPr>
                        <a:xfrm>
                          <a:off x="0" y="0"/>
                          <a:ext cx="653415" cy="225425"/>
                        </a:xfrm>
                        <a:prstGeom prst="rect">
                          <a:avLst/>
                        </a:prstGeom>
                        <a:noFill/>
                        <a:ln w="6350">
                          <a:noFill/>
                        </a:ln>
                      </wps:spPr>
                      <wps:txbx>
                        <w:txbxContent>
                          <w:p w14:paraId="059B7CFE" w14:textId="77777777" w:rsidR="00230AB9" w:rsidRDefault="00230AB9" w:rsidP="00D740DC">
                            <w:pPr>
                              <w:rPr>
                                <w:sz w:val="16"/>
                                <w:szCs w:val="16"/>
                              </w:rPr>
                            </w:pPr>
                            <w:r>
                              <w:rPr>
                                <w:sz w:val="16"/>
                                <w:szCs w:val="16"/>
                              </w:rPr>
                              <w:t>Region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0D001" id="Text Box 1282" o:spid="_x0000_s1338" type="#_x0000_t202" style="position:absolute;left:0;text-align:left;margin-left:139pt;margin-top:202.75pt;width:51.45pt;height:17.7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" filled="f" stroked="f" strokeweight=".5pt">
                <v:textbox>
                  <w:txbxContent>
                    <w:p w14:paraId="059B7CFE" w14:textId="77777777" w:rsidR="00230AB9" w:rsidRDefault="00230AB9" w:rsidP="00D740DC">
                      <w:pPr>
                        <w:rPr>
                          <w:sz w:val="16"/>
                          <w:szCs w:val="16"/>
                        </w:rPr>
                      </w:pPr>
                      <w:r>
                        <w:rPr>
                          <w:sz w:val="16"/>
                          <w:szCs w:val="16"/>
                        </w:rPr>
                        <w:t>Region B</w:t>
                      </w:r>
                    </w:p>
                  </w:txbxContent>
                </v:textbox>
              </v:shape>
            </w:pict>
          </mc:Fallback>
        </mc:AlternateContent>
      </w:r>
      <w:r w:rsidRPr="000E2377">
        <w:rPr>
          <w:noProof/>
          <w:lang w:eastAsia="en-MY"/>
        </w:rPr>
        <mc:AlternateContent>
          <mc:Choice Requires="wps">
            <w:drawing>
              <wp:anchor distT="0" distB="0" distL="114300" distR="114300" simplePos="0" relativeHeight="252277760" behindDoc="0" locked="0" layoutInCell="1" allowOverlap="1" wp14:anchorId="13F43403" wp14:editId="1A7C010D">
                <wp:simplePos x="0" y="0"/>
                <wp:positionH relativeFrom="column">
                  <wp:posOffset>2271883</wp:posOffset>
                </wp:positionH>
                <wp:positionV relativeFrom="paragraph">
                  <wp:posOffset>2582350</wp:posOffset>
                </wp:positionV>
                <wp:extent cx="653415" cy="225425"/>
                <wp:effectExtent l="0" t="0" r="0" b="3175"/>
                <wp:wrapNone/>
                <wp:docPr id="2108" name="Text Box 2108"/>
                <wp:cNvGraphicFramePr/>
                <a:graphic xmlns:a="http://schemas.openxmlformats.org/drawingml/2006/main">
                  <a:graphicData uri="http://schemas.microsoft.com/office/word/2010/wordprocessingShape">
                    <wps:wsp>
                      <wps:cNvSpPr txBox="1"/>
                      <wps:spPr>
                        <a:xfrm>
                          <a:off x="0" y="0"/>
                          <a:ext cx="653415" cy="225425"/>
                        </a:xfrm>
                        <a:prstGeom prst="rect">
                          <a:avLst/>
                        </a:prstGeom>
                        <a:noFill/>
                        <a:ln w="6350">
                          <a:noFill/>
                        </a:ln>
                      </wps:spPr>
                      <wps:txbx>
                        <w:txbxContent>
                          <w:p w14:paraId="3B2B5A7D" w14:textId="77777777" w:rsidR="00230AB9" w:rsidRDefault="00230AB9" w:rsidP="00D740DC">
                            <w:pPr>
                              <w:rPr>
                                <w:sz w:val="16"/>
                                <w:szCs w:val="16"/>
                              </w:rPr>
                            </w:pPr>
                            <w:r>
                              <w:rPr>
                                <w:sz w:val="16"/>
                                <w:szCs w:val="16"/>
                              </w:rPr>
                              <w:t>Region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43403" id="Text Box 2108" o:spid="_x0000_s1339" type="#_x0000_t202" style="position:absolute;left:0;text-align:left;margin-left:178.9pt;margin-top:203.35pt;width:51.45pt;height:17.7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" filled="f" stroked="f" strokeweight=".5pt">
                <v:textbox>
                  <w:txbxContent>
                    <w:p w14:paraId="3B2B5A7D" w14:textId="77777777" w:rsidR="00230AB9" w:rsidRDefault="00230AB9" w:rsidP="00D740DC">
                      <w:pPr>
                        <w:rPr>
                          <w:sz w:val="16"/>
                          <w:szCs w:val="16"/>
                        </w:rPr>
                      </w:pPr>
                      <w:r>
                        <w:rPr>
                          <w:sz w:val="16"/>
                          <w:szCs w:val="16"/>
                        </w:rPr>
                        <w:t>Region C</w:t>
                      </w:r>
                    </w:p>
                  </w:txbxContent>
                </v:textbox>
              </v:shape>
            </w:pict>
          </mc:Fallback>
        </mc:AlternateContent>
      </w:r>
      <w:r w:rsidRPr="000E2377">
        <w:rPr>
          <w:noProof/>
          <w:lang w:eastAsia="en-MY"/>
        </w:rPr>
        <mc:AlternateContent>
          <mc:Choice Requires="wps">
            <w:drawing>
              <wp:anchor distT="0" distB="0" distL="114300" distR="114300" simplePos="0" relativeHeight="252274688" behindDoc="0" locked="0" layoutInCell="1" allowOverlap="1" wp14:anchorId="22411EC6" wp14:editId="37465D9C">
                <wp:simplePos x="0" y="0"/>
                <wp:positionH relativeFrom="column">
                  <wp:posOffset>3115310</wp:posOffset>
                </wp:positionH>
                <wp:positionV relativeFrom="paragraph">
                  <wp:posOffset>2579272</wp:posOffset>
                </wp:positionV>
                <wp:extent cx="653415" cy="225425"/>
                <wp:effectExtent l="0" t="0" r="0" b="3175"/>
                <wp:wrapNone/>
                <wp:docPr id="2112" name="Text Box 2112"/>
                <wp:cNvGraphicFramePr/>
                <a:graphic xmlns:a="http://schemas.openxmlformats.org/drawingml/2006/main">
                  <a:graphicData uri="http://schemas.microsoft.com/office/word/2010/wordprocessingShape">
                    <wps:wsp>
                      <wps:cNvSpPr txBox="1"/>
                      <wps:spPr>
                        <a:xfrm>
                          <a:off x="0" y="0"/>
                          <a:ext cx="653415" cy="225425"/>
                        </a:xfrm>
                        <a:prstGeom prst="rect">
                          <a:avLst/>
                        </a:prstGeom>
                        <a:noFill/>
                        <a:ln w="6350">
                          <a:noFill/>
                        </a:ln>
                      </wps:spPr>
                      <wps:txbx>
                        <w:txbxContent>
                          <w:p w14:paraId="3F85B250" w14:textId="77777777" w:rsidR="00230AB9" w:rsidRDefault="00230AB9" w:rsidP="00D740DC">
                            <w:pPr>
                              <w:rPr>
                                <w:sz w:val="16"/>
                                <w:szCs w:val="16"/>
                              </w:rPr>
                            </w:pPr>
                            <w:r>
                              <w:rPr>
                                <w:sz w:val="16"/>
                                <w:szCs w:val="16"/>
                              </w:rPr>
                              <w:t>Region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11EC6" id="Text Box 2112" o:spid="_x0000_s1340" type="#_x0000_t202" style="position:absolute;left:0;text-align:left;margin-left:245.3pt;margin-top:203.1pt;width:51.45pt;height:17.7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" filled="f" stroked="f" strokeweight=".5pt">
                <v:textbox>
                  <w:txbxContent>
                    <w:p w14:paraId="3F85B250" w14:textId="77777777" w:rsidR="00230AB9" w:rsidRDefault="00230AB9" w:rsidP="00D740DC">
                      <w:pPr>
                        <w:rPr>
                          <w:sz w:val="16"/>
                          <w:szCs w:val="16"/>
                        </w:rPr>
                      </w:pPr>
                      <w:r>
                        <w:rPr>
                          <w:sz w:val="16"/>
                          <w:szCs w:val="16"/>
                        </w:rPr>
                        <w:t>Region D</w:t>
                      </w:r>
                    </w:p>
                  </w:txbxContent>
                </v:textbox>
              </v:shape>
            </w:pict>
          </mc:Fallback>
        </mc:AlternateContent>
      </w:r>
      <w:r w:rsidRPr="000E2377">
        <w:rPr>
          <w:noProof/>
          <w:lang w:eastAsia="en-MY"/>
        </w:rPr>
        <w:drawing>
          <wp:inline distT="0" distB="0" distL="0" distR="0" wp14:anchorId="2181EEAF" wp14:editId="10AE6E38">
            <wp:extent cx="4827129" cy="324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27129" cy="3240000"/>
                    </a:xfrm>
                    <a:prstGeom prst="rect">
                      <a:avLst/>
                    </a:prstGeom>
                    <a:noFill/>
                    <a:ln>
                      <a:noFill/>
                    </a:ln>
                  </pic:spPr>
                </pic:pic>
              </a:graphicData>
            </a:graphic>
          </wp:inline>
        </w:drawing>
      </w:r>
      <w:r w:rsidRPr="000E2377">
        <w:rPr>
          <w:noProof/>
          <w:lang w:eastAsia="en-MY"/>
        </w:rPr>
        <w:drawing>
          <wp:inline distT="0" distB="0" distL="0" distR="0" wp14:anchorId="0EC70821" wp14:editId="048F8CCB">
            <wp:extent cx="5010698" cy="324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010698" cy="3240000"/>
                    </a:xfrm>
                    <a:prstGeom prst="rect">
                      <a:avLst/>
                    </a:prstGeom>
                    <a:noFill/>
                    <a:ln>
                      <a:noFill/>
                    </a:ln>
                  </pic:spPr>
                </pic:pic>
              </a:graphicData>
            </a:graphic>
          </wp:inline>
        </w:drawing>
      </w:r>
    </w:p>
    <w:p w14:paraId="0CADE64D" w14:textId="6B9631D4" w:rsidR="00D740DC" w:rsidRDefault="00D740DC" w:rsidP="00D740DC">
      <w:pPr>
        <w:pStyle w:val="Caption"/>
        <w:rPr>
          <w:rFonts w:eastAsia="Times New Roman"/>
          <w:color w:val="000000"/>
          <w:szCs w:val="24"/>
          <w:lang w:eastAsia="en-MY"/>
        </w:rPr>
      </w:pPr>
      <w:bookmarkStart w:id="750" w:name="_Toc521420483"/>
      <w:bookmarkStart w:id="751" w:name="_Toc525223217"/>
      <w:bookmarkStart w:id="752" w:name="_Toc525528364"/>
      <w:bookmarkStart w:id="753" w:name="_Toc525706379"/>
      <w:bookmarkStart w:id="754" w:name="_Hlk515396495"/>
      <w:r>
        <w:t>Figure</w:t>
      </w:r>
      <w:r w:rsidR="009F4E44">
        <w:t xml:space="preserve"> 4.19: </w:t>
      </w:r>
      <w:r w:rsidRPr="000E2377">
        <w:rPr>
          <w:szCs w:val="24"/>
        </w:rPr>
        <w:t xml:space="preserve">Normalised Raman spectra for a) </w:t>
      </w:r>
      <w:r w:rsidRPr="000E2377">
        <w:rPr>
          <w:rFonts w:eastAsia="Times New Roman"/>
          <w:color w:val="000000"/>
          <w:szCs w:val="24"/>
          <w:lang w:eastAsia="en-MY"/>
        </w:rPr>
        <w:t>N</w:t>
      </w:r>
      <w:r w:rsidRPr="000E2377">
        <w:rPr>
          <w:rFonts w:eastAsia="Times New Roman"/>
          <w:color w:val="000000"/>
          <w:szCs w:val="24"/>
          <w:vertAlign w:val="subscript"/>
          <w:lang w:eastAsia="en-MY"/>
        </w:rPr>
        <w:t>10</w:t>
      </w:r>
      <w:r w:rsidRPr="000E2377">
        <w:rPr>
          <w:rFonts w:eastAsia="Times New Roman"/>
          <w:color w:val="000000"/>
          <w:szCs w:val="24"/>
          <w:lang w:eastAsia="en-MY"/>
        </w:rPr>
        <w:t>C</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2</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78-x</w:t>
      </w:r>
      <w:r w:rsidRPr="000E2377">
        <w:rPr>
          <w:szCs w:val="24"/>
        </w:rPr>
        <w:t>,</w:t>
      </w:r>
      <w:r w:rsidRPr="000E2377">
        <w:rPr>
          <w:rFonts w:eastAsia="Times New Roman"/>
          <w:color w:val="000000"/>
          <w:szCs w:val="24"/>
          <w:lang w:eastAsia="en-MY"/>
        </w:rPr>
        <w:t xml:space="preserve"> N</w:t>
      </w:r>
      <w:r w:rsidRPr="000E2377">
        <w:rPr>
          <w:rFonts w:eastAsia="Times New Roman"/>
          <w:color w:val="000000"/>
          <w:szCs w:val="24"/>
          <w:vertAlign w:val="subscript"/>
          <w:lang w:eastAsia="en-MY"/>
        </w:rPr>
        <w:t>15</w:t>
      </w:r>
      <w:r w:rsidRPr="000E2377">
        <w:rPr>
          <w:rFonts w:eastAsia="Times New Roman"/>
          <w:color w:val="000000"/>
          <w:szCs w:val="24"/>
          <w:lang w:eastAsia="en-MY"/>
        </w:rPr>
        <w:t>C</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2</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73-x</w:t>
      </w:r>
      <w:r w:rsidRPr="000E2377" w:rsidDel="00EC5E43">
        <w:rPr>
          <w:rFonts w:eastAsia="Times New Roman"/>
          <w:color w:val="000000"/>
          <w:szCs w:val="24"/>
          <w:lang w:eastAsia="en-MY"/>
        </w:rPr>
        <w:t xml:space="preserve"> </w:t>
      </w:r>
      <w:r w:rsidRPr="000E2377">
        <w:rPr>
          <w:rFonts w:eastAsia="Times New Roman"/>
          <w:color w:val="000000"/>
          <w:szCs w:val="24"/>
          <w:lang w:eastAsia="en-MY"/>
        </w:rPr>
        <w:t xml:space="preserve">and </w:t>
      </w:r>
      <w:r w:rsidR="002B5521">
        <w:rPr>
          <w:rFonts w:eastAsia="Times New Roman"/>
          <w:color w:val="000000"/>
          <w:szCs w:val="24"/>
          <w:lang w:eastAsia="en-MY"/>
        </w:rPr>
        <w:t xml:space="preserve">     </w:t>
      </w:r>
      <w:r w:rsidRPr="000E2377">
        <w:rPr>
          <w:rFonts w:eastAsia="Times New Roman"/>
          <w:color w:val="000000"/>
          <w:szCs w:val="24"/>
          <w:lang w:eastAsia="en-MY"/>
        </w:rPr>
        <w:t>b) N</w:t>
      </w:r>
      <w:r w:rsidRPr="000E2377">
        <w:rPr>
          <w:rFonts w:eastAsia="Times New Roman"/>
          <w:color w:val="000000"/>
          <w:szCs w:val="24"/>
          <w:vertAlign w:val="subscript"/>
          <w:lang w:eastAsia="en-MY"/>
        </w:rPr>
        <w:t>10</w:t>
      </w:r>
      <w:r w:rsidRPr="000E2377">
        <w:rPr>
          <w:rFonts w:eastAsia="Times New Roman"/>
          <w:color w:val="000000"/>
          <w:szCs w:val="24"/>
          <w:lang w:eastAsia="en-MY"/>
        </w:rPr>
        <w:t>C</w:t>
      </w:r>
      <w:r w:rsidRPr="000E2377">
        <w:rPr>
          <w:rFonts w:eastAsia="Times New Roman"/>
          <w:color w:val="000000"/>
          <w:szCs w:val="24"/>
          <w:vertAlign w:val="subscript"/>
          <w:lang w:eastAsia="en-MY"/>
        </w:rPr>
        <w:t>x</w:t>
      </w:r>
      <w:r w:rsidRPr="000E2377">
        <w:rPr>
          <w:rFonts w:eastAsia="Times New Roman"/>
          <w:color w:val="000000"/>
          <w:szCs w:val="24"/>
          <w:lang w:eastAsia="en-MY"/>
        </w:rPr>
        <w:t>Ba</w:t>
      </w:r>
      <w:r w:rsidRPr="000E2377">
        <w:rPr>
          <w:rFonts w:eastAsia="Times New Roman"/>
          <w:color w:val="000000"/>
          <w:szCs w:val="24"/>
          <w:vertAlign w:val="subscript"/>
          <w:lang w:eastAsia="en-MY"/>
        </w:rPr>
        <w:t>2</w:t>
      </w:r>
      <w:r w:rsidRPr="000E2377">
        <w:rPr>
          <w:rFonts w:eastAsia="Times New Roman"/>
          <w:color w:val="000000"/>
          <w:szCs w:val="24"/>
          <w:lang w:eastAsia="en-MY"/>
        </w:rPr>
        <w:t>A</w:t>
      </w:r>
      <w:r w:rsidRPr="000E2377">
        <w:rPr>
          <w:rFonts w:eastAsia="Times New Roman"/>
          <w:color w:val="000000"/>
          <w:szCs w:val="24"/>
          <w:vertAlign w:val="subscript"/>
          <w:lang w:eastAsia="en-MY"/>
        </w:rPr>
        <w:t>y</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78-x-y</w:t>
      </w:r>
      <w:r w:rsidRPr="000E2377" w:rsidDel="00EC5E43">
        <w:rPr>
          <w:rFonts w:eastAsia="Times New Roman"/>
          <w:color w:val="000000"/>
          <w:szCs w:val="24"/>
          <w:lang w:eastAsia="en-MY"/>
        </w:rPr>
        <w:t xml:space="preserve"> </w:t>
      </w:r>
      <w:r w:rsidRPr="000E2377">
        <w:rPr>
          <w:rFonts w:eastAsia="Times New Roman"/>
          <w:color w:val="000000"/>
          <w:szCs w:val="24"/>
          <w:lang w:eastAsia="en-MY"/>
        </w:rPr>
        <w:t>glasses.</w:t>
      </w:r>
      <w:bookmarkEnd w:id="750"/>
      <w:bookmarkEnd w:id="751"/>
      <w:bookmarkEnd w:id="752"/>
      <w:bookmarkEnd w:id="753"/>
    </w:p>
    <w:p w14:paraId="0668CAA1" w14:textId="77777777" w:rsidR="00D740DC" w:rsidRPr="00634D4A" w:rsidRDefault="00D740DC" w:rsidP="00D740DC">
      <w:pPr>
        <w:rPr>
          <w:lang w:val="en-GB" w:eastAsia="en-MY"/>
        </w:rPr>
      </w:pPr>
    </w:p>
    <w:bookmarkEnd w:id="754"/>
    <w:p w14:paraId="7D322DDE" w14:textId="667E7683" w:rsidR="00D740DC" w:rsidRPr="000E2377" w:rsidRDefault="00D740DC" w:rsidP="00D740DC">
      <w:pPr>
        <w:spacing w:after="0" w:line="360" w:lineRule="auto"/>
        <w:jc w:val="both"/>
        <w:rPr>
          <w:rFonts w:cs="Times New Roman"/>
          <w:b w:val="0"/>
          <w:szCs w:val="24"/>
        </w:rPr>
      </w:pPr>
      <w:r w:rsidRPr="000E2377">
        <w:rPr>
          <w:rFonts w:cs="Times New Roman"/>
          <w:b w:val="0"/>
          <w:szCs w:val="24"/>
        </w:rPr>
        <w:t xml:space="preserve">For the glass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78-x</w:t>
      </w:r>
      <w:r w:rsidRPr="000E2377" w:rsidDel="00EC5E43">
        <w:rPr>
          <w:rFonts w:cs="Times New Roman"/>
          <w:b w:val="0"/>
          <w:szCs w:val="24"/>
        </w:rPr>
        <w:t xml:space="preserve"> </w:t>
      </w:r>
      <w:r w:rsidRPr="000E2377">
        <w:rPr>
          <w:rFonts w:cs="Times New Roman"/>
          <w:b w:val="0"/>
          <w:szCs w:val="24"/>
        </w:rPr>
        <w:t>(Figure 4.1</w:t>
      </w:r>
      <w:r>
        <w:rPr>
          <w:rFonts w:cs="Times New Roman"/>
          <w:b w:val="0"/>
          <w:szCs w:val="24"/>
        </w:rPr>
        <w:t>9</w:t>
      </w:r>
      <w:r w:rsidRPr="000E2377">
        <w:rPr>
          <w:rFonts w:cs="Times New Roman"/>
          <w:b w:val="0"/>
          <w:szCs w:val="24"/>
        </w:rPr>
        <w:t>a), the maximum intensity of the low frequency Raman region was around ~473 cm</w:t>
      </w:r>
      <w:r w:rsidRPr="000E2377">
        <w:rPr>
          <w:rFonts w:cs="Times New Roman"/>
          <w:b w:val="0"/>
          <w:szCs w:val="24"/>
          <w:vertAlign w:val="superscript"/>
        </w:rPr>
        <w:t>-1</w:t>
      </w:r>
      <w:r w:rsidRPr="000E2377">
        <w:rPr>
          <w:rFonts w:cs="Times New Roman"/>
          <w:b w:val="0"/>
          <w:szCs w:val="24"/>
        </w:rPr>
        <w:t xml:space="preserve"> with a second peak appearing at 630 cm</w:t>
      </w:r>
      <w:r w:rsidRPr="000E2377">
        <w:rPr>
          <w:rFonts w:cs="Times New Roman"/>
          <w:b w:val="0"/>
          <w:szCs w:val="24"/>
          <w:vertAlign w:val="superscript"/>
        </w:rPr>
        <w:t>-1</w:t>
      </w:r>
      <w:r w:rsidRPr="000E2377">
        <w:rPr>
          <w:rFonts w:cs="Times New Roman"/>
          <w:b w:val="0"/>
          <w:szCs w:val="24"/>
        </w:rPr>
        <w:t>. However</w:t>
      </w:r>
      <w:r w:rsidR="000707B0">
        <w:rPr>
          <w:rFonts w:cs="Times New Roman"/>
          <w:b w:val="0"/>
          <w:szCs w:val="24"/>
        </w:rPr>
        <w:t>,</w:t>
      </w:r>
      <w:r w:rsidRPr="000E2377">
        <w:rPr>
          <w:rFonts w:cs="Times New Roman"/>
          <w:b w:val="0"/>
          <w:szCs w:val="24"/>
        </w:rPr>
        <w:t xml:space="preserve">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73-x</w:t>
      </w:r>
      <w:r w:rsidRPr="000E2377" w:rsidDel="00EC5E43">
        <w:rPr>
          <w:rFonts w:eastAsia="Times New Roman" w:cs="Times New Roman"/>
          <w:b w:val="0"/>
          <w:color w:val="000000"/>
          <w:szCs w:val="24"/>
          <w:lang w:eastAsia="en-MY"/>
        </w:rPr>
        <w:t xml:space="preserve"> </w:t>
      </w:r>
      <w:r w:rsidRPr="000E2377">
        <w:rPr>
          <w:rFonts w:cs="Times New Roman"/>
          <w:b w:val="0"/>
          <w:szCs w:val="24"/>
        </w:rPr>
        <w:t>(Figure 4.1</w:t>
      </w:r>
      <w:r>
        <w:rPr>
          <w:rFonts w:cs="Times New Roman"/>
          <w:b w:val="0"/>
          <w:szCs w:val="24"/>
        </w:rPr>
        <w:t>9</w:t>
      </w:r>
      <w:r w:rsidRPr="000E2377">
        <w:rPr>
          <w:rFonts w:cs="Times New Roman"/>
          <w:b w:val="0"/>
          <w:szCs w:val="24"/>
        </w:rPr>
        <w:t xml:space="preserve">a), the intensities were low. The position of </w:t>
      </w:r>
      <w:r w:rsidR="000707B0">
        <w:rPr>
          <w:rFonts w:cs="Times New Roman"/>
          <w:b w:val="0"/>
          <w:szCs w:val="24"/>
        </w:rPr>
        <w:t xml:space="preserve">the </w:t>
      </w:r>
      <w:r w:rsidRPr="000E2377">
        <w:rPr>
          <w:rFonts w:cs="Times New Roman"/>
          <w:b w:val="0"/>
          <w:szCs w:val="24"/>
        </w:rPr>
        <w:t>highest intensity of this series moved from 529 cm</w:t>
      </w:r>
      <w:r w:rsidRPr="000E2377">
        <w:rPr>
          <w:rFonts w:cs="Times New Roman"/>
          <w:b w:val="0"/>
          <w:szCs w:val="24"/>
          <w:vertAlign w:val="superscript"/>
        </w:rPr>
        <w:t>-1</w:t>
      </w:r>
      <w:r w:rsidRPr="000E2377">
        <w:rPr>
          <w:rFonts w:cs="Times New Roman"/>
          <w:b w:val="0"/>
          <w:szCs w:val="24"/>
        </w:rPr>
        <w:t xml:space="preserve"> to 562 cm</w:t>
      </w:r>
      <w:r w:rsidRPr="000E2377">
        <w:rPr>
          <w:rFonts w:cs="Times New Roman"/>
          <w:b w:val="0"/>
          <w:szCs w:val="24"/>
          <w:vertAlign w:val="superscript"/>
        </w:rPr>
        <w:t>-1</w:t>
      </w:r>
      <w:r w:rsidRPr="000E2377">
        <w:rPr>
          <w:rFonts w:cs="Times New Roman"/>
          <w:b w:val="0"/>
          <w:szCs w:val="24"/>
        </w:rPr>
        <w:t xml:space="preserve"> with increasing of calcium </w:t>
      </w:r>
      <w:r w:rsidRPr="000E2377">
        <w:rPr>
          <w:rFonts w:cs="Times New Roman"/>
          <w:b w:val="0"/>
          <w:szCs w:val="24"/>
        </w:rPr>
        <w:lastRenderedPageBreak/>
        <w:t>oxide content. A narrow shoulder peak was observed at 790 cm</w:t>
      </w:r>
      <w:r w:rsidRPr="000E2377">
        <w:rPr>
          <w:rFonts w:cs="Times New Roman"/>
          <w:b w:val="0"/>
          <w:szCs w:val="24"/>
          <w:vertAlign w:val="superscript"/>
        </w:rPr>
        <w:t>-1</w:t>
      </w:r>
      <w:r w:rsidRPr="000E2377">
        <w:rPr>
          <w:rFonts w:cs="Times New Roman"/>
          <w:b w:val="0"/>
          <w:szCs w:val="24"/>
        </w:rPr>
        <w:t>. Meanwhile</w:t>
      </w:r>
      <w:r w:rsidR="000707B0">
        <w:rPr>
          <w:rFonts w:cs="Times New Roman"/>
          <w:b w:val="0"/>
          <w:szCs w:val="24"/>
        </w:rPr>
        <w:t>,</w:t>
      </w:r>
      <w:r w:rsidRPr="000E2377">
        <w:rPr>
          <w:rFonts w:cs="Times New Roman"/>
          <w:b w:val="0"/>
          <w:szCs w:val="24"/>
        </w:rPr>
        <w:t xml:space="preserve">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y</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78-x-y</w:t>
      </w:r>
      <w:r w:rsidRPr="000E2377" w:rsidDel="00EC5E43">
        <w:rPr>
          <w:rFonts w:eastAsia="Times New Roman" w:cs="Times New Roman"/>
          <w:color w:val="000000"/>
          <w:szCs w:val="24"/>
          <w:lang w:eastAsia="en-MY"/>
        </w:rPr>
        <w:t xml:space="preserve"> </w:t>
      </w:r>
      <w:r w:rsidRPr="000E2377">
        <w:rPr>
          <w:rFonts w:cs="Times New Roman"/>
          <w:b w:val="0"/>
          <w:szCs w:val="24"/>
        </w:rPr>
        <w:t>glasses (Figure 4.1</w:t>
      </w:r>
      <w:r>
        <w:rPr>
          <w:rFonts w:cs="Times New Roman"/>
          <w:b w:val="0"/>
          <w:szCs w:val="24"/>
        </w:rPr>
        <w:t>9</w:t>
      </w:r>
      <w:r w:rsidRPr="000E2377">
        <w:rPr>
          <w:rFonts w:cs="Times New Roman"/>
          <w:b w:val="0"/>
          <w:szCs w:val="24"/>
        </w:rPr>
        <w:t>b)</w:t>
      </w:r>
      <w:r w:rsidR="000707B0">
        <w:rPr>
          <w:rFonts w:cs="Times New Roman"/>
          <w:b w:val="0"/>
          <w:szCs w:val="24"/>
        </w:rPr>
        <w:t>,</w:t>
      </w:r>
      <w:r w:rsidRPr="000E2377">
        <w:rPr>
          <w:rFonts w:cs="Times New Roman"/>
          <w:b w:val="0"/>
          <w:szCs w:val="24"/>
        </w:rPr>
        <w:t xml:space="preserve"> the highest peak was present at the same range ~483 - 485 cm</w:t>
      </w:r>
      <w:r w:rsidRPr="000E2377">
        <w:rPr>
          <w:rFonts w:cs="Times New Roman"/>
          <w:b w:val="0"/>
          <w:szCs w:val="24"/>
          <w:vertAlign w:val="superscript"/>
        </w:rPr>
        <w:t>-1</w:t>
      </w:r>
      <w:r w:rsidRPr="000E2377">
        <w:rPr>
          <w:rFonts w:cs="Times New Roman"/>
          <w:b w:val="0"/>
          <w:szCs w:val="24"/>
        </w:rPr>
        <w:t xml:space="preserve"> with a small shoulder at 580 cm</w:t>
      </w:r>
      <w:r w:rsidRPr="000E2377">
        <w:rPr>
          <w:rFonts w:cs="Times New Roman"/>
          <w:b w:val="0"/>
          <w:szCs w:val="24"/>
          <w:vertAlign w:val="superscript"/>
        </w:rPr>
        <w:t>-1</w:t>
      </w:r>
      <w:r w:rsidRPr="000E2377">
        <w:rPr>
          <w:rFonts w:cs="Times New Roman"/>
          <w:b w:val="0"/>
          <w:szCs w:val="24"/>
        </w:rPr>
        <w:t>.</w:t>
      </w:r>
    </w:p>
    <w:p w14:paraId="0916A460" w14:textId="77777777" w:rsidR="00D740DC" w:rsidRPr="000E2377" w:rsidRDefault="00D740DC" w:rsidP="00D740DC">
      <w:pPr>
        <w:spacing w:after="0" w:line="360" w:lineRule="auto"/>
        <w:jc w:val="both"/>
        <w:rPr>
          <w:rFonts w:cs="Times New Roman"/>
          <w:b w:val="0"/>
          <w:szCs w:val="24"/>
        </w:rPr>
      </w:pPr>
    </w:p>
    <w:p w14:paraId="44AC9AC4" w14:textId="481214DD" w:rsidR="00D740DC" w:rsidRPr="000E2377" w:rsidRDefault="00D740DC" w:rsidP="00D740DC">
      <w:pPr>
        <w:spacing w:line="360" w:lineRule="auto"/>
        <w:jc w:val="both"/>
        <w:rPr>
          <w:rFonts w:cs="Times New Roman"/>
          <w:b w:val="0"/>
          <w:szCs w:val="24"/>
        </w:rPr>
      </w:pPr>
      <w:r w:rsidRPr="000E2377">
        <w:rPr>
          <w:rFonts w:cs="Times New Roman"/>
          <w:b w:val="0"/>
          <w:szCs w:val="24"/>
        </w:rPr>
        <w:t xml:space="preserve">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78-x</w:t>
      </w:r>
      <w:r w:rsidRPr="000E2377" w:rsidDel="00EC5E43">
        <w:rPr>
          <w:rFonts w:cs="Times New Roman"/>
          <w:b w:val="0"/>
          <w:szCs w:val="24"/>
        </w:rPr>
        <w:t xml:space="preserve"> </w:t>
      </w:r>
      <w:r w:rsidRPr="000E2377">
        <w:rPr>
          <w:rFonts w:cs="Times New Roman"/>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73-x</w:t>
      </w:r>
      <w:r w:rsidRPr="000E2377" w:rsidDel="00EC5E43">
        <w:rPr>
          <w:rFonts w:eastAsia="Times New Roman" w:cs="Times New Roman"/>
          <w:b w:val="0"/>
          <w:color w:val="000000"/>
          <w:szCs w:val="24"/>
          <w:lang w:eastAsia="en-MY"/>
        </w:rPr>
        <w:t xml:space="preserve"> </w:t>
      </w:r>
      <w:r w:rsidRPr="000E2377">
        <w:rPr>
          <w:rFonts w:cs="Times New Roman"/>
          <w:b w:val="0"/>
          <w:szCs w:val="24"/>
        </w:rPr>
        <w:t>glasses</w:t>
      </w:r>
      <w:r w:rsidR="000707B0">
        <w:rPr>
          <w:rFonts w:cs="Times New Roman"/>
          <w:b w:val="0"/>
          <w:szCs w:val="24"/>
        </w:rPr>
        <w:t>,</w:t>
      </w:r>
      <w:r w:rsidRPr="000E2377">
        <w:rPr>
          <w:rFonts w:cs="Times New Roman"/>
          <w:b w:val="0"/>
          <w:szCs w:val="24"/>
        </w:rPr>
        <w:t xml:space="preserve"> no significant differences can be seen in the medium frequency Raman region with the highest peak intensity being at the same spot for all glasses. Similarly</w:t>
      </w:r>
      <w:r w:rsidR="002337E8">
        <w:rPr>
          <w:rFonts w:cs="Times New Roman"/>
          <w:b w:val="0"/>
          <w:szCs w:val="24"/>
        </w:rPr>
        <w:t>,</w:t>
      </w:r>
      <w:r w:rsidRPr="000E2377">
        <w:rPr>
          <w:rFonts w:cs="Times New Roman"/>
          <w:b w:val="0"/>
          <w:szCs w:val="24"/>
        </w:rPr>
        <w:t xml:space="preserve">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y</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78-x-y</w:t>
      </w:r>
      <w:r w:rsidRPr="000E2377" w:rsidDel="00EC5E43">
        <w:rPr>
          <w:rFonts w:eastAsia="Times New Roman" w:cs="Times New Roman"/>
          <w:color w:val="000000"/>
          <w:szCs w:val="24"/>
          <w:lang w:eastAsia="en-MY"/>
        </w:rPr>
        <w:t xml:space="preserve"> </w:t>
      </w:r>
      <w:r w:rsidRPr="000E2377">
        <w:rPr>
          <w:rFonts w:cs="Times New Roman"/>
          <w:b w:val="0"/>
          <w:szCs w:val="24"/>
        </w:rPr>
        <w:t>glasses, although in this case</w:t>
      </w:r>
      <w:r w:rsidR="000707B0">
        <w:rPr>
          <w:rFonts w:cs="Times New Roman"/>
          <w:b w:val="0"/>
          <w:szCs w:val="24"/>
        </w:rPr>
        <w:t>,</w:t>
      </w:r>
      <w:r w:rsidRPr="000E2377">
        <w:rPr>
          <w:rFonts w:cs="Times New Roman"/>
          <w:b w:val="0"/>
          <w:szCs w:val="24"/>
        </w:rPr>
        <w:t xml:space="preserve"> a small shoulder on the left is present for all glasses. </w:t>
      </w:r>
    </w:p>
    <w:p w14:paraId="2CBA2B45" w14:textId="77777777" w:rsidR="00D740DC" w:rsidRPr="000E2377" w:rsidRDefault="00D740DC" w:rsidP="00D740DC">
      <w:r w:rsidRPr="000E2377">
        <w:rPr>
          <w:noProof/>
          <w:lang w:eastAsia="en-MY"/>
        </w:rPr>
        <mc:AlternateContent>
          <mc:Choice Requires="wps">
            <w:drawing>
              <wp:anchor distT="0" distB="0" distL="114300" distR="114300" simplePos="0" relativeHeight="252339200" behindDoc="0" locked="0" layoutInCell="1" allowOverlap="1" wp14:anchorId="12190112" wp14:editId="644AC14A">
                <wp:simplePos x="0" y="0"/>
                <wp:positionH relativeFrom="margin">
                  <wp:posOffset>115625</wp:posOffset>
                </wp:positionH>
                <wp:positionV relativeFrom="paragraph">
                  <wp:posOffset>0</wp:posOffset>
                </wp:positionV>
                <wp:extent cx="379730" cy="332740"/>
                <wp:effectExtent l="0" t="0" r="0" b="0"/>
                <wp:wrapNone/>
                <wp:docPr id="2100" name="Text Box 2100"/>
                <wp:cNvGraphicFramePr/>
                <a:graphic xmlns:a="http://schemas.openxmlformats.org/drawingml/2006/main">
                  <a:graphicData uri="http://schemas.microsoft.com/office/word/2010/wordprocessingShape">
                    <wps:wsp>
                      <wps:cNvSpPr txBox="1"/>
                      <wps:spPr>
                        <a:xfrm>
                          <a:off x="0" y="0"/>
                          <a:ext cx="379730" cy="332740"/>
                        </a:xfrm>
                        <a:prstGeom prst="rect">
                          <a:avLst/>
                        </a:prstGeom>
                        <a:noFill/>
                        <a:ln w="6350">
                          <a:noFill/>
                        </a:ln>
                      </wps:spPr>
                      <wps:txbx>
                        <w:txbxContent>
                          <w:p w14:paraId="06B20034" w14:textId="77777777" w:rsidR="00230AB9" w:rsidRDefault="00230AB9" w:rsidP="00D740D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90112" id="Text Box 2100" o:spid="_x0000_s1341" type="#_x0000_t202" style="position:absolute;margin-left:9.1pt;margin-top:0;width:29.9pt;height:26.2pt;z-index:25233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" filled="f" stroked="f" strokeweight=".5pt">
                <v:textbox>
                  <w:txbxContent>
                    <w:p w14:paraId="06B20034" w14:textId="77777777" w:rsidR="00230AB9" w:rsidRDefault="00230AB9" w:rsidP="00D740DC">
                      <w:r>
                        <w:t>a)</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340224" behindDoc="0" locked="0" layoutInCell="1" allowOverlap="1" wp14:anchorId="22E6251A" wp14:editId="722A1B87">
                <wp:simplePos x="0" y="0"/>
                <wp:positionH relativeFrom="column">
                  <wp:posOffset>2739694</wp:posOffset>
                </wp:positionH>
                <wp:positionV relativeFrom="paragraph">
                  <wp:posOffset>18581</wp:posOffset>
                </wp:positionV>
                <wp:extent cx="379730" cy="332740"/>
                <wp:effectExtent l="0" t="0" r="0" b="0"/>
                <wp:wrapNone/>
                <wp:docPr id="2086" name="Text Box 2086"/>
                <wp:cNvGraphicFramePr/>
                <a:graphic xmlns:a="http://schemas.openxmlformats.org/drawingml/2006/main">
                  <a:graphicData uri="http://schemas.microsoft.com/office/word/2010/wordprocessingShape">
                    <wps:wsp>
                      <wps:cNvSpPr txBox="1"/>
                      <wps:spPr>
                        <a:xfrm>
                          <a:off x="0" y="0"/>
                          <a:ext cx="379730" cy="332740"/>
                        </a:xfrm>
                        <a:prstGeom prst="rect">
                          <a:avLst/>
                        </a:prstGeom>
                        <a:noFill/>
                        <a:ln w="6350">
                          <a:noFill/>
                        </a:ln>
                      </wps:spPr>
                      <wps:txbx>
                        <w:txbxContent>
                          <w:p w14:paraId="2930803E" w14:textId="77777777" w:rsidR="00230AB9" w:rsidRDefault="00230AB9" w:rsidP="00D740D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6251A" id="Text Box 2086" o:spid="_x0000_s1342" type="#_x0000_t202" style="position:absolute;margin-left:215.7pt;margin-top:1.45pt;width:29.9pt;height:26.2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" filled="f" stroked="f" strokeweight=".5pt">
                <v:textbox>
                  <w:txbxContent>
                    <w:p w14:paraId="2930803E" w14:textId="77777777" w:rsidR="00230AB9" w:rsidRDefault="00230AB9" w:rsidP="00D740DC">
                      <w:r>
                        <w:t>b)</w:t>
                      </w:r>
                    </w:p>
                  </w:txbxContent>
                </v:textbox>
              </v:shape>
            </w:pict>
          </mc:Fallback>
        </mc:AlternateContent>
      </w:r>
      <w:r w:rsidRPr="000E2377">
        <w:rPr>
          <w:noProof/>
          <w:lang w:eastAsia="en-MY"/>
        </w:rPr>
        <w:drawing>
          <wp:inline distT="0" distB="0" distL="0" distR="0" wp14:anchorId="546EF604" wp14:editId="3FE0C78D">
            <wp:extent cx="2765781" cy="2340000"/>
            <wp:effectExtent l="0" t="0" r="0" b="3175"/>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65781" cy="2340000"/>
                    </a:xfrm>
                    <a:prstGeom prst="rect">
                      <a:avLst/>
                    </a:prstGeom>
                    <a:noFill/>
                    <a:ln>
                      <a:noFill/>
                    </a:ln>
                  </pic:spPr>
                </pic:pic>
              </a:graphicData>
            </a:graphic>
          </wp:inline>
        </w:drawing>
      </w:r>
      <w:r w:rsidRPr="000E2377">
        <w:rPr>
          <w:noProof/>
          <w:lang w:eastAsia="en-MY"/>
        </w:rPr>
        <w:drawing>
          <wp:inline distT="0" distB="0" distL="0" distR="0" wp14:anchorId="2D544CBB" wp14:editId="161079FA">
            <wp:extent cx="2852453" cy="2340000"/>
            <wp:effectExtent l="0" t="0" r="5080" b="3175"/>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852453" cy="2340000"/>
                    </a:xfrm>
                    <a:prstGeom prst="rect">
                      <a:avLst/>
                    </a:prstGeom>
                    <a:noFill/>
                    <a:ln>
                      <a:noFill/>
                    </a:ln>
                  </pic:spPr>
                </pic:pic>
              </a:graphicData>
            </a:graphic>
          </wp:inline>
        </w:drawing>
      </w:r>
    </w:p>
    <w:p w14:paraId="7D1AB647" w14:textId="41D458FD" w:rsidR="00D740DC" w:rsidRPr="000E2377" w:rsidRDefault="00D740DC" w:rsidP="00D740DC">
      <w:pPr>
        <w:pStyle w:val="Caption"/>
        <w:rPr>
          <w:rFonts w:eastAsia="Times New Roman"/>
          <w:color w:val="000000"/>
          <w:szCs w:val="24"/>
          <w:lang w:eastAsia="en-MY"/>
        </w:rPr>
      </w:pPr>
      <w:bookmarkStart w:id="755" w:name="_Toc521420484"/>
      <w:bookmarkStart w:id="756" w:name="_Toc525223218"/>
      <w:bookmarkStart w:id="757" w:name="_Toc525528365"/>
      <w:bookmarkStart w:id="758" w:name="_Toc525706380"/>
      <w:bookmarkStart w:id="759" w:name="_Hlk515396509"/>
      <w:r w:rsidRPr="000E2377">
        <w:t>Figure</w:t>
      </w:r>
      <w:r w:rsidR="009F4E44">
        <w:t xml:space="preserve"> 4.20: </w:t>
      </w:r>
      <w:r w:rsidRPr="000E2377">
        <w:t xml:space="preserve">Normalised </w:t>
      </w:r>
      <w:r w:rsidRPr="000E2377">
        <w:rPr>
          <w:bCs w:val="0"/>
          <w:szCs w:val="24"/>
        </w:rPr>
        <w:t>Raman spectra of the glass series in 850-1250 cm</w:t>
      </w:r>
      <w:r w:rsidRPr="000E2377">
        <w:rPr>
          <w:bCs w:val="0"/>
          <w:szCs w:val="24"/>
          <w:vertAlign w:val="superscript"/>
        </w:rPr>
        <w:t>-1</w:t>
      </w:r>
      <w:r w:rsidRPr="000E2377">
        <w:rPr>
          <w:bCs w:val="0"/>
          <w:szCs w:val="24"/>
        </w:rPr>
        <w:t xml:space="preserve"> region </w:t>
      </w:r>
      <w:r w:rsidR="00FC3148">
        <w:rPr>
          <w:bCs w:val="0"/>
          <w:szCs w:val="24"/>
        </w:rPr>
        <w:t xml:space="preserve">       </w:t>
      </w:r>
      <w:r w:rsidRPr="000E2377">
        <w:rPr>
          <w:szCs w:val="24"/>
        </w:rPr>
        <w:t xml:space="preserve">a) </w:t>
      </w:r>
      <w:r w:rsidRPr="000E2377">
        <w:rPr>
          <w:rFonts w:eastAsia="Times New Roman"/>
          <w:color w:val="000000"/>
          <w:szCs w:val="24"/>
          <w:lang w:eastAsia="en-MY"/>
        </w:rPr>
        <w:t>N</w:t>
      </w:r>
      <w:r w:rsidRPr="000E2377">
        <w:rPr>
          <w:rFonts w:eastAsia="Times New Roman"/>
          <w:color w:val="000000"/>
          <w:szCs w:val="24"/>
          <w:vertAlign w:val="subscript"/>
          <w:lang w:eastAsia="en-MY"/>
        </w:rPr>
        <w:t>10</w:t>
      </w:r>
      <w:r w:rsidRPr="000E2377">
        <w:rPr>
          <w:rFonts w:eastAsia="Times New Roman"/>
          <w:color w:val="000000"/>
          <w:szCs w:val="24"/>
          <w:lang w:eastAsia="en-MY"/>
        </w:rPr>
        <w:t>C</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2</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78-x</w:t>
      </w:r>
      <w:r w:rsidRPr="000E2377">
        <w:rPr>
          <w:szCs w:val="24"/>
        </w:rPr>
        <w:t>,</w:t>
      </w:r>
      <w:r w:rsidRPr="000E2377">
        <w:rPr>
          <w:rFonts w:eastAsia="Times New Roman"/>
          <w:color w:val="000000"/>
          <w:szCs w:val="24"/>
          <w:lang w:eastAsia="en-MY"/>
        </w:rPr>
        <w:t xml:space="preserve"> N</w:t>
      </w:r>
      <w:r w:rsidRPr="000E2377">
        <w:rPr>
          <w:rFonts w:eastAsia="Times New Roman"/>
          <w:color w:val="000000"/>
          <w:szCs w:val="24"/>
          <w:vertAlign w:val="subscript"/>
          <w:lang w:eastAsia="en-MY"/>
        </w:rPr>
        <w:t>15</w:t>
      </w:r>
      <w:r w:rsidRPr="000E2377">
        <w:rPr>
          <w:rFonts w:eastAsia="Times New Roman"/>
          <w:color w:val="000000"/>
          <w:szCs w:val="24"/>
          <w:lang w:eastAsia="en-MY"/>
        </w:rPr>
        <w:t>C</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2</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73-x</w:t>
      </w:r>
      <w:r w:rsidRPr="000E2377" w:rsidDel="00EC5E43">
        <w:rPr>
          <w:rFonts w:eastAsia="Times New Roman"/>
          <w:color w:val="000000"/>
          <w:szCs w:val="24"/>
          <w:lang w:eastAsia="en-MY"/>
        </w:rPr>
        <w:t xml:space="preserve"> </w:t>
      </w:r>
      <w:r w:rsidRPr="000E2377">
        <w:rPr>
          <w:rFonts w:eastAsia="Times New Roman"/>
          <w:color w:val="000000"/>
          <w:szCs w:val="24"/>
          <w:lang w:eastAsia="en-MY"/>
        </w:rPr>
        <w:t>and b) N</w:t>
      </w:r>
      <w:r w:rsidRPr="000E2377">
        <w:rPr>
          <w:rFonts w:eastAsia="Times New Roman"/>
          <w:color w:val="000000"/>
          <w:szCs w:val="24"/>
          <w:vertAlign w:val="subscript"/>
          <w:lang w:eastAsia="en-MY"/>
        </w:rPr>
        <w:t>10</w:t>
      </w:r>
      <w:r w:rsidRPr="000E2377">
        <w:rPr>
          <w:rFonts w:eastAsia="Times New Roman"/>
          <w:color w:val="000000"/>
          <w:szCs w:val="24"/>
          <w:lang w:eastAsia="en-MY"/>
        </w:rPr>
        <w:t>C</w:t>
      </w:r>
      <w:r w:rsidRPr="000E2377">
        <w:rPr>
          <w:rFonts w:eastAsia="Times New Roman"/>
          <w:color w:val="000000"/>
          <w:szCs w:val="24"/>
          <w:vertAlign w:val="subscript"/>
          <w:lang w:eastAsia="en-MY"/>
        </w:rPr>
        <w:t>x</w:t>
      </w:r>
      <w:r w:rsidRPr="000E2377">
        <w:rPr>
          <w:rFonts w:eastAsia="Times New Roman"/>
          <w:color w:val="000000"/>
          <w:szCs w:val="24"/>
          <w:lang w:eastAsia="en-MY"/>
        </w:rPr>
        <w:t>Ba</w:t>
      </w:r>
      <w:r w:rsidRPr="000E2377">
        <w:rPr>
          <w:rFonts w:eastAsia="Times New Roman"/>
          <w:color w:val="000000"/>
          <w:szCs w:val="24"/>
          <w:vertAlign w:val="subscript"/>
          <w:lang w:eastAsia="en-MY"/>
        </w:rPr>
        <w:t>2</w:t>
      </w:r>
      <w:r w:rsidRPr="000E2377">
        <w:rPr>
          <w:rFonts w:eastAsia="Times New Roman"/>
          <w:color w:val="000000"/>
          <w:szCs w:val="24"/>
          <w:lang w:eastAsia="en-MY"/>
        </w:rPr>
        <w:t>A</w:t>
      </w:r>
      <w:r w:rsidRPr="000E2377">
        <w:rPr>
          <w:rFonts w:eastAsia="Times New Roman"/>
          <w:color w:val="000000"/>
          <w:szCs w:val="24"/>
          <w:vertAlign w:val="subscript"/>
          <w:lang w:eastAsia="en-MY"/>
        </w:rPr>
        <w:t>y</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78-x-y</w:t>
      </w:r>
      <w:r w:rsidRPr="000E2377" w:rsidDel="00EC5E43">
        <w:rPr>
          <w:rFonts w:eastAsia="Times New Roman"/>
          <w:color w:val="000000"/>
          <w:szCs w:val="24"/>
          <w:lang w:eastAsia="en-MY"/>
        </w:rPr>
        <w:t xml:space="preserve"> </w:t>
      </w:r>
      <w:r w:rsidRPr="000E2377">
        <w:rPr>
          <w:rFonts w:eastAsia="Times New Roman"/>
          <w:color w:val="000000"/>
          <w:szCs w:val="24"/>
          <w:lang w:eastAsia="en-MY"/>
        </w:rPr>
        <w:t>glasses.</w:t>
      </w:r>
      <w:bookmarkEnd w:id="755"/>
      <w:bookmarkEnd w:id="756"/>
      <w:bookmarkEnd w:id="757"/>
      <w:bookmarkEnd w:id="758"/>
      <w:r w:rsidRPr="000E2377" w:rsidDel="00124235">
        <w:rPr>
          <w:rFonts w:eastAsia="Times New Roman"/>
          <w:color w:val="000000"/>
          <w:szCs w:val="24"/>
          <w:lang w:eastAsia="en-MY"/>
        </w:rPr>
        <w:t xml:space="preserve"> </w:t>
      </w:r>
    </w:p>
    <w:bookmarkEnd w:id="759"/>
    <w:p w14:paraId="04CFB530" w14:textId="77777777" w:rsidR="00D740DC" w:rsidRPr="000E2377" w:rsidRDefault="00D740DC" w:rsidP="00D740DC">
      <w:pPr>
        <w:spacing w:after="0" w:line="360" w:lineRule="auto"/>
        <w:jc w:val="both"/>
        <w:rPr>
          <w:rFonts w:cs="Times New Roman"/>
          <w:b w:val="0"/>
          <w:i/>
          <w:szCs w:val="24"/>
        </w:rPr>
      </w:pPr>
    </w:p>
    <w:p w14:paraId="2F669B6D" w14:textId="0A4D27CD" w:rsidR="00D740DC" w:rsidRPr="000E2377" w:rsidRDefault="00D740DC" w:rsidP="00D740DC">
      <w:pPr>
        <w:spacing w:line="360" w:lineRule="auto"/>
        <w:jc w:val="both"/>
        <w:rPr>
          <w:rFonts w:cs="Times New Roman"/>
          <w:b w:val="0"/>
          <w:szCs w:val="24"/>
          <w:lang w:val="en-GB"/>
        </w:rPr>
      </w:pPr>
      <w:r w:rsidRPr="000E2377">
        <w:rPr>
          <w:rFonts w:asciiTheme="majorBidi" w:hAnsiTheme="majorBidi" w:cstheme="majorBidi"/>
          <w:b w:val="0"/>
          <w:szCs w:val="24"/>
        </w:rPr>
        <w:t xml:space="preserve">The intensity of the high frequency Si-O peak is larger compared to other glass series considered here. In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78-x</w:t>
      </w:r>
      <w:r w:rsidRPr="000E2377">
        <w:rPr>
          <w:rFonts w:cs="Times New Roman"/>
          <w:b w:val="0"/>
          <w:szCs w:val="24"/>
        </w:rPr>
        <w:t xml:space="preserve">, the intensity of this peak is a bit lower compared to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73-x</w:t>
      </w:r>
      <w:r w:rsidRPr="000E2377">
        <w:rPr>
          <w:rFonts w:cs="Times New Roman"/>
          <w:b w:val="0"/>
          <w:szCs w:val="24"/>
        </w:rPr>
        <w:t>. Figure 4.</w:t>
      </w:r>
      <w:r>
        <w:rPr>
          <w:rFonts w:cs="Times New Roman"/>
          <w:b w:val="0"/>
          <w:szCs w:val="24"/>
        </w:rPr>
        <w:t>20</w:t>
      </w:r>
      <w:r w:rsidRPr="000E2377">
        <w:rPr>
          <w:rFonts w:cs="Times New Roman"/>
          <w:b w:val="0"/>
          <w:szCs w:val="24"/>
        </w:rPr>
        <w:t xml:space="preserve">a shows that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78-x </w:t>
      </w:r>
      <w:r w:rsidRPr="000E2377">
        <w:rPr>
          <w:rFonts w:cs="Times New Roman"/>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73-x </w:t>
      </w:r>
      <w:r w:rsidRPr="000E2377">
        <w:rPr>
          <w:rFonts w:cs="Times New Roman"/>
          <w:b w:val="0"/>
          <w:szCs w:val="24"/>
        </w:rPr>
        <w:t xml:space="preserve">have </w:t>
      </w:r>
      <w:r w:rsidR="000707B0">
        <w:rPr>
          <w:rFonts w:cs="Times New Roman"/>
          <w:b w:val="0"/>
          <w:szCs w:val="24"/>
        </w:rPr>
        <w:t xml:space="preserve">a </w:t>
      </w:r>
      <w:r w:rsidRPr="000E2377">
        <w:rPr>
          <w:rFonts w:cs="Times New Roman"/>
          <w:b w:val="0"/>
          <w:szCs w:val="24"/>
        </w:rPr>
        <w:t xml:space="preserve">narrow peak at their highest peak which is similar to that seen in glasses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79.7</w:t>
      </w:r>
      <w:r w:rsidRPr="000E2377">
        <w:rPr>
          <w:rFonts w:cs="Times New Roman"/>
          <w:b w:val="0"/>
          <w:szCs w:val="24"/>
        </w:rPr>
        <w:t xml:space="preserve"> 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78.2</w:t>
      </w:r>
      <w:r w:rsidRPr="000E2377">
        <w:rPr>
          <w:rFonts w:cs="Times New Roman"/>
          <w:b w:val="0"/>
          <w:szCs w:val="24"/>
        </w:rPr>
        <w:t xml:space="preserve">.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78-x </w:t>
      </w:r>
      <w:r w:rsidRPr="000E2377">
        <w:rPr>
          <w:rFonts w:cs="Times New Roman"/>
          <w:b w:val="0"/>
          <w:szCs w:val="24"/>
        </w:rPr>
        <w:t xml:space="preserve">glasses with increasing calcium, the peak is broader than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73-x </w:t>
      </w:r>
      <w:r w:rsidRPr="000E2377">
        <w:rPr>
          <w:rFonts w:cs="Times New Roman"/>
          <w:b w:val="0"/>
          <w:szCs w:val="24"/>
        </w:rPr>
        <w:t xml:space="preserve">glasses.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73-x </w:t>
      </w:r>
      <w:r w:rsidRPr="000E2377">
        <w:rPr>
          <w:rFonts w:cs="Times New Roman"/>
          <w:b w:val="0"/>
          <w:szCs w:val="24"/>
        </w:rPr>
        <w:t>glasses</w:t>
      </w:r>
      <w:r w:rsidR="000707B0">
        <w:rPr>
          <w:rFonts w:cs="Times New Roman"/>
          <w:b w:val="0"/>
          <w:szCs w:val="24"/>
        </w:rPr>
        <w:t>,</w:t>
      </w:r>
      <w:r w:rsidRPr="000E2377">
        <w:rPr>
          <w:rFonts w:cs="Times New Roman"/>
          <w:b w:val="0"/>
          <w:szCs w:val="24"/>
        </w:rPr>
        <w:t xml:space="preserve"> t</w:t>
      </w:r>
      <w:r w:rsidRPr="000E2377">
        <w:rPr>
          <w:rFonts w:asciiTheme="majorBidi" w:hAnsiTheme="majorBidi" w:cstheme="majorBidi"/>
          <w:b w:val="0"/>
          <w:szCs w:val="24"/>
        </w:rPr>
        <w:t>he intensity at ~ 1000 cm</w:t>
      </w:r>
      <w:r w:rsidRPr="000E2377">
        <w:rPr>
          <w:rFonts w:asciiTheme="majorBidi" w:hAnsiTheme="majorBidi" w:cstheme="majorBidi"/>
          <w:b w:val="0"/>
          <w:szCs w:val="24"/>
          <w:vertAlign w:val="superscript"/>
        </w:rPr>
        <w:t>-1</w:t>
      </w:r>
      <w:r w:rsidRPr="000E2377">
        <w:rPr>
          <w:rFonts w:asciiTheme="majorBidi" w:hAnsiTheme="majorBidi" w:cstheme="majorBidi"/>
          <w:b w:val="0"/>
          <w:szCs w:val="24"/>
        </w:rPr>
        <w:t xml:space="preserve"> increases with increasing calcium oxide content.</w:t>
      </w:r>
      <w:r w:rsidRPr="000E2377">
        <w:rPr>
          <w:rFonts w:cs="Times New Roman"/>
          <w:b w:val="0"/>
          <w:szCs w:val="24"/>
        </w:rPr>
        <w:t xml:space="preserve"> </w:t>
      </w:r>
    </w:p>
    <w:p w14:paraId="0E6565CA" w14:textId="77777777" w:rsidR="00D740DC" w:rsidRPr="000E2377" w:rsidRDefault="00D740DC" w:rsidP="00D740DC">
      <w:pPr>
        <w:spacing w:line="360" w:lineRule="auto"/>
        <w:jc w:val="both"/>
        <w:rPr>
          <w:rFonts w:cs="Times New Roman"/>
          <w:b w:val="0"/>
          <w:szCs w:val="24"/>
        </w:rPr>
      </w:pPr>
      <w:r w:rsidRPr="000E2377">
        <w:rPr>
          <w:rFonts w:cs="Times New Roman"/>
          <w:b w:val="0"/>
          <w:szCs w:val="24"/>
        </w:rPr>
        <w:t xml:space="preserve">No significant differences in the high frequency B-O region were seen 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78-x </w:t>
      </w:r>
      <w:r w:rsidRPr="000E2377">
        <w:rPr>
          <w:rFonts w:cs="Times New Roman"/>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73-x </w:t>
      </w:r>
      <w:r w:rsidRPr="000E2377">
        <w:rPr>
          <w:rFonts w:cs="Times New Roman"/>
          <w:b w:val="0"/>
          <w:szCs w:val="24"/>
        </w:rPr>
        <w:t xml:space="preserve">glasses, with the peak maximum being at the same spot for all series. </w:t>
      </w:r>
    </w:p>
    <w:p w14:paraId="62FEAAE8" w14:textId="77777777" w:rsidR="00D740DC" w:rsidRPr="000E2377" w:rsidRDefault="00D740DC" w:rsidP="00D740DC">
      <w:pPr>
        <w:jc w:val="both"/>
        <w:rPr>
          <w:rFonts w:eastAsia="Times New Roman" w:cs="Times New Roman"/>
          <w:color w:val="000000"/>
          <w:szCs w:val="24"/>
          <w:lang w:eastAsia="en-MY"/>
        </w:rPr>
      </w:pPr>
    </w:p>
    <w:p w14:paraId="5EEF6CC8" w14:textId="77777777" w:rsidR="00D740DC" w:rsidRPr="000E2377" w:rsidRDefault="00D740DC" w:rsidP="00D740DC">
      <w:pPr>
        <w:jc w:val="both"/>
        <w:rPr>
          <w:rFonts w:eastAsia="Times New Roman" w:cs="Times New Roman"/>
          <w:color w:val="000000"/>
          <w:szCs w:val="24"/>
          <w:lang w:eastAsia="en-MY"/>
        </w:rPr>
      </w:pPr>
    </w:p>
    <w:p w14:paraId="222D2114" w14:textId="77777777" w:rsidR="00D740DC" w:rsidRPr="000E2377" w:rsidRDefault="00D740DC" w:rsidP="00D740DC">
      <w:pPr>
        <w:jc w:val="center"/>
      </w:pPr>
      <w:r w:rsidRPr="000E2377">
        <w:rPr>
          <w:noProof/>
          <w:lang w:eastAsia="en-MY"/>
        </w:rPr>
        <w:lastRenderedPageBreak/>
        <mc:AlternateContent>
          <mc:Choice Requires="wps">
            <w:drawing>
              <wp:anchor distT="0" distB="0" distL="114300" distR="114300" simplePos="0" relativeHeight="252326912" behindDoc="0" locked="0" layoutInCell="1" allowOverlap="1" wp14:anchorId="11242FB5" wp14:editId="3446FBF6">
                <wp:simplePos x="0" y="0"/>
                <wp:positionH relativeFrom="column">
                  <wp:posOffset>2866596</wp:posOffset>
                </wp:positionH>
                <wp:positionV relativeFrom="paragraph">
                  <wp:posOffset>123792</wp:posOffset>
                </wp:positionV>
                <wp:extent cx="356260" cy="296883"/>
                <wp:effectExtent l="0" t="0" r="0" b="0"/>
                <wp:wrapNone/>
                <wp:docPr id="2153" name="Text Box 2153"/>
                <wp:cNvGraphicFramePr/>
                <a:graphic xmlns:a="http://schemas.openxmlformats.org/drawingml/2006/main">
                  <a:graphicData uri="http://schemas.microsoft.com/office/word/2010/wordprocessingShape">
                    <wps:wsp>
                      <wps:cNvSpPr txBox="1"/>
                      <wps:spPr>
                        <a:xfrm>
                          <a:off x="0" y="0"/>
                          <a:ext cx="356260" cy="296883"/>
                        </a:xfrm>
                        <a:prstGeom prst="rect">
                          <a:avLst/>
                        </a:prstGeom>
                        <a:noFill/>
                        <a:ln w="6350">
                          <a:noFill/>
                        </a:ln>
                      </wps:spPr>
                      <wps:txbx>
                        <w:txbxContent>
                          <w:p w14:paraId="5F68E898" w14:textId="77777777" w:rsidR="00230AB9" w:rsidRPr="004C08E8" w:rsidRDefault="00230AB9" w:rsidP="00D740DC">
                            <w:pPr>
                              <w:rPr>
                                <w:rFonts w:cs="Times New Roman"/>
                                <w:szCs w:val="24"/>
                              </w:rPr>
                            </w:pPr>
                            <w:r>
                              <w:rPr>
                                <w:rFonts w:cs="Times New Roman"/>
                                <w:szCs w:val="24"/>
                              </w:rPr>
                              <w:t>b</w:t>
                            </w:r>
                            <w:r w:rsidRPr="004C08E8">
                              <w:rPr>
                                <w:rFonts w:cs="Times New Roman"/>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242FB5" id="Text Box 2153" o:spid="_x0000_s1343" type="#_x0000_t202" style="position:absolute;left:0;text-align:left;margin-left:225.7pt;margin-top:9.75pt;width:28.05pt;height:23.4pt;z-index:25232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" filled="f" stroked="f" strokeweight=".5pt">
                <v:textbox>
                  <w:txbxContent>
                    <w:p w14:paraId="5F68E898" w14:textId="77777777" w:rsidR="00230AB9" w:rsidRPr="004C08E8" w:rsidRDefault="00230AB9" w:rsidP="00D740DC">
                      <w:pPr>
                        <w:rPr>
                          <w:rFonts w:cs="Times New Roman"/>
                          <w:szCs w:val="24"/>
                        </w:rPr>
                      </w:pPr>
                      <w:r>
                        <w:rPr>
                          <w:rFonts w:cs="Times New Roman"/>
                          <w:szCs w:val="24"/>
                        </w:rPr>
                        <w:t>b</w:t>
                      </w:r>
                      <w:r w:rsidRPr="004C08E8">
                        <w:rPr>
                          <w:rFonts w:cs="Times New Roman"/>
                          <w:szCs w:val="24"/>
                        </w:rPr>
                        <w:t>)</w:t>
                      </w:r>
                    </w:p>
                  </w:txbxContent>
                </v:textbox>
              </v:shape>
            </w:pict>
          </mc:Fallback>
        </mc:AlternateContent>
      </w:r>
      <w:r w:rsidRPr="000E2377">
        <w:rPr>
          <w:noProof/>
          <w:lang w:eastAsia="en-MY"/>
        </w:rPr>
        <mc:AlternateContent>
          <mc:Choice Requires="wps">
            <w:drawing>
              <wp:anchor distT="0" distB="0" distL="114300" distR="114300" simplePos="0" relativeHeight="252302336" behindDoc="0" locked="0" layoutInCell="1" allowOverlap="1" wp14:anchorId="223CD19A" wp14:editId="1241D47E">
                <wp:simplePos x="0" y="0"/>
                <wp:positionH relativeFrom="margin">
                  <wp:align>left</wp:align>
                </wp:positionH>
                <wp:positionV relativeFrom="paragraph">
                  <wp:posOffset>120295</wp:posOffset>
                </wp:positionV>
                <wp:extent cx="356260" cy="296883"/>
                <wp:effectExtent l="0" t="0" r="0" b="0"/>
                <wp:wrapNone/>
                <wp:docPr id="1997" name="Text Box 1997"/>
                <wp:cNvGraphicFramePr/>
                <a:graphic xmlns:a="http://schemas.openxmlformats.org/drawingml/2006/main">
                  <a:graphicData uri="http://schemas.microsoft.com/office/word/2010/wordprocessingShape">
                    <wps:wsp>
                      <wps:cNvSpPr txBox="1"/>
                      <wps:spPr>
                        <a:xfrm>
                          <a:off x="0" y="0"/>
                          <a:ext cx="356260" cy="296883"/>
                        </a:xfrm>
                        <a:prstGeom prst="rect">
                          <a:avLst/>
                        </a:prstGeom>
                        <a:noFill/>
                        <a:ln w="6350">
                          <a:noFill/>
                        </a:ln>
                      </wps:spPr>
                      <wps:txbx>
                        <w:txbxContent>
                          <w:p w14:paraId="3AA5BB68" w14:textId="77777777" w:rsidR="00230AB9" w:rsidRPr="004C08E8" w:rsidRDefault="00230AB9" w:rsidP="00D740DC">
                            <w:pPr>
                              <w:rPr>
                                <w:rFonts w:cs="Times New Roman"/>
                                <w:szCs w:val="24"/>
                              </w:rPr>
                            </w:pPr>
                            <w:r>
                              <w:rPr>
                                <w:rFonts w:cs="Times New Roman"/>
                                <w:szCs w:val="24"/>
                              </w:rPr>
                              <w:t>a</w:t>
                            </w:r>
                            <w:r w:rsidRPr="004C08E8">
                              <w:rPr>
                                <w:rFonts w:cs="Times New Roman"/>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3CD19A" id="Text Box 1997" o:spid="_x0000_s1344" type="#_x0000_t202" style="position:absolute;left:0;text-align:left;margin-left:0;margin-top:9.45pt;width:28.05pt;height:23.4pt;z-index:2523023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" filled="f" stroked="f" strokeweight=".5pt">
                <v:textbox>
                  <w:txbxContent>
                    <w:p w14:paraId="3AA5BB68" w14:textId="77777777" w:rsidR="00230AB9" w:rsidRPr="004C08E8" w:rsidRDefault="00230AB9" w:rsidP="00D740DC">
                      <w:pPr>
                        <w:rPr>
                          <w:rFonts w:cs="Times New Roman"/>
                          <w:szCs w:val="24"/>
                        </w:rPr>
                      </w:pPr>
                      <w:r>
                        <w:rPr>
                          <w:rFonts w:cs="Times New Roman"/>
                          <w:szCs w:val="24"/>
                        </w:rPr>
                        <w:t>a</w:t>
                      </w:r>
                      <w:r w:rsidRPr="004C08E8">
                        <w:rPr>
                          <w:rFonts w:cs="Times New Roman"/>
                          <w:szCs w:val="24"/>
                        </w:rPr>
                        <w:t>)</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308480" behindDoc="0" locked="0" layoutInCell="1" allowOverlap="1" wp14:anchorId="0281AD8F" wp14:editId="43EBFAE0">
                <wp:simplePos x="0" y="0"/>
                <wp:positionH relativeFrom="margin">
                  <wp:posOffset>3866161</wp:posOffset>
                </wp:positionH>
                <wp:positionV relativeFrom="paragraph">
                  <wp:posOffset>491201</wp:posOffset>
                </wp:positionV>
                <wp:extent cx="522514" cy="344384"/>
                <wp:effectExtent l="0" t="0" r="0" b="0"/>
                <wp:wrapNone/>
                <wp:docPr id="90" name="Text Box 90"/>
                <wp:cNvGraphicFramePr/>
                <a:graphic xmlns:a="http://schemas.openxmlformats.org/drawingml/2006/main">
                  <a:graphicData uri="http://schemas.microsoft.com/office/word/2010/wordprocessingShape">
                    <wps:wsp>
                      <wps:cNvSpPr txBox="1"/>
                      <wps:spPr>
                        <a:xfrm>
                          <a:off x="0" y="0"/>
                          <a:ext cx="522514" cy="344384"/>
                        </a:xfrm>
                        <a:prstGeom prst="rect">
                          <a:avLst/>
                        </a:prstGeom>
                        <a:noFill/>
                        <a:ln w="6350">
                          <a:noFill/>
                        </a:ln>
                      </wps:spPr>
                      <wps:txbx>
                        <w:txbxContent>
                          <w:p w14:paraId="1A63BCF4" w14:textId="77777777" w:rsidR="00230AB9" w:rsidRPr="00495088" w:rsidRDefault="00230AB9" w:rsidP="00D740DC">
                            <w:pPr>
                              <w:rPr>
                                <w:sz w:val="16"/>
                                <w:szCs w:val="16"/>
                              </w:rPr>
                            </w:pPr>
                            <w:r w:rsidRPr="00495088">
                              <w:rPr>
                                <w:rFonts w:asciiTheme="majorBidi" w:eastAsia="Times New Roman" w:hAnsiTheme="majorBidi" w:cstheme="majorBidi"/>
                                <w:color w:val="000000"/>
                                <w:sz w:val="16"/>
                                <w:szCs w:val="16"/>
                                <w:lang w:eastAsia="en-MY"/>
                              </w:rPr>
                              <w:t>998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1AD8F" id="Text Box 90" o:spid="_x0000_s1345" type="#_x0000_t202" style="position:absolute;left:0;text-align:left;margin-left:304.4pt;margin-top:38.7pt;width:41.15pt;height:27.1pt;z-index:25230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" filled="f" stroked="f" strokeweight=".5pt">
                <v:textbox>
                  <w:txbxContent>
                    <w:p w14:paraId="1A63BCF4" w14:textId="77777777" w:rsidR="00230AB9" w:rsidRPr="00495088" w:rsidRDefault="00230AB9" w:rsidP="00D740DC">
                      <w:pPr>
                        <w:rPr>
                          <w:sz w:val="16"/>
                          <w:szCs w:val="16"/>
                        </w:rPr>
                      </w:pPr>
                      <w:r w:rsidRPr="00495088">
                        <w:rPr>
                          <w:rFonts w:asciiTheme="majorBidi" w:eastAsia="Times New Roman" w:hAnsiTheme="majorBidi" w:cstheme="majorBidi"/>
                          <w:color w:val="000000"/>
                          <w:sz w:val="16"/>
                          <w:szCs w:val="16"/>
                          <w:lang w:eastAsia="en-MY"/>
                        </w:rPr>
                        <w:t>998</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305408" behindDoc="0" locked="0" layoutInCell="1" allowOverlap="1" wp14:anchorId="4F04387F" wp14:editId="6FF837CD">
                <wp:simplePos x="0" y="0"/>
                <wp:positionH relativeFrom="column">
                  <wp:posOffset>4025735</wp:posOffset>
                </wp:positionH>
                <wp:positionV relativeFrom="paragraph">
                  <wp:posOffset>642611</wp:posOffset>
                </wp:positionV>
                <wp:extent cx="8792" cy="553915"/>
                <wp:effectExtent l="0" t="0" r="29845" b="36830"/>
                <wp:wrapNone/>
                <wp:docPr id="2077" name="Straight Connector 2077"/>
                <wp:cNvGraphicFramePr/>
                <a:graphic xmlns:a="http://schemas.openxmlformats.org/drawingml/2006/main">
                  <a:graphicData uri="http://schemas.microsoft.com/office/word/2010/wordprocessingShape">
                    <wps:wsp>
                      <wps:cNvCnPr/>
                      <wps:spPr>
                        <a:xfrm>
                          <a:off x="0" y="0"/>
                          <a:ext cx="8792" cy="553915"/>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2EAAF108" id="Straight Connector 2077" o:spid="_x0000_s1026" style="position:absolute;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pt,50.6pt" to="317.7pt,9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">
                <v:stroke dashstyle="dash"/>
              </v:line>
            </w:pict>
          </mc:Fallback>
        </mc:AlternateContent>
      </w:r>
      <w:r w:rsidRPr="000E2377">
        <w:rPr>
          <w:noProof/>
          <w:lang w:eastAsia="en-MY"/>
        </w:rPr>
        <mc:AlternateContent>
          <mc:Choice Requires="wps">
            <w:drawing>
              <wp:anchor distT="0" distB="0" distL="114300" distR="114300" simplePos="0" relativeHeight="252307456" behindDoc="0" locked="0" layoutInCell="1" allowOverlap="1" wp14:anchorId="2081A13F" wp14:editId="2813A569">
                <wp:simplePos x="0" y="0"/>
                <wp:positionH relativeFrom="column">
                  <wp:posOffset>1163782</wp:posOffset>
                </wp:positionH>
                <wp:positionV relativeFrom="paragraph">
                  <wp:posOffset>716394</wp:posOffset>
                </wp:positionV>
                <wp:extent cx="0" cy="474345"/>
                <wp:effectExtent l="0" t="0" r="38100" b="20955"/>
                <wp:wrapNone/>
                <wp:docPr id="89" name="Straight Connector 89"/>
                <wp:cNvGraphicFramePr/>
                <a:graphic xmlns:a="http://schemas.openxmlformats.org/drawingml/2006/main">
                  <a:graphicData uri="http://schemas.microsoft.com/office/word/2010/wordprocessingShape">
                    <wps:wsp>
                      <wps:cNvCnPr/>
                      <wps:spPr>
                        <a:xfrm flipH="1" flipV="1">
                          <a:off x="0" y="0"/>
                          <a:ext cx="0" cy="474345"/>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78B52F4A" id="Straight Connector 89" o:spid="_x0000_s1026" style="position:absolute;flip:x y;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65pt,56.4pt" to="91.65pt,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">
                <v:stroke dashstyle="dash"/>
              </v:line>
            </w:pict>
          </mc:Fallback>
        </mc:AlternateContent>
      </w:r>
      <w:r w:rsidRPr="000E2377">
        <w:rPr>
          <w:noProof/>
          <w:lang w:eastAsia="en-MY"/>
        </w:rPr>
        <mc:AlternateContent>
          <mc:Choice Requires="wps">
            <w:drawing>
              <wp:anchor distT="0" distB="0" distL="114300" distR="114300" simplePos="0" relativeHeight="252304384" behindDoc="0" locked="0" layoutInCell="1" allowOverlap="1" wp14:anchorId="14BD777A" wp14:editId="439D3DFD">
                <wp:simplePos x="0" y="0"/>
                <wp:positionH relativeFrom="column">
                  <wp:posOffset>913963</wp:posOffset>
                </wp:positionH>
                <wp:positionV relativeFrom="paragraph">
                  <wp:posOffset>525384</wp:posOffset>
                </wp:positionV>
                <wp:extent cx="546265" cy="308758"/>
                <wp:effectExtent l="0" t="0" r="0" b="0"/>
                <wp:wrapNone/>
                <wp:docPr id="1994" name="Text Box 1994"/>
                <wp:cNvGraphicFramePr/>
                <a:graphic xmlns:a="http://schemas.openxmlformats.org/drawingml/2006/main">
                  <a:graphicData uri="http://schemas.microsoft.com/office/word/2010/wordprocessingShape">
                    <wps:wsp>
                      <wps:cNvSpPr txBox="1"/>
                      <wps:spPr>
                        <a:xfrm>
                          <a:off x="0" y="0"/>
                          <a:ext cx="546265" cy="308758"/>
                        </a:xfrm>
                        <a:prstGeom prst="rect">
                          <a:avLst/>
                        </a:prstGeom>
                        <a:noFill/>
                        <a:ln w="6350">
                          <a:noFill/>
                        </a:ln>
                      </wps:spPr>
                      <wps:txbx>
                        <w:txbxContent>
                          <w:p w14:paraId="69EA7A6B" w14:textId="77777777" w:rsidR="00230AB9" w:rsidRDefault="00230AB9" w:rsidP="00D740DC">
                            <w:pPr>
                              <w:jc w:val="center"/>
                            </w:pPr>
                            <w:r w:rsidRPr="00495088">
                              <w:rPr>
                                <w:rFonts w:asciiTheme="majorBidi" w:eastAsia="Times New Roman" w:hAnsiTheme="majorBidi" w:cstheme="majorBidi"/>
                                <w:color w:val="000000"/>
                                <w:sz w:val="16"/>
                                <w:szCs w:val="16"/>
                                <w:lang w:eastAsia="en-MY"/>
                              </w:rPr>
                              <w:t>958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D777A" id="Text Box 1994" o:spid="_x0000_s1346" type="#_x0000_t202" style="position:absolute;left:0;text-align:left;margin-left:71.95pt;margin-top:41.35pt;width:43pt;height:24.3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" filled="f" stroked="f" strokeweight=".5pt">
                <v:textbox>
                  <w:txbxContent>
                    <w:p w14:paraId="69EA7A6B" w14:textId="77777777" w:rsidR="00230AB9" w:rsidRDefault="00230AB9" w:rsidP="00D740DC">
                      <w:pPr>
                        <w:jc w:val="center"/>
                      </w:pPr>
                      <w:r w:rsidRPr="00495088">
                        <w:rPr>
                          <w:rFonts w:asciiTheme="majorBidi" w:eastAsia="Times New Roman" w:hAnsiTheme="majorBidi" w:cstheme="majorBidi"/>
                          <w:color w:val="000000"/>
                          <w:sz w:val="16"/>
                          <w:szCs w:val="16"/>
                          <w:lang w:eastAsia="en-MY"/>
                        </w:rPr>
                        <w:t>958</w:t>
                      </w:r>
                    </w:p>
                  </w:txbxContent>
                </v:textbox>
              </v:shape>
            </w:pict>
          </mc:Fallback>
        </mc:AlternateContent>
      </w:r>
      <w:r w:rsidRPr="000E2377">
        <w:rPr>
          <w:noProof/>
          <w:lang w:eastAsia="en-MY"/>
        </w:rPr>
        <mc:AlternateContent>
          <mc:Choice Requires="wps">
            <w:drawing>
              <wp:anchor distT="0" distB="0" distL="114300" distR="114300" simplePos="0" relativeHeight="252303360" behindDoc="0" locked="0" layoutInCell="1" allowOverlap="1" wp14:anchorId="025FF55F" wp14:editId="3654E48D">
                <wp:simplePos x="0" y="0"/>
                <wp:positionH relativeFrom="margin">
                  <wp:posOffset>1238391</wp:posOffset>
                </wp:positionH>
                <wp:positionV relativeFrom="paragraph">
                  <wp:posOffset>1124387</wp:posOffset>
                </wp:positionV>
                <wp:extent cx="522514" cy="344384"/>
                <wp:effectExtent l="0" t="0" r="0" b="0"/>
                <wp:wrapNone/>
                <wp:docPr id="219" name="Text Box 219"/>
                <wp:cNvGraphicFramePr/>
                <a:graphic xmlns:a="http://schemas.openxmlformats.org/drawingml/2006/main">
                  <a:graphicData uri="http://schemas.microsoft.com/office/word/2010/wordprocessingShape">
                    <wps:wsp>
                      <wps:cNvSpPr txBox="1"/>
                      <wps:spPr>
                        <a:xfrm>
                          <a:off x="0" y="0"/>
                          <a:ext cx="522514" cy="344384"/>
                        </a:xfrm>
                        <a:prstGeom prst="rect">
                          <a:avLst/>
                        </a:prstGeom>
                        <a:noFill/>
                        <a:ln w="6350">
                          <a:noFill/>
                        </a:ln>
                      </wps:spPr>
                      <wps:txbx>
                        <w:txbxContent>
                          <w:p w14:paraId="0A0A7408" w14:textId="77777777" w:rsidR="00230AB9" w:rsidRDefault="00230AB9" w:rsidP="00D740DC">
                            <w:r w:rsidRPr="00495088">
                              <w:rPr>
                                <w:rFonts w:asciiTheme="majorBidi" w:eastAsia="Times New Roman" w:hAnsiTheme="majorBidi" w:cstheme="majorBidi"/>
                                <w:color w:val="000000"/>
                                <w:sz w:val="16"/>
                                <w:szCs w:val="16"/>
                                <w:lang w:eastAsia="en-MY"/>
                              </w:rPr>
                              <w:t>1037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FF55F" id="Text Box 219" o:spid="_x0000_s1347" type="#_x0000_t202" style="position:absolute;left:0;text-align:left;margin-left:97.5pt;margin-top:88.55pt;width:41.15pt;height:27.1pt;z-index:25230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" filled="f" stroked="f" strokeweight=".5pt">
                <v:textbox>
                  <w:txbxContent>
                    <w:p w14:paraId="0A0A7408" w14:textId="77777777" w:rsidR="00230AB9" w:rsidRDefault="00230AB9" w:rsidP="00D740DC">
                      <w:r w:rsidRPr="00495088">
                        <w:rPr>
                          <w:rFonts w:asciiTheme="majorBidi" w:eastAsia="Times New Roman" w:hAnsiTheme="majorBidi" w:cstheme="majorBidi"/>
                          <w:color w:val="000000"/>
                          <w:sz w:val="16"/>
                          <w:szCs w:val="16"/>
                          <w:lang w:eastAsia="en-MY"/>
                        </w:rPr>
                        <w:t>1037</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306432" behindDoc="0" locked="0" layoutInCell="1" allowOverlap="1" wp14:anchorId="71D0C10D" wp14:editId="708AF9AB">
                <wp:simplePos x="0" y="0"/>
                <wp:positionH relativeFrom="column">
                  <wp:posOffset>1408125</wp:posOffset>
                </wp:positionH>
                <wp:positionV relativeFrom="paragraph">
                  <wp:posOffset>1287583</wp:posOffset>
                </wp:positionV>
                <wp:extent cx="0" cy="518746"/>
                <wp:effectExtent l="0" t="0" r="38100" b="15240"/>
                <wp:wrapNone/>
                <wp:docPr id="2078" name="Straight Connector 2078"/>
                <wp:cNvGraphicFramePr/>
                <a:graphic xmlns:a="http://schemas.openxmlformats.org/drawingml/2006/main">
                  <a:graphicData uri="http://schemas.microsoft.com/office/word/2010/wordprocessingShape">
                    <wps:wsp>
                      <wps:cNvCnPr/>
                      <wps:spPr>
                        <a:xfrm flipH="1">
                          <a:off x="0" y="0"/>
                          <a:ext cx="0" cy="518746"/>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406F0D69" id="Straight Connector 2078" o:spid="_x0000_s1026" style="position:absolute;flip:x;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9pt,101.4pt" to="110.9pt,1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">
                <v:stroke dashstyle="dash"/>
              </v:line>
            </w:pict>
          </mc:Fallback>
        </mc:AlternateContent>
      </w:r>
      <w:r w:rsidRPr="000E2377">
        <w:rPr>
          <w:noProof/>
          <w:lang w:eastAsia="en-MY"/>
        </w:rPr>
        <w:drawing>
          <wp:inline distT="0" distB="0" distL="0" distR="0" wp14:anchorId="1E990F55" wp14:editId="70EDED3E">
            <wp:extent cx="2814077" cy="2592000"/>
            <wp:effectExtent l="0" t="0" r="5715" b="0"/>
            <wp:docPr id="1492" name="Pictur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814077" cy="2592000"/>
                    </a:xfrm>
                    <a:prstGeom prst="rect">
                      <a:avLst/>
                    </a:prstGeom>
                    <a:noFill/>
                    <a:ln>
                      <a:noFill/>
                    </a:ln>
                  </pic:spPr>
                </pic:pic>
              </a:graphicData>
            </a:graphic>
          </wp:inline>
        </w:drawing>
      </w:r>
      <w:r w:rsidRPr="000E2377">
        <w:t xml:space="preserve"> </w:t>
      </w:r>
      <w:r w:rsidRPr="000E2377">
        <w:rPr>
          <w:noProof/>
          <w:lang w:eastAsia="en-MY"/>
        </w:rPr>
        <w:drawing>
          <wp:inline distT="0" distB="0" distL="0" distR="0" wp14:anchorId="72B35AA8" wp14:editId="65A9D80A">
            <wp:extent cx="2776575" cy="2466000"/>
            <wp:effectExtent l="0" t="0" r="5080" b="0"/>
            <wp:docPr id="1497" name="Pictur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76575" cy="2466000"/>
                    </a:xfrm>
                    <a:prstGeom prst="rect">
                      <a:avLst/>
                    </a:prstGeom>
                    <a:noFill/>
                    <a:ln>
                      <a:noFill/>
                    </a:ln>
                  </pic:spPr>
                </pic:pic>
              </a:graphicData>
            </a:graphic>
          </wp:inline>
        </w:drawing>
      </w:r>
    </w:p>
    <w:p w14:paraId="385ACFBD" w14:textId="66F5BBF1" w:rsidR="00D740DC" w:rsidRPr="000E2377" w:rsidRDefault="009F4E44" w:rsidP="00D740DC">
      <w:pPr>
        <w:pStyle w:val="Caption"/>
        <w:rPr>
          <w:rFonts w:eastAsia="Times New Roman"/>
          <w:color w:val="000000"/>
          <w:szCs w:val="24"/>
          <w:vertAlign w:val="subscript"/>
          <w:lang w:eastAsia="en-MY"/>
        </w:rPr>
      </w:pPr>
      <w:bookmarkStart w:id="760" w:name="_Toc521420485"/>
      <w:bookmarkStart w:id="761" w:name="_Toc525223219"/>
      <w:bookmarkStart w:id="762" w:name="_Toc525528366"/>
      <w:bookmarkStart w:id="763" w:name="_Toc525706381"/>
      <w:bookmarkStart w:id="764" w:name="_Hlk515396519"/>
      <w:r>
        <w:t xml:space="preserve">Figure 4.21: </w:t>
      </w:r>
      <w:r w:rsidR="00D740DC" w:rsidRPr="000E2377">
        <w:rPr>
          <w:rFonts w:asciiTheme="majorBidi" w:hAnsiTheme="majorBidi" w:cstheme="majorBidi"/>
          <w:szCs w:val="24"/>
        </w:rPr>
        <w:t xml:space="preserve">FTIR spectra for </w:t>
      </w:r>
      <w:r w:rsidR="00D740DC" w:rsidRPr="000E2377">
        <w:rPr>
          <w:szCs w:val="24"/>
        </w:rPr>
        <w:t xml:space="preserve">a) </w:t>
      </w:r>
      <w:r w:rsidR="00D740DC" w:rsidRPr="000E2377">
        <w:rPr>
          <w:rFonts w:eastAsia="Times New Roman"/>
          <w:color w:val="000000"/>
          <w:szCs w:val="24"/>
          <w:lang w:eastAsia="en-MY"/>
        </w:rPr>
        <w:t>N</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2</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78-x</w:t>
      </w:r>
      <w:r w:rsidR="00D740DC" w:rsidRPr="000E2377">
        <w:rPr>
          <w:szCs w:val="24"/>
        </w:rPr>
        <w:t>,</w:t>
      </w:r>
      <w:r w:rsidR="00D740DC" w:rsidRPr="000E2377">
        <w:rPr>
          <w:rFonts w:eastAsia="Times New Roman"/>
          <w:color w:val="000000"/>
          <w:szCs w:val="24"/>
          <w:lang w:eastAsia="en-MY"/>
        </w:rPr>
        <w:t xml:space="preserve"> N</w:t>
      </w:r>
      <w:r w:rsidR="00D740DC" w:rsidRPr="000E2377">
        <w:rPr>
          <w:rFonts w:eastAsia="Times New Roman"/>
          <w:color w:val="000000"/>
          <w:szCs w:val="24"/>
          <w:vertAlign w:val="subscript"/>
          <w:lang w:eastAsia="en-MY"/>
        </w:rPr>
        <w:t>15</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2</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73-x</w:t>
      </w:r>
      <w:r w:rsidR="00D740DC" w:rsidRPr="000E2377" w:rsidDel="00EC5E43">
        <w:rPr>
          <w:rFonts w:eastAsia="Times New Roman"/>
          <w:color w:val="000000"/>
          <w:szCs w:val="24"/>
          <w:lang w:eastAsia="en-MY"/>
        </w:rPr>
        <w:t xml:space="preserve"> </w:t>
      </w:r>
      <w:r w:rsidR="00D740DC" w:rsidRPr="000E2377">
        <w:rPr>
          <w:rFonts w:eastAsia="Times New Roman"/>
          <w:color w:val="000000"/>
          <w:szCs w:val="24"/>
          <w:lang w:eastAsia="en-MY"/>
        </w:rPr>
        <w:t xml:space="preserve">and </w:t>
      </w:r>
      <w:r w:rsidR="00EB2CD5">
        <w:rPr>
          <w:rFonts w:eastAsia="Times New Roman"/>
          <w:color w:val="000000"/>
          <w:szCs w:val="24"/>
          <w:lang w:eastAsia="en-MY"/>
        </w:rPr>
        <w:t xml:space="preserve">                            </w:t>
      </w:r>
      <w:r w:rsidR="00D740DC" w:rsidRPr="000E2377">
        <w:rPr>
          <w:rFonts w:eastAsia="Times New Roman"/>
          <w:color w:val="000000"/>
          <w:szCs w:val="24"/>
          <w:lang w:eastAsia="en-MY"/>
        </w:rPr>
        <w:t>b) N</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C</w:t>
      </w:r>
      <w:r w:rsidR="00D740DC" w:rsidRPr="000E2377">
        <w:rPr>
          <w:rFonts w:eastAsia="Times New Roman"/>
          <w:color w:val="000000"/>
          <w:szCs w:val="24"/>
          <w:vertAlign w:val="subscript"/>
          <w:lang w:eastAsia="en-MY"/>
        </w:rPr>
        <w:t>x</w:t>
      </w:r>
      <w:r w:rsidR="00D740DC" w:rsidRPr="000E2377">
        <w:rPr>
          <w:rFonts w:eastAsia="Times New Roman"/>
          <w:color w:val="000000"/>
          <w:szCs w:val="24"/>
          <w:lang w:eastAsia="en-MY"/>
        </w:rPr>
        <w:t>Ba</w:t>
      </w:r>
      <w:r w:rsidR="00D740DC" w:rsidRPr="000E2377">
        <w:rPr>
          <w:rFonts w:eastAsia="Times New Roman"/>
          <w:color w:val="000000"/>
          <w:szCs w:val="24"/>
          <w:vertAlign w:val="subscript"/>
          <w:lang w:eastAsia="en-MY"/>
        </w:rPr>
        <w:t>2</w:t>
      </w:r>
      <w:r w:rsidR="00D740DC" w:rsidRPr="000E2377">
        <w:rPr>
          <w:rFonts w:eastAsia="Times New Roman"/>
          <w:color w:val="000000"/>
          <w:szCs w:val="24"/>
          <w:lang w:eastAsia="en-MY"/>
        </w:rPr>
        <w:t>A</w:t>
      </w:r>
      <w:r w:rsidR="00D740DC" w:rsidRPr="000E2377">
        <w:rPr>
          <w:rFonts w:eastAsia="Times New Roman"/>
          <w:color w:val="000000"/>
          <w:szCs w:val="24"/>
          <w:vertAlign w:val="subscript"/>
          <w:lang w:eastAsia="en-MY"/>
        </w:rPr>
        <w:t>y</w:t>
      </w:r>
      <w:r w:rsidR="00D740DC" w:rsidRPr="000E2377">
        <w:rPr>
          <w:rFonts w:eastAsia="Times New Roman"/>
          <w:color w:val="000000"/>
          <w:szCs w:val="24"/>
          <w:lang w:eastAsia="en-MY"/>
        </w:rPr>
        <w:t>B</w:t>
      </w:r>
      <w:r w:rsidR="00D740DC" w:rsidRPr="000E2377">
        <w:rPr>
          <w:rFonts w:eastAsia="Times New Roman"/>
          <w:color w:val="000000"/>
          <w:szCs w:val="24"/>
          <w:vertAlign w:val="subscript"/>
          <w:lang w:eastAsia="en-MY"/>
        </w:rPr>
        <w:t>10</w:t>
      </w:r>
      <w:r w:rsidR="00D740DC" w:rsidRPr="000E2377">
        <w:rPr>
          <w:rFonts w:eastAsia="Times New Roman"/>
          <w:color w:val="000000"/>
          <w:szCs w:val="24"/>
          <w:lang w:eastAsia="en-MY"/>
        </w:rPr>
        <w:t>S</w:t>
      </w:r>
      <w:r w:rsidR="00D740DC" w:rsidRPr="000E2377">
        <w:rPr>
          <w:rFonts w:eastAsia="Times New Roman"/>
          <w:color w:val="000000"/>
          <w:szCs w:val="24"/>
          <w:vertAlign w:val="subscript"/>
          <w:lang w:eastAsia="en-MY"/>
        </w:rPr>
        <w:t>78-x-y</w:t>
      </w:r>
      <w:r w:rsidR="00D740DC" w:rsidRPr="000E2377" w:rsidDel="00124235">
        <w:rPr>
          <w:szCs w:val="24"/>
        </w:rPr>
        <w:t xml:space="preserve"> </w:t>
      </w:r>
      <w:r w:rsidR="00D740DC" w:rsidRPr="000E2377">
        <w:rPr>
          <w:rFonts w:eastAsia="Times New Roman"/>
          <w:color w:val="000000"/>
          <w:szCs w:val="24"/>
          <w:lang w:eastAsia="en-MY"/>
        </w:rPr>
        <w:t>glasses</w:t>
      </w:r>
      <w:bookmarkEnd w:id="760"/>
      <w:bookmarkEnd w:id="761"/>
      <w:bookmarkEnd w:id="762"/>
      <w:bookmarkEnd w:id="763"/>
      <w:r w:rsidR="00D740DC">
        <w:rPr>
          <w:rFonts w:eastAsia="Times New Roman"/>
          <w:color w:val="000000"/>
          <w:szCs w:val="24"/>
          <w:lang w:eastAsia="en-MY"/>
        </w:rPr>
        <w:t>.</w:t>
      </w:r>
    </w:p>
    <w:bookmarkEnd w:id="764"/>
    <w:p w14:paraId="0EE0467A" w14:textId="77777777" w:rsidR="00D740DC" w:rsidRPr="000E2377" w:rsidRDefault="00D740DC" w:rsidP="00D740DC">
      <w:pPr>
        <w:spacing w:before="200" w:line="360" w:lineRule="auto"/>
        <w:jc w:val="center"/>
        <w:rPr>
          <w:rFonts w:eastAsia="Calibri" w:cs="Times New Roman"/>
          <w:b w:val="0"/>
          <w:noProof/>
          <w:szCs w:val="24"/>
          <w:lang w:eastAsia="en-GB"/>
        </w:rPr>
      </w:pPr>
      <w:r w:rsidRPr="00ED77F5">
        <w:rPr>
          <w:noProof/>
          <w:lang w:eastAsia="en-MY"/>
        </w:rPr>
        <w:drawing>
          <wp:inline distT="0" distB="0" distL="0" distR="0" wp14:anchorId="3FD1DEF6" wp14:editId="71634959">
            <wp:extent cx="4098702" cy="3240000"/>
            <wp:effectExtent l="0" t="0" r="0" b="0"/>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098702" cy="3240000"/>
                    </a:xfrm>
                    <a:prstGeom prst="rect">
                      <a:avLst/>
                    </a:prstGeom>
                    <a:noFill/>
                    <a:ln>
                      <a:noFill/>
                    </a:ln>
                  </pic:spPr>
                </pic:pic>
              </a:graphicData>
            </a:graphic>
          </wp:inline>
        </w:drawing>
      </w:r>
    </w:p>
    <w:p w14:paraId="4CFC6E5E" w14:textId="19DEABCE" w:rsidR="00D740DC" w:rsidRPr="000E2377" w:rsidRDefault="00D740DC" w:rsidP="00D740DC">
      <w:pPr>
        <w:pStyle w:val="Caption"/>
        <w:rPr>
          <w:rFonts w:eastAsia="Times New Roman"/>
          <w:color w:val="000000"/>
          <w:szCs w:val="24"/>
          <w:vertAlign w:val="subscript"/>
          <w:lang w:eastAsia="en-MY"/>
        </w:rPr>
      </w:pPr>
      <w:bookmarkStart w:id="765" w:name="_Toc521420486"/>
      <w:bookmarkStart w:id="766" w:name="_Toc525223220"/>
      <w:bookmarkStart w:id="767" w:name="_Toc525528367"/>
      <w:bookmarkStart w:id="768" w:name="_Toc525706382"/>
      <w:bookmarkStart w:id="769" w:name="_Hlk515396529"/>
      <w:r w:rsidRPr="000E2377">
        <w:t>Figure</w:t>
      </w:r>
      <w:r w:rsidR="009F4E44">
        <w:t xml:space="preserve"> 4.22: </w:t>
      </w:r>
      <w:r w:rsidRPr="000E2377">
        <w:rPr>
          <w:szCs w:val="24"/>
        </w:rPr>
        <w:t xml:space="preserve">Variation of the </w:t>
      </w:r>
      <w:r w:rsidRPr="000E2377">
        <w:rPr>
          <w:rFonts w:asciiTheme="majorBidi" w:hAnsiTheme="majorBidi" w:cstheme="majorBidi"/>
          <w:szCs w:val="24"/>
        </w:rPr>
        <w:t xml:space="preserve">FTIR major peak position with alumina to modifier ratio for </w:t>
      </w:r>
      <w:r w:rsidRPr="000E2377">
        <w:rPr>
          <w:rFonts w:eastAsia="Times New Roman"/>
          <w:color w:val="000000"/>
          <w:szCs w:val="24"/>
          <w:lang w:eastAsia="en-MY"/>
        </w:rPr>
        <w:t>N</w:t>
      </w:r>
      <w:r w:rsidRPr="000E2377">
        <w:rPr>
          <w:rFonts w:eastAsia="Times New Roman"/>
          <w:color w:val="000000"/>
          <w:szCs w:val="24"/>
          <w:vertAlign w:val="subscript"/>
          <w:lang w:eastAsia="en-MY"/>
        </w:rPr>
        <w:t>10</w:t>
      </w:r>
      <w:r w:rsidRPr="000E2377">
        <w:rPr>
          <w:rFonts w:eastAsia="Times New Roman"/>
          <w:color w:val="000000"/>
          <w:szCs w:val="24"/>
          <w:lang w:eastAsia="en-MY"/>
        </w:rPr>
        <w:t>C</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2</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78-x</w:t>
      </w:r>
      <w:r w:rsidRPr="000E2377">
        <w:rPr>
          <w:szCs w:val="24"/>
        </w:rPr>
        <w:t>,</w:t>
      </w:r>
      <w:r w:rsidRPr="000E2377">
        <w:rPr>
          <w:rFonts w:eastAsia="Times New Roman"/>
          <w:color w:val="000000"/>
          <w:szCs w:val="24"/>
          <w:lang w:eastAsia="en-MY"/>
        </w:rPr>
        <w:t xml:space="preserve"> N</w:t>
      </w:r>
      <w:r w:rsidRPr="000E2377">
        <w:rPr>
          <w:rFonts w:eastAsia="Times New Roman"/>
          <w:color w:val="000000"/>
          <w:szCs w:val="24"/>
          <w:vertAlign w:val="subscript"/>
          <w:lang w:eastAsia="en-MY"/>
        </w:rPr>
        <w:t>15</w:t>
      </w:r>
      <w:r w:rsidRPr="000E2377">
        <w:rPr>
          <w:rFonts w:eastAsia="Times New Roman"/>
          <w:color w:val="000000"/>
          <w:szCs w:val="24"/>
          <w:lang w:eastAsia="en-MY"/>
        </w:rPr>
        <w:t>C</w:t>
      </w:r>
      <w:r w:rsidRPr="000E2377">
        <w:rPr>
          <w:rFonts w:eastAsia="Times New Roman"/>
          <w:color w:val="000000"/>
          <w:szCs w:val="24"/>
          <w:vertAlign w:val="subscript"/>
          <w:lang w:eastAsia="en-MY"/>
        </w:rPr>
        <w:t>x</w:t>
      </w:r>
      <w:r w:rsidRPr="000E2377">
        <w:rPr>
          <w:rFonts w:eastAsia="Times New Roman"/>
          <w:color w:val="000000"/>
          <w:szCs w:val="24"/>
          <w:lang w:eastAsia="en-MY"/>
        </w:rPr>
        <w:t>A</w:t>
      </w:r>
      <w:r w:rsidRPr="000E2377">
        <w:rPr>
          <w:rFonts w:eastAsia="Times New Roman"/>
          <w:color w:val="000000"/>
          <w:szCs w:val="24"/>
          <w:vertAlign w:val="subscript"/>
          <w:lang w:eastAsia="en-MY"/>
        </w:rPr>
        <w:t>2</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73-x</w:t>
      </w:r>
      <w:r w:rsidRPr="000E2377" w:rsidDel="00EC5E43">
        <w:rPr>
          <w:rFonts w:eastAsia="Times New Roman"/>
          <w:color w:val="000000"/>
          <w:szCs w:val="24"/>
          <w:lang w:eastAsia="en-MY"/>
        </w:rPr>
        <w:t xml:space="preserve"> </w:t>
      </w:r>
      <w:r w:rsidRPr="000E2377">
        <w:rPr>
          <w:rFonts w:eastAsia="Times New Roman"/>
          <w:color w:val="000000"/>
          <w:szCs w:val="24"/>
          <w:lang w:eastAsia="en-MY"/>
        </w:rPr>
        <w:t>and N</w:t>
      </w:r>
      <w:r w:rsidRPr="000E2377">
        <w:rPr>
          <w:rFonts w:eastAsia="Times New Roman"/>
          <w:color w:val="000000"/>
          <w:szCs w:val="24"/>
          <w:vertAlign w:val="subscript"/>
          <w:lang w:eastAsia="en-MY"/>
        </w:rPr>
        <w:t>10</w:t>
      </w:r>
      <w:r w:rsidRPr="000E2377">
        <w:rPr>
          <w:rFonts w:eastAsia="Times New Roman"/>
          <w:color w:val="000000"/>
          <w:szCs w:val="24"/>
          <w:lang w:eastAsia="en-MY"/>
        </w:rPr>
        <w:t>C</w:t>
      </w:r>
      <w:r w:rsidRPr="000E2377">
        <w:rPr>
          <w:rFonts w:eastAsia="Times New Roman"/>
          <w:color w:val="000000"/>
          <w:szCs w:val="24"/>
          <w:vertAlign w:val="subscript"/>
          <w:lang w:eastAsia="en-MY"/>
        </w:rPr>
        <w:t>x</w:t>
      </w:r>
      <w:r w:rsidRPr="000E2377">
        <w:rPr>
          <w:rFonts w:eastAsia="Times New Roman"/>
          <w:color w:val="000000"/>
          <w:szCs w:val="24"/>
          <w:lang w:eastAsia="en-MY"/>
        </w:rPr>
        <w:t>Ba</w:t>
      </w:r>
      <w:r w:rsidRPr="000E2377">
        <w:rPr>
          <w:rFonts w:eastAsia="Times New Roman"/>
          <w:color w:val="000000"/>
          <w:szCs w:val="24"/>
          <w:vertAlign w:val="subscript"/>
          <w:lang w:eastAsia="en-MY"/>
        </w:rPr>
        <w:t>2</w:t>
      </w:r>
      <w:r w:rsidRPr="000E2377">
        <w:rPr>
          <w:rFonts w:eastAsia="Times New Roman"/>
          <w:color w:val="000000"/>
          <w:szCs w:val="24"/>
          <w:lang w:eastAsia="en-MY"/>
        </w:rPr>
        <w:t>A</w:t>
      </w:r>
      <w:r w:rsidRPr="000E2377">
        <w:rPr>
          <w:rFonts w:eastAsia="Times New Roman"/>
          <w:color w:val="000000"/>
          <w:szCs w:val="24"/>
          <w:vertAlign w:val="subscript"/>
          <w:lang w:eastAsia="en-MY"/>
        </w:rPr>
        <w:t>y</w:t>
      </w:r>
      <w:r w:rsidRPr="000E2377">
        <w:rPr>
          <w:rFonts w:eastAsia="Times New Roman"/>
          <w:color w:val="000000"/>
          <w:szCs w:val="24"/>
          <w:lang w:eastAsia="en-MY"/>
        </w:rPr>
        <w:t>B</w:t>
      </w:r>
      <w:r w:rsidRPr="000E2377">
        <w:rPr>
          <w:rFonts w:eastAsia="Times New Roman"/>
          <w:color w:val="000000"/>
          <w:szCs w:val="24"/>
          <w:vertAlign w:val="subscript"/>
          <w:lang w:eastAsia="en-MY"/>
        </w:rPr>
        <w:t>10</w:t>
      </w:r>
      <w:r w:rsidRPr="000E2377">
        <w:rPr>
          <w:rFonts w:eastAsia="Times New Roman"/>
          <w:color w:val="000000"/>
          <w:szCs w:val="24"/>
          <w:lang w:eastAsia="en-MY"/>
        </w:rPr>
        <w:t>S</w:t>
      </w:r>
      <w:r w:rsidRPr="000E2377">
        <w:rPr>
          <w:rFonts w:eastAsia="Times New Roman"/>
          <w:color w:val="000000"/>
          <w:szCs w:val="24"/>
          <w:vertAlign w:val="subscript"/>
          <w:lang w:eastAsia="en-MY"/>
        </w:rPr>
        <w:t>78-x-y</w:t>
      </w:r>
      <w:r w:rsidRPr="000E2377" w:rsidDel="00124235">
        <w:rPr>
          <w:szCs w:val="24"/>
        </w:rPr>
        <w:t xml:space="preserve"> </w:t>
      </w:r>
      <w:r w:rsidRPr="000E2377">
        <w:rPr>
          <w:rFonts w:eastAsia="Times New Roman"/>
          <w:color w:val="000000"/>
          <w:szCs w:val="24"/>
          <w:lang w:eastAsia="en-MY"/>
        </w:rPr>
        <w:t>glass series.</w:t>
      </w:r>
      <w:bookmarkEnd w:id="765"/>
      <w:bookmarkEnd w:id="766"/>
      <w:bookmarkEnd w:id="767"/>
      <w:bookmarkEnd w:id="768"/>
    </w:p>
    <w:bookmarkEnd w:id="769"/>
    <w:p w14:paraId="0B22E0E5" w14:textId="710B6055" w:rsidR="00D740DC" w:rsidRPr="000E2377" w:rsidRDefault="00D740DC" w:rsidP="00D740DC">
      <w:pPr>
        <w:spacing w:before="200" w:line="360" w:lineRule="auto"/>
        <w:jc w:val="both"/>
        <w:rPr>
          <w:rFonts w:cs="Times New Roman"/>
          <w:b w:val="0"/>
          <w:szCs w:val="24"/>
        </w:rPr>
      </w:pPr>
      <w:r w:rsidRPr="000E2377">
        <w:rPr>
          <w:rFonts w:cs="Times New Roman"/>
          <w:b w:val="0"/>
          <w:szCs w:val="24"/>
        </w:rPr>
        <w:t xml:space="preserve">There are notable differences in the major FTIR peak between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78-x</w:t>
      </w:r>
      <w:r w:rsidRPr="000E2377" w:rsidDel="00124235">
        <w:rPr>
          <w:rFonts w:cs="Times New Roman"/>
          <w:b w:val="0"/>
          <w:szCs w:val="24"/>
        </w:rPr>
        <w:t xml:space="preserve"> </w:t>
      </w:r>
      <w:r w:rsidRPr="000E2377">
        <w:rPr>
          <w:rFonts w:eastAsia="Calibri" w:cs="Times New Roman"/>
          <w:b w:val="0"/>
          <w:szCs w:val="24"/>
        </w:rPr>
        <w:t>and s</w:t>
      </w:r>
      <w:r w:rsidRPr="000E2377">
        <w:rPr>
          <w:rFonts w:cs="Times New Roman"/>
          <w:b w:val="0"/>
          <w:szCs w:val="24"/>
        </w:rPr>
        <w:t xml:space="preserve">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73-x</w:t>
      </w:r>
      <w:r w:rsidRPr="000E2377">
        <w:rPr>
          <w:rFonts w:cs="Times New Roman"/>
          <w:b w:val="0"/>
          <w:szCs w:val="24"/>
        </w:rPr>
        <w:t>. However, increasing calcium content still resulted in a decrease in the wavenumber of the peak position from 1013 – 999 cm</w:t>
      </w:r>
      <w:r w:rsidRPr="000E2377">
        <w:rPr>
          <w:rFonts w:cs="Times New Roman"/>
          <w:b w:val="0"/>
          <w:szCs w:val="24"/>
          <w:vertAlign w:val="superscript"/>
        </w:rPr>
        <w:t>-1</w:t>
      </w:r>
      <w:r w:rsidRPr="000E2377">
        <w:rPr>
          <w:rFonts w:cs="Times New Roman"/>
          <w:b w:val="0"/>
          <w:szCs w:val="24"/>
        </w:rPr>
        <w:t xml:space="preserve"> and 973 – 958 cm</w:t>
      </w:r>
      <w:r w:rsidRPr="000E2377">
        <w:rPr>
          <w:rFonts w:cs="Times New Roman"/>
          <w:b w:val="0"/>
          <w:szCs w:val="24"/>
          <w:vertAlign w:val="superscript"/>
        </w:rPr>
        <w:t>-1</w:t>
      </w:r>
      <w:r w:rsidRPr="000E2377">
        <w:rPr>
          <w:rFonts w:cs="Times New Roman"/>
          <w:b w:val="0"/>
          <w:szCs w:val="24"/>
        </w:rPr>
        <w:t xml:space="preserve">. </w:t>
      </w:r>
    </w:p>
    <w:p w14:paraId="541A7560" w14:textId="77777777" w:rsidR="00D740DC" w:rsidRDefault="00D740DC" w:rsidP="00D740DC">
      <w:pPr>
        <w:spacing w:line="360" w:lineRule="auto"/>
        <w:jc w:val="both"/>
        <w:rPr>
          <w:rFonts w:cs="Times New Roman"/>
          <w:szCs w:val="24"/>
        </w:rPr>
      </w:pPr>
    </w:p>
    <w:p w14:paraId="1615C8F5" w14:textId="77777777" w:rsidR="00D740DC" w:rsidRDefault="00D740DC" w:rsidP="00D740DC">
      <w:pPr>
        <w:spacing w:line="360" w:lineRule="auto"/>
        <w:jc w:val="both"/>
        <w:rPr>
          <w:rFonts w:cs="Times New Roman"/>
          <w:szCs w:val="24"/>
        </w:rPr>
      </w:pPr>
    </w:p>
    <w:p w14:paraId="5CCB13C1" w14:textId="77777777" w:rsidR="00D740DC" w:rsidRPr="000E2377" w:rsidRDefault="00D740DC" w:rsidP="00D740DC">
      <w:pPr>
        <w:spacing w:line="360" w:lineRule="auto"/>
        <w:jc w:val="both"/>
        <w:rPr>
          <w:rFonts w:cs="Times New Roman"/>
          <w:szCs w:val="24"/>
        </w:rPr>
      </w:pPr>
      <w:r w:rsidRPr="000E2377">
        <w:rPr>
          <w:rFonts w:cs="Times New Roman"/>
          <w:szCs w:val="24"/>
        </w:rPr>
        <w:lastRenderedPageBreak/>
        <w:t>4.</w:t>
      </w:r>
      <w:r>
        <w:rPr>
          <w:rFonts w:cs="Times New Roman"/>
          <w:szCs w:val="24"/>
        </w:rPr>
        <w:t>4</w:t>
      </w:r>
      <w:r w:rsidRPr="000E2377">
        <w:rPr>
          <w:rFonts w:cs="Times New Roman"/>
          <w:szCs w:val="24"/>
        </w:rPr>
        <w:t xml:space="preserve">.4 Overall trends in the Raman and FTIR data </w:t>
      </w:r>
    </w:p>
    <w:p w14:paraId="75C1A827" w14:textId="4B504F32" w:rsidR="00D740DC" w:rsidRDefault="00D740DC" w:rsidP="00D740DC">
      <w:pPr>
        <w:spacing w:line="360" w:lineRule="auto"/>
        <w:jc w:val="both"/>
        <w:rPr>
          <w:rFonts w:cs="Times New Roman"/>
          <w:b w:val="0"/>
          <w:szCs w:val="24"/>
        </w:rPr>
      </w:pPr>
      <w:r w:rsidRPr="000E2377">
        <w:rPr>
          <w:rFonts w:cs="Times New Roman"/>
          <w:b w:val="0"/>
          <w:szCs w:val="24"/>
        </w:rPr>
        <w:t>Overall, there are small shifts for each Raman band and these are summarized in Figure 4.2</w:t>
      </w:r>
      <w:r w:rsidR="00E10D9C">
        <w:rPr>
          <w:rFonts w:cs="Times New Roman"/>
          <w:b w:val="0"/>
          <w:szCs w:val="24"/>
        </w:rPr>
        <w:t xml:space="preserve">3 </w:t>
      </w:r>
      <w:r w:rsidRPr="000E2377">
        <w:rPr>
          <w:rFonts w:cs="Times New Roman"/>
          <w:b w:val="0"/>
          <w:szCs w:val="24"/>
        </w:rPr>
        <w:t>as a function of total network charge balance</w:t>
      </w:r>
      <w:r>
        <w:rPr>
          <w:rFonts w:cs="Times New Roman"/>
          <w:b w:val="0"/>
          <w:szCs w:val="24"/>
        </w:rPr>
        <w:t>:</w:t>
      </w:r>
    </w:p>
    <w:p w14:paraId="215CE697" w14:textId="77777777" w:rsidR="00D740DC" w:rsidRDefault="00D740DC" w:rsidP="00D740DC">
      <w:pPr>
        <w:spacing w:line="360" w:lineRule="auto"/>
        <w:jc w:val="center"/>
        <w:rPr>
          <w:rFonts w:cs="Times New Roman"/>
          <w:b w:val="0"/>
          <w:szCs w:val="24"/>
        </w:rPr>
      </w:pPr>
      <w:r w:rsidRPr="000E2377">
        <w:rPr>
          <w:noProof/>
          <w:lang w:eastAsia="en-MY"/>
        </w:rPr>
        <mc:AlternateContent>
          <mc:Choice Requires="wps">
            <w:drawing>
              <wp:anchor distT="0" distB="0" distL="114300" distR="114300" simplePos="0" relativeHeight="252449792" behindDoc="0" locked="0" layoutInCell="1" allowOverlap="1" wp14:anchorId="0901CE33" wp14:editId="25503F8A">
                <wp:simplePos x="0" y="0"/>
                <wp:positionH relativeFrom="margin">
                  <wp:posOffset>1212326</wp:posOffset>
                </wp:positionH>
                <wp:positionV relativeFrom="paragraph">
                  <wp:posOffset>10464</wp:posOffset>
                </wp:positionV>
                <wp:extent cx="354842" cy="354842"/>
                <wp:effectExtent l="0" t="0" r="0" b="7620"/>
                <wp:wrapNone/>
                <wp:docPr id="208" name="Text Box 208"/>
                <wp:cNvGraphicFramePr/>
                <a:graphic xmlns:a="http://schemas.openxmlformats.org/drawingml/2006/main">
                  <a:graphicData uri="http://schemas.microsoft.com/office/word/2010/wordprocessingShape">
                    <wps:wsp>
                      <wps:cNvSpPr txBox="1"/>
                      <wps:spPr>
                        <a:xfrm>
                          <a:off x="0" y="0"/>
                          <a:ext cx="354842" cy="354842"/>
                        </a:xfrm>
                        <a:prstGeom prst="rect">
                          <a:avLst/>
                        </a:prstGeom>
                        <a:noFill/>
                        <a:ln w="6350">
                          <a:noFill/>
                        </a:ln>
                      </wps:spPr>
                      <wps:txbx>
                        <w:txbxContent>
                          <w:p w14:paraId="28443F53" w14:textId="77777777" w:rsidR="00230AB9" w:rsidRDefault="00230AB9" w:rsidP="00D740D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1CE33" id="Text Box 208" o:spid="_x0000_s1348" type="#_x0000_t202" style="position:absolute;left:0;text-align:left;margin-left:95.45pt;margin-top:.8pt;width:27.95pt;height:27.95pt;z-index:25244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" filled="f" stroked="f" strokeweight=".5pt">
                <v:textbox>
                  <w:txbxContent>
                    <w:p w14:paraId="28443F53" w14:textId="77777777" w:rsidR="00230AB9" w:rsidRDefault="00230AB9" w:rsidP="00D740DC">
                      <w:r>
                        <w:t>a)</w:t>
                      </w:r>
                    </w:p>
                  </w:txbxContent>
                </v:textbox>
                <w10:wrap anchorx="margin"/>
              </v:shape>
            </w:pict>
          </mc:Fallback>
        </mc:AlternateContent>
      </w:r>
      <w:r w:rsidRPr="00C531C5">
        <w:t xml:space="preserve"> </w:t>
      </w:r>
      <w:r w:rsidRPr="00C531C5">
        <w:rPr>
          <w:noProof/>
          <w:lang w:eastAsia="en-MY"/>
        </w:rPr>
        <w:drawing>
          <wp:inline distT="0" distB="0" distL="0" distR="0" wp14:anchorId="12A24FC7" wp14:editId="77DB3312">
            <wp:extent cx="3345946" cy="3240000"/>
            <wp:effectExtent l="0" t="0" r="6985" b="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345946" cy="3240000"/>
                    </a:xfrm>
                    <a:prstGeom prst="rect">
                      <a:avLst/>
                    </a:prstGeom>
                    <a:noFill/>
                    <a:ln>
                      <a:noFill/>
                    </a:ln>
                  </pic:spPr>
                </pic:pic>
              </a:graphicData>
            </a:graphic>
          </wp:inline>
        </w:drawing>
      </w:r>
    </w:p>
    <w:p w14:paraId="0407039A" w14:textId="77777777" w:rsidR="00D740DC" w:rsidRDefault="00D740DC" w:rsidP="00D740DC">
      <w:pPr>
        <w:spacing w:line="360" w:lineRule="auto"/>
        <w:jc w:val="center"/>
        <w:rPr>
          <w:rFonts w:cs="Times New Roman"/>
          <w:b w:val="0"/>
          <w:szCs w:val="24"/>
        </w:rPr>
      </w:pPr>
      <w:r w:rsidRPr="000E2377">
        <w:rPr>
          <w:noProof/>
          <w:lang w:eastAsia="en-MY"/>
        </w:rPr>
        <mc:AlternateContent>
          <mc:Choice Requires="wps">
            <w:drawing>
              <wp:anchor distT="0" distB="0" distL="114300" distR="114300" simplePos="0" relativeHeight="252450816" behindDoc="0" locked="0" layoutInCell="1" allowOverlap="1" wp14:anchorId="2F433912" wp14:editId="40F12102">
                <wp:simplePos x="0" y="0"/>
                <wp:positionH relativeFrom="margin">
                  <wp:posOffset>1230630</wp:posOffset>
                </wp:positionH>
                <wp:positionV relativeFrom="paragraph">
                  <wp:posOffset>7620</wp:posOffset>
                </wp:positionV>
                <wp:extent cx="354330" cy="354330"/>
                <wp:effectExtent l="0" t="0" r="0" b="7620"/>
                <wp:wrapNone/>
                <wp:docPr id="218" name="Text Box 218"/>
                <wp:cNvGraphicFramePr/>
                <a:graphic xmlns:a="http://schemas.openxmlformats.org/drawingml/2006/main">
                  <a:graphicData uri="http://schemas.microsoft.com/office/word/2010/wordprocessingShape">
                    <wps:wsp>
                      <wps:cNvSpPr txBox="1"/>
                      <wps:spPr>
                        <a:xfrm>
                          <a:off x="0" y="0"/>
                          <a:ext cx="354330" cy="354330"/>
                        </a:xfrm>
                        <a:prstGeom prst="rect">
                          <a:avLst/>
                        </a:prstGeom>
                        <a:noFill/>
                        <a:ln w="6350">
                          <a:noFill/>
                        </a:ln>
                      </wps:spPr>
                      <wps:txbx>
                        <w:txbxContent>
                          <w:p w14:paraId="304917E2" w14:textId="77777777" w:rsidR="00230AB9" w:rsidRDefault="00230AB9" w:rsidP="00D740D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33912" id="Text Box 218" o:spid="_x0000_s1349" type="#_x0000_t202" style="position:absolute;left:0;text-align:left;margin-left:96.9pt;margin-top:.6pt;width:27.9pt;height:27.9pt;z-index:25245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" filled="f" stroked="f" strokeweight=".5pt">
                <v:textbox>
                  <w:txbxContent>
                    <w:p w14:paraId="304917E2" w14:textId="77777777" w:rsidR="00230AB9" w:rsidRDefault="00230AB9" w:rsidP="00D740DC">
                      <w:r>
                        <w:t>b)</w:t>
                      </w:r>
                    </w:p>
                  </w:txbxContent>
                </v:textbox>
                <w10:wrap anchorx="margin"/>
              </v:shape>
            </w:pict>
          </mc:Fallback>
        </mc:AlternateContent>
      </w:r>
      <w:r w:rsidRPr="007B00E0">
        <w:t xml:space="preserve"> </w:t>
      </w:r>
      <w:r w:rsidRPr="007B00E0">
        <w:rPr>
          <w:noProof/>
          <w:lang w:eastAsia="en-MY"/>
        </w:rPr>
        <w:drawing>
          <wp:inline distT="0" distB="0" distL="0" distR="0" wp14:anchorId="7D8C2FC7" wp14:editId="0611CE45">
            <wp:extent cx="3352600" cy="3240000"/>
            <wp:effectExtent l="0" t="0" r="635" b="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352600" cy="3240000"/>
                    </a:xfrm>
                    <a:prstGeom prst="rect">
                      <a:avLst/>
                    </a:prstGeom>
                    <a:noFill/>
                    <a:ln>
                      <a:noFill/>
                    </a:ln>
                  </pic:spPr>
                </pic:pic>
              </a:graphicData>
            </a:graphic>
          </wp:inline>
        </w:drawing>
      </w:r>
    </w:p>
    <w:p w14:paraId="1C21EF22" w14:textId="1F68E3E7" w:rsidR="00D740DC" w:rsidRDefault="00D740DC" w:rsidP="00D740DC">
      <w:pPr>
        <w:spacing w:line="360" w:lineRule="auto"/>
        <w:jc w:val="center"/>
        <w:rPr>
          <w:rFonts w:cs="Times New Roman"/>
          <w:b w:val="0"/>
          <w:szCs w:val="24"/>
        </w:rPr>
      </w:pPr>
      <w:r w:rsidRPr="000E2377">
        <w:t xml:space="preserve">Figure </w:t>
      </w:r>
      <w:r w:rsidR="009F4E44">
        <w:t xml:space="preserve">4.23: </w:t>
      </w:r>
      <w:r w:rsidRPr="000E2377">
        <w:rPr>
          <w:szCs w:val="24"/>
        </w:rPr>
        <w:t>Peak position for the Raman a) low, b) medium, c) high frequency Si-O band and d) high frequency B-O band versus total charge balance</w:t>
      </w:r>
      <w:r>
        <w:rPr>
          <w:szCs w:val="24"/>
        </w:rPr>
        <w:t>. (</w:t>
      </w:r>
      <w:r w:rsidRPr="00D55E62">
        <w:rPr>
          <w:i/>
          <w:szCs w:val="24"/>
        </w:rPr>
        <w:t>Continue</w:t>
      </w:r>
      <w:r>
        <w:rPr>
          <w:i/>
          <w:szCs w:val="24"/>
        </w:rPr>
        <w:t>d on</w:t>
      </w:r>
      <w:r w:rsidRPr="00D55E62">
        <w:rPr>
          <w:i/>
          <w:szCs w:val="24"/>
        </w:rPr>
        <w:t xml:space="preserve"> next page</w:t>
      </w:r>
      <w:r>
        <w:rPr>
          <w:szCs w:val="24"/>
        </w:rPr>
        <w:t>)</w:t>
      </w:r>
    </w:p>
    <w:p w14:paraId="5CDFAA11" w14:textId="77777777" w:rsidR="00D740DC" w:rsidRDefault="00D740DC" w:rsidP="00D740DC">
      <w:pPr>
        <w:spacing w:line="360" w:lineRule="auto"/>
        <w:jc w:val="center"/>
        <w:rPr>
          <w:rFonts w:cs="Times New Roman"/>
          <w:b w:val="0"/>
          <w:szCs w:val="24"/>
        </w:rPr>
      </w:pPr>
      <w:r w:rsidRPr="000E2377">
        <w:rPr>
          <w:noProof/>
          <w:lang w:eastAsia="en-MY"/>
        </w:rPr>
        <w:lastRenderedPageBreak/>
        <mc:AlternateContent>
          <mc:Choice Requires="wps">
            <w:drawing>
              <wp:anchor distT="0" distB="0" distL="114300" distR="114300" simplePos="0" relativeHeight="252451840" behindDoc="0" locked="0" layoutInCell="1" allowOverlap="1" wp14:anchorId="7422F2F9" wp14:editId="7BD0265A">
                <wp:simplePos x="0" y="0"/>
                <wp:positionH relativeFrom="margin">
                  <wp:posOffset>993471</wp:posOffset>
                </wp:positionH>
                <wp:positionV relativeFrom="paragraph">
                  <wp:posOffset>52539</wp:posOffset>
                </wp:positionV>
                <wp:extent cx="354842" cy="354842"/>
                <wp:effectExtent l="0" t="0" r="0" b="7620"/>
                <wp:wrapNone/>
                <wp:docPr id="221" name="Text Box 221"/>
                <wp:cNvGraphicFramePr/>
                <a:graphic xmlns:a="http://schemas.openxmlformats.org/drawingml/2006/main">
                  <a:graphicData uri="http://schemas.microsoft.com/office/word/2010/wordprocessingShape">
                    <wps:wsp>
                      <wps:cNvSpPr txBox="1"/>
                      <wps:spPr>
                        <a:xfrm>
                          <a:off x="0" y="0"/>
                          <a:ext cx="354842" cy="354842"/>
                        </a:xfrm>
                        <a:prstGeom prst="rect">
                          <a:avLst/>
                        </a:prstGeom>
                        <a:noFill/>
                        <a:ln w="6350">
                          <a:noFill/>
                        </a:ln>
                      </wps:spPr>
                      <wps:txbx>
                        <w:txbxContent>
                          <w:p w14:paraId="735831B8" w14:textId="77777777" w:rsidR="00230AB9" w:rsidRDefault="00230AB9" w:rsidP="00D740DC">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2F2F9" id="Text Box 221" o:spid="_x0000_s1350" type="#_x0000_t202" style="position:absolute;left:0;text-align:left;margin-left:78.25pt;margin-top:4.15pt;width:27.95pt;height:27.95pt;z-index:25245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" filled="f" stroked="f" strokeweight=".5pt">
                <v:textbox>
                  <w:txbxContent>
                    <w:p w14:paraId="735831B8" w14:textId="77777777" w:rsidR="00230AB9" w:rsidRDefault="00230AB9" w:rsidP="00D740DC">
                      <w:r>
                        <w:t>c)</w:t>
                      </w:r>
                    </w:p>
                  </w:txbxContent>
                </v:textbox>
                <w10:wrap anchorx="margin"/>
              </v:shape>
            </w:pict>
          </mc:Fallback>
        </mc:AlternateContent>
      </w:r>
      <w:r w:rsidRPr="007B00E0">
        <w:t xml:space="preserve"> </w:t>
      </w:r>
      <w:r w:rsidRPr="007B00E0">
        <w:rPr>
          <w:noProof/>
          <w:lang w:eastAsia="en-MY"/>
        </w:rPr>
        <w:drawing>
          <wp:inline distT="0" distB="0" distL="0" distR="0" wp14:anchorId="7B5C3A1C" wp14:editId="1C2E4846">
            <wp:extent cx="3750540" cy="3600000"/>
            <wp:effectExtent l="0" t="0" r="2540" b="635"/>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750540" cy="3600000"/>
                    </a:xfrm>
                    <a:prstGeom prst="rect">
                      <a:avLst/>
                    </a:prstGeom>
                    <a:noFill/>
                    <a:ln>
                      <a:noFill/>
                    </a:ln>
                  </pic:spPr>
                </pic:pic>
              </a:graphicData>
            </a:graphic>
          </wp:inline>
        </w:drawing>
      </w:r>
    </w:p>
    <w:p w14:paraId="0B8C294B" w14:textId="77777777" w:rsidR="00D740DC" w:rsidRDefault="00D740DC" w:rsidP="00D740DC">
      <w:pPr>
        <w:spacing w:line="360" w:lineRule="auto"/>
        <w:jc w:val="center"/>
      </w:pPr>
      <w:r w:rsidRPr="000E2377">
        <w:rPr>
          <w:noProof/>
          <w:lang w:eastAsia="en-MY"/>
        </w:rPr>
        <mc:AlternateContent>
          <mc:Choice Requires="wps">
            <w:drawing>
              <wp:anchor distT="0" distB="0" distL="114300" distR="114300" simplePos="0" relativeHeight="252452864" behindDoc="0" locked="0" layoutInCell="1" allowOverlap="1" wp14:anchorId="369761E6" wp14:editId="68937E6F">
                <wp:simplePos x="0" y="0"/>
                <wp:positionH relativeFrom="margin">
                  <wp:posOffset>1013295</wp:posOffset>
                </wp:positionH>
                <wp:positionV relativeFrom="paragraph">
                  <wp:posOffset>14329</wp:posOffset>
                </wp:positionV>
                <wp:extent cx="354842" cy="354842"/>
                <wp:effectExtent l="0" t="0" r="0" b="7620"/>
                <wp:wrapNone/>
                <wp:docPr id="1652" name="Text Box 1652"/>
                <wp:cNvGraphicFramePr/>
                <a:graphic xmlns:a="http://schemas.openxmlformats.org/drawingml/2006/main">
                  <a:graphicData uri="http://schemas.microsoft.com/office/word/2010/wordprocessingShape">
                    <wps:wsp>
                      <wps:cNvSpPr txBox="1"/>
                      <wps:spPr>
                        <a:xfrm>
                          <a:off x="0" y="0"/>
                          <a:ext cx="354842" cy="354842"/>
                        </a:xfrm>
                        <a:prstGeom prst="rect">
                          <a:avLst/>
                        </a:prstGeom>
                        <a:noFill/>
                        <a:ln w="6350">
                          <a:noFill/>
                        </a:ln>
                      </wps:spPr>
                      <wps:txbx>
                        <w:txbxContent>
                          <w:p w14:paraId="38A50E25" w14:textId="77777777" w:rsidR="00230AB9" w:rsidRDefault="00230AB9" w:rsidP="00D740DC">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761E6" id="Text Box 1652" o:spid="_x0000_s1351" type="#_x0000_t202" style="position:absolute;left:0;text-align:left;margin-left:79.8pt;margin-top:1.15pt;width:27.95pt;height:27.95pt;z-index:25245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" filled="f" stroked="f" strokeweight=".5pt">
                <v:textbox>
                  <w:txbxContent>
                    <w:p w14:paraId="38A50E25" w14:textId="77777777" w:rsidR="00230AB9" w:rsidRDefault="00230AB9" w:rsidP="00D740DC">
                      <w:r>
                        <w:t>d)</w:t>
                      </w:r>
                    </w:p>
                  </w:txbxContent>
                </v:textbox>
                <w10:wrap anchorx="margin"/>
              </v:shape>
            </w:pict>
          </mc:Fallback>
        </mc:AlternateContent>
      </w:r>
      <w:r w:rsidRPr="007B00E0">
        <w:t xml:space="preserve"> </w:t>
      </w:r>
      <w:r w:rsidRPr="007B00E0">
        <w:rPr>
          <w:noProof/>
          <w:lang w:eastAsia="en-MY"/>
        </w:rPr>
        <w:drawing>
          <wp:inline distT="0" distB="0" distL="0" distR="0" wp14:anchorId="7D6645E8" wp14:editId="5794D076">
            <wp:extent cx="3757524" cy="3600000"/>
            <wp:effectExtent l="0" t="0" r="0" b="635"/>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757524" cy="3600000"/>
                    </a:xfrm>
                    <a:prstGeom prst="rect">
                      <a:avLst/>
                    </a:prstGeom>
                    <a:noFill/>
                    <a:ln>
                      <a:noFill/>
                    </a:ln>
                  </pic:spPr>
                </pic:pic>
              </a:graphicData>
            </a:graphic>
          </wp:inline>
        </w:drawing>
      </w:r>
    </w:p>
    <w:p w14:paraId="1B18D0EE" w14:textId="032326C4" w:rsidR="00D740DC" w:rsidRPr="000E2377" w:rsidRDefault="00D740DC" w:rsidP="00D740DC">
      <w:pPr>
        <w:pStyle w:val="Caption"/>
        <w:rPr>
          <w:szCs w:val="24"/>
        </w:rPr>
      </w:pPr>
      <w:bookmarkStart w:id="770" w:name="_Toc521420487"/>
      <w:bookmarkStart w:id="771" w:name="_Toc525223221"/>
      <w:bookmarkStart w:id="772" w:name="_Toc525528368"/>
      <w:bookmarkStart w:id="773" w:name="_Toc525706383"/>
      <w:r w:rsidRPr="000E2377">
        <w:t xml:space="preserve">Figure </w:t>
      </w:r>
      <w:r w:rsidR="009F4E44">
        <w:t xml:space="preserve">4.23: </w:t>
      </w:r>
      <w:r w:rsidRPr="000E2377">
        <w:rPr>
          <w:szCs w:val="24"/>
        </w:rPr>
        <w:t>Peak position for the Raman a) low, b) medium, c) high frequency Si-O band and d) high frequency B-O band versus total charge balance.</w:t>
      </w:r>
      <w:bookmarkEnd w:id="770"/>
      <w:bookmarkEnd w:id="771"/>
      <w:bookmarkEnd w:id="772"/>
      <w:bookmarkEnd w:id="773"/>
      <w:r>
        <w:rPr>
          <w:szCs w:val="24"/>
        </w:rPr>
        <w:t xml:space="preserve"> </w:t>
      </w:r>
    </w:p>
    <w:p w14:paraId="2213F428" w14:textId="77777777" w:rsidR="00D740DC" w:rsidRPr="000E2377" w:rsidRDefault="00D740DC" w:rsidP="00D740DC">
      <w:pPr>
        <w:spacing w:line="360" w:lineRule="auto"/>
        <w:jc w:val="center"/>
        <w:rPr>
          <w:rFonts w:cs="Times New Roman"/>
          <w:b w:val="0"/>
          <w:szCs w:val="24"/>
        </w:rPr>
      </w:pPr>
    </w:p>
    <w:p w14:paraId="728A771F" w14:textId="77777777" w:rsidR="00D740DC" w:rsidRPr="000E2377" w:rsidRDefault="00D740DC" w:rsidP="00D740DC">
      <w:pPr>
        <w:spacing w:line="360" w:lineRule="auto"/>
        <w:ind w:left="720"/>
        <w:contextualSpacing/>
        <w:jc w:val="both"/>
        <w:rPr>
          <w:rFonts w:cs="Times New Roman"/>
          <w:b w:val="0"/>
          <w:szCs w:val="24"/>
        </w:rPr>
      </w:pPr>
      <w:r w:rsidRPr="000E2377">
        <w:rPr>
          <w:rFonts w:cs="Times New Roman"/>
          <w:b w:val="0"/>
          <w:szCs w:val="24"/>
        </w:rPr>
        <w:t xml:space="preserve"> </w:t>
      </w:r>
    </w:p>
    <w:p w14:paraId="0102621F" w14:textId="77777777" w:rsidR="00D740DC" w:rsidRPr="000E2377" w:rsidRDefault="00D740DC" w:rsidP="00D740DC">
      <w:pPr>
        <w:numPr>
          <w:ilvl w:val="0"/>
          <w:numId w:val="9"/>
        </w:numPr>
        <w:spacing w:line="360" w:lineRule="auto"/>
        <w:contextualSpacing/>
        <w:jc w:val="both"/>
        <w:rPr>
          <w:rFonts w:cs="Times New Roman"/>
          <w:b w:val="0"/>
          <w:szCs w:val="24"/>
        </w:rPr>
      </w:pPr>
      <w:bookmarkStart w:id="774" w:name="_Hlk515396542"/>
      <w:r w:rsidRPr="000E2377">
        <w:rPr>
          <w:rFonts w:cs="Times New Roman"/>
          <w:b w:val="0"/>
          <w:szCs w:val="24"/>
        </w:rPr>
        <w:lastRenderedPageBreak/>
        <w:t>The low frequency band (LFB), Raman peak shifts to higher wavenumber</w:t>
      </w:r>
      <w:r>
        <w:rPr>
          <w:rFonts w:cs="Times New Roman"/>
          <w:b w:val="0"/>
          <w:szCs w:val="24"/>
        </w:rPr>
        <w:t>s</w:t>
      </w:r>
      <w:r w:rsidRPr="000E2377">
        <w:rPr>
          <w:rFonts w:cs="Times New Roman"/>
          <w:b w:val="0"/>
          <w:szCs w:val="24"/>
        </w:rPr>
        <w:t xml:space="preserve"> for network charge balance values &gt; </w:t>
      </w:r>
      <w:r>
        <w:rPr>
          <w:rFonts w:cs="Times New Roman"/>
          <w:b w:val="0"/>
          <w:szCs w:val="24"/>
        </w:rPr>
        <w:t>5</w:t>
      </w:r>
      <w:r w:rsidRPr="000E2377">
        <w:rPr>
          <w:rFonts w:cs="Times New Roman"/>
          <w:b w:val="0"/>
          <w:szCs w:val="24"/>
        </w:rPr>
        <w:t xml:space="preserve"> (Figure 4.2</w:t>
      </w:r>
      <w:r>
        <w:rPr>
          <w:rFonts w:cs="Times New Roman"/>
          <w:b w:val="0"/>
          <w:szCs w:val="24"/>
        </w:rPr>
        <w:t>3</w:t>
      </w:r>
      <w:r w:rsidRPr="000E2377">
        <w:rPr>
          <w:rFonts w:cs="Times New Roman"/>
          <w:b w:val="0"/>
          <w:szCs w:val="24"/>
        </w:rPr>
        <w:t>a). This band corresponds to symmetric stretching of Si-O-Si and positive charge balance indicates depolymerisation of glass</w:t>
      </w:r>
      <w:r>
        <w:rPr>
          <w:rFonts w:cs="Times New Roman"/>
          <w:b w:val="0"/>
          <w:szCs w:val="24"/>
        </w:rPr>
        <w:t xml:space="preserve"> as modifiers no longer are required to charge balance alumina or boron tetrahedra and instead are associated with silica tetrahedra</w:t>
      </w:r>
      <w:r w:rsidRPr="000E2377">
        <w:rPr>
          <w:rFonts w:cs="Times New Roman"/>
          <w:b w:val="0"/>
          <w:szCs w:val="24"/>
        </w:rPr>
        <w:t xml:space="preserve">. </w:t>
      </w:r>
    </w:p>
    <w:p w14:paraId="537AF343" w14:textId="7B376AA6" w:rsidR="00D740DC" w:rsidRPr="000E2377" w:rsidRDefault="00D740DC" w:rsidP="00D740DC">
      <w:pPr>
        <w:numPr>
          <w:ilvl w:val="0"/>
          <w:numId w:val="9"/>
        </w:numPr>
        <w:spacing w:line="360" w:lineRule="auto"/>
        <w:contextualSpacing/>
        <w:jc w:val="both"/>
        <w:rPr>
          <w:rFonts w:cs="Times New Roman"/>
          <w:b w:val="0"/>
          <w:szCs w:val="24"/>
        </w:rPr>
      </w:pPr>
      <w:r w:rsidRPr="000E2377">
        <w:rPr>
          <w:rFonts w:cs="Times New Roman"/>
          <w:b w:val="0"/>
          <w:szCs w:val="24"/>
        </w:rPr>
        <w:t xml:space="preserve">The medium frequency Raman band (MFB) does not shift with </w:t>
      </w:r>
      <w:r w:rsidR="008C4D01">
        <w:rPr>
          <w:rFonts w:cs="Times New Roman"/>
          <w:b w:val="0"/>
          <w:szCs w:val="24"/>
        </w:rPr>
        <w:t xml:space="preserve">the </w:t>
      </w:r>
      <w:r w:rsidRPr="000E2377">
        <w:rPr>
          <w:rFonts w:cs="Times New Roman"/>
          <w:b w:val="0"/>
          <w:szCs w:val="24"/>
        </w:rPr>
        <w:t>composition</w:t>
      </w:r>
      <w:r w:rsidR="008C4D01">
        <w:rPr>
          <w:rFonts w:cs="Times New Roman"/>
          <w:b w:val="0"/>
          <w:szCs w:val="24"/>
        </w:rPr>
        <w:t xml:space="preserve"> </w:t>
      </w:r>
      <w:r w:rsidRPr="000E2377">
        <w:rPr>
          <w:rFonts w:cs="Times New Roman"/>
          <w:b w:val="0"/>
          <w:szCs w:val="24"/>
        </w:rPr>
        <w:t>(Figure 4.2</w:t>
      </w:r>
      <w:r>
        <w:rPr>
          <w:rFonts w:cs="Times New Roman"/>
          <w:b w:val="0"/>
          <w:szCs w:val="24"/>
        </w:rPr>
        <w:t>3</w:t>
      </w:r>
      <w:r w:rsidRPr="000E2377">
        <w:rPr>
          <w:rFonts w:cs="Times New Roman"/>
          <w:b w:val="0"/>
          <w:szCs w:val="24"/>
        </w:rPr>
        <w:t xml:space="preserve">b). </w:t>
      </w:r>
    </w:p>
    <w:p w14:paraId="2ED32D6E" w14:textId="77777777" w:rsidR="00D740DC" w:rsidRPr="000E2377" w:rsidRDefault="00D740DC" w:rsidP="00D740DC">
      <w:pPr>
        <w:numPr>
          <w:ilvl w:val="0"/>
          <w:numId w:val="9"/>
        </w:numPr>
        <w:spacing w:line="360" w:lineRule="auto"/>
        <w:contextualSpacing/>
        <w:jc w:val="both"/>
        <w:rPr>
          <w:rFonts w:cs="Times New Roman"/>
          <w:b w:val="0"/>
          <w:szCs w:val="24"/>
        </w:rPr>
      </w:pPr>
      <w:r w:rsidRPr="000E2377">
        <w:rPr>
          <w:rFonts w:cs="Times New Roman"/>
          <w:b w:val="0"/>
          <w:szCs w:val="24"/>
        </w:rPr>
        <w:t>The high frequency Raman band (HFB) at 830-1230 cm</w:t>
      </w:r>
      <w:r w:rsidRPr="000E2377">
        <w:rPr>
          <w:rFonts w:cs="Times New Roman"/>
          <w:b w:val="0"/>
          <w:szCs w:val="24"/>
          <w:vertAlign w:val="superscript"/>
        </w:rPr>
        <w:t>-1</w:t>
      </w:r>
      <w:r w:rsidRPr="000E2377">
        <w:rPr>
          <w:rFonts w:cs="Times New Roman"/>
          <w:b w:val="0"/>
          <w:szCs w:val="24"/>
        </w:rPr>
        <w:t xml:space="preserve"> tends to </w:t>
      </w:r>
      <w:r>
        <w:rPr>
          <w:rFonts w:cs="Times New Roman"/>
          <w:b w:val="0"/>
          <w:szCs w:val="24"/>
        </w:rPr>
        <w:t xml:space="preserve">have more scattered </w:t>
      </w:r>
      <w:r w:rsidRPr="000E2377">
        <w:rPr>
          <w:rFonts w:cs="Times New Roman"/>
          <w:b w:val="0"/>
          <w:szCs w:val="24"/>
        </w:rPr>
        <w:t xml:space="preserve">wavenumbers for negative total charge balance but </w:t>
      </w:r>
      <w:r>
        <w:rPr>
          <w:rFonts w:cs="Times New Roman"/>
          <w:b w:val="0"/>
          <w:szCs w:val="24"/>
        </w:rPr>
        <w:t>there is no obvious trend with increasing network charge balance</w:t>
      </w:r>
      <w:r w:rsidRPr="000E2377">
        <w:rPr>
          <w:rFonts w:cs="Times New Roman"/>
          <w:b w:val="0"/>
          <w:szCs w:val="24"/>
        </w:rPr>
        <w:t xml:space="preserve">. </w:t>
      </w:r>
    </w:p>
    <w:p w14:paraId="76829CF7" w14:textId="439D1BBE" w:rsidR="00D740DC" w:rsidRDefault="00D740DC" w:rsidP="00D740DC">
      <w:pPr>
        <w:numPr>
          <w:ilvl w:val="0"/>
          <w:numId w:val="9"/>
        </w:numPr>
        <w:spacing w:line="360" w:lineRule="auto"/>
        <w:contextualSpacing/>
        <w:jc w:val="both"/>
        <w:rPr>
          <w:rFonts w:cs="Times New Roman"/>
          <w:b w:val="0"/>
          <w:szCs w:val="24"/>
        </w:rPr>
      </w:pPr>
      <w:r w:rsidRPr="000E2377">
        <w:rPr>
          <w:rFonts w:cs="Times New Roman"/>
          <w:b w:val="0"/>
          <w:szCs w:val="24"/>
        </w:rPr>
        <w:t>The high frequency B-O (HFB) Raman band at 1450 - 1600 cm</w:t>
      </w:r>
      <w:r w:rsidRPr="000E2377">
        <w:rPr>
          <w:rFonts w:cs="Times New Roman"/>
          <w:b w:val="0"/>
          <w:szCs w:val="24"/>
          <w:vertAlign w:val="superscript"/>
        </w:rPr>
        <w:t xml:space="preserve">-1 </w:t>
      </w:r>
      <w:r w:rsidRPr="000E2377">
        <w:rPr>
          <w:rFonts w:cs="Times New Roman"/>
          <w:b w:val="0"/>
          <w:szCs w:val="24"/>
        </w:rPr>
        <w:t>shifts</w:t>
      </w:r>
      <w:r w:rsidRPr="000E2377">
        <w:rPr>
          <w:rFonts w:cs="Times New Roman"/>
          <w:b w:val="0"/>
          <w:szCs w:val="24"/>
          <w:vertAlign w:val="superscript"/>
        </w:rPr>
        <w:t xml:space="preserve"> </w:t>
      </w:r>
      <w:r w:rsidRPr="000E2377">
        <w:rPr>
          <w:rFonts w:cs="Times New Roman"/>
          <w:b w:val="0"/>
          <w:szCs w:val="24"/>
        </w:rPr>
        <w:t>to slightly higher wavenumbers with increasing total charge balance</w:t>
      </w:r>
      <w:r>
        <w:rPr>
          <w:rFonts w:cs="Times New Roman"/>
          <w:b w:val="0"/>
          <w:szCs w:val="24"/>
        </w:rPr>
        <w:t xml:space="preserve"> although the trend is not strong</w:t>
      </w:r>
      <w:r w:rsidRPr="000E2377">
        <w:rPr>
          <w:rFonts w:cs="Times New Roman"/>
          <w:b w:val="0"/>
          <w:szCs w:val="24"/>
        </w:rPr>
        <w:t xml:space="preserve">. This is because of the changing of boron speciation. Increasing of network charge balance will </w:t>
      </w:r>
      <w:r>
        <w:rPr>
          <w:rFonts w:cs="Times New Roman"/>
          <w:b w:val="0"/>
          <w:szCs w:val="24"/>
        </w:rPr>
        <w:t xml:space="preserve">mean there is </w:t>
      </w:r>
      <w:r w:rsidRPr="000E2377">
        <w:rPr>
          <w:rFonts w:cs="Times New Roman"/>
          <w:b w:val="0"/>
          <w:szCs w:val="24"/>
        </w:rPr>
        <w:t xml:space="preserve">sufficient network charging to compensate </w:t>
      </w:r>
      <w:proofErr w:type="spellStart"/>
      <w:r w:rsidRPr="000E2377">
        <w:rPr>
          <w:rFonts w:cs="Times New Roman"/>
          <w:b w:val="0"/>
          <w:szCs w:val="24"/>
        </w:rPr>
        <w:t>Al</w:t>
      </w:r>
      <w:r w:rsidRPr="000E2377">
        <w:rPr>
          <w:rFonts w:cs="Times New Roman"/>
          <w:b w:val="0"/>
          <w:szCs w:val="24"/>
          <w:vertAlign w:val="superscript"/>
        </w:rPr>
        <w:t>III</w:t>
      </w:r>
      <w:proofErr w:type="spellEnd"/>
      <w:r w:rsidRPr="000E2377">
        <w:rPr>
          <w:rFonts w:cs="Times New Roman"/>
          <w:b w:val="0"/>
          <w:szCs w:val="24"/>
        </w:rPr>
        <w:t xml:space="preserve"> to </w:t>
      </w:r>
      <w:proofErr w:type="spellStart"/>
      <w:r w:rsidRPr="000E2377">
        <w:rPr>
          <w:rFonts w:cs="Times New Roman"/>
          <w:b w:val="0"/>
          <w:szCs w:val="24"/>
        </w:rPr>
        <w:t>Al</w:t>
      </w:r>
      <w:r w:rsidRPr="000E2377">
        <w:rPr>
          <w:rFonts w:cs="Times New Roman"/>
          <w:b w:val="0"/>
          <w:szCs w:val="24"/>
          <w:vertAlign w:val="superscript"/>
        </w:rPr>
        <w:t>IV</w:t>
      </w:r>
      <w:proofErr w:type="spellEnd"/>
      <w:r w:rsidRPr="000E2377">
        <w:rPr>
          <w:rFonts w:cs="Times New Roman"/>
          <w:b w:val="0"/>
          <w:szCs w:val="24"/>
        </w:rPr>
        <w:t xml:space="preserve">, then the </w:t>
      </w:r>
      <w:r>
        <w:rPr>
          <w:rFonts w:cs="Times New Roman"/>
          <w:b w:val="0"/>
          <w:szCs w:val="24"/>
        </w:rPr>
        <w:t>remaining</w:t>
      </w:r>
      <w:r w:rsidRPr="000E2377">
        <w:rPr>
          <w:rFonts w:cs="Times New Roman"/>
          <w:b w:val="0"/>
          <w:szCs w:val="24"/>
        </w:rPr>
        <w:t xml:space="preserve"> network modifier will either produce non</w:t>
      </w:r>
      <w:r w:rsidR="008C4D01">
        <w:rPr>
          <w:rFonts w:cs="Times New Roman"/>
          <w:b w:val="0"/>
          <w:szCs w:val="24"/>
        </w:rPr>
        <w:t>-</w:t>
      </w:r>
      <w:r w:rsidRPr="000E2377">
        <w:rPr>
          <w:rFonts w:cs="Times New Roman"/>
          <w:b w:val="0"/>
          <w:szCs w:val="24"/>
        </w:rPr>
        <w:t xml:space="preserve">bridging oxygens </w:t>
      </w:r>
      <w:r>
        <w:rPr>
          <w:rFonts w:cs="Times New Roman"/>
          <w:b w:val="0"/>
          <w:szCs w:val="24"/>
        </w:rPr>
        <w:t xml:space="preserve">on silica tetrahedral </w:t>
      </w:r>
      <w:r w:rsidRPr="000E2377">
        <w:rPr>
          <w:rFonts w:cs="Times New Roman"/>
          <w:b w:val="0"/>
          <w:szCs w:val="24"/>
        </w:rPr>
        <w:t>or compensate B</w:t>
      </w:r>
      <w:r w:rsidR="00E10D9C" w:rsidRPr="000B016E">
        <w:rPr>
          <w:rFonts w:cs="Times New Roman"/>
          <w:b w:val="0"/>
          <w:szCs w:val="24"/>
          <w:vertAlign w:val="superscript"/>
        </w:rPr>
        <w:t>III</w:t>
      </w:r>
      <w:r w:rsidRPr="000E2377">
        <w:rPr>
          <w:rFonts w:cs="Times New Roman"/>
          <w:b w:val="0"/>
          <w:szCs w:val="24"/>
        </w:rPr>
        <w:t xml:space="preserve"> to B</w:t>
      </w:r>
      <w:r w:rsidR="00E10D9C" w:rsidRPr="000B016E">
        <w:rPr>
          <w:rFonts w:cs="Times New Roman"/>
          <w:b w:val="0"/>
          <w:szCs w:val="24"/>
          <w:vertAlign w:val="superscript"/>
        </w:rPr>
        <w:t>IV</w:t>
      </w:r>
      <w:r w:rsidRPr="000E2377">
        <w:rPr>
          <w:rFonts w:cs="Times New Roman"/>
          <w:b w:val="0"/>
          <w:szCs w:val="24"/>
        </w:rPr>
        <w:t>.</w:t>
      </w:r>
    </w:p>
    <w:p w14:paraId="0BCC9EED" w14:textId="77777777" w:rsidR="00D740DC" w:rsidRDefault="00D740DC" w:rsidP="00D740DC">
      <w:pPr>
        <w:spacing w:line="360" w:lineRule="auto"/>
        <w:contextualSpacing/>
        <w:jc w:val="both"/>
        <w:rPr>
          <w:rFonts w:cs="Times New Roman"/>
          <w:b w:val="0"/>
          <w:szCs w:val="24"/>
        </w:rPr>
      </w:pPr>
    </w:p>
    <w:p w14:paraId="43F9B2DA" w14:textId="4AFB0B36" w:rsidR="00D740DC" w:rsidRPr="000E2377" w:rsidRDefault="00D740DC" w:rsidP="00D740DC">
      <w:pPr>
        <w:spacing w:line="360" w:lineRule="auto"/>
        <w:jc w:val="both"/>
        <w:rPr>
          <w:rFonts w:cs="Times New Roman"/>
          <w:b w:val="0"/>
          <w:szCs w:val="24"/>
          <w:lang w:val="en-GB"/>
        </w:rPr>
      </w:pPr>
      <w:r>
        <w:rPr>
          <w:rFonts w:cs="Times New Roman"/>
          <w:b w:val="0"/>
          <w:szCs w:val="24"/>
          <w:lang w:val="en-GB"/>
        </w:rPr>
        <w:t>The summarise for Raman deconvolution is shown in Figure 4.24. However, due to the Al and B species also presents in the peak at wavenumber range 850-1200 cm</w:t>
      </w:r>
      <w:r w:rsidRPr="00DD2E2B">
        <w:rPr>
          <w:rFonts w:cs="Times New Roman"/>
          <w:b w:val="0"/>
          <w:szCs w:val="24"/>
          <w:vertAlign w:val="superscript"/>
          <w:lang w:val="en-GB"/>
        </w:rPr>
        <w:t>-1</w:t>
      </w:r>
      <w:r>
        <w:rPr>
          <w:rFonts w:cs="Times New Roman"/>
          <w:b w:val="0"/>
          <w:szCs w:val="24"/>
          <w:lang w:val="en-GB"/>
        </w:rPr>
        <w:t>, the summarize of the Q species based on silicate bonding are difficult to be used as acceptable data. However, to show the rough trend of Q species (</w:t>
      </w:r>
      <w:r w:rsidR="000D097B">
        <w:rPr>
          <w:rFonts w:cs="Times New Roman"/>
          <w:b w:val="0"/>
          <w:szCs w:val="24"/>
          <w:lang w:val="en-GB"/>
        </w:rPr>
        <w:t xml:space="preserve">with </w:t>
      </w:r>
      <w:r>
        <w:rPr>
          <w:rFonts w:cs="Times New Roman"/>
          <w:b w:val="0"/>
          <w:szCs w:val="24"/>
          <w:lang w:val="en-GB"/>
        </w:rPr>
        <w:t xml:space="preserve">ignored the </w:t>
      </w:r>
      <w:r w:rsidR="008C4D01">
        <w:rPr>
          <w:rFonts w:cs="Times New Roman"/>
          <w:b w:val="0"/>
          <w:szCs w:val="24"/>
          <w:lang w:val="en-GB"/>
        </w:rPr>
        <w:t xml:space="preserve">presence </w:t>
      </w:r>
      <w:r>
        <w:rPr>
          <w:rFonts w:cs="Times New Roman"/>
          <w:b w:val="0"/>
          <w:szCs w:val="24"/>
          <w:lang w:val="en-GB"/>
        </w:rPr>
        <w:t>of Al and B), the plotting w</w:t>
      </w:r>
      <w:r w:rsidR="008C4D01">
        <w:rPr>
          <w:rFonts w:cs="Times New Roman"/>
          <w:b w:val="0"/>
          <w:szCs w:val="24"/>
          <w:lang w:val="en-GB"/>
        </w:rPr>
        <w:t>as</w:t>
      </w:r>
      <w:r>
        <w:rPr>
          <w:rFonts w:cs="Times New Roman"/>
          <w:b w:val="0"/>
          <w:szCs w:val="24"/>
          <w:lang w:val="en-GB"/>
        </w:rPr>
        <w:t xml:space="preserve"> made. The polymerisation index </w:t>
      </w:r>
      <w:r w:rsidR="008C4D01">
        <w:rPr>
          <w:rFonts w:cs="Times New Roman"/>
          <w:b w:val="0"/>
          <w:szCs w:val="24"/>
          <w:lang w:val="en-GB"/>
        </w:rPr>
        <w:t xml:space="preserve">is </w:t>
      </w:r>
      <w:r>
        <w:rPr>
          <w:rFonts w:cs="Times New Roman"/>
          <w:b w:val="0"/>
          <w:szCs w:val="24"/>
          <w:lang w:val="en-GB"/>
        </w:rPr>
        <w:t>most useful in this condition due to the polymerisation index are based on the ratio of area under the peak.</w:t>
      </w:r>
    </w:p>
    <w:p w14:paraId="5D4F3D58" w14:textId="77777777" w:rsidR="00D740DC" w:rsidRDefault="00D740DC" w:rsidP="00D740DC">
      <w:pPr>
        <w:spacing w:line="360" w:lineRule="auto"/>
        <w:ind w:left="720"/>
        <w:contextualSpacing/>
        <w:jc w:val="center"/>
        <w:rPr>
          <w:rFonts w:cs="Times New Roman"/>
          <w:b w:val="0"/>
          <w:szCs w:val="24"/>
        </w:rPr>
      </w:pPr>
      <w:r w:rsidRPr="000E2377">
        <w:rPr>
          <w:noProof/>
          <w:lang w:eastAsia="en-MY"/>
        </w:rPr>
        <w:lastRenderedPageBreak/>
        <mc:AlternateContent>
          <mc:Choice Requires="wps">
            <w:drawing>
              <wp:anchor distT="0" distB="0" distL="114300" distR="114300" simplePos="0" relativeHeight="252454912" behindDoc="0" locked="0" layoutInCell="1" allowOverlap="1" wp14:anchorId="030E3063" wp14:editId="5263008F">
                <wp:simplePos x="0" y="0"/>
                <wp:positionH relativeFrom="margin">
                  <wp:posOffset>1152939</wp:posOffset>
                </wp:positionH>
                <wp:positionV relativeFrom="paragraph">
                  <wp:posOffset>-1353</wp:posOffset>
                </wp:positionV>
                <wp:extent cx="354842" cy="354842"/>
                <wp:effectExtent l="0" t="0" r="0" b="7620"/>
                <wp:wrapNone/>
                <wp:docPr id="212" name="Text Box 212"/>
                <wp:cNvGraphicFramePr/>
                <a:graphic xmlns:a="http://schemas.openxmlformats.org/drawingml/2006/main">
                  <a:graphicData uri="http://schemas.microsoft.com/office/word/2010/wordprocessingShape">
                    <wps:wsp>
                      <wps:cNvSpPr txBox="1"/>
                      <wps:spPr>
                        <a:xfrm>
                          <a:off x="0" y="0"/>
                          <a:ext cx="354842" cy="354842"/>
                        </a:xfrm>
                        <a:prstGeom prst="rect">
                          <a:avLst/>
                        </a:prstGeom>
                        <a:noFill/>
                        <a:ln w="6350">
                          <a:noFill/>
                        </a:ln>
                      </wps:spPr>
                      <wps:txbx>
                        <w:txbxContent>
                          <w:p w14:paraId="6FC40C94" w14:textId="77777777" w:rsidR="00230AB9" w:rsidRDefault="00230AB9" w:rsidP="00D740D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E3063" id="Text Box 212" o:spid="_x0000_s1352" type="#_x0000_t202" style="position:absolute;left:0;text-align:left;margin-left:90.8pt;margin-top:-.1pt;width:27.95pt;height:27.95pt;z-index:25245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" filled="f" stroked="f" strokeweight=".5pt">
                <v:textbox>
                  <w:txbxContent>
                    <w:p w14:paraId="6FC40C94" w14:textId="77777777" w:rsidR="00230AB9" w:rsidRDefault="00230AB9" w:rsidP="00D740DC">
                      <w:r>
                        <w:t>a)</w:t>
                      </w:r>
                    </w:p>
                  </w:txbxContent>
                </v:textbox>
                <w10:wrap anchorx="margin"/>
              </v:shape>
            </w:pict>
          </mc:Fallback>
        </mc:AlternateContent>
      </w:r>
      <w:r w:rsidRPr="00985BCA">
        <w:rPr>
          <w:noProof/>
          <w:lang w:eastAsia="en-MY"/>
        </w:rPr>
        <w:drawing>
          <wp:inline distT="0" distB="0" distL="0" distR="0" wp14:anchorId="3B194971" wp14:editId="54233636">
            <wp:extent cx="3104608" cy="2880000"/>
            <wp:effectExtent l="0" t="0" r="635" b="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104608" cy="2880000"/>
                    </a:xfrm>
                    <a:prstGeom prst="rect">
                      <a:avLst/>
                    </a:prstGeom>
                    <a:noFill/>
                    <a:ln>
                      <a:noFill/>
                    </a:ln>
                  </pic:spPr>
                </pic:pic>
              </a:graphicData>
            </a:graphic>
          </wp:inline>
        </w:drawing>
      </w:r>
    </w:p>
    <w:p w14:paraId="43F1453D" w14:textId="77777777" w:rsidR="00D740DC" w:rsidRDefault="00D740DC" w:rsidP="00D740DC">
      <w:pPr>
        <w:spacing w:line="360" w:lineRule="auto"/>
        <w:ind w:left="720"/>
        <w:contextualSpacing/>
        <w:jc w:val="center"/>
        <w:rPr>
          <w:rFonts w:cs="Times New Roman"/>
          <w:b w:val="0"/>
          <w:szCs w:val="24"/>
        </w:rPr>
      </w:pPr>
    </w:p>
    <w:p w14:paraId="19FA210F" w14:textId="77777777" w:rsidR="00D740DC" w:rsidRDefault="00D740DC" w:rsidP="00D740DC">
      <w:pPr>
        <w:spacing w:line="360" w:lineRule="auto"/>
        <w:ind w:left="720"/>
        <w:contextualSpacing/>
        <w:jc w:val="center"/>
        <w:rPr>
          <w:rFonts w:cs="Times New Roman"/>
          <w:b w:val="0"/>
          <w:szCs w:val="24"/>
        </w:rPr>
      </w:pPr>
      <w:r w:rsidRPr="000E2377">
        <w:rPr>
          <w:noProof/>
          <w:lang w:eastAsia="en-MY"/>
        </w:rPr>
        <mc:AlternateContent>
          <mc:Choice Requires="wps">
            <w:drawing>
              <wp:anchor distT="0" distB="0" distL="114300" distR="114300" simplePos="0" relativeHeight="252453888" behindDoc="0" locked="0" layoutInCell="1" allowOverlap="1" wp14:anchorId="65E39E5D" wp14:editId="683F5370">
                <wp:simplePos x="0" y="0"/>
                <wp:positionH relativeFrom="column">
                  <wp:posOffset>2812775</wp:posOffset>
                </wp:positionH>
                <wp:positionV relativeFrom="paragraph">
                  <wp:posOffset>1938130</wp:posOffset>
                </wp:positionV>
                <wp:extent cx="1563342" cy="29818"/>
                <wp:effectExtent l="0" t="0" r="37465" b="27940"/>
                <wp:wrapNone/>
                <wp:docPr id="2075" name="Straight Connector 2075"/>
                <wp:cNvGraphicFramePr/>
                <a:graphic xmlns:a="http://schemas.openxmlformats.org/drawingml/2006/main">
                  <a:graphicData uri="http://schemas.microsoft.com/office/word/2010/wordprocessingShape">
                    <wps:wsp>
                      <wps:cNvCnPr/>
                      <wps:spPr>
                        <a:xfrm flipV="1">
                          <a:off x="0" y="0"/>
                          <a:ext cx="1563342" cy="29818"/>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2A1A9180" id="Straight Connector 2075" o:spid="_x0000_s1026" style="position:absolute;flip:y;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5pt,152.6pt" to="344.6pt,15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">
                <v:stroke dashstyle="dash"/>
              </v:line>
            </w:pict>
          </mc:Fallback>
        </mc:AlternateContent>
      </w:r>
      <w:r w:rsidRPr="000E2377">
        <w:rPr>
          <w:noProof/>
          <w:lang w:eastAsia="en-MY"/>
        </w:rPr>
        <mc:AlternateContent>
          <mc:Choice Requires="wps">
            <w:drawing>
              <wp:anchor distT="0" distB="0" distL="114300" distR="114300" simplePos="0" relativeHeight="252445696" behindDoc="0" locked="0" layoutInCell="1" allowOverlap="1" wp14:anchorId="6070E0FA" wp14:editId="6573C93C">
                <wp:simplePos x="0" y="0"/>
                <wp:positionH relativeFrom="column">
                  <wp:posOffset>2097157</wp:posOffset>
                </wp:positionH>
                <wp:positionV relativeFrom="paragraph">
                  <wp:posOffset>1461051</wp:posOffset>
                </wp:positionV>
                <wp:extent cx="705678" cy="536713"/>
                <wp:effectExtent l="0" t="0" r="37465" b="34925"/>
                <wp:wrapNone/>
                <wp:docPr id="1769" name="Straight Connector 1769"/>
                <wp:cNvGraphicFramePr/>
                <a:graphic xmlns:a="http://schemas.openxmlformats.org/drawingml/2006/main">
                  <a:graphicData uri="http://schemas.microsoft.com/office/word/2010/wordprocessingShape">
                    <wps:wsp>
                      <wps:cNvCnPr/>
                      <wps:spPr>
                        <a:xfrm>
                          <a:off x="0" y="0"/>
                          <a:ext cx="705678" cy="536713"/>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626344" id="Straight Connector 1769" o:spid="_x0000_s1026" style="position:absolute;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15pt,115.05pt" to="220.7pt,1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" strokecolor="black [3040]">
                <v:stroke dashstyle="dash"/>
              </v:line>
            </w:pict>
          </mc:Fallback>
        </mc:AlternateContent>
      </w:r>
      <w:r w:rsidRPr="000E2377">
        <w:rPr>
          <w:noProof/>
          <w:lang w:eastAsia="en-MY"/>
        </w:rPr>
        <mc:AlternateContent>
          <mc:Choice Requires="wps">
            <w:drawing>
              <wp:anchor distT="0" distB="0" distL="114300" distR="114300" simplePos="0" relativeHeight="252455936" behindDoc="0" locked="0" layoutInCell="1" allowOverlap="1" wp14:anchorId="25FBEAA6" wp14:editId="4C65B2B4">
                <wp:simplePos x="0" y="0"/>
                <wp:positionH relativeFrom="margin">
                  <wp:posOffset>1133061</wp:posOffset>
                </wp:positionH>
                <wp:positionV relativeFrom="paragraph">
                  <wp:posOffset>0</wp:posOffset>
                </wp:positionV>
                <wp:extent cx="354842" cy="354842"/>
                <wp:effectExtent l="0" t="0" r="0" b="7620"/>
                <wp:wrapNone/>
                <wp:docPr id="213" name="Text Box 213"/>
                <wp:cNvGraphicFramePr/>
                <a:graphic xmlns:a="http://schemas.openxmlformats.org/drawingml/2006/main">
                  <a:graphicData uri="http://schemas.microsoft.com/office/word/2010/wordprocessingShape">
                    <wps:wsp>
                      <wps:cNvSpPr txBox="1"/>
                      <wps:spPr>
                        <a:xfrm>
                          <a:off x="0" y="0"/>
                          <a:ext cx="354842" cy="354842"/>
                        </a:xfrm>
                        <a:prstGeom prst="rect">
                          <a:avLst/>
                        </a:prstGeom>
                        <a:noFill/>
                        <a:ln w="6350">
                          <a:noFill/>
                        </a:ln>
                      </wps:spPr>
                      <wps:txbx>
                        <w:txbxContent>
                          <w:p w14:paraId="21961F16" w14:textId="77777777" w:rsidR="00230AB9" w:rsidRDefault="00230AB9" w:rsidP="00D740D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BEAA6" id="Text Box 213" o:spid="_x0000_s1353" type="#_x0000_t202" style="position:absolute;left:0;text-align:left;margin-left:89.2pt;margin-top:0;width:27.95pt;height:27.95pt;z-index:25245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" filled="f" stroked="f" strokeweight=".5pt">
                <v:textbox>
                  <w:txbxContent>
                    <w:p w14:paraId="21961F16" w14:textId="77777777" w:rsidR="00230AB9" w:rsidRDefault="00230AB9" w:rsidP="00D740DC">
                      <w:r>
                        <w:t>b)</w:t>
                      </w:r>
                    </w:p>
                  </w:txbxContent>
                </v:textbox>
                <w10:wrap anchorx="margin"/>
              </v:shape>
            </w:pict>
          </mc:Fallback>
        </mc:AlternateContent>
      </w:r>
      <w:r w:rsidRPr="00892E08">
        <w:rPr>
          <w:noProof/>
          <w:lang w:eastAsia="en-MY"/>
        </w:rPr>
        <w:drawing>
          <wp:inline distT="0" distB="0" distL="0" distR="0" wp14:anchorId="74857968" wp14:editId="3F8F78B4">
            <wp:extent cx="3915363" cy="3600000"/>
            <wp:effectExtent l="0" t="0" r="9525" b="635"/>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915363" cy="3600000"/>
                    </a:xfrm>
                    <a:prstGeom prst="rect">
                      <a:avLst/>
                    </a:prstGeom>
                    <a:noFill/>
                    <a:ln>
                      <a:noFill/>
                    </a:ln>
                  </pic:spPr>
                </pic:pic>
              </a:graphicData>
            </a:graphic>
          </wp:inline>
        </w:drawing>
      </w:r>
    </w:p>
    <w:p w14:paraId="2BD30582" w14:textId="6277CFBD" w:rsidR="00D740DC" w:rsidRPr="000E2377" w:rsidRDefault="00D740DC" w:rsidP="00D740DC">
      <w:pPr>
        <w:pStyle w:val="Caption"/>
        <w:rPr>
          <w:szCs w:val="24"/>
        </w:rPr>
      </w:pPr>
      <w:r w:rsidRPr="000E2377">
        <w:t xml:space="preserve">Figure </w:t>
      </w:r>
      <w:r w:rsidR="009F4E44">
        <w:t xml:space="preserve">4.24: </w:t>
      </w:r>
      <w:r w:rsidRPr="000E2377">
        <w:rPr>
          <w:rFonts w:eastAsia="Times New Roman"/>
          <w:color w:val="000000"/>
          <w:szCs w:val="24"/>
          <w:lang w:eastAsia="en-MY"/>
        </w:rPr>
        <w:t>Deconvolution results of 850-1200 cm</w:t>
      </w:r>
      <w:r w:rsidRPr="000E2377">
        <w:rPr>
          <w:rFonts w:eastAsia="Times New Roman"/>
          <w:color w:val="000000"/>
          <w:szCs w:val="24"/>
          <w:vertAlign w:val="superscript"/>
          <w:lang w:eastAsia="en-MY"/>
        </w:rPr>
        <w:t>-1</w:t>
      </w:r>
      <w:r w:rsidRPr="000E2377">
        <w:rPr>
          <w:rFonts w:eastAsia="Times New Roman"/>
          <w:color w:val="000000"/>
          <w:szCs w:val="24"/>
          <w:lang w:eastAsia="en-MY"/>
        </w:rPr>
        <w:t xml:space="preserve"> band region with total amount of charge balance in </w:t>
      </w:r>
      <w:r w:rsidR="008C4D01">
        <w:rPr>
          <w:rFonts w:eastAsia="Times New Roman"/>
          <w:color w:val="000000"/>
          <w:szCs w:val="24"/>
          <w:lang w:eastAsia="en-MY"/>
        </w:rPr>
        <w:t xml:space="preserve">the </w:t>
      </w:r>
      <w:r w:rsidRPr="000E2377">
        <w:rPr>
          <w:rFonts w:eastAsia="Times New Roman"/>
          <w:color w:val="000000"/>
          <w:szCs w:val="24"/>
          <w:lang w:eastAsia="en-MY"/>
        </w:rPr>
        <w:t xml:space="preserve">composition of all series  </w:t>
      </w:r>
      <w:r w:rsidRPr="000E2377">
        <w:rPr>
          <w:szCs w:val="24"/>
        </w:rPr>
        <w:t>a) Q</w:t>
      </w:r>
      <w:r w:rsidRPr="000E2377">
        <w:rPr>
          <w:szCs w:val="24"/>
          <w:vertAlign w:val="superscript"/>
        </w:rPr>
        <w:t>2</w:t>
      </w:r>
      <w:r w:rsidRPr="000E2377">
        <w:rPr>
          <w:szCs w:val="24"/>
          <w:vertAlign w:val="subscript"/>
        </w:rPr>
        <w:t xml:space="preserve"> </w:t>
      </w:r>
      <w:r w:rsidRPr="000E2377">
        <w:rPr>
          <w:szCs w:val="24"/>
        </w:rPr>
        <w:t>b) Q</w:t>
      </w:r>
      <w:r w:rsidRPr="000E2377">
        <w:rPr>
          <w:szCs w:val="24"/>
          <w:vertAlign w:val="superscript"/>
        </w:rPr>
        <w:t>3</w:t>
      </w:r>
      <w:r w:rsidRPr="000E2377">
        <w:rPr>
          <w:szCs w:val="24"/>
        </w:rPr>
        <w:t xml:space="preserve"> and c) Q</w:t>
      </w:r>
      <w:r w:rsidRPr="000E2377">
        <w:rPr>
          <w:szCs w:val="24"/>
          <w:vertAlign w:val="superscript"/>
        </w:rPr>
        <w:t>4</w:t>
      </w:r>
      <w:r>
        <w:rPr>
          <w:szCs w:val="24"/>
        </w:rPr>
        <w:t>.</w:t>
      </w:r>
      <w:r>
        <w:rPr>
          <w:szCs w:val="24"/>
          <w:vertAlign w:val="superscript"/>
        </w:rPr>
        <w:t xml:space="preserve"> </w:t>
      </w:r>
      <w:r>
        <w:rPr>
          <w:szCs w:val="24"/>
        </w:rPr>
        <w:t>(</w:t>
      </w:r>
      <w:r w:rsidRPr="00D55E62">
        <w:rPr>
          <w:i/>
          <w:szCs w:val="24"/>
        </w:rPr>
        <w:t>Continue</w:t>
      </w:r>
      <w:r>
        <w:rPr>
          <w:i/>
          <w:szCs w:val="24"/>
        </w:rPr>
        <w:t>d on</w:t>
      </w:r>
      <w:r w:rsidRPr="00D55E62">
        <w:rPr>
          <w:i/>
          <w:szCs w:val="24"/>
        </w:rPr>
        <w:t xml:space="preserve"> next page</w:t>
      </w:r>
      <w:r>
        <w:rPr>
          <w:szCs w:val="24"/>
        </w:rPr>
        <w:t>)</w:t>
      </w:r>
      <w:r w:rsidRPr="000E2377">
        <w:rPr>
          <w:szCs w:val="24"/>
          <w:vertAlign w:val="subscript"/>
        </w:rPr>
        <w:t xml:space="preserve"> </w:t>
      </w:r>
    </w:p>
    <w:p w14:paraId="59870386" w14:textId="77777777" w:rsidR="00D740DC" w:rsidRDefault="00D740DC" w:rsidP="00D740DC">
      <w:pPr>
        <w:spacing w:line="360" w:lineRule="auto"/>
        <w:ind w:left="720"/>
        <w:contextualSpacing/>
        <w:jc w:val="center"/>
        <w:rPr>
          <w:rFonts w:cs="Times New Roman"/>
          <w:b w:val="0"/>
          <w:szCs w:val="24"/>
        </w:rPr>
      </w:pPr>
    </w:p>
    <w:p w14:paraId="2B9F0778" w14:textId="77777777" w:rsidR="00D740DC" w:rsidRPr="000E2377" w:rsidRDefault="00D740DC" w:rsidP="00D740DC">
      <w:pPr>
        <w:spacing w:line="360" w:lineRule="auto"/>
        <w:ind w:left="720"/>
        <w:contextualSpacing/>
        <w:jc w:val="center"/>
        <w:rPr>
          <w:rFonts w:cs="Times New Roman"/>
          <w:b w:val="0"/>
          <w:szCs w:val="24"/>
        </w:rPr>
      </w:pPr>
      <w:r w:rsidRPr="000E2377">
        <w:rPr>
          <w:noProof/>
          <w:lang w:eastAsia="en-MY"/>
        </w:rPr>
        <w:lastRenderedPageBreak/>
        <mc:AlternateContent>
          <mc:Choice Requires="wps">
            <w:drawing>
              <wp:anchor distT="0" distB="0" distL="114300" distR="114300" simplePos="0" relativeHeight="252268544" behindDoc="0" locked="0" layoutInCell="1" allowOverlap="1" wp14:anchorId="7E1656D8" wp14:editId="3A0EAB48">
                <wp:simplePos x="0" y="0"/>
                <wp:positionH relativeFrom="column">
                  <wp:posOffset>1149322</wp:posOffset>
                </wp:positionH>
                <wp:positionV relativeFrom="paragraph">
                  <wp:posOffset>11430</wp:posOffset>
                </wp:positionV>
                <wp:extent cx="354842" cy="354842"/>
                <wp:effectExtent l="0" t="0" r="0" b="7620"/>
                <wp:wrapNone/>
                <wp:docPr id="217" name="Text Box 217"/>
                <wp:cNvGraphicFramePr/>
                <a:graphic xmlns:a="http://schemas.openxmlformats.org/drawingml/2006/main">
                  <a:graphicData uri="http://schemas.microsoft.com/office/word/2010/wordprocessingShape">
                    <wps:wsp>
                      <wps:cNvSpPr txBox="1"/>
                      <wps:spPr>
                        <a:xfrm>
                          <a:off x="0" y="0"/>
                          <a:ext cx="354842" cy="354842"/>
                        </a:xfrm>
                        <a:prstGeom prst="rect">
                          <a:avLst/>
                        </a:prstGeom>
                        <a:noFill/>
                        <a:ln w="6350">
                          <a:noFill/>
                        </a:ln>
                      </wps:spPr>
                      <wps:txbx>
                        <w:txbxContent>
                          <w:p w14:paraId="27F0C015" w14:textId="77777777" w:rsidR="00230AB9" w:rsidRDefault="00230AB9" w:rsidP="00D740DC">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656D8" id="Text Box 217" o:spid="_x0000_s1354" type="#_x0000_t202" style="position:absolute;left:0;text-align:left;margin-left:90.5pt;margin-top:.9pt;width:27.95pt;height:27.9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" filled="f" stroked="f" strokeweight=".5pt">
                <v:textbox>
                  <w:txbxContent>
                    <w:p w14:paraId="27F0C015" w14:textId="77777777" w:rsidR="00230AB9" w:rsidRDefault="00230AB9" w:rsidP="00D740DC">
                      <w:r>
                        <w:t>c)</w:t>
                      </w:r>
                    </w:p>
                  </w:txbxContent>
                </v:textbox>
              </v:shape>
            </w:pict>
          </mc:Fallback>
        </mc:AlternateContent>
      </w:r>
      <w:r w:rsidRPr="00892E08">
        <w:rPr>
          <w:noProof/>
          <w:lang w:eastAsia="en-MY"/>
        </w:rPr>
        <w:drawing>
          <wp:inline distT="0" distB="0" distL="0" distR="0" wp14:anchorId="5FCDCB16" wp14:editId="74F4F457">
            <wp:extent cx="4004634" cy="3600000"/>
            <wp:effectExtent l="0" t="0" r="0" b="635"/>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004634" cy="3600000"/>
                    </a:xfrm>
                    <a:prstGeom prst="rect">
                      <a:avLst/>
                    </a:prstGeom>
                    <a:noFill/>
                    <a:ln>
                      <a:noFill/>
                    </a:ln>
                  </pic:spPr>
                </pic:pic>
              </a:graphicData>
            </a:graphic>
          </wp:inline>
        </w:drawing>
      </w:r>
    </w:p>
    <w:bookmarkEnd w:id="774"/>
    <w:p w14:paraId="0EEE4DA1" w14:textId="77777777" w:rsidR="00D740DC" w:rsidRPr="000E2377" w:rsidRDefault="00D740DC" w:rsidP="00D740DC">
      <w:pPr>
        <w:spacing w:after="0" w:line="360" w:lineRule="auto"/>
        <w:jc w:val="center"/>
        <w:rPr>
          <w:rFonts w:eastAsia="Times New Roman" w:cs="Times New Roman"/>
          <w:b w:val="0"/>
          <w:color w:val="000000"/>
          <w:szCs w:val="24"/>
          <w:vertAlign w:val="subscript"/>
          <w:lang w:eastAsia="en-MY"/>
        </w:rPr>
      </w:pPr>
      <w:r w:rsidRPr="000E2377">
        <w:rPr>
          <w:rFonts w:eastAsia="Times New Roman" w:cs="Times New Roman"/>
          <w:b w:val="0"/>
          <w:color w:val="000000"/>
          <w:szCs w:val="24"/>
          <w:vertAlign w:val="subscript"/>
          <w:lang w:eastAsia="en-MY"/>
        </w:rPr>
        <w:t xml:space="preserve">    </w:t>
      </w:r>
    </w:p>
    <w:p w14:paraId="6724D474" w14:textId="220E9066" w:rsidR="00D740DC" w:rsidRPr="000E2377" w:rsidRDefault="009F4E44" w:rsidP="00D740DC">
      <w:pPr>
        <w:pStyle w:val="Caption"/>
        <w:rPr>
          <w:szCs w:val="24"/>
        </w:rPr>
      </w:pPr>
      <w:bookmarkStart w:id="775" w:name="_Toc521420488"/>
      <w:bookmarkStart w:id="776" w:name="_Toc525223222"/>
      <w:bookmarkStart w:id="777" w:name="_Toc525528369"/>
      <w:bookmarkStart w:id="778" w:name="_Toc525706384"/>
      <w:bookmarkStart w:id="779" w:name="_Hlk515396565"/>
      <w:r>
        <w:t>Figure 4.24:</w:t>
      </w:r>
      <w:r w:rsidR="00D740DC" w:rsidRPr="000E2377">
        <w:t xml:space="preserve"> </w:t>
      </w:r>
      <w:r w:rsidR="00D740DC" w:rsidRPr="000E2377">
        <w:rPr>
          <w:rFonts w:eastAsia="Times New Roman"/>
          <w:color w:val="000000"/>
          <w:szCs w:val="24"/>
          <w:lang w:eastAsia="en-MY"/>
        </w:rPr>
        <w:t>Deconvolution results of 850-1200 cm</w:t>
      </w:r>
      <w:r w:rsidR="00D740DC" w:rsidRPr="000E2377">
        <w:rPr>
          <w:rFonts w:eastAsia="Times New Roman"/>
          <w:color w:val="000000"/>
          <w:szCs w:val="24"/>
          <w:vertAlign w:val="superscript"/>
          <w:lang w:eastAsia="en-MY"/>
        </w:rPr>
        <w:t>-1</w:t>
      </w:r>
      <w:r w:rsidR="00D740DC" w:rsidRPr="000E2377">
        <w:rPr>
          <w:rFonts w:eastAsia="Times New Roman"/>
          <w:color w:val="000000"/>
          <w:szCs w:val="24"/>
          <w:lang w:eastAsia="en-MY"/>
        </w:rPr>
        <w:t xml:space="preserve"> band region with total amount of charge balance in </w:t>
      </w:r>
      <w:r w:rsidR="000D097B">
        <w:rPr>
          <w:rFonts w:eastAsia="Times New Roman"/>
          <w:color w:val="000000"/>
          <w:szCs w:val="24"/>
          <w:lang w:eastAsia="en-MY"/>
        </w:rPr>
        <w:t xml:space="preserve">the </w:t>
      </w:r>
      <w:r w:rsidR="00D740DC" w:rsidRPr="000E2377">
        <w:rPr>
          <w:rFonts w:eastAsia="Times New Roman"/>
          <w:color w:val="000000"/>
          <w:szCs w:val="24"/>
          <w:lang w:eastAsia="en-MY"/>
        </w:rPr>
        <w:t xml:space="preserve">composition of all series  </w:t>
      </w:r>
      <w:r w:rsidR="00D740DC" w:rsidRPr="000E2377">
        <w:rPr>
          <w:szCs w:val="24"/>
        </w:rPr>
        <w:t>a) Q</w:t>
      </w:r>
      <w:r w:rsidR="00D740DC" w:rsidRPr="000E2377">
        <w:rPr>
          <w:szCs w:val="24"/>
          <w:vertAlign w:val="superscript"/>
        </w:rPr>
        <w:t>2</w:t>
      </w:r>
      <w:r w:rsidR="00D740DC" w:rsidRPr="000E2377">
        <w:rPr>
          <w:szCs w:val="24"/>
          <w:vertAlign w:val="subscript"/>
        </w:rPr>
        <w:t xml:space="preserve"> </w:t>
      </w:r>
      <w:r w:rsidR="00D740DC" w:rsidRPr="000E2377">
        <w:rPr>
          <w:szCs w:val="24"/>
        </w:rPr>
        <w:t>b) Q</w:t>
      </w:r>
      <w:r w:rsidR="00D740DC" w:rsidRPr="000E2377">
        <w:rPr>
          <w:szCs w:val="24"/>
          <w:vertAlign w:val="superscript"/>
        </w:rPr>
        <w:t>3</w:t>
      </w:r>
      <w:r w:rsidR="00D740DC" w:rsidRPr="000E2377">
        <w:rPr>
          <w:szCs w:val="24"/>
        </w:rPr>
        <w:t xml:space="preserve"> and c) Q</w:t>
      </w:r>
      <w:r w:rsidR="00D740DC" w:rsidRPr="000E2377">
        <w:rPr>
          <w:szCs w:val="24"/>
          <w:vertAlign w:val="superscript"/>
        </w:rPr>
        <w:t>4</w:t>
      </w:r>
      <w:r w:rsidR="00D740DC" w:rsidRPr="000E2377">
        <w:rPr>
          <w:szCs w:val="24"/>
        </w:rPr>
        <w:t>.</w:t>
      </w:r>
      <w:bookmarkEnd w:id="775"/>
      <w:bookmarkEnd w:id="776"/>
      <w:bookmarkEnd w:id="777"/>
      <w:bookmarkEnd w:id="778"/>
      <w:r w:rsidR="00D740DC" w:rsidRPr="000E2377">
        <w:rPr>
          <w:szCs w:val="24"/>
          <w:vertAlign w:val="subscript"/>
        </w:rPr>
        <w:t xml:space="preserve"> </w:t>
      </w:r>
    </w:p>
    <w:bookmarkEnd w:id="779"/>
    <w:p w14:paraId="0AF76479" w14:textId="77777777" w:rsidR="00D740DC" w:rsidRPr="000E2377" w:rsidRDefault="00D740DC" w:rsidP="00D740DC">
      <w:pPr>
        <w:jc w:val="both"/>
        <w:rPr>
          <w:rFonts w:cs="Times New Roman"/>
          <w:b w:val="0"/>
          <w:szCs w:val="24"/>
          <w:lang w:val="en-GB"/>
        </w:rPr>
      </w:pPr>
    </w:p>
    <w:p w14:paraId="4FD632E0" w14:textId="77777777" w:rsidR="00D740DC" w:rsidRPr="000E2377" w:rsidRDefault="00D740DC" w:rsidP="00D740DC">
      <w:pPr>
        <w:jc w:val="both"/>
        <w:rPr>
          <w:rFonts w:cs="Times New Roman"/>
          <w:b w:val="0"/>
          <w:szCs w:val="24"/>
          <w:lang w:val="en-GB"/>
        </w:rPr>
      </w:pPr>
      <w:r w:rsidRPr="000E2377">
        <w:rPr>
          <w:rFonts w:cs="Times New Roman"/>
          <w:b w:val="0"/>
          <w:szCs w:val="24"/>
          <w:lang w:val="en-GB"/>
        </w:rPr>
        <w:t>The deconvolution results in Figure 4.2</w:t>
      </w:r>
      <w:r>
        <w:rPr>
          <w:rFonts w:cs="Times New Roman"/>
          <w:b w:val="0"/>
          <w:szCs w:val="24"/>
          <w:lang w:val="en-GB"/>
        </w:rPr>
        <w:t>4</w:t>
      </w:r>
      <w:r w:rsidRPr="000E2377">
        <w:rPr>
          <w:rFonts w:cs="Times New Roman"/>
          <w:b w:val="0"/>
          <w:szCs w:val="24"/>
          <w:lang w:val="en-GB"/>
        </w:rPr>
        <w:t xml:space="preserve"> shows that:</w:t>
      </w:r>
    </w:p>
    <w:p w14:paraId="676A88B3" w14:textId="77777777" w:rsidR="00D740DC" w:rsidRPr="000E2377" w:rsidRDefault="00D740DC" w:rsidP="00D740DC">
      <w:pPr>
        <w:numPr>
          <w:ilvl w:val="0"/>
          <w:numId w:val="7"/>
        </w:numPr>
        <w:spacing w:line="360" w:lineRule="auto"/>
        <w:contextualSpacing/>
        <w:jc w:val="both"/>
        <w:rPr>
          <w:b w:val="0"/>
        </w:rPr>
      </w:pPr>
      <w:r w:rsidRPr="000E2377">
        <w:rPr>
          <w:rFonts w:cs="Times New Roman"/>
          <w:b w:val="0"/>
          <w:szCs w:val="24"/>
          <w:lang w:val="en-GB"/>
        </w:rPr>
        <w:t>The amount of Q</w:t>
      </w:r>
      <w:r w:rsidRPr="000E2377">
        <w:rPr>
          <w:rFonts w:cs="Times New Roman"/>
          <w:b w:val="0"/>
          <w:szCs w:val="24"/>
          <w:vertAlign w:val="superscript"/>
          <w:lang w:val="en-GB"/>
        </w:rPr>
        <w:t>2</w:t>
      </w:r>
      <w:r w:rsidRPr="000E2377">
        <w:rPr>
          <w:rFonts w:cs="Times New Roman"/>
          <w:b w:val="0"/>
          <w:szCs w:val="24"/>
          <w:lang w:val="en-GB"/>
        </w:rPr>
        <w:t xml:space="preserve"> species was low </w:t>
      </w:r>
      <w:r>
        <w:rPr>
          <w:rFonts w:cs="Times New Roman"/>
          <w:b w:val="0"/>
          <w:szCs w:val="24"/>
          <w:lang w:val="en-GB"/>
        </w:rPr>
        <w:t xml:space="preserve">which mostly below than 5 </w:t>
      </w:r>
      <w:r w:rsidRPr="000E2377">
        <w:rPr>
          <w:rFonts w:cs="Times New Roman"/>
          <w:b w:val="0"/>
          <w:szCs w:val="24"/>
          <w:lang w:val="en-GB"/>
        </w:rPr>
        <w:t xml:space="preserve">and near zero except for the glasses with a positive total charge balance i.e. glasses where increased NBO formation is expected. </w:t>
      </w:r>
    </w:p>
    <w:p w14:paraId="7D0B263F" w14:textId="00500CC1" w:rsidR="00D740DC" w:rsidRPr="000E2377" w:rsidRDefault="00D740DC" w:rsidP="00D740DC">
      <w:pPr>
        <w:numPr>
          <w:ilvl w:val="0"/>
          <w:numId w:val="7"/>
        </w:numPr>
        <w:spacing w:line="360" w:lineRule="auto"/>
        <w:contextualSpacing/>
        <w:jc w:val="both"/>
        <w:rPr>
          <w:b w:val="0"/>
        </w:rPr>
      </w:pPr>
      <w:r>
        <w:rPr>
          <w:b w:val="0"/>
        </w:rPr>
        <w:t xml:space="preserve">There is no strong trend in the amount of </w:t>
      </w:r>
      <w:r w:rsidRPr="000E2377">
        <w:rPr>
          <w:b w:val="0"/>
        </w:rPr>
        <w:t>Q</w:t>
      </w:r>
      <w:r w:rsidRPr="000E2377">
        <w:rPr>
          <w:b w:val="0"/>
          <w:vertAlign w:val="superscript"/>
        </w:rPr>
        <w:t>3</w:t>
      </w:r>
      <w:r w:rsidRPr="000E2377">
        <w:rPr>
          <w:b w:val="0"/>
        </w:rPr>
        <w:t xml:space="preserve"> </w:t>
      </w:r>
      <w:r>
        <w:rPr>
          <w:b w:val="0"/>
        </w:rPr>
        <w:t>with</w:t>
      </w:r>
      <w:r w:rsidRPr="000E2377">
        <w:rPr>
          <w:b w:val="0"/>
        </w:rPr>
        <w:t xml:space="preserve"> increasing charge balance</w:t>
      </w:r>
      <w:r>
        <w:rPr>
          <w:b w:val="0"/>
        </w:rPr>
        <w:t>, although there is a slight tendency for Q</w:t>
      </w:r>
      <w:r>
        <w:rPr>
          <w:b w:val="0"/>
          <w:vertAlign w:val="superscript"/>
        </w:rPr>
        <w:t>3</w:t>
      </w:r>
      <w:r>
        <w:rPr>
          <w:b w:val="0"/>
        </w:rPr>
        <w:t xml:space="preserve"> to decrease</w:t>
      </w:r>
      <w:r w:rsidRPr="000E2377">
        <w:rPr>
          <w:b w:val="0"/>
        </w:rPr>
        <w:t xml:space="preserve">. </w:t>
      </w:r>
      <w:r>
        <w:rPr>
          <w:b w:val="0"/>
        </w:rPr>
        <w:t>F</w:t>
      </w:r>
      <w:r w:rsidRPr="000E2377">
        <w:rPr>
          <w:b w:val="0"/>
        </w:rPr>
        <w:t xml:space="preserve">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y</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78-x-y</w:t>
      </w:r>
      <w:r w:rsidRPr="000E2377" w:rsidDel="00F82E31">
        <w:rPr>
          <w:rFonts w:cs="Times New Roman"/>
          <w:b w:val="0"/>
          <w:szCs w:val="24"/>
          <w:lang w:val="en-GB"/>
        </w:rPr>
        <w:t xml:space="preserve"> </w:t>
      </w:r>
      <w:r w:rsidRPr="000E2377">
        <w:rPr>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78-x</w:t>
      </w:r>
      <w:r w:rsidR="008C4D01">
        <w:rPr>
          <w:rFonts w:eastAsia="Times New Roman" w:cs="Times New Roman"/>
          <w:b w:val="0"/>
          <w:color w:val="000000"/>
          <w:szCs w:val="24"/>
          <w:lang w:eastAsia="en-MY"/>
        </w:rPr>
        <w:t>,</w:t>
      </w:r>
      <w:r>
        <w:rPr>
          <w:b w:val="0"/>
        </w:rPr>
        <w:t xml:space="preserve"> the amount of </w:t>
      </w:r>
      <w:r w:rsidRPr="000E2377">
        <w:rPr>
          <w:b w:val="0"/>
        </w:rPr>
        <w:t>Q</w:t>
      </w:r>
      <w:r w:rsidRPr="000E2377">
        <w:rPr>
          <w:b w:val="0"/>
          <w:vertAlign w:val="superscript"/>
        </w:rPr>
        <w:t>3</w:t>
      </w:r>
      <w:r w:rsidRPr="000E2377">
        <w:rPr>
          <w:b w:val="0"/>
        </w:rPr>
        <w:t xml:space="preserve"> increased</w:t>
      </w:r>
      <w:r>
        <w:rPr>
          <w:b w:val="0"/>
        </w:rPr>
        <w:t xml:space="preserve"> with increasing network charge balance</w:t>
      </w:r>
      <w:r w:rsidRPr="000E2377">
        <w:rPr>
          <w:b w:val="0"/>
        </w:rPr>
        <w:t>.</w:t>
      </w:r>
    </w:p>
    <w:p w14:paraId="2FC73C51" w14:textId="7303B106" w:rsidR="00D740DC" w:rsidRPr="000E2377" w:rsidRDefault="00D740DC" w:rsidP="00D740DC">
      <w:pPr>
        <w:numPr>
          <w:ilvl w:val="0"/>
          <w:numId w:val="7"/>
        </w:numPr>
        <w:spacing w:line="360" w:lineRule="auto"/>
        <w:contextualSpacing/>
        <w:jc w:val="both"/>
        <w:rPr>
          <w:b w:val="0"/>
        </w:rPr>
      </w:pPr>
      <w:r w:rsidRPr="000E2377">
        <w:rPr>
          <w:b w:val="0"/>
        </w:rPr>
        <w:t>Q</w:t>
      </w:r>
      <w:r w:rsidRPr="000E2377">
        <w:rPr>
          <w:b w:val="0"/>
          <w:vertAlign w:val="superscript"/>
        </w:rPr>
        <w:t xml:space="preserve">4 </w:t>
      </w:r>
      <w:r w:rsidRPr="000E2377">
        <w:rPr>
          <w:b w:val="0"/>
        </w:rPr>
        <w:t xml:space="preserve">also did </w:t>
      </w:r>
      <w:r>
        <w:rPr>
          <w:b w:val="0"/>
        </w:rPr>
        <w:t>show a strong trend</w:t>
      </w:r>
      <w:r w:rsidR="002337E8">
        <w:rPr>
          <w:b w:val="0"/>
        </w:rPr>
        <w:t>.</w:t>
      </w:r>
      <w:r>
        <w:rPr>
          <w:b w:val="0"/>
        </w:rPr>
        <w:t xml:space="preserve"> </w:t>
      </w:r>
      <w:r w:rsidR="002337E8">
        <w:rPr>
          <w:b w:val="0"/>
        </w:rPr>
        <w:t>H</w:t>
      </w:r>
      <w:r w:rsidR="002337E8" w:rsidRPr="000E2377">
        <w:rPr>
          <w:b w:val="0"/>
        </w:rPr>
        <w:t>owever</w:t>
      </w:r>
      <w:r w:rsidR="002337E8">
        <w:rPr>
          <w:b w:val="0"/>
        </w:rPr>
        <w:t>,</w:t>
      </w:r>
      <w:r w:rsidR="002337E8" w:rsidRPr="000E2377">
        <w:rPr>
          <w:b w:val="0"/>
        </w:rPr>
        <w:t xml:space="preserve"> </w:t>
      </w:r>
      <w:r>
        <w:rPr>
          <w:b w:val="0"/>
        </w:rPr>
        <w:t xml:space="preserve">there was some tendency for it to decrease with increasing network charge balance. </w:t>
      </w:r>
      <w:r w:rsidRPr="000E2377">
        <w:rPr>
          <w:b w:val="0"/>
        </w:rPr>
        <w:t xml:space="preserve">  </w:t>
      </w:r>
    </w:p>
    <w:p w14:paraId="0961CBF7" w14:textId="77777777" w:rsidR="00D740DC" w:rsidRPr="000E2377" w:rsidRDefault="00D740DC" w:rsidP="00D740DC">
      <w:pPr>
        <w:numPr>
          <w:ilvl w:val="0"/>
          <w:numId w:val="7"/>
        </w:numPr>
        <w:spacing w:line="360" w:lineRule="auto"/>
        <w:contextualSpacing/>
        <w:jc w:val="both"/>
        <w:rPr>
          <w:b w:val="0"/>
          <w:szCs w:val="24"/>
        </w:rPr>
      </w:pPr>
      <w:r w:rsidRPr="000E2377">
        <w:rPr>
          <w:b w:val="0"/>
        </w:rPr>
        <w:t xml:space="preserve">Overall when comparing between calcium and barium used </w:t>
      </w:r>
      <w:r w:rsidRPr="000E2377">
        <w:rPr>
          <w:rFonts w:cs="Times New Roman"/>
          <w:b w:val="0"/>
          <w:szCs w:val="24"/>
          <w:lang w:val="en-GB"/>
        </w:rPr>
        <w:t>in composition, for Q</w:t>
      </w:r>
      <w:r w:rsidRPr="000E2377">
        <w:rPr>
          <w:rFonts w:cs="Times New Roman"/>
          <w:b w:val="0"/>
          <w:szCs w:val="24"/>
          <w:vertAlign w:val="superscript"/>
          <w:lang w:val="en-GB"/>
        </w:rPr>
        <w:t>2</w:t>
      </w:r>
      <w:r w:rsidRPr="000E2377">
        <w:rPr>
          <w:rFonts w:cs="Times New Roman"/>
          <w:b w:val="0"/>
          <w:szCs w:val="24"/>
          <w:lang w:val="en-GB"/>
        </w:rPr>
        <w:t xml:space="preserve">, calcium </w:t>
      </w:r>
      <w:r>
        <w:rPr>
          <w:rFonts w:cs="Times New Roman"/>
          <w:b w:val="0"/>
          <w:szCs w:val="24"/>
          <w:lang w:val="en-GB"/>
        </w:rPr>
        <w:t>gives</w:t>
      </w:r>
      <w:r w:rsidRPr="000E2377">
        <w:rPr>
          <w:rFonts w:cs="Times New Roman"/>
          <w:b w:val="0"/>
          <w:szCs w:val="24"/>
          <w:lang w:val="en-GB"/>
        </w:rPr>
        <w:t xml:space="preserve"> higher value</w:t>
      </w:r>
      <w:r>
        <w:rPr>
          <w:rFonts w:cs="Times New Roman"/>
          <w:b w:val="0"/>
          <w:szCs w:val="24"/>
          <w:lang w:val="en-GB"/>
        </w:rPr>
        <w:t>s</w:t>
      </w:r>
      <w:r w:rsidRPr="000E2377">
        <w:rPr>
          <w:rFonts w:cs="Times New Roman"/>
          <w:b w:val="0"/>
          <w:szCs w:val="24"/>
          <w:lang w:val="en-GB"/>
        </w:rPr>
        <w:t xml:space="preserve"> meanwhile for Q</w:t>
      </w:r>
      <w:r w:rsidRPr="000E2377">
        <w:rPr>
          <w:rFonts w:cs="Times New Roman"/>
          <w:b w:val="0"/>
          <w:szCs w:val="24"/>
          <w:vertAlign w:val="superscript"/>
          <w:lang w:val="en-GB"/>
        </w:rPr>
        <w:t>3</w:t>
      </w:r>
      <w:r w:rsidRPr="000E2377">
        <w:rPr>
          <w:rFonts w:cs="Times New Roman"/>
          <w:b w:val="0"/>
          <w:szCs w:val="24"/>
          <w:lang w:val="en-GB"/>
        </w:rPr>
        <w:t xml:space="preserve">,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color w:val="000000"/>
          <w:sz w:val="16"/>
          <w:szCs w:val="16"/>
          <w:vertAlign w:val="subscript"/>
          <w:lang w:eastAsia="en-MY"/>
        </w:rPr>
        <w:t xml:space="preserve"> </w:t>
      </w:r>
      <w:r w:rsidRPr="000E2377">
        <w:rPr>
          <w:rFonts w:cs="Times New Roman"/>
          <w:b w:val="0"/>
          <w:szCs w:val="24"/>
          <w:lang w:val="en-GB"/>
        </w:rPr>
        <w:t xml:space="preserve">have higher than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Pr>
          <w:rFonts w:eastAsia="Times New Roman" w:cs="Times New Roman"/>
          <w:color w:val="000000"/>
          <w:sz w:val="16"/>
          <w:szCs w:val="16"/>
          <w:vertAlign w:val="subscript"/>
          <w:lang w:eastAsia="en-MY"/>
        </w:rPr>
        <w:t xml:space="preserve">. </w:t>
      </w:r>
      <w:r>
        <w:rPr>
          <w:rFonts w:cs="Times New Roman"/>
          <w:b w:val="0"/>
          <w:szCs w:val="24"/>
          <w:lang w:val="en-GB"/>
        </w:rPr>
        <w:t>H</w:t>
      </w:r>
      <w:r w:rsidRPr="000E2377">
        <w:rPr>
          <w:rFonts w:cs="Times New Roman"/>
          <w:b w:val="0"/>
          <w:szCs w:val="24"/>
          <w:lang w:val="en-GB"/>
        </w:rPr>
        <w:t xml:space="preserve">owever, contrast </w:t>
      </w:r>
      <w:r>
        <w:rPr>
          <w:rFonts w:cs="Times New Roman"/>
          <w:b w:val="0"/>
          <w:szCs w:val="24"/>
          <w:lang w:val="en-GB"/>
        </w:rPr>
        <w:t>for</w:t>
      </w:r>
      <w:r w:rsidRPr="000E2377">
        <w:rPr>
          <w:rFonts w:cs="Times New Roman"/>
          <w:b w:val="0"/>
          <w:szCs w:val="24"/>
          <w:lang w:val="en-GB"/>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cs="Times New Roman"/>
          <w:b w:val="0"/>
          <w:szCs w:val="24"/>
          <w:lang w:val="en-GB"/>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20-x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60 </w:t>
      </w:r>
      <w:r w:rsidRPr="000E2377">
        <w:rPr>
          <w:rFonts w:cs="Times New Roman"/>
          <w:b w:val="0"/>
          <w:szCs w:val="24"/>
          <w:lang w:val="en-GB"/>
        </w:rPr>
        <w:t xml:space="preserve">with highest </w:t>
      </w:r>
      <w:r>
        <w:rPr>
          <w:rFonts w:cs="Times New Roman"/>
          <w:b w:val="0"/>
          <w:szCs w:val="24"/>
          <w:lang w:val="en-GB"/>
        </w:rPr>
        <w:t>Q</w:t>
      </w:r>
      <w:r w:rsidRPr="007559F3">
        <w:rPr>
          <w:rFonts w:cs="Times New Roman"/>
          <w:b w:val="0"/>
          <w:szCs w:val="24"/>
          <w:vertAlign w:val="superscript"/>
          <w:lang w:val="en-GB"/>
        </w:rPr>
        <w:t>3</w:t>
      </w:r>
      <w:r>
        <w:rPr>
          <w:rFonts w:cs="Times New Roman"/>
          <w:b w:val="0"/>
          <w:szCs w:val="24"/>
          <w:lang w:val="en-GB"/>
        </w:rPr>
        <w:t xml:space="preserve"> </w:t>
      </w:r>
      <w:r w:rsidRPr="000E2377">
        <w:rPr>
          <w:rFonts w:cs="Times New Roman"/>
          <w:b w:val="0"/>
          <w:szCs w:val="24"/>
          <w:lang w:val="en-GB"/>
        </w:rPr>
        <w:t xml:space="preserve">in barium series. </w:t>
      </w:r>
    </w:p>
    <w:p w14:paraId="07DA82B9" w14:textId="77777777" w:rsidR="00D740DC" w:rsidRPr="000E2377" w:rsidRDefault="00D740DC" w:rsidP="00D740DC">
      <w:pPr>
        <w:spacing w:line="360" w:lineRule="auto"/>
        <w:ind w:left="1080"/>
        <w:contextualSpacing/>
        <w:jc w:val="both"/>
        <w:rPr>
          <w:b w:val="0"/>
          <w:szCs w:val="24"/>
        </w:rPr>
      </w:pPr>
    </w:p>
    <w:p w14:paraId="64D5AB54" w14:textId="77777777" w:rsidR="00D740DC" w:rsidRPr="000E2377" w:rsidRDefault="00D740DC" w:rsidP="00D740DC">
      <w:pPr>
        <w:spacing w:line="360" w:lineRule="auto"/>
        <w:jc w:val="center"/>
        <w:rPr>
          <w:rFonts w:cs="Times New Roman"/>
          <w:b w:val="0"/>
          <w:szCs w:val="24"/>
        </w:rPr>
      </w:pPr>
      <w:r w:rsidRPr="000E2377">
        <w:rPr>
          <w:noProof/>
          <w:lang w:eastAsia="en-MY"/>
        </w:rPr>
        <w:lastRenderedPageBreak/>
        <mc:AlternateContent>
          <mc:Choice Requires="wps">
            <w:drawing>
              <wp:anchor distT="0" distB="0" distL="114300" distR="114300" simplePos="0" relativeHeight="252267520" behindDoc="0" locked="0" layoutInCell="1" allowOverlap="1" wp14:anchorId="744E9647" wp14:editId="05E8188F">
                <wp:simplePos x="0" y="0"/>
                <wp:positionH relativeFrom="column">
                  <wp:posOffset>2847975</wp:posOffset>
                </wp:positionH>
                <wp:positionV relativeFrom="paragraph">
                  <wp:posOffset>2001520</wp:posOffset>
                </wp:positionV>
                <wp:extent cx="1343025" cy="1171575"/>
                <wp:effectExtent l="0" t="0" r="28575" b="28575"/>
                <wp:wrapNone/>
                <wp:docPr id="74" name="Straight Connector 74"/>
                <wp:cNvGraphicFramePr/>
                <a:graphic xmlns:a="http://schemas.openxmlformats.org/drawingml/2006/main">
                  <a:graphicData uri="http://schemas.microsoft.com/office/word/2010/wordprocessingShape">
                    <wps:wsp>
                      <wps:cNvCnPr/>
                      <wps:spPr>
                        <a:xfrm>
                          <a:off x="0" y="0"/>
                          <a:ext cx="1343025" cy="1171575"/>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48BB051F" id="Straight Connector 74" o:spid="_x0000_s1026" style="position:absolute;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25pt,157.6pt" to="330pt,2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">
                <v:stroke dashstyle="dash"/>
              </v:line>
            </w:pict>
          </mc:Fallback>
        </mc:AlternateContent>
      </w:r>
      <w:r w:rsidRPr="000E2377">
        <w:rPr>
          <w:noProof/>
          <w:lang w:eastAsia="en-MY"/>
        </w:rPr>
        <mc:AlternateContent>
          <mc:Choice Requires="wps">
            <w:drawing>
              <wp:anchor distT="0" distB="0" distL="114300" distR="114300" simplePos="0" relativeHeight="252266496" behindDoc="0" locked="0" layoutInCell="1" allowOverlap="1" wp14:anchorId="3402D5AE" wp14:editId="6BCC42BC">
                <wp:simplePos x="0" y="0"/>
                <wp:positionH relativeFrom="column">
                  <wp:posOffset>1885950</wp:posOffset>
                </wp:positionH>
                <wp:positionV relativeFrom="paragraph">
                  <wp:posOffset>1763395</wp:posOffset>
                </wp:positionV>
                <wp:extent cx="942975" cy="238125"/>
                <wp:effectExtent l="0" t="0" r="28575" b="28575"/>
                <wp:wrapNone/>
                <wp:docPr id="73" name="Straight Connector 73"/>
                <wp:cNvGraphicFramePr/>
                <a:graphic xmlns:a="http://schemas.openxmlformats.org/drawingml/2006/main">
                  <a:graphicData uri="http://schemas.microsoft.com/office/word/2010/wordprocessingShape">
                    <wps:wsp>
                      <wps:cNvCnPr/>
                      <wps:spPr>
                        <a:xfrm>
                          <a:off x="0" y="0"/>
                          <a:ext cx="942975" cy="238125"/>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38FA48DE" id="Straight Connector 73" o:spid="_x0000_s1026" style="position:absolute;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5pt,138.85pt" to="222.75pt,15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">
                <v:stroke dashstyle="dash"/>
              </v:line>
            </w:pict>
          </mc:Fallback>
        </mc:AlternateContent>
      </w:r>
      <w:r w:rsidRPr="000E5555">
        <w:rPr>
          <w:noProof/>
          <w:lang w:eastAsia="en-MY"/>
        </w:rPr>
        <w:drawing>
          <wp:inline distT="0" distB="0" distL="0" distR="0" wp14:anchorId="16290DED" wp14:editId="4007F8AA">
            <wp:extent cx="3973424" cy="3960000"/>
            <wp:effectExtent l="0" t="0" r="8255" b="2540"/>
            <wp:docPr id="2034" name="Picture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973424" cy="3960000"/>
                    </a:xfrm>
                    <a:prstGeom prst="rect">
                      <a:avLst/>
                    </a:prstGeom>
                    <a:noFill/>
                    <a:ln>
                      <a:noFill/>
                    </a:ln>
                  </pic:spPr>
                </pic:pic>
              </a:graphicData>
            </a:graphic>
          </wp:inline>
        </w:drawing>
      </w:r>
    </w:p>
    <w:p w14:paraId="741A913A" w14:textId="2BB9DBA2" w:rsidR="00D740DC" w:rsidRPr="000E2377" w:rsidRDefault="00D740DC" w:rsidP="00D740DC">
      <w:pPr>
        <w:pStyle w:val="Caption"/>
        <w:rPr>
          <w:szCs w:val="24"/>
        </w:rPr>
      </w:pPr>
      <w:bookmarkStart w:id="780" w:name="_Toc521420489"/>
      <w:bookmarkStart w:id="781" w:name="_Toc525223223"/>
      <w:bookmarkStart w:id="782" w:name="_Toc525528370"/>
      <w:bookmarkStart w:id="783" w:name="_Toc525706385"/>
      <w:bookmarkStart w:id="784" w:name="_Hlk515396582"/>
      <w:r w:rsidRPr="000E2377">
        <w:t xml:space="preserve">Figure </w:t>
      </w:r>
      <w:r w:rsidR="009F4E44">
        <w:t xml:space="preserve">4.25: </w:t>
      </w:r>
      <w:r w:rsidRPr="000E2377">
        <w:rPr>
          <w:szCs w:val="24"/>
        </w:rPr>
        <w:t>Raman polymerisation index versus total charge balance in all glass series.</w:t>
      </w:r>
      <w:bookmarkStart w:id="785" w:name="_Hlk495940930"/>
      <w:bookmarkEnd w:id="780"/>
      <w:bookmarkEnd w:id="781"/>
      <w:bookmarkEnd w:id="782"/>
      <w:bookmarkEnd w:id="783"/>
      <w:r>
        <w:rPr>
          <w:szCs w:val="24"/>
        </w:rPr>
        <w:t xml:space="preserve"> </w:t>
      </w:r>
    </w:p>
    <w:p w14:paraId="3A42447F" w14:textId="77777777" w:rsidR="00D740DC" w:rsidRPr="000E2377" w:rsidRDefault="00D740DC" w:rsidP="00D740DC">
      <w:pPr>
        <w:spacing w:line="360" w:lineRule="auto"/>
        <w:jc w:val="both"/>
        <w:rPr>
          <w:rFonts w:cs="Times New Roman"/>
          <w:b w:val="0"/>
          <w:szCs w:val="24"/>
          <w:lang w:val="en-GB"/>
        </w:rPr>
      </w:pPr>
    </w:p>
    <w:p w14:paraId="1B4AA1AB" w14:textId="77777777" w:rsidR="00D740DC" w:rsidRPr="000E2377" w:rsidRDefault="00D740DC" w:rsidP="00D740DC">
      <w:pPr>
        <w:spacing w:line="360" w:lineRule="auto"/>
        <w:jc w:val="both"/>
        <w:rPr>
          <w:rFonts w:cs="Times New Roman"/>
          <w:b w:val="0"/>
          <w:szCs w:val="24"/>
          <w:lang w:val="en-GB"/>
        </w:rPr>
      </w:pPr>
      <w:r w:rsidRPr="000E2377">
        <w:rPr>
          <w:rFonts w:cs="Times New Roman"/>
          <w:b w:val="0"/>
          <w:szCs w:val="24"/>
          <w:lang w:val="en-GB"/>
        </w:rPr>
        <w:t xml:space="preserve">The </w:t>
      </w:r>
      <w:r>
        <w:rPr>
          <w:rFonts w:cs="Times New Roman"/>
          <w:b w:val="0"/>
          <w:szCs w:val="24"/>
          <w:lang w:val="en-GB"/>
        </w:rPr>
        <w:t xml:space="preserve">Raman </w:t>
      </w:r>
      <w:r w:rsidRPr="000E2377">
        <w:rPr>
          <w:rFonts w:cs="Times New Roman"/>
          <w:b w:val="0"/>
          <w:szCs w:val="24"/>
          <w:lang w:val="en-GB"/>
        </w:rPr>
        <w:t xml:space="preserve">polymerisation index was calculated by taking the ratio of the area of region A to the area of regions B+C+D of the Raman </w:t>
      </w:r>
      <w:r w:rsidRPr="00427757">
        <w:rPr>
          <w:rFonts w:cs="Times New Roman"/>
          <w:b w:val="0"/>
          <w:szCs w:val="24"/>
          <w:lang w:val="en-GB"/>
        </w:rPr>
        <w:t>spectra. Figure 4.25</w:t>
      </w:r>
      <w:r>
        <w:rPr>
          <w:rFonts w:cs="Times New Roman"/>
          <w:b w:val="0"/>
          <w:szCs w:val="24"/>
          <w:lang w:val="en-GB"/>
        </w:rPr>
        <w:t xml:space="preserve"> </w:t>
      </w:r>
      <w:r w:rsidRPr="000E2377">
        <w:rPr>
          <w:rFonts w:cs="Times New Roman"/>
          <w:b w:val="0"/>
          <w:szCs w:val="24"/>
          <w:lang w:val="en-GB"/>
        </w:rPr>
        <w:t>shows that the polymerization index varies little for glasses with negative values of total charge balance and then tends to decrease for glasses with a positive total charge balance</w:t>
      </w:r>
      <w:r>
        <w:rPr>
          <w:rFonts w:cs="Times New Roman"/>
          <w:b w:val="0"/>
          <w:szCs w:val="24"/>
          <w:lang w:val="en-GB"/>
        </w:rPr>
        <w:t>,</w:t>
      </w:r>
      <w:r w:rsidRPr="000E2377">
        <w:rPr>
          <w:rFonts w:cs="Times New Roman"/>
          <w:b w:val="0"/>
          <w:szCs w:val="24"/>
          <w:lang w:val="en-GB"/>
        </w:rPr>
        <w:t xml:space="preserve"> presumably as network modifiers start to form NBOs decreasing the </w:t>
      </w:r>
      <w:r>
        <w:rPr>
          <w:rFonts w:cs="Times New Roman"/>
          <w:b w:val="0"/>
          <w:szCs w:val="24"/>
          <w:lang w:val="en-GB"/>
        </w:rPr>
        <w:t>silicate network</w:t>
      </w:r>
      <w:r w:rsidRPr="000E2377">
        <w:rPr>
          <w:rFonts w:cs="Times New Roman"/>
          <w:b w:val="0"/>
          <w:szCs w:val="24"/>
          <w:lang w:val="en-GB"/>
        </w:rPr>
        <w:t xml:space="preserve"> connectivity. </w:t>
      </w:r>
    </w:p>
    <w:bookmarkEnd w:id="784"/>
    <w:p w14:paraId="1928D552" w14:textId="6FAB2AFD" w:rsidR="00D740DC" w:rsidRPr="000E2377" w:rsidRDefault="00D740DC" w:rsidP="00D740DC">
      <w:pPr>
        <w:spacing w:line="360" w:lineRule="auto"/>
        <w:jc w:val="both"/>
        <w:rPr>
          <w:rFonts w:cs="Times New Roman"/>
          <w:b w:val="0"/>
          <w:szCs w:val="24"/>
        </w:rPr>
      </w:pPr>
      <w:r w:rsidRPr="000E2377">
        <w:rPr>
          <w:rFonts w:cs="Times New Roman"/>
          <w:b w:val="0"/>
          <w:szCs w:val="24"/>
        </w:rPr>
        <w:t xml:space="preserve">Decreasing polymerisation index indicates a decreasing number of bridging oxygens. </w:t>
      </w:r>
      <w:r>
        <w:rPr>
          <w:rFonts w:cs="Times New Roman"/>
          <w:b w:val="0"/>
          <w:szCs w:val="24"/>
        </w:rPr>
        <w:t>When c</w:t>
      </w:r>
      <w:r w:rsidRPr="000E2377">
        <w:rPr>
          <w:rFonts w:cs="Times New Roman"/>
          <w:b w:val="0"/>
          <w:szCs w:val="24"/>
        </w:rPr>
        <w:t>omparin</w:t>
      </w:r>
      <w:r>
        <w:rPr>
          <w:rFonts w:cs="Times New Roman"/>
          <w:b w:val="0"/>
          <w:szCs w:val="24"/>
        </w:rPr>
        <w:t>g</w:t>
      </w:r>
      <w:r w:rsidRPr="000E2377">
        <w:rPr>
          <w:rFonts w:cs="Times New Roman"/>
          <w:b w:val="0"/>
          <w:szCs w:val="24"/>
        </w:rPr>
        <w:t xml:space="preserve"> calcium and barium, the calcium gives a higher polymerisation index than barium. The higher field strength possibly enables Ca</w:t>
      </w:r>
      <w:r w:rsidRPr="000E2377">
        <w:rPr>
          <w:rFonts w:cs="Times New Roman"/>
          <w:b w:val="0"/>
          <w:szCs w:val="24"/>
          <w:vertAlign w:val="superscript"/>
        </w:rPr>
        <w:t>2+</w:t>
      </w:r>
      <w:r w:rsidRPr="000E2377">
        <w:rPr>
          <w:rFonts w:cs="Times New Roman"/>
          <w:b w:val="0"/>
          <w:szCs w:val="24"/>
        </w:rPr>
        <w:t xml:space="preserve"> to enhance structural connections more than Ba</w:t>
      </w:r>
      <w:r w:rsidRPr="000E2377">
        <w:rPr>
          <w:rFonts w:cs="Times New Roman"/>
          <w:b w:val="0"/>
          <w:szCs w:val="24"/>
          <w:vertAlign w:val="superscript"/>
        </w:rPr>
        <w:t>2+</w:t>
      </w:r>
      <w:r w:rsidRPr="000E2377">
        <w:rPr>
          <w:rFonts w:cs="Times New Roman"/>
          <w:b w:val="0"/>
          <w:szCs w:val="24"/>
        </w:rPr>
        <w:t xml:space="preserve">. However, </w:t>
      </w:r>
      <w:proofErr w:type="spellStart"/>
      <w:r w:rsidRPr="000E2377">
        <w:rPr>
          <w:rFonts w:cs="Times New Roman"/>
          <w:b w:val="0"/>
          <w:szCs w:val="24"/>
        </w:rPr>
        <w:t>Smedskjaer</w:t>
      </w:r>
      <w:proofErr w:type="spellEnd"/>
      <w:r w:rsidRPr="000E2377">
        <w:rPr>
          <w:rFonts w:cs="Times New Roman"/>
          <w:b w:val="0"/>
          <w:szCs w:val="24"/>
        </w:rPr>
        <w:t xml:space="preserve"> et al</w:t>
      </w:r>
      <w:r>
        <w:rPr>
          <w:rFonts w:cs="Times New Roman"/>
          <w:b w:val="0"/>
          <w:szCs w:val="24"/>
        </w:rPr>
        <w:t>.,</w:t>
      </w:r>
      <w:r w:rsidRPr="000E2377">
        <w:rPr>
          <w:rFonts w:cs="Times New Roman"/>
          <w:b w:val="0"/>
          <w:szCs w:val="24"/>
        </w:rPr>
        <w:t xml:space="preserve"> 2013 in their study on </w:t>
      </w:r>
      <w:r w:rsidR="008C4D01">
        <w:rPr>
          <w:rFonts w:cs="Times New Roman"/>
          <w:b w:val="0"/>
          <w:szCs w:val="24"/>
        </w:rPr>
        <w:t xml:space="preserve">the </w:t>
      </w:r>
      <w:r w:rsidRPr="000E2377">
        <w:rPr>
          <w:rFonts w:cs="Times New Roman"/>
          <w:b w:val="0"/>
          <w:szCs w:val="24"/>
        </w:rPr>
        <w:t>effect of alkaline earth in aluminosilicate glass showed that, with relatively low field strength cations (Ba</w:t>
      </w:r>
      <w:r w:rsidRPr="000E2377">
        <w:rPr>
          <w:rFonts w:cs="Times New Roman"/>
          <w:b w:val="0"/>
          <w:szCs w:val="24"/>
          <w:vertAlign w:val="superscript"/>
        </w:rPr>
        <w:t>2+</w:t>
      </w:r>
      <w:r w:rsidRPr="000E2377">
        <w:rPr>
          <w:rFonts w:cs="Times New Roman"/>
          <w:b w:val="0"/>
          <w:szCs w:val="24"/>
        </w:rPr>
        <w:t>&lt;Ca</w:t>
      </w:r>
      <w:r w:rsidRPr="000E2377">
        <w:rPr>
          <w:rFonts w:cs="Times New Roman"/>
          <w:b w:val="0"/>
          <w:szCs w:val="24"/>
          <w:vertAlign w:val="superscript"/>
        </w:rPr>
        <w:t>2+</w:t>
      </w:r>
      <w:r w:rsidRPr="000E2377">
        <w:rPr>
          <w:rFonts w:cs="Times New Roman"/>
          <w:b w:val="0"/>
          <w:szCs w:val="24"/>
        </w:rPr>
        <w:t xml:space="preserve">),  there will be </w:t>
      </w:r>
      <w:r w:rsidR="008C4D01">
        <w:rPr>
          <w:rFonts w:cs="Times New Roman"/>
          <w:b w:val="0"/>
          <w:szCs w:val="24"/>
        </w:rPr>
        <w:t xml:space="preserve">the </w:t>
      </w:r>
      <w:r w:rsidRPr="000E2377">
        <w:rPr>
          <w:rFonts w:cs="Times New Roman"/>
          <w:b w:val="0"/>
          <w:szCs w:val="24"/>
        </w:rPr>
        <w:t>formation of four-fold coordinated aluminium thus increasing the connectivity meanwhile Ca</w:t>
      </w:r>
      <w:r w:rsidRPr="000E2377">
        <w:rPr>
          <w:rFonts w:cs="Times New Roman"/>
          <w:b w:val="0"/>
          <w:szCs w:val="24"/>
          <w:vertAlign w:val="superscript"/>
        </w:rPr>
        <w:t>2+</w:t>
      </w:r>
      <w:r w:rsidRPr="000E2377">
        <w:rPr>
          <w:rFonts w:cs="Times New Roman"/>
          <w:b w:val="0"/>
          <w:szCs w:val="24"/>
        </w:rPr>
        <w:t xml:space="preserve"> behaves as </w:t>
      </w:r>
      <w:r w:rsidR="008C4D01">
        <w:rPr>
          <w:rFonts w:cs="Times New Roman"/>
          <w:b w:val="0"/>
          <w:szCs w:val="24"/>
        </w:rPr>
        <w:t xml:space="preserve">an </w:t>
      </w:r>
      <w:r w:rsidRPr="000E2377">
        <w:rPr>
          <w:rFonts w:cs="Times New Roman"/>
          <w:b w:val="0"/>
          <w:szCs w:val="24"/>
        </w:rPr>
        <w:t>intermediate network former at high alumina contents. However, the concentration of alkaline earth in this study shows that there is sufficient network modifier to compensate Al for some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szCs w:val="24"/>
        </w:rPr>
        <w:t>,</w:t>
      </w:r>
      <w:r w:rsidRPr="000E2377">
        <w:rPr>
          <w:rFonts w:eastAsia="Times New Roman" w:cs="Times New Roman"/>
          <w:b w:val="0"/>
          <w:color w:val="000000"/>
          <w:szCs w:val="24"/>
          <w:lang w:eastAsia="en-MY"/>
        </w:rPr>
        <w:t xml:space="preserve"> 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b w:val="0"/>
          <w:color w:val="000000"/>
          <w:szCs w:val="24"/>
          <w:lang w:eastAsia="en-MY"/>
        </w:rPr>
        <w:t>,</w:t>
      </w:r>
      <w:r w:rsidRPr="000E2377">
        <w:rPr>
          <w:rFonts w:cs="Times New Roman"/>
          <w:b w:val="0"/>
          <w:szCs w:val="24"/>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78-x</w:t>
      </w:r>
      <w:r w:rsidRPr="000E2377">
        <w:rPr>
          <w:rFonts w:cs="Times New Roman"/>
          <w:b w:val="0"/>
          <w:szCs w:val="24"/>
        </w:rPr>
        <w:t xml:space="preserve"> 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73-x)</w:t>
      </w:r>
      <w:r w:rsidRPr="000E2377">
        <w:rPr>
          <w:rFonts w:cs="Times New Roman"/>
          <w:b w:val="0"/>
          <w:szCs w:val="24"/>
        </w:rPr>
        <w:t xml:space="preserve"> but there is </w:t>
      </w:r>
      <w:r w:rsidR="008C4D01">
        <w:rPr>
          <w:rFonts w:cs="Times New Roman"/>
          <w:b w:val="0"/>
          <w:szCs w:val="24"/>
        </w:rPr>
        <w:t xml:space="preserve">an </w:t>
      </w:r>
      <w:r w:rsidRPr="000E2377">
        <w:rPr>
          <w:rFonts w:cs="Times New Roman"/>
          <w:b w:val="0"/>
          <w:szCs w:val="24"/>
        </w:rPr>
        <w:t>appearance of Al</w:t>
      </w:r>
      <w:r w:rsidRPr="000E2377">
        <w:rPr>
          <w:rFonts w:cs="Times New Roman"/>
          <w:b w:val="0"/>
          <w:szCs w:val="24"/>
          <w:vertAlign w:val="superscript"/>
        </w:rPr>
        <w:t>V</w:t>
      </w:r>
      <w:r w:rsidRPr="000E2377">
        <w:rPr>
          <w:rFonts w:cs="Times New Roman"/>
          <w:b w:val="0"/>
          <w:szCs w:val="24"/>
        </w:rPr>
        <w:t xml:space="preserve"> from NMR studies</w:t>
      </w:r>
      <w:r>
        <w:rPr>
          <w:rFonts w:cs="Times New Roman"/>
          <w:b w:val="0"/>
          <w:szCs w:val="24"/>
        </w:rPr>
        <w:t xml:space="preserve"> </w:t>
      </w:r>
      <w:r w:rsidRPr="00427757">
        <w:rPr>
          <w:rFonts w:cs="Times New Roman"/>
          <w:b w:val="0"/>
          <w:szCs w:val="24"/>
        </w:rPr>
        <w:lastRenderedPageBreak/>
        <w:t xml:space="preserve">(see section 4.4.1.2). </w:t>
      </w:r>
      <w:r w:rsidRPr="000E2377">
        <w:rPr>
          <w:rFonts w:cs="Times New Roman"/>
          <w:b w:val="0"/>
          <w:szCs w:val="24"/>
        </w:rPr>
        <w:t>Meanwhile</w:t>
      </w:r>
      <w:r w:rsidR="002337E8">
        <w:rPr>
          <w:rFonts w:cs="Times New Roman"/>
          <w:b w:val="0"/>
          <w:szCs w:val="24"/>
        </w:rPr>
        <w:t>,</w:t>
      </w:r>
      <w:r w:rsidRPr="000E2377">
        <w:rPr>
          <w:rFonts w:cs="Times New Roman"/>
          <w:b w:val="0"/>
          <w:szCs w:val="24"/>
        </w:rPr>
        <w:t xml:space="preserve"> as calcium increases in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cs="Times New Roman"/>
          <w:b w:val="0"/>
          <w:szCs w:val="24"/>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78-x</w:t>
      </w:r>
      <w:r w:rsidRPr="000E2377" w:rsidDel="000D4986">
        <w:rPr>
          <w:rFonts w:cs="Times New Roman"/>
          <w:b w:val="0"/>
          <w:szCs w:val="24"/>
        </w:rPr>
        <w:t xml:space="preserve"> </w:t>
      </w:r>
      <w:r w:rsidRPr="000E2377">
        <w:rPr>
          <w:rFonts w:cs="Times New Roman"/>
          <w:b w:val="0"/>
          <w:szCs w:val="24"/>
        </w:rPr>
        <w:t xml:space="preserve">and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73-x</w:t>
      </w:r>
      <w:r w:rsidRPr="000E2377" w:rsidDel="000D4986">
        <w:rPr>
          <w:rFonts w:cs="Times New Roman"/>
          <w:b w:val="0"/>
          <w:szCs w:val="24"/>
        </w:rPr>
        <w:t xml:space="preserve"> </w:t>
      </w:r>
      <w:r w:rsidRPr="000E2377">
        <w:rPr>
          <w:rFonts w:cs="Times New Roman"/>
          <w:b w:val="0"/>
          <w:szCs w:val="24"/>
        </w:rPr>
        <w:t>glasses</w:t>
      </w:r>
      <w:r w:rsidR="008C4D01">
        <w:rPr>
          <w:rFonts w:cs="Times New Roman"/>
          <w:b w:val="0"/>
          <w:szCs w:val="24"/>
        </w:rPr>
        <w:t>,</w:t>
      </w:r>
      <w:r w:rsidRPr="000E2377">
        <w:rPr>
          <w:rFonts w:cs="Times New Roman"/>
          <w:b w:val="0"/>
          <w:szCs w:val="24"/>
        </w:rPr>
        <w:t xml:space="preserve"> there is a decrease in the polymerisation index.</w:t>
      </w:r>
    </w:p>
    <w:bookmarkEnd w:id="694"/>
    <w:bookmarkEnd w:id="785"/>
    <w:p w14:paraId="4E8C671B" w14:textId="77777777" w:rsidR="00D740DC" w:rsidRPr="000E2377" w:rsidRDefault="00D740DC" w:rsidP="00D740DC">
      <w:pPr>
        <w:keepNext/>
        <w:spacing w:after="0"/>
        <w:rPr>
          <w:b w:val="0"/>
          <w:i/>
        </w:rPr>
      </w:pPr>
      <w:r w:rsidRPr="000E2377">
        <w:rPr>
          <w:b w:val="0"/>
          <w:i/>
        </w:rPr>
        <w:t xml:space="preserve">Comparison of </w:t>
      </w:r>
      <w:r>
        <w:rPr>
          <w:b w:val="0"/>
          <w:i/>
        </w:rPr>
        <w:t>connectivity</w:t>
      </w:r>
      <w:r w:rsidRPr="000E2377">
        <w:rPr>
          <w:b w:val="0"/>
          <w:i/>
        </w:rPr>
        <w:t xml:space="preserve"> from NMR and polymerisation index</w:t>
      </w:r>
    </w:p>
    <w:p w14:paraId="7B5C591C" w14:textId="77777777" w:rsidR="00D740DC" w:rsidRPr="000E2377" w:rsidRDefault="00D740DC" w:rsidP="00D740DC">
      <w:pPr>
        <w:keepNext/>
        <w:spacing w:after="0"/>
      </w:pPr>
    </w:p>
    <w:p w14:paraId="20D3935D" w14:textId="77777777" w:rsidR="00D740DC" w:rsidRPr="000E2377" w:rsidRDefault="00D740DC" w:rsidP="00D740DC">
      <w:pPr>
        <w:jc w:val="center"/>
      </w:pPr>
      <w:r w:rsidRPr="008844B3">
        <w:rPr>
          <w:noProof/>
          <w:lang w:eastAsia="en-MY"/>
        </w:rPr>
        <w:drawing>
          <wp:inline distT="0" distB="0" distL="0" distR="0" wp14:anchorId="0CDB7B1C" wp14:editId="5B0EA37B">
            <wp:extent cx="4305372" cy="324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305372" cy="3240000"/>
                    </a:xfrm>
                    <a:prstGeom prst="rect">
                      <a:avLst/>
                    </a:prstGeom>
                    <a:noFill/>
                    <a:ln>
                      <a:noFill/>
                    </a:ln>
                  </pic:spPr>
                </pic:pic>
              </a:graphicData>
            </a:graphic>
          </wp:inline>
        </w:drawing>
      </w:r>
    </w:p>
    <w:p w14:paraId="6FC92AED" w14:textId="609DC8ED" w:rsidR="00D740DC" w:rsidRPr="000E2377" w:rsidRDefault="00D740DC" w:rsidP="00D740DC">
      <w:pPr>
        <w:pStyle w:val="Caption"/>
      </w:pPr>
      <w:bookmarkStart w:id="786" w:name="_Toc521420493"/>
      <w:bookmarkStart w:id="787" w:name="_Toc525223227"/>
      <w:bookmarkStart w:id="788" w:name="_Toc525528374"/>
      <w:bookmarkStart w:id="789" w:name="_Toc525706389"/>
      <w:r w:rsidRPr="000E2377">
        <w:t xml:space="preserve">Figure </w:t>
      </w:r>
      <w:r w:rsidR="009F4E44">
        <w:t xml:space="preserve">4.26: </w:t>
      </w:r>
      <w:r>
        <w:t xml:space="preserve">Connectivity calculated from NMR data for glass studies and from soda lime silicate glass series; data from </w:t>
      </w:r>
      <w:proofErr w:type="spellStart"/>
      <w:r>
        <w:t>Kilinc</w:t>
      </w:r>
      <w:proofErr w:type="spellEnd"/>
      <w:r>
        <w:t xml:space="preserve"> and Hand, 2015</w:t>
      </w:r>
      <w:r w:rsidRPr="000E2377">
        <w:t>.</w:t>
      </w:r>
      <w:bookmarkEnd w:id="786"/>
      <w:bookmarkEnd w:id="787"/>
      <w:bookmarkEnd w:id="788"/>
      <w:bookmarkEnd w:id="789"/>
    </w:p>
    <w:p w14:paraId="1380C5A1" w14:textId="77777777" w:rsidR="00D740DC" w:rsidRPr="000E2377" w:rsidRDefault="00D740DC" w:rsidP="00D740DC">
      <w:pPr>
        <w:spacing w:after="0"/>
      </w:pPr>
    </w:p>
    <w:p w14:paraId="4E2A6AF5" w14:textId="0E5A340A" w:rsidR="00D740DC" w:rsidRPr="000E2377" w:rsidRDefault="00D740DC" w:rsidP="00D740DC">
      <w:pPr>
        <w:spacing w:line="360" w:lineRule="auto"/>
        <w:ind w:firstLine="720"/>
        <w:jc w:val="both"/>
        <w:rPr>
          <w:b w:val="0"/>
        </w:rPr>
      </w:pPr>
      <w:r w:rsidRPr="000E2377">
        <w:rPr>
          <w:b w:val="0"/>
        </w:rPr>
        <w:t xml:space="preserve">Figure 4.26 shows </w:t>
      </w:r>
      <w:r>
        <w:rPr>
          <w:b w:val="0"/>
        </w:rPr>
        <w:t>a</w:t>
      </w:r>
      <w:r w:rsidRPr="000E2377">
        <w:rPr>
          <w:b w:val="0"/>
        </w:rPr>
        <w:t xml:space="preserve"> plot of</w:t>
      </w:r>
      <w:r>
        <w:rPr>
          <w:b w:val="0"/>
        </w:rPr>
        <w:t xml:space="preserve"> Raman polymerisation index versus</w:t>
      </w:r>
      <w:r w:rsidRPr="000E2377">
        <w:rPr>
          <w:b w:val="0"/>
        </w:rPr>
        <w:t xml:space="preserve"> </w:t>
      </w:r>
      <w:r>
        <w:rPr>
          <w:b w:val="0"/>
        </w:rPr>
        <w:t>connectivity as deter</w:t>
      </w:r>
      <w:r w:rsidRPr="000E2377">
        <w:rPr>
          <w:b w:val="0"/>
        </w:rPr>
        <w:t>m</w:t>
      </w:r>
      <w:r>
        <w:rPr>
          <w:b w:val="0"/>
        </w:rPr>
        <w:t>ined by</w:t>
      </w:r>
      <w:r w:rsidRPr="000E2377">
        <w:rPr>
          <w:b w:val="0"/>
        </w:rPr>
        <w:t xml:space="preserve"> NMR </w:t>
      </w:r>
      <w:r>
        <w:rPr>
          <w:b w:val="0"/>
        </w:rPr>
        <w:t>analysis</w:t>
      </w:r>
      <w:r w:rsidRPr="000E2377">
        <w:rPr>
          <w:b w:val="0"/>
        </w:rPr>
        <w:t xml:space="preserve"> for </w:t>
      </w:r>
      <w:r>
        <w:rPr>
          <w:b w:val="0"/>
        </w:rPr>
        <w:t xml:space="preserve">the </w:t>
      </w:r>
      <w:r w:rsidRPr="000E2377">
        <w:rPr>
          <w:b w:val="0"/>
        </w:rPr>
        <w:t>glass composition</w:t>
      </w:r>
      <w:r>
        <w:rPr>
          <w:b w:val="0"/>
        </w:rPr>
        <w:t>s studied by NMR</w:t>
      </w:r>
      <w:r w:rsidRPr="000E2377">
        <w:rPr>
          <w:b w:val="0"/>
        </w:rPr>
        <w:t xml:space="preserve">. </w:t>
      </w:r>
      <w:r>
        <w:rPr>
          <w:b w:val="0"/>
        </w:rPr>
        <w:t xml:space="preserve">Most of the sample shows </w:t>
      </w:r>
      <w:r w:rsidR="008C4D01">
        <w:rPr>
          <w:b w:val="0"/>
        </w:rPr>
        <w:t xml:space="preserve">a </w:t>
      </w:r>
      <w:r>
        <w:rPr>
          <w:b w:val="0"/>
        </w:rPr>
        <w:t>linear correlation with increasing of polymerisation index, the connectivity are also increased. As from previous researchers, it can be seen that for both glass series (MgO-SiO</w:t>
      </w:r>
      <w:r w:rsidRPr="00B931B6">
        <w:rPr>
          <w:b w:val="0"/>
          <w:vertAlign w:val="subscript"/>
        </w:rPr>
        <w:t xml:space="preserve">2 </w:t>
      </w:r>
      <w:r>
        <w:rPr>
          <w:b w:val="0"/>
        </w:rPr>
        <w:t>and CaO-SiO</w:t>
      </w:r>
      <w:r w:rsidRPr="00B931B6">
        <w:rPr>
          <w:b w:val="0"/>
          <w:vertAlign w:val="subscript"/>
        </w:rPr>
        <w:t>2</w:t>
      </w:r>
      <w:r>
        <w:rPr>
          <w:b w:val="0"/>
        </w:rPr>
        <w:t xml:space="preserve">), are also exhibited increasing connectivity as measured by NMR with increasing polymerisation index. Due to the similarity in the behaviour of these two methods to measure the connectivity of glass, it is concluded that </w:t>
      </w:r>
      <w:r w:rsidRPr="000E2377">
        <w:rPr>
          <w:b w:val="0"/>
        </w:rPr>
        <w:t xml:space="preserve">the polymerisation index </w:t>
      </w:r>
      <w:r>
        <w:rPr>
          <w:b w:val="0"/>
        </w:rPr>
        <w:t>is of</w:t>
      </w:r>
      <w:r w:rsidRPr="000E2377">
        <w:rPr>
          <w:b w:val="0"/>
        </w:rPr>
        <w:t xml:space="preserve"> value </w:t>
      </w:r>
      <w:r>
        <w:rPr>
          <w:b w:val="0"/>
        </w:rPr>
        <w:t>in</w:t>
      </w:r>
      <w:r w:rsidRPr="000E2377">
        <w:rPr>
          <w:b w:val="0"/>
        </w:rPr>
        <w:t xml:space="preserve"> discuss</w:t>
      </w:r>
      <w:r>
        <w:rPr>
          <w:b w:val="0"/>
        </w:rPr>
        <w:t>ing</w:t>
      </w:r>
      <w:r w:rsidRPr="000E2377">
        <w:rPr>
          <w:b w:val="0"/>
        </w:rPr>
        <w:t xml:space="preserve"> the connectivity </w:t>
      </w:r>
      <w:r>
        <w:rPr>
          <w:b w:val="0"/>
        </w:rPr>
        <w:t>of the glasses studied here</w:t>
      </w:r>
      <w:r w:rsidRPr="000E2377">
        <w:rPr>
          <w:b w:val="0"/>
        </w:rPr>
        <w:t>.</w:t>
      </w:r>
      <w:r>
        <w:rPr>
          <w:b w:val="0"/>
        </w:rPr>
        <w:t xml:space="preserve"> It is in contrast</w:t>
      </w:r>
      <w:r w:rsidRPr="000E2377">
        <w:rPr>
          <w:b w:val="0"/>
        </w:rPr>
        <w:t xml:space="preserve"> when Q species are calculated from the Raman spectra</w:t>
      </w:r>
      <w:r>
        <w:rPr>
          <w:b w:val="0"/>
        </w:rPr>
        <w:t xml:space="preserve"> to measure the connectivity because </w:t>
      </w:r>
      <w:r w:rsidRPr="000E2377">
        <w:rPr>
          <w:b w:val="0"/>
        </w:rPr>
        <w:t>Q</w:t>
      </w:r>
      <w:r w:rsidRPr="000E2377">
        <w:rPr>
          <w:b w:val="0"/>
          <w:vertAlign w:val="superscript"/>
        </w:rPr>
        <w:t>4</w:t>
      </w:r>
      <w:r w:rsidRPr="000E2377">
        <w:rPr>
          <w:b w:val="0"/>
          <w:vertAlign w:val="subscript"/>
        </w:rPr>
        <w:t xml:space="preserve"> </w:t>
      </w:r>
      <w:r w:rsidRPr="000E2377">
        <w:rPr>
          <w:b w:val="0"/>
        </w:rPr>
        <w:t>from Raman are not in line with the Q</w:t>
      </w:r>
      <w:r w:rsidRPr="000E2377">
        <w:rPr>
          <w:b w:val="0"/>
          <w:vertAlign w:val="superscript"/>
        </w:rPr>
        <w:t xml:space="preserve">4 </w:t>
      </w:r>
      <w:r w:rsidRPr="000E2377">
        <w:rPr>
          <w:b w:val="0"/>
        </w:rPr>
        <w:t xml:space="preserve">from NMR. </w:t>
      </w:r>
    </w:p>
    <w:p w14:paraId="4C561F0E" w14:textId="2E1FF98D" w:rsidR="00D740DC" w:rsidRPr="000E2377" w:rsidRDefault="00D740DC" w:rsidP="00D740DC">
      <w:pPr>
        <w:spacing w:line="360" w:lineRule="auto"/>
        <w:jc w:val="both"/>
        <w:rPr>
          <w:rFonts w:eastAsia="Calibri" w:cs="Times New Roman"/>
          <w:b w:val="0"/>
          <w:szCs w:val="24"/>
        </w:rPr>
      </w:pPr>
      <w:r>
        <w:rPr>
          <w:rFonts w:cs="Times New Roman"/>
          <w:b w:val="0"/>
          <w:color w:val="000000" w:themeColor="text1"/>
          <w:szCs w:val="24"/>
        </w:rPr>
        <w:t>However, when compared the percentage of Q species between NMR and Raman, there</w:t>
      </w:r>
      <w:r w:rsidR="008C4D01">
        <w:rPr>
          <w:rFonts w:cs="Times New Roman"/>
          <w:b w:val="0"/>
          <w:color w:val="000000" w:themeColor="text1"/>
          <w:szCs w:val="24"/>
        </w:rPr>
        <w:t>’</w:t>
      </w:r>
      <w:r>
        <w:rPr>
          <w:rFonts w:cs="Times New Roman"/>
          <w:b w:val="0"/>
          <w:color w:val="000000" w:themeColor="text1"/>
          <w:szCs w:val="24"/>
        </w:rPr>
        <w:t>s huge different of value can be seen for each  Q species.  The major species present in NMR are Q</w:t>
      </w:r>
      <w:r w:rsidRPr="00087AA2">
        <w:rPr>
          <w:rFonts w:cs="Times New Roman"/>
          <w:b w:val="0"/>
          <w:color w:val="000000" w:themeColor="text1"/>
          <w:szCs w:val="24"/>
          <w:vertAlign w:val="superscript"/>
        </w:rPr>
        <w:t>4</w:t>
      </w:r>
      <w:r>
        <w:rPr>
          <w:rFonts w:cs="Times New Roman"/>
          <w:b w:val="0"/>
          <w:color w:val="000000" w:themeColor="text1"/>
          <w:szCs w:val="24"/>
        </w:rPr>
        <w:t xml:space="preserve"> and its contrast in Raman with the highest Q species appeared are Q</w:t>
      </w:r>
      <w:r w:rsidRPr="00087AA2">
        <w:rPr>
          <w:rFonts w:cs="Times New Roman"/>
          <w:b w:val="0"/>
          <w:color w:val="000000" w:themeColor="text1"/>
          <w:szCs w:val="24"/>
          <w:vertAlign w:val="superscript"/>
        </w:rPr>
        <w:t>3</w:t>
      </w:r>
      <w:r>
        <w:rPr>
          <w:rFonts w:cs="Times New Roman"/>
          <w:b w:val="0"/>
          <w:color w:val="000000" w:themeColor="text1"/>
          <w:szCs w:val="24"/>
        </w:rPr>
        <w:t>. The Q</w:t>
      </w:r>
      <w:r w:rsidRPr="00087AA2">
        <w:rPr>
          <w:rFonts w:cs="Times New Roman"/>
          <w:b w:val="0"/>
          <w:color w:val="000000" w:themeColor="text1"/>
          <w:szCs w:val="24"/>
          <w:vertAlign w:val="superscript"/>
        </w:rPr>
        <w:t>4</w:t>
      </w:r>
      <w:r>
        <w:rPr>
          <w:rFonts w:cs="Times New Roman"/>
          <w:b w:val="0"/>
          <w:color w:val="000000" w:themeColor="text1"/>
          <w:szCs w:val="24"/>
        </w:rPr>
        <w:t xml:space="preserve"> from Raman are less than 50%  with the amount for all selected glass are only range  11-28% meanwhile in </w:t>
      </w:r>
      <w:r>
        <w:rPr>
          <w:rFonts w:cs="Times New Roman"/>
          <w:b w:val="0"/>
          <w:color w:val="000000" w:themeColor="text1"/>
          <w:szCs w:val="24"/>
        </w:rPr>
        <w:lastRenderedPageBreak/>
        <w:t>NMR Q</w:t>
      </w:r>
      <w:r w:rsidRPr="00087AA2">
        <w:rPr>
          <w:rFonts w:cs="Times New Roman"/>
          <w:b w:val="0"/>
          <w:color w:val="000000" w:themeColor="text1"/>
          <w:szCs w:val="24"/>
          <w:vertAlign w:val="superscript"/>
        </w:rPr>
        <w:t>4</w:t>
      </w:r>
      <w:r>
        <w:rPr>
          <w:rFonts w:cs="Times New Roman"/>
          <w:b w:val="0"/>
          <w:color w:val="000000" w:themeColor="text1"/>
          <w:szCs w:val="24"/>
        </w:rPr>
        <w:t xml:space="preserve"> present are in range  33-95% with  only three glass samples which less than 50% of Q</w:t>
      </w:r>
      <w:r w:rsidRPr="000F25E8">
        <w:rPr>
          <w:rFonts w:cs="Times New Roman"/>
          <w:b w:val="0"/>
          <w:color w:val="000000" w:themeColor="text1"/>
          <w:szCs w:val="24"/>
          <w:vertAlign w:val="superscript"/>
        </w:rPr>
        <w:t>4</w:t>
      </w:r>
      <w:r>
        <w:rPr>
          <w:rFonts w:cs="Times New Roman"/>
          <w:b w:val="0"/>
          <w:color w:val="000000" w:themeColor="text1"/>
          <w:szCs w:val="24"/>
        </w:rPr>
        <w:t xml:space="preserve"> </w:t>
      </w:r>
      <w:r w:rsidRPr="00A968C2">
        <w:rPr>
          <w:rFonts w:cs="Times New Roman"/>
          <w:b w:val="0"/>
          <w:color w:val="000000" w:themeColor="text1"/>
          <w:szCs w:val="24"/>
        </w:rPr>
        <w:t>whi</w:t>
      </w:r>
      <w:r w:rsidRPr="003A1861">
        <w:rPr>
          <w:rFonts w:cs="Times New Roman"/>
          <w:b w:val="0"/>
          <w:color w:val="000000" w:themeColor="text1"/>
          <w:szCs w:val="24"/>
        </w:rPr>
        <w:t xml:space="preserve">ch </w:t>
      </w:r>
      <w:r w:rsidRPr="00374711">
        <w:rPr>
          <w:rFonts w:cs="Times New Roman"/>
          <w:b w:val="0"/>
          <w:color w:val="000000" w:themeColor="text1"/>
          <w:szCs w:val="24"/>
        </w:rPr>
        <w:t xml:space="preserve">is </w:t>
      </w:r>
      <w:r w:rsidRPr="005A2709">
        <w:rPr>
          <w:rFonts w:cs="Times New Roman"/>
          <w:b w:val="0"/>
          <w:color w:val="000000" w:themeColor="text1"/>
          <w:szCs w:val="24"/>
        </w:rPr>
        <w:t xml:space="preserve"> </w:t>
      </w:r>
      <w:r w:rsidRPr="00087AA2">
        <w:rPr>
          <w:rFonts w:eastAsia="Times New Roman" w:cs="Times New Roman"/>
          <w:b w:val="0"/>
          <w:bCs/>
          <w:color w:val="000000"/>
          <w:szCs w:val="24"/>
          <w:lang w:eastAsia="en-MY"/>
        </w:rPr>
        <w:t>N</w:t>
      </w:r>
      <w:r w:rsidRPr="00087AA2">
        <w:rPr>
          <w:rFonts w:eastAsia="Times New Roman" w:cs="Times New Roman"/>
          <w:b w:val="0"/>
          <w:bCs/>
          <w:color w:val="000000"/>
          <w:szCs w:val="24"/>
          <w:vertAlign w:val="subscript"/>
          <w:lang w:eastAsia="en-MY"/>
        </w:rPr>
        <w:t>15</w:t>
      </w:r>
      <w:r w:rsidRPr="00087AA2">
        <w:rPr>
          <w:rFonts w:eastAsia="Times New Roman" w:cs="Times New Roman"/>
          <w:b w:val="0"/>
          <w:bCs/>
          <w:color w:val="000000"/>
          <w:szCs w:val="24"/>
          <w:lang w:eastAsia="en-MY"/>
        </w:rPr>
        <w:t>C</w:t>
      </w:r>
      <w:r w:rsidRPr="00087AA2">
        <w:rPr>
          <w:rFonts w:eastAsia="Times New Roman" w:cs="Times New Roman"/>
          <w:b w:val="0"/>
          <w:bCs/>
          <w:color w:val="000000"/>
          <w:szCs w:val="24"/>
          <w:vertAlign w:val="subscript"/>
          <w:lang w:eastAsia="en-MY"/>
        </w:rPr>
        <w:t>5</w:t>
      </w:r>
      <w:r w:rsidRPr="00087AA2">
        <w:rPr>
          <w:rFonts w:eastAsia="Times New Roman" w:cs="Times New Roman"/>
          <w:b w:val="0"/>
          <w:bCs/>
          <w:color w:val="000000"/>
          <w:szCs w:val="24"/>
          <w:lang w:eastAsia="en-MY"/>
        </w:rPr>
        <w:t>A</w:t>
      </w:r>
      <w:r w:rsidRPr="00087AA2">
        <w:rPr>
          <w:rFonts w:eastAsia="Times New Roman" w:cs="Times New Roman"/>
          <w:b w:val="0"/>
          <w:bCs/>
          <w:color w:val="000000"/>
          <w:szCs w:val="24"/>
          <w:vertAlign w:val="subscript"/>
          <w:lang w:eastAsia="en-MY"/>
        </w:rPr>
        <w:t>10</w:t>
      </w:r>
      <w:r w:rsidRPr="00087AA2">
        <w:rPr>
          <w:rFonts w:eastAsia="Times New Roman" w:cs="Times New Roman"/>
          <w:b w:val="0"/>
          <w:bCs/>
          <w:color w:val="000000"/>
          <w:szCs w:val="24"/>
          <w:lang w:eastAsia="en-MY"/>
        </w:rPr>
        <w:t>B</w:t>
      </w:r>
      <w:r w:rsidRPr="00087AA2">
        <w:rPr>
          <w:rFonts w:eastAsia="Times New Roman" w:cs="Times New Roman"/>
          <w:b w:val="0"/>
          <w:bCs/>
          <w:color w:val="000000"/>
          <w:szCs w:val="24"/>
          <w:vertAlign w:val="subscript"/>
          <w:lang w:eastAsia="en-MY"/>
        </w:rPr>
        <w:t>10</w:t>
      </w:r>
      <w:r w:rsidRPr="00087AA2">
        <w:rPr>
          <w:rFonts w:eastAsia="Times New Roman" w:cs="Times New Roman"/>
          <w:b w:val="0"/>
          <w:bCs/>
          <w:color w:val="000000"/>
          <w:szCs w:val="24"/>
          <w:lang w:eastAsia="en-MY"/>
        </w:rPr>
        <w:t>S</w:t>
      </w:r>
      <w:r w:rsidRPr="00087AA2">
        <w:rPr>
          <w:rFonts w:eastAsia="Times New Roman" w:cs="Times New Roman"/>
          <w:b w:val="0"/>
          <w:bCs/>
          <w:color w:val="000000"/>
          <w:szCs w:val="24"/>
          <w:vertAlign w:val="subscript"/>
          <w:lang w:eastAsia="en-MY"/>
        </w:rPr>
        <w:t>60</w:t>
      </w:r>
      <w:r w:rsidRPr="00087AA2">
        <w:rPr>
          <w:rFonts w:eastAsia="Times New Roman" w:cs="Times New Roman"/>
          <w:b w:val="0"/>
          <w:bCs/>
          <w:color w:val="000000"/>
          <w:szCs w:val="24"/>
          <w:lang w:eastAsia="en-MY"/>
        </w:rPr>
        <w:t>, N</w:t>
      </w:r>
      <w:r w:rsidRPr="00087AA2">
        <w:rPr>
          <w:rFonts w:eastAsia="Times New Roman" w:cs="Times New Roman"/>
          <w:b w:val="0"/>
          <w:bCs/>
          <w:color w:val="000000"/>
          <w:szCs w:val="24"/>
          <w:vertAlign w:val="subscript"/>
          <w:lang w:eastAsia="en-MY"/>
        </w:rPr>
        <w:t>15</w:t>
      </w:r>
      <w:r w:rsidRPr="00087AA2">
        <w:rPr>
          <w:rFonts w:eastAsia="Times New Roman" w:cs="Times New Roman"/>
          <w:b w:val="0"/>
          <w:bCs/>
          <w:color w:val="000000"/>
          <w:szCs w:val="24"/>
          <w:lang w:eastAsia="en-MY"/>
        </w:rPr>
        <w:t>C</w:t>
      </w:r>
      <w:r w:rsidRPr="00087AA2">
        <w:rPr>
          <w:rFonts w:eastAsia="Times New Roman" w:cs="Times New Roman"/>
          <w:b w:val="0"/>
          <w:bCs/>
          <w:color w:val="000000"/>
          <w:szCs w:val="24"/>
          <w:vertAlign w:val="subscript"/>
          <w:lang w:eastAsia="en-MY"/>
        </w:rPr>
        <w:t>10</w:t>
      </w:r>
      <w:r w:rsidRPr="00087AA2">
        <w:rPr>
          <w:rFonts w:eastAsia="Times New Roman" w:cs="Times New Roman"/>
          <w:b w:val="0"/>
          <w:bCs/>
          <w:color w:val="000000"/>
          <w:szCs w:val="24"/>
          <w:lang w:eastAsia="en-MY"/>
        </w:rPr>
        <w:t>A</w:t>
      </w:r>
      <w:r w:rsidRPr="00087AA2">
        <w:rPr>
          <w:rFonts w:eastAsia="Times New Roman" w:cs="Times New Roman"/>
          <w:b w:val="0"/>
          <w:bCs/>
          <w:color w:val="000000"/>
          <w:szCs w:val="24"/>
          <w:vertAlign w:val="subscript"/>
          <w:lang w:eastAsia="en-MY"/>
        </w:rPr>
        <w:t>5</w:t>
      </w:r>
      <w:r w:rsidRPr="00087AA2">
        <w:rPr>
          <w:rFonts w:eastAsia="Times New Roman" w:cs="Times New Roman"/>
          <w:b w:val="0"/>
          <w:bCs/>
          <w:color w:val="000000"/>
          <w:szCs w:val="24"/>
          <w:lang w:eastAsia="en-MY"/>
        </w:rPr>
        <w:t>B</w:t>
      </w:r>
      <w:r w:rsidRPr="00087AA2">
        <w:rPr>
          <w:rFonts w:eastAsia="Times New Roman" w:cs="Times New Roman"/>
          <w:b w:val="0"/>
          <w:bCs/>
          <w:color w:val="000000"/>
          <w:szCs w:val="24"/>
          <w:vertAlign w:val="subscript"/>
          <w:lang w:eastAsia="en-MY"/>
        </w:rPr>
        <w:t>10</w:t>
      </w:r>
      <w:r w:rsidRPr="00087AA2">
        <w:rPr>
          <w:rFonts w:eastAsia="Times New Roman" w:cs="Times New Roman"/>
          <w:b w:val="0"/>
          <w:bCs/>
          <w:color w:val="000000"/>
          <w:szCs w:val="24"/>
          <w:lang w:eastAsia="en-MY"/>
        </w:rPr>
        <w:t>S</w:t>
      </w:r>
      <w:r w:rsidRPr="00087AA2">
        <w:rPr>
          <w:rFonts w:eastAsia="Times New Roman" w:cs="Times New Roman"/>
          <w:b w:val="0"/>
          <w:bCs/>
          <w:color w:val="000000"/>
          <w:szCs w:val="24"/>
          <w:vertAlign w:val="subscript"/>
          <w:lang w:eastAsia="en-MY"/>
        </w:rPr>
        <w:t xml:space="preserve">60 </w:t>
      </w:r>
      <w:r w:rsidRPr="00087AA2">
        <w:rPr>
          <w:rFonts w:eastAsia="Times New Roman" w:cs="Times New Roman"/>
          <w:b w:val="0"/>
          <w:bCs/>
          <w:color w:val="000000"/>
          <w:szCs w:val="24"/>
          <w:lang w:eastAsia="en-MY"/>
        </w:rPr>
        <w:t>and N</w:t>
      </w:r>
      <w:r w:rsidRPr="00087AA2">
        <w:rPr>
          <w:rFonts w:eastAsia="Times New Roman" w:cs="Times New Roman"/>
          <w:b w:val="0"/>
          <w:bCs/>
          <w:color w:val="000000"/>
          <w:szCs w:val="24"/>
          <w:vertAlign w:val="subscript"/>
          <w:lang w:eastAsia="en-MY"/>
        </w:rPr>
        <w:t>15</w:t>
      </w:r>
      <w:r w:rsidRPr="00087AA2">
        <w:rPr>
          <w:rFonts w:eastAsia="Times New Roman" w:cs="Times New Roman"/>
          <w:b w:val="0"/>
          <w:bCs/>
          <w:color w:val="000000"/>
          <w:szCs w:val="24"/>
          <w:lang w:eastAsia="en-MY"/>
        </w:rPr>
        <w:t>Ba</w:t>
      </w:r>
      <w:r w:rsidRPr="00087AA2">
        <w:rPr>
          <w:rFonts w:eastAsia="Times New Roman" w:cs="Times New Roman"/>
          <w:b w:val="0"/>
          <w:bCs/>
          <w:color w:val="000000"/>
          <w:szCs w:val="24"/>
          <w:vertAlign w:val="subscript"/>
          <w:lang w:eastAsia="en-MY"/>
        </w:rPr>
        <w:t>10</w:t>
      </w:r>
      <w:r w:rsidRPr="00087AA2">
        <w:rPr>
          <w:rFonts w:eastAsia="Times New Roman" w:cs="Times New Roman"/>
          <w:b w:val="0"/>
          <w:bCs/>
          <w:color w:val="000000"/>
          <w:szCs w:val="24"/>
          <w:lang w:eastAsia="en-MY"/>
        </w:rPr>
        <w:t>A</w:t>
      </w:r>
      <w:r w:rsidRPr="00087AA2">
        <w:rPr>
          <w:rFonts w:eastAsia="Times New Roman" w:cs="Times New Roman"/>
          <w:b w:val="0"/>
          <w:bCs/>
          <w:color w:val="000000"/>
          <w:szCs w:val="24"/>
          <w:vertAlign w:val="subscript"/>
          <w:lang w:eastAsia="en-MY"/>
        </w:rPr>
        <w:t>5</w:t>
      </w:r>
      <w:r w:rsidRPr="00087AA2">
        <w:rPr>
          <w:rFonts w:eastAsia="Times New Roman" w:cs="Times New Roman"/>
          <w:b w:val="0"/>
          <w:bCs/>
          <w:color w:val="000000"/>
          <w:szCs w:val="24"/>
          <w:lang w:eastAsia="en-MY"/>
        </w:rPr>
        <w:t>B</w:t>
      </w:r>
      <w:r w:rsidRPr="00087AA2">
        <w:rPr>
          <w:rFonts w:eastAsia="Times New Roman" w:cs="Times New Roman"/>
          <w:b w:val="0"/>
          <w:bCs/>
          <w:color w:val="000000"/>
          <w:szCs w:val="24"/>
          <w:vertAlign w:val="subscript"/>
          <w:lang w:eastAsia="en-MY"/>
        </w:rPr>
        <w:t>10</w:t>
      </w:r>
      <w:r w:rsidRPr="00087AA2">
        <w:rPr>
          <w:rFonts w:eastAsia="Times New Roman" w:cs="Times New Roman"/>
          <w:b w:val="0"/>
          <w:bCs/>
          <w:color w:val="000000"/>
          <w:szCs w:val="24"/>
          <w:lang w:eastAsia="en-MY"/>
        </w:rPr>
        <w:t>S</w:t>
      </w:r>
      <w:r w:rsidRPr="00087AA2">
        <w:rPr>
          <w:rFonts w:eastAsia="Times New Roman" w:cs="Times New Roman"/>
          <w:b w:val="0"/>
          <w:bCs/>
          <w:color w:val="000000"/>
          <w:szCs w:val="24"/>
          <w:vertAlign w:val="subscript"/>
          <w:lang w:eastAsia="en-MY"/>
        </w:rPr>
        <w:t>60</w:t>
      </w:r>
      <w:r>
        <w:rPr>
          <w:rFonts w:eastAsia="Times New Roman" w:cs="Times New Roman"/>
          <w:b w:val="0"/>
          <w:bCs/>
          <w:color w:val="000000"/>
          <w:szCs w:val="24"/>
          <w:lang w:eastAsia="en-MY"/>
        </w:rPr>
        <w:t>. Other details can be seen is t</w:t>
      </w:r>
      <w:r w:rsidRPr="000E2377">
        <w:rPr>
          <w:rFonts w:eastAsia="Calibri" w:cs="Times New Roman"/>
          <w:b w:val="0"/>
          <w:szCs w:val="24"/>
        </w:rPr>
        <w:t xml:space="preserve">he </w:t>
      </w:r>
      <w:r>
        <w:rPr>
          <w:rFonts w:eastAsia="Calibri" w:cs="Times New Roman"/>
          <w:b w:val="0"/>
          <w:szCs w:val="24"/>
          <w:vertAlign w:val="superscript"/>
        </w:rPr>
        <w:t>29</w:t>
      </w:r>
      <w:r>
        <w:rPr>
          <w:rFonts w:eastAsia="Calibri" w:cs="Times New Roman"/>
          <w:b w:val="0"/>
          <w:szCs w:val="24"/>
        </w:rPr>
        <w:t xml:space="preserve">Si </w:t>
      </w:r>
      <w:r w:rsidRPr="000E2377">
        <w:rPr>
          <w:rFonts w:eastAsia="Calibri" w:cs="Times New Roman"/>
          <w:b w:val="0"/>
          <w:szCs w:val="24"/>
        </w:rPr>
        <w:t>NMR did not give any Q</w:t>
      </w:r>
      <w:r w:rsidRPr="000E2377">
        <w:rPr>
          <w:rFonts w:eastAsia="Calibri" w:cs="Times New Roman"/>
          <w:b w:val="0"/>
          <w:szCs w:val="24"/>
          <w:vertAlign w:val="superscript"/>
        </w:rPr>
        <w:t>2</w:t>
      </w:r>
      <w:r w:rsidRPr="000E2377">
        <w:rPr>
          <w:rFonts w:eastAsia="Calibri" w:cs="Times New Roman"/>
          <w:b w:val="0"/>
          <w:szCs w:val="24"/>
        </w:rPr>
        <w:t xml:space="preserve"> value meanwhile deconvolution from Raman shows that there is </w:t>
      </w:r>
      <w:r w:rsidR="008C4D01">
        <w:rPr>
          <w:rFonts w:eastAsia="Calibri" w:cs="Times New Roman"/>
          <w:b w:val="0"/>
          <w:szCs w:val="24"/>
        </w:rPr>
        <w:t xml:space="preserve">a </w:t>
      </w:r>
      <w:r w:rsidRPr="000E2377">
        <w:rPr>
          <w:rFonts w:eastAsia="Calibri" w:cs="Times New Roman"/>
          <w:b w:val="0"/>
          <w:szCs w:val="24"/>
        </w:rPr>
        <w:t>small value of Q</w:t>
      </w:r>
      <w:r w:rsidRPr="000E2377">
        <w:rPr>
          <w:rFonts w:eastAsia="Calibri" w:cs="Times New Roman"/>
          <w:b w:val="0"/>
          <w:szCs w:val="24"/>
          <w:vertAlign w:val="superscript"/>
        </w:rPr>
        <w:t>2</w:t>
      </w:r>
      <w:r w:rsidRPr="000E2377">
        <w:rPr>
          <w:rFonts w:eastAsia="Calibri" w:cs="Times New Roman"/>
          <w:b w:val="0"/>
          <w:szCs w:val="24"/>
        </w:rPr>
        <w:t xml:space="preserve">, around less than 5% appeared 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78.2</w:t>
      </w:r>
      <w:r w:rsidRPr="000E2377">
        <w:rPr>
          <w:rFonts w:eastAsia="Calibri" w:cs="Times New Roman"/>
          <w:b w:val="0"/>
          <w:szCs w:val="24"/>
        </w:rPr>
        <w:t xml:space="preserve">. There are </w:t>
      </w:r>
      <w:r>
        <w:rPr>
          <w:rFonts w:eastAsia="Calibri" w:cs="Times New Roman"/>
          <w:b w:val="0"/>
          <w:szCs w:val="24"/>
        </w:rPr>
        <w:t>significant</w:t>
      </w:r>
      <w:r w:rsidRPr="000E2377">
        <w:rPr>
          <w:rFonts w:eastAsia="Calibri" w:cs="Times New Roman"/>
          <w:b w:val="0"/>
          <w:szCs w:val="24"/>
        </w:rPr>
        <w:t xml:space="preserve"> differen</w:t>
      </w:r>
      <w:r>
        <w:rPr>
          <w:rFonts w:eastAsia="Calibri" w:cs="Times New Roman"/>
          <w:b w:val="0"/>
          <w:szCs w:val="24"/>
        </w:rPr>
        <w:t>ces</w:t>
      </w:r>
      <w:r w:rsidRPr="000E2377">
        <w:rPr>
          <w:rFonts w:eastAsia="Calibri" w:cs="Times New Roman"/>
          <w:b w:val="0"/>
          <w:szCs w:val="24"/>
        </w:rPr>
        <w:t xml:space="preserve"> value from th</w:t>
      </w:r>
      <w:r>
        <w:rPr>
          <w:rFonts w:eastAsia="Calibri" w:cs="Times New Roman"/>
          <w:b w:val="0"/>
          <w:szCs w:val="24"/>
        </w:rPr>
        <w:t>ese</w:t>
      </w:r>
      <w:r w:rsidRPr="000E2377">
        <w:rPr>
          <w:rFonts w:eastAsia="Calibri" w:cs="Times New Roman"/>
          <w:b w:val="0"/>
          <w:szCs w:val="24"/>
        </w:rPr>
        <w:t xml:space="preserve"> </w:t>
      </w:r>
      <w:r w:rsidR="002337E8">
        <w:rPr>
          <w:rFonts w:eastAsia="Calibri" w:cs="Times New Roman"/>
          <w:b w:val="0"/>
          <w:szCs w:val="24"/>
        </w:rPr>
        <w:t>two</w:t>
      </w:r>
      <w:r w:rsidR="002337E8" w:rsidRPr="000E2377">
        <w:rPr>
          <w:rFonts w:eastAsia="Calibri" w:cs="Times New Roman"/>
          <w:b w:val="0"/>
          <w:szCs w:val="24"/>
        </w:rPr>
        <w:t xml:space="preserve"> </w:t>
      </w:r>
      <w:r w:rsidR="008C4D01" w:rsidRPr="000E2377">
        <w:rPr>
          <w:rFonts w:eastAsia="Calibri" w:cs="Times New Roman"/>
          <w:b w:val="0"/>
          <w:szCs w:val="24"/>
        </w:rPr>
        <w:t>analys</w:t>
      </w:r>
      <w:r w:rsidR="008C4D01">
        <w:rPr>
          <w:rFonts w:eastAsia="Calibri" w:cs="Times New Roman"/>
          <w:b w:val="0"/>
          <w:szCs w:val="24"/>
        </w:rPr>
        <w:t>e</w:t>
      </w:r>
      <w:r w:rsidR="008C4D01" w:rsidRPr="000E2377">
        <w:rPr>
          <w:rFonts w:eastAsia="Calibri" w:cs="Times New Roman"/>
          <w:b w:val="0"/>
          <w:szCs w:val="24"/>
        </w:rPr>
        <w:t xml:space="preserve">s </w:t>
      </w:r>
      <w:r w:rsidRPr="000E2377">
        <w:rPr>
          <w:rFonts w:eastAsia="Calibri" w:cs="Times New Roman"/>
          <w:b w:val="0"/>
          <w:szCs w:val="24"/>
        </w:rPr>
        <w:t xml:space="preserve">for </w:t>
      </w:r>
      <w:proofErr w:type="spellStart"/>
      <w:r w:rsidRPr="000E2377">
        <w:rPr>
          <w:rFonts w:eastAsia="Calibri" w:cs="Times New Roman"/>
          <w:b w:val="0"/>
          <w:szCs w:val="24"/>
        </w:rPr>
        <w:t>Q</w:t>
      </w:r>
      <w:r w:rsidRPr="000E2377">
        <w:rPr>
          <w:rFonts w:eastAsia="Calibri" w:cs="Times New Roman"/>
          <w:b w:val="0"/>
          <w:szCs w:val="24"/>
          <w:vertAlign w:val="superscript"/>
        </w:rPr>
        <w:t>n</w:t>
      </w:r>
      <w:proofErr w:type="spellEnd"/>
      <w:r w:rsidRPr="000E2377">
        <w:rPr>
          <w:rFonts w:eastAsia="Calibri" w:cs="Times New Roman"/>
          <w:b w:val="0"/>
          <w:szCs w:val="24"/>
        </w:rPr>
        <w:t xml:space="preserve"> species 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78.2</w:t>
      </w:r>
      <w:r w:rsidRPr="000E2377">
        <w:rPr>
          <w:rFonts w:eastAsia="Times New Roman" w:cs="Times New Roman"/>
          <w:b w:val="0"/>
          <w:color w:val="000000"/>
          <w:szCs w:val="24"/>
          <w:lang w:eastAsia="en-MY"/>
        </w:rPr>
        <w:t xml:space="preserve"> </w:t>
      </w:r>
      <w:r w:rsidRPr="000E2377">
        <w:rPr>
          <w:rFonts w:eastAsia="Calibri" w:cs="Times New Roman"/>
          <w:b w:val="0"/>
          <w:szCs w:val="24"/>
        </w:rPr>
        <w:t>glass, with the Q</w:t>
      </w:r>
      <w:r w:rsidRPr="000E2377">
        <w:rPr>
          <w:rFonts w:eastAsia="Calibri" w:cs="Times New Roman"/>
          <w:b w:val="0"/>
          <w:szCs w:val="24"/>
          <w:vertAlign w:val="superscript"/>
        </w:rPr>
        <w:t>4</w:t>
      </w:r>
      <w:r w:rsidRPr="000E2377">
        <w:rPr>
          <w:rFonts w:eastAsia="Calibri" w:cs="Times New Roman"/>
          <w:b w:val="0"/>
          <w:szCs w:val="24"/>
        </w:rPr>
        <w:t xml:space="preserve"> and Q</w:t>
      </w:r>
      <w:r w:rsidRPr="000E2377">
        <w:rPr>
          <w:rFonts w:eastAsia="Calibri" w:cs="Times New Roman"/>
          <w:b w:val="0"/>
          <w:szCs w:val="24"/>
          <w:vertAlign w:val="superscript"/>
        </w:rPr>
        <w:t>3</w:t>
      </w:r>
      <w:r w:rsidRPr="000E2377">
        <w:rPr>
          <w:rFonts w:eastAsia="Calibri" w:cs="Times New Roman"/>
          <w:b w:val="0"/>
          <w:szCs w:val="24"/>
        </w:rPr>
        <w:t xml:space="preserve"> from NMR and Raman </w:t>
      </w:r>
      <w:r>
        <w:rPr>
          <w:rFonts w:eastAsia="Calibri" w:cs="Times New Roman"/>
          <w:b w:val="0"/>
          <w:szCs w:val="24"/>
        </w:rPr>
        <w:t>being</w:t>
      </w:r>
      <w:r w:rsidRPr="000E2377">
        <w:rPr>
          <w:rFonts w:eastAsia="Calibri" w:cs="Times New Roman"/>
          <w:b w:val="0"/>
          <w:szCs w:val="24"/>
        </w:rPr>
        <w:t xml:space="preserve"> approximately 95%, 5% and 31% and 64%</w:t>
      </w:r>
      <w:r>
        <w:rPr>
          <w:rFonts w:eastAsia="Calibri" w:cs="Times New Roman"/>
          <w:b w:val="0"/>
          <w:szCs w:val="24"/>
        </w:rPr>
        <w:t xml:space="preserve"> respectively</w:t>
      </w:r>
      <w:r w:rsidRPr="000E2377">
        <w:rPr>
          <w:rFonts w:eastAsia="Calibri" w:cs="Times New Roman"/>
          <w:b w:val="0"/>
          <w:szCs w:val="24"/>
        </w:rPr>
        <w:t xml:space="preserve">. </w:t>
      </w:r>
    </w:p>
    <w:p w14:paraId="1EF24510" w14:textId="45E69FC0" w:rsidR="00D740DC" w:rsidRDefault="00D740DC" w:rsidP="00D740DC">
      <w:pPr>
        <w:spacing w:line="360" w:lineRule="auto"/>
        <w:jc w:val="both"/>
        <w:rPr>
          <w:b w:val="0"/>
          <w:color w:val="FF0000"/>
        </w:rPr>
        <w:sectPr w:rsidR="00D740DC" w:rsidSect="00B11F5F">
          <w:pgSz w:w="11906" w:h="16838"/>
          <w:pgMar w:top="1440" w:right="1440" w:bottom="1440" w:left="1440" w:header="709" w:footer="709" w:gutter="0"/>
          <w:cols w:space="708"/>
          <w:docGrid w:linePitch="360"/>
        </w:sectPr>
      </w:pPr>
      <w:r w:rsidRPr="00A968C2">
        <w:rPr>
          <w:rFonts w:eastAsia="Times New Roman" w:cs="Times New Roman"/>
          <w:b w:val="0"/>
          <w:bCs/>
          <w:color w:val="000000"/>
          <w:szCs w:val="24"/>
          <w:lang w:eastAsia="en-MY"/>
        </w:rPr>
        <w:t xml:space="preserve">The </w:t>
      </w:r>
      <w:r w:rsidR="001A28EB" w:rsidRPr="00A968C2">
        <w:rPr>
          <w:rFonts w:eastAsia="Times New Roman" w:cs="Times New Roman"/>
          <w:b w:val="0"/>
          <w:bCs/>
          <w:color w:val="000000"/>
          <w:szCs w:val="24"/>
          <w:lang w:eastAsia="en-MY"/>
        </w:rPr>
        <w:t>differen</w:t>
      </w:r>
      <w:r w:rsidR="001A28EB">
        <w:rPr>
          <w:rFonts w:eastAsia="Times New Roman" w:cs="Times New Roman"/>
          <w:b w:val="0"/>
          <w:bCs/>
          <w:color w:val="000000"/>
          <w:szCs w:val="24"/>
          <w:lang w:eastAsia="en-MY"/>
        </w:rPr>
        <w:t xml:space="preserve">ces between </w:t>
      </w:r>
      <w:r w:rsidRPr="00A968C2">
        <w:rPr>
          <w:rFonts w:eastAsia="Times New Roman" w:cs="Times New Roman"/>
          <w:b w:val="0"/>
          <w:bCs/>
          <w:color w:val="000000"/>
          <w:szCs w:val="24"/>
          <w:lang w:eastAsia="en-MY"/>
        </w:rPr>
        <w:t xml:space="preserve">the Q </w:t>
      </w:r>
      <w:r w:rsidR="001A28EB" w:rsidRPr="00A968C2">
        <w:rPr>
          <w:rFonts w:eastAsia="Times New Roman" w:cs="Times New Roman"/>
          <w:b w:val="0"/>
          <w:bCs/>
          <w:color w:val="000000"/>
          <w:szCs w:val="24"/>
          <w:lang w:eastAsia="en-MY"/>
        </w:rPr>
        <w:t>speci</w:t>
      </w:r>
      <w:r w:rsidR="001A28EB">
        <w:rPr>
          <w:rFonts w:eastAsia="Times New Roman" w:cs="Times New Roman"/>
          <w:b w:val="0"/>
          <w:bCs/>
          <w:color w:val="000000"/>
          <w:szCs w:val="24"/>
          <w:lang w:eastAsia="en-MY"/>
        </w:rPr>
        <w:t>ation obtained using</w:t>
      </w:r>
      <w:r w:rsidRPr="003A1861">
        <w:rPr>
          <w:rFonts w:eastAsia="Times New Roman" w:cs="Times New Roman"/>
          <w:b w:val="0"/>
          <w:bCs/>
          <w:color w:val="000000"/>
          <w:szCs w:val="24"/>
          <w:lang w:eastAsia="en-MY"/>
        </w:rPr>
        <w:t xml:space="preserve"> </w:t>
      </w:r>
      <w:r w:rsidR="002337E8">
        <w:rPr>
          <w:rFonts w:eastAsia="Times New Roman" w:cs="Times New Roman"/>
          <w:b w:val="0"/>
          <w:bCs/>
          <w:color w:val="000000"/>
          <w:szCs w:val="24"/>
          <w:lang w:eastAsia="en-MY"/>
        </w:rPr>
        <w:t xml:space="preserve">Raman and </w:t>
      </w:r>
      <w:r w:rsidR="001A28EB">
        <w:rPr>
          <w:rFonts w:eastAsia="Times New Roman" w:cs="Times New Roman"/>
          <w:b w:val="0"/>
          <w:bCs/>
          <w:color w:val="000000"/>
          <w:szCs w:val="24"/>
          <w:lang w:eastAsia="en-MY"/>
        </w:rPr>
        <w:t xml:space="preserve">those obtained using </w:t>
      </w:r>
      <w:r w:rsidR="002337E8">
        <w:rPr>
          <w:rFonts w:eastAsia="Times New Roman" w:cs="Times New Roman"/>
          <w:b w:val="0"/>
          <w:bCs/>
          <w:color w:val="000000"/>
          <w:szCs w:val="24"/>
          <w:lang w:eastAsia="en-MY"/>
        </w:rPr>
        <w:t>NMR</w:t>
      </w:r>
      <w:r w:rsidR="002337E8" w:rsidRPr="005A2709">
        <w:rPr>
          <w:rFonts w:eastAsia="Times New Roman" w:cs="Times New Roman"/>
          <w:b w:val="0"/>
          <w:bCs/>
          <w:color w:val="000000"/>
          <w:szCs w:val="24"/>
          <w:lang w:eastAsia="en-MY"/>
        </w:rPr>
        <w:t xml:space="preserve"> </w:t>
      </w:r>
      <w:r w:rsidRPr="005A2709">
        <w:rPr>
          <w:rFonts w:eastAsia="Times New Roman" w:cs="Times New Roman"/>
          <w:b w:val="0"/>
          <w:bCs/>
          <w:color w:val="000000"/>
          <w:szCs w:val="24"/>
          <w:lang w:eastAsia="en-MY"/>
        </w:rPr>
        <w:t xml:space="preserve">analysis might </w:t>
      </w:r>
      <w:r w:rsidR="001A28EB">
        <w:rPr>
          <w:rFonts w:eastAsia="Times New Roman" w:cs="Times New Roman"/>
          <w:b w:val="0"/>
          <w:bCs/>
          <w:color w:val="000000"/>
          <w:szCs w:val="24"/>
          <w:lang w:eastAsia="en-MY"/>
        </w:rPr>
        <w:t xml:space="preserve">be </w:t>
      </w:r>
      <w:r w:rsidRPr="005A2709">
        <w:rPr>
          <w:rFonts w:eastAsia="Times New Roman" w:cs="Times New Roman"/>
          <w:b w:val="0"/>
          <w:bCs/>
          <w:color w:val="000000"/>
          <w:szCs w:val="24"/>
          <w:lang w:eastAsia="en-MY"/>
        </w:rPr>
        <w:t xml:space="preserve">due to the focus of the analysis. The </w:t>
      </w:r>
      <w:r w:rsidR="001A28EB" w:rsidRPr="004B3C39">
        <w:rPr>
          <w:rFonts w:eastAsia="Times New Roman" w:cs="Times New Roman"/>
          <w:b w:val="0"/>
          <w:bCs/>
          <w:color w:val="000000"/>
          <w:szCs w:val="24"/>
          <w:vertAlign w:val="superscript"/>
          <w:lang w:eastAsia="en-MY"/>
        </w:rPr>
        <w:t>2</w:t>
      </w:r>
      <w:r w:rsidR="001A28EB">
        <w:rPr>
          <w:rFonts w:eastAsia="Times New Roman" w:cs="Times New Roman"/>
          <w:b w:val="0"/>
          <w:bCs/>
          <w:color w:val="000000"/>
          <w:szCs w:val="24"/>
          <w:vertAlign w:val="superscript"/>
          <w:lang w:eastAsia="en-MY"/>
        </w:rPr>
        <w:t>9</w:t>
      </w:r>
      <w:r w:rsidR="001A28EB">
        <w:rPr>
          <w:rFonts w:eastAsia="Times New Roman" w:cs="Times New Roman"/>
          <w:b w:val="0"/>
          <w:bCs/>
          <w:color w:val="000000"/>
          <w:szCs w:val="24"/>
          <w:lang w:eastAsia="en-MY"/>
        </w:rPr>
        <w:t xml:space="preserve">Si </w:t>
      </w:r>
      <w:r w:rsidRPr="005A2709">
        <w:rPr>
          <w:rFonts w:eastAsia="Times New Roman" w:cs="Times New Roman"/>
          <w:b w:val="0"/>
          <w:bCs/>
          <w:color w:val="000000"/>
          <w:szCs w:val="24"/>
          <w:lang w:eastAsia="en-MY"/>
        </w:rPr>
        <w:t xml:space="preserve">NMR analysis </w:t>
      </w:r>
      <w:r w:rsidR="001A28EB">
        <w:rPr>
          <w:rFonts w:eastAsia="Times New Roman" w:cs="Times New Roman"/>
          <w:b w:val="0"/>
          <w:bCs/>
          <w:color w:val="000000"/>
          <w:szCs w:val="24"/>
          <w:lang w:eastAsia="en-MY"/>
        </w:rPr>
        <w:t xml:space="preserve">directly </w:t>
      </w:r>
      <w:r w:rsidR="001A28EB" w:rsidRPr="0083051B">
        <w:rPr>
          <w:rFonts w:eastAsia="Times New Roman" w:cs="Times New Roman"/>
          <w:b w:val="0"/>
          <w:bCs/>
          <w:color w:val="000000"/>
          <w:szCs w:val="24"/>
          <w:lang w:eastAsia="en-MY"/>
        </w:rPr>
        <w:t>examine</w:t>
      </w:r>
      <w:r w:rsidR="001A28EB">
        <w:rPr>
          <w:rFonts w:eastAsia="Times New Roman" w:cs="Times New Roman"/>
          <w:b w:val="0"/>
          <w:bCs/>
          <w:color w:val="000000"/>
          <w:szCs w:val="24"/>
          <w:lang w:eastAsia="en-MY"/>
        </w:rPr>
        <w:t>s</w:t>
      </w:r>
      <w:r w:rsidR="001A28EB" w:rsidRPr="0083051B">
        <w:rPr>
          <w:rFonts w:eastAsia="Times New Roman" w:cs="Times New Roman"/>
          <w:b w:val="0"/>
          <w:bCs/>
          <w:color w:val="000000"/>
          <w:szCs w:val="24"/>
          <w:lang w:eastAsia="en-MY"/>
        </w:rPr>
        <w:t xml:space="preserve"> </w:t>
      </w:r>
      <w:r w:rsidRPr="0083051B">
        <w:rPr>
          <w:rFonts w:eastAsia="Times New Roman" w:cs="Times New Roman"/>
          <w:b w:val="0"/>
          <w:bCs/>
          <w:color w:val="000000"/>
          <w:szCs w:val="24"/>
          <w:lang w:eastAsia="en-MY"/>
        </w:rPr>
        <w:t>sil</w:t>
      </w:r>
      <w:r>
        <w:rPr>
          <w:rFonts w:eastAsia="Times New Roman" w:cs="Times New Roman"/>
          <w:b w:val="0"/>
          <w:bCs/>
          <w:color w:val="000000"/>
          <w:szCs w:val="24"/>
          <w:lang w:eastAsia="en-MY"/>
        </w:rPr>
        <w:t>i</w:t>
      </w:r>
      <w:r w:rsidRPr="00A968C2">
        <w:rPr>
          <w:rFonts w:eastAsia="Times New Roman" w:cs="Times New Roman"/>
          <w:b w:val="0"/>
          <w:bCs/>
          <w:color w:val="000000"/>
          <w:szCs w:val="24"/>
          <w:lang w:eastAsia="en-MY"/>
        </w:rPr>
        <w:t>ca bonding</w:t>
      </w:r>
      <w:r w:rsidR="002337E8">
        <w:rPr>
          <w:rFonts w:eastAsia="Times New Roman" w:cs="Times New Roman"/>
          <w:b w:val="0"/>
          <w:bCs/>
          <w:color w:val="000000"/>
          <w:szCs w:val="24"/>
          <w:lang w:eastAsia="en-MY"/>
        </w:rPr>
        <w:t>;</w:t>
      </w:r>
      <w:r w:rsidRPr="00A968C2">
        <w:rPr>
          <w:rFonts w:eastAsia="Times New Roman" w:cs="Times New Roman"/>
          <w:b w:val="0"/>
          <w:bCs/>
          <w:color w:val="000000"/>
          <w:szCs w:val="24"/>
          <w:lang w:eastAsia="en-MY"/>
        </w:rPr>
        <w:t xml:space="preserve"> </w:t>
      </w:r>
      <w:r w:rsidR="001A28EB">
        <w:rPr>
          <w:rFonts w:eastAsia="Times New Roman" w:cs="Times New Roman"/>
          <w:b w:val="0"/>
          <w:bCs/>
          <w:color w:val="000000"/>
          <w:szCs w:val="24"/>
          <w:lang w:eastAsia="en-MY"/>
        </w:rPr>
        <w:t>whereas the relevant</w:t>
      </w:r>
      <w:r w:rsidRPr="00374711">
        <w:rPr>
          <w:rFonts w:eastAsia="Times New Roman" w:cs="Times New Roman"/>
          <w:b w:val="0"/>
          <w:bCs/>
          <w:color w:val="000000"/>
          <w:szCs w:val="24"/>
          <w:lang w:eastAsia="en-MY"/>
        </w:rPr>
        <w:t xml:space="preserve"> Raman</w:t>
      </w:r>
      <w:r w:rsidR="001A28EB">
        <w:rPr>
          <w:rFonts w:eastAsia="Times New Roman" w:cs="Times New Roman"/>
          <w:b w:val="0"/>
          <w:bCs/>
          <w:color w:val="000000"/>
          <w:szCs w:val="24"/>
          <w:lang w:eastAsia="en-MY"/>
        </w:rPr>
        <w:t xml:space="preserve"> peaks include contributions for other tetrahedral species such as </w:t>
      </w:r>
      <w:r w:rsidRPr="00087AA2">
        <w:rPr>
          <w:b w:val="0"/>
          <w:vertAlign w:val="superscript"/>
        </w:rPr>
        <w:t>[4]</w:t>
      </w:r>
      <w:r w:rsidRPr="00087AA2">
        <w:rPr>
          <w:b w:val="0"/>
        </w:rPr>
        <w:t>B</w:t>
      </w:r>
      <w:r w:rsidRPr="00087AA2">
        <w:rPr>
          <w:b w:val="0"/>
          <w:vertAlign w:val="superscript"/>
        </w:rPr>
        <w:t>3+</w:t>
      </w:r>
      <w:r w:rsidRPr="00087AA2">
        <w:rPr>
          <w:b w:val="0"/>
        </w:rPr>
        <w:t xml:space="preserve"> and </w:t>
      </w:r>
      <w:r w:rsidRPr="00087AA2">
        <w:rPr>
          <w:b w:val="0"/>
          <w:vertAlign w:val="superscript"/>
        </w:rPr>
        <w:t>[4]</w:t>
      </w:r>
      <w:r w:rsidRPr="00087AA2">
        <w:rPr>
          <w:b w:val="0"/>
        </w:rPr>
        <w:t>Al</w:t>
      </w:r>
      <w:r w:rsidRPr="00087AA2">
        <w:rPr>
          <w:b w:val="0"/>
          <w:vertAlign w:val="superscript"/>
        </w:rPr>
        <w:t>3</w:t>
      </w:r>
      <w:r w:rsidR="002337E8">
        <w:rPr>
          <w:b w:val="0"/>
        </w:rPr>
        <w:t xml:space="preserve">. </w:t>
      </w:r>
      <w:r>
        <w:rPr>
          <w:b w:val="0"/>
        </w:rPr>
        <w:t>Thus, d</w:t>
      </w:r>
      <w:r>
        <w:rPr>
          <w:rFonts w:eastAsia="Calibri" w:cs="Times New Roman"/>
          <w:b w:val="0"/>
          <w:szCs w:val="24"/>
        </w:rPr>
        <w:t xml:space="preserve">econvolution of the </w:t>
      </w:r>
      <w:r w:rsidRPr="000E2377">
        <w:rPr>
          <w:rFonts w:eastAsia="Calibri" w:cs="Times New Roman"/>
          <w:b w:val="0"/>
          <w:szCs w:val="24"/>
        </w:rPr>
        <w:t xml:space="preserve">NMR </w:t>
      </w:r>
      <w:r>
        <w:rPr>
          <w:rFonts w:eastAsia="Calibri" w:cs="Times New Roman"/>
          <w:b w:val="0"/>
          <w:szCs w:val="24"/>
        </w:rPr>
        <w:t xml:space="preserve">spectra is believed to </w:t>
      </w:r>
      <w:r w:rsidR="002337E8">
        <w:rPr>
          <w:rFonts w:eastAsia="Calibri" w:cs="Times New Roman"/>
          <w:b w:val="0"/>
          <w:szCs w:val="24"/>
        </w:rPr>
        <w:t xml:space="preserve">be </w:t>
      </w:r>
      <w:r>
        <w:rPr>
          <w:rFonts w:eastAsia="Calibri" w:cs="Times New Roman"/>
          <w:b w:val="0"/>
          <w:szCs w:val="24"/>
        </w:rPr>
        <w:t>more reliable</w:t>
      </w:r>
      <w:r w:rsidR="002337E8">
        <w:rPr>
          <w:rFonts w:eastAsia="Calibri" w:cs="Times New Roman"/>
          <w:b w:val="0"/>
          <w:szCs w:val="24"/>
        </w:rPr>
        <w:t>. H</w:t>
      </w:r>
      <w:r>
        <w:rPr>
          <w:rFonts w:eastAsia="Calibri" w:cs="Times New Roman"/>
          <w:b w:val="0"/>
          <w:szCs w:val="24"/>
        </w:rPr>
        <w:t>owever</w:t>
      </w:r>
      <w:r w:rsidR="002337E8">
        <w:rPr>
          <w:rFonts w:eastAsia="Calibri" w:cs="Times New Roman"/>
          <w:b w:val="0"/>
          <w:szCs w:val="24"/>
        </w:rPr>
        <w:t>,</w:t>
      </w:r>
      <w:r>
        <w:rPr>
          <w:rFonts w:eastAsia="Calibri" w:cs="Times New Roman"/>
          <w:b w:val="0"/>
          <w:szCs w:val="24"/>
        </w:rPr>
        <w:t xml:space="preserve"> it was not possible to get NMR </w:t>
      </w:r>
      <w:r w:rsidRPr="000E2377">
        <w:rPr>
          <w:rFonts w:eastAsia="Calibri" w:cs="Times New Roman"/>
          <w:b w:val="0"/>
          <w:szCs w:val="24"/>
        </w:rPr>
        <w:t xml:space="preserve">data </w:t>
      </w:r>
      <w:r>
        <w:rPr>
          <w:rFonts w:eastAsia="Calibri" w:cs="Times New Roman"/>
          <w:b w:val="0"/>
          <w:szCs w:val="24"/>
        </w:rPr>
        <w:t xml:space="preserve">for </w:t>
      </w:r>
      <w:r w:rsidRPr="00DA4EBA">
        <w:rPr>
          <w:rFonts w:eastAsia="Calibri" w:cs="Times New Roman"/>
          <w:b w:val="0"/>
          <w:szCs w:val="24"/>
        </w:rPr>
        <w:t>all of the glasses studied here</w:t>
      </w:r>
      <w:r w:rsidR="001A28EB">
        <w:rPr>
          <w:rFonts w:eastAsia="Calibri" w:cs="Times New Roman"/>
          <w:b w:val="0"/>
          <w:szCs w:val="24"/>
        </w:rPr>
        <w:t xml:space="preserve"> and thus f</w:t>
      </w:r>
      <w:r w:rsidRPr="00DA4EBA">
        <w:rPr>
          <w:rFonts w:eastAsia="Calibri" w:cs="Times New Roman"/>
          <w:b w:val="0"/>
          <w:szCs w:val="24"/>
        </w:rPr>
        <w:t xml:space="preserve">or </w:t>
      </w:r>
      <w:r w:rsidR="001A28EB">
        <w:rPr>
          <w:rFonts w:eastAsia="Calibri" w:cs="Times New Roman"/>
          <w:b w:val="0"/>
          <w:szCs w:val="24"/>
        </w:rPr>
        <w:t xml:space="preserve">many of </w:t>
      </w:r>
      <w:r w:rsidRPr="00DA4EBA">
        <w:rPr>
          <w:rFonts w:eastAsia="Calibri" w:cs="Times New Roman"/>
          <w:b w:val="0"/>
          <w:szCs w:val="24"/>
        </w:rPr>
        <w:t>these glasses the Raman structural analysis has to be relied on</w:t>
      </w:r>
      <w:r>
        <w:rPr>
          <w:rFonts w:eastAsia="Calibri" w:cs="Times New Roman"/>
          <w:b w:val="0"/>
          <w:szCs w:val="24"/>
        </w:rPr>
        <w:t>.</w:t>
      </w:r>
    </w:p>
    <w:p w14:paraId="4F503CA5" w14:textId="7908E567" w:rsidR="00D740DC" w:rsidRPr="000E2377" w:rsidRDefault="00D740DC" w:rsidP="00D740DC">
      <w:pPr>
        <w:pStyle w:val="Caption"/>
        <w:rPr>
          <w:szCs w:val="24"/>
        </w:rPr>
      </w:pPr>
      <w:bookmarkStart w:id="790" w:name="_Ref519566407"/>
      <w:bookmarkStart w:id="791" w:name="_Hlk515396621"/>
      <w:r w:rsidRPr="000E2377">
        <w:lastRenderedPageBreak/>
        <w:t xml:space="preserve">Table </w:t>
      </w:r>
      <w:r>
        <w:t>4</w:t>
      </w:r>
      <w:r w:rsidRPr="000E2377">
        <w:t>.</w:t>
      </w:r>
      <w:bookmarkEnd w:id="790"/>
      <w:r w:rsidR="000E761A">
        <w:t>2</w:t>
      </w:r>
      <w:r w:rsidRPr="000E2377">
        <w:rPr>
          <w:szCs w:val="24"/>
        </w:rPr>
        <w:t>: Q</w:t>
      </w:r>
      <w:r w:rsidRPr="000E2377">
        <w:rPr>
          <w:szCs w:val="24"/>
          <w:vertAlign w:val="superscript"/>
        </w:rPr>
        <w:t>3</w:t>
      </w:r>
      <w:r w:rsidRPr="000E2377">
        <w:rPr>
          <w:szCs w:val="24"/>
        </w:rPr>
        <w:t xml:space="preserve"> and Q</w:t>
      </w:r>
      <w:r w:rsidRPr="000E2377">
        <w:rPr>
          <w:szCs w:val="24"/>
          <w:vertAlign w:val="superscript"/>
        </w:rPr>
        <w:t>4</w:t>
      </w:r>
      <w:r w:rsidRPr="000E2377">
        <w:rPr>
          <w:szCs w:val="24"/>
        </w:rPr>
        <w:t xml:space="preserve"> of</w:t>
      </w:r>
      <w:r w:rsidRPr="000E2377">
        <w:rPr>
          <w:color w:val="FF0000"/>
          <w:szCs w:val="24"/>
        </w:rPr>
        <w:t xml:space="preserve"> </w:t>
      </w:r>
      <w:r w:rsidRPr="000E2377">
        <w:rPr>
          <w:szCs w:val="24"/>
        </w:rPr>
        <w:t>selected</w:t>
      </w:r>
      <w:r w:rsidRPr="000E2377">
        <w:rPr>
          <w:color w:val="FF0000"/>
          <w:szCs w:val="24"/>
        </w:rPr>
        <w:t xml:space="preserve"> </w:t>
      </w:r>
      <w:r w:rsidRPr="000E2377">
        <w:rPr>
          <w:szCs w:val="24"/>
        </w:rPr>
        <w:t>glass samples</w:t>
      </w:r>
      <w:r>
        <w:rPr>
          <w:szCs w:val="24"/>
        </w:rPr>
        <w:t xml:space="preserve"> as determined by </w:t>
      </w:r>
      <w:r>
        <w:rPr>
          <w:szCs w:val="24"/>
          <w:vertAlign w:val="superscript"/>
        </w:rPr>
        <w:t>29</w:t>
      </w:r>
      <w:r>
        <w:rPr>
          <w:szCs w:val="24"/>
        </w:rPr>
        <w:t xml:space="preserve">Si NMR and Raman </w:t>
      </w:r>
      <w:proofErr w:type="spellStart"/>
      <w:r>
        <w:rPr>
          <w:szCs w:val="24"/>
        </w:rPr>
        <w:t>spectrocopy</w:t>
      </w:r>
      <w:proofErr w:type="spellEnd"/>
      <w:r w:rsidRPr="000E2377">
        <w:rPr>
          <w:szCs w:val="24"/>
        </w:rPr>
        <w:t>.</w:t>
      </w:r>
    </w:p>
    <w:tbl>
      <w:tblPr>
        <w:tblW w:w="15109" w:type="dxa"/>
        <w:tblLook w:val="04A0" w:firstRow="1" w:lastRow="0" w:firstColumn="1" w:lastColumn="0" w:noHBand="0" w:noVBand="1"/>
      </w:tblPr>
      <w:tblGrid>
        <w:gridCol w:w="1418"/>
        <w:gridCol w:w="816"/>
        <w:gridCol w:w="839"/>
        <w:gridCol w:w="929"/>
        <w:gridCol w:w="811"/>
        <w:gridCol w:w="865"/>
        <w:gridCol w:w="755"/>
        <w:gridCol w:w="918"/>
        <w:gridCol w:w="802"/>
        <w:gridCol w:w="859"/>
        <w:gridCol w:w="901"/>
        <w:gridCol w:w="929"/>
        <w:gridCol w:w="811"/>
        <w:gridCol w:w="855"/>
        <w:gridCol w:w="865"/>
        <w:gridCol w:w="940"/>
        <w:gridCol w:w="820"/>
      </w:tblGrid>
      <w:tr w:rsidR="00D740DC" w:rsidRPr="00CB148B" w14:paraId="095B6FEB" w14:textId="77777777" w:rsidTr="00B11F5F">
        <w:trPr>
          <w:trHeight w:val="570"/>
        </w:trPr>
        <w:tc>
          <w:tcPr>
            <w:tcW w:w="1418" w:type="dxa"/>
            <w:tcBorders>
              <w:top w:val="single" w:sz="8" w:space="0" w:color="auto"/>
              <w:left w:val="nil"/>
              <w:bottom w:val="single" w:sz="8" w:space="0" w:color="auto"/>
              <w:right w:val="nil"/>
            </w:tcBorders>
            <w:shd w:val="clear" w:color="auto" w:fill="auto"/>
            <w:noWrap/>
            <w:vAlign w:val="center"/>
            <w:hideMark/>
          </w:tcPr>
          <w:bookmarkEnd w:id="791"/>
          <w:p w14:paraId="54336ADE"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Glass ID</w:t>
            </w:r>
          </w:p>
        </w:tc>
        <w:tc>
          <w:tcPr>
            <w:tcW w:w="1631" w:type="dxa"/>
            <w:gridSpan w:val="2"/>
            <w:tcBorders>
              <w:top w:val="single" w:sz="8" w:space="0" w:color="auto"/>
              <w:left w:val="nil"/>
              <w:bottom w:val="single" w:sz="8" w:space="0" w:color="auto"/>
              <w:right w:val="nil"/>
            </w:tcBorders>
            <w:shd w:val="clear" w:color="auto" w:fill="auto"/>
            <w:vAlign w:val="center"/>
            <w:hideMark/>
          </w:tcPr>
          <w:p w14:paraId="5397BA30"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N</w:t>
            </w:r>
            <w:r w:rsidRPr="00CB148B">
              <w:rPr>
                <w:rFonts w:eastAsia="Times New Roman" w:cs="Times New Roman"/>
                <w:bCs/>
                <w:color w:val="000000"/>
                <w:sz w:val="16"/>
                <w:szCs w:val="16"/>
                <w:vertAlign w:val="subscript"/>
                <w:lang w:eastAsia="en-MY"/>
              </w:rPr>
              <w:t>7.6</w:t>
            </w:r>
            <w:r w:rsidRPr="00CB148B">
              <w:rPr>
                <w:rFonts w:eastAsia="Times New Roman" w:cs="Times New Roman"/>
                <w:bCs/>
                <w:color w:val="000000"/>
                <w:sz w:val="16"/>
                <w:szCs w:val="16"/>
                <w:lang w:eastAsia="en-MY"/>
              </w:rPr>
              <w:t>M</w:t>
            </w:r>
            <w:r w:rsidRPr="00CB148B">
              <w:rPr>
                <w:rFonts w:eastAsia="Times New Roman" w:cs="Times New Roman"/>
                <w:bCs/>
                <w:color w:val="000000"/>
                <w:sz w:val="16"/>
                <w:szCs w:val="16"/>
                <w:vertAlign w:val="subscript"/>
                <w:lang w:eastAsia="en-MY"/>
              </w:rPr>
              <w:t>1.1</w:t>
            </w:r>
            <w:r w:rsidRPr="00CB148B">
              <w:rPr>
                <w:rFonts w:eastAsia="Times New Roman" w:cs="Times New Roman"/>
                <w:bCs/>
                <w:color w:val="000000"/>
                <w:sz w:val="16"/>
                <w:szCs w:val="16"/>
                <w:lang w:eastAsia="en-MY"/>
              </w:rPr>
              <w:t>C</w:t>
            </w:r>
            <w:r w:rsidRPr="00CB148B">
              <w:rPr>
                <w:rFonts w:eastAsia="Times New Roman" w:cs="Times New Roman"/>
                <w:bCs/>
                <w:color w:val="000000"/>
                <w:sz w:val="16"/>
                <w:szCs w:val="16"/>
                <w:vertAlign w:val="subscript"/>
                <w:lang w:eastAsia="en-MY"/>
              </w:rPr>
              <w:t>3</w:t>
            </w:r>
            <w:r w:rsidRPr="00CB148B">
              <w:rPr>
                <w:rFonts w:eastAsia="Times New Roman" w:cs="Times New Roman"/>
                <w:bCs/>
                <w:color w:val="000000"/>
                <w:sz w:val="16"/>
                <w:szCs w:val="16"/>
                <w:lang w:eastAsia="en-MY"/>
              </w:rPr>
              <w:t>A</w:t>
            </w:r>
            <w:r w:rsidRPr="00CB148B">
              <w:rPr>
                <w:rFonts w:eastAsia="Times New Roman" w:cs="Times New Roman"/>
                <w:bCs/>
                <w:color w:val="000000"/>
                <w:sz w:val="16"/>
                <w:szCs w:val="16"/>
                <w:vertAlign w:val="subscript"/>
                <w:lang w:eastAsia="en-MY"/>
              </w:rPr>
              <w:t>2.5</w:t>
            </w:r>
            <w:r w:rsidRPr="00CB148B">
              <w:rPr>
                <w:rFonts w:eastAsia="Times New Roman" w:cs="Times New Roman"/>
                <w:bCs/>
                <w:color w:val="000000"/>
                <w:sz w:val="16"/>
                <w:szCs w:val="16"/>
                <w:lang w:eastAsia="en-MY"/>
              </w:rPr>
              <w:t>B</w:t>
            </w:r>
            <w:r w:rsidRPr="00CB148B">
              <w:rPr>
                <w:rFonts w:eastAsia="Times New Roman" w:cs="Times New Roman"/>
                <w:bCs/>
                <w:color w:val="000000"/>
                <w:sz w:val="16"/>
                <w:szCs w:val="16"/>
                <w:vertAlign w:val="subscript"/>
                <w:lang w:eastAsia="en-MY"/>
              </w:rPr>
              <w:t>7.6</w:t>
            </w:r>
            <w:r w:rsidRPr="00CB148B">
              <w:rPr>
                <w:rFonts w:eastAsia="Times New Roman" w:cs="Times New Roman"/>
                <w:bCs/>
                <w:color w:val="000000"/>
                <w:sz w:val="16"/>
                <w:szCs w:val="16"/>
                <w:lang w:eastAsia="en-MY"/>
              </w:rPr>
              <w:t>S</w:t>
            </w:r>
            <w:r w:rsidRPr="00CB148B">
              <w:rPr>
                <w:rFonts w:eastAsia="Times New Roman" w:cs="Times New Roman"/>
                <w:bCs/>
                <w:color w:val="000000"/>
                <w:sz w:val="16"/>
                <w:szCs w:val="16"/>
                <w:vertAlign w:val="subscript"/>
                <w:lang w:eastAsia="en-MY"/>
              </w:rPr>
              <w:t>78.2</w:t>
            </w:r>
          </w:p>
        </w:tc>
        <w:tc>
          <w:tcPr>
            <w:tcW w:w="1740" w:type="dxa"/>
            <w:gridSpan w:val="2"/>
            <w:tcBorders>
              <w:top w:val="single" w:sz="8" w:space="0" w:color="auto"/>
              <w:left w:val="nil"/>
              <w:bottom w:val="single" w:sz="8" w:space="0" w:color="auto"/>
              <w:right w:val="nil"/>
            </w:tcBorders>
            <w:shd w:val="clear" w:color="auto" w:fill="auto"/>
            <w:vAlign w:val="center"/>
            <w:hideMark/>
          </w:tcPr>
          <w:p w14:paraId="7ECEA0B8"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N</w:t>
            </w:r>
            <w:r w:rsidRPr="00CB148B">
              <w:rPr>
                <w:rFonts w:eastAsia="Times New Roman" w:cs="Times New Roman"/>
                <w:bCs/>
                <w:color w:val="000000"/>
                <w:sz w:val="16"/>
                <w:szCs w:val="16"/>
                <w:vertAlign w:val="subscript"/>
                <w:lang w:eastAsia="en-MY"/>
              </w:rPr>
              <w:t>7.6</w:t>
            </w:r>
            <w:r w:rsidRPr="00CB148B">
              <w:rPr>
                <w:rFonts w:eastAsia="Times New Roman" w:cs="Times New Roman"/>
                <w:bCs/>
                <w:color w:val="000000"/>
                <w:sz w:val="16"/>
                <w:szCs w:val="16"/>
                <w:lang w:eastAsia="en-MY"/>
              </w:rPr>
              <w:t>M</w:t>
            </w:r>
            <w:r w:rsidRPr="00CB148B">
              <w:rPr>
                <w:rFonts w:eastAsia="Times New Roman" w:cs="Times New Roman"/>
                <w:bCs/>
                <w:color w:val="000000"/>
                <w:sz w:val="16"/>
                <w:szCs w:val="16"/>
                <w:vertAlign w:val="subscript"/>
                <w:lang w:eastAsia="en-MY"/>
              </w:rPr>
              <w:t>1.1</w:t>
            </w:r>
            <w:r w:rsidRPr="00CB148B">
              <w:rPr>
                <w:rFonts w:eastAsia="Times New Roman" w:cs="Times New Roman"/>
                <w:bCs/>
                <w:color w:val="000000"/>
                <w:sz w:val="16"/>
                <w:szCs w:val="16"/>
                <w:lang w:eastAsia="en-MY"/>
              </w:rPr>
              <w:t>C</w:t>
            </w:r>
            <w:r w:rsidRPr="00CB148B">
              <w:rPr>
                <w:rFonts w:eastAsia="Times New Roman" w:cs="Times New Roman"/>
                <w:bCs/>
                <w:color w:val="000000"/>
                <w:sz w:val="16"/>
                <w:szCs w:val="16"/>
                <w:vertAlign w:val="subscript"/>
                <w:lang w:eastAsia="en-MY"/>
              </w:rPr>
              <w:t>3</w:t>
            </w:r>
            <w:r w:rsidRPr="00CB148B">
              <w:rPr>
                <w:rFonts w:eastAsia="Times New Roman" w:cs="Times New Roman"/>
                <w:bCs/>
                <w:color w:val="000000"/>
                <w:sz w:val="16"/>
                <w:szCs w:val="16"/>
                <w:lang w:eastAsia="en-MY"/>
              </w:rPr>
              <w:t>A</w:t>
            </w:r>
            <w:r w:rsidRPr="00CB148B">
              <w:rPr>
                <w:rFonts w:eastAsia="Times New Roman" w:cs="Times New Roman"/>
                <w:bCs/>
                <w:color w:val="000000"/>
                <w:sz w:val="16"/>
                <w:szCs w:val="16"/>
                <w:vertAlign w:val="subscript"/>
                <w:lang w:eastAsia="en-MY"/>
              </w:rPr>
              <w:t>7.5</w:t>
            </w:r>
            <w:r w:rsidRPr="00CB148B">
              <w:rPr>
                <w:rFonts w:eastAsia="Times New Roman" w:cs="Times New Roman"/>
                <w:bCs/>
                <w:color w:val="000000"/>
                <w:sz w:val="16"/>
                <w:szCs w:val="16"/>
                <w:lang w:eastAsia="en-MY"/>
              </w:rPr>
              <w:t>B</w:t>
            </w:r>
            <w:r w:rsidRPr="00CB148B">
              <w:rPr>
                <w:rFonts w:eastAsia="Times New Roman" w:cs="Times New Roman"/>
                <w:bCs/>
                <w:color w:val="000000"/>
                <w:sz w:val="16"/>
                <w:szCs w:val="16"/>
                <w:vertAlign w:val="subscript"/>
                <w:lang w:eastAsia="en-MY"/>
              </w:rPr>
              <w:t>7.6</w:t>
            </w:r>
            <w:r w:rsidRPr="00CB148B">
              <w:rPr>
                <w:rFonts w:eastAsia="Times New Roman" w:cs="Times New Roman"/>
                <w:bCs/>
                <w:color w:val="000000"/>
                <w:sz w:val="16"/>
                <w:szCs w:val="16"/>
                <w:lang w:eastAsia="en-MY"/>
              </w:rPr>
              <w:t>S</w:t>
            </w:r>
            <w:r w:rsidRPr="00CB148B">
              <w:rPr>
                <w:rFonts w:eastAsia="Times New Roman" w:cs="Times New Roman"/>
                <w:bCs/>
                <w:color w:val="000000"/>
                <w:sz w:val="16"/>
                <w:szCs w:val="16"/>
                <w:vertAlign w:val="subscript"/>
                <w:lang w:eastAsia="en-MY"/>
              </w:rPr>
              <w:t>73.2</w:t>
            </w:r>
          </w:p>
        </w:tc>
        <w:tc>
          <w:tcPr>
            <w:tcW w:w="1620" w:type="dxa"/>
            <w:gridSpan w:val="2"/>
            <w:tcBorders>
              <w:top w:val="single" w:sz="8" w:space="0" w:color="auto"/>
              <w:left w:val="nil"/>
              <w:bottom w:val="single" w:sz="8" w:space="0" w:color="auto"/>
              <w:right w:val="nil"/>
            </w:tcBorders>
            <w:shd w:val="clear" w:color="auto" w:fill="auto"/>
            <w:vAlign w:val="center"/>
            <w:hideMark/>
          </w:tcPr>
          <w:p w14:paraId="57F8B884"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N</w:t>
            </w:r>
            <w:r w:rsidRPr="00CB148B">
              <w:rPr>
                <w:rFonts w:eastAsia="Times New Roman" w:cs="Times New Roman"/>
                <w:bCs/>
                <w:color w:val="000000"/>
                <w:sz w:val="16"/>
                <w:szCs w:val="16"/>
                <w:vertAlign w:val="subscript"/>
                <w:lang w:eastAsia="en-MY"/>
              </w:rPr>
              <w:t>15</w:t>
            </w:r>
            <w:r w:rsidRPr="00CB148B">
              <w:rPr>
                <w:rFonts w:eastAsia="Times New Roman" w:cs="Times New Roman"/>
                <w:bCs/>
                <w:color w:val="000000"/>
                <w:sz w:val="16"/>
                <w:szCs w:val="16"/>
                <w:lang w:eastAsia="en-MY"/>
              </w:rPr>
              <w:t>C</w:t>
            </w:r>
            <w:r w:rsidRPr="00CB148B">
              <w:rPr>
                <w:rFonts w:eastAsia="Times New Roman" w:cs="Times New Roman"/>
                <w:bCs/>
                <w:color w:val="000000"/>
                <w:sz w:val="16"/>
                <w:szCs w:val="16"/>
                <w:vertAlign w:val="subscript"/>
                <w:lang w:eastAsia="en-MY"/>
              </w:rPr>
              <w:t>5</w:t>
            </w:r>
            <w:r w:rsidRPr="00CB148B">
              <w:rPr>
                <w:rFonts w:eastAsia="Times New Roman" w:cs="Times New Roman"/>
                <w:bCs/>
                <w:color w:val="000000"/>
                <w:sz w:val="16"/>
                <w:szCs w:val="16"/>
                <w:lang w:eastAsia="en-MY"/>
              </w:rPr>
              <w:t>A</w:t>
            </w:r>
            <w:r w:rsidRPr="00CB148B">
              <w:rPr>
                <w:rFonts w:eastAsia="Times New Roman" w:cs="Times New Roman"/>
                <w:bCs/>
                <w:color w:val="000000"/>
                <w:sz w:val="16"/>
                <w:szCs w:val="16"/>
                <w:vertAlign w:val="subscript"/>
                <w:lang w:eastAsia="en-MY"/>
              </w:rPr>
              <w:t>0</w:t>
            </w:r>
            <w:r w:rsidRPr="00CB148B">
              <w:rPr>
                <w:rFonts w:eastAsia="Times New Roman" w:cs="Times New Roman"/>
                <w:bCs/>
                <w:color w:val="000000"/>
                <w:sz w:val="16"/>
                <w:szCs w:val="16"/>
                <w:lang w:eastAsia="en-MY"/>
              </w:rPr>
              <w:t>B</w:t>
            </w:r>
            <w:r w:rsidRPr="00CB148B">
              <w:rPr>
                <w:rFonts w:eastAsia="Times New Roman" w:cs="Times New Roman"/>
                <w:bCs/>
                <w:color w:val="000000"/>
                <w:sz w:val="16"/>
                <w:szCs w:val="16"/>
                <w:vertAlign w:val="subscript"/>
                <w:lang w:eastAsia="en-MY"/>
              </w:rPr>
              <w:t>10</w:t>
            </w:r>
            <w:r w:rsidRPr="00CB148B">
              <w:rPr>
                <w:rFonts w:eastAsia="Times New Roman" w:cs="Times New Roman"/>
                <w:bCs/>
                <w:color w:val="000000"/>
                <w:sz w:val="16"/>
                <w:szCs w:val="16"/>
                <w:lang w:eastAsia="en-MY"/>
              </w:rPr>
              <w:t>S</w:t>
            </w:r>
            <w:r w:rsidRPr="00CB148B">
              <w:rPr>
                <w:rFonts w:eastAsia="Times New Roman" w:cs="Times New Roman"/>
                <w:bCs/>
                <w:color w:val="000000"/>
                <w:sz w:val="16"/>
                <w:szCs w:val="16"/>
                <w:vertAlign w:val="subscript"/>
                <w:lang w:eastAsia="en-MY"/>
              </w:rPr>
              <w:t>70</w:t>
            </w:r>
          </w:p>
        </w:tc>
        <w:tc>
          <w:tcPr>
            <w:tcW w:w="1720" w:type="dxa"/>
            <w:gridSpan w:val="2"/>
            <w:tcBorders>
              <w:top w:val="single" w:sz="8" w:space="0" w:color="auto"/>
              <w:left w:val="nil"/>
              <w:bottom w:val="single" w:sz="8" w:space="0" w:color="auto"/>
              <w:right w:val="nil"/>
            </w:tcBorders>
            <w:shd w:val="clear" w:color="auto" w:fill="auto"/>
            <w:vAlign w:val="center"/>
            <w:hideMark/>
          </w:tcPr>
          <w:p w14:paraId="7BCB7B96"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N</w:t>
            </w:r>
            <w:r w:rsidRPr="00CB148B">
              <w:rPr>
                <w:rFonts w:eastAsia="Times New Roman" w:cs="Times New Roman"/>
                <w:bCs/>
                <w:color w:val="000000"/>
                <w:sz w:val="16"/>
                <w:szCs w:val="16"/>
                <w:vertAlign w:val="subscript"/>
                <w:lang w:eastAsia="en-MY"/>
              </w:rPr>
              <w:t>15</w:t>
            </w:r>
            <w:r w:rsidRPr="00CB148B">
              <w:rPr>
                <w:rFonts w:eastAsia="Times New Roman" w:cs="Times New Roman"/>
                <w:bCs/>
                <w:color w:val="000000"/>
                <w:sz w:val="16"/>
                <w:szCs w:val="16"/>
                <w:lang w:eastAsia="en-MY"/>
              </w:rPr>
              <w:t>C</w:t>
            </w:r>
            <w:r w:rsidRPr="00CB148B">
              <w:rPr>
                <w:rFonts w:eastAsia="Times New Roman" w:cs="Times New Roman"/>
                <w:bCs/>
                <w:color w:val="000000"/>
                <w:sz w:val="16"/>
                <w:szCs w:val="16"/>
                <w:vertAlign w:val="subscript"/>
                <w:lang w:eastAsia="en-MY"/>
              </w:rPr>
              <w:t>5</w:t>
            </w:r>
            <w:r w:rsidRPr="00CB148B">
              <w:rPr>
                <w:rFonts w:eastAsia="Times New Roman" w:cs="Times New Roman"/>
                <w:bCs/>
                <w:color w:val="000000"/>
                <w:sz w:val="16"/>
                <w:szCs w:val="16"/>
                <w:lang w:eastAsia="en-MY"/>
              </w:rPr>
              <w:t>A</w:t>
            </w:r>
            <w:r w:rsidRPr="00CB148B">
              <w:rPr>
                <w:rFonts w:eastAsia="Times New Roman" w:cs="Times New Roman"/>
                <w:bCs/>
                <w:color w:val="000000"/>
                <w:sz w:val="16"/>
                <w:szCs w:val="16"/>
                <w:vertAlign w:val="subscript"/>
                <w:lang w:eastAsia="en-MY"/>
              </w:rPr>
              <w:t>10</w:t>
            </w:r>
            <w:r w:rsidRPr="00CB148B">
              <w:rPr>
                <w:rFonts w:eastAsia="Times New Roman" w:cs="Times New Roman"/>
                <w:bCs/>
                <w:color w:val="000000"/>
                <w:sz w:val="16"/>
                <w:szCs w:val="16"/>
                <w:lang w:eastAsia="en-MY"/>
              </w:rPr>
              <w:t>B</w:t>
            </w:r>
            <w:r w:rsidRPr="00CB148B">
              <w:rPr>
                <w:rFonts w:eastAsia="Times New Roman" w:cs="Times New Roman"/>
                <w:bCs/>
                <w:color w:val="000000"/>
                <w:sz w:val="16"/>
                <w:szCs w:val="16"/>
                <w:vertAlign w:val="subscript"/>
                <w:lang w:eastAsia="en-MY"/>
              </w:rPr>
              <w:t>10</w:t>
            </w:r>
            <w:r w:rsidRPr="00CB148B">
              <w:rPr>
                <w:rFonts w:eastAsia="Times New Roman" w:cs="Times New Roman"/>
                <w:bCs/>
                <w:color w:val="000000"/>
                <w:sz w:val="16"/>
                <w:szCs w:val="16"/>
                <w:lang w:eastAsia="en-MY"/>
              </w:rPr>
              <w:t>S</w:t>
            </w:r>
            <w:r w:rsidRPr="00CB148B">
              <w:rPr>
                <w:rFonts w:eastAsia="Times New Roman" w:cs="Times New Roman"/>
                <w:bCs/>
                <w:color w:val="000000"/>
                <w:sz w:val="16"/>
                <w:szCs w:val="16"/>
                <w:vertAlign w:val="subscript"/>
                <w:lang w:eastAsia="en-MY"/>
              </w:rPr>
              <w:t>60</w:t>
            </w:r>
          </w:p>
        </w:tc>
        <w:tc>
          <w:tcPr>
            <w:tcW w:w="1760" w:type="dxa"/>
            <w:gridSpan w:val="2"/>
            <w:tcBorders>
              <w:top w:val="single" w:sz="8" w:space="0" w:color="auto"/>
              <w:left w:val="nil"/>
              <w:bottom w:val="single" w:sz="8" w:space="0" w:color="auto"/>
              <w:right w:val="nil"/>
            </w:tcBorders>
            <w:shd w:val="clear" w:color="auto" w:fill="auto"/>
            <w:vAlign w:val="center"/>
            <w:hideMark/>
          </w:tcPr>
          <w:p w14:paraId="48512F50"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N</w:t>
            </w:r>
            <w:r w:rsidRPr="00CB148B">
              <w:rPr>
                <w:rFonts w:eastAsia="Times New Roman" w:cs="Times New Roman"/>
                <w:bCs/>
                <w:color w:val="000000"/>
                <w:sz w:val="16"/>
                <w:szCs w:val="16"/>
                <w:vertAlign w:val="subscript"/>
                <w:lang w:eastAsia="en-MY"/>
              </w:rPr>
              <w:t>15</w:t>
            </w:r>
            <w:r w:rsidRPr="00CB148B">
              <w:rPr>
                <w:rFonts w:eastAsia="Times New Roman" w:cs="Times New Roman"/>
                <w:bCs/>
                <w:color w:val="000000"/>
                <w:sz w:val="16"/>
                <w:szCs w:val="16"/>
                <w:lang w:eastAsia="en-MY"/>
              </w:rPr>
              <w:t>C</w:t>
            </w:r>
            <w:r w:rsidRPr="00CB148B">
              <w:rPr>
                <w:rFonts w:eastAsia="Times New Roman" w:cs="Times New Roman"/>
                <w:bCs/>
                <w:color w:val="000000"/>
                <w:sz w:val="16"/>
                <w:szCs w:val="16"/>
                <w:vertAlign w:val="subscript"/>
                <w:lang w:eastAsia="en-MY"/>
              </w:rPr>
              <w:t>10</w:t>
            </w:r>
            <w:r w:rsidRPr="00CB148B">
              <w:rPr>
                <w:rFonts w:eastAsia="Times New Roman" w:cs="Times New Roman"/>
                <w:bCs/>
                <w:color w:val="000000"/>
                <w:sz w:val="16"/>
                <w:szCs w:val="16"/>
                <w:lang w:eastAsia="en-MY"/>
              </w:rPr>
              <w:t>A</w:t>
            </w:r>
            <w:r w:rsidRPr="00CB148B">
              <w:rPr>
                <w:rFonts w:eastAsia="Times New Roman" w:cs="Times New Roman"/>
                <w:bCs/>
                <w:color w:val="000000"/>
                <w:sz w:val="16"/>
                <w:szCs w:val="16"/>
                <w:vertAlign w:val="subscript"/>
                <w:lang w:eastAsia="en-MY"/>
              </w:rPr>
              <w:t>5</w:t>
            </w:r>
            <w:r w:rsidRPr="00CB148B">
              <w:rPr>
                <w:rFonts w:eastAsia="Times New Roman" w:cs="Times New Roman"/>
                <w:bCs/>
                <w:color w:val="000000"/>
                <w:sz w:val="16"/>
                <w:szCs w:val="16"/>
                <w:lang w:eastAsia="en-MY"/>
              </w:rPr>
              <w:t>B</w:t>
            </w:r>
            <w:r w:rsidRPr="00CB148B">
              <w:rPr>
                <w:rFonts w:eastAsia="Times New Roman" w:cs="Times New Roman"/>
                <w:bCs/>
                <w:color w:val="000000"/>
                <w:sz w:val="16"/>
                <w:szCs w:val="16"/>
                <w:vertAlign w:val="subscript"/>
                <w:lang w:eastAsia="en-MY"/>
              </w:rPr>
              <w:t>10</w:t>
            </w:r>
            <w:r w:rsidRPr="00CB148B">
              <w:rPr>
                <w:rFonts w:eastAsia="Times New Roman" w:cs="Times New Roman"/>
                <w:bCs/>
                <w:color w:val="000000"/>
                <w:sz w:val="16"/>
                <w:szCs w:val="16"/>
                <w:lang w:eastAsia="en-MY"/>
              </w:rPr>
              <w:t>S</w:t>
            </w:r>
            <w:r w:rsidRPr="00CB148B">
              <w:rPr>
                <w:rFonts w:eastAsia="Times New Roman" w:cs="Times New Roman"/>
                <w:bCs/>
                <w:color w:val="000000"/>
                <w:sz w:val="16"/>
                <w:szCs w:val="16"/>
                <w:vertAlign w:val="subscript"/>
                <w:lang w:eastAsia="en-MY"/>
              </w:rPr>
              <w:t>60</w:t>
            </w:r>
          </w:p>
        </w:tc>
        <w:tc>
          <w:tcPr>
            <w:tcW w:w="1740" w:type="dxa"/>
            <w:gridSpan w:val="2"/>
            <w:tcBorders>
              <w:top w:val="single" w:sz="8" w:space="0" w:color="auto"/>
              <w:left w:val="nil"/>
              <w:bottom w:val="single" w:sz="8" w:space="0" w:color="auto"/>
              <w:right w:val="nil"/>
            </w:tcBorders>
            <w:shd w:val="clear" w:color="auto" w:fill="auto"/>
            <w:vAlign w:val="center"/>
            <w:hideMark/>
          </w:tcPr>
          <w:p w14:paraId="6D90F9C9"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N</w:t>
            </w:r>
            <w:r w:rsidRPr="00CB148B">
              <w:rPr>
                <w:rFonts w:eastAsia="Times New Roman" w:cs="Times New Roman"/>
                <w:bCs/>
                <w:color w:val="000000"/>
                <w:sz w:val="16"/>
                <w:szCs w:val="16"/>
                <w:vertAlign w:val="subscript"/>
                <w:lang w:eastAsia="en-MY"/>
              </w:rPr>
              <w:t>15</w:t>
            </w:r>
            <w:r w:rsidRPr="00CB148B">
              <w:rPr>
                <w:rFonts w:eastAsia="Times New Roman" w:cs="Times New Roman"/>
                <w:bCs/>
                <w:color w:val="000000"/>
                <w:sz w:val="16"/>
                <w:szCs w:val="16"/>
                <w:lang w:eastAsia="en-MY"/>
              </w:rPr>
              <w:t>Ba</w:t>
            </w:r>
            <w:r w:rsidRPr="00CB148B">
              <w:rPr>
                <w:rFonts w:eastAsia="Times New Roman" w:cs="Times New Roman"/>
                <w:bCs/>
                <w:color w:val="000000"/>
                <w:sz w:val="16"/>
                <w:szCs w:val="16"/>
                <w:vertAlign w:val="subscript"/>
                <w:lang w:eastAsia="en-MY"/>
              </w:rPr>
              <w:t>10</w:t>
            </w:r>
            <w:r w:rsidRPr="00CB148B">
              <w:rPr>
                <w:rFonts w:eastAsia="Times New Roman" w:cs="Times New Roman"/>
                <w:bCs/>
                <w:color w:val="000000"/>
                <w:sz w:val="16"/>
                <w:szCs w:val="16"/>
                <w:lang w:eastAsia="en-MY"/>
              </w:rPr>
              <w:t>A</w:t>
            </w:r>
            <w:r w:rsidRPr="00CB148B">
              <w:rPr>
                <w:rFonts w:eastAsia="Times New Roman" w:cs="Times New Roman"/>
                <w:bCs/>
                <w:color w:val="000000"/>
                <w:sz w:val="16"/>
                <w:szCs w:val="16"/>
                <w:vertAlign w:val="subscript"/>
                <w:lang w:eastAsia="en-MY"/>
              </w:rPr>
              <w:t>5</w:t>
            </w:r>
            <w:r w:rsidRPr="00CB148B">
              <w:rPr>
                <w:rFonts w:eastAsia="Times New Roman" w:cs="Times New Roman"/>
                <w:bCs/>
                <w:color w:val="000000"/>
                <w:sz w:val="16"/>
                <w:szCs w:val="16"/>
                <w:lang w:eastAsia="en-MY"/>
              </w:rPr>
              <w:t>B</w:t>
            </w:r>
            <w:r w:rsidRPr="00CB148B">
              <w:rPr>
                <w:rFonts w:eastAsia="Times New Roman" w:cs="Times New Roman"/>
                <w:bCs/>
                <w:color w:val="000000"/>
                <w:sz w:val="16"/>
                <w:szCs w:val="16"/>
                <w:vertAlign w:val="subscript"/>
                <w:lang w:eastAsia="en-MY"/>
              </w:rPr>
              <w:t>10</w:t>
            </w:r>
            <w:r w:rsidRPr="00CB148B">
              <w:rPr>
                <w:rFonts w:eastAsia="Times New Roman" w:cs="Times New Roman"/>
                <w:bCs/>
                <w:color w:val="000000"/>
                <w:sz w:val="16"/>
                <w:szCs w:val="16"/>
                <w:lang w:eastAsia="en-MY"/>
              </w:rPr>
              <w:t>S</w:t>
            </w:r>
            <w:r w:rsidRPr="00CB148B">
              <w:rPr>
                <w:rFonts w:eastAsia="Times New Roman" w:cs="Times New Roman"/>
                <w:bCs/>
                <w:color w:val="000000"/>
                <w:sz w:val="16"/>
                <w:szCs w:val="16"/>
                <w:vertAlign w:val="subscript"/>
                <w:lang w:eastAsia="en-MY"/>
              </w:rPr>
              <w:t>60</w:t>
            </w:r>
          </w:p>
        </w:tc>
        <w:tc>
          <w:tcPr>
            <w:tcW w:w="1720" w:type="dxa"/>
            <w:gridSpan w:val="2"/>
            <w:tcBorders>
              <w:top w:val="single" w:sz="8" w:space="0" w:color="auto"/>
              <w:left w:val="nil"/>
              <w:bottom w:val="single" w:sz="8" w:space="0" w:color="auto"/>
              <w:right w:val="nil"/>
            </w:tcBorders>
            <w:shd w:val="clear" w:color="auto" w:fill="auto"/>
            <w:vAlign w:val="center"/>
            <w:hideMark/>
          </w:tcPr>
          <w:p w14:paraId="6DCB792C"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N</w:t>
            </w:r>
            <w:r w:rsidRPr="00CB148B">
              <w:rPr>
                <w:rFonts w:eastAsia="Times New Roman" w:cs="Times New Roman"/>
                <w:bCs/>
                <w:color w:val="000000"/>
                <w:sz w:val="16"/>
                <w:szCs w:val="16"/>
                <w:vertAlign w:val="subscript"/>
                <w:lang w:eastAsia="en-MY"/>
              </w:rPr>
              <w:t>10</w:t>
            </w:r>
            <w:r w:rsidRPr="00CB148B">
              <w:rPr>
                <w:rFonts w:eastAsia="Times New Roman" w:cs="Times New Roman"/>
                <w:bCs/>
                <w:color w:val="000000"/>
                <w:sz w:val="16"/>
                <w:szCs w:val="16"/>
                <w:lang w:eastAsia="en-MY"/>
              </w:rPr>
              <w:t>C</w:t>
            </w:r>
            <w:r w:rsidRPr="00CB148B">
              <w:rPr>
                <w:rFonts w:eastAsia="Times New Roman" w:cs="Times New Roman"/>
                <w:bCs/>
                <w:color w:val="000000"/>
                <w:sz w:val="16"/>
                <w:szCs w:val="16"/>
                <w:vertAlign w:val="subscript"/>
                <w:lang w:eastAsia="en-MY"/>
              </w:rPr>
              <w:t>5</w:t>
            </w:r>
            <w:r w:rsidRPr="00CB148B">
              <w:rPr>
                <w:rFonts w:eastAsia="Times New Roman" w:cs="Times New Roman"/>
                <w:bCs/>
                <w:color w:val="000000"/>
                <w:sz w:val="16"/>
                <w:szCs w:val="16"/>
                <w:lang w:eastAsia="en-MY"/>
              </w:rPr>
              <w:t>A</w:t>
            </w:r>
            <w:r w:rsidRPr="00CB148B">
              <w:rPr>
                <w:rFonts w:eastAsia="Times New Roman" w:cs="Times New Roman"/>
                <w:bCs/>
                <w:color w:val="000000"/>
                <w:sz w:val="16"/>
                <w:szCs w:val="16"/>
                <w:vertAlign w:val="subscript"/>
                <w:lang w:eastAsia="en-MY"/>
              </w:rPr>
              <w:t>15</w:t>
            </w:r>
            <w:r w:rsidRPr="00CB148B">
              <w:rPr>
                <w:rFonts w:eastAsia="Times New Roman" w:cs="Times New Roman"/>
                <w:bCs/>
                <w:color w:val="000000"/>
                <w:sz w:val="16"/>
                <w:szCs w:val="16"/>
                <w:lang w:eastAsia="en-MY"/>
              </w:rPr>
              <w:t>B</w:t>
            </w:r>
            <w:r w:rsidRPr="00CB148B">
              <w:rPr>
                <w:rFonts w:eastAsia="Times New Roman" w:cs="Times New Roman"/>
                <w:bCs/>
                <w:color w:val="000000"/>
                <w:sz w:val="16"/>
                <w:szCs w:val="16"/>
                <w:vertAlign w:val="subscript"/>
                <w:lang w:eastAsia="en-MY"/>
              </w:rPr>
              <w:t>10</w:t>
            </w:r>
            <w:r w:rsidRPr="00CB148B">
              <w:rPr>
                <w:rFonts w:eastAsia="Times New Roman" w:cs="Times New Roman"/>
                <w:bCs/>
                <w:color w:val="000000"/>
                <w:sz w:val="16"/>
                <w:szCs w:val="16"/>
                <w:lang w:eastAsia="en-MY"/>
              </w:rPr>
              <w:t>S</w:t>
            </w:r>
            <w:r w:rsidRPr="00CB148B">
              <w:rPr>
                <w:rFonts w:eastAsia="Times New Roman" w:cs="Times New Roman"/>
                <w:bCs/>
                <w:color w:val="000000"/>
                <w:sz w:val="16"/>
                <w:szCs w:val="16"/>
                <w:vertAlign w:val="subscript"/>
                <w:lang w:eastAsia="en-MY"/>
              </w:rPr>
              <w:t>60</w:t>
            </w:r>
          </w:p>
        </w:tc>
        <w:tc>
          <w:tcPr>
            <w:tcW w:w="1760" w:type="dxa"/>
            <w:gridSpan w:val="2"/>
            <w:tcBorders>
              <w:top w:val="single" w:sz="8" w:space="0" w:color="auto"/>
              <w:left w:val="nil"/>
              <w:bottom w:val="single" w:sz="8" w:space="0" w:color="auto"/>
              <w:right w:val="nil"/>
            </w:tcBorders>
            <w:shd w:val="clear" w:color="auto" w:fill="auto"/>
            <w:vAlign w:val="center"/>
            <w:hideMark/>
          </w:tcPr>
          <w:p w14:paraId="31F46F37"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N</w:t>
            </w:r>
            <w:r w:rsidRPr="00CB148B">
              <w:rPr>
                <w:rFonts w:eastAsia="Times New Roman" w:cs="Times New Roman"/>
                <w:bCs/>
                <w:color w:val="000000"/>
                <w:sz w:val="16"/>
                <w:szCs w:val="16"/>
                <w:vertAlign w:val="subscript"/>
                <w:lang w:eastAsia="en-MY"/>
              </w:rPr>
              <w:t>10</w:t>
            </w:r>
            <w:r w:rsidRPr="00CB148B">
              <w:rPr>
                <w:rFonts w:eastAsia="Times New Roman" w:cs="Times New Roman"/>
                <w:bCs/>
                <w:color w:val="000000"/>
                <w:sz w:val="16"/>
                <w:szCs w:val="16"/>
                <w:lang w:eastAsia="en-MY"/>
              </w:rPr>
              <w:t>Ba</w:t>
            </w:r>
            <w:r w:rsidRPr="00CB148B">
              <w:rPr>
                <w:rFonts w:eastAsia="Times New Roman" w:cs="Times New Roman"/>
                <w:bCs/>
                <w:color w:val="000000"/>
                <w:sz w:val="16"/>
                <w:szCs w:val="16"/>
                <w:vertAlign w:val="subscript"/>
                <w:lang w:eastAsia="en-MY"/>
              </w:rPr>
              <w:t>5</w:t>
            </w:r>
            <w:r w:rsidRPr="00CB148B">
              <w:rPr>
                <w:rFonts w:eastAsia="Times New Roman" w:cs="Times New Roman"/>
                <w:bCs/>
                <w:color w:val="000000"/>
                <w:sz w:val="16"/>
                <w:szCs w:val="16"/>
                <w:lang w:eastAsia="en-MY"/>
              </w:rPr>
              <w:t>A</w:t>
            </w:r>
            <w:r w:rsidRPr="00CB148B">
              <w:rPr>
                <w:rFonts w:eastAsia="Times New Roman" w:cs="Times New Roman"/>
                <w:bCs/>
                <w:color w:val="000000"/>
                <w:sz w:val="16"/>
                <w:szCs w:val="16"/>
                <w:vertAlign w:val="subscript"/>
                <w:lang w:eastAsia="en-MY"/>
              </w:rPr>
              <w:t>15</w:t>
            </w:r>
            <w:r w:rsidRPr="00CB148B">
              <w:rPr>
                <w:rFonts w:eastAsia="Times New Roman" w:cs="Times New Roman"/>
                <w:bCs/>
                <w:color w:val="000000"/>
                <w:sz w:val="16"/>
                <w:szCs w:val="16"/>
                <w:lang w:eastAsia="en-MY"/>
              </w:rPr>
              <w:t>B</w:t>
            </w:r>
            <w:r w:rsidRPr="00CB148B">
              <w:rPr>
                <w:rFonts w:eastAsia="Times New Roman" w:cs="Times New Roman"/>
                <w:bCs/>
                <w:color w:val="000000"/>
                <w:sz w:val="16"/>
                <w:szCs w:val="16"/>
                <w:vertAlign w:val="subscript"/>
                <w:lang w:eastAsia="en-MY"/>
              </w:rPr>
              <w:t>10</w:t>
            </w:r>
            <w:r w:rsidRPr="00CB148B">
              <w:rPr>
                <w:rFonts w:eastAsia="Times New Roman" w:cs="Times New Roman"/>
                <w:bCs/>
                <w:color w:val="000000"/>
                <w:sz w:val="16"/>
                <w:szCs w:val="16"/>
                <w:lang w:eastAsia="en-MY"/>
              </w:rPr>
              <w:t>S</w:t>
            </w:r>
            <w:r w:rsidRPr="00CB148B">
              <w:rPr>
                <w:rFonts w:eastAsia="Times New Roman" w:cs="Times New Roman"/>
                <w:bCs/>
                <w:color w:val="000000"/>
                <w:sz w:val="16"/>
                <w:szCs w:val="16"/>
                <w:vertAlign w:val="subscript"/>
                <w:lang w:eastAsia="en-MY"/>
              </w:rPr>
              <w:t>60</w:t>
            </w:r>
          </w:p>
        </w:tc>
      </w:tr>
      <w:tr w:rsidR="00D740DC" w:rsidRPr="00CB148B" w14:paraId="14DEF6AD" w14:textId="77777777" w:rsidTr="00B11F5F">
        <w:trPr>
          <w:trHeight w:val="300"/>
        </w:trPr>
        <w:tc>
          <w:tcPr>
            <w:tcW w:w="1418" w:type="dxa"/>
            <w:tcBorders>
              <w:top w:val="nil"/>
              <w:left w:val="nil"/>
              <w:bottom w:val="nil"/>
              <w:right w:val="nil"/>
            </w:tcBorders>
            <w:shd w:val="clear" w:color="auto" w:fill="auto"/>
            <w:noWrap/>
            <w:vAlign w:val="center"/>
            <w:hideMark/>
          </w:tcPr>
          <w:p w14:paraId="13E1432B"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p>
        </w:tc>
        <w:tc>
          <w:tcPr>
            <w:tcW w:w="792" w:type="dxa"/>
            <w:tcBorders>
              <w:top w:val="nil"/>
              <w:left w:val="nil"/>
              <w:bottom w:val="nil"/>
              <w:right w:val="nil"/>
            </w:tcBorders>
            <w:shd w:val="clear" w:color="auto" w:fill="auto"/>
            <w:noWrap/>
            <w:vAlign w:val="center"/>
            <w:hideMark/>
          </w:tcPr>
          <w:p w14:paraId="43DA9652"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NMR</w:t>
            </w:r>
          </w:p>
        </w:tc>
        <w:tc>
          <w:tcPr>
            <w:tcW w:w="839" w:type="dxa"/>
            <w:tcBorders>
              <w:top w:val="nil"/>
              <w:left w:val="nil"/>
              <w:bottom w:val="nil"/>
              <w:right w:val="nil"/>
            </w:tcBorders>
            <w:shd w:val="clear" w:color="auto" w:fill="auto"/>
            <w:noWrap/>
            <w:vAlign w:val="center"/>
            <w:hideMark/>
          </w:tcPr>
          <w:p w14:paraId="33C5AF7E"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Raman</w:t>
            </w:r>
          </w:p>
        </w:tc>
        <w:tc>
          <w:tcPr>
            <w:tcW w:w="929" w:type="dxa"/>
            <w:tcBorders>
              <w:top w:val="nil"/>
              <w:left w:val="nil"/>
              <w:bottom w:val="nil"/>
              <w:right w:val="nil"/>
            </w:tcBorders>
            <w:shd w:val="clear" w:color="auto" w:fill="auto"/>
            <w:noWrap/>
            <w:vAlign w:val="center"/>
            <w:hideMark/>
          </w:tcPr>
          <w:p w14:paraId="41EA373C"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NMR</w:t>
            </w:r>
          </w:p>
        </w:tc>
        <w:tc>
          <w:tcPr>
            <w:tcW w:w="811" w:type="dxa"/>
            <w:tcBorders>
              <w:top w:val="nil"/>
              <w:left w:val="nil"/>
              <w:bottom w:val="nil"/>
              <w:right w:val="nil"/>
            </w:tcBorders>
            <w:shd w:val="clear" w:color="auto" w:fill="auto"/>
            <w:noWrap/>
            <w:vAlign w:val="center"/>
            <w:hideMark/>
          </w:tcPr>
          <w:p w14:paraId="5155D70E"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Raman</w:t>
            </w:r>
          </w:p>
        </w:tc>
        <w:tc>
          <w:tcPr>
            <w:tcW w:w="865" w:type="dxa"/>
            <w:tcBorders>
              <w:top w:val="nil"/>
              <w:left w:val="nil"/>
              <w:bottom w:val="nil"/>
              <w:right w:val="nil"/>
            </w:tcBorders>
            <w:shd w:val="clear" w:color="auto" w:fill="auto"/>
            <w:noWrap/>
            <w:vAlign w:val="center"/>
            <w:hideMark/>
          </w:tcPr>
          <w:p w14:paraId="65282141"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NMR</w:t>
            </w:r>
          </w:p>
        </w:tc>
        <w:tc>
          <w:tcPr>
            <w:tcW w:w="755" w:type="dxa"/>
            <w:tcBorders>
              <w:top w:val="nil"/>
              <w:left w:val="nil"/>
              <w:bottom w:val="nil"/>
              <w:right w:val="nil"/>
            </w:tcBorders>
            <w:shd w:val="clear" w:color="auto" w:fill="auto"/>
            <w:noWrap/>
            <w:vAlign w:val="center"/>
            <w:hideMark/>
          </w:tcPr>
          <w:p w14:paraId="4F90AD67"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Raman</w:t>
            </w:r>
          </w:p>
        </w:tc>
        <w:tc>
          <w:tcPr>
            <w:tcW w:w="918" w:type="dxa"/>
            <w:tcBorders>
              <w:top w:val="nil"/>
              <w:left w:val="nil"/>
              <w:bottom w:val="nil"/>
              <w:right w:val="nil"/>
            </w:tcBorders>
            <w:shd w:val="clear" w:color="auto" w:fill="auto"/>
            <w:noWrap/>
            <w:vAlign w:val="center"/>
            <w:hideMark/>
          </w:tcPr>
          <w:p w14:paraId="7C592CBE"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NMR</w:t>
            </w:r>
          </w:p>
        </w:tc>
        <w:tc>
          <w:tcPr>
            <w:tcW w:w="802" w:type="dxa"/>
            <w:tcBorders>
              <w:top w:val="nil"/>
              <w:left w:val="nil"/>
              <w:bottom w:val="nil"/>
              <w:right w:val="nil"/>
            </w:tcBorders>
            <w:shd w:val="clear" w:color="auto" w:fill="auto"/>
            <w:noWrap/>
            <w:vAlign w:val="center"/>
            <w:hideMark/>
          </w:tcPr>
          <w:p w14:paraId="04167D8C"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Raman</w:t>
            </w:r>
          </w:p>
        </w:tc>
        <w:tc>
          <w:tcPr>
            <w:tcW w:w="859" w:type="dxa"/>
            <w:tcBorders>
              <w:top w:val="nil"/>
              <w:left w:val="nil"/>
              <w:bottom w:val="nil"/>
              <w:right w:val="nil"/>
            </w:tcBorders>
            <w:shd w:val="clear" w:color="auto" w:fill="auto"/>
            <w:noWrap/>
            <w:vAlign w:val="center"/>
            <w:hideMark/>
          </w:tcPr>
          <w:p w14:paraId="6DDB1589"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NMR</w:t>
            </w:r>
          </w:p>
        </w:tc>
        <w:tc>
          <w:tcPr>
            <w:tcW w:w="901" w:type="dxa"/>
            <w:tcBorders>
              <w:top w:val="nil"/>
              <w:left w:val="nil"/>
              <w:bottom w:val="nil"/>
              <w:right w:val="nil"/>
            </w:tcBorders>
            <w:shd w:val="clear" w:color="auto" w:fill="auto"/>
            <w:noWrap/>
            <w:vAlign w:val="center"/>
            <w:hideMark/>
          </w:tcPr>
          <w:p w14:paraId="08D61306"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Raman</w:t>
            </w:r>
          </w:p>
        </w:tc>
        <w:tc>
          <w:tcPr>
            <w:tcW w:w="929" w:type="dxa"/>
            <w:tcBorders>
              <w:top w:val="nil"/>
              <w:left w:val="nil"/>
              <w:bottom w:val="nil"/>
              <w:right w:val="nil"/>
            </w:tcBorders>
            <w:shd w:val="clear" w:color="auto" w:fill="auto"/>
            <w:noWrap/>
            <w:vAlign w:val="center"/>
            <w:hideMark/>
          </w:tcPr>
          <w:p w14:paraId="17A4702D"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NMR</w:t>
            </w:r>
          </w:p>
        </w:tc>
        <w:tc>
          <w:tcPr>
            <w:tcW w:w="811" w:type="dxa"/>
            <w:tcBorders>
              <w:top w:val="nil"/>
              <w:left w:val="nil"/>
              <w:bottom w:val="nil"/>
              <w:right w:val="nil"/>
            </w:tcBorders>
            <w:shd w:val="clear" w:color="auto" w:fill="auto"/>
            <w:noWrap/>
            <w:vAlign w:val="center"/>
            <w:hideMark/>
          </w:tcPr>
          <w:p w14:paraId="1A701B28"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Raman</w:t>
            </w:r>
          </w:p>
        </w:tc>
        <w:tc>
          <w:tcPr>
            <w:tcW w:w="855" w:type="dxa"/>
            <w:tcBorders>
              <w:top w:val="nil"/>
              <w:left w:val="nil"/>
              <w:bottom w:val="nil"/>
              <w:right w:val="nil"/>
            </w:tcBorders>
            <w:shd w:val="clear" w:color="auto" w:fill="auto"/>
            <w:noWrap/>
            <w:vAlign w:val="center"/>
            <w:hideMark/>
          </w:tcPr>
          <w:p w14:paraId="59CE98D5"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NMR</w:t>
            </w:r>
          </w:p>
        </w:tc>
        <w:tc>
          <w:tcPr>
            <w:tcW w:w="865" w:type="dxa"/>
            <w:tcBorders>
              <w:top w:val="nil"/>
              <w:left w:val="nil"/>
              <w:bottom w:val="nil"/>
              <w:right w:val="nil"/>
            </w:tcBorders>
            <w:shd w:val="clear" w:color="auto" w:fill="auto"/>
            <w:noWrap/>
            <w:vAlign w:val="center"/>
            <w:hideMark/>
          </w:tcPr>
          <w:p w14:paraId="65CA1245"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Raman</w:t>
            </w:r>
          </w:p>
        </w:tc>
        <w:tc>
          <w:tcPr>
            <w:tcW w:w="940" w:type="dxa"/>
            <w:tcBorders>
              <w:top w:val="nil"/>
              <w:left w:val="nil"/>
              <w:bottom w:val="nil"/>
              <w:right w:val="nil"/>
            </w:tcBorders>
            <w:shd w:val="clear" w:color="auto" w:fill="auto"/>
            <w:noWrap/>
            <w:vAlign w:val="center"/>
            <w:hideMark/>
          </w:tcPr>
          <w:p w14:paraId="142BDAAE"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NMR</w:t>
            </w:r>
          </w:p>
        </w:tc>
        <w:tc>
          <w:tcPr>
            <w:tcW w:w="820" w:type="dxa"/>
            <w:tcBorders>
              <w:top w:val="nil"/>
              <w:left w:val="nil"/>
              <w:bottom w:val="nil"/>
              <w:right w:val="nil"/>
            </w:tcBorders>
            <w:shd w:val="clear" w:color="auto" w:fill="auto"/>
            <w:noWrap/>
            <w:vAlign w:val="center"/>
            <w:hideMark/>
          </w:tcPr>
          <w:p w14:paraId="7170F11E" w14:textId="77777777" w:rsidR="00D740DC" w:rsidRPr="00CB148B" w:rsidRDefault="00D740DC" w:rsidP="00B11F5F">
            <w:pPr>
              <w:spacing w:after="0" w:line="240" w:lineRule="auto"/>
              <w:jc w:val="center"/>
              <w:rPr>
                <w:rFonts w:eastAsia="Times New Roman" w:cs="Times New Roman"/>
                <w:bCs/>
                <w:color w:val="000000"/>
                <w:sz w:val="16"/>
                <w:szCs w:val="16"/>
                <w:lang w:eastAsia="en-MY"/>
              </w:rPr>
            </w:pPr>
            <w:r w:rsidRPr="00CB148B">
              <w:rPr>
                <w:rFonts w:eastAsia="Times New Roman" w:cs="Times New Roman"/>
                <w:bCs/>
                <w:color w:val="000000"/>
                <w:sz w:val="16"/>
                <w:szCs w:val="16"/>
                <w:lang w:eastAsia="en-MY"/>
              </w:rPr>
              <w:t>Raman</w:t>
            </w:r>
          </w:p>
        </w:tc>
      </w:tr>
      <w:tr w:rsidR="00D740DC" w:rsidRPr="00CB148B" w14:paraId="02426760" w14:textId="77777777" w:rsidTr="00B11F5F">
        <w:trPr>
          <w:trHeight w:val="615"/>
        </w:trPr>
        <w:tc>
          <w:tcPr>
            <w:tcW w:w="1418" w:type="dxa"/>
            <w:tcBorders>
              <w:top w:val="nil"/>
              <w:left w:val="nil"/>
              <w:bottom w:val="nil"/>
              <w:right w:val="nil"/>
            </w:tcBorders>
            <w:shd w:val="clear" w:color="auto" w:fill="auto"/>
            <w:vAlign w:val="center"/>
            <w:hideMark/>
          </w:tcPr>
          <w:p w14:paraId="48A9F82E"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Chem. Shift / wavenumber</w:t>
            </w:r>
          </w:p>
        </w:tc>
        <w:tc>
          <w:tcPr>
            <w:tcW w:w="792" w:type="dxa"/>
            <w:tcBorders>
              <w:top w:val="nil"/>
              <w:left w:val="nil"/>
              <w:bottom w:val="nil"/>
              <w:right w:val="nil"/>
            </w:tcBorders>
            <w:shd w:val="clear" w:color="auto" w:fill="auto"/>
            <w:noWrap/>
            <w:vAlign w:val="center"/>
            <w:hideMark/>
          </w:tcPr>
          <w:p w14:paraId="3BA2D26E"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-112</w:t>
            </w:r>
          </w:p>
        </w:tc>
        <w:tc>
          <w:tcPr>
            <w:tcW w:w="839" w:type="dxa"/>
            <w:tcBorders>
              <w:top w:val="nil"/>
              <w:left w:val="nil"/>
              <w:bottom w:val="nil"/>
              <w:right w:val="nil"/>
            </w:tcBorders>
            <w:shd w:val="clear" w:color="auto" w:fill="auto"/>
            <w:noWrap/>
            <w:vAlign w:val="center"/>
            <w:hideMark/>
          </w:tcPr>
          <w:p w14:paraId="706F980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1171</w:t>
            </w:r>
          </w:p>
        </w:tc>
        <w:tc>
          <w:tcPr>
            <w:tcW w:w="929" w:type="dxa"/>
            <w:tcBorders>
              <w:top w:val="nil"/>
              <w:left w:val="nil"/>
              <w:bottom w:val="nil"/>
              <w:right w:val="nil"/>
            </w:tcBorders>
            <w:shd w:val="clear" w:color="auto" w:fill="auto"/>
            <w:noWrap/>
            <w:vAlign w:val="center"/>
            <w:hideMark/>
          </w:tcPr>
          <w:p w14:paraId="04275A9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-110.95</w:t>
            </w:r>
          </w:p>
        </w:tc>
        <w:tc>
          <w:tcPr>
            <w:tcW w:w="811" w:type="dxa"/>
            <w:tcBorders>
              <w:top w:val="nil"/>
              <w:left w:val="nil"/>
              <w:bottom w:val="nil"/>
              <w:right w:val="nil"/>
            </w:tcBorders>
            <w:shd w:val="clear" w:color="auto" w:fill="auto"/>
            <w:noWrap/>
            <w:vAlign w:val="center"/>
            <w:hideMark/>
          </w:tcPr>
          <w:p w14:paraId="74CB595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1161.95</w:t>
            </w:r>
          </w:p>
        </w:tc>
        <w:tc>
          <w:tcPr>
            <w:tcW w:w="865" w:type="dxa"/>
            <w:tcBorders>
              <w:top w:val="nil"/>
              <w:left w:val="nil"/>
              <w:bottom w:val="nil"/>
              <w:right w:val="nil"/>
            </w:tcBorders>
            <w:shd w:val="clear" w:color="auto" w:fill="auto"/>
            <w:noWrap/>
            <w:vAlign w:val="center"/>
            <w:hideMark/>
          </w:tcPr>
          <w:p w14:paraId="382FAD42"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-114.06</w:t>
            </w:r>
          </w:p>
        </w:tc>
        <w:tc>
          <w:tcPr>
            <w:tcW w:w="755" w:type="dxa"/>
            <w:tcBorders>
              <w:top w:val="nil"/>
              <w:left w:val="nil"/>
              <w:bottom w:val="nil"/>
              <w:right w:val="nil"/>
            </w:tcBorders>
            <w:shd w:val="clear" w:color="auto" w:fill="auto"/>
            <w:noWrap/>
            <w:vAlign w:val="center"/>
            <w:hideMark/>
          </w:tcPr>
          <w:p w14:paraId="1816959F"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1081.14</w:t>
            </w:r>
          </w:p>
        </w:tc>
        <w:tc>
          <w:tcPr>
            <w:tcW w:w="918" w:type="dxa"/>
            <w:tcBorders>
              <w:top w:val="nil"/>
              <w:left w:val="nil"/>
              <w:bottom w:val="nil"/>
              <w:right w:val="nil"/>
            </w:tcBorders>
            <w:shd w:val="clear" w:color="auto" w:fill="auto"/>
            <w:noWrap/>
            <w:vAlign w:val="center"/>
            <w:hideMark/>
          </w:tcPr>
          <w:p w14:paraId="3576A3A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-106</w:t>
            </w:r>
          </w:p>
        </w:tc>
        <w:tc>
          <w:tcPr>
            <w:tcW w:w="802" w:type="dxa"/>
            <w:tcBorders>
              <w:top w:val="nil"/>
              <w:left w:val="nil"/>
              <w:bottom w:val="nil"/>
              <w:right w:val="nil"/>
            </w:tcBorders>
            <w:shd w:val="clear" w:color="auto" w:fill="auto"/>
            <w:noWrap/>
            <w:vAlign w:val="center"/>
            <w:hideMark/>
          </w:tcPr>
          <w:p w14:paraId="2371A5B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1135.26</w:t>
            </w:r>
          </w:p>
        </w:tc>
        <w:tc>
          <w:tcPr>
            <w:tcW w:w="859" w:type="dxa"/>
            <w:tcBorders>
              <w:top w:val="nil"/>
              <w:left w:val="nil"/>
              <w:bottom w:val="nil"/>
              <w:right w:val="nil"/>
            </w:tcBorders>
            <w:shd w:val="clear" w:color="auto" w:fill="auto"/>
            <w:noWrap/>
            <w:vAlign w:val="center"/>
            <w:hideMark/>
          </w:tcPr>
          <w:p w14:paraId="59EF7270"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-103.18</w:t>
            </w:r>
          </w:p>
        </w:tc>
        <w:tc>
          <w:tcPr>
            <w:tcW w:w="901" w:type="dxa"/>
            <w:tcBorders>
              <w:top w:val="nil"/>
              <w:left w:val="nil"/>
              <w:bottom w:val="nil"/>
              <w:right w:val="nil"/>
            </w:tcBorders>
            <w:shd w:val="clear" w:color="auto" w:fill="auto"/>
            <w:noWrap/>
            <w:vAlign w:val="center"/>
            <w:hideMark/>
          </w:tcPr>
          <w:p w14:paraId="5206106C"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1158.55</w:t>
            </w:r>
          </w:p>
        </w:tc>
        <w:tc>
          <w:tcPr>
            <w:tcW w:w="929" w:type="dxa"/>
            <w:tcBorders>
              <w:top w:val="nil"/>
              <w:left w:val="nil"/>
              <w:bottom w:val="nil"/>
              <w:right w:val="nil"/>
            </w:tcBorders>
            <w:shd w:val="clear" w:color="auto" w:fill="auto"/>
            <w:noWrap/>
            <w:vAlign w:val="center"/>
            <w:hideMark/>
          </w:tcPr>
          <w:p w14:paraId="4DB0E1F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-105.77</w:t>
            </w:r>
          </w:p>
        </w:tc>
        <w:tc>
          <w:tcPr>
            <w:tcW w:w="811" w:type="dxa"/>
            <w:tcBorders>
              <w:top w:val="nil"/>
              <w:left w:val="nil"/>
              <w:bottom w:val="nil"/>
              <w:right w:val="nil"/>
            </w:tcBorders>
            <w:shd w:val="clear" w:color="auto" w:fill="auto"/>
            <w:noWrap/>
            <w:vAlign w:val="center"/>
            <w:hideMark/>
          </w:tcPr>
          <w:p w14:paraId="15DA9030"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1077.27</w:t>
            </w:r>
          </w:p>
        </w:tc>
        <w:tc>
          <w:tcPr>
            <w:tcW w:w="855" w:type="dxa"/>
            <w:tcBorders>
              <w:top w:val="nil"/>
              <w:left w:val="nil"/>
              <w:bottom w:val="nil"/>
              <w:right w:val="nil"/>
            </w:tcBorders>
            <w:shd w:val="clear" w:color="auto" w:fill="auto"/>
            <w:noWrap/>
            <w:vAlign w:val="center"/>
            <w:hideMark/>
          </w:tcPr>
          <w:p w14:paraId="7CDA3CC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-105.15</w:t>
            </w:r>
          </w:p>
        </w:tc>
        <w:tc>
          <w:tcPr>
            <w:tcW w:w="865" w:type="dxa"/>
            <w:tcBorders>
              <w:top w:val="nil"/>
              <w:left w:val="nil"/>
              <w:bottom w:val="nil"/>
              <w:right w:val="nil"/>
            </w:tcBorders>
            <w:shd w:val="clear" w:color="auto" w:fill="auto"/>
            <w:noWrap/>
            <w:vAlign w:val="center"/>
            <w:hideMark/>
          </w:tcPr>
          <w:p w14:paraId="5B5A991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1164.29</w:t>
            </w:r>
          </w:p>
        </w:tc>
        <w:tc>
          <w:tcPr>
            <w:tcW w:w="940" w:type="dxa"/>
            <w:tcBorders>
              <w:top w:val="nil"/>
              <w:left w:val="nil"/>
              <w:bottom w:val="nil"/>
              <w:right w:val="nil"/>
            </w:tcBorders>
            <w:shd w:val="clear" w:color="auto" w:fill="auto"/>
            <w:noWrap/>
            <w:vAlign w:val="center"/>
            <w:hideMark/>
          </w:tcPr>
          <w:p w14:paraId="3DB04932"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-119.49</w:t>
            </w:r>
          </w:p>
        </w:tc>
        <w:tc>
          <w:tcPr>
            <w:tcW w:w="820" w:type="dxa"/>
            <w:tcBorders>
              <w:top w:val="nil"/>
              <w:left w:val="nil"/>
              <w:bottom w:val="nil"/>
              <w:right w:val="nil"/>
            </w:tcBorders>
            <w:shd w:val="clear" w:color="auto" w:fill="auto"/>
            <w:noWrap/>
            <w:vAlign w:val="center"/>
            <w:hideMark/>
          </w:tcPr>
          <w:p w14:paraId="2EF4D955"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1137.66</w:t>
            </w:r>
          </w:p>
        </w:tc>
      </w:tr>
      <w:tr w:rsidR="00D740DC" w:rsidRPr="00CB148B" w14:paraId="61599FCF" w14:textId="77777777" w:rsidTr="00B11F5F">
        <w:trPr>
          <w:trHeight w:val="300"/>
        </w:trPr>
        <w:tc>
          <w:tcPr>
            <w:tcW w:w="1418" w:type="dxa"/>
            <w:tcBorders>
              <w:top w:val="nil"/>
              <w:left w:val="nil"/>
              <w:bottom w:val="nil"/>
              <w:right w:val="nil"/>
            </w:tcBorders>
            <w:shd w:val="clear" w:color="auto" w:fill="auto"/>
            <w:noWrap/>
            <w:vAlign w:val="center"/>
            <w:hideMark/>
          </w:tcPr>
          <w:p w14:paraId="48848B04"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Area (Q</w:t>
            </w:r>
            <w:r w:rsidRPr="00CB148B">
              <w:rPr>
                <w:rFonts w:eastAsia="Times New Roman" w:cs="Times New Roman"/>
                <w:b w:val="0"/>
                <w:color w:val="000000"/>
                <w:sz w:val="20"/>
                <w:szCs w:val="20"/>
                <w:vertAlign w:val="subscript"/>
                <w:lang w:eastAsia="en-MY"/>
              </w:rPr>
              <w:t>4</w:t>
            </w:r>
            <w:r w:rsidRPr="00CB148B">
              <w:rPr>
                <w:rFonts w:eastAsia="Times New Roman" w:cs="Times New Roman"/>
                <w:b w:val="0"/>
                <w:color w:val="000000"/>
                <w:sz w:val="20"/>
                <w:szCs w:val="20"/>
                <w:lang w:eastAsia="en-MY"/>
              </w:rPr>
              <w:t>)</w:t>
            </w:r>
          </w:p>
        </w:tc>
        <w:tc>
          <w:tcPr>
            <w:tcW w:w="792" w:type="dxa"/>
            <w:tcBorders>
              <w:top w:val="nil"/>
              <w:left w:val="nil"/>
              <w:bottom w:val="nil"/>
              <w:right w:val="nil"/>
            </w:tcBorders>
            <w:shd w:val="clear" w:color="auto" w:fill="auto"/>
            <w:noWrap/>
            <w:vAlign w:val="center"/>
            <w:hideMark/>
          </w:tcPr>
          <w:p w14:paraId="1FD5FAB0"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649.93</w:t>
            </w:r>
          </w:p>
        </w:tc>
        <w:tc>
          <w:tcPr>
            <w:tcW w:w="839" w:type="dxa"/>
            <w:tcBorders>
              <w:top w:val="nil"/>
              <w:left w:val="nil"/>
              <w:bottom w:val="nil"/>
              <w:right w:val="nil"/>
            </w:tcBorders>
            <w:shd w:val="clear" w:color="auto" w:fill="auto"/>
            <w:noWrap/>
            <w:vAlign w:val="center"/>
            <w:hideMark/>
          </w:tcPr>
          <w:p w14:paraId="6EFF016F"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0.31</w:t>
            </w:r>
          </w:p>
        </w:tc>
        <w:tc>
          <w:tcPr>
            <w:tcW w:w="929" w:type="dxa"/>
            <w:tcBorders>
              <w:top w:val="nil"/>
              <w:left w:val="nil"/>
              <w:bottom w:val="nil"/>
              <w:right w:val="nil"/>
            </w:tcBorders>
            <w:shd w:val="clear" w:color="auto" w:fill="auto"/>
            <w:noWrap/>
            <w:vAlign w:val="center"/>
            <w:hideMark/>
          </w:tcPr>
          <w:p w14:paraId="47E6F4D0"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1337.032</w:t>
            </w:r>
          </w:p>
        </w:tc>
        <w:tc>
          <w:tcPr>
            <w:tcW w:w="811" w:type="dxa"/>
            <w:tcBorders>
              <w:top w:val="nil"/>
              <w:left w:val="nil"/>
              <w:bottom w:val="nil"/>
              <w:right w:val="nil"/>
            </w:tcBorders>
            <w:shd w:val="clear" w:color="auto" w:fill="auto"/>
            <w:noWrap/>
            <w:vAlign w:val="center"/>
            <w:hideMark/>
          </w:tcPr>
          <w:p w14:paraId="024AA23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0.3</w:t>
            </w:r>
          </w:p>
        </w:tc>
        <w:tc>
          <w:tcPr>
            <w:tcW w:w="865" w:type="dxa"/>
            <w:tcBorders>
              <w:top w:val="nil"/>
              <w:left w:val="nil"/>
              <w:bottom w:val="nil"/>
              <w:right w:val="nil"/>
            </w:tcBorders>
            <w:shd w:val="clear" w:color="auto" w:fill="auto"/>
            <w:noWrap/>
            <w:vAlign w:val="center"/>
            <w:hideMark/>
          </w:tcPr>
          <w:p w14:paraId="043DB282"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179.062</w:t>
            </w:r>
          </w:p>
        </w:tc>
        <w:tc>
          <w:tcPr>
            <w:tcW w:w="755" w:type="dxa"/>
            <w:tcBorders>
              <w:top w:val="nil"/>
              <w:left w:val="nil"/>
              <w:bottom w:val="nil"/>
              <w:right w:val="nil"/>
            </w:tcBorders>
            <w:shd w:val="clear" w:color="auto" w:fill="auto"/>
            <w:noWrap/>
            <w:vAlign w:val="center"/>
            <w:hideMark/>
          </w:tcPr>
          <w:p w14:paraId="4DF5E43E"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0.45</w:t>
            </w:r>
          </w:p>
        </w:tc>
        <w:tc>
          <w:tcPr>
            <w:tcW w:w="918" w:type="dxa"/>
            <w:tcBorders>
              <w:top w:val="nil"/>
              <w:left w:val="nil"/>
              <w:bottom w:val="nil"/>
              <w:right w:val="nil"/>
            </w:tcBorders>
            <w:shd w:val="clear" w:color="auto" w:fill="auto"/>
            <w:noWrap/>
            <w:vAlign w:val="center"/>
            <w:hideMark/>
          </w:tcPr>
          <w:p w14:paraId="6D420623"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299.501</w:t>
            </w:r>
          </w:p>
        </w:tc>
        <w:tc>
          <w:tcPr>
            <w:tcW w:w="802" w:type="dxa"/>
            <w:tcBorders>
              <w:top w:val="nil"/>
              <w:left w:val="nil"/>
              <w:bottom w:val="nil"/>
              <w:right w:val="nil"/>
            </w:tcBorders>
            <w:shd w:val="clear" w:color="auto" w:fill="auto"/>
            <w:noWrap/>
            <w:vAlign w:val="center"/>
            <w:hideMark/>
          </w:tcPr>
          <w:p w14:paraId="18F265A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0.16</w:t>
            </w:r>
          </w:p>
        </w:tc>
        <w:tc>
          <w:tcPr>
            <w:tcW w:w="859" w:type="dxa"/>
            <w:tcBorders>
              <w:top w:val="nil"/>
              <w:left w:val="nil"/>
              <w:bottom w:val="nil"/>
              <w:right w:val="nil"/>
            </w:tcBorders>
            <w:shd w:val="clear" w:color="auto" w:fill="auto"/>
            <w:noWrap/>
            <w:vAlign w:val="center"/>
            <w:hideMark/>
          </w:tcPr>
          <w:p w14:paraId="263271B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1111.4</w:t>
            </w:r>
          </w:p>
        </w:tc>
        <w:tc>
          <w:tcPr>
            <w:tcW w:w="901" w:type="dxa"/>
            <w:tcBorders>
              <w:top w:val="nil"/>
              <w:left w:val="nil"/>
              <w:bottom w:val="nil"/>
              <w:right w:val="nil"/>
            </w:tcBorders>
            <w:shd w:val="clear" w:color="auto" w:fill="auto"/>
            <w:noWrap/>
            <w:vAlign w:val="center"/>
            <w:hideMark/>
          </w:tcPr>
          <w:p w14:paraId="784230B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0.15</w:t>
            </w:r>
          </w:p>
        </w:tc>
        <w:tc>
          <w:tcPr>
            <w:tcW w:w="929" w:type="dxa"/>
            <w:tcBorders>
              <w:top w:val="nil"/>
              <w:left w:val="nil"/>
              <w:bottom w:val="nil"/>
              <w:right w:val="nil"/>
            </w:tcBorders>
            <w:shd w:val="clear" w:color="auto" w:fill="auto"/>
            <w:noWrap/>
            <w:vAlign w:val="center"/>
            <w:hideMark/>
          </w:tcPr>
          <w:p w14:paraId="1E54644E"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170.781</w:t>
            </w:r>
          </w:p>
        </w:tc>
        <w:tc>
          <w:tcPr>
            <w:tcW w:w="811" w:type="dxa"/>
            <w:tcBorders>
              <w:top w:val="nil"/>
              <w:left w:val="nil"/>
              <w:bottom w:val="nil"/>
              <w:right w:val="nil"/>
            </w:tcBorders>
            <w:shd w:val="clear" w:color="auto" w:fill="auto"/>
            <w:noWrap/>
            <w:vAlign w:val="center"/>
            <w:hideMark/>
          </w:tcPr>
          <w:p w14:paraId="2698CD3E"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0.11</w:t>
            </w:r>
          </w:p>
        </w:tc>
        <w:tc>
          <w:tcPr>
            <w:tcW w:w="855" w:type="dxa"/>
            <w:tcBorders>
              <w:top w:val="nil"/>
              <w:left w:val="nil"/>
              <w:bottom w:val="nil"/>
              <w:right w:val="nil"/>
            </w:tcBorders>
            <w:shd w:val="clear" w:color="auto" w:fill="auto"/>
            <w:noWrap/>
            <w:vAlign w:val="center"/>
            <w:hideMark/>
          </w:tcPr>
          <w:p w14:paraId="4F06933F"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1066.47</w:t>
            </w:r>
          </w:p>
        </w:tc>
        <w:tc>
          <w:tcPr>
            <w:tcW w:w="865" w:type="dxa"/>
            <w:tcBorders>
              <w:top w:val="nil"/>
              <w:left w:val="nil"/>
              <w:bottom w:val="nil"/>
              <w:right w:val="nil"/>
            </w:tcBorders>
            <w:shd w:val="clear" w:color="auto" w:fill="auto"/>
            <w:noWrap/>
            <w:vAlign w:val="center"/>
            <w:hideMark/>
          </w:tcPr>
          <w:p w14:paraId="4A4BBBE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0.13</w:t>
            </w:r>
          </w:p>
        </w:tc>
        <w:tc>
          <w:tcPr>
            <w:tcW w:w="940" w:type="dxa"/>
            <w:tcBorders>
              <w:top w:val="nil"/>
              <w:left w:val="nil"/>
              <w:bottom w:val="nil"/>
              <w:right w:val="nil"/>
            </w:tcBorders>
            <w:shd w:val="clear" w:color="auto" w:fill="auto"/>
            <w:noWrap/>
            <w:vAlign w:val="center"/>
            <w:hideMark/>
          </w:tcPr>
          <w:p w14:paraId="5674ECA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32.891</w:t>
            </w:r>
          </w:p>
        </w:tc>
        <w:tc>
          <w:tcPr>
            <w:tcW w:w="820" w:type="dxa"/>
            <w:tcBorders>
              <w:top w:val="nil"/>
              <w:left w:val="nil"/>
              <w:bottom w:val="nil"/>
              <w:right w:val="nil"/>
            </w:tcBorders>
            <w:shd w:val="clear" w:color="auto" w:fill="auto"/>
            <w:noWrap/>
            <w:vAlign w:val="center"/>
            <w:hideMark/>
          </w:tcPr>
          <w:p w14:paraId="5EA7AB0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0.27</w:t>
            </w:r>
          </w:p>
        </w:tc>
      </w:tr>
      <w:tr w:rsidR="00D740DC" w:rsidRPr="00CB148B" w14:paraId="0906C983" w14:textId="77777777" w:rsidTr="00B11F5F">
        <w:trPr>
          <w:trHeight w:val="510"/>
        </w:trPr>
        <w:tc>
          <w:tcPr>
            <w:tcW w:w="1418" w:type="dxa"/>
            <w:tcBorders>
              <w:top w:val="nil"/>
              <w:left w:val="nil"/>
              <w:bottom w:val="nil"/>
              <w:right w:val="nil"/>
            </w:tcBorders>
            <w:shd w:val="clear" w:color="auto" w:fill="auto"/>
            <w:vAlign w:val="center"/>
            <w:hideMark/>
          </w:tcPr>
          <w:p w14:paraId="4654A7BC"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Chem. Shift / wavenumber</w:t>
            </w:r>
          </w:p>
        </w:tc>
        <w:tc>
          <w:tcPr>
            <w:tcW w:w="792" w:type="dxa"/>
            <w:tcBorders>
              <w:top w:val="nil"/>
              <w:left w:val="nil"/>
              <w:bottom w:val="nil"/>
              <w:right w:val="nil"/>
            </w:tcBorders>
            <w:shd w:val="clear" w:color="auto" w:fill="auto"/>
            <w:noWrap/>
            <w:vAlign w:val="center"/>
            <w:hideMark/>
          </w:tcPr>
          <w:p w14:paraId="38B3A17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-105.8</w:t>
            </w:r>
          </w:p>
        </w:tc>
        <w:tc>
          <w:tcPr>
            <w:tcW w:w="839" w:type="dxa"/>
            <w:tcBorders>
              <w:top w:val="nil"/>
              <w:left w:val="nil"/>
              <w:bottom w:val="nil"/>
              <w:right w:val="nil"/>
            </w:tcBorders>
            <w:shd w:val="clear" w:color="auto" w:fill="auto"/>
            <w:noWrap/>
            <w:vAlign w:val="center"/>
            <w:hideMark/>
          </w:tcPr>
          <w:p w14:paraId="5E46986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929" w:type="dxa"/>
            <w:tcBorders>
              <w:top w:val="nil"/>
              <w:left w:val="nil"/>
              <w:bottom w:val="nil"/>
              <w:right w:val="nil"/>
            </w:tcBorders>
            <w:shd w:val="clear" w:color="auto" w:fill="auto"/>
            <w:noWrap/>
            <w:vAlign w:val="center"/>
            <w:hideMark/>
          </w:tcPr>
          <w:p w14:paraId="55520534"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-104.5</w:t>
            </w:r>
          </w:p>
        </w:tc>
        <w:tc>
          <w:tcPr>
            <w:tcW w:w="811" w:type="dxa"/>
            <w:tcBorders>
              <w:top w:val="nil"/>
              <w:left w:val="nil"/>
              <w:bottom w:val="nil"/>
              <w:right w:val="nil"/>
            </w:tcBorders>
            <w:shd w:val="clear" w:color="auto" w:fill="auto"/>
            <w:noWrap/>
            <w:vAlign w:val="center"/>
            <w:hideMark/>
          </w:tcPr>
          <w:p w14:paraId="469E8EE8"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865" w:type="dxa"/>
            <w:tcBorders>
              <w:top w:val="nil"/>
              <w:left w:val="nil"/>
              <w:bottom w:val="nil"/>
              <w:right w:val="nil"/>
            </w:tcBorders>
            <w:shd w:val="clear" w:color="auto" w:fill="auto"/>
            <w:noWrap/>
            <w:vAlign w:val="center"/>
            <w:hideMark/>
          </w:tcPr>
          <w:p w14:paraId="4BDD2D2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-104.19</w:t>
            </w:r>
          </w:p>
        </w:tc>
        <w:tc>
          <w:tcPr>
            <w:tcW w:w="755" w:type="dxa"/>
            <w:tcBorders>
              <w:top w:val="nil"/>
              <w:left w:val="nil"/>
              <w:bottom w:val="nil"/>
              <w:right w:val="nil"/>
            </w:tcBorders>
            <w:shd w:val="clear" w:color="auto" w:fill="auto"/>
            <w:noWrap/>
            <w:vAlign w:val="center"/>
            <w:hideMark/>
          </w:tcPr>
          <w:p w14:paraId="7F1A06F5"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918" w:type="dxa"/>
            <w:tcBorders>
              <w:top w:val="nil"/>
              <w:left w:val="nil"/>
              <w:bottom w:val="nil"/>
              <w:right w:val="nil"/>
            </w:tcBorders>
            <w:shd w:val="clear" w:color="auto" w:fill="auto"/>
            <w:noWrap/>
            <w:vAlign w:val="center"/>
            <w:hideMark/>
          </w:tcPr>
          <w:p w14:paraId="2489E462"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-98.28</w:t>
            </w:r>
          </w:p>
        </w:tc>
        <w:tc>
          <w:tcPr>
            <w:tcW w:w="802" w:type="dxa"/>
            <w:tcBorders>
              <w:top w:val="nil"/>
              <w:left w:val="nil"/>
              <w:bottom w:val="nil"/>
              <w:right w:val="nil"/>
            </w:tcBorders>
            <w:shd w:val="clear" w:color="auto" w:fill="auto"/>
            <w:noWrap/>
            <w:vAlign w:val="center"/>
            <w:hideMark/>
          </w:tcPr>
          <w:p w14:paraId="590B555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859" w:type="dxa"/>
            <w:tcBorders>
              <w:top w:val="nil"/>
              <w:left w:val="nil"/>
              <w:bottom w:val="nil"/>
              <w:right w:val="nil"/>
            </w:tcBorders>
            <w:shd w:val="clear" w:color="auto" w:fill="auto"/>
            <w:noWrap/>
            <w:vAlign w:val="center"/>
            <w:hideMark/>
          </w:tcPr>
          <w:p w14:paraId="22D617B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-97.32</w:t>
            </w:r>
          </w:p>
        </w:tc>
        <w:tc>
          <w:tcPr>
            <w:tcW w:w="901" w:type="dxa"/>
            <w:tcBorders>
              <w:top w:val="nil"/>
              <w:left w:val="nil"/>
              <w:bottom w:val="nil"/>
              <w:right w:val="nil"/>
            </w:tcBorders>
            <w:shd w:val="clear" w:color="auto" w:fill="auto"/>
            <w:noWrap/>
            <w:vAlign w:val="center"/>
            <w:hideMark/>
          </w:tcPr>
          <w:p w14:paraId="0A57AB6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929" w:type="dxa"/>
            <w:tcBorders>
              <w:top w:val="nil"/>
              <w:left w:val="nil"/>
              <w:bottom w:val="nil"/>
              <w:right w:val="nil"/>
            </w:tcBorders>
            <w:shd w:val="clear" w:color="auto" w:fill="auto"/>
            <w:noWrap/>
            <w:vAlign w:val="center"/>
            <w:hideMark/>
          </w:tcPr>
          <w:p w14:paraId="605780E8"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-98.55</w:t>
            </w:r>
          </w:p>
        </w:tc>
        <w:tc>
          <w:tcPr>
            <w:tcW w:w="811" w:type="dxa"/>
            <w:tcBorders>
              <w:top w:val="nil"/>
              <w:left w:val="nil"/>
              <w:bottom w:val="nil"/>
              <w:right w:val="nil"/>
            </w:tcBorders>
            <w:shd w:val="clear" w:color="auto" w:fill="auto"/>
            <w:noWrap/>
            <w:vAlign w:val="center"/>
            <w:hideMark/>
          </w:tcPr>
          <w:p w14:paraId="17F9331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855" w:type="dxa"/>
            <w:tcBorders>
              <w:top w:val="nil"/>
              <w:left w:val="nil"/>
              <w:bottom w:val="nil"/>
              <w:right w:val="nil"/>
            </w:tcBorders>
            <w:shd w:val="clear" w:color="auto" w:fill="auto"/>
            <w:noWrap/>
            <w:vAlign w:val="center"/>
            <w:hideMark/>
          </w:tcPr>
          <w:p w14:paraId="4E2A38B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-98.87</w:t>
            </w:r>
          </w:p>
        </w:tc>
        <w:tc>
          <w:tcPr>
            <w:tcW w:w="865" w:type="dxa"/>
            <w:tcBorders>
              <w:top w:val="nil"/>
              <w:left w:val="nil"/>
              <w:bottom w:val="nil"/>
              <w:right w:val="nil"/>
            </w:tcBorders>
            <w:shd w:val="clear" w:color="auto" w:fill="auto"/>
            <w:noWrap/>
            <w:vAlign w:val="center"/>
            <w:hideMark/>
          </w:tcPr>
          <w:p w14:paraId="44CEE79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940" w:type="dxa"/>
            <w:tcBorders>
              <w:top w:val="nil"/>
              <w:left w:val="nil"/>
              <w:bottom w:val="nil"/>
              <w:right w:val="nil"/>
            </w:tcBorders>
            <w:shd w:val="clear" w:color="auto" w:fill="auto"/>
            <w:noWrap/>
            <w:vAlign w:val="center"/>
            <w:hideMark/>
          </w:tcPr>
          <w:p w14:paraId="5097C2F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-104.86</w:t>
            </w:r>
          </w:p>
        </w:tc>
        <w:tc>
          <w:tcPr>
            <w:tcW w:w="820" w:type="dxa"/>
            <w:tcBorders>
              <w:top w:val="nil"/>
              <w:left w:val="nil"/>
              <w:bottom w:val="nil"/>
              <w:right w:val="nil"/>
            </w:tcBorders>
            <w:shd w:val="clear" w:color="auto" w:fill="auto"/>
            <w:noWrap/>
            <w:vAlign w:val="center"/>
            <w:hideMark/>
          </w:tcPr>
          <w:p w14:paraId="691FEE53"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r>
      <w:tr w:rsidR="00D740DC" w:rsidRPr="00CB148B" w14:paraId="78C77F42" w14:textId="77777777" w:rsidTr="00B11F5F">
        <w:trPr>
          <w:trHeight w:val="300"/>
        </w:trPr>
        <w:tc>
          <w:tcPr>
            <w:tcW w:w="1418" w:type="dxa"/>
            <w:tcBorders>
              <w:top w:val="nil"/>
              <w:left w:val="nil"/>
              <w:bottom w:val="nil"/>
              <w:right w:val="nil"/>
            </w:tcBorders>
            <w:shd w:val="clear" w:color="auto" w:fill="auto"/>
            <w:noWrap/>
            <w:vAlign w:val="center"/>
            <w:hideMark/>
          </w:tcPr>
          <w:p w14:paraId="646D5485"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Area (Q</w:t>
            </w:r>
            <w:r w:rsidRPr="00CB148B">
              <w:rPr>
                <w:rFonts w:eastAsia="Times New Roman" w:cs="Times New Roman"/>
                <w:b w:val="0"/>
                <w:color w:val="000000"/>
                <w:sz w:val="20"/>
                <w:szCs w:val="20"/>
                <w:vertAlign w:val="subscript"/>
                <w:lang w:eastAsia="en-MY"/>
              </w:rPr>
              <w:t>4</w:t>
            </w:r>
            <w:r w:rsidRPr="00CB148B">
              <w:rPr>
                <w:rFonts w:eastAsia="Times New Roman" w:cs="Times New Roman"/>
                <w:b w:val="0"/>
                <w:color w:val="000000"/>
                <w:sz w:val="20"/>
                <w:szCs w:val="20"/>
                <w:lang w:eastAsia="en-MY"/>
              </w:rPr>
              <w:t>)</w:t>
            </w:r>
          </w:p>
        </w:tc>
        <w:tc>
          <w:tcPr>
            <w:tcW w:w="792" w:type="dxa"/>
            <w:tcBorders>
              <w:top w:val="nil"/>
              <w:left w:val="nil"/>
              <w:bottom w:val="nil"/>
              <w:right w:val="nil"/>
            </w:tcBorders>
            <w:shd w:val="clear" w:color="auto" w:fill="auto"/>
            <w:noWrap/>
            <w:vAlign w:val="center"/>
            <w:hideMark/>
          </w:tcPr>
          <w:p w14:paraId="5150596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1385.4</w:t>
            </w:r>
          </w:p>
        </w:tc>
        <w:tc>
          <w:tcPr>
            <w:tcW w:w="839" w:type="dxa"/>
            <w:tcBorders>
              <w:top w:val="nil"/>
              <w:left w:val="nil"/>
              <w:bottom w:val="nil"/>
              <w:right w:val="nil"/>
            </w:tcBorders>
            <w:shd w:val="clear" w:color="auto" w:fill="auto"/>
            <w:noWrap/>
            <w:vAlign w:val="center"/>
            <w:hideMark/>
          </w:tcPr>
          <w:p w14:paraId="1283355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929" w:type="dxa"/>
            <w:tcBorders>
              <w:top w:val="nil"/>
              <w:left w:val="nil"/>
              <w:bottom w:val="nil"/>
              <w:right w:val="nil"/>
            </w:tcBorders>
            <w:shd w:val="clear" w:color="auto" w:fill="auto"/>
            <w:noWrap/>
            <w:vAlign w:val="center"/>
            <w:hideMark/>
          </w:tcPr>
          <w:p w14:paraId="4EA116E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3970.618</w:t>
            </w:r>
          </w:p>
        </w:tc>
        <w:tc>
          <w:tcPr>
            <w:tcW w:w="811" w:type="dxa"/>
            <w:tcBorders>
              <w:top w:val="nil"/>
              <w:left w:val="nil"/>
              <w:bottom w:val="nil"/>
              <w:right w:val="nil"/>
            </w:tcBorders>
            <w:shd w:val="clear" w:color="auto" w:fill="auto"/>
            <w:noWrap/>
            <w:vAlign w:val="center"/>
            <w:hideMark/>
          </w:tcPr>
          <w:p w14:paraId="14F96C4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865" w:type="dxa"/>
            <w:tcBorders>
              <w:top w:val="nil"/>
              <w:left w:val="nil"/>
              <w:bottom w:val="nil"/>
              <w:right w:val="nil"/>
            </w:tcBorders>
            <w:shd w:val="clear" w:color="auto" w:fill="auto"/>
            <w:noWrap/>
            <w:vAlign w:val="center"/>
            <w:hideMark/>
          </w:tcPr>
          <w:p w14:paraId="3FBB7BA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1502.054</w:t>
            </w:r>
          </w:p>
        </w:tc>
        <w:tc>
          <w:tcPr>
            <w:tcW w:w="755" w:type="dxa"/>
            <w:tcBorders>
              <w:top w:val="nil"/>
              <w:left w:val="nil"/>
              <w:bottom w:val="nil"/>
              <w:right w:val="nil"/>
            </w:tcBorders>
            <w:shd w:val="clear" w:color="auto" w:fill="auto"/>
            <w:noWrap/>
            <w:vAlign w:val="center"/>
            <w:hideMark/>
          </w:tcPr>
          <w:p w14:paraId="1684187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918" w:type="dxa"/>
            <w:tcBorders>
              <w:top w:val="nil"/>
              <w:left w:val="nil"/>
              <w:bottom w:val="nil"/>
              <w:right w:val="nil"/>
            </w:tcBorders>
            <w:shd w:val="clear" w:color="auto" w:fill="auto"/>
            <w:noWrap/>
            <w:vAlign w:val="center"/>
            <w:hideMark/>
          </w:tcPr>
          <w:p w14:paraId="64ABD37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2276.756</w:t>
            </w:r>
          </w:p>
        </w:tc>
        <w:tc>
          <w:tcPr>
            <w:tcW w:w="802" w:type="dxa"/>
            <w:tcBorders>
              <w:top w:val="nil"/>
              <w:left w:val="nil"/>
              <w:bottom w:val="nil"/>
              <w:right w:val="nil"/>
            </w:tcBorders>
            <w:shd w:val="clear" w:color="auto" w:fill="auto"/>
            <w:noWrap/>
            <w:vAlign w:val="center"/>
            <w:hideMark/>
          </w:tcPr>
          <w:p w14:paraId="2EDD5414"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859" w:type="dxa"/>
            <w:tcBorders>
              <w:top w:val="nil"/>
              <w:left w:val="nil"/>
              <w:bottom w:val="nil"/>
              <w:right w:val="nil"/>
            </w:tcBorders>
            <w:shd w:val="clear" w:color="auto" w:fill="auto"/>
            <w:noWrap/>
            <w:vAlign w:val="center"/>
            <w:hideMark/>
          </w:tcPr>
          <w:p w14:paraId="7BEF4BC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2962.6</w:t>
            </w:r>
          </w:p>
        </w:tc>
        <w:tc>
          <w:tcPr>
            <w:tcW w:w="901" w:type="dxa"/>
            <w:tcBorders>
              <w:top w:val="nil"/>
              <w:left w:val="nil"/>
              <w:bottom w:val="nil"/>
              <w:right w:val="nil"/>
            </w:tcBorders>
            <w:shd w:val="clear" w:color="auto" w:fill="auto"/>
            <w:noWrap/>
            <w:vAlign w:val="center"/>
            <w:hideMark/>
          </w:tcPr>
          <w:p w14:paraId="263BA45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929" w:type="dxa"/>
            <w:tcBorders>
              <w:top w:val="nil"/>
              <w:left w:val="nil"/>
              <w:bottom w:val="nil"/>
              <w:right w:val="nil"/>
            </w:tcBorders>
            <w:shd w:val="clear" w:color="auto" w:fill="auto"/>
            <w:noWrap/>
            <w:vAlign w:val="center"/>
            <w:hideMark/>
          </w:tcPr>
          <w:p w14:paraId="591D096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1323.795</w:t>
            </w:r>
          </w:p>
        </w:tc>
        <w:tc>
          <w:tcPr>
            <w:tcW w:w="811" w:type="dxa"/>
            <w:tcBorders>
              <w:top w:val="nil"/>
              <w:left w:val="nil"/>
              <w:bottom w:val="nil"/>
              <w:right w:val="nil"/>
            </w:tcBorders>
            <w:shd w:val="clear" w:color="auto" w:fill="auto"/>
            <w:noWrap/>
            <w:vAlign w:val="center"/>
            <w:hideMark/>
          </w:tcPr>
          <w:p w14:paraId="49FEA62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855" w:type="dxa"/>
            <w:tcBorders>
              <w:top w:val="nil"/>
              <w:left w:val="nil"/>
              <w:bottom w:val="nil"/>
              <w:right w:val="nil"/>
            </w:tcBorders>
            <w:shd w:val="clear" w:color="auto" w:fill="auto"/>
            <w:noWrap/>
            <w:vAlign w:val="center"/>
            <w:hideMark/>
          </w:tcPr>
          <w:p w14:paraId="49394265"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1944.66</w:t>
            </w:r>
          </w:p>
        </w:tc>
        <w:tc>
          <w:tcPr>
            <w:tcW w:w="865" w:type="dxa"/>
            <w:tcBorders>
              <w:top w:val="nil"/>
              <w:left w:val="nil"/>
              <w:bottom w:val="nil"/>
              <w:right w:val="nil"/>
            </w:tcBorders>
            <w:shd w:val="clear" w:color="auto" w:fill="auto"/>
            <w:noWrap/>
            <w:vAlign w:val="center"/>
            <w:hideMark/>
          </w:tcPr>
          <w:p w14:paraId="34B4EBD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940" w:type="dxa"/>
            <w:tcBorders>
              <w:top w:val="nil"/>
              <w:left w:val="nil"/>
              <w:bottom w:val="nil"/>
              <w:right w:val="nil"/>
            </w:tcBorders>
            <w:shd w:val="clear" w:color="auto" w:fill="auto"/>
            <w:noWrap/>
            <w:vAlign w:val="center"/>
            <w:hideMark/>
          </w:tcPr>
          <w:p w14:paraId="1BC78393"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971.777</w:t>
            </w:r>
          </w:p>
        </w:tc>
        <w:tc>
          <w:tcPr>
            <w:tcW w:w="820" w:type="dxa"/>
            <w:tcBorders>
              <w:top w:val="nil"/>
              <w:left w:val="nil"/>
              <w:bottom w:val="nil"/>
              <w:right w:val="nil"/>
            </w:tcBorders>
            <w:shd w:val="clear" w:color="auto" w:fill="auto"/>
            <w:noWrap/>
            <w:vAlign w:val="center"/>
            <w:hideMark/>
          </w:tcPr>
          <w:p w14:paraId="500F5F4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r>
      <w:tr w:rsidR="00D740DC" w:rsidRPr="00CB148B" w14:paraId="309FF89B" w14:textId="77777777" w:rsidTr="00B11F5F">
        <w:trPr>
          <w:trHeight w:val="510"/>
        </w:trPr>
        <w:tc>
          <w:tcPr>
            <w:tcW w:w="1418" w:type="dxa"/>
            <w:tcBorders>
              <w:top w:val="nil"/>
              <w:left w:val="nil"/>
              <w:bottom w:val="nil"/>
              <w:right w:val="nil"/>
            </w:tcBorders>
            <w:shd w:val="clear" w:color="auto" w:fill="auto"/>
            <w:vAlign w:val="center"/>
            <w:hideMark/>
          </w:tcPr>
          <w:p w14:paraId="1869FDF7"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Chem. Shift / wavenumber</w:t>
            </w:r>
          </w:p>
        </w:tc>
        <w:tc>
          <w:tcPr>
            <w:tcW w:w="792" w:type="dxa"/>
            <w:tcBorders>
              <w:top w:val="nil"/>
              <w:left w:val="nil"/>
              <w:bottom w:val="nil"/>
              <w:right w:val="nil"/>
            </w:tcBorders>
            <w:shd w:val="clear" w:color="auto" w:fill="auto"/>
            <w:noWrap/>
            <w:vAlign w:val="center"/>
            <w:hideMark/>
          </w:tcPr>
          <w:p w14:paraId="3540B14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-97.5</w:t>
            </w:r>
          </w:p>
        </w:tc>
        <w:tc>
          <w:tcPr>
            <w:tcW w:w="839" w:type="dxa"/>
            <w:tcBorders>
              <w:top w:val="nil"/>
              <w:left w:val="nil"/>
              <w:bottom w:val="nil"/>
              <w:right w:val="nil"/>
            </w:tcBorders>
            <w:shd w:val="clear" w:color="auto" w:fill="auto"/>
            <w:noWrap/>
            <w:vAlign w:val="center"/>
            <w:hideMark/>
          </w:tcPr>
          <w:p w14:paraId="0DDE457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929" w:type="dxa"/>
            <w:tcBorders>
              <w:top w:val="nil"/>
              <w:left w:val="nil"/>
              <w:bottom w:val="nil"/>
              <w:right w:val="nil"/>
            </w:tcBorders>
            <w:shd w:val="clear" w:color="auto" w:fill="auto"/>
            <w:noWrap/>
            <w:vAlign w:val="center"/>
            <w:hideMark/>
          </w:tcPr>
          <w:p w14:paraId="231AC68F"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-95.95</w:t>
            </w:r>
          </w:p>
        </w:tc>
        <w:tc>
          <w:tcPr>
            <w:tcW w:w="811" w:type="dxa"/>
            <w:tcBorders>
              <w:top w:val="nil"/>
              <w:left w:val="nil"/>
              <w:bottom w:val="nil"/>
              <w:right w:val="nil"/>
            </w:tcBorders>
            <w:shd w:val="clear" w:color="auto" w:fill="auto"/>
            <w:noWrap/>
            <w:vAlign w:val="center"/>
            <w:hideMark/>
          </w:tcPr>
          <w:p w14:paraId="554032D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865" w:type="dxa"/>
            <w:tcBorders>
              <w:top w:val="nil"/>
              <w:left w:val="nil"/>
              <w:bottom w:val="nil"/>
              <w:right w:val="nil"/>
            </w:tcBorders>
            <w:shd w:val="clear" w:color="auto" w:fill="auto"/>
            <w:noWrap/>
            <w:vAlign w:val="center"/>
            <w:hideMark/>
          </w:tcPr>
          <w:p w14:paraId="1AEC3D1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-97.27</w:t>
            </w:r>
          </w:p>
        </w:tc>
        <w:tc>
          <w:tcPr>
            <w:tcW w:w="755" w:type="dxa"/>
            <w:tcBorders>
              <w:top w:val="nil"/>
              <w:left w:val="nil"/>
              <w:bottom w:val="nil"/>
              <w:right w:val="nil"/>
            </w:tcBorders>
            <w:shd w:val="clear" w:color="auto" w:fill="auto"/>
            <w:noWrap/>
            <w:vAlign w:val="center"/>
            <w:hideMark/>
          </w:tcPr>
          <w:p w14:paraId="73F0C8B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918" w:type="dxa"/>
            <w:tcBorders>
              <w:top w:val="nil"/>
              <w:left w:val="nil"/>
              <w:bottom w:val="nil"/>
              <w:right w:val="nil"/>
            </w:tcBorders>
            <w:shd w:val="clear" w:color="auto" w:fill="auto"/>
            <w:noWrap/>
            <w:vAlign w:val="center"/>
            <w:hideMark/>
          </w:tcPr>
          <w:p w14:paraId="7751E0A2" w14:textId="77777777" w:rsidR="00D740DC" w:rsidRPr="00CB148B" w:rsidRDefault="00D740DC" w:rsidP="00B11F5F">
            <w:pPr>
              <w:spacing w:after="0" w:line="240" w:lineRule="auto"/>
              <w:jc w:val="center"/>
              <w:rPr>
                <w:rFonts w:eastAsia="Times New Roman" w:cs="Times New Roman"/>
                <w:b w:val="0"/>
                <w:sz w:val="20"/>
                <w:szCs w:val="20"/>
                <w:lang w:eastAsia="en-MY"/>
              </w:rPr>
            </w:pPr>
          </w:p>
        </w:tc>
        <w:tc>
          <w:tcPr>
            <w:tcW w:w="802" w:type="dxa"/>
            <w:tcBorders>
              <w:top w:val="nil"/>
              <w:left w:val="nil"/>
              <w:bottom w:val="nil"/>
              <w:right w:val="nil"/>
            </w:tcBorders>
            <w:shd w:val="clear" w:color="auto" w:fill="auto"/>
            <w:noWrap/>
            <w:vAlign w:val="center"/>
            <w:hideMark/>
          </w:tcPr>
          <w:p w14:paraId="1B23AF4C" w14:textId="77777777" w:rsidR="00D740DC" w:rsidRPr="00CB148B" w:rsidRDefault="00D740DC" w:rsidP="00B11F5F">
            <w:pPr>
              <w:spacing w:after="0" w:line="240" w:lineRule="auto"/>
              <w:jc w:val="center"/>
              <w:rPr>
                <w:rFonts w:eastAsia="Times New Roman" w:cs="Times New Roman"/>
                <w:b w:val="0"/>
                <w:sz w:val="20"/>
                <w:szCs w:val="20"/>
                <w:lang w:eastAsia="en-MY"/>
              </w:rPr>
            </w:pPr>
          </w:p>
        </w:tc>
        <w:tc>
          <w:tcPr>
            <w:tcW w:w="859" w:type="dxa"/>
            <w:tcBorders>
              <w:top w:val="nil"/>
              <w:left w:val="nil"/>
              <w:bottom w:val="nil"/>
              <w:right w:val="nil"/>
            </w:tcBorders>
            <w:shd w:val="clear" w:color="auto" w:fill="auto"/>
            <w:noWrap/>
            <w:vAlign w:val="center"/>
            <w:hideMark/>
          </w:tcPr>
          <w:p w14:paraId="4308C79B" w14:textId="77777777" w:rsidR="00D740DC" w:rsidRPr="00CB148B" w:rsidRDefault="00D740DC" w:rsidP="00B11F5F">
            <w:pPr>
              <w:spacing w:after="0" w:line="240" w:lineRule="auto"/>
              <w:jc w:val="center"/>
              <w:rPr>
                <w:rFonts w:eastAsia="Times New Roman" w:cs="Times New Roman"/>
                <w:b w:val="0"/>
                <w:sz w:val="20"/>
                <w:szCs w:val="20"/>
                <w:lang w:eastAsia="en-MY"/>
              </w:rPr>
            </w:pPr>
          </w:p>
        </w:tc>
        <w:tc>
          <w:tcPr>
            <w:tcW w:w="901" w:type="dxa"/>
            <w:tcBorders>
              <w:top w:val="nil"/>
              <w:left w:val="nil"/>
              <w:bottom w:val="nil"/>
              <w:right w:val="nil"/>
            </w:tcBorders>
            <w:shd w:val="clear" w:color="auto" w:fill="auto"/>
            <w:noWrap/>
            <w:vAlign w:val="center"/>
            <w:hideMark/>
          </w:tcPr>
          <w:p w14:paraId="42DE6CB6" w14:textId="77777777" w:rsidR="00D740DC" w:rsidRPr="00CB148B" w:rsidRDefault="00D740DC" w:rsidP="00B11F5F">
            <w:pPr>
              <w:spacing w:after="0" w:line="240" w:lineRule="auto"/>
              <w:jc w:val="center"/>
              <w:rPr>
                <w:rFonts w:eastAsia="Times New Roman" w:cs="Times New Roman"/>
                <w:b w:val="0"/>
                <w:sz w:val="20"/>
                <w:szCs w:val="20"/>
                <w:lang w:eastAsia="en-MY"/>
              </w:rPr>
            </w:pPr>
          </w:p>
        </w:tc>
        <w:tc>
          <w:tcPr>
            <w:tcW w:w="929" w:type="dxa"/>
            <w:tcBorders>
              <w:top w:val="nil"/>
              <w:left w:val="nil"/>
              <w:bottom w:val="nil"/>
              <w:right w:val="nil"/>
            </w:tcBorders>
            <w:shd w:val="clear" w:color="auto" w:fill="auto"/>
            <w:noWrap/>
            <w:vAlign w:val="center"/>
            <w:hideMark/>
          </w:tcPr>
          <w:p w14:paraId="69FD4F11" w14:textId="77777777" w:rsidR="00D740DC" w:rsidRPr="00CB148B" w:rsidRDefault="00D740DC" w:rsidP="00B11F5F">
            <w:pPr>
              <w:spacing w:after="0" w:line="240" w:lineRule="auto"/>
              <w:jc w:val="center"/>
              <w:rPr>
                <w:rFonts w:eastAsia="Times New Roman" w:cs="Times New Roman"/>
                <w:b w:val="0"/>
                <w:sz w:val="20"/>
                <w:szCs w:val="20"/>
                <w:lang w:eastAsia="en-MY"/>
              </w:rPr>
            </w:pPr>
          </w:p>
        </w:tc>
        <w:tc>
          <w:tcPr>
            <w:tcW w:w="811" w:type="dxa"/>
            <w:tcBorders>
              <w:top w:val="nil"/>
              <w:left w:val="nil"/>
              <w:bottom w:val="nil"/>
              <w:right w:val="nil"/>
            </w:tcBorders>
            <w:shd w:val="clear" w:color="auto" w:fill="auto"/>
            <w:noWrap/>
            <w:vAlign w:val="center"/>
            <w:hideMark/>
          </w:tcPr>
          <w:p w14:paraId="35CF2DEC" w14:textId="77777777" w:rsidR="00D740DC" w:rsidRPr="00CB148B" w:rsidRDefault="00D740DC" w:rsidP="00B11F5F">
            <w:pPr>
              <w:spacing w:after="0" w:line="240" w:lineRule="auto"/>
              <w:jc w:val="center"/>
              <w:rPr>
                <w:rFonts w:eastAsia="Times New Roman" w:cs="Times New Roman"/>
                <w:b w:val="0"/>
                <w:sz w:val="20"/>
                <w:szCs w:val="20"/>
                <w:lang w:eastAsia="en-MY"/>
              </w:rPr>
            </w:pPr>
          </w:p>
        </w:tc>
        <w:tc>
          <w:tcPr>
            <w:tcW w:w="855" w:type="dxa"/>
            <w:tcBorders>
              <w:top w:val="nil"/>
              <w:left w:val="nil"/>
              <w:bottom w:val="nil"/>
              <w:right w:val="nil"/>
            </w:tcBorders>
            <w:shd w:val="clear" w:color="auto" w:fill="auto"/>
            <w:noWrap/>
            <w:vAlign w:val="center"/>
            <w:hideMark/>
          </w:tcPr>
          <w:p w14:paraId="68217C0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-94.07</w:t>
            </w:r>
          </w:p>
        </w:tc>
        <w:tc>
          <w:tcPr>
            <w:tcW w:w="865" w:type="dxa"/>
            <w:tcBorders>
              <w:top w:val="nil"/>
              <w:left w:val="nil"/>
              <w:bottom w:val="nil"/>
              <w:right w:val="nil"/>
            </w:tcBorders>
            <w:shd w:val="clear" w:color="auto" w:fill="auto"/>
            <w:noWrap/>
            <w:vAlign w:val="center"/>
            <w:hideMark/>
          </w:tcPr>
          <w:p w14:paraId="67A08C82"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940" w:type="dxa"/>
            <w:tcBorders>
              <w:top w:val="nil"/>
              <w:left w:val="nil"/>
              <w:bottom w:val="nil"/>
              <w:right w:val="nil"/>
            </w:tcBorders>
            <w:shd w:val="clear" w:color="auto" w:fill="auto"/>
            <w:noWrap/>
            <w:vAlign w:val="center"/>
            <w:hideMark/>
          </w:tcPr>
          <w:p w14:paraId="153B414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-97.59</w:t>
            </w:r>
          </w:p>
        </w:tc>
        <w:tc>
          <w:tcPr>
            <w:tcW w:w="820" w:type="dxa"/>
            <w:tcBorders>
              <w:top w:val="nil"/>
              <w:left w:val="nil"/>
              <w:bottom w:val="nil"/>
              <w:right w:val="nil"/>
            </w:tcBorders>
            <w:shd w:val="clear" w:color="auto" w:fill="auto"/>
            <w:noWrap/>
            <w:vAlign w:val="center"/>
            <w:hideMark/>
          </w:tcPr>
          <w:p w14:paraId="1D430EE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r>
      <w:tr w:rsidR="00D740DC" w:rsidRPr="00CB148B" w14:paraId="28ACE2BF" w14:textId="77777777" w:rsidTr="00B11F5F">
        <w:trPr>
          <w:trHeight w:val="315"/>
        </w:trPr>
        <w:tc>
          <w:tcPr>
            <w:tcW w:w="1418" w:type="dxa"/>
            <w:tcBorders>
              <w:top w:val="nil"/>
              <w:left w:val="nil"/>
              <w:bottom w:val="single" w:sz="8" w:space="0" w:color="auto"/>
              <w:right w:val="nil"/>
            </w:tcBorders>
            <w:shd w:val="clear" w:color="auto" w:fill="auto"/>
            <w:noWrap/>
            <w:vAlign w:val="center"/>
            <w:hideMark/>
          </w:tcPr>
          <w:p w14:paraId="041124BC"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Area (Q</w:t>
            </w:r>
            <w:r w:rsidRPr="00CB148B">
              <w:rPr>
                <w:rFonts w:eastAsia="Times New Roman" w:cs="Times New Roman"/>
                <w:b w:val="0"/>
                <w:color w:val="000000"/>
                <w:sz w:val="20"/>
                <w:szCs w:val="20"/>
                <w:vertAlign w:val="subscript"/>
                <w:lang w:eastAsia="en-MY"/>
              </w:rPr>
              <w:t>4</w:t>
            </w:r>
            <w:r w:rsidRPr="00CB148B">
              <w:rPr>
                <w:rFonts w:eastAsia="Times New Roman" w:cs="Times New Roman"/>
                <w:b w:val="0"/>
                <w:color w:val="000000"/>
                <w:sz w:val="20"/>
                <w:szCs w:val="20"/>
                <w:lang w:eastAsia="en-MY"/>
              </w:rPr>
              <w:t>)</w:t>
            </w:r>
          </w:p>
        </w:tc>
        <w:tc>
          <w:tcPr>
            <w:tcW w:w="792" w:type="dxa"/>
            <w:tcBorders>
              <w:top w:val="nil"/>
              <w:left w:val="nil"/>
              <w:bottom w:val="single" w:sz="8" w:space="0" w:color="auto"/>
              <w:right w:val="nil"/>
            </w:tcBorders>
            <w:shd w:val="clear" w:color="auto" w:fill="auto"/>
            <w:noWrap/>
            <w:vAlign w:val="center"/>
            <w:hideMark/>
          </w:tcPr>
          <w:p w14:paraId="20BAEC48"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652.189</w:t>
            </w:r>
          </w:p>
        </w:tc>
        <w:tc>
          <w:tcPr>
            <w:tcW w:w="839" w:type="dxa"/>
            <w:tcBorders>
              <w:top w:val="nil"/>
              <w:left w:val="nil"/>
              <w:bottom w:val="single" w:sz="8" w:space="0" w:color="auto"/>
              <w:right w:val="nil"/>
            </w:tcBorders>
            <w:shd w:val="clear" w:color="auto" w:fill="auto"/>
            <w:noWrap/>
            <w:vAlign w:val="center"/>
            <w:hideMark/>
          </w:tcPr>
          <w:p w14:paraId="3E07518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929" w:type="dxa"/>
            <w:tcBorders>
              <w:top w:val="nil"/>
              <w:left w:val="nil"/>
              <w:bottom w:val="single" w:sz="8" w:space="0" w:color="auto"/>
              <w:right w:val="nil"/>
            </w:tcBorders>
            <w:shd w:val="clear" w:color="auto" w:fill="auto"/>
            <w:noWrap/>
            <w:vAlign w:val="center"/>
            <w:hideMark/>
          </w:tcPr>
          <w:p w14:paraId="39CFC445"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2432.07</w:t>
            </w:r>
          </w:p>
        </w:tc>
        <w:tc>
          <w:tcPr>
            <w:tcW w:w="811" w:type="dxa"/>
            <w:tcBorders>
              <w:top w:val="nil"/>
              <w:left w:val="nil"/>
              <w:bottom w:val="single" w:sz="8" w:space="0" w:color="auto"/>
              <w:right w:val="nil"/>
            </w:tcBorders>
            <w:shd w:val="clear" w:color="auto" w:fill="auto"/>
            <w:noWrap/>
            <w:vAlign w:val="center"/>
            <w:hideMark/>
          </w:tcPr>
          <w:p w14:paraId="72A95A30"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865" w:type="dxa"/>
            <w:tcBorders>
              <w:top w:val="nil"/>
              <w:left w:val="nil"/>
              <w:bottom w:val="single" w:sz="8" w:space="0" w:color="auto"/>
              <w:right w:val="nil"/>
            </w:tcBorders>
            <w:shd w:val="clear" w:color="auto" w:fill="auto"/>
            <w:noWrap/>
            <w:vAlign w:val="center"/>
            <w:hideMark/>
          </w:tcPr>
          <w:p w14:paraId="65F5DC72"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2462.309</w:t>
            </w:r>
          </w:p>
        </w:tc>
        <w:tc>
          <w:tcPr>
            <w:tcW w:w="755" w:type="dxa"/>
            <w:tcBorders>
              <w:top w:val="nil"/>
              <w:left w:val="nil"/>
              <w:bottom w:val="single" w:sz="8" w:space="0" w:color="auto"/>
              <w:right w:val="nil"/>
            </w:tcBorders>
            <w:shd w:val="clear" w:color="auto" w:fill="auto"/>
            <w:noWrap/>
            <w:vAlign w:val="center"/>
            <w:hideMark/>
          </w:tcPr>
          <w:p w14:paraId="2416E8BE"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918" w:type="dxa"/>
            <w:tcBorders>
              <w:top w:val="nil"/>
              <w:left w:val="nil"/>
              <w:bottom w:val="single" w:sz="8" w:space="0" w:color="auto"/>
              <w:right w:val="nil"/>
            </w:tcBorders>
            <w:shd w:val="clear" w:color="auto" w:fill="auto"/>
            <w:noWrap/>
            <w:vAlign w:val="center"/>
            <w:hideMark/>
          </w:tcPr>
          <w:p w14:paraId="1DEB8702"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02" w:type="dxa"/>
            <w:tcBorders>
              <w:top w:val="nil"/>
              <w:left w:val="nil"/>
              <w:bottom w:val="single" w:sz="8" w:space="0" w:color="auto"/>
              <w:right w:val="nil"/>
            </w:tcBorders>
            <w:shd w:val="clear" w:color="auto" w:fill="auto"/>
            <w:noWrap/>
            <w:vAlign w:val="center"/>
            <w:hideMark/>
          </w:tcPr>
          <w:p w14:paraId="6FA7243A"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59" w:type="dxa"/>
            <w:tcBorders>
              <w:top w:val="nil"/>
              <w:left w:val="nil"/>
              <w:bottom w:val="single" w:sz="8" w:space="0" w:color="auto"/>
              <w:right w:val="nil"/>
            </w:tcBorders>
            <w:shd w:val="clear" w:color="auto" w:fill="auto"/>
            <w:noWrap/>
            <w:vAlign w:val="center"/>
            <w:hideMark/>
          </w:tcPr>
          <w:p w14:paraId="7A25B05D"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901" w:type="dxa"/>
            <w:tcBorders>
              <w:top w:val="nil"/>
              <w:left w:val="nil"/>
              <w:bottom w:val="single" w:sz="8" w:space="0" w:color="auto"/>
              <w:right w:val="nil"/>
            </w:tcBorders>
            <w:shd w:val="clear" w:color="auto" w:fill="auto"/>
            <w:noWrap/>
            <w:vAlign w:val="center"/>
            <w:hideMark/>
          </w:tcPr>
          <w:p w14:paraId="12EBE430"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929" w:type="dxa"/>
            <w:tcBorders>
              <w:top w:val="nil"/>
              <w:left w:val="nil"/>
              <w:bottom w:val="single" w:sz="8" w:space="0" w:color="auto"/>
              <w:right w:val="nil"/>
            </w:tcBorders>
            <w:shd w:val="clear" w:color="auto" w:fill="auto"/>
            <w:noWrap/>
            <w:vAlign w:val="center"/>
            <w:hideMark/>
          </w:tcPr>
          <w:p w14:paraId="7E9DB769"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11" w:type="dxa"/>
            <w:tcBorders>
              <w:top w:val="nil"/>
              <w:left w:val="nil"/>
              <w:bottom w:val="single" w:sz="8" w:space="0" w:color="auto"/>
              <w:right w:val="nil"/>
            </w:tcBorders>
            <w:shd w:val="clear" w:color="auto" w:fill="auto"/>
            <w:noWrap/>
            <w:vAlign w:val="center"/>
            <w:hideMark/>
          </w:tcPr>
          <w:p w14:paraId="03923D45"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55" w:type="dxa"/>
            <w:tcBorders>
              <w:top w:val="nil"/>
              <w:left w:val="nil"/>
              <w:bottom w:val="single" w:sz="8" w:space="0" w:color="auto"/>
              <w:right w:val="nil"/>
            </w:tcBorders>
            <w:shd w:val="clear" w:color="auto" w:fill="auto"/>
            <w:noWrap/>
            <w:vAlign w:val="center"/>
            <w:hideMark/>
          </w:tcPr>
          <w:p w14:paraId="1C4538F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1721.71</w:t>
            </w:r>
          </w:p>
        </w:tc>
        <w:tc>
          <w:tcPr>
            <w:tcW w:w="865" w:type="dxa"/>
            <w:tcBorders>
              <w:top w:val="nil"/>
              <w:left w:val="nil"/>
              <w:bottom w:val="single" w:sz="8" w:space="0" w:color="auto"/>
              <w:right w:val="nil"/>
            </w:tcBorders>
            <w:shd w:val="clear" w:color="auto" w:fill="auto"/>
            <w:noWrap/>
            <w:vAlign w:val="center"/>
            <w:hideMark/>
          </w:tcPr>
          <w:p w14:paraId="26A623DC"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940" w:type="dxa"/>
            <w:tcBorders>
              <w:top w:val="nil"/>
              <w:left w:val="nil"/>
              <w:bottom w:val="single" w:sz="8" w:space="0" w:color="auto"/>
              <w:right w:val="nil"/>
            </w:tcBorders>
            <w:shd w:val="clear" w:color="auto" w:fill="auto"/>
            <w:noWrap/>
            <w:vAlign w:val="center"/>
            <w:hideMark/>
          </w:tcPr>
          <w:p w14:paraId="4EBA6C23"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2735.156</w:t>
            </w:r>
          </w:p>
        </w:tc>
        <w:tc>
          <w:tcPr>
            <w:tcW w:w="820" w:type="dxa"/>
            <w:tcBorders>
              <w:top w:val="nil"/>
              <w:left w:val="nil"/>
              <w:bottom w:val="single" w:sz="8" w:space="0" w:color="auto"/>
              <w:right w:val="nil"/>
            </w:tcBorders>
            <w:shd w:val="clear" w:color="auto" w:fill="auto"/>
            <w:noWrap/>
            <w:vAlign w:val="center"/>
            <w:hideMark/>
          </w:tcPr>
          <w:p w14:paraId="60D363E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r>
      <w:tr w:rsidR="00D740DC" w:rsidRPr="00CB148B" w14:paraId="7FA300D4" w14:textId="77777777" w:rsidTr="00B11F5F">
        <w:trPr>
          <w:trHeight w:val="510"/>
        </w:trPr>
        <w:tc>
          <w:tcPr>
            <w:tcW w:w="1418" w:type="dxa"/>
            <w:tcBorders>
              <w:top w:val="nil"/>
              <w:left w:val="nil"/>
              <w:bottom w:val="nil"/>
              <w:right w:val="nil"/>
            </w:tcBorders>
            <w:shd w:val="clear" w:color="auto" w:fill="auto"/>
            <w:vAlign w:val="center"/>
            <w:hideMark/>
          </w:tcPr>
          <w:p w14:paraId="0B8391F5"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Chem. Shift / wavenumber</w:t>
            </w:r>
          </w:p>
        </w:tc>
        <w:tc>
          <w:tcPr>
            <w:tcW w:w="792" w:type="dxa"/>
            <w:tcBorders>
              <w:top w:val="nil"/>
              <w:left w:val="nil"/>
              <w:bottom w:val="nil"/>
              <w:right w:val="nil"/>
            </w:tcBorders>
            <w:shd w:val="clear" w:color="auto" w:fill="auto"/>
            <w:noWrap/>
            <w:vAlign w:val="center"/>
            <w:hideMark/>
          </w:tcPr>
          <w:p w14:paraId="51830BF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-87</w:t>
            </w:r>
          </w:p>
        </w:tc>
        <w:tc>
          <w:tcPr>
            <w:tcW w:w="839" w:type="dxa"/>
            <w:tcBorders>
              <w:top w:val="nil"/>
              <w:left w:val="nil"/>
              <w:bottom w:val="nil"/>
              <w:right w:val="nil"/>
            </w:tcBorders>
            <w:shd w:val="clear" w:color="auto" w:fill="auto"/>
            <w:noWrap/>
            <w:vAlign w:val="center"/>
            <w:hideMark/>
          </w:tcPr>
          <w:p w14:paraId="2B6DEF4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1002.86</w:t>
            </w:r>
          </w:p>
        </w:tc>
        <w:tc>
          <w:tcPr>
            <w:tcW w:w="929" w:type="dxa"/>
            <w:tcBorders>
              <w:top w:val="nil"/>
              <w:left w:val="nil"/>
              <w:bottom w:val="nil"/>
              <w:right w:val="nil"/>
            </w:tcBorders>
            <w:shd w:val="clear" w:color="auto" w:fill="auto"/>
            <w:noWrap/>
            <w:vAlign w:val="center"/>
            <w:hideMark/>
          </w:tcPr>
          <w:p w14:paraId="3381184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-87.75</w:t>
            </w:r>
          </w:p>
        </w:tc>
        <w:tc>
          <w:tcPr>
            <w:tcW w:w="811" w:type="dxa"/>
            <w:tcBorders>
              <w:top w:val="nil"/>
              <w:left w:val="nil"/>
              <w:bottom w:val="nil"/>
              <w:right w:val="nil"/>
            </w:tcBorders>
            <w:shd w:val="clear" w:color="auto" w:fill="auto"/>
            <w:noWrap/>
            <w:vAlign w:val="center"/>
            <w:hideMark/>
          </w:tcPr>
          <w:p w14:paraId="7A8D89C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1005.62</w:t>
            </w:r>
          </w:p>
        </w:tc>
        <w:tc>
          <w:tcPr>
            <w:tcW w:w="865" w:type="dxa"/>
            <w:tcBorders>
              <w:top w:val="nil"/>
              <w:left w:val="nil"/>
              <w:bottom w:val="nil"/>
              <w:right w:val="nil"/>
            </w:tcBorders>
            <w:shd w:val="clear" w:color="auto" w:fill="auto"/>
            <w:noWrap/>
            <w:vAlign w:val="center"/>
            <w:hideMark/>
          </w:tcPr>
          <w:p w14:paraId="22EB684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-89.95</w:t>
            </w:r>
          </w:p>
        </w:tc>
        <w:tc>
          <w:tcPr>
            <w:tcW w:w="755" w:type="dxa"/>
            <w:tcBorders>
              <w:top w:val="nil"/>
              <w:left w:val="nil"/>
              <w:bottom w:val="nil"/>
              <w:right w:val="nil"/>
            </w:tcBorders>
            <w:shd w:val="clear" w:color="auto" w:fill="auto"/>
            <w:noWrap/>
            <w:vAlign w:val="center"/>
            <w:hideMark/>
          </w:tcPr>
          <w:p w14:paraId="3C0CC65C"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995.69</w:t>
            </w:r>
          </w:p>
        </w:tc>
        <w:tc>
          <w:tcPr>
            <w:tcW w:w="918" w:type="dxa"/>
            <w:tcBorders>
              <w:top w:val="nil"/>
              <w:left w:val="nil"/>
              <w:bottom w:val="nil"/>
              <w:right w:val="nil"/>
            </w:tcBorders>
            <w:shd w:val="clear" w:color="auto" w:fill="auto"/>
            <w:noWrap/>
            <w:vAlign w:val="center"/>
            <w:hideMark/>
          </w:tcPr>
          <w:p w14:paraId="51228B5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-91.19</w:t>
            </w:r>
          </w:p>
        </w:tc>
        <w:tc>
          <w:tcPr>
            <w:tcW w:w="802" w:type="dxa"/>
            <w:tcBorders>
              <w:top w:val="nil"/>
              <w:left w:val="nil"/>
              <w:bottom w:val="nil"/>
              <w:right w:val="nil"/>
            </w:tcBorders>
            <w:shd w:val="clear" w:color="auto" w:fill="auto"/>
            <w:noWrap/>
            <w:vAlign w:val="center"/>
            <w:hideMark/>
          </w:tcPr>
          <w:p w14:paraId="3548733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1061.36</w:t>
            </w:r>
          </w:p>
        </w:tc>
        <w:tc>
          <w:tcPr>
            <w:tcW w:w="859" w:type="dxa"/>
            <w:tcBorders>
              <w:top w:val="nil"/>
              <w:left w:val="nil"/>
              <w:bottom w:val="nil"/>
              <w:right w:val="nil"/>
            </w:tcBorders>
            <w:shd w:val="clear" w:color="auto" w:fill="auto"/>
            <w:noWrap/>
            <w:vAlign w:val="center"/>
            <w:hideMark/>
          </w:tcPr>
          <w:p w14:paraId="3779641E"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-90.44</w:t>
            </w:r>
          </w:p>
        </w:tc>
        <w:tc>
          <w:tcPr>
            <w:tcW w:w="901" w:type="dxa"/>
            <w:tcBorders>
              <w:top w:val="nil"/>
              <w:left w:val="nil"/>
              <w:bottom w:val="nil"/>
              <w:right w:val="nil"/>
            </w:tcBorders>
            <w:shd w:val="clear" w:color="auto" w:fill="auto"/>
            <w:noWrap/>
            <w:vAlign w:val="center"/>
            <w:hideMark/>
          </w:tcPr>
          <w:p w14:paraId="4702A9E4"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1040.06</w:t>
            </w:r>
          </w:p>
        </w:tc>
        <w:tc>
          <w:tcPr>
            <w:tcW w:w="929" w:type="dxa"/>
            <w:tcBorders>
              <w:top w:val="nil"/>
              <w:left w:val="nil"/>
              <w:bottom w:val="nil"/>
              <w:right w:val="nil"/>
            </w:tcBorders>
            <w:shd w:val="clear" w:color="auto" w:fill="auto"/>
            <w:noWrap/>
            <w:vAlign w:val="center"/>
            <w:hideMark/>
          </w:tcPr>
          <w:p w14:paraId="4C3C653F"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-91.37</w:t>
            </w:r>
          </w:p>
        </w:tc>
        <w:tc>
          <w:tcPr>
            <w:tcW w:w="811" w:type="dxa"/>
            <w:tcBorders>
              <w:top w:val="nil"/>
              <w:left w:val="nil"/>
              <w:bottom w:val="nil"/>
              <w:right w:val="nil"/>
            </w:tcBorders>
            <w:shd w:val="clear" w:color="auto" w:fill="auto"/>
            <w:noWrap/>
            <w:vAlign w:val="center"/>
            <w:hideMark/>
          </w:tcPr>
          <w:p w14:paraId="4404FE6C"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1040.13</w:t>
            </w:r>
          </w:p>
        </w:tc>
        <w:tc>
          <w:tcPr>
            <w:tcW w:w="855" w:type="dxa"/>
            <w:tcBorders>
              <w:top w:val="nil"/>
              <w:left w:val="nil"/>
              <w:bottom w:val="nil"/>
              <w:right w:val="nil"/>
            </w:tcBorders>
            <w:shd w:val="clear" w:color="auto" w:fill="auto"/>
            <w:noWrap/>
            <w:vAlign w:val="center"/>
            <w:hideMark/>
          </w:tcPr>
          <w:p w14:paraId="0EA15B9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-88.2</w:t>
            </w:r>
          </w:p>
        </w:tc>
        <w:tc>
          <w:tcPr>
            <w:tcW w:w="865" w:type="dxa"/>
            <w:tcBorders>
              <w:top w:val="nil"/>
              <w:left w:val="nil"/>
              <w:bottom w:val="nil"/>
              <w:right w:val="nil"/>
            </w:tcBorders>
            <w:shd w:val="clear" w:color="auto" w:fill="auto"/>
            <w:noWrap/>
            <w:vAlign w:val="center"/>
            <w:hideMark/>
          </w:tcPr>
          <w:p w14:paraId="5F4367F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1005.63</w:t>
            </w:r>
          </w:p>
        </w:tc>
        <w:tc>
          <w:tcPr>
            <w:tcW w:w="940" w:type="dxa"/>
            <w:tcBorders>
              <w:top w:val="nil"/>
              <w:left w:val="nil"/>
              <w:bottom w:val="nil"/>
              <w:right w:val="nil"/>
            </w:tcBorders>
            <w:shd w:val="clear" w:color="auto" w:fill="auto"/>
            <w:noWrap/>
            <w:vAlign w:val="center"/>
            <w:hideMark/>
          </w:tcPr>
          <w:p w14:paraId="37F8BD8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-90.95</w:t>
            </w:r>
          </w:p>
        </w:tc>
        <w:tc>
          <w:tcPr>
            <w:tcW w:w="820" w:type="dxa"/>
            <w:tcBorders>
              <w:top w:val="nil"/>
              <w:left w:val="nil"/>
              <w:bottom w:val="nil"/>
              <w:right w:val="nil"/>
            </w:tcBorders>
            <w:shd w:val="clear" w:color="auto" w:fill="auto"/>
            <w:noWrap/>
            <w:vAlign w:val="center"/>
            <w:hideMark/>
          </w:tcPr>
          <w:p w14:paraId="5C8BF0D5"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994.77</w:t>
            </w:r>
          </w:p>
        </w:tc>
      </w:tr>
      <w:tr w:rsidR="00D740DC" w:rsidRPr="00CB148B" w14:paraId="245ECE91" w14:textId="77777777" w:rsidTr="00B11F5F">
        <w:trPr>
          <w:trHeight w:val="300"/>
        </w:trPr>
        <w:tc>
          <w:tcPr>
            <w:tcW w:w="1418" w:type="dxa"/>
            <w:tcBorders>
              <w:top w:val="nil"/>
              <w:left w:val="nil"/>
              <w:bottom w:val="nil"/>
              <w:right w:val="nil"/>
            </w:tcBorders>
            <w:shd w:val="clear" w:color="auto" w:fill="auto"/>
            <w:noWrap/>
            <w:vAlign w:val="center"/>
            <w:hideMark/>
          </w:tcPr>
          <w:p w14:paraId="2B63C2F9"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Area (Q</w:t>
            </w:r>
            <w:r w:rsidRPr="00CB148B">
              <w:rPr>
                <w:rFonts w:eastAsia="Times New Roman" w:cs="Times New Roman"/>
                <w:b w:val="0"/>
                <w:color w:val="000000"/>
                <w:sz w:val="20"/>
                <w:szCs w:val="20"/>
                <w:vertAlign w:val="subscript"/>
                <w:lang w:eastAsia="en-MY"/>
              </w:rPr>
              <w:t>3</w:t>
            </w:r>
            <w:r w:rsidRPr="00CB148B">
              <w:rPr>
                <w:rFonts w:eastAsia="Times New Roman" w:cs="Times New Roman"/>
                <w:b w:val="0"/>
                <w:color w:val="000000"/>
                <w:sz w:val="20"/>
                <w:szCs w:val="20"/>
                <w:lang w:eastAsia="en-MY"/>
              </w:rPr>
              <w:t>)</w:t>
            </w:r>
          </w:p>
        </w:tc>
        <w:tc>
          <w:tcPr>
            <w:tcW w:w="792" w:type="dxa"/>
            <w:tcBorders>
              <w:top w:val="nil"/>
              <w:left w:val="nil"/>
              <w:bottom w:val="nil"/>
              <w:right w:val="nil"/>
            </w:tcBorders>
            <w:shd w:val="clear" w:color="auto" w:fill="auto"/>
            <w:noWrap/>
            <w:vAlign w:val="center"/>
            <w:hideMark/>
          </w:tcPr>
          <w:p w14:paraId="2D3B8AF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141.37</w:t>
            </w:r>
          </w:p>
        </w:tc>
        <w:tc>
          <w:tcPr>
            <w:tcW w:w="839" w:type="dxa"/>
            <w:tcBorders>
              <w:top w:val="nil"/>
              <w:left w:val="nil"/>
              <w:bottom w:val="nil"/>
              <w:right w:val="nil"/>
            </w:tcBorders>
            <w:shd w:val="clear" w:color="auto" w:fill="auto"/>
            <w:noWrap/>
            <w:vAlign w:val="center"/>
            <w:hideMark/>
          </w:tcPr>
          <w:p w14:paraId="604F34FE"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0.21</w:t>
            </w:r>
          </w:p>
        </w:tc>
        <w:tc>
          <w:tcPr>
            <w:tcW w:w="929" w:type="dxa"/>
            <w:tcBorders>
              <w:top w:val="nil"/>
              <w:left w:val="nil"/>
              <w:bottom w:val="nil"/>
              <w:right w:val="nil"/>
            </w:tcBorders>
            <w:shd w:val="clear" w:color="auto" w:fill="auto"/>
            <w:noWrap/>
            <w:vAlign w:val="center"/>
            <w:hideMark/>
          </w:tcPr>
          <w:p w14:paraId="59B0D980"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451.74</w:t>
            </w:r>
          </w:p>
        </w:tc>
        <w:tc>
          <w:tcPr>
            <w:tcW w:w="811" w:type="dxa"/>
            <w:tcBorders>
              <w:top w:val="nil"/>
              <w:left w:val="nil"/>
              <w:bottom w:val="nil"/>
              <w:right w:val="nil"/>
            </w:tcBorders>
            <w:shd w:val="clear" w:color="auto" w:fill="auto"/>
            <w:noWrap/>
            <w:vAlign w:val="center"/>
            <w:hideMark/>
          </w:tcPr>
          <w:p w14:paraId="7094EC8C"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0.3</w:t>
            </w:r>
          </w:p>
        </w:tc>
        <w:tc>
          <w:tcPr>
            <w:tcW w:w="865" w:type="dxa"/>
            <w:tcBorders>
              <w:top w:val="nil"/>
              <w:left w:val="nil"/>
              <w:bottom w:val="nil"/>
              <w:right w:val="nil"/>
            </w:tcBorders>
            <w:shd w:val="clear" w:color="auto" w:fill="auto"/>
            <w:noWrap/>
            <w:vAlign w:val="center"/>
            <w:hideMark/>
          </w:tcPr>
          <w:p w14:paraId="1C43AA0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1061.182</w:t>
            </w:r>
          </w:p>
        </w:tc>
        <w:tc>
          <w:tcPr>
            <w:tcW w:w="755" w:type="dxa"/>
            <w:tcBorders>
              <w:top w:val="nil"/>
              <w:left w:val="nil"/>
              <w:bottom w:val="nil"/>
              <w:right w:val="nil"/>
            </w:tcBorders>
            <w:shd w:val="clear" w:color="auto" w:fill="auto"/>
            <w:noWrap/>
            <w:vAlign w:val="center"/>
            <w:hideMark/>
          </w:tcPr>
          <w:p w14:paraId="6ADE890F"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0.33</w:t>
            </w:r>
          </w:p>
        </w:tc>
        <w:tc>
          <w:tcPr>
            <w:tcW w:w="918" w:type="dxa"/>
            <w:tcBorders>
              <w:top w:val="nil"/>
              <w:left w:val="nil"/>
              <w:bottom w:val="nil"/>
              <w:right w:val="nil"/>
            </w:tcBorders>
            <w:shd w:val="clear" w:color="auto" w:fill="auto"/>
            <w:noWrap/>
            <w:vAlign w:val="center"/>
            <w:hideMark/>
          </w:tcPr>
          <w:p w14:paraId="763CFF54"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2725.969</w:t>
            </w:r>
          </w:p>
        </w:tc>
        <w:tc>
          <w:tcPr>
            <w:tcW w:w="802" w:type="dxa"/>
            <w:tcBorders>
              <w:top w:val="nil"/>
              <w:left w:val="nil"/>
              <w:bottom w:val="nil"/>
              <w:right w:val="nil"/>
            </w:tcBorders>
            <w:shd w:val="clear" w:color="auto" w:fill="auto"/>
            <w:noWrap/>
            <w:vAlign w:val="center"/>
            <w:hideMark/>
          </w:tcPr>
          <w:p w14:paraId="1D1C358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0.46</w:t>
            </w:r>
          </w:p>
        </w:tc>
        <w:tc>
          <w:tcPr>
            <w:tcW w:w="859" w:type="dxa"/>
            <w:tcBorders>
              <w:top w:val="nil"/>
              <w:left w:val="nil"/>
              <w:bottom w:val="nil"/>
              <w:right w:val="nil"/>
            </w:tcBorders>
            <w:shd w:val="clear" w:color="auto" w:fill="auto"/>
            <w:noWrap/>
            <w:vAlign w:val="center"/>
            <w:hideMark/>
          </w:tcPr>
          <w:p w14:paraId="5E3E20D5"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3357.5</w:t>
            </w:r>
          </w:p>
        </w:tc>
        <w:tc>
          <w:tcPr>
            <w:tcW w:w="901" w:type="dxa"/>
            <w:tcBorders>
              <w:top w:val="nil"/>
              <w:left w:val="nil"/>
              <w:bottom w:val="nil"/>
              <w:right w:val="nil"/>
            </w:tcBorders>
            <w:shd w:val="clear" w:color="auto" w:fill="auto"/>
            <w:noWrap/>
            <w:vAlign w:val="center"/>
            <w:hideMark/>
          </w:tcPr>
          <w:p w14:paraId="107E6C5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0.35</w:t>
            </w:r>
          </w:p>
        </w:tc>
        <w:tc>
          <w:tcPr>
            <w:tcW w:w="929" w:type="dxa"/>
            <w:tcBorders>
              <w:top w:val="nil"/>
              <w:left w:val="nil"/>
              <w:bottom w:val="nil"/>
              <w:right w:val="nil"/>
            </w:tcBorders>
            <w:shd w:val="clear" w:color="auto" w:fill="auto"/>
            <w:noWrap/>
            <w:vAlign w:val="center"/>
            <w:hideMark/>
          </w:tcPr>
          <w:p w14:paraId="5D0EFAB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2064.75</w:t>
            </w:r>
          </w:p>
        </w:tc>
        <w:tc>
          <w:tcPr>
            <w:tcW w:w="811" w:type="dxa"/>
            <w:tcBorders>
              <w:top w:val="nil"/>
              <w:left w:val="nil"/>
              <w:bottom w:val="nil"/>
              <w:right w:val="nil"/>
            </w:tcBorders>
            <w:shd w:val="clear" w:color="auto" w:fill="auto"/>
            <w:noWrap/>
            <w:vAlign w:val="center"/>
            <w:hideMark/>
          </w:tcPr>
          <w:p w14:paraId="22B5A975"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0.49</w:t>
            </w:r>
          </w:p>
        </w:tc>
        <w:tc>
          <w:tcPr>
            <w:tcW w:w="855" w:type="dxa"/>
            <w:tcBorders>
              <w:top w:val="nil"/>
              <w:left w:val="nil"/>
              <w:bottom w:val="nil"/>
              <w:right w:val="nil"/>
            </w:tcBorders>
            <w:shd w:val="clear" w:color="auto" w:fill="auto"/>
            <w:noWrap/>
            <w:vAlign w:val="center"/>
            <w:hideMark/>
          </w:tcPr>
          <w:p w14:paraId="2E32B8F5"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769.042</w:t>
            </w:r>
          </w:p>
        </w:tc>
        <w:tc>
          <w:tcPr>
            <w:tcW w:w="865" w:type="dxa"/>
            <w:tcBorders>
              <w:top w:val="nil"/>
              <w:left w:val="nil"/>
              <w:bottom w:val="nil"/>
              <w:right w:val="nil"/>
            </w:tcBorders>
            <w:shd w:val="clear" w:color="auto" w:fill="auto"/>
            <w:noWrap/>
            <w:vAlign w:val="center"/>
            <w:hideMark/>
          </w:tcPr>
          <w:p w14:paraId="6AEE6578"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0.38</w:t>
            </w:r>
          </w:p>
        </w:tc>
        <w:tc>
          <w:tcPr>
            <w:tcW w:w="940" w:type="dxa"/>
            <w:tcBorders>
              <w:top w:val="nil"/>
              <w:left w:val="nil"/>
              <w:bottom w:val="nil"/>
              <w:right w:val="nil"/>
            </w:tcBorders>
            <w:shd w:val="clear" w:color="auto" w:fill="auto"/>
            <w:noWrap/>
            <w:vAlign w:val="center"/>
            <w:hideMark/>
          </w:tcPr>
          <w:p w14:paraId="56B79DF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1666.281</w:t>
            </w:r>
          </w:p>
        </w:tc>
        <w:tc>
          <w:tcPr>
            <w:tcW w:w="820" w:type="dxa"/>
            <w:tcBorders>
              <w:top w:val="nil"/>
              <w:left w:val="nil"/>
              <w:bottom w:val="nil"/>
              <w:right w:val="nil"/>
            </w:tcBorders>
            <w:shd w:val="clear" w:color="auto" w:fill="auto"/>
            <w:noWrap/>
            <w:vAlign w:val="center"/>
            <w:hideMark/>
          </w:tcPr>
          <w:p w14:paraId="5D33B97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0.31</w:t>
            </w:r>
          </w:p>
        </w:tc>
      </w:tr>
      <w:tr w:rsidR="00D740DC" w:rsidRPr="00CB148B" w14:paraId="1FA0F74B" w14:textId="77777777" w:rsidTr="00B11F5F">
        <w:trPr>
          <w:trHeight w:val="510"/>
        </w:trPr>
        <w:tc>
          <w:tcPr>
            <w:tcW w:w="1418" w:type="dxa"/>
            <w:tcBorders>
              <w:top w:val="nil"/>
              <w:left w:val="nil"/>
              <w:bottom w:val="nil"/>
              <w:right w:val="nil"/>
            </w:tcBorders>
            <w:shd w:val="clear" w:color="auto" w:fill="auto"/>
            <w:vAlign w:val="center"/>
            <w:hideMark/>
          </w:tcPr>
          <w:p w14:paraId="64275D53"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Chem. Shift / wavenumber</w:t>
            </w:r>
          </w:p>
        </w:tc>
        <w:tc>
          <w:tcPr>
            <w:tcW w:w="792" w:type="dxa"/>
            <w:tcBorders>
              <w:top w:val="nil"/>
              <w:left w:val="nil"/>
              <w:bottom w:val="nil"/>
              <w:right w:val="nil"/>
            </w:tcBorders>
            <w:shd w:val="clear" w:color="auto" w:fill="auto"/>
            <w:noWrap/>
            <w:vAlign w:val="center"/>
            <w:hideMark/>
          </w:tcPr>
          <w:p w14:paraId="55343263"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p>
        </w:tc>
        <w:tc>
          <w:tcPr>
            <w:tcW w:w="839" w:type="dxa"/>
            <w:tcBorders>
              <w:top w:val="nil"/>
              <w:left w:val="nil"/>
              <w:bottom w:val="nil"/>
              <w:right w:val="nil"/>
            </w:tcBorders>
            <w:shd w:val="clear" w:color="auto" w:fill="auto"/>
            <w:noWrap/>
            <w:vAlign w:val="center"/>
            <w:hideMark/>
          </w:tcPr>
          <w:p w14:paraId="4E7DD5C2"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1076.93</w:t>
            </w:r>
          </w:p>
        </w:tc>
        <w:tc>
          <w:tcPr>
            <w:tcW w:w="929" w:type="dxa"/>
            <w:tcBorders>
              <w:top w:val="nil"/>
              <w:left w:val="nil"/>
              <w:bottom w:val="nil"/>
              <w:right w:val="nil"/>
            </w:tcBorders>
            <w:shd w:val="clear" w:color="auto" w:fill="auto"/>
            <w:noWrap/>
            <w:vAlign w:val="center"/>
            <w:hideMark/>
          </w:tcPr>
          <w:p w14:paraId="4C7E4C7E"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811" w:type="dxa"/>
            <w:tcBorders>
              <w:top w:val="nil"/>
              <w:left w:val="nil"/>
              <w:bottom w:val="nil"/>
              <w:right w:val="nil"/>
            </w:tcBorders>
            <w:shd w:val="clear" w:color="auto" w:fill="auto"/>
            <w:noWrap/>
            <w:vAlign w:val="center"/>
            <w:hideMark/>
          </w:tcPr>
          <w:p w14:paraId="24494F8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1083.09</w:t>
            </w:r>
          </w:p>
        </w:tc>
        <w:tc>
          <w:tcPr>
            <w:tcW w:w="865" w:type="dxa"/>
            <w:tcBorders>
              <w:top w:val="nil"/>
              <w:left w:val="nil"/>
              <w:bottom w:val="nil"/>
              <w:right w:val="nil"/>
            </w:tcBorders>
            <w:shd w:val="clear" w:color="auto" w:fill="auto"/>
            <w:noWrap/>
            <w:vAlign w:val="center"/>
            <w:hideMark/>
          </w:tcPr>
          <w:p w14:paraId="2B7C81A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755" w:type="dxa"/>
            <w:tcBorders>
              <w:top w:val="nil"/>
              <w:left w:val="nil"/>
              <w:bottom w:val="nil"/>
              <w:right w:val="nil"/>
            </w:tcBorders>
            <w:shd w:val="clear" w:color="auto" w:fill="auto"/>
            <w:noWrap/>
            <w:vAlign w:val="center"/>
            <w:hideMark/>
          </w:tcPr>
          <w:p w14:paraId="628793F3"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0.19</w:t>
            </w:r>
          </w:p>
        </w:tc>
        <w:tc>
          <w:tcPr>
            <w:tcW w:w="918" w:type="dxa"/>
            <w:tcBorders>
              <w:top w:val="nil"/>
              <w:left w:val="nil"/>
              <w:bottom w:val="nil"/>
              <w:right w:val="nil"/>
            </w:tcBorders>
            <w:shd w:val="clear" w:color="auto" w:fill="auto"/>
            <w:noWrap/>
            <w:vAlign w:val="center"/>
            <w:hideMark/>
          </w:tcPr>
          <w:p w14:paraId="0643C3C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-85.01</w:t>
            </w:r>
          </w:p>
        </w:tc>
        <w:tc>
          <w:tcPr>
            <w:tcW w:w="802" w:type="dxa"/>
            <w:tcBorders>
              <w:top w:val="nil"/>
              <w:left w:val="nil"/>
              <w:bottom w:val="nil"/>
              <w:right w:val="nil"/>
            </w:tcBorders>
            <w:shd w:val="clear" w:color="auto" w:fill="auto"/>
            <w:noWrap/>
            <w:vAlign w:val="center"/>
            <w:hideMark/>
          </w:tcPr>
          <w:p w14:paraId="70BA2505"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984.51</w:t>
            </w:r>
          </w:p>
        </w:tc>
        <w:tc>
          <w:tcPr>
            <w:tcW w:w="859" w:type="dxa"/>
            <w:tcBorders>
              <w:top w:val="nil"/>
              <w:left w:val="nil"/>
              <w:bottom w:val="nil"/>
              <w:right w:val="nil"/>
            </w:tcBorders>
            <w:shd w:val="clear" w:color="auto" w:fill="auto"/>
            <w:noWrap/>
            <w:vAlign w:val="center"/>
            <w:hideMark/>
          </w:tcPr>
          <w:p w14:paraId="302B2375"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-85.14</w:t>
            </w:r>
          </w:p>
        </w:tc>
        <w:tc>
          <w:tcPr>
            <w:tcW w:w="901" w:type="dxa"/>
            <w:tcBorders>
              <w:top w:val="nil"/>
              <w:left w:val="nil"/>
              <w:bottom w:val="nil"/>
              <w:right w:val="nil"/>
            </w:tcBorders>
            <w:shd w:val="clear" w:color="auto" w:fill="auto"/>
            <w:noWrap/>
            <w:vAlign w:val="center"/>
            <w:hideMark/>
          </w:tcPr>
          <w:p w14:paraId="01FC160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1088.74</w:t>
            </w:r>
          </w:p>
        </w:tc>
        <w:tc>
          <w:tcPr>
            <w:tcW w:w="929" w:type="dxa"/>
            <w:tcBorders>
              <w:top w:val="nil"/>
              <w:left w:val="nil"/>
              <w:bottom w:val="nil"/>
              <w:right w:val="nil"/>
            </w:tcBorders>
            <w:shd w:val="clear" w:color="auto" w:fill="auto"/>
            <w:noWrap/>
            <w:vAlign w:val="center"/>
            <w:hideMark/>
          </w:tcPr>
          <w:p w14:paraId="3EE69C55"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-85.34</w:t>
            </w:r>
          </w:p>
        </w:tc>
        <w:tc>
          <w:tcPr>
            <w:tcW w:w="811" w:type="dxa"/>
            <w:tcBorders>
              <w:top w:val="nil"/>
              <w:left w:val="nil"/>
              <w:bottom w:val="nil"/>
              <w:right w:val="nil"/>
            </w:tcBorders>
            <w:shd w:val="clear" w:color="auto" w:fill="auto"/>
            <w:noWrap/>
            <w:vAlign w:val="center"/>
            <w:hideMark/>
          </w:tcPr>
          <w:p w14:paraId="300837C8"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1136.36</w:t>
            </w:r>
          </w:p>
        </w:tc>
        <w:tc>
          <w:tcPr>
            <w:tcW w:w="855" w:type="dxa"/>
            <w:tcBorders>
              <w:top w:val="nil"/>
              <w:left w:val="nil"/>
              <w:bottom w:val="nil"/>
              <w:right w:val="nil"/>
            </w:tcBorders>
            <w:shd w:val="clear" w:color="auto" w:fill="auto"/>
            <w:noWrap/>
            <w:vAlign w:val="center"/>
            <w:hideMark/>
          </w:tcPr>
          <w:p w14:paraId="4650C86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865" w:type="dxa"/>
            <w:tcBorders>
              <w:top w:val="nil"/>
              <w:left w:val="nil"/>
              <w:bottom w:val="nil"/>
              <w:right w:val="nil"/>
            </w:tcBorders>
            <w:shd w:val="clear" w:color="auto" w:fill="auto"/>
            <w:noWrap/>
            <w:vAlign w:val="center"/>
            <w:hideMark/>
          </w:tcPr>
          <w:p w14:paraId="2424DB9B"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1091.46</w:t>
            </w:r>
          </w:p>
        </w:tc>
        <w:tc>
          <w:tcPr>
            <w:tcW w:w="940" w:type="dxa"/>
            <w:tcBorders>
              <w:top w:val="nil"/>
              <w:left w:val="nil"/>
              <w:bottom w:val="nil"/>
              <w:right w:val="nil"/>
            </w:tcBorders>
            <w:shd w:val="clear" w:color="auto" w:fill="auto"/>
            <w:noWrap/>
            <w:vAlign w:val="center"/>
            <w:hideMark/>
          </w:tcPr>
          <w:p w14:paraId="35098806"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p>
        </w:tc>
        <w:tc>
          <w:tcPr>
            <w:tcW w:w="820" w:type="dxa"/>
            <w:tcBorders>
              <w:top w:val="nil"/>
              <w:left w:val="nil"/>
              <w:bottom w:val="nil"/>
              <w:right w:val="nil"/>
            </w:tcBorders>
            <w:shd w:val="clear" w:color="auto" w:fill="auto"/>
            <w:noWrap/>
            <w:vAlign w:val="center"/>
            <w:hideMark/>
          </w:tcPr>
          <w:p w14:paraId="49B4294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1070.81</w:t>
            </w:r>
          </w:p>
        </w:tc>
      </w:tr>
      <w:tr w:rsidR="00D740DC" w:rsidRPr="00CB148B" w14:paraId="190AC6AF" w14:textId="77777777" w:rsidTr="00B11F5F">
        <w:trPr>
          <w:trHeight w:val="315"/>
        </w:trPr>
        <w:tc>
          <w:tcPr>
            <w:tcW w:w="1418" w:type="dxa"/>
            <w:tcBorders>
              <w:top w:val="nil"/>
              <w:left w:val="nil"/>
              <w:bottom w:val="single" w:sz="8" w:space="0" w:color="auto"/>
              <w:right w:val="nil"/>
            </w:tcBorders>
            <w:shd w:val="clear" w:color="auto" w:fill="auto"/>
            <w:noWrap/>
            <w:vAlign w:val="center"/>
            <w:hideMark/>
          </w:tcPr>
          <w:p w14:paraId="7D3BB1F0"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Area (Q</w:t>
            </w:r>
            <w:r w:rsidRPr="00CB148B">
              <w:rPr>
                <w:rFonts w:eastAsia="Times New Roman" w:cs="Times New Roman"/>
                <w:b w:val="0"/>
                <w:color w:val="000000"/>
                <w:sz w:val="20"/>
                <w:szCs w:val="20"/>
                <w:vertAlign w:val="subscript"/>
                <w:lang w:eastAsia="en-MY"/>
              </w:rPr>
              <w:t>3</w:t>
            </w:r>
            <w:r w:rsidRPr="00CB148B">
              <w:rPr>
                <w:rFonts w:eastAsia="Times New Roman" w:cs="Times New Roman"/>
                <w:b w:val="0"/>
                <w:color w:val="000000"/>
                <w:sz w:val="20"/>
                <w:szCs w:val="20"/>
                <w:lang w:eastAsia="en-MY"/>
              </w:rPr>
              <w:t>)</w:t>
            </w:r>
          </w:p>
        </w:tc>
        <w:tc>
          <w:tcPr>
            <w:tcW w:w="792" w:type="dxa"/>
            <w:tcBorders>
              <w:top w:val="nil"/>
              <w:left w:val="nil"/>
              <w:bottom w:val="single" w:sz="8" w:space="0" w:color="auto"/>
              <w:right w:val="nil"/>
            </w:tcBorders>
            <w:shd w:val="clear" w:color="auto" w:fill="auto"/>
            <w:noWrap/>
            <w:vAlign w:val="center"/>
            <w:hideMark/>
          </w:tcPr>
          <w:p w14:paraId="76263F24"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39" w:type="dxa"/>
            <w:tcBorders>
              <w:top w:val="nil"/>
              <w:left w:val="nil"/>
              <w:bottom w:val="single" w:sz="8" w:space="0" w:color="auto"/>
              <w:right w:val="nil"/>
            </w:tcBorders>
            <w:shd w:val="clear" w:color="auto" w:fill="auto"/>
            <w:noWrap/>
            <w:vAlign w:val="center"/>
            <w:hideMark/>
          </w:tcPr>
          <w:p w14:paraId="34514B2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0.43</w:t>
            </w:r>
          </w:p>
        </w:tc>
        <w:tc>
          <w:tcPr>
            <w:tcW w:w="929" w:type="dxa"/>
            <w:tcBorders>
              <w:top w:val="nil"/>
              <w:left w:val="nil"/>
              <w:bottom w:val="single" w:sz="8" w:space="0" w:color="auto"/>
              <w:right w:val="nil"/>
            </w:tcBorders>
            <w:shd w:val="clear" w:color="auto" w:fill="auto"/>
            <w:noWrap/>
            <w:vAlign w:val="center"/>
            <w:hideMark/>
          </w:tcPr>
          <w:p w14:paraId="2DBBFEFD"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11" w:type="dxa"/>
            <w:tcBorders>
              <w:top w:val="nil"/>
              <w:left w:val="nil"/>
              <w:bottom w:val="single" w:sz="8" w:space="0" w:color="auto"/>
              <w:right w:val="nil"/>
            </w:tcBorders>
            <w:shd w:val="clear" w:color="auto" w:fill="auto"/>
            <w:noWrap/>
            <w:vAlign w:val="center"/>
            <w:hideMark/>
          </w:tcPr>
          <w:p w14:paraId="20320D20"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0.35</w:t>
            </w:r>
          </w:p>
        </w:tc>
        <w:tc>
          <w:tcPr>
            <w:tcW w:w="865" w:type="dxa"/>
            <w:tcBorders>
              <w:top w:val="nil"/>
              <w:left w:val="nil"/>
              <w:bottom w:val="single" w:sz="8" w:space="0" w:color="auto"/>
              <w:right w:val="nil"/>
            </w:tcBorders>
            <w:shd w:val="clear" w:color="auto" w:fill="auto"/>
            <w:noWrap/>
            <w:vAlign w:val="center"/>
            <w:hideMark/>
          </w:tcPr>
          <w:p w14:paraId="3B2E369A"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755" w:type="dxa"/>
            <w:tcBorders>
              <w:top w:val="nil"/>
              <w:left w:val="nil"/>
              <w:bottom w:val="single" w:sz="8" w:space="0" w:color="auto"/>
              <w:right w:val="nil"/>
            </w:tcBorders>
            <w:shd w:val="clear" w:color="auto" w:fill="auto"/>
            <w:noWrap/>
            <w:vAlign w:val="center"/>
            <w:hideMark/>
          </w:tcPr>
          <w:p w14:paraId="76F191B3"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1159.23</w:t>
            </w:r>
          </w:p>
        </w:tc>
        <w:tc>
          <w:tcPr>
            <w:tcW w:w="918" w:type="dxa"/>
            <w:tcBorders>
              <w:top w:val="nil"/>
              <w:left w:val="nil"/>
              <w:bottom w:val="single" w:sz="8" w:space="0" w:color="auto"/>
              <w:right w:val="nil"/>
            </w:tcBorders>
            <w:shd w:val="clear" w:color="auto" w:fill="auto"/>
            <w:noWrap/>
            <w:vAlign w:val="center"/>
            <w:hideMark/>
          </w:tcPr>
          <w:p w14:paraId="2C6F857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512.948</w:t>
            </w:r>
          </w:p>
        </w:tc>
        <w:tc>
          <w:tcPr>
            <w:tcW w:w="802" w:type="dxa"/>
            <w:tcBorders>
              <w:top w:val="nil"/>
              <w:left w:val="nil"/>
              <w:bottom w:val="single" w:sz="8" w:space="0" w:color="auto"/>
              <w:right w:val="nil"/>
            </w:tcBorders>
            <w:shd w:val="clear" w:color="auto" w:fill="auto"/>
            <w:noWrap/>
            <w:vAlign w:val="center"/>
            <w:hideMark/>
          </w:tcPr>
          <w:p w14:paraId="4D60602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0.38</w:t>
            </w:r>
          </w:p>
        </w:tc>
        <w:tc>
          <w:tcPr>
            <w:tcW w:w="859" w:type="dxa"/>
            <w:tcBorders>
              <w:top w:val="nil"/>
              <w:left w:val="nil"/>
              <w:bottom w:val="single" w:sz="8" w:space="0" w:color="auto"/>
              <w:right w:val="nil"/>
            </w:tcBorders>
            <w:shd w:val="clear" w:color="auto" w:fill="auto"/>
            <w:noWrap/>
            <w:vAlign w:val="center"/>
            <w:hideMark/>
          </w:tcPr>
          <w:p w14:paraId="05549E6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1178.9</w:t>
            </w:r>
          </w:p>
        </w:tc>
        <w:tc>
          <w:tcPr>
            <w:tcW w:w="901" w:type="dxa"/>
            <w:tcBorders>
              <w:top w:val="nil"/>
              <w:left w:val="nil"/>
              <w:bottom w:val="single" w:sz="8" w:space="0" w:color="auto"/>
              <w:right w:val="nil"/>
            </w:tcBorders>
            <w:shd w:val="clear" w:color="auto" w:fill="auto"/>
            <w:noWrap/>
            <w:vAlign w:val="center"/>
            <w:hideMark/>
          </w:tcPr>
          <w:p w14:paraId="1A4E2CD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0.28</w:t>
            </w:r>
          </w:p>
        </w:tc>
        <w:tc>
          <w:tcPr>
            <w:tcW w:w="929" w:type="dxa"/>
            <w:tcBorders>
              <w:top w:val="nil"/>
              <w:left w:val="nil"/>
              <w:bottom w:val="single" w:sz="8" w:space="0" w:color="auto"/>
              <w:right w:val="nil"/>
            </w:tcBorders>
            <w:shd w:val="clear" w:color="auto" w:fill="auto"/>
            <w:noWrap/>
            <w:vAlign w:val="center"/>
            <w:hideMark/>
          </w:tcPr>
          <w:p w14:paraId="441AEFE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909.297</w:t>
            </w:r>
          </w:p>
        </w:tc>
        <w:tc>
          <w:tcPr>
            <w:tcW w:w="811" w:type="dxa"/>
            <w:tcBorders>
              <w:top w:val="nil"/>
              <w:left w:val="nil"/>
              <w:bottom w:val="single" w:sz="8" w:space="0" w:color="auto"/>
              <w:right w:val="nil"/>
            </w:tcBorders>
            <w:shd w:val="clear" w:color="auto" w:fill="auto"/>
            <w:noWrap/>
            <w:vAlign w:val="center"/>
            <w:hideMark/>
          </w:tcPr>
          <w:p w14:paraId="58722272"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0.19</w:t>
            </w:r>
          </w:p>
        </w:tc>
        <w:tc>
          <w:tcPr>
            <w:tcW w:w="855" w:type="dxa"/>
            <w:tcBorders>
              <w:top w:val="nil"/>
              <w:left w:val="nil"/>
              <w:bottom w:val="single" w:sz="8" w:space="0" w:color="auto"/>
              <w:right w:val="nil"/>
            </w:tcBorders>
            <w:shd w:val="clear" w:color="auto" w:fill="auto"/>
            <w:noWrap/>
            <w:vAlign w:val="center"/>
            <w:hideMark/>
          </w:tcPr>
          <w:p w14:paraId="2DA04BBA"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65" w:type="dxa"/>
            <w:tcBorders>
              <w:top w:val="nil"/>
              <w:left w:val="nil"/>
              <w:bottom w:val="single" w:sz="8" w:space="0" w:color="auto"/>
              <w:right w:val="nil"/>
            </w:tcBorders>
            <w:shd w:val="clear" w:color="auto" w:fill="auto"/>
            <w:noWrap/>
            <w:vAlign w:val="center"/>
            <w:hideMark/>
          </w:tcPr>
          <w:p w14:paraId="7985F004"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0.46</w:t>
            </w:r>
          </w:p>
        </w:tc>
        <w:tc>
          <w:tcPr>
            <w:tcW w:w="940" w:type="dxa"/>
            <w:tcBorders>
              <w:top w:val="nil"/>
              <w:left w:val="nil"/>
              <w:bottom w:val="single" w:sz="8" w:space="0" w:color="auto"/>
              <w:right w:val="nil"/>
            </w:tcBorders>
            <w:shd w:val="clear" w:color="auto" w:fill="auto"/>
            <w:noWrap/>
            <w:vAlign w:val="center"/>
            <w:hideMark/>
          </w:tcPr>
          <w:p w14:paraId="2255B44E"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20" w:type="dxa"/>
            <w:tcBorders>
              <w:top w:val="nil"/>
              <w:left w:val="nil"/>
              <w:bottom w:val="single" w:sz="8" w:space="0" w:color="auto"/>
              <w:right w:val="nil"/>
            </w:tcBorders>
            <w:shd w:val="clear" w:color="auto" w:fill="auto"/>
            <w:noWrap/>
            <w:vAlign w:val="center"/>
            <w:hideMark/>
          </w:tcPr>
          <w:p w14:paraId="4CF2C8B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0.32</w:t>
            </w:r>
          </w:p>
        </w:tc>
      </w:tr>
      <w:tr w:rsidR="00D740DC" w:rsidRPr="00CB148B" w14:paraId="603593F8" w14:textId="77777777" w:rsidTr="00B11F5F">
        <w:trPr>
          <w:trHeight w:val="510"/>
        </w:trPr>
        <w:tc>
          <w:tcPr>
            <w:tcW w:w="1418" w:type="dxa"/>
            <w:tcBorders>
              <w:top w:val="nil"/>
              <w:left w:val="nil"/>
              <w:bottom w:val="nil"/>
              <w:right w:val="nil"/>
            </w:tcBorders>
            <w:shd w:val="clear" w:color="auto" w:fill="auto"/>
            <w:vAlign w:val="center"/>
            <w:hideMark/>
          </w:tcPr>
          <w:p w14:paraId="4D74F5E0"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Chem. Shift / wavenumber</w:t>
            </w:r>
          </w:p>
        </w:tc>
        <w:tc>
          <w:tcPr>
            <w:tcW w:w="792" w:type="dxa"/>
            <w:tcBorders>
              <w:top w:val="nil"/>
              <w:left w:val="nil"/>
              <w:bottom w:val="nil"/>
              <w:right w:val="nil"/>
            </w:tcBorders>
            <w:shd w:val="clear" w:color="auto" w:fill="auto"/>
            <w:noWrap/>
            <w:vAlign w:val="center"/>
            <w:hideMark/>
          </w:tcPr>
          <w:p w14:paraId="1B096519"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p>
        </w:tc>
        <w:tc>
          <w:tcPr>
            <w:tcW w:w="839" w:type="dxa"/>
            <w:tcBorders>
              <w:top w:val="nil"/>
              <w:left w:val="nil"/>
              <w:bottom w:val="nil"/>
              <w:right w:val="nil"/>
            </w:tcBorders>
            <w:shd w:val="clear" w:color="auto" w:fill="auto"/>
            <w:noWrap/>
            <w:vAlign w:val="center"/>
            <w:hideMark/>
          </w:tcPr>
          <w:p w14:paraId="527837F0"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921.7</w:t>
            </w:r>
          </w:p>
        </w:tc>
        <w:tc>
          <w:tcPr>
            <w:tcW w:w="929" w:type="dxa"/>
            <w:tcBorders>
              <w:top w:val="nil"/>
              <w:left w:val="nil"/>
              <w:bottom w:val="nil"/>
              <w:right w:val="nil"/>
            </w:tcBorders>
            <w:shd w:val="clear" w:color="auto" w:fill="auto"/>
            <w:noWrap/>
            <w:vAlign w:val="center"/>
            <w:hideMark/>
          </w:tcPr>
          <w:p w14:paraId="6906D37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811" w:type="dxa"/>
            <w:tcBorders>
              <w:top w:val="nil"/>
              <w:left w:val="nil"/>
              <w:bottom w:val="nil"/>
              <w:right w:val="nil"/>
            </w:tcBorders>
            <w:shd w:val="clear" w:color="auto" w:fill="auto"/>
            <w:noWrap/>
            <w:vAlign w:val="center"/>
            <w:hideMark/>
          </w:tcPr>
          <w:p w14:paraId="45EA8D6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914.6</w:t>
            </w:r>
          </w:p>
        </w:tc>
        <w:tc>
          <w:tcPr>
            <w:tcW w:w="865" w:type="dxa"/>
            <w:tcBorders>
              <w:top w:val="nil"/>
              <w:left w:val="nil"/>
              <w:bottom w:val="nil"/>
              <w:right w:val="nil"/>
            </w:tcBorders>
            <w:shd w:val="clear" w:color="auto" w:fill="auto"/>
            <w:noWrap/>
            <w:vAlign w:val="center"/>
            <w:hideMark/>
          </w:tcPr>
          <w:p w14:paraId="523FDC8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755" w:type="dxa"/>
            <w:tcBorders>
              <w:top w:val="nil"/>
              <w:left w:val="nil"/>
              <w:bottom w:val="nil"/>
              <w:right w:val="nil"/>
            </w:tcBorders>
            <w:shd w:val="clear" w:color="auto" w:fill="auto"/>
            <w:noWrap/>
            <w:vAlign w:val="center"/>
            <w:hideMark/>
          </w:tcPr>
          <w:p w14:paraId="76FCB3CF"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907.17</w:t>
            </w:r>
          </w:p>
        </w:tc>
        <w:tc>
          <w:tcPr>
            <w:tcW w:w="918" w:type="dxa"/>
            <w:tcBorders>
              <w:top w:val="nil"/>
              <w:left w:val="nil"/>
              <w:bottom w:val="nil"/>
              <w:right w:val="nil"/>
            </w:tcBorders>
            <w:shd w:val="clear" w:color="auto" w:fill="auto"/>
            <w:noWrap/>
            <w:vAlign w:val="center"/>
            <w:hideMark/>
          </w:tcPr>
          <w:p w14:paraId="578AFAF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802" w:type="dxa"/>
            <w:tcBorders>
              <w:top w:val="nil"/>
              <w:left w:val="nil"/>
              <w:bottom w:val="nil"/>
              <w:right w:val="nil"/>
            </w:tcBorders>
            <w:shd w:val="clear" w:color="auto" w:fill="auto"/>
            <w:noWrap/>
            <w:vAlign w:val="center"/>
            <w:hideMark/>
          </w:tcPr>
          <w:p w14:paraId="09C9DB60" w14:textId="77777777" w:rsidR="00D740DC" w:rsidRPr="00CB148B" w:rsidRDefault="00D740DC" w:rsidP="00B11F5F">
            <w:pPr>
              <w:spacing w:after="0" w:line="240" w:lineRule="auto"/>
              <w:jc w:val="center"/>
              <w:rPr>
                <w:rFonts w:eastAsia="Times New Roman" w:cs="Times New Roman"/>
                <w:b w:val="0"/>
                <w:sz w:val="20"/>
                <w:szCs w:val="20"/>
                <w:lang w:eastAsia="en-MY"/>
              </w:rPr>
            </w:pPr>
          </w:p>
        </w:tc>
        <w:tc>
          <w:tcPr>
            <w:tcW w:w="859" w:type="dxa"/>
            <w:tcBorders>
              <w:top w:val="nil"/>
              <w:left w:val="nil"/>
              <w:bottom w:val="nil"/>
              <w:right w:val="nil"/>
            </w:tcBorders>
            <w:shd w:val="clear" w:color="auto" w:fill="auto"/>
            <w:noWrap/>
            <w:vAlign w:val="center"/>
            <w:hideMark/>
          </w:tcPr>
          <w:p w14:paraId="1FF1B3F7" w14:textId="77777777" w:rsidR="00D740DC" w:rsidRPr="00CB148B" w:rsidRDefault="00D740DC" w:rsidP="00B11F5F">
            <w:pPr>
              <w:spacing w:after="0" w:line="240" w:lineRule="auto"/>
              <w:jc w:val="center"/>
              <w:rPr>
                <w:rFonts w:eastAsia="Times New Roman" w:cs="Times New Roman"/>
                <w:b w:val="0"/>
                <w:sz w:val="20"/>
                <w:szCs w:val="20"/>
                <w:lang w:eastAsia="en-MY"/>
              </w:rPr>
            </w:pPr>
          </w:p>
        </w:tc>
        <w:tc>
          <w:tcPr>
            <w:tcW w:w="901" w:type="dxa"/>
            <w:tcBorders>
              <w:top w:val="nil"/>
              <w:left w:val="nil"/>
              <w:bottom w:val="nil"/>
              <w:right w:val="nil"/>
            </w:tcBorders>
            <w:shd w:val="clear" w:color="auto" w:fill="auto"/>
            <w:noWrap/>
            <w:vAlign w:val="center"/>
            <w:hideMark/>
          </w:tcPr>
          <w:p w14:paraId="1691C62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946.01</w:t>
            </w:r>
          </w:p>
        </w:tc>
        <w:tc>
          <w:tcPr>
            <w:tcW w:w="929" w:type="dxa"/>
            <w:tcBorders>
              <w:top w:val="nil"/>
              <w:left w:val="nil"/>
              <w:bottom w:val="nil"/>
              <w:right w:val="nil"/>
            </w:tcBorders>
            <w:shd w:val="clear" w:color="auto" w:fill="auto"/>
            <w:noWrap/>
            <w:vAlign w:val="center"/>
            <w:hideMark/>
          </w:tcPr>
          <w:p w14:paraId="716B7B3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811" w:type="dxa"/>
            <w:tcBorders>
              <w:top w:val="nil"/>
              <w:left w:val="nil"/>
              <w:bottom w:val="nil"/>
              <w:right w:val="nil"/>
            </w:tcBorders>
            <w:shd w:val="clear" w:color="auto" w:fill="auto"/>
            <w:noWrap/>
            <w:vAlign w:val="center"/>
            <w:hideMark/>
          </w:tcPr>
          <w:p w14:paraId="4362DDE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942.74</w:t>
            </w:r>
          </w:p>
        </w:tc>
        <w:tc>
          <w:tcPr>
            <w:tcW w:w="855" w:type="dxa"/>
            <w:tcBorders>
              <w:top w:val="nil"/>
              <w:left w:val="nil"/>
              <w:bottom w:val="nil"/>
              <w:right w:val="nil"/>
            </w:tcBorders>
            <w:shd w:val="clear" w:color="auto" w:fill="auto"/>
            <w:noWrap/>
            <w:vAlign w:val="center"/>
            <w:hideMark/>
          </w:tcPr>
          <w:p w14:paraId="42E79034"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p>
        </w:tc>
        <w:tc>
          <w:tcPr>
            <w:tcW w:w="865" w:type="dxa"/>
            <w:tcBorders>
              <w:top w:val="nil"/>
              <w:left w:val="nil"/>
              <w:bottom w:val="nil"/>
              <w:right w:val="nil"/>
            </w:tcBorders>
            <w:shd w:val="clear" w:color="auto" w:fill="auto"/>
            <w:noWrap/>
            <w:vAlign w:val="center"/>
            <w:hideMark/>
          </w:tcPr>
          <w:p w14:paraId="4893F7F4"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945.46</w:t>
            </w:r>
          </w:p>
        </w:tc>
        <w:tc>
          <w:tcPr>
            <w:tcW w:w="940" w:type="dxa"/>
            <w:tcBorders>
              <w:top w:val="nil"/>
              <w:left w:val="nil"/>
              <w:bottom w:val="nil"/>
              <w:right w:val="nil"/>
            </w:tcBorders>
            <w:shd w:val="clear" w:color="auto" w:fill="auto"/>
            <w:noWrap/>
            <w:vAlign w:val="center"/>
            <w:hideMark/>
          </w:tcPr>
          <w:p w14:paraId="6F9C160B"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p>
        </w:tc>
        <w:tc>
          <w:tcPr>
            <w:tcW w:w="820" w:type="dxa"/>
            <w:tcBorders>
              <w:top w:val="nil"/>
              <w:left w:val="nil"/>
              <w:bottom w:val="nil"/>
              <w:right w:val="nil"/>
            </w:tcBorders>
            <w:shd w:val="clear" w:color="auto" w:fill="auto"/>
            <w:noWrap/>
            <w:vAlign w:val="center"/>
            <w:hideMark/>
          </w:tcPr>
          <w:p w14:paraId="52068BFF"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900.31</w:t>
            </w:r>
          </w:p>
        </w:tc>
      </w:tr>
      <w:tr w:rsidR="00D740DC" w:rsidRPr="00CB148B" w14:paraId="3B39DA2B" w14:textId="77777777" w:rsidTr="00B11F5F">
        <w:trPr>
          <w:trHeight w:val="315"/>
        </w:trPr>
        <w:tc>
          <w:tcPr>
            <w:tcW w:w="1418" w:type="dxa"/>
            <w:tcBorders>
              <w:top w:val="nil"/>
              <w:left w:val="nil"/>
              <w:bottom w:val="single" w:sz="8" w:space="0" w:color="auto"/>
              <w:right w:val="nil"/>
            </w:tcBorders>
            <w:shd w:val="clear" w:color="auto" w:fill="auto"/>
            <w:noWrap/>
            <w:vAlign w:val="center"/>
            <w:hideMark/>
          </w:tcPr>
          <w:p w14:paraId="027A853D"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Area (Q</w:t>
            </w:r>
            <w:r w:rsidRPr="00CB148B">
              <w:rPr>
                <w:rFonts w:eastAsia="Times New Roman" w:cs="Times New Roman"/>
                <w:b w:val="0"/>
                <w:color w:val="000000"/>
                <w:sz w:val="20"/>
                <w:szCs w:val="20"/>
                <w:vertAlign w:val="subscript"/>
                <w:lang w:eastAsia="en-MY"/>
              </w:rPr>
              <w:t>2</w:t>
            </w:r>
            <w:r w:rsidRPr="00CB148B">
              <w:rPr>
                <w:rFonts w:eastAsia="Times New Roman" w:cs="Times New Roman"/>
                <w:b w:val="0"/>
                <w:color w:val="000000"/>
                <w:sz w:val="20"/>
                <w:szCs w:val="20"/>
                <w:lang w:eastAsia="en-MY"/>
              </w:rPr>
              <w:t>)</w:t>
            </w:r>
          </w:p>
        </w:tc>
        <w:tc>
          <w:tcPr>
            <w:tcW w:w="792" w:type="dxa"/>
            <w:tcBorders>
              <w:top w:val="nil"/>
              <w:left w:val="nil"/>
              <w:bottom w:val="single" w:sz="8" w:space="0" w:color="auto"/>
              <w:right w:val="nil"/>
            </w:tcBorders>
            <w:shd w:val="clear" w:color="auto" w:fill="auto"/>
            <w:noWrap/>
            <w:vAlign w:val="center"/>
            <w:hideMark/>
          </w:tcPr>
          <w:p w14:paraId="3156171B"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39" w:type="dxa"/>
            <w:tcBorders>
              <w:top w:val="nil"/>
              <w:left w:val="nil"/>
              <w:bottom w:val="single" w:sz="8" w:space="0" w:color="auto"/>
              <w:right w:val="nil"/>
            </w:tcBorders>
            <w:shd w:val="clear" w:color="auto" w:fill="auto"/>
            <w:noWrap/>
            <w:vAlign w:val="center"/>
            <w:hideMark/>
          </w:tcPr>
          <w:p w14:paraId="4EC1252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0.05</w:t>
            </w:r>
          </w:p>
        </w:tc>
        <w:tc>
          <w:tcPr>
            <w:tcW w:w="929" w:type="dxa"/>
            <w:tcBorders>
              <w:top w:val="nil"/>
              <w:left w:val="nil"/>
              <w:bottom w:val="single" w:sz="8" w:space="0" w:color="auto"/>
              <w:right w:val="nil"/>
            </w:tcBorders>
            <w:shd w:val="clear" w:color="auto" w:fill="auto"/>
            <w:noWrap/>
            <w:vAlign w:val="center"/>
            <w:hideMark/>
          </w:tcPr>
          <w:p w14:paraId="62BB1871"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11" w:type="dxa"/>
            <w:tcBorders>
              <w:top w:val="nil"/>
              <w:left w:val="nil"/>
              <w:bottom w:val="single" w:sz="8" w:space="0" w:color="auto"/>
              <w:right w:val="nil"/>
            </w:tcBorders>
            <w:shd w:val="clear" w:color="auto" w:fill="auto"/>
            <w:noWrap/>
            <w:vAlign w:val="center"/>
            <w:hideMark/>
          </w:tcPr>
          <w:p w14:paraId="3EA587A2"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0.03</w:t>
            </w:r>
          </w:p>
        </w:tc>
        <w:tc>
          <w:tcPr>
            <w:tcW w:w="865" w:type="dxa"/>
            <w:tcBorders>
              <w:top w:val="nil"/>
              <w:left w:val="nil"/>
              <w:bottom w:val="single" w:sz="8" w:space="0" w:color="auto"/>
              <w:right w:val="nil"/>
            </w:tcBorders>
            <w:shd w:val="clear" w:color="auto" w:fill="auto"/>
            <w:noWrap/>
            <w:vAlign w:val="center"/>
            <w:hideMark/>
          </w:tcPr>
          <w:p w14:paraId="6F5130DC"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755" w:type="dxa"/>
            <w:tcBorders>
              <w:top w:val="nil"/>
              <w:left w:val="nil"/>
              <w:bottom w:val="single" w:sz="8" w:space="0" w:color="auto"/>
              <w:right w:val="nil"/>
            </w:tcBorders>
            <w:shd w:val="clear" w:color="auto" w:fill="auto"/>
            <w:noWrap/>
            <w:vAlign w:val="center"/>
            <w:hideMark/>
          </w:tcPr>
          <w:p w14:paraId="18CC4E0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0.03</w:t>
            </w:r>
          </w:p>
        </w:tc>
        <w:tc>
          <w:tcPr>
            <w:tcW w:w="918" w:type="dxa"/>
            <w:tcBorders>
              <w:top w:val="nil"/>
              <w:left w:val="nil"/>
              <w:bottom w:val="single" w:sz="8" w:space="0" w:color="auto"/>
              <w:right w:val="nil"/>
            </w:tcBorders>
            <w:shd w:val="clear" w:color="auto" w:fill="auto"/>
            <w:noWrap/>
            <w:vAlign w:val="center"/>
            <w:hideMark/>
          </w:tcPr>
          <w:p w14:paraId="70DB1260"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802" w:type="dxa"/>
            <w:tcBorders>
              <w:top w:val="nil"/>
              <w:left w:val="nil"/>
              <w:bottom w:val="single" w:sz="8" w:space="0" w:color="auto"/>
              <w:right w:val="nil"/>
            </w:tcBorders>
            <w:shd w:val="clear" w:color="auto" w:fill="auto"/>
            <w:noWrap/>
            <w:vAlign w:val="center"/>
            <w:hideMark/>
          </w:tcPr>
          <w:p w14:paraId="1F5CDBEC"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859" w:type="dxa"/>
            <w:tcBorders>
              <w:top w:val="nil"/>
              <w:left w:val="nil"/>
              <w:bottom w:val="single" w:sz="8" w:space="0" w:color="auto"/>
              <w:right w:val="nil"/>
            </w:tcBorders>
            <w:shd w:val="clear" w:color="auto" w:fill="auto"/>
            <w:noWrap/>
            <w:vAlign w:val="center"/>
            <w:hideMark/>
          </w:tcPr>
          <w:p w14:paraId="486DA7B4"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901" w:type="dxa"/>
            <w:tcBorders>
              <w:top w:val="nil"/>
              <w:left w:val="nil"/>
              <w:bottom w:val="single" w:sz="8" w:space="0" w:color="auto"/>
              <w:right w:val="nil"/>
            </w:tcBorders>
            <w:shd w:val="clear" w:color="auto" w:fill="auto"/>
            <w:noWrap/>
            <w:vAlign w:val="center"/>
            <w:hideMark/>
          </w:tcPr>
          <w:p w14:paraId="31C77C5C"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0.17</w:t>
            </w:r>
          </w:p>
        </w:tc>
        <w:tc>
          <w:tcPr>
            <w:tcW w:w="929" w:type="dxa"/>
            <w:tcBorders>
              <w:top w:val="nil"/>
              <w:left w:val="nil"/>
              <w:bottom w:val="single" w:sz="8" w:space="0" w:color="auto"/>
              <w:right w:val="nil"/>
            </w:tcBorders>
            <w:shd w:val="clear" w:color="auto" w:fill="auto"/>
            <w:noWrap/>
            <w:vAlign w:val="center"/>
            <w:hideMark/>
          </w:tcPr>
          <w:p w14:paraId="4CFA925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811" w:type="dxa"/>
            <w:tcBorders>
              <w:top w:val="nil"/>
              <w:left w:val="nil"/>
              <w:bottom w:val="single" w:sz="8" w:space="0" w:color="auto"/>
              <w:right w:val="nil"/>
            </w:tcBorders>
            <w:shd w:val="clear" w:color="auto" w:fill="auto"/>
            <w:noWrap/>
            <w:vAlign w:val="center"/>
            <w:hideMark/>
          </w:tcPr>
          <w:p w14:paraId="43CCE0EE"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0.17</w:t>
            </w:r>
          </w:p>
        </w:tc>
        <w:tc>
          <w:tcPr>
            <w:tcW w:w="855" w:type="dxa"/>
            <w:tcBorders>
              <w:top w:val="nil"/>
              <w:left w:val="nil"/>
              <w:bottom w:val="single" w:sz="8" w:space="0" w:color="auto"/>
              <w:right w:val="nil"/>
            </w:tcBorders>
            <w:shd w:val="clear" w:color="auto" w:fill="auto"/>
            <w:noWrap/>
            <w:vAlign w:val="center"/>
            <w:hideMark/>
          </w:tcPr>
          <w:p w14:paraId="25DDF5AF"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65" w:type="dxa"/>
            <w:tcBorders>
              <w:top w:val="nil"/>
              <w:left w:val="nil"/>
              <w:bottom w:val="single" w:sz="8" w:space="0" w:color="auto"/>
              <w:right w:val="nil"/>
            </w:tcBorders>
            <w:shd w:val="clear" w:color="auto" w:fill="auto"/>
            <w:noWrap/>
            <w:vAlign w:val="center"/>
            <w:hideMark/>
          </w:tcPr>
          <w:p w14:paraId="4F2711A4"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0.03</w:t>
            </w:r>
          </w:p>
        </w:tc>
        <w:tc>
          <w:tcPr>
            <w:tcW w:w="940" w:type="dxa"/>
            <w:tcBorders>
              <w:top w:val="nil"/>
              <w:left w:val="nil"/>
              <w:bottom w:val="single" w:sz="8" w:space="0" w:color="auto"/>
              <w:right w:val="nil"/>
            </w:tcBorders>
            <w:shd w:val="clear" w:color="auto" w:fill="auto"/>
            <w:noWrap/>
            <w:vAlign w:val="center"/>
            <w:hideMark/>
          </w:tcPr>
          <w:p w14:paraId="28DC9CF7"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20" w:type="dxa"/>
            <w:tcBorders>
              <w:top w:val="nil"/>
              <w:left w:val="nil"/>
              <w:bottom w:val="single" w:sz="8" w:space="0" w:color="auto"/>
              <w:right w:val="nil"/>
            </w:tcBorders>
            <w:shd w:val="clear" w:color="auto" w:fill="auto"/>
            <w:noWrap/>
            <w:vAlign w:val="center"/>
            <w:hideMark/>
          </w:tcPr>
          <w:p w14:paraId="327E882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0.1</w:t>
            </w:r>
          </w:p>
        </w:tc>
      </w:tr>
      <w:tr w:rsidR="00D740DC" w:rsidRPr="00CB148B" w14:paraId="4F3FC044" w14:textId="77777777" w:rsidTr="00B11F5F">
        <w:trPr>
          <w:trHeight w:val="300"/>
        </w:trPr>
        <w:tc>
          <w:tcPr>
            <w:tcW w:w="1418" w:type="dxa"/>
            <w:tcBorders>
              <w:top w:val="nil"/>
              <w:left w:val="nil"/>
              <w:bottom w:val="nil"/>
              <w:right w:val="nil"/>
            </w:tcBorders>
            <w:shd w:val="clear" w:color="auto" w:fill="auto"/>
            <w:noWrap/>
            <w:vAlign w:val="center"/>
            <w:hideMark/>
          </w:tcPr>
          <w:p w14:paraId="35737E96"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Ʃ Area Q</w:t>
            </w:r>
            <w:r w:rsidRPr="00CB148B">
              <w:rPr>
                <w:rFonts w:eastAsia="Times New Roman" w:cs="Times New Roman"/>
                <w:b w:val="0"/>
                <w:color w:val="000000"/>
                <w:sz w:val="20"/>
                <w:szCs w:val="20"/>
                <w:vertAlign w:val="subscript"/>
                <w:lang w:eastAsia="en-MY"/>
              </w:rPr>
              <w:t>4</w:t>
            </w:r>
          </w:p>
        </w:tc>
        <w:tc>
          <w:tcPr>
            <w:tcW w:w="792" w:type="dxa"/>
            <w:tcBorders>
              <w:top w:val="nil"/>
              <w:left w:val="nil"/>
              <w:bottom w:val="nil"/>
              <w:right w:val="nil"/>
            </w:tcBorders>
            <w:shd w:val="clear" w:color="auto" w:fill="auto"/>
            <w:noWrap/>
            <w:vAlign w:val="center"/>
            <w:hideMark/>
          </w:tcPr>
          <w:p w14:paraId="2ACC079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2687.519</w:t>
            </w:r>
          </w:p>
        </w:tc>
        <w:tc>
          <w:tcPr>
            <w:tcW w:w="839" w:type="dxa"/>
            <w:tcBorders>
              <w:top w:val="nil"/>
              <w:left w:val="nil"/>
              <w:bottom w:val="nil"/>
              <w:right w:val="nil"/>
            </w:tcBorders>
            <w:shd w:val="clear" w:color="auto" w:fill="auto"/>
            <w:noWrap/>
            <w:vAlign w:val="center"/>
            <w:hideMark/>
          </w:tcPr>
          <w:p w14:paraId="704C60E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0.31</w:t>
            </w:r>
          </w:p>
        </w:tc>
        <w:tc>
          <w:tcPr>
            <w:tcW w:w="929" w:type="dxa"/>
            <w:tcBorders>
              <w:top w:val="nil"/>
              <w:left w:val="nil"/>
              <w:bottom w:val="nil"/>
              <w:right w:val="nil"/>
            </w:tcBorders>
            <w:shd w:val="clear" w:color="auto" w:fill="auto"/>
            <w:noWrap/>
            <w:vAlign w:val="center"/>
            <w:hideMark/>
          </w:tcPr>
          <w:p w14:paraId="3D2D91F2"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7739.72</w:t>
            </w:r>
          </w:p>
        </w:tc>
        <w:tc>
          <w:tcPr>
            <w:tcW w:w="811" w:type="dxa"/>
            <w:tcBorders>
              <w:top w:val="nil"/>
              <w:left w:val="nil"/>
              <w:bottom w:val="nil"/>
              <w:right w:val="nil"/>
            </w:tcBorders>
            <w:shd w:val="clear" w:color="auto" w:fill="auto"/>
            <w:noWrap/>
            <w:vAlign w:val="center"/>
            <w:hideMark/>
          </w:tcPr>
          <w:p w14:paraId="1844D4A5"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0.3</w:t>
            </w:r>
          </w:p>
        </w:tc>
        <w:tc>
          <w:tcPr>
            <w:tcW w:w="865" w:type="dxa"/>
            <w:tcBorders>
              <w:top w:val="nil"/>
              <w:left w:val="nil"/>
              <w:bottom w:val="nil"/>
              <w:right w:val="nil"/>
            </w:tcBorders>
            <w:shd w:val="clear" w:color="auto" w:fill="auto"/>
            <w:noWrap/>
            <w:vAlign w:val="center"/>
            <w:hideMark/>
          </w:tcPr>
          <w:p w14:paraId="239E8EB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4143.425</w:t>
            </w:r>
          </w:p>
        </w:tc>
        <w:tc>
          <w:tcPr>
            <w:tcW w:w="755" w:type="dxa"/>
            <w:tcBorders>
              <w:top w:val="nil"/>
              <w:left w:val="nil"/>
              <w:bottom w:val="nil"/>
              <w:right w:val="nil"/>
            </w:tcBorders>
            <w:shd w:val="clear" w:color="auto" w:fill="auto"/>
            <w:noWrap/>
            <w:vAlign w:val="center"/>
            <w:hideMark/>
          </w:tcPr>
          <w:p w14:paraId="14D5D4F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0.45</w:t>
            </w:r>
          </w:p>
        </w:tc>
        <w:tc>
          <w:tcPr>
            <w:tcW w:w="918" w:type="dxa"/>
            <w:tcBorders>
              <w:top w:val="nil"/>
              <w:left w:val="nil"/>
              <w:bottom w:val="nil"/>
              <w:right w:val="nil"/>
            </w:tcBorders>
            <w:shd w:val="clear" w:color="auto" w:fill="auto"/>
            <w:noWrap/>
            <w:vAlign w:val="center"/>
            <w:hideMark/>
          </w:tcPr>
          <w:p w14:paraId="6A585422"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2576.257</w:t>
            </w:r>
          </w:p>
        </w:tc>
        <w:tc>
          <w:tcPr>
            <w:tcW w:w="802" w:type="dxa"/>
            <w:tcBorders>
              <w:top w:val="nil"/>
              <w:left w:val="nil"/>
              <w:bottom w:val="nil"/>
              <w:right w:val="nil"/>
            </w:tcBorders>
            <w:shd w:val="clear" w:color="auto" w:fill="auto"/>
            <w:noWrap/>
            <w:vAlign w:val="center"/>
            <w:hideMark/>
          </w:tcPr>
          <w:p w14:paraId="59A089F8"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0.16</w:t>
            </w:r>
          </w:p>
        </w:tc>
        <w:tc>
          <w:tcPr>
            <w:tcW w:w="859" w:type="dxa"/>
            <w:tcBorders>
              <w:top w:val="nil"/>
              <w:left w:val="nil"/>
              <w:bottom w:val="nil"/>
              <w:right w:val="nil"/>
            </w:tcBorders>
            <w:shd w:val="clear" w:color="auto" w:fill="auto"/>
            <w:noWrap/>
            <w:vAlign w:val="center"/>
            <w:hideMark/>
          </w:tcPr>
          <w:p w14:paraId="7ED9E554"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4074</w:t>
            </w:r>
          </w:p>
        </w:tc>
        <w:tc>
          <w:tcPr>
            <w:tcW w:w="901" w:type="dxa"/>
            <w:tcBorders>
              <w:top w:val="nil"/>
              <w:left w:val="nil"/>
              <w:bottom w:val="nil"/>
              <w:right w:val="nil"/>
            </w:tcBorders>
            <w:shd w:val="clear" w:color="auto" w:fill="auto"/>
            <w:noWrap/>
            <w:vAlign w:val="center"/>
            <w:hideMark/>
          </w:tcPr>
          <w:p w14:paraId="083FB97C"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0.15</w:t>
            </w:r>
          </w:p>
        </w:tc>
        <w:tc>
          <w:tcPr>
            <w:tcW w:w="929" w:type="dxa"/>
            <w:tcBorders>
              <w:top w:val="nil"/>
              <w:left w:val="nil"/>
              <w:bottom w:val="nil"/>
              <w:right w:val="nil"/>
            </w:tcBorders>
            <w:shd w:val="clear" w:color="auto" w:fill="auto"/>
            <w:noWrap/>
            <w:vAlign w:val="center"/>
            <w:hideMark/>
          </w:tcPr>
          <w:p w14:paraId="0FBB882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1494.576</w:t>
            </w:r>
          </w:p>
        </w:tc>
        <w:tc>
          <w:tcPr>
            <w:tcW w:w="811" w:type="dxa"/>
            <w:tcBorders>
              <w:top w:val="nil"/>
              <w:left w:val="nil"/>
              <w:bottom w:val="nil"/>
              <w:right w:val="nil"/>
            </w:tcBorders>
            <w:shd w:val="clear" w:color="auto" w:fill="auto"/>
            <w:noWrap/>
            <w:vAlign w:val="center"/>
            <w:hideMark/>
          </w:tcPr>
          <w:p w14:paraId="28637CF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0.11</w:t>
            </w:r>
          </w:p>
        </w:tc>
        <w:tc>
          <w:tcPr>
            <w:tcW w:w="855" w:type="dxa"/>
            <w:tcBorders>
              <w:top w:val="nil"/>
              <w:left w:val="nil"/>
              <w:bottom w:val="nil"/>
              <w:right w:val="nil"/>
            </w:tcBorders>
            <w:shd w:val="clear" w:color="auto" w:fill="auto"/>
            <w:noWrap/>
            <w:vAlign w:val="center"/>
            <w:hideMark/>
          </w:tcPr>
          <w:p w14:paraId="0BBEC590"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4732.84</w:t>
            </w:r>
          </w:p>
        </w:tc>
        <w:tc>
          <w:tcPr>
            <w:tcW w:w="865" w:type="dxa"/>
            <w:tcBorders>
              <w:top w:val="nil"/>
              <w:left w:val="nil"/>
              <w:bottom w:val="nil"/>
              <w:right w:val="nil"/>
            </w:tcBorders>
            <w:shd w:val="clear" w:color="auto" w:fill="auto"/>
            <w:noWrap/>
            <w:vAlign w:val="center"/>
            <w:hideMark/>
          </w:tcPr>
          <w:p w14:paraId="30ADDC03"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0.13</w:t>
            </w:r>
          </w:p>
        </w:tc>
        <w:tc>
          <w:tcPr>
            <w:tcW w:w="940" w:type="dxa"/>
            <w:tcBorders>
              <w:top w:val="nil"/>
              <w:left w:val="nil"/>
              <w:bottom w:val="nil"/>
              <w:right w:val="nil"/>
            </w:tcBorders>
            <w:shd w:val="clear" w:color="auto" w:fill="auto"/>
            <w:noWrap/>
            <w:vAlign w:val="center"/>
            <w:hideMark/>
          </w:tcPr>
          <w:p w14:paraId="18DE297F"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3739.824</w:t>
            </w:r>
          </w:p>
        </w:tc>
        <w:tc>
          <w:tcPr>
            <w:tcW w:w="820" w:type="dxa"/>
            <w:tcBorders>
              <w:top w:val="nil"/>
              <w:left w:val="nil"/>
              <w:bottom w:val="nil"/>
              <w:right w:val="nil"/>
            </w:tcBorders>
            <w:shd w:val="clear" w:color="auto" w:fill="auto"/>
            <w:noWrap/>
            <w:vAlign w:val="center"/>
            <w:hideMark/>
          </w:tcPr>
          <w:p w14:paraId="1DEAAEC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0.27</w:t>
            </w:r>
          </w:p>
        </w:tc>
      </w:tr>
      <w:tr w:rsidR="00D740DC" w:rsidRPr="00CB148B" w14:paraId="22529083" w14:textId="77777777" w:rsidTr="00B11F5F">
        <w:trPr>
          <w:trHeight w:val="300"/>
        </w:trPr>
        <w:tc>
          <w:tcPr>
            <w:tcW w:w="1418" w:type="dxa"/>
            <w:tcBorders>
              <w:top w:val="nil"/>
              <w:left w:val="nil"/>
              <w:bottom w:val="nil"/>
              <w:right w:val="nil"/>
            </w:tcBorders>
            <w:shd w:val="clear" w:color="auto" w:fill="auto"/>
            <w:noWrap/>
            <w:vAlign w:val="center"/>
            <w:hideMark/>
          </w:tcPr>
          <w:p w14:paraId="5BBFBE7A"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Ʃ Area Q</w:t>
            </w:r>
            <w:r w:rsidRPr="00CB148B">
              <w:rPr>
                <w:rFonts w:eastAsia="Times New Roman" w:cs="Times New Roman"/>
                <w:b w:val="0"/>
                <w:color w:val="000000"/>
                <w:sz w:val="20"/>
                <w:szCs w:val="20"/>
                <w:vertAlign w:val="subscript"/>
                <w:lang w:eastAsia="en-MY"/>
              </w:rPr>
              <w:t>3</w:t>
            </w:r>
          </w:p>
        </w:tc>
        <w:tc>
          <w:tcPr>
            <w:tcW w:w="792" w:type="dxa"/>
            <w:tcBorders>
              <w:top w:val="nil"/>
              <w:left w:val="nil"/>
              <w:bottom w:val="nil"/>
              <w:right w:val="nil"/>
            </w:tcBorders>
            <w:shd w:val="clear" w:color="auto" w:fill="auto"/>
            <w:noWrap/>
            <w:vAlign w:val="center"/>
            <w:hideMark/>
          </w:tcPr>
          <w:p w14:paraId="65FB3CF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141.37</w:t>
            </w:r>
          </w:p>
        </w:tc>
        <w:tc>
          <w:tcPr>
            <w:tcW w:w="839" w:type="dxa"/>
            <w:tcBorders>
              <w:top w:val="nil"/>
              <w:left w:val="nil"/>
              <w:bottom w:val="nil"/>
              <w:right w:val="nil"/>
            </w:tcBorders>
            <w:shd w:val="clear" w:color="auto" w:fill="auto"/>
            <w:noWrap/>
            <w:vAlign w:val="center"/>
            <w:hideMark/>
          </w:tcPr>
          <w:p w14:paraId="725F9A9C"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0.64</w:t>
            </w:r>
          </w:p>
        </w:tc>
        <w:tc>
          <w:tcPr>
            <w:tcW w:w="929" w:type="dxa"/>
            <w:tcBorders>
              <w:top w:val="nil"/>
              <w:left w:val="nil"/>
              <w:bottom w:val="nil"/>
              <w:right w:val="nil"/>
            </w:tcBorders>
            <w:shd w:val="clear" w:color="auto" w:fill="auto"/>
            <w:noWrap/>
            <w:vAlign w:val="center"/>
            <w:hideMark/>
          </w:tcPr>
          <w:p w14:paraId="58BB57A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451.74</w:t>
            </w:r>
          </w:p>
        </w:tc>
        <w:tc>
          <w:tcPr>
            <w:tcW w:w="811" w:type="dxa"/>
            <w:tcBorders>
              <w:top w:val="nil"/>
              <w:left w:val="nil"/>
              <w:bottom w:val="nil"/>
              <w:right w:val="nil"/>
            </w:tcBorders>
            <w:shd w:val="clear" w:color="auto" w:fill="auto"/>
            <w:noWrap/>
            <w:vAlign w:val="center"/>
            <w:hideMark/>
          </w:tcPr>
          <w:p w14:paraId="261F24D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0.65</w:t>
            </w:r>
          </w:p>
        </w:tc>
        <w:tc>
          <w:tcPr>
            <w:tcW w:w="865" w:type="dxa"/>
            <w:tcBorders>
              <w:top w:val="nil"/>
              <w:left w:val="nil"/>
              <w:bottom w:val="nil"/>
              <w:right w:val="nil"/>
            </w:tcBorders>
            <w:shd w:val="clear" w:color="auto" w:fill="auto"/>
            <w:noWrap/>
            <w:vAlign w:val="center"/>
            <w:hideMark/>
          </w:tcPr>
          <w:p w14:paraId="13D557A0"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1061.182</w:t>
            </w:r>
          </w:p>
        </w:tc>
        <w:tc>
          <w:tcPr>
            <w:tcW w:w="755" w:type="dxa"/>
            <w:tcBorders>
              <w:top w:val="nil"/>
              <w:left w:val="nil"/>
              <w:bottom w:val="nil"/>
              <w:right w:val="nil"/>
            </w:tcBorders>
            <w:shd w:val="clear" w:color="auto" w:fill="auto"/>
            <w:noWrap/>
            <w:vAlign w:val="center"/>
            <w:hideMark/>
          </w:tcPr>
          <w:p w14:paraId="7A8F50D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0.52</w:t>
            </w:r>
          </w:p>
        </w:tc>
        <w:tc>
          <w:tcPr>
            <w:tcW w:w="918" w:type="dxa"/>
            <w:tcBorders>
              <w:top w:val="nil"/>
              <w:left w:val="nil"/>
              <w:bottom w:val="nil"/>
              <w:right w:val="nil"/>
            </w:tcBorders>
            <w:shd w:val="clear" w:color="auto" w:fill="auto"/>
            <w:noWrap/>
            <w:vAlign w:val="center"/>
            <w:hideMark/>
          </w:tcPr>
          <w:p w14:paraId="671D3F64"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3238.917</w:t>
            </w:r>
          </w:p>
        </w:tc>
        <w:tc>
          <w:tcPr>
            <w:tcW w:w="802" w:type="dxa"/>
            <w:tcBorders>
              <w:top w:val="nil"/>
              <w:left w:val="nil"/>
              <w:bottom w:val="nil"/>
              <w:right w:val="nil"/>
            </w:tcBorders>
            <w:shd w:val="clear" w:color="auto" w:fill="auto"/>
            <w:noWrap/>
            <w:vAlign w:val="center"/>
            <w:hideMark/>
          </w:tcPr>
          <w:p w14:paraId="6815BFC2"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0.84</w:t>
            </w:r>
          </w:p>
        </w:tc>
        <w:tc>
          <w:tcPr>
            <w:tcW w:w="859" w:type="dxa"/>
            <w:tcBorders>
              <w:top w:val="nil"/>
              <w:left w:val="nil"/>
              <w:bottom w:val="nil"/>
              <w:right w:val="nil"/>
            </w:tcBorders>
            <w:shd w:val="clear" w:color="auto" w:fill="auto"/>
            <w:noWrap/>
            <w:vAlign w:val="center"/>
            <w:hideMark/>
          </w:tcPr>
          <w:p w14:paraId="256A6CE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4536.4</w:t>
            </w:r>
          </w:p>
        </w:tc>
        <w:tc>
          <w:tcPr>
            <w:tcW w:w="901" w:type="dxa"/>
            <w:tcBorders>
              <w:top w:val="nil"/>
              <w:left w:val="nil"/>
              <w:bottom w:val="nil"/>
              <w:right w:val="nil"/>
            </w:tcBorders>
            <w:shd w:val="clear" w:color="auto" w:fill="auto"/>
            <w:noWrap/>
            <w:vAlign w:val="center"/>
            <w:hideMark/>
          </w:tcPr>
          <w:p w14:paraId="7EE11503"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0.63</w:t>
            </w:r>
          </w:p>
        </w:tc>
        <w:tc>
          <w:tcPr>
            <w:tcW w:w="929" w:type="dxa"/>
            <w:tcBorders>
              <w:top w:val="nil"/>
              <w:left w:val="nil"/>
              <w:bottom w:val="nil"/>
              <w:right w:val="nil"/>
            </w:tcBorders>
            <w:shd w:val="clear" w:color="auto" w:fill="auto"/>
            <w:noWrap/>
            <w:vAlign w:val="center"/>
            <w:hideMark/>
          </w:tcPr>
          <w:p w14:paraId="1BF0034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2974.047</w:t>
            </w:r>
          </w:p>
        </w:tc>
        <w:tc>
          <w:tcPr>
            <w:tcW w:w="811" w:type="dxa"/>
            <w:tcBorders>
              <w:top w:val="nil"/>
              <w:left w:val="nil"/>
              <w:bottom w:val="nil"/>
              <w:right w:val="nil"/>
            </w:tcBorders>
            <w:shd w:val="clear" w:color="auto" w:fill="auto"/>
            <w:noWrap/>
            <w:vAlign w:val="center"/>
            <w:hideMark/>
          </w:tcPr>
          <w:p w14:paraId="61BAD04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0.68</w:t>
            </w:r>
          </w:p>
        </w:tc>
        <w:tc>
          <w:tcPr>
            <w:tcW w:w="855" w:type="dxa"/>
            <w:tcBorders>
              <w:top w:val="nil"/>
              <w:left w:val="nil"/>
              <w:bottom w:val="nil"/>
              <w:right w:val="nil"/>
            </w:tcBorders>
            <w:shd w:val="clear" w:color="auto" w:fill="auto"/>
            <w:noWrap/>
            <w:vAlign w:val="center"/>
            <w:hideMark/>
          </w:tcPr>
          <w:p w14:paraId="56D4F594"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769.042</w:t>
            </w:r>
          </w:p>
        </w:tc>
        <w:tc>
          <w:tcPr>
            <w:tcW w:w="865" w:type="dxa"/>
            <w:tcBorders>
              <w:top w:val="nil"/>
              <w:left w:val="nil"/>
              <w:bottom w:val="nil"/>
              <w:right w:val="nil"/>
            </w:tcBorders>
            <w:shd w:val="clear" w:color="auto" w:fill="auto"/>
            <w:noWrap/>
            <w:vAlign w:val="center"/>
            <w:hideMark/>
          </w:tcPr>
          <w:p w14:paraId="42DE1B0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0.84</w:t>
            </w:r>
          </w:p>
        </w:tc>
        <w:tc>
          <w:tcPr>
            <w:tcW w:w="940" w:type="dxa"/>
            <w:tcBorders>
              <w:top w:val="nil"/>
              <w:left w:val="nil"/>
              <w:bottom w:val="nil"/>
              <w:right w:val="nil"/>
            </w:tcBorders>
            <w:shd w:val="clear" w:color="auto" w:fill="auto"/>
            <w:noWrap/>
            <w:vAlign w:val="center"/>
            <w:hideMark/>
          </w:tcPr>
          <w:p w14:paraId="5DC0142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1666.281</w:t>
            </w:r>
          </w:p>
        </w:tc>
        <w:tc>
          <w:tcPr>
            <w:tcW w:w="820" w:type="dxa"/>
            <w:tcBorders>
              <w:top w:val="nil"/>
              <w:left w:val="nil"/>
              <w:bottom w:val="nil"/>
              <w:right w:val="nil"/>
            </w:tcBorders>
            <w:shd w:val="clear" w:color="auto" w:fill="auto"/>
            <w:noWrap/>
            <w:vAlign w:val="center"/>
            <w:hideMark/>
          </w:tcPr>
          <w:p w14:paraId="2CD27EA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0.63</w:t>
            </w:r>
          </w:p>
        </w:tc>
      </w:tr>
      <w:tr w:rsidR="00D740DC" w:rsidRPr="00CB148B" w14:paraId="066A56E0" w14:textId="77777777" w:rsidTr="00B11F5F">
        <w:trPr>
          <w:trHeight w:val="315"/>
        </w:trPr>
        <w:tc>
          <w:tcPr>
            <w:tcW w:w="1418" w:type="dxa"/>
            <w:tcBorders>
              <w:top w:val="nil"/>
              <w:left w:val="nil"/>
              <w:bottom w:val="single" w:sz="8" w:space="0" w:color="auto"/>
              <w:right w:val="nil"/>
            </w:tcBorders>
            <w:shd w:val="clear" w:color="auto" w:fill="auto"/>
            <w:noWrap/>
            <w:vAlign w:val="center"/>
            <w:hideMark/>
          </w:tcPr>
          <w:p w14:paraId="547EA703"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Ʃ Area Q</w:t>
            </w:r>
            <w:r w:rsidRPr="00CB148B">
              <w:rPr>
                <w:rFonts w:eastAsia="Times New Roman" w:cs="Times New Roman"/>
                <w:b w:val="0"/>
                <w:color w:val="000000"/>
                <w:sz w:val="20"/>
                <w:szCs w:val="20"/>
                <w:vertAlign w:val="subscript"/>
                <w:lang w:eastAsia="en-MY"/>
              </w:rPr>
              <w:t>2</w:t>
            </w:r>
          </w:p>
        </w:tc>
        <w:tc>
          <w:tcPr>
            <w:tcW w:w="792" w:type="dxa"/>
            <w:tcBorders>
              <w:top w:val="nil"/>
              <w:left w:val="nil"/>
              <w:bottom w:val="single" w:sz="8" w:space="0" w:color="auto"/>
              <w:right w:val="nil"/>
            </w:tcBorders>
            <w:shd w:val="clear" w:color="auto" w:fill="auto"/>
            <w:noWrap/>
            <w:vAlign w:val="center"/>
            <w:hideMark/>
          </w:tcPr>
          <w:p w14:paraId="19DA0B7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839" w:type="dxa"/>
            <w:tcBorders>
              <w:top w:val="nil"/>
              <w:left w:val="nil"/>
              <w:bottom w:val="single" w:sz="8" w:space="0" w:color="auto"/>
              <w:right w:val="nil"/>
            </w:tcBorders>
            <w:shd w:val="clear" w:color="auto" w:fill="auto"/>
            <w:noWrap/>
            <w:vAlign w:val="center"/>
            <w:hideMark/>
          </w:tcPr>
          <w:p w14:paraId="5CF7756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0.05</w:t>
            </w:r>
          </w:p>
        </w:tc>
        <w:tc>
          <w:tcPr>
            <w:tcW w:w="929" w:type="dxa"/>
            <w:tcBorders>
              <w:top w:val="nil"/>
              <w:left w:val="nil"/>
              <w:bottom w:val="single" w:sz="8" w:space="0" w:color="auto"/>
              <w:right w:val="nil"/>
            </w:tcBorders>
            <w:shd w:val="clear" w:color="auto" w:fill="auto"/>
            <w:noWrap/>
            <w:vAlign w:val="center"/>
            <w:hideMark/>
          </w:tcPr>
          <w:p w14:paraId="1C5EE235"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811" w:type="dxa"/>
            <w:tcBorders>
              <w:top w:val="nil"/>
              <w:left w:val="nil"/>
              <w:bottom w:val="single" w:sz="8" w:space="0" w:color="auto"/>
              <w:right w:val="nil"/>
            </w:tcBorders>
            <w:shd w:val="clear" w:color="auto" w:fill="auto"/>
            <w:noWrap/>
            <w:vAlign w:val="center"/>
            <w:hideMark/>
          </w:tcPr>
          <w:p w14:paraId="7F18C82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0.03</w:t>
            </w:r>
          </w:p>
        </w:tc>
        <w:tc>
          <w:tcPr>
            <w:tcW w:w="865" w:type="dxa"/>
            <w:tcBorders>
              <w:top w:val="nil"/>
              <w:left w:val="nil"/>
              <w:bottom w:val="single" w:sz="8" w:space="0" w:color="auto"/>
              <w:right w:val="nil"/>
            </w:tcBorders>
            <w:shd w:val="clear" w:color="auto" w:fill="auto"/>
            <w:noWrap/>
            <w:vAlign w:val="center"/>
            <w:hideMark/>
          </w:tcPr>
          <w:p w14:paraId="74C40D4F"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755" w:type="dxa"/>
            <w:tcBorders>
              <w:top w:val="nil"/>
              <w:left w:val="nil"/>
              <w:bottom w:val="single" w:sz="8" w:space="0" w:color="auto"/>
              <w:right w:val="nil"/>
            </w:tcBorders>
            <w:shd w:val="clear" w:color="auto" w:fill="auto"/>
            <w:noWrap/>
            <w:vAlign w:val="center"/>
            <w:hideMark/>
          </w:tcPr>
          <w:p w14:paraId="203F7AE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0.03</w:t>
            </w:r>
          </w:p>
        </w:tc>
        <w:tc>
          <w:tcPr>
            <w:tcW w:w="918" w:type="dxa"/>
            <w:tcBorders>
              <w:top w:val="nil"/>
              <w:left w:val="nil"/>
              <w:bottom w:val="single" w:sz="8" w:space="0" w:color="auto"/>
              <w:right w:val="nil"/>
            </w:tcBorders>
            <w:shd w:val="clear" w:color="auto" w:fill="auto"/>
            <w:noWrap/>
            <w:vAlign w:val="center"/>
            <w:hideMark/>
          </w:tcPr>
          <w:p w14:paraId="3E5B86E0"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802" w:type="dxa"/>
            <w:tcBorders>
              <w:top w:val="nil"/>
              <w:left w:val="nil"/>
              <w:bottom w:val="single" w:sz="8" w:space="0" w:color="auto"/>
              <w:right w:val="nil"/>
            </w:tcBorders>
            <w:shd w:val="clear" w:color="auto" w:fill="auto"/>
            <w:noWrap/>
            <w:vAlign w:val="center"/>
            <w:hideMark/>
          </w:tcPr>
          <w:p w14:paraId="585222B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859" w:type="dxa"/>
            <w:tcBorders>
              <w:top w:val="nil"/>
              <w:left w:val="nil"/>
              <w:bottom w:val="single" w:sz="8" w:space="0" w:color="auto"/>
              <w:right w:val="nil"/>
            </w:tcBorders>
            <w:shd w:val="clear" w:color="auto" w:fill="auto"/>
            <w:noWrap/>
            <w:vAlign w:val="center"/>
            <w:hideMark/>
          </w:tcPr>
          <w:p w14:paraId="620B343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901" w:type="dxa"/>
            <w:tcBorders>
              <w:top w:val="nil"/>
              <w:left w:val="nil"/>
              <w:bottom w:val="single" w:sz="8" w:space="0" w:color="auto"/>
              <w:right w:val="nil"/>
            </w:tcBorders>
            <w:shd w:val="clear" w:color="auto" w:fill="auto"/>
            <w:noWrap/>
            <w:vAlign w:val="center"/>
            <w:hideMark/>
          </w:tcPr>
          <w:p w14:paraId="62DF7C2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0.17</w:t>
            </w:r>
          </w:p>
        </w:tc>
        <w:tc>
          <w:tcPr>
            <w:tcW w:w="929" w:type="dxa"/>
            <w:tcBorders>
              <w:top w:val="nil"/>
              <w:left w:val="nil"/>
              <w:bottom w:val="single" w:sz="8" w:space="0" w:color="auto"/>
              <w:right w:val="nil"/>
            </w:tcBorders>
            <w:shd w:val="clear" w:color="auto" w:fill="auto"/>
            <w:noWrap/>
            <w:vAlign w:val="center"/>
            <w:hideMark/>
          </w:tcPr>
          <w:p w14:paraId="32AB7B6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811" w:type="dxa"/>
            <w:tcBorders>
              <w:top w:val="nil"/>
              <w:left w:val="nil"/>
              <w:bottom w:val="single" w:sz="8" w:space="0" w:color="auto"/>
              <w:right w:val="nil"/>
            </w:tcBorders>
            <w:shd w:val="clear" w:color="auto" w:fill="auto"/>
            <w:noWrap/>
            <w:vAlign w:val="center"/>
            <w:hideMark/>
          </w:tcPr>
          <w:p w14:paraId="77AADD7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0.17</w:t>
            </w:r>
          </w:p>
        </w:tc>
        <w:tc>
          <w:tcPr>
            <w:tcW w:w="855" w:type="dxa"/>
            <w:tcBorders>
              <w:top w:val="nil"/>
              <w:left w:val="nil"/>
              <w:bottom w:val="single" w:sz="8" w:space="0" w:color="auto"/>
              <w:right w:val="nil"/>
            </w:tcBorders>
            <w:shd w:val="clear" w:color="auto" w:fill="auto"/>
            <w:noWrap/>
            <w:vAlign w:val="center"/>
            <w:hideMark/>
          </w:tcPr>
          <w:p w14:paraId="70FEE20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865" w:type="dxa"/>
            <w:tcBorders>
              <w:top w:val="nil"/>
              <w:left w:val="nil"/>
              <w:bottom w:val="single" w:sz="8" w:space="0" w:color="auto"/>
              <w:right w:val="nil"/>
            </w:tcBorders>
            <w:shd w:val="clear" w:color="auto" w:fill="auto"/>
            <w:noWrap/>
            <w:vAlign w:val="center"/>
            <w:hideMark/>
          </w:tcPr>
          <w:p w14:paraId="7D32824E"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0.03</w:t>
            </w:r>
          </w:p>
        </w:tc>
        <w:tc>
          <w:tcPr>
            <w:tcW w:w="940" w:type="dxa"/>
            <w:tcBorders>
              <w:top w:val="nil"/>
              <w:left w:val="nil"/>
              <w:bottom w:val="single" w:sz="8" w:space="0" w:color="auto"/>
              <w:right w:val="nil"/>
            </w:tcBorders>
            <w:shd w:val="clear" w:color="auto" w:fill="auto"/>
            <w:noWrap/>
            <w:vAlign w:val="center"/>
            <w:hideMark/>
          </w:tcPr>
          <w:p w14:paraId="15BDE11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 </w:t>
            </w:r>
          </w:p>
        </w:tc>
        <w:tc>
          <w:tcPr>
            <w:tcW w:w="820" w:type="dxa"/>
            <w:tcBorders>
              <w:top w:val="nil"/>
              <w:left w:val="nil"/>
              <w:bottom w:val="single" w:sz="8" w:space="0" w:color="auto"/>
              <w:right w:val="nil"/>
            </w:tcBorders>
            <w:shd w:val="clear" w:color="auto" w:fill="auto"/>
            <w:noWrap/>
            <w:vAlign w:val="center"/>
            <w:hideMark/>
          </w:tcPr>
          <w:p w14:paraId="3071522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0.1</w:t>
            </w:r>
          </w:p>
        </w:tc>
      </w:tr>
      <w:tr w:rsidR="00D740DC" w:rsidRPr="00CB148B" w14:paraId="48303205" w14:textId="77777777" w:rsidTr="00B11F5F">
        <w:trPr>
          <w:trHeight w:val="300"/>
        </w:trPr>
        <w:tc>
          <w:tcPr>
            <w:tcW w:w="1418" w:type="dxa"/>
            <w:tcBorders>
              <w:top w:val="nil"/>
              <w:left w:val="nil"/>
              <w:bottom w:val="nil"/>
              <w:right w:val="nil"/>
            </w:tcBorders>
            <w:shd w:val="clear" w:color="auto" w:fill="auto"/>
            <w:noWrap/>
            <w:vAlign w:val="center"/>
            <w:hideMark/>
          </w:tcPr>
          <w:p w14:paraId="389390A3"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Q</w:t>
            </w:r>
            <w:r w:rsidRPr="00CB148B">
              <w:rPr>
                <w:rFonts w:eastAsia="Times New Roman" w:cs="Times New Roman"/>
                <w:b w:val="0"/>
                <w:color w:val="000000"/>
                <w:sz w:val="20"/>
                <w:szCs w:val="20"/>
                <w:vertAlign w:val="subscript"/>
                <w:lang w:eastAsia="en-MY"/>
              </w:rPr>
              <w:t>4</w:t>
            </w:r>
            <w:r w:rsidRPr="00CB148B">
              <w:rPr>
                <w:rFonts w:eastAsia="Times New Roman" w:cs="Times New Roman"/>
                <w:b w:val="0"/>
                <w:color w:val="000000"/>
                <w:sz w:val="20"/>
                <w:szCs w:val="20"/>
                <w:lang w:eastAsia="en-MY"/>
              </w:rPr>
              <w:t xml:space="preserve"> (%)</w:t>
            </w:r>
          </w:p>
        </w:tc>
        <w:tc>
          <w:tcPr>
            <w:tcW w:w="792" w:type="dxa"/>
            <w:tcBorders>
              <w:top w:val="nil"/>
              <w:left w:val="nil"/>
              <w:bottom w:val="nil"/>
              <w:right w:val="nil"/>
            </w:tcBorders>
            <w:shd w:val="clear" w:color="auto" w:fill="auto"/>
            <w:noWrap/>
            <w:vAlign w:val="center"/>
            <w:hideMark/>
          </w:tcPr>
          <w:p w14:paraId="10209F13"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95</w:t>
            </w:r>
          </w:p>
        </w:tc>
        <w:tc>
          <w:tcPr>
            <w:tcW w:w="839" w:type="dxa"/>
            <w:tcBorders>
              <w:top w:val="nil"/>
              <w:left w:val="nil"/>
              <w:bottom w:val="nil"/>
              <w:right w:val="nil"/>
            </w:tcBorders>
            <w:shd w:val="clear" w:color="auto" w:fill="auto"/>
            <w:noWrap/>
            <w:vAlign w:val="center"/>
            <w:hideMark/>
          </w:tcPr>
          <w:p w14:paraId="4E8357E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27.84</w:t>
            </w:r>
          </w:p>
        </w:tc>
        <w:tc>
          <w:tcPr>
            <w:tcW w:w="929" w:type="dxa"/>
            <w:tcBorders>
              <w:top w:val="nil"/>
              <w:left w:val="nil"/>
              <w:bottom w:val="nil"/>
              <w:right w:val="nil"/>
            </w:tcBorders>
            <w:shd w:val="clear" w:color="auto" w:fill="auto"/>
            <w:noWrap/>
            <w:vAlign w:val="center"/>
            <w:hideMark/>
          </w:tcPr>
          <w:p w14:paraId="1FD0BF2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94</w:t>
            </w:r>
          </w:p>
        </w:tc>
        <w:tc>
          <w:tcPr>
            <w:tcW w:w="811" w:type="dxa"/>
            <w:tcBorders>
              <w:top w:val="nil"/>
              <w:left w:val="nil"/>
              <w:bottom w:val="nil"/>
              <w:right w:val="nil"/>
            </w:tcBorders>
            <w:shd w:val="clear" w:color="auto" w:fill="auto"/>
            <w:noWrap/>
            <w:vAlign w:val="center"/>
            <w:hideMark/>
          </w:tcPr>
          <w:p w14:paraId="2642A492"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30.05</w:t>
            </w:r>
          </w:p>
        </w:tc>
        <w:tc>
          <w:tcPr>
            <w:tcW w:w="865" w:type="dxa"/>
            <w:tcBorders>
              <w:top w:val="nil"/>
              <w:left w:val="nil"/>
              <w:bottom w:val="nil"/>
              <w:right w:val="nil"/>
            </w:tcBorders>
            <w:shd w:val="clear" w:color="auto" w:fill="auto"/>
            <w:noWrap/>
            <w:vAlign w:val="center"/>
            <w:hideMark/>
          </w:tcPr>
          <w:p w14:paraId="65B0479C"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80</w:t>
            </w:r>
          </w:p>
        </w:tc>
        <w:tc>
          <w:tcPr>
            <w:tcW w:w="755" w:type="dxa"/>
            <w:tcBorders>
              <w:top w:val="nil"/>
              <w:left w:val="nil"/>
              <w:bottom w:val="nil"/>
              <w:right w:val="nil"/>
            </w:tcBorders>
            <w:shd w:val="clear" w:color="auto" w:fill="auto"/>
            <w:noWrap/>
            <w:vAlign w:val="center"/>
            <w:hideMark/>
          </w:tcPr>
          <w:p w14:paraId="36B80BF5"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45.05</w:t>
            </w:r>
          </w:p>
        </w:tc>
        <w:tc>
          <w:tcPr>
            <w:tcW w:w="918" w:type="dxa"/>
            <w:tcBorders>
              <w:top w:val="nil"/>
              <w:left w:val="nil"/>
              <w:bottom w:val="nil"/>
              <w:right w:val="nil"/>
            </w:tcBorders>
            <w:shd w:val="clear" w:color="auto" w:fill="auto"/>
            <w:noWrap/>
            <w:vAlign w:val="center"/>
            <w:hideMark/>
          </w:tcPr>
          <w:p w14:paraId="4DAF7924"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44</w:t>
            </w:r>
          </w:p>
        </w:tc>
        <w:tc>
          <w:tcPr>
            <w:tcW w:w="802" w:type="dxa"/>
            <w:tcBorders>
              <w:top w:val="nil"/>
              <w:left w:val="nil"/>
              <w:bottom w:val="nil"/>
              <w:right w:val="nil"/>
            </w:tcBorders>
            <w:shd w:val="clear" w:color="auto" w:fill="auto"/>
            <w:noWrap/>
            <w:vAlign w:val="center"/>
            <w:hideMark/>
          </w:tcPr>
          <w:p w14:paraId="5FC72A53"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15.66</w:t>
            </w:r>
          </w:p>
        </w:tc>
        <w:tc>
          <w:tcPr>
            <w:tcW w:w="859" w:type="dxa"/>
            <w:tcBorders>
              <w:top w:val="nil"/>
              <w:left w:val="nil"/>
              <w:bottom w:val="nil"/>
              <w:right w:val="nil"/>
            </w:tcBorders>
            <w:shd w:val="clear" w:color="auto" w:fill="auto"/>
            <w:noWrap/>
            <w:vAlign w:val="center"/>
            <w:hideMark/>
          </w:tcPr>
          <w:p w14:paraId="76AFA098"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47</w:t>
            </w:r>
          </w:p>
        </w:tc>
        <w:tc>
          <w:tcPr>
            <w:tcW w:w="901" w:type="dxa"/>
            <w:tcBorders>
              <w:top w:val="nil"/>
              <w:left w:val="nil"/>
              <w:bottom w:val="nil"/>
              <w:right w:val="nil"/>
            </w:tcBorders>
            <w:shd w:val="clear" w:color="auto" w:fill="auto"/>
            <w:noWrap/>
            <w:vAlign w:val="center"/>
            <w:hideMark/>
          </w:tcPr>
          <w:p w14:paraId="4AB0DD6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15.51</w:t>
            </w:r>
          </w:p>
        </w:tc>
        <w:tc>
          <w:tcPr>
            <w:tcW w:w="929" w:type="dxa"/>
            <w:tcBorders>
              <w:top w:val="nil"/>
              <w:left w:val="nil"/>
              <w:bottom w:val="nil"/>
              <w:right w:val="nil"/>
            </w:tcBorders>
            <w:shd w:val="clear" w:color="auto" w:fill="auto"/>
            <w:noWrap/>
            <w:vAlign w:val="center"/>
            <w:hideMark/>
          </w:tcPr>
          <w:p w14:paraId="7E29BD4F"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33</w:t>
            </w:r>
          </w:p>
        </w:tc>
        <w:tc>
          <w:tcPr>
            <w:tcW w:w="811" w:type="dxa"/>
            <w:tcBorders>
              <w:top w:val="nil"/>
              <w:left w:val="nil"/>
              <w:bottom w:val="nil"/>
              <w:right w:val="nil"/>
            </w:tcBorders>
            <w:shd w:val="clear" w:color="auto" w:fill="auto"/>
            <w:noWrap/>
            <w:vAlign w:val="center"/>
            <w:hideMark/>
          </w:tcPr>
          <w:p w14:paraId="22506F32"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11.5</w:t>
            </w:r>
          </w:p>
        </w:tc>
        <w:tc>
          <w:tcPr>
            <w:tcW w:w="855" w:type="dxa"/>
            <w:tcBorders>
              <w:top w:val="nil"/>
              <w:left w:val="nil"/>
              <w:bottom w:val="nil"/>
              <w:right w:val="nil"/>
            </w:tcBorders>
            <w:shd w:val="clear" w:color="auto" w:fill="auto"/>
            <w:noWrap/>
            <w:vAlign w:val="center"/>
            <w:hideMark/>
          </w:tcPr>
          <w:p w14:paraId="02C68F6F"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86</w:t>
            </w:r>
          </w:p>
        </w:tc>
        <w:tc>
          <w:tcPr>
            <w:tcW w:w="865" w:type="dxa"/>
            <w:tcBorders>
              <w:top w:val="nil"/>
              <w:left w:val="nil"/>
              <w:bottom w:val="nil"/>
              <w:right w:val="nil"/>
            </w:tcBorders>
            <w:shd w:val="clear" w:color="auto" w:fill="auto"/>
            <w:noWrap/>
            <w:vAlign w:val="center"/>
            <w:hideMark/>
          </w:tcPr>
          <w:p w14:paraId="167946A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13.13</w:t>
            </w:r>
          </w:p>
        </w:tc>
        <w:tc>
          <w:tcPr>
            <w:tcW w:w="940" w:type="dxa"/>
            <w:tcBorders>
              <w:top w:val="nil"/>
              <w:left w:val="nil"/>
              <w:bottom w:val="nil"/>
              <w:right w:val="nil"/>
            </w:tcBorders>
            <w:shd w:val="clear" w:color="auto" w:fill="auto"/>
            <w:noWrap/>
            <w:vAlign w:val="center"/>
            <w:hideMark/>
          </w:tcPr>
          <w:p w14:paraId="459755E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69</w:t>
            </w:r>
          </w:p>
        </w:tc>
        <w:tc>
          <w:tcPr>
            <w:tcW w:w="820" w:type="dxa"/>
            <w:tcBorders>
              <w:top w:val="nil"/>
              <w:left w:val="nil"/>
              <w:bottom w:val="nil"/>
              <w:right w:val="nil"/>
            </w:tcBorders>
            <w:shd w:val="clear" w:color="auto" w:fill="auto"/>
            <w:noWrap/>
            <w:vAlign w:val="center"/>
            <w:hideMark/>
          </w:tcPr>
          <w:p w14:paraId="59C7270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26.81</w:t>
            </w:r>
          </w:p>
        </w:tc>
      </w:tr>
      <w:tr w:rsidR="00D740DC" w:rsidRPr="00CB148B" w14:paraId="7F6E2A47" w14:textId="77777777" w:rsidTr="00B11F5F">
        <w:trPr>
          <w:trHeight w:val="300"/>
        </w:trPr>
        <w:tc>
          <w:tcPr>
            <w:tcW w:w="1418" w:type="dxa"/>
            <w:tcBorders>
              <w:top w:val="nil"/>
              <w:left w:val="nil"/>
              <w:bottom w:val="nil"/>
              <w:right w:val="nil"/>
            </w:tcBorders>
            <w:shd w:val="clear" w:color="auto" w:fill="auto"/>
            <w:noWrap/>
            <w:vAlign w:val="center"/>
            <w:hideMark/>
          </w:tcPr>
          <w:p w14:paraId="7BFBCFCA"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Q</w:t>
            </w:r>
            <w:r w:rsidRPr="00CB148B">
              <w:rPr>
                <w:rFonts w:eastAsia="Times New Roman" w:cs="Times New Roman"/>
                <w:b w:val="0"/>
                <w:color w:val="000000"/>
                <w:sz w:val="20"/>
                <w:szCs w:val="20"/>
                <w:vertAlign w:val="subscript"/>
                <w:lang w:eastAsia="en-MY"/>
              </w:rPr>
              <w:t>3</w:t>
            </w:r>
            <w:r w:rsidRPr="00CB148B">
              <w:rPr>
                <w:rFonts w:eastAsia="Times New Roman" w:cs="Times New Roman"/>
                <w:b w:val="0"/>
                <w:color w:val="000000"/>
                <w:sz w:val="20"/>
                <w:szCs w:val="20"/>
                <w:lang w:eastAsia="en-MY"/>
              </w:rPr>
              <w:t xml:space="preserve"> (%)</w:t>
            </w:r>
          </w:p>
        </w:tc>
        <w:tc>
          <w:tcPr>
            <w:tcW w:w="792" w:type="dxa"/>
            <w:tcBorders>
              <w:top w:val="nil"/>
              <w:left w:val="nil"/>
              <w:bottom w:val="nil"/>
              <w:right w:val="nil"/>
            </w:tcBorders>
            <w:shd w:val="clear" w:color="auto" w:fill="auto"/>
            <w:noWrap/>
            <w:vAlign w:val="center"/>
            <w:hideMark/>
          </w:tcPr>
          <w:p w14:paraId="065F80C2"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5</w:t>
            </w:r>
          </w:p>
        </w:tc>
        <w:tc>
          <w:tcPr>
            <w:tcW w:w="839" w:type="dxa"/>
            <w:tcBorders>
              <w:top w:val="nil"/>
              <w:left w:val="nil"/>
              <w:bottom w:val="nil"/>
              <w:right w:val="nil"/>
            </w:tcBorders>
            <w:shd w:val="clear" w:color="auto" w:fill="auto"/>
            <w:noWrap/>
            <w:vAlign w:val="center"/>
            <w:hideMark/>
          </w:tcPr>
          <w:p w14:paraId="18DB3612"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64.75</w:t>
            </w:r>
          </w:p>
        </w:tc>
        <w:tc>
          <w:tcPr>
            <w:tcW w:w="929" w:type="dxa"/>
            <w:tcBorders>
              <w:top w:val="nil"/>
              <w:left w:val="nil"/>
              <w:bottom w:val="nil"/>
              <w:right w:val="nil"/>
            </w:tcBorders>
            <w:shd w:val="clear" w:color="auto" w:fill="auto"/>
            <w:noWrap/>
            <w:vAlign w:val="center"/>
            <w:hideMark/>
          </w:tcPr>
          <w:p w14:paraId="2CB60EB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6</w:t>
            </w:r>
          </w:p>
        </w:tc>
        <w:tc>
          <w:tcPr>
            <w:tcW w:w="811" w:type="dxa"/>
            <w:tcBorders>
              <w:top w:val="nil"/>
              <w:left w:val="nil"/>
              <w:bottom w:val="nil"/>
              <w:right w:val="nil"/>
            </w:tcBorders>
            <w:shd w:val="clear" w:color="auto" w:fill="auto"/>
            <w:noWrap/>
            <w:vAlign w:val="center"/>
            <w:hideMark/>
          </w:tcPr>
          <w:p w14:paraId="5F5FECA1"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65.07</w:t>
            </w:r>
          </w:p>
        </w:tc>
        <w:tc>
          <w:tcPr>
            <w:tcW w:w="865" w:type="dxa"/>
            <w:tcBorders>
              <w:top w:val="nil"/>
              <w:left w:val="nil"/>
              <w:bottom w:val="nil"/>
              <w:right w:val="nil"/>
            </w:tcBorders>
            <w:shd w:val="clear" w:color="auto" w:fill="auto"/>
            <w:noWrap/>
            <w:vAlign w:val="center"/>
            <w:hideMark/>
          </w:tcPr>
          <w:p w14:paraId="7E05CE60"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20</w:t>
            </w:r>
          </w:p>
        </w:tc>
        <w:tc>
          <w:tcPr>
            <w:tcW w:w="755" w:type="dxa"/>
            <w:tcBorders>
              <w:top w:val="nil"/>
              <w:left w:val="nil"/>
              <w:bottom w:val="nil"/>
              <w:right w:val="nil"/>
            </w:tcBorders>
            <w:shd w:val="clear" w:color="auto" w:fill="auto"/>
            <w:noWrap/>
            <w:vAlign w:val="center"/>
            <w:hideMark/>
          </w:tcPr>
          <w:p w14:paraId="3FCB3CA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51.94</w:t>
            </w:r>
          </w:p>
        </w:tc>
        <w:tc>
          <w:tcPr>
            <w:tcW w:w="918" w:type="dxa"/>
            <w:tcBorders>
              <w:top w:val="nil"/>
              <w:left w:val="nil"/>
              <w:bottom w:val="nil"/>
              <w:right w:val="nil"/>
            </w:tcBorders>
            <w:shd w:val="clear" w:color="auto" w:fill="auto"/>
            <w:noWrap/>
            <w:vAlign w:val="center"/>
            <w:hideMark/>
          </w:tcPr>
          <w:p w14:paraId="72E37FCD"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56</w:t>
            </w:r>
          </w:p>
        </w:tc>
        <w:tc>
          <w:tcPr>
            <w:tcW w:w="802" w:type="dxa"/>
            <w:tcBorders>
              <w:top w:val="nil"/>
              <w:left w:val="nil"/>
              <w:bottom w:val="nil"/>
              <w:right w:val="nil"/>
            </w:tcBorders>
            <w:shd w:val="clear" w:color="auto" w:fill="auto"/>
            <w:noWrap/>
            <w:vAlign w:val="center"/>
            <w:hideMark/>
          </w:tcPr>
          <w:p w14:paraId="1CAADC34"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84.34</w:t>
            </w:r>
          </w:p>
        </w:tc>
        <w:tc>
          <w:tcPr>
            <w:tcW w:w="859" w:type="dxa"/>
            <w:tcBorders>
              <w:top w:val="nil"/>
              <w:left w:val="nil"/>
              <w:bottom w:val="nil"/>
              <w:right w:val="nil"/>
            </w:tcBorders>
            <w:shd w:val="clear" w:color="auto" w:fill="auto"/>
            <w:noWrap/>
            <w:vAlign w:val="center"/>
            <w:hideMark/>
          </w:tcPr>
          <w:p w14:paraId="61CE6CC3"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53</w:t>
            </w:r>
          </w:p>
        </w:tc>
        <w:tc>
          <w:tcPr>
            <w:tcW w:w="901" w:type="dxa"/>
            <w:tcBorders>
              <w:top w:val="nil"/>
              <w:left w:val="nil"/>
              <w:bottom w:val="nil"/>
              <w:right w:val="nil"/>
            </w:tcBorders>
            <w:shd w:val="clear" w:color="auto" w:fill="auto"/>
            <w:noWrap/>
            <w:vAlign w:val="center"/>
            <w:hideMark/>
          </w:tcPr>
          <w:p w14:paraId="472F65AF"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66.65</w:t>
            </w:r>
          </w:p>
        </w:tc>
        <w:tc>
          <w:tcPr>
            <w:tcW w:w="929" w:type="dxa"/>
            <w:tcBorders>
              <w:top w:val="nil"/>
              <w:left w:val="nil"/>
              <w:bottom w:val="nil"/>
              <w:right w:val="nil"/>
            </w:tcBorders>
            <w:shd w:val="clear" w:color="auto" w:fill="auto"/>
            <w:noWrap/>
            <w:vAlign w:val="center"/>
            <w:hideMark/>
          </w:tcPr>
          <w:p w14:paraId="005CB32F"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67</w:t>
            </w:r>
          </w:p>
        </w:tc>
        <w:tc>
          <w:tcPr>
            <w:tcW w:w="811" w:type="dxa"/>
            <w:tcBorders>
              <w:top w:val="nil"/>
              <w:left w:val="nil"/>
              <w:bottom w:val="nil"/>
              <w:right w:val="nil"/>
            </w:tcBorders>
            <w:shd w:val="clear" w:color="auto" w:fill="auto"/>
            <w:noWrap/>
            <w:vAlign w:val="center"/>
            <w:hideMark/>
          </w:tcPr>
          <w:p w14:paraId="7F52C5EC"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70.85</w:t>
            </w:r>
          </w:p>
        </w:tc>
        <w:tc>
          <w:tcPr>
            <w:tcW w:w="855" w:type="dxa"/>
            <w:tcBorders>
              <w:top w:val="nil"/>
              <w:left w:val="nil"/>
              <w:bottom w:val="nil"/>
              <w:right w:val="nil"/>
            </w:tcBorders>
            <w:shd w:val="clear" w:color="auto" w:fill="auto"/>
            <w:noWrap/>
            <w:vAlign w:val="center"/>
            <w:hideMark/>
          </w:tcPr>
          <w:p w14:paraId="257FE340"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14</w:t>
            </w:r>
          </w:p>
        </w:tc>
        <w:tc>
          <w:tcPr>
            <w:tcW w:w="865" w:type="dxa"/>
            <w:tcBorders>
              <w:top w:val="nil"/>
              <w:left w:val="nil"/>
              <w:bottom w:val="nil"/>
              <w:right w:val="nil"/>
            </w:tcBorders>
            <w:shd w:val="clear" w:color="auto" w:fill="auto"/>
            <w:noWrap/>
            <w:vAlign w:val="center"/>
            <w:hideMark/>
          </w:tcPr>
          <w:p w14:paraId="363DE17F"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84.09</w:t>
            </w:r>
          </w:p>
        </w:tc>
        <w:tc>
          <w:tcPr>
            <w:tcW w:w="940" w:type="dxa"/>
            <w:tcBorders>
              <w:top w:val="nil"/>
              <w:left w:val="nil"/>
              <w:bottom w:val="nil"/>
              <w:right w:val="nil"/>
            </w:tcBorders>
            <w:shd w:val="clear" w:color="auto" w:fill="auto"/>
            <w:noWrap/>
            <w:vAlign w:val="center"/>
            <w:hideMark/>
          </w:tcPr>
          <w:p w14:paraId="7F009768"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31</w:t>
            </w:r>
          </w:p>
        </w:tc>
        <w:tc>
          <w:tcPr>
            <w:tcW w:w="820" w:type="dxa"/>
            <w:tcBorders>
              <w:top w:val="nil"/>
              <w:left w:val="nil"/>
              <w:bottom w:val="nil"/>
              <w:right w:val="nil"/>
            </w:tcBorders>
            <w:shd w:val="clear" w:color="auto" w:fill="auto"/>
            <w:noWrap/>
            <w:vAlign w:val="center"/>
            <w:hideMark/>
          </w:tcPr>
          <w:p w14:paraId="54BD5B8E"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63.33</w:t>
            </w:r>
          </w:p>
        </w:tc>
      </w:tr>
      <w:tr w:rsidR="00D740DC" w:rsidRPr="00CB148B" w14:paraId="070D7BA9" w14:textId="77777777" w:rsidTr="00B11F5F">
        <w:trPr>
          <w:trHeight w:val="315"/>
        </w:trPr>
        <w:tc>
          <w:tcPr>
            <w:tcW w:w="1418" w:type="dxa"/>
            <w:tcBorders>
              <w:top w:val="nil"/>
              <w:left w:val="nil"/>
              <w:bottom w:val="single" w:sz="8" w:space="0" w:color="auto"/>
              <w:right w:val="nil"/>
            </w:tcBorders>
            <w:shd w:val="clear" w:color="auto" w:fill="auto"/>
            <w:noWrap/>
            <w:vAlign w:val="center"/>
            <w:hideMark/>
          </w:tcPr>
          <w:p w14:paraId="4058E1E0" w14:textId="77777777" w:rsidR="00D740DC" w:rsidRPr="00CB148B" w:rsidRDefault="00D740DC" w:rsidP="00B11F5F">
            <w:pPr>
              <w:spacing w:after="0" w:line="240" w:lineRule="auto"/>
              <w:jc w:val="center"/>
              <w:rPr>
                <w:rFonts w:eastAsia="Times New Roman" w:cs="Times New Roman"/>
                <w:b w:val="0"/>
                <w:color w:val="000000"/>
                <w:sz w:val="20"/>
                <w:szCs w:val="20"/>
                <w:lang w:eastAsia="en-MY"/>
              </w:rPr>
            </w:pPr>
            <w:r w:rsidRPr="00CB148B">
              <w:rPr>
                <w:rFonts w:eastAsia="Times New Roman" w:cs="Times New Roman"/>
                <w:b w:val="0"/>
                <w:color w:val="000000"/>
                <w:sz w:val="20"/>
                <w:szCs w:val="20"/>
                <w:lang w:eastAsia="en-MY"/>
              </w:rPr>
              <w:t>Q</w:t>
            </w:r>
            <w:r w:rsidRPr="00CB148B">
              <w:rPr>
                <w:rFonts w:eastAsia="Times New Roman" w:cs="Times New Roman"/>
                <w:b w:val="0"/>
                <w:color w:val="000000"/>
                <w:sz w:val="20"/>
                <w:szCs w:val="20"/>
                <w:vertAlign w:val="subscript"/>
                <w:lang w:eastAsia="en-MY"/>
              </w:rPr>
              <w:t>2</w:t>
            </w:r>
            <w:r w:rsidRPr="00CB148B">
              <w:rPr>
                <w:rFonts w:eastAsia="Times New Roman" w:cs="Times New Roman"/>
                <w:b w:val="0"/>
                <w:color w:val="000000"/>
                <w:sz w:val="20"/>
                <w:szCs w:val="20"/>
                <w:lang w:eastAsia="en-MY"/>
              </w:rPr>
              <w:t xml:space="preserve"> (%)</w:t>
            </w:r>
          </w:p>
        </w:tc>
        <w:tc>
          <w:tcPr>
            <w:tcW w:w="792" w:type="dxa"/>
            <w:tcBorders>
              <w:top w:val="nil"/>
              <w:left w:val="nil"/>
              <w:bottom w:val="single" w:sz="8" w:space="0" w:color="auto"/>
              <w:right w:val="nil"/>
            </w:tcBorders>
            <w:shd w:val="clear" w:color="auto" w:fill="auto"/>
            <w:noWrap/>
            <w:vAlign w:val="center"/>
            <w:hideMark/>
          </w:tcPr>
          <w:p w14:paraId="2CDE206C"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39" w:type="dxa"/>
            <w:tcBorders>
              <w:top w:val="nil"/>
              <w:left w:val="nil"/>
              <w:bottom w:val="single" w:sz="8" w:space="0" w:color="auto"/>
              <w:right w:val="nil"/>
            </w:tcBorders>
            <w:shd w:val="clear" w:color="auto" w:fill="auto"/>
            <w:noWrap/>
            <w:vAlign w:val="center"/>
            <w:hideMark/>
          </w:tcPr>
          <w:p w14:paraId="608EA51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7.4</w:t>
            </w:r>
          </w:p>
        </w:tc>
        <w:tc>
          <w:tcPr>
            <w:tcW w:w="929" w:type="dxa"/>
            <w:tcBorders>
              <w:top w:val="nil"/>
              <w:left w:val="nil"/>
              <w:bottom w:val="single" w:sz="8" w:space="0" w:color="auto"/>
              <w:right w:val="nil"/>
            </w:tcBorders>
            <w:shd w:val="clear" w:color="auto" w:fill="auto"/>
            <w:noWrap/>
            <w:vAlign w:val="center"/>
            <w:hideMark/>
          </w:tcPr>
          <w:p w14:paraId="5B60B66D"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11" w:type="dxa"/>
            <w:tcBorders>
              <w:top w:val="nil"/>
              <w:left w:val="nil"/>
              <w:bottom w:val="single" w:sz="8" w:space="0" w:color="auto"/>
              <w:right w:val="nil"/>
            </w:tcBorders>
            <w:shd w:val="clear" w:color="auto" w:fill="auto"/>
            <w:noWrap/>
            <w:vAlign w:val="center"/>
            <w:hideMark/>
          </w:tcPr>
          <w:p w14:paraId="28436797"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4.88</w:t>
            </w:r>
          </w:p>
        </w:tc>
        <w:tc>
          <w:tcPr>
            <w:tcW w:w="865" w:type="dxa"/>
            <w:tcBorders>
              <w:top w:val="nil"/>
              <w:left w:val="nil"/>
              <w:bottom w:val="single" w:sz="8" w:space="0" w:color="auto"/>
              <w:right w:val="nil"/>
            </w:tcBorders>
            <w:shd w:val="clear" w:color="auto" w:fill="auto"/>
            <w:noWrap/>
            <w:vAlign w:val="center"/>
            <w:hideMark/>
          </w:tcPr>
          <w:p w14:paraId="3CE9C63A"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755" w:type="dxa"/>
            <w:tcBorders>
              <w:top w:val="nil"/>
              <w:left w:val="nil"/>
              <w:bottom w:val="single" w:sz="8" w:space="0" w:color="auto"/>
              <w:right w:val="nil"/>
            </w:tcBorders>
            <w:shd w:val="clear" w:color="auto" w:fill="auto"/>
            <w:noWrap/>
            <w:vAlign w:val="center"/>
            <w:hideMark/>
          </w:tcPr>
          <w:p w14:paraId="6F6665A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3.01</w:t>
            </w:r>
          </w:p>
        </w:tc>
        <w:tc>
          <w:tcPr>
            <w:tcW w:w="918" w:type="dxa"/>
            <w:tcBorders>
              <w:top w:val="nil"/>
              <w:left w:val="nil"/>
              <w:bottom w:val="single" w:sz="8" w:space="0" w:color="auto"/>
              <w:right w:val="nil"/>
            </w:tcBorders>
            <w:shd w:val="clear" w:color="auto" w:fill="auto"/>
            <w:noWrap/>
            <w:vAlign w:val="center"/>
            <w:hideMark/>
          </w:tcPr>
          <w:p w14:paraId="4656958E"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02" w:type="dxa"/>
            <w:tcBorders>
              <w:top w:val="nil"/>
              <w:left w:val="nil"/>
              <w:bottom w:val="single" w:sz="8" w:space="0" w:color="auto"/>
              <w:right w:val="nil"/>
            </w:tcBorders>
            <w:shd w:val="clear" w:color="auto" w:fill="auto"/>
            <w:noWrap/>
            <w:vAlign w:val="center"/>
            <w:hideMark/>
          </w:tcPr>
          <w:p w14:paraId="02B432FE"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59" w:type="dxa"/>
            <w:tcBorders>
              <w:top w:val="nil"/>
              <w:left w:val="nil"/>
              <w:bottom w:val="single" w:sz="8" w:space="0" w:color="auto"/>
              <w:right w:val="nil"/>
            </w:tcBorders>
            <w:shd w:val="clear" w:color="auto" w:fill="auto"/>
            <w:noWrap/>
            <w:vAlign w:val="center"/>
            <w:hideMark/>
          </w:tcPr>
          <w:p w14:paraId="5614FBE9"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901" w:type="dxa"/>
            <w:tcBorders>
              <w:top w:val="nil"/>
              <w:left w:val="nil"/>
              <w:bottom w:val="single" w:sz="8" w:space="0" w:color="auto"/>
              <w:right w:val="nil"/>
            </w:tcBorders>
            <w:shd w:val="clear" w:color="auto" w:fill="auto"/>
            <w:noWrap/>
            <w:vAlign w:val="center"/>
            <w:hideMark/>
          </w:tcPr>
          <w:p w14:paraId="7E10F7FA"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17.84</w:t>
            </w:r>
          </w:p>
        </w:tc>
        <w:tc>
          <w:tcPr>
            <w:tcW w:w="929" w:type="dxa"/>
            <w:tcBorders>
              <w:top w:val="nil"/>
              <w:left w:val="nil"/>
              <w:bottom w:val="single" w:sz="8" w:space="0" w:color="auto"/>
              <w:right w:val="nil"/>
            </w:tcBorders>
            <w:shd w:val="clear" w:color="auto" w:fill="auto"/>
            <w:noWrap/>
            <w:vAlign w:val="center"/>
            <w:hideMark/>
          </w:tcPr>
          <w:p w14:paraId="6C063CF6"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11" w:type="dxa"/>
            <w:tcBorders>
              <w:top w:val="nil"/>
              <w:left w:val="nil"/>
              <w:bottom w:val="single" w:sz="8" w:space="0" w:color="auto"/>
              <w:right w:val="nil"/>
            </w:tcBorders>
            <w:shd w:val="clear" w:color="auto" w:fill="auto"/>
            <w:noWrap/>
            <w:vAlign w:val="center"/>
            <w:hideMark/>
          </w:tcPr>
          <w:p w14:paraId="465D8F0B"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17.65</w:t>
            </w:r>
          </w:p>
        </w:tc>
        <w:tc>
          <w:tcPr>
            <w:tcW w:w="855" w:type="dxa"/>
            <w:tcBorders>
              <w:top w:val="nil"/>
              <w:left w:val="nil"/>
              <w:bottom w:val="single" w:sz="8" w:space="0" w:color="auto"/>
              <w:right w:val="nil"/>
            </w:tcBorders>
            <w:shd w:val="clear" w:color="auto" w:fill="auto"/>
            <w:noWrap/>
            <w:vAlign w:val="center"/>
            <w:hideMark/>
          </w:tcPr>
          <w:p w14:paraId="0E458592"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65" w:type="dxa"/>
            <w:tcBorders>
              <w:top w:val="nil"/>
              <w:left w:val="nil"/>
              <w:bottom w:val="single" w:sz="8" w:space="0" w:color="auto"/>
              <w:right w:val="nil"/>
            </w:tcBorders>
            <w:shd w:val="clear" w:color="auto" w:fill="auto"/>
            <w:noWrap/>
            <w:vAlign w:val="center"/>
            <w:hideMark/>
          </w:tcPr>
          <w:p w14:paraId="1C21ED16"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2.79</w:t>
            </w:r>
          </w:p>
        </w:tc>
        <w:tc>
          <w:tcPr>
            <w:tcW w:w="940" w:type="dxa"/>
            <w:tcBorders>
              <w:top w:val="nil"/>
              <w:left w:val="nil"/>
              <w:bottom w:val="single" w:sz="8" w:space="0" w:color="auto"/>
              <w:right w:val="nil"/>
            </w:tcBorders>
            <w:shd w:val="clear" w:color="auto" w:fill="auto"/>
            <w:noWrap/>
            <w:vAlign w:val="center"/>
            <w:hideMark/>
          </w:tcPr>
          <w:p w14:paraId="5C911D90" w14:textId="77777777" w:rsidR="00D740DC" w:rsidRPr="00CB148B" w:rsidRDefault="00D740DC" w:rsidP="00B11F5F">
            <w:pPr>
              <w:spacing w:after="0" w:line="240" w:lineRule="auto"/>
              <w:jc w:val="center"/>
              <w:rPr>
                <w:rFonts w:ascii="Calibri" w:eastAsia="Times New Roman" w:hAnsi="Calibri" w:cs="Times New Roman"/>
                <w:b w:val="0"/>
                <w:color w:val="000000"/>
                <w:sz w:val="16"/>
                <w:szCs w:val="16"/>
                <w:lang w:eastAsia="en-MY"/>
              </w:rPr>
            </w:pPr>
            <w:r w:rsidRPr="00CB148B">
              <w:rPr>
                <w:rFonts w:ascii="Calibri" w:eastAsia="Times New Roman" w:hAnsi="Calibri" w:cs="Times New Roman"/>
                <w:b w:val="0"/>
                <w:color w:val="000000"/>
                <w:sz w:val="16"/>
                <w:szCs w:val="16"/>
                <w:lang w:eastAsia="en-MY"/>
              </w:rPr>
              <w:t> </w:t>
            </w:r>
          </w:p>
        </w:tc>
        <w:tc>
          <w:tcPr>
            <w:tcW w:w="820" w:type="dxa"/>
            <w:tcBorders>
              <w:top w:val="nil"/>
              <w:left w:val="nil"/>
              <w:bottom w:val="single" w:sz="8" w:space="0" w:color="auto"/>
              <w:right w:val="nil"/>
            </w:tcBorders>
            <w:shd w:val="clear" w:color="auto" w:fill="auto"/>
            <w:noWrap/>
            <w:vAlign w:val="center"/>
            <w:hideMark/>
          </w:tcPr>
          <w:p w14:paraId="4627FC79" w14:textId="77777777" w:rsidR="00D740DC" w:rsidRPr="00CB148B" w:rsidRDefault="00D740DC" w:rsidP="00B11F5F">
            <w:pPr>
              <w:spacing w:after="0" w:line="240" w:lineRule="auto"/>
              <w:jc w:val="center"/>
              <w:rPr>
                <w:rFonts w:eastAsia="Times New Roman" w:cs="Times New Roman"/>
                <w:b w:val="0"/>
                <w:color w:val="000000"/>
                <w:sz w:val="16"/>
                <w:szCs w:val="16"/>
                <w:lang w:eastAsia="en-MY"/>
              </w:rPr>
            </w:pPr>
            <w:r w:rsidRPr="00CB148B">
              <w:rPr>
                <w:rFonts w:eastAsia="Times New Roman" w:cs="Times New Roman"/>
                <w:b w:val="0"/>
                <w:color w:val="000000"/>
                <w:sz w:val="16"/>
                <w:szCs w:val="16"/>
                <w:lang w:eastAsia="en-MY"/>
              </w:rPr>
              <w:t>9.87</w:t>
            </w:r>
          </w:p>
        </w:tc>
      </w:tr>
    </w:tbl>
    <w:p w14:paraId="2B4DC3BC" w14:textId="77777777" w:rsidR="00D740DC" w:rsidRDefault="00D740DC" w:rsidP="00D740DC">
      <w:pPr>
        <w:tabs>
          <w:tab w:val="left" w:pos="1908"/>
        </w:tabs>
        <w:spacing w:line="360" w:lineRule="auto"/>
        <w:jc w:val="both"/>
        <w:rPr>
          <w:rFonts w:eastAsia="Calibri" w:cs="Times New Roman"/>
          <w:b w:val="0"/>
          <w:szCs w:val="24"/>
        </w:rPr>
        <w:sectPr w:rsidR="00D740DC" w:rsidSect="00B11F5F">
          <w:pgSz w:w="16838" w:h="11906" w:orient="landscape"/>
          <w:pgMar w:top="1440" w:right="1440" w:bottom="1440" w:left="1440" w:header="708" w:footer="708" w:gutter="0"/>
          <w:cols w:space="708"/>
          <w:docGrid w:linePitch="360"/>
        </w:sectPr>
      </w:pPr>
    </w:p>
    <w:p w14:paraId="4AFC34A8" w14:textId="77777777" w:rsidR="00BF600D" w:rsidRDefault="00BF600D" w:rsidP="00BF600D">
      <w:pPr>
        <w:keepNext/>
        <w:keepLines/>
        <w:spacing w:before="40" w:after="0" w:line="360" w:lineRule="auto"/>
        <w:outlineLvl w:val="2"/>
        <w:rPr>
          <w:rFonts w:eastAsiaTheme="majorEastAsia" w:cstheme="majorBidi"/>
          <w:color w:val="000000" w:themeColor="text1"/>
          <w:szCs w:val="24"/>
        </w:rPr>
      </w:pPr>
      <w:bookmarkStart w:id="792" w:name="_Toc525742527"/>
      <w:bookmarkStart w:id="793" w:name="_Toc525707862"/>
      <w:bookmarkStart w:id="794" w:name="_Toc525526445"/>
      <w:bookmarkStart w:id="795" w:name="_Toc12994971"/>
      <w:r>
        <w:rPr>
          <w:rFonts w:eastAsiaTheme="majorEastAsia" w:cstheme="majorBidi"/>
          <w:color w:val="000000" w:themeColor="text1"/>
          <w:szCs w:val="24"/>
        </w:rPr>
        <w:lastRenderedPageBreak/>
        <w:t>4.5 Mechanical Properties</w:t>
      </w:r>
      <w:bookmarkEnd w:id="792"/>
      <w:bookmarkEnd w:id="793"/>
      <w:bookmarkEnd w:id="794"/>
      <w:bookmarkEnd w:id="795"/>
    </w:p>
    <w:p w14:paraId="487CE733" w14:textId="77777777" w:rsidR="00BF600D" w:rsidRDefault="00BF600D" w:rsidP="00BF600D">
      <w:pPr>
        <w:pStyle w:val="Heading4"/>
      </w:pPr>
      <w:bookmarkStart w:id="796" w:name="_Toc525742528"/>
      <w:bookmarkStart w:id="797" w:name="_Toc525707863"/>
      <w:bookmarkStart w:id="798" w:name="_Hlk517190571"/>
      <w:r>
        <w:t xml:space="preserve">4.5.1 </w:t>
      </w:r>
      <w:r>
        <w:rPr>
          <w:rFonts w:asciiTheme="majorBidi" w:hAnsiTheme="majorBidi"/>
        </w:rPr>
        <w:t xml:space="preserve">Series </w:t>
      </w:r>
      <w:r>
        <w:t>N</w:t>
      </w:r>
      <w:r>
        <w:rPr>
          <w:vertAlign w:val="subscript"/>
        </w:rPr>
        <w:t>7.6</w:t>
      </w:r>
      <w:r>
        <w:t>M</w:t>
      </w:r>
      <w:r>
        <w:rPr>
          <w:vertAlign w:val="subscript"/>
        </w:rPr>
        <w:t>1.1</w:t>
      </w:r>
      <w:r>
        <w:t>C</w:t>
      </w:r>
      <w:r>
        <w:rPr>
          <w:vertAlign w:val="subscript"/>
        </w:rPr>
        <w:t>3</w:t>
      </w:r>
      <w:r>
        <w:t>A</w:t>
      </w:r>
      <w:r>
        <w:rPr>
          <w:vertAlign w:val="subscript"/>
        </w:rPr>
        <w:t>x</w:t>
      </w:r>
      <w:r>
        <w:t>B</w:t>
      </w:r>
      <w:r>
        <w:rPr>
          <w:vertAlign w:val="subscript"/>
        </w:rPr>
        <w:t>7.6</w:t>
      </w:r>
      <w:r>
        <w:t>S</w:t>
      </w:r>
      <w:r>
        <w:rPr>
          <w:vertAlign w:val="subscript"/>
        </w:rPr>
        <w:t>80.7-x</w:t>
      </w:r>
      <w:r>
        <w:t xml:space="preserve"> , N</w:t>
      </w:r>
      <w:r>
        <w:rPr>
          <w:vertAlign w:val="subscript"/>
        </w:rPr>
        <w:t>15</w:t>
      </w:r>
      <w:r>
        <w:t>C</w:t>
      </w:r>
      <w:r>
        <w:rPr>
          <w:vertAlign w:val="subscript"/>
        </w:rPr>
        <w:t>5</w:t>
      </w:r>
      <w:r>
        <w:t>A</w:t>
      </w:r>
      <w:r>
        <w:rPr>
          <w:vertAlign w:val="subscript"/>
        </w:rPr>
        <w:t>x</w:t>
      </w:r>
      <w:r>
        <w:t>B</w:t>
      </w:r>
      <w:r>
        <w:rPr>
          <w:vertAlign w:val="subscript"/>
        </w:rPr>
        <w:t>10-x</w:t>
      </w:r>
      <w:r>
        <w:t>S</w:t>
      </w:r>
      <w:r>
        <w:rPr>
          <w:vertAlign w:val="subscript"/>
        </w:rPr>
        <w:t>70</w:t>
      </w:r>
      <w:r>
        <w:t>, N</w:t>
      </w:r>
      <w:r>
        <w:rPr>
          <w:vertAlign w:val="subscript"/>
        </w:rPr>
        <w:t>15</w:t>
      </w:r>
      <w:r>
        <w:t>C</w:t>
      </w:r>
      <w:r>
        <w:rPr>
          <w:vertAlign w:val="subscript"/>
        </w:rPr>
        <w:t>5</w:t>
      </w:r>
      <w:r>
        <w:t>A</w:t>
      </w:r>
      <w:r>
        <w:rPr>
          <w:vertAlign w:val="subscript"/>
        </w:rPr>
        <w:t>x</w:t>
      </w:r>
      <w:r>
        <w:t>B</w:t>
      </w:r>
      <w:r>
        <w:rPr>
          <w:vertAlign w:val="subscript"/>
        </w:rPr>
        <w:t>20-x</w:t>
      </w:r>
      <w:r>
        <w:t>S</w:t>
      </w:r>
      <w:r>
        <w:rPr>
          <w:vertAlign w:val="subscript"/>
        </w:rPr>
        <w:t xml:space="preserve">60 </w:t>
      </w:r>
      <w:r>
        <w:t>glasses</w:t>
      </w:r>
      <w:bookmarkEnd w:id="796"/>
      <w:bookmarkEnd w:id="797"/>
      <w:r>
        <w:t xml:space="preserve"> </w:t>
      </w:r>
    </w:p>
    <w:p w14:paraId="7ABE6504" w14:textId="77777777" w:rsidR="00BF600D" w:rsidRDefault="00BF600D" w:rsidP="00BF600D">
      <w:pPr>
        <w:pStyle w:val="Heading4"/>
      </w:pPr>
      <w:bookmarkStart w:id="799" w:name="_Toc525742529"/>
      <w:bookmarkStart w:id="800" w:name="_Toc525707864"/>
      <w:r>
        <w:t>4.5.1.1 Modulus and Poisson’s ratio</w:t>
      </w:r>
      <w:bookmarkEnd w:id="799"/>
      <w:bookmarkEnd w:id="800"/>
    </w:p>
    <w:p w14:paraId="75365451" w14:textId="57F66922" w:rsidR="00BF600D" w:rsidRDefault="00BF600D" w:rsidP="00BF600D">
      <w:pPr>
        <w:spacing w:after="0" w:line="360" w:lineRule="auto"/>
        <w:jc w:val="center"/>
        <w:rPr>
          <w:rFonts w:cs="Times New Roman"/>
          <w:szCs w:val="24"/>
        </w:rPr>
      </w:pPr>
      <w:r>
        <w:rPr>
          <w:noProof/>
          <w:lang w:eastAsia="en-MY"/>
        </w:rPr>
        <w:drawing>
          <wp:inline distT="0" distB="0" distL="0" distR="0" wp14:anchorId="3B6E1C95" wp14:editId="321E858E">
            <wp:extent cx="3810000" cy="3238500"/>
            <wp:effectExtent l="0" t="0" r="0" b="0"/>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810000" cy="3238500"/>
                    </a:xfrm>
                    <a:prstGeom prst="rect">
                      <a:avLst/>
                    </a:prstGeom>
                    <a:noFill/>
                    <a:ln>
                      <a:noFill/>
                    </a:ln>
                  </pic:spPr>
                </pic:pic>
              </a:graphicData>
            </a:graphic>
          </wp:inline>
        </w:drawing>
      </w:r>
      <w:r>
        <w:rPr>
          <w:noProof/>
          <w:lang w:eastAsia="en-MY"/>
        </w:rPr>
        <w:drawing>
          <wp:inline distT="0" distB="0" distL="0" distR="0" wp14:anchorId="0A4B540D" wp14:editId="6F341CBF">
            <wp:extent cx="3895725" cy="3238500"/>
            <wp:effectExtent l="0" t="0" r="9525" b="0"/>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895725" cy="3238500"/>
                    </a:xfrm>
                    <a:prstGeom prst="rect">
                      <a:avLst/>
                    </a:prstGeom>
                    <a:noFill/>
                    <a:ln>
                      <a:noFill/>
                    </a:ln>
                  </pic:spPr>
                </pic:pic>
              </a:graphicData>
            </a:graphic>
          </wp:inline>
        </w:drawing>
      </w:r>
    </w:p>
    <w:p w14:paraId="404DB005" w14:textId="3CBA829C" w:rsidR="00BF600D" w:rsidRDefault="00BF600D" w:rsidP="00BF600D">
      <w:pPr>
        <w:pStyle w:val="Caption"/>
        <w:rPr>
          <w:szCs w:val="24"/>
        </w:rPr>
      </w:pPr>
      <w:r>
        <w:t xml:space="preserve">Figure </w:t>
      </w:r>
      <w:r w:rsidR="009F4E44">
        <w:t>4.27:</w:t>
      </w:r>
      <w:r>
        <w:t xml:space="preserve"> </w:t>
      </w:r>
      <w:r>
        <w:rPr>
          <w:szCs w:val="24"/>
        </w:rPr>
        <w:t xml:space="preserve">Young’s modulus, shear modulus, bulk modulus and Poisson’s ratio of </w:t>
      </w:r>
      <w:r>
        <w:rPr>
          <w:rFonts w:eastAsia="Times New Roman"/>
          <w:color w:val="000000"/>
          <w:szCs w:val="24"/>
          <w:lang w:eastAsia="en-MY"/>
        </w:rPr>
        <w:t>N</w:t>
      </w:r>
      <w:r>
        <w:rPr>
          <w:rFonts w:eastAsia="Times New Roman"/>
          <w:color w:val="000000"/>
          <w:szCs w:val="24"/>
          <w:vertAlign w:val="subscript"/>
          <w:lang w:eastAsia="en-MY"/>
        </w:rPr>
        <w:t>7.6</w:t>
      </w:r>
      <w:r>
        <w:rPr>
          <w:rFonts w:eastAsia="Times New Roman"/>
          <w:color w:val="000000"/>
          <w:szCs w:val="24"/>
          <w:lang w:eastAsia="en-MY"/>
        </w:rPr>
        <w:t>M</w:t>
      </w:r>
      <w:r>
        <w:rPr>
          <w:rFonts w:eastAsia="Times New Roman"/>
          <w:color w:val="000000"/>
          <w:szCs w:val="24"/>
          <w:vertAlign w:val="subscript"/>
          <w:lang w:eastAsia="en-MY"/>
        </w:rPr>
        <w:t>1.1</w:t>
      </w:r>
      <w:r>
        <w:rPr>
          <w:rFonts w:eastAsia="Times New Roman"/>
          <w:color w:val="000000"/>
          <w:szCs w:val="24"/>
          <w:lang w:eastAsia="en-MY"/>
        </w:rPr>
        <w:t>C</w:t>
      </w:r>
      <w:r>
        <w:rPr>
          <w:rFonts w:eastAsia="Times New Roman"/>
          <w:color w:val="000000"/>
          <w:szCs w:val="24"/>
          <w:vertAlign w:val="subscript"/>
          <w:lang w:eastAsia="en-MY"/>
        </w:rPr>
        <w:t>3</w:t>
      </w:r>
      <w:r>
        <w:rPr>
          <w:rFonts w:eastAsia="Times New Roman"/>
          <w:color w:val="000000"/>
          <w:szCs w:val="24"/>
          <w:lang w:eastAsia="en-MY"/>
        </w:rPr>
        <w:t>A</w:t>
      </w:r>
      <w:r>
        <w:rPr>
          <w:rFonts w:eastAsia="Times New Roman"/>
          <w:color w:val="000000"/>
          <w:szCs w:val="24"/>
          <w:vertAlign w:val="subscript"/>
          <w:lang w:eastAsia="en-MY"/>
        </w:rPr>
        <w:t>x</w:t>
      </w:r>
      <w:r>
        <w:rPr>
          <w:rFonts w:eastAsia="Times New Roman"/>
          <w:color w:val="000000"/>
          <w:szCs w:val="24"/>
          <w:lang w:eastAsia="en-MY"/>
        </w:rPr>
        <w:t>B</w:t>
      </w:r>
      <w:r>
        <w:rPr>
          <w:rFonts w:eastAsia="Times New Roman"/>
          <w:color w:val="000000"/>
          <w:szCs w:val="24"/>
          <w:vertAlign w:val="subscript"/>
          <w:lang w:eastAsia="en-MY"/>
        </w:rPr>
        <w:t>7.6</w:t>
      </w:r>
      <w:r>
        <w:rPr>
          <w:rFonts w:eastAsia="Times New Roman"/>
          <w:color w:val="000000"/>
          <w:szCs w:val="24"/>
          <w:lang w:eastAsia="en-MY"/>
        </w:rPr>
        <w:t>S</w:t>
      </w:r>
      <w:r>
        <w:rPr>
          <w:rFonts w:eastAsia="Times New Roman"/>
          <w:color w:val="000000"/>
          <w:szCs w:val="24"/>
          <w:vertAlign w:val="subscript"/>
          <w:lang w:eastAsia="en-MY"/>
        </w:rPr>
        <w:t>80.7-x</w:t>
      </w:r>
      <w:r>
        <w:rPr>
          <w:rFonts w:eastAsia="Times New Roman"/>
          <w:color w:val="000000"/>
          <w:szCs w:val="24"/>
          <w:lang w:eastAsia="en-MY"/>
        </w:rPr>
        <w:t xml:space="preserve"> </w:t>
      </w:r>
      <w:r>
        <w:rPr>
          <w:szCs w:val="24"/>
        </w:rPr>
        <w:t xml:space="preserve">, </w:t>
      </w:r>
      <w:r>
        <w:rPr>
          <w:rFonts w:eastAsia="Times New Roman"/>
          <w:color w:val="000000"/>
          <w:szCs w:val="24"/>
          <w:lang w:eastAsia="en-MY"/>
        </w:rPr>
        <w:t>N</w:t>
      </w:r>
      <w:r>
        <w:rPr>
          <w:rFonts w:eastAsia="Times New Roman"/>
          <w:color w:val="000000"/>
          <w:szCs w:val="24"/>
          <w:vertAlign w:val="subscript"/>
          <w:lang w:eastAsia="en-MY"/>
        </w:rPr>
        <w:t>15</w:t>
      </w:r>
      <w:r>
        <w:rPr>
          <w:rFonts w:eastAsia="Times New Roman"/>
          <w:color w:val="000000"/>
          <w:szCs w:val="24"/>
          <w:lang w:eastAsia="en-MY"/>
        </w:rPr>
        <w:t>C</w:t>
      </w:r>
      <w:r>
        <w:rPr>
          <w:rFonts w:eastAsia="Times New Roman"/>
          <w:color w:val="000000"/>
          <w:szCs w:val="24"/>
          <w:vertAlign w:val="subscript"/>
          <w:lang w:eastAsia="en-MY"/>
        </w:rPr>
        <w:t>5</w:t>
      </w:r>
      <w:r>
        <w:rPr>
          <w:rFonts w:eastAsia="Times New Roman"/>
          <w:color w:val="000000"/>
          <w:szCs w:val="24"/>
          <w:lang w:eastAsia="en-MY"/>
        </w:rPr>
        <w:t>A</w:t>
      </w:r>
      <w:r>
        <w:rPr>
          <w:rFonts w:eastAsia="Times New Roman"/>
          <w:color w:val="000000"/>
          <w:szCs w:val="24"/>
          <w:vertAlign w:val="subscript"/>
          <w:lang w:eastAsia="en-MY"/>
        </w:rPr>
        <w:t>x</w:t>
      </w:r>
      <w:r>
        <w:rPr>
          <w:rFonts w:eastAsia="Times New Roman"/>
          <w:color w:val="000000"/>
          <w:szCs w:val="24"/>
          <w:lang w:eastAsia="en-MY"/>
        </w:rPr>
        <w:t>B</w:t>
      </w:r>
      <w:r>
        <w:rPr>
          <w:rFonts w:eastAsia="Times New Roman"/>
          <w:color w:val="000000"/>
          <w:szCs w:val="24"/>
          <w:vertAlign w:val="subscript"/>
          <w:lang w:eastAsia="en-MY"/>
        </w:rPr>
        <w:t>10-x</w:t>
      </w:r>
      <w:r>
        <w:rPr>
          <w:rFonts w:eastAsia="Times New Roman"/>
          <w:color w:val="000000"/>
          <w:szCs w:val="24"/>
          <w:lang w:eastAsia="en-MY"/>
        </w:rPr>
        <w:t>S</w:t>
      </w:r>
      <w:r>
        <w:rPr>
          <w:rFonts w:eastAsia="Times New Roman"/>
          <w:color w:val="000000"/>
          <w:szCs w:val="24"/>
          <w:vertAlign w:val="subscript"/>
          <w:lang w:eastAsia="en-MY"/>
        </w:rPr>
        <w:t>70</w:t>
      </w:r>
      <w:r>
        <w:rPr>
          <w:szCs w:val="24"/>
        </w:rPr>
        <w:t xml:space="preserve">, </w:t>
      </w:r>
      <w:r>
        <w:rPr>
          <w:rFonts w:eastAsia="Times New Roman"/>
          <w:color w:val="000000"/>
          <w:szCs w:val="24"/>
          <w:lang w:eastAsia="en-MY"/>
        </w:rPr>
        <w:t>N</w:t>
      </w:r>
      <w:r>
        <w:rPr>
          <w:rFonts w:eastAsia="Times New Roman"/>
          <w:color w:val="000000"/>
          <w:szCs w:val="24"/>
          <w:vertAlign w:val="subscript"/>
          <w:lang w:eastAsia="en-MY"/>
        </w:rPr>
        <w:t>15</w:t>
      </w:r>
      <w:r>
        <w:rPr>
          <w:rFonts w:eastAsia="Times New Roman"/>
          <w:color w:val="000000"/>
          <w:szCs w:val="24"/>
          <w:lang w:eastAsia="en-MY"/>
        </w:rPr>
        <w:t>C</w:t>
      </w:r>
      <w:r>
        <w:rPr>
          <w:rFonts w:eastAsia="Times New Roman"/>
          <w:color w:val="000000"/>
          <w:szCs w:val="24"/>
          <w:vertAlign w:val="subscript"/>
          <w:lang w:eastAsia="en-MY"/>
        </w:rPr>
        <w:t>5</w:t>
      </w:r>
      <w:r>
        <w:rPr>
          <w:rFonts w:eastAsia="Times New Roman"/>
          <w:color w:val="000000"/>
          <w:szCs w:val="24"/>
          <w:lang w:eastAsia="en-MY"/>
        </w:rPr>
        <w:t>A</w:t>
      </w:r>
      <w:r>
        <w:rPr>
          <w:rFonts w:eastAsia="Times New Roman"/>
          <w:color w:val="000000"/>
          <w:szCs w:val="24"/>
          <w:vertAlign w:val="subscript"/>
          <w:lang w:eastAsia="en-MY"/>
        </w:rPr>
        <w:t>x</w:t>
      </w:r>
      <w:r>
        <w:rPr>
          <w:rFonts w:eastAsia="Times New Roman"/>
          <w:color w:val="000000"/>
          <w:szCs w:val="24"/>
          <w:lang w:eastAsia="en-MY"/>
        </w:rPr>
        <w:t>B</w:t>
      </w:r>
      <w:r>
        <w:rPr>
          <w:rFonts w:eastAsia="Times New Roman"/>
          <w:color w:val="000000"/>
          <w:szCs w:val="24"/>
          <w:vertAlign w:val="subscript"/>
          <w:lang w:eastAsia="en-MY"/>
        </w:rPr>
        <w:t>20-x</w:t>
      </w:r>
      <w:r>
        <w:rPr>
          <w:rFonts w:eastAsia="Times New Roman"/>
          <w:color w:val="000000"/>
          <w:szCs w:val="24"/>
          <w:lang w:eastAsia="en-MY"/>
        </w:rPr>
        <w:t>S</w:t>
      </w:r>
      <w:r>
        <w:rPr>
          <w:rFonts w:eastAsia="Times New Roman"/>
          <w:color w:val="000000"/>
          <w:szCs w:val="24"/>
          <w:vertAlign w:val="subscript"/>
          <w:lang w:eastAsia="en-MY"/>
        </w:rPr>
        <w:t xml:space="preserve">60 </w:t>
      </w:r>
      <w:r>
        <w:rPr>
          <w:szCs w:val="24"/>
        </w:rPr>
        <w:t>glass series versus total network charge balance. (</w:t>
      </w:r>
      <w:r>
        <w:rPr>
          <w:i/>
          <w:szCs w:val="24"/>
        </w:rPr>
        <w:t>Continued on next page</w:t>
      </w:r>
      <w:r>
        <w:rPr>
          <w:szCs w:val="24"/>
        </w:rPr>
        <w:t xml:space="preserve">) </w:t>
      </w:r>
    </w:p>
    <w:p w14:paraId="7F668EBF" w14:textId="77777777" w:rsidR="00BF600D" w:rsidRDefault="00BF600D" w:rsidP="00BF600D">
      <w:pPr>
        <w:spacing w:after="0" w:line="360" w:lineRule="auto"/>
        <w:jc w:val="center"/>
        <w:rPr>
          <w:rFonts w:cs="Times New Roman"/>
          <w:szCs w:val="24"/>
        </w:rPr>
      </w:pPr>
    </w:p>
    <w:p w14:paraId="1C7F3AE9" w14:textId="3CD35FA1" w:rsidR="00BF600D" w:rsidRDefault="00BF600D" w:rsidP="00BF600D">
      <w:pPr>
        <w:spacing w:after="0" w:line="360" w:lineRule="auto"/>
        <w:jc w:val="center"/>
        <w:rPr>
          <w:rFonts w:cs="Times New Roman"/>
          <w:szCs w:val="24"/>
        </w:rPr>
      </w:pPr>
      <w:r>
        <w:rPr>
          <w:noProof/>
          <w:lang w:eastAsia="en-MY"/>
        </w:rPr>
        <w:lastRenderedPageBreak/>
        <w:drawing>
          <wp:inline distT="0" distB="0" distL="0" distR="0" wp14:anchorId="06E43AFC" wp14:editId="63F8048C">
            <wp:extent cx="3657600" cy="3057525"/>
            <wp:effectExtent l="0" t="0" r="0" b="9525"/>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657600" cy="3057525"/>
                    </a:xfrm>
                    <a:prstGeom prst="rect">
                      <a:avLst/>
                    </a:prstGeom>
                    <a:noFill/>
                    <a:ln>
                      <a:noFill/>
                    </a:ln>
                  </pic:spPr>
                </pic:pic>
              </a:graphicData>
            </a:graphic>
          </wp:inline>
        </w:drawing>
      </w:r>
      <w:r>
        <w:rPr>
          <w:noProof/>
          <w:lang w:eastAsia="en-MY"/>
        </w:rPr>
        <w:drawing>
          <wp:inline distT="0" distB="0" distL="0" distR="0" wp14:anchorId="7CB79B3A" wp14:editId="01C974EC">
            <wp:extent cx="3714750" cy="3057525"/>
            <wp:effectExtent l="0" t="0" r="0" b="9525"/>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714750" cy="3057525"/>
                    </a:xfrm>
                    <a:prstGeom prst="rect">
                      <a:avLst/>
                    </a:prstGeom>
                    <a:noFill/>
                    <a:ln>
                      <a:noFill/>
                    </a:ln>
                  </pic:spPr>
                </pic:pic>
              </a:graphicData>
            </a:graphic>
          </wp:inline>
        </w:drawing>
      </w:r>
    </w:p>
    <w:p w14:paraId="5803CA7E" w14:textId="1F2994D7" w:rsidR="00BF600D" w:rsidRDefault="00BF600D" w:rsidP="00BF600D">
      <w:pPr>
        <w:pStyle w:val="Caption"/>
        <w:rPr>
          <w:szCs w:val="24"/>
        </w:rPr>
      </w:pPr>
      <w:bookmarkStart w:id="801" w:name="_Toc525706390"/>
      <w:bookmarkStart w:id="802" w:name="_Toc525528375"/>
      <w:bookmarkStart w:id="803" w:name="_Toc521420494"/>
      <w:r>
        <w:t xml:space="preserve">Figure </w:t>
      </w:r>
      <w:r w:rsidR="009F4E44">
        <w:t>4.27:</w:t>
      </w:r>
      <w:r>
        <w:t xml:space="preserve"> </w:t>
      </w:r>
      <w:r>
        <w:rPr>
          <w:szCs w:val="24"/>
        </w:rPr>
        <w:t xml:space="preserve">Young’s modulus, shear modulus, bulk modulus and Poisson’s ratio of </w:t>
      </w:r>
      <w:r>
        <w:rPr>
          <w:rFonts w:eastAsia="Times New Roman"/>
          <w:color w:val="000000"/>
          <w:szCs w:val="24"/>
          <w:lang w:eastAsia="en-MY"/>
        </w:rPr>
        <w:t>N</w:t>
      </w:r>
      <w:r>
        <w:rPr>
          <w:rFonts w:eastAsia="Times New Roman"/>
          <w:color w:val="000000"/>
          <w:szCs w:val="24"/>
          <w:vertAlign w:val="subscript"/>
          <w:lang w:eastAsia="en-MY"/>
        </w:rPr>
        <w:t>7.6</w:t>
      </w:r>
      <w:r>
        <w:rPr>
          <w:rFonts w:eastAsia="Times New Roman"/>
          <w:color w:val="000000"/>
          <w:szCs w:val="24"/>
          <w:lang w:eastAsia="en-MY"/>
        </w:rPr>
        <w:t>M</w:t>
      </w:r>
      <w:r>
        <w:rPr>
          <w:rFonts w:eastAsia="Times New Roman"/>
          <w:color w:val="000000"/>
          <w:szCs w:val="24"/>
          <w:vertAlign w:val="subscript"/>
          <w:lang w:eastAsia="en-MY"/>
        </w:rPr>
        <w:t>1.1</w:t>
      </w:r>
      <w:r>
        <w:rPr>
          <w:rFonts w:eastAsia="Times New Roman"/>
          <w:color w:val="000000"/>
          <w:szCs w:val="24"/>
          <w:lang w:eastAsia="en-MY"/>
        </w:rPr>
        <w:t>C</w:t>
      </w:r>
      <w:r>
        <w:rPr>
          <w:rFonts w:eastAsia="Times New Roman"/>
          <w:color w:val="000000"/>
          <w:szCs w:val="24"/>
          <w:vertAlign w:val="subscript"/>
          <w:lang w:eastAsia="en-MY"/>
        </w:rPr>
        <w:t>3</w:t>
      </w:r>
      <w:r>
        <w:rPr>
          <w:rFonts w:eastAsia="Times New Roman"/>
          <w:color w:val="000000"/>
          <w:szCs w:val="24"/>
          <w:lang w:eastAsia="en-MY"/>
        </w:rPr>
        <w:t>A</w:t>
      </w:r>
      <w:r>
        <w:rPr>
          <w:rFonts w:eastAsia="Times New Roman"/>
          <w:color w:val="000000"/>
          <w:szCs w:val="24"/>
          <w:vertAlign w:val="subscript"/>
          <w:lang w:eastAsia="en-MY"/>
        </w:rPr>
        <w:t>x</w:t>
      </w:r>
      <w:r>
        <w:rPr>
          <w:rFonts w:eastAsia="Times New Roman"/>
          <w:color w:val="000000"/>
          <w:szCs w:val="24"/>
          <w:lang w:eastAsia="en-MY"/>
        </w:rPr>
        <w:t>B</w:t>
      </w:r>
      <w:r>
        <w:rPr>
          <w:rFonts w:eastAsia="Times New Roman"/>
          <w:color w:val="000000"/>
          <w:szCs w:val="24"/>
          <w:vertAlign w:val="subscript"/>
          <w:lang w:eastAsia="en-MY"/>
        </w:rPr>
        <w:t>7.6</w:t>
      </w:r>
      <w:r>
        <w:rPr>
          <w:rFonts w:eastAsia="Times New Roman"/>
          <w:color w:val="000000"/>
          <w:szCs w:val="24"/>
          <w:lang w:eastAsia="en-MY"/>
        </w:rPr>
        <w:t>S</w:t>
      </w:r>
      <w:r>
        <w:rPr>
          <w:rFonts w:eastAsia="Times New Roman"/>
          <w:color w:val="000000"/>
          <w:szCs w:val="24"/>
          <w:vertAlign w:val="subscript"/>
          <w:lang w:eastAsia="en-MY"/>
        </w:rPr>
        <w:t>80.7-x</w:t>
      </w:r>
      <w:r>
        <w:rPr>
          <w:szCs w:val="24"/>
        </w:rPr>
        <w:t xml:space="preserve">, </w:t>
      </w:r>
      <w:r>
        <w:rPr>
          <w:rFonts w:eastAsia="Times New Roman"/>
          <w:color w:val="000000"/>
          <w:szCs w:val="24"/>
          <w:lang w:eastAsia="en-MY"/>
        </w:rPr>
        <w:t>N</w:t>
      </w:r>
      <w:r>
        <w:rPr>
          <w:rFonts w:eastAsia="Times New Roman"/>
          <w:color w:val="000000"/>
          <w:szCs w:val="24"/>
          <w:vertAlign w:val="subscript"/>
          <w:lang w:eastAsia="en-MY"/>
        </w:rPr>
        <w:t>15</w:t>
      </w:r>
      <w:r>
        <w:rPr>
          <w:rFonts w:eastAsia="Times New Roman"/>
          <w:color w:val="000000"/>
          <w:szCs w:val="24"/>
          <w:lang w:eastAsia="en-MY"/>
        </w:rPr>
        <w:t>C</w:t>
      </w:r>
      <w:r>
        <w:rPr>
          <w:rFonts w:eastAsia="Times New Roman"/>
          <w:color w:val="000000"/>
          <w:szCs w:val="24"/>
          <w:vertAlign w:val="subscript"/>
          <w:lang w:eastAsia="en-MY"/>
        </w:rPr>
        <w:t>5</w:t>
      </w:r>
      <w:r>
        <w:rPr>
          <w:rFonts w:eastAsia="Times New Roman"/>
          <w:color w:val="000000"/>
          <w:szCs w:val="24"/>
          <w:lang w:eastAsia="en-MY"/>
        </w:rPr>
        <w:t>A</w:t>
      </w:r>
      <w:r>
        <w:rPr>
          <w:rFonts w:eastAsia="Times New Roman"/>
          <w:color w:val="000000"/>
          <w:szCs w:val="24"/>
          <w:vertAlign w:val="subscript"/>
          <w:lang w:eastAsia="en-MY"/>
        </w:rPr>
        <w:t>x</w:t>
      </w:r>
      <w:r>
        <w:rPr>
          <w:rFonts w:eastAsia="Times New Roman"/>
          <w:color w:val="000000"/>
          <w:szCs w:val="24"/>
          <w:lang w:eastAsia="en-MY"/>
        </w:rPr>
        <w:t>B</w:t>
      </w:r>
      <w:r>
        <w:rPr>
          <w:rFonts w:eastAsia="Times New Roman"/>
          <w:color w:val="000000"/>
          <w:szCs w:val="24"/>
          <w:vertAlign w:val="subscript"/>
          <w:lang w:eastAsia="en-MY"/>
        </w:rPr>
        <w:t>10-x</w:t>
      </w:r>
      <w:r>
        <w:rPr>
          <w:rFonts w:eastAsia="Times New Roman"/>
          <w:color w:val="000000"/>
          <w:szCs w:val="24"/>
          <w:lang w:eastAsia="en-MY"/>
        </w:rPr>
        <w:t>S</w:t>
      </w:r>
      <w:r>
        <w:rPr>
          <w:rFonts w:eastAsia="Times New Roman"/>
          <w:color w:val="000000"/>
          <w:szCs w:val="24"/>
          <w:vertAlign w:val="subscript"/>
          <w:lang w:eastAsia="en-MY"/>
        </w:rPr>
        <w:t>70</w:t>
      </w:r>
      <w:r>
        <w:rPr>
          <w:szCs w:val="24"/>
        </w:rPr>
        <w:t xml:space="preserve">, </w:t>
      </w:r>
      <w:r>
        <w:rPr>
          <w:rFonts w:eastAsia="Times New Roman"/>
          <w:color w:val="000000"/>
          <w:szCs w:val="24"/>
          <w:lang w:eastAsia="en-MY"/>
        </w:rPr>
        <w:t>N</w:t>
      </w:r>
      <w:r>
        <w:rPr>
          <w:rFonts w:eastAsia="Times New Roman"/>
          <w:color w:val="000000"/>
          <w:szCs w:val="24"/>
          <w:vertAlign w:val="subscript"/>
          <w:lang w:eastAsia="en-MY"/>
        </w:rPr>
        <w:t>15</w:t>
      </w:r>
      <w:r>
        <w:rPr>
          <w:rFonts w:eastAsia="Times New Roman"/>
          <w:color w:val="000000"/>
          <w:szCs w:val="24"/>
          <w:lang w:eastAsia="en-MY"/>
        </w:rPr>
        <w:t>C</w:t>
      </w:r>
      <w:r>
        <w:rPr>
          <w:rFonts w:eastAsia="Times New Roman"/>
          <w:color w:val="000000"/>
          <w:szCs w:val="24"/>
          <w:vertAlign w:val="subscript"/>
          <w:lang w:eastAsia="en-MY"/>
        </w:rPr>
        <w:t>5</w:t>
      </w:r>
      <w:r>
        <w:rPr>
          <w:rFonts w:eastAsia="Times New Roman"/>
          <w:color w:val="000000"/>
          <w:szCs w:val="24"/>
          <w:lang w:eastAsia="en-MY"/>
        </w:rPr>
        <w:t>A</w:t>
      </w:r>
      <w:r>
        <w:rPr>
          <w:rFonts w:eastAsia="Times New Roman"/>
          <w:color w:val="000000"/>
          <w:szCs w:val="24"/>
          <w:vertAlign w:val="subscript"/>
          <w:lang w:eastAsia="en-MY"/>
        </w:rPr>
        <w:t>x</w:t>
      </w:r>
      <w:r>
        <w:rPr>
          <w:rFonts w:eastAsia="Times New Roman"/>
          <w:color w:val="000000"/>
          <w:szCs w:val="24"/>
          <w:lang w:eastAsia="en-MY"/>
        </w:rPr>
        <w:t>B</w:t>
      </w:r>
      <w:r>
        <w:rPr>
          <w:rFonts w:eastAsia="Times New Roman"/>
          <w:color w:val="000000"/>
          <w:szCs w:val="24"/>
          <w:vertAlign w:val="subscript"/>
          <w:lang w:eastAsia="en-MY"/>
        </w:rPr>
        <w:t>20-x</w:t>
      </w:r>
      <w:r>
        <w:rPr>
          <w:rFonts w:eastAsia="Times New Roman"/>
          <w:color w:val="000000"/>
          <w:szCs w:val="24"/>
          <w:lang w:eastAsia="en-MY"/>
        </w:rPr>
        <w:t>S</w:t>
      </w:r>
      <w:r>
        <w:rPr>
          <w:rFonts w:eastAsia="Times New Roman"/>
          <w:color w:val="000000"/>
          <w:szCs w:val="24"/>
          <w:vertAlign w:val="subscript"/>
          <w:lang w:eastAsia="en-MY"/>
        </w:rPr>
        <w:t xml:space="preserve">60 </w:t>
      </w:r>
      <w:r>
        <w:rPr>
          <w:szCs w:val="24"/>
        </w:rPr>
        <w:t>glass series versus total network charge balance.</w:t>
      </w:r>
      <w:bookmarkEnd w:id="801"/>
      <w:bookmarkEnd w:id="802"/>
      <w:bookmarkEnd w:id="803"/>
      <w:r>
        <w:rPr>
          <w:szCs w:val="24"/>
        </w:rPr>
        <w:t xml:space="preserve"> </w:t>
      </w:r>
    </w:p>
    <w:p w14:paraId="247C396A" w14:textId="7E8BF2BF" w:rsidR="00BF600D" w:rsidRDefault="00BF600D" w:rsidP="00BF600D">
      <w:pPr>
        <w:spacing w:after="0" w:line="360" w:lineRule="auto"/>
        <w:jc w:val="both"/>
        <w:rPr>
          <w:rFonts w:cs="Times New Roman"/>
          <w:b w:val="0"/>
          <w:szCs w:val="24"/>
        </w:rPr>
      </w:pPr>
      <w:r>
        <w:rPr>
          <w:rFonts w:cs="Times New Roman"/>
          <w:b w:val="0"/>
          <w:szCs w:val="24"/>
        </w:rPr>
        <w:t xml:space="preserve">Figure 4.27 shows the moduli of the </w:t>
      </w:r>
      <w:r>
        <w:rPr>
          <w:rFonts w:eastAsia="Times New Roman"/>
          <w:b w:val="0"/>
          <w:color w:val="000000"/>
          <w:szCs w:val="24"/>
          <w:lang w:eastAsia="en-MY"/>
        </w:rPr>
        <w:t>N</w:t>
      </w:r>
      <w:r>
        <w:rPr>
          <w:rFonts w:eastAsia="Times New Roman"/>
          <w:b w:val="0"/>
          <w:color w:val="000000"/>
          <w:szCs w:val="24"/>
          <w:vertAlign w:val="subscript"/>
          <w:lang w:eastAsia="en-MY"/>
        </w:rPr>
        <w:t>7.6</w:t>
      </w:r>
      <w:r>
        <w:rPr>
          <w:rFonts w:eastAsia="Times New Roman"/>
          <w:b w:val="0"/>
          <w:color w:val="000000"/>
          <w:szCs w:val="24"/>
          <w:lang w:eastAsia="en-MY"/>
        </w:rPr>
        <w:t>M</w:t>
      </w:r>
      <w:r>
        <w:rPr>
          <w:rFonts w:eastAsia="Times New Roman"/>
          <w:b w:val="0"/>
          <w:color w:val="000000"/>
          <w:szCs w:val="24"/>
          <w:vertAlign w:val="subscript"/>
          <w:lang w:eastAsia="en-MY"/>
        </w:rPr>
        <w:t>1.1</w:t>
      </w:r>
      <w:r>
        <w:rPr>
          <w:rFonts w:eastAsia="Times New Roman"/>
          <w:b w:val="0"/>
          <w:color w:val="000000"/>
          <w:szCs w:val="24"/>
          <w:lang w:eastAsia="en-MY"/>
        </w:rPr>
        <w:t>C</w:t>
      </w:r>
      <w:r>
        <w:rPr>
          <w:rFonts w:eastAsia="Times New Roman"/>
          <w:b w:val="0"/>
          <w:color w:val="000000"/>
          <w:szCs w:val="24"/>
          <w:vertAlign w:val="subscript"/>
          <w:lang w:eastAsia="en-MY"/>
        </w:rPr>
        <w:t>3</w:t>
      </w:r>
      <w:r>
        <w:rPr>
          <w:rFonts w:eastAsia="Times New Roman"/>
          <w:b w:val="0"/>
          <w:color w:val="000000"/>
          <w:szCs w:val="24"/>
          <w:lang w:eastAsia="en-MY"/>
        </w:rPr>
        <w:t>A</w:t>
      </w:r>
      <w:r>
        <w:rPr>
          <w:rFonts w:eastAsia="Times New Roman"/>
          <w:b w:val="0"/>
          <w:color w:val="000000"/>
          <w:szCs w:val="24"/>
          <w:vertAlign w:val="subscript"/>
          <w:lang w:eastAsia="en-MY"/>
        </w:rPr>
        <w:t>x</w:t>
      </w:r>
      <w:r>
        <w:rPr>
          <w:rFonts w:eastAsia="Times New Roman"/>
          <w:b w:val="0"/>
          <w:color w:val="000000"/>
          <w:szCs w:val="24"/>
          <w:lang w:eastAsia="en-MY"/>
        </w:rPr>
        <w:t>B</w:t>
      </w:r>
      <w:r>
        <w:rPr>
          <w:rFonts w:eastAsia="Times New Roman"/>
          <w:b w:val="0"/>
          <w:color w:val="000000"/>
          <w:szCs w:val="24"/>
          <w:vertAlign w:val="subscript"/>
          <w:lang w:eastAsia="en-MY"/>
        </w:rPr>
        <w:t>7.6</w:t>
      </w:r>
      <w:r>
        <w:rPr>
          <w:rFonts w:eastAsia="Times New Roman"/>
          <w:b w:val="0"/>
          <w:color w:val="000000"/>
          <w:szCs w:val="24"/>
          <w:lang w:eastAsia="en-MY"/>
        </w:rPr>
        <w:t>S</w:t>
      </w:r>
      <w:r>
        <w:rPr>
          <w:rFonts w:eastAsia="Times New Roman"/>
          <w:b w:val="0"/>
          <w:color w:val="000000"/>
          <w:szCs w:val="24"/>
          <w:vertAlign w:val="subscript"/>
          <w:lang w:eastAsia="en-MY"/>
        </w:rPr>
        <w:t>80.7-x</w:t>
      </w:r>
      <w:r>
        <w:rPr>
          <w:rFonts w:eastAsia="Times New Roman"/>
          <w:b w:val="0"/>
          <w:color w:val="000000"/>
          <w:szCs w:val="24"/>
          <w:lang w:eastAsia="en-MY"/>
        </w:rPr>
        <w:t>,</w:t>
      </w:r>
      <w:r>
        <w:rPr>
          <w:b w:val="0"/>
          <w:szCs w:val="24"/>
        </w:rPr>
        <w:t xml:space="preserve"> </w:t>
      </w:r>
      <w:r>
        <w:rPr>
          <w:rFonts w:eastAsia="Times New Roman"/>
          <w:b w:val="0"/>
          <w:color w:val="000000"/>
          <w:szCs w:val="24"/>
          <w:lang w:eastAsia="en-MY"/>
        </w:rPr>
        <w:t>N</w:t>
      </w:r>
      <w:r>
        <w:rPr>
          <w:rFonts w:eastAsia="Times New Roman"/>
          <w:b w:val="0"/>
          <w:color w:val="000000"/>
          <w:szCs w:val="24"/>
          <w:vertAlign w:val="subscript"/>
          <w:lang w:eastAsia="en-MY"/>
        </w:rPr>
        <w:t>15</w:t>
      </w:r>
      <w:r>
        <w:rPr>
          <w:rFonts w:eastAsia="Times New Roman"/>
          <w:b w:val="0"/>
          <w:color w:val="000000"/>
          <w:szCs w:val="24"/>
          <w:lang w:eastAsia="en-MY"/>
        </w:rPr>
        <w:t>C</w:t>
      </w:r>
      <w:r>
        <w:rPr>
          <w:rFonts w:eastAsia="Times New Roman"/>
          <w:b w:val="0"/>
          <w:color w:val="000000"/>
          <w:szCs w:val="24"/>
          <w:vertAlign w:val="subscript"/>
          <w:lang w:eastAsia="en-MY"/>
        </w:rPr>
        <w:t>5</w:t>
      </w:r>
      <w:r>
        <w:rPr>
          <w:rFonts w:eastAsia="Times New Roman"/>
          <w:b w:val="0"/>
          <w:color w:val="000000"/>
          <w:szCs w:val="24"/>
          <w:lang w:eastAsia="en-MY"/>
        </w:rPr>
        <w:t>A</w:t>
      </w:r>
      <w:r>
        <w:rPr>
          <w:rFonts w:eastAsia="Times New Roman"/>
          <w:b w:val="0"/>
          <w:color w:val="000000"/>
          <w:szCs w:val="24"/>
          <w:vertAlign w:val="subscript"/>
          <w:lang w:eastAsia="en-MY"/>
        </w:rPr>
        <w:t>x</w:t>
      </w:r>
      <w:r>
        <w:rPr>
          <w:rFonts w:eastAsia="Times New Roman"/>
          <w:b w:val="0"/>
          <w:color w:val="000000"/>
          <w:szCs w:val="24"/>
          <w:lang w:eastAsia="en-MY"/>
        </w:rPr>
        <w:t>B</w:t>
      </w:r>
      <w:r>
        <w:rPr>
          <w:rFonts w:eastAsia="Times New Roman"/>
          <w:b w:val="0"/>
          <w:color w:val="000000"/>
          <w:szCs w:val="24"/>
          <w:vertAlign w:val="subscript"/>
          <w:lang w:eastAsia="en-MY"/>
        </w:rPr>
        <w:t>10-x</w:t>
      </w:r>
      <w:r>
        <w:rPr>
          <w:rFonts w:eastAsia="Times New Roman"/>
          <w:b w:val="0"/>
          <w:color w:val="000000"/>
          <w:szCs w:val="24"/>
          <w:lang w:eastAsia="en-MY"/>
        </w:rPr>
        <w:t>S</w:t>
      </w:r>
      <w:r>
        <w:rPr>
          <w:rFonts w:eastAsia="Times New Roman"/>
          <w:b w:val="0"/>
          <w:color w:val="000000"/>
          <w:szCs w:val="24"/>
          <w:vertAlign w:val="subscript"/>
          <w:lang w:eastAsia="en-MY"/>
        </w:rPr>
        <w:t>70</w:t>
      </w:r>
      <w:r>
        <w:rPr>
          <w:b w:val="0"/>
          <w:szCs w:val="24"/>
        </w:rPr>
        <w:t xml:space="preserve"> and </w:t>
      </w:r>
      <w:r>
        <w:rPr>
          <w:rFonts w:eastAsia="Times New Roman"/>
          <w:b w:val="0"/>
          <w:color w:val="000000"/>
          <w:szCs w:val="24"/>
          <w:lang w:eastAsia="en-MY"/>
        </w:rPr>
        <w:t>N</w:t>
      </w:r>
      <w:r>
        <w:rPr>
          <w:rFonts w:eastAsia="Times New Roman"/>
          <w:b w:val="0"/>
          <w:color w:val="000000"/>
          <w:szCs w:val="24"/>
          <w:vertAlign w:val="subscript"/>
          <w:lang w:eastAsia="en-MY"/>
        </w:rPr>
        <w:t>15</w:t>
      </w:r>
      <w:r>
        <w:rPr>
          <w:rFonts w:eastAsia="Times New Roman"/>
          <w:b w:val="0"/>
          <w:color w:val="000000"/>
          <w:szCs w:val="24"/>
          <w:lang w:eastAsia="en-MY"/>
        </w:rPr>
        <w:t>C</w:t>
      </w:r>
      <w:r>
        <w:rPr>
          <w:rFonts w:eastAsia="Times New Roman"/>
          <w:b w:val="0"/>
          <w:color w:val="000000"/>
          <w:szCs w:val="24"/>
          <w:vertAlign w:val="subscript"/>
          <w:lang w:eastAsia="en-MY"/>
        </w:rPr>
        <w:t>5</w:t>
      </w:r>
      <w:r>
        <w:rPr>
          <w:rFonts w:eastAsia="Times New Roman"/>
          <w:b w:val="0"/>
          <w:color w:val="000000"/>
          <w:szCs w:val="24"/>
          <w:lang w:eastAsia="en-MY"/>
        </w:rPr>
        <w:t>A</w:t>
      </w:r>
      <w:r>
        <w:rPr>
          <w:rFonts w:eastAsia="Times New Roman"/>
          <w:b w:val="0"/>
          <w:color w:val="000000"/>
          <w:szCs w:val="24"/>
          <w:vertAlign w:val="subscript"/>
          <w:lang w:eastAsia="en-MY"/>
        </w:rPr>
        <w:t>x</w:t>
      </w:r>
      <w:r>
        <w:rPr>
          <w:rFonts w:eastAsia="Times New Roman"/>
          <w:b w:val="0"/>
          <w:color w:val="000000"/>
          <w:szCs w:val="24"/>
          <w:lang w:eastAsia="en-MY"/>
        </w:rPr>
        <w:t>B</w:t>
      </w:r>
      <w:r>
        <w:rPr>
          <w:rFonts w:eastAsia="Times New Roman"/>
          <w:b w:val="0"/>
          <w:color w:val="000000"/>
          <w:szCs w:val="24"/>
          <w:vertAlign w:val="subscript"/>
          <w:lang w:eastAsia="en-MY"/>
        </w:rPr>
        <w:t>20-x</w:t>
      </w:r>
      <w:r>
        <w:rPr>
          <w:rFonts w:eastAsia="Times New Roman"/>
          <w:b w:val="0"/>
          <w:color w:val="000000"/>
          <w:szCs w:val="24"/>
          <w:lang w:eastAsia="en-MY"/>
        </w:rPr>
        <w:t>S</w:t>
      </w:r>
      <w:r>
        <w:rPr>
          <w:rFonts w:eastAsia="Times New Roman"/>
          <w:b w:val="0"/>
          <w:color w:val="000000"/>
          <w:szCs w:val="24"/>
          <w:vertAlign w:val="subscript"/>
          <w:lang w:eastAsia="en-MY"/>
        </w:rPr>
        <w:t>60</w:t>
      </w:r>
      <w:r>
        <w:rPr>
          <w:rFonts w:cs="Times New Roman"/>
          <w:b w:val="0"/>
          <w:szCs w:val="24"/>
        </w:rPr>
        <w:t xml:space="preserve"> glass series versus total network charge balance. For series </w:t>
      </w:r>
      <w:r>
        <w:rPr>
          <w:rFonts w:eastAsia="Times New Roman"/>
          <w:b w:val="0"/>
          <w:color w:val="000000"/>
          <w:szCs w:val="24"/>
          <w:lang w:eastAsia="en-MY"/>
        </w:rPr>
        <w:t>N</w:t>
      </w:r>
      <w:r>
        <w:rPr>
          <w:rFonts w:eastAsia="Times New Roman"/>
          <w:b w:val="0"/>
          <w:color w:val="000000"/>
          <w:szCs w:val="24"/>
          <w:vertAlign w:val="subscript"/>
          <w:lang w:eastAsia="en-MY"/>
        </w:rPr>
        <w:t>7.6</w:t>
      </w:r>
      <w:r>
        <w:rPr>
          <w:rFonts w:eastAsia="Times New Roman"/>
          <w:b w:val="0"/>
          <w:color w:val="000000"/>
          <w:szCs w:val="24"/>
          <w:lang w:eastAsia="en-MY"/>
        </w:rPr>
        <w:t>M</w:t>
      </w:r>
      <w:r>
        <w:rPr>
          <w:rFonts w:eastAsia="Times New Roman"/>
          <w:b w:val="0"/>
          <w:color w:val="000000"/>
          <w:szCs w:val="24"/>
          <w:vertAlign w:val="subscript"/>
          <w:lang w:eastAsia="en-MY"/>
        </w:rPr>
        <w:t>1.1</w:t>
      </w:r>
      <w:r>
        <w:rPr>
          <w:rFonts w:eastAsia="Times New Roman"/>
          <w:b w:val="0"/>
          <w:color w:val="000000"/>
          <w:szCs w:val="24"/>
          <w:lang w:eastAsia="en-MY"/>
        </w:rPr>
        <w:t>C</w:t>
      </w:r>
      <w:r>
        <w:rPr>
          <w:rFonts w:eastAsia="Times New Roman"/>
          <w:b w:val="0"/>
          <w:color w:val="000000"/>
          <w:szCs w:val="24"/>
          <w:vertAlign w:val="subscript"/>
          <w:lang w:eastAsia="en-MY"/>
        </w:rPr>
        <w:t>3</w:t>
      </w:r>
      <w:r>
        <w:rPr>
          <w:rFonts w:eastAsia="Times New Roman"/>
          <w:b w:val="0"/>
          <w:color w:val="000000"/>
          <w:szCs w:val="24"/>
          <w:lang w:eastAsia="en-MY"/>
        </w:rPr>
        <w:t>A</w:t>
      </w:r>
      <w:r>
        <w:rPr>
          <w:rFonts w:eastAsia="Times New Roman"/>
          <w:b w:val="0"/>
          <w:color w:val="000000"/>
          <w:szCs w:val="24"/>
          <w:vertAlign w:val="subscript"/>
          <w:lang w:eastAsia="en-MY"/>
        </w:rPr>
        <w:t>x</w:t>
      </w:r>
      <w:r>
        <w:rPr>
          <w:rFonts w:eastAsia="Times New Roman"/>
          <w:b w:val="0"/>
          <w:color w:val="000000"/>
          <w:szCs w:val="24"/>
          <w:lang w:eastAsia="en-MY"/>
        </w:rPr>
        <w:t>B</w:t>
      </w:r>
      <w:r>
        <w:rPr>
          <w:rFonts w:eastAsia="Times New Roman"/>
          <w:b w:val="0"/>
          <w:color w:val="000000"/>
          <w:szCs w:val="24"/>
          <w:vertAlign w:val="subscript"/>
          <w:lang w:eastAsia="en-MY"/>
        </w:rPr>
        <w:t>7.6</w:t>
      </w:r>
      <w:r>
        <w:rPr>
          <w:rFonts w:eastAsia="Times New Roman"/>
          <w:b w:val="0"/>
          <w:color w:val="000000"/>
          <w:szCs w:val="24"/>
          <w:lang w:eastAsia="en-MY"/>
        </w:rPr>
        <w:t>S</w:t>
      </w:r>
      <w:r>
        <w:rPr>
          <w:rFonts w:eastAsia="Times New Roman"/>
          <w:b w:val="0"/>
          <w:color w:val="000000"/>
          <w:szCs w:val="24"/>
          <w:vertAlign w:val="subscript"/>
          <w:lang w:eastAsia="en-MY"/>
        </w:rPr>
        <w:t>80.7-x</w:t>
      </w:r>
      <w:r>
        <w:rPr>
          <w:rFonts w:eastAsia="Times New Roman"/>
          <w:b w:val="0"/>
          <w:color w:val="000000"/>
          <w:szCs w:val="24"/>
          <w:lang w:eastAsia="en-MY"/>
        </w:rPr>
        <w:t xml:space="preserve">, there is no clear trend. For series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10-x</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70</w:t>
      </w:r>
      <w:r>
        <w:rPr>
          <w:rFonts w:eastAsia="Times New Roman" w:cs="Times New Roman"/>
          <w:b w:val="0"/>
          <w:color w:val="000000"/>
          <w:szCs w:val="24"/>
          <w:lang w:eastAsia="en-MY"/>
        </w:rPr>
        <w:t>, the glass that contains high alumina (N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70</w:t>
      </w:r>
      <w:r>
        <w:rPr>
          <w:rFonts w:eastAsia="Times New Roman" w:cs="Times New Roman"/>
          <w:b w:val="0"/>
          <w:color w:val="000000"/>
          <w:szCs w:val="24"/>
          <w:lang w:eastAsia="en-MY"/>
        </w:rPr>
        <w:t>) has high Young’s and shear modulus but the higher bulk modulus and Poisson’s ratio values belong to the glass with no alumina in its nominal composition (N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0</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70</w:t>
      </w:r>
      <w:r>
        <w:rPr>
          <w:rFonts w:eastAsia="Times New Roman" w:cs="Times New Roman"/>
          <w:b w:val="0"/>
          <w:color w:val="000000"/>
          <w:szCs w:val="24"/>
          <w:lang w:eastAsia="en-MY"/>
        </w:rPr>
        <w:t>). However, due to the corrosion of crucible when melting, there is alumina present in this glass. For 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20-x</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 xml:space="preserve">60 </w:t>
      </w:r>
      <w:r>
        <w:rPr>
          <w:rFonts w:eastAsia="Times New Roman" w:cs="Times New Roman"/>
          <w:b w:val="0"/>
          <w:color w:val="000000"/>
          <w:szCs w:val="24"/>
          <w:lang w:eastAsia="en-MY"/>
        </w:rPr>
        <w:t>glass series, 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 xml:space="preserve">60 </w:t>
      </w:r>
      <w:r>
        <w:rPr>
          <w:rFonts w:eastAsia="Times New Roman" w:cs="Times New Roman"/>
          <w:b w:val="0"/>
          <w:color w:val="000000"/>
          <w:szCs w:val="24"/>
          <w:lang w:eastAsia="en-MY"/>
        </w:rPr>
        <w:t xml:space="preserve">glass with high alumina </w:t>
      </w:r>
      <w:r>
        <w:rPr>
          <w:rFonts w:eastAsia="Times New Roman" w:cs="Times New Roman"/>
          <w:b w:val="0"/>
          <w:color w:val="000000"/>
          <w:szCs w:val="24"/>
          <w:lang w:eastAsia="en-MY"/>
        </w:rPr>
        <w:lastRenderedPageBreak/>
        <w:t>content also had higher Young’s and shear moduli values. Meanwhile</w:t>
      </w:r>
      <w:r w:rsidR="000D097B">
        <w:rPr>
          <w:rFonts w:eastAsia="Times New Roman" w:cs="Times New Roman"/>
          <w:b w:val="0"/>
          <w:color w:val="000000"/>
          <w:szCs w:val="24"/>
          <w:lang w:eastAsia="en-MY"/>
        </w:rPr>
        <w:t>,</w:t>
      </w:r>
      <w:r>
        <w:rPr>
          <w:rFonts w:eastAsia="Times New Roman" w:cs="Times New Roman"/>
          <w:b w:val="0"/>
          <w:color w:val="000000"/>
          <w:szCs w:val="24"/>
          <w:lang w:eastAsia="en-MY"/>
        </w:rPr>
        <w:t xml:space="preserve"> Poisson’s ratio increased and decreased for series N</w:t>
      </w:r>
      <w:r>
        <w:rPr>
          <w:rFonts w:eastAsia="Times New Roman" w:cs="Times New Roman"/>
          <w:b w:val="0"/>
          <w:color w:val="000000"/>
          <w:szCs w:val="24"/>
          <w:vertAlign w:val="subscript"/>
          <w:lang w:eastAsia="en-MY"/>
        </w:rPr>
        <w:t>7.6</w:t>
      </w:r>
      <w:r>
        <w:rPr>
          <w:rFonts w:eastAsia="Times New Roman" w:cs="Times New Roman"/>
          <w:b w:val="0"/>
          <w:color w:val="000000"/>
          <w:szCs w:val="24"/>
          <w:lang w:eastAsia="en-MY"/>
        </w:rPr>
        <w:t>M</w:t>
      </w:r>
      <w:r>
        <w:rPr>
          <w:rFonts w:eastAsia="Times New Roman" w:cs="Times New Roman"/>
          <w:b w:val="0"/>
          <w:color w:val="000000"/>
          <w:szCs w:val="24"/>
          <w:vertAlign w:val="subscript"/>
          <w:lang w:eastAsia="en-MY"/>
        </w:rPr>
        <w:t>1.1</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3</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7.6</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80.7-x</w:t>
      </w:r>
      <w:r>
        <w:rPr>
          <w:rFonts w:eastAsia="Times New Roman" w:cs="Times New Roman"/>
          <w:b w:val="0"/>
          <w:color w:val="000000"/>
          <w:szCs w:val="24"/>
          <w:lang w:eastAsia="en-MY"/>
        </w:rPr>
        <w:t>. For the other two series, the highest Poisson’s ratio value are glasses with lowest alumina contents, namely glass 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0</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 xml:space="preserve">70 </w:t>
      </w:r>
      <w:r>
        <w:rPr>
          <w:rFonts w:eastAsia="Times New Roman" w:cs="Times New Roman"/>
          <w:b w:val="0"/>
          <w:color w:val="000000"/>
          <w:szCs w:val="24"/>
          <w:lang w:eastAsia="en-MY"/>
        </w:rPr>
        <w:t>with ν = 0.24 and glass 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 xml:space="preserve">60 </w:t>
      </w:r>
      <w:r>
        <w:rPr>
          <w:rFonts w:eastAsia="Times New Roman" w:cs="Times New Roman"/>
          <w:b w:val="0"/>
          <w:color w:val="000000"/>
          <w:szCs w:val="24"/>
          <w:lang w:eastAsia="en-MY"/>
        </w:rPr>
        <w:t xml:space="preserve">with ν = </w:t>
      </w:r>
      <w:r>
        <w:rPr>
          <w:rFonts w:eastAsia="Times New Roman" w:cs="Times New Roman"/>
          <w:color w:val="000000"/>
          <w:sz w:val="16"/>
          <w:szCs w:val="16"/>
          <w:vertAlign w:val="subscript"/>
          <w:lang w:eastAsia="en-MY"/>
        </w:rPr>
        <w:t xml:space="preserve"> </w:t>
      </w:r>
      <w:r>
        <w:rPr>
          <w:rFonts w:eastAsia="Times New Roman" w:cs="Times New Roman"/>
          <w:b w:val="0"/>
          <w:color w:val="000000"/>
          <w:szCs w:val="24"/>
          <w:lang w:eastAsia="en-MY"/>
        </w:rPr>
        <w:t>0.25.</w:t>
      </w:r>
    </w:p>
    <w:p w14:paraId="4CB351BA" w14:textId="77777777" w:rsidR="00BF600D" w:rsidRDefault="00BF600D" w:rsidP="00BF600D">
      <w:pPr>
        <w:spacing w:after="0" w:line="360" w:lineRule="auto"/>
        <w:jc w:val="both"/>
        <w:rPr>
          <w:rFonts w:cs="Times New Roman"/>
          <w:szCs w:val="24"/>
        </w:rPr>
      </w:pPr>
    </w:p>
    <w:p w14:paraId="16532B95" w14:textId="77777777" w:rsidR="00BF600D" w:rsidRDefault="00BF600D" w:rsidP="00BF600D">
      <w:pPr>
        <w:pStyle w:val="Heading4"/>
        <w:spacing w:line="240" w:lineRule="auto"/>
      </w:pPr>
      <w:bookmarkStart w:id="804" w:name="_Toc525742530"/>
      <w:bookmarkStart w:id="805" w:name="_Toc525707865"/>
      <w:r>
        <w:t>4.5.1.2 Hardness, toughness and brittleness.</w:t>
      </w:r>
      <w:bookmarkEnd w:id="804"/>
      <w:bookmarkEnd w:id="805"/>
    </w:p>
    <w:p w14:paraId="0FBBB2E5" w14:textId="5116E6AD" w:rsidR="00BF600D" w:rsidRDefault="00BF600D" w:rsidP="00BF600D">
      <w:pPr>
        <w:spacing w:after="0" w:line="360" w:lineRule="auto"/>
        <w:jc w:val="both"/>
        <w:rPr>
          <w:rFonts w:cs="Times New Roman"/>
          <w:szCs w:val="24"/>
        </w:rPr>
      </w:pPr>
      <w:r>
        <w:rPr>
          <w:rFonts w:cs="Times New Roman"/>
          <w:szCs w:val="24"/>
        </w:rPr>
        <w:t xml:space="preserve"> </w:t>
      </w:r>
      <w:r>
        <w:rPr>
          <w:noProof/>
          <w:lang w:eastAsia="en-MY"/>
        </w:rPr>
        <w:drawing>
          <wp:inline distT="0" distB="0" distL="0" distR="0" wp14:anchorId="2ACAFD6D" wp14:editId="51F22233">
            <wp:extent cx="2714625" cy="2162175"/>
            <wp:effectExtent l="0" t="0" r="9525" b="9525"/>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714625" cy="2162175"/>
                    </a:xfrm>
                    <a:prstGeom prst="rect">
                      <a:avLst/>
                    </a:prstGeom>
                    <a:noFill/>
                    <a:ln>
                      <a:noFill/>
                    </a:ln>
                  </pic:spPr>
                </pic:pic>
              </a:graphicData>
            </a:graphic>
          </wp:inline>
        </w:drawing>
      </w:r>
      <w:r>
        <w:rPr>
          <w:rFonts w:cs="Times New Roman"/>
          <w:szCs w:val="24"/>
        </w:rPr>
        <w:t xml:space="preserve"> </w:t>
      </w:r>
      <w:r>
        <w:rPr>
          <w:noProof/>
          <w:lang w:eastAsia="en-MY"/>
        </w:rPr>
        <w:drawing>
          <wp:inline distT="0" distB="0" distL="0" distR="0" wp14:anchorId="48691417" wp14:editId="17EDC4F8">
            <wp:extent cx="2714625" cy="2305050"/>
            <wp:effectExtent l="0" t="0" r="952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714625" cy="2305050"/>
                    </a:xfrm>
                    <a:prstGeom prst="rect">
                      <a:avLst/>
                    </a:prstGeom>
                    <a:noFill/>
                    <a:ln>
                      <a:noFill/>
                    </a:ln>
                  </pic:spPr>
                </pic:pic>
              </a:graphicData>
            </a:graphic>
          </wp:inline>
        </w:drawing>
      </w:r>
    </w:p>
    <w:p w14:paraId="2ECAC4C6" w14:textId="45BDEC4E" w:rsidR="00BF600D" w:rsidRDefault="00BF600D" w:rsidP="00BF600D">
      <w:pPr>
        <w:spacing w:after="0" w:line="360" w:lineRule="auto"/>
        <w:jc w:val="center"/>
        <w:rPr>
          <w:rFonts w:cs="Times New Roman"/>
          <w:szCs w:val="24"/>
        </w:rPr>
      </w:pPr>
      <w:r>
        <w:rPr>
          <w:noProof/>
          <w:lang w:eastAsia="en-MY"/>
        </w:rPr>
        <w:drawing>
          <wp:inline distT="0" distB="0" distL="0" distR="0" wp14:anchorId="023499DD" wp14:editId="34A55516">
            <wp:extent cx="2876550" cy="23050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876550" cy="2305050"/>
                    </a:xfrm>
                    <a:prstGeom prst="rect">
                      <a:avLst/>
                    </a:prstGeom>
                    <a:noFill/>
                    <a:ln>
                      <a:noFill/>
                    </a:ln>
                  </pic:spPr>
                </pic:pic>
              </a:graphicData>
            </a:graphic>
          </wp:inline>
        </w:drawing>
      </w:r>
    </w:p>
    <w:p w14:paraId="33EBA1A5" w14:textId="5E3150E5" w:rsidR="00BF600D" w:rsidRDefault="009F4E44" w:rsidP="00BF600D">
      <w:pPr>
        <w:pStyle w:val="Caption"/>
        <w:rPr>
          <w:szCs w:val="24"/>
        </w:rPr>
      </w:pPr>
      <w:bookmarkStart w:id="806" w:name="_Toc525706391"/>
      <w:bookmarkStart w:id="807" w:name="_Toc525528376"/>
      <w:bookmarkStart w:id="808" w:name="_Toc521420495"/>
      <w:bookmarkEnd w:id="798"/>
      <w:r>
        <w:t>Figure 4.28:</w:t>
      </w:r>
      <w:r w:rsidR="00BF600D">
        <w:t xml:space="preserve"> </w:t>
      </w:r>
      <w:r w:rsidR="00BF600D">
        <w:rPr>
          <w:szCs w:val="24"/>
        </w:rPr>
        <w:t xml:space="preserve">Hardness, toughness and brittleness of </w:t>
      </w:r>
      <w:r w:rsidR="00BF600D">
        <w:rPr>
          <w:rFonts w:eastAsia="Times New Roman"/>
          <w:color w:val="000000"/>
          <w:szCs w:val="24"/>
          <w:lang w:eastAsia="en-MY"/>
        </w:rPr>
        <w:t>N</w:t>
      </w:r>
      <w:r w:rsidR="00BF600D">
        <w:rPr>
          <w:rFonts w:eastAsia="Times New Roman"/>
          <w:color w:val="000000"/>
          <w:szCs w:val="24"/>
          <w:vertAlign w:val="subscript"/>
          <w:lang w:eastAsia="en-MY"/>
        </w:rPr>
        <w:t>7.6</w:t>
      </w:r>
      <w:r w:rsidR="00BF600D">
        <w:rPr>
          <w:rFonts w:eastAsia="Times New Roman"/>
          <w:color w:val="000000"/>
          <w:szCs w:val="24"/>
          <w:lang w:eastAsia="en-MY"/>
        </w:rPr>
        <w:t>M</w:t>
      </w:r>
      <w:r w:rsidR="00BF600D">
        <w:rPr>
          <w:rFonts w:eastAsia="Times New Roman"/>
          <w:color w:val="000000"/>
          <w:szCs w:val="24"/>
          <w:vertAlign w:val="subscript"/>
          <w:lang w:eastAsia="en-MY"/>
        </w:rPr>
        <w:t>1.1</w:t>
      </w:r>
      <w:r w:rsidR="00BF600D">
        <w:rPr>
          <w:rFonts w:eastAsia="Times New Roman"/>
          <w:color w:val="000000"/>
          <w:szCs w:val="24"/>
          <w:lang w:eastAsia="en-MY"/>
        </w:rPr>
        <w:t>C</w:t>
      </w:r>
      <w:r w:rsidR="00BF600D">
        <w:rPr>
          <w:rFonts w:eastAsia="Times New Roman"/>
          <w:color w:val="000000"/>
          <w:szCs w:val="24"/>
          <w:vertAlign w:val="subscript"/>
          <w:lang w:eastAsia="en-MY"/>
        </w:rPr>
        <w:t>3</w:t>
      </w:r>
      <w:r w:rsidR="00BF600D">
        <w:rPr>
          <w:rFonts w:eastAsia="Times New Roman"/>
          <w:color w:val="000000"/>
          <w:szCs w:val="24"/>
          <w:lang w:eastAsia="en-MY"/>
        </w:rPr>
        <w:t>A</w:t>
      </w:r>
      <w:r w:rsidR="00BF600D">
        <w:rPr>
          <w:rFonts w:eastAsia="Times New Roman"/>
          <w:color w:val="000000"/>
          <w:szCs w:val="24"/>
          <w:vertAlign w:val="subscript"/>
          <w:lang w:eastAsia="en-MY"/>
        </w:rPr>
        <w:t>x</w:t>
      </w:r>
      <w:r w:rsidR="00BF600D">
        <w:rPr>
          <w:rFonts w:eastAsia="Times New Roman"/>
          <w:color w:val="000000"/>
          <w:szCs w:val="24"/>
          <w:lang w:eastAsia="en-MY"/>
        </w:rPr>
        <w:t>B</w:t>
      </w:r>
      <w:r w:rsidR="00BF600D">
        <w:rPr>
          <w:rFonts w:eastAsia="Times New Roman"/>
          <w:color w:val="000000"/>
          <w:szCs w:val="24"/>
          <w:vertAlign w:val="subscript"/>
          <w:lang w:eastAsia="en-MY"/>
        </w:rPr>
        <w:t>7.6</w:t>
      </w:r>
      <w:r w:rsidR="00BF600D">
        <w:rPr>
          <w:rFonts w:eastAsia="Times New Roman"/>
          <w:color w:val="000000"/>
          <w:szCs w:val="24"/>
          <w:lang w:eastAsia="en-MY"/>
        </w:rPr>
        <w:t>S</w:t>
      </w:r>
      <w:r w:rsidR="00BF600D">
        <w:rPr>
          <w:rFonts w:eastAsia="Times New Roman"/>
          <w:color w:val="000000"/>
          <w:szCs w:val="24"/>
          <w:vertAlign w:val="subscript"/>
          <w:lang w:eastAsia="en-MY"/>
        </w:rPr>
        <w:t>80.7-x</w:t>
      </w:r>
      <w:r w:rsidR="00BF600D">
        <w:rPr>
          <w:szCs w:val="24"/>
        </w:rPr>
        <w:t xml:space="preserve">, </w:t>
      </w:r>
      <w:r w:rsidR="00BF600D">
        <w:rPr>
          <w:rFonts w:eastAsia="Times New Roman"/>
          <w:color w:val="000000"/>
          <w:szCs w:val="24"/>
          <w:lang w:eastAsia="en-MY"/>
        </w:rPr>
        <w:t>N</w:t>
      </w:r>
      <w:r w:rsidR="00BF600D">
        <w:rPr>
          <w:rFonts w:eastAsia="Times New Roman"/>
          <w:color w:val="000000"/>
          <w:szCs w:val="24"/>
          <w:vertAlign w:val="subscript"/>
          <w:lang w:eastAsia="en-MY"/>
        </w:rPr>
        <w:t>15</w:t>
      </w:r>
      <w:r w:rsidR="00BF600D">
        <w:rPr>
          <w:rFonts w:eastAsia="Times New Roman"/>
          <w:color w:val="000000"/>
          <w:szCs w:val="24"/>
          <w:lang w:eastAsia="en-MY"/>
        </w:rPr>
        <w:t>C</w:t>
      </w:r>
      <w:r w:rsidR="00BF600D">
        <w:rPr>
          <w:rFonts w:eastAsia="Times New Roman"/>
          <w:color w:val="000000"/>
          <w:szCs w:val="24"/>
          <w:vertAlign w:val="subscript"/>
          <w:lang w:eastAsia="en-MY"/>
        </w:rPr>
        <w:t>5</w:t>
      </w:r>
      <w:r w:rsidR="00BF600D">
        <w:rPr>
          <w:rFonts w:eastAsia="Times New Roman"/>
          <w:color w:val="000000"/>
          <w:szCs w:val="24"/>
          <w:lang w:eastAsia="en-MY"/>
        </w:rPr>
        <w:t>A</w:t>
      </w:r>
      <w:r w:rsidR="00BF600D">
        <w:rPr>
          <w:rFonts w:eastAsia="Times New Roman"/>
          <w:color w:val="000000"/>
          <w:szCs w:val="24"/>
          <w:vertAlign w:val="subscript"/>
          <w:lang w:eastAsia="en-MY"/>
        </w:rPr>
        <w:t>x</w:t>
      </w:r>
      <w:r w:rsidR="00BF600D">
        <w:rPr>
          <w:rFonts w:eastAsia="Times New Roman"/>
          <w:color w:val="000000"/>
          <w:szCs w:val="24"/>
          <w:lang w:eastAsia="en-MY"/>
        </w:rPr>
        <w:t>B</w:t>
      </w:r>
      <w:r w:rsidR="00BF600D">
        <w:rPr>
          <w:rFonts w:eastAsia="Times New Roman"/>
          <w:color w:val="000000"/>
          <w:szCs w:val="24"/>
          <w:vertAlign w:val="subscript"/>
          <w:lang w:eastAsia="en-MY"/>
        </w:rPr>
        <w:t>10-x</w:t>
      </w:r>
      <w:r w:rsidR="00BF600D">
        <w:rPr>
          <w:rFonts w:eastAsia="Times New Roman"/>
          <w:color w:val="000000"/>
          <w:szCs w:val="24"/>
          <w:lang w:eastAsia="en-MY"/>
        </w:rPr>
        <w:t>S</w:t>
      </w:r>
      <w:r w:rsidR="00BF600D">
        <w:rPr>
          <w:rFonts w:eastAsia="Times New Roman"/>
          <w:color w:val="000000"/>
          <w:szCs w:val="24"/>
          <w:vertAlign w:val="subscript"/>
          <w:lang w:eastAsia="en-MY"/>
        </w:rPr>
        <w:t>70</w:t>
      </w:r>
      <w:r w:rsidR="00BF600D">
        <w:rPr>
          <w:szCs w:val="24"/>
        </w:rPr>
        <w:t xml:space="preserve">, </w:t>
      </w:r>
      <w:r w:rsidR="00BF600D">
        <w:rPr>
          <w:rFonts w:eastAsia="Times New Roman"/>
          <w:color w:val="000000"/>
          <w:szCs w:val="24"/>
          <w:lang w:eastAsia="en-MY"/>
        </w:rPr>
        <w:t>N</w:t>
      </w:r>
      <w:r w:rsidR="00BF600D">
        <w:rPr>
          <w:rFonts w:eastAsia="Times New Roman"/>
          <w:color w:val="000000"/>
          <w:szCs w:val="24"/>
          <w:vertAlign w:val="subscript"/>
          <w:lang w:eastAsia="en-MY"/>
        </w:rPr>
        <w:t>15</w:t>
      </w:r>
      <w:r w:rsidR="00BF600D">
        <w:rPr>
          <w:rFonts w:eastAsia="Times New Roman"/>
          <w:color w:val="000000"/>
          <w:szCs w:val="24"/>
          <w:lang w:eastAsia="en-MY"/>
        </w:rPr>
        <w:t>C</w:t>
      </w:r>
      <w:r w:rsidR="00BF600D">
        <w:rPr>
          <w:rFonts w:eastAsia="Times New Roman"/>
          <w:color w:val="000000"/>
          <w:szCs w:val="24"/>
          <w:vertAlign w:val="subscript"/>
          <w:lang w:eastAsia="en-MY"/>
        </w:rPr>
        <w:t>5</w:t>
      </w:r>
      <w:r w:rsidR="00BF600D">
        <w:rPr>
          <w:rFonts w:eastAsia="Times New Roman"/>
          <w:color w:val="000000"/>
          <w:szCs w:val="24"/>
          <w:lang w:eastAsia="en-MY"/>
        </w:rPr>
        <w:t>A</w:t>
      </w:r>
      <w:r w:rsidR="00BF600D">
        <w:rPr>
          <w:rFonts w:eastAsia="Times New Roman"/>
          <w:color w:val="000000"/>
          <w:szCs w:val="24"/>
          <w:vertAlign w:val="subscript"/>
          <w:lang w:eastAsia="en-MY"/>
        </w:rPr>
        <w:t>x</w:t>
      </w:r>
      <w:r w:rsidR="00BF600D">
        <w:rPr>
          <w:rFonts w:eastAsia="Times New Roman"/>
          <w:color w:val="000000"/>
          <w:szCs w:val="24"/>
          <w:lang w:eastAsia="en-MY"/>
        </w:rPr>
        <w:t>B</w:t>
      </w:r>
      <w:r w:rsidR="00BF600D">
        <w:rPr>
          <w:rFonts w:eastAsia="Times New Roman"/>
          <w:color w:val="000000"/>
          <w:szCs w:val="24"/>
          <w:vertAlign w:val="subscript"/>
          <w:lang w:eastAsia="en-MY"/>
        </w:rPr>
        <w:t>20-x</w:t>
      </w:r>
      <w:r w:rsidR="00BF600D">
        <w:rPr>
          <w:rFonts w:eastAsia="Times New Roman"/>
          <w:color w:val="000000"/>
          <w:szCs w:val="24"/>
          <w:lang w:eastAsia="en-MY"/>
        </w:rPr>
        <w:t>S</w:t>
      </w:r>
      <w:r w:rsidR="00BF600D">
        <w:rPr>
          <w:rFonts w:eastAsia="Times New Roman"/>
          <w:color w:val="000000"/>
          <w:szCs w:val="24"/>
          <w:vertAlign w:val="subscript"/>
          <w:lang w:eastAsia="en-MY"/>
        </w:rPr>
        <w:t xml:space="preserve">60 </w:t>
      </w:r>
      <w:r w:rsidR="00BF600D">
        <w:rPr>
          <w:szCs w:val="24"/>
        </w:rPr>
        <w:t xml:space="preserve">glass series versus </w:t>
      </w:r>
      <w:r w:rsidR="008C4D01">
        <w:rPr>
          <w:szCs w:val="24"/>
        </w:rPr>
        <w:t xml:space="preserve">the </w:t>
      </w:r>
      <w:r w:rsidR="00BF600D">
        <w:rPr>
          <w:szCs w:val="24"/>
        </w:rPr>
        <w:t>ratio of alumina to alumina + network former.</w:t>
      </w:r>
      <w:bookmarkEnd w:id="806"/>
      <w:bookmarkEnd w:id="807"/>
      <w:bookmarkEnd w:id="808"/>
      <w:r w:rsidR="00BF600D">
        <w:rPr>
          <w:szCs w:val="24"/>
        </w:rPr>
        <w:t xml:space="preserve"> </w:t>
      </w:r>
    </w:p>
    <w:p w14:paraId="71A4F5E1" w14:textId="34861DD5" w:rsidR="00BF600D" w:rsidRDefault="00BF600D" w:rsidP="00BF600D">
      <w:pPr>
        <w:spacing w:after="0" w:line="360" w:lineRule="auto"/>
        <w:jc w:val="both"/>
        <w:rPr>
          <w:rFonts w:cs="Times New Roman"/>
          <w:b w:val="0"/>
          <w:szCs w:val="24"/>
        </w:rPr>
      </w:pPr>
      <w:r>
        <w:rPr>
          <w:rFonts w:cs="Times New Roman"/>
          <w:b w:val="0"/>
          <w:szCs w:val="24"/>
        </w:rPr>
        <w:t xml:space="preserve">For series </w:t>
      </w:r>
      <w:r>
        <w:rPr>
          <w:rFonts w:eastAsia="Times New Roman"/>
          <w:b w:val="0"/>
          <w:color w:val="000000"/>
          <w:szCs w:val="24"/>
          <w:lang w:eastAsia="en-MY"/>
        </w:rPr>
        <w:t>N</w:t>
      </w:r>
      <w:r>
        <w:rPr>
          <w:rFonts w:eastAsia="Times New Roman"/>
          <w:b w:val="0"/>
          <w:color w:val="000000"/>
          <w:szCs w:val="24"/>
          <w:vertAlign w:val="subscript"/>
          <w:lang w:eastAsia="en-MY"/>
        </w:rPr>
        <w:t>7.6</w:t>
      </w:r>
      <w:r>
        <w:rPr>
          <w:rFonts w:eastAsia="Times New Roman"/>
          <w:b w:val="0"/>
          <w:color w:val="000000"/>
          <w:szCs w:val="24"/>
          <w:lang w:eastAsia="en-MY"/>
        </w:rPr>
        <w:t>M</w:t>
      </w:r>
      <w:r>
        <w:rPr>
          <w:rFonts w:eastAsia="Times New Roman"/>
          <w:b w:val="0"/>
          <w:color w:val="000000"/>
          <w:szCs w:val="24"/>
          <w:vertAlign w:val="subscript"/>
          <w:lang w:eastAsia="en-MY"/>
        </w:rPr>
        <w:t>1.1</w:t>
      </w:r>
      <w:r>
        <w:rPr>
          <w:rFonts w:eastAsia="Times New Roman"/>
          <w:b w:val="0"/>
          <w:color w:val="000000"/>
          <w:szCs w:val="24"/>
          <w:lang w:eastAsia="en-MY"/>
        </w:rPr>
        <w:t>C</w:t>
      </w:r>
      <w:r>
        <w:rPr>
          <w:rFonts w:eastAsia="Times New Roman"/>
          <w:b w:val="0"/>
          <w:color w:val="000000"/>
          <w:szCs w:val="24"/>
          <w:vertAlign w:val="subscript"/>
          <w:lang w:eastAsia="en-MY"/>
        </w:rPr>
        <w:t>3</w:t>
      </w:r>
      <w:r>
        <w:rPr>
          <w:rFonts w:eastAsia="Times New Roman"/>
          <w:b w:val="0"/>
          <w:color w:val="000000"/>
          <w:szCs w:val="24"/>
          <w:lang w:eastAsia="en-MY"/>
        </w:rPr>
        <w:t>A</w:t>
      </w:r>
      <w:r>
        <w:rPr>
          <w:rFonts w:eastAsia="Times New Roman"/>
          <w:b w:val="0"/>
          <w:color w:val="000000"/>
          <w:szCs w:val="24"/>
          <w:vertAlign w:val="subscript"/>
          <w:lang w:eastAsia="en-MY"/>
        </w:rPr>
        <w:t>x</w:t>
      </w:r>
      <w:r>
        <w:rPr>
          <w:rFonts w:eastAsia="Times New Roman"/>
          <w:b w:val="0"/>
          <w:color w:val="000000"/>
          <w:szCs w:val="24"/>
          <w:lang w:eastAsia="en-MY"/>
        </w:rPr>
        <w:t>B</w:t>
      </w:r>
      <w:r>
        <w:rPr>
          <w:rFonts w:eastAsia="Times New Roman"/>
          <w:b w:val="0"/>
          <w:color w:val="000000"/>
          <w:szCs w:val="24"/>
          <w:vertAlign w:val="subscript"/>
          <w:lang w:eastAsia="en-MY"/>
        </w:rPr>
        <w:t>7.6</w:t>
      </w:r>
      <w:r>
        <w:rPr>
          <w:rFonts w:eastAsia="Times New Roman"/>
          <w:b w:val="0"/>
          <w:color w:val="000000"/>
          <w:szCs w:val="24"/>
          <w:lang w:eastAsia="en-MY"/>
        </w:rPr>
        <w:t>S</w:t>
      </w:r>
      <w:r>
        <w:rPr>
          <w:rFonts w:eastAsia="Times New Roman"/>
          <w:b w:val="0"/>
          <w:color w:val="000000"/>
          <w:szCs w:val="24"/>
          <w:vertAlign w:val="subscript"/>
          <w:lang w:eastAsia="en-MY"/>
        </w:rPr>
        <w:t xml:space="preserve">80.7-x </w:t>
      </w:r>
      <w:r>
        <w:rPr>
          <w:rFonts w:cs="Times New Roman"/>
          <w:b w:val="0"/>
          <w:szCs w:val="24"/>
        </w:rPr>
        <w:t xml:space="preserve">the hardness and brittleness decreased and Vickers indentation toughness increased </w:t>
      </w:r>
      <w:r>
        <w:rPr>
          <w:rFonts w:eastAsia="Times New Roman"/>
          <w:b w:val="0"/>
          <w:color w:val="000000"/>
          <w:szCs w:val="24"/>
          <w:lang w:eastAsia="en-MY"/>
        </w:rPr>
        <w:t xml:space="preserve">with increasing alumina content as shown in Figure 4.28. Meanwhile series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10-x</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 xml:space="preserve">70 </w:t>
      </w:r>
      <w:r>
        <w:rPr>
          <w:rFonts w:eastAsia="Times New Roman" w:cs="Times New Roman"/>
          <w:b w:val="0"/>
          <w:color w:val="000000"/>
          <w:szCs w:val="24"/>
          <w:lang w:eastAsia="en-MY"/>
        </w:rPr>
        <w:t>and series 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20-x</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60</w:t>
      </w:r>
      <w:r>
        <w:rPr>
          <w:rFonts w:eastAsia="Times New Roman" w:cs="Times New Roman"/>
          <w:b w:val="0"/>
          <w:color w:val="000000"/>
          <w:szCs w:val="24"/>
          <w:lang w:eastAsia="en-MY"/>
        </w:rPr>
        <w:t>, glasses with high ratios of alumina to network former content give higher hardness and brittleness value meanwhile for toughness, the glass with the highest alumina content give</w:t>
      </w:r>
      <w:r w:rsidR="008C4D01">
        <w:rPr>
          <w:rFonts w:eastAsia="Times New Roman" w:cs="Times New Roman"/>
          <w:b w:val="0"/>
          <w:color w:val="000000"/>
          <w:szCs w:val="24"/>
          <w:lang w:eastAsia="en-MY"/>
        </w:rPr>
        <w:t>s</w:t>
      </w:r>
      <w:r>
        <w:rPr>
          <w:rFonts w:eastAsia="Times New Roman" w:cs="Times New Roman"/>
          <w:b w:val="0"/>
          <w:color w:val="000000"/>
          <w:szCs w:val="24"/>
          <w:lang w:eastAsia="en-MY"/>
        </w:rPr>
        <w:t xml:space="preserve"> </w:t>
      </w:r>
      <w:r w:rsidR="008C4D01">
        <w:rPr>
          <w:rFonts w:eastAsia="Times New Roman" w:cs="Times New Roman"/>
          <w:b w:val="0"/>
          <w:color w:val="000000"/>
          <w:szCs w:val="24"/>
          <w:lang w:eastAsia="en-MY"/>
        </w:rPr>
        <w:t xml:space="preserve">the </w:t>
      </w:r>
      <w:r>
        <w:rPr>
          <w:rFonts w:eastAsia="Times New Roman" w:cs="Times New Roman"/>
          <w:b w:val="0"/>
          <w:color w:val="000000"/>
          <w:szCs w:val="24"/>
          <w:lang w:eastAsia="en-MY"/>
        </w:rPr>
        <w:t xml:space="preserve">lowest value. </w:t>
      </w:r>
    </w:p>
    <w:p w14:paraId="6079A8C1" w14:textId="77777777" w:rsidR="00BF600D" w:rsidRDefault="00BF600D" w:rsidP="00BF600D">
      <w:pPr>
        <w:pStyle w:val="Heading4"/>
      </w:pPr>
      <w:bookmarkStart w:id="809" w:name="_Toc525742531"/>
      <w:bookmarkStart w:id="810" w:name="_Toc525707866"/>
      <w:r>
        <w:lastRenderedPageBreak/>
        <w:t>4.5.2 Series N</w:t>
      </w:r>
      <w:r>
        <w:rPr>
          <w:vertAlign w:val="subscript"/>
        </w:rPr>
        <w:t>15</w:t>
      </w:r>
      <w:r>
        <w:t>C</w:t>
      </w:r>
      <w:r>
        <w:rPr>
          <w:vertAlign w:val="subscript"/>
        </w:rPr>
        <w:t>x</w:t>
      </w:r>
      <w:r>
        <w:t>A</w:t>
      </w:r>
      <w:r>
        <w:rPr>
          <w:vertAlign w:val="subscript"/>
        </w:rPr>
        <w:t>15-x</w:t>
      </w:r>
      <w:r>
        <w:t>B</w:t>
      </w:r>
      <w:r>
        <w:rPr>
          <w:vertAlign w:val="subscript"/>
        </w:rPr>
        <w:t>10</w:t>
      </w:r>
      <w:r>
        <w:t>S</w:t>
      </w:r>
      <w:r>
        <w:rPr>
          <w:vertAlign w:val="subscript"/>
        </w:rPr>
        <w:t>60</w:t>
      </w:r>
      <w:r>
        <w:t>, N</w:t>
      </w:r>
      <w:r>
        <w:rPr>
          <w:vertAlign w:val="subscript"/>
        </w:rPr>
        <w:t>15</w:t>
      </w:r>
      <w:r>
        <w:t>Ba</w:t>
      </w:r>
      <w:r>
        <w:rPr>
          <w:vertAlign w:val="subscript"/>
        </w:rPr>
        <w:t>x</w:t>
      </w:r>
      <w:r>
        <w:t>A</w:t>
      </w:r>
      <w:r>
        <w:rPr>
          <w:vertAlign w:val="subscript"/>
        </w:rPr>
        <w:t>15-x</w:t>
      </w:r>
      <w:r>
        <w:t>B</w:t>
      </w:r>
      <w:r>
        <w:rPr>
          <w:vertAlign w:val="subscript"/>
        </w:rPr>
        <w:t>10</w:t>
      </w:r>
      <w:r>
        <w:t>S</w:t>
      </w:r>
      <w:r>
        <w:rPr>
          <w:vertAlign w:val="subscript"/>
        </w:rPr>
        <w:t>60</w:t>
      </w:r>
      <w:r>
        <w:t>, N</w:t>
      </w:r>
      <w:r>
        <w:rPr>
          <w:vertAlign w:val="subscript"/>
        </w:rPr>
        <w:t>10</w:t>
      </w:r>
      <w:r>
        <w:t>C</w:t>
      </w:r>
      <w:r>
        <w:rPr>
          <w:vertAlign w:val="subscript"/>
        </w:rPr>
        <w:t>x</w:t>
      </w:r>
      <w:r>
        <w:t>A</w:t>
      </w:r>
      <w:r>
        <w:rPr>
          <w:vertAlign w:val="subscript"/>
        </w:rPr>
        <w:t>20-x</w:t>
      </w:r>
      <w:r>
        <w:t>B</w:t>
      </w:r>
      <w:r>
        <w:rPr>
          <w:vertAlign w:val="subscript"/>
        </w:rPr>
        <w:t>10</w:t>
      </w:r>
      <w:r>
        <w:t>S</w:t>
      </w:r>
      <w:r>
        <w:rPr>
          <w:vertAlign w:val="subscript"/>
        </w:rPr>
        <w:t xml:space="preserve">60 </w:t>
      </w:r>
      <w:r>
        <w:t>and N</w:t>
      </w:r>
      <w:r>
        <w:rPr>
          <w:vertAlign w:val="subscript"/>
        </w:rPr>
        <w:t>10</w:t>
      </w:r>
      <w:r>
        <w:t>Ba</w:t>
      </w:r>
      <w:r>
        <w:rPr>
          <w:vertAlign w:val="subscript"/>
        </w:rPr>
        <w:t>x</w:t>
      </w:r>
      <w:r>
        <w:t>A</w:t>
      </w:r>
      <w:r>
        <w:rPr>
          <w:vertAlign w:val="subscript"/>
        </w:rPr>
        <w:t>20-x</w:t>
      </w:r>
      <w:r>
        <w:t>B</w:t>
      </w:r>
      <w:r>
        <w:rPr>
          <w:vertAlign w:val="subscript"/>
        </w:rPr>
        <w:t>10</w:t>
      </w:r>
      <w:r>
        <w:t>S</w:t>
      </w:r>
      <w:r>
        <w:rPr>
          <w:vertAlign w:val="subscript"/>
        </w:rPr>
        <w:t xml:space="preserve">60 </w:t>
      </w:r>
      <w:r>
        <w:t>glasses.</w:t>
      </w:r>
      <w:bookmarkEnd w:id="809"/>
      <w:bookmarkEnd w:id="810"/>
    </w:p>
    <w:p w14:paraId="364BE33C" w14:textId="77777777" w:rsidR="00BF600D" w:rsidRDefault="00BF600D" w:rsidP="00BF600D">
      <w:pPr>
        <w:pStyle w:val="Heading4"/>
        <w:rPr>
          <w:rFonts w:eastAsia="Times New Roman"/>
          <w:color w:val="000000"/>
          <w:lang w:eastAsia="en-MY"/>
        </w:rPr>
      </w:pPr>
      <w:bookmarkStart w:id="811" w:name="_Toc525742532"/>
      <w:bookmarkStart w:id="812" w:name="_Toc525707867"/>
      <w:r>
        <w:rPr>
          <w:rFonts w:eastAsia="Times New Roman"/>
          <w:color w:val="000000"/>
          <w:lang w:eastAsia="en-MY"/>
        </w:rPr>
        <w:t xml:space="preserve">4.5.2.1 </w:t>
      </w:r>
      <w:r>
        <w:t>Modulus and Poisson’s ratio</w:t>
      </w:r>
      <w:bookmarkEnd w:id="811"/>
      <w:bookmarkEnd w:id="812"/>
    </w:p>
    <w:p w14:paraId="18593696" w14:textId="5BDAF3A6" w:rsidR="00BF600D" w:rsidRDefault="00BF600D" w:rsidP="00BF600D">
      <w:pPr>
        <w:spacing w:after="0" w:line="360" w:lineRule="auto"/>
        <w:jc w:val="center"/>
        <w:rPr>
          <w:rFonts w:cs="Times New Roman"/>
          <w:szCs w:val="24"/>
        </w:rPr>
      </w:pPr>
      <w:r>
        <w:rPr>
          <w:noProof/>
          <w:lang w:eastAsia="en-MY"/>
        </w:rPr>
        <w:drawing>
          <wp:inline distT="0" distB="0" distL="0" distR="0" wp14:anchorId="36FF6F27" wp14:editId="2DD19201">
            <wp:extent cx="3943350" cy="3419475"/>
            <wp:effectExtent l="0" t="0" r="0"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943350" cy="3419475"/>
                    </a:xfrm>
                    <a:prstGeom prst="rect">
                      <a:avLst/>
                    </a:prstGeom>
                    <a:noFill/>
                    <a:ln>
                      <a:noFill/>
                    </a:ln>
                  </pic:spPr>
                </pic:pic>
              </a:graphicData>
            </a:graphic>
          </wp:inline>
        </w:drawing>
      </w:r>
      <w:r>
        <w:rPr>
          <w:noProof/>
          <w:lang w:eastAsia="en-MY"/>
        </w:rPr>
        <w:drawing>
          <wp:inline distT="0" distB="0" distL="0" distR="0" wp14:anchorId="00580A09" wp14:editId="3D05DCCF">
            <wp:extent cx="3943350" cy="341947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943350" cy="3419475"/>
                    </a:xfrm>
                    <a:prstGeom prst="rect">
                      <a:avLst/>
                    </a:prstGeom>
                    <a:noFill/>
                    <a:ln>
                      <a:noFill/>
                    </a:ln>
                  </pic:spPr>
                </pic:pic>
              </a:graphicData>
            </a:graphic>
          </wp:inline>
        </w:drawing>
      </w:r>
    </w:p>
    <w:p w14:paraId="318FDE67" w14:textId="24D36708" w:rsidR="00BF600D" w:rsidRDefault="00BF600D" w:rsidP="00BF600D">
      <w:pPr>
        <w:spacing w:after="0" w:line="360" w:lineRule="auto"/>
        <w:jc w:val="center"/>
        <w:rPr>
          <w:rFonts w:cs="Times New Roman"/>
          <w:szCs w:val="24"/>
        </w:rPr>
      </w:pPr>
      <w:r>
        <w:t xml:space="preserve">Figure </w:t>
      </w:r>
      <w:r w:rsidR="00AC2076">
        <w:t>4.29:</w:t>
      </w:r>
      <w:r>
        <w:t xml:space="preserve"> </w:t>
      </w:r>
      <w:r>
        <w:rPr>
          <w:szCs w:val="24"/>
        </w:rPr>
        <w:t xml:space="preserve">Young’s modulus, shear modulus, bulk modulus and Poisson’s ratio of </w:t>
      </w:r>
      <w:r>
        <w:rPr>
          <w:rFonts w:eastAsia="Times New Roman"/>
          <w:color w:val="000000"/>
          <w:szCs w:val="24"/>
          <w:lang w:eastAsia="en-MY"/>
        </w:rPr>
        <w:t>N</w:t>
      </w:r>
      <w:r>
        <w:rPr>
          <w:rFonts w:eastAsia="Times New Roman"/>
          <w:color w:val="000000"/>
          <w:szCs w:val="24"/>
          <w:vertAlign w:val="subscript"/>
          <w:lang w:eastAsia="en-MY"/>
        </w:rPr>
        <w:t>15</w:t>
      </w:r>
      <w:r>
        <w:rPr>
          <w:rFonts w:eastAsia="Times New Roman"/>
          <w:color w:val="000000"/>
          <w:szCs w:val="24"/>
          <w:lang w:eastAsia="en-MY"/>
        </w:rPr>
        <w:t>C</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15-x</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60</w:t>
      </w:r>
      <w:r>
        <w:rPr>
          <w:szCs w:val="24"/>
        </w:rPr>
        <w:t xml:space="preserve">, </w:t>
      </w:r>
      <w:r>
        <w:rPr>
          <w:rFonts w:eastAsia="Times New Roman"/>
          <w:color w:val="000000"/>
          <w:szCs w:val="24"/>
          <w:lang w:eastAsia="en-MY"/>
        </w:rPr>
        <w:t>N</w:t>
      </w:r>
      <w:r>
        <w:rPr>
          <w:rFonts w:eastAsia="Times New Roman"/>
          <w:color w:val="000000"/>
          <w:szCs w:val="24"/>
          <w:vertAlign w:val="subscript"/>
          <w:lang w:eastAsia="en-MY"/>
        </w:rPr>
        <w:t>15</w:t>
      </w:r>
      <w:r>
        <w:rPr>
          <w:rFonts w:eastAsia="Times New Roman"/>
          <w:color w:val="000000"/>
          <w:szCs w:val="24"/>
          <w:lang w:eastAsia="en-MY"/>
        </w:rPr>
        <w:t>Ba</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15-x</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60</w:t>
      </w:r>
      <w:r>
        <w:rPr>
          <w:szCs w:val="24"/>
        </w:rPr>
        <w:t xml:space="preserve">, </w:t>
      </w:r>
      <w:r>
        <w:rPr>
          <w:rFonts w:eastAsia="Times New Roman"/>
          <w:color w:val="000000"/>
          <w:szCs w:val="24"/>
          <w:lang w:eastAsia="en-MY"/>
        </w:rPr>
        <w:t>N</w:t>
      </w:r>
      <w:r>
        <w:rPr>
          <w:rFonts w:eastAsia="Times New Roman"/>
          <w:color w:val="000000"/>
          <w:szCs w:val="24"/>
          <w:vertAlign w:val="subscript"/>
          <w:lang w:eastAsia="en-MY"/>
        </w:rPr>
        <w:t>10</w:t>
      </w:r>
      <w:r>
        <w:rPr>
          <w:rFonts w:eastAsia="Times New Roman"/>
          <w:color w:val="000000"/>
          <w:szCs w:val="24"/>
          <w:lang w:eastAsia="en-MY"/>
        </w:rPr>
        <w:t>C</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20-x</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60</w:t>
      </w:r>
      <w:r>
        <w:rPr>
          <w:szCs w:val="24"/>
        </w:rPr>
        <w:t xml:space="preserve">, </w:t>
      </w:r>
      <w:r>
        <w:rPr>
          <w:rFonts w:eastAsia="Times New Roman"/>
          <w:color w:val="000000"/>
          <w:szCs w:val="24"/>
          <w:lang w:eastAsia="en-MY"/>
        </w:rPr>
        <w:t>N</w:t>
      </w:r>
      <w:r>
        <w:rPr>
          <w:rFonts w:eastAsia="Times New Roman"/>
          <w:color w:val="000000"/>
          <w:szCs w:val="24"/>
          <w:vertAlign w:val="subscript"/>
          <w:lang w:eastAsia="en-MY"/>
        </w:rPr>
        <w:t>10</w:t>
      </w:r>
      <w:r>
        <w:rPr>
          <w:rFonts w:eastAsia="Times New Roman"/>
          <w:color w:val="000000"/>
          <w:szCs w:val="24"/>
          <w:lang w:eastAsia="en-MY"/>
        </w:rPr>
        <w:t>Ba</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20-x</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 xml:space="preserve">60 </w:t>
      </w:r>
      <w:r>
        <w:rPr>
          <w:rFonts w:eastAsia="Times New Roman"/>
          <w:color w:val="000000"/>
          <w:szCs w:val="24"/>
          <w:lang w:eastAsia="en-MY"/>
        </w:rPr>
        <w:t>glass series versus total network charge balance. (</w:t>
      </w:r>
      <w:r>
        <w:rPr>
          <w:rFonts w:eastAsia="Times New Roman"/>
          <w:i/>
          <w:color w:val="000000"/>
          <w:szCs w:val="24"/>
          <w:lang w:eastAsia="en-MY"/>
        </w:rPr>
        <w:t>Continued on next page)</w:t>
      </w:r>
    </w:p>
    <w:p w14:paraId="7753DAF3" w14:textId="494325B6" w:rsidR="00BF600D" w:rsidRDefault="00BF600D" w:rsidP="00BF600D">
      <w:pPr>
        <w:spacing w:after="0" w:line="360" w:lineRule="auto"/>
        <w:jc w:val="center"/>
        <w:rPr>
          <w:rFonts w:cs="Times New Roman"/>
          <w:szCs w:val="24"/>
        </w:rPr>
      </w:pPr>
      <w:r>
        <w:rPr>
          <w:noProof/>
          <w:lang w:eastAsia="en-MY"/>
        </w:rPr>
        <w:lastRenderedPageBreak/>
        <w:drawing>
          <wp:inline distT="0" distB="0" distL="0" distR="0" wp14:anchorId="4C859DBC" wp14:editId="6008B636">
            <wp:extent cx="4152900" cy="36004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152900" cy="3600450"/>
                    </a:xfrm>
                    <a:prstGeom prst="rect">
                      <a:avLst/>
                    </a:prstGeom>
                    <a:noFill/>
                    <a:ln>
                      <a:noFill/>
                    </a:ln>
                  </pic:spPr>
                </pic:pic>
              </a:graphicData>
            </a:graphic>
          </wp:inline>
        </w:drawing>
      </w:r>
      <w:r>
        <w:rPr>
          <w:noProof/>
          <w:lang w:eastAsia="en-MY"/>
        </w:rPr>
        <w:drawing>
          <wp:inline distT="0" distB="0" distL="0" distR="0" wp14:anchorId="3D01246B" wp14:editId="24B18844">
            <wp:extent cx="4276725" cy="3600450"/>
            <wp:effectExtent l="0" t="0" r="952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276725" cy="3600450"/>
                    </a:xfrm>
                    <a:prstGeom prst="rect">
                      <a:avLst/>
                    </a:prstGeom>
                    <a:noFill/>
                    <a:ln>
                      <a:noFill/>
                    </a:ln>
                  </pic:spPr>
                </pic:pic>
              </a:graphicData>
            </a:graphic>
          </wp:inline>
        </w:drawing>
      </w:r>
    </w:p>
    <w:p w14:paraId="67038BB2" w14:textId="34E8B4FA" w:rsidR="00BF600D" w:rsidRDefault="00BF600D" w:rsidP="00BF600D">
      <w:pPr>
        <w:pStyle w:val="Caption"/>
        <w:rPr>
          <w:rFonts w:eastAsia="Times New Roman"/>
          <w:color w:val="000000"/>
          <w:szCs w:val="24"/>
          <w:lang w:eastAsia="en-MY"/>
        </w:rPr>
      </w:pPr>
      <w:bookmarkStart w:id="813" w:name="_Toc525706392"/>
      <w:bookmarkStart w:id="814" w:name="_Toc525528377"/>
      <w:bookmarkStart w:id="815" w:name="_Toc521420496"/>
      <w:r>
        <w:t xml:space="preserve">Figure </w:t>
      </w:r>
      <w:r w:rsidR="00AC2076">
        <w:t>4.29:</w:t>
      </w:r>
      <w:r>
        <w:t xml:space="preserve"> </w:t>
      </w:r>
      <w:r>
        <w:rPr>
          <w:szCs w:val="24"/>
        </w:rPr>
        <w:t xml:space="preserve">Young’s modulus, shear modulus, bulk modulus and Poisson’s ratio of </w:t>
      </w:r>
      <w:r>
        <w:rPr>
          <w:rFonts w:eastAsia="Times New Roman"/>
          <w:color w:val="000000"/>
          <w:szCs w:val="24"/>
          <w:lang w:eastAsia="en-MY"/>
        </w:rPr>
        <w:t>N</w:t>
      </w:r>
      <w:r>
        <w:rPr>
          <w:rFonts w:eastAsia="Times New Roman"/>
          <w:color w:val="000000"/>
          <w:szCs w:val="24"/>
          <w:vertAlign w:val="subscript"/>
          <w:lang w:eastAsia="en-MY"/>
        </w:rPr>
        <w:t>15</w:t>
      </w:r>
      <w:r>
        <w:rPr>
          <w:rFonts w:eastAsia="Times New Roman"/>
          <w:color w:val="000000"/>
          <w:szCs w:val="24"/>
          <w:lang w:eastAsia="en-MY"/>
        </w:rPr>
        <w:t>C</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15-x</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60</w:t>
      </w:r>
      <w:r>
        <w:rPr>
          <w:szCs w:val="24"/>
        </w:rPr>
        <w:t xml:space="preserve">, </w:t>
      </w:r>
      <w:r>
        <w:rPr>
          <w:rFonts w:eastAsia="Times New Roman"/>
          <w:color w:val="000000"/>
          <w:szCs w:val="24"/>
          <w:lang w:eastAsia="en-MY"/>
        </w:rPr>
        <w:t>N</w:t>
      </w:r>
      <w:r>
        <w:rPr>
          <w:rFonts w:eastAsia="Times New Roman"/>
          <w:color w:val="000000"/>
          <w:szCs w:val="24"/>
          <w:vertAlign w:val="subscript"/>
          <w:lang w:eastAsia="en-MY"/>
        </w:rPr>
        <w:t>15</w:t>
      </w:r>
      <w:r>
        <w:rPr>
          <w:rFonts w:eastAsia="Times New Roman"/>
          <w:color w:val="000000"/>
          <w:szCs w:val="24"/>
          <w:lang w:eastAsia="en-MY"/>
        </w:rPr>
        <w:t>Ba</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15-x</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60</w:t>
      </w:r>
      <w:r>
        <w:rPr>
          <w:szCs w:val="24"/>
        </w:rPr>
        <w:t xml:space="preserve">, </w:t>
      </w:r>
      <w:r>
        <w:rPr>
          <w:rFonts w:eastAsia="Times New Roman"/>
          <w:color w:val="000000"/>
          <w:szCs w:val="24"/>
          <w:lang w:eastAsia="en-MY"/>
        </w:rPr>
        <w:t>N</w:t>
      </w:r>
      <w:r>
        <w:rPr>
          <w:rFonts w:eastAsia="Times New Roman"/>
          <w:color w:val="000000"/>
          <w:szCs w:val="24"/>
          <w:vertAlign w:val="subscript"/>
          <w:lang w:eastAsia="en-MY"/>
        </w:rPr>
        <w:t>10</w:t>
      </w:r>
      <w:r>
        <w:rPr>
          <w:rFonts w:eastAsia="Times New Roman"/>
          <w:color w:val="000000"/>
          <w:szCs w:val="24"/>
          <w:lang w:eastAsia="en-MY"/>
        </w:rPr>
        <w:t>C</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20-x</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60</w:t>
      </w:r>
      <w:r>
        <w:rPr>
          <w:szCs w:val="24"/>
        </w:rPr>
        <w:t xml:space="preserve">, </w:t>
      </w:r>
      <w:r>
        <w:rPr>
          <w:rFonts w:eastAsia="Times New Roman"/>
          <w:color w:val="000000"/>
          <w:szCs w:val="24"/>
          <w:lang w:eastAsia="en-MY"/>
        </w:rPr>
        <w:t>N</w:t>
      </w:r>
      <w:r>
        <w:rPr>
          <w:rFonts w:eastAsia="Times New Roman"/>
          <w:color w:val="000000"/>
          <w:szCs w:val="24"/>
          <w:vertAlign w:val="subscript"/>
          <w:lang w:eastAsia="en-MY"/>
        </w:rPr>
        <w:t>10</w:t>
      </w:r>
      <w:r>
        <w:rPr>
          <w:rFonts w:eastAsia="Times New Roman"/>
          <w:color w:val="000000"/>
          <w:szCs w:val="24"/>
          <w:lang w:eastAsia="en-MY"/>
        </w:rPr>
        <w:t>Ba</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20-x</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 xml:space="preserve">60 </w:t>
      </w:r>
      <w:r>
        <w:rPr>
          <w:rFonts w:eastAsia="Times New Roman"/>
          <w:color w:val="000000"/>
          <w:szCs w:val="24"/>
          <w:lang w:eastAsia="en-MY"/>
        </w:rPr>
        <w:t>glass series versus total network charge balance.</w:t>
      </w:r>
      <w:bookmarkEnd w:id="813"/>
      <w:bookmarkEnd w:id="814"/>
      <w:bookmarkEnd w:id="815"/>
      <w:r>
        <w:rPr>
          <w:rFonts w:eastAsia="Times New Roman"/>
          <w:color w:val="000000"/>
          <w:szCs w:val="24"/>
          <w:lang w:eastAsia="en-MY"/>
        </w:rPr>
        <w:t xml:space="preserve"> </w:t>
      </w:r>
    </w:p>
    <w:p w14:paraId="0E130967" w14:textId="77777777" w:rsidR="00BF600D" w:rsidRDefault="00BF600D" w:rsidP="00BF600D">
      <w:pPr>
        <w:spacing w:after="0" w:line="360" w:lineRule="auto"/>
        <w:jc w:val="both"/>
        <w:rPr>
          <w:rFonts w:cs="Times New Roman"/>
          <w:b w:val="0"/>
          <w:szCs w:val="24"/>
        </w:rPr>
      </w:pPr>
    </w:p>
    <w:p w14:paraId="0B5C70D0" w14:textId="77777777" w:rsidR="00BF600D" w:rsidRDefault="00BF600D" w:rsidP="00BF600D">
      <w:pPr>
        <w:spacing w:after="0" w:line="360" w:lineRule="auto"/>
        <w:jc w:val="both"/>
        <w:rPr>
          <w:rFonts w:cs="Times New Roman"/>
          <w:b w:val="0"/>
          <w:szCs w:val="24"/>
        </w:rPr>
      </w:pPr>
    </w:p>
    <w:p w14:paraId="74609E78" w14:textId="4C813DF5" w:rsidR="00BF600D" w:rsidRDefault="00BF600D" w:rsidP="00BF600D">
      <w:pPr>
        <w:spacing w:after="0" w:line="360" w:lineRule="auto"/>
        <w:jc w:val="both"/>
        <w:rPr>
          <w:rFonts w:eastAsia="Times New Roman" w:cs="Times New Roman"/>
          <w:b w:val="0"/>
          <w:color w:val="000000"/>
          <w:szCs w:val="24"/>
          <w:lang w:eastAsia="en-MY"/>
        </w:rPr>
      </w:pPr>
      <w:r>
        <w:rPr>
          <w:rFonts w:cs="Times New Roman"/>
          <w:b w:val="0"/>
          <w:szCs w:val="24"/>
        </w:rPr>
        <w:lastRenderedPageBreak/>
        <w:t>Figure 4.</w:t>
      </w:r>
      <w:r w:rsidR="003969B2">
        <w:rPr>
          <w:rFonts w:cs="Times New Roman"/>
          <w:b w:val="0"/>
          <w:szCs w:val="24"/>
        </w:rPr>
        <w:t>29</w:t>
      </w:r>
      <w:r>
        <w:rPr>
          <w:rFonts w:cs="Times New Roman"/>
          <w:b w:val="0"/>
          <w:szCs w:val="24"/>
        </w:rPr>
        <w:t xml:space="preserve"> shows the moduli data versus total network charge balance for 4 different series of glass using two types of alkaline earth oxides, calcium oxide and barium oxide. The moduli of series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15-x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 xml:space="preserve">60 </w:t>
      </w:r>
      <w:r>
        <w:rPr>
          <w:rFonts w:eastAsia="Times New Roman" w:cs="Times New Roman"/>
          <w:b w:val="0"/>
          <w:color w:val="000000"/>
          <w:szCs w:val="24"/>
          <w:lang w:eastAsia="en-MY"/>
        </w:rPr>
        <w:t>and 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Ba</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15-x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 xml:space="preserve">60 </w:t>
      </w:r>
      <w:r>
        <w:rPr>
          <w:rFonts w:eastAsia="Times New Roman" w:cs="Times New Roman"/>
          <w:b w:val="0"/>
          <w:color w:val="000000"/>
          <w:szCs w:val="24"/>
          <w:lang w:eastAsia="en-MY"/>
        </w:rPr>
        <w:t xml:space="preserve">glasses were different with glasses containing calcium oxide having slightly larger moduli properties when </w:t>
      </w:r>
      <w:r w:rsidR="008C4D01">
        <w:rPr>
          <w:rFonts w:eastAsia="Times New Roman" w:cs="Times New Roman"/>
          <w:b w:val="0"/>
          <w:color w:val="000000"/>
          <w:szCs w:val="24"/>
          <w:lang w:eastAsia="en-MY"/>
        </w:rPr>
        <w:t xml:space="preserve">the </w:t>
      </w:r>
      <w:r>
        <w:rPr>
          <w:rFonts w:eastAsia="Times New Roman" w:cs="Times New Roman"/>
          <w:b w:val="0"/>
          <w:color w:val="000000"/>
          <w:szCs w:val="24"/>
          <w:lang w:eastAsia="en-MY"/>
        </w:rPr>
        <w:t xml:space="preserve">balance of network charge are ≥ 0. However when the balance of network charge  &lt; 0, the modulus properties are higher for the glasses containing barium oxide. Increasing amounts of alkaline earth resulting in high moduli might be due to the bonding in the glass structure. Increasing amounts of alkaline earths will </w:t>
      </w:r>
      <w:r w:rsidR="008D0BF6">
        <w:rPr>
          <w:rFonts w:eastAsia="Times New Roman" w:cs="Times New Roman"/>
          <w:b w:val="0"/>
          <w:color w:val="000000"/>
          <w:szCs w:val="24"/>
          <w:lang w:eastAsia="en-MY"/>
        </w:rPr>
        <w:t>increase</w:t>
      </w:r>
      <w:r>
        <w:rPr>
          <w:rFonts w:eastAsia="Times New Roman" w:cs="Times New Roman"/>
          <w:b w:val="0"/>
          <w:color w:val="000000"/>
          <w:szCs w:val="24"/>
          <w:lang w:eastAsia="en-MY"/>
        </w:rPr>
        <w:t xml:space="preserve"> the non-bridging oxygens thus it is easy to break the bond thus make high modulus value. This is in agreement with the results of </w:t>
      </w:r>
      <w:proofErr w:type="spellStart"/>
      <w:r>
        <w:rPr>
          <w:rFonts w:eastAsia="Times New Roman" w:cs="Times New Roman"/>
          <w:b w:val="0"/>
          <w:color w:val="000000"/>
          <w:szCs w:val="24"/>
          <w:lang w:eastAsia="en-MY"/>
        </w:rPr>
        <w:t>Kilinc</w:t>
      </w:r>
      <w:proofErr w:type="spellEnd"/>
      <w:r>
        <w:rPr>
          <w:rFonts w:eastAsia="Times New Roman" w:cs="Times New Roman"/>
          <w:b w:val="0"/>
          <w:color w:val="000000"/>
          <w:szCs w:val="24"/>
          <w:lang w:eastAsia="en-MY"/>
        </w:rPr>
        <w:t xml:space="preserve"> &amp; Hand, (2015) in their studies in </w:t>
      </w:r>
      <w:r>
        <w:rPr>
          <w:rFonts w:cs="Times New Roman"/>
          <w:b w:val="0"/>
          <w:szCs w:val="24"/>
        </w:rPr>
        <w:t>13.5Na</w:t>
      </w:r>
      <w:r>
        <w:rPr>
          <w:rFonts w:cs="Times New Roman"/>
          <w:b w:val="0"/>
          <w:szCs w:val="24"/>
          <w:vertAlign w:val="subscript"/>
        </w:rPr>
        <w:t>2</w:t>
      </w:r>
      <w:r>
        <w:rPr>
          <w:rFonts w:cs="Times New Roman"/>
          <w:b w:val="0"/>
          <w:szCs w:val="24"/>
        </w:rPr>
        <w:t>O·xMgO·10CaO·1.5Al</w:t>
      </w:r>
      <w:r>
        <w:rPr>
          <w:rFonts w:cs="Times New Roman"/>
          <w:b w:val="0"/>
          <w:szCs w:val="24"/>
          <w:vertAlign w:val="subscript"/>
        </w:rPr>
        <w:t>2</w:t>
      </w:r>
      <w:r>
        <w:rPr>
          <w:rFonts w:cs="Times New Roman"/>
          <w:b w:val="0"/>
          <w:szCs w:val="24"/>
        </w:rPr>
        <w:t>O</w:t>
      </w:r>
      <w:r>
        <w:rPr>
          <w:rFonts w:cs="Times New Roman"/>
          <w:b w:val="0"/>
          <w:szCs w:val="24"/>
          <w:vertAlign w:val="subscript"/>
        </w:rPr>
        <w:t>3</w:t>
      </w:r>
      <w:r>
        <w:rPr>
          <w:rFonts w:cs="Times New Roman"/>
          <w:b w:val="0"/>
          <w:szCs w:val="24"/>
        </w:rPr>
        <w:t>·(75−x)SiO</w:t>
      </w:r>
      <w:r>
        <w:rPr>
          <w:rFonts w:cs="Times New Roman"/>
          <w:b w:val="0"/>
          <w:szCs w:val="24"/>
          <w:vertAlign w:val="subscript"/>
        </w:rPr>
        <w:t>2</w:t>
      </w:r>
      <w:r>
        <w:rPr>
          <w:rFonts w:cs="Times New Roman"/>
          <w:b w:val="0"/>
          <w:szCs w:val="24"/>
        </w:rPr>
        <w:t xml:space="preserve"> (mol.%)</w:t>
      </w:r>
      <w:r>
        <w:rPr>
          <w:rFonts w:eastAsia="Times New Roman" w:cs="Times New Roman"/>
          <w:b w:val="0"/>
          <w:color w:val="000000"/>
          <w:szCs w:val="24"/>
          <w:lang w:eastAsia="en-MY"/>
        </w:rPr>
        <w:t xml:space="preserve"> glass series, which shows that increasing magnesium in the glass composition resulted in a low polymerisation index and a decrease in Young’s modulus, shear modulus and bulk modulus. For Poisson’s ratio, there is no linear trend with </w:t>
      </w:r>
      <w:r w:rsidR="008C4D01">
        <w:rPr>
          <w:rFonts w:eastAsia="Times New Roman" w:cs="Times New Roman"/>
          <w:b w:val="0"/>
          <w:color w:val="000000"/>
          <w:szCs w:val="24"/>
          <w:lang w:eastAsia="en-MY"/>
        </w:rPr>
        <w:t xml:space="preserve">the </w:t>
      </w:r>
      <w:r>
        <w:rPr>
          <w:rFonts w:eastAsia="Times New Roman" w:cs="Times New Roman"/>
          <w:b w:val="0"/>
          <w:color w:val="000000"/>
          <w:szCs w:val="24"/>
          <w:lang w:eastAsia="en-MY"/>
        </w:rPr>
        <w:t>composition that can be seen in all glass series, however</w:t>
      </w:r>
      <w:r w:rsidR="008C4D01">
        <w:rPr>
          <w:rFonts w:eastAsia="Times New Roman" w:cs="Times New Roman"/>
          <w:b w:val="0"/>
          <w:color w:val="000000"/>
          <w:szCs w:val="24"/>
          <w:lang w:eastAsia="en-MY"/>
        </w:rPr>
        <w:t>,</w:t>
      </w:r>
      <w:r>
        <w:rPr>
          <w:rFonts w:eastAsia="Times New Roman" w:cs="Times New Roman"/>
          <w:b w:val="0"/>
          <w:color w:val="000000"/>
          <w:szCs w:val="24"/>
          <w:lang w:eastAsia="en-MY"/>
        </w:rPr>
        <w:t xml:space="preserve"> it can be seen that calcium oxide composition mainly had larger Poisson’s ratios than the barium containing ones. </w:t>
      </w:r>
      <w:bookmarkStart w:id="816" w:name="_Toc525742533"/>
      <w:bookmarkStart w:id="817" w:name="_Toc525707868"/>
    </w:p>
    <w:p w14:paraId="39AC69AA" w14:textId="77777777" w:rsidR="00BF600D" w:rsidRDefault="00BF600D" w:rsidP="00BF600D">
      <w:pPr>
        <w:spacing w:after="0" w:line="360" w:lineRule="auto"/>
        <w:jc w:val="both"/>
        <w:rPr>
          <w:rFonts w:eastAsia="Times New Roman" w:cs="Times New Roman"/>
          <w:b w:val="0"/>
          <w:color w:val="000000"/>
          <w:szCs w:val="24"/>
          <w:lang w:eastAsia="en-MY"/>
        </w:rPr>
      </w:pPr>
    </w:p>
    <w:p w14:paraId="265E7334" w14:textId="77777777" w:rsidR="00BF600D" w:rsidRDefault="00BF600D" w:rsidP="00BF600D">
      <w:pPr>
        <w:spacing w:after="0" w:line="360" w:lineRule="auto"/>
        <w:jc w:val="both"/>
      </w:pPr>
      <w:r>
        <w:rPr>
          <w:rFonts w:eastAsia="Times New Roman" w:cs="Times New Roman"/>
          <w:color w:val="000000"/>
          <w:szCs w:val="24"/>
          <w:lang w:eastAsia="en-MY"/>
        </w:rPr>
        <w:t>4</w:t>
      </w:r>
      <w:r>
        <w:t>.5.2.2 Hardness, toughness and brittleness</w:t>
      </w:r>
      <w:bookmarkEnd w:id="816"/>
      <w:bookmarkEnd w:id="817"/>
    </w:p>
    <w:p w14:paraId="10766092" w14:textId="483335A7" w:rsidR="00BF600D" w:rsidRDefault="00BF600D" w:rsidP="00BF600D">
      <w:pPr>
        <w:spacing w:after="0" w:line="360" w:lineRule="auto"/>
        <w:jc w:val="center"/>
        <w:rPr>
          <w:rFonts w:cs="Times New Roman"/>
          <w:szCs w:val="24"/>
        </w:rPr>
      </w:pPr>
      <w:r>
        <w:rPr>
          <w:noProof/>
          <w:lang w:eastAsia="en-MY"/>
        </w:rPr>
        <w:drawing>
          <wp:inline distT="0" distB="0" distL="0" distR="0" wp14:anchorId="6FDEED0B" wp14:editId="6A909864">
            <wp:extent cx="4191000" cy="360045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191000" cy="3600450"/>
                    </a:xfrm>
                    <a:prstGeom prst="rect">
                      <a:avLst/>
                    </a:prstGeom>
                    <a:noFill/>
                    <a:ln>
                      <a:noFill/>
                    </a:ln>
                  </pic:spPr>
                </pic:pic>
              </a:graphicData>
            </a:graphic>
          </wp:inline>
        </w:drawing>
      </w:r>
    </w:p>
    <w:p w14:paraId="286369E0" w14:textId="5FE1150D" w:rsidR="00BF600D" w:rsidRDefault="00BF600D" w:rsidP="00BF600D">
      <w:pPr>
        <w:spacing w:after="0" w:line="360" w:lineRule="auto"/>
        <w:jc w:val="center"/>
        <w:rPr>
          <w:rFonts w:cs="Times New Roman"/>
          <w:szCs w:val="24"/>
        </w:rPr>
      </w:pPr>
      <w:r>
        <w:t xml:space="preserve">Figure </w:t>
      </w:r>
      <w:r w:rsidR="00AC2076">
        <w:t xml:space="preserve">4.30: </w:t>
      </w:r>
      <w:r>
        <w:rPr>
          <w:szCs w:val="24"/>
        </w:rPr>
        <w:t xml:space="preserve">Hardness, toughness and brittleness of </w:t>
      </w:r>
      <w:r>
        <w:rPr>
          <w:rFonts w:eastAsia="Times New Roman"/>
          <w:color w:val="000000"/>
          <w:szCs w:val="24"/>
          <w:lang w:eastAsia="en-MY"/>
        </w:rPr>
        <w:t>N</w:t>
      </w:r>
      <w:r>
        <w:rPr>
          <w:rFonts w:eastAsia="Times New Roman"/>
          <w:color w:val="000000"/>
          <w:szCs w:val="24"/>
          <w:vertAlign w:val="subscript"/>
          <w:lang w:eastAsia="en-MY"/>
        </w:rPr>
        <w:t>15</w:t>
      </w:r>
      <w:r>
        <w:rPr>
          <w:rFonts w:eastAsia="Times New Roman"/>
          <w:color w:val="000000"/>
          <w:szCs w:val="24"/>
          <w:lang w:eastAsia="en-MY"/>
        </w:rPr>
        <w:t>C</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15-x</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60</w:t>
      </w:r>
      <w:r>
        <w:rPr>
          <w:szCs w:val="24"/>
        </w:rPr>
        <w:t xml:space="preserve">, </w:t>
      </w:r>
      <w:r>
        <w:rPr>
          <w:rFonts w:eastAsia="Times New Roman"/>
          <w:color w:val="000000"/>
          <w:szCs w:val="24"/>
          <w:lang w:eastAsia="en-MY"/>
        </w:rPr>
        <w:t>N</w:t>
      </w:r>
      <w:r>
        <w:rPr>
          <w:rFonts w:eastAsia="Times New Roman"/>
          <w:color w:val="000000"/>
          <w:szCs w:val="24"/>
          <w:vertAlign w:val="subscript"/>
          <w:lang w:eastAsia="en-MY"/>
        </w:rPr>
        <w:t>15</w:t>
      </w:r>
      <w:r>
        <w:rPr>
          <w:rFonts w:eastAsia="Times New Roman"/>
          <w:color w:val="000000"/>
          <w:szCs w:val="24"/>
          <w:lang w:eastAsia="en-MY"/>
        </w:rPr>
        <w:t>Ba</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15-x</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60</w:t>
      </w:r>
      <w:r>
        <w:rPr>
          <w:szCs w:val="24"/>
        </w:rPr>
        <w:t xml:space="preserve">, </w:t>
      </w:r>
      <w:r>
        <w:rPr>
          <w:rFonts w:eastAsia="Times New Roman"/>
          <w:color w:val="000000"/>
          <w:szCs w:val="24"/>
          <w:lang w:eastAsia="en-MY"/>
        </w:rPr>
        <w:t>N</w:t>
      </w:r>
      <w:r>
        <w:rPr>
          <w:rFonts w:eastAsia="Times New Roman"/>
          <w:color w:val="000000"/>
          <w:szCs w:val="24"/>
          <w:vertAlign w:val="subscript"/>
          <w:lang w:eastAsia="en-MY"/>
        </w:rPr>
        <w:t>10</w:t>
      </w:r>
      <w:r>
        <w:rPr>
          <w:rFonts w:eastAsia="Times New Roman"/>
          <w:color w:val="000000"/>
          <w:szCs w:val="24"/>
          <w:lang w:eastAsia="en-MY"/>
        </w:rPr>
        <w:t>C</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20-x</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60</w:t>
      </w:r>
      <w:r>
        <w:rPr>
          <w:szCs w:val="24"/>
        </w:rPr>
        <w:t xml:space="preserve">, </w:t>
      </w:r>
      <w:r>
        <w:rPr>
          <w:rFonts w:eastAsia="Times New Roman"/>
          <w:color w:val="000000"/>
          <w:szCs w:val="24"/>
          <w:lang w:eastAsia="en-MY"/>
        </w:rPr>
        <w:t>N</w:t>
      </w:r>
      <w:r>
        <w:rPr>
          <w:rFonts w:eastAsia="Times New Roman"/>
          <w:color w:val="000000"/>
          <w:szCs w:val="24"/>
          <w:vertAlign w:val="subscript"/>
          <w:lang w:eastAsia="en-MY"/>
        </w:rPr>
        <w:t>10</w:t>
      </w:r>
      <w:r>
        <w:rPr>
          <w:rFonts w:eastAsia="Times New Roman"/>
          <w:color w:val="000000"/>
          <w:szCs w:val="24"/>
          <w:lang w:eastAsia="en-MY"/>
        </w:rPr>
        <w:t>Ba</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20-x</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 xml:space="preserve">60 </w:t>
      </w:r>
      <w:r>
        <w:rPr>
          <w:rFonts w:eastAsia="Times New Roman"/>
          <w:color w:val="000000"/>
          <w:szCs w:val="24"/>
          <w:lang w:eastAsia="en-MY"/>
        </w:rPr>
        <w:t>glass series versus total network charge balance. (</w:t>
      </w:r>
      <w:r>
        <w:rPr>
          <w:rFonts w:eastAsia="Times New Roman"/>
          <w:i/>
          <w:color w:val="000000"/>
          <w:szCs w:val="24"/>
          <w:lang w:eastAsia="en-MY"/>
        </w:rPr>
        <w:t>Continued on next page)</w:t>
      </w:r>
    </w:p>
    <w:p w14:paraId="08E18FFE" w14:textId="1C56B8CA" w:rsidR="00BF600D" w:rsidRDefault="00BF600D" w:rsidP="00BF600D">
      <w:pPr>
        <w:spacing w:after="0" w:line="360" w:lineRule="auto"/>
        <w:jc w:val="center"/>
        <w:rPr>
          <w:rFonts w:cs="Times New Roman"/>
          <w:szCs w:val="24"/>
        </w:rPr>
      </w:pPr>
      <w:r>
        <w:rPr>
          <w:noProof/>
          <w:lang w:eastAsia="en-MY"/>
        </w:rPr>
        <w:lastRenderedPageBreak/>
        <w:drawing>
          <wp:inline distT="0" distB="0" distL="0" distR="0" wp14:anchorId="5638A679" wp14:editId="3D062CE1">
            <wp:extent cx="3448598" cy="2952000"/>
            <wp:effectExtent l="0" t="0" r="0" b="127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448598" cy="2952000"/>
                    </a:xfrm>
                    <a:prstGeom prst="rect">
                      <a:avLst/>
                    </a:prstGeom>
                    <a:noFill/>
                    <a:ln>
                      <a:noFill/>
                    </a:ln>
                  </pic:spPr>
                </pic:pic>
              </a:graphicData>
            </a:graphic>
          </wp:inline>
        </w:drawing>
      </w:r>
    </w:p>
    <w:p w14:paraId="505DC00A" w14:textId="50A1D4B7" w:rsidR="00BF600D" w:rsidRDefault="00BF600D" w:rsidP="00BF600D">
      <w:pPr>
        <w:spacing w:after="0" w:line="360" w:lineRule="auto"/>
        <w:jc w:val="center"/>
        <w:rPr>
          <w:rFonts w:cs="Times New Roman"/>
          <w:szCs w:val="24"/>
        </w:rPr>
      </w:pPr>
      <w:r>
        <w:rPr>
          <w:noProof/>
          <w:lang w:eastAsia="en-MY"/>
        </w:rPr>
        <w:drawing>
          <wp:inline distT="0" distB="0" distL="0" distR="0" wp14:anchorId="565743F3" wp14:editId="6983902F">
            <wp:extent cx="3430205" cy="2952000"/>
            <wp:effectExtent l="0" t="0" r="0" b="1270"/>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430205" cy="2952000"/>
                    </a:xfrm>
                    <a:prstGeom prst="rect">
                      <a:avLst/>
                    </a:prstGeom>
                    <a:noFill/>
                    <a:ln>
                      <a:noFill/>
                    </a:ln>
                  </pic:spPr>
                </pic:pic>
              </a:graphicData>
            </a:graphic>
          </wp:inline>
        </w:drawing>
      </w:r>
    </w:p>
    <w:p w14:paraId="379D2563" w14:textId="50F9E806" w:rsidR="00BF600D" w:rsidRDefault="00BF600D" w:rsidP="00BF600D">
      <w:pPr>
        <w:pStyle w:val="Caption"/>
        <w:rPr>
          <w:rFonts w:eastAsia="Times New Roman"/>
          <w:color w:val="000000"/>
          <w:szCs w:val="24"/>
          <w:lang w:eastAsia="en-MY"/>
        </w:rPr>
      </w:pPr>
      <w:bookmarkStart w:id="818" w:name="_Toc521420497"/>
      <w:bookmarkStart w:id="819" w:name="_Toc525706393"/>
      <w:bookmarkStart w:id="820" w:name="_Toc525528378"/>
      <w:r>
        <w:t xml:space="preserve">Figure </w:t>
      </w:r>
      <w:r w:rsidR="00AC2076">
        <w:t>4.30:</w:t>
      </w:r>
      <w:r>
        <w:t xml:space="preserve"> </w:t>
      </w:r>
      <w:r>
        <w:rPr>
          <w:szCs w:val="24"/>
        </w:rPr>
        <w:t xml:space="preserve">Hardness, toughness and brittleness of </w:t>
      </w:r>
      <w:r>
        <w:rPr>
          <w:rFonts w:eastAsia="Times New Roman"/>
          <w:color w:val="000000"/>
          <w:szCs w:val="24"/>
          <w:lang w:eastAsia="en-MY"/>
        </w:rPr>
        <w:t>N</w:t>
      </w:r>
      <w:r>
        <w:rPr>
          <w:rFonts w:eastAsia="Times New Roman"/>
          <w:color w:val="000000"/>
          <w:szCs w:val="24"/>
          <w:vertAlign w:val="subscript"/>
          <w:lang w:eastAsia="en-MY"/>
        </w:rPr>
        <w:t>15</w:t>
      </w:r>
      <w:r>
        <w:rPr>
          <w:rFonts w:eastAsia="Times New Roman"/>
          <w:color w:val="000000"/>
          <w:szCs w:val="24"/>
          <w:lang w:eastAsia="en-MY"/>
        </w:rPr>
        <w:t>C</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15-x</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60</w:t>
      </w:r>
      <w:r>
        <w:rPr>
          <w:szCs w:val="24"/>
        </w:rPr>
        <w:t xml:space="preserve">, </w:t>
      </w:r>
      <w:r>
        <w:rPr>
          <w:rFonts w:eastAsia="Times New Roman"/>
          <w:color w:val="000000"/>
          <w:szCs w:val="24"/>
          <w:lang w:eastAsia="en-MY"/>
        </w:rPr>
        <w:t>N</w:t>
      </w:r>
      <w:r>
        <w:rPr>
          <w:rFonts w:eastAsia="Times New Roman"/>
          <w:color w:val="000000"/>
          <w:szCs w:val="24"/>
          <w:vertAlign w:val="subscript"/>
          <w:lang w:eastAsia="en-MY"/>
        </w:rPr>
        <w:t>15</w:t>
      </w:r>
      <w:r>
        <w:rPr>
          <w:rFonts w:eastAsia="Times New Roman"/>
          <w:color w:val="000000"/>
          <w:szCs w:val="24"/>
          <w:lang w:eastAsia="en-MY"/>
        </w:rPr>
        <w:t>Ba</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15-x</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60</w:t>
      </w:r>
      <w:r>
        <w:rPr>
          <w:szCs w:val="24"/>
        </w:rPr>
        <w:t xml:space="preserve">, </w:t>
      </w:r>
      <w:r>
        <w:rPr>
          <w:rFonts w:eastAsia="Times New Roman"/>
          <w:color w:val="000000"/>
          <w:szCs w:val="24"/>
          <w:lang w:eastAsia="en-MY"/>
        </w:rPr>
        <w:t>N</w:t>
      </w:r>
      <w:r>
        <w:rPr>
          <w:rFonts w:eastAsia="Times New Roman"/>
          <w:color w:val="000000"/>
          <w:szCs w:val="24"/>
          <w:vertAlign w:val="subscript"/>
          <w:lang w:eastAsia="en-MY"/>
        </w:rPr>
        <w:t>10</w:t>
      </w:r>
      <w:r>
        <w:rPr>
          <w:rFonts w:eastAsia="Times New Roman"/>
          <w:color w:val="000000"/>
          <w:szCs w:val="24"/>
          <w:lang w:eastAsia="en-MY"/>
        </w:rPr>
        <w:t>C</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20-x</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60</w:t>
      </w:r>
      <w:r>
        <w:rPr>
          <w:szCs w:val="24"/>
        </w:rPr>
        <w:t xml:space="preserve">, </w:t>
      </w:r>
      <w:r>
        <w:rPr>
          <w:rFonts w:eastAsia="Times New Roman"/>
          <w:color w:val="000000"/>
          <w:szCs w:val="24"/>
          <w:lang w:eastAsia="en-MY"/>
        </w:rPr>
        <w:t>N</w:t>
      </w:r>
      <w:r>
        <w:rPr>
          <w:rFonts w:eastAsia="Times New Roman"/>
          <w:color w:val="000000"/>
          <w:szCs w:val="24"/>
          <w:vertAlign w:val="subscript"/>
          <w:lang w:eastAsia="en-MY"/>
        </w:rPr>
        <w:t>10</w:t>
      </w:r>
      <w:r>
        <w:rPr>
          <w:rFonts w:eastAsia="Times New Roman"/>
          <w:color w:val="000000"/>
          <w:szCs w:val="24"/>
          <w:lang w:eastAsia="en-MY"/>
        </w:rPr>
        <w:t>Ba</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20-x</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 xml:space="preserve">60 </w:t>
      </w:r>
      <w:r>
        <w:rPr>
          <w:rFonts w:eastAsia="Times New Roman"/>
          <w:color w:val="000000"/>
          <w:szCs w:val="24"/>
          <w:lang w:eastAsia="en-MY"/>
        </w:rPr>
        <w:t>glass series</w:t>
      </w:r>
      <w:bookmarkEnd w:id="818"/>
      <w:r>
        <w:rPr>
          <w:rFonts w:eastAsia="Times New Roman"/>
          <w:color w:val="000000"/>
          <w:szCs w:val="24"/>
          <w:lang w:eastAsia="en-MY"/>
        </w:rPr>
        <w:t xml:space="preserve"> versus total network charge balance.</w:t>
      </w:r>
      <w:bookmarkEnd w:id="819"/>
      <w:bookmarkEnd w:id="820"/>
      <w:r>
        <w:rPr>
          <w:rFonts w:eastAsia="Times New Roman"/>
          <w:color w:val="000000"/>
          <w:szCs w:val="24"/>
          <w:lang w:eastAsia="en-MY"/>
        </w:rPr>
        <w:t xml:space="preserve"> </w:t>
      </w:r>
    </w:p>
    <w:p w14:paraId="22B01411" w14:textId="5156895A" w:rsidR="00BF600D" w:rsidRDefault="00BF600D" w:rsidP="00BF600D">
      <w:pPr>
        <w:spacing w:line="360" w:lineRule="auto"/>
        <w:jc w:val="both"/>
        <w:rPr>
          <w:b w:val="0"/>
          <w:lang w:val="en-GB" w:eastAsia="en-MY"/>
        </w:rPr>
      </w:pPr>
      <w:r>
        <w:rPr>
          <w:b w:val="0"/>
          <w:lang w:val="en-GB" w:eastAsia="en-MY"/>
        </w:rPr>
        <w:t xml:space="preserve">Figure 4.30 shows hardness, indentation toughness and brittleness for </w:t>
      </w:r>
      <w:r>
        <w:rPr>
          <w:rFonts w:eastAsia="Times New Roman"/>
          <w:b w:val="0"/>
          <w:color w:val="000000"/>
          <w:szCs w:val="24"/>
          <w:lang w:eastAsia="en-MY"/>
        </w:rPr>
        <w:t>N</w:t>
      </w:r>
      <w:r>
        <w:rPr>
          <w:rFonts w:eastAsia="Times New Roman"/>
          <w:b w:val="0"/>
          <w:color w:val="000000"/>
          <w:szCs w:val="24"/>
          <w:vertAlign w:val="subscript"/>
          <w:lang w:eastAsia="en-MY"/>
        </w:rPr>
        <w:t>15</w:t>
      </w:r>
      <w:r>
        <w:rPr>
          <w:rFonts w:eastAsia="Times New Roman"/>
          <w:b w:val="0"/>
          <w:color w:val="000000"/>
          <w:szCs w:val="24"/>
          <w:lang w:eastAsia="en-MY"/>
        </w:rPr>
        <w:t>C</w:t>
      </w:r>
      <w:r>
        <w:rPr>
          <w:rFonts w:eastAsia="Times New Roman"/>
          <w:b w:val="0"/>
          <w:color w:val="000000"/>
          <w:szCs w:val="24"/>
          <w:vertAlign w:val="subscript"/>
          <w:lang w:eastAsia="en-MY"/>
        </w:rPr>
        <w:t>x</w:t>
      </w:r>
      <w:r>
        <w:rPr>
          <w:rFonts w:eastAsia="Times New Roman"/>
          <w:b w:val="0"/>
          <w:color w:val="000000"/>
          <w:szCs w:val="24"/>
          <w:lang w:eastAsia="en-MY"/>
        </w:rPr>
        <w:t>A</w:t>
      </w:r>
      <w:r>
        <w:rPr>
          <w:rFonts w:eastAsia="Times New Roman"/>
          <w:b w:val="0"/>
          <w:color w:val="000000"/>
          <w:szCs w:val="24"/>
          <w:vertAlign w:val="subscript"/>
          <w:lang w:eastAsia="en-MY"/>
        </w:rPr>
        <w:t>15-x</w:t>
      </w:r>
      <w:r>
        <w:rPr>
          <w:rFonts w:eastAsia="Times New Roman"/>
          <w:b w:val="0"/>
          <w:color w:val="000000"/>
          <w:szCs w:val="24"/>
          <w:lang w:eastAsia="en-MY"/>
        </w:rPr>
        <w:t>B</w:t>
      </w:r>
      <w:r>
        <w:rPr>
          <w:rFonts w:eastAsia="Times New Roman"/>
          <w:b w:val="0"/>
          <w:color w:val="000000"/>
          <w:szCs w:val="24"/>
          <w:vertAlign w:val="subscript"/>
          <w:lang w:eastAsia="en-MY"/>
        </w:rPr>
        <w:t>10</w:t>
      </w:r>
      <w:r>
        <w:rPr>
          <w:rFonts w:eastAsia="Times New Roman"/>
          <w:b w:val="0"/>
          <w:color w:val="000000"/>
          <w:szCs w:val="24"/>
          <w:lang w:eastAsia="en-MY"/>
        </w:rPr>
        <w:t>S</w:t>
      </w:r>
      <w:r>
        <w:rPr>
          <w:rFonts w:eastAsia="Times New Roman"/>
          <w:b w:val="0"/>
          <w:color w:val="000000"/>
          <w:szCs w:val="24"/>
          <w:vertAlign w:val="subscript"/>
          <w:lang w:eastAsia="en-MY"/>
        </w:rPr>
        <w:t>60</w:t>
      </w:r>
      <w:r>
        <w:rPr>
          <w:b w:val="0"/>
          <w:szCs w:val="24"/>
        </w:rPr>
        <w:t xml:space="preserve">, </w:t>
      </w:r>
      <w:r>
        <w:rPr>
          <w:rFonts w:eastAsia="Times New Roman"/>
          <w:b w:val="0"/>
          <w:color w:val="000000"/>
          <w:szCs w:val="24"/>
          <w:lang w:eastAsia="en-MY"/>
        </w:rPr>
        <w:t>N</w:t>
      </w:r>
      <w:r>
        <w:rPr>
          <w:rFonts w:eastAsia="Times New Roman"/>
          <w:b w:val="0"/>
          <w:color w:val="000000"/>
          <w:szCs w:val="24"/>
          <w:vertAlign w:val="subscript"/>
          <w:lang w:eastAsia="en-MY"/>
        </w:rPr>
        <w:t>15</w:t>
      </w:r>
      <w:r>
        <w:rPr>
          <w:rFonts w:eastAsia="Times New Roman"/>
          <w:b w:val="0"/>
          <w:color w:val="000000"/>
          <w:szCs w:val="24"/>
          <w:lang w:eastAsia="en-MY"/>
        </w:rPr>
        <w:t>Ba</w:t>
      </w:r>
      <w:r>
        <w:rPr>
          <w:rFonts w:eastAsia="Times New Roman"/>
          <w:b w:val="0"/>
          <w:color w:val="000000"/>
          <w:szCs w:val="24"/>
          <w:vertAlign w:val="subscript"/>
          <w:lang w:eastAsia="en-MY"/>
        </w:rPr>
        <w:t>x</w:t>
      </w:r>
      <w:r>
        <w:rPr>
          <w:rFonts w:eastAsia="Times New Roman"/>
          <w:b w:val="0"/>
          <w:color w:val="000000"/>
          <w:szCs w:val="24"/>
          <w:lang w:eastAsia="en-MY"/>
        </w:rPr>
        <w:t>A</w:t>
      </w:r>
      <w:r>
        <w:rPr>
          <w:rFonts w:eastAsia="Times New Roman"/>
          <w:b w:val="0"/>
          <w:color w:val="000000"/>
          <w:szCs w:val="24"/>
          <w:vertAlign w:val="subscript"/>
          <w:lang w:eastAsia="en-MY"/>
        </w:rPr>
        <w:t>15-x</w:t>
      </w:r>
      <w:r>
        <w:rPr>
          <w:rFonts w:eastAsia="Times New Roman"/>
          <w:b w:val="0"/>
          <w:color w:val="000000"/>
          <w:szCs w:val="24"/>
          <w:lang w:eastAsia="en-MY"/>
        </w:rPr>
        <w:t>B</w:t>
      </w:r>
      <w:r>
        <w:rPr>
          <w:rFonts w:eastAsia="Times New Roman"/>
          <w:b w:val="0"/>
          <w:color w:val="000000"/>
          <w:szCs w:val="24"/>
          <w:vertAlign w:val="subscript"/>
          <w:lang w:eastAsia="en-MY"/>
        </w:rPr>
        <w:t>10</w:t>
      </w:r>
      <w:r>
        <w:rPr>
          <w:rFonts w:eastAsia="Times New Roman"/>
          <w:b w:val="0"/>
          <w:color w:val="000000"/>
          <w:szCs w:val="24"/>
          <w:lang w:eastAsia="en-MY"/>
        </w:rPr>
        <w:t>S</w:t>
      </w:r>
      <w:r>
        <w:rPr>
          <w:rFonts w:eastAsia="Times New Roman"/>
          <w:b w:val="0"/>
          <w:color w:val="000000"/>
          <w:szCs w:val="24"/>
          <w:vertAlign w:val="subscript"/>
          <w:lang w:eastAsia="en-MY"/>
        </w:rPr>
        <w:t>60</w:t>
      </w:r>
      <w:r>
        <w:rPr>
          <w:b w:val="0"/>
          <w:szCs w:val="24"/>
        </w:rPr>
        <w:t xml:space="preserve">, </w:t>
      </w:r>
      <w:r>
        <w:rPr>
          <w:rFonts w:eastAsia="Times New Roman"/>
          <w:b w:val="0"/>
          <w:color w:val="000000"/>
          <w:szCs w:val="24"/>
          <w:lang w:eastAsia="en-MY"/>
        </w:rPr>
        <w:t>N</w:t>
      </w:r>
      <w:r>
        <w:rPr>
          <w:rFonts w:eastAsia="Times New Roman"/>
          <w:b w:val="0"/>
          <w:color w:val="000000"/>
          <w:szCs w:val="24"/>
          <w:vertAlign w:val="subscript"/>
          <w:lang w:eastAsia="en-MY"/>
        </w:rPr>
        <w:t>10</w:t>
      </w:r>
      <w:r>
        <w:rPr>
          <w:rFonts w:eastAsia="Times New Roman"/>
          <w:b w:val="0"/>
          <w:color w:val="000000"/>
          <w:szCs w:val="24"/>
          <w:lang w:eastAsia="en-MY"/>
        </w:rPr>
        <w:t>C</w:t>
      </w:r>
      <w:r>
        <w:rPr>
          <w:rFonts w:eastAsia="Times New Roman"/>
          <w:b w:val="0"/>
          <w:color w:val="000000"/>
          <w:szCs w:val="24"/>
          <w:vertAlign w:val="subscript"/>
          <w:lang w:eastAsia="en-MY"/>
        </w:rPr>
        <w:t>x</w:t>
      </w:r>
      <w:r>
        <w:rPr>
          <w:rFonts w:eastAsia="Times New Roman"/>
          <w:b w:val="0"/>
          <w:color w:val="000000"/>
          <w:szCs w:val="24"/>
          <w:lang w:eastAsia="en-MY"/>
        </w:rPr>
        <w:t>A</w:t>
      </w:r>
      <w:r>
        <w:rPr>
          <w:rFonts w:eastAsia="Times New Roman"/>
          <w:b w:val="0"/>
          <w:color w:val="000000"/>
          <w:szCs w:val="24"/>
          <w:vertAlign w:val="subscript"/>
          <w:lang w:eastAsia="en-MY"/>
        </w:rPr>
        <w:t>20-x</w:t>
      </w:r>
      <w:r>
        <w:rPr>
          <w:rFonts w:eastAsia="Times New Roman"/>
          <w:b w:val="0"/>
          <w:color w:val="000000"/>
          <w:szCs w:val="24"/>
          <w:lang w:eastAsia="en-MY"/>
        </w:rPr>
        <w:t>B</w:t>
      </w:r>
      <w:r>
        <w:rPr>
          <w:rFonts w:eastAsia="Times New Roman"/>
          <w:b w:val="0"/>
          <w:color w:val="000000"/>
          <w:szCs w:val="24"/>
          <w:vertAlign w:val="subscript"/>
          <w:lang w:eastAsia="en-MY"/>
        </w:rPr>
        <w:t>10</w:t>
      </w:r>
      <w:r>
        <w:rPr>
          <w:rFonts w:eastAsia="Times New Roman"/>
          <w:b w:val="0"/>
          <w:color w:val="000000"/>
          <w:szCs w:val="24"/>
          <w:lang w:eastAsia="en-MY"/>
        </w:rPr>
        <w:t>S</w:t>
      </w:r>
      <w:r>
        <w:rPr>
          <w:rFonts w:eastAsia="Times New Roman"/>
          <w:b w:val="0"/>
          <w:color w:val="000000"/>
          <w:szCs w:val="24"/>
          <w:vertAlign w:val="subscript"/>
          <w:lang w:eastAsia="en-MY"/>
        </w:rPr>
        <w:t>60</w:t>
      </w:r>
      <w:r>
        <w:rPr>
          <w:b w:val="0"/>
          <w:szCs w:val="24"/>
        </w:rPr>
        <w:t xml:space="preserve">, </w:t>
      </w:r>
      <w:r>
        <w:rPr>
          <w:rFonts w:eastAsia="Times New Roman"/>
          <w:b w:val="0"/>
          <w:color w:val="000000"/>
          <w:szCs w:val="24"/>
          <w:lang w:eastAsia="en-MY"/>
        </w:rPr>
        <w:t>N</w:t>
      </w:r>
      <w:r>
        <w:rPr>
          <w:rFonts w:eastAsia="Times New Roman"/>
          <w:b w:val="0"/>
          <w:color w:val="000000"/>
          <w:szCs w:val="24"/>
          <w:vertAlign w:val="subscript"/>
          <w:lang w:eastAsia="en-MY"/>
        </w:rPr>
        <w:t>10</w:t>
      </w:r>
      <w:r>
        <w:rPr>
          <w:rFonts w:eastAsia="Times New Roman"/>
          <w:b w:val="0"/>
          <w:color w:val="000000"/>
          <w:szCs w:val="24"/>
          <w:lang w:eastAsia="en-MY"/>
        </w:rPr>
        <w:t>Ba</w:t>
      </w:r>
      <w:r>
        <w:rPr>
          <w:rFonts w:eastAsia="Times New Roman"/>
          <w:b w:val="0"/>
          <w:color w:val="000000"/>
          <w:szCs w:val="24"/>
          <w:vertAlign w:val="subscript"/>
          <w:lang w:eastAsia="en-MY"/>
        </w:rPr>
        <w:t>x</w:t>
      </w:r>
      <w:r>
        <w:rPr>
          <w:rFonts w:eastAsia="Times New Roman"/>
          <w:b w:val="0"/>
          <w:color w:val="000000"/>
          <w:szCs w:val="24"/>
          <w:lang w:eastAsia="en-MY"/>
        </w:rPr>
        <w:t>A</w:t>
      </w:r>
      <w:r>
        <w:rPr>
          <w:rFonts w:eastAsia="Times New Roman"/>
          <w:b w:val="0"/>
          <w:color w:val="000000"/>
          <w:szCs w:val="24"/>
          <w:vertAlign w:val="subscript"/>
          <w:lang w:eastAsia="en-MY"/>
        </w:rPr>
        <w:t>20-x</w:t>
      </w:r>
      <w:r>
        <w:rPr>
          <w:rFonts w:eastAsia="Times New Roman"/>
          <w:b w:val="0"/>
          <w:color w:val="000000"/>
          <w:szCs w:val="24"/>
          <w:lang w:eastAsia="en-MY"/>
        </w:rPr>
        <w:t>B</w:t>
      </w:r>
      <w:r>
        <w:rPr>
          <w:rFonts w:eastAsia="Times New Roman"/>
          <w:b w:val="0"/>
          <w:color w:val="000000"/>
          <w:szCs w:val="24"/>
          <w:vertAlign w:val="subscript"/>
          <w:lang w:eastAsia="en-MY"/>
        </w:rPr>
        <w:t>10</w:t>
      </w:r>
      <w:r>
        <w:rPr>
          <w:rFonts w:eastAsia="Times New Roman"/>
          <w:b w:val="0"/>
          <w:color w:val="000000"/>
          <w:szCs w:val="24"/>
          <w:lang w:eastAsia="en-MY"/>
        </w:rPr>
        <w:t>S</w:t>
      </w:r>
      <w:r>
        <w:rPr>
          <w:rFonts w:eastAsia="Times New Roman"/>
          <w:b w:val="0"/>
          <w:color w:val="000000"/>
          <w:szCs w:val="24"/>
          <w:vertAlign w:val="subscript"/>
          <w:lang w:eastAsia="en-MY"/>
        </w:rPr>
        <w:t xml:space="preserve">60 </w:t>
      </w:r>
      <w:r>
        <w:rPr>
          <w:rFonts w:eastAsia="Times New Roman"/>
          <w:b w:val="0"/>
          <w:color w:val="000000"/>
          <w:szCs w:val="24"/>
          <w:lang w:eastAsia="en-MY"/>
        </w:rPr>
        <w:t>glass series</w:t>
      </w:r>
      <w:r>
        <w:rPr>
          <w:b w:val="0"/>
          <w:lang w:val="en-GB" w:eastAsia="en-MY"/>
        </w:rPr>
        <w:t>. The indentation toughness decreased with increasing network charge balance (due to increasing amounts of alkaline earth oxides used in the glasses)</w:t>
      </w:r>
      <w:r>
        <w:rPr>
          <w:rFonts w:eastAsia="Calibri" w:cs="Times New Roman"/>
          <w:b w:val="0"/>
          <w:szCs w:val="24"/>
          <w:lang w:val="en-GB"/>
        </w:rPr>
        <w:t xml:space="preserve"> </w:t>
      </w:r>
      <w:r>
        <w:rPr>
          <w:rFonts w:eastAsia="Calibri" w:cs="Times New Roman"/>
          <w:b w:val="0"/>
          <w:szCs w:val="24"/>
        </w:rPr>
        <w:t>from 0.63 to 0.55 MNm</w:t>
      </w:r>
      <w:r>
        <w:rPr>
          <w:rFonts w:eastAsia="Calibri" w:cs="Times New Roman"/>
          <w:b w:val="0"/>
          <w:szCs w:val="24"/>
          <w:vertAlign w:val="superscript"/>
        </w:rPr>
        <w:t>-3/2</w:t>
      </w:r>
      <w:r>
        <w:rPr>
          <w:rFonts w:eastAsia="Calibri" w:cs="Times New Roman"/>
          <w:b w:val="0"/>
          <w:szCs w:val="24"/>
        </w:rPr>
        <w:t xml:space="preserve"> and 0.60 to 0.53 MNm</w:t>
      </w:r>
      <w:r>
        <w:rPr>
          <w:rFonts w:eastAsia="Calibri" w:cs="Times New Roman"/>
          <w:b w:val="0"/>
          <w:szCs w:val="24"/>
          <w:vertAlign w:val="superscript"/>
        </w:rPr>
        <w:t>-3/2</w:t>
      </w:r>
      <w:r>
        <w:rPr>
          <w:b w:val="0"/>
          <w:lang w:val="en-GB" w:eastAsia="en-MY"/>
        </w:rPr>
        <w:t xml:space="preserve">. </w:t>
      </w:r>
      <w:r>
        <w:rPr>
          <w:rFonts w:eastAsia="Calibri" w:cs="Times New Roman"/>
          <w:b w:val="0"/>
          <w:szCs w:val="24"/>
        </w:rPr>
        <w:t xml:space="preserve">A similar trend is seen for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20-x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6</w:t>
      </w:r>
      <w:r>
        <w:rPr>
          <w:rFonts w:eastAsia="Times New Roman" w:cs="Times New Roman"/>
          <w:b w:val="0"/>
          <w:szCs w:val="24"/>
          <w:vertAlign w:val="subscript"/>
          <w:lang w:eastAsia="en-MY"/>
        </w:rPr>
        <w:t xml:space="preserve">0 </w:t>
      </w:r>
      <w:r>
        <w:rPr>
          <w:rFonts w:eastAsia="Calibri" w:cs="Times New Roman"/>
          <w:b w:val="0"/>
          <w:szCs w:val="24"/>
        </w:rPr>
        <w:t xml:space="preserve">and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Ba</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20-x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60</w:t>
      </w:r>
      <w:r>
        <w:rPr>
          <w:rFonts w:eastAsia="Calibri" w:cs="Times New Roman"/>
          <w:b w:val="0"/>
          <w:szCs w:val="24"/>
        </w:rPr>
        <w:t xml:space="preserve">, with </w:t>
      </w:r>
      <w:proofErr w:type="spellStart"/>
      <w:r>
        <w:rPr>
          <w:rFonts w:eastAsia="Calibri" w:cs="Times New Roman"/>
          <w:b w:val="0"/>
          <w:szCs w:val="24"/>
        </w:rPr>
        <w:t>CaO</w:t>
      </w:r>
      <w:proofErr w:type="spellEnd"/>
      <w:r>
        <w:rPr>
          <w:rFonts w:eastAsia="Calibri" w:cs="Times New Roman"/>
          <w:b w:val="0"/>
          <w:szCs w:val="24"/>
        </w:rPr>
        <w:t xml:space="preserve"> giving higher values than </w:t>
      </w:r>
      <w:proofErr w:type="spellStart"/>
      <w:r>
        <w:rPr>
          <w:rFonts w:eastAsia="Calibri" w:cs="Times New Roman"/>
          <w:b w:val="0"/>
          <w:szCs w:val="24"/>
        </w:rPr>
        <w:t>BaO</w:t>
      </w:r>
      <w:proofErr w:type="spellEnd"/>
      <w:r>
        <w:rPr>
          <w:rFonts w:eastAsia="Calibri" w:cs="Times New Roman"/>
          <w:b w:val="0"/>
          <w:szCs w:val="24"/>
        </w:rPr>
        <w:t>. The indentation fracture toughness decreased from 1.00 to 0.85 MNm</w:t>
      </w:r>
      <w:r>
        <w:rPr>
          <w:rFonts w:eastAsia="Calibri" w:cs="Times New Roman"/>
          <w:b w:val="0"/>
          <w:szCs w:val="24"/>
          <w:vertAlign w:val="superscript"/>
        </w:rPr>
        <w:t>-3/2</w:t>
      </w:r>
      <w:r>
        <w:rPr>
          <w:rFonts w:eastAsia="Calibri" w:cs="Times New Roman"/>
          <w:b w:val="0"/>
          <w:szCs w:val="24"/>
        </w:rPr>
        <w:t xml:space="preserve"> for </w:t>
      </w:r>
      <w:proofErr w:type="spellStart"/>
      <w:r>
        <w:rPr>
          <w:rFonts w:eastAsia="Calibri" w:cs="Times New Roman"/>
          <w:b w:val="0"/>
          <w:szCs w:val="24"/>
        </w:rPr>
        <w:t>CaO</w:t>
      </w:r>
      <w:proofErr w:type="spellEnd"/>
      <w:r>
        <w:rPr>
          <w:rFonts w:eastAsia="Calibri" w:cs="Times New Roman"/>
          <w:b w:val="0"/>
          <w:szCs w:val="24"/>
        </w:rPr>
        <w:t xml:space="preserve"> containing glasses and from 0.93 to 0.78 MNm</w:t>
      </w:r>
      <w:r>
        <w:rPr>
          <w:rFonts w:eastAsia="Calibri" w:cs="Times New Roman"/>
          <w:b w:val="0"/>
          <w:szCs w:val="24"/>
          <w:vertAlign w:val="superscript"/>
        </w:rPr>
        <w:t>-3/2</w:t>
      </w:r>
      <w:r>
        <w:rPr>
          <w:rFonts w:eastAsia="Calibri" w:cs="Times New Roman"/>
          <w:b w:val="0"/>
          <w:szCs w:val="24"/>
        </w:rPr>
        <w:t>. The larger value seen with calcium oxide might due to</w:t>
      </w:r>
      <w:r w:rsidR="000E1870">
        <w:rPr>
          <w:rFonts w:eastAsia="Calibri" w:cs="Times New Roman"/>
          <w:b w:val="0"/>
          <w:szCs w:val="24"/>
        </w:rPr>
        <w:t xml:space="preserve"> </w:t>
      </w:r>
      <w:r w:rsidR="008C4D01">
        <w:rPr>
          <w:rFonts w:eastAsia="Calibri" w:cs="Times New Roman"/>
          <w:b w:val="0"/>
          <w:szCs w:val="24"/>
        </w:rPr>
        <w:t xml:space="preserve">differences </w:t>
      </w:r>
      <w:r w:rsidR="000E1870">
        <w:rPr>
          <w:rFonts w:eastAsia="Calibri" w:cs="Times New Roman"/>
          <w:b w:val="0"/>
          <w:szCs w:val="24"/>
        </w:rPr>
        <w:t>in</w:t>
      </w:r>
      <w:r>
        <w:rPr>
          <w:rFonts w:eastAsia="Calibri" w:cs="Times New Roman"/>
          <w:b w:val="0"/>
          <w:szCs w:val="24"/>
        </w:rPr>
        <w:t xml:space="preserve"> cation size and field strength</w:t>
      </w:r>
      <w:r w:rsidR="000E1870">
        <w:rPr>
          <w:rFonts w:eastAsia="Calibri" w:cs="Times New Roman"/>
          <w:b w:val="0"/>
          <w:szCs w:val="24"/>
        </w:rPr>
        <w:t xml:space="preserve"> </w:t>
      </w:r>
      <w:r w:rsidR="00FE1D6B">
        <w:rPr>
          <w:rFonts w:eastAsia="Calibri" w:cs="Times New Roman"/>
          <w:b w:val="0"/>
          <w:szCs w:val="24"/>
        </w:rPr>
        <w:t>(</w:t>
      </w:r>
      <w:r w:rsidR="0008707D">
        <w:rPr>
          <w:rFonts w:eastAsia="Calibri" w:cs="Times New Roman"/>
          <w:b w:val="0"/>
          <w:szCs w:val="24"/>
        </w:rPr>
        <w:t>106</w:t>
      </w:r>
      <w:r w:rsidR="00FE1D6B">
        <w:rPr>
          <w:rFonts w:eastAsia="Calibri" w:cs="Times New Roman"/>
          <w:b w:val="0"/>
          <w:szCs w:val="24"/>
        </w:rPr>
        <w:t xml:space="preserve"> and 0.362 for calcium) and (</w:t>
      </w:r>
      <w:r w:rsidR="0008707D">
        <w:rPr>
          <w:rFonts w:eastAsia="Calibri" w:cs="Times New Roman"/>
          <w:b w:val="0"/>
          <w:szCs w:val="24"/>
        </w:rPr>
        <w:t>143</w:t>
      </w:r>
      <w:r w:rsidR="00FE1D6B">
        <w:rPr>
          <w:rFonts w:eastAsia="Calibri" w:cs="Times New Roman"/>
          <w:b w:val="0"/>
          <w:szCs w:val="24"/>
        </w:rPr>
        <w:t xml:space="preserve"> and 0.261 for</w:t>
      </w:r>
      <w:r w:rsidR="000E1870">
        <w:rPr>
          <w:rFonts w:eastAsia="Calibri" w:cs="Times New Roman"/>
          <w:b w:val="0"/>
          <w:szCs w:val="24"/>
        </w:rPr>
        <w:t xml:space="preserve"> barium</w:t>
      </w:r>
      <w:r w:rsidR="0008707D">
        <w:rPr>
          <w:rFonts w:eastAsia="Calibri" w:cs="Times New Roman"/>
          <w:b w:val="0"/>
          <w:szCs w:val="24"/>
        </w:rPr>
        <w:t>)</w:t>
      </w:r>
      <w:r>
        <w:rPr>
          <w:b w:val="0"/>
          <w:lang w:val="en-GB" w:eastAsia="en-MY"/>
        </w:rPr>
        <w:t>.</w:t>
      </w:r>
      <w:r w:rsidR="00FE1D6B">
        <w:rPr>
          <w:b w:val="0"/>
          <w:lang w:val="en-GB" w:eastAsia="en-MY"/>
        </w:rPr>
        <w:t xml:space="preserve"> </w:t>
      </w:r>
      <w:r>
        <w:rPr>
          <w:b w:val="0"/>
          <w:lang w:val="en-GB" w:eastAsia="en-MY"/>
        </w:rPr>
        <w:t xml:space="preserve">For hardness and brittleness, when comparing </w:t>
      </w:r>
      <w:r>
        <w:rPr>
          <w:b w:val="0"/>
          <w:szCs w:val="24"/>
          <w:lang w:val="en-GB" w:eastAsia="en-MY"/>
        </w:rPr>
        <w:t xml:space="preserve">series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Ba</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15-</w:t>
      </w:r>
      <w:r>
        <w:rPr>
          <w:rFonts w:eastAsia="Times New Roman" w:cs="Times New Roman"/>
          <w:b w:val="0"/>
          <w:color w:val="000000"/>
          <w:szCs w:val="24"/>
          <w:vertAlign w:val="subscript"/>
          <w:lang w:eastAsia="en-MY"/>
        </w:rPr>
        <w:lastRenderedPageBreak/>
        <w:t>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 xml:space="preserve">60 </w:t>
      </w:r>
      <w:r>
        <w:rPr>
          <w:rFonts w:eastAsia="Times New Roman" w:cs="Times New Roman"/>
          <w:b w:val="0"/>
          <w:color w:val="000000"/>
          <w:szCs w:val="24"/>
          <w:lang w:eastAsia="en-MY"/>
        </w:rPr>
        <w:t>and 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15-x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 xml:space="preserve">60, </w:t>
      </w:r>
      <w:r>
        <w:rPr>
          <w:rFonts w:eastAsia="Times New Roman" w:cs="Times New Roman"/>
          <w:b w:val="0"/>
          <w:color w:val="000000"/>
          <w:szCs w:val="24"/>
          <w:lang w:eastAsia="en-MY"/>
        </w:rPr>
        <w:t xml:space="preserve">glass the calcium oxide containing glasses gave </w:t>
      </w:r>
      <w:r w:rsidR="008C4D01">
        <w:rPr>
          <w:rFonts w:eastAsia="Times New Roman" w:cs="Times New Roman"/>
          <w:b w:val="0"/>
          <w:color w:val="000000"/>
          <w:szCs w:val="24"/>
          <w:lang w:eastAsia="en-MY"/>
        </w:rPr>
        <w:t>a</w:t>
      </w:r>
      <w:r w:rsidR="008C4D01">
        <w:rPr>
          <w:b w:val="0"/>
          <w:szCs w:val="24"/>
          <w:lang w:val="en-GB" w:eastAsia="en-MY"/>
        </w:rPr>
        <w:t xml:space="preserve"> </w:t>
      </w:r>
      <w:r>
        <w:rPr>
          <w:b w:val="0"/>
          <w:szCs w:val="24"/>
          <w:lang w:val="en-GB" w:eastAsia="en-MY"/>
        </w:rPr>
        <w:t xml:space="preserve">higher value. In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20-x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 xml:space="preserve">60 </w:t>
      </w:r>
      <w:r>
        <w:rPr>
          <w:rFonts w:eastAsia="Times New Roman" w:cs="Times New Roman"/>
          <w:b w:val="0"/>
          <w:color w:val="000000"/>
          <w:szCs w:val="24"/>
          <w:lang w:eastAsia="en-MY"/>
        </w:rPr>
        <w:t>and</w:t>
      </w:r>
      <w:r>
        <w:rPr>
          <w:rFonts w:eastAsia="Times New Roman" w:cs="Times New Roman"/>
          <w:b w:val="0"/>
          <w:color w:val="000000"/>
          <w:szCs w:val="24"/>
          <w:vertAlign w:val="subscript"/>
          <w:lang w:eastAsia="en-MY"/>
        </w:rPr>
        <w:t xml:space="preserve">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Ba</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20-x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60</w:t>
      </w:r>
      <w:r>
        <w:rPr>
          <w:rFonts w:eastAsia="Times New Roman" w:cs="Times New Roman"/>
          <w:b w:val="0"/>
          <w:color w:val="000000"/>
          <w:szCs w:val="24"/>
          <w:lang w:eastAsia="en-MY"/>
        </w:rPr>
        <w:t xml:space="preserve">, calcium oxide glasses still give </w:t>
      </w:r>
      <w:r w:rsidR="008C4D01">
        <w:rPr>
          <w:rFonts w:eastAsia="Times New Roman" w:cs="Times New Roman"/>
          <w:b w:val="0"/>
          <w:color w:val="000000"/>
          <w:szCs w:val="24"/>
          <w:lang w:eastAsia="en-MY"/>
        </w:rPr>
        <w:t xml:space="preserve">a </w:t>
      </w:r>
      <w:r>
        <w:rPr>
          <w:rFonts w:eastAsia="Times New Roman" w:cs="Times New Roman"/>
          <w:b w:val="0"/>
          <w:color w:val="000000"/>
          <w:szCs w:val="24"/>
          <w:lang w:eastAsia="en-MY"/>
        </w:rPr>
        <w:t xml:space="preserve">slightly higher value than barium oxide containing ones. This is means that these two properties are given a change of value depends on </w:t>
      </w:r>
      <w:r w:rsidR="008C4D01">
        <w:rPr>
          <w:rFonts w:eastAsia="Times New Roman" w:cs="Times New Roman"/>
          <w:b w:val="0"/>
          <w:color w:val="000000"/>
          <w:szCs w:val="24"/>
          <w:lang w:eastAsia="en-MY"/>
        </w:rPr>
        <w:t xml:space="preserve">the </w:t>
      </w:r>
      <w:r>
        <w:rPr>
          <w:rFonts w:eastAsia="Times New Roman" w:cs="Times New Roman"/>
          <w:b w:val="0"/>
          <w:color w:val="000000"/>
          <w:szCs w:val="24"/>
          <w:lang w:eastAsia="en-MY"/>
        </w:rPr>
        <w:t xml:space="preserve">amount of alkaline earth used. </w:t>
      </w:r>
    </w:p>
    <w:p w14:paraId="57FEA67E" w14:textId="77777777" w:rsidR="00BF600D" w:rsidRDefault="00BF600D" w:rsidP="00BF600D">
      <w:pPr>
        <w:pStyle w:val="Heading4"/>
      </w:pPr>
      <w:bookmarkStart w:id="821" w:name="_Toc525742534"/>
      <w:bookmarkStart w:id="822" w:name="_Toc525707869"/>
      <w:r>
        <w:t>4.5.3 Series N</w:t>
      </w:r>
      <w:r>
        <w:rPr>
          <w:vertAlign w:val="subscript"/>
        </w:rPr>
        <w:t>10</w:t>
      </w:r>
      <w:r>
        <w:t>C</w:t>
      </w:r>
      <w:r>
        <w:rPr>
          <w:vertAlign w:val="subscript"/>
        </w:rPr>
        <w:t>x</w:t>
      </w:r>
      <w:r>
        <w:t>A</w:t>
      </w:r>
      <w:r>
        <w:rPr>
          <w:vertAlign w:val="subscript"/>
        </w:rPr>
        <w:t>2</w:t>
      </w:r>
      <w:r>
        <w:t>B</w:t>
      </w:r>
      <w:r>
        <w:rPr>
          <w:vertAlign w:val="subscript"/>
        </w:rPr>
        <w:t>10</w:t>
      </w:r>
      <w:r>
        <w:t>S</w:t>
      </w:r>
      <w:r>
        <w:rPr>
          <w:vertAlign w:val="subscript"/>
        </w:rPr>
        <w:t>78-x</w:t>
      </w:r>
      <w:r>
        <w:t xml:space="preserve"> , N</w:t>
      </w:r>
      <w:r>
        <w:rPr>
          <w:vertAlign w:val="subscript"/>
        </w:rPr>
        <w:t>15</w:t>
      </w:r>
      <w:r>
        <w:t>C</w:t>
      </w:r>
      <w:r>
        <w:rPr>
          <w:vertAlign w:val="subscript"/>
        </w:rPr>
        <w:t>x</w:t>
      </w:r>
      <w:r>
        <w:t>A</w:t>
      </w:r>
      <w:r>
        <w:rPr>
          <w:vertAlign w:val="subscript"/>
        </w:rPr>
        <w:t>2</w:t>
      </w:r>
      <w:r>
        <w:t>B</w:t>
      </w:r>
      <w:r>
        <w:rPr>
          <w:vertAlign w:val="subscript"/>
        </w:rPr>
        <w:t>10</w:t>
      </w:r>
      <w:r>
        <w:t>S</w:t>
      </w:r>
      <w:r>
        <w:rPr>
          <w:vertAlign w:val="subscript"/>
        </w:rPr>
        <w:t>73-x</w:t>
      </w:r>
      <w:r>
        <w:t>, and N</w:t>
      </w:r>
      <w:r>
        <w:rPr>
          <w:vertAlign w:val="subscript"/>
        </w:rPr>
        <w:t>10</w:t>
      </w:r>
      <w:r>
        <w:t>C</w:t>
      </w:r>
      <w:r>
        <w:rPr>
          <w:vertAlign w:val="subscript"/>
        </w:rPr>
        <w:t>x</w:t>
      </w:r>
      <w:r>
        <w:t>Ba</w:t>
      </w:r>
      <w:r>
        <w:rPr>
          <w:vertAlign w:val="subscript"/>
        </w:rPr>
        <w:t>2</w:t>
      </w:r>
      <w:r>
        <w:t>A</w:t>
      </w:r>
      <w:r>
        <w:rPr>
          <w:vertAlign w:val="subscript"/>
        </w:rPr>
        <w:t>y</w:t>
      </w:r>
      <w:r>
        <w:t>B</w:t>
      </w:r>
      <w:r>
        <w:rPr>
          <w:vertAlign w:val="subscript"/>
        </w:rPr>
        <w:t>10</w:t>
      </w:r>
      <w:r>
        <w:t>S</w:t>
      </w:r>
      <w:r>
        <w:rPr>
          <w:vertAlign w:val="subscript"/>
        </w:rPr>
        <w:t xml:space="preserve">78-x-y </w:t>
      </w:r>
      <w:r>
        <w:t>glasses.</w:t>
      </w:r>
      <w:bookmarkEnd w:id="821"/>
      <w:bookmarkEnd w:id="822"/>
    </w:p>
    <w:p w14:paraId="5F461334" w14:textId="77777777" w:rsidR="00BF600D" w:rsidRDefault="00BF600D" w:rsidP="00BF600D">
      <w:pPr>
        <w:pStyle w:val="Heading4"/>
      </w:pPr>
      <w:bookmarkStart w:id="823" w:name="_Toc525742535"/>
      <w:bookmarkStart w:id="824" w:name="_Toc525707870"/>
      <w:r>
        <w:t>4.5.3.1 Modulus and Poisson’s ratio</w:t>
      </w:r>
      <w:bookmarkEnd w:id="823"/>
      <w:bookmarkEnd w:id="824"/>
    </w:p>
    <w:p w14:paraId="1E5B8D28" w14:textId="16DE061B" w:rsidR="00BF600D" w:rsidRDefault="00BF600D" w:rsidP="00BF600D">
      <w:pPr>
        <w:spacing w:after="0" w:line="360" w:lineRule="auto"/>
        <w:jc w:val="both"/>
        <w:rPr>
          <w:rFonts w:cs="Times New Roman"/>
          <w:szCs w:val="24"/>
        </w:rPr>
      </w:pPr>
      <w:r>
        <w:rPr>
          <w:rFonts w:cs="Times New Roman"/>
          <w:szCs w:val="24"/>
        </w:rPr>
        <w:t xml:space="preserve"> </w:t>
      </w:r>
      <w:r>
        <w:rPr>
          <w:noProof/>
          <w:lang w:eastAsia="en-MY"/>
        </w:rPr>
        <w:drawing>
          <wp:inline distT="0" distB="0" distL="0" distR="0" wp14:anchorId="6CD6B2DE" wp14:editId="64A130E7">
            <wp:extent cx="2533650" cy="2162175"/>
            <wp:effectExtent l="0" t="0" r="0" b="9525"/>
            <wp:docPr id="1502" name="Pictur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533650" cy="2162175"/>
                    </a:xfrm>
                    <a:prstGeom prst="rect">
                      <a:avLst/>
                    </a:prstGeom>
                    <a:noFill/>
                    <a:ln>
                      <a:noFill/>
                    </a:ln>
                  </pic:spPr>
                </pic:pic>
              </a:graphicData>
            </a:graphic>
          </wp:inline>
        </w:drawing>
      </w:r>
      <w:r>
        <w:rPr>
          <w:rFonts w:cs="Times New Roman"/>
          <w:szCs w:val="24"/>
        </w:rPr>
        <w:t xml:space="preserve"> </w:t>
      </w:r>
      <w:r>
        <w:rPr>
          <w:noProof/>
          <w:lang w:eastAsia="en-MY"/>
        </w:rPr>
        <w:drawing>
          <wp:inline distT="0" distB="0" distL="0" distR="0" wp14:anchorId="0398D694" wp14:editId="2C2636C9">
            <wp:extent cx="2571750" cy="2162175"/>
            <wp:effectExtent l="0" t="0" r="0" b="9525"/>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571750" cy="2162175"/>
                    </a:xfrm>
                    <a:prstGeom prst="rect">
                      <a:avLst/>
                    </a:prstGeom>
                    <a:noFill/>
                    <a:ln>
                      <a:noFill/>
                    </a:ln>
                  </pic:spPr>
                </pic:pic>
              </a:graphicData>
            </a:graphic>
          </wp:inline>
        </w:drawing>
      </w:r>
    </w:p>
    <w:p w14:paraId="3942F426" w14:textId="70E74585" w:rsidR="00BF600D" w:rsidRDefault="00BF600D" w:rsidP="00BF600D">
      <w:pPr>
        <w:spacing w:after="0" w:line="360" w:lineRule="auto"/>
        <w:jc w:val="both"/>
        <w:rPr>
          <w:rFonts w:cs="Times New Roman"/>
          <w:szCs w:val="24"/>
        </w:rPr>
      </w:pPr>
      <w:r>
        <w:rPr>
          <w:noProof/>
          <w:lang w:eastAsia="en-MY"/>
        </w:rPr>
        <w:drawing>
          <wp:inline distT="0" distB="0" distL="0" distR="0" wp14:anchorId="196C9CD9" wp14:editId="31965FD5">
            <wp:extent cx="2571750" cy="2162175"/>
            <wp:effectExtent l="0" t="0" r="0" b="9525"/>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571750" cy="2162175"/>
                    </a:xfrm>
                    <a:prstGeom prst="rect">
                      <a:avLst/>
                    </a:prstGeom>
                    <a:noFill/>
                    <a:ln>
                      <a:noFill/>
                    </a:ln>
                  </pic:spPr>
                </pic:pic>
              </a:graphicData>
            </a:graphic>
          </wp:inline>
        </w:drawing>
      </w:r>
      <w:r>
        <w:t xml:space="preserve"> </w:t>
      </w:r>
      <w:r>
        <w:rPr>
          <w:noProof/>
          <w:lang w:eastAsia="en-MY"/>
        </w:rPr>
        <w:drawing>
          <wp:inline distT="0" distB="0" distL="0" distR="0" wp14:anchorId="76C9E355" wp14:editId="010AE8DA">
            <wp:extent cx="2619375" cy="2162175"/>
            <wp:effectExtent l="0" t="0" r="9525" b="9525"/>
            <wp:docPr id="1493" name="Pictur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619375" cy="2162175"/>
                    </a:xfrm>
                    <a:prstGeom prst="rect">
                      <a:avLst/>
                    </a:prstGeom>
                    <a:noFill/>
                    <a:ln>
                      <a:noFill/>
                    </a:ln>
                  </pic:spPr>
                </pic:pic>
              </a:graphicData>
            </a:graphic>
          </wp:inline>
        </w:drawing>
      </w:r>
    </w:p>
    <w:p w14:paraId="589D2D9F" w14:textId="40B21CD6" w:rsidR="00BF600D" w:rsidRDefault="00BF600D" w:rsidP="00BF600D">
      <w:pPr>
        <w:spacing w:after="0" w:line="360" w:lineRule="auto"/>
        <w:jc w:val="center"/>
        <w:rPr>
          <w:rFonts w:cs="Times New Roman"/>
          <w:szCs w:val="24"/>
        </w:rPr>
      </w:pPr>
      <w:r>
        <w:rPr>
          <w:noProof/>
          <w:lang w:eastAsia="en-MY"/>
        </w:rPr>
        <w:drawing>
          <wp:inline distT="0" distB="0" distL="0" distR="0" wp14:anchorId="3A231E0E" wp14:editId="42A7F6C1">
            <wp:extent cx="2409825" cy="1981200"/>
            <wp:effectExtent l="0" t="0" r="9525" b="0"/>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409825" cy="1981200"/>
                    </a:xfrm>
                    <a:prstGeom prst="rect">
                      <a:avLst/>
                    </a:prstGeom>
                    <a:noFill/>
                    <a:ln>
                      <a:noFill/>
                    </a:ln>
                  </pic:spPr>
                </pic:pic>
              </a:graphicData>
            </a:graphic>
          </wp:inline>
        </w:drawing>
      </w:r>
    </w:p>
    <w:p w14:paraId="20EC021B" w14:textId="184AC26B" w:rsidR="00BF600D" w:rsidRDefault="00BF600D" w:rsidP="00BF600D">
      <w:pPr>
        <w:pStyle w:val="Caption"/>
        <w:rPr>
          <w:szCs w:val="24"/>
        </w:rPr>
      </w:pPr>
      <w:bookmarkStart w:id="825" w:name="_Toc525706395"/>
      <w:bookmarkStart w:id="826" w:name="_Toc525528380"/>
      <w:bookmarkStart w:id="827" w:name="_Toc521420498"/>
      <w:r>
        <w:t xml:space="preserve">Figure </w:t>
      </w:r>
      <w:r w:rsidR="00AC2076">
        <w:t>4.31:</w:t>
      </w:r>
      <w:r>
        <w:t xml:space="preserve"> Young’s modulus,</w:t>
      </w:r>
      <w:r>
        <w:rPr>
          <w:szCs w:val="24"/>
        </w:rPr>
        <w:t xml:space="preserve"> shear modulus, bulk modulus and Poisson’s ratio of</w:t>
      </w:r>
      <w:r>
        <w:rPr>
          <w:rFonts w:eastAsia="Times New Roman"/>
          <w:color w:val="000000"/>
          <w:szCs w:val="24"/>
          <w:lang w:eastAsia="en-MY"/>
        </w:rPr>
        <w:t xml:space="preserve"> N</w:t>
      </w:r>
      <w:r>
        <w:rPr>
          <w:rFonts w:eastAsia="Times New Roman"/>
          <w:color w:val="000000"/>
          <w:szCs w:val="24"/>
          <w:vertAlign w:val="subscript"/>
          <w:lang w:eastAsia="en-MY"/>
        </w:rPr>
        <w:t>10</w:t>
      </w:r>
      <w:r>
        <w:rPr>
          <w:rFonts w:eastAsia="Times New Roman"/>
          <w:color w:val="000000"/>
          <w:szCs w:val="24"/>
          <w:lang w:eastAsia="en-MY"/>
        </w:rPr>
        <w:t>C</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2</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78-x</w:t>
      </w:r>
      <w:r>
        <w:rPr>
          <w:szCs w:val="24"/>
        </w:rPr>
        <w:t>,</w:t>
      </w:r>
      <w:r>
        <w:rPr>
          <w:rFonts w:eastAsia="Times New Roman"/>
          <w:color w:val="000000"/>
          <w:szCs w:val="24"/>
          <w:lang w:eastAsia="en-MY"/>
        </w:rPr>
        <w:t xml:space="preserve"> N</w:t>
      </w:r>
      <w:r>
        <w:rPr>
          <w:rFonts w:eastAsia="Times New Roman"/>
          <w:color w:val="000000"/>
          <w:szCs w:val="24"/>
          <w:vertAlign w:val="subscript"/>
          <w:lang w:eastAsia="en-MY"/>
        </w:rPr>
        <w:t>15</w:t>
      </w:r>
      <w:r>
        <w:rPr>
          <w:rFonts w:eastAsia="Times New Roman"/>
          <w:color w:val="000000"/>
          <w:szCs w:val="24"/>
          <w:lang w:eastAsia="en-MY"/>
        </w:rPr>
        <w:t>C</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2</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73-x</w:t>
      </w:r>
      <w:r>
        <w:rPr>
          <w:szCs w:val="24"/>
        </w:rPr>
        <w:t xml:space="preserve">, and </w:t>
      </w:r>
      <w:r>
        <w:rPr>
          <w:rFonts w:eastAsia="Times New Roman"/>
          <w:color w:val="000000"/>
          <w:szCs w:val="24"/>
          <w:lang w:eastAsia="en-MY"/>
        </w:rPr>
        <w:t>N</w:t>
      </w:r>
      <w:r>
        <w:rPr>
          <w:rFonts w:eastAsia="Times New Roman"/>
          <w:color w:val="000000"/>
          <w:szCs w:val="24"/>
          <w:vertAlign w:val="subscript"/>
          <w:lang w:eastAsia="en-MY"/>
        </w:rPr>
        <w:t>10</w:t>
      </w:r>
      <w:r>
        <w:rPr>
          <w:rFonts w:eastAsia="Times New Roman"/>
          <w:color w:val="000000"/>
          <w:szCs w:val="24"/>
          <w:lang w:eastAsia="en-MY"/>
        </w:rPr>
        <w:t>C</w:t>
      </w:r>
      <w:r>
        <w:rPr>
          <w:rFonts w:eastAsia="Times New Roman"/>
          <w:color w:val="000000"/>
          <w:szCs w:val="24"/>
          <w:vertAlign w:val="subscript"/>
          <w:lang w:eastAsia="en-MY"/>
        </w:rPr>
        <w:t>x</w:t>
      </w:r>
      <w:r>
        <w:rPr>
          <w:rFonts w:eastAsia="Times New Roman"/>
          <w:color w:val="000000"/>
          <w:szCs w:val="24"/>
          <w:lang w:eastAsia="en-MY"/>
        </w:rPr>
        <w:t>Ba</w:t>
      </w:r>
      <w:r>
        <w:rPr>
          <w:rFonts w:eastAsia="Times New Roman"/>
          <w:color w:val="000000"/>
          <w:szCs w:val="24"/>
          <w:vertAlign w:val="subscript"/>
          <w:lang w:eastAsia="en-MY"/>
        </w:rPr>
        <w:t>2</w:t>
      </w:r>
      <w:r>
        <w:rPr>
          <w:rFonts w:eastAsia="Times New Roman"/>
          <w:color w:val="000000"/>
          <w:szCs w:val="24"/>
          <w:lang w:eastAsia="en-MY"/>
        </w:rPr>
        <w:t>A</w:t>
      </w:r>
      <w:r>
        <w:rPr>
          <w:rFonts w:eastAsia="Times New Roman"/>
          <w:color w:val="000000"/>
          <w:szCs w:val="24"/>
          <w:vertAlign w:val="subscript"/>
          <w:lang w:eastAsia="en-MY"/>
        </w:rPr>
        <w:t>y</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 xml:space="preserve">78-x-y </w:t>
      </w:r>
      <w:r>
        <w:rPr>
          <w:rFonts w:eastAsia="Times New Roman"/>
          <w:color w:val="000000"/>
          <w:szCs w:val="24"/>
          <w:lang w:eastAsia="en-MY"/>
        </w:rPr>
        <w:t>glass series and ternary diagram of N</w:t>
      </w:r>
      <w:r>
        <w:rPr>
          <w:rFonts w:eastAsia="Times New Roman"/>
          <w:color w:val="000000"/>
          <w:szCs w:val="24"/>
          <w:vertAlign w:val="subscript"/>
          <w:lang w:eastAsia="en-MY"/>
        </w:rPr>
        <w:t>10</w:t>
      </w:r>
      <w:r>
        <w:rPr>
          <w:rFonts w:eastAsia="Times New Roman"/>
          <w:color w:val="000000"/>
          <w:szCs w:val="24"/>
          <w:lang w:eastAsia="en-MY"/>
        </w:rPr>
        <w:t>C</w:t>
      </w:r>
      <w:r>
        <w:rPr>
          <w:rFonts w:eastAsia="Times New Roman"/>
          <w:color w:val="000000"/>
          <w:szCs w:val="24"/>
          <w:vertAlign w:val="subscript"/>
          <w:lang w:eastAsia="en-MY"/>
        </w:rPr>
        <w:t>x</w:t>
      </w:r>
      <w:r>
        <w:rPr>
          <w:rFonts w:eastAsia="Times New Roman"/>
          <w:color w:val="000000"/>
          <w:szCs w:val="24"/>
          <w:lang w:eastAsia="en-MY"/>
        </w:rPr>
        <w:t>Ba</w:t>
      </w:r>
      <w:r>
        <w:rPr>
          <w:rFonts w:eastAsia="Times New Roman"/>
          <w:color w:val="000000"/>
          <w:szCs w:val="24"/>
          <w:vertAlign w:val="subscript"/>
          <w:lang w:eastAsia="en-MY"/>
        </w:rPr>
        <w:t>2</w:t>
      </w:r>
      <w:r>
        <w:rPr>
          <w:rFonts w:eastAsia="Times New Roman"/>
          <w:color w:val="000000"/>
          <w:szCs w:val="24"/>
          <w:lang w:eastAsia="en-MY"/>
        </w:rPr>
        <w:t>A</w:t>
      </w:r>
      <w:r>
        <w:rPr>
          <w:rFonts w:eastAsia="Times New Roman"/>
          <w:color w:val="000000"/>
          <w:szCs w:val="24"/>
          <w:vertAlign w:val="subscript"/>
          <w:lang w:eastAsia="en-MY"/>
        </w:rPr>
        <w:t>y</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 xml:space="preserve">78-x-y </w:t>
      </w:r>
      <w:r>
        <w:rPr>
          <w:rFonts w:eastAsia="Times New Roman"/>
          <w:color w:val="000000"/>
          <w:szCs w:val="24"/>
          <w:lang w:eastAsia="en-MY"/>
        </w:rPr>
        <w:t>series</w:t>
      </w:r>
      <w:r>
        <w:rPr>
          <w:szCs w:val="24"/>
        </w:rPr>
        <w:t>.</w:t>
      </w:r>
      <w:bookmarkEnd w:id="825"/>
      <w:bookmarkEnd w:id="826"/>
      <w:bookmarkEnd w:id="827"/>
    </w:p>
    <w:p w14:paraId="19199B61" w14:textId="459D43CD" w:rsidR="00BF600D" w:rsidRDefault="00BF600D" w:rsidP="00BF600D">
      <w:pPr>
        <w:spacing w:line="360" w:lineRule="auto"/>
        <w:jc w:val="both"/>
        <w:rPr>
          <w:rFonts w:cs="Times New Roman"/>
          <w:b w:val="0"/>
          <w:szCs w:val="24"/>
        </w:rPr>
      </w:pPr>
      <w:r>
        <w:rPr>
          <w:rFonts w:cs="Times New Roman"/>
          <w:b w:val="0"/>
          <w:szCs w:val="24"/>
        </w:rPr>
        <w:lastRenderedPageBreak/>
        <w:t xml:space="preserve">For the </w:t>
      </w:r>
      <w:r>
        <w:rPr>
          <w:rFonts w:eastAsia="Times New Roman"/>
          <w:b w:val="0"/>
          <w:color w:val="000000"/>
          <w:szCs w:val="24"/>
          <w:lang w:eastAsia="en-MY"/>
        </w:rPr>
        <w:t>N</w:t>
      </w:r>
      <w:r>
        <w:rPr>
          <w:rFonts w:eastAsia="Times New Roman"/>
          <w:b w:val="0"/>
          <w:color w:val="000000"/>
          <w:szCs w:val="24"/>
          <w:vertAlign w:val="subscript"/>
          <w:lang w:eastAsia="en-MY"/>
        </w:rPr>
        <w:t>10</w:t>
      </w:r>
      <w:r>
        <w:rPr>
          <w:rFonts w:eastAsia="Times New Roman"/>
          <w:b w:val="0"/>
          <w:color w:val="000000"/>
          <w:szCs w:val="24"/>
          <w:lang w:eastAsia="en-MY"/>
        </w:rPr>
        <w:t>C</w:t>
      </w:r>
      <w:r>
        <w:rPr>
          <w:rFonts w:eastAsia="Times New Roman"/>
          <w:b w:val="0"/>
          <w:color w:val="000000"/>
          <w:szCs w:val="24"/>
          <w:vertAlign w:val="subscript"/>
          <w:lang w:eastAsia="en-MY"/>
        </w:rPr>
        <w:t>x</w:t>
      </w:r>
      <w:r>
        <w:rPr>
          <w:rFonts w:eastAsia="Times New Roman"/>
          <w:b w:val="0"/>
          <w:color w:val="000000"/>
          <w:szCs w:val="24"/>
          <w:lang w:eastAsia="en-MY"/>
        </w:rPr>
        <w:t>A</w:t>
      </w:r>
      <w:r>
        <w:rPr>
          <w:rFonts w:eastAsia="Times New Roman"/>
          <w:b w:val="0"/>
          <w:color w:val="000000"/>
          <w:szCs w:val="24"/>
          <w:vertAlign w:val="subscript"/>
          <w:lang w:eastAsia="en-MY"/>
        </w:rPr>
        <w:t>2</w:t>
      </w:r>
      <w:r>
        <w:rPr>
          <w:rFonts w:eastAsia="Times New Roman"/>
          <w:b w:val="0"/>
          <w:color w:val="000000"/>
          <w:szCs w:val="24"/>
          <w:lang w:eastAsia="en-MY"/>
        </w:rPr>
        <w:t>B</w:t>
      </w:r>
      <w:r>
        <w:rPr>
          <w:rFonts w:eastAsia="Times New Roman"/>
          <w:b w:val="0"/>
          <w:color w:val="000000"/>
          <w:szCs w:val="24"/>
          <w:vertAlign w:val="subscript"/>
          <w:lang w:eastAsia="en-MY"/>
        </w:rPr>
        <w:t>10</w:t>
      </w:r>
      <w:r>
        <w:rPr>
          <w:rFonts w:eastAsia="Times New Roman"/>
          <w:b w:val="0"/>
          <w:color w:val="000000"/>
          <w:szCs w:val="24"/>
          <w:lang w:eastAsia="en-MY"/>
        </w:rPr>
        <w:t>S</w:t>
      </w:r>
      <w:r>
        <w:rPr>
          <w:rFonts w:eastAsia="Times New Roman"/>
          <w:b w:val="0"/>
          <w:color w:val="000000"/>
          <w:szCs w:val="24"/>
          <w:vertAlign w:val="subscript"/>
          <w:lang w:eastAsia="en-MY"/>
        </w:rPr>
        <w:t>78-x</w:t>
      </w:r>
      <w:r>
        <w:rPr>
          <w:b w:val="0"/>
          <w:szCs w:val="24"/>
        </w:rPr>
        <w:t xml:space="preserve"> and</w:t>
      </w:r>
      <w:r>
        <w:rPr>
          <w:rFonts w:eastAsia="Times New Roman"/>
          <w:b w:val="0"/>
          <w:color w:val="000000"/>
          <w:szCs w:val="24"/>
          <w:lang w:eastAsia="en-MY"/>
        </w:rPr>
        <w:t xml:space="preserve"> N</w:t>
      </w:r>
      <w:r>
        <w:rPr>
          <w:rFonts w:eastAsia="Times New Roman"/>
          <w:b w:val="0"/>
          <w:color w:val="000000"/>
          <w:szCs w:val="24"/>
          <w:vertAlign w:val="subscript"/>
          <w:lang w:eastAsia="en-MY"/>
        </w:rPr>
        <w:t>15</w:t>
      </w:r>
      <w:r>
        <w:rPr>
          <w:rFonts w:eastAsia="Times New Roman"/>
          <w:b w:val="0"/>
          <w:color w:val="000000"/>
          <w:szCs w:val="24"/>
          <w:lang w:eastAsia="en-MY"/>
        </w:rPr>
        <w:t>C</w:t>
      </w:r>
      <w:r>
        <w:rPr>
          <w:rFonts w:eastAsia="Times New Roman"/>
          <w:b w:val="0"/>
          <w:color w:val="000000"/>
          <w:szCs w:val="24"/>
          <w:vertAlign w:val="subscript"/>
          <w:lang w:eastAsia="en-MY"/>
        </w:rPr>
        <w:t>x</w:t>
      </w:r>
      <w:r>
        <w:rPr>
          <w:rFonts w:eastAsia="Times New Roman"/>
          <w:b w:val="0"/>
          <w:color w:val="000000"/>
          <w:szCs w:val="24"/>
          <w:lang w:eastAsia="en-MY"/>
        </w:rPr>
        <w:t>A</w:t>
      </w:r>
      <w:r>
        <w:rPr>
          <w:rFonts w:eastAsia="Times New Roman"/>
          <w:b w:val="0"/>
          <w:color w:val="000000"/>
          <w:szCs w:val="24"/>
          <w:vertAlign w:val="subscript"/>
          <w:lang w:eastAsia="en-MY"/>
        </w:rPr>
        <w:t>2</w:t>
      </w:r>
      <w:r>
        <w:rPr>
          <w:rFonts w:eastAsia="Times New Roman"/>
          <w:b w:val="0"/>
          <w:color w:val="000000"/>
          <w:szCs w:val="24"/>
          <w:lang w:eastAsia="en-MY"/>
        </w:rPr>
        <w:t>B</w:t>
      </w:r>
      <w:r>
        <w:rPr>
          <w:rFonts w:eastAsia="Times New Roman"/>
          <w:b w:val="0"/>
          <w:color w:val="000000"/>
          <w:szCs w:val="24"/>
          <w:vertAlign w:val="subscript"/>
          <w:lang w:eastAsia="en-MY"/>
        </w:rPr>
        <w:t>10</w:t>
      </w:r>
      <w:r>
        <w:rPr>
          <w:rFonts w:eastAsia="Times New Roman"/>
          <w:b w:val="0"/>
          <w:color w:val="000000"/>
          <w:szCs w:val="24"/>
          <w:lang w:eastAsia="en-MY"/>
        </w:rPr>
        <w:t>S</w:t>
      </w:r>
      <w:r>
        <w:rPr>
          <w:rFonts w:eastAsia="Times New Roman"/>
          <w:b w:val="0"/>
          <w:color w:val="000000"/>
          <w:szCs w:val="24"/>
          <w:vertAlign w:val="subscript"/>
          <w:lang w:eastAsia="en-MY"/>
        </w:rPr>
        <w:t>73-x</w:t>
      </w:r>
      <w:r>
        <w:rPr>
          <w:rFonts w:eastAsia="Times New Roman"/>
          <w:b w:val="0"/>
          <w:color w:val="000000"/>
          <w:szCs w:val="24"/>
          <w:lang w:eastAsia="en-MY"/>
        </w:rPr>
        <w:t xml:space="preserve"> glass series</w:t>
      </w:r>
      <w:r w:rsidR="000D097B">
        <w:rPr>
          <w:rFonts w:eastAsia="Times New Roman"/>
          <w:b w:val="0"/>
          <w:color w:val="000000"/>
          <w:szCs w:val="24"/>
          <w:lang w:eastAsia="en-MY"/>
        </w:rPr>
        <w:t>,</w:t>
      </w:r>
      <w:r>
        <w:rPr>
          <w:rFonts w:eastAsia="Times New Roman"/>
          <w:b w:val="0"/>
          <w:color w:val="000000"/>
          <w:szCs w:val="24"/>
          <w:lang w:eastAsia="en-MY"/>
        </w:rPr>
        <w:t xml:space="preserve"> the compositional changes </w:t>
      </w:r>
      <w:r w:rsidR="000D097B">
        <w:rPr>
          <w:rFonts w:eastAsia="Times New Roman"/>
          <w:b w:val="0"/>
          <w:color w:val="000000"/>
          <w:szCs w:val="24"/>
          <w:lang w:eastAsia="en-MY"/>
        </w:rPr>
        <w:t xml:space="preserve">are </w:t>
      </w:r>
      <w:r>
        <w:rPr>
          <w:rFonts w:eastAsia="Times New Roman"/>
          <w:b w:val="0"/>
          <w:color w:val="000000"/>
          <w:szCs w:val="24"/>
          <w:lang w:eastAsia="en-MY"/>
        </w:rPr>
        <w:t xml:space="preserve">the amount of calcium oxide compared to the amount of silica. As the amount of calcium oxide increases the network charge balance increases. There is a linear trend for these two glass series so that as the amount of calcium oxide increases the Young’s, shear and bulk moduli all increase and the Poisson’s ratio also increases as can be seen in Figure 4.31. The network charge balance played an important role </w:t>
      </w:r>
      <w:r w:rsidR="000D097B">
        <w:rPr>
          <w:rFonts w:eastAsia="Times New Roman"/>
          <w:b w:val="0"/>
          <w:color w:val="000000"/>
          <w:szCs w:val="24"/>
          <w:lang w:eastAsia="en-MY"/>
        </w:rPr>
        <w:t xml:space="preserve">in </w:t>
      </w:r>
      <w:r>
        <w:rPr>
          <w:rFonts w:eastAsia="Times New Roman"/>
          <w:b w:val="0"/>
          <w:color w:val="000000"/>
          <w:szCs w:val="24"/>
          <w:lang w:eastAsia="en-MY"/>
        </w:rPr>
        <w:t xml:space="preserve">the properties because it </w:t>
      </w:r>
      <w:r w:rsidR="000D097B">
        <w:rPr>
          <w:rFonts w:eastAsia="Times New Roman"/>
          <w:b w:val="0"/>
          <w:color w:val="000000"/>
          <w:szCs w:val="24"/>
          <w:lang w:eastAsia="en-MY"/>
        </w:rPr>
        <w:t xml:space="preserve">affects </w:t>
      </w:r>
      <w:r>
        <w:rPr>
          <w:rFonts w:eastAsia="Times New Roman"/>
          <w:b w:val="0"/>
          <w:color w:val="000000"/>
          <w:szCs w:val="24"/>
          <w:lang w:eastAsia="en-MY"/>
        </w:rPr>
        <w:t>the structure behaviour. Meanwhile</w:t>
      </w:r>
      <w:r w:rsidR="008C4D01">
        <w:rPr>
          <w:rFonts w:eastAsia="Times New Roman"/>
          <w:b w:val="0"/>
          <w:color w:val="000000"/>
          <w:szCs w:val="24"/>
          <w:lang w:eastAsia="en-MY"/>
        </w:rPr>
        <w:t>,</w:t>
      </w:r>
      <w:r>
        <w:rPr>
          <w:rFonts w:eastAsia="Times New Roman"/>
          <w:b w:val="0"/>
          <w:color w:val="000000"/>
          <w:szCs w:val="24"/>
          <w:lang w:eastAsia="en-MY"/>
        </w:rPr>
        <w:t xml:space="preserve"> for series N</w:t>
      </w:r>
      <w:r>
        <w:rPr>
          <w:rFonts w:eastAsia="Times New Roman"/>
          <w:b w:val="0"/>
          <w:color w:val="000000"/>
          <w:szCs w:val="24"/>
          <w:vertAlign w:val="subscript"/>
          <w:lang w:eastAsia="en-MY"/>
        </w:rPr>
        <w:t>10</w:t>
      </w:r>
      <w:r>
        <w:rPr>
          <w:rFonts w:eastAsia="Times New Roman"/>
          <w:b w:val="0"/>
          <w:color w:val="000000"/>
          <w:szCs w:val="24"/>
          <w:lang w:eastAsia="en-MY"/>
        </w:rPr>
        <w:t>C</w:t>
      </w:r>
      <w:r>
        <w:rPr>
          <w:rFonts w:eastAsia="Times New Roman"/>
          <w:b w:val="0"/>
          <w:color w:val="000000"/>
          <w:szCs w:val="24"/>
          <w:vertAlign w:val="subscript"/>
          <w:lang w:eastAsia="en-MY"/>
        </w:rPr>
        <w:t>x</w:t>
      </w:r>
      <w:r>
        <w:rPr>
          <w:rFonts w:eastAsia="Times New Roman"/>
          <w:b w:val="0"/>
          <w:color w:val="000000"/>
          <w:szCs w:val="24"/>
          <w:lang w:eastAsia="en-MY"/>
        </w:rPr>
        <w:t>Ba</w:t>
      </w:r>
      <w:r>
        <w:rPr>
          <w:rFonts w:eastAsia="Times New Roman"/>
          <w:b w:val="0"/>
          <w:color w:val="000000"/>
          <w:szCs w:val="24"/>
          <w:vertAlign w:val="subscript"/>
          <w:lang w:eastAsia="en-MY"/>
        </w:rPr>
        <w:t>2</w:t>
      </w:r>
      <w:r>
        <w:rPr>
          <w:rFonts w:eastAsia="Times New Roman"/>
          <w:b w:val="0"/>
          <w:color w:val="000000"/>
          <w:szCs w:val="24"/>
          <w:lang w:eastAsia="en-MY"/>
        </w:rPr>
        <w:t>A</w:t>
      </w:r>
      <w:r>
        <w:rPr>
          <w:rFonts w:eastAsia="Times New Roman"/>
          <w:b w:val="0"/>
          <w:color w:val="000000"/>
          <w:szCs w:val="24"/>
          <w:vertAlign w:val="subscript"/>
          <w:lang w:eastAsia="en-MY"/>
        </w:rPr>
        <w:t>y</w:t>
      </w:r>
      <w:r>
        <w:rPr>
          <w:rFonts w:eastAsia="Times New Roman"/>
          <w:b w:val="0"/>
          <w:color w:val="000000"/>
          <w:szCs w:val="24"/>
          <w:lang w:eastAsia="en-MY"/>
        </w:rPr>
        <w:t>B</w:t>
      </w:r>
      <w:r>
        <w:rPr>
          <w:rFonts w:eastAsia="Times New Roman"/>
          <w:b w:val="0"/>
          <w:color w:val="000000"/>
          <w:szCs w:val="24"/>
          <w:vertAlign w:val="subscript"/>
          <w:lang w:eastAsia="en-MY"/>
        </w:rPr>
        <w:t>10</w:t>
      </w:r>
      <w:r>
        <w:rPr>
          <w:rFonts w:eastAsia="Times New Roman"/>
          <w:b w:val="0"/>
          <w:color w:val="000000"/>
          <w:szCs w:val="24"/>
          <w:lang w:eastAsia="en-MY"/>
        </w:rPr>
        <w:t>S</w:t>
      </w:r>
      <w:r>
        <w:rPr>
          <w:rFonts w:eastAsia="Times New Roman"/>
          <w:b w:val="0"/>
          <w:color w:val="000000"/>
          <w:szCs w:val="24"/>
          <w:vertAlign w:val="subscript"/>
          <w:lang w:eastAsia="en-MY"/>
        </w:rPr>
        <w:t>78-x-y</w:t>
      </w:r>
      <w:r>
        <w:rPr>
          <w:rFonts w:eastAsia="Times New Roman"/>
          <w:b w:val="0"/>
          <w:color w:val="000000"/>
          <w:szCs w:val="24"/>
          <w:lang w:eastAsia="en-MY"/>
        </w:rPr>
        <w:t xml:space="preserve">, the composition used are </w:t>
      </w:r>
      <w:r w:rsidR="00A669D9">
        <w:rPr>
          <w:rFonts w:eastAsia="Times New Roman"/>
          <w:b w:val="0"/>
          <w:color w:val="000000"/>
          <w:szCs w:val="24"/>
          <w:lang w:eastAsia="en-MY"/>
        </w:rPr>
        <w:t>not in line</w:t>
      </w:r>
      <w:r>
        <w:rPr>
          <w:rFonts w:eastAsia="Times New Roman"/>
          <w:b w:val="0"/>
          <w:color w:val="000000"/>
          <w:szCs w:val="24"/>
          <w:lang w:eastAsia="en-MY"/>
        </w:rPr>
        <w:t xml:space="preserve"> as shown in </w:t>
      </w:r>
      <w:r w:rsidR="008C4D01">
        <w:rPr>
          <w:rFonts w:eastAsia="Times New Roman"/>
          <w:b w:val="0"/>
          <w:color w:val="000000"/>
          <w:szCs w:val="24"/>
          <w:lang w:eastAsia="en-MY"/>
        </w:rPr>
        <w:t xml:space="preserve">the </w:t>
      </w:r>
      <w:r>
        <w:rPr>
          <w:rFonts w:eastAsia="Times New Roman"/>
          <w:b w:val="0"/>
          <w:color w:val="000000"/>
          <w:szCs w:val="24"/>
          <w:lang w:eastAsia="en-MY"/>
        </w:rPr>
        <w:t xml:space="preserve">ternary diagram in Figure 4.31. Thus, the reason why the properties </w:t>
      </w:r>
      <w:r w:rsidR="00A669D9">
        <w:rPr>
          <w:rFonts w:eastAsia="Times New Roman"/>
          <w:b w:val="0"/>
          <w:color w:val="000000"/>
          <w:szCs w:val="24"/>
          <w:lang w:eastAsia="en-MY"/>
        </w:rPr>
        <w:t>are not align</w:t>
      </w:r>
      <w:r w:rsidR="008C4D01">
        <w:rPr>
          <w:rFonts w:eastAsia="Times New Roman"/>
          <w:b w:val="0"/>
          <w:color w:val="000000"/>
          <w:szCs w:val="24"/>
          <w:lang w:eastAsia="en-MY"/>
        </w:rPr>
        <w:t>ed</w:t>
      </w:r>
      <w:r w:rsidR="00A669D9">
        <w:rPr>
          <w:rFonts w:eastAsia="Times New Roman"/>
          <w:b w:val="0"/>
          <w:color w:val="000000"/>
          <w:szCs w:val="24"/>
          <w:lang w:eastAsia="en-MY"/>
        </w:rPr>
        <w:t>.</w:t>
      </w:r>
      <w:r>
        <w:rPr>
          <w:rFonts w:eastAsia="Times New Roman"/>
          <w:b w:val="0"/>
          <w:color w:val="000000"/>
          <w:szCs w:val="24"/>
          <w:lang w:eastAsia="en-MY"/>
        </w:rPr>
        <w:t xml:space="preserve"> The highest Young’s, shear and bulk moduli for this series was obtained with glass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3.6</w:t>
      </w:r>
      <w:r>
        <w:rPr>
          <w:rFonts w:eastAsia="Times New Roman" w:cs="Times New Roman"/>
          <w:b w:val="0"/>
          <w:color w:val="000000"/>
          <w:szCs w:val="24"/>
          <w:lang w:eastAsia="en-MY"/>
        </w:rPr>
        <w:t>Ba</w:t>
      </w:r>
      <w:r>
        <w:rPr>
          <w:rFonts w:eastAsia="Times New Roman" w:cs="Times New Roman"/>
          <w:b w:val="0"/>
          <w:color w:val="000000"/>
          <w:szCs w:val="24"/>
          <w:vertAlign w:val="subscript"/>
          <w:lang w:eastAsia="en-MY"/>
        </w:rPr>
        <w:t>2</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10.1</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64.3</w:t>
      </w:r>
      <w:r>
        <w:rPr>
          <w:rFonts w:eastAsia="Times New Roman" w:cs="Times New Roman"/>
          <w:b w:val="0"/>
          <w:color w:val="000000"/>
          <w:szCs w:val="24"/>
          <w:lang w:eastAsia="en-MY"/>
        </w:rPr>
        <w:t xml:space="preserve">. </w:t>
      </w:r>
    </w:p>
    <w:p w14:paraId="066A9C5A" w14:textId="77777777" w:rsidR="00BF600D" w:rsidRDefault="00BF600D" w:rsidP="00BF600D">
      <w:pPr>
        <w:pStyle w:val="Heading4"/>
      </w:pPr>
      <w:bookmarkStart w:id="828" w:name="_Toc525742536"/>
      <w:bookmarkStart w:id="829" w:name="_Toc525707871"/>
      <w:r>
        <w:t>4.5.3.2 Hardness, toughness and brittleness</w:t>
      </w:r>
      <w:bookmarkEnd w:id="828"/>
      <w:bookmarkEnd w:id="829"/>
    </w:p>
    <w:p w14:paraId="42FCE071" w14:textId="102387D1" w:rsidR="00BF600D" w:rsidRDefault="00BF600D" w:rsidP="00BF600D">
      <w:pPr>
        <w:spacing w:after="0"/>
        <w:jc w:val="both"/>
        <w:rPr>
          <w:rFonts w:cs="Times New Roman"/>
          <w:szCs w:val="24"/>
        </w:rPr>
      </w:pPr>
      <w:r>
        <w:rPr>
          <w:noProof/>
          <w:lang w:eastAsia="en-MY"/>
        </w:rPr>
        <mc:AlternateContent>
          <mc:Choice Requires="wps">
            <w:drawing>
              <wp:anchor distT="0" distB="0" distL="114300" distR="114300" simplePos="0" relativeHeight="252549120" behindDoc="0" locked="0" layoutInCell="1" allowOverlap="1" wp14:anchorId="48217A12" wp14:editId="4CCA837F">
                <wp:simplePos x="0" y="0"/>
                <wp:positionH relativeFrom="column">
                  <wp:posOffset>3228975</wp:posOffset>
                </wp:positionH>
                <wp:positionV relativeFrom="paragraph">
                  <wp:posOffset>768350</wp:posOffset>
                </wp:positionV>
                <wp:extent cx="316865" cy="45720"/>
                <wp:effectExtent l="38100" t="38100" r="26035" b="87630"/>
                <wp:wrapNone/>
                <wp:docPr id="2186" name="Straight Arrow Connector 2186"/>
                <wp:cNvGraphicFramePr/>
                <a:graphic xmlns:a="http://schemas.openxmlformats.org/drawingml/2006/main">
                  <a:graphicData uri="http://schemas.microsoft.com/office/word/2010/wordprocessingShape">
                    <wps:wsp>
                      <wps:cNvCnPr/>
                      <wps:spPr>
                        <a:xfrm flipH="1">
                          <a:off x="0" y="0"/>
                          <a:ext cx="316865" cy="4508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7FD725" id="Straight Arrow Connector 2186" o:spid="_x0000_s1026" type="#_x0000_t32" style="position:absolute;margin-left:254.25pt;margin-top:60.5pt;width:24.95pt;height:3.6pt;flip:x;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">
                <v:stroke endarrow="block"/>
              </v:shape>
            </w:pict>
          </mc:Fallback>
        </mc:AlternateContent>
      </w:r>
      <w:r>
        <w:rPr>
          <w:noProof/>
          <w:lang w:eastAsia="en-MY"/>
        </w:rPr>
        <mc:AlternateContent>
          <mc:Choice Requires="wps">
            <w:drawing>
              <wp:anchor distT="0" distB="0" distL="114300" distR="114300" simplePos="0" relativeHeight="252548096" behindDoc="0" locked="0" layoutInCell="1" allowOverlap="1" wp14:anchorId="4754CEB6" wp14:editId="4DDCBAE4">
                <wp:simplePos x="0" y="0"/>
                <wp:positionH relativeFrom="column">
                  <wp:posOffset>3492500</wp:posOffset>
                </wp:positionH>
                <wp:positionV relativeFrom="paragraph">
                  <wp:posOffset>621030</wp:posOffset>
                </wp:positionV>
                <wp:extent cx="1314450" cy="295275"/>
                <wp:effectExtent l="0" t="0" r="0" b="9525"/>
                <wp:wrapNone/>
                <wp:docPr id="2185" name="Text Box 2185"/>
                <wp:cNvGraphicFramePr/>
                <a:graphic xmlns:a="http://schemas.openxmlformats.org/drawingml/2006/main">
                  <a:graphicData uri="http://schemas.microsoft.com/office/word/2010/wordprocessingShape">
                    <wps:wsp>
                      <wps:cNvSpPr txBox="1"/>
                      <wps:spPr>
                        <a:xfrm>
                          <a:off x="0" y="0"/>
                          <a:ext cx="1314450" cy="295275"/>
                        </a:xfrm>
                        <a:prstGeom prst="rect">
                          <a:avLst/>
                        </a:prstGeom>
                        <a:solidFill>
                          <a:sysClr val="window" lastClr="FFFFFF"/>
                        </a:solidFill>
                        <a:ln w="6350">
                          <a:noFill/>
                        </a:ln>
                      </wps:spPr>
                      <wps:txbx>
                        <w:txbxContent>
                          <w:p w14:paraId="04F38A6D" w14:textId="77777777" w:rsidR="00230AB9" w:rsidRDefault="00230AB9" w:rsidP="00BF600D">
                            <w:r>
                              <w:rPr>
                                <w:rFonts w:eastAsia="Times New Roman" w:cs="Times New Roman"/>
                                <w:b w:val="0"/>
                                <w:color w:val="000000"/>
                                <w:sz w:val="20"/>
                                <w:szCs w:val="20"/>
                                <w:lang w:eastAsia="en-MY"/>
                              </w:rPr>
                              <w:t>N</w:t>
                            </w:r>
                            <w:r>
                              <w:rPr>
                                <w:rFonts w:eastAsia="Times New Roman" w:cs="Times New Roman"/>
                                <w:b w:val="0"/>
                                <w:color w:val="000000"/>
                                <w:sz w:val="20"/>
                                <w:szCs w:val="20"/>
                                <w:vertAlign w:val="subscript"/>
                                <w:lang w:eastAsia="en-MY"/>
                              </w:rPr>
                              <w:t>10</w:t>
                            </w:r>
                            <w:r>
                              <w:rPr>
                                <w:rFonts w:eastAsia="Times New Roman" w:cs="Times New Roman"/>
                                <w:b w:val="0"/>
                                <w:color w:val="000000"/>
                                <w:sz w:val="20"/>
                                <w:szCs w:val="20"/>
                                <w:lang w:eastAsia="en-MY"/>
                              </w:rPr>
                              <w:t>C</w:t>
                            </w:r>
                            <w:r>
                              <w:rPr>
                                <w:rFonts w:eastAsia="Times New Roman" w:cs="Times New Roman"/>
                                <w:b w:val="0"/>
                                <w:color w:val="000000"/>
                                <w:sz w:val="20"/>
                                <w:szCs w:val="20"/>
                                <w:vertAlign w:val="subscript"/>
                                <w:lang w:eastAsia="en-MY"/>
                              </w:rPr>
                              <w:t>4.9</w:t>
                            </w:r>
                            <w:r>
                              <w:rPr>
                                <w:rFonts w:eastAsia="Times New Roman" w:cs="Times New Roman"/>
                                <w:b w:val="0"/>
                                <w:color w:val="000000"/>
                                <w:sz w:val="20"/>
                                <w:szCs w:val="20"/>
                                <w:lang w:eastAsia="en-MY"/>
                              </w:rPr>
                              <w:t>Ba</w:t>
                            </w:r>
                            <w:r>
                              <w:rPr>
                                <w:rFonts w:eastAsia="Times New Roman" w:cs="Times New Roman"/>
                                <w:b w:val="0"/>
                                <w:color w:val="000000"/>
                                <w:sz w:val="20"/>
                                <w:szCs w:val="20"/>
                                <w:vertAlign w:val="subscript"/>
                                <w:lang w:eastAsia="en-MY"/>
                              </w:rPr>
                              <w:t>2</w:t>
                            </w:r>
                            <w:r>
                              <w:rPr>
                                <w:rFonts w:eastAsia="Times New Roman" w:cs="Times New Roman"/>
                                <w:b w:val="0"/>
                                <w:color w:val="000000"/>
                                <w:sz w:val="20"/>
                                <w:szCs w:val="20"/>
                                <w:lang w:eastAsia="en-MY"/>
                              </w:rPr>
                              <w:t>A</w:t>
                            </w:r>
                            <w:r>
                              <w:rPr>
                                <w:rFonts w:eastAsia="Times New Roman" w:cs="Times New Roman"/>
                                <w:b w:val="0"/>
                                <w:color w:val="000000"/>
                                <w:sz w:val="20"/>
                                <w:szCs w:val="20"/>
                                <w:vertAlign w:val="subscript"/>
                                <w:lang w:eastAsia="en-MY"/>
                              </w:rPr>
                              <w:t>7.1</w:t>
                            </w:r>
                            <w:r>
                              <w:rPr>
                                <w:rFonts w:eastAsia="Times New Roman" w:cs="Times New Roman"/>
                                <w:b w:val="0"/>
                                <w:color w:val="000000"/>
                                <w:sz w:val="20"/>
                                <w:szCs w:val="20"/>
                                <w:lang w:eastAsia="en-MY"/>
                              </w:rPr>
                              <w:t>B</w:t>
                            </w:r>
                            <w:r>
                              <w:rPr>
                                <w:rFonts w:eastAsia="Times New Roman" w:cs="Times New Roman"/>
                                <w:b w:val="0"/>
                                <w:color w:val="000000"/>
                                <w:sz w:val="20"/>
                                <w:szCs w:val="20"/>
                                <w:vertAlign w:val="subscript"/>
                                <w:lang w:eastAsia="en-MY"/>
                              </w:rPr>
                              <w:t>10</w:t>
                            </w:r>
                            <w:r>
                              <w:rPr>
                                <w:rFonts w:eastAsia="Times New Roman" w:cs="Times New Roman"/>
                                <w:b w:val="0"/>
                                <w:color w:val="000000"/>
                                <w:sz w:val="20"/>
                                <w:szCs w:val="20"/>
                                <w:lang w:eastAsia="en-MY"/>
                              </w:rPr>
                              <w:t>S</w:t>
                            </w:r>
                            <w:r>
                              <w:rPr>
                                <w:rFonts w:eastAsia="Times New Roman" w:cs="Times New Roman"/>
                                <w:b w:val="0"/>
                                <w:color w:val="000000"/>
                                <w:sz w:val="20"/>
                                <w:szCs w:val="20"/>
                                <w:vertAlign w:val="subscript"/>
                                <w:lang w:eastAsia="en-MY"/>
                              </w:rPr>
                              <w:t>66</w:t>
                            </w:r>
                            <w:r>
                              <w:rPr>
                                <w:rFonts w:eastAsia="Times New Roman" w:cs="Times New Roman"/>
                                <w:b w:val="0"/>
                                <w:color w:val="000000"/>
                                <w:szCs w:val="24"/>
                                <w:vertAlign w:val="subscript"/>
                                <w:lang w:eastAsia="en-MY"/>
                              </w:rPr>
                              <w:t xml:space="preserve">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54CEB6" id="Text Box 2185" o:spid="_x0000_s1355" type="#_x0000_t202" style="position:absolute;left:0;text-align:left;margin-left:275pt;margin-top:48.9pt;width:103.5pt;height:23.25pt;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" fillcolor="window" stroked="f" strokeweight=".5pt">
                <v:textbox>
                  <w:txbxContent>
                    <w:p w14:paraId="04F38A6D" w14:textId="77777777" w:rsidR="00230AB9" w:rsidRDefault="00230AB9" w:rsidP="00BF600D">
                      <w:r>
                        <w:rPr>
                          <w:rFonts w:eastAsia="Times New Roman" w:cs="Times New Roman"/>
                          <w:b w:val="0"/>
                          <w:color w:val="000000"/>
                          <w:sz w:val="20"/>
                          <w:szCs w:val="20"/>
                          <w:lang w:eastAsia="en-MY"/>
                        </w:rPr>
                        <w:t>N</w:t>
                      </w:r>
                      <w:r>
                        <w:rPr>
                          <w:rFonts w:eastAsia="Times New Roman" w:cs="Times New Roman"/>
                          <w:b w:val="0"/>
                          <w:color w:val="000000"/>
                          <w:sz w:val="20"/>
                          <w:szCs w:val="20"/>
                          <w:vertAlign w:val="subscript"/>
                          <w:lang w:eastAsia="en-MY"/>
                        </w:rPr>
                        <w:t>10</w:t>
                      </w:r>
                      <w:r>
                        <w:rPr>
                          <w:rFonts w:eastAsia="Times New Roman" w:cs="Times New Roman"/>
                          <w:b w:val="0"/>
                          <w:color w:val="000000"/>
                          <w:sz w:val="20"/>
                          <w:szCs w:val="20"/>
                          <w:lang w:eastAsia="en-MY"/>
                        </w:rPr>
                        <w:t>C</w:t>
                      </w:r>
                      <w:r>
                        <w:rPr>
                          <w:rFonts w:eastAsia="Times New Roman" w:cs="Times New Roman"/>
                          <w:b w:val="0"/>
                          <w:color w:val="000000"/>
                          <w:sz w:val="20"/>
                          <w:szCs w:val="20"/>
                          <w:vertAlign w:val="subscript"/>
                          <w:lang w:eastAsia="en-MY"/>
                        </w:rPr>
                        <w:t>4.9</w:t>
                      </w:r>
                      <w:r>
                        <w:rPr>
                          <w:rFonts w:eastAsia="Times New Roman" w:cs="Times New Roman"/>
                          <w:b w:val="0"/>
                          <w:color w:val="000000"/>
                          <w:sz w:val="20"/>
                          <w:szCs w:val="20"/>
                          <w:lang w:eastAsia="en-MY"/>
                        </w:rPr>
                        <w:t>Ba</w:t>
                      </w:r>
                      <w:r>
                        <w:rPr>
                          <w:rFonts w:eastAsia="Times New Roman" w:cs="Times New Roman"/>
                          <w:b w:val="0"/>
                          <w:color w:val="000000"/>
                          <w:sz w:val="20"/>
                          <w:szCs w:val="20"/>
                          <w:vertAlign w:val="subscript"/>
                          <w:lang w:eastAsia="en-MY"/>
                        </w:rPr>
                        <w:t>2</w:t>
                      </w:r>
                      <w:r>
                        <w:rPr>
                          <w:rFonts w:eastAsia="Times New Roman" w:cs="Times New Roman"/>
                          <w:b w:val="0"/>
                          <w:color w:val="000000"/>
                          <w:sz w:val="20"/>
                          <w:szCs w:val="20"/>
                          <w:lang w:eastAsia="en-MY"/>
                        </w:rPr>
                        <w:t>A</w:t>
                      </w:r>
                      <w:r>
                        <w:rPr>
                          <w:rFonts w:eastAsia="Times New Roman" w:cs="Times New Roman"/>
                          <w:b w:val="0"/>
                          <w:color w:val="000000"/>
                          <w:sz w:val="20"/>
                          <w:szCs w:val="20"/>
                          <w:vertAlign w:val="subscript"/>
                          <w:lang w:eastAsia="en-MY"/>
                        </w:rPr>
                        <w:t>7.1</w:t>
                      </w:r>
                      <w:r>
                        <w:rPr>
                          <w:rFonts w:eastAsia="Times New Roman" w:cs="Times New Roman"/>
                          <w:b w:val="0"/>
                          <w:color w:val="000000"/>
                          <w:sz w:val="20"/>
                          <w:szCs w:val="20"/>
                          <w:lang w:eastAsia="en-MY"/>
                        </w:rPr>
                        <w:t>B</w:t>
                      </w:r>
                      <w:r>
                        <w:rPr>
                          <w:rFonts w:eastAsia="Times New Roman" w:cs="Times New Roman"/>
                          <w:b w:val="0"/>
                          <w:color w:val="000000"/>
                          <w:sz w:val="20"/>
                          <w:szCs w:val="20"/>
                          <w:vertAlign w:val="subscript"/>
                          <w:lang w:eastAsia="en-MY"/>
                        </w:rPr>
                        <w:t>10</w:t>
                      </w:r>
                      <w:r>
                        <w:rPr>
                          <w:rFonts w:eastAsia="Times New Roman" w:cs="Times New Roman"/>
                          <w:b w:val="0"/>
                          <w:color w:val="000000"/>
                          <w:sz w:val="20"/>
                          <w:szCs w:val="20"/>
                          <w:lang w:eastAsia="en-MY"/>
                        </w:rPr>
                        <w:t>S</w:t>
                      </w:r>
                      <w:r>
                        <w:rPr>
                          <w:rFonts w:eastAsia="Times New Roman" w:cs="Times New Roman"/>
                          <w:b w:val="0"/>
                          <w:color w:val="000000"/>
                          <w:sz w:val="20"/>
                          <w:szCs w:val="20"/>
                          <w:vertAlign w:val="subscript"/>
                          <w:lang w:eastAsia="en-MY"/>
                        </w:rPr>
                        <w:t>66</w:t>
                      </w:r>
                      <w:r>
                        <w:rPr>
                          <w:rFonts w:eastAsia="Times New Roman" w:cs="Times New Roman"/>
                          <w:b w:val="0"/>
                          <w:color w:val="000000"/>
                          <w:szCs w:val="24"/>
                          <w:vertAlign w:val="subscript"/>
                          <w:lang w:eastAsia="en-MY"/>
                        </w:rPr>
                        <w:t xml:space="preserve"> 9</w:t>
                      </w:r>
                    </w:p>
                  </w:txbxContent>
                </v:textbox>
              </v:shape>
            </w:pict>
          </mc:Fallback>
        </mc:AlternateContent>
      </w:r>
      <w:r>
        <w:rPr>
          <w:noProof/>
          <w:lang w:eastAsia="en-MY"/>
        </w:rPr>
        <mc:AlternateContent>
          <mc:Choice Requires="wps">
            <w:drawing>
              <wp:anchor distT="0" distB="0" distL="114300" distR="114300" simplePos="0" relativeHeight="252544000" behindDoc="0" locked="0" layoutInCell="1" allowOverlap="1" wp14:anchorId="1B8B0552" wp14:editId="041F613E">
                <wp:simplePos x="0" y="0"/>
                <wp:positionH relativeFrom="column">
                  <wp:posOffset>864235</wp:posOffset>
                </wp:positionH>
                <wp:positionV relativeFrom="paragraph">
                  <wp:posOffset>1040130</wp:posOffset>
                </wp:positionV>
                <wp:extent cx="1314450" cy="295275"/>
                <wp:effectExtent l="0" t="0" r="0" b="9525"/>
                <wp:wrapNone/>
                <wp:docPr id="2178" name="Text Box 2178"/>
                <wp:cNvGraphicFramePr/>
                <a:graphic xmlns:a="http://schemas.openxmlformats.org/drawingml/2006/main">
                  <a:graphicData uri="http://schemas.microsoft.com/office/word/2010/wordprocessingShape">
                    <wps:wsp>
                      <wps:cNvSpPr txBox="1"/>
                      <wps:spPr>
                        <a:xfrm>
                          <a:off x="0" y="0"/>
                          <a:ext cx="1314450" cy="295275"/>
                        </a:xfrm>
                        <a:prstGeom prst="rect">
                          <a:avLst/>
                        </a:prstGeom>
                        <a:solidFill>
                          <a:schemeClr val="lt1"/>
                        </a:solidFill>
                        <a:ln w="6350">
                          <a:noFill/>
                        </a:ln>
                      </wps:spPr>
                      <wps:txbx>
                        <w:txbxContent>
                          <w:p w14:paraId="6BAEF6B1" w14:textId="77777777" w:rsidR="00230AB9" w:rsidRDefault="00230AB9" w:rsidP="00BF600D">
                            <w:r>
                              <w:rPr>
                                <w:rFonts w:eastAsia="Times New Roman" w:cs="Times New Roman"/>
                                <w:b w:val="0"/>
                                <w:color w:val="000000"/>
                                <w:sz w:val="20"/>
                                <w:szCs w:val="20"/>
                                <w:lang w:eastAsia="en-MY"/>
                              </w:rPr>
                              <w:t>N</w:t>
                            </w:r>
                            <w:r>
                              <w:rPr>
                                <w:rFonts w:eastAsia="Times New Roman" w:cs="Times New Roman"/>
                                <w:b w:val="0"/>
                                <w:color w:val="000000"/>
                                <w:sz w:val="20"/>
                                <w:szCs w:val="20"/>
                                <w:vertAlign w:val="subscript"/>
                                <w:lang w:eastAsia="en-MY"/>
                              </w:rPr>
                              <w:t>10</w:t>
                            </w:r>
                            <w:r>
                              <w:rPr>
                                <w:rFonts w:eastAsia="Times New Roman" w:cs="Times New Roman"/>
                                <w:b w:val="0"/>
                                <w:color w:val="000000"/>
                                <w:sz w:val="20"/>
                                <w:szCs w:val="20"/>
                                <w:lang w:eastAsia="en-MY"/>
                              </w:rPr>
                              <w:t>C</w:t>
                            </w:r>
                            <w:r>
                              <w:rPr>
                                <w:rFonts w:eastAsia="Times New Roman" w:cs="Times New Roman"/>
                                <w:b w:val="0"/>
                                <w:color w:val="000000"/>
                                <w:sz w:val="20"/>
                                <w:szCs w:val="20"/>
                                <w:vertAlign w:val="subscript"/>
                                <w:lang w:eastAsia="en-MY"/>
                              </w:rPr>
                              <w:t>2.4</w:t>
                            </w:r>
                            <w:r>
                              <w:rPr>
                                <w:rFonts w:eastAsia="Times New Roman" w:cs="Times New Roman"/>
                                <w:b w:val="0"/>
                                <w:color w:val="000000"/>
                                <w:sz w:val="20"/>
                                <w:szCs w:val="20"/>
                                <w:lang w:eastAsia="en-MY"/>
                              </w:rPr>
                              <w:t>Ba</w:t>
                            </w:r>
                            <w:r>
                              <w:rPr>
                                <w:rFonts w:eastAsia="Times New Roman" w:cs="Times New Roman"/>
                                <w:b w:val="0"/>
                                <w:color w:val="000000"/>
                                <w:sz w:val="20"/>
                                <w:szCs w:val="20"/>
                                <w:vertAlign w:val="subscript"/>
                                <w:lang w:eastAsia="en-MY"/>
                              </w:rPr>
                              <w:t>2</w:t>
                            </w:r>
                            <w:r>
                              <w:rPr>
                                <w:rFonts w:eastAsia="Times New Roman" w:cs="Times New Roman"/>
                                <w:b w:val="0"/>
                                <w:color w:val="000000"/>
                                <w:sz w:val="20"/>
                                <w:szCs w:val="20"/>
                                <w:lang w:eastAsia="en-MY"/>
                              </w:rPr>
                              <w:t>A</w:t>
                            </w:r>
                            <w:r>
                              <w:rPr>
                                <w:rFonts w:eastAsia="Times New Roman" w:cs="Times New Roman"/>
                                <w:b w:val="0"/>
                                <w:color w:val="000000"/>
                                <w:sz w:val="20"/>
                                <w:szCs w:val="20"/>
                                <w:vertAlign w:val="subscript"/>
                                <w:lang w:eastAsia="en-MY"/>
                              </w:rPr>
                              <w:t>5.7</w:t>
                            </w:r>
                            <w:r>
                              <w:rPr>
                                <w:rFonts w:eastAsia="Times New Roman" w:cs="Times New Roman"/>
                                <w:b w:val="0"/>
                                <w:color w:val="000000"/>
                                <w:sz w:val="20"/>
                                <w:szCs w:val="20"/>
                                <w:lang w:eastAsia="en-MY"/>
                              </w:rPr>
                              <w:t>B</w:t>
                            </w:r>
                            <w:r>
                              <w:rPr>
                                <w:rFonts w:eastAsia="Times New Roman" w:cs="Times New Roman"/>
                                <w:b w:val="0"/>
                                <w:color w:val="000000"/>
                                <w:sz w:val="20"/>
                                <w:szCs w:val="20"/>
                                <w:vertAlign w:val="subscript"/>
                                <w:lang w:eastAsia="en-MY"/>
                              </w:rPr>
                              <w:t>10</w:t>
                            </w:r>
                            <w:r>
                              <w:rPr>
                                <w:rFonts w:eastAsia="Times New Roman" w:cs="Times New Roman"/>
                                <w:b w:val="0"/>
                                <w:color w:val="000000"/>
                                <w:sz w:val="20"/>
                                <w:szCs w:val="20"/>
                                <w:lang w:eastAsia="en-MY"/>
                              </w:rPr>
                              <w:t>S</w:t>
                            </w:r>
                            <w:r>
                              <w:rPr>
                                <w:rFonts w:eastAsia="Times New Roman" w:cs="Times New Roman"/>
                                <w:b w:val="0"/>
                                <w:color w:val="000000"/>
                                <w:sz w:val="20"/>
                                <w:szCs w:val="20"/>
                                <w:vertAlign w:val="subscript"/>
                                <w:lang w:eastAsia="en-MY"/>
                              </w:rPr>
                              <w:t>69</w:t>
                            </w:r>
                            <w:r>
                              <w:rPr>
                                <w:rFonts w:eastAsia="Times New Roman" w:cs="Times New Roman"/>
                                <w:b w:val="0"/>
                                <w:color w:val="000000"/>
                                <w:szCs w:val="24"/>
                                <w:vertAlign w:val="subscript"/>
                                <w:lang w:eastAsia="en-MY"/>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8B0552" id="Text Box 2178" o:spid="_x0000_s1356" type="#_x0000_t202" style="position:absolute;left:0;text-align:left;margin-left:68.05pt;margin-top:81.9pt;width:103.5pt;height:23.25pt;z-index:2525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" fillcolor="white [3201]" stroked="f" strokeweight=".5pt">
                <v:textbox>
                  <w:txbxContent>
                    <w:p w14:paraId="6BAEF6B1" w14:textId="77777777" w:rsidR="00230AB9" w:rsidRDefault="00230AB9" w:rsidP="00BF600D">
                      <w:r>
                        <w:rPr>
                          <w:rFonts w:eastAsia="Times New Roman" w:cs="Times New Roman"/>
                          <w:b w:val="0"/>
                          <w:color w:val="000000"/>
                          <w:sz w:val="20"/>
                          <w:szCs w:val="20"/>
                          <w:lang w:eastAsia="en-MY"/>
                        </w:rPr>
                        <w:t>N</w:t>
                      </w:r>
                      <w:r>
                        <w:rPr>
                          <w:rFonts w:eastAsia="Times New Roman" w:cs="Times New Roman"/>
                          <w:b w:val="0"/>
                          <w:color w:val="000000"/>
                          <w:sz w:val="20"/>
                          <w:szCs w:val="20"/>
                          <w:vertAlign w:val="subscript"/>
                          <w:lang w:eastAsia="en-MY"/>
                        </w:rPr>
                        <w:t>10</w:t>
                      </w:r>
                      <w:r>
                        <w:rPr>
                          <w:rFonts w:eastAsia="Times New Roman" w:cs="Times New Roman"/>
                          <w:b w:val="0"/>
                          <w:color w:val="000000"/>
                          <w:sz w:val="20"/>
                          <w:szCs w:val="20"/>
                          <w:lang w:eastAsia="en-MY"/>
                        </w:rPr>
                        <w:t>C</w:t>
                      </w:r>
                      <w:r>
                        <w:rPr>
                          <w:rFonts w:eastAsia="Times New Roman" w:cs="Times New Roman"/>
                          <w:b w:val="0"/>
                          <w:color w:val="000000"/>
                          <w:sz w:val="20"/>
                          <w:szCs w:val="20"/>
                          <w:vertAlign w:val="subscript"/>
                          <w:lang w:eastAsia="en-MY"/>
                        </w:rPr>
                        <w:t>2.4</w:t>
                      </w:r>
                      <w:r>
                        <w:rPr>
                          <w:rFonts w:eastAsia="Times New Roman" w:cs="Times New Roman"/>
                          <w:b w:val="0"/>
                          <w:color w:val="000000"/>
                          <w:sz w:val="20"/>
                          <w:szCs w:val="20"/>
                          <w:lang w:eastAsia="en-MY"/>
                        </w:rPr>
                        <w:t>Ba</w:t>
                      </w:r>
                      <w:r>
                        <w:rPr>
                          <w:rFonts w:eastAsia="Times New Roman" w:cs="Times New Roman"/>
                          <w:b w:val="0"/>
                          <w:color w:val="000000"/>
                          <w:sz w:val="20"/>
                          <w:szCs w:val="20"/>
                          <w:vertAlign w:val="subscript"/>
                          <w:lang w:eastAsia="en-MY"/>
                        </w:rPr>
                        <w:t>2</w:t>
                      </w:r>
                      <w:r>
                        <w:rPr>
                          <w:rFonts w:eastAsia="Times New Roman" w:cs="Times New Roman"/>
                          <w:b w:val="0"/>
                          <w:color w:val="000000"/>
                          <w:sz w:val="20"/>
                          <w:szCs w:val="20"/>
                          <w:lang w:eastAsia="en-MY"/>
                        </w:rPr>
                        <w:t>A</w:t>
                      </w:r>
                      <w:r>
                        <w:rPr>
                          <w:rFonts w:eastAsia="Times New Roman" w:cs="Times New Roman"/>
                          <w:b w:val="0"/>
                          <w:color w:val="000000"/>
                          <w:sz w:val="20"/>
                          <w:szCs w:val="20"/>
                          <w:vertAlign w:val="subscript"/>
                          <w:lang w:eastAsia="en-MY"/>
                        </w:rPr>
                        <w:t>5.7</w:t>
                      </w:r>
                      <w:r>
                        <w:rPr>
                          <w:rFonts w:eastAsia="Times New Roman" w:cs="Times New Roman"/>
                          <w:b w:val="0"/>
                          <w:color w:val="000000"/>
                          <w:sz w:val="20"/>
                          <w:szCs w:val="20"/>
                          <w:lang w:eastAsia="en-MY"/>
                        </w:rPr>
                        <w:t>B</w:t>
                      </w:r>
                      <w:r>
                        <w:rPr>
                          <w:rFonts w:eastAsia="Times New Roman" w:cs="Times New Roman"/>
                          <w:b w:val="0"/>
                          <w:color w:val="000000"/>
                          <w:sz w:val="20"/>
                          <w:szCs w:val="20"/>
                          <w:vertAlign w:val="subscript"/>
                          <w:lang w:eastAsia="en-MY"/>
                        </w:rPr>
                        <w:t>10</w:t>
                      </w:r>
                      <w:r>
                        <w:rPr>
                          <w:rFonts w:eastAsia="Times New Roman" w:cs="Times New Roman"/>
                          <w:b w:val="0"/>
                          <w:color w:val="000000"/>
                          <w:sz w:val="20"/>
                          <w:szCs w:val="20"/>
                          <w:lang w:eastAsia="en-MY"/>
                        </w:rPr>
                        <w:t>S</w:t>
                      </w:r>
                      <w:r>
                        <w:rPr>
                          <w:rFonts w:eastAsia="Times New Roman" w:cs="Times New Roman"/>
                          <w:b w:val="0"/>
                          <w:color w:val="000000"/>
                          <w:sz w:val="20"/>
                          <w:szCs w:val="20"/>
                          <w:vertAlign w:val="subscript"/>
                          <w:lang w:eastAsia="en-MY"/>
                        </w:rPr>
                        <w:t>69</w:t>
                      </w:r>
                      <w:r>
                        <w:rPr>
                          <w:rFonts w:eastAsia="Times New Roman" w:cs="Times New Roman"/>
                          <w:b w:val="0"/>
                          <w:color w:val="000000"/>
                          <w:szCs w:val="24"/>
                          <w:vertAlign w:val="subscript"/>
                          <w:lang w:eastAsia="en-MY"/>
                        </w:rPr>
                        <w:t>.9</w:t>
                      </w:r>
                    </w:p>
                  </w:txbxContent>
                </v:textbox>
              </v:shape>
            </w:pict>
          </mc:Fallback>
        </mc:AlternateContent>
      </w:r>
      <w:r>
        <w:rPr>
          <w:noProof/>
          <w:lang w:eastAsia="en-MY"/>
        </w:rPr>
        <mc:AlternateContent>
          <mc:Choice Requires="wps">
            <w:drawing>
              <wp:anchor distT="0" distB="0" distL="114300" distR="114300" simplePos="0" relativeHeight="252545024" behindDoc="0" locked="0" layoutInCell="1" allowOverlap="1" wp14:anchorId="3F57CF2A" wp14:editId="47DE7CB7">
                <wp:simplePos x="0" y="0"/>
                <wp:positionH relativeFrom="column">
                  <wp:posOffset>727075</wp:posOffset>
                </wp:positionH>
                <wp:positionV relativeFrom="paragraph">
                  <wp:posOffset>1122045</wp:posOffset>
                </wp:positionV>
                <wp:extent cx="216535" cy="45720"/>
                <wp:effectExtent l="38100" t="57150" r="12065" b="49530"/>
                <wp:wrapNone/>
                <wp:docPr id="2179" name="Straight Arrow Connector 2179"/>
                <wp:cNvGraphicFramePr/>
                <a:graphic xmlns:a="http://schemas.openxmlformats.org/drawingml/2006/main">
                  <a:graphicData uri="http://schemas.microsoft.com/office/word/2010/wordprocessingShape">
                    <wps:wsp>
                      <wps:cNvCnPr/>
                      <wps:spPr>
                        <a:xfrm flipH="1" flipV="1">
                          <a:off x="0" y="0"/>
                          <a:ext cx="216535" cy="4508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9FC4493" id="Straight Arrow Connector 2179" o:spid="_x0000_s1026" type="#_x0000_t32" style="position:absolute;margin-left:57.25pt;margin-top:88.35pt;width:17.05pt;height:3.6pt;flip:x y;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">
                <v:stroke endarrow="block"/>
              </v:shape>
            </w:pict>
          </mc:Fallback>
        </mc:AlternateContent>
      </w:r>
      <w:r>
        <w:rPr>
          <w:noProof/>
          <w:lang w:eastAsia="en-MY"/>
        </w:rPr>
        <w:drawing>
          <wp:inline distT="0" distB="0" distL="0" distR="0" wp14:anchorId="7044C165" wp14:editId="62F514FE">
            <wp:extent cx="2552700" cy="2162175"/>
            <wp:effectExtent l="0" t="0" r="0" b="9525"/>
            <wp:docPr id="1486" name="Pictur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552700" cy="2162175"/>
                    </a:xfrm>
                    <a:prstGeom prst="rect">
                      <a:avLst/>
                    </a:prstGeom>
                    <a:noFill/>
                    <a:ln>
                      <a:noFill/>
                    </a:ln>
                  </pic:spPr>
                </pic:pic>
              </a:graphicData>
            </a:graphic>
          </wp:inline>
        </w:drawing>
      </w:r>
      <w:r>
        <w:t xml:space="preserve"> </w:t>
      </w:r>
      <w:r>
        <w:rPr>
          <w:noProof/>
          <w:lang w:eastAsia="en-MY"/>
        </w:rPr>
        <w:drawing>
          <wp:inline distT="0" distB="0" distL="0" distR="0" wp14:anchorId="18BC3661" wp14:editId="3C3349F7">
            <wp:extent cx="2543175" cy="2162175"/>
            <wp:effectExtent l="0" t="0" r="9525" b="9525"/>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543175" cy="2162175"/>
                    </a:xfrm>
                    <a:prstGeom prst="rect">
                      <a:avLst/>
                    </a:prstGeom>
                    <a:noFill/>
                    <a:ln>
                      <a:noFill/>
                    </a:ln>
                  </pic:spPr>
                </pic:pic>
              </a:graphicData>
            </a:graphic>
          </wp:inline>
        </w:drawing>
      </w:r>
    </w:p>
    <w:p w14:paraId="7A3B2E48" w14:textId="45F8F0B9" w:rsidR="00BF600D" w:rsidRDefault="00BF600D" w:rsidP="00BF600D">
      <w:pPr>
        <w:spacing w:after="0" w:line="360" w:lineRule="auto"/>
        <w:jc w:val="center"/>
      </w:pPr>
      <w:r>
        <w:rPr>
          <w:noProof/>
          <w:lang w:eastAsia="en-MY"/>
        </w:rPr>
        <mc:AlternateContent>
          <mc:Choice Requires="wps">
            <w:drawing>
              <wp:anchor distT="0" distB="0" distL="114300" distR="114300" simplePos="0" relativeHeight="252547072" behindDoc="0" locked="0" layoutInCell="1" allowOverlap="1" wp14:anchorId="26B356D3" wp14:editId="097E1BB0">
                <wp:simplePos x="0" y="0"/>
                <wp:positionH relativeFrom="column">
                  <wp:posOffset>2320290</wp:posOffset>
                </wp:positionH>
                <wp:positionV relativeFrom="paragraph">
                  <wp:posOffset>1566545</wp:posOffset>
                </wp:positionV>
                <wp:extent cx="175895" cy="45720"/>
                <wp:effectExtent l="38100" t="57150" r="14605" b="49530"/>
                <wp:wrapNone/>
                <wp:docPr id="2181" name="Straight Arrow Connector 2181"/>
                <wp:cNvGraphicFramePr/>
                <a:graphic xmlns:a="http://schemas.openxmlformats.org/drawingml/2006/main">
                  <a:graphicData uri="http://schemas.microsoft.com/office/word/2010/wordprocessingShape">
                    <wps:wsp>
                      <wps:cNvCnPr/>
                      <wps:spPr>
                        <a:xfrm flipH="1" flipV="1">
                          <a:off x="0" y="0"/>
                          <a:ext cx="175895" cy="4508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B61A34" id="Straight Arrow Connector 2181" o:spid="_x0000_s1026" type="#_x0000_t32" style="position:absolute;margin-left:182.7pt;margin-top:123.35pt;width:13.85pt;height:3.6pt;flip:x y;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">
                <v:stroke endarrow="block"/>
              </v:shape>
            </w:pict>
          </mc:Fallback>
        </mc:AlternateContent>
      </w:r>
      <w:r>
        <w:rPr>
          <w:noProof/>
          <w:lang w:eastAsia="en-MY"/>
        </w:rPr>
        <mc:AlternateContent>
          <mc:Choice Requires="wps">
            <w:drawing>
              <wp:anchor distT="0" distB="0" distL="114300" distR="114300" simplePos="0" relativeHeight="252546048" behindDoc="0" locked="0" layoutInCell="1" allowOverlap="1" wp14:anchorId="4916AAF4" wp14:editId="36ACB451">
                <wp:simplePos x="0" y="0"/>
                <wp:positionH relativeFrom="column">
                  <wp:posOffset>2429510</wp:posOffset>
                </wp:positionH>
                <wp:positionV relativeFrom="paragraph">
                  <wp:posOffset>1435100</wp:posOffset>
                </wp:positionV>
                <wp:extent cx="1314450" cy="295275"/>
                <wp:effectExtent l="0" t="0" r="0" b="9525"/>
                <wp:wrapNone/>
                <wp:docPr id="2180" name="Text Box 2180"/>
                <wp:cNvGraphicFramePr/>
                <a:graphic xmlns:a="http://schemas.openxmlformats.org/drawingml/2006/main">
                  <a:graphicData uri="http://schemas.microsoft.com/office/word/2010/wordprocessingShape">
                    <wps:wsp>
                      <wps:cNvSpPr txBox="1"/>
                      <wps:spPr>
                        <a:xfrm>
                          <a:off x="0" y="0"/>
                          <a:ext cx="1314450" cy="295275"/>
                        </a:xfrm>
                        <a:prstGeom prst="rect">
                          <a:avLst/>
                        </a:prstGeom>
                        <a:solidFill>
                          <a:sysClr val="window" lastClr="FFFFFF"/>
                        </a:solidFill>
                        <a:ln w="6350">
                          <a:noFill/>
                        </a:ln>
                      </wps:spPr>
                      <wps:txbx>
                        <w:txbxContent>
                          <w:p w14:paraId="145DA8A7" w14:textId="77777777" w:rsidR="00230AB9" w:rsidRDefault="00230AB9" w:rsidP="00BF600D">
                            <w:r>
                              <w:rPr>
                                <w:rFonts w:eastAsia="Times New Roman" w:cs="Times New Roman"/>
                                <w:b w:val="0"/>
                                <w:color w:val="000000"/>
                                <w:sz w:val="20"/>
                                <w:szCs w:val="20"/>
                                <w:lang w:eastAsia="en-MY"/>
                              </w:rPr>
                              <w:t>N</w:t>
                            </w:r>
                            <w:r>
                              <w:rPr>
                                <w:rFonts w:eastAsia="Times New Roman" w:cs="Times New Roman"/>
                                <w:b w:val="0"/>
                                <w:color w:val="000000"/>
                                <w:sz w:val="20"/>
                                <w:szCs w:val="20"/>
                                <w:vertAlign w:val="subscript"/>
                                <w:lang w:eastAsia="en-MY"/>
                              </w:rPr>
                              <w:t>10</w:t>
                            </w:r>
                            <w:r>
                              <w:rPr>
                                <w:rFonts w:eastAsia="Times New Roman" w:cs="Times New Roman"/>
                                <w:b w:val="0"/>
                                <w:color w:val="000000"/>
                                <w:sz w:val="20"/>
                                <w:szCs w:val="20"/>
                                <w:lang w:eastAsia="en-MY"/>
                              </w:rPr>
                              <w:t>C</w:t>
                            </w:r>
                            <w:r>
                              <w:rPr>
                                <w:rFonts w:eastAsia="Times New Roman" w:cs="Times New Roman"/>
                                <w:b w:val="0"/>
                                <w:color w:val="000000"/>
                                <w:sz w:val="20"/>
                                <w:szCs w:val="20"/>
                                <w:vertAlign w:val="subscript"/>
                                <w:lang w:eastAsia="en-MY"/>
                              </w:rPr>
                              <w:t>2.4</w:t>
                            </w:r>
                            <w:r>
                              <w:rPr>
                                <w:rFonts w:eastAsia="Times New Roman" w:cs="Times New Roman"/>
                                <w:b w:val="0"/>
                                <w:color w:val="000000"/>
                                <w:sz w:val="20"/>
                                <w:szCs w:val="20"/>
                                <w:lang w:eastAsia="en-MY"/>
                              </w:rPr>
                              <w:t>Ba</w:t>
                            </w:r>
                            <w:r>
                              <w:rPr>
                                <w:rFonts w:eastAsia="Times New Roman" w:cs="Times New Roman"/>
                                <w:b w:val="0"/>
                                <w:color w:val="000000"/>
                                <w:sz w:val="20"/>
                                <w:szCs w:val="20"/>
                                <w:vertAlign w:val="subscript"/>
                                <w:lang w:eastAsia="en-MY"/>
                              </w:rPr>
                              <w:t>2</w:t>
                            </w:r>
                            <w:r>
                              <w:rPr>
                                <w:rFonts w:eastAsia="Times New Roman" w:cs="Times New Roman"/>
                                <w:b w:val="0"/>
                                <w:color w:val="000000"/>
                                <w:sz w:val="20"/>
                                <w:szCs w:val="20"/>
                                <w:lang w:eastAsia="en-MY"/>
                              </w:rPr>
                              <w:t>A</w:t>
                            </w:r>
                            <w:r>
                              <w:rPr>
                                <w:rFonts w:eastAsia="Times New Roman" w:cs="Times New Roman"/>
                                <w:b w:val="0"/>
                                <w:color w:val="000000"/>
                                <w:sz w:val="20"/>
                                <w:szCs w:val="20"/>
                                <w:vertAlign w:val="subscript"/>
                                <w:lang w:eastAsia="en-MY"/>
                              </w:rPr>
                              <w:t>5.7</w:t>
                            </w:r>
                            <w:r>
                              <w:rPr>
                                <w:rFonts w:eastAsia="Times New Roman" w:cs="Times New Roman"/>
                                <w:b w:val="0"/>
                                <w:color w:val="000000"/>
                                <w:sz w:val="20"/>
                                <w:szCs w:val="20"/>
                                <w:lang w:eastAsia="en-MY"/>
                              </w:rPr>
                              <w:t>B</w:t>
                            </w:r>
                            <w:r>
                              <w:rPr>
                                <w:rFonts w:eastAsia="Times New Roman" w:cs="Times New Roman"/>
                                <w:b w:val="0"/>
                                <w:color w:val="000000"/>
                                <w:sz w:val="20"/>
                                <w:szCs w:val="20"/>
                                <w:vertAlign w:val="subscript"/>
                                <w:lang w:eastAsia="en-MY"/>
                              </w:rPr>
                              <w:t>10</w:t>
                            </w:r>
                            <w:r>
                              <w:rPr>
                                <w:rFonts w:eastAsia="Times New Roman" w:cs="Times New Roman"/>
                                <w:b w:val="0"/>
                                <w:color w:val="000000"/>
                                <w:sz w:val="20"/>
                                <w:szCs w:val="20"/>
                                <w:lang w:eastAsia="en-MY"/>
                              </w:rPr>
                              <w:t>S</w:t>
                            </w:r>
                            <w:r>
                              <w:rPr>
                                <w:rFonts w:eastAsia="Times New Roman" w:cs="Times New Roman"/>
                                <w:b w:val="0"/>
                                <w:color w:val="000000"/>
                                <w:sz w:val="20"/>
                                <w:szCs w:val="20"/>
                                <w:vertAlign w:val="subscript"/>
                                <w:lang w:eastAsia="en-MY"/>
                              </w:rPr>
                              <w:t>69</w:t>
                            </w:r>
                            <w:r>
                              <w:rPr>
                                <w:rFonts w:eastAsia="Times New Roman" w:cs="Times New Roman"/>
                                <w:b w:val="0"/>
                                <w:color w:val="000000"/>
                                <w:szCs w:val="24"/>
                                <w:vertAlign w:val="subscript"/>
                                <w:lang w:eastAsia="en-MY"/>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16AAF4" id="Text Box 2180" o:spid="_x0000_s1357" type="#_x0000_t202" style="position:absolute;left:0;text-align:left;margin-left:191.3pt;margin-top:113pt;width:103.5pt;height:23.25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" fillcolor="window" stroked="f" strokeweight=".5pt">
                <v:textbox>
                  <w:txbxContent>
                    <w:p w14:paraId="145DA8A7" w14:textId="77777777" w:rsidR="00230AB9" w:rsidRDefault="00230AB9" w:rsidP="00BF600D">
                      <w:r>
                        <w:rPr>
                          <w:rFonts w:eastAsia="Times New Roman" w:cs="Times New Roman"/>
                          <w:b w:val="0"/>
                          <w:color w:val="000000"/>
                          <w:sz w:val="20"/>
                          <w:szCs w:val="20"/>
                          <w:lang w:eastAsia="en-MY"/>
                        </w:rPr>
                        <w:t>N</w:t>
                      </w:r>
                      <w:r>
                        <w:rPr>
                          <w:rFonts w:eastAsia="Times New Roman" w:cs="Times New Roman"/>
                          <w:b w:val="0"/>
                          <w:color w:val="000000"/>
                          <w:sz w:val="20"/>
                          <w:szCs w:val="20"/>
                          <w:vertAlign w:val="subscript"/>
                          <w:lang w:eastAsia="en-MY"/>
                        </w:rPr>
                        <w:t>10</w:t>
                      </w:r>
                      <w:r>
                        <w:rPr>
                          <w:rFonts w:eastAsia="Times New Roman" w:cs="Times New Roman"/>
                          <w:b w:val="0"/>
                          <w:color w:val="000000"/>
                          <w:sz w:val="20"/>
                          <w:szCs w:val="20"/>
                          <w:lang w:eastAsia="en-MY"/>
                        </w:rPr>
                        <w:t>C</w:t>
                      </w:r>
                      <w:r>
                        <w:rPr>
                          <w:rFonts w:eastAsia="Times New Roman" w:cs="Times New Roman"/>
                          <w:b w:val="0"/>
                          <w:color w:val="000000"/>
                          <w:sz w:val="20"/>
                          <w:szCs w:val="20"/>
                          <w:vertAlign w:val="subscript"/>
                          <w:lang w:eastAsia="en-MY"/>
                        </w:rPr>
                        <w:t>2.4</w:t>
                      </w:r>
                      <w:r>
                        <w:rPr>
                          <w:rFonts w:eastAsia="Times New Roman" w:cs="Times New Roman"/>
                          <w:b w:val="0"/>
                          <w:color w:val="000000"/>
                          <w:sz w:val="20"/>
                          <w:szCs w:val="20"/>
                          <w:lang w:eastAsia="en-MY"/>
                        </w:rPr>
                        <w:t>Ba</w:t>
                      </w:r>
                      <w:r>
                        <w:rPr>
                          <w:rFonts w:eastAsia="Times New Roman" w:cs="Times New Roman"/>
                          <w:b w:val="0"/>
                          <w:color w:val="000000"/>
                          <w:sz w:val="20"/>
                          <w:szCs w:val="20"/>
                          <w:vertAlign w:val="subscript"/>
                          <w:lang w:eastAsia="en-MY"/>
                        </w:rPr>
                        <w:t>2</w:t>
                      </w:r>
                      <w:r>
                        <w:rPr>
                          <w:rFonts w:eastAsia="Times New Roman" w:cs="Times New Roman"/>
                          <w:b w:val="0"/>
                          <w:color w:val="000000"/>
                          <w:sz w:val="20"/>
                          <w:szCs w:val="20"/>
                          <w:lang w:eastAsia="en-MY"/>
                        </w:rPr>
                        <w:t>A</w:t>
                      </w:r>
                      <w:r>
                        <w:rPr>
                          <w:rFonts w:eastAsia="Times New Roman" w:cs="Times New Roman"/>
                          <w:b w:val="0"/>
                          <w:color w:val="000000"/>
                          <w:sz w:val="20"/>
                          <w:szCs w:val="20"/>
                          <w:vertAlign w:val="subscript"/>
                          <w:lang w:eastAsia="en-MY"/>
                        </w:rPr>
                        <w:t>5.7</w:t>
                      </w:r>
                      <w:r>
                        <w:rPr>
                          <w:rFonts w:eastAsia="Times New Roman" w:cs="Times New Roman"/>
                          <w:b w:val="0"/>
                          <w:color w:val="000000"/>
                          <w:sz w:val="20"/>
                          <w:szCs w:val="20"/>
                          <w:lang w:eastAsia="en-MY"/>
                        </w:rPr>
                        <w:t>B</w:t>
                      </w:r>
                      <w:r>
                        <w:rPr>
                          <w:rFonts w:eastAsia="Times New Roman" w:cs="Times New Roman"/>
                          <w:b w:val="0"/>
                          <w:color w:val="000000"/>
                          <w:sz w:val="20"/>
                          <w:szCs w:val="20"/>
                          <w:vertAlign w:val="subscript"/>
                          <w:lang w:eastAsia="en-MY"/>
                        </w:rPr>
                        <w:t>10</w:t>
                      </w:r>
                      <w:r>
                        <w:rPr>
                          <w:rFonts w:eastAsia="Times New Roman" w:cs="Times New Roman"/>
                          <w:b w:val="0"/>
                          <w:color w:val="000000"/>
                          <w:sz w:val="20"/>
                          <w:szCs w:val="20"/>
                          <w:lang w:eastAsia="en-MY"/>
                        </w:rPr>
                        <w:t>S</w:t>
                      </w:r>
                      <w:r>
                        <w:rPr>
                          <w:rFonts w:eastAsia="Times New Roman" w:cs="Times New Roman"/>
                          <w:b w:val="0"/>
                          <w:color w:val="000000"/>
                          <w:sz w:val="20"/>
                          <w:szCs w:val="20"/>
                          <w:vertAlign w:val="subscript"/>
                          <w:lang w:eastAsia="en-MY"/>
                        </w:rPr>
                        <w:t>69</w:t>
                      </w:r>
                      <w:r>
                        <w:rPr>
                          <w:rFonts w:eastAsia="Times New Roman" w:cs="Times New Roman"/>
                          <w:b w:val="0"/>
                          <w:color w:val="000000"/>
                          <w:szCs w:val="24"/>
                          <w:vertAlign w:val="subscript"/>
                          <w:lang w:eastAsia="en-MY"/>
                        </w:rPr>
                        <w:t>.9</w:t>
                      </w:r>
                    </w:p>
                  </w:txbxContent>
                </v:textbox>
              </v:shape>
            </w:pict>
          </mc:Fallback>
        </mc:AlternateContent>
      </w:r>
      <w:r>
        <w:rPr>
          <w:noProof/>
          <w:lang w:eastAsia="en-MY"/>
        </w:rPr>
        <w:drawing>
          <wp:inline distT="0" distB="0" distL="0" distR="0" wp14:anchorId="077EF64B" wp14:editId="06A6A51E">
            <wp:extent cx="2552700" cy="2162175"/>
            <wp:effectExtent l="0" t="0" r="0" b="9525"/>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552700" cy="2162175"/>
                    </a:xfrm>
                    <a:prstGeom prst="rect">
                      <a:avLst/>
                    </a:prstGeom>
                    <a:noFill/>
                    <a:ln>
                      <a:noFill/>
                    </a:ln>
                  </pic:spPr>
                </pic:pic>
              </a:graphicData>
            </a:graphic>
          </wp:inline>
        </w:drawing>
      </w:r>
    </w:p>
    <w:p w14:paraId="4B6B7B30" w14:textId="645DABE0" w:rsidR="00BF600D" w:rsidRDefault="00BF600D" w:rsidP="00BF600D">
      <w:pPr>
        <w:pStyle w:val="Caption"/>
        <w:rPr>
          <w:rFonts w:eastAsia="Times New Roman"/>
          <w:color w:val="000000"/>
          <w:szCs w:val="24"/>
          <w:lang w:eastAsia="en-MY"/>
        </w:rPr>
      </w:pPr>
      <w:bookmarkStart w:id="830" w:name="_Toc521420499"/>
      <w:bookmarkStart w:id="831" w:name="_Toc525528382"/>
      <w:bookmarkStart w:id="832" w:name="_Toc525706397"/>
      <w:r>
        <w:t>Figure</w:t>
      </w:r>
      <w:r w:rsidR="00AC2076">
        <w:t xml:space="preserve"> 4.32:</w:t>
      </w:r>
      <w:r>
        <w:rPr>
          <w:szCs w:val="24"/>
        </w:rPr>
        <w:t xml:space="preserve">Hardness, toughness and brittleness of </w:t>
      </w:r>
      <w:bookmarkStart w:id="833" w:name="_Hlk521502386"/>
      <w:r>
        <w:rPr>
          <w:rFonts w:eastAsia="Times New Roman"/>
          <w:color w:val="000000"/>
          <w:szCs w:val="24"/>
          <w:lang w:eastAsia="en-MY"/>
        </w:rPr>
        <w:t>N</w:t>
      </w:r>
      <w:r>
        <w:rPr>
          <w:rFonts w:eastAsia="Times New Roman"/>
          <w:color w:val="000000"/>
          <w:szCs w:val="24"/>
          <w:vertAlign w:val="subscript"/>
          <w:lang w:eastAsia="en-MY"/>
        </w:rPr>
        <w:t>10</w:t>
      </w:r>
      <w:r>
        <w:rPr>
          <w:rFonts w:eastAsia="Times New Roman"/>
          <w:color w:val="000000"/>
          <w:szCs w:val="24"/>
          <w:lang w:eastAsia="en-MY"/>
        </w:rPr>
        <w:t>C</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2</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78-x</w:t>
      </w:r>
      <w:r>
        <w:rPr>
          <w:szCs w:val="24"/>
        </w:rPr>
        <w:t>,</w:t>
      </w:r>
      <w:r>
        <w:rPr>
          <w:rFonts w:eastAsia="Times New Roman"/>
          <w:color w:val="000000"/>
          <w:szCs w:val="24"/>
          <w:lang w:eastAsia="en-MY"/>
        </w:rPr>
        <w:t xml:space="preserve"> N</w:t>
      </w:r>
      <w:r>
        <w:rPr>
          <w:rFonts w:eastAsia="Times New Roman"/>
          <w:color w:val="000000"/>
          <w:szCs w:val="24"/>
          <w:vertAlign w:val="subscript"/>
          <w:lang w:eastAsia="en-MY"/>
        </w:rPr>
        <w:t>15</w:t>
      </w:r>
      <w:r>
        <w:rPr>
          <w:rFonts w:eastAsia="Times New Roman"/>
          <w:color w:val="000000"/>
          <w:szCs w:val="24"/>
          <w:lang w:eastAsia="en-MY"/>
        </w:rPr>
        <w:t>C</w:t>
      </w:r>
      <w:r>
        <w:rPr>
          <w:rFonts w:eastAsia="Times New Roman"/>
          <w:color w:val="000000"/>
          <w:szCs w:val="24"/>
          <w:vertAlign w:val="subscript"/>
          <w:lang w:eastAsia="en-MY"/>
        </w:rPr>
        <w:t>x</w:t>
      </w:r>
      <w:r>
        <w:rPr>
          <w:rFonts w:eastAsia="Times New Roman"/>
          <w:color w:val="000000"/>
          <w:szCs w:val="24"/>
          <w:lang w:eastAsia="en-MY"/>
        </w:rPr>
        <w:t>A</w:t>
      </w:r>
      <w:r>
        <w:rPr>
          <w:rFonts w:eastAsia="Times New Roman"/>
          <w:color w:val="000000"/>
          <w:szCs w:val="24"/>
          <w:vertAlign w:val="subscript"/>
          <w:lang w:eastAsia="en-MY"/>
        </w:rPr>
        <w:t>2</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73-x</w:t>
      </w:r>
      <w:bookmarkEnd w:id="833"/>
      <w:r>
        <w:rPr>
          <w:szCs w:val="24"/>
        </w:rPr>
        <w:t xml:space="preserve">, and </w:t>
      </w:r>
      <w:r>
        <w:rPr>
          <w:rFonts w:eastAsia="Times New Roman"/>
          <w:color w:val="000000"/>
          <w:szCs w:val="24"/>
          <w:lang w:eastAsia="en-MY"/>
        </w:rPr>
        <w:t>N</w:t>
      </w:r>
      <w:r>
        <w:rPr>
          <w:rFonts w:eastAsia="Times New Roman"/>
          <w:color w:val="000000"/>
          <w:szCs w:val="24"/>
          <w:vertAlign w:val="subscript"/>
          <w:lang w:eastAsia="en-MY"/>
        </w:rPr>
        <w:t>10</w:t>
      </w:r>
      <w:r>
        <w:rPr>
          <w:rFonts w:eastAsia="Times New Roman"/>
          <w:color w:val="000000"/>
          <w:szCs w:val="24"/>
          <w:lang w:eastAsia="en-MY"/>
        </w:rPr>
        <w:t>C</w:t>
      </w:r>
      <w:r>
        <w:rPr>
          <w:rFonts w:eastAsia="Times New Roman"/>
          <w:color w:val="000000"/>
          <w:szCs w:val="24"/>
          <w:vertAlign w:val="subscript"/>
          <w:lang w:eastAsia="en-MY"/>
        </w:rPr>
        <w:t>x</w:t>
      </w:r>
      <w:r>
        <w:rPr>
          <w:rFonts w:eastAsia="Times New Roman"/>
          <w:color w:val="000000"/>
          <w:szCs w:val="24"/>
          <w:lang w:eastAsia="en-MY"/>
        </w:rPr>
        <w:t>Ba</w:t>
      </w:r>
      <w:r>
        <w:rPr>
          <w:rFonts w:eastAsia="Times New Roman"/>
          <w:color w:val="000000"/>
          <w:szCs w:val="24"/>
          <w:vertAlign w:val="subscript"/>
          <w:lang w:eastAsia="en-MY"/>
        </w:rPr>
        <w:t>2</w:t>
      </w:r>
      <w:r>
        <w:rPr>
          <w:rFonts w:eastAsia="Times New Roman"/>
          <w:color w:val="000000"/>
          <w:szCs w:val="24"/>
          <w:lang w:eastAsia="en-MY"/>
        </w:rPr>
        <w:t>A</w:t>
      </w:r>
      <w:r>
        <w:rPr>
          <w:rFonts w:eastAsia="Times New Roman"/>
          <w:color w:val="000000"/>
          <w:szCs w:val="24"/>
          <w:vertAlign w:val="subscript"/>
          <w:lang w:eastAsia="en-MY"/>
        </w:rPr>
        <w:t>y</w:t>
      </w:r>
      <w:r>
        <w:rPr>
          <w:rFonts w:eastAsia="Times New Roman"/>
          <w:color w:val="000000"/>
          <w:szCs w:val="24"/>
          <w:lang w:eastAsia="en-MY"/>
        </w:rPr>
        <w:t>B</w:t>
      </w:r>
      <w:r>
        <w:rPr>
          <w:rFonts w:eastAsia="Times New Roman"/>
          <w:color w:val="000000"/>
          <w:szCs w:val="24"/>
          <w:vertAlign w:val="subscript"/>
          <w:lang w:eastAsia="en-MY"/>
        </w:rPr>
        <w:t>10</w:t>
      </w:r>
      <w:r>
        <w:rPr>
          <w:rFonts w:eastAsia="Times New Roman"/>
          <w:color w:val="000000"/>
          <w:szCs w:val="24"/>
          <w:lang w:eastAsia="en-MY"/>
        </w:rPr>
        <w:t>S</w:t>
      </w:r>
      <w:r>
        <w:rPr>
          <w:rFonts w:eastAsia="Times New Roman"/>
          <w:color w:val="000000"/>
          <w:szCs w:val="24"/>
          <w:vertAlign w:val="subscript"/>
          <w:lang w:eastAsia="en-MY"/>
        </w:rPr>
        <w:t xml:space="preserve">78-x-y </w:t>
      </w:r>
      <w:r>
        <w:rPr>
          <w:rFonts w:eastAsia="Times New Roman"/>
          <w:color w:val="000000"/>
          <w:szCs w:val="24"/>
          <w:lang w:eastAsia="en-MY"/>
        </w:rPr>
        <w:t>glass series</w:t>
      </w:r>
      <w:bookmarkEnd w:id="830"/>
      <w:bookmarkEnd w:id="831"/>
      <w:bookmarkEnd w:id="832"/>
      <w:r>
        <w:rPr>
          <w:rFonts w:eastAsia="Times New Roman"/>
          <w:color w:val="000000"/>
          <w:szCs w:val="24"/>
          <w:lang w:eastAsia="en-MY"/>
        </w:rPr>
        <w:t>.</w:t>
      </w:r>
    </w:p>
    <w:p w14:paraId="7561C42A" w14:textId="098ABDF2" w:rsidR="00BF600D" w:rsidRDefault="00BF600D" w:rsidP="00BF600D">
      <w:pPr>
        <w:rPr>
          <w:lang w:val="en-GB" w:eastAsia="en-MY"/>
        </w:rPr>
      </w:pPr>
    </w:p>
    <w:p w14:paraId="2AA5AFE7" w14:textId="77777777" w:rsidR="00D83D04" w:rsidRDefault="00D83D04" w:rsidP="00BF600D">
      <w:pPr>
        <w:rPr>
          <w:lang w:val="en-GB" w:eastAsia="en-MY"/>
        </w:rPr>
      </w:pPr>
    </w:p>
    <w:p w14:paraId="42AF7665" w14:textId="24AD2465" w:rsidR="00BF600D" w:rsidRDefault="00BF600D" w:rsidP="00BF600D">
      <w:pPr>
        <w:spacing w:after="0" w:line="360" w:lineRule="auto"/>
        <w:jc w:val="both"/>
        <w:rPr>
          <w:rFonts w:cs="Times New Roman"/>
          <w:b w:val="0"/>
          <w:szCs w:val="24"/>
        </w:rPr>
      </w:pPr>
      <w:r>
        <w:rPr>
          <w:rFonts w:cs="Times New Roman"/>
          <w:b w:val="0"/>
          <w:szCs w:val="24"/>
        </w:rPr>
        <w:lastRenderedPageBreak/>
        <w:t xml:space="preserve">Figure 4.32 shows the mechanical properties (hardness, indentation toughness and brittleness) of three glass series. </w:t>
      </w:r>
      <w:r>
        <w:rPr>
          <w:rFonts w:eastAsia="Times New Roman"/>
          <w:b w:val="0"/>
          <w:color w:val="000000"/>
          <w:szCs w:val="24"/>
          <w:lang w:eastAsia="en-MY"/>
        </w:rPr>
        <w:t>N</w:t>
      </w:r>
      <w:r>
        <w:rPr>
          <w:rFonts w:eastAsia="Times New Roman"/>
          <w:b w:val="0"/>
          <w:color w:val="000000"/>
          <w:szCs w:val="24"/>
          <w:vertAlign w:val="subscript"/>
          <w:lang w:eastAsia="en-MY"/>
        </w:rPr>
        <w:t>10</w:t>
      </w:r>
      <w:r>
        <w:rPr>
          <w:rFonts w:eastAsia="Times New Roman"/>
          <w:b w:val="0"/>
          <w:color w:val="000000"/>
          <w:szCs w:val="24"/>
          <w:lang w:eastAsia="en-MY"/>
        </w:rPr>
        <w:t>C</w:t>
      </w:r>
      <w:r>
        <w:rPr>
          <w:rFonts w:eastAsia="Times New Roman"/>
          <w:b w:val="0"/>
          <w:color w:val="000000"/>
          <w:szCs w:val="24"/>
          <w:vertAlign w:val="subscript"/>
          <w:lang w:eastAsia="en-MY"/>
        </w:rPr>
        <w:t>x</w:t>
      </w:r>
      <w:r>
        <w:rPr>
          <w:rFonts w:eastAsia="Times New Roman"/>
          <w:b w:val="0"/>
          <w:color w:val="000000"/>
          <w:szCs w:val="24"/>
          <w:lang w:eastAsia="en-MY"/>
        </w:rPr>
        <w:t>A</w:t>
      </w:r>
      <w:r>
        <w:rPr>
          <w:rFonts w:eastAsia="Times New Roman"/>
          <w:b w:val="0"/>
          <w:color w:val="000000"/>
          <w:szCs w:val="24"/>
          <w:vertAlign w:val="subscript"/>
          <w:lang w:eastAsia="en-MY"/>
        </w:rPr>
        <w:t>2</w:t>
      </w:r>
      <w:r>
        <w:rPr>
          <w:rFonts w:eastAsia="Times New Roman"/>
          <w:b w:val="0"/>
          <w:color w:val="000000"/>
          <w:szCs w:val="24"/>
          <w:lang w:eastAsia="en-MY"/>
        </w:rPr>
        <w:t>B</w:t>
      </w:r>
      <w:r>
        <w:rPr>
          <w:rFonts w:eastAsia="Times New Roman"/>
          <w:b w:val="0"/>
          <w:color w:val="000000"/>
          <w:szCs w:val="24"/>
          <w:vertAlign w:val="subscript"/>
          <w:lang w:eastAsia="en-MY"/>
        </w:rPr>
        <w:t>10</w:t>
      </w:r>
      <w:r>
        <w:rPr>
          <w:rFonts w:eastAsia="Times New Roman"/>
          <w:b w:val="0"/>
          <w:color w:val="000000"/>
          <w:szCs w:val="24"/>
          <w:lang w:eastAsia="en-MY"/>
        </w:rPr>
        <w:t>S</w:t>
      </w:r>
      <w:r>
        <w:rPr>
          <w:rFonts w:eastAsia="Times New Roman"/>
          <w:b w:val="0"/>
          <w:color w:val="000000"/>
          <w:szCs w:val="24"/>
          <w:vertAlign w:val="subscript"/>
          <w:lang w:eastAsia="en-MY"/>
        </w:rPr>
        <w:t>78-x</w:t>
      </w:r>
      <w:r>
        <w:rPr>
          <w:b w:val="0"/>
          <w:szCs w:val="24"/>
        </w:rPr>
        <w:t xml:space="preserve"> and </w:t>
      </w:r>
      <w:r>
        <w:rPr>
          <w:rFonts w:eastAsia="Times New Roman"/>
          <w:b w:val="0"/>
          <w:color w:val="000000"/>
          <w:szCs w:val="24"/>
          <w:lang w:eastAsia="en-MY"/>
        </w:rPr>
        <w:t>N</w:t>
      </w:r>
      <w:r>
        <w:rPr>
          <w:rFonts w:eastAsia="Times New Roman"/>
          <w:b w:val="0"/>
          <w:color w:val="000000"/>
          <w:szCs w:val="24"/>
          <w:vertAlign w:val="subscript"/>
          <w:lang w:eastAsia="en-MY"/>
        </w:rPr>
        <w:t>15</w:t>
      </w:r>
      <w:r>
        <w:rPr>
          <w:rFonts w:eastAsia="Times New Roman"/>
          <w:b w:val="0"/>
          <w:color w:val="000000"/>
          <w:szCs w:val="24"/>
          <w:lang w:eastAsia="en-MY"/>
        </w:rPr>
        <w:t>C</w:t>
      </w:r>
      <w:r>
        <w:rPr>
          <w:rFonts w:eastAsia="Times New Roman"/>
          <w:b w:val="0"/>
          <w:color w:val="000000"/>
          <w:szCs w:val="24"/>
          <w:vertAlign w:val="subscript"/>
          <w:lang w:eastAsia="en-MY"/>
        </w:rPr>
        <w:t>x</w:t>
      </w:r>
      <w:r>
        <w:rPr>
          <w:rFonts w:eastAsia="Times New Roman"/>
          <w:b w:val="0"/>
          <w:color w:val="000000"/>
          <w:szCs w:val="24"/>
          <w:lang w:eastAsia="en-MY"/>
        </w:rPr>
        <w:t>A</w:t>
      </w:r>
      <w:r>
        <w:rPr>
          <w:rFonts w:eastAsia="Times New Roman"/>
          <w:b w:val="0"/>
          <w:color w:val="000000"/>
          <w:szCs w:val="24"/>
          <w:vertAlign w:val="subscript"/>
          <w:lang w:eastAsia="en-MY"/>
        </w:rPr>
        <w:t>2</w:t>
      </w:r>
      <w:r>
        <w:rPr>
          <w:rFonts w:eastAsia="Times New Roman"/>
          <w:b w:val="0"/>
          <w:color w:val="000000"/>
          <w:szCs w:val="24"/>
          <w:lang w:eastAsia="en-MY"/>
        </w:rPr>
        <w:t>B</w:t>
      </w:r>
      <w:r>
        <w:rPr>
          <w:rFonts w:eastAsia="Times New Roman"/>
          <w:b w:val="0"/>
          <w:color w:val="000000"/>
          <w:szCs w:val="24"/>
          <w:vertAlign w:val="subscript"/>
          <w:lang w:eastAsia="en-MY"/>
        </w:rPr>
        <w:t>10</w:t>
      </w:r>
      <w:r>
        <w:rPr>
          <w:rFonts w:eastAsia="Times New Roman"/>
          <w:b w:val="0"/>
          <w:color w:val="000000"/>
          <w:szCs w:val="24"/>
          <w:lang w:eastAsia="en-MY"/>
        </w:rPr>
        <w:t>S</w:t>
      </w:r>
      <w:r>
        <w:rPr>
          <w:rFonts w:eastAsia="Times New Roman"/>
          <w:b w:val="0"/>
          <w:color w:val="000000"/>
          <w:szCs w:val="24"/>
          <w:vertAlign w:val="subscript"/>
          <w:lang w:eastAsia="en-MY"/>
        </w:rPr>
        <w:t>73-x</w:t>
      </w:r>
      <w:r>
        <w:rPr>
          <w:rFonts w:cs="Times New Roman"/>
          <w:b w:val="0"/>
          <w:szCs w:val="24"/>
        </w:rPr>
        <w:t xml:space="preserve"> show an increasing value for hardness and brittleness with total network charge balance meanwhile indentation toughness value shows decreasing value and this is in agreement with the theory that lower </w:t>
      </w:r>
      <w:proofErr w:type="spellStart"/>
      <w:r>
        <w:rPr>
          <w:rFonts w:cs="Times New Roman"/>
          <w:b w:val="0"/>
          <w:szCs w:val="24"/>
        </w:rPr>
        <w:t>toughnesses</w:t>
      </w:r>
      <w:proofErr w:type="spellEnd"/>
      <w:r>
        <w:rPr>
          <w:rFonts w:cs="Times New Roman"/>
          <w:b w:val="0"/>
          <w:szCs w:val="24"/>
        </w:rPr>
        <w:t xml:space="preserve"> will result in materials higher hardness and brittleness values. Meanwhile</w:t>
      </w:r>
      <w:r w:rsidR="008C4D01">
        <w:rPr>
          <w:rFonts w:cs="Times New Roman"/>
          <w:b w:val="0"/>
          <w:szCs w:val="24"/>
        </w:rPr>
        <w:t>,</w:t>
      </w:r>
      <w:r>
        <w:rPr>
          <w:rFonts w:cs="Times New Roman"/>
          <w:b w:val="0"/>
          <w:szCs w:val="24"/>
        </w:rPr>
        <w:t xml:space="preserve"> for series </w:t>
      </w:r>
      <w:r>
        <w:rPr>
          <w:rFonts w:eastAsia="Times New Roman"/>
          <w:b w:val="0"/>
          <w:color w:val="000000"/>
          <w:szCs w:val="24"/>
          <w:lang w:eastAsia="en-MY"/>
        </w:rPr>
        <w:t>N</w:t>
      </w:r>
      <w:r>
        <w:rPr>
          <w:rFonts w:eastAsia="Times New Roman"/>
          <w:b w:val="0"/>
          <w:color w:val="000000"/>
          <w:szCs w:val="24"/>
          <w:vertAlign w:val="subscript"/>
          <w:lang w:eastAsia="en-MY"/>
        </w:rPr>
        <w:t>10</w:t>
      </w:r>
      <w:r>
        <w:rPr>
          <w:rFonts w:eastAsia="Times New Roman"/>
          <w:b w:val="0"/>
          <w:color w:val="000000"/>
          <w:szCs w:val="24"/>
          <w:lang w:eastAsia="en-MY"/>
        </w:rPr>
        <w:t>C</w:t>
      </w:r>
      <w:r>
        <w:rPr>
          <w:rFonts w:eastAsia="Times New Roman"/>
          <w:b w:val="0"/>
          <w:color w:val="000000"/>
          <w:szCs w:val="24"/>
          <w:vertAlign w:val="subscript"/>
          <w:lang w:eastAsia="en-MY"/>
        </w:rPr>
        <w:t>x</w:t>
      </w:r>
      <w:r>
        <w:rPr>
          <w:rFonts w:eastAsia="Times New Roman"/>
          <w:b w:val="0"/>
          <w:color w:val="000000"/>
          <w:szCs w:val="24"/>
          <w:lang w:eastAsia="en-MY"/>
        </w:rPr>
        <w:t>Ba</w:t>
      </w:r>
      <w:r>
        <w:rPr>
          <w:rFonts w:eastAsia="Times New Roman"/>
          <w:b w:val="0"/>
          <w:color w:val="000000"/>
          <w:szCs w:val="24"/>
          <w:vertAlign w:val="subscript"/>
          <w:lang w:eastAsia="en-MY"/>
        </w:rPr>
        <w:t>2</w:t>
      </w:r>
      <w:r>
        <w:rPr>
          <w:rFonts w:eastAsia="Times New Roman"/>
          <w:b w:val="0"/>
          <w:color w:val="000000"/>
          <w:szCs w:val="24"/>
          <w:lang w:eastAsia="en-MY"/>
        </w:rPr>
        <w:t>A</w:t>
      </w:r>
      <w:r>
        <w:rPr>
          <w:rFonts w:eastAsia="Times New Roman"/>
          <w:b w:val="0"/>
          <w:color w:val="000000"/>
          <w:szCs w:val="24"/>
          <w:vertAlign w:val="subscript"/>
          <w:lang w:eastAsia="en-MY"/>
        </w:rPr>
        <w:t>y</w:t>
      </w:r>
      <w:r>
        <w:rPr>
          <w:rFonts w:eastAsia="Times New Roman"/>
          <w:b w:val="0"/>
          <w:color w:val="000000"/>
          <w:szCs w:val="24"/>
          <w:lang w:eastAsia="en-MY"/>
        </w:rPr>
        <w:t>B</w:t>
      </w:r>
      <w:r>
        <w:rPr>
          <w:rFonts w:eastAsia="Times New Roman"/>
          <w:b w:val="0"/>
          <w:color w:val="000000"/>
          <w:szCs w:val="24"/>
          <w:vertAlign w:val="subscript"/>
          <w:lang w:eastAsia="en-MY"/>
        </w:rPr>
        <w:t>10</w:t>
      </w:r>
      <w:r>
        <w:rPr>
          <w:rFonts w:eastAsia="Times New Roman"/>
          <w:b w:val="0"/>
          <w:color w:val="000000"/>
          <w:szCs w:val="24"/>
          <w:lang w:eastAsia="en-MY"/>
        </w:rPr>
        <w:t>S</w:t>
      </w:r>
      <w:r>
        <w:rPr>
          <w:rFonts w:eastAsia="Times New Roman"/>
          <w:b w:val="0"/>
          <w:color w:val="000000"/>
          <w:szCs w:val="24"/>
          <w:vertAlign w:val="subscript"/>
          <w:lang w:eastAsia="en-MY"/>
        </w:rPr>
        <w:t>78-x-y</w:t>
      </w:r>
      <w:r>
        <w:rPr>
          <w:rFonts w:eastAsia="Times New Roman"/>
          <w:b w:val="0"/>
          <w:color w:val="000000"/>
          <w:szCs w:val="24"/>
          <w:lang w:eastAsia="en-MY"/>
        </w:rPr>
        <w:t xml:space="preserve">, the indentation toughness and brittleness increase respectively with increasing network charge balance, albeit not for glass sample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2.4</w:t>
      </w:r>
      <w:r>
        <w:rPr>
          <w:rFonts w:eastAsia="Times New Roman" w:cs="Times New Roman"/>
          <w:b w:val="0"/>
          <w:color w:val="000000"/>
          <w:szCs w:val="24"/>
          <w:lang w:eastAsia="en-MY"/>
        </w:rPr>
        <w:t>Ba</w:t>
      </w:r>
      <w:r>
        <w:rPr>
          <w:rFonts w:eastAsia="Times New Roman" w:cs="Times New Roman"/>
          <w:b w:val="0"/>
          <w:color w:val="000000"/>
          <w:szCs w:val="24"/>
          <w:vertAlign w:val="subscript"/>
          <w:lang w:eastAsia="en-MY"/>
        </w:rPr>
        <w:t>2</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5.7</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69.9</w:t>
      </w:r>
      <w:r>
        <w:rPr>
          <w:rFonts w:eastAsia="Times New Roman" w:cs="Times New Roman"/>
          <w:b w:val="0"/>
          <w:color w:val="000000"/>
          <w:szCs w:val="24"/>
          <w:lang w:eastAsia="en-MY"/>
        </w:rPr>
        <w:t>. Meanwhile</w:t>
      </w:r>
      <w:r w:rsidR="008C4D01">
        <w:rPr>
          <w:rFonts w:eastAsia="Times New Roman" w:cs="Times New Roman"/>
          <w:b w:val="0"/>
          <w:color w:val="000000"/>
          <w:szCs w:val="24"/>
          <w:lang w:eastAsia="en-MY"/>
        </w:rPr>
        <w:t>,</w:t>
      </w:r>
      <w:r>
        <w:rPr>
          <w:rFonts w:eastAsia="Times New Roman" w:cs="Times New Roman"/>
          <w:b w:val="0"/>
          <w:color w:val="000000"/>
          <w:szCs w:val="24"/>
          <w:lang w:eastAsia="en-MY"/>
        </w:rPr>
        <w:t xml:space="preserve"> the indentation toughness value for this series, glass N</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4.9</w:t>
      </w:r>
      <w:r>
        <w:rPr>
          <w:rFonts w:eastAsia="Times New Roman" w:cs="Times New Roman"/>
          <w:b w:val="0"/>
          <w:color w:val="000000"/>
          <w:szCs w:val="24"/>
          <w:lang w:eastAsia="en-MY"/>
        </w:rPr>
        <w:t>Ba</w:t>
      </w:r>
      <w:r>
        <w:rPr>
          <w:rFonts w:eastAsia="Times New Roman" w:cs="Times New Roman"/>
          <w:b w:val="0"/>
          <w:color w:val="000000"/>
          <w:szCs w:val="24"/>
          <w:vertAlign w:val="subscript"/>
          <w:lang w:eastAsia="en-MY"/>
        </w:rPr>
        <w:t>2</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7.1</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 xml:space="preserve">66 </w:t>
      </w:r>
      <w:r>
        <w:rPr>
          <w:rFonts w:eastAsia="Times New Roman" w:cs="Times New Roman"/>
          <w:b w:val="0"/>
          <w:color w:val="000000"/>
          <w:szCs w:val="24"/>
          <w:lang w:eastAsia="en-MY"/>
        </w:rPr>
        <w:t>with high charge balance (-15.1)</w:t>
      </w:r>
      <w:r>
        <w:rPr>
          <w:rFonts w:eastAsia="Times New Roman" w:cs="Times New Roman"/>
          <w:color w:val="000000"/>
          <w:szCs w:val="24"/>
          <w:lang w:eastAsia="en-MY"/>
        </w:rPr>
        <w:t xml:space="preserve"> </w:t>
      </w:r>
      <w:r>
        <w:rPr>
          <w:rFonts w:eastAsia="Times New Roman" w:cs="Times New Roman"/>
          <w:b w:val="0"/>
          <w:color w:val="000000"/>
          <w:szCs w:val="24"/>
          <w:lang w:eastAsia="en-MY"/>
        </w:rPr>
        <w:t xml:space="preserve">give a sudden lower value. </w:t>
      </w:r>
    </w:p>
    <w:p w14:paraId="605DD356" w14:textId="77777777" w:rsidR="00BF600D" w:rsidRDefault="00BF600D" w:rsidP="00BF600D"/>
    <w:p w14:paraId="0A81717F" w14:textId="77777777" w:rsidR="00BF600D" w:rsidRDefault="00BF600D" w:rsidP="00BF600D">
      <w:pPr>
        <w:pStyle w:val="Heading3"/>
        <w:numPr>
          <w:ilvl w:val="2"/>
          <w:numId w:val="30"/>
        </w:numPr>
      </w:pPr>
      <w:bookmarkStart w:id="834" w:name="_Toc525742537"/>
      <w:bookmarkStart w:id="835" w:name="_Toc525707872"/>
      <w:bookmarkStart w:id="836" w:name="_Toc525526446"/>
      <w:bookmarkStart w:id="837" w:name="_Toc523402935"/>
      <w:bookmarkStart w:id="838" w:name="_Toc12994972"/>
      <w:r>
        <w:t>4.6 Overall mechanical property trends</w:t>
      </w:r>
      <w:bookmarkEnd w:id="834"/>
      <w:bookmarkEnd w:id="835"/>
      <w:bookmarkEnd w:id="836"/>
      <w:bookmarkEnd w:id="837"/>
      <w:bookmarkEnd w:id="838"/>
    </w:p>
    <w:p w14:paraId="22EBD427" w14:textId="236C10DE" w:rsidR="00BF600D" w:rsidRDefault="00BF600D" w:rsidP="00BF600D">
      <w:pPr>
        <w:spacing w:after="0" w:line="360" w:lineRule="auto"/>
        <w:jc w:val="both"/>
        <w:rPr>
          <w:b w:val="0"/>
          <w:lang w:eastAsia="tr-TR"/>
        </w:rPr>
      </w:pPr>
      <w:r>
        <w:rPr>
          <w:rFonts w:eastAsia="Calibri" w:cs="Times New Roman"/>
          <w:b w:val="0"/>
          <w:szCs w:val="24"/>
        </w:rPr>
        <w:t xml:space="preserve">Figures 4.33 and 4.34 shows the overall relationships between mechanical properties and the total charge balance. </w:t>
      </w:r>
      <w:r>
        <w:rPr>
          <w:b w:val="0"/>
          <w:lang w:eastAsia="tr-TR"/>
        </w:rPr>
        <w:t>Figure 4.33 shows that for the glasses studied here s</w:t>
      </w:r>
      <w:r>
        <w:rPr>
          <w:rFonts w:eastAsia="Calibri" w:cs="Times New Roman"/>
          <w:b w:val="0"/>
          <w:szCs w:val="24"/>
        </w:rPr>
        <w:t xml:space="preserve">hear, Young’s and bulk modulus all increase with increasing total charge balance. This is different from the results of </w:t>
      </w:r>
      <w:r>
        <w:rPr>
          <w:rFonts w:eastAsia="Calibri" w:cs="Times New Roman"/>
          <w:b w:val="0"/>
          <w:szCs w:val="24"/>
        </w:rPr>
        <w:fldChar w:fldCharType="begin" w:fldLock="1"/>
      </w:r>
      <w:r w:rsidR="008400FF">
        <w:rPr>
          <w:rFonts w:eastAsia="Calibri" w:cs="Times New Roman"/>
          <w:b w:val="0"/>
          <w:szCs w:val="24"/>
        </w:rPr>
        <w:instrText>ADDIN CSL_CITATION { "citationItems" : [ { "id" : "ITEM-1", "itemData" : { "author" : [ { "dropping-particle" : "", "family" : "Potuzak", "given" : "Marcel", "non-dropping-particle" : "", "parse-names" : false, "suffix" : "" }, { "dropping-particle" : "", "family" : "Smedskjaer", "given" : "Morten M", "non-dropping-particle" : "", "parse-names" : false, "suffix" : "" }, { "dropping-particle" : "", "family" : "Chemistry", "given" : "Section", "non-dropping-particle" : "", "parse-names" : false, "suffix" : "" }, { "dropping-particle" : "", "family" : "Aalborg", "given" : "Dk-", "non-dropping-particle" : "", "parse-names" : false, "suffix" : "" } ], "container-title" : "Phys. Chem. Glasses: Eur. J. Glass Sci. Technol. B", "id" : "ITEM-1", "issue" : "1", "issued" : { "date-parts" : [ [ "2014" ] ] }, "page" : "18-24", "title" : "Physical properties of boroaluminosilicate glasses : effect of modifier cation field strength", "type" : "article-journal", "volume" : "55" }, "uris" : [ "http://www.mendeley.com/documents/?uuid=305c255e-fdb7-45b9-b283-37da8b3809b3" ] } ], "mendeley" : { "formattedCitation" : "(Potuzak et al., 2014)", "manualFormatting" : "Potuzak &amp; Smedskjaer (2014)", "plainTextFormattedCitation" : "(Potuzak et al., 2014)", "previouslyFormattedCitation" : "(Potuzak et al., 2014)" }, "properties" : { "noteIndex" : 70 }, "schema" : "https://github.com/citation-style-language/schema/raw/master/csl-citation.json" }</w:instrText>
      </w:r>
      <w:r>
        <w:rPr>
          <w:rFonts w:eastAsia="Calibri" w:cs="Times New Roman"/>
          <w:b w:val="0"/>
          <w:szCs w:val="24"/>
        </w:rPr>
        <w:fldChar w:fldCharType="separate"/>
      </w:r>
      <w:r>
        <w:rPr>
          <w:rFonts w:eastAsia="Calibri" w:cs="Times New Roman"/>
          <w:b w:val="0"/>
          <w:noProof/>
          <w:szCs w:val="24"/>
        </w:rPr>
        <w:t>Potuzak &amp; Smedskjaer (2014)</w:t>
      </w:r>
      <w:r>
        <w:rPr>
          <w:rFonts w:eastAsia="Calibri" w:cs="Times New Roman"/>
          <w:b w:val="0"/>
          <w:szCs w:val="24"/>
        </w:rPr>
        <w:fldChar w:fldCharType="end"/>
      </w:r>
      <w:r>
        <w:rPr>
          <w:rFonts w:eastAsia="Calibri" w:cs="Times New Roman"/>
          <w:b w:val="0"/>
          <w:szCs w:val="24"/>
        </w:rPr>
        <w:t xml:space="preserve"> (see Figure 2.15) who found a minimum in these properties at or near a total charge balance of zero for 4 related series boroaluminosilicate glasses.  The increase in the moduli in their studies was ascribed to an increase in NBO’s from decreasing Al</w:t>
      </w:r>
      <w:r>
        <w:rPr>
          <w:rFonts w:eastAsia="Calibri" w:cs="Times New Roman"/>
          <w:b w:val="0"/>
          <w:szCs w:val="24"/>
          <w:vertAlign w:val="subscript"/>
        </w:rPr>
        <w:t>2</w:t>
      </w:r>
      <w:r>
        <w:rPr>
          <w:rFonts w:eastAsia="Calibri" w:cs="Times New Roman"/>
          <w:b w:val="0"/>
          <w:szCs w:val="24"/>
        </w:rPr>
        <w:t>O</w:t>
      </w:r>
      <w:r>
        <w:rPr>
          <w:rFonts w:eastAsia="Calibri" w:cs="Times New Roman"/>
          <w:b w:val="0"/>
          <w:szCs w:val="24"/>
          <w:vertAlign w:val="subscript"/>
        </w:rPr>
        <w:t>3</w:t>
      </w:r>
      <w:r>
        <w:rPr>
          <w:rFonts w:eastAsia="Calibri" w:cs="Times New Roman"/>
          <w:b w:val="0"/>
          <w:szCs w:val="24"/>
        </w:rPr>
        <w:t xml:space="preserve"> at negative values and from an increase of network modifier at positive values. </w:t>
      </w:r>
      <w:r>
        <w:rPr>
          <w:b w:val="0"/>
          <w:lang w:eastAsia="tr-TR"/>
        </w:rPr>
        <w:t xml:space="preserve">Bulk modulus is increased with total network charge balance especially for series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15-x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60</w:t>
      </w:r>
      <w:r>
        <w:rPr>
          <w:b w:val="0"/>
          <w:szCs w:val="24"/>
          <w:vertAlign w:val="subscript"/>
          <w:lang w:eastAsia="tr-TR"/>
        </w:rPr>
        <w:t xml:space="preserve"> </w:t>
      </w:r>
      <w:r>
        <w:rPr>
          <w:b w:val="0"/>
          <w:szCs w:val="24"/>
          <w:lang w:eastAsia="tr-TR"/>
        </w:rPr>
        <w:t xml:space="preserve">and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2</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78-x</w:t>
      </w:r>
      <w:r>
        <w:rPr>
          <w:b w:val="0"/>
          <w:szCs w:val="24"/>
          <w:lang w:eastAsia="tr-TR"/>
        </w:rPr>
        <w:t xml:space="preserve"> meanwhile </w:t>
      </w:r>
      <w:r>
        <w:rPr>
          <w:b w:val="0"/>
          <w:lang w:eastAsia="tr-TR"/>
        </w:rPr>
        <w:t xml:space="preserve">shear modulus increased from 25 to 32 </w:t>
      </w:r>
      <w:proofErr w:type="spellStart"/>
      <w:r>
        <w:rPr>
          <w:b w:val="0"/>
          <w:lang w:eastAsia="tr-TR"/>
        </w:rPr>
        <w:t>GPa</w:t>
      </w:r>
      <w:proofErr w:type="spellEnd"/>
      <w:r>
        <w:rPr>
          <w:b w:val="0"/>
          <w:lang w:eastAsia="tr-TR"/>
        </w:rPr>
        <w:t xml:space="preserve"> with increasing total network charge balance.</w:t>
      </w:r>
    </w:p>
    <w:p w14:paraId="4C36ACCA" w14:textId="77777777" w:rsidR="00BF600D" w:rsidRDefault="00BF600D" w:rsidP="00BF600D">
      <w:pPr>
        <w:spacing w:after="0" w:line="360" w:lineRule="auto"/>
        <w:jc w:val="both"/>
        <w:rPr>
          <w:rFonts w:eastAsia="Calibri" w:cs="Times New Roman"/>
          <w:b w:val="0"/>
          <w:szCs w:val="24"/>
        </w:rPr>
      </w:pPr>
    </w:p>
    <w:p w14:paraId="688FAC4E" w14:textId="42F6B608" w:rsidR="00BF600D" w:rsidRDefault="00BF600D" w:rsidP="00BF600D">
      <w:pPr>
        <w:jc w:val="center"/>
        <w:rPr>
          <w:rFonts w:asciiTheme="minorHAnsi" w:hAnsiTheme="minorHAnsi"/>
          <w:sz w:val="22"/>
        </w:rPr>
      </w:pPr>
      <w:r>
        <w:rPr>
          <w:noProof/>
          <w:lang w:eastAsia="en-MY"/>
        </w:rPr>
        <w:lastRenderedPageBreak/>
        <mc:AlternateContent>
          <mc:Choice Requires="wps">
            <w:drawing>
              <wp:anchor distT="0" distB="0" distL="114300" distR="114300" simplePos="0" relativeHeight="252512256" behindDoc="0" locked="0" layoutInCell="1" allowOverlap="1" wp14:anchorId="05A9255E" wp14:editId="178E238E">
                <wp:simplePos x="0" y="0"/>
                <wp:positionH relativeFrom="margin">
                  <wp:posOffset>709295</wp:posOffset>
                </wp:positionH>
                <wp:positionV relativeFrom="paragraph">
                  <wp:posOffset>4447540</wp:posOffset>
                </wp:positionV>
                <wp:extent cx="368300" cy="285115"/>
                <wp:effectExtent l="0" t="0" r="0" b="635"/>
                <wp:wrapNone/>
                <wp:docPr id="329" name="Text Box 329"/>
                <wp:cNvGraphicFramePr/>
                <a:graphic xmlns:a="http://schemas.openxmlformats.org/drawingml/2006/main">
                  <a:graphicData uri="http://schemas.microsoft.com/office/word/2010/wordprocessingShape">
                    <wps:wsp>
                      <wps:cNvSpPr txBox="1"/>
                      <wps:spPr>
                        <a:xfrm>
                          <a:off x="0" y="0"/>
                          <a:ext cx="367665" cy="284480"/>
                        </a:xfrm>
                        <a:prstGeom prst="rect">
                          <a:avLst/>
                        </a:prstGeom>
                        <a:noFill/>
                        <a:ln w="6350">
                          <a:noFill/>
                        </a:ln>
                      </wps:spPr>
                      <wps:txbx>
                        <w:txbxContent>
                          <w:p w14:paraId="0E525BD4" w14:textId="77777777" w:rsidR="00230AB9" w:rsidRDefault="00230AB9" w:rsidP="00BF600D">
                            <w:pPr>
                              <w:rPr>
                                <w:rFonts w:cs="Times New Roman"/>
                                <w:szCs w:val="24"/>
                              </w:rPr>
                            </w:pPr>
                            <w:r>
                              <w:rPr>
                                <w:rFonts w:cs="Times New Roman"/>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5A9255E" id="Text Box 329" o:spid="_x0000_s1358" type="#_x0000_t202" style="position:absolute;left:0;text-align:left;margin-left:55.85pt;margin-top:350.2pt;width:29pt;height:22.45pt;z-index:25251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" filled="f" stroked="f" strokeweight=".5pt">
                <v:textbox>
                  <w:txbxContent>
                    <w:p w14:paraId="0E525BD4" w14:textId="77777777" w:rsidR="00230AB9" w:rsidRDefault="00230AB9" w:rsidP="00BF600D">
                      <w:pPr>
                        <w:rPr>
                          <w:rFonts w:cs="Times New Roman"/>
                          <w:szCs w:val="24"/>
                        </w:rPr>
                      </w:pPr>
                      <w:r>
                        <w:rPr>
                          <w:rFonts w:cs="Times New Roman"/>
                          <w:szCs w:val="24"/>
                        </w:rPr>
                        <w:t>b)</w:t>
                      </w:r>
                    </w:p>
                  </w:txbxContent>
                </v:textbox>
                <w10:wrap anchorx="margin"/>
              </v:shape>
            </w:pict>
          </mc:Fallback>
        </mc:AlternateContent>
      </w:r>
      <w:r>
        <w:rPr>
          <w:noProof/>
          <w:lang w:eastAsia="en-MY"/>
        </w:rPr>
        <mc:AlternateContent>
          <mc:Choice Requires="wps">
            <w:drawing>
              <wp:anchor distT="0" distB="0" distL="114300" distR="114300" simplePos="0" relativeHeight="252511232" behindDoc="0" locked="0" layoutInCell="1" allowOverlap="1" wp14:anchorId="450B28A4" wp14:editId="7463EBB0">
                <wp:simplePos x="0" y="0"/>
                <wp:positionH relativeFrom="column">
                  <wp:posOffset>920115</wp:posOffset>
                </wp:positionH>
                <wp:positionV relativeFrom="paragraph">
                  <wp:posOffset>53340</wp:posOffset>
                </wp:positionV>
                <wp:extent cx="368300" cy="285115"/>
                <wp:effectExtent l="0" t="0" r="0" b="635"/>
                <wp:wrapNone/>
                <wp:docPr id="327" name="Text Box 327"/>
                <wp:cNvGraphicFramePr/>
                <a:graphic xmlns:a="http://schemas.openxmlformats.org/drawingml/2006/main">
                  <a:graphicData uri="http://schemas.microsoft.com/office/word/2010/wordprocessingShape">
                    <wps:wsp>
                      <wps:cNvSpPr txBox="1"/>
                      <wps:spPr>
                        <a:xfrm>
                          <a:off x="0" y="0"/>
                          <a:ext cx="367665" cy="284480"/>
                        </a:xfrm>
                        <a:prstGeom prst="rect">
                          <a:avLst/>
                        </a:prstGeom>
                        <a:noFill/>
                        <a:ln w="6350">
                          <a:noFill/>
                        </a:ln>
                      </wps:spPr>
                      <wps:txbx>
                        <w:txbxContent>
                          <w:p w14:paraId="06CA091C" w14:textId="77777777" w:rsidR="00230AB9" w:rsidRDefault="00230AB9" w:rsidP="00BF600D">
                            <w:pPr>
                              <w:rPr>
                                <w:rFonts w:cs="Times New Roman"/>
                                <w:szCs w:val="24"/>
                              </w:rPr>
                            </w:pPr>
                            <w:r>
                              <w:rPr>
                                <w:rFonts w:cs="Times New Roman"/>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50B28A4" id="Text Box 327" o:spid="_x0000_s1359" type="#_x0000_t202" style="position:absolute;left:0;text-align:left;margin-left:72.45pt;margin-top:4.2pt;width:29pt;height:22.45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" filled="f" stroked="f" strokeweight=".5pt">
                <v:textbox>
                  <w:txbxContent>
                    <w:p w14:paraId="06CA091C" w14:textId="77777777" w:rsidR="00230AB9" w:rsidRDefault="00230AB9" w:rsidP="00BF600D">
                      <w:pPr>
                        <w:rPr>
                          <w:rFonts w:cs="Times New Roman"/>
                          <w:szCs w:val="24"/>
                        </w:rPr>
                      </w:pPr>
                      <w:r>
                        <w:rPr>
                          <w:rFonts w:cs="Times New Roman"/>
                          <w:szCs w:val="24"/>
                        </w:rPr>
                        <w:t>a)</w:t>
                      </w:r>
                    </w:p>
                  </w:txbxContent>
                </v:textbox>
              </v:shape>
            </w:pict>
          </mc:Fallback>
        </mc:AlternateContent>
      </w:r>
      <w:r>
        <w:rPr>
          <w:noProof/>
          <w:lang w:eastAsia="en-MY"/>
        </w:rPr>
        <mc:AlternateContent>
          <mc:Choice Requires="wps">
            <w:drawing>
              <wp:anchor distT="0" distB="0" distL="114300" distR="114300" simplePos="0" relativeHeight="252530688" behindDoc="0" locked="0" layoutInCell="1" allowOverlap="1" wp14:anchorId="5822FCD5" wp14:editId="78EBBC7B">
                <wp:simplePos x="0" y="0"/>
                <wp:positionH relativeFrom="margin">
                  <wp:posOffset>2085975</wp:posOffset>
                </wp:positionH>
                <wp:positionV relativeFrom="paragraph">
                  <wp:posOffset>1276350</wp:posOffset>
                </wp:positionV>
                <wp:extent cx="2171700" cy="1653540"/>
                <wp:effectExtent l="0" t="0" r="19050" b="22860"/>
                <wp:wrapNone/>
                <wp:docPr id="2267" name="Straight Connector 2267"/>
                <wp:cNvGraphicFramePr/>
                <a:graphic xmlns:a="http://schemas.openxmlformats.org/drawingml/2006/main">
                  <a:graphicData uri="http://schemas.microsoft.com/office/word/2010/wordprocessingShape">
                    <wps:wsp>
                      <wps:cNvCnPr/>
                      <wps:spPr>
                        <a:xfrm flipV="1">
                          <a:off x="0" y="0"/>
                          <a:ext cx="2171700" cy="1653540"/>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77CCBD70" id="Straight Connector 2267" o:spid="_x0000_s1026" style="position:absolute;flip:y;z-index:25253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64.25pt,100.5pt" to="335.25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">
                <v:stroke dashstyle="dash"/>
                <w10:wrap anchorx="margin"/>
              </v:line>
            </w:pict>
          </mc:Fallback>
        </mc:AlternateContent>
      </w:r>
      <w:r>
        <w:rPr>
          <w:rFonts w:asciiTheme="minorHAnsi" w:hAnsiTheme="minorHAnsi"/>
          <w:sz w:val="22"/>
        </w:rPr>
        <w:t xml:space="preserve">    </w:t>
      </w:r>
      <w:r>
        <w:rPr>
          <w:noProof/>
          <w:lang w:eastAsia="en-MY"/>
        </w:rPr>
        <w:drawing>
          <wp:inline distT="0" distB="0" distL="0" distR="0" wp14:anchorId="2CBB4090" wp14:editId="1BFA5375">
            <wp:extent cx="4067175" cy="3962400"/>
            <wp:effectExtent l="0" t="0" r="9525" b="0"/>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067175" cy="3962400"/>
                    </a:xfrm>
                    <a:prstGeom prst="rect">
                      <a:avLst/>
                    </a:prstGeom>
                    <a:noFill/>
                    <a:ln>
                      <a:noFill/>
                    </a:ln>
                  </pic:spPr>
                </pic:pic>
              </a:graphicData>
            </a:graphic>
          </wp:inline>
        </w:drawing>
      </w:r>
      <w:r>
        <w:rPr>
          <w:noProof/>
          <w:lang w:eastAsia="en-MY"/>
        </w:rPr>
        <w:drawing>
          <wp:inline distT="0" distB="0" distL="0" distR="0" wp14:anchorId="26A89953" wp14:editId="05E656D6">
            <wp:extent cx="4267200" cy="3600450"/>
            <wp:effectExtent l="0" t="0" r="0" b="0"/>
            <wp:docPr id="1475" name="Pictur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267200" cy="3600450"/>
                    </a:xfrm>
                    <a:prstGeom prst="rect">
                      <a:avLst/>
                    </a:prstGeom>
                    <a:noFill/>
                    <a:ln>
                      <a:noFill/>
                    </a:ln>
                  </pic:spPr>
                </pic:pic>
              </a:graphicData>
            </a:graphic>
          </wp:inline>
        </w:drawing>
      </w:r>
    </w:p>
    <w:p w14:paraId="6AD20DE4" w14:textId="4370D767" w:rsidR="00BF600D" w:rsidRDefault="00BF600D" w:rsidP="00BF600D">
      <w:pPr>
        <w:pStyle w:val="Caption"/>
        <w:rPr>
          <w:szCs w:val="24"/>
        </w:rPr>
      </w:pPr>
      <w:r>
        <w:t xml:space="preserve">Figure </w:t>
      </w:r>
      <w:r w:rsidR="00AC2076">
        <w:t>4.33:</w:t>
      </w:r>
      <w:r>
        <w:t xml:space="preserve"> Young’s modulus</w:t>
      </w:r>
      <w:r>
        <w:rPr>
          <w:szCs w:val="24"/>
        </w:rPr>
        <w:t>, shear modulus and bulk modulus of current work versus total charge balance a) current work and b) (76 -x)SiO</w:t>
      </w:r>
      <w:r>
        <w:rPr>
          <w:szCs w:val="24"/>
          <w:vertAlign w:val="subscript"/>
        </w:rPr>
        <w:t>2</w:t>
      </w:r>
      <w:r>
        <w:rPr>
          <w:szCs w:val="24"/>
        </w:rPr>
        <w:t xml:space="preserve"> . x Al</w:t>
      </w:r>
      <w:r>
        <w:rPr>
          <w:szCs w:val="24"/>
          <w:vertAlign w:val="subscript"/>
        </w:rPr>
        <w:t>2</w:t>
      </w:r>
      <w:r>
        <w:rPr>
          <w:szCs w:val="24"/>
        </w:rPr>
        <w:t>O</w:t>
      </w:r>
      <w:r>
        <w:rPr>
          <w:szCs w:val="24"/>
          <w:vertAlign w:val="subscript"/>
        </w:rPr>
        <w:t>3</w:t>
      </w:r>
      <w:r>
        <w:rPr>
          <w:szCs w:val="24"/>
        </w:rPr>
        <w:t xml:space="preserve"> . 6 B</w:t>
      </w:r>
      <w:r>
        <w:rPr>
          <w:szCs w:val="24"/>
          <w:vertAlign w:val="subscript"/>
        </w:rPr>
        <w:t>2</w:t>
      </w:r>
      <w:r>
        <w:rPr>
          <w:szCs w:val="24"/>
        </w:rPr>
        <w:t>O</w:t>
      </w:r>
      <w:r>
        <w:rPr>
          <w:szCs w:val="24"/>
          <w:vertAlign w:val="subscript"/>
        </w:rPr>
        <w:t>3</w:t>
      </w:r>
      <w:r>
        <w:rPr>
          <w:szCs w:val="24"/>
        </w:rPr>
        <w:t xml:space="preserve"> . 12 Na</w:t>
      </w:r>
      <w:r>
        <w:rPr>
          <w:szCs w:val="24"/>
          <w:vertAlign w:val="subscript"/>
        </w:rPr>
        <w:t>2</w:t>
      </w:r>
      <w:r>
        <w:rPr>
          <w:szCs w:val="24"/>
        </w:rPr>
        <w:t xml:space="preserve">O . 6 RO with x = 0, 3, 6, 9, 12, 15, 18, 21, and 24 for R = Mg, Ca, Sr, and Ba </w:t>
      </w:r>
      <w:r>
        <w:rPr>
          <w:szCs w:val="24"/>
        </w:rPr>
        <w:fldChar w:fldCharType="begin" w:fldLock="1"/>
      </w:r>
      <w:r>
        <w:rPr>
          <w:szCs w:val="24"/>
        </w:rPr>
        <w:instrText>ADDIN CSL_CITATION { "citationItems" : [ { "id" : "ITEM-1", "itemData" : { "DOI" : "10.1111/jace.12529", "ISSN" : "00027820", "author" : [ { "dropping-particle" : "", "family" : "Smedskjaer", "given" : "Morten M.", "non-dropping-particle" : "", "parse-names" : false, "suffix" : "" }, { "dropping-particle" : "", "family" : "Potuzak", "given" : "Marcel", "non-dropping-particle" : "", "parse-names" : false, "suffix" : "" } ], "container-title" : "Journal of the American Ceramic Society", "editor" : [ { "dropping-particle" : "", "family" : "Ching", "given" : "W.-Y.", "non-dropping-particle" : "", "parse-names" : false, "suffix" : "" } ], "id" : "ITEM-1", "issue" : "9", "issued" : { "date-parts" : [ [ "2013", "9", "17" ] ] }, "page" : "2831-2838", "title" : "Viscosity and Fragility of Alkaline-Earth Sodium Boroaluminosilicate Liquids", "type" : "article-journal", "volume" : "96" }, "uris" : [ "http://www.mendeley.com/documents/?uuid=04778052-8980-4744-b4c4-bcf85d21ff25" ] }, { "id" : "ITEM-2", "itemData" : { "author" : [ { "dropping-particle" : "", "family" : "Potuzak", "given" : "Marcel", "non-dropping-particle" : "", "parse-names" : false, "suffix" : "" }, { "dropping-particle" : "", "family" : "Smedskjaer", "given" : "Morten M", "non-dropping-particle" : "", "parse-names" : false, "suffix" : "" }, { "dropping-particle" : "", "family" : "Chemistry", "given" : "Section", "non-dropping-particle" : "", "parse-names" : false, "suffix" : "" }, { "dropping-particle" : "", "family" : "Aalborg", "given" : "Dk-", "non-dropping-particle" : "", "parse-names" : false, "suffix" : "" } ], "container-title" : "Phys. Chem. Glasses: Eur. J. Glass Sci. Technol. B", "id" : "ITEM-2", "issue" : "1", "issued" : { "date-parts" : [ [ "2014" ] ] }, "page" : "18-24", "title" : "Physical properties of boroaluminosilicate glasses : effect of modifier cation field strength", "type" : "article-journal", "volume" : "55" }, "uris" : [ "http://www.mendeley.com/documents/?uuid=305c255e-fdb7-45b9-b283-37da8b3809b3" ] } ], "mendeley" : { "formattedCitation" : "(Potuzak et al., 2014; Smedskjaer &amp; Potuzak, 2013)", "manualFormatting" : "(", "plainTextFormattedCitation" : "(Potuzak et al., 2014; Smedskjaer &amp; Potuzak, 2013)", "previouslyFormattedCitation" : "(Potuzak et al., 2014; Smedskjaer &amp; Potuzak, 2013)" }, "properties" : { "noteIndex" : 71 }, "schema" : "https://github.com/citation-style-language/schema/raw/master/csl-citation.json" }</w:instrText>
      </w:r>
      <w:r>
        <w:rPr>
          <w:szCs w:val="24"/>
        </w:rPr>
        <w:fldChar w:fldCharType="separate"/>
      </w:r>
      <w:r>
        <w:rPr>
          <w:noProof/>
          <w:szCs w:val="24"/>
        </w:rPr>
        <w:t>(</w:t>
      </w:r>
      <w:r>
        <w:rPr>
          <w:szCs w:val="24"/>
        </w:rPr>
        <w:fldChar w:fldCharType="end"/>
      </w:r>
      <w:r>
        <w:rPr>
          <w:szCs w:val="24"/>
        </w:rPr>
        <w:fldChar w:fldCharType="begin" w:fldLock="1"/>
      </w:r>
      <w:r w:rsidR="008400FF">
        <w:rPr>
          <w:szCs w:val="24"/>
        </w:rPr>
        <w:instrText>ADDIN CSL_CITATION { "citationItems" : [ { "id" : "ITEM-1", "itemData" : { "author" : [ { "dropping-particle" : "", "family" : "Potuzak", "given" : "Marcel", "non-dropping-particle" : "", "parse-names" : false, "suffix" : "" }, { "dropping-particle" : "", "family" : "Smedskjaer", "given" : "Morten M", "non-dropping-particle" : "", "parse-names" : false, "suffix" : "" }, { "dropping-particle" : "", "family" : "Chemistry", "given" : "Section", "non-dropping-particle" : "", "parse-names" : false, "suffix" : "" }, { "dropping-particle" : "", "family" : "Aalborg", "given" : "Dk-", "non-dropping-particle" : "", "parse-names" : false, "suffix" : "" } ], "container-title" : "Phys. Chem. Glasses: Eur. J. Glass Sci. Technol. B", "id" : "ITEM-1", "issue" : "1", "issued" : { "date-parts" : [ [ "2014" ] ] }, "page" : "18-24", "title" : "Physical properties of boroaluminosilicate glasses : effect of modifier cation field strength", "type" : "article-journal", "volume" : "55" }, "uris" : [ "http://www.mendeley.com/documents/?uuid=305c255e-fdb7-45b9-b283-37da8b3809b3" ] } ], "mendeley" : { "formattedCitation" : "(Potuzak et al., 2014)", "manualFormatting" : "Potuzak and Smedskjaer, 2014)", "plainTextFormattedCitation" : "(Potuzak et al., 2014)", "previouslyFormattedCitation" : "(Potuzak et al., 2014)" }, "properties" : { "noteIndex" : 70 }, "schema" : "https://github.com/citation-style-language/schema/raw/master/csl-citation.json" }</w:instrText>
      </w:r>
      <w:r>
        <w:rPr>
          <w:szCs w:val="24"/>
        </w:rPr>
        <w:fldChar w:fldCharType="separate"/>
      </w:r>
      <w:r>
        <w:rPr>
          <w:noProof/>
          <w:szCs w:val="24"/>
        </w:rPr>
        <w:t>Potuzak and Smedskjaer, 2014)</w:t>
      </w:r>
      <w:r>
        <w:rPr>
          <w:szCs w:val="24"/>
        </w:rPr>
        <w:fldChar w:fldCharType="end"/>
      </w:r>
      <w:r>
        <w:rPr>
          <w:szCs w:val="24"/>
        </w:rPr>
        <w:t xml:space="preserve">. (Continued on next page.) </w:t>
      </w:r>
    </w:p>
    <w:p w14:paraId="176BD0B4" w14:textId="77777777" w:rsidR="00BF600D" w:rsidRDefault="00BF600D" w:rsidP="00BF600D">
      <w:pPr>
        <w:jc w:val="center"/>
        <w:rPr>
          <w:rFonts w:asciiTheme="minorHAnsi" w:hAnsiTheme="minorHAnsi"/>
          <w:sz w:val="22"/>
        </w:rPr>
      </w:pPr>
    </w:p>
    <w:p w14:paraId="1E323A05" w14:textId="226074F5" w:rsidR="00BF600D" w:rsidRDefault="00BF600D" w:rsidP="00BF600D">
      <w:pPr>
        <w:jc w:val="center"/>
        <w:rPr>
          <w:rFonts w:asciiTheme="minorHAnsi" w:hAnsiTheme="minorHAnsi"/>
          <w:sz w:val="22"/>
        </w:rPr>
      </w:pPr>
      <w:r>
        <w:rPr>
          <w:noProof/>
          <w:lang w:eastAsia="en-MY"/>
        </w:rPr>
        <w:lastRenderedPageBreak/>
        <mc:AlternateContent>
          <mc:Choice Requires="wps">
            <w:drawing>
              <wp:anchor distT="0" distB="0" distL="114300" distR="114300" simplePos="0" relativeHeight="252514304" behindDoc="0" locked="0" layoutInCell="1" allowOverlap="1" wp14:anchorId="514A6EBD" wp14:editId="125D5A5E">
                <wp:simplePos x="0" y="0"/>
                <wp:positionH relativeFrom="column">
                  <wp:posOffset>619125</wp:posOffset>
                </wp:positionH>
                <wp:positionV relativeFrom="paragraph">
                  <wp:posOffset>4458970</wp:posOffset>
                </wp:positionV>
                <wp:extent cx="368300" cy="285115"/>
                <wp:effectExtent l="0" t="0" r="0" b="635"/>
                <wp:wrapNone/>
                <wp:docPr id="326" name="Text Box 326"/>
                <wp:cNvGraphicFramePr/>
                <a:graphic xmlns:a="http://schemas.openxmlformats.org/drawingml/2006/main">
                  <a:graphicData uri="http://schemas.microsoft.com/office/word/2010/wordprocessingShape">
                    <wps:wsp>
                      <wps:cNvSpPr txBox="1"/>
                      <wps:spPr>
                        <a:xfrm>
                          <a:off x="0" y="0"/>
                          <a:ext cx="367665" cy="284480"/>
                        </a:xfrm>
                        <a:prstGeom prst="rect">
                          <a:avLst/>
                        </a:prstGeom>
                        <a:noFill/>
                        <a:ln w="6350">
                          <a:noFill/>
                        </a:ln>
                      </wps:spPr>
                      <wps:txbx>
                        <w:txbxContent>
                          <w:p w14:paraId="28110285" w14:textId="77777777" w:rsidR="00230AB9" w:rsidRDefault="00230AB9" w:rsidP="00BF600D">
                            <w:pPr>
                              <w:rPr>
                                <w:rFonts w:cs="Times New Roman"/>
                                <w:szCs w:val="24"/>
                              </w:rPr>
                            </w:pPr>
                            <w:r>
                              <w:rPr>
                                <w:rFonts w:cs="Times New Roman"/>
                                <w:szCs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14A6EBD" id="Text Box 326" o:spid="_x0000_s1360" type="#_x0000_t202" style="position:absolute;left:0;text-align:left;margin-left:48.75pt;margin-top:351.1pt;width:29pt;height:22.45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" filled="f" stroked="f" strokeweight=".5pt">
                <v:textbox>
                  <w:txbxContent>
                    <w:p w14:paraId="28110285" w14:textId="77777777" w:rsidR="00230AB9" w:rsidRDefault="00230AB9" w:rsidP="00BF600D">
                      <w:pPr>
                        <w:rPr>
                          <w:rFonts w:cs="Times New Roman"/>
                          <w:szCs w:val="24"/>
                        </w:rPr>
                      </w:pPr>
                      <w:r>
                        <w:rPr>
                          <w:rFonts w:cs="Times New Roman"/>
                          <w:szCs w:val="24"/>
                        </w:rPr>
                        <w:t>d)</w:t>
                      </w:r>
                    </w:p>
                  </w:txbxContent>
                </v:textbox>
              </v:shape>
            </w:pict>
          </mc:Fallback>
        </mc:AlternateContent>
      </w:r>
      <w:bookmarkStart w:id="839" w:name="_Toc525703773"/>
      <w:bookmarkStart w:id="840" w:name="_Toc525526447"/>
      <w:bookmarkStart w:id="841" w:name="_Toc523402936"/>
      <w:bookmarkStart w:id="842" w:name="_Toc523153614"/>
      <w:r>
        <w:rPr>
          <w:noProof/>
          <w:lang w:eastAsia="en-MY"/>
        </w:rPr>
        <mc:AlternateContent>
          <mc:Choice Requires="wps">
            <w:drawing>
              <wp:anchor distT="0" distB="0" distL="114300" distR="114300" simplePos="0" relativeHeight="252513280" behindDoc="0" locked="0" layoutInCell="1" allowOverlap="1" wp14:anchorId="2F873010" wp14:editId="3707497A">
                <wp:simplePos x="0" y="0"/>
                <wp:positionH relativeFrom="margin">
                  <wp:posOffset>846455</wp:posOffset>
                </wp:positionH>
                <wp:positionV relativeFrom="paragraph">
                  <wp:posOffset>167005</wp:posOffset>
                </wp:positionV>
                <wp:extent cx="368300" cy="285115"/>
                <wp:effectExtent l="0" t="0" r="0" b="635"/>
                <wp:wrapNone/>
                <wp:docPr id="325" name="Text Box 325"/>
                <wp:cNvGraphicFramePr/>
                <a:graphic xmlns:a="http://schemas.openxmlformats.org/drawingml/2006/main">
                  <a:graphicData uri="http://schemas.microsoft.com/office/word/2010/wordprocessingShape">
                    <wps:wsp>
                      <wps:cNvSpPr txBox="1"/>
                      <wps:spPr>
                        <a:xfrm>
                          <a:off x="0" y="0"/>
                          <a:ext cx="367665" cy="284480"/>
                        </a:xfrm>
                        <a:prstGeom prst="rect">
                          <a:avLst/>
                        </a:prstGeom>
                        <a:noFill/>
                        <a:ln w="6350">
                          <a:noFill/>
                        </a:ln>
                      </wps:spPr>
                      <wps:txbx>
                        <w:txbxContent>
                          <w:p w14:paraId="528C0C37" w14:textId="77777777" w:rsidR="00230AB9" w:rsidRDefault="00230AB9" w:rsidP="00BF600D">
                            <w:pPr>
                              <w:rPr>
                                <w:rFonts w:cs="Times New Roman"/>
                                <w:szCs w:val="24"/>
                              </w:rPr>
                            </w:pPr>
                            <w:r>
                              <w:rPr>
                                <w:rFonts w:cs="Times New Roman"/>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873010" id="Text Box 325" o:spid="_x0000_s1361" type="#_x0000_t202" style="position:absolute;left:0;text-align:left;margin-left:66.65pt;margin-top:13.15pt;width:29pt;height:22.45pt;z-index:25251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" filled="f" stroked="f" strokeweight=".5pt">
                <v:textbox>
                  <w:txbxContent>
                    <w:p w14:paraId="528C0C37" w14:textId="77777777" w:rsidR="00230AB9" w:rsidRDefault="00230AB9" w:rsidP="00BF600D">
                      <w:pPr>
                        <w:rPr>
                          <w:rFonts w:cs="Times New Roman"/>
                          <w:szCs w:val="24"/>
                        </w:rPr>
                      </w:pPr>
                      <w:r>
                        <w:rPr>
                          <w:rFonts w:cs="Times New Roman"/>
                          <w:szCs w:val="24"/>
                        </w:rPr>
                        <w:t>c)</w:t>
                      </w:r>
                    </w:p>
                  </w:txbxContent>
                </v:textbox>
                <w10:wrap anchorx="margin"/>
              </v:shape>
            </w:pict>
          </mc:Fallback>
        </mc:AlternateContent>
      </w:r>
      <w:r>
        <w:rPr>
          <w:noProof/>
          <w:lang w:eastAsia="en-MY"/>
        </w:rPr>
        <mc:AlternateContent>
          <mc:Choice Requires="wps">
            <w:drawing>
              <wp:anchor distT="0" distB="0" distL="114300" distR="114300" simplePos="0" relativeHeight="252515328" behindDoc="0" locked="0" layoutInCell="1" allowOverlap="1" wp14:anchorId="704BA2C3" wp14:editId="7F44B415">
                <wp:simplePos x="0" y="0"/>
                <wp:positionH relativeFrom="column">
                  <wp:posOffset>1952625</wp:posOffset>
                </wp:positionH>
                <wp:positionV relativeFrom="paragraph">
                  <wp:posOffset>1285875</wp:posOffset>
                </wp:positionV>
                <wp:extent cx="1790700" cy="1632585"/>
                <wp:effectExtent l="0" t="0" r="19050" b="24765"/>
                <wp:wrapNone/>
                <wp:docPr id="323" name="Straight Connector 323"/>
                <wp:cNvGraphicFramePr/>
                <a:graphic xmlns:a="http://schemas.openxmlformats.org/drawingml/2006/main">
                  <a:graphicData uri="http://schemas.microsoft.com/office/word/2010/wordprocessingShape">
                    <wps:wsp>
                      <wps:cNvCnPr/>
                      <wps:spPr>
                        <a:xfrm flipV="1">
                          <a:off x="0" y="0"/>
                          <a:ext cx="1790700" cy="1632585"/>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765FB1FF" id="Straight Connector 323" o:spid="_x0000_s1026" style="position:absolute;flip:y;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75pt,101.25pt" to="294.75pt,2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">
                <v:stroke dashstyle="dash"/>
              </v:line>
            </w:pict>
          </mc:Fallback>
        </mc:AlternateContent>
      </w:r>
      <w:r>
        <w:rPr>
          <w:noProof/>
          <w:lang w:eastAsia="en-MY"/>
        </w:rPr>
        <w:drawing>
          <wp:inline distT="0" distB="0" distL="0" distR="0" wp14:anchorId="2D0EC3CB" wp14:editId="29E7475E">
            <wp:extent cx="4038600" cy="3962400"/>
            <wp:effectExtent l="0" t="0" r="0" b="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038600" cy="3962400"/>
                    </a:xfrm>
                    <a:prstGeom prst="rect">
                      <a:avLst/>
                    </a:prstGeom>
                    <a:noFill/>
                    <a:ln>
                      <a:noFill/>
                    </a:ln>
                  </pic:spPr>
                </pic:pic>
              </a:graphicData>
            </a:graphic>
          </wp:inline>
        </w:drawing>
      </w:r>
      <w:r>
        <w:rPr>
          <w:noProof/>
          <w:lang w:eastAsia="en-MY"/>
        </w:rPr>
        <w:drawing>
          <wp:inline distT="0" distB="0" distL="0" distR="0" wp14:anchorId="2A7A16E4" wp14:editId="575D31BD">
            <wp:extent cx="4410075" cy="3600450"/>
            <wp:effectExtent l="0" t="0" r="9525" b="0"/>
            <wp:docPr id="1473"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410075" cy="3600450"/>
                    </a:xfrm>
                    <a:prstGeom prst="rect">
                      <a:avLst/>
                    </a:prstGeom>
                    <a:noFill/>
                    <a:ln>
                      <a:noFill/>
                    </a:ln>
                  </pic:spPr>
                </pic:pic>
              </a:graphicData>
            </a:graphic>
          </wp:inline>
        </w:drawing>
      </w:r>
      <w:bookmarkEnd w:id="839"/>
      <w:bookmarkEnd w:id="840"/>
      <w:bookmarkEnd w:id="841"/>
      <w:bookmarkEnd w:id="842"/>
    </w:p>
    <w:p w14:paraId="07E8A73D" w14:textId="745427BE" w:rsidR="00BF600D" w:rsidRDefault="00AC2076" w:rsidP="00BF600D">
      <w:pPr>
        <w:pStyle w:val="Caption"/>
        <w:rPr>
          <w:szCs w:val="24"/>
        </w:rPr>
      </w:pPr>
      <w:r>
        <w:t>Figure 4.33</w:t>
      </w:r>
      <w:r w:rsidR="00BF600D">
        <w:t>: Young’s modulus</w:t>
      </w:r>
      <w:r w:rsidR="00BF600D">
        <w:rPr>
          <w:szCs w:val="24"/>
        </w:rPr>
        <w:t>, shear modulus and bulk modulus of current work versus total charge balance a) current work and b) (76 -x)SiO</w:t>
      </w:r>
      <w:r w:rsidR="00BF600D">
        <w:rPr>
          <w:szCs w:val="24"/>
          <w:vertAlign w:val="subscript"/>
        </w:rPr>
        <w:t>2</w:t>
      </w:r>
      <w:r w:rsidR="00BF600D">
        <w:rPr>
          <w:szCs w:val="24"/>
        </w:rPr>
        <w:t xml:space="preserve"> . x Al</w:t>
      </w:r>
      <w:r w:rsidR="00BF600D">
        <w:rPr>
          <w:szCs w:val="24"/>
          <w:vertAlign w:val="subscript"/>
        </w:rPr>
        <w:t>2</w:t>
      </w:r>
      <w:r w:rsidR="00BF600D">
        <w:rPr>
          <w:szCs w:val="24"/>
        </w:rPr>
        <w:t>O</w:t>
      </w:r>
      <w:r w:rsidR="00BF600D">
        <w:rPr>
          <w:szCs w:val="24"/>
          <w:vertAlign w:val="subscript"/>
        </w:rPr>
        <w:t>3</w:t>
      </w:r>
      <w:r w:rsidR="00BF600D">
        <w:rPr>
          <w:szCs w:val="24"/>
        </w:rPr>
        <w:t xml:space="preserve"> . 6 B</w:t>
      </w:r>
      <w:r w:rsidR="00BF600D">
        <w:rPr>
          <w:szCs w:val="24"/>
          <w:vertAlign w:val="subscript"/>
        </w:rPr>
        <w:t>2</w:t>
      </w:r>
      <w:r w:rsidR="00BF600D">
        <w:rPr>
          <w:szCs w:val="24"/>
        </w:rPr>
        <w:t>O</w:t>
      </w:r>
      <w:r w:rsidR="00BF600D">
        <w:rPr>
          <w:szCs w:val="24"/>
          <w:vertAlign w:val="subscript"/>
        </w:rPr>
        <w:t>3</w:t>
      </w:r>
      <w:r w:rsidR="00BF600D">
        <w:rPr>
          <w:szCs w:val="24"/>
        </w:rPr>
        <w:t xml:space="preserve"> . 12 Na</w:t>
      </w:r>
      <w:r w:rsidR="00BF600D">
        <w:rPr>
          <w:szCs w:val="24"/>
          <w:vertAlign w:val="subscript"/>
        </w:rPr>
        <w:t>2</w:t>
      </w:r>
      <w:r w:rsidR="00BF600D">
        <w:rPr>
          <w:szCs w:val="24"/>
        </w:rPr>
        <w:t xml:space="preserve">O . 6 RO with x = 0, 3, 6, 9, 12, 15, 18, 21, and 24 for R = Mg, Ca, Sr, and Ba </w:t>
      </w:r>
      <w:r w:rsidR="00BF600D">
        <w:rPr>
          <w:szCs w:val="24"/>
        </w:rPr>
        <w:fldChar w:fldCharType="begin" w:fldLock="1"/>
      </w:r>
      <w:r w:rsidR="00BF600D">
        <w:rPr>
          <w:szCs w:val="24"/>
        </w:rPr>
        <w:instrText>ADDIN CSL_CITATION { "citationItems" : [ { "id" : "ITEM-1", "itemData" : { "DOI" : "10.1111/jace.12529", "ISSN" : "00027820", "author" : [ { "dropping-particle" : "", "family" : "Smedskjaer", "given" : "Morten M.", "non-dropping-particle" : "", "parse-names" : false, "suffix" : "" }, { "dropping-particle" : "", "family" : "Potuzak", "given" : "Marcel", "non-dropping-particle" : "", "parse-names" : false, "suffix" : "" } ], "container-title" : "Journal of the American Ceramic Society", "editor" : [ { "dropping-particle" : "", "family" : "Ching", "given" : "W.-Y.", "non-dropping-particle" : "", "parse-names" : false, "suffix" : "" } ], "id" : "ITEM-1", "issue" : "9", "issued" : { "date-parts" : [ [ "2013", "9", "17" ] ] }, "page" : "2831-2838", "title" : "Viscosity and Fragility of Alkaline-Earth Sodium Boroaluminosilicate Liquids", "type" : "article-journal", "volume" : "96" }, "uris" : [ "http://www.mendeley.com/documents/?uuid=04778052-8980-4744-b4c4-bcf85d21ff25" ] }, { "id" : "ITEM-2", "itemData" : { "author" : [ { "dropping-particle" : "", "family" : "Potuzak", "given" : "Marcel", "non-dropping-particle" : "", "parse-names" : false, "suffix" : "" }, { "dropping-particle" : "", "family" : "Smedskjaer", "given" : "Morten M", "non-dropping-particle" : "", "parse-names" : false, "suffix" : "" }, { "dropping-particle" : "", "family" : "Chemistry", "given" : "Section", "non-dropping-particle" : "", "parse-names" : false, "suffix" : "" }, { "dropping-particle" : "", "family" : "Aalborg", "given" : "Dk-", "non-dropping-particle" : "", "parse-names" : false, "suffix" : "" } ], "container-title" : "Phys. Chem. Glasses: Eur. J. Glass Sci. Technol. B", "id" : "ITEM-2", "issue" : "1", "issued" : { "date-parts" : [ [ "2014" ] ] }, "page" : "18-24", "title" : "Physical properties of boroaluminosilicate glasses : effect of modifier cation field strength", "type" : "article-journal", "volume" : "55" }, "uris" : [ "http://www.mendeley.com/documents/?uuid=305c255e-fdb7-45b9-b283-37da8b3809b3" ] } ], "mendeley" : { "formattedCitation" : "(Potuzak et al., 2014; Smedskjaer &amp; Potuzak, 2013)", "manualFormatting" : "(", "plainTextFormattedCitation" : "(Potuzak et al., 2014; Smedskjaer &amp; Potuzak, 2013)", "previouslyFormattedCitation" : "(Potuzak et al., 2014; Smedskjaer &amp; Potuzak, 2013)" }, "properties" : { "noteIndex" : 71 }, "schema" : "https://github.com/citation-style-language/schema/raw/master/csl-citation.json" }</w:instrText>
      </w:r>
      <w:r w:rsidR="00BF600D">
        <w:rPr>
          <w:szCs w:val="24"/>
        </w:rPr>
        <w:fldChar w:fldCharType="separate"/>
      </w:r>
      <w:r w:rsidR="00BF600D">
        <w:rPr>
          <w:noProof/>
          <w:szCs w:val="24"/>
        </w:rPr>
        <w:t>(</w:t>
      </w:r>
      <w:r w:rsidR="00BF600D">
        <w:rPr>
          <w:szCs w:val="24"/>
        </w:rPr>
        <w:fldChar w:fldCharType="end"/>
      </w:r>
      <w:r w:rsidR="00BF600D">
        <w:rPr>
          <w:szCs w:val="24"/>
        </w:rPr>
        <w:fldChar w:fldCharType="begin" w:fldLock="1"/>
      </w:r>
      <w:r w:rsidR="008400FF">
        <w:rPr>
          <w:szCs w:val="24"/>
        </w:rPr>
        <w:instrText>ADDIN CSL_CITATION { "citationItems" : [ { "id" : "ITEM-1", "itemData" : { "author" : [ { "dropping-particle" : "", "family" : "Potuzak", "given" : "Marcel", "non-dropping-particle" : "", "parse-names" : false, "suffix" : "" }, { "dropping-particle" : "", "family" : "Smedskjaer", "given" : "Morten M", "non-dropping-particle" : "", "parse-names" : false, "suffix" : "" }, { "dropping-particle" : "", "family" : "Chemistry", "given" : "Section", "non-dropping-particle" : "", "parse-names" : false, "suffix" : "" }, { "dropping-particle" : "", "family" : "Aalborg", "given" : "Dk-", "non-dropping-particle" : "", "parse-names" : false, "suffix" : "" } ], "container-title" : "Phys. Chem. Glasses: Eur. J. Glass Sci. Technol. B", "id" : "ITEM-1", "issue" : "1", "issued" : { "date-parts" : [ [ "2014" ] ] }, "page" : "18-24", "title" : "Physical properties of boroaluminosilicate glasses : effect of modifier cation field strength", "type" : "article-journal", "volume" : "55" }, "uris" : [ "http://www.mendeley.com/documents/?uuid=305c255e-fdb7-45b9-b283-37da8b3809b3" ] } ], "mendeley" : { "formattedCitation" : "(Potuzak et al., 2014)", "manualFormatting" : "Potuzak and Smedskjaer, 2014)", "plainTextFormattedCitation" : "(Potuzak et al., 2014)", "previouslyFormattedCitation" : "(Potuzak et al., 2014)" }, "properties" : { "noteIndex" : 70 }, "schema" : "https://github.com/citation-style-language/schema/raw/master/csl-citation.json" }</w:instrText>
      </w:r>
      <w:r w:rsidR="00BF600D">
        <w:rPr>
          <w:szCs w:val="24"/>
        </w:rPr>
        <w:fldChar w:fldCharType="separate"/>
      </w:r>
      <w:r w:rsidR="00BF600D">
        <w:rPr>
          <w:noProof/>
          <w:szCs w:val="24"/>
        </w:rPr>
        <w:t>Potuzak and Smedskjaer, 2014)</w:t>
      </w:r>
      <w:r w:rsidR="00BF600D">
        <w:rPr>
          <w:szCs w:val="24"/>
        </w:rPr>
        <w:fldChar w:fldCharType="end"/>
      </w:r>
      <w:r w:rsidR="00BF600D">
        <w:rPr>
          <w:szCs w:val="24"/>
        </w:rPr>
        <w:t xml:space="preserve">. (Continued on next page.) </w:t>
      </w:r>
    </w:p>
    <w:p w14:paraId="03648556" w14:textId="77777777" w:rsidR="00BF600D" w:rsidRDefault="00BF600D" w:rsidP="00BF600D">
      <w:pPr>
        <w:jc w:val="center"/>
        <w:rPr>
          <w:rFonts w:asciiTheme="minorHAnsi" w:hAnsiTheme="minorHAnsi"/>
          <w:sz w:val="22"/>
        </w:rPr>
      </w:pPr>
    </w:p>
    <w:p w14:paraId="425BF43B" w14:textId="0B909D63" w:rsidR="00BF600D" w:rsidRDefault="00BF600D" w:rsidP="00BF600D">
      <w:pPr>
        <w:jc w:val="center"/>
        <w:rPr>
          <w:rFonts w:asciiTheme="minorHAnsi" w:hAnsiTheme="minorHAnsi"/>
          <w:sz w:val="22"/>
        </w:rPr>
      </w:pPr>
      <w:r>
        <w:rPr>
          <w:noProof/>
          <w:lang w:eastAsia="en-MY"/>
        </w:rPr>
        <w:lastRenderedPageBreak/>
        <mc:AlternateContent>
          <mc:Choice Requires="wps">
            <w:drawing>
              <wp:anchor distT="0" distB="0" distL="114300" distR="114300" simplePos="0" relativeHeight="252529664" behindDoc="0" locked="0" layoutInCell="1" allowOverlap="1" wp14:anchorId="20B00196" wp14:editId="6E27E532">
                <wp:simplePos x="0" y="0"/>
                <wp:positionH relativeFrom="margin">
                  <wp:posOffset>565785</wp:posOffset>
                </wp:positionH>
                <wp:positionV relativeFrom="paragraph">
                  <wp:posOffset>4669790</wp:posOffset>
                </wp:positionV>
                <wp:extent cx="368300" cy="285115"/>
                <wp:effectExtent l="0" t="0" r="0" b="635"/>
                <wp:wrapNone/>
                <wp:docPr id="2249" name="Text Box 2249"/>
                <wp:cNvGraphicFramePr/>
                <a:graphic xmlns:a="http://schemas.openxmlformats.org/drawingml/2006/main">
                  <a:graphicData uri="http://schemas.microsoft.com/office/word/2010/wordprocessingShape">
                    <wps:wsp>
                      <wps:cNvSpPr txBox="1"/>
                      <wps:spPr>
                        <a:xfrm>
                          <a:off x="0" y="0"/>
                          <a:ext cx="367665" cy="284480"/>
                        </a:xfrm>
                        <a:prstGeom prst="rect">
                          <a:avLst/>
                        </a:prstGeom>
                        <a:noFill/>
                        <a:ln w="6350">
                          <a:noFill/>
                        </a:ln>
                      </wps:spPr>
                      <wps:txbx>
                        <w:txbxContent>
                          <w:p w14:paraId="3D72A10E" w14:textId="77777777" w:rsidR="00230AB9" w:rsidRDefault="00230AB9" w:rsidP="00BF600D">
                            <w:pPr>
                              <w:rPr>
                                <w:rFonts w:cs="Times New Roman"/>
                                <w:szCs w:val="24"/>
                              </w:rPr>
                            </w:pPr>
                            <w:r>
                              <w:rPr>
                                <w:rFonts w:cs="Times New Roman"/>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0B00196" id="Text Box 2249" o:spid="_x0000_s1362" type="#_x0000_t202" style="position:absolute;left:0;text-align:left;margin-left:44.55pt;margin-top:367.7pt;width:29pt;height:22.45pt;z-index:25252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" filled="f" stroked="f" strokeweight=".5pt">
                <v:textbox>
                  <w:txbxContent>
                    <w:p w14:paraId="3D72A10E" w14:textId="77777777" w:rsidR="00230AB9" w:rsidRDefault="00230AB9" w:rsidP="00BF600D">
                      <w:pPr>
                        <w:rPr>
                          <w:rFonts w:cs="Times New Roman"/>
                          <w:szCs w:val="24"/>
                        </w:rPr>
                      </w:pPr>
                      <w:r>
                        <w:rPr>
                          <w:rFonts w:cs="Times New Roman"/>
                          <w:szCs w:val="24"/>
                        </w:rPr>
                        <w:t>f)</w:t>
                      </w:r>
                    </w:p>
                  </w:txbxContent>
                </v:textbox>
                <w10:wrap anchorx="margin"/>
              </v:shape>
            </w:pict>
          </mc:Fallback>
        </mc:AlternateContent>
      </w:r>
      <w:r>
        <w:rPr>
          <w:noProof/>
          <w:lang w:eastAsia="en-MY"/>
        </w:rPr>
        <mc:AlternateContent>
          <mc:Choice Requires="wps">
            <w:drawing>
              <wp:anchor distT="0" distB="0" distL="114300" distR="114300" simplePos="0" relativeHeight="252528640" behindDoc="0" locked="0" layoutInCell="1" allowOverlap="1" wp14:anchorId="1B399CF4" wp14:editId="2CD64842">
                <wp:simplePos x="0" y="0"/>
                <wp:positionH relativeFrom="margin">
                  <wp:posOffset>893445</wp:posOffset>
                </wp:positionH>
                <wp:positionV relativeFrom="paragraph">
                  <wp:posOffset>27305</wp:posOffset>
                </wp:positionV>
                <wp:extent cx="368300" cy="285115"/>
                <wp:effectExtent l="0" t="0" r="0" b="635"/>
                <wp:wrapNone/>
                <wp:docPr id="2248" name="Text Box 2248"/>
                <wp:cNvGraphicFramePr/>
                <a:graphic xmlns:a="http://schemas.openxmlformats.org/drawingml/2006/main">
                  <a:graphicData uri="http://schemas.microsoft.com/office/word/2010/wordprocessingShape">
                    <wps:wsp>
                      <wps:cNvSpPr txBox="1"/>
                      <wps:spPr>
                        <a:xfrm>
                          <a:off x="0" y="0"/>
                          <a:ext cx="367665" cy="284480"/>
                        </a:xfrm>
                        <a:prstGeom prst="rect">
                          <a:avLst/>
                        </a:prstGeom>
                        <a:noFill/>
                        <a:ln w="6350">
                          <a:noFill/>
                        </a:ln>
                      </wps:spPr>
                      <wps:txbx>
                        <w:txbxContent>
                          <w:p w14:paraId="251D17A5" w14:textId="77777777" w:rsidR="00230AB9" w:rsidRDefault="00230AB9" w:rsidP="00BF600D">
                            <w:pPr>
                              <w:rPr>
                                <w:rFonts w:cs="Times New Roman"/>
                                <w:szCs w:val="24"/>
                              </w:rPr>
                            </w:pPr>
                            <w:r>
                              <w:rPr>
                                <w:rFonts w:cs="Times New Roman"/>
                                <w:szCs w:val="2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399CF4" id="Text Box 2248" o:spid="_x0000_s1363" type="#_x0000_t202" style="position:absolute;left:0;text-align:left;margin-left:70.35pt;margin-top:2.15pt;width:29pt;height:22.45pt;z-index:25252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" filled="f" stroked="f" strokeweight=".5pt">
                <v:textbox>
                  <w:txbxContent>
                    <w:p w14:paraId="251D17A5" w14:textId="77777777" w:rsidR="00230AB9" w:rsidRDefault="00230AB9" w:rsidP="00BF600D">
                      <w:pPr>
                        <w:rPr>
                          <w:rFonts w:cs="Times New Roman"/>
                          <w:szCs w:val="24"/>
                        </w:rPr>
                      </w:pPr>
                      <w:r>
                        <w:rPr>
                          <w:rFonts w:cs="Times New Roman"/>
                          <w:szCs w:val="24"/>
                        </w:rPr>
                        <w:t>e)</w:t>
                      </w:r>
                    </w:p>
                  </w:txbxContent>
                </v:textbox>
                <w10:wrap anchorx="margin"/>
              </v:shape>
            </w:pict>
          </mc:Fallback>
        </mc:AlternateContent>
      </w:r>
      <w:r>
        <w:rPr>
          <w:noProof/>
          <w:lang w:eastAsia="en-MY"/>
        </w:rPr>
        <w:drawing>
          <wp:inline distT="0" distB="0" distL="0" distR="0" wp14:anchorId="28CD01FF" wp14:editId="546BEB25">
            <wp:extent cx="4038600" cy="3962400"/>
            <wp:effectExtent l="0" t="0" r="0" b="0"/>
            <wp:docPr id="1472" name="Pictur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038600" cy="3962400"/>
                    </a:xfrm>
                    <a:prstGeom prst="rect">
                      <a:avLst/>
                    </a:prstGeom>
                    <a:noFill/>
                    <a:ln>
                      <a:noFill/>
                    </a:ln>
                  </pic:spPr>
                </pic:pic>
              </a:graphicData>
            </a:graphic>
          </wp:inline>
        </w:drawing>
      </w:r>
      <w:r>
        <w:rPr>
          <w:noProof/>
          <w:lang w:eastAsia="en-MY"/>
        </w:rPr>
        <w:drawing>
          <wp:inline distT="0" distB="0" distL="0" distR="0" wp14:anchorId="5BD24CF5" wp14:editId="41E0E9B2">
            <wp:extent cx="4267200" cy="36004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7"/>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267200" cy="3600450"/>
                    </a:xfrm>
                    <a:prstGeom prst="rect">
                      <a:avLst/>
                    </a:prstGeom>
                    <a:noFill/>
                    <a:ln>
                      <a:noFill/>
                    </a:ln>
                  </pic:spPr>
                </pic:pic>
              </a:graphicData>
            </a:graphic>
          </wp:inline>
        </w:drawing>
      </w:r>
    </w:p>
    <w:p w14:paraId="5CB559EB" w14:textId="0DAABB15" w:rsidR="00BF600D" w:rsidRDefault="00BF600D" w:rsidP="00BF600D">
      <w:pPr>
        <w:pStyle w:val="Caption"/>
        <w:rPr>
          <w:szCs w:val="24"/>
        </w:rPr>
      </w:pPr>
      <w:bookmarkStart w:id="843" w:name="_Hlk515396693"/>
      <w:bookmarkStart w:id="844" w:name="_Toc525706398"/>
      <w:bookmarkStart w:id="845" w:name="_Toc525528383"/>
      <w:bookmarkStart w:id="846" w:name="_Toc521420500"/>
      <w:r>
        <w:t xml:space="preserve">Figure </w:t>
      </w:r>
      <w:r w:rsidR="00AC2076">
        <w:t xml:space="preserve">4.33: </w:t>
      </w:r>
      <w:r>
        <w:t>Young’s modulus</w:t>
      </w:r>
      <w:r>
        <w:rPr>
          <w:szCs w:val="24"/>
        </w:rPr>
        <w:t>, shear modulus and bulk modulus of current work versus total charge balance a) current work and b) (76 -x)SiO</w:t>
      </w:r>
      <w:r>
        <w:rPr>
          <w:szCs w:val="24"/>
          <w:vertAlign w:val="subscript"/>
        </w:rPr>
        <w:t>2</w:t>
      </w:r>
      <w:r>
        <w:rPr>
          <w:szCs w:val="24"/>
        </w:rPr>
        <w:t xml:space="preserve"> . x Al</w:t>
      </w:r>
      <w:r>
        <w:rPr>
          <w:szCs w:val="24"/>
          <w:vertAlign w:val="subscript"/>
        </w:rPr>
        <w:t>2</w:t>
      </w:r>
      <w:r>
        <w:rPr>
          <w:szCs w:val="24"/>
        </w:rPr>
        <w:t>O</w:t>
      </w:r>
      <w:r>
        <w:rPr>
          <w:szCs w:val="24"/>
          <w:vertAlign w:val="subscript"/>
        </w:rPr>
        <w:t>3</w:t>
      </w:r>
      <w:r>
        <w:rPr>
          <w:szCs w:val="24"/>
        </w:rPr>
        <w:t xml:space="preserve"> . 6 B</w:t>
      </w:r>
      <w:r>
        <w:rPr>
          <w:szCs w:val="24"/>
          <w:vertAlign w:val="subscript"/>
        </w:rPr>
        <w:t>2</w:t>
      </w:r>
      <w:r>
        <w:rPr>
          <w:szCs w:val="24"/>
        </w:rPr>
        <w:t>O</w:t>
      </w:r>
      <w:r>
        <w:rPr>
          <w:szCs w:val="24"/>
          <w:vertAlign w:val="subscript"/>
        </w:rPr>
        <w:t>3</w:t>
      </w:r>
      <w:r>
        <w:rPr>
          <w:szCs w:val="24"/>
        </w:rPr>
        <w:t xml:space="preserve"> . 12 Na</w:t>
      </w:r>
      <w:r>
        <w:rPr>
          <w:szCs w:val="24"/>
          <w:vertAlign w:val="subscript"/>
        </w:rPr>
        <w:t>2</w:t>
      </w:r>
      <w:r>
        <w:rPr>
          <w:szCs w:val="24"/>
        </w:rPr>
        <w:t xml:space="preserve">O . 6 RO with x = 0, 3, 6, 9, 12, 15, 18, 21, and 24 for R = Mg, Ca, Sr, and Ba </w:t>
      </w:r>
      <w:r>
        <w:fldChar w:fldCharType="begin" w:fldLock="1"/>
      </w:r>
      <w:r>
        <w:rPr>
          <w:szCs w:val="24"/>
        </w:rPr>
        <w:instrText>ADDIN CSL_CITATION { "citationItems" : [ { "id" : "ITEM-1", "itemData" : { "DOI" : "10.1111/jace.12529", "ISSN" : "00027820", "author" : [ { "dropping-particle" : "", "family" : "Smedskjaer", "given" : "Morten M.", "non-dropping-particle" : "", "parse-names" : false, "suffix" : "" }, { "dropping-particle" : "", "family" : "Potuzak", "given" : "Marcel", "non-dropping-particle" : "", "parse-names" : false, "suffix" : "" } ], "container-title" : "Journal of the American Ceramic Society", "editor" : [ { "dropping-particle" : "", "family" : "Ching", "given" : "W.-Y.", "non-dropping-particle" : "", "parse-names" : false, "suffix" : "" } ], "id" : "ITEM-1", "issue" : "9", "issued" : { "date-parts" : [ [ "2013", "9", "17" ] ] }, "page" : "2831-2838", "title" : "Viscosity and Fragility of Alkaline-Earth Sodium Boroaluminosilicate Liquids", "type" : "article-journal", "volume" : "96" }, "uris" : [ "http://www.mendeley.com/documents/?uuid=04778052-8980-4744-b4c4-bcf85d21ff25" ] }, { "id" : "ITEM-2", "itemData" : { "author" : [ { "dropping-particle" : "", "family" : "Potuzak", "given" : "Marcel", "non-dropping-particle" : "", "parse-names" : false, "suffix" : "" }, { "dropping-particle" : "", "family" : "Smedskjaer", "given" : "Morten M", "non-dropping-particle" : "", "parse-names" : false, "suffix" : "" }, { "dropping-particle" : "", "family" : "Chemistry", "given" : "Section", "non-dropping-particle" : "", "parse-names" : false, "suffix" : "" }, { "dropping-particle" : "", "family" : "Aalborg", "given" : "Dk-", "non-dropping-particle" : "", "parse-names" : false, "suffix" : "" } ], "container-title" : "Phys. Chem. Glasses: Eur. J. Glass Sci. Technol. B", "id" : "ITEM-2", "issue" : "1", "issued" : { "date-parts" : [ [ "2014" ] ] }, "page" : "18-24", "title" : "Physical properties of boroaluminosilicate glasses : effect of modifier cation field strength", "type" : "article-journal", "volume" : "55" }, "uris" : [ "http://www.mendeley.com/documents/?uuid=305c255e-fdb7-45b9-b283-37da8b3809b3" ] } ], "mendeley" : { "formattedCitation" : "(Potuzak et al., 2014; Smedskjaer &amp; Potuzak, 2013)", "manualFormatting" : "(", "plainTextFormattedCitation" : "(Potuzak et al., 2014; Smedskjaer &amp; Potuzak, 2013)", "previouslyFormattedCitation" : "(Potuzak et al., 2014; Smedskjaer &amp; Potuzak, 2013)" }, "properties" : { "noteIndex" : 71 }, "schema" : "https://github.com/citation-style-language/schema/raw/master/csl-citation.json" }</w:instrText>
      </w:r>
      <w:r>
        <w:fldChar w:fldCharType="separate"/>
      </w:r>
      <w:r>
        <w:rPr>
          <w:noProof/>
          <w:szCs w:val="24"/>
        </w:rPr>
        <w:t>(</w:t>
      </w:r>
      <w:r>
        <w:fldChar w:fldCharType="end"/>
      </w:r>
      <w:r>
        <w:fldChar w:fldCharType="begin" w:fldLock="1"/>
      </w:r>
      <w:r w:rsidR="008400FF">
        <w:rPr>
          <w:szCs w:val="24"/>
        </w:rPr>
        <w:instrText>ADDIN CSL_CITATION { "citationItems" : [ { "id" : "ITEM-1", "itemData" : { "author" : [ { "dropping-particle" : "", "family" : "Potuzak", "given" : "Marcel", "non-dropping-particle" : "", "parse-names" : false, "suffix" : "" }, { "dropping-particle" : "", "family" : "Smedskjaer", "given" : "Morten M", "non-dropping-particle" : "", "parse-names" : false, "suffix" : "" }, { "dropping-particle" : "", "family" : "Chemistry", "given" : "Section", "non-dropping-particle" : "", "parse-names" : false, "suffix" : "" }, { "dropping-particle" : "", "family" : "Aalborg", "given" : "Dk-", "non-dropping-particle" : "", "parse-names" : false, "suffix" : "" } ], "container-title" : "Phys. Chem. Glasses: Eur. J. Glass Sci. Technol. B", "id" : "ITEM-1", "issue" : "1", "issued" : { "date-parts" : [ [ "2014" ] ] }, "page" : "18-24", "title" : "Physical properties of boroaluminosilicate glasses : effect of modifier cation field strength", "type" : "article-journal", "volume" : "55" }, "uris" : [ "http://www.mendeley.com/documents/?uuid=305c255e-fdb7-45b9-b283-37da8b3809b3" ] } ], "mendeley" : { "formattedCitation" : "(Potuzak et al., 2014)", "manualFormatting" : "Potuzak and Smedskjaer, 2014)", "plainTextFormattedCitation" : "(Potuzak et al., 2014)", "previouslyFormattedCitation" : "(Potuzak et al., 2014)" }, "properties" : { "noteIndex" : 70 }, "schema" : "https://github.com/citation-style-language/schema/raw/master/csl-citation.json" }</w:instrText>
      </w:r>
      <w:r>
        <w:fldChar w:fldCharType="separate"/>
      </w:r>
      <w:r>
        <w:rPr>
          <w:noProof/>
          <w:szCs w:val="24"/>
        </w:rPr>
        <w:t>Potuzak and Smedskjaer, 2014)</w:t>
      </w:r>
      <w:r>
        <w:fldChar w:fldCharType="end"/>
      </w:r>
      <w:bookmarkEnd w:id="843"/>
      <w:r>
        <w:rPr>
          <w:szCs w:val="24"/>
        </w:rPr>
        <w:t>.</w:t>
      </w:r>
      <w:bookmarkEnd w:id="844"/>
      <w:bookmarkEnd w:id="845"/>
      <w:bookmarkEnd w:id="846"/>
      <w:r>
        <w:rPr>
          <w:szCs w:val="24"/>
        </w:rPr>
        <w:t xml:space="preserve"> </w:t>
      </w:r>
    </w:p>
    <w:p w14:paraId="34476816" w14:textId="77777777" w:rsidR="00BF600D" w:rsidRDefault="00BF600D" w:rsidP="00BF600D">
      <w:pPr>
        <w:spacing w:after="0" w:line="360" w:lineRule="auto"/>
        <w:jc w:val="both"/>
        <w:rPr>
          <w:rFonts w:asciiTheme="minorHAnsi" w:hAnsiTheme="minorHAnsi"/>
          <w:b w:val="0"/>
          <w:sz w:val="22"/>
        </w:rPr>
      </w:pPr>
    </w:p>
    <w:p w14:paraId="3270D40F" w14:textId="6961B634" w:rsidR="00BF600D" w:rsidRDefault="00BF600D" w:rsidP="00BF600D">
      <w:pPr>
        <w:jc w:val="center"/>
        <w:rPr>
          <w:rFonts w:asciiTheme="minorHAnsi" w:hAnsiTheme="minorHAnsi"/>
          <w:sz w:val="22"/>
        </w:rPr>
      </w:pPr>
      <w:r>
        <w:rPr>
          <w:noProof/>
          <w:lang w:eastAsia="en-MY"/>
        </w:rPr>
        <w:lastRenderedPageBreak/>
        <mc:AlternateContent>
          <mc:Choice Requires="wps">
            <w:drawing>
              <wp:anchor distT="0" distB="0" distL="114300" distR="114300" simplePos="0" relativeHeight="252536832" behindDoc="0" locked="0" layoutInCell="1" allowOverlap="1" wp14:anchorId="0C46FEBB" wp14:editId="4E45DDFB">
                <wp:simplePos x="0" y="0"/>
                <wp:positionH relativeFrom="column">
                  <wp:posOffset>770255</wp:posOffset>
                </wp:positionH>
                <wp:positionV relativeFrom="paragraph">
                  <wp:posOffset>4026535</wp:posOffset>
                </wp:positionV>
                <wp:extent cx="417195" cy="279400"/>
                <wp:effectExtent l="0" t="0" r="0" b="6350"/>
                <wp:wrapNone/>
                <wp:docPr id="322" name="Text Box 322"/>
                <wp:cNvGraphicFramePr/>
                <a:graphic xmlns:a="http://schemas.openxmlformats.org/drawingml/2006/main">
                  <a:graphicData uri="http://schemas.microsoft.com/office/word/2010/wordprocessingShape">
                    <wps:wsp>
                      <wps:cNvSpPr txBox="1"/>
                      <wps:spPr>
                        <a:xfrm>
                          <a:off x="0" y="0"/>
                          <a:ext cx="416560" cy="279400"/>
                        </a:xfrm>
                        <a:prstGeom prst="rect">
                          <a:avLst/>
                        </a:prstGeom>
                        <a:noFill/>
                        <a:ln w="6350">
                          <a:noFill/>
                        </a:ln>
                      </wps:spPr>
                      <wps:txbx>
                        <w:txbxContent>
                          <w:p w14:paraId="4EAF6BC8" w14:textId="77777777" w:rsidR="00230AB9" w:rsidRDefault="00230AB9" w:rsidP="00BF600D">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C46FEBB" id="Text Box 322" o:spid="_x0000_s1364" type="#_x0000_t202" style="position:absolute;left:0;text-align:left;margin-left:60.65pt;margin-top:317.05pt;width:32.85pt;height:22pt;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" filled="f" stroked="f" strokeweight=".5pt">
                <v:textbox>
                  <w:txbxContent>
                    <w:p w14:paraId="4EAF6BC8" w14:textId="77777777" w:rsidR="00230AB9" w:rsidRDefault="00230AB9" w:rsidP="00BF600D">
                      <w:r>
                        <w:t>b)</w:t>
                      </w:r>
                    </w:p>
                  </w:txbxContent>
                </v:textbox>
              </v:shape>
            </w:pict>
          </mc:Fallback>
        </mc:AlternateContent>
      </w:r>
      <w:r>
        <w:rPr>
          <w:noProof/>
          <w:lang w:eastAsia="en-MY"/>
        </w:rPr>
        <mc:AlternateContent>
          <mc:Choice Requires="wps">
            <w:drawing>
              <wp:anchor distT="0" distB="0" distL="114300" distR="114300" simplePos="0" relativeHeight="252535808" behindDoc="0" locked="0" layoutInCell="1" allowOverlap="1" wp14:anchorId="1AA7075B" wp14:editId="74189D68">
                <wp:simplePos x="0" y="0"/>
                <wp:positionH relativeFrom="column">
                  <wp:posOffset>752475</wp:posOffset>
                </wp:positionH>
                <wp:positionV relativeFrom="paragraph">
                  <wp:posOffset>102870</wp:posOffset>
                </wp:positionV>
                <wp:extent cx="317500" cy="280035"/>
                <wp:effectExtent l="0" t="0" r="0" b="5715"/>
                <wp:wrapNone/>
                <wp:docPr id="321" name="Text Box 321"/>
                <wp:cNvGraphicFramePr/>
                <a:graphic xmlns:a="http://schemas.openxmlformats.org/drawingml/2006/main">
                  <a:graphicData uri="http://schemas.microsoft.com/office/word/2010/wordprocessingShape">
                    <wps:wsp>
                      <wps:cNvSpPr txBox="1"/>
                      <wps:spPr>
                        <a:xfrm>
                          <a:off x="0" y="0"/>
                          <a:ext cx="316865" cy="279400"/>
                        </a:xfrm>
                        <a:prstGeom prst="rect">
                          <a:avLst/>
                        </a:prstGeom>
                        <a:noFill/>
                        <a:ln w="6350">
                          <a:noFill/>
                        </a:ln>
                      </wps:spPr>
                      <wps:txbx>
                        <w:txbxContent>
                          <w:p w14:paraId="740CE160" w14:textId="77777777" w:rsidR="00230AB9" w:rsidRDefault="00230AB9" w:rsidP="00BF600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AA7075B" id="Text Box 321" o:spid="_x0000_s1365" type="#_x0000_t202" style="position:absolute;left:0;text-align:left;margin-left:59.25pt;margin-top:8.1pt;width:25pt;height:22.05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" filled="f" stroked="f" strokeweight=".5pt">
                <v:textbox>
                  <w:txbxContent>
                    <w:p w14:paraId="740CE160" w14:textId="77777777" w:rsidR="00230AB9" w:rsidRDefault="00230AB9" w:rsidP="00BF600D">
                      <w:r>
                        <w:t>a)</w:t>
                      </w:r>
                    </w:p>
                  </w:txbxContent>
                </v:textbox>
              </v:shape>
            </w:pict>
          </mc:Fallback>
        </mc:AlternateContent>
      </w:r>
      <w:r>
        <w:rPr>
          <w:noProof/>
          <w:lang w:eastAsia="en-MY"/>
        </w:rPr>
        <w:drawing>
          <wp:inline distT="0" distB="0" distL="0" distR="0" wp14:anchorId="2DDF2B1F" wp14:editId="49E3F22A">
            <wp:extent cx="4133850" cy="39624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5"/>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133850" cy="3962400"/>
                    </a:xfrm>
                    <a:prstGeom prst="rect">
                      <a:avLst/>
                    </a:prstGeom>
                    <a:noFill/>
                    <a:ln>
                      <a:noFill/>
                    </a:ln>
                  </pic:spPr>
                </pic:pic>
              </a:graphicData>
            </a:graphic>
          </wp:inline>
        </w:drawing>
      </w:r>
      <w:r>
        <w:rPr>
          <w:noProof/>
        </w:rPr>
        <w:t xml:space="preserve"> </w:t>
      </w:r>
      <w:r>
        <w:rPr>
          <w:noProof/>
          <w:lang w:eastAsia="en-MY"/>
        </w:rPr>
        <w:drawing>
          <wp:inline distT="0" distB="0" distL="0" distR="0" wp14:anchorId="65860F1D" wp14:editId="55DC94B1">
            <wp:extent cx="4067175" cy="3962400"/>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067175" cy="3962400"/>
                    </a:xfrm>
                    <a:prstGeom prst="rect">
                      <a:avLst/>
                    </a:prstGeom>
                    <a:noFill/>
                    <a:ln>
                      <a:noFill/>
                    </a:ln>
                  </pic:spPr>
                </pic:pic>
              </a:graphicData>
            </a:graphic>
          </wp:inline>
        </w:drawing>
      </w:r>
    </w:p>
    <w:p w14:paraId="2D84028A" w14:textId="7D5A5794" w:rsidR="00BF600D" w:rsidRDefault="00BF600D" w:rsidP="00BF600D">
      <w:pPr>
        <w:pStyle w:val="Caption"/>
        <w:spacing w:after="0"/>
        <w:rPr>
          <w:szCs w:val="24"/>
        </w:rPr>
      </w:pPr>
      <w:bookmarkStart w:id="847" w:name="_Toc525528384"/>
      <w:bookmarkStart w:id="848" w:name="_Toc525706399"/>
      <w:r>
        <w:t xml:space="preserve">Figure </w:t>
      </w:r>
      <w:r w:rsidR="00AC2076">
        <w:t>4.34:</w:t>
      </w:r>
      <w:r>
        <w:t xml:space="preserve"> a)</w:t>
      </w:r>
      <w:r>
        <w:rPr>
          <w:szCs w:val="24"/>
        </w:rPr>
        <w:t xml:space="preserve"> Poisson’s ratio and b) indentation hardness versus total charge balance</w:t>
      </w:r>
      <w:bookmarkEnd w:id="847"/>
      <w:r>
        <w:rPr>
          <w:szCs w:val="24"/>
        </w:rPr>
        <w:t>.</w:t>
      </w:r>
      <w:bookmarkEnd w:id="848"/>
      <w:r>
        <w:rPr>
          <w:szCs w:val="24"/>
        </w:rPr>
        <w:t xml:space="preserve"> </w:t>
      </w:r>
    </w:p>
    <w:p w14:paraId="3C623FB9" w14:textId="77777777" w:rsidR="00BF600D" w:rsidRDefault="00BF600D" w:rsidP="00BF600D">
      <w:pPr>
        <w:spacing w:after="0" w:line="360" w:lineRule="auto"/>
        <w:jc w:val="both"/>
        <w:rPr>
          <w:rFonts w:eastAsia="Calibri" w:cs="Times New Roman"/>
          <w:b w:val="0"/>
          <w:szCs w:val="24"/>
        </w:rPr>
      </w:pPr>
    </w:p>
    <w:p w14:paraId="20338303" w14:textId="65812894" w:rsidR="00BF600D" w:rsidRDefault="00BF600D" w:rsidP="00BF600D">
      <w:pPr>
        <w:spacing w:line="360" w:lineRule="auto"/>
        <w:jc w:val="both"/>
        <w:rPr>
          <w:rFonts w:asciiTheme="minorHAnsi" w:hAnsiTheme="minorHAnsi"/>
          <w:sz w:val="22"/>
        </w:rPr>
      </w:pPr>
      <w:r>
        <w:rPr>
          <w:rFonts w:eastAsia="Calibri" w:cs="Times New Roman"/>
          <w:b w:val="0"/>
          <w:szCs w:val="24"/>
        </w:rPr>
        <w:lastRenderedPageBreak/>
        <w:t xml:space="preserve">The value of Poisson’s ratio is ~0.24 for most of the compositions studied (Figure 4.34a), although the values for the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7.6</w:t>
      </w:r>
      <w:r>
        <w:rPr>
          <w:rFonts w:eastAsia="Times New Roman" w:cs="Times New Roman"/>
          <w:b w:val="0"/>
          <w:color w:val="000000"/>
          <w:szCs w:val="24"/>
          <w:lang w:eastAsia="en-MY"/>
        </w:rPr>
        <w:t>M</w:t>
      </w:r>
      <w:r>
        <w:rPr>
          <w:rFonts w:eastAsia="Times New Roman" w:cs="Times New Roman"/>
          <w:b w:val="0"/>
          <w:color w:val="000000"/>
          <w:szCs w:val="24"/>
          <w:vertAlign w:val="subscript"/>
          <w:lang w:eastAsia="en-MY"/>
        </w:rPr>
        <w:t>1.1</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3</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7.6</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80.7-x</w:t>
      </w:r>
      <w:r>
        <w:rPr>
          <w:rFonts w:eastAsia="Times New Roman" w:cs="Times New Roman"/>
          <w:color w:val="000000"/>
          <w:sz w:val="16"/>
          <w:szCs w:val="16"/>
          <w:lang w:eastAsia="en-MY"/>
        </w:rPr>
        <w:t xml:space="preserve"> </w:t>
      </w:r>
      <w:r>
        <w:rPr>
          <w:rFonts w:eastAsia="Calibri" w:cs="Times New Roman"/>
          <w:b w:val="0"/>
          <w:szCs w:val="24"/>
        </w:rPr>
        <w:t xml:space="preserve">glasses were notably lower and the hardness exhibited similar behaviour to Young’s modulus which increased with increasing network modifier. For the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20-x</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 xml:space="preserve">60 </w:t>
      </w:r>
      <w:r>
        <w:rPr>
          <w:rFonts w:eastAsia="Calibri" w:cs="Times New Roman"/>
          <w:b w:val="0"/>
          <w:szCs w:val="24"/>
        </w:rPr>
        <w:t xml:space="preserve">glasses the sample with </w:t>
      </w:r>
      <w:r w:rsidR="008C4D01">
        <w:rPr>
          <w:rFonts w:eastAsia="Calibri" w:cs="Times New Roman"/>
          <w:b w:val="0"/>
          <w:szCs w:val="24"/>
        </w:rPr>
        <w:t xml:space="preserve">the </w:t>
      </w:r>
      <w:r>
        <w:rPr>
          <w:rFonts w:eastAsia="Calibri" w:cs="Times New Roman"/>
          <w:b w:val="0"/>
          <w:szCs w:val="24"/>
        </w:rPr>
        <w:t xml:space="preserve">highest alumina,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60</w:t>
      </w:r>
      <w:r>
        <w:rPr>
          <w:rFonts w:eastAsia="Calibri" w:cs="Times New Roman"/>
          <w:b w:val="0"/>
          <w:szCs w:val="24"/>
          <w:vertAlign w:val="subscript"/>
        </w:rPr>
        <w:t xml:space="preserve"> </w:t>
      </w:r>
      <w:r>
        <w:rPr>
          <w:rFonts w:eastAsia="Calibri" w:cs="Times New Roman"/>
          <w:b w:val="0"/>
          <w:szCs w:val="24"/>
        </w:rPr>
        <w:t xml:space="preserve">has the highest hardness value followed by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 xml:space="preserve">60 </w:t>
      </w:r>
      <w:r>
        <w:rPr>
          <w:rFonts w:eastAsia="Calibri" w:cs="Times New Roman"/>
          <w:b w:val="0"/>
          <w:szCs w:val="24"/>
        </w:rPr>
        <w:t xml:space="preserve">and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 xml:space="preserve">60 </w:t>
      </w:r>
      <w:r>
        <w:rPr>
          <w:rFonts w:eastAsia="Times New Roman" w:cs="Times New Roman"/>
          <w:b w:val="0"/>
          <w:color w:val="000000"/>
          <w:szCs w:val="24"/>
          <w:lang w:eastAsia="en-MY"/>
        </w:rPr>
        <w:t>(Figure 4.34b)</w:t>
      </w:r>
      <w:r>
        <w:rPr>
          <w:rFonts w:eastAsia="Calibri" w:cs="Times New Roman"/>
          <w:b w:val="0"/>
          <w:szCs w:val="24"/>
        </w:rPr>
        <w:t xml:space="preserve">. </w:t>
      </w:r>
    </w:p>
    <w:p w14:paraId="7335C5A8" w14:textId="77777777" w:rsidR="00BF600D" w:rsidRDefault="00BF600D" w:rsidP="00BF600D">
      <w:pPr>
        <w:spacing w:line="360" w:lineRule="auto"/>
        <w:jc w:val="both"/>
        <w:rPr>
          <w:rFonts w:eastAsia="Calibri" w:cs="Times New Roman"/>
          <w:szCs w:val="24"/>
        </w:rPr>
      </w:pPr>
      <w:r>
        <w:rPr>
          <w:rFonts w:eastAsia="Calibri" w:cs="Times New Roman"/>
          <w:szCs w:val="24"/>
        </w:rPr>
        <w:t>4.7 Summary</w:t>
      </w:r>
    </w:p>
    <w:p w14:paraId="70ECA761" w14:textId="77777777" w:rsidR="00BF600D" w:rsidRDefault="00BF600D" w:rsidP="00BF600D">
      <w:pPr>
        <w:spacing w:line="360" w:lineRule="auto"/>
        <w:jc w:val="both"/>
        <w:rPr>
          <w:rFonts w:eastAsia="Calibri" w:cs="Times New Roman"/>
          <w:b w:val="0"/>
          <w:szCs w:val="24"/>
        </w:rPr>
      </w:pPr>
      <w:r>
        <w:rPr>
          <w:rFonts w:eastAsia="Calibri" w:cs="Times New Roman"/>
          <w:b w:val="0"/>
          <w:szCs w:val="24"/>
        </w:rPr>
        <w:t>Overall, consideration of the network charge balance highlights some trends in the physical or mechanical properties with composition.  With increasing network charge balance;</w:t>
      </w:r>
    </w:p>
    <w:p w14:paraId="41DE1D10" w14:textId="2159F5EF" w:rsidR="00BF600D" w:rsidRDefault="00BF600D" w:rsidP="00BF600D">
      <w:pPr>
        <w:pStyle w:val="ListParagraph"/>
        <w:numPr>
          <w:ilvl w:val="0"/>
          <w:numId w:val="33"/>
        </w:numPr>
        <w:spacing w:line="360" w:lineRule="auto"/>
        <w:jc w:val="both"/>
        <w:rPr>
          <w:rFonts w:eastAsia="Calibri" w:cs="Times New Roman"/>
          <w:b w:val="0"/>
          <w:szCs w:val="24"/>
        </w:rPr>
      </w:pPr>
      <w:r>
        <w:rPr>
          <w:rFonts w:eastAsia="Calibri" w:cs="Times New Roman"/>
          <w:b w:val="0"/>
          <w:szCs w:val="24"/>
        </w:rPr>
        <w:t>The glass transition temperature decreases until the charge balance reaches 0. However</w:t>
      </w:r>
      <w:r w:rsidR="008C4D01">
        <w:rPr>
          <w:rFonts w:eastAsia="Calibri" w:cs="Times New Roman"/>
          <w:b w:val="0"/>
          <w:szCs w:val="24"/>
        </w:rPr>
        <w:t>,</w:t>
      </w:r>
      <w:r>
        <w:rPr>
          <w:rFonts w:eastAsia="Calibri" w:cs="Times New Roman"/>
          <w:b w:val="0"/>
          <w:szCs w:val="24"/>
        </w:rPr>
        <w:t xml:space="preserve"> when the charge balance &gt;0, there is no obvious further change in </w:t>
      </w:r>
      <w:proofErr w:type="spellStart"/>
      <w:r>
        <w:rPr>
          <w:rFonts w:eastAsia="Calibri" w:cs="Times New Roman"/>
          <w:b w:val="0"/>
          <w:szCs w:val="24"/>
        </w:rPr>
        <w:t>T</w:t>
      </w:r>
      <w:r>
        <w:rPr>
          <w:rFonts w:eastAsia="Calibri" w:cs="Times New Roman"/>
          <w:b w:val="0"/>
          <w:i/>
          <w:szCs w:val="24"/>
          <w:vertAlign w:val="subscript"/>
        </w:rPr>
        <w:t>g</w:t>
      </w:r>
      <w:proofErr w:type="spellEnd"/>
      <w:r>
        <w:rPr>
          <w:rFonts w:eastAsia="Calibri" w:cs="Times New Roman"/>
          <w:b w:val="0"/>
          <w:szCs w:val="24"/>
        </w:rPr>
        <w:t xml:space="preserve"> with increasing network charge balance.</w:t>
      </w:r>
    </w:p>
    <w:p w14:paraId="010DCD27" w14:textId="77777777" w:rsidR="00BF600D" w:rsidRDefault="00BF600D" w:rsidP="00BF600D">
      <w:pPr>
        <w:pStyle w:val="ListParagraph"/>
        <w:numPr>
          <w:ilvl w:val="0"/>
          <w:numId w:val="33"/>
        </w:numPr>
        <w:spacing w:line="360" w:lineRule="auto"/>
        <w:jc w:val="both"/>
        <w:rPr>
          <w:rFonts w:eastAsia="Calibri" w:cs="Times New Roman"/>
          <w:b w:val="0"/>
          <w:szCs w:val="24"/>
        </w:rPr>
      </w:pPr>
      <w:r>
        <w:rPr>
          <w:rFonts w:eastAsia="Calibri" w:cs="Times New Roman"/>
          <w:b w:val="0"/>
          <w:szCs w:val="24"/>
        </w:rPr>
        <w:t>The density increases and the molar volume decreases.</w:t>
      </w:r>
    </w:p>
    <w:p w14:paraId="0983F895" w14:textId="15931879" w:rsidR="00BF600D" w:rsidRDefault="00BF600D" w:rsidP="00BF600D">
      <w:pPr>
        <w:pStyle w:val="ListParagraph"/>
        <w:numPr>
          <w:ilvl w:val="0"/>
          <w:numId w:val="33"/>
        </w:numPr>
        <w:spacing w:line="360" w:lineRule="auto"/>
        <w:jc w:val="both"/>
        <w:rPr>
          <w:rFonts w:eastAsia="Calibri" w:cs="Times New Roman"/>
          <w:b w:val="0"/>
          <w:szCs w:val="24"/>
        </w:rPr>
      </w:pPr>
      <w:r>
        <w:rPr>
          <w:rFonts w:eastAsia="Calibri" w:cs="Times New Roman"/>
          <w:b w:val="0"/>
          <w:szCs w:val="24"/>
        </w:rPr>
        <w:t xml:space="preserve">Polymerisation index becomes reduced. </w:t>
      </w:r>
    </w:p>
    <w:p w14:paraId="26E43470" w14:textId="77777777" w:rsidR="00BF600D" w:rsidRDefault="00BF600D" w:rsidP="00BF600D">
      <w:pPr>
        <w:pStyle w:val="ListParagraph"/>
        <w:numPr>
          <w:ilvl w:val="0"/>
          <w:numId w:val="33"/>
        </w:numPr>
        <w:spacing w:line="360" w:lineRule="auto"/>
        <w:jc w:val="both"/>
        <w:rPr>
          <w:rFonts w:eastAsia="Calibri" w:cs="Times New Roman"/>
          <w:b w:val="0"/>
          <w:szCs w:val="24"/>
        </w:rPr>
      </w:pPr>
      <w:r>
        <w:rPr>
          <w:rFonts w:eastAsia="Calibri" w:cs="Times New Roman"/>
          <w:b w:val="0"/>
          <w:szCs w:val="24"/>
        </w:rPr>
        <w:t xml:space="preserve">All moduli are increased and the </w:t>
      </w:r>
      <w:proofErr w:type="spellStart"/>
      <w:r>
        <w:rPr>
          <w:rFonts w:eastAsia="Calibri" w:cs="Times New Roman"/>
          <w:b w:val="0"/>
          <w:szCs w:val="24"/>
        </w:rPr>
        <w:t>hardnesses</w:t>
      </w:r>
      <w:proofErr w:type="spellEnd"/>
      <w:r>
        <w:rPr>
          <w:rFonts w:eastAsia="Calibri" w:cs="Times New Roman"/>
          <w:b w:val="0"/>
          <w:szCs w:val="24"/>
        </w:rPr>
        <w:t xml:space="preserve"> are also increased.</w:t>
      </w:r>
    </w:p>
    <w:p w14:paraId="1BBC7688" w14:textId="77777777" w:rsidR="00BF600D" w:rsidRDefault="00BF600D" w:rsidP="00BF600D">
      <w:pPr>
        <w:spacing w:line="360" w:lineRule="auto"/>
        <w:jc w:val="both"/>
        <w:rPr>
          <w:rFonts w:eastAsia="Calibri" w:cs="Times New Roman"/>
          <w:b w:val="0"/>
          <w:szCs w:val="24"/>
        </w:rPr>
      </w:pPr>
    </w:p>
    <w:p w14:paraId="281C0654" w14:textId="77777777" w:rsidR="00BF600D" w:rsidRDefault="00BF600D" w:rsidP="00BF600D">
      <w:pPr>
        <w:spacing w:line="360" w:lineRule="auto"/>
        <w:jc w:val="both"/>
        <w:rPr>
          <w:rFonts w:eastAsia="Calibri" w:cs="Times New Roman"/>
          <w:b w:val="0"/>
          <w:szCs w:val="24"/>
        </w:rPr>
      </w:pPr>
    </w:p>
    <w:p w14:paraId="562B8836" w14:textId="77777777" w:rsidR="00BF600D" w:rsidRDefault="00BF600D" w:rsidP="00BF600D">
      <w:pPr>
        <w:spacing w:line="360" w:lineRule="auto"/>
        <w:jc w:val="both"/>
        <w:rPr>
          <w:rFonts w:eastAsia="Calibri" w:cs="Times New Roman"/>
          <w:b w:val="0"/>
          <w:szCs w:val="24"/>
        </w:rPr>
      </w:pPr>
    </w:p>
    <w:p w14:paraId="5F1570F2" w14:textId="77777777" w:rsidR="00BF600D" w:rsidRDefault="00BF600D" w:rsidP="00BF600D">
      <w:pPr>
        <w:spacing w:line="360" w:lineRule="auto"/>
        <w:jc w:val="both"/>
        <w:rPr>
          <w:rFonts w:eastAsia="Calibri" w:cs="Times New Roman"/>
          <w:b w:val="0"/>
          <w:szCs w:val="24"/>
        </w:rPr>
      </w:pPr>
    </w:p>
    <w:p w14:paraId="549AD6AB" w14:textId="77777777" w:rsidR="00BF600D" w:rsidRDefault="00BF600D" w:rsidP="00BF600D">
      <w:pPr>
        <w:spacing w:line="360" w:lineRule="auto"/>
        <w:jc w:val="both"/>
        <w:rPr>
          <w:rFonts w:eastAsia="Calibri" w:cs="Times New Roman"/>
          <w:b w:val="0"/>
          <w:szCs w:val="24"/>
        </w:rPr>
      </w:pPr>
    </w:p>
    <w:p w14:paraId="532A4765" w14:textId="77777777" w:rsidR="00BF600D" w:rsidRDefault="00BF600D" w:rsidP="00BF600D">
      <w:pPr>
        <w:spacing w:line="360" w:lineRule="auto"/>
        <w:jc w:val="both"/>
        <w:rPr>
          <w:rFonts w:eastAsia="Calibri" w:cs="Times New Roman"/>
          <w:b w:val="0"/>
          <w:szCs w:val="24"/>
        </w:rPr>
      </w:pPr>
    </w:p>
    <w:p w14:paraId="1801CF67" w14:textId="77777777" w:rsidR="00BF600D" w:rsidRDefault="00BF600D" w:rsidP="00BF600D">
      <w:pPr>
        <w:spacing w:line="360" w:lineRule="auto"/>
        <w:jc w:val="both"/>
        <w:rPr>
          <w:rFonts w:eastAsia="Calibri" w:cs="Times New Roman"/>
          <w:b w:val="0"/>
          <w:szCs w:val="24"/>
        </w:rPr>
      </w:pPr>
    </w:p>
    <w:p w14:paraId="187E5080" w14:textId="77777777" w:rsidR="00BF600D" w:rsidRDefault="00BF600D" w:rsidP="00BF600D">
      <w:pPr>
        <w:spacing w:line="360" w:lineRule="auto"/>
        <w:jc w:val="both"/>
        <w:rPr>
          <w:rFonts w:eastAsia="Calibri" w:cs="Times New Roman"/>
          <w:b w:val="0"/>
          <w:szCs w:val="24"/>
        </w:rPr>
      </w:pPr>
    </w:p>
    <w:p w14:paraId="40E30D2D" w14:textId="77777777" w:rsidR="00BF600D" w:rsidRDefault="00BF600D" w:rsidP="00BF600D">
      <w:pPr>
        <w:pStyle w:val="Heading1"/>
      </w:pPr>
      <w:bookmarkStart w:id="849" w:name="_Toc525742538"/>
      <w:bookmarkStart w:id="850" w:name="_Toc525707873"/>
      <w:bookmarkStart w:id="851" w:name="_Toc525526448"/>
      <w:bookmarkStart w:id="852" w:name="_Toc523402937"/>
      <w:bookmarkStart w:id="853" w:name="_Toc12994973"/>
      <w:bookmarkStart w:id="854" w:name="_Hlk508278411"/>
      <w:r>
        <w:lastRenderedPageBreak/>
        <w:t>CHAPTER 5</w:t>
      </w:r>
      <w:bookmarkEnd w:id="849"/>
      <w:bookmarkEnd w:id="850"/>
      <w:bookmarkEnd w:id="851"/>
      <w:bookmarkEnd w:id="852"/>
      <w:bookmarkEnd w:id="853"/>
    </w:p>
    <w:p w14:paraId="617D468C" w14:textId="77777777" w:rsidR="00BF600D" w:rsidRDefault="00BF600D" w:rsidP="00BF600D">
      <w:pPr>
        <w:keepNext/>
        <w:keepLines/>
        <w:spacing w:before="480" w:after="480" w:line="360" w:lineRule="auto"/>
        <w:jc w:val="center"/>
        <w:outlineLvl w:val="1"/>
        <w:rPr>
          <w:rFonts w:eastAsia="Calibri" w:cs="Times New Roman"/>
          <w:caps/>
          <w:color w:val="000000" w:themeColor="text1"/>
          <w:szCs w:val="24"/>
        </w:rPr>
      </w:pPr>
      <w:bookmarkStart w:id="855" w:name="_Toc525742539"/>
      <w:bookmarkStart w:id="856" w:name="_Toc525707874"/>
      <w:bookmarkStart w:id="857" w:name="_Toc525526449"/>
      <w:bookmarkStart w:id="858" w:name="_Toc523402938"/>
      <w:bookmarkStart w:id="859" w:name="_Toc515398739"/>
      <w:bookmarkStart w:id="860" w:name="_Toc12994974"/>
      <w:r>
        <w:rPr>
          <w:rFonts w:eastAsia="Calibri" w:cs="Times New Roman"/>
          <w:caps/>
          <w:color w:val="000000" w:themeColor="text1"/>
          <w:szCs w:val="24"/>
        </w:rPr>
        <w:t>DISCUSSION</w:t>
      </w:r>
      <w:bookmarkEnd w:id="855"/>
      <w:bookmarkEnd w:id="856"/>
      <w:bookmarkEnd w:id="857"/>
      <w:bookmarkEnd w:id="858"/>
      <w:bookmarkEnd w:id="859"/>
      <w:bookmarkEnd w:id="860"/>
    </w:p>
    <w:p w14:paraId="1E08427A" w14:textId="702CE2BE" w:rsidR="00BF600D" w:rsidRDefault="00BF600D" w:rsidP="00BF600D">
      <w:pPr>
        <w:spacing w:line="360" w:lineRule="auto"/>
        <w:jc w:val="both"/>
        <w:rPr>
          <w:b w:val="0"/>
        </w:rPr>
      </w:pPr>
      <w:r>
        <w:rPr>
          <w:b w:val="0"/>
        </w:rPr>
        <w:t xml:space="preserve">This chapter discusses the structure-properties relationships with </w:t>
      </w:r>
      <w:r w:rsidR="008C4D01">
        <w:rPr>
          <w:b w:val="0"/>
        </w:rPr>
        <w:t xml:space="preserve">the </w:t>
      </w:r>
      <w:r>
        <w:rPr>
          <w:b w:val="0"/>
        </w:rPr>
        <w:t>composition of the boroaluminosilicate glasses produced in this work. Relevant literature on boroaluminosilicate glasses is used in the discussion for comparison.</w:t>
      </w:r>
    </w:p>
    <w:p w14:paraId="3DEAFF16" w14:textId="77777777" w:rsidR="00BF600D" w:rsidRDefault="00BF600D" w:rsidP="00BF600D">
      <w:pPr>
        <w:keepNext/>
        <w:keepLines/>
        <w:spacing w:before="40" w:after="0" w:line="360" w:lineRule="auto"/>
        <w:jc w:val="both"/>
        <w:outlineLvl w:val="2"/>
        <w:rPr>
          <w:rFonts w:eastAsiaTheme="majorEastAsia" w:cstheme="majorBidi"/>
          <w:color w:val="000000" w:themeColor="text1"/>
          <w:szCs w:val="24"/>
        </w:rPr>
      </w:pPr>
      <w:bookmarkStart w:id="861" w:name="_Toc525742540"/>
      <w:bookmarkStart w:id="862" w:name="_Toc525707875"/>
      <w:bookmarkStart w:id="863" w:name="_Toc525526450"/>
      <w:bookmarkStart w:id="864" w:name="_Toc523402939"/>
      <w:bookmarkStart w:id="865" w:name="_Toc515398740"/>
      <w:bookmarkStart w:id="866" w:name="_Toc12994975"/>
      <w:r>
        <w:rPr>
          <w:rFonts w:eastAsiaTheme="majorEastAsia" w:cstheme="majorBidi"/>
          <w:color w:val="000000" w:themeColor="text1"/>
          <w:szCs w:val="24"/>
        </w:rPr>
        <w:t>5.1  Correlation between composition and properties</w:t>
      </w:r>
      <w:bookmarkEnd w:id="861"/>
      <w:bookmarkEnd w:id="862"/>
      <w:bookmarkEnd w:id="863"/>
      <w:bookmarkEnd w:id="864"/>
      <w:bookmarkEnd w:id="865"/>
      <w:bookmarkEnd w:id="866"/>
    </w:p>
    <w:p w14:paraId="7B48D4BE" w14:textId="77777777" w:rsidR="00BF600D" w:rsidRDefault="00BF600D" w:rsidP="00BF600D">
      <w:pPr>
        <w:jc w:val="center"/>
        <w:rPr>
          <w:rFonts w:cs="Times New Roman"/>
          <w:szCs w:val="24"/>
        </w:rPr>
      </w:pPr>
    </w:p>
    <w:p w14:paraId="3416707D" w14:textId="49EFB6D7" w:rsidR="00BF600D" w:rsidRDefault="00BF600D" w:rsidP="00BF600D">
      <w:pPr>
        <w:jc w:val="center"/>
      </w:pPr>
      <w:r>
        <w:rPr>
          <w:noProof/>
          <w:lang w:eastAsia="en-MY"/>
        </w:rPr>
        <mc:AlternateContent>
          <mc:Choice Requires="wps">
            <w:drawing>
              <wp:anchor distT="0" distB="0" distL="114300" distR="114300" simplePos="0" relativeHeight="252537856" behindDoc="0" locked="0" layoutInCell="1" allowOverlap="1" wp14:anchorId="14D1E31C" wp14:editId="5B398D54">
                <wp:simplePos x="0" y="0"/>
                <wp:positionH relativeFrom="margin">
                  <wp:posOffset>755650</wp:posOffset>
                </wp:positionH>
                <wp:positionV relativeFrom="paragraph">
                  <wp:posOffset>231775</wp:posOffset>
                </wp:positionV>
                <wp:extent cx="340360" cy="311150"/>
                <wp:effectExtent l="0" t="0" r="2540" b="0"/>
                <wp:wrapNone/>
                <wp:docPr id="1663" name="Text Box 1663"/>
                <wp:cNvGraphicFramePr/>
                <a:graphic xmlns:a="http://schemas.openxmlformats.org/drawingml/2006/main">
                  <a:graphicData uri="http://schemas.microsoft.com/office/word/2010/wordprocessingShape">
                    <wps:wsp>
                      <wps:cNvSpPr txBox="1"/>
                      <wps:spPr>
                        <a:xfrm>
                          <a:off x="0" y="0"/>
                          <a:ext cx="340360" cy="311150"/>
                        </a:xfrm>
                        <a:prstGeom prst="rect">
                          <a:avLst/>
                        </a:prstGeom>
                        <a:solidFill>
                          <a:sysClr val="window" lastClr="FFFFFF"/>
                        </a:solidFill>
                        <a:ln w="6350">
                          <a:noFill/>
                        </a:ln>
                      </wps:spPr>
                      <wps:txbx>
                        <w:txbxContent>
                          <w:p w14:paraId="00EC13AD" w14:textId="77777777" w:rsidR="00230AB9" w:rsidRDefault="00230AB9" w:rsidP="00BF600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1E31C" id="Text Box 1663" o:spid="_x0000_s1366" type="#_x0000_t202" style="position:absolute;left:0;text-align:left;margin-left:59.5pt;margin-top:18.25pt;width:26.8pt;height:24.5pt;z-index:25253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" fillcolor="window" stroked="f" strokeweight=".5pt">
                <v:textbox>
                  <w:txbxContent>
                    <w:p w14:paraId="00EC13AD" w14:textId="77777777" w:rsidR="00230AB9" w:rsidRDefault="00230AB9" w:rsidP="00BF600D">
                      <w:r>
                        <w:t>a)</w:t>
                      </w:r>
                    </w:p>
                  </w:txbxContent>
                </v:textbox>
                <w10:wrap anchorx="margin"/>
              </v:shape>
            </w:pict>
          </mc:Fallback>
        </mc:AlternateContent>
      </w:r>
      <w:r>
        <w:rPr>
          <w:noProof/>
          <w:lang w:eastAsia="en-MY"/>
        </w:rPr>
        <w:drawing>
          <wp:inline distT="0" distB="0" distL="0" distR="0" wp14:anchorId="62FEB6FB" wp14:editId="7C29D4D2">
            <wp:extent cx="4552950" cy="36004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552950" cy="3600450"/>
                    </a:xfrm>
                    <a:prstGeom prst="rect">
                      <a:avLst/>
                    </a:prstGeom>
                    <a:noFill/>
                    <a:ln>
                      <a:noFill/>
                    </a:ln>
                  </pic:spPr>
                </pic:pic>
              </a:graphicData>
            </a:graphic>
          </wp:inline>
        </w:drawing>
      </w:r>
    </w:p>
    <w:p w14:paraId="5BE641CD" w14:textId="681CFAFB" w:rsidR="00BF600D" w:rsidRDefault="00BF600D" w:rsidP="00BF600D">
      <w:pPr>
        <w:jc w:val="center"/>
        <w:rPr>
          <w:rFonts w:cs="Times New Roman"/>
          <w:szCs w:val="24"/>
        </w:rPr>
      </w:pPr>
      <w:r>
        <w:t xml:space="preserve">Figure </w:t>
      </w:r>
      <w:r w:rsidR="0082632E">
        <w:rPr>
          <w:noProof/>
        </w:rPr>
        <w:t>5.1</w:t>
      </w:r>
      <w:r>
        <w:t xml:space="preserve">: </w:t>
      </w:r>
      <w:r>
        <w:rPr>
          <w:szCs w:val="24"/>
        </w:rPr>
        <w:t>Contour plots of a) density and b) molar volume plotted on a compositional ternary based on network formers, modifiers and intermediates meanwhile c) glass transition temperature plotted based on Al</w:t>
      </w:r>
      <w:r>
        <w:rPr>
          <w:szCs w:val="24"/>
          <w:vertAlign w:val="subscript"/>
        </w:rPr>
        <w:t>2</w:t>
      </w:r>
      <w:r>
        <w:rPr>
          <w:szCs w:val="24"/>
        </w:rPr>
        <w:t>O</w:t>
      </w:r>
      <w:r>
        <w:rPr>
          <w:szCs w:val="24"/>
          <w:vertAlign w:val="subscript"/>
        </w:rPr>
        <w:t>3</w:t>
      </w:r>
      <w:r>
        <w:rPr>
          <w:szCs w:val="24"/>
        </w:rPr>
        <w:t xml:space="preserve"> + B</w:t>
      </w:r>
      <w:r>
        <w:rPr>
          <w:szCs w:val="24"/>
          <w:vertAlign w:val="subscript"/>
        </w:rPr>
        <w:t>2</w:t>
      </w:r>
      <w:r>
        <w:rPr>
          <w:szCs w:val="24"/>
        </w:rPr>
        <w:t>O</w:t>
      </w:r>
      <w:r>
        <w:rPr>
          <w:szCs w:val="24"/>
          <w:vertAlign w:val="subscript"/>
        </w:rPr>
        <w:t>3</w:t>
      </w:r>
      <w:r>
        <w:rPr>
          <w:szCs w:val="24"/>
        </w:rPr>
        <w:t>, SiO</w:t>
      </w:r>
      <w:r>
        <w:rPr>
          <w:szCs w:val="24"/>
          <w:vertAlign w:val="subscript"/>
        </w:rPr>
        <w:t>2</w:t>
      </w:r>
      <w:r>
        <w:rPr>
          <w:szCs w:val="24"/>
        </w:rPr>
        <w:t xml:space="preserve"> and network modifier. (</w:t>
      </w:r>
      <w:r>
        <w:rPr>
          <w:i/>
          <w:szCs w:val="24"/>
        </w:rPr>
        <w:t>Continued on next page)</w:t>
      </w:r>
    </w:p>
    <w:p w14:paraId="2B773FDF" w14:textId="77777777" w:rsidR="00BF600D" w:rsidRDefault="00BF600D" w:rsidP="00BF600D">
      <w:pPr>
        <w:tabs>
          <w:tab w:val="left" w:pos="2323"/>
        </w:tabs>
        <w:rPr>
          <w:rFonts w:cs="Times New Roman"/>
          <w:szCs w:val="24"/>
        </w:rPr>
      </w:pPr>
    </w:p>
    <w:p w14:paraId="18DA2528" w14:textId="466A3DBC" w:rsidR="00BF600D" w:rsidRDefault="00BF600D" w:rsidP="00BF600D">
      <w:pPr>
        <w:jc w:val="center"/>
        <w:rPr>
          <w:rFonts w:cs="Times New Roman"/>
          <w:szCs w:val="24"/>
        </w:rPr>
      </w:pPr>
      <w:r>
        <w:rPr>
          <w:noProof/>
          <w:lang w:eastAsia="en-MY"/>
        </w:rPr>
        <w:lastRenderedPageBreak/>
        <mc:AlternateContent>
          <mc:Choice Requires="wps">
            <w:drawing>
              <wp:anchor distT="0" distB="0" distL="114300" distR="114300" simplePos="0" relativeHeight="252534784" behindDoc="0" locked="0" layoutInCell="1" allowOverlap="1" wp14:anchorId="530273BA" wp14:editId="67446882">
                <wp:simplePos x="0" y="0"/>
                <wp:positionH relativeFrom="margin">
                  <wp:posOffset>762635</wp:posOffset>
                </wp:positionH>
                <wp:positionV relativeFrom="paragraph">
                  <wp:posOffset>325755</wp:posOffset>
                </wp:positionV>
                <wp:extent cx="340360" cy="311150"/>
                <wp:effectExtent l="0" t="0" r="2540" b="0"/>
                <wp:wrapNone/>
                <wp:docPr id="1662" name="Text Box 1662"/>
                <wp:cNvGraphicFramePr/>
                <a:graphic xmlns:a="http://schemas.openxmlformats.org/drawingml/2006/main">
                  <a:graphicData uri="http://schemas.microsoft.com/office/word/2010/wordprocessingShape">
                    <wps:wsp>
                      <wps:cNvSpPr txBox="1"/>
                      <wps:spPr>
                        <a:xfrm>
                          <a:off x="0" y="0"/>
                          <a:ext cx="340360" cy="311150"/>
                        </a:xfrm>
                        <a:prstGeom prst="rect">
                          <a:avLst/>
                        </a:prstGeom>
                        <a:solidFill>
                          <a:sysClr val="window" lastClr="FFFFFF"/>
                        </a:solidFill>
                        <a:ln w="6350">
                          <a:noFill/>
                        </a:ln>
                      </wps:spPr>
                      <wps:txbx>
                        <w:txbxContent>
                          <w:p w14:paraId="6406EF8A" w14:textId="77777777" w:rsidR="00230AB9" w:rsidRDefault="00230AB9" w:rsidP="00BF600D">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273BA" id="Text Box 1662" o:spid="_x0000_s1367" type="#_x0000_t202" style="position:absolute;left:0;text-align:left;margin-left:60.05pt;margin-top:25.65pt;width:26.8pt;height:24.5pt;z-index:25253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" fillcolor="window" stroked="f" strokeweight=".5pt">
                <v:textbox>
                  <w:txbxContent>
                    <w:p w14:paraId="6406EF8A" w14:textId="77777777" w:rsidR="00230AB9" w:rsidRDefault="00230AB9" w:rsidP="00BF600D">
                      <w:r>
                        <w:t>b)</w:t>
                      </w:r>
                    </w:p>
                  </w:txbxContent>
                </v:textbox>
                <w10:wrap anchorx="margin"/>
              </v:shape>
            </w:pict>
          </mc:Fallback>
        </mc:AlternateContent>
      </w:r>
      <w:r>
        <w:rPr>
          <w:noProof/>
          <w:lang w:eastAsia="en-MY"/>
        </w:rPr>
        <w:drawing>
          <wp:inline distT="0" distB="0" distL="0" distR="0" wp14:anchorId="60BEA727" wp14:editId="74258879">
            <wp:extent cx="4552950" cy="36004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552950" cy="3600450"/>
                    </a:xfrm>
                    <a:prstGeom prst="rect">
                      <a:avLst/>
                    </a:prstGeom>
                    <a:noFill/>
                    <a:ln>
                      <a:noFill/>
                    </a:ln>
                  </pic:spPr>
                </pic:pic>
              </a:graphicData>
            </a:graphic>
          </wp:inline>
        </w:drawing>
      </w:r>
    </w:p>
    <w:p w14:paraId="03D02C87" w14:textId="5C46F598" w:rsidR="00BF600D" w:rsidRDefault="00BF600D" w:rsidP="00BF600D">
      <w:pPr>
        <w:jc w:val="center"/>
        <w:rPr>
          <w:rFonts w:cs="Times New Roman"/>
          <w:szCs w:val="24"/>
        </w:rPr>
      </w:pPr>
      <w:r>
        <w:rPr>
          <w:noProof/>
          <w:lang w:eastAsia="en-MY"/>
        </w:rPr>
        <mc:AlternateContent>
          <mc:Choice Requires="wps">
            <w:drawing>
              <wp:anchor distT="0" distB="0" distL="114300" distR="114300" simplePos="0" relativeHeight="252538880" behindDoc="0" locked="0" layoutInCell="1" allowOverlap="1" wp14:anchorId="201E7625" wp14:editId="702F290E">
                <wp:simplePos x="0" y="0"/>
                <wp:positionH relativeFrom="margin">
                  <wp:posOffset>718820</wp:posOffset>
                </wp:positionH>
                <wp:positionV relativeFrom="paragraph">
                  <wp:posOffset>327025</wp:posOffset>
                </wp:positionV>
                <wp:extent cx="340360" cy="311150"/>
                <wp:effectExtent l="0" t="0" r="2540" b="0"/>
                <wp:wrapNone/>
                <wp:docPr id="1918" name="Text Box 1918"/>
                <wp:cNvGraphicFramePr/>
                <a:graphic xmlns:a="http://schemas.openxmlformats.org/drawingml/2006/main">
                  <a:graphicData uri="http://schemas.microsoft.com/office/word/2010/wordprocessingShape">
                    <wps:wsp>
                      <wps:cNvSpPr txBox="1"/>
                      <wps:spPr>
                        <a:xfrm>
                          <a:off x="0" y="0"/>
                          <a:ext cx="340360" cy="311150"/>
                        </a:xfrm>
                        <a:prstGeom prst="rect">
                          <a:avLst/>
                        </a:prstGeom>
                        <a:solidFill>
                          <a:sysClr val="window" lastClr="FFFFFF"/>
                        </a:solidFill>
                        <a:ln w="6350">
                          <a:noFill/>
                        </a:ln>
                      </wps:spPr>
                      <wps:txbx>
                        <w:txbxContent>
                          <w:p w14:paraId="6C73AFEA" w14:textId="77777777" w:rsidR="00230AB9" w:rsidRDefault="00230AB9" w:rsidP="00BF600D">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E7625" id="Text Box 1918" o:spid="_x0000_s1368" type="#_x0000_t202" style="position:absolute;left:0;text-align:left;margin-left:56.6pt;margin-top:25.75pt;width:26.8pt;height:24.5pt;z-index:25253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" fillcolor="window" stroked="f" strokeweight=".5pt">
                <v:textbox>
                  <w:txbxContent>
                    <w:p w14:paraId="6C73AFEA" w14:textId="77777777" w:rsidR="00230AB9" w:rsidRDefault="00230AB9" w:rsidP="00BF600D">
                      <w:r>
                        <w:t>c)</w:t>
                      </w:r>
                    </w:p>
                  </w:txbxContent>
                </v:textbox>
                <w10:wrap anchorx="margin"/>
              </v:shape>
            </w:pict>
          </mc:Fallback>
        </mc:AlternateContent>
      </w:r>
      <w:r>
        <w:rPr>
          <w:noProof/>
          <w:lang w:eastAsia="en-MY"/>
        </w:rPr>
        <w:drawing>
          <wp:inline distT="0" distB="0" distL="0" distR="0" wp14:anchorId="0D1F798F" wp14:editId="71A145BA">
            <wp:extent cx="4533900" cy="36004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533900" cy="3600450"/>
                    </a:xfrm>
                    <a:prstGeom prst="rect">
                      <a:avLst/>
                    </a:prstGeom>
                    <a:noFill/>
                    <a:ln>
                      <a:noFill/>
                    </a:ln>
                  </pic:spPr>
                </pic:pic>
              </a:graphicData>
            </a:graphic>
          </wp:inline>
        </w:drawing>
      </w:r>
    </w:p>
    <w:p w14:paraId="6448E4F9" w14:textId="6E62CE31" w:rsidR="00BF600D" w:rsidRDefault="00BF600D" w:rsidP="00BF600D">
      <w:pPr>
        <w:jc w:val="center"/>
        <w:rPr>
          <w:szCs w:val="24"/>
        </w:rPr>
      </w:pPr>
      <w:bookmarkStart w:id="867" w:name="_Toc525706400"/>
      <w:bookmarkStart w:id="868" w:name="_Toc525528385"/>
      <w:bookmarkStart w:id="869" w:name="_Toc521420502"/>
      <w:r>
        <w:t xml:space="preserve">Figure </w:t>
      </w:r>
      <w:r w:rsidR="0082632E">
        <w:rPr>
          <w:noProof/>
        </w:rPr>
        <w:t>5.1</w:t>
      </w:r>
      <w:r>
        <w:t xml:space="preserve">: </w:t>
      </w:r>
      <w:r>
        <w:rPr>
          <w:szCs w:val="24"/>
        </w:rPr>
        <w:t>Contour plots of a) density and b) molar volume plotted on a compositional ternary based on network formers, modifiers and intermediates meanwhile c) glass transition temperature plotted based on Al</w:t>
      </w:r>
      <w:r>
        <w:rPr>
          <w:szCs w:val="24"/>
          <w:vertAlign w:val="subscript"/>
        </w:rPr>
        <w:t>2</w:t>
      </w:r>
      <w:r>
        <w:rPr>
          <w:szCs w:val="24"/>
        </w:rPr>
        <w:t>O</w:t>
      </w:r>
      <w:r>
        <w:rPr>
          <w:szCs w:val="24"/>
          <w:vertAlign w:val="subscript"/>
        </w:rPr>
        <w:t>3</w:t>
      </w:r>
      <w:r>
        <w:rPr>
          <w:szCs w:val="24"/>
        </w:rPr>
        <w:t xml:space="preserve"> + B</w:t>
      </w:r>
      <w:r>
        <w:rPr>
          <w:szCs w:val="24"/>
          <w:vertAlign w:val="subscript"/>
        </w:rPr>
        <w:t>2</w:t>
      </w:r>
      <w:r>
        <w:rPr>
          <w:szCs w:val="24"/>
        </w:rPr>
        <w:t>O</w:t>
      </w:r>
      <w:r>
        <w:rPr>
          <w:szCs w:val="24"/>
          <w:vertAlign w:val="subscript"/>
        </w:rPr>
        <w:t>3</w:t>
      </w:r>
      <w:r>
        <w:rPr>
          <w:szCs w:val="24"/>
        </w:rPr>
        <w:t>, SiO</w:t>
      </w:r>
      <w:r>
        <w:rPr>
          <w:szCs w:val="24"/>
          <w:vertAlign w:val="subscript"/>
        </w:rPr>
        <w:t>2</w:t>
      </w:r>
      <w:r>
        <w:rPr>
          <w:szCs w:val="24"/>
        </w:rPr>
        <w:t xml:space="preserve"> and network modifier.</w:t>
      </w:r>
      <w:bookmarkEnd w:id="867"/>
      <w:bookmarkEnd w:id="868"/>
      <w:bookmarkEnd w:id="869"/>
    </w:p>
    <w:p w14:paraId="5B850B8F" w14:textId="77777777" w:rsidR="00BF600D" w:rsidRDefault="00BF600D" w:rsidP="00BF600D">
      <w:pPr>
        <w:jc w:val="center"/>
        <w:rPr>
          <w:rFonts w:cs="Times New Roman"/>
          <w:szCs w:val="24"/>
        </w:rPr>
      </w:pPr>
      <w:r>
        <w:rPr>
          <w:szCs w:val="24"/>
        </w:rPr>
        <w:t xml:space="preserve"> </w:t>
      </w:r>
    </w:p>
    <w:p w14:paraId="1A194465" w14:textId="210D6AFE" w:rsidR="00BF600D" w:rsidRDefault="00BF600D" w:rsidP="00BF600D">
      <w:pPr>
        <w:spacing w:line="360" w:lineRule="auto"/>
        <w:jc w:val="both"/>
        <w:rPr>
          <w:rFonts w:cs="Times New Roman"/>
          <w:b w:val="0"/>
          <w:szCs w:val="24"/>
        </w:rPr>
      </w:pPr>
      <w:r>
        <w:rPr>
          <w:rFonts w:cs="Times New Roman"/>
          <w:b w:val="0"/>
          <w:szCs w:val="24"/>
        </w:rPr>
        <w:lastRenderedPageBreak/>
        <w:t xml:space="preserve">An overview of the correlations between the properties investigated and the network modifiers, formers and intermediates are presented in ternary diagrams in Figures 5.1 to 5.2. Figure 5.1b shows that molar volume has </w:t>
      </w:r>
      <w:r w:rsidR="000D097B">
        <w:rPr>
          <w:rFonts w:cs="Times New Roman"/>
          <w:b w:val="0"/>
          <w:szCs w:val="24"/>
        </w:rPr>
        <w:t xml:space="preserve">the </w:t>
      </w:r>
      <w:r>
        <w:rPr>
          <w:rFonts w:cs="Times New Roman"/>
          <w:b w:val="0"/>
          <w:szCs w:val="24"/>
        </w:rPr>
        <w:t xml:space="preserve">highest values at high intermediate contents and low network modifier contents. </w:t>
      </w:r>
      <w:r w:rsidR="00700666">
        <w:rPr>
          <w:rFonts w:cs="Times New Roman"/>
          <w:b w:val="0"/>
          <w:szCs w:val="24"/>
        </w:rPr>
        <w:t xml:space="preserve">This is </w:t>
      </w:r>
      <w:r w:rsidR="0068083A">
        <w:rPr>
          <w:rFonts w:cs="Times New Roman"/>
          <w:b w:val="0"/>
          <w:szCs w:val="24"/>
        </w:rPr>
        <w:t xml:space="preserve">agreed with </w:t>
      </w:r>
      <w:r>
        <w:rPr>
          <w:rFonts w:cs="Times New Roman"/>
          <w:b w:val="0"/>
          <w:szCs w:val="24"/>
        </w:rPr>
        <w:t>Figure 4.3</w:t>
      </w:r>
      <w:r w:rsidR="0068083A">
        <w:rPr>
          <w:rFonts w:cs="Times New Roman"/>
          <w:b w:val="0"/>
          <w:szCs w:val="24"/>
        </w:rPr>
        <w:t>,</w:t>
      </w:r>
      <w:r>
        <w:rPr>
          <w:rFonts w:cs="Times New Roman"/>
          <w:b w:val="0"/>
          <w:szCs w:val="24"/>
        </w:rPr>
        <w:t xml:space="preserve"> showed that molar volume decreased with increasing total charge balance which is in </w:t>
      </w:r>
      <w:r w:rsidR="008C4D01">
        <w:rPr>
          <w:rFonts w:cs="Times New Roman"/>
          <w:b w:val="0"/>
          <w:szCs w:val="24"/>
        </w:rPr>
        <w:t xml:space="preserve">appearance </w:t>
      </w:r>
      <w:r w:rsidR="0068083A">
        <w:rPr>
          <w:rFonts w:cs="Times New Roman"/>
          <w:b w:val="0"/>
          <w:szCs w:val="24"/>
        </w:rPr>
        <w:t>similar</w:t>
      </w:r>
      <w:r>
        <w:rPr>
          <w:rFonts w:cs="Times New Roman"/>
          <w:b w:val="0"/>
          <w:szCs w:val="24"/>
        </w:rPr>
        <w:t xml:space="preserve"> to the ternary diagram. </w:t>
      </w:r>
      <w:r w:rsidR="0068083A">
        <w:rPr>
          <w:rFonts w:cs="Times New Roman"/>
          <w:b w:val="0"/>
          <w:szCs w:val="24"/>
        </w:rPr>
        <w:t>A</w:t>
      </w:r>
      <w:r>
        <w:rPr>
          <w:rFonts w:cs="Times New Roman"/>
          <w:b w:val="0"/>
          <w:szCs w:val="24"/>
        </w:rPr>
        <w:t>s already discussed</w:t>
      </w:r>
      <w:r w:rsidR="00F0029C">
        <w:rPr>
          <w:rFonts w:cs="Times New Roman"/>
          <w:b w:val="0"/>
          <w:szCs w:val="24"/>
        </w:rPr>
        <w:t xml:space="preserve"> (</w:t>
      </w:r>
      <w:r w:rsidR="00EC74BB">
        <w:rPr>
          <w:rFonts w:cs="Times New Roman"/>
          <w:b w:val="0"/>
          <w:szCs w:val="24"/>
        </w:rPr>
        <w:t>see section</w:t>
      </w:r>
      <w:r w:rsidR="008644A7">
        <w:rPr>
          <w:rFonts w:cs="Times New Roman"/>
          <w:b w:val="0"/>
          <w:szCs w:val="24"/>
        </w:rPr>
        <w:t xml:space="preserve"> 2.5)</w:t>
      </w:r>
      <w:r w:rsidR="00F0029C">
        <w:rPr>
          <w:rFonts w:cs="Times New Roman"/>
          <w:b w:val="0"/>
          <w:szCs w:val="24"/>
        </w:rPr>
        <w:t xml:space="preserve"> </w:t>
      </w:r>
      <w:r>
        <w:rPr>
          <w:rFonts w:cs="Times New Roman"/>
          <w:b w:val="0"/>
          <w:szCs w:val="24"/>
        </w:rPr>
        <w:t xml:space="preserve"> boron has a different behaviour based on its coordination which is affected by the presence of alkali oxide species. As BO</w:t>
      </w:r>
      <w:r>
        <w:rPr>
          <w:rFonts w:cs="Times New Roman"/>
          <w:b w:val="0"/>
          <w:szCs w:val="24"/>
          <w:vertAlign w:val="subscript"/>
        </w:rPr>
        <w:t>4</w:t>
      </w:r>
      <w:r>
        <w:rPr>
          <w:rFonts w:cs="Times New Roman"/>
          <w:b w:val="0"/>
          <w:szCs w:val="24"/>
        </w:rPr>
        <w:t xml:space="preserve"> increases in the structure, the glass becomes </w:t>
      </w:r>
      <w:r w:rsidR="008C4D01">
        <w:rPr>
          <w:rFonts w:cs="Times New Roman"/>
          <w:b w:val="0"/>
          <w:szCs w:val="24"/>
        </w:rPr>
        <w:t>denser</w:t>
      </w:r>
      <w:r>
        <w:rPr>
          <w:rFonts w:cs="Times New Roman"/>
          <w:b w:val="0"/>
          <w:szCs w:val="24"/>
        </w:rPr>
        <w:t xml:space="preserve"> </w:t>
      </w:r>
      <w:r>
        <w:fldChar w:fldCharType="begin" w:fldLock="1"/>
      </w:r>
      <w:r>
        <w:rPr>
          <w:rFonts w:cs="Times New Roman"/>
          <w:b w:val="0"/>
          <w:szCs w:val="24"/>
        </w:rPr>
        <w:instrText>ADDIN CSL_CITATION { "citationItems" : [ { "id" : "ITEM-1", "itemData" : { "DOI" : "10.1103/PhysRevB.76.014202", "ISSN" : "10980121", "abstract" : "A study of thermodynamic properties and structure of sodium borosilicate glasses with a range of pressure- temperature histories is presented. It is demonstrated how differences in the pressure-temperature path of the liquid during cooling may result in glasses with identical short-range structure and molar volume but different potential energies and, thus, different mid- or long-range structures. Rates of changes of molar volume, excess enthalpy, and boron coordination with changing fictive pressure and fictive temperature are reported. A structure-energy map is given, and paths for transitions under constant pressure, as well as between different pressures are shown. It is shown for pressures between atmospheric and 500 MPa that similar rates of cooling produce similar relative variations in fictive temperature in boron coordination environment and in the potential energy as compared to a given reference state. These results indicate that the rate of configurational entropy generation is independent of pressure in this range.", "author" : [ { "dropping-particle" : "", "family" : "Wondraczek", "given" : "Lothar", "non-dropping-particle" : "", "parse-names" : false, "suffix" : "" }, { "dropping-particle" : "", "family" : "Sen", "given" : "Sabyasachi", "non-dropping-particle" : "", "parse-names" : false, "suffix" : "" }, { "dropping-particle" : "", "family" : "Behrens", "given" : "Harald", "non-dropping-particle" : "", "parse-names" : false, "suffix" : "" }, { "dropping-particle" : "", "family" : "Youngman", "given" : "Randall E.", "non-dropping-particle" : "", "parse-names" : false, "suffix" : "" } ], "container-title" : "Physical Review B - Condensed Matter and Materials Physics", "id" : "ITEM-1", "issue" : "1", "issued" : { "date-parts" : [ [ "2007" ] ] }, "page" : "1-8", "title" : "Structure-energy map of alkali borosilicate glasses: Effects of pressure and temperature", "type" : "article-journal", "volume" : "76" }, "uris" : [ "http://www.mendeley.com/documents/?uuid=11caa48c-bd2d-41d4-8a21-c493169d0f18" ] } ], "mendeley" : { "formattedCitation" : "(Wondraczek, Sen, Behrens, &amp; Youngman, 2007)", "manualFormatting" : "(Wondraczek et al, 2007)", "plainTextFormattedCitation" : "(Wondraczek, Sen, Behrens, &amp; Youngman, 2007)", "previouslyFormattedCitation" : "(Wondraczek, Sen, Behrens, &amp; Youngman, 2007)" }, "properties" : { "noteIndex" : 81 }, "schema" : "https://github.com/citation-style-language/schema/raw/master/csl-citation.json" }</w:instrText>
      </w:r>
      <w:r>
        <w:fldChar w:fldCharType="separate"/>
      </w:r>
      <w:r>
        <w:rPr>
          <w:rFonts w:cs="Times New Roman"/>
          <w:b w:val="0"/>
          <w:noProof/>
          <w:szCs w:val="24"/>
        </w:rPr>
        <w:t>(Wondraczek et al, 2007)</w:t>
      </w:r>
      <w:r>
        <w:fldChar w:fldCharType="end"/>
      </w:r>
      <w:r>
        <w:rPr>
          <w:rFonts w:cs="Times New Roman"/>
          <w:b w:val="0"/>
          <w:szCs w:val="24"/>
        </w:rPr>
        <w:t>.</w:t>
      </w:r>
      <w:r w:rsidR="0068083A">
        <w:rPr>
          <w:rFonts w:cs="Times New Roman"/>
          <w:b w:val="0"/>
          <w:szCs w:val="24"/>
        </w:rPr>
        <w:t xml:space="preserve"> As supported in </w:t>
      </w:r>
      <w:r w:rsidR="002240CF" w:rsidRPr="002240CF">
        <w:rPr>
          <w:rFonts w:cs="Times New Roman"/>
          <w:b w:val="0"/>
          <w:szCs w:val="24"/>
          <w:vertAlign w:val="superscript"/>
        </w:rPr>
        <w:t>11</w:t>
      </w:r>
      <w:r w:rsidR="0068083A">
        <w:rPr>
          <w:rFonts w:cs="Times New Roman"/>
          <w:b w:val="0"/>
          <w:szCs w:val="24"/>
        </w:rPr>
        <w:t>B analysis in NMR data, B</w:t>
      </w:r>
      <w:r w:rsidR="00007F88" w:rsidRPr="002240CF">
        <w:rPr>
          <w:rFonts w:cs="Times New Roman"/>
          <w:b w:val="0"/>
          <w:szCs w:val="24"/>
          <w:vertAlign w:val="superscript"/>
        </w:rPr>
        <w:t>III</w:t>
      </w:r>
      <w:r w:rsidR="0068083A">
        <w:rPr>
          <w:rFonts w:cs="Times New Roman"/>
          <w:b w:val="0"/>
          <w:szCs w:val="24"/>
        </w:rPr>
        <w:t xml:space="preserve"> </w:t>
      </w:r>
      <w:r w:rsidR="008C4D01">
        <w:rPr>
          <w:rFonts w:cs="Times New Roman"/>
          <w:b w:val="0"/>
          <w:szCs w:val="24"/>
        </w:rPr>
        <w:t xml:space="preserve">is </w:t>
      </w:r>
      <w:r w:rsidR="00007F88">
        <w:rPr>
          <w:rFonts w:cs="Times New Roman"/>
          <w:b w:val="0"/>
          <w:szCs w:val="24"/>
        </w:rPr>
        <w:t xml:space="preserve">higher in </w:t>
      </w:r>
      <w:r w:rsidR="008C4D01">
        <w:rPr>
          <w:rFonts w:cs="Times New Roman"/>
          <w:b w:val="0"/>
          <w:szCs w:val="24"/>
        </w:rPr>
        <w:t xml:space="preserve">a </w:t>
      </w:r>
      <w:r w:rsidR="00007F88">
        <w:rPr>
          <w:rFonts w:cs="Times New Roman"/>
          <w:b w:val="0"/>
          <w:szCs w:val="24"/>
        </w:rPr>
        <w:t>glass</w:t>
      </w:r>
      <w:r w:rsidR="002240CF">
        <w:rPr>
          <w:rFonts w:cs="Times New Roman"/>
          <w:b w:val="0"/>
          <w:szCs w:val="24"/>
        </w:rPr>
        <w:t xml:space="preserve"> with high network charge balance compare to glass with low network charge balance</w:t>
      </w:r>
      <w:r w:rsidR="00BC48C0">
        <w:rPr>
          <w:rFonts w:cs="Times New Roman"/>
          <w:b w:val="0"/>
          <w:szCs w:val="24"/>
        </w:rPr>
        <w:t xml:space="preserve"> </w:t>
      </w:r>
      <w:r w:rsidR="002240CF">
        <w:rPr>
          <w:rFonts w:cs="Times New Roman"/>
          <w:b w:val="0"/>
          <w:szCs w:val="24"/>
        </w:rPr>
        <w:t>(see Figure 4.9)</w:t>
      </w:r>
      <w:r w:rsidR="00BC48C0">
        <w:rPr>
          <w:rFonts w:cs="Times New Roman"/>
          <w:b w:val="0"/>
          <w:szCs w:val="24"/>
        </w:rPr>
        <w:t xml:space="preserve"> and the high B</w:t>
      </w:r>
      <w:r w:rsidR="00BC48C0" w:rsidRPr="00BC48C0">
        <w:rPr>
          <w:rFonts w:cs="Times New Roman"/>
          <w:b w:val="0"/>
          <w:szCs w:val="24"/>
          <w:vertAlign w:val="superscript"/>
        </w:rPr>
        <w:t>III</w:t>
      </w:r>
      <w:r w:rsidR="00BC48C0">
        <w:rPr>
          <w:rFonts w:cs="Times New Roman"/>
          <w:b w:val="0"/>
          <w:szCs w:val="24"/>
        </w:rPr>
        <w:t xml:space="preserve"> indicate that the molar volume </w:t>
      </w:r>
      <w:r w:rsidR="008C4D01">
        <w:rPr>
          <w:rFonts w:cs="Times New Roman"/>
          <w:b w:val="0"/>
          <w:szCs w:val="24"/>
        </w:rPr>
        <w:t xml:space="preserve">is </w:t>
      </w:r>
      <w:r w:rsidR="00BC48C0">
        <w:rPr>
          <w:rFonts w:cs="Times New Roman"/>
          <w:b w:val="0"/>
          <w:szCs w:val="24"/>
        </w:rPr>
        <w:t>also higher</w:t>
      </w:r>
      <w:r w:rsidR="002240CF">
        <w:rPr>
          <w:rFonts w:cs="Times New Roman"/>
          <w:b w:val="0"/>
          <w:szCs w:val="24"/>
        </w:rPr>
        <w:t xml:space="preserve">. </w:t>
      </w:r>
      <w:r w:rsidR="008C4D01">
        <w:rPr>
          <w:rFonts w:cs="Times New Roman"/>
          <w:b w:val="0"/>
          <w:szCs w:val="24"/>
        </w:rPr>
        <w:t xml:space="preserve">The decreased </w:t>
      </w:r>
      <w:r>
        <w:rPr>
          <w:rFonts w:cs="Times New Roman"/>
          <w:b w:val="0"/>
          <w:szCs w:val="24"/>
        </w:rPr>
        <w:t xml:space="preserve">molar volume will be associated with </w:t>
      </w:r>
      <w:r w:rsidR="00264185">
        <w:rPr>
          <w:rFonts w:cs="Times New Roman"/>
          <w:b w:val="0"/>
          <w:szCs w:val="24"/>
        </w:rPr>
        <w:t>in</w:t>
      </w:r>
      <w:r>
        <w:rPr>
          <w:rFonts w:cs="Times New Roman"/>
          <w:b w:val="0"/>
          <w:szCs w:val="24"/>
        </w:rPr>
        <w:t xml:space="preserve">creased </w:t>
      </w:r>
      <w:r w:rsidR="008C4D01">
        <w:rPr>
          <w:rFonts w:cs="Times New Roman"/>
          <w:b w:val="0"/>
          <w:szCs w:val="24"/>
        </w:rPr>
        <w:t>cross-</w:t>
      </w:r>
      <w:r>
        <w:rPr>
          <w:rFonts w:cs="Times New Roman"/>
          <w:b w:val="0"/>
          <w:szCs w:val="24"/>
        </w:rPr>
        <w:t>linking</w:t>
      </w:r>
      <w:r w:rsidR="00264185">
        <w:rPr>
          <w:rFonts w:cs="Times New Roman"/>
          <w:b w:val="0"/>
          <w:szCs w:val="24"/>
        </w:rPr>
        <w:t xml:space="preserve"> due to </w:t>
      </w:r>
      <w:r w:rsidR="00C46A4E">
        <w:rPr>
          <w:rFonts w:cs="Times New Roman"/>
          <w:b w:val="0"/>
          <w:szCs w:val="24"/>
        </w:rPr>
        <w:t xml:space="preserve">more </w:t>
      </w:r>
      <w:r w:rsidR="00C46A4E" w:rsidRPr="00264185">
        <w:rPr>
          <w:rFonts w:cs="Times New Roman"/>
          <w:b w:val="0"/>
          <w:szCs w:val="24"/>
        </w:rPr>
        <w:t>tightly bound</w:t>
      </w:r>
      <w:r w:rsidR="00C46A4E">
        <w:rPr>
          <w:rFonts w:cs="Times New Roman"/>
          <w:b w:val="0"/>
          <w:szCs w:val="24"/>
        </w:rPr>
        <w:t xml:space="preserve"> of </w:t>
      </w:r>
      <w:r w:rsidR="00264185" w:rsidRPr="00264185">
        <w:rPr>
          <w:rFonts w:cs="Times New Roman"/>
          <w:b w:val="0"/>
          <w:szCs w:val="24"/>
        </w:rPr>
        <w:t xml:space="preserve">atoms </w:t>
      </w:r>
      <w:r>
        <w:fldChar w:fldCharType="begin" w:fldLock="1"/>
      </w:r>
      <w:r>
        <w:rPr>
          <w:rFonts w:cs="Times New Roman"/>
          <w:b w:val="0"/>
          <w:szCs w:val="24"/>
        </w:rPr>
        <w:instrText>ADDIN CSL_CITATION { "citationItems" : [ { "id" : "ITEM-1", "itemData" : { "DOI" : "10.1016/0022-3093(91)90467-K", "ISSN" : "00223093", "abstract" : "High purity chalcogenide glasses incorporating Ge, Sb, Se, As and Te were prepared by vacuum melting of previously distilled 5 N to 6 N pure raw materials from which the surface oxide was also removed in some cases. Molar volume and elastic properties of several isostructural chalcogenide glasses prepared by similar processing techniques were obtained from the measured values of densities and the velocities of transverse and longitudinal acoustic waves respectively. Property variations with the average coordination number, ???r???, were examined. Molar volume displayed a distinct minimum at ???r??? = 2.4, coincident with Phillips' 'percolation threshold' for each system studied. Elastic moduli, however, failed to show any dramatic changes at this threshold. Near the stoichiometric tie-line, a chemically ordered covalent network (COCN) model for the atomic arrangement in these glasses was found to be preferred over the chance coordination predicted by the random covalent network (RCN) model. ?? 1991.", "author" : [ { "dropping-particle" : "", "family" : "Sreeram", "given" : "a. N.", "non-dropping-particle" : "", "parse-names" : false, "suffix" : "" }, { "dropping-particle" : "", "family" : "Varshneya", "given" : "a. K.", "non-dropping-particle" : "", "parse-names" : false, "suffix" : "" }, { "dropping-particle" : "", "family" : "Swiler", "given" : "D. R.", "non-dropping-particle" : "", "parse-names" : false, "suffix" : "" } ], "container-title" : "Journal of Non-Crystalline Solids", "id" : "ITEM-1", "issue" : "3", "issued" : { "date-parts" : [ [ "1991" ] ] }, "page" : "294-309", "title" : "Molar volume and elastic properties of multicomponent chalcogenide glasses", "type" : "article-journal", "volume" : "128" }, "uris" : [ "http://www.mendeley.com/documents/?uuid=90d6393e-31a5-4864-98e8-8ef9061dc53c" ] } ], "mendeley" : { "formattedCitation" : "(Sreeram, Varshneya, &amp; Swiler, 1991)", "manualFormatting" : "(Sreeram et al., 1991)", "plainTextFormattedCitation" : "(Sreeram, Varshneya, &amp; Swiler, 1991)", "previouslyFormattedCitation" : "(Sreeram, Varshneya, &amp; Swiler, 1991)" }, "properties" : { "noteIndex" : 94 }, "schema" : "https://github.com/citation-style-language/schema/raw/master/csl-citation.json" }</w:instrText>
      </w:r>
      <w:r>
        <w:fldChar w:fldCharType="separate"/>
      </w:r>
      <w:r>
        <w:rPr>
          <w:rFonts w:cs="Times New Roman"/>
          <w:b w:val="0"/>
          <w:noProof/>
          <w:szCs w:val="24"/>
        </w:rPr>
        <w:t>(Sreeram et al., 1991)</w:t>
      </w:r>
      <w:r>
        <w:fldChar w:fldCharType="end"/>
      </w:r>
      <w:r>
        <w:rPr>
          <w:rFonts w:cs="Times New Roman"/>
          <w:b w:val="0"/>
          <w:szCs w:val="24"/>
        </w:rPr>
        <w:t xml:space="preserve">. As the current glasses are mainly in the peralkaline region the alumina would largely be expected to be network forming tetrahedral alumina acting as was seen in the </w:t>
      </w:r>
      <w:r>
        <w:rPr>
          <w:rFonts w:cs="Times New Roman"/>
          <w:b w:val="0"/>
          <w:szCs w:val="24"/>
          <w:vertAlign w:val="superscript"/>
        </w:rPr>
        <w:t>27</w:t>
      </w:r>
      <w:r>
        <w:rPr>
          <w:rFonts w:cs="Times New Roman"/>
          <w:b w:val="0"/>
          <w:szCs w:val="24"/>
        </w:rPr>
        <w:t xml:space="preserve">Al NMR data (see section </w:t>
      </w:r>
      <w:r w:rsidR="00850407">
        <w:rPr>
          <w:rFonts w:cs="Times New Roman"/>
          <w:b w:val="0"/>
          <w:szCs w:val="24"/>
        </w:rPr>
        <w:t>4.4.1.2</w:t>
      </w:r>
      <w:r>
        <w:rPr>
          <w:rFonts w:cs="Times New Roman"/>
          <w:b w:val="0"/>
          <w:szCs w:val="24"/>
        </w:rPr>
        <w:t xml:space="preserve">). That said replotting the ternaries for density and molar volume with </w:t>
      </w:r>
      <w:r>
        <w:rPr>
          <w:b w:val="0"/>
          <w:szCs w:val="24"/>
        </w:rPr>
        <w:t>Al</w:t>
      </w:r>
      <w:r>
        <w:rPr>
          <w:b w:val="0"/>
          <w:szCs w:val="24"/>
          <w:vertAlign w:val="subscript"/>
        </w:rPr>
        <w:t>2</w:t>
      </w:r>
      <w:r>
        <w:rPr>
          <w:b w:val="0"/>
          <w:szCs w:val="24"/>
        </w:rPr>
        <w:t>O</w:t>
      </w:r>
      <w:r>
        <w:rPr>
          <w:b w:val="0"/>
          <w:szCs w:val="24"/>
          <w:vertAlign w:val="subscript"/>
        </w:rPr>
        <w:t>3</w:t>
      </w:r>
      <w:r>
        <w:rPr>
          <w:b w:val="0"/>
          <w:szCs w:val="24"/>
        </w:rPr>
        <w:t xml:space="preserve"> + B</w:t>
      </w:r>
      <w:r>
        <w:rPr>
          <w:b w:val="0"/>
          <w:szCs w:val="24"/>
          <w:vertAlign w:val="subscript"/>
        </w:rPr>
        <w:t>2</w:t>
      </w:r>
      <w:r>
        <w:rPr>
          <w:b w:val="0"/>
          <w:szCs w:val="24"/>
        </w:rPr>
        <w:t>O</w:t>
      </w:r>
      <w:r>
        <w:rPr>
          <w:b w:val="0"/>
          <w:szCs w:val="24"/>
          <w:vertAlign w:val="subscript"/>
        </w:rPr>
        <w:t>3</w:t>
      </w:r>
      <w:r>
        <w:rPr>
          <w:b w:val="0"/>
          <w:szCs w:val="24"/>
        </w:rPr>
        <w:t>, SiO</w:t>
      </w:r>
      <w:r>
        <w:rPr>
          <w:b w:val="0"/>
          <w:szCs w:val="24"/>
          <w:vertAlign w:val="subscript"/>
        </w:rPr>
        <w:t>2</w:t>
      </w:r>
      <w:r>
        <w:rPr>
          <w:b w:val="0"/>
          <w:szCs w:val="24"/>
        </w:rPr>
        <w:t xml:space="preserve"> and network modifier axes give results that are similarly positioned to those in the </w:t>
      </w:r>
      <w:r>
        <w:rPr>
          <w:rFonts w:cs="Times New Roman"/>
          <w:b w:val="0"/>
          <w:szCs w:val="24"/>
        </w:rPr>
        <w:t xml:space="preserve">ternary plotted using </w:t>
      </w:r>
      <w:r>
        <w:rPr>
          <w:b w:val="0"/>
          <w:szCs w:val="24"/>
        </w:rPr>
        <w:t>network formers, modifiers and intermediates (Refer to appendix).</w:t>
      </w:r>
      <w:r>
        <w:rPr>
          <w:rFonts w:cs="Times New Roman"/>
          <w:b w:val="0"/>
          <w:szCs w:val="24"/>
        </w:rPr>
        <w:t xml:space="preserve"> </w:t>
      </w:r>
    </w:p>
    <w:p w14:paraId="56618931" w14:textId="3B7194CF" w:rsidR="00BF600D" w:rsidRDefault="00BF600D" w:rsidP="00BF600D">
      <w:pPr>
        <w:spacing w:line="360" w:lineRule="auto"/>
        <w:jc w:val="both"/>
        <w:rPr>
          <w:rFonts w:cs="Times New Roman"/>
          <w:b w:val="0"/>
          <w:szCs w:val="24"/>
        </w:rPr>
      </w:pPr>
      <w:r>
        <w:rPr>
          <w:rFonts w:cs="Times New Roman"/>
          <w:b w:val="0"/>
          <w:szCs w:val="24"/>
        </w:rPr>
        <w:t>The glass transition temperature for all glass series produced has a maximum value at the ratio SiO</w:t>
      </w:r>
      <w:r>
        <w:rPr>
          <w:rFonts w:cs="Times New Roman"/>
          <w:b w:val="0"/>
          <w:szCs w:val="24"/>
          <w:vertAlign w:val="subscript"/>
        </w:rPr>
        <w:t>2</w:t>
      </w:r>
      <w:r>
        <w:rPr>
          <w:rFonts w:cs="Times New Roman"/>
          <w:b w:val="0"/>
          <w:szCs w:val="24"/>
        </w:rPr>
        <w:t>:Al</w:t>
      </w:r>
      <w:r>
        <w:rPr>
          <w:rFonts w:cs="Times New Roman"/>
          <w:b w:val="0"/>
          <w:szCs w:val="24"/>
          <w:vertAlign w:val="subscript"/>
        </w:rPr>
        <w:t>2</w:t>
      </w:r>
      <w:r>
        <w:rPr>
          <w:rFonts w:cs="Times New Roman"/>
          <w:b w:val="0"/>
          <w:szCs w:val="24"/>
        </w:rPr>
        <w:t>O</w:t>
      </w:r>
      <w:r>
        <w:rPr>
          <w:rFonts w:cs="Times New Roman"/>
          <w:b w:val="0"/>
          <w:szCs w:val="24"/>
          <w:vertAlign w:val="subscript"/>
        </w:rPr>
        <w:t>3</w:t>
      </w:r>
      <w:r>
        <w:rPr>
          <w:rFonts w:cs="Times New Roman"/>
          <w:b w:val="0"/>
          <w:szCs w:val="24"/>
        </w:rPr>
        <w:t>+B</w:t>
      </w:r>
      <w:r>
        <w:rPr>
          <w:rFonts w:cs="Times New Roman"/>
          <w:b w:val="0"/>
          <w:szCs w:val="24"/>
          <w:vertAlign w:val="subscript"/>
        </w:rPr>
        <w:t>2</w:t>
      </w:r>
      <w:r>
        <w:rPr>
          <w:rFonts w:cs="Times New Roman"/>
          <w:b w:val="0"/>
          <w:szCs w:val="24"/>
        </w:rPr>
        <w:t>O</w:t>
      </w:r>
      <w:r>
        <w:rPr>
          <w:rFonts w:cs="Times New Roman"/>
          <w:b w:val="0"/>
          <w:szCs w:val="24"/>
          <w:vertAlign w:val="subscript"/>
        </w:rPr>
        <w:t>3</w:t>
      </w:r>
      <w:r>
        <w:rPr>
          <w:rFonts w:cs="Times New Roman"/>
          <w:b w:val="0"/>
          <w:szCs w:val="24"/>
        </w:rPr>
        <w:t xml:space="preserve">: network modifier in 2 areas which are at around 85:35:15 and at 85:18:15 </w:t>
      </w:r>
      <w:proofErr w:type="spellStart"/>
      <w:r>
        <w:rPr>
          <w:rFonts w:cs="Times New Roman"/>
          <w:b w:val="0"/>
          <w:szCs w:val="24"/>
        </w:rPr>
        <w:t>wt</w:t>
      </w:r>
      <w:proofErr w:type="spellEnd"/>
      <w:r>
        <w:rPr>
          <w:rFonts w:cs="Times New Roman"/>
          <w:b w:val="0"/>
          <w:szCs w:val="24"/>
        </w:rPr>
        <w:t xml:space="preserve"> %. The </w:t>
      </w:r>
      <w:proofErr w:type="spellStart"/>
      <w:r>
        <w:rPr>
          <w:rFonts w:cs="Times New Roman"/>
          <w:b w:val="0"/>
          <w:szCs w:val="24"/>
        </w:rPr>
        <w:t>T</w:t>
      </w:r>
      <w:r>
        <w:rPr>
          <w:rFonts w:cs="Times New Roman"/>
          <w:b w:val="0"/>
          <w:i/>
          <w:szCs w:val="24"/>
          <w:vertAlign w:val="subscript"/>
        </w:rPr>
        <w:t>g</w:t>
      </w:r>
      <w:proofErr w:type="spellEnd"/>
      <w:r>
        <w:rPr>
          <w:rFonts w:cs="Times New Roman"/>
          <w:b w:val="0"/>
          <w:szCs w:val="24"/>
        </w:rPr>
        <w:t xml:space="preserve"> shows low values when Al</w:t>
      </w:r>
      <w:r>
        <w:rPr>
          <w:rFonts w:cs="Times New Roman"/>
          <w:b w:val="0"/>
          <w:szCs w:val="24"/>
          <w:vertAlign w:val="subscript"/>
        </w:rPr>
        <w:t>2</w:t>
      </w:r>
      <w:r>
        <w:rPr>
          <w:rFonts w:cs="Times New Roman"/>
          <w:b w:val="0"/>
          <w:szCs w:val="24"/>
        </w:rPr>
        <w:t>O</w:t>
      </w:r>
      <w:r>
        <w:rPr>
          <w:rFonts w:cs="Times New Roman"/>
          <w:b w:val="0"/>
          <w:szCs w:val="24"/>
          <w:vertAlign w:val="subscript"/>
        </w:rPr>
        <w:t>3</w:t>
      </w:r>
      <w:r>
        <w:rPr>
          <w:rFonts w:cs="Times New Roman"/>
          <w:b w:val="0"/>
          <w:szCs w:val="24"/>
        </w:rPr>
        <w:t>+B</w:t>
      </w:r>
      <w:r>
        <w:rPr>
          <w:rFonts w:cs="Times New Roman"/>
          <w:b w:val="0"/>
          <w:szCs w:val="24"/>
          <w:vertAlign w:val="subscript"/>
        </w:rPr>
        <w:t>2</w:t>
      </w:r>
      <w:r>
        <w:rPr>
          <w:rFonts w:cs="Times New Roman"/>
          <w:b w:val="0"/>
          <w:szCs w:val="24"/>
        </w:rPr>
        <w:t>O</w:t>
      </w:r>
      <w:r>
        <w:rPr>
          <w:rFonts w:cs="Times New Roman"/>
          <w:b w:val="0"/>
          <w:szCs w:val="24"/>
          <w:vertAlign w:val="subscript"/>
        </w:rPr>
        <w:t>3</w:t>
      </w:r>
      <w:r>
        <w:rPr>
          <w:rFonts w:cs="Times New Roman"/>
          <w:b w:val="0"/>
          <w:szCs w:val="24"/>
        </w:rPr>
        <w:t xml:space="preserve"> contents are less than 15 </w:t>
      </w:r>
      <w:proofErr w:type="spellStart"/>
      <w:r>
        <w:rPr>
          <w:rFonts w:cs="Times New Roman"/>
          <w:b w:val="0"/>
          <w:szCs w:val="24"/>
        </w:rPr>
        <w:t>wt</w:t>
      </w:r>
      <w:proofErr w:type="spellEnd"/>
      <w:r>
        <w:rPr>
          <w:rFonts w:cs="Times New Roman"/>
          <w:b w:val="0"/>
          <w:szCs w:val="24"/>
        </w:rPr>
        <w:t xml:space="preserve"> %. The possible cause for this is due to the multiple compositions used with </w:t>
      </w:r>
      <w:r w:rsidR="008C4D01">
        <w:rPr>
          <w:rFonts w:cs="Times New Roman"/>
          <w:b w:val="0"/>
          <w:szCs w:val="24"/>
        </w:rPr>
        <w:t xml:space="preserve">the </w:t>
      </w:r>
      <w:r>
        <w:rPr>
          <w:rFonts w:cs="Times New Roman"/>
          <w:b w:val="0"/>
          <w:szCs w:val="24"/>
        </w:rPr>
        <w:t xml:space="preserve">variable of network modifier contents thus there might cause different reactions to the structure. </w:t>
      </w:r>
    </w:p>
    <w:p w14:paraId="76D906F9" w14:textId="257C727E" w:rsidR="00BF600D" w:rsidRDefault="00BF600D" w:rsidP="00BF600D">
      <w:pPr>
        <w:spacing w:line="360" w:lineRule="auto"/>
        <w:jc w:val="center"/>
        <w:rPr>
          <w:rFonts w:cs="Times New Roman"/>
          <w:b w:val="0"/>
          <w:szCs w:val="24"/>
        </w:rPr>
      </w:pPr>
      <w:r>
        <w:rPr>
          <w:noProof/>
          <w:lang w:eastAsia="en-MY"/>
        </w:rPr>
        <w:lastRenderedPageBreak/>
        <w:drawing>
          <wp:inline distT="0" distB="0" distL="0" distR="0" wp14:anchorId="0B871621" wp14:editId="6130BAD5">
            <wp:extent cx="4314825" cy="340042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314825" cy="3400425"/>
                    </a:xfrm>
                    <a:prstGeom prst="rect">
                      <a:avLst/>
                    </a:prstGeom>
                    <a:noFill/>
                    <a:ln>
                      <a:noFill/>
                    </a:ln>
                  </pic:spPr>
                </pic:pic>
              </a:graphicData>
            </a:graphic>
          </wp:inline>
        </w:drawing>
      </w:r>
    </w:p>
    <w:p w14:paraId="7EED670E" w14:textId="3E638311" w:rsidR="00BF600D" w:rsidRDefault="00BF600D" w:rsidP="00BF600D">
      <w:pPr>
        <w:spacing w:line="360" w:lineRule="auto"/>
        <w:jc w:val="center"/>
        <w:rPr>
          <w:rFonts w:cs="Times New Roman"/>
          <w:b w:val="0"/>
          <w:szCs w:val="24"/>
        </w:rPr>
      </w:pPr>
      <w:r>
        <w:rPr>
          <w:noProof/>
          <w:lang w:eastAsia="en-MY"/>
        </w:rPr>
        <w:drawing>
          <wp:inline distT="0" distB="0" distL="0" distR="0" wp14:anchorId="5868A5C9" wp14:editId="6B47D92D">
            <wp:extent cx="4314825" cy="340042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314825" cy="3400425"/>
                    </a:xfrm>
                    <a:prstGeom prst="rect">
                      <a:avLst/>
                    </a:prstGeom>
                    <a:noFill/>
                    <a:ln>
                      <a:noFill/>
                    </a:ln>
                  </pic:spPr>
                </pic:pic>
              </a:graphicData>
            </a:graphic>
          </wp:inline>
        </w:drawing>
      </w:r>
    </w:p>
    <w:p w14:paraId="749773CD" w14:textId="3F2C159A" w:rsidR="00BF600D" w:rsidRDefault="00BF600D" w:rsidP="00BF600D">
      <w:pPr>
        <w:pStyle w:val="Caption"/>
        <w:rPr>
          <w:szCs w:val="24"/>
        </w:rPr>
      </w:pPr>
      <w:r>
        <w:t xml:space="preserve">Figure </w:t>
      </w:r>
      <w:r w:rsidR="0082632E">
        <w:t>5.2</w:t>
      </w:r>
      <w:r>
        <w:t xml:space="preserve">: </w:t>
      </w:r>
      <w:r>
        <w:rPr>
          <w:szCs w:val="24"/>
        </w:rPr>
        <w:t>Contour plots of hardness, indentation toughness and brittleness plotted on a compositional ternary based on network formers, modifiers and intermediates. (</w:t>
      </w:r>
      <w:r>
        <w:rPr>
          <w:i/>
          <w:szCs w:val="24"/>
        </w:rPr>
        <w:t>Continued on next page</w:t>
      </w:r>
      <w:r>
        <w:rPr>
          <w:szCs w:val="24"/>
        </w:rPr>
        <w:t>)</w:t>
      </w:r>
    </w:p>
    <w:p w14:paraId="71427914" w14:textId="77777777" w:rsidR="00BF600D" w:rsidRDefault="00BF600D" w:rsidP="00BF600D">
      <w:pPr>
        <w:spacing w:line="360" w:lineRule="auto"/>
        <w:jc w:val="center"/>
        <w:rPr>
          <w:rFonts w:cs="Times New Roman"/>
          <w:b w:val="0"/>
          <w:szCs w:val="24"/>
        </w:rPr>
      </w:pPr>
    </w:p>
    <w:p w14:paraId="1E2BECFA" w14:textId="3FCD30D5" w:rsidR="00BF600D" w:rsidRDefault="00BF600D" w:rsidP="00BF600D">
      <w:pPr>
        <w:spacing w:line="360" w:lineRule="auto"/>
        <w:jc w:val="center"/>
        <w:rPr>
          <w:rFonts w:cs="Times New Roman"/>
          <w:b w:val="0"/>
          <w:szCs w:val="24"/>
        </w:rPr>
      </w:pPr>
      <w:r>
        <w:rPr>
          <w:noProof/>
          <w:lang w:eastAsia="en-MY"/>
        </w:rPr>
        <w:lastRenderedPageBreak/>
        <w:drawing>
          <wp:inline distT="0" distB="0" distL="0" distR="0" wp14:anchorId="41ACF9E5" wp14:editId="08F1D035">
            <wp:extent cx="4314825" cy="340042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314825" cy="3400425"/>
                    </a:xfrm>
                    <a:prstGeom prst="rect">
                      <a:avLst/>
                    </a:prstGeom>
                    <a:noFill/>
                    <a:ln>
                      <a:noFill/>
                    </a:ln>
                  </pic:spPr>
                </pic:pic>
              </a:graphicData>
            </a:graphic>
          </wp:inline>
        </w:drawing>
      </w:r>
    </w:p>
    <w:p w14:paraId="162EFE47" w14:textId="22FD3671" w:rsidR="00BF600D" w:rsidRDefault="00BF600D" w:rsidP="00BF600D">
      <w:pPr>
        <w:pStyle w:val="Caption"/>
        <w:rPr>
          <w:szCs w:val="24"/>
        </w:rPr>
      </w:pPr>
      <w:bookmarkStart w:id="870" w:name="_Toc525706401"/>
      <w:bookmarkStart w:id="871" w:name="_Toc525528386"/>
      <w:bookmarkStart w:id="872" w:name="_Toc521420503"/>
      <w:bookmarkStart w:id="873" w:name="_Hlk515396807"/>
      <w:r>
        <w:t xml:space="preserve">Figure </w:t>
      </w:r>
      <w:r w:rsidR="0082632E">
        <w:t>5.2:</w:t>
      </w:r>
      <w:r>
        <w:t xml:space="preserve"> </w:t>
      </w:r>
      <w:r>
        <w:rPr>
          <w:szCs w:val="24"/>
        </w:rPr>
        <w:t>Contour plots of hardness, indentation toughness and brittleness plotted on a compositional ternary based on network formers, modifiers and intermediates.</w:t>
      </w:r>
      <w:bookmarkEnd w:id="870"/>
      <w:bookmarkEnd w:id="871"/>
      <w:bookmarkEnd w:id="872"/>
    </w:p>
    <w:p w14:paraId="23DD99E6" w14:textId="77777777" w:rsidR="00BF600D" w:rsidRDefault="00BF600D" w:rsidP="00BF600D">
      <w:pPr>
        <w:rPr>
          <w:lang w:val="en-GB"/>
        </w:rPr>
      </w:pPr>
    </w:p>
    <w:bookmarkEnd w:id="873"/>
    <w:p w14:paraId="0765D790" w14:textId="6C6D4C20" w:rsidR="00BF600D" w:rsidRDefault="00BF600D" w:rsidP="00BF600D">
      <w:pPr>
        <w:spacing w:line="360" w:lineRule="auto"/>
        <w:jc w:val="both"/>
        <w:rPr>
          <w:rFonts w:cs="Times New Roman"/>
          <w:b w:val="0"/>
          <w:szCs w:val="24"/>
        </w:rPr>
      </w:pPr>
      <w:r>
        <w:rPr>
          <w:rFonts w:cs="Times New Roman"/>
          <w:b w:val="0"/>
          <w:szCs w:val="24"/>
        </w:rPr>
        <w:t xml:space="preserve">Figure 5.2 shows the variation of hardness, indentation toughness and brittleness with the ternary based on formers, modifiers and intermediates. There is variation in the region where the maximum value for each property is found.  Hardness is maximised at low network intermediate contents (less than 8 </w:t>
      </w:r>
      <w:proofErr w:type="spellStart"/>
      <w:r>
        <w:rPr>
          <w:rFonts w:cs="Times New Roman"/>
          <w:b w:val="0"/>
          <w:szCs w:val="24"/>
        </w:rPr>
        <w:t>wt</w:t>
      </w:r>
      <w:proofErr w:type="spellEnd"/>
      <w:r>
        <w:rPr>
          <w:rFonts w:cs="Times New Roman"/>
          <w:b w:val="0"/>
          <w:szCs w:val="24"/>
        </w:rPr>
        <w:t xml:space="preserve"> %), 13-30 </w:t>
      </w:r>
      <w:proofErr w:type="spellStart"/>
      <w:r w:rsidR="00B84D99" w:rsidRPr="00B84D99">
        <w:rPr>
          <w:rFonts w:cs="Times New Roman"/>
          <w:b w:val="0"/>
          <w:szCs w:val="24"/>
        </w:rPr>
        <w:t>wt</w:t>
      </w:r>
      <w:proofErr w:type="spellEnd"/>
      <w:r w:rsidRPr="00B84D99">
        <w:rPr>
          <w:rFonts w:cs="Times New Roman"/>
          <w:b w:val="0"/>
          <w:szCs w:val="24"/>
        </w:rPr>
        <w:t xml:space="preserve">% network modifier and 75-83 </w:t>
      </w:r>
      <w:proofErr w:type="spellStart"/>
      <w:r w:rsidR="00B84D99" w:rsidRPr="00B84D99">
        <w:rPr>
          <w:rFonts w:cs="Times New Roman"/>
          <w:b w:val="0"/>
          <w:szCs w:val="24"/>
        </w:rPr>
        <w:t>wt</w:t>
      </w:r>
      <w:proofErr w:type="spellEnd"/>
      <w:r w:rsidRPr="00B84D99">
        <w:rPr>
          <w:rFonts w:cs="Times New Roman"/>
          <w:b w:val="0"/>
          <w:szCs w:val="24"/>
        </w:rPr>
        <w:t>% of network former. Meanwhile</w:t>
      </w:r>
      <w:r w:rsidR="008C4D01">
        <w:rPr>
          <w:rFonts w:cs="Times New Roman"/>
          <w:b w:val="0"/>
          <w:szCs w:val="24"/>
        </w:rPr>
        <w:t>,</w:t>
      </w:r>
      <w:r w:rsidRPr="00B84D99">
        <w:rPr>
          <w:rFonts w:cs="Times New Roman"/>
          <w:b w:val="0"/>
          <w:szCs w:val="24"/>
        </w:rPr>
        <w:t xml:space="preserve"> the lowest hardness occurs for very low network modifier contents.  Meanwhile</w:t>
      </w:r>
      <w:r w:rsidR="008C4D01">
        <w:rPr>
          <w:rFonts w:cs="Times New Roman"/>
          <w:b w:val="0"/>
          <w:szCs w:val="24"/>
        </w:rPr>
        <w:t>,</w:t>
      </w:r>
      <w:r w:rsidRPr="00B84D99">
        <w:rPr>
          <w:rFonts w:cs="Times New Roman"/>
          <w:b w:val="0"/>
          <w:szCs w:val="24"/>
        </w:rPr>
        <w:t xml:space="preserve"> indentation toughness shows the highest value at around 13-15 </w:t>
      </w:r>
      <w:proofErr w:type="spellStart"/>
      <w:r w:rsidRPr="00B84D99">
        <w:rPr>
          <w:rFonts w:cs="Times New Roman"/>
          <w:b w:val="0"/>
          <w:szCs w:val="24"/>
        </w:rPr>
        <w:t>wt</w:t>
      </w:r>
      <w:proofErr w:type="spellEnd"/>
      <w:r w:rsidRPr="00B84D99">
        <w:rPr>
          <w:rFonts w:cs="Times New Roman"/>
          <w:b w:val="0"/>
          <w:szCs w:val="24"/>
        </w:rPr>
        <w:t xml:space="preserve"> % network intermediates, along</w:t>
      </w:r>
      <w:r w:rsidR="008C4D01">
        <w:rPr>
          <w:rFonts w:cs="Times New Roman"/>
          <w:b w:val="0"/>
          <w:szCs w:val="24"/>
        </w:rPr>
        <w:t xml:space="preserve"> with</w:t>
      </w:r>
      <w:r w:rsidRPr="00B84D99">
        <w:rPr>
          <w:rFonts w:cs="Times New Roman"/>
          <w:b w:val="0"/>
          <w:szCs w:val="24"/>
        </w:rPr>
        <w:t xml:space="preserve"> 13-18 </w:t>
      </w:r>
      <w:proofErr w:type="spellStart"/>
      <w:r w:rsidRPr="00B84D99">
        <w:rPr>
          <w:rFonts w:cs="Times New Roman"/>
          <w:b w:val="0"/>
          <w:szCs w:val="24"/>
        </w:rPr>
        <w:t>wt</w:t>
      </w:r>
      <w:proofErr w:type="spellEnd"/>
      <w:r w:rsidRPr="00B84D99">
        <w:rPr>
          <w:rFonts w:cs="Times New Roman"/>
          <w:b w:val="0"/>
          <w:szCs w:val="24"/>
        </w:rPr>
        <w:t xml:space="preserve"> % of network modifier and 85-88 </w:t>
      </w:r>
      <w:proofErr w:type="spellStart"/>
      <w:r w:rsidRPr="00B84D99">
        <w:rPr>
          <w:rFonts w:cs="Times New Roman"/>
          <w:b w:val="0"/>
          <w:szCs w:val="24"/>
        </w:rPr>
        <w:t>wt</w:t>
      </w:r>
      <w:proofErr w:type="spellEnd"/>
      <w:r w:rsidRPr="00B84D99">
        <w:rPr>
          <w:rFonts w:cs="Times New Roman"/>
          <w:b w:val="0"/>
          <w:szCs w:val="24"/>
        </w:rPr>
        <w:t xml:space="preserve"> % network former. However, the brittleness shows the highest value at 5-13 </w:t>
      </w:r>
      <w:proofErr w:type="spellStart"/>
      <w:r w:rsidR="00B84D99" w:rsidRPr="00B84D99">
        <w:rPr>
          <w:rFonts w:cs="Times New Roman"/>
          <w:b w:val="0"/>
          <w:szCs w:val="24"/>
        </w:rPr>
        <w:t>wt</w:t>
      </w:r>
      <w:proofErr w:type="spellEnd"/>
      <w:r w:rsidR="00B84D99" w:rsidRPr="00B84D99">
        <w:rPr>
          <w:rFonts w:cs="Times New Roman"/>
          <w:b w:val="0"/>
          <w:szCs w:val="24"/>
        </w:rPr>
        <w:t xml:space="preserve"> </w:t>
      </w:r>
      <w:r w:rsidRPr="00B84D99">
        <w:rPr>
          <w:rFonts w:cs="Times New Roman"/>
          <w:b w:val="0"/>
          <w:szCs w:val="24"/>
        </w:rPr>
        <w:t xml:space="preserve">% network intermediates: 25-37 </w:t>
      </w:r>
      <w:proofErr w:type="spellStart"/>
      <w:r w:rsidRPr="00B84D99">
        <w:rPr>
          <w:rFonts w:cs="Times New Roman"/>
          <w:b w:val="0"/>
          <w:szCs w:val="24"/>
        </w:rPr>
        <w:t>wt</w:t>
      </w:r>
      <w:proofErr w:type="spellEnd"/>
      <w:r w:rsidRPr="00B84D99">
        <w:rPr>
          <w:rFonts w:cs="Times New Roman"/>
          <w:b w:val="0"/>
          <w:szCs w:val="24"/>
        </w:rPr>
        <w:t xml:space="preserve"> % network modifiers and 55-75 </w:t>
      </w:r>
      <w:proofErr w:type="spellStart"/>
      <w:r w:rsidR="00B84D99" w:rsidRPr="00B84D99">
        <w:rPr>
          <w:rFonts w:cs="Times New Roman"/>
          <w:b w:val="0"/>
          <w:szCs w:val="24"/>
        </w:rPr>
        <w:t>wt</w:t>
      </w:r>
      <w:proofErr w:type="spellEnd"/>
      <w:r w:rsidRPr="00B84D99">
        <w:rPr>
          <w:rFonts w:cs="Times New Roman"/>
          <w:b w:val="0"/>
          <w:szCs w:val="24"/>
        </w:rPr>
        <w:t>% network formers.</w:t>
      </w:r>
    </w:p>
    <w:p w14:paraId="690B5BF8" w14:textId="4065F748" w:rsidR="00BF600D" w:rsidRDefault="00BF600D" w:rsidP="00BF600D">
      <w:pPr>
        <w:spacing w:line="360" w:lineRule="auto"/>
        <w:jc w:val="center"/>
        <w:rPr>
          <w:rFonts w:cs="Times New Roman"/>
          <w:b w:val="0"/>
          <w:szCs w:val="24"/>
        </w:rPr>
      </w:pPr>
      <w:r>
        <w:rPr>
          <w:noProof/>
          <w:lang w:eastAsia="en-MY"/>
        </w:rPr>
        <w:lastRenderedPageBreak/>
        <w:drawing>
          <wp:inline distT="0" distB="0" distL="0" distR="0" wp14:anchorId="23FB92EC" wp14:editId="422FD75E">
            <wp:extent cx="4314825" cy="3429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314825" cy="3429000"/>
                    </a:xfrm>
                    <a:prstGeom prst="rect">
                      <a:avLst/>
                    </a:prstGeom>
                    <a:noFill/>
                    <a:ln>
                      <a:noFill/>
                    </a:ln>
                  </pic:spPr>
                </pic:pic>
              </a:graphicData>
            </a:graphic>
          </wp:inline>
        </w:drawing>
      </w:r>
    </w:p>
    <w:p w14:paraId="73D41CD2" w14:textId="271CC25D" w:rsidR="00BF600D" w:rsidRDefault="00BF600D" w:rsidP="00BF600D">
      <w:pPr>
        <w:spacing w:line="360" w:lineRule="auto"/>
        <w:jc w:val="center"/>
        <w:rPr>
          <w:rFonts w:cs="Times New Roman"/>
          <w:b w:val="0"/>
          <w:szCs w:val="24"/>
        </w:rPr>
      </w:pPr>
      <w:r>
        <w:rPr>
          <w:noProof/>
          <w:lang w:eastAsia="en-MY"/>
        </w:rPr>
        <w:drawing>
          <wp:inline distT="0" distB="0" distL="0" distR="0" wp14:anchorId="05401B37" wp14:editId="65BD3811">
            <wp:extent cx="4314825" cy="34290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314825" cy="3429000"/>
                    </a:xfrm>
                    <a:prstGeom prst="rect">
                      <a:avLst/>
                    </a:prstGeom>
                    <a:noFill/>
                    <a:ln>
                      <a:noFill/>
                    </a:ln>
                  </pic:spPr>
                </pic:pic>
              </a:graphicData>
            </a:graphic>
          </wp:inline>
        </w:drawing>
      </w:r>
    </w:p>
    <w:p w14:paraId="2B629B6D" w14:textId="542FC512" w:rsidR="00BF600D" w:rsidRDefault="0082632E" w:rsidP="00BF600D">
      <w:pPr>
        <w:pStyle w:val="Caption"/>
        <w:rPr>
          <w:b w:val="0"/>
          <w:szCs w:val="24"/>
        </w:rPr>
      </w:pPr>
      <w:r>
        <w:t>Figure 5.3:</w:t>
      </w:r>
      <w:r w:rsidR="00BF600D">
        <w:t xml:space="preserve"> </w:t>
      </w:r>
      <w:r w:rsidR="00BF600D">
        <w:rPr>
          <w:szCs w:val="24"/>
        </w:rPr>
        <w:t>Contour plots of hardness, indentation toughness and brittleness plotted on a compositional ternary based on SiO</w:t>
      </w:r>
      <w:r w:rsidR="00BF600D">
        <w:rPr>
          <w:szCs w:val="24"/>
          <w:vertAlign w:val="subscript"/>
        </w:rPr>
        <w:t>2</w:t>
      </w:r>
      <w:r w:rsidR="00BF600D">
        <w:rPr>
          <w:szCs w:val="24"/>
        </w:rPr>
        <w:t>, Al</w:t>
      </w:r>
      <w:r w:rsidR="00BF600D">
        <w:rPr>
          <w:szCs w:val="24"/>
          <w:vertAlign w:val="subscript"/>
        </w:rPr>
        <w:t>2</w:t>
      </w:r>
      <w:r w:rsidR="00BF600D">
        <w:rPr>
          <w:szCs w:val="24"/>
        </w:rPr>
        <w:t>O</w:t>
      </w:r>
      <w:r w:rsidR="00BF600D">
        <w:rPr>
          <w:szCs w:val="24"/>
          <w:vertAlign w:val="subscript"/>
        </w:rPr>
        <w:t>3</w:t>
      </w:r>
      <w:r w:rsidR="00BF600D">
        <w:rPr>
          <w:szCs w:val="24"/>
        </w:rPr>
        <w:t>+B</w:t>
      </w:r>
      <w:r w:rsidR="00BF600D">
        <w:rPr>
          <w:szCs w:val="24"/>
          <w:vertAlign w:val="subscript"/>
        </w:rPr>
        <w:t>2</w:t>
      </w:r>
      <w:r w:rsidR="00BF600D">
        <w:rPr>
          <w:szCs w:val="24"/>
        </w:rPr>
        <w:t>O</w:t>
      </w:r>
      <w:r w:rsidR="00BF600D">
        <w:rPr>
          <w:szCs w:val="24"/>
          <w:vertAlign w:val="subscript"/>
        </w:rPr>
        <w:t>3</w:t>
      </w:r>
      <w:r w:rsidR="00BF600D">
        <w:rPr>
          <w:szCs w:val="24"/>
        </w:rPr>
        <w:t xml:space="preserve"> and intermediates. (</w:t>
      </w:r>
      <w:r w:rsidR="00BF600D">
        <w:rPr>
          <w:i/>
          <w:szCs w:val="24"/>
        </w:rPr>
        <w:t>Continued on next page</w:t>
      </w:r>
      <w:r w:rsidR="00BF600D">
        <w:rPr>
          <w:szCs w:val="24"/>
        </w:rPr>
        <w:t>)</w:t>
      </w:r>
    </w:p>
    <w:p w14:paraId="00F1773F" w14:textId="77777777" w:rsidR="00BF600D" w:rsidRDefault="00BF600D" w:rsidP="00BF600D">
      <w:pPr>
        <w:spacing w:line="360" w:lineRule="auto"/>
        <w:jc w:val="center"/>
        <w:rPr>
          <w:rFonts w:cs="Times New Roman"/>
          <w:b w:val="0"/>
          <w:szCs w:val="24"/>
        </w:rPr>
      </w:pPr>
    </w:p>
    <w:p w14:paraId="4A786CC6" w14:textId="13007C07" w:rsidR="00BF600D" w:rsidRDefault="00BF600D" w:rsidP="00BF600D">
      <w:pPr>
        <w:spacing w:after="0" w:line="360" w:lineRule="auto"/>
        <w:jc w:val="center"/>
        <w:rPr>
          <w:rFonts w:cs="Times New Roman"/>
          <w:b w:val="0"/>
          <w:szCs w:val="24"/>
        </w:rPr>
      </w:pPr>
      <w:r>
        <w:rPr>
          <w:noProof/>
          <w:lang w:eastAsia="en-MY"/>
        </w:rPr>
        <w:lastRenderedPageBreak/>
        <w:drawing>
          <wp:inline distT="0" distB="0" distL="0" distR="0" wp14:anchorId="0760B84B" wp14:editId="6CB91250">
            <wp:extent cx="4314825" cy="3429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314825" cy="3429000"/>
                    </a:xfrm>
                    <a:prstGeom prst="rect">
                      <a:avLst/>
                    </a:prstGeom>
                    <a:noFill/>
                    <a:ln>
                      <a:noFill/>
                    </a:ln>
                  </pic:spPr>
                </pic:pic>
              </a:graphicData>
            </a:graphic>
          </wp:inline>
        </w:drawing>
      </w:r>
    </w:p>
    <w:p w14:paraId="08F1CD50" w14:textId="27F0FD97" w:rsidR="00BF600D" w:rsidRDefault="0082632E" w:rsidP="00BF600D">
      <w:pPr>
        <w:pStyle w:val="Caption"/>
        <w:rPr>
          <w:b w:val="0"/>
          <w:szCs w:val="24"/>
        </w:rPr>
      </w:pPr>
      <w:bookmarkStart w:id="874" w:name="_Toc525706402"/>
      <w:bookmarkStart w:id="875" w:name="_Toc525528387"/>
      <w:bookmarkStart w:id="876" w:name="_Toc521420504"/>
      <w:bookmarkStart w:id="877" w:name="_Hlk515396815"/>
      <w:r>
        <w:t>Figure 5.3:</w:t>
      </w:r>
      <w:r w:rsidR="00BF600D">
        <w:t xml:space="preserve"> </w:t>
      </w:r>
      <w:r w:rsidR="00BF600D">
        <w:rPr>
          <w:szCs w:val="24"/>
        </w:rPr>
        <w:t>Contour plots of hardness, indentation toughness and brittleness plotted on a compositional ternary based on SiO</w:t>
      </w:r>
      <w:r w:rsidR="00BF600D">
        <w:rPr>
          <w:szCs w:val="24"/>
          <w:vertAlign w:val="subscript"/>
        </w:rPr>
        <w:t>2</w:t>
      </w:r>
      <w:r w:rsidR="00BF600D">
        <w:rPr>
          <w:szCs w:val="24"/>
        </w:rPr>
        <w:t>, Al</w:t>
      </w:r>
      <w:r w:rsidR="00BF600D">
        <w:rPr>
          <w:szCs w:val="24"/>
          <w:vertAlign w:val="subscript"/>
        </w:rPr>
        <w:t>2</w:t>
      </w:r>
      <w:r w:rsidR="00BF600D">
        <w:rPr>
          <w:szCs w:val="24"/>
        </w:rPr>
        <w:t>O</w:t>
      </w:r>
      <w:r w:rsidR="00BF600D">
        <w:rPr>
          <w:szCs w:val="24"/>
          <w:vertAlign w:val="subscript"/>
        </w:rPr>
        <w:t>3</w:t>
      </w:r>
      <w:r w:rsidR="00BF600D">
        <w:rPr>
          <w:szCs w:val="24"/>
        </w:rPr>
        <w:t>+B</w:t>
      </w:r>
      <w:r w:rsidR="00BF600D">
        <w:rPr>
          <w:szCs w:val="24"/>
          <w:vertAlign w:val="subscript"/>
        </w:rPr>
        <w:t>2</w:t>
      </w:r>
      <w:r w:rsidR="00BF600D">
        <w:rPr>
          <w:szCs w:val="24"/>
        </w:rPr>
        <w:t>O</w:t>
      </w:r>
      <w:r w:rsidR="00BF600D">
        <w:rPr>
          <w:szCs w:val="24"/>
          <w:vertAlign w:val="subscript"/>
        </w:rPr>
        <w:t>3</w:t>
      </w:r>
      <w:r w:rsidR="00BF600D">
        <w:rPr>
          <w:szCs w:val="24"/>
        </w:rPr>
        <w:t xml:space="preserve"> and intermediates.</w:t>
      </w:r>
      <w:bookmarkEnd w:id="874"/>
      <w:bookmarkEnd w:id="875"/>
      <w:bookmarkEnd w:id="876"/>
    </w:p>
    <w:bookmarkEnd w:id="877"/>
    <w:p w14:paraId="3F5E2BC9" w14:textId="77777777" w:rsidR="00BF600D" w:rsidRDefault="00BF600D" w:rsidP="00BF600D">
      <w:pPr>
        <w:spacing w:line="360" w:lineRule="auto"/>
        <w:jc w:val="both"/>
        <w:rPr>
          <w:rFonts w:cs="Times New Roman"/>
          <w:b w:val="0"/>
          <w:szCs w:val="24"/>
        </w:rPr>
      </w:pPr>
      <w:r>
        <w:rPr>
          <w:rFonts w:cs="Times New Roman"/>
          <w:b w:val="0"/>
          <w:szCs w:val="24"/>
        </w:rPr>
        <w:t>Ternary plots of the mechanical properties in terms of SiO</w:t>
      </w:r>
      <w:r>
        <w:rPr>
          <w:rFonts w:cs="Times New Roman"/>
          <w:b w:val="0"/>
          <w:szCs w:val="24"/>
          <w:vertAlign w:val="subscript"/>
        </w:rPr>
        <w:t>2</w:t>
      </w:r>
      <w:r>
        <w:rPr>
          <w:rFonts w:cs="Times New Roman"/>
          <w:b w:val="0"/>
          <w:szCs w:val="24"/>
        </w:rPr>
        <w:t>:Al</w:t>
      </w:r>
      <w:r>
        <w:rPr>
          <w:rFonts w:cs="Times New Roman"/>
          <w:b w:val="0"/>
          <w:szCs w:val="24"/>
          <w:vertAlign w:val="subscript"/>
        </w:rPr>
        <w:t>2</w:t>
      </w:r>
      <w:r>
        <w:rPr>
          <w:rFonts w:cs="Times New Roman"/>
          <w:b w:val="0"/>
          <w:szCs w:val="24"/>
        </w:rPr>
        <w:t>O</w:t>
      </w:r>
      <w:r>
        <w:rPr>
          <w:rFonts w:cs="Times New Roman"/>
          <w:b w:val="0"/>
          <w:szCs w:val="24"/>
          <w:vertAlign w:val="subscript"/>
        </w:rPr>
        <w:t>3</w:t>
      </w:r>
      <w:r>
        <w:rPr>
          <w:rFonts w:cs="Times New Roman"/>
          <w:b w:val="0"/>
          <w:szCs w:val="24"/>
        </w:rPr>
        <w:t>+B</w:t>
      </w:r>
      <w:r>
        <w:rPr>
          <w:rFonts w:cs="Times New Roman"/>
          <w:b w:val="0"/>
          <w:szCs w:val="24"/>
          <w:vertAlign w:val="subscript"/>
        </w:rPr>
        <w:t>2</w:t>
      </w:r>
      <w:r>
        <w:rPr>
          <w:rFonts w:cs="Times New Roman"/>
          <w:b w:val="0"/>
          <w:szCs w:val="24"/>
        </w:rPr>
        <w:t>O</w:t>
      </w:r>
      <w:r>
        <w:rPr>
          <w:rFonts w:cs="Times New Roman"/>
          <w:b w:val="0"/>
          <w:szCs w:val="24"/>
          <w:vertAlign w:val="subscript"/>
        </w:rPr>
        <w:t xml:space="preserve"> </w:t>
      </w:r>
      <w:r>
        <w:rPr>
          <w:rFonts w:cs="Times New Roman"/>
          <w:b w:val="0"/>
          <w:szCs w:val="24"/>
        </w:rPr>
        <w:t>and network modifier are shown in Figure 5.3. However again the overall pattern is not significantly changed.</w:t>
      </w:r>
    </w:p>
    <w:p w14:paraId="1AC2A0ED" w14:textId="3F9A294B" w:rsidR="00BF600D" w:rsidRDefault="00BF600D" w:rsidP="00BF600D">
      <w:pPr>
        <w:spacing w:line="360" w:lineRule="auto"/>
        <w:jc w:val="center"/>
        <w:rPr>
          <w:rFonts w:cs="Times New Roman"/>
          <w:b w:val="0"/>
          <w:szCs w:val="24"/>
        </w:rPr>
      </w:pPr>
      <w:r>
        <w:rPr>
          <w:noProof/>
          <w:lang w:eastAsia="en-MY"/>
        </w:rPr>
        <w:drawing>
          <wp:inline distT="0" distB="0" distL="0" distR="0" wp14:anchorId="248AC846" wp14:editId="562AB622">
            <wp:extent cx="4314825" cy="340042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314825" cy="3400425"/>
                    </a:xfrm>
                    <a:prstGeom prst="rect">
                      <a:avLst/>
                    </a:prstGeom>
                    <a:noFill/>
                    <a:ln>
                      <a:noFill/>
                    </a:ln>
                  </pic:spPr>
                </pic:pic>
              </a:graphicData>
            </a:graphic>
          </wp:inline>
        </w:drawing>
      </w:r>
    </w:p>
    <w:p w14:paraId="37A474F2" w14:textId="6F546D3C" w:rsidR="00BF600D" w:rsidRDefault="0082632E" w:rsidP="00BF600D">
      <w:pPr>
        <w:pStyle w:val="Caption"/>
        <w:rPr>
          <w:szCs w:val="24"/>
        </w:rPr>
      </w:pPr>
      <w:r>
        <w:t>Figure 5.4:</w:t>
      </w:r>
      <w:r w:rsidR="00BF600D">
        <w:t xml:space="preserve"> </w:t>
      </w:r>
      <w:r w:rsidR="00BF600D">
        <w:rPr>
          <w:szCs w:val="24"/>
        </w:rPr>
        <w:t>Contour plots of bulk modulus, shear modulus, Young’s modulus and Poisson’s ratio plotted on a compositional ternary based on network formers, modifiers and intermediates (</w:t>
      </w:r>
      <w:r w:rsidR="00BF600D">
        <w:rPr>
          <w:i/>
          <w:szCs w:val="24"/>
        </w:rPr>
        <w:t>Continued on next page</w:t>
      </w:r>
      <w:r w:rsidR="00BF600D">
        <w:rPr>
          <w:szCs w:val="24"/>
        </w:rPr>
        <w:t>).</w:t>
      </w:r>
    </w:p>
    <w:p w14:paraId="3B274161" w14:textId="2F1849B5" w:rsidR="00BF600D" w:rsidRDefault="00BF600D" w:rsidP="00BF600D">
      <w:pPr>
        <w:spacing w:line="360" w:lineRule="auto"/>
        <w:jc w:val="center"/>
        <w:rPr>
          <w:rFonts w:cs="Times New Roman"/>
          <w:b w:val="0"/>
          <w:szCs w:val="24"/>
        </w:rPr>
      </w:pPr>
      <w:r>
        <w:rPr>
          <w:noProof/>
          <w:lang w:eastAsia="en-MY"/>
        </w:rPr>
        <w:lastRenderedPageBreak/>
        <w:drawing>
          <wp:inline distT="0" distB="0" distL="0" distR="0" wp14:anchorId="7B31F3A7" wp14:editId="5EF9C570">
            <wp:extent cx="4314825" cy="340042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314825" cy="3400425"/>
                    </a:xfrm>
                    <a:prstGeom prst="rect">
                      <a:avLst/>
                    </a:prstGeom>
                    <a:noFill/>
                    <a:ln>
                      <a:noFill/>
                    </a:ln>
                  </pic:spPr>
                </pic:pic>
              </a:graphicData>
            </a:graphic>
          </wp:inline>
        </w:drawing>
      </w:r>
    </w:p>
    <w:p w14:paraId="6C03FB6E" w14:textId="56E824F3" w:rsidR="00BF600D" w:rsidRDefault="00BF600D" w:rsidP="00BF600D">
      <w:pPr>
        <w:spacing w:line="360" w:lineRule="auto"/>
        <w:jc w:val="center"/>
        <w:rPr>
          <w:rFonts w:cs="Times New Roman"/>
          <w:b w:val="0"/>
          <w:szCs w:val="24"/>
        </w:rPr>
      </w:pPr>
      <w:r>
        <w:rPr>
          <w:noProof/>
          <w:lang w:eastAsia="en-MY"/>
        </w:rPr>
        <w:drawing>
          <wp:inline distT="0" distB="0" distL="0" distR="0" wp14:anchorId="465D3FC9" wp14:editId="300BFCA5">
            <wp:extent cx="4314825" cy="340042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314825" cy="3400425"/>
                    </a:xfrm>
                    <a:prstGeom prst="rect">
                      <a:avLst/>
                    </a:prstGeom>
                    <a:noFill/>
                    <a:ln>
                      <a:noFill/>
                    </a:ln>
                  </pic:spPr>
                </pic:pic>
              </a:graphicData>
            </a:graphic>
          </wp:inline>
        </w:drawing>
      </w:r>
    </w:p>
    <w:p w14:paraId="6FD198F4" w14:textId="1DB22127" w:rsidR="00BF600D" w:rsidRDefault="0082632E" w:rsidP="00BF600D">
      <w:pPr>
        <w:pStyle w:val="Caption"/>
        <w:rPr>
          <w:szCs w:val="24"/>
        </w:rPr>
      </w:pPr>
      <w:r>
        <w:t>Figure 5.4:</w:t>
      </w:r>
      <w:r w:rsidR="00BF600D">
        <w:t xml:space="preserve"> </w:t>
      </w:r>
      <w:r w:rsidR="00BF600D">
        <w:rPr>
          <w:szCs w:val="24"/>
        </w:rPr>
        <w:t>Contour plots of bulk modulus, shear modulus, Young’s modulus and Poisson’s ratio plotted on a compositional ternary based on network formers, modifiers and intermediates. (</w:t>
      </w:r>
      <w:r w:rsidR="00BF600D">
        <w:rPr>
          <w:i/>
          <w:szCs w:val="24"/>
        </w:rPr>
        <w:t>Continued on next page</w:t>
      </w:r>
      <w:r w:rsidR="00BF600D">
        <w:rPr>
          <w:szCs w:val="24"/>
        </w:rPr>
        <w:t>).</w:t>
      </w:r>
    </w:p>
    <w:p w14:paraId="56E5BB5B" w14:textId="77777777" w:rsidR="00BF600D" w:rsidRDefault="00BF600D" w:rsidP="00BF600D">
      <w:pPr>
        <w:spacing w:line="360" w:lineRule="auto"/>
        <w:jc w:val="center"/>
        <w:rPr>
          <w:rFonts w:cs="Times New Roman"/>
          <w:b w:val="0"/>
          <w:szCs w:val="24"/>
        </w:rPr>
      </w:pPr>
    </w:p>
    <w:p w14:paraId="46516F7E" w14:textId="459A61B7" w:rsidR="00BF600D" w:rsidRDefault="00BF600D" w:rsidP="00BF600D">
      <w:pPr>
        <w:spacing w:line="360" w:lineRule="auto"/>
        <w:jc w:val="center"/>
        <w:rPr>
          <w:rFonts w:cs="Times New Roman"/>
          <w:b w:val="0"/>
          <w:szCs w:val="24"/>
        </w:rPr>
      </w:pPr>
      <w:r>
        <w:rPr>
          <w:noProof/>
          <w:lang w:eastAsia="en-MY"/>
        </w:rPr>
        <w:lastRenderedPageBreak/>
        <w:drawing>
          <wp:inline distT="0" distB="0" distL="0" distR="0" wp14:anchorId="0264CE13" wp14:editId="7EEC2D7F">
            <wp:extent cx="4314825" cy="340042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314825" cy="3400425"/>
                    </a:xfrm>
                    <a:prstGeom prst="rect">
                      <a:avLst/>
                    </a:prstGeom>
                    <a:noFill/>
                    <a:ln>
                      <a:noFill/>
                    </a:ln>
                  </pic:spPr>
                </pic:pic>
              </a:graphicData>
            </a:graphic>
          </wp:inline>
        </w:drawing>
      </w:r>
    </w:p>
    <w:p w14:paraId="3D2F2205" w14:textId="11F25651" w:rsidR="00BF600D" w:rsidRDefault="0082632E" w:rsidP="00BF600D">
      <w:pPr>
        <w:jc w:val="center"/>
        <w:rPr>
          <w:szCs w:val="24"/>
        </w:rPr>
      </w:pPr>
      <w:bookmarkStart w:id="878" w:name="_Toc525706403"/>
      <w:bookmarkStart w:id="879" w:name="_Toc525528388"/>
      <w:bookmarkStart w:id="880" w:name="_Toc521420505"/>
      <w:bookmarkStart w:id="881" w:name="_Hlk515396828"/>
      <w:r>
        <w:rPr>
          <w:rFonts w:cs="Times New Roman"/>
          <w:szCs w:val="24"/>
        </w:rPr>
        <w:t>Figure 5.4:</w:t>
      </w:r>
      <w:r w:rsidR="00BF600D">
        <w:t xml:space="preserve"> </w:t>
      </w:r>
      <w:r w:rsidR="00BF600D">
        <w:rPr>
          <w:szCs w:val="24"/>
        </w:rPr>
        <w:t>Contour plots of bulk modulus, shear modulus, Young’s modulus and Poisson’s ratio plotted on a compositional ternary based on network formers, modifiers and intermediates.</w:t>
      </w:r>
      <w:bookmarkEnd w:id="878"/>
      <w:bookmarkEnd w:id="879"/>
      <w:bookmarkEnd w:id="880"/>
    </w:p>
    <w:bookmarkEnd w:id="881"/>
    <w:p w14:paraId="5438ED36" w14:textId="76D36326" w:rsidR="00BF600D" w:rsidRDefault="00BF600D" w:rsidP="00BF600D">
      <w:pPr>
        <w:spacing w:line="360" w:lineRule="auto"/>
        <w:jc w:val="both"/>
        <w:rPr>
          <w:rFonts w:cs="Times New Roman"/>
          <w:b w:val="0"/>
          <w:szCs w:val="24"/>
        </w:rPr>
      </w:pPr>
      <w:r>
        <w:rPr>
          <w:rFonts w:cs="Times New Roman"/>
          <w:b w:val="0"/>
          <w:szCs w:val="24"/>
        </w:rPr>
        <w:t xml:space="preserve">Figure 5.4 shows the moduli of the glasses plotted in terms of a compositional ternary. Bulk modulus, shear modulus and Young’s modulus show </w:t>
      </w:r>
      <w:r w:rsidR="000D097B">
        <w:rPr>
          <w:rFonts w:cs="Times New Roman"/>
          <w:b w:val="0"/>
          <w:szCs w:val="24"/>
        </w:rPr>
        <w:t xml:space="preserve">the </w:t>
      </w:r>
      <w:r>
        <w:rPr>
          <w:rFonts w:cs="Times New Roman"/>
          <w:b w:val="0"/>
          <w:szCs w:val="24"/>
        </w:rPr>
        <w:t xml:space="preserve">similar position of maximum value range with the highest values being in 2 areas: </w:t>
      </w:r>
      <w:proofErr w:type="spellStart"/>
      <w:r>
        <w:rPr>
          <w:rFonts w:cs="Times New Roman"/>
          <w:b w:val="0"/>
          <w:szCs w:val="24"/>
        </w:rPr>
        <w:t>i</w:t>
      </w:r>
      <w:proofErr w:type="spellEnd"/>
      <w:r>
        <w:rPr>
          <w:rFonts w:cs="Times New Roman"/>
          <w:b w:val="0"/>
          <w:szCs w:val="24"/>
        </w:rPr>
        <w:t xml:space="preserve">) 60-75 </w:t>
      </w:r>
      <w:proofErr w:type="spellStart"/>
      <w:r>
        <w:rPr>
          <w:rFonts w:cs="Times New Roman"/>
          <w:b w:val="0"/>
          <w:szCs w:val="24"/>
        </w:rPr>
        <w:t>wt</w:t>
      </w:r>
      <w:proofErr w:type="spellEnd"/>
      <w:r>
        <w:rPr>
          <w:rFonts w:cs="Times New Roman"/>
          <w:b w:val="0"/>
          <w:szCs w:val="24"/>
        </w:rPr>
        <w:t xml:space="preserve">% of </w:t>
      </w:r>
      <w:r w:rsidR="006E3879">
        <w:rPr>
          <w:rFonts w:cs="Times New Roman"/>
          <w:b w:val="0"/>
          <w:szCs w:val="24"/>
        </w:rPr>
        <w:t>n</w:t>
      </w:r>
      <w:r>
        <w:rPr>
          <w:rFonts w:cs="Times New Roman"/>
          <w:b w:val="0"/>
          <w:szCs w:val="24"/>
        </w:rPr>
        <w:t xml:space="preserve">etwork former with very low intermediate contents and 3-8 </w:t>
      </w:r>
      <w:proofErr w:type="spellStart"/>
      <w:r>
        <w:rPr>
          <w:rFonts w:cs="Times New Roman"/>
          <w:b w:val="0"/>
          <w:szCs w:val="24"/>
        </w:rPr>
        <w:t>wt</w:t>
      </w:r>
      <w:proofErr w:type="spellEnd"/>
      <w:r>
        <w:rPr>
          <w:rFonts w:cs="Times New Roman"/>
          <w:b w:val="0"/>
          <w:szCs w:val="24"/>
        </w:rPr>
        <w:t xml:space="preserve"> % network modifier.  Meanwhile, Poisson’s ratio shows the highest values at ratios of network former: network intermediate: network modifier 70-75:25-30:15-25 </w:t>
      </w:r>
      <w:proofErr w:type="spellStart"/>
      <w:r>
        <w:rPr>
          <w:rFonts w:cs="Times New Roman"/>
          <w:b w:val="0"/>
          <w:szCs w:val="24"/>
        </w:rPr>
        <w:t>wt</w:t>
      </w:r>
      <w:proofErr w:type="spellEnd"/>
      <w:r>
        <w:rPr>
          <w:rFonts w:cs="Times New Roman"/>
          <w:b w:val="0"/>
          <w:szCs w:val="24"/>
        </w:rPr>
        <w:t xml:space="preserve"> % and 58:42:12 </w:t>
      </w:r>
      <w:proofErr w:type="spellStart"/>
      <w:r w:rsidR="00B84D99">
        <w:rPr>
          <w:rFonts w:cs="Times New Roman"/>
          <w:b w:val="0"/>
          <w:szCs w:val="24"/>
        </w:rPr>
        <w:t>wt</w:t>
      </w:r>
      <w:proofErr w:type="spellEnd"/>
      <w:r>
        <w:rPr>
          <w:rFonts w:cs="Times New Roman"/>
          <w:b w:val="0"/>
          <w:szCs w:val="24"/>
        </w:rPr>
        <w:t>%.</w:t>
      </w:r>
    </w:p>
    <w:p w14:paraId="26F110D4" w14:textId="7CF0440B" w:rsidR="00BF600D" w:rsidRDefault="00BF600D" w:rsidP="00BF600D">
      <w:pPr>
        <w:spacing w:line="360" w:lineRule="auto"/>
        <w:jc w:val="both"/>
        <w:rPr>
          <w:b w:val="0"/>
        </w:rPr>
      </w:pPr>
      <w:r>
        <w:rPr>
          <w:b w:val="0"/>
        </w:rPr>
        <w:t>To summarise the compositional effects</w:t>
      </w:r>
      <w:r w:rsidR="0081167C">
        <w:rPr>
          <w:b w:val="0"/>
        </w:rPr>
        <w:t>,</w:t>
      </w:r>
      <w:r>
        <w:rPr>
          <w:b w:val="0"/>
        </w:rPr>
        <w:t xml:space="preserve"> brittleness, Young’s modulus, shear modulus and bulk modulus and the hardness have their maximum values in the same region. Meanwhile</w:t>
      </w:r>
      <w:r w:rsidR="008C4D01">
        <w:rPr>
          <w:b w:val="0"/>
        </w:rPr>
        <w:t>,</w:t>
      </w:r>
      <w:r>
        <w:rPr>
          <w:b w:val="0"/>
        </w:rPr>
        <w:t xml:space="preserve"> the maxima in </w:t>
      </w:r>
      <w:proofErr w:type="spellStart"/>
      <w:r>
        <w:rPr>
          <w:b w:val="0"/>
        </w:rPr>
        <w:t>T</w:t>
      </w:r>
      <w:r>
        <w:rPr>
          <w:b w:val="0"/>
          <w:i/>
          <w:vertAlign w:val="subscript"/>
        </w:rPr>
        <w:t>g</w:t>
      </w:r>
      <w:proofErr w:type="spellEnd"/>
      <w:r>
        <w:rPr>
          <w:b w:val="0"/>
        </w:rPr>
        <w:t xml:space="preserve"> and Poisson’s ratio are also correlated. </w:t>
      </w:r>
      <w:r w:rsidR="006E3879">
        <w:rPr>
          <w:b w:val="0"/>
        </w:rPr>
        <w:t xml:space="preserve">In term of glass structural correlation to the properties presents, it can be seen that the mechanical properties give the maximum value </w:t>
      </w:r>
      <w:r w:rsidR="00453F80">
        <w:rPr>
          <w:b w:val="0"/>
        </w:rPr>
        <w:t xml:space="preserve">at high network former, around 65 </w:t>
      </w:r>
      <w:proofErr w:type="spellStart"/>
      <w:r w:rsidR="00453F80">
        <w:rPr>
          <w:b w:val="0"/>
        </w:rPr>
        <w:t>wt</w:t>
      </w:r>
      <w:proofErr w:type="spellEnd"/>
      <w:r w:rsidR="00453F80">
        <w:rPr>
          <w:b w:val="0"/>
        </w:rPr>
        <w:t xml:space="preserve"> % and above and thus indicate that the high connectivity </w:t>
      </w:r>
      <w:r w:rsidR="003733FA">
        <w:rPr>
          <w:b w:val="0"/>
        </w:rPr>
        <w:t>will increase the</w:t>
      </w:r>
      <w:r w:rsidR="00453F80">
        <w:rPr>
          <w:b w:val="0"/>
        </w:rPr>
        <w:t xml:space="preserve"> mechanical properties</w:t>
      </w:r>
      <w:r w:rsidR="003733FA">
        <w:rPr>
          <w:b w:val="0"/>
        </w:rPr>
        <w:t xml:space="preserve"> in this boroaluminosilicate</w:t>
      </w:r>
      <w:r w:rsidR="00453F80">
        <w:rPr>
          <w:b w:val="0"/>
        </w:rPr>
        <w:t xml:space="preserve">. </w:t>
      </w:r>
      <w:r w:rsidR="003733FA">
        <w:rPr>
          <w:b w:val="0"/>
        </w:rPr>
        <w:t xml:space="preserve">However, the appearance of </w:t>
      </w:r>
      <w:r w:rsidR="008C4D01">
        <w:rPr>
          <w:b w:val="0"/>
        </w:rPr>
        <w:t xml:space="preserve">the </w:t>
      </w:r>
      <w:r w:rsidR="003733FA">
        <w:rPr>
          <w:b w:val="0"/>
        </w:rPr>
        <w:t xml:space="preserve">intermediate network, Al in range of 4-15 </w:t>
      </w:r>
      <w:proofErr w:type="spellStart"/>
      <w:r w:rsidR="003733FA">
        <w:rPr>
          <w:b w:val="0"/>
        </w:rPr>
        <w:t>wt</w:t>
      </w:r>
      <w:proofErr w:type="spellEnd"/>
      <w:r w:rsidR="003733FA">
        <w:rPr>
          <w:b w:val="0"/>
        </w:rPr>
        <w:t xml:space="preserve">% </w:t>
      </w:r>
      <w:r w:rsidR="008C4D01">
        <w:rPr>
          <w:b w:val="0"/>
        </w:rPr>
        <w:t xml:space="preserve">is </w:t>
      </w:r>
      <w:r w:rsidR="003733FA">
        <w:rPr>
          <w:b w:val="0"/>
        </w:rPr>
        <w:t xml:space="preserve">also </w:t>
      </w:r>
      <w:r w:rsidR="000D097B">
        <w:rPr>
          <w:b w:val="0"/>
        </w:rPr>
        <w:t xml:space="preserve">contributing </w:t>
      </w:r>
      <w:r w:rsidR="003733FA">
        <w:rPr>
          <w:b w:val="0"/>
        </w:rPr>
        <w:t xml:space="preserve">to the properties present </w:t>
      </w:r>
      <w:r w:rsidR="00B84D99">
        <w:rPr>
          <w:b w:val="0"/>
        </w:rPr>
        <w:t>because the</w:t>
      </w:r>
      <w:r w:rsidR="003733FA">
        <w:rPr>
          <w:b w:val="0"/>
        </w:rPr>
        <w:t xml:space="preserve"> amounts of Al will present their function either become network former or network modifier.</w:t>
      </w:r>
    </w:p>
    <w:p w14:paraId="091F5130" w14:textId="77777777" w:rsidR="00BF600D" w:rsidRDefault="00BF600D" w:rsidP="00BF600D">
      <w:pPr>
        <w:keepNext/>
        <w:keepLines/>
        <w:spacing w:before="40" w:after="0" w:line="360" w:lineRule="auto"/>
        <w:ind w:left="360" w:hanging="360"/>
        <w:jc w:val="both"/>
        <w:outlineLvl w:val="2"/>
        <w:rPr>
          <w:rFonts w:eastAsiaTheme="majorEastAsia" w:cstheme="majorBidi"/>
          <w:color w:val="000000" w:themeColor="text1"/>
          <w:szCs w:val="24"/>
        </w:rPr>
      </w:pPr>
      <w:bookmarkStart w:id="882" w:name="_Toc525742541"/>
      <w:bookmarkStart w:id="883" w:name="_Toc525707876"/>
      <w:bookmarkStart w:id="884" w:name="_Toc525526451"/>
      <w:bookmarkStart w:id="885" w:name="_Toc523402940"/>
      <w:bookmarkStart w:id="886" w:name="_Toc515398741"/>
      <w:bookmarkStart w:id="887" w:name="_Toc12994976"/>
      <w:r>
        <w:rPr>
          <w:rFonts w:eastAsiaTheme="majorEastAsia" w:cstheme="majorBidi"/>
          <w:color w:val="000000" w:themeColor="text1"/>
          <w:szCs w:val="24"/>
        </w:rPr>
        <w:lastRenderedPageBreak/>
        <w:t>5.2 3-D correlation of properties</w:t>
      </w:r>
      <w:bookmarkEnd w:id="882"/>
      <w:bookmarkEnd w:id="883"/>
      <w:bookmarkEnd w:id="884"/>
      <w:bookmarkEnd w:id="885"/>
      <w:bookmarkEnd w:id="886"/>
      <w:bookmarkEnd w:id="887"/>
      <w:r>
        <w:rPr>
          <w:rFonts w:eastAsiaTheme="majorEastAsia" w:cstheme="majorBidi"/>
          <w:color w:val="000000" w:themeColor="text1"/>
          <w:szCs w:val="24"/>
        </w:rPr>
        <w:t xml:space="preserve"> </w:t>
      </w:r>
    </w:p>
    <w:p w14:paraId="117A4C72" w14:textId="194E4C97" w:rsidR="00BF600D" w:rsidRDefault="00BF600D" w:rsidP="00BF600D">
      <w:pPr>
        <w:rPr>
          <w:rFonts w:cs="Times New Roman"/>
          <w:szCs w:val="24"/>
        </w:rPr>
      </w:pPr>
      <w:r>
        <w:rPr>
          <w:noProof/>
          <w:lang w:eastAsia="en-MY"/>
        </w:rPr>
        <mc:AlternateContent>
          <mc:Choice Requires="wps">
            <w:drawing>
              <wp:anchor distT="0" distB="0" distL="114300" distR="114300" simplePos="0" relativeHeight="252516352" behindDoc="0" locked="0" layoutInCell="1" allowOverlap="1" wp14:anchorId="4BA73F89" wp14:editId="184E9246">
                <wp:simplePos x="0" y="0"/>
                <wp:positionH relativeFrom="column">
                  <wp:posOffset>133350</wp:posOffset>
                </wp:positionH>
                <wp:positionV relativeFrom="paragraph">
                  <wp:posOffset>201930</wp:posOffset>
                </wp:positionV>
                <wp:extent cx="415925" cy="368300"/>
                <wp:effectExtent l="0" t="0" r="0" b="0"/>
                <wp:wrapNone/>
                <wp:docPr id="1814" name="Text Box 1814"/>
                <wp:cNvGraphicFramePr/>
                <a:graphic xmlns:a="http://schemas.openxmlformats.org/drawingml/2006/main">
                  <a:graphicData uri="http://schemas.microsoft.com/office/word/2010/wordprocessingShape">
                    <wps:wsp>
                      <wps:cNvSpPr txBox="1"/>
                      <wps:spPr>
                        <a:xfrm>
                          <a:off x="0" y="0"/>
                          <a:ext cx="415290" cy="367665"/>
                        </a:xfrm>
                        <a:prstGeom prst="rect">
                          <a:avLst/>
                        </a:prstGeom>
                        <a:noFill/>
                        <a:ln w="6350">
                          <a:noFill/>
                        </a:ln>
                      </wps:spPr>
                      <wps:txbx>
                        <w:txbxContent>
                          <w:p w14:paraId="3D9A030E" w14:textId="77777777" w:rsidR="00230AB9" w:rsidRDefault="00230AB9" w:rsidP="00BF600D">
                            <w:pPr>
                              <w:rPr>
                                <w:rFonts w:cs="Times New Roman"/>
                                <w:szCs w:val="24"/>
                              </w:rPr>
                            </w:pPr>
                            <w:r>
                              <w:rPr>
                                <w:rFonts w:cs="Times New Roman"/>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A73F89" id="Text Box 1814" o:spid="_x0000_s1369" type="#_x0000_t202" style="position:absolute;margin-left:10.5pt;margin-top:15.9pt;width:32.75pt;height:29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" filled="f" stroked="f" strokeweight=".5pt">
                <v:textbox>
                  <w:txbxContent>
                    <w:p w14:paraId="3D9A030E" w14:textId="77777777" w:rsidR="00230AB9" w:rsidRDefault="00230AB9" w:rsidP="00BF600D">
                      <w:pPr>
                        <w:rPr>
                          <w:rFonts w:cs="Times New Roman"/>
                          <w:szCs w:val="24"/>
                        </w:rPr>
                      </w:pPr>
                      <w:r>
                        <w:rPr>
                          <w:rFonts w:cs="Times New Roman"/>
                          <w:szCs w:val="24"/>
                        </w:rPr>
                        <w:t>a)</w:t>
                      </w:r>
                    </w:p>
                  </w:txbxContent>
                </v:textbox>
              </v:shape>
            </w:pict>
          </mc:Fallback>
        </mc:AlternateContent>
      </w:r>
      <w:r>
        <w:rPr>
          <w:noProof/>
          <w:lang w:eastAsia="en-MY"/>
        </w:rPr>
        <mc:AlternateContent>
          <mc:Choice Requires="wps">
            <w:drawing>
              <wp:anchor distT="0" distB="0" distL="114300" distR="114300" simplePos="0" relativeHeight="252517376" behindDoc="0" locked="0" layoutInCell="1" allowOverlap="1" wp14:anchorId="6A3D394B" wp14:editId="0095DE3E">
                <wp:simplePos x="0" y="0"/>
                <wp:positionH relativeFrom="column">
                  <wp:posOffset>2716530</wp:posOffset>
                </wp:positionH>
                <wp:positionV relativeFrom="paragraph">
                  <wp:posOffset>238760</wp:posOffset>
                </wp:positionV>
                <wp:extent cx="415925" cy="368300"/>
                <wp:effectExtent l="0" t="0" r="0" b="0"/>
                <wp:wrapNone/>
                <wp:docPr id="1815" name="Text Box 1815"/>
                <wp:cNvGraphicFramePr/>
                <a:graphic xmlns:a="http://schemas.openxmlformats.org/drawingml/2006/main">
                  <a:graphicData uri="http://schemas.microsoft.com/office/word/2010/wordprocessingShape">
                    <wps:wsp>
                      <wps:cNvSpPr txBox="1"/>
                      <wps:spPr>
                        <a:xfrm>
                          <a:off x="0" y="0"/>
                          <a:ext cx="415290" cy="367665"/>
                        </a:xfrm>
                        <a:prstGeom prst="rect">
                          <a:avLst/>
                        </a:prstGeom>
                        <a:noFill/>
                        <a:ln w="6350">
                          <a:noFill/>
                        </a:ln>
                      </wps:spPr>
                      <wps:txbx>
                        <w:txbxContent>
                          <w:p w14:paraId="7615419F" w14:textId="77777777" w:rsidR="00230AB9" w:rsidRDefault="00230AB9" w:rsidP="00BF600D">
                            <w:pPr>
                              <w:rPr>
                                <w:rFonts w:cs="Times New Roman"/>
                                <w:szCs w:val="24"/>
                              </w:rPr>
                            </w:pPr>
                            <w:r>
                              <w:rPr>
                                <w:rFonts w:cs="Times New Roman"/>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3D394B" id="Text Box 1815" o:spid="_x0000_s1370" type="#_x0000_t202" style="position:absolute;margin-left:213.9pt;margin-top:18.8pt;width:32.75pt;height:29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" filled="f" stroked="f" strokeweight=".5pt">
                <v:textbox>
                  <w:txbxContent>
                    <w:p w14:paraId="7615419F" w14:textId="77777777" w:rsidR="00230AB9" w:rsidRDefault="00230AB9" w:rsidP="00BF600D">
                      <w:pPr>
                        <w:rPr>
                          <w:rFonts w:cs="Times New Roman"/>
                          <w:szCs w:val="24"/>
                        </w:rPr>
                      </w:pPr>
                      <w:r>
                        <w:rPr>
                          <w:rFonts w:cs="Times New Roman"/>
                          <w:szCs w:val="24"/>
                        </w:rPr>
                        <w:t>b)</w:t>
                      </w:r>
                    </w:p>
                  </w:txbxContent>
                </v:textbox>
              </v:shape>
            </w:pict>
          </mc:Fallback>
        </mc:AlternateContent>
      </w:r>
      <w:r>
        <w:rPr>
          <w:rFonts w:asciiTheme="minorHAnsi" w:hAnsiTheme="minorHAnsi"/>
          <w:b w:val="0"/>
          <w:noProof/>
          <w:sz w:val="22"/>
          <w:lang w:eastAsia="en-MY"/>
        </w:rPr>
        <w:drawing>
          <wp:inline distT="0" distB="0" distL="0" distR="0" wp14:anchorId="70427063" wp14:editId="79505F6C">
            <wp:extent cx="2590800" cy="2524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590800" cy="2524125"/>
                    </a:xfrm>
                    <a:prstGeom prst="rect">
                      <a:avLst/>
                    </a:prstGeom>
                    <a:noFill/>
                    <a:ln>
                      <a:noFill/>
                    </a:ln>
                  </pic:spPr>
                </pic:pic>
              </a:graphicData>
            </a:graphic>
          </wp:inline>
        </w:drawing>
      </w:r>
      <w:r>
        <w:rPr>
          <w:rFonts w:cs="Times New Roman"/>
          <w:szCs w:val="24"/>
        </w:rPr>
        <w:t xml:space="preserve"> </w:t>
      </w:r>
      <w:r>
        <w:rPr>
          <w:noProof/>
          <w:lang w:eastAsia="en-MY"/>
        </w:rPr>
        <w:drawing>
          <wp:inline distT="0" distB="0" distL="0" distR="0" wp14:anchorId="3FDE7CBB" wp14:editId="559FEF1D">
            <wp:extent cx="2552700" cy="25241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0"/>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552700" cy="2524125"/>
                    </a:xfrm>
                    <a:prstGeom prst="rect">
                      <a:avLst/>
                    </a:prstGeom>
                    <a:noFill/>
                    <a:ln>
                      <a:noFill/>
                    </a:ln>
                  </pic:spPr>
                </pic:pic>
              </a:graphicData>
            </a:graphic>
          </wp:inline>
        </w:drawing>
      </w:r>
    </w:p>
    <w:p w14:paraId="1BD3791F" w14:textId="77777777" w:rsidR="00BF600D" w:rsidRDefault="00BF600D" w:rsidP="00BF600D">
      <w:pPr>
        <w:jc w:val="center"/>
        <w:rPr>
          <w:rFonts w:asciiTheme="minorHAnsi" w:hAnsiTheme="minorHAnsi"/>
          <w:b w:val="0"/>
          <w:sz w:val="22"/>
        </w:rPr>
      </w:pPr>
    </w:p>
    <w:p w14:paraId="1ADA6D96" w14:textId="20DF793E" w:rsidR="00BF600D" w:rsidRDefault="0082632E" w:rsidP="00BF600D">
      <w:pPr>
        <w:pStyle w:val="Caption"/>
        <w:rPr>
          <w:szCs w:val="24"/>
        </w:rPr>
      </w:pPr>
      <w:bookmarkStart w:id="888" w:name="_Toc525706404"/>
      <w:bookmarkStart w:id="889" w:name="_Toc525528389"/>
      <w:bookmarkStart w:id="890" w:name="_Toc521420506"/>
      <w:bookmarkStart w:id="891" w:name="_Hlk515396836"/>
      <w:r>
        <w:t>Figure 5.5:</w:t>
      </w:r>
      <w:r w:rsidR="00BF600D">
        <w:t xml:space="preserve"> </w:t>
      </w:r>
      <w:r w:rsidR="00BF600D">
        <w:rPr>
          <w:szCs w:val="24"/>
        </w:rPr>
        <w:t>3-D correlation between composition and properties.</w:t>
      </w:r>
      <w:bookmarkEnd w:id="888"/>
      <w:bookmarkEnd w:id="889"/>
      <w:bookmarkEnd w:id="890"/>
      <w:r w:rsidR="00BF600D">
        <w:rPr>
          <w:szCs w:val="24"/>
        </w:rPr>
        <w:t xml:space="preserve"> </w:t>
      </w:r>
    </w:p>
    <w:bookmarkEnd w:id="891"/>
    <w:p w14:paraId="48AAC65E" w14:textId="77777777" w:rsidR="00BF600D" w:rsidRDefault="00BF600D" w:rsidP="00BF600D">
      <w:pPr>
        <w:jc w:val="both"/>
        <w:rPr>
          <w:rFonts w:eastAsiaTheme="majorEastAsia" w:cstheme="majorBidi"/>
          <w:color w:val="000000" w:themeColor="text1"/>
          <w:szCs w:val="24"/>
        </w:rPr>
      </w:pPr>
    </w:p>
    <w:p w14:paraId="5A88EACD" w14:textId="77777777" w:rsidR="00BF600D" w:rsidRDefault="00BF600D" w:rsidP="00BF600D">
      <w:pPr>
        <w:pStyle w:val="CommentText"/>
        <w:spacing w:line="360" w:lineRule="auto"/>
        <w:jc w:val="both"/>
      </w:pPr>
      <w:r>
        <w:rPr>
          <w:rFonts w:ascii="Times New Roman" w:hAnsi="Times New Roman" w:cs="Times New Roman"/>
          <w:sz w:val="24"/>
          <w:szCs w:val="24"/>
        </w:rPr>
        <w:t xml:space="preserve">Figure 5.5 shows some 3-D correlations between composition and properties with Figure 5.5 a) showing the correlation between molar volume, shear modulus and glass transition temperature. These graphs show that as the glass transition temperature increases the molar volume increases and the shear modulus decreases. Higher </w:t>
      </w:r>
      <w:proofErr w:type="spellStart"/>
      <w:r>
        <w:rPr>
          <w:rFonts w:ascii="Times New Roman" w:hAnsi="Times New Roman" w:cs="Times New Roman"/>
          <w:sz w:val="24"/>
          <w:szCs w:val="24"/>
        </w:rPr>
        <w:t>T</w:t>
      </w:r>
      <w:r>
        <w:rPr>
          <w:rFonts w:ascii="Times New Roman" w:hAnsi="Times New Roman" w:cs="Times New Roman"/>
          <w:i/>
          <w:sz w:val="24"/>
          <w:szCs w:val="24"/>
          <w:vertAlign w:val="subscript"/>
        </w:rPr>
        <w:t>g</w:t>
      </w:r>
      <w:proofErr w:type="spellEnd"/>
      <w:r>
        <w:rPr>
          <w:rFonts w:ascii="Times New Roman" w:hAnsi="Times New Roman" w:cs="Times New Roman"/>
          <w:sz w:val="24"/>
          <w:szCs w:val="24"/>
        </w:rPr>
        <w:t xml:space="preserve"> implies a more connected glass which may have less efficient packing and thus higher molar volume. The graph implies that higher packing density then gives rise to structures that are more difficult to shear</w:t>
      </w:r>
      <w:r>
        <w:t>.</w:t>
      </w:r>
    </w:p>
    <w:p w14:paraId="51A48E77" w14:textId="3EDDF404" w:rsidR="00BF600D" w:rsidRDefault="00BF600D" w:rsidP="00BF600D">
      <w:pPr>
        <w:pStyle w:val="CommentText"/>
        <w:spacing w:line="360" w:lineRule="auto"/>
        <w:jc w:val="both"/>
      </w:pPr>
      <w:r>
        <w:rPr>
          <w:rFonts w:ascii="Times New Roman" w:hAnsi="Times New Roman" w:cs="Times New Roman"/>
          <w:sz w:val="24"/>
          <w:szCs w:val="24"/>
        </w:rPr>
        <w:t xml:space="preserve">Meanwhile Figure 5.5 b) shows the correlation between hardness, glass transition temperature and network former used. Increased network charge balance results in decreasing glass transition temperatures and increased hardness values. Increasing the network modifier content will increase the number of NBOs thus depolymerising the glass structure. </w:t>
      </w:r>
      <w:r>
        <w:rPr>
          <w:rFonts w:ascii="Times New Roman" w:eastAsiaTheme="majorEastAsia" w:hAnsi="Times New Roman" w:cs="Times New Roman"/>
          <w:color w:val="000000" w:themeColor="text1"/>
          <w:sz w:val="24"/>
          <w:szCs w:val="24"/>
        </w:rPr>
        <w:t xml:space="preserve">With a more depolymerised structure, it is easier for the glass to transform </w:t>
      </w:r>
      <w:r w:rsidR="008C4D01">
        <w:rPr>
          <w:rFonts w:ascii="Times New Roman" w:eastAsiaTheme="majorEastAsia" w:hAnsi="Times New Roman" w:cs="Times New Roman"/>
          <w:color w:val="000000" w:themeColor="text1"/>
          <w:sz w:val="24"/>
          <w:szCs w:val="24"/>
        </w:rPr>
        <w:t>in</w:t>
      </w:r>
      <w:r>
        <w:rPr>
          <w:rFonts w:ascii="Times New Roman" w:eastAsiaTheme="majorEastAsia" w:hAnsi="Times New Roman" w:cs="Times New Roman"/>
          <w:color w:val="000000" w:themeColor="text1"/>
          <w:sz w:val="24"/>
          <w:szCs w:val="24"/>
        </w:rPr>
        <w:t xml:space="preserve">to a liquid on heating. </w:t>
      </w:r>
    </w:p>
    <w:p w14:paraId="30FA5CD3" w14:textId="77777777" w:rsidR="00BF600D" w:rsidRDefault="00BF600D" w:rsidP="00BF600D">
      <w:pPr>
        <w:jc w:val="center"/>
        <w:rPr>
          <w:rFonts w:cs="Times New Roman"/>
          <w:szCs w:val="24"/>
        </w:rPr>
      </w:pPr>
    </w:p>
    <w:p w14:paraId="0FC7CC38" w14:textId="2ED99D0A" w:rsidR="00BF600D" w:rsidRDefault="00BF600D" w:rsidP="00BF600D">
      <w:pPr>
        <w:jc w:val="center"/>
        <w:rPr>
          <w:rFonts w:cs="Times New Roman"/>
          <w:szCs w:val="24"/>
        </w:rPr>
      </w:pPr>
      <w:r>
        <w:rPr>
          <w:noProof/>
          <w:lang w:eastAsia="en-MY"/>
        </w:rPr>
        <w:lastRenderedPageBreak/>
        <w:drawing>
          <wp:inline distT="0" distB="0" distL="0" distR="0" wp14:anchorId="5563D897" wp14:editId="089DF556">
            <wp:extent cx="4086225" cy="39624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086225" cy="3962400"/>
                    </a:xfrm>
                    <a:prstGeom prst="rect">
                      <a:avLst/>
                    </a:prstGeom>
                    <a:noFill/>
                    <a:ln>
                      <a:noFill/>
                    </a:ln>
                  </pic:spPr>
                </pic:pic>
              </a:graphicData>
            </a:graphic>
          </wp:inline>
        </w:drawing>
      </w:r>
    </w:p>
    <w:p w14:paraId="7EF23158" w14:textId="7C109A6A" w:rsidR="00BF600D" w:rsidRDefault="0082632E" w:rsidP="00BF600D">
      <w:pPr>
        <w:pStyle w:val="Caption"/>
        <w:rPr>
          <w:szCs w:val="24"/>
        </w:rPr>
      </w:pPr>
      <w:bookmarkStart w:id="892" w:name="_Toc525706405"/>
      <w:bookmarkStart w:id="893" w:name="_Toc525528390"/>
      <w:bookmarkStart w:id="894" w:name="_Toc521420507"/>
      <w:bookmarkStart w:id="895" w:name="_Hlk515396845"/>
      <w:r>
        <w:t>Figure 5.6:</w:t>
      </w:r>
      <w:r w:rsidR="00BF600D">
        <w:t xml:space="preserve"> </w:t>
      </w:r>
      <w:r w:rsidR="00BF600D">
        <w:rPr>
          <w:szCs w:val="24"/>
        </w:rPr>
        <w:t>Indentation fracture toughness versus total charge balance</w:t>
      </w:r>
      <w:bookmarkEnd w:id="892"/>
      <w:bookmarkEnd w:id="893"/>
      <w:bookmarkEnd w:id="894"/>
      <w:r w:rsidR="00BF600D">
        <w:rPr>
          <w:szCs w:val="24"/>
        </w:rPr>
        <w:t xml:space="preserve">. </w:t>
      </w:r>
    </w:p>
    <w:bookmarkEnd w:id="895"/>
    <w:p w14:paraId="2C5BF53B" w14:textId="77777777" w:rsidR="00BF600D" w:rsidRDefault="00BF600D" w:rsidP="00BF600D">
      <w:pPr>
        <w:spacing w:line="240" w:lineRule="auto"/>
        <w:jc w:val="center"/>
        <w:rPr>
          <w:rFonts w:eastAsia="Calibri" w:cs="Times New Roman"/>
          <w:szCs w:val="24"/>
        </w:rPr>
      </w:pPr>
    </w:p>
    <w:p w14:paraId="1425CCBE" w14:textId="21149DC8" w:rsidR="00705EE4" w:rsidRPr="000E2377" w:rsidRDefault="00BF600D" w:rsidP="00705EE4">
      <w:pPr>
        <w:spacing w:after="0" w:line="360" w:lineRule="auto"/>
        <w:jc w:val="both"/>
        <w:rPr>
          <w:rFonts w:eastAsia="Calibri" w:cs="Times New Roman"/>
          <w:b w:val="0"/>
          <w:szCs w:val="24"/>
        </w:rPr>
      </w:pPr>
      <w:r>
        <w:rPr>
          <w:b w:val="0"/>
        </w:rPr>
        <w:t xml:space="preserve">Figure 5.6 indicates that increasing additions of network </w:t>
      </w:r>
      <w:r w:rsidR="007250FC">
        <w:rPr>
          <w:b w:val="0"/>
        </w:rPr>
        <w:t>modifier</w:t>
      </w:r>
      <w:r>
        <w:rPr>
          <w:b w:val="0"/>
        </w:rPr>
        <w:t xml:space="preserve">, which </w:t>
      </w:r>
      <w:r w:rsidR="000D097B">
        <w:rPr>
          <w:b w:val="0"/>
        </w:rPr>
        <w:t xml:space="preserve">increases </w:t>
      </w:r>
      <w:r>
        <w:rPr>
          <w:b w:val="0"/>
        </w:rPr>
        <w:t xml:space="preserve">the total network charge balance (become more positive value) tends to lead to a decrease in the indentation toughness of boroaluminosilicate glass. </w:t>
      </w:r>
      <w:r>
        <w:rPr>
          <w:rFonts w:eastAsia="Calibri" w:cs="Times New Roman"/>
          <w:b w:val="0"/>
          <w:szCs w:val="24"/>
        </w:rPr>
        <w:t xml:space="preserve">For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10-x</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70</w:t>
      </w:r>
      <w:r>
        <w:rPr>
          <w:rFonts w:eastAsia="Calibri" w:cs="Times New Roman"/>
          <w:b w:val="0"/>
          <w:szCs w:val="24"/>
          <w:vertAlign w:val="subscript"/>
        </w:rPr>
        <w:t xml:space="preserve"> </w:t>
      </w:r>
      <w:r>
        <w:rPr>
          <w:rFonts w:eastAsia="Calibri" w:cs="Times New Roman"/>
          <w:b w:val="0"/>
          <w:szCs w:val="24"/>
        </w:rPr>
        <w:t xml:space="preserve">and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5</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20-x</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60</w:t>
      </w:r>
      <w:r>
        <w:rPr>
          <w:rFonts w:eastAsia="Times New Roman" w:cs="Times New Roman"/>
          <w:color w:val="000000"/>
          <w:sz w:val="16"/>
          <w:szCs w:val="16"/>
          <w:vertAlign w:val="subscript"/>
          <w:lang w:eastAsia="en-MY"/>
        </w:rPr>
        <w:t xml:space="preserve"> </w:t>
      </w:r>
      <w:r>
        <w:rPr>
          <w:rFonts w:eastAsia="Calibri" w:cs="Times New Roman"/>
          <w:b w:val="0"/>
          <w:szCs w:val="24"/>
        </w:rPr>
        <w:t xml:space="preserve">glass series, glass with high boron content shows indentation fracture toughness with 0.81 and 0.85 and the highest value are in series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7.6</w:t>
      </w:r>
      <w:r>
        <w:rPr>
          <w:rFonts w:eastAsia="Times New Roman" w:cs="Times New Roman"/>
          <w:b w:val="0"/>
          <w:color w:val="000000"/>
          <w:szCs w:val="24"/>
          <w:lang w:eastAsia="en-MY"/>
        </w:rPr>
        <w:t>M</w:t>
      </w:r>
      <w:r>
        <w:rPr>
          <w:rFonts w:eastAsia="Times New Roman" w:cs="Times New Roman"/>
          <w:b w:val="0"/>
          <w:color w:val="000000"/>
          <w:szCs w:val="24"/>
          <w:vertAlign w:val="subscript"/>
          <w:lang w:eastAsia="en-MY"/>
        </w:rPr>
        <w:t>1.1</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3</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7.6</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 xml:space="preserve">80.7-x </w:t>
      </w:r>
      <w:r>
        <w:rPr>
          <w:rFonts w:eastAsia="Times New Roman" w:cs="Times New Roman"/>
          <w:b w:val="0"/>
          <w:color w:val="000000"/>
          <w:szCs w:val="24"/>
          <w:lang w:eastAsia="en-MY"/>
        </w:rPr>
        <w:t>with</w:t>
      </w:r>
      <w:r>
        <w:rPr>
          <w:rFonts w:eastAsia="Times New Roman" w:cs="Times New Roman"/>
          <w:color w:val="000000"/>
          <w:sz w:val="16"/>
          <w:szCs w:val="16"/>
          <w:lang w:eastAsia="en-MY"/>
        </w:rPr>
        <w:t xml:space="preserve"> </w:t>
      </w:r>
      <w:r>
        <w:rPr>
          <w:rFonts w:eastAsia="Calibri" w:cs="Times New Roman"/>
          <w:b w:val="0"/>
          <w:szCs w:val="24"/>
        </w:rPr>
        <w:t xml:space="preserve">1.25 at highest alumina content. Calcium has </w:t>
      </w:r>
      <w:r w:rsidR="008C4D01">
        <w:rPr>
          <w:rFonts w:eastAsia="Calibri" w:cs="Times New Roman"/>
          <w:b w:val="0"/>
          <w:szCs w:val="24"/>
        </w:rPr>
        <w:t xml:space="preserve">a </w:t>
      </w:r>
      <w:r>
        <w:rPr>
          <w:rFonts w:eastAsia="Calibri" w:cs="Times New Roman"/>
          <w:b w:val="0"/>
          <w:szCs w:val="24"/>
        </w:rPr>
        <w:t xml:space="preserve">smaller cation size than barium. </w:t>
      </w:r>
      <w:proofErr w:type="spellStart"/>
      <w:r w:rsidR="00705EE4" w:rsidRPr="000E2377">
        <w:rPr>
          <w:rFonts w:eastAsia="Calibri" w:cs="Times New Roman"/>
          <w:b w:val="0"/>
          <w:szCs w:val="24"/>
        </w:rPr>
        <w:t>Potuzak</w:t>
      </w:r>
      <w:proofErr w:type="spellEnd"/>
      <w:r w:rsidR="00705EE4" w:rsidRPr="000E2377">
        <w:rPr>
          <w:rFonts w:eastAsia="Calibri" w:cs="Times New Roman"/>
          <w:b w:val="0"/>
          <w:szCs w:val="24"/>
        </w:rPr>
        <w:t xml:space="preserve"> </w:t>
      </w:r>
      <w:r w:rsidR="00705EE4">
        <w:rPr>
          <w:rFonts w:eastAsia="Calibri" w:cs="Times New Roman"/>
          <w:b w:val="0"/>
          <w:szCs w:val="24"/>
        </w:rPr>
        <w:t xml:space="preserve">and </w:t>
      </w:r>
      <w:proofErr w:type="spellStart"/>
      <w:r w:rsidR="00705EE4">
        <w:rPr>
          <w:rFonts w:eastAsia="Calibri" w:cs="Times New Roman"/>
          <w:b w:val="0"/>
          <w:szCs w:val="24"/>
        </w:rPr>
        <w:t>Smedsjkaer</w:t>
      </w:r>
      <w:proofErr w:type="spellEnd"/>
      <w:r w:rsidR="00705EE4">
        <w:rPr>
          <w:rFonts w:eastAsia="Calibri" w:cs="Times New Roman"/>
          <w:b w:val="0"/>
          <w:szCs w:val="24"/>
        </w:rPr>
        <w:t xml:space="preserve"> (2014) </w:t>
      </w:r>
      <w:r w:rsidR="00705EE4" w:rsidRPr="000E2377">
        <w:rPr>
          <w:rFonts w:eastAsia="Calibri" w:cs="Times New Roman"/>
          <w:b w:val="0"/>
          <w:szCs w:val="24"/>
        </w:rPr>
        <w:t xml:space="preserve">in their research state that alkaline earth with low cation size </w:t>
      </w:r>
      <w:r w:rsidR="00705EE4">
        <w:rPr>
          <w:rFonts w:eastAsia="Calibri" w:cs="Times New Roman"/>
          <w:b w:val="0"/>
          <w:szCs w:val="24"/>
        </w:rPr>
        <w:t>(Mg</w:t>
      </w:r>
      <w:r w:rsidR="00705EE4" w:rsidRPr="00CE64AD">
        <w:rPr>
          <w:rFonts w:eastAsia="Calibri" w:cs="Times New Roman"/>
          <w:b w:val="0"/>
          <w:szCs w:val="24"/>
          <w:vertAlign w:val="superscript"/>
        </w:rPr>
        <w:t>2+</w:t>
      </w:r>
      <w:r w:rsidR="00705EE4">
        <w:rPr>
          <w:rFonts w:eastAsia="Calibri" w:cs="Times New Roman"/>
          <w:b w:val="0"/>
          <w:szCs w:val="24"/>
        </w:rPr>
        <w:t xml:space="preserve">) </w:t>
      </w:r>
      <w:r w:rsidR="00705EE4" w:rsidRPr="000E2377">
        <w:rPr>
          <w:rFonts w:eastAsia="Calibri" w:cs="Times New Roman"/>
          <w:b w:val="0"/>
          <w:szCs w:val="24"/>
        </w:rPr>
        <w:t>tend to become network former. Smaller cation, as expected from field strength with the Mg</w:t>
      </w:r>
      <w:r w:rsidR="00705EE4" w:rsidRPr="000E2377">
        <w:rPr>
          <w:rFonts w:eastAsia="Calibri" w:cs="Times New Roman"/>
          <w:b w:val="0"/>
          <w:szCs w:val="24"/>
          <w:vertAlign w:val="superscript"/>
        </w:rPr>
        <w:t>2+</w:t>
      </w:r>
      <w:r w:rsidR="00705EE4" w:rsidRPr="000E2377">
        <w:rPr>
          <w:rFonts w:eastAsia="Calibri" w:cs="Times New Roman"/>
          <w:b w:val="0"/>
          <w:szCs w:val="24"/>
        </w:rPr>
        <w:t>&gt;Ca</w:t>
      </w:r>
      <w:r w:rsidR="00705EE4" w:rsidRPr="000E2377">
        <w:rPr>
          <w:rFonts w:eastAsia="Calibri" w:cs="Times New Roman"/>
          <w:b w:val="0"/>
          <w:szCs w:val="24"/>
          <w:vertAlign w:val="superscript"/>
        </w:rPr>
        <w:t>2+</w:t>
      </w:r>
      <w:r w:rsidR="00705EE4" w:rsidRPr="000E2377">
        <w:rPr>
          <w:rFonts w:eastAsia="Calibri" w:cs="Times New Roman"/>
          <w:b w:val="0"/>
          <w:szCs w:val="24"/>
        </w:rPr>
        <w:t>&gt;Sr</w:t>
      </w:r>
      <w:r w:rsidR="00705EE4" w:rsidRPr="000E2377">
        <w:rPr>
          <w:rFonts w:eastAsia="Calibri" w:cs="Times New Roman"/>
          <w:b w:val="0"/>
          <w:szCs w:val="24"/>
          <w:vertAlign w:val="superscript"/>
        </w:rPr>
        <w:t>2+</w:t>
      </w:r>
      <w:r w:rsidR="00705EE4" w:rsidRPr="000E2377">
        <w:rPr>
          <w:rFonts w:eastAsia="Calibri" w:cs="Times New Roman"/>
          <w:b w:val="0"/>
          <w:szCs w:val="24"/>
        </w:rPr>
        <w:t>&gt;Ba</w:t>
      </w:r>
      <w:r w:rsidR="00705EE4" w:rsidRPr="000E2377">
        <w:rPr>
          <w:rFonts w:eastAsia="Calibri" w:cs="Times New Roman"/>
          <w:b w:val="0"/>
          <w:szCs w:val="24"/>
          <w:vertAlign w:val="superscript"/>
        </w:rPr>
        <w:t>2+</w:t>
      </w:r>
      <w:r w:rsidR="00705EE4" w:rsidRPr="000E2377">
        <w:rPr>
          <w:rFonts w:eastAsia="Calibri" w:cs="Times New Roman"/>
          <w:b w:val="0"/>
          <w:szCs w:val="24"/>
        </w:rPr>
        <w:t xml:space="preserve">, shows that the properties such as modulus have </w:t>
      </w:r>
      <w:r w:rsidR="00705EE4">
        <w:rPr>
          <w:rFonts w:eastAsia="Calibri" w:cs="Times New Roman"/>
          <w:b w:val="0"/>
          <w:szCs w:val="24"/>
        </w:rPr>
        <w:t>larg</w:t>
      </w:r>
      <w:r w:rsidR="00705EE4" w:rsidRPr="000E2377">
        <w:rPr>
          <w:rFonts w:eastAsia="Calibri" w:cs="Times New Roman"/>
          <w:b w:val="0"/>
          <w:szCs w:val="24"/>
        </w:rPr>
        <w:t>er value</w:t>
      </w:r>
      <w:r w:rsidR="00705EE4">
        <w:rPr>
          <w:rFonts w:eastAsia="Calibri" w:cs="Times New Roman"/>
          <w:b w:val="0"/>
          <w:szCs w:val="24"/>
        </w:rPr>
        <w:t>s</w:t>
      </w:r>
      <w:r w:rsidR="00705EE4" w:rsidRPr="000E2377">
        <w:rPr>
          <w:rFonts w:eastAsia="Calibri" w:cs="Times New Roman"/>
          <w:b w:val="0"/>
          <w:szCs w:val="24"/>
        </w:rPr>
        <w:t xml:space="preserve"> when </w:t>
      </w:r>
      <w:r w:rsidR="00705EE4">
        <w:rPr>
          <w:rFonts w:eastAsia="Calibri" w:cs="Times New Roman"/>
          <w:b w:val="0"/>
          <w:szCs w:val="24"/>
        </w:rPr>
        <w:t xml:space="preserve">the </w:t>
      </w:r>
      <w:r w:rsidR="00705EE4" w:rsidRPr="000E2377">
        <w:rPr>
          <w:rFonts w:eastAsia="Calibri" w:cs="Times New Roman"/>
          <w:b w:val="0"/>
          <w:szCs w:val="24"/>
        </w:rPr>
        <w:t xml:space="preserve">cation size is bigger (refer Figure 4.29). </w:t>
      </w:r>
    </w:p>
    <w:p w14:paraId="5EDBA070" w14:textId="1B0D414D" w:rsidR="00BF600D" w:rsidRDefault="00BF600D" w:rsidP="00BF600D">
      <w:pPr>
        <w:spacing w:after="0" w:line="360" w:lineRule="auto"/>
        <w:jc w:val="both"/>
        <w:rPr>
          <w:rFonts w:eastAsia="Calibri" w:cs="Times New Roman"/>
          <w:b w:val="0"/>
          <w:szCs w:val="24"/>
        </w:rPr>
      </w:pPr>
    </w:p>
    <w:p w14:paraId="2AA6D7E2" w14:textId="77777777" w:rsidR="00BF600D" w:rsidRDefault="00BF600D" w:rsidP="00BF600D">
      <w:pPr>
        <w:spacing w:after="0" w:line="360" w:lineRule="auto"/>
        <w:ind w:firstLine="720"/>
        <w:jc w:val="both"/>
        <w:rPr>
          <w:rFonts w:eastAsia="Calibri" w:cs="Times New Roman"/>
          <w:b w:val="0"/>
          <w:szCs w:val="24"/>
        </w:rPr>
      </w:pPr>
    </w:p>
    <w:bookmarkEnd w:id="854"/>
    <w:p w14:paraId="5DB4C1DB" w14:textId="7470DD73" w:rsidR="00BF600D" w:rsidRDefault="00BF600D" w:rsidP="00BF600D">
      <w:pPr>
        <w:jc w:val="center"/>
        <w:rPr>
          <w:noProof/>
          <w:lang w:val="en-GB" w:eastAsia="en-GB"/>
        </w:rPr>
      </w:pPr>
      <w:r>
        <w:rPr>
          <w:noProof/>
          <w:lang w:eastAsia="en-MY"/>
        </w:rPr>
        <w:lastRenderedPageBreak/>
        <mc:AlternateContent>
          <mc:Choice Requires="wps">
            <w:drawing>
              <wp:anchor distT="0" distB="0" distL="114300" distR="114300" simplePos="0" relativeHeight="252532736" behindDoc="0" locked="0" layoutInCell="1" allowOverlap="1" wp14:anchorId="49CBD9DF" wp14:editId="3719D0ED">
                <wp:simplePos x="0" y="0"/>
                <wp:positionH relativeFrom="margin">
                  <wp:posOffset>733425</wp:posOffset>
                </wp:positionH>
                <wp:positionV relativeFrom="paragraph">
                  <wp:posOffset>149860</wp:posOffset>
                </wp:positionV>
                <wp:extent cx="438150" cy="304800"/>
                <wp:effectExtent l="0" t="0" r="0" b="0"/>
                <wp:wrapNone/>
                <wp:docPr id="1201" name="Text Box 1201"/>
                <wp:cNvGraphicFramePr/>
                <a:graphic xmlns:a="http://schemas.openxmlformats.org/drawingml/2006/main">
                  <a:graphicData uri="http://schemas.microsoft.com/office/word/2010/wordprocessingShape">
                    <wps:wsp>
                      <wps:cNvSpPr txBox="1"/>
                      <wps:spPr>
                        <a:xfrm>
                          <a:off x="0" y="0"/>
                          <a:ext cx="438150" cy="304800"/>
                        </a:xfrm>
                        <a:prstGeom prst="rect">
                          <a:avLst/>
                        </a:prstGeom>
                        <a:noFill/>
                        <a:ln w="6350">
                          <a:noFill/>
                        </a:ln>
                      </wps:spPr>
                      <wps:txbx>
                        <w:txbxContent>
                          <w:p w14:paraId="53BCFA7B" w14:textId="77777777" w:rsidR="00230AB9" w:rsidRDefault="00230AB9" w:rsidP="00BF600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BD9DF" id="Text Box 1201" o:spid="_x0000_s1371" type="#_x0000_t202" style="position:absolute;left:0;text-align:left;margin-left:57.75pt;margin-top:11.8pt;width:34.5pt;height:24pt;z-index:25253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" filled="f" stroked="f" strokeweight=".5pt">
                <v:textbox>
                  <w:txbxContent>
                    <w:p w14:paraId="53BCFA7B" w14:textId="77777777" w:rsidR="00230AB9" w:rsidRDefault="00230AB9" w:rsidP="00BF600D">
                      <w:r>
                        <w:t>a)</w:t>
                      </w:r>
                    </w:p>
                  </w:txbxContent>
                </v:textbox>
                <w10:wrap anchorx="margin"/>
              </v:shape>
            </w:pict>
          </mc:Fallback>
        </mc:AlternateContent>
      </w:r>
      <w:bookmarkStart w:id="896" w:name="_Hlk508281443"/>
      <w:r>
        <w:rPr>
          <w:noProof/>
          <w:lang w:val="en-GB" w:eastAsia="en-GB"/>
        </w:rPr>
        <w:t xml:space="preserve"> </w:t>
      </w:r>
      <w:r>
        <w:rPr>
          <w:noProof/>
          <w:lang w:eastAsia="en-MY"/>
        </w:rPr>
        <w:drawing>
          <wp:inline distT="0" distB="0" distL="0" distR="0" wp14:anchorId="7278FDB5" wp14:editId="50837648">
            <wp:extent cx="4067175" cy="396240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7"/>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067175" cy="3962400"/>
                    </a:xfrm>
                    <a:prstGeom prst="rect">
                      <a:avLst/>
                    </a:prstGeom>
                    <a:noFill/>
                    <a:ln>
                      <a:noFill/>
                    </a:ln>
                  </pic:spPr>
                </pic:pic>
              </a:graphicData>
            </a:graphic>
          </wp:inline>
        </w:drawing>
      </w:r>
    </w:p>
    <w:p w14:paraId="7A7DD6B5" w14:textId="5AAFEA82" w:rsidR="00BF600D" w:rsidRDefault="00BF600D" w:rsidP="00BF600D">
      <w:pPr>
        <w:jc w:val="center"/>
        <w:rPr>
          <w:noProof/>
          <w:lang w:val="en-GB" w:eastAsia="en-GB"/>
        </w:rPr>
      </w:pPr>
      <w:r>
        <w:rPr>
          <w:noProof/>
          <w:lang w:eastAsia="en-MY"/>
        </w:rPr>
        <mc:AlternateContent>
          <mc:Choice Requires="wpg">
            <w:drawing>
              <wp:anchor distT="0" distB="0" distL="114300" distR="114300" simplePos="0" relativeHeight="252531712" behindDoc="0" locked="0" layoutInCell="1" allowOverlap="1" wp14:anchorId="2C7221DF" wp14:editId="7A84FB76">
                <wp:simplePos x="0" y="0"/>
                <wp:positionH relativeFrom="margin">
                  <wp:posOffset>1466850</wp:posOffset>
                </wp:positionH>
                <wp:positionV relativeFrom="paragraph">
                  <wp:posOffset>1276350</wp:posOffset>
                </wp:positionV>
                <wp:extent cx="3076575" cy="1924050"/>
                <wp:effectExtent l="0" t="0" r="28575" b="19050"/>
                <wp:wrapNone/>
                <wp:docPr id="347" name="Group 347"/>
                <wp:cNvGraphicFramePr/>
                <a:graphic xmlns:a="http://schemas.openxmlformats.org/drawingml/2006/main">
                  <a:graphicData uri="http://schemas.microsoft.com/office/word/2010/wordprocessingGroup">
                    <wpg:wgp>
                      <wpg:cNvGrpSpPr/>
                      <wpg:grpSpPr>
                        <a:xfrm>
                          <a:off x="0" y="0"/>
                          <a:ext cx="3076575" cy="1924050"/>
                          <a:chOff x="0" y="0"/>
                          <a:chExt cx="2162175" cy="1267460"/>
                        </a:xfrm>
                      </wpg:grpSpPr>
                      <wps:wsp>
                        <wps:cNvPr id="635" name="Straight Connector 635"/>
                        <wps:cNvCnPr/>
                        <wps:spPr>
                          <a:xfrm flipH="1">
                            <a:off x="0" y="457200"/>
                            <a:ext cx="1409700" cy="810260"/>
                          </a:xfrm>
                          <a:prstGeom prst="line">
                            <a:avLst/>
                          </a:prstGeom>
                          <a:noFill/>
                          <a:ln w="9525" cap="flat" cmpd="sng" algn="ctr">
                            <a:solidFill>
                              <a:sysClr val="windowText" lastClr="000000">
                                <a:shade val="95000"/>
                                <a:satMod val="105000"/>
                              </a:sysClr>
                            </a:solidFill>
                            <a:prstDash val="dash"/>
                          </a:ln>
                          <a:effectLst/>
                        </wps:spPr>
                        <wps:bodyPr/>
                      </wps:wsp>
                      <wps:wsp>
                        <wps:cNvPr id="636" name="Straight Connector 636"/>
                        <wps:cNvCnPr/>
                        <wps:spPr>
                          <a:xfrm flipH="1">
                            <a:off x="1158240" y="0"/>
                            <a:ext cx="444500" cy="466725"/>
                          </a:xfrm>
                          <a:prstGeom prst="line">
                            <a:avLst/>
                          </a:prstGeom>
                          <a:noFill/>
                          <a:ln w="9525" cap="flat" cmpd="sng" algn="ctr">
                            <a:solidFill>
                              <a:sysClr val="windowText" lastClr="000000">
                                <a:shade val="95000"/>
                                <a:satMod val="105000"/>
                              </a:sysClr>
                            </a:solidFill>
                            <a:prstDash val="dash"/>
                          </a:ln>
                          <a:effectLst/>
                        </wps:spPr>
                        <wps:bodyPr/>
                      </wps:wsp>
                      <wps:wsp>
                        <wps:cNvPr id="637" name="Straight Connector 637"/>
                        <wps:cNvCnPr/>
                        <wps:spPr>
                          <a:xfrm flipV="1">
                            <a:off x="1295400" y="91440"/>
                            <a:ext cx="866775" cy="638175"/>
                          </a:xfrm>
                          <a:prstGeom prst="line">
                            <a:avLst/>
                          </a:prstGeom>
                          <a:noFill/>
                          <a:ln w="9525" cap="flat" cmpd="sng" algn="ctr">
                            <a:solidFill>
                              <a:sysClr val="windowText" lastClr="000000">
                                <a:shade val="95000"/>
                                <a:satMod val="105000"/>
                              </a:sysClr>
                            </a:solidFill>
                            <a:prstDash val="dash"/>
                          </a:ln>
                          <a:effectLst/>
                        </wps:spPr>
                        <wps:bodyPr/>
                      </wps:wsp>
                    </wpg:wgp>
                  </a:graphicData>
                </a:graphic>
                <wp14:sizeRelH relativeFrom="margin">
                  <wp14:pctWidth>0</wp14:pctWidth>
                </wp14:sizeRelH>
                <wp14:sizeRelV relativeFrom="margin">
                  <wp14:pctHeight>0</wp14:pctHeight>
                </wp14:sizeRelV>
              </wp:anchor>
            </w:drawing>
          </mc:Choice>
          <mc:Fallback>
            <w:pict>
              <v:group w14:anchorId="51BC5072" id="Group 347" o:spid="_x0000_s1026" style="position:absolute;margin-left:115.5pt;margin-top:100.5pt;width:242.25pt;height:151.5pt;z-index:252531712;mso-position-horizontal-relative:margin;mso-width-relative:margin;mso-height-relative:margin" coordsize="21621,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">
                <v:line id="Straight Connector 635" o:spid="_x0000_s1027" style="position:absolute;flip:x;visibility:visible;mso-wrap-style:square" from="0,4572" to="14097,12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">
                  <v:stroke dashstyle="dash"/>
                </v:line>
                <v:line id="Straight Connector 636" o:spid="_x0000_s1028" style="position:absolute;flip:x;visibility:visible;mso-wrap-style:square" from="11582,0" to="16027,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">
                  <v:stroke dashstyle="dash"/>
                </v:line>
                <v:line id="Straight Connector 637" o:spid="_x0000_s1029" style="position:absolute;flip:y;visibility:visible;mso-wrap-style:square" from="12954,914" to="21621,7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">
                  <v:stroke dashstyle="dash"/>
                </v:line>
                <w10:wrap anchorx="margin"/>
              </v:group>
            </w:pict>
          </mc:Fallback>
        </mc:AlternateContent>
      </w:r>
      <w:r>
        <w:rPr>
          <w:noProof/>
          <w:lang w:eastAsia="en-MY"/>
        </w:rPr>
        <mc:AlternateContent>
          <mc:Choice Requires="wps">
            <w:drawing>
              <wp:anchor distT="0" distB="0" distL="114300" distR="114300" simplePos="0" relativeHeight="252533760" behindDoc="0" locked="0" layoutInCell="1" allowOverlap="1" wp14:anchorId="318A2408" wp14:editId="436B0D55">
                <wp:simplePos x="0" y="0"/>
                <wp:positionH relativeFrom="margin">
                  <wp:posOffset>1153160</wp:posOffset>
                </wp:positionH>
                <wp:positionV relativeFrom="paragraph">
                  <wp:posOffset>13970</wp:posOffset>
                </wp:positionV>
                <wp:extent cx="438150" cy="304800"/>
                <wp:effectExtent l="0" t="0" r="0" b="0"/>
                <wp:wrapNone/>
                <wp:docPr id="1202" name="Text Box 1202"/>
                <wp:cNvGraphicFramePr/>
                <a:graphic xmlns:a="http://schemas.openxmlformats.org/drawingml/2006/main">
                  <a:graphicData uri="http://schemas.microsoft.com/office/word/2010/wordprocessingShape">
                    <wps:wsp>
                      <wps:cNvSpPr txBox="1"/>
                      <wps:spPr>
                        <a:xfrm>
                          <a:off x="0" y="0"/>
                          <a:ext cx="438150" cy="304800"/>
                        </a:xfrm>
                        <a:prstGeom prst="rect">
                          <a:avLst/>
                        </a:prstGeom>
                        <a:noFill/>
                        <a:ln w="6350">
                          <a:noFill/>
                        </a:ln>
                      </wps:spPr>
                      <wps:txbx>
                        <w:txbxContent>
                          <w:p w14:paraId="66FD575F" w14:textId="77777777" w:rsidR="00230AB9" w:rsidRDefault="00230AB9" w:rsidP="00BF600D">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A2408" id="Text Box 1202" o:spid="_x0000_s1372" type="#_x0000_t202" style="position:absolute;left:0;text-align:left;margin-left:90.8pt;margin-top:1.1pt;width:34.5pt;height:24pt;z-index:25253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" filled="f" stroked="f" strokeweight=".5pt">
                <v:textbox>
                  <w:txbxContent>
                    <w:p w14:paraId="66FD575F" w14:textId="77777777" w:rsidR="00230AB9" w:rsidRDefault="00230AB9" w:rsidP="00BF600D">
                      <w:r>
                        <w:t>b)</w:t>
                      </w:r>
                    </w:p>
                  </w:txbxContent>
                </v:textbox>
                <w10:wrap anchorx="margin"/>
              </v:shape>
            </w:pict>
          </mc:Fallback>
        </mc:AlternateContent>
      </w:r>
      <w:r>
        <w:rPr>
          <w:noProof/>
          <w:lang w:eastAsia="en-MY"/>
        </w:rPr>
        <w:drawing>
          <wp:inline distT="0" distB="0" distL="0" distR="0" wp14:anchorId="26A9F554" wp14:editId="1D7444A0">
            <wp:extent cx="4162425" cy="3952875"/>
            <wp:effectExtent l="0" t="0" r="9525" b="9525"/>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162425" cy="3952875"/>
                    </a:xfrm>
                    <a:prstGeom prst="rect">
                      <a:avLst/>
                    </a:prstGeom>
                    <a:noFill/>
                    <a:ln>
                      <a:noFill/>
                    </a:ln>
                  </pic:spPr>
                </pic:pic>
              </a:graphicData>
            </a:graphic>
          </wp:inline>
        </w:drawing>
      </w:r>
    </w:p>
    <w:p w14:paraId="48A2CA06" w14:textId="0F8BE86F" w:rsidR="00BF600D" w:rsidRDefault="0082632E" w:rsidP="00BF600D">
      <w:pPr>
        <w:pStyle w:val="Caption"/>
        <w:rPr>
          <w:szCs w:val="24"/>
        </w:rPr>
      </w:pPr>
      <w:bookmarkStart w:id="897" w:name="_Toc525706406"/>
      <w:bookmarkStart w:id="898" w:name="_Toc525528391"/>
      <w:bookmarkStart w:id="899" w:name="_Toc521420508"/>
      <w:bookmarkStart w:id="900" w:name="_Hlk515396854"/>
      <w:r>
        <w:t>Figure 5.7:</w:t>
      </w:r>
      <w:r w:rsidR="00BF600D">
        <w:t xml:space="preserve"> </w:t>
      </w:r>
      <w:r w:rsidR="00BF600D">
        <w:rPr>
          <w:szCs w:val="24"/>
        </w:rPr>
        <w:t>a) Brittleness versus total charge balance b) Variation of brittleness with density of produced glass</w:t>
      </w:r>
      <w:bookmarkEnd w:id="897"/>
      <w:bookmarkEnd w:id="898"/>
      <w:bookmarkEnd w:id="899"/>
      <w:r w:rsidR="00BF600D">
        <w:rPr>
          <w:szCs w:val="24"/>
        </w:rPr>
        <w:t>.</w:t>
      </w:r>
    </w:p>
    <w:bookmarkEnd w:id="900"/>
    <w:p w14:paraId="282D3427" w14:textId="3902C620" w:rsidR="00BF600D" w:rsidRDefault="00BF600D" w:rsidP="00F66D29">
      <w:pPr>
        <w:spacing w:after="0" w:line="360" w:lineRule="auto"/>
        <w:jc w:val="both"/>
        <w:rPr>
          <w:b w:val="0"/>
        </w:rPr>
      </w:pPr>
      <w:r>
        <w:rPr>
          <w:b w:val="0"/>
        </w:rPr>
        <w:lastRenderedPageBreak/>
        <w:t>Figure 5.7 shows that brittleness increases as network charge balance increases. Brittleness depends on densification which also depends on the structure. High network modifier content tend</w:t>
      </w:r>
      <w:r w:rsidR="008C4D01">
        <w:rPr>
          <w:b w:val="0"/>
        </w:rPr>
        <w:t>s</w:t>
      </w:r>
      <w:r>
        <w:rPr>
          <w:b w:val="0"/>
        </w:rPr>
        <w:t xml:space="preserve"> to produce weaker bonds and increase densities. This can be seen from Figure 5.7b which shows the variation of density with brittleness. This type of relationship was first observed by Sehgal and Ito </w:t>
      </w:r>
      <w:r>
        <w:fldChar w:fldCharType="begin" w:fldLock="1"/>
      </w:r>
      <w:r>
        <w:rPr>
          <w:b w:val="0"/>
        </w:rPr>
        <w:instrText>ADDIN CSL_CITATION { "citationItems" : [ { "id" : "ITEM-1", "itemData" : { "DOI" : "10.1016/S0022-3093(99)00348-8", "ISSN" : "00223093", "abstract" : "A study seeking to decrease the brittleness of glasses was carried out. The brittleness, defined as the ratio of hardness to fracture toughness, was estimated from the ratio of median crack length to the diagonal length of a deformation impression. The brittleness of various kinds of glasses in the silicate as well as borosilicate systems was investigated as a function of glass properties. The brittleness of the glasses was correlated with densities, i.e., a variation of approximately 1 to approximately 9 ??m-1/2 in brittleness was observed as the density varied from approximately 1.9 to approximately 2.8 g/cm3. The brittleness of normal glasses decreased with decreasing density due to the ease of both plastic flow and densification. On the other hand, the brittleness of anomalous glasses increased with decreasing density due to the lack of plastic flow. In addition, the brittleness of normal glasses was less than that of the anomalous glasses with the same density. We also observed that a 50% decrease in brittleness resulted in an increase of crack initiation load by approximately 15 times.", "author" : [ { "dropping-particle" : "", "family" : "Sehgal", "given" : "Jeetendra", "non-dropping-particle" : "", "parse-names" : false, "suffix" : "" }, { "dropping-particle" : "", "family" : "Ito", "given" : "Setsuro", "non-dropping-particle" : "", "parse-names" : false, "suffix" : "" } ], "container-title" : "Journal of Non-Crystalline Solids", "id" : "ITEM-1", "issue" : "1-3", "issued" : { "date-parts" : [ [ "1999" ] ] }, "page" : "126-132", "title" : "Brittleness of glass", "type" : "article-journal", "volume" : "253" }, "uris" : [ "http://www.mendeley.com/documents/?uuid=97c0428d-f5d8-425f-94e6-c34c36d82652" ] } ], "mendeley" : { "formattedCitation" : "(Sehgal &amp; Ito, 1999)", "plainTextFormattedCitation" : "(Sehgal &amp; Ito, 1999)", "previouslyFormattedCitation" : "(Sehgal &amp; Ito, 1999)" }, "properties" : { "noteIndex" : 119 }, "schema" : "https://github.com/citation-style-language/schema/raw/master/csl-citation.json" }</w:instrText>
      </w:r>
      <w:r>
        <w:fldChar w:fldCharType="separate"/>
      </w:r>
      <w:r>
        <w:rPr>
          <w:b w:val="0"/>
          <w:noProof/>
        </w:rPr>
        <w:t>(Sehgal &amp; Ito, 1999)</w:t>
      </w:r>
      <w:r>
        <w:fldChar w:fldCharType="end"/>
      </w:r>
      <w:r>
        <w:rPr>
          <w:b w:val="0"/>
        </w:rPr>
        <w:t xml:space="preserve">. It can be seen that brittleness increases with density following two different trend lines. The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15</w:t>
      </w:r>
      <w:r>
        <w:rPr>
          <w:rFonts w:eastAsia="Times New Roman" w:cs="Times New Roman"/>
          <w:b w:val="0"/>
          <w:color w:val="000000"/>
          <w:szCs w:val="24"/>
          <w:lang w:eastAsia="en-MY"/>
        </w:rPr>
        <w:t>Ba</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15-x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60</w:t>
      </w:r>
      <w:r>
        <w:rPr>
          <w:b w:val="0"/>
          <w:szCs w:val="24"/>
        </w:rPr>
        <w:t xml:space="preserve"> and </w:t>
      </w:r>
      <w:r>
        <w:rPr>
          <w:rFonts w:eastAsia="Times New Roman" w:cs="Times New Roman"/>
          <w:b w:val="0"/>
          <w:color w:val="000000"/>
          <w:szCs w:val="24"/>
          <w:lang w:eastAsia="en-MY"/>
        </w:rPr>
        <w:t>N</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C</w:t>
      </w:r>
      <w:r>
        <w:rPr>
          <w:rFonts w:eastAsia="Times New Roman" w:cs="Times New Roman"/>
          <w:b w:val="0"/>
          <w:color w:val="000000"/>
          <w:szCs w:val="24"/>
          <w:vertAlign w:val="subscript"/>
          <w:lang w:eastAsia="en-MY"/>
        </w:rPr>
        <w:t>x</w:t>
      </w:r>
      <w:r>
        <w:rPr>
          <w:rFonts w:eastAsia="Times New Roman" w:cs="Times New Roman"/>
          <w:b w:val="0"/>
          <w:color w:val="000000"/>
          <w:szCs w:val="24"/>
          <w:lang w:eastAsia="en-MY"/>
        </w:rPr>
        <w:t>A</w:t>
      </w:r>
      <w:r>
        <w:rPr>
          <w:rFonts w:eastAsia="Times New Roman" w:cs="Times New Roman"/>
          <w:b w:val="0"/>
          <w:color w:val="000000"/>
          <w:szCs w:val="24"/>
          <w:vertAlign w:val="subscript"/>
          <w:lang w:eastAsia="en-MY"/>
        </w:rPr>
        <w:t>20-x</w:t>
      </w:r>
      <w:r>
        <w:rPr>
          <w:rFonts w:eastAsia="Times New Roman" w:cs="Times New Roman"/>
          <w:b w:val="0"/>
          <w:color w:val="000000"/>
          <w:szCs w:val="24"/>
          <w:lang w:eastAsia="en-MY"/>
        </w:rPr>
        <w:t>B</w:t>
      </w:r>
      <w:r>
        <w:rPr>
          <w:rFonts w:eastAsia="Times New Roman" w:cs="Times New Roman"/>
          <w:b w:val="0"/>
          <w:color w:val="000000"/>
          <w:szCs w:val="24"/>
          <w:vertAlign w:val="subscript"/>
          <w:lang w:eastAsia="en-MY"/>
        </w:rPr>
        <w:t>10</w:t>
      </w:r>
      <w:r>
        <w:rPr>
          <w:rFonts w:eastAsia="Times New Roman" w:cs="Times New Roman"/>
          <w:b w:val="0"/>
          <w:color w:val="000000"/>
          <w:szCs w:val="24"/>
          <w:lang w:eastAsia="en-MY"/>
        </w:rPr>
        <w:t>S</w:t>
      </w:r>
      <w:r>
        <w:rPr>
          <w:rFonts w:eastAsia="Times New Roman" w:cs="Times New Roman"/>
          <w:b w:val="0"/>
          <w:color w:val="000000"/>
          <w:szCs w:val="24"/>
          <w:vertAlign w:val="subscript"/>
          <w:lang w:eastAsia="en-MY"/>
        </w:rPr>
        <w:t xml:space="preserve">60 </w:t>
      </w:r>
      <w:r>
        <w:rPr>
          <w:b w:val="0"/>
          <w:szCs w:val="24"/>
        </w:rPr>
        <w:t>series</w:t>
      </w:r>
      <w:r>
        <w:rPr>
          <w:b w:val="0"/>
        </w:rPr>
        <w:t xml:space="preserve"> follow</w:t>
      </w:r>
      <w:r w:rsidR="008C4D01">
        <w:rPr>
          <w:b w:val="0"/>
        </w:rPr>
        <w:t>s</w:t>
      </w:r>
      <w:r>
        <w:rPr>
          <w:b w:val="0"/>
        </w:rPr>
        <w:t xml:space="preserve"> a different trend compared to other series. Similar observations that not all glasses follow the trend observed by Sehgal and Ito have been made by </w:t>
      </w:r>
      <w:r>
        <w:fldChar w:fldCharType="begin" w:fldLock="1"/>
      </w:r>
      <w:r>
        <w:rPr>
          <w:b w:val="0"/>
        </w:rPr>
        <w:instrText>ADDIN CSL_CITATION { "citationItems" : [ { "id" : "ITEM-1", "itemData" : { "DOI" : "10.1016/j.jnoncrysol.2010.05.007", "ISSN" : "00223093", "author" : [ { "dropping-particle" : "", "family" : "Hand", "given" : "Russell J.", "non-dropping-particle" : "", "parse-names" : false, "suffix" : "" }, { "dropping-particle" : "", "family" : "Tadjiev", "given" : "Damir R.", "non-dropping-particle" : "", "parse-names" : false, "suffix" : "" } ], "container-title" : "Journal of Non-Crystalline Solids", "id" : "ITEM-1", "issue" : "44-49", "issued" : { "date-parts" : [ [ "2010", "10" ] ] }, "page" : "2417-2423", "publisher" : "Elsevier B.V.", "title" : "Mechanical properties of silicate glasses as a function of composition", "type" : "article-journal", "volume" : "356" }, "uris" : [ "http://www.mendeley.com/documents/?uuid=f8df0232-a385-494d-80d7-5c933b1d8e38" ] } ], "mendeley" : { "formattedCitation" : "(Hand &amp; Tadjiev, 2010)", "manualFormatting" : "Hand &amp; Tadjiev, (2010)", "plainTextFormattedCitation" : "(Hand &amp; Tadjiev, 2010)", "previouslyFormattedCitation" : "(Hand &amp; Tadjiev, 2010)" }, "properties" : { "noteIndex" : 86 }, "schema" : "https://github.com/citation-style-language/schema/raw/master/csl-citation.json" }</w:instrText>
      </w:r>
      <w:r>
        <w:fldChar w:fldCharType="separate"/>
      </w:r>
      <w:r>
        <w:rPr>
          <w:b w:val="0"/>
          <w:noProof/>
        </w:rPr>
        <w:t>Hand &amp; Tadjiev, (2010)</w:t>
      </w:r>
      <w:r>
        <w:fldChar w:fldCharType="end"/>
      </w:r>
      <w:r>
        <w:rPr>
          <w:b w:val="0"/>
        </w:rPr>
        <w:t xml:space="preserve">. </w:t>
      </w:r>
    </w:p>
    <w:p w14:paraId="69368C30" w14:textId="05C5132A" w:rsidR="00BF600D" w:rsidRDefault="00BF600D" w:rsidP="00F66D29">
      <w:pPr>
        <w:spacing w:after="0" w:line="360" w:lineRule="auto"/>
        <w:jc w:val="center"/>
        <w:rPr>
          <w:b w:val="0"/>
        </w:rPr>
      </w:pPr>
      <w:r>
        <w:rPr>
          <w:noProof/>
          <w:lang w:eastAsia="en-MY"/>
        </w:rPr>
        <w:drawing>
          <wp:inline distT="0" distB="0" distL="0" distR="0" wp14:anchorId="613552A2" wp14:editId="6BFDE19C">
            <wp:extent cx="3581400" cy="3238500"/>
            <wp:effectExtent l="0" t="0" r="0" b="0"/>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581400" cy="3238500"/>
                    </a:xfrm>
                    <a:prstGeom prst="rect">
                      <a:avLst/>
                    </a:prstGeom>
                    <a:noFill/>
                    <a:ln>
                      <a:noFill/>
                    </a:ln>
                  </pic:spPr>
                </pic:pic>
              </a:graphicData>
            </a:graphic>
          </wp:inline>
        </w:drawing>
      </w:r>
    </w:p>
    <w:p w14:paraId="6CAD0D56" w14:textId="1BE8CC84" w:rsidR="00BF600D" w:rsidRDefault="0082632E" w:rsidP="00BF600D">
      <w:pPr>
        <w:pStyle w:val="Caption"/>
      </w:pPr>
      <w:bookmarkStart w:id="901" w:name="_Toc525706407"/>
      <w:bookmarkStart w:id="902" w:name="_Toc525528392"/>
      <w:bookmarkStart w:id="903" w:name="_Toc521420509"/>
      <w:bookmarkStart w:id="904" w:name="_Hlk515396864"/>
      <w:r>
        <w:t>Figure 5.8:</w:t>
      </w:r>
      <w:r w:rsidR="00BF600D">
        <w:t xml:space="preserve"> Density versus molar volume</w:t>
      </w:r>
      <w:bookmarkEnd w:id="901"/>
      <w:bookmarkEnd w:id="902"/>
      <w:bookmarkEnd w:id="903"/>
      <w:r w:rsidR="00BF600D">
        <w:t>.</w:t>
      </w:r>
    </w:p>
    <w:bookmarkEnd w:id="904"/>
    <w:p w14:paraId="1508AF3B" w14:textId="275FFAEA" w:rsidR="00BF600D" w:rsidRDefault="00BF600D" w:rsidP="00BE5BCD">
      <w:pPr>
        <w:spacing w:line="360" w:lineRule="auto"/>
        <w:jc w:val="both"/>
        <w:rPr>
          <w:b w:val="0"/>
        </w:rPr>
      </w:pPr>
      <w:r>
        <w:rPr>
          <w:b w:val="0"/>
        </w:rPr>
        <w:t xml:space="preserve">In Figure 5.8, boroaluminosilicate series studies show a decrease in molar volume with increasing density for the glasses studied here. In so-called “normal” glasses, the molar volume of glass will decrease with increasing density due to densification and the ease of plastic flow. </w:t>
      </w:r>
      <w:bookmarkEnd w:id="896"/>
      <w:r w:rsidR="000C1405">
        <w:rPr>
          <w:b w:val="0"/>
        </w:rPr>
        <w:t xml:space="preserve">In our present system </w:t>
      </w:r>
      <w:r w:rsidR="00A954F4">
        <w:rPr>
          <w:b w:val="0"/>
        </w:rPr>
        <w:t>MO-M’</w:t>
      </w:r>
      <w:r w:rsidR="00A954F4" w:rsidRPr="00A954F4">
        <w:rPr>
          <w:b w:val="0"/>
          <w:vertAlign w:val="subscript"/>
        </w:rPr>
        <w:t>2</w:t>
      </w:r>
      <w:r w:rsidR="00A954F4">
        <w:rPr>
          <w:b w:val="0"/>
        </w:rPr>
        <w:t>O-B</w:t>
      </w:r>
      <w:r w:rsidR="00A954F4" w:rsidRPr="00A954F4">
        <w:rPr>
          <w:b w:val="0"/>
          <w:vertAlign w:val="subscript"/>
        </w:rPr>
        <w:t>2</w:t>
      </w:r>
      <w:r w:rsidR="00A954F4">
        <w:rPr>
          <w:b w:val="0"/>
        </w:rPr>
        <w:t>O</w:t>
      </w:r>
      <w:r w:rsidR="00A954F4" w:rsidRPr="00A954F4">
        <w:rPr>
          <w:b w:val="0"/>
          <w:vertAlign w:val="subscript"/>
        </w:rPr>
        <w:t>3</w:t>
      </w:r>
      <w:r w:rsidR="00A954F4">
        <w:rPr>
          <w:b w:val="0"/>
        </w:rPr>
        <w:t>-Al</w:t>
      </w:r>
      <w:r w:rsidR="00A954F4" w:rsidRPr="00A954F4">
        <w:rPr>
          <w:b w:val="0"/>
          <w:vertAlign w:val="subscript"/>
        </w:rPr>
        <w:t>2</w:t>
      </w:r>
      <w:r w:rsidR="00A954F4">
        <w:rPr>
          <w:b w:val="0"/>
        </w:rPr>
        <w:t>O</w:t>
      </w:r>
      <w:r w:rsidR="00A954F4" w:rsidRPr="00A954F4">
        <w:rPr>
          <w:b w:val="0"/>
          <w:vertAlign w:val="subscript"/>
        </w:rPr>
        <w:t>3</w:t>
      </w:r>
      <w:r w:rsidR="00A954F4">
        <w:rPr>
          <w:b w:val="0"/>
        </w:rPr>
        <w:t>-SiO</w:t>
      </w:r>
      <w:r w:rsidR="00A954F4" w:rsidRPr="00A954F4">
        <w:rPr>
          <w:b w:val="0"/>
          <w:vertAlign w:val="subscript"/>
        </w:rPr>
        <w:t>2</w:t>
      </w:r>
      <w:r w:rsidR="00A954F4">
        <w:rPr>
          <w:b w:val="0"/>
        </w:rPr>
        <w:t xml:space="preserve">, the trend of density is controlled by the </w:t>
      </w:r>
      <w:r w:rsidR="00F02148">
        <w:rPr>
          <w:b w:val="0"/>
        </w:rPr>
        <w:t>added of the network modifier</w:t>
      </w:r>
      <w:r w:rsidR="00BE5BCD">
        <w:rPr>
          <w:b w:val="0"/>
        </w:rPr>
        <w:t xml:space="preserve"> and the density increased with </w:t>
      </w:r>
      <w:r w:rsidR="008C4D01">
        <w:rPr>
          <w:b w:val="0"/>
        </w:rPr>
        <w:t xml:space="preserve">the </w:t>
      </w:r>
      <w:r w:rsidR="00BE5BCD">
        <w:rPr>
          <w:b w:val="0"/>
        </w:rPr>
        <w:t>increase of network charge balance</w:t>
      </w:r>
      <w:r w:rsidR="00F02148">
        <w:rPr>
          <w:b w:val="0"/>
        </w:rPr>
        <w:t>.</w:t>
      </w:r>
      <w:r w:rsidR="001A721C" w:rsidRPr="001A721C">
        <w:rPr>
          <w:b w:val="0"/>
        </w:rPr>
        <w:t xml:space="preserve"> </w:t>
      </w:r>
      <w:r w:rsidR="001A721C" w:rsidRPr="00E93022">
        <w:rPr>
          <w:b w:val="0"/>
        </w:rPr>
        <w:t>It is interesting to note that</w:t>
      </w:r>
      <w:r w:rsidR="001A721C">
        <w:rPr>
          <w:b w:val="0"/>
        </w:rPr>
        <w:t xml:space="preserve"> as network modifier is</w:t>
      </w:r>
      <w:r w:rsidR="001A721C" w:rsidRPr="008325BA">
        <w:rPr>
          <w:b w:val="0"/>
        </w:rPr>
        <w:t xml:space="preserve"> added to </w:t>
      </w:r>
      <w:r w:rsidR="001A721C">
        <w:rPr>
          <w:b w:val="0"/>
        </w:rPr>
        <w:t>boroaluminosilicate</w:t>
      </w:r>
      <w:r w:rsidR="001A721C" w:rsidRPr="008325BA">
        <w:rPr>
          <w:b w:val="0"/>
        </w:rPr>
        <w:t xml:space="preserve"> glasses</w:t>
      </w:r>
      <w:r w:rsidR="001A721C">
        <w:rPr>
          <w:b w:val="0"/>
        </w:rPr>
        <w:t xml:space="preserve">, it makes glass structure more closed thus cause the </w:t>
      </w:r>
      <w:r w:rsidR="008C4D01">
        <w:rPr>
          <w:b w:val="0"/>
        </w:rPr>
        <w:t xml:space="preserve">increase </w:t>
      </w:r>
      <w:r w:rsidR="001A721C">
        <w:rPr>
          <w:b w:val="0"/>
        </w:rPr>
        <w:t>of the density.</w:t>
      </w:r>
      <w:r w:rsidR="00EC627C">
        <w:rPr>
          <w:b w:val="0"/>
        </w:rPr>
        <w:t xml:space="preserve"> </w:t>
      </w:r>
      <w:r w:rsidR="00EC627C">
        <w:rPr>
          <w:b w:val="0"/>
        </w:rPr>
        <w:fldChar w:fldCharType="begin" w:fldLock="1"/>
      </w:r>
      <w:r w:rsidR="00EC627C">
        <w:rPr>
          <w:b w:val="0"/>
        </w:rPr>
        <w:instrText>ADDIN CSL_CITATION { "citationItems" : [ { "id" : "ITEM-1", "itemData" : { "DOI" : "10.1088/0953-8984/20/7/075228", "ISSN" : "0953-8984", "author" : [ { "dropping-particle" : "", "family" : "Singh", "given" : "D", "non-dropping-particle" : "", "parse-names" : false, "suffix" : "" }, { "dropping-particle" : "", "family" : "Singh", "given" : "K", "non-dropping-particle" : "", "parse-names" : false, "suffix" : "" }, { "dropping-particle" : "", "family" : "Singh", "given" : "G", "non-dropping-particle" : "", "parse-names" : false, "suffix" : "" }, { "dropping-particle" : "", "family" : "Manupriya", "given" : "", "non-dropping-particle" : "", "parse-names" : false, "suffix" : "" }, { "dropping-particle" : "", "family" : "Mohan", "given" : "S", "non-dropping-particle" : "", "parse-names" : false, "suffix" : "" }, { "dropping-particle" : "", "family" : "Arora", "given" : "M", "non-dropping-particle" : "", "parse-names" : false, "suffix" : "" }, { "dropping-particle" : "", "family" : "Sharma", "given" : "G", "non-dropping-particle" : "", "parse-names" : false, "suffix" : "" } ], "container-title" : "Journal of Physics: Condensed Matter", "id" : "ITEM-1", "issue" : "7", "issued" : { "date-parts" : [ [ "2008" ] ] }, "page" : "075228", "title" : "Optical and structural properties of ZnO\u2013PbO\u2013B &lt;sub&gt;2&lt;/sub&gt; O &lt;sub&gt;3&lt;/sub&gt; and ZnO\u2013PbO\u2013B &lt;sub&gt;2&lt;/sub&gt; O &lt;sub&gt;3&lt;/sub&gt; \u2013SiO &lt;sub&gt;2&lt;/sub&gt; glasses", "type" : "article-journal", "volume" : "20" }, "uris" : [ "http://www.mendeley.com/documents/?uuid=129336fa-9974-4fc3-bf2a-9de6cbedf8b5" ] } ], "mendeley" : { "formattedCitation" : "(Singh et al., 2008)", "manualFormatting" : "Singh et al., (2008)", "plainTextFormattedCitation" : "(Singh et al., 2008)", "previouslyFormattedCitation" : "(Singh et al., 2008)" }, "properties" : { "noteIndex" : 138 }, "schema" : "https://github.com/citation-style-language/schema/raw/master/csl-citation.json" }</w:instrText>
      </w:r>
      <w:r w:rsidR="00EC627C">
        <w:rPr>
          <w:b w:val="0"/>
        </w:rPr>
        <w:fldChar w:fldCharType="separate"/>
      </w:r>
      <w:r w:rsidR="00EC627C" w:rsidRPr="004D23C6">
        <w:rPr>
          <w:b w:val="0"/>
          <w:noProof/>
        </w:rPr>
        <w:t xml:space="preserve">Singh et al., </w:t>
      </w:r>
      <w:r w:rsidR="00EC627C">
        <w:rPr>
          <w:b w:val="0"/>
          <w:noProof/>
        </w:rPr>
        <w:t>(</w:t>
      </w:r>
      <w:r w:rsidR="00EC627C" w:rsidRPr="004D23C6">
        <w:rPr>
          <w:b w:val="0"/>
          <w:noProof/>
        </w:rPr>
        <w:t>2008)</w:t>
      </w:r>
      <w:r w:rsidR="00EC627C">
        <w:rPr>
          <w:b w:val="0"/>
        </w:rPr>
        <w:fldChar w:fldCharType="end"/>
      </w:r>
      <w:r w:rsidR="00EC627C">
        <w:rPr>
          <w:b w:val="0"/>
        </w:rPr>
        <w:t xml:space="preserve">, observed an increased in density with increasing of modifier content in </w:t>
      </w:r>
      <w:proofErr w:type="spellStart"/>
      <w:r w:rsidR="00EC627C" w:rsidRPr="004D23C6">
        <w:rPr>
          <w:b w:val="0"/>
        </w:rPr>
        <w:t>ZnO</w:t>
      </w:r>
      <w:proofErr w:type="spellEnd"/>
      <w:r w:rsidR="00EC627C" w:rsidRPr="004D23C6">
        <w:rPr>
          <w:b w:val="0"/>
        </w:rPr>
        <w:t>–</w:t>
      </w:r>
      <w:proofErr w:type="spellStart"/>
      <w:r w:rsidR="00EC627C" w:rsidRPr="004D23C6">
        <w:rPr>
          <w:b w:val="0"/>
        </w:rPr>
        <w:t>PbO</w:t>
      </w:r>
      <w:proofErr w:type="spellEnd"/>
      <w:r w:rsidR="00EC627C" w:rsidRPr="004D23C6">
        <w:rPr>
          <w:b w:val="0"/>
        </w:rPr>
        <w:t>–B</w:t>
      </w:r>
      <w:r w:rsidR="00EC627C" w:rsidRPr="004D23C6">
        <w:rPr>
          <w:b w:val="0"/>
          <w:vertAlign w:val="subscript"/>
        </w:rPr>
        <w:t>2</w:t>
      </w:r>
      <w:r w:rsidR="00EC627C" w:rsidRPr="004D23C6">
        <w:rPr>
          <w:b w:val="0"/>
        </w:rPr>
        <w:t>O</w:t>
      </w:r>
      <w:r w:rsidR="00EC627C" w:rsidRPr="004D23C6">
        <w:rPr>
          <w:b w:val="0"/>
          <w:vertAlign w:val="subscript"/>
        </w:rPr>
        <w:t>3</w:t>
      </w:r>
      <w:r w:rsidR="00EC627C" w:rsidRPr="004D23C6">
        <w:rPr>
          <w:b w:val="0"/>
        </w:rPr>
        <w:t>–SiO</w:t>
      </w:r>
      <w:r w:rsidR="00EC627C" w:rsidRPr="004D23C6">
        <w:rPr>
          <w:b w:val="0"/>
          <w:vertAlign w:val="subscript"/>
        </w:rPr>
        <w:t>2</w:t>
      </w:r>
      <w:r w:rsidR="00EC627C" w:rsidRPr="004D23C6">
        <w:rPr>
          <w:b w:val="0"/>
        </w:rPr>
        <w:t xml:space="preserve"> glasses</w:t>
      </w:r>
      <w:r w:rsidR="00EC627C">
        <w:rPr>
          <w:b w:val="0"/>
        </w:rPr>
        <w:t xml:space="preserve"> due to the </w:t>
      </w:r>
      <w:r w:rsidR="008C4D01">
        <w:rPr>
          <w:b w:val="0"/>
        </w:rPr>
        <w:t xml:space="preserve">presence </w:t>
      </w:r>
      <w:r w:rsidR="00EC627C">
        <w:rPr>
          <w:b w:val="0"/>
        </w:rPr>
        <w:t xml:space="preserve">of boron tetrahedra. </w:t>
      </w:r>
      <w:r w:rsidR="005D7CAF">
        <w:rPr>
          <w:b w:val="0"/>
        </w:rPr>
        <w:t>Meanwhile, t</w:t>
      </w:r>
      <w:r w:rsidR="00E17C68" w:rsidRPr="00E17C68">
        <w:rPr>
          <w:b w:val="0"/>
        </w:rPr>
        <w:t xml:space="preserve">he slightly higher density </w:t>
      </w:r>
      <w:r w:rsidR="00BE5BCD">
        <w:rPr>
          <w:b w:val="0"/>
        </w:rPr>
        <w:t xml:space="preserve">of </w:t>
      </w:r>
      <w:r w:rsidR="00BE5BCD" w:rsidRPr="00AC6DB3">
        <w:rPr>
          <w:rFonts w:eastAsia="Times New Roman" w:cs="Times New Roman"/>
          <w:b w:val="0"/>
          <w:color w:val="000000"/>
          <w:szCs w:val="24"/>
          <w:lang w:eastAsia="en-MY"/>
        </w:rPr>
        <w:t>N</w:t>
      </w:r>
      <w:r w:rsidR="00BE5BCD" w:rsidRPr="00AC6DB3">
        <w:rPr>
          <w:rFonts w:eastAsia="Times New Roman" w:cs="Times New Roman"/>
          <w:b w:val="0"/>
          <w:color w:val="000000"/>
          <w:szCs w:val="24"/>
          <w:vertAlign w:val="subscript"/>
          <w:lang w:eastAsia="en-MY"/>
        </w:rPr>
        <w:t>15</w:t>
      </w:r>
      <w:r w:rsidR="00BE5BCD" w:rsidRPr="00AC6DB3">
        <w:rPr>
          <w:rFonts w:eastAsia="Times New Roman" w:cs="Times New Roman"/>
          <w:b w:val="0"/>
          <w:color w:val="000000"/>
          <w:szCs w:val="24"/>
          <w:lang w:eastAsia="en-MY"/>
        </w:rPr>
        <w:t>Ba</w:t>
      </w:r>
      <w:r w:rsidR="00BE5BCD" w:rsidRPr="00AC6DB3">
        <w:rPr>
          <w:rFonts w:eastAsia="Times New Roman" w:cs="Times New Roman"/>
          <w:b w:val="0"/>
          <w:color w:val="000000"/>
          <w:szCs w:val="24"/>
          <w:vertAlign w:val="subscript"/>
          <w:lang w:eastAsia="en-MY"/>
        </w:rPr>
        <w:t>x</w:t>
      </w:r>
      <w:r w:rsidR="00BE5BCD" w:rsidRPr="00AC6DB3">
        <w:rPr>
          <w:rFonts w:eastAsia="Times New Roman" w:cs="Times New Roman"/>
          <w:b w:val="0"/>
          <w:color w:val="000000"/>
          <w:szCs w:val="24"/>
          <w:lang w:eastAsia="en-MY"/>
        </w:rPr>
        <w:t>A</w:t>
      </w:r>
      <w:r w:rsidR="00BE5BCD" w:rsidRPr="00AC6DB3">
        <w:rPr>
          <w:rFonts w:eastAsia="Times New Roman" w:cs="Times New Roman"/>
          <w:b w:val="0"/>
          <w:color w:val="000000"/>
          <w:szCs w:val="24"/>
          <w:vertAlign w:val="subscript"/>
          <w:lang w:eastAsia="en-MY"/>
        </w:rPr>
        <w:t>15-x</w:t>
      </w:r>
      <w:r w:rsidR="00BE5BCD" w:rsidRPr="00AC6DB3">
        <w:rPr>
          <w:rFonts w:eastAsia="Times New Roman" w:cs="Times New Roman"/>
          <w:b w:val="0"/>
          <w:color w:val="000000"/>
          <w:szCs w:val="24"/>
          <w:lang w:eastAsia="en-MY"/>
        </w:rPr>
        <w:t>B</w:t>
      </w:r>
      <w:r w:rsidR="00BE5BCD" w:rsidRPr="00AC6DB3">
        <w:rPr>
          <w:rFonts w:eastAsia="Times New Roman" w:cs="Times New Roman"/>
          <w:b w:val="0"/>
          <w:color w:val="000000"/>
          <w:szCs w:val="24"/>
          <w:vertAlign w:val="subscript"/>
          <w:lang w:eastAsia="en-MY"/>
        </w:rPr>
        <w:t>10</w:t>
      </w:r>
      <w:r w:rsidR="00BE5BCD" w:rsidRPr="00AC6DB3">
        <w:rPr>
          <w:rFonts w:eastAsia="Times New Roman" w:cs="Times New Roman"/>
          <w:b w:val="0"/>
          <w:color w:val="000000"/>
          <w:szCs w:val="24"/>
          <w:lang w:eastAsia="en-MY"/>
        </w:rPr>
        <w:t>S</w:t>
      </w:r>
      <w:r w:rsidR="00BE5BCD" w:rsidRPr="00AC6DB3">
        <w:rPr>
          <w:rFonts w:eastAsia="Times New Roman" w:cs="Times New Roman"/>
          <w:b w:val="0"/>
          <w:color w:val="000000"/>
          <w:szCs w:val="24"/>
          <w:vertAlign w:val="subscript"/>
          <w:lang w:eastAsia="en-MY"/>
        </w:rPr>
        <w:t>60</w:t>
      </w:r>
      <w:r w:rsidR="00BE5BCD">
        <w:rPr>
          <w:rFonts w:eastAsia="Times New Roman" w:cs="Times New Roman"/>
          <w:b w:val="0"/>
          <w:color w:val="000000"/>
          <w:szCs w:val="24"/>
          <w:vertAlign w:val="subscript"/>
          <w:lang w:eastAsia="en-MY"/>
        </w:rPr>
        <w:t xml:space="preserve"> </w:t>
      </w:r>
      <w:r w:rsidR="00BE5BCD">
        <w:rPr>
          <w:rFonts w:eastAsia="Times New Roman" w:cs="Times New Roman"/>
          <w:b w:val="0"/>
          <w:color w:val="000000"/>
          <w:szCs w:val="24"/>
          <w:lang w:eastAsia="en-MY"/>
        </w:rPr>
        <w:t xml:space="preserve">compare to </w:t>
      </w:r>
      <w:r w:rsidR="00BE5BCD" w:rsidRPr="00577CB7">
        <w:rPr>
          <w:rFonts w:eastAsia="Times New Roman" w:cs="Times New Roman"/>
          <w:b w:val="0"/>
          <w:color w:val="000000"/>
          <w:szCs w:val="24"/>
          <w:lang w:eastAsia="en-MY"/>
        </w:rPr>
        <w:t>N</w:t>
      </w:r>
      <w:r w:rsidR="00BE5BCD" w:rsidRPr="00577CB7">
        <w:rPr>
          <w:rFonts w:eastAsia="Times New Roman" w:cs="Times New Roman"/>
          <w:b w:val="0"/>
          <w:color w:val="000000"/>
          <w:szCs w:val="24"/>
          <w:vertAlign w:val="subscript"/>
          <w:lang w:eastAsia="en-MY"/>
        </w:rPr>
        <w:t>15</w:t>
      </w:r>
      <w:r w:rsidR="00BE5BCD" w:rsidRPr="00577CB7">
        <w:rPr>
          <w:rFonts w:eastAsia="Times New Roman" w:cs="Times New Roman"/>
          <w:b w:val="0"/>
          <w:color w:val="000000"/>
          <w:szCs w:val="24"/>
          <w:lang w:eastAsia="en-MY"/>
        </w:rPr>
        <w:t>C</w:t>
      </w:r>
      <w:r w:rsidR="00BE5BCD" w:rsidRPr="00577CB7">
        <w:rPr>
          <w:rFonts w:eastAsia="Times New Roman" w:cs="Times New Roman"/>
          <w:b w:val="0"/>
          <w:color w:val="000000"/>
          <w:szCs w:val="24"/>
          <w:vertAlign w:val="subscript"/>
          <w:lang w:eastAsia="en-MY"/>
        </w:rPr>
        <w:t>x</w:t>
      </w:r>
      <w:r w:rsidR="00BE5BCD" w:rsidRPr="00577CB7">
        <w:rPr>
          <w:rFonts w:eastAsia="Times New Roman" w:cs="Times New Roman"/>
          <w:b w:val="0"/>
          <w:color w:val="000000"/>
          <w:szCs w:val="24"/>
          <w:lang w:eastAsia="en-MY"/>
        </w:rPr>
        <w:t>A</w:t>
      </w:r>
      <w:r w:rsidR="00BE5BCD" w:rsidRPr="00577CB7">
        <w:rPr>
          <w:rFonts w:eastAsia="Times New Roman" w:cs="Times New Roman"/>
          <w:b w:val="0"/>
          <w:color w:val="000000"/>
          <w:szCs w:val="24"/>
          <w:vertAlign w:val="subscript"/>
          <w:lang w:eastAsia="en-MY"/>
        </w:rPr>
        <w:t>15-x</w:t>
      </w:r>
      <w:r w:rsidR="00BE5BCD" w:rsidRPr="00577CB7">
        <w:rPr>
          <w:rFonts w:eastAsia="Times New Roman" w:cs="Times New Roman"/>
          <w:b w:val="0"/>
          <w:color w:val="000000"/>
          <w:szCs w:val="24"/>
          <w:lang w:eastAsia="en-MY"/>
        </w:rPr>
        <w:t>B</w:t>
      </w:r>
      <w:r w:rsidR="00BE5BCD" w:rsidRPr="00577CB7">
        <w:rPr>
          <w:rFonts w:eastAsia="Times New Roman" w:cs="Times New Roman"/>
          <w:b w:val="0"/>
          <w:color w:val="000000"/>
          <w:szCs w:val="24"/>
          <w:vertAlign w:val="subscript"/>
          <w:lang w:eastAsia="en-MY"/>
        </w:rPr>
        <w:t>10</w:t>
      </w:r>
      <w:r w:rsidR="00BE5BCD" w:rsidRPr="00577CB7">
        <w:rPr>
          <w:rFonts w:eastAsia="Times New Roman" w:cs="Times New Roman"/>
          <w:b w:val="0"/>
          <w:color w:val="000000"/>
          <w:szCs w:val="24"/>
          <w:lang w:eastAsia="en-MY"/>
        </w:rPr>
        <w:t>S</w:t>
      </w:r>
      <w:r w:rsidR="00BE5BCD" w:rsidRPr="00577CB7">
        <w:rPr>
          <w:rFonts w:eastAsia="Times New Roman" w:cs="Times New Roman"/>
          <w:b w:val="0"/>
          <w:color w:val="000000"/>
          <w:szCs w:val="24"/>
          <w:vertAlign w:val="subscript"/>
          <w:lang w:eastAsia="en-MY"/>
        </w:rPr>
        <w:t>60</w:t>
      </w:r>
      <w:r w:rsidR="00BE5BCD">
        <w:rPr>
          <w:rFonts w:eastAsia="Times New Roman" w:cs="Times New Roman"/>
          <w:b w:val="0"/>
          <w:color w:val="000000"/>
          <w:szCs w:val="24"/>
          <w:vertAlign w:val="subscript"/>
          <w:lang w:eastAsia="en-MY"/>
        </w:rPr>
        <w:t xml:space="preserve"> </w:t>
      </w:r>
      <w:r w:rsidR="00AC6DB3">
        <w:rPr>
          <w:b w:val="0"/>
        </w:rPr>
        <w:t xml:space="preserve">when increased the network charge balance </w:t>
      </w:r>
      <w:r w:rsidR="001A721C">
        <w:rPr>
          <w:b w:val="0"/>
        </w:rPr>
        <w:t xml:space="preserve">is </w:t>
      </w:r>
      <w:r w:rsidR="00AC6DB3" w:rsidRPr="00E17C68">
        <w:rPr>
          <w:b w:val="0"/>
        </w:rPr>
        <w:t>due</w:t>
      </w:r>
      <w:r w:rsidR="00BE5BCD">
        <w:rPr>
          <w:b w:val="0"/>
        </w:rPr>
        <w:t xml:space="preserve"> to</w:t>
      </w:r>
      <w:r w:rsidR="00AC6DB3" w:rsidRPr="00E17C68">
        <w:rPr>
          <w:b w:val="0"/>
        </w:rPr>
        <w:t xml:space="preserve"> the presence</w:t>
      </w:r>
      <w:r w:rsidR="00AC6DB3">
        <w:rPr>
          <w:b w:val="0"/>
        </w:rPr>
        <w:t xml:space="preserve"> of Ba which is heavier than Ca</w:t>
      </w:r>
      <w:r w:rsidR="00577CB7">
        <w:rPr>
          <w:rFonts w:eastAsia="Times New Roman" w:cs="Times New Roman"/>
          <w:b w:val="0"/>
          <w:color w:val="000000"/>
          <w:szCs w:val="24"/>
          <w:lang w:eastAsia="en-MY"/>
        </w:rPr>
        <w:t>:</w:t>
      </w:r>
      <w:r w:rsidR="00577CB7" w:rsidRPr="00577CB7">
        <w:t xml:space="preserve"> </w:t>
      </w:r>
      <w:r w:rsidR="00577CB7" w:rsidRPr="00577CB7">
        <w:rPr>
          <w:rFonts w:eastAsia="Times New Roman" w:cs="Times New Roman"/>
          <w:b w:val="0"/>
          <w:color w:val="000000"/>
          <w:szCs w:val="24"/>
          <w:lang w:eastAsia="en-MY"/>
        </w:rPr>
        <w:t xml:space="preserve">density of </w:t>
      </w:r>
      <w:r w:rsidR="00577CB7">
        <w:rPr>
          <w:rFonts w:eastAsia="Times New Roman" w:cs="Times New Roman"/>
          <w:b w:val="0"/>
          <w:color w:val="000000"/>
          <w:szCs w:val="24"/>
          <w:lang w:eastAsia="en-MY"/>
        </w:rPr>
        <w:t>barium</w:t>
      </w:r>
      <w:r w:rsidR="00577CB7" w:rsidRPr="00577CB7">
        <w:rPr>
          <w:rFonts w:eastAsia="Times New Roman" w:cs="Times New Roman"/>
          <w:b w:val="0"/>
          <w:color w:val="000000"/>
          <w:szCs w:val="24"/>
          <w:lang w:eastAsia="en-MY"/>
        </w:rPr>
        <w:t xml:space="preserve"> (2.20 g cm</w:t>
      </w:r>
      <w:r w:rsidR="00577CB7" w:rsidRPr="00577CB7">
        <w:rPr>
          <w:rFonts w:eastAsia="Times New Roman" w:cs="Times New Roman"/>
          <w:b w:val="0"/>
          <w:color w:val="000000"/>
          <w:szCs w:val="24"/>
          <w:vertAlign w:val="superscript"/>
          <w:lang w:eastAsia="en-MY"/>
        </w:rPr>
        <w:t>−3</w:t>
      </w:r>
      <w:r w:rsidR="00577CB7" w:rsidRPr="00577CB7">
        <w:rPr>
          <w:rFonts w:eastAsia="Times New Roman" w:cs="Times New Roman"/>
          <w:b w:val="0"/>
          <w:color w:val="000000"/>
          <w:szCs w:val="24"/>
          <w:lang w:eastAsia="en-MY"/>
        </w:rPr>
        <w:t xml:space="preserve">) </w:t>
      </w:r>
      <w:r w:rsidR="00577CB7" w:rsidRPr="00577CB7">
        <w:rPr>
          <w:rFonts w:eastAsia="Times New Roman" w:cs="Times New Roman"/>
          <w:b w:val="0"/>
          <w:color w:val="000000"/>
          <w:szCs w:val="24"/>
          <w:lang w:eastAsia="en-MY"/>
        </w:rPr>
        <w:lastRenderedPageBreak/>
        <w:t xml:space="preserve">is </w:t>
      </w:r>
      <w:r w:rsidR="00577CB7">
        <w:rPr>
          <w:rFonts w:eastAsia="Times New Roman" w:cs="Times New Roman"/>
          <w:b w:val="0"/>
          <w:color w:val="000000"/>
          <w:szCs w:val="24"/>
          <w:lang w:eastAsia="en-MY"/>
        </w:rPr>
        <w:t>higher</w:t>
      </w:r>
      <w:r w:rsidR="00577CB7" w:rsidRPr="00577CB7">
        <w:rPr>
          <w:rFonts w:eastAsia="Times New Roman" w:cs="Times New Roman"/>
          <w:b w:val="0"/>
          <w:color w:val="000000"/>
          <w:szCs w:val="24"/>
          <w:lang w:eastAsia="en-MY"/>
        </w:rPr>
        <w:t xml:space="preserve"> than</w:t>
      </w:r>
      <w:r w:rsidR="00577CB7">
        <w:rPr>
          <w:rFonts w:eastAsia="Times New Roman" w:cs="Times New Roman"/>
          <w:b w:val="0"/>
          <w:color w:val="000000"/>
          <w:szCs w:val="24"/>
          <w:lang w:eastAsia="en-MY"/>
        </w:rPr>
        <w:t xml:space="preserve"> that of</w:t>
      </w:r>
      <w:r w:rsidR="00577CB7" w:rsidRPr="00577CB7">
        <w:rPr>
          <w:rFonts w:eastAsia="Times New Roman" w:cs="Times New Roman"/>
          <w:b w:val="0"/>
          <w:color w:val="000000"/>
          <w:szCs w:val="24"/>
          <w:lang w:eastAsia="en-MY"/>
        </w:rPr>
        <w:t xml:space="preserve"> </w:t>
      </w:r>
      <w:r w:rsidR="00577CB7">
        <w:rPr>
          <w:rFonts w:eastAsia="Times New Roman" w:cs="Times New Roman"/>
          <w:b w:val="0"/>
          <w:color w:val="000000"/>
          <w:szCs w:val="24"/>
          <w:lang w:eastAsia="en-MY"/>
        </w:rPr>
        <w:t xml:space="preserve">calcium (1.54 </w:t>
      </w:r>
      <w:r w:rsidR="00577CB7" w:rsidRPr="00577CB7">
        <w:rPr>
          <w:rFonts w:eastAsia="Times New Roman" w:cs="Times New Roman"/>
          <w:b w:val="0"/>
          <w:color w:val="000000"/>
          <w:szCs w:val="24"/>
          <w:lang w:eastAsia="en-MY"/>
        </w:rPr>
        <w:t>cm</w:t>
      </w:r>
      <w:r w:rsidR="00577CB7" w:rsidRPr="00577CB7">
        <w:rPr>
          <w:rFonts w:eastAsia="Times New Roman" w:cs="Times New Roman"/>
          <w:b w:val="0"/>
          <w:color w:val="000000"/>
          <w:szCs w:val="24"/>
          <w:vertAlign w:val="superscript"/>
          <w:lang w:eastAsia="en-MY"/>
        </w:rPr>
        <w:t>-3</w:t>
      </w:r>
      <w:r w:rsidR="00577CB7">
        <w:rPr>
          <w:rFonts w:eastAsia="Times New Roman" w:cs="Times New Roman"/>
          <w:b w:val="0"/>
          <w:color w:val="000000"/>
          <w:szCs w:val="24"/>
          <w:lang w:eastAsia="en-MY"/>
        </w:rPr>
        <w:t>)</w:t>
      </w:r>
      <w:r w:rsidR="00D96E07">
        <w:rPr>
          <w:rFonts w:eastAsia="Times New Roman" w:cs="Times New Roman"/>
          <w:b w:val="0"/>
          <w:color w:val="000000"/>
          <w:szCs w:val="24"/>
          <w:lang w:eastAsia="en-MY"/>
        </w:rPr>
        <w:t>.</w:t>
      </w:r>
      <w:r w:rsidR="00D96E07" w:rsidRPr="00D96E07">
        <w:rPr>
          <w:rFonts w:eastAsia="Times New Roman" w:cs="Times New Roman"/>
          <w:b w:val="0"/>
          <w:color w:val="000000"/>
          <w:szCs w:val="24"/>
          <w:lang w:eastAsia="en-MY"/>
        </w:rPr>
        <w:t xml:space="preserve"> </w:t>
      </w:r>
      <w:r w:rsidR="00BE5BCD">
        <w:rPr>
          <w:rFonts w:eastAsia="Times New Roman" w:cs="Times New Roman"/>
          <w:b w:val="0"/>
          <w:color w:val="000000"/>
          <w:szCs w:val="24"/>
          <w:lang w:eastAsia="en-MY"/>
        </w:rPr>
        <w:t xml:space="preserve">Overall, decreased in </w:t>
      </w:r>
      <w:r w:rsidR="00E17C68" w:rsidRPr="00E17C68">
        <w:rPr>
          <w:b w:val="0"/>
        </w:rPr>
        <w:t>molar volume</w:t>
      </w:r>
      <w:r w:rsidR="00D96E07">
        <w:rPr>
          <w:b w:val="0"/>
        </w:rPr>
        <w:t xml:space="preserve"> </w:t>
      </w:r>
      <w:r w:rsidR="00D96E07">
        <w:rPr>
          <w:rFonts w:eastAsia="Times New Roman" w:cs="Times New Roman"/>
          <w:b w:val="0"/>
          <w:color w:val="000000"/>
          <w:szCs w:val="24"/>
          <w:lang w:eastAsia="en-MY"/>
        </w:rPr>
        <w:t xml:space="preserve">is </w:t>
      </w:r>
      <w:r w:rsidR="00D96E07" w:rsidRPr="00D96E07">
        <w:rPr>
          <w:rFonts w:eastAsia="Times New Roman" w:cs="Times New Roman"/>
          <w:b w:val="0"/>
          <w:color w:val="000000"/>
          <w:szCs w:val="24"/>
          <w:lang w:eastAsia="en-MY"/>
        </w:rPr>
        <w:t xml:space="preserve">believed </w:t>
      </w:r>
      <w:r w:rsidR="00BE5BCD">
        <w:rPr>
          <w:rFonts w:eastAsia="Times New Roman" w:cs="Times New Roman"/>
          <w:b w:val="0"/>
          <w:color w:val="000000"/>
          <w:szCs w:val="24"/>
          <w:lang w:eastAsia="en-MY"/>
        </w:rPr>
        <w:t xml:space="preserve">due to the </w:t>
      </w:r>
      <w:r w:rsidR="00D96E07">
        <w:rPr>
          <w:rFonts w:eastAsia="Times New Roman" w:cs="Times New Roman"/>
          <w:b w:val="0"/>
          <w:color w:val="000000"/>
          <w:szCs w:val="24"/>
          <w:lang w:eastAsia="en-MY"/>
        </w:rPr>
        <w:t xml:space="preserve">atoms become more tightly bound </w:t>
      </w:r>
      <w:r w:rsidR="001351D4">
        <w:rPr>
          <w:rFonts w:eastAsia="Times New Roman" w:cs="Times New Roman"/>
          <w:b w:val="0"/>
          <w:color w:val="000000"/>
          <w:szCs w:val="24"/>
          <w:lang w:eastAsia="en-MY"/>
        </w:rPr>
        <w:t>from hig</w:t>
      </w:r>
      <w:r w:rsidR="004738AE">
        <w:rPr>
          <w:rFonts w:eastAsia="Times New Roman" w:cs="Times New Roman"/>
          <w:b w:val="0"/>
          <w:color w:val="000000"/>
          <w:szCs w:val="24"/>
          <w:lang w:eastAsia="en-MY"/>
        </w:rPr>
        <w:t>h</w:t>
      </w:r>
      <w:r w:rsidR="001351D4">
        <w:rPr>
          <w:rFonts w:eastAsia="Times New Roman" w:cs="Times New Roman"/>
          <w:b w:val="0"/>
          <w:color w:val="000000"/>
          <w:szCs w:val="24"/>
          <w:lang w:eastAsia="en-MY"/>
        </w:rPr>
        <w:t>er</w:t>
      </w:r>
      <w:r w:rsidR="00D96E07">
        <w:rPr>
          <w:rFonts w:eastAsia="Times New Roman" w:cs="Times New Roman"/>
          <w:b w:val="0"/>
          <w:color w:val="000000"/>
          <w:szCs w:val="24"/>
          <w:lang w:eastAsia="en-MY"/>
        </w:rPr>
        <w:t xml:space="preserve"> </w:t>
      </w:r>
      <w:r w:rsidR="00D96E07" w:rsidRPr="00D96E07">
        <w:rPr>
          <w:rFonts w:eastAsia="Times New Roman" w:cs="Times New Roman"/>
          <w:b w:val="0"/>
          <w:color w:val="000000"/>
          <w:szCs w:val="24"/>
          <w:lang w:eastAsia="en-MY"/>
        </w:rPr>
        <w:t>crosslinking</w:t>
      </w:r>
      <w:r w:rsidR="001A721C">
        <w:rPr>
          <w:b w:val="0"/>
        </w:rPr>
        <w:t xml:space="preserve"> </w:t>
      </w:r>
      <w:r w:rsidR="001351D4">
        <w:rPr>
          <w:b w:val="0"/>
        </w:rPr>
        <w:fldChar w:fldCharType="begin" w:fldLock="1"/>
      </w:r>
      <w:r w:rsidR="008400FF">
        <w:rPr>
          <w:b w:val="0"/>
        </w:rPr>
        <w:instrText>ADDIN CSL_CITATION { "citationItems" : [ { "id" : "ITEM-1", "itemData" : { "DOI" : "10.1016/0022-3093(91)90467-K", "ISSN" : "00223093", "abstract" : "High purity chalcogenide glasses incorporating Ge, Sb, Se, As and Te were prepared by vacuum melting of previously distilled 5 N to 6 N pure raw materials from which the surface oxide was also removed in some cases. Molar volume and elastic properties of several isostructural chalcogenide glasses prepared by similar processing techniques were obtained from the measured values of densities and the velocities of transverse and longitudinal acoustic waves respectively. Property variations with the average coordination number, ???r???, were examined. Molar volume displayed a distinct minimum at ???r??? = 2.4, coincident with Phillips' 'percolation threshold' for each system studied. Elastic moduli, however, failed to show any dramatic changes at this threshold. Near the stoichiometric tie-line, a chemically ordered covalent network (COCN) model for the atomic arrangement in these glasses was found to be preferred over the chance coordination predicted by the random covalent network (RCN) model. ?? 1991.", "author" : [ { "dropping-particle" : "", "family" : "Sreeram", "given" : "a. N.", "non-dropping-particle" : "", "parse-names" : false, "suffix" : "" }, { "dropping-particle" : "", "family" : "Varshneya", "given" : "a. K.", "non-dropping-particle" : "", "parse-names" : false, "suffix" : "" }, { "dropping-particle" : "", "family" : "Swiler", "given" : "D. R.", "non-dropping-particle" : "", "parse-names" : false, "suffix" : "" } ], "container-title" : "Journal of Non-Crystalline Solids", "id" : "ITEM-1", "issue" : "3", "issued" : { "date-parts" : [ [ "1991" ] ] }, "page" : "294-309", "title" : "Molar volume and elastic properties of multicomponent chalcogenide glasses", "type" : "article-journal", "volume" : "128" }, "uris" : [ "http://www.mendeley.com/documents/?uuid=90d6393e-31a5-4864-98e8-8ef9061dc53c" ] } ], "mendeley" : { "formattedCitation" : "(Sreeram et al., 1991)", "manualFormatting" : "(Sreeram et al., 1991)", "plainTextFormattedCitation" : "(Sreeram et al., 1991)", "previouslyFormattedCitation" : "(Sreeram et al., 1991)" }, "properties" : { "noteIndex" : 139 }, "schema" : "https://github.com/citation-style-language/schema/raw/master/csl-citation.json" }</w:instrText>
      </w:r>
      <w:r w:rsidR="001351D4">
        <w:rPr>
          <w:b w:val="0"/>
        </w:rPr>
        <w:fldChar w:fldCharType="separate"/>
      </w:r>
      <w:r w:rsidR="001351D4" w:rsidRPr="001351D4">
        <w:rPr>
          <w:b w:val="0"/>
          <w:noProof/>
        </w:rPr>
        <w:t>(Sreeram</w:t>
      </w:r>
      <w:r w:rsidR="001351D4">
        <w:rPr>
          <w:b w:val="0"/>
          <w:noProof/>
        </w:rPr>
        <w:t xml:space="preserve"> et al.,</w:t>
      </w:r>
      <w:r w:rsidR="001351D4" w:rsidRPr="001351D4">
        <w:rPr>
          <w:b w:val="0"/>
          <w:noProof/>
        </w:rPr>
        <w:t xml:space="preserve"> 1991)</w:t>
      </w:r>
      <w:r w:rsidR="001351D4">
        <w:rPr>
          <w:b w:val="0"/>
        </w:rPr>
        <w:fldChar w:fldCharType="end"/>
      </w:r>
      <w:r w:rsidR="004738AE">
        <w:rPr>
          <w:b w:val="0"/>
        </w:rPr>
        <w:t>.</w:t>
      </w:r>
    </w:p>
    <w:p w14:paraId="09371EBD" w14:textId="77777777" w:rsidR="00BF600D" w:rsidRDefault="00BF600D" w:rsidP="00F66D29">
      <w:pPr>
        <w:spacing w:before="240" w:after="0" w:line="360" w:lineRule="auto"/>
        <w:jc w:val="both"/>
        <w:rPr>
          <w:rFonts w:eastAsia="Calibri" w:cstheme="majorBidi"/>
          <w:iCs/>
          <w:color w:val="000000" w:themeColor="text1"/>
          <w:szCs w:val="24"/>
          <w:lang w:eastAsia="tr-TR"/>
        </w:rPr>
      </w:pPr>
      <w:r>
        <w:rPr>
          <w:rFonts w:eastAsia="Calibri" w:cstheme="majorBidi"/>
          <w:iCs/>
          <w:color w:val="000000" w:themeColor="text1"/>
          <w:szCs w:val="24"/>
          <w:lang w:eastAsia="tr-TR"/>
        </w:rPr>
        <w:t xml:space="preserve">5.3 </w:t>
      </w:r>
      <w:bookmarkStart w:id="905" w:name="_Hlk523136157"/>
      <w:r>
        <w:rPr>
          <w:rFonts w:eastAsia="Calibri" w:cstheme="majorBidi"/>
          <w:iCs/>
          <w:color w:val="000000" w:themeColor="text1"/>
          <w:szCs w:val="24"/>
          <w:lang w:eastAsia="tr-TR"/>
        </w:rPr>
        <w:t>Relationship between charge balance mechanical properties, polymerisation index and packing density.</w:t>
      </w:r>
    </w:p>
    <w:bookmarkEnd w:id="905"/>
    <w:p w14:paraId="22A2E3E5" w14:textId="674B1E0B" w:rsidR="00BF600D" w:rsidRDefault="00BF600D" w:rsidP="00BF600D">
      <w:pPr>
        <w:spacing w:line="360" w:lineRule="auto"/>
        <w:jc w:val="center"/>
        <w:rPr>
          <w:b w:val="0"/>
        </w:rPr>
      </w:pPr>
      <w:r>
        <w:rPr>
          <w:noProof/>
          <w:lang w:eastAsia="en-MY"/>
        </w:rPr>
        <mc:AlternateContent>
          <mc:Choice Requires="wps">
            <w:drawing>
              <wp:anchor distT="0" distB="0" distL="114300" distR="114300" simplePos="0" relativeHeight="252522496" behindDoc="0" locked="0" layoutInCell="1" allowOverlap="1" wp14:anchorId="1B950D57" wp14:editId="465934CB">
                <wp:simplePos x="0" y="0"/>
                <wp:positionH relativeFrom="margin">
                  <wp:posOffset>784860</wp:posOffset>
                </wp:positionH>
                <wp:positionV relativeFrom="paragraph">
                  <wp:posOffset>21590</wp:posOffset>
                </wp:positionV>
                <wp:extent cx="320675" cy="320675"/>
                <wp:effectExtent l="0" t="0" r="0" b="3175"/>
                <wp:wrapNone/>
                <wp:docPr id="340" name="Text Box 340"/>
                <wp:cNvGraphicFramePr/>
                <a:graphic xmlns:a="http://schemas.openxmlformats.org/drawingml/2006/main">
                  <a:graphicData uri="http://schemas.microsoft.com/office/word/2010/wordprocessingShape">
                    <wps:wsp>
                      <wps:cNvSpPr txBox="1"/>
                      <wps:spPr>
                        <a:xfrm>
                          <a:off x="0" y="0"/>
                          <a:ext cx="320040" cy="320040"/>
                        </a:xfrm>
                        <a:prstGeom prst="rect">
                          <a:avLst/>
                        </a:prstGeom>
                        <a:noFill/>
                        <a:ln w="6350">
                          <a:noFill/>
                        </a:ln>
                      </wps:spPr>
                      <wps:txbx>
                        <w:txbxContent>
                          <w:p w14:paraId="4BC653EC" w14:textId="77777777" w:rsidR="00230AB9" w:rsidRDefault="00230AB9" w:rsidP="00BF600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950D57" id="Text Box 340" o:spid="_x0000_s1373" type="#_x0000_t202" style="position:absolute;left:0;text-align:left;margin-left:61.8pt;margin-top:1.7pt;width:25.25pt;height:25.25pt;z-index:25252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" filled="f" stroked="f" strokeweight=".5pt">
                <v:textbox>
                  <w:txbxContent>
                    <w:p w14:paraId="4BC653EC" w14:textId="77777777" w:rsidR="00230AB9" w:rsidRDefault="00230AB9" w:rsidP="00BF600D">
                      <w:r>
                        <w:t>a)</w:t>
                      </w:r>
                    </w:p>
                  </w:txbxContent>
                </v:textbox>
                <w10:wrap anchorx="margin"/>
              </v:shape>
            </w:pict>
          </mc:Fallback>
        </mc:AlternateContent>
      </w:r>
      <w:r>
        <w:rPr>
          <w:noProof/>
          <w:lang w:eastAsia="en-MY"/>
        </w:rPr>
        <w:drawing>
          <wp:inline distT="0" distB="0" distL="0" distR="0" wp14:anchorId="55AFF6C1" wp14:editId="45EDD0DF">
            <wp:extent cx="3238500" cy="3238500"/>
            <wp:effectExtent l="0" t="0" r="0" b="0"/>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238500" cy="3238500"/>
                    </a:xfrm>
                    <a:prstGeom prst="rect">
                      <a:avLst/>
                    </a:prstGeom>
                    <a:noFill/>
                    <a:ln>
                      <a:noFill/>
                    </a:ln>
                  </pic:spPr>
                </pic:pic>
              </a:graphicData>
            </a:graphic>
          </wp:inline>
        </w:drawing>
      </w:r>
      <w:r>
        <w:rPr>
          <w:noProof/>
          <w:lang w:eastAsia="en-MY"/>
        </w:rPr>
        <mc:AlternateContent>
          <mc:Choice Requires="wps">
            <w:drawing>
              <wp:anchor distT="0" distB="0" distL="114300" distR="114300" simplePos="0" relativeHeight="252520448" behindDoc="0" locked="0" layoutInCell="1" allowOverlap="1" wp14:anchorId="402D928E" wp14:editId="1AC2E344">
                <wp:simplePos x="0" y="0"/>
                <wp:positionH relativeFrom="margin">
                  <wp:posOffset>2007870</wp:posOffset>
                </wp:positionH>
                <wp:positionV relativeFrom="paragraph">
                  <wp:posOffset>1331595</wp:posOffset>
                </wp:positionV>
                <wp:extent cx="1957705" cy="685800"/>
                <wp:effectExtent l="0" t="0" r="23495" b="19050"/>
                <wp:wrapNone/>
                <wp:docPr id="331" name="Straight Connector 331"/>
                <wp:cNvGraphicFramePr/>
                <a:graphic xmlns:a="http://schemas.openxmlformats.org/drawingml/2006/main">
                  <a:graphicData uri="http://schemas.microsoft.com/office/word/2010/wordprocessingShape">
                    <wps:wsp>
                      <wps:cNvCnPr/>
                      <wps:spPr>
                        <a:xfrm flipH="1">
                          <a:off x="0" y="0"/>
                          <a:ext cx="1957705" cy="685165"/>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111EA263" id="Straight Connector 331" o:spid="_x0000_s1026" style="position:absolute;flip:x;z-index:25252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8.1pt,104.85pt" to="312.25pt,15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">
                <v:stroke dashstyle="dash"/>
                <w10:wrap anchorx="margin"/>
              </v:line>
            </w:pict>
          </mc:Fallback>
        </mc:AlternateContent>
      </w:r>
    </w:p>
    <w:p w14:paraId="5E0D9A9C" w14:textId="6416BFF4" w:rsidR="00BF600D" w:rsidRDefault="00BF600D" w:rsidP="00BF600D">
      <w:pPr>
        <w:jc w:val="center"/>
        <w:rPr>
          <w:lang w:val="en-GB"/>
        </w:rPr>
      </w:pPr>
      <w:r>
        <w:rPr>
          <w:noProof/>
          <w:lang w:eastAsia="en-MY"/>
        </w:rPr>
        <mc:AlternateContent>
          <mc:Choice Requires="wpg">
            <w:drawing>
              <wp:anchor distT="0" distB="0" distL="114300" distR="114300" simplePos="0" relativeHeight="252518400" behindDoc="0" locked="0" layoutInCell="1" allowOverlap="1" wp14:anchorId="2F5C2429" wp14:editId="11041142">
                <wp:simplePos x="0" y="0"/>
                <wp:positionH relativeFrom="column">
                  <wp:posOffset>2117725</wp:posOffset>
                </wp:positionH>
                <wp:positionV relativeFrom="paragraph">
                  <wp:posOffset>1013460</wp:posOffset>
                </wp:positionV>
                <wp:extent cx="1719580" cy="1569085"/>
                <wp:effectExtent l="0" t="0" r="33020" b="31115"/>
                <wp:wrapNone/>
                <wp:docPr id="334" name="Group 334"/>
                <wp:cNvGraphicFramePr/>
                <a:graphic xmlns:a="http://schemas.openxmlformats.org/drawingml/2006/main">
                  <a:graphicData uri="http://schemas.microsoft.com/office/word/2010/wordprocessingGroup">
                    <wpg:wgp>
                      <wpg:cNvGrpSpPr/>
                      <wpg:grpSpPr>
                        <a:xfrm>
                          <a:off x="0" y="0"/>
                          <a:ext cx="1719580" cy="1569085"/>
                          <a:chOff x="0" y="0"/>
                          <a:chExt cx="1719741" cy="1569085"/>
                        </a:xfrm>
                      </wpg:grpSpPr>
                      <wps:wsp>
                        <wps:cNvPr id="629" name="Straight Connector 629"/>
                        <wps:cNvCnPr/>
                        <wps:spPr>
                          <a:xfrm>
                            <a:off x="0" y="640080"/>
                            <a:ext cx="1280795" cy="929005"/>
                          </a:xfrm>
                          <a:prstGeom prst="line">
                            <a:avLst/>
                          </a:prstGeom>
                          <a:noFill/>
                          <a:ln w="9525" cap="flat" cmpd="sng" algn="ctr">
                            <a:solidFill>
                              <a:sysClr val="windowText" lastClr="000000">
                                <a:shade val="95000"/>
                                <a:satMod val="105000"/>
                              </a:sysClr>
                            </a:solidFill>
                            <a:prstDash val="dash"/>
                          </a:ln>
                          <a:effectLst/>
                        </wps:spPr>
                        <wps:bodyPr/>
                      </wps:wsp>
                      <wps:wsp>
                        <wps:cNvPr id="630" name="Straight Connector 630"/>
                        <wps:cNvCnPr/>
                        <wps:spPr>
                          <a:xfrm>
                            <a:off x="213360" y="0"/>
                            <a:ext cx="1506381" cy="449271"/>
                          </a:xfrm>
                          <a:prstGeom prst="line">
                            <a:avLst/>
                          </a:prstGeom>
                          <a:noFill/>
                          <a:ln w="9525" cap="flat" cmpd="sng" algn="ctr">
                            <a:solidFill>
                              <a:sysClr val="windowText" lastClr="000000">
                                <a:shade val="95000"/>
                                <a:satMod val="105000"/>
                              </a:sysClr>
                            </a:solidFill>
                            <a:prstDash val="dash"/>
                          </a:ln>
                          <a:effectLst/>
                        </wps:spPr>
                        <wps:bodyPr/>
                      </wps:wsp>
                    </wpg:wgp>
                  </a:graphicData>
                </a:graphic>
                <wp14:sizeRelH relativeFrom="page">
                  <wp14:pctWidth>0</wp14:pctWidth>
                </wp14:sizeRelH>
                <wp14:sizeRelV relativeFrom="page">
                  <wp14:pctHeight>0</wp14:pctHeight>
                </wp14:sizeRelV>
              </wp:anchor>
            </w:drawing>
          </mc:Choice>
          <mc:Fallback>
            <w:pict>
              <v:group w14:anchorId="7A61F6E9" id="Group 334" o:spid="_x0000_s1026" style="position:absolute;margin-left:166.75pt;margin-top:79.8pt;width:135.4pt;height:123.55pt;z-index:252518400" coordsize="17197,15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">
                <v:line id="Straight Connector 629" o:spid="_x0000_s1027" style="position:absolute;visibility:visible;mso-wrap-style:square" from="0,6400" to="12807,1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">
                  <v:stroke dashstyle="dash"/>
                </v:line>
                <v:line id="Straight Connector 630" o:spid="_x0000_s1028" style="position:absolute;visibility:visible;mso-wrap-style:square" from="2133,0" to="17197,4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">
                  <v:stroke dashstyle="dash"/>
                </v:line>
              </v:group>
            </w:pict>
          </mc:Fallback>
        </mc:AlternateContent>
      </w:r>
      <w:r>
        <w:rPr>
          <w:noProof/>
          <w:lang w:eastAsia="en-MY"/>
        </w:rPr>
        <mc:AlternateContent>
          <mc:Choice Requires="wps">
            <w:drawing>
              <wp:anchor distT="0" distB="0" distL="114300" distR="114300" simplePos="0" relativeHeight="252523520" behindDoc="0" locked="0" layoutInCell="1" allowOverlap="1" wp14:anchorId="7CE3F2D0" wp14:editId="127801D4">
                <wp:simplePos x="0" y="0"/>
                <wp:positionH relativeFrom="margin">
                  <wp:posOffset>814705</wp:posOffset>
                </wp:positionH>
                <wp:positionV relativeFrom="paragraph">
                  <wp:posOffset>127000</wp:posOffset>
                </wp:positionV>
                <wp:extent cx="403860" cy="368300"/>
                <wp:effectExtent l="0" t="0" r="0" b="0"/>
                <wp:wrapNone/>
                <wp:docPr id="341" name="Text Box 341"/>
                <wp:cNvGraphicFramePr/>
                <a:graphic xmlns:a="http://schemas.openxmlformats.org/drawingml/2006/main">
                  <a:graphicData uri="http://schemas.microsoft.com/office/word/2010/wordprocessingShape">
                    <wps:wsp>
                      <wps:cNvSpPr txBox="1"/>
                      <wps:spPr>
                        <a:xfrm>
                          <a:off x="0" y="0"/>
                          <a:ext cx="403225" cy="367665"/>
                        </a:xfrm>
                        <a:prstGeom prst="rect">
                          <a:avLst/>
                        </a:prstGeom>
                        <a:noFill/>
                        <a:ln w="6350">
                          <a:noFill/>
                        </a:ln>
                      </wps:spPr>
                      <wps:txbx>
                        <w:txbxContent>
                          <w:p w14:paraId="7C199033" w14:textId="77777777" w:rsidR="00230AB9" w:rsidRDefault="00230AB9" w:rsidP="00BF600D">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3F2D0" id="Text Box 341" o:spid="_x0000_s1374" type="#_x0000_t202" style="position:absolute;left:0;text-align:left;margin-left:64.15pt;margin-top:10pt;width:31.8pt;height:29pt;z-index:25252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" filled="f" stroked="f" strokeweight=".5pt">
                <v:textbox>
                  <w:txbxContent>
                    <w:p w14:paraId="7C199033" w14:textId="77777777" w:rsidR="00230AB9" w:rsidRDefault="00230AB9" w:rsidP="00BF600D">
                      <w:r>
                        <w:t>b)</w:t>
                      </w:r>
                    </w:p>
                  </w:txbxContent>
                </v:textbox>
                <w10:wrap anchorx="margin"/>
              </v:shape>
            </w:pict>
          </mc:Fallback>
        </mc:AlternateContent>
      </w:r>
      <w:r>
        <w:rPr>
          <w:lang w:val="en-GB"/>
        </w:rPr>
        <w:t xml:space="preserve"> </w:t>
      </w:r>
      <w:r>
        <w:rPr>
          <w:noProof/>
          <w:lang w:eastAsia="en-MY"/>
        </w:rPr>
        <w:drawing>
          <wp:inline distT="0" distB="0" distL="0" distR="0" wp14:anchorId="5A9A2526" wp14:editId="55AFB09A">
            <wp:extent cx="3343275" cy="3238500"/>
            <wp:effectExtent l="0" t="0" r="9525" b="0"/>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343275" cy="3238500"/>
                    </a:xfrm>
                    <a:prstGeom prst="rect">
                      <a:avLst/>
                    </a:prstGeom>
                    <a:noFill/>
                    <a:ln>
                      <a:noFill/>
                    </a:ln>
                  </pic:spPr>
                </pic:pic>
              </a:graphicData>
            </a:graphic>
          </wp:inline>
        </w:drawing>
      </w:r>
    </w:p>
    <w:p w14:paraId="25E5B9FB" w14:textId="4CD5C2D1" w:rsidR="00BF600D" w:rsidRDefault="0082632E" w:rsidP="00BF600D">
      <w:pPr>
        <w:pStyle w:val="Caption"/>
        <w:rPr>
          <w:szCs w:val="24"/>
        </w:rPr>
      </w:pPr>
      <w:bookmarkStart w:id="906" w:name="_Toc525706408"/>
      <w:bookmarkStart w:id="907" w:name="_Toc525528393"/>
      <w:bookmarkStart w:id="908" w:name="_Toc521420510"/>
      <w:r>
        <w:t>Figure 5.9:</w:t>
      </w:r>
      <w:r w:rsidR="00BF600D">
        <w:t xml:space="preserve"> </w:t>
      </w:r>
      <w:r w:rsidR="00BF600D">
        <w:rPr>
          <w:szCs w:val="24"/>
        </w:rPr>
        <w:t>Various relationships for selected mechanical properties; a) Hardness versus modulus; b) Young’s modulus versus Raman Polymerisation index; c) Vickers’s indentation hardness versus Raman polymerisation index; d) Young’s modulus versus packing density of produced glasses. (</w:t>
      </w:r>
      <w:r w:rsidR="00BF600D">
        <w:rPr>
          <w:i/>
          <w:szCs w:val="24"/>
        </w:rPr>
        <w:t>Continued on next page</w:t>
      </w:r>
      <w:r w:rsidR="00BF600D">
        <w:rPr>
          <w:szCs w:val="24"/>
        </w:rPr>
        <w:t>)</w:t>
      </w:r>
      <w:bookmarkEnd w:id="906"/>
      <w:bookmarkEnd w:id="907"/>
      <w:bookmarkEnd w:id="908"/>
    </w:p>
    <w:p w14:paraId="791CA1AE" w14:textId="40633206" w:rsidR="00BF600D" w:rsidRDefault="00BF600D" w:rsidP="00BF600D">
      <w:pPr>
        <w:jc w:val="center"/>
        <w:rPr>
          <w:lang w:val="en-GB"/>
        </w:rPr>
      </w:pPr>
      <w:r>
        <w:rPr>
          <w:noProof/>
          <w:lang w:eastAsia="en-MY"/>
        </w:rPr>
        <w:lastRenderedPageBreak/>
        <mc:AlternateContent>
          <mc:Choice Requires="wps">
            <w:drawing>
              <wp:anchor distT="0" distB="0" distL="114300" distR="114300" simplePos="0" relativeHeight="252525568" behindDoc="0" locked="0" layoutInCell="1" allowOverlap="1" wp14:anchorId="4FE6FF10" wp14:editId="06DF5241">
                <wp:simplePos x="0" y="0"/>
                <wp:positionH relativeFrom="column">
                  <wp:posOffset>973455</wp:posOffset>
                </wp:positionH>
                <wp:positionV relativeFrom="paragraph">
                  <wp:posOffset>3361055</wp:posOffset>
                </wp:positionV>
                <wp:extent cx="439420" cy="320675"/>
                <wp:effectExtent l="0" t="0" r="0" b="3175"/>
                <wp:wrapNone/>
                <wp:docPr id="343" name="Text Box 343"/>
                <wp:cNvGraphicFramePr/>
                <a:graphic xmlns:a="http://schemas.openxmlformats.org/drawingml/2006/main">
                  <a:graphicData uri="http://schemas.microsoft.com/office/word/2010/wordprocessingShape">
                    <wps:wsp>
                      <wps:cNvSpPr txBox="1"/>
                      <wps:spPr>
                        <a:xfrm>
                          <a:off x="0" y="0"/>
                          <a:ext cx="438785" cy="320040"/>
                        </a:xfrm>
                        <a:prstGeom prst="rect">
                          <a:avLst/>
                        </a:prstGeom>
                        <a:noFill/>
                        <a:ln w="6350">
                          <a:noFill/>
                        </a:ln>
                      </wps:spPr>
                      <wps:txbx>
                        <w:txbxContent>
                          <w:p w14:paraId="3F48F3CA" w14:textId="77777777" w:rsidR="00230AB9" w:rsidRDefault="00230AB9" w:rsidP="00BF600D">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FE6FF10" id="Text Box 343" o:spid="_x0000_s1375" type="#_x0000_t202" style="position:absolute;left:0;text-align:left;margin-left:76.65pt;margin-top:264.65pt;width:34.6pt;height:25.25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" filled="f" stroked="f" strokeweight=".5pt">
                <v:textbox>
                  <w:txbxContent>
                    <w:p w14:paraId="3F48F3CA" w14:textId="77777777" w:rsidR="00230AB9" w:rsidRDefault="00230AB9" w:rsidP="00BF600D">
                      <w:r>
                        <w:t>d)</w:t>
                      </w:r>
                    </w:p>
                  </w:txbxContent>
                </v:textbox>
              </v:shape>
            </w:pict>
          </mc:Fallback>
        </mc:AlternateContent>
      </w:r>
      <w:r>
        <w:rPr>
          <w:noProof/>
          <w:lang w:eastAsia="en-MY"/>
        </w:rPr>
        <mc:AlternateContent>
          <mc:Choice Requires="wpg">
            <w:drawing>
              <wp:anchor distT="0" distB="0" distL="114300" distR="114300" simplePos="0" relativeHeight="252521472" behindDoc="0" locked="0" layoutInCell="1" allowOverlap="1" wp14:anchorId="6BD3D90F" wp14:editId="6452B8A6">
                <wp:simplePos x="0" y="0"/>
                <wp:positionH relativeFrom="margin">
                  <wp:posOffset>2277745</wp:posOffset>
                </wp:positionH>
                <wp:positionV relativeFrom="paragraph">
                  <wp:posOffset>4338955</wp:posOffset>
                </wp:positionV>
                <wp:extent cx="1739265" cy="1560195"/>
                <wp:effectExtent l="0" t="0" r="13335" b="20955"/>
                <wp:wrapNone/>
                <wp:docPr id="1661" name="Group 1661"/>
                <wp:cNvGraphicFramePr/>
                <a:graphic xmlns:a="http://schemas.openxmlformats.org/drawingml/2006/main">
                  <a:graphicData uri="http://schemas.microsoft.com/office/word/2010/wordprocessingGroup">
                    <wpg:wgp>
                      <wpg:cNvGrpSpPr/>
                      <wpg:grpSpPr>
                        <a:xfrm>
                          <a:off x="0" y="0"/>
                          <a:ext cx="1738630" cy="1560195"/>
                          <a:chOff x="0" y="0"/>
                          <a:chExt cx="1739126" cy="1560442"/>
                        </a:xfrm>
                      </wpg:grpSpPr>
                      <wps:wsp>
                        <wps:cNvPr id="624" name="Straight Connector 624"/>
                        <wps:cNvCnPr/>
                        <wps:spPr>
                          <a:xfrm flipV="1">
                            <a:off x="0" y="0"/>
                            <a:ext cx="1262270" cy="1281651"/>
                          </a:xfrm>
                          <a:prstGeom prst="line">
                            <a:avLst/>
                          </a:prstGeom>
                          <a:noFill/>
                          <a:ln w="9525" cap="flat" cmpd="sng" algn="ctr">
                            <a:solidFill>
                              <a:sysClr val="windowText" lastClr="000000">
                                <a:shade val="95000"/>
                                <a:satMod val="105000"/>
                              </a:sysClr>
                            </a:solidFill>
                            <a:prstDash val="dash"/>
                          </a:ln>
                          <a:effectLst/>
                        </wps:spPr>
                        <wps:bodyPr/>
                      </wps:wsp>
                      <wps:wsp>
                        <wps:cNvPr id="625" name="Straight Connector 625"/>
                        <wps:cNvCnPr/>
                        <wps:spPr>
                          <a:xfrm flipV="1">
                            <a:off x="427382" y="367747"/>
                            <a:ext cx="1311744" cy="1192695"/>
                          </a:xfrm>
                          <a:prstGeom prst="line">
                            <a:avLst/>
                          </a:prstGeom>
                          <a:noFill/>
                          <a:ln w="9525" cap="flat" cmpd="sng" algn="ctr">
                            <a:solidFill>
                              <a:sysClr val="windowText" lastClr="000000">
                                <a:shade val="95000"/>
                                <a:satMod val="105000"/>
                              </a:sysClr>
                            </a:solidFill>
                            <a:prstDash val="dash"/>
                          </a:ln>
                          <a:effectLst/>
                        </wps:spPr>
                        <wps:bodyPr/>
                      </wps:wsp>
                    </wpg:wgp>
                  </a:graphicData>
                </a:graphic>
                <wp14:sizeRelH relativeFrom="page">
                  <wp14:pctWidth>0</wp14:pctWidth>
                </wp14:sizeRelH>
                <wp14:sizeRelV relativeFrom="page">
                  <wp14:pctHeight>0</wp14:pctHeight>
                </wp14:sizeRelV>
              </wp:anchor>
            </w:drawing>
          </mc:Choice>
          <mc:Fallback>
            <w:pict>
              <v:group w14:anchorId="0660C655" id="Group 1661" o:spid="_x0000_s1026" style="position:absolute;margin-left:179.35pt;margin-top:341.65pt;width:136.95pt;height:122.85pt;z-index:252521472;mso-position-horizontal-relative:margin" coordsize="17391,15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">
                <v:line id="Straight Connector 624" o:spid="_x0000_s1027" style="position:absolute;flip:y;visibility:visible;mso-wrap-style:square" from="0,0" to="12622,12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">
                  <v:stroke dashstyle="dash"/>
                </v:line>
                <v:line id="Straight Connector 625" o:spid="_x0000_s1028" style="position:absolute;flip:y;visibility:visible;mso-wrap-style:square" from="4273,3677" to="17391,1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">
                  <v:stroke dashstyle="dash"/>
                </v:line>
                <w10:wrap anchorx="margin"/>
              </v:group>
            </w:pict>
          </mc:Fallback>
        </mc:AlternateContent>
      </w:r>
      <w:r>
        <w:rPr>
          <w:noProof/>
          <w:lang w:eastAsia="en-MY"/>
        </w:rPr>
        <mc:AlternateContent>
          <mc:Choice Requires="wps">
            <w:drawing>
              <wp:anchor distT="0" distB="0" distL="114300" distR="114300" simplePos="0" relativeHeight="252519424" behindDoc="0" locked="0" layoutInCell="1" allowOverlap="1" wp14:anchorId="393B02E5" wp14:editId="55D5EFBF">
                <wp:simplePos x="0" y="0"/>
                <wp:positionH relativeFrom="column">
                  <wp:posOffset>1887855</wp:posOffset>
                </wp:positionH>
                <wp:positionV relativeFrom="paragraph">
                  <wp:posOffset>1738630</wp:posOffset>
                </wp:positionV>
                <wp:extent cx="2296160" cy="99695"/>
                <wp:effectExtent l="0" t="0" r="27940" b="33655"/>
                <wp:wrapNone/>
                <wp:docPr id="330" name="Straight Connector 330"/>
                <wp:cNvGraphicFramePr/>
                <a:graphic xmlns:a="http://schemas.openxmlformats.org/drawingml/2006/main">
                  <a:graphicData uri="http://schemas.microsoft.com/office/word/2010/wordprocessingShape">
                    <wps:wsp>
                      <wps:cNvCnPr/>
                      <wps:spPr>
                        <a:xfrm>
                          <a:off x="0" y="0"/>
                          <a:ext cx="2295525" cy="99060"/>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1CFCFF02" id="Straight Connector 330" o:spid="_x0000_s1026" style="position:absolute;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65pt,136.9pt" to="329.45pt,1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">
                <v:stroke dashstyle="dash"/>
              </v:line>
            </w:pict>
          </mc:Fallback>
        </mc:AlternateContent>
      </w:r>
      <w:r>
        <w:rPr>
          <w:noProof/>
          <w:lang w:eastAsia="en-MY"/>
        </w:rPr>
        <mc:AlternateContent>
          <mc:Choice Requires="wps">
            <w:drawing>
              <wp:anchor distT="0" distB="0" distL="114300" distR="114300" simplePos="0" relativeHeight="252524544" behindDoc="0" locked="0" layoutInCell="1" allowOverlap="1" wp14:anchorId="27EADB24" wp14:editId="2604275A">
                <wp:simplePos x="0" y="0"/>
                <wp:positionH relativeFrom="column">
                  <wp:posOffset>808355</wp:posOffset>
                </wp:positionH>
                <wp:positionV relativeFrom="paragraph">
                  <wp:posOffset>98425</wp:posOffset>
                </wp:positionV>
                <wp:extent cx="320675" cy="320675"/>
                <wp:effectExtent l="0" t="0" r="0" b="3175"/>
                <wp:wrapNone/>
                <wp:docPr id="342" name="Text Box 342"/>
                <wp:cNvGraphicFramePr/>
                <a:graphic xmlns:a="http://schemas.openxmlformats.org/drawingml/2006/main">
                  <a:graphicData uri="http://schemas.microsoft.com/office/word/2010/wordprocessingShape">
                    <wps:wsp>
                      <wps:cNvSpPr txBox="1"/>
                      <wps:spPr>
                        <a:xfrm>
                          <a:off x="0" y="0"/>
                          <a:ext cx="320040" cy="320040"/>
                        </a:xfrm>
                        <a:prstGeom prst="rect">
                          <a:avLst/>
                        </a:prstGeom>
                        <a:noFill/>
                        <a:ln w="6350">
                          <a:noFill/>
                        </a:ln>
                      </wps:spPr>
                      <wps:txbx>
                        <w:txbxContent>
                          <w:p w14:paraId="397A6535" w14:textId="77777777" w:rsidR="00230AB9" w:rsidRDefault="00230AB9" w:rsidP="00BF600D">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EADB24" id="Text Box 342" o:spid="_x0000_s1376" type="#_x0000_t202" style="position:absolute;left:0;text-align:left;margin-left:63.65pt;margin-top:7.75pt;width:25.25pt;height:25.25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" filled="f" stroked="f" strokeweight=".5pt">
                <v:textbox>
                  <w:txbxContent>
                    <w:p w14:paraId="397A6535" w14:textId="77777777" w:rsidR="00230AB9" w:rsidRDefault="00230AB9" w:rsidP="00BF600D">
                      <w:r>
                        <w:t>c)</w:t>
                      </w:r>
                    </w:p>
                  </w:txbxContent>
                </v:textbox>
              </v:shape>
            </w:pict>
          </mc:Fallback>
        </mc:AlternateContent>
      </w:r>
      <w:r>
        <w:rPr>
          <w:lang w:val="en-GB"/>
        </w:rPr>
        <w:t xml:space="preserve"> </w:t>
      </w:r>
      <w:r>
        <w:rPr>
          <w:noProof/>
          <w:lang w:eastAsia="en-MY"/>
        </w:rPr>
        <w:drawing>
          <wp:inline distT="0" distB="0" distL="0" distR="0" wp14:anchorId="6690173E" wp14:editId="32E51CB8">
            <wp:extent cx="3629025" cy="3238500"/>
            <wp:effectExtent l="0" t="0" r="9525"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629025" cy="3238500"/>
                    </a:xfrm>
                    <a:prstGeom prst="rect">
                      <a:avLst/>
                    </a:prstGeom>
                    <a:noFill/>
                    <a:ln>
                      <a:noFill/>
                    </a:ln>
                  </pic:spPr>
                </pic:pic>
              </a:graphicData>
            </a:graphic>
          </wp:inline>
        </w:drawing>
      </w:r>
      <w:r>
        <w:rPr>
          <w:lang w:val="en-GB"/>
        </w:rPr>
        <w:t xml:space="preserve"> </w:t>
      </w:r>
    </w:p>
    <w:p w14:paraId="5A7385B2" w14:textId="40055955" w:rsidR="00BF600D" w:rsidRDefault="00BF600D" w:rsidP="00BF600D">
      <w:pPr>
        <w:jc w:val="center"/>
        <w:rPr>
          <w:lang w:val="en-GB"/>
        </w:rPr>
      </w:pPr>
      <w:r>
        <w:rPr>
          <w:noProof/>
          <w:lang w:eastAsia="en-MY"/>
        </w:rPr>
        <w:drawing>
          <wp:inline distT="0" distB="0" distL="0" distR="0" wp14:anchorId="40D889B4" wp14:editId="3650421E">
            <wp:extent cx="3552825" cy="3238500"/>
            <wp:effectExtent l="0" t="0" r="9525" b="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0"/>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552825" cy="3238500"/>
                    </a:xfrm>
                    <a:prstGeom prst="rect">
                      <a:avLst/>
                    </a:prstGeom>
                    <a:noFill/>
                    <a:ln>
                      <a:noFill/>
                    </a:ln>
                  </pic:spPr>
                </pic:pic>
              </a:graphicData>
            </a:graphic>
          </wp:inline>
        </w:drawing>
      </w:r>
    </w:p>
    <w:p w14:paraId="1CDCF6AD" w14:textId="3A0744FD" w:rsidR="00BF600D" w:rsidRDefault="0082632E" w:rsidP="00BF600D">
      <w:pPr>
        <w:pStyle w:val="Caption"/>
        <w:rPr>
          <w:szCs w:val="24"/>
        </w:rPr>
      </w:pPr>
      <w:bookmarkStart w:id="909" w:name="_Hlk515396877"/>
      <w:r>
        <w:t>Figure 5.9:</w:t>
      </w:r>
      <w:r w:rsidR="00BF600D">
        <w:t xml:space="preserve"> </w:t>
      </w:r>
      <w:r w:rsidR="00BF600D">
        <w:rPr>
          <w:szCs w:val="24"/>
        </w:rPr>
        <w:t>Various relationships for selected mechanical properties; a) Hardness versus modulus; b) Young’s modulus versus Raman Polymerisation index; c) Vickers’s indentation hardness versus Raman polymerisation index; d) Young’s modulus versus packing density of produced glasses.</w:t>
      </w:r>
    </w:p>
    <w:bookmarkEnd w:id="909"/>
    <w:p w14:paraId="63F00BBC" w14:textId="4A74DCB7" w:rsidR="00BF600D" w:rsidRDefault="00BF600D" w:rsidP="00BF600D">
      <w:pPr>
        <w:spacing w:line="360" w:lineRule="auto"/>
        <w:jc w:val="both"/>
        <w:rPr>
          <w:b w:val="0"/>
        </w:rPr>
      </w:pPr>
    </w:p>
    <w:p w14:paraId="00443C4A" w14:textId="270E008F" w:rsidR="00F66D29" w:rsidRDefault="00F66D29" w:rsidP="00BF600D">
      <w:pPr>
        <w:spacing w:line="360" w:lineRule="auto"/>
        <w:jc w:val="both"/>
        <w:rPr>
          <w:b w:val="0"/>
        </w:rPr>
      </w:pPr>
    </w:p>
    <w:p w14:paraId="5F382CE3" w14:textId="77777777" w:rsidR="00F66D29" w:rsidRDefault="00F66D29" w:rsidP="00BF600D">
      <w:pPr>
        <w:spacing w:line="360" w:lineRule="auto"/>
        <w:jc w:val="both"/>
        <w:rPr>
          <w:b w:val="0"/>
        </w:rPr>
      </w:pPr>
    </w:p>
    <w:p w14:paraId="19531F85" w14:textId="2829BDE6" w:rsidR="00BF600D" w:rsidRDefault="00BF600D" w:rsidP="00BF600D">
      <w:pPr>
        <w:spacing w:line="360" w:lineRule="auto"/>
        <w:jc w:val="both"/>
        <w:rPr>
          <w:b w:val="0"/>
        </w:rPr>
      </w:pPr>
      <w:proofErr w:type="spellStart"/>
      <w:r>
        <w:rPr>
          <w:b w:val="0"/>
        </w:rPr>
        <w:lastRenderedPageBreak/>
        <w:t>Kilinc</w:t>
      </w:r>
      <w:proofErr w:type="spellEnd"/>
      <w:r>
        <w:rPr>
          <w:b w:val="0"/>
        </w:rPr>
        <w:t xml:space="preserve"> and Hand (2015) found that increasing the alkaline earth content led to an increase in the polymerisation index and a corresponding increase mechanical properties such as Young’s modulus, shear modulus, bulk modulus, Poisson’s ratio and hardness. In comparison for the current results</w:t>
      </w:r>
      <w:r w:rsidR="000D097B">
        <w:rPr>
          <w:b w:val="0"/>
        </w:rPr>
        <w:t>,</w:t>
      </w:r>
      <w:r>
        <w:rPr>
          <w:b w:val="0"/>
        </w:rPr>
        <w:t xml:space="preserve"> it can be seen that compositional changes that increase the network charge balance for values &gt;0 lead to decreases in the polymerization index and increases in the mechanical properties. This occurs because of how the network connectivity in the glass structure is related to the network packing of the glass produced. For an example, if Al acts as a network former it will decrease the atomic packing density but the appearance of six-fold coordinated alumina (i.e. acting as a network modifier) will enhance the atomic packing density </w:t>
      </w:r>
      <w:r>
        <w:rPr>
          <w:b w:val="0"/>
        </w:rPr>
        <w:fldChar w:fldCharType="begin" w:fldLock="1"/>
      </w:r>
      <w:r>
        <w:rPr>
          <w:b w:val="0"/>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"manualFormatting" : "(Rouxel, 2007)", "plainTextFormattedCitation" : "(Tanguy Rouxel, 2007)", "previouslyFormattedCitation" : "(Tanguy Rouxel, 2007)" }, "properties" : { "noteIndex" : 87 }, "schema" : "https://github.com/citation-style-language/schema/raw/master/csl-citation.json" }</w:instrText>
      </w:r>
      <w:r>
        <w:rPr>
          <w:b w:val="0"/>
        </w:rPr>
        <w:fldChar w:fldCharType="separate"/>
      </w:r>
      <w:r>
        <w:rPr>
          <w:b w:val="0"/>
          <w:noProof/>
        </w:rPr>
        <w:t>(Rouxel, 2007)</w:t>
      </w:r>
      <w:r>
        <w:rPr>
          <w:b w:val="0"/>
        </w:rPr>
        <w:fldChar w:fldCharType="end"/>
      </w:r>
      <w:r>
        <w:rPr>
          <w:b w:val="0"/>
        </w:rPr>
        <w:t xml:space="preserve">. </w:t>
      </w:r>
    </w:p>
    <w:p w14:paraId="24ECEC96" w14:textId="7FA468B7" w:rsidR="00BF600D" w:rsidRDefault="00BF600D" w:rsidP="00BF600D">
      <w:pPr>
        <w:spacing w:line="360" w:lineRule="auto"/>
        <w:jc w:val="both"/>
        <w:rPr>
          <w:b w:val="0"/>
          <w:lang w:val="en-GB"/>
        </w:rPr>
      </w:pPr>
      <w:r>
        <w:rPr>
          <w:b w:val="0"/>
        </w:rPr>
        <w:t>The packing density also is inverse to the molar volume and this explain</w:t>
      </w:r>
      <w:r w:rsidR="008C4D01">
        <w:rPr>
          <w:b w:val="0"/>
        </w:rPr>
        <w:t>s</w:t>
      </w:r>
      <w:r>
        <w:rPr>
          <w:b w:val="0"/>
        </w:rPr>
        <w:t xml:space="preserve"> that glass with high network bonding and high molar volume will have a decreased Young’s modulus. The Q species as studied from either NMR or Raman shows the expected decrease in the Q</w:t>
      </w:r>
      <w:r>
        <w:rPr>
          <w:b w:val="0"/>
          <w:vertAlign w:val="superscript"/>
        </w:rPr>
        <w:t>4</w:t>
      </w:r>
      <w:r>
        <w:rPr>
          <w:b w:val="0"/>
        </w:rPr>
        <w:t xml:space="preserve"> value with increasing network modifier content</w:t>
      </w:r>
      <w:r w:rsidR="008644A7">
        <w:rPr>
          <w:b w:val="0"/>
        </w:rPr>
        <w:t xml:space="preserve"> (Refer Table 4.2)</w:t>
      </w:r>
      <w:r>
        <w:rPr>
          <w:b w:val="0"/>
        </w:rPr>
        <w:t xml:space="preserve">. </w:t>
      </w:r>
      <w:r>
        <w:rPr>
          <w:b w:val="0"/>
          <w:lang w:val="en-GB"/>
        </w:rPr>
        <w:t xml:space="preserve">Figure 5.9a shows that, as expected hardness correlates with Young’s modulus for the glasses investigated. Figure 5.9b shows that Young’s modulus correlates with the Raman polymerisation index. As </w:t>
      </w:r>
      <w:proofErr w:type="spellStart"/>
      <w:r>
        <w:rPr>
          <w:b w:val="0"/>
          <w:lang w:val="en-GB"/>
        </w:rPr>
        <w:t>Kilin</w:t>
      </w:r>
      <w:r>
        <w:rPr>
          <w:rFonts w:cs="Times New Roman"/>
          <w:b w:val="0"/>
          <w:lang w:val="en-GB"/>
        </w:rPr>
        <w:t>ç</w:t>
      </w:r>
      <w:proofErr w:type="spellEnd"/>
      <w:r>
        <w:rPr>
          <w:b w:val="0"/>
          <w:lang w:val="en-GB"/>
        </w:rPr>
        <w:t xml:space="preserve"> and Hand (2015) observed Young’s modulus and hardness are related to network polymerisation as assessed by the Raman polymerisation index and this is reflected in Figure 5.9c, where it can be seen that the hardness slightly decreases with increasing polymerisation index. This is because decreasing the network connectivity favours a more densely packed network which can increase moduli and hardness </w:t>
      </w:r>
      <w:r>
        <w:rPr>
          <w:b w:val="0"/>
          <w:lang w:val="en-GB"/>
        </w:rPr>
        <w:fldChar w:fldCharType="begin" w:fldLock="1"/>
      </w:r>
      <w:r>
        <w:rPr>
          <w:b w:val="0"/>
          <w:lang w:val="en-GB"/>
        </w:rPr>
        <w:instrText>ADDIN CSL_CITATION { "citationItems" : [ { "id" : "ITEM-1", "itemData" : { "DOI" : "10.1063/1.3407559", "ISSN" : "00218979", "abstract" : "Although the characteristic time constant for viscous relaxation of glass is so large at room temperature that viscous flow would be hardly detectable, a permanent deformation can be easily achieved at ambient temperature by applying a sharp contact loading-a Vickers indenter for instance-for few seconds only. We provide direct evidence for densification and volume conservative shear flow by means of atomic force microscopy topological analysis of the indentation profile and volume on as-quenched and densified specimens (pressure up to 25 GPa). We show that both possible mechanisms contribute to different extents depending on the glass composition. A major finding is that densification predominates in glasses with relatively low atomic packing density but that shear flow relays on once densification is achieved. (c) 2010 American Institute of Physics. {[}doi:10.1063/1.3407559]", "author" : [ { "dropping-particle" : "", "family" : "Rouxel", "given" : "T.", "non-dropping-particle" : "", "parse-names" : false, "suffix" : "" }, { "dropping-particle" : "", "family" : "Ji", "given" : "H.", "non-dropping-particle" : "", "parse-names" : false, "suffix" : "" }, { "dropping-particle" : "", "family" : "Guin", "given" : "J. P.", "non-dropping-particle" : "", "parse-names" : false, "suffix" : "" }, { "dropping-particle" : "", "family" : "Augereau", "given" : "F.", "non-dropping-particle" : "", "parse-names" : false, "suffix" : "" }, { "dropping-particle" : "", "family" : "Ruff\u013a", "given" : "B.", "non-dropping-particle" : "", "parse-names" : false, "suffix" : "" } ], "container-title" : "Journal of Applied Physics", "id" : "ITEM-1", "issue" : "9", "issued" : { "date-parts" : [ [ "2010" ] ] }, "title" : "Indentation deformation mechanism in glass: Densification versus shear flow", "type" : "article-journal", "volume" : "107" }, "uris" : [ "http://www.mendeley.com/documents/?uuid=57f906c1-d151-415c-9db4-045a00c59f9d" ] } ], "mendeley" : { "formattedCitation" : "(T. Rouxel, Ji, Guin, Augereau, &amp; Ruff\u013a, 2010)", "manualFormatting" : "(Rouxel et al., 2010)", "plainTextFormattedCitation" : "(T. Rouxel, Ji, Guin, Augereau, &amp; Ruff\u013a, 2010)", "previouslyFormattedCitation" : "(T. Rouxel, Ji, Guin, Augereau, &amp; Ruff\u013a, 2010)" }, "properties" : { "noteIndex" : 122 }, "schema" : "https://github.com/citation-style-language/schema/raw/master/csl-citation.json" }</w:instrText>
      </w:r>
      <w:r>
        <w:rPr>
          <w:b w:val="0"/>
          <w:lang w:val="en-GB"/>
        </w:rPr>
        <w:fldChar w:fldCharType="separate"/>
      </w:r>
      <w:r>
        <w:rPr>
          <w:b w:val="0"/>
          <w:noProof/>
          <w:lang w:val="en-GB"/>
        </w:rPr>
        <w:t>(Rouxel et al., 2010)</w:t>
      </w:r>
      <w:r>
        <w:rPr>
          <w:b w:val="0"/>
          <w:lang w:val="en-GB"/>
        </w:rPr>
        <w:fldChar w:fldCharType="end"/>
      </w:r>
      <w:r>
        <w:rPr>
          <w:b w:val="0"/>
          <w:lang w:val="en-GB"/>
        </w:rPr>
        <w:t xml:space="preserve">.  The packing density of the </w:t>
      </w:r>
      <w:r>
        <w:rPr>
          <w:b w:val="0"/>
        </w:rPr>
        <w:t>boroaluminosilicate</w:t>
      </w:r>
      <w:r>
        <w:rPr>
          <w:b w:val="0"/>
          <w:lang w:val="en-GB"/>
        </w:rPr>
        <w:t xml:space="preserve"> glasses studied range between 0.44 and 0.54 (see appendix for details). </w:t>
      </w:r>
    </w:p>
    <w:p w14:paraId="303D03F8" w14:textId="77777777" w:rsidR="00BF600D" w:rsidRDefault="00BF600D" w:rsidP="00BF600D">
      <w:pPr>
        <w:spacing w:line="360" w:lineRule="auto"/>
        <w:jc w:val="both"/>
        <w:rPr>
          <w:b w:val="0"/>
          <w:lang w:val="en-GB"/>
        </w:rPr>
      </w:pPr>
    </w:p>
    <w:p w14:paraId="2FCE13E4" w14:textId="77777777" w:rsidR="00BF600D" w:rsidRDefault="00BF600D" w:rsidP="00BF600D">
      <w:pPr>
        <w:spacing w:line="360" w:lineRule="auto"/>
        <w:jc w:val="both"/>
        <w:rPr>
          <w:b w:val="0"/>
          <w:lang w:val="en-GB"/>
        </w:rPr>
      </w:pPr>
    </w:p>
    <w:p w14:paraId="0FDDE0A8" w14:textId="77777777" w:rsidR="00BF600D" w:rsidRDefault="00BF600D" w:rsidP="00BF600D">
      <w:pPr>
        <w:spacing w:line="360" w:lineRule="auto"/>
        <w:jc w:val="both"/>
        <w:rPr>
          <w:b w:val="0"/>
          <w:lang w:val="en-GB"/>
        </w:rPr>
      </w:pPr>
    </w:p>
    <w:p w14:paraId="4E0043CE" w14:textId="77777777" w:rsidR="00BF600D" w:rsidRDefault="00BF600D" w:rsidP="00BF600D">
      <w:pPr>
        <w:spacing w:line="360" w:lineRule="auto"/>
        <w:jc w:val="both"/>
        <w:rPr>
          <w:b w:val="0"/>
          <w:lang w:val="en-GB"/>
        </w:rPr>
      </w:pPr>
    </w:p>
    <w:p w14:paraId="7B360734" w14:textId="77777777" w:rsidR="00BF600D" w:rsidRDefault="00BF600D" w:rsidP="00BF600D">
      <w:pPr>
        <w:spacing w:line="360" w:lineRule="auto"/>
        <w:jc w:val="both"/>
        <w:rPr>
          <w:b w:val="0"/>
          <w:lang w:val="en-GB"/>
        </w:rPr>
      </w:pPr>
    </w:p>
    <w:p w14:paraId="62BF6022" w14:textId="413840A8" w:rsidR="00BF600D" w:rsidRDefault="00BF600D" w:rsidP="00BF600D">
      <w:pPr>
        <w:keepNext/>
        <w:keepLines/>
        <w:spacing w:before="40" w:after="0" w:line="360" w:lineRule="auto"/>
        <w:ind w:left="360" w:hanging="360"/>
        <w:outlineLvl w:val="2"/>
        <w:rPr>
          <w:rFonts w:eastAsia="Calibri" w:cstheme="majorBidi"/>
          <w:iCs/>
          <w:color w:val="000000" w:themeColor="text1"/>
          <w:szCs w:val="24"/>
          <w:lang w:eastAsia="tr-TR"/>
        </w:rPr>
      </w:pPr>
      <w:bookmarkStart w:id="910" w:name="_Toc523402941"/>
      <w:bookmarkStart w:id="911" w:name="_Toc515398742"/>
      <w:bookmarkStart w:id="912" w:name="_Toc525742542"/>
      <w:bookmarkStart w:id="913" w:name="_Toc525707877"/>
      <w:bookmarkStart w:id="914" w:name="_Toc525526452"/>
      <w:bookmarkStart w:id="915" w:name="_Toc12994977"/>
      <w:r>
        <w:rPr>
          <w:rFonts w:eastAsia="Calibri" w:cstheme="majorBidi"/>
          <w:iCs/>
          <w:color w:val="000000" w:themeColor="text1"/>
          <w:szCs w:val="24"/>
          <w:lang w:eastAsia="tr-TR"/>
        </w:rPr>
        <w:lastRenderedPageBreak/>
        <w:t>5.</w:t>
      </w:r>
      <w:r w:rsidR="00D81E82">
        <w:rPr>
          <w:rFonts w:eastAsia="Calibri" w:cstheme="majorBidi"/>
          <w:iCs/>
          <w:color w:val="000000" w:themeColor="text1"/>
          <w:szCs w:val="24"/>
          <w:lang w:eastAsia="tr-TR"/>
        </w:rPr>
        <w:t>3</w:t>
      </w:r>
      <w:r>
        <w:rPr>
          <w:rFonts w:eastAsia="Calibri" w:cstheme="majorBidi"/>
          <w:iCs/>
          <w:color w:val="000000" w:themeColor="text1"/>
          <w:szCs w:val="24"/>
          <w:lang w:eastAsia="tr-TR"/>
        </w:rPr>
        <w:t xml:space="preserve"> The effect of the </w:t>
      </w:r>
      <w:r>
        <w:rPr>
          <w:rFonts w:eastAsia="Calibri" w:cstheme="majorBidi"/>
          <w:bCs/>
          <w:iCs/>
          <w:color w:val="000000" w:themeColor="text1"/>
          <w:szCs w:val="24"/>
          <w:lang w:eastAsia="tr-TR"/>
        </w:rPr>
        <w:t>Al</w:t>
      </w:r>
      <w:r>
        <w:rPr>
          <w:rFonts w:eastAsia="Calibri" w:cstheme="majorBidi"/>
          <w:bCs/>
          <w:iCs/>
          <w:color w:val="000000" w:themeColor="text1"/>
          <w:szCs w:val="24"/>
          <w:vertAlign w:val="subscript"/>
          <w:lang w:eastAsia="tr-TR"/>
        </w:rPr>
        <w:t>2</w:t>
      </w:r>
      <w:r>
        <w:rPr>
          <w:rFonts w:eastAsia="Calibri" w:cstheme="majorBidi"/>
          <w:bCs/>
          <w:iCs/>
          <w:color w:val="000000" w:themeColor="text1"/>
          <w:szCs w:val="24"/>
          <w:lang w:eastAsia="tr-TR"/>
        </w:rPr>
        <w:t>O</w:t>
      </w:r>
      <w:r>
        <w:rPr>
          <w:rFonts w:eastAsia="Calibri" w:cstheme="majorBidi"/>
          <w:bCs/>
          <w:iCs/>
          <w:color w:val="000000" w:themeColor="text1"/>
          <w:szCs w:val="24"/>
          <w:vertAlign w:val="subscript"/>
          <w:lang w:eastAsia="tr-TR"/>
        </w:rPr>
        <w:t>3</w:t>
      </w:r>
      <w:r>
        <w:rPr>
          <w:rFonts w:eastAsia="Calibri" w:cstheme="majorBidi"/>
          <w:bCs/>
          <w:iCs/>
          <w:color w:val="000000" w:themeColor="text1"/>
          <w:szCs w:val="24"/>
          <w:lang w:eastAsia="tr-TR"/>
        </w:rPr>
        <w:t xml:space="preserve">  </w:t>
      </w:r>
      <w:r>
        <w:rPr>
          <w:rFonts w:eastAsia="Calibri" w:cstheme="majorBidi"/>
          <w:iCs/>
          <w:color w:val="000000" w:themeColor="text1"/>
          <w:szCs w:val="24"/>
          <w:lang w:eastAsia="tr-TR"/>
        </w:rPr>
        <w:t>/ (</w:t>
      </w:r>
      <w:r>
        <w:rPr>
          <w:rFonts w:eastAsia="Calibri" w:cstheme="majorBidi"/>
          <w:bCs/>
          <w:iCs/>
          <w:color w:val="000000" w:themeColor="text1"/>
          <w:szCs w:val="24"/>
          <w:lang w:eastAsia="tr-TR"/>
        </w:rPr>
        <w:t>Al</w:t>
      </w:r>
      <w:r>
        <w:rPr>
          <w:rFonts w:eastAsia="Calibri" w:cstheme="majorBidi"/>
          <w:bCs/>
          <w:iCs/>
          <w:color w:val="000000" w:themeColor="text1"/>
          <w:szCs w:val="24"/>
          <w:vertAlign w:val="subscript"/>
          <w:lang w:eastAsia="tr-TR"/>
        </w:rPr>
        <w:t>2</w:t>
      </w:r>
      <w:r>
        <w:rPr>
          <w:rFonts w:eastAsia="Calibri" w:cstheme="majorBidi"/>
          <w:bCs/>
          <w:iCs/>
          <w:color w:val="000000" w:themeColor="text1"/>
          <w:szCs w:val="24"/>
          <w:lang w:eastAsia="tr-TR"/>
        </w:rPr>
        <w:t>O</w:t>
      </w:r>
      <w:r>
        <w:rPr>
          <w:rFonts w:eastAsia="Calibri" w:cstheme="majorBidi"/>
          <w:bCs/>
          <w:iCs/>
          <w:color w:val="000000" w:themeColor="text1"/>
          <w:szCs w:val="24"/>
          <w:vertAlign w:val="subscript"/>
          <w:lang w:eastAsia="tr-TR"/>
        </w:rPr>
        <w:t>3</w:t>
      </w:r>
      <w:r>
        <w:rPr>
          <w:rFonts w:eastAsia="Calibri" w:cstheme="majorBidi"/>
          <w:bCs/>
          <w:iCs/>
          <w:color w:val="000000" w:themeColor="text1"/>
          <w:szCs w:val="24"/>
          <w:lang w:eastAsia="tr-TR"/>
        </w:rPr>
        <w:t>+SiO</w:t>
      </w:r>
      <w:r>
        <w:rPr>
          <w:rFonts w:eastAsia="Calibri" w:cstheme="majorBidi"/>
          <w:bCs/>
          <w:iCs/>
          <w:color w:val="000000" w:themeColor="text1"/>
          <w:szCs w:val="24"/>
          <w:vertAlign w:val="subscript"/>
          <w:lang w:eastAsia="tr-TR"/>
        </w:rPr>
        <w:t>2</w:t>
      </w:r>
      <w:r>
        <w:rPr>
          <w:rFonts w:eastAsia="Calibri" w:cstheme="majorBidi"/>
          <w:bCs/>
          <w:iCs/>
          <w:color w:val="000000" w:themeColor="text1"/>
          <w:szCs w:val="24"/>
          <w:lang w:eastAsia="tr-TR"/>
        </w:rPr>
        <w:t>+B</w:t>
      </w:r>
      <w:r>
        <w:rPr>
          <w:rFonts w:eastAsia="Calibri" w:cstheme="majorBidi"/>
          <w:bCs/>
          <w:iCs/>
          <w:color w:val="000000" w:themeColor="text1"/>
          <w:szCs w:val="24"/>
          <w:vertAlign w:val="subscript"/>
          <w:lang w:eastAsia="tr-TR"/>
        </w:rPr>
        <w:t>2</w:t>
      </w:r>
      <w:r>
        <w:rPr>
          <w:rFonts w:eastAsia="Calibri" w:cstheme="majorBidi"/>
          <w:bCs/>
          <w:iCs/>
          <w:color w:val="000000" w:themeColor="text1"/>
          <w:szCs w:val="24"/>
          <w:lang w:eastAsia="tr-TR"/>
        </w:rPr>
        <w:t>O</w:t>
      </w:r>
      <w:r>
        <w:rPr>
          <w:rFonts w:eastAsia="Calibri" w:cstheme="majorBidi"/>
          <w:bCs/>
          <w:iCs/>
          <w:color w:val="000000" w:themeColor="text1"/>
          <w:szCs w:val="24"/>
          <w:vertAlign w:val="subscript"/>
          <w:lang w:eastAsia="tr-TR"/>
        </w:rPr>
        <w:t>3</w:t>
      </w:r>
      <w:bookmarkEnd w:id="910"/>
      <w:bookmarkEnd w:id="911"/>
      <w:r>
        <w:rPr>
          <w:rFonts w:eastAsia="Calibri" w:cstheme="majorBidi"/>
          <w:bCs/>
          <w:iCs/>
          <w:color w:val="000000" w:themeColor="text1"/>
          <w:szCs w:val="24"/>
          <w:lang w:eastAsia="tr-TR"/>
        </w:rPr>
        <w:t>) ratio</w:t>
      </w:r>
      <w:bookmarkEnd w:id="912"/>
      <w:bookmarkEnd w:id="913"/>
      <w:bookmarkEnd w:id="914"/>
      <w:r>
        <w:rPr>
          <w:rFonts w:eastAsia="Calibri" w:cstheme="majorBidi"/>
          <w:bCs/>
          <w:iCs/>
          <w:color w:val="000000" w:themeColor="text1"/>
          <w:szCs w:val="24"/>
          <w:lang w:eastAsia="tr-TR"/>
        </w:rPr>
        <w:t>.</w:t>
      </w:r>
      <w:bookmarkEnd w:id="915"/>
      <w:r>
        <w:rPr>
          <w:rFonts w:eastAsia="Calibri" w:cstheme="majorBidi"/>
          <w:iCs/>
          <w:color w:val="000000" w:themeColor="text1"/>
          <w:szCs w:val="24"/>
          <w:lang w:eastAsia="tr-TR"/>
        </w:rPr>
        <w:t xml:space="preserve">  </w:t>
      </w:r>
    </w:p>
    <w:p w14:paraId="62D7D722" w14:textId="6D4592BE" w:rsidR="00BF600D" w:rsidRDefault="00BF600D" w:rsidP="00BF600D">
      <w:pPr>
        <w:jc w:val="center"/>
        <w:rPr>
          <w:rFonts w:asciiTheme="majorBidi" w:hAnsiTheme="majorBidi"/>
          <w:iCs/>
        </w:rPr>
      </w:pPr>
      <w:r>
        <w:rPr>
          <w:noProof/>
          <w:lang w:eastAsia="en-MY"/>
        </w:rPr>
        <mc:AlternateContent>
          <mc:Choice Requires="wps">
            <w:drawing>
              <wp:anchor distT="0" distB="0" distL="114300" distR="114300" simplePos="0" relativeHeight="252540928" behindDoc="0" locked="0" layoutInCell="1" allowOverlap="1" wp14:anchorId="77E5C6A5" wp14:editId="504B2133">
                <wp:simplePos x="0" y="0"/>
                <wp:positionH relativeFrom="margin">
                  <wp:posOffset>2865120</wp:posOffset>
                </wp:positionH>
                <wp:positionV relativeFrom="paragraph">
                  <wp:posOffset>6985</wp:posOffset>
                </wp:positionV>
                <wp:extent cx="400050" cy="320040"/>
                <wp:effectExtent l="0" t="0" r="0" b="3810"/>
                <wp:wrapNone/>
                <wp:docPr id="348" name="Text Box 348"/>
                <wp:cNvGraphicFramePr/>
                <a:graphic xmlns:a="http://schemas.openxmlformats.org/drawingml/2006/main">
                  <a:graphicData uri="http://schemas.microsoft.com/office/word/2010/wordprocessingShape">
                    <wps:wsp>
                      <wps:cNvSpPr txBox="1"/>
                      <wps:spPr>
                        <a:xfrm>
                          <a:off x="0" y="0"/>
                          <a:ext cx="400050" cy="320040"/>
                        </a:xfrm>
                        <a:prstGeom prst="rect">
                          <a:avLst/>
                        </a:prstGeom>
                        <a:noFill/>
                        <a:ln w="6350">
                          <a:noFill/>
                        </a:ln>
                      </wps:spPr>
                      <wps:txbx>
                        <w:txbxContent>
                          <w:p w14:paraId="5EAA0A90" w14:textId="77777777" w:rsidR="00230AB9" w:rsidRDefault="00230AB9" w:rsidP="00BF600D">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7E5C6A5" id="Text Box 348" o:spid="_x0000_s1377" type="#_x0000_t202" style="position:absolute;left:0;text-align:left;margin-left:225.6pt;margin-top:.55pt;width:31.5pt;height:25.2pt;z-index:25254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" filled="f" stroked="f" strokeweight=".5pt">
                <v:textbox>
                  <w:txbxContent>
                    <w:p w14:paraId="5EAA0A90" w14:textId="77777777" w:rsidR="00230AB9" w:rsidRDefault="00230AB9" w:rsidP="00BF600D">
                      <w:r>
                        <w:t>b)</w:t>
                      </w:r>
                    </w:p>
                  </w:txbxContent>
                </v:textbox>
                <w10:wrap anchorx="margin"/>
              </v:shape>
            </w:pict>
          </mc:Fallback>
        </mc:AlternateContent>
      </w:r>
      <w:r>
        <w:rPr>
          <w:noProof/>
          <w:lang w:eastAsia="en-MY"/>
        </w:rPr>
        <mc:AlternateContent>
          <mc:Choice Requires="wps">
            <w:drawing>
              <wp:anchor distT="0" distB="0" distL="114300" distR="114300" simplePos="0" relativeHeight="252539904" behindDoc="0" locked="0" layoutInCell="1" allowOverlap="1" wp14:anchorId="4502AE96" wp14:editId="4A34BA1B">
                <wp:simplePos x="0" y="0"/>
                <wp:positionH relativeFrom="margin">
                  <wp:posOffset>64135</wp:posOffset>
                </wp:positionH>
                <wp:positionV relativeFrom="paragraph">
                  <wp:posOffset>635</wp:posOffset>
                </wp:positionV>
                <wp:extent cx="514985" cy="320675"/>
                <wp:effectExtent l="0" t="0" r="0" b="3175"/>
                <wp:wrapNone/>
                <wp:docPr id="346" name="Text Box 346"/>
                <wp:cNvGraphicFramePr/>
                <a:graphic xmlns:a="http://schemas.openxmlformats.org/drawingml/2006/main">
                  <a:graphicData uri="http://schemas.microsoft.com/office/word/2010/wordprocessingShape">
                    <wps:wsp>
                      <wps:cNvSpPr txBox="1"/>
                      <wps:spPr>
                        <a:xfrm>
                          <a:off x="0" y="0"/>
                          <a:ext cx="514985" cy="320040"/>
                        </a:xfrm>
                        <a:prstGeom prst="rect">
                          <a:avLst/>
                        </a:prstGeom>
                        <a:noFill/>
                        <a:ln w="6350">
                          <a:noFill/>
                        </a:ln>
                      </wps:spPr>
                      <wps:txbx>
                        <w:txbxContent>
                          <w:p w14:paraId="6A16886F" w14:textId="77777777" w:rsidR="00230AB9" w:rsidRDefault="00230AB9" w:rsidP="00BF600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502AE96" id="Text Box 346" o:spid="_x0000_s1378" type="#_x0000_t202" style="position:absolute;left:0;text-align:left;margin-left:5.05pt;margin-top:.05pt;width:40.55pt;height:25.25pt;z-index:25253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" filled="f" stroked="f" strokeweight=".5pt">
                <v:textbox>
                  <w:txbxContent>
                    <w:p w14:paraId="6A16886F" w14:textId="77777777" w:rsidR="00230AB9" w:rsidRDefault="00230AB9" w:rsidP="00BF600D">
                      <w:r>
                        <w:t>a)</w:t>
                      </w:r>
                    </w:p>
                  </w:txbxContent>
                </v:textbox>
                <w10:wrap anchorx="margin"/>
              </v:shape>
            </w:pict>
          </mc:Fallback>
        </mc:AlternateContent>
      </w:r>
      <w:r>
        <w:rPr>
          <w:noProof/>
          <w:lang w:eastAsia="en-MY"/>
        </w:rPr>
        <w:drawing>
          <wp:inline distT="0" distB="0" distL="0" distR="0" wp14:anchorId="4E27929C" wp14:editId="5DECFBEE">
            <wp:extent cx="2724150" cy="2162175"/>
            <wp:effectExtent l="0" t="0" r="0" b="9525"/>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724150" cy="2162175"/>
                    </a:xfrm>
                    <a:prstGeom prst="rect">
                      <a:avLst/>
                    </a:prstGeom>
                    <a:noFill/>
                    <a:ln>
                      <a:noFill/>
                    </a:ln>
                  </pic:spPr>
                </pic:pic>
              </a:graphicData>
            </a:graphic>
          </wp:inline>
        </w:drawing>
      </w:r>
      <w:r>
        <w:rPr>
          <w:rFonts w:asciiTheme="majorBidi" w:hAnsiTheme="majorBidi"/>
          <w:iCs/>
        </w:rPr>
        <w:t xml:space="preserve"> </w:t>
      </w:r>
      <w:r>
        <w:rPr>
          <w:noProof/>
          <w:lang w:eastAsia="en-MY"/>
        </w:rPr>
        <w:drawing>
          <wp:inline distT="0" distB="0" distL="0" distR="0" wp14:anchorId="5F304ACE" wp14:editId="33844882">
            <wp:extent cx="2724150" cy="2162175"/>
            <wp:effectExtent l="0" t="0" r="0" b="9525"/>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724150" cy="2162175"/>
                    </a:xfrm>
                    <a:prstGeom prst="rect">
                      <a:avLst/>
                    </a:prstGeom>
                    <a:noFill/>
                    <a:ln>
                      <a:noFill/>
                    </a:ln>
                  </pic:spPr>
                </pic:pic>
              </a:graphicData>
            </a:graphic>
          </wp:inline>
        </w:drawing>
      </w:r>
    </w:p>
    <w:p w14:paraId="0D652AF1" w14:textId="0280DB33" w:rsidR="00BF600D" w:rsidRDefault="00BF600D" w:rsidP="00BF600D">
      <w:pPr>
        <w:jc w:val="center"/>
        <w:rPr>
          <w:rFonts w:asciiTheme="majorBidi" w:hAnsiTheme="majorBidi"/>
          <w:iCs/>
        </w:rPr>
      </w:pPr>
      <w:r>
        <w:rPr>
          <w:noProof/>
          <w:lang w:eastAsia="en-MY"/>
        </w:rPr>
        <w:drawing>
          <wp:inline distT="0" distB="0" distL="0" distR="0" wp14:anchorId="5AB29C66" wp14:editId="705E3757">
            <wp:extent cx="2705100" cy="21621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705100" cy="2162175"/>
                    </a:xfrm>
                    <a:prstGeom prst="rect">
                      <a:avLst/>
                    </a:prstGeom>
                    <a:noFill/>
                    <a:ln>
                      <a:noFill/>
                    </a:ln>
                  </pic:spPr>
                </pic:pic>
              </a:graphicData>
            </a:graphic>
          </wp:inline>
        </w:drawing>
      </w:r>
      <w:r>
        <w:rPr>
          <w:noProof/>
          <w:lang w:eastAsia="en-MY"/>
        </w:rPr>
        <mc:AlternateContent>
          <mc:Choice Requires="wps">
            <w:drawing>
              <wp:anchor distT="0" distB="0" distL="114300" distR="114300" simplePos="0" relativeHeight="252542976" behindDoc="0" locked="0" layoutInCell="1" allowOverlap="1" wp14:anchorId="12F09A12" wp14:editId="2C2780B1">
                <wp:simplePos x="0" y="0"/>
                <wp:positionH relativeFrom="margin">
                  <wp:posOffset>2839085</wp:posOffset>
                </wp:positionH>
                <wp:positionV relativeFrom="paragraph">
                  <wp:posOffset>51435</wp:posOffset>
                </wp:positionV>
                <wp:extent cx="439420" cy="320675"/>
                <wp:effectExtent l="0" t="0" r="0" b="3175"/>
                <wp:wrapNone/>
                <wp:docPr id="1660" name="Text Box 1660"/>
                <wp:cNvGraphicFramePr/>
                <a:graphic xmlns:a="http://schemas.openxmlformats.org/drawingml/2006/main">
                  <a:graphicData uri="http://schemas.microsoft.com/office/word/2010/wordprocessingShape">
                    <wps:wsp>
                      <wps:cNvSpPr txBox="1"/>
                      <wps:spPr>
                        <a:xfrm>
                          <a:off x="0" y="0"/>
                          <a:ext cx="438785" cy="320040"/>
                        </a:xfrm>
                        <a:prstGeom prst="rect">
                          <a:avLst/>
                        </a:prstGeom>
                        <a:noFill/>
                        <a:ln w="6350">
                          <a:noFill/>
                        </a:ln>
                      </wps:spPr>
                      <wps:txbx>
                        <w:txbxContent>
                          <w:p w14:paraId="40C4B1D2" w14:textId="77777777" w:rsidR="00230AB9" w:rsidRDefault="00230AB9" w:rsidP="00BF600D">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2F09A12" id="Text Box 1660" o:spid="_x0000_s1379" type="#_x0000_t202" style="position:absolute;left:0;text-align:left;margin-left:223.55pt;margin-top:4.05pt;width:34.6pt;height:25.25pt;z-index:25254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" filled="f" stroked="f" strokeweight=".5pt">
                <v:textbox>
                  <w:txbxContent>
                    <w:p w14:paraId="40C4B1D2" w14:textId="77777777" w:rsidR="00230AB9" w:rsidRDefault="00230AB9" w:rsidP="00BF600D">
                      <w:r>
                        <w:t>d)</w:t>
                      </w:r>
                    </w:p>
                  </w:txbxContent>
                </v:textbox>
                <w10:wrap anchorx="margin"/>
              </v:shape>
            </w:pict>
          </mc:Fallback>
        </mc:AlternateContent>
      </w:r>
      <w:r>
        <w:rPr>
          <w:noProof/>
          <w:lang w:eastAsia="en-MY"/>
        </w:rPr>
        <mc:AlternateContent>
          <mc:Choice Requires="wps">
            <w:drawing>
              <wp:anchor distT="0" distB="0" distL="114300" distR="114300" simplePos="0" relativeHeight="252541952" behindDoc="0" locked="0" layoutInCell="1" allowOverlap="1" wp14:anchorId="33535565" wp14:editId="2E9F39A8">
                <wp:simplePos x="0" y="0"/>
                <wp:positionH relativeFrom="margin">
                  <wp:posOffset>-45085</wp:posOffset>
                </wp:positionH>
                <wp:positionV relativeFrom="paragraph">
                  <wp:posOffset>6350</wp:posOffset>
                </wp:positionV>
                <wp:extent cx="514985" cy="320675"/>
                <wp:effectExtent l="0" t="0" r="0" b="3175"/>
                <wp:wrapNone/>
                <wp:docPr id="344" name="Text Box 344"/>
                <wp:cNvGraphicFramePr/>
                <a:graphic xmlns:a="http://schemas.openxmlformats.org/drawingml/2006/main">
                  <a:graphicData uri="http://schemas.microsoft.com/office/word/2010/wordprocessingShape">
                    <wps:wsp>
                      <wps:cNvSpPr txBox="1"/>
                      <wps:spPr>
                        <a:xfrm>
                          <a:off x="0" y="0"/>
                          <a:ext cx="514985" cy="320040"/>
                        </a:xfrm>
                        <a:prstGeom prst="rect">
                          <a:avLst/>
                        </a:prstGeom>
                        <a:noFill/>
                        <a:ln w="6350">
                          <a:noFill/>
                        </a:ln>
                      </wps:spPr>
                      <wps:txbx>
                        <w:txbxContent>
                          <w:p w14:paraId="2BFB231D" w14:textId="77777777" w:rsidR="00230AB9" w:rsidRDefault="00230AB9" w:rsidP="00BF600D">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3535565" id="Text Box 344" o:spid="_x0000_s1380" type="#_x0000_t202" style="position:absolute;left:0;text-align:left;margin-left:-3.55pt;margin-top:.5pt;width:40.55pt;height:25.25pt;z-index:25254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" filled="f" stroked="f" strokeweight=".5pt">
                <v:textbox>
                  <w:txbxContent>
                    <w:p w14:paraId="2BFB231D" w14:textId="77777777" w:rsidR="00230AB9" w:rsidRDefault="00230AB9" w:rsidP="00BF600D">
                      <w:r>
                        <w:t>c)</w:t>
                      </w:r>
                    </w:p>
                  </w:txbxContent>
                </v:textbox>
                <w10:wrap anchorx="margin"/>
              </v:shape>
            </w:pict>
          </mc:Fallback>
        </mc:AlternateContent>
      </w:r>
      <w:r>
        <w:rPr>
          <w:rFonts w:asciiTheme="majorBidi" w:hAnsiTheme="majorBidi"/>
          <w:iCs/>
        </w:rPr>
        <w:t xml:space="preserve"> </w:t>
      </w:r>
      <w:r>
        <w:rPr>
          <w:noProof/>
          <w:lang w:eastAsia="en-MY"/>
        </w:rPr>
        <w:drawing>
          <wp:inline distT="0" distB="0" distL="0" distR="0" wp14:anchorId="1126CD8C" wp14:editId="58E16DA4">
            <wp:extent cx="2647950" cy="21621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647950" cy="2162175"/>
                    </a:xfrm>
                    <a:prstGeom prst="rect">
                      <a:avLst/>
                    </a:prstGeom>
                    <a:noFill/>
                    <a:ln>
                      <a:noFill/>
                    </a:ln>
                  </pic:spPr>
                </pic:pic>
              </a:graphicData>
            </a:graphic>
          </wp:inline>
        </w:drawing>
      </w:r>
    </w:p>
    <w:p w14:paraId="7D2D0F20" w14:textId="3E3173A7" w:rsidR="00BF600D" w:rsidRDefault="00BF600D" w:rsidP="00BF600D">
      <w:pPr>
        <w:jc w:val="center"/>
        <w:rPr>
          <w:rFonts w:asciiTheme="majorBidi" w:hAnsiTheme="majorBidi"/>
          <w:iCs/>
        </w:rPr>
      </w:pPr>
      <w:r>
        <w:rPr>
          <w:noProof/>
          <w:lang w:eastAsia="en-MY"/>
        </w:rPr>
        <mc:AlternateContent>
          <mc:Choice Requires="wps">
            <w:drawing>
              <wp:anchor distT="0" distB="0" distL="114300" distR="114300" simplePos="0" relativeHeight="252527616" behindDoc="0" locked="0" layoutInCell="1" allowOverlap="1" wp14:anchorId="1EFFC7A7" wp14:editId="185CE106">
                <wp:simplePos x="0" y="0"/>
                <wp:positionH relativeFrom="margin">
                  <wp:posOffset>26670</wp:posOffset>
                </wp:positionH>
                <wp:positionV relativeFrom="paragraph">
                  <wp:posOffset>97155</wp:posOffset>
                </wp:positionV>
                <wp:extent cx="439420" cy="320675"/>
                <wp:effectExtent l="0" t="0" r="0" b="3175"/>
                <wp:wrapNone/>
                <wp:docPr id="1993" name="Text Box 1993"/>
                <wp:cNvGraphicFramePr/>
                <a:graphic xmlns:a="http://schemas.openxmlformats.org/drawingml/2006/main">
                  <a:graphicData uri="http://schemas.microsoft.com/office/word/2010/wordprocessingShape">
                    <wps:wsp>
                      <wps:cNvSpPr txBox="1"/>
                      <wps:spPr>
                        <a:xfrm>
                          <a:off x="0" y="0"/>
                          <a:ext cx="438785" cy="320040"/>
                        </a:xfrm>
                        <a:prstGeom prst="rect">
                          <a:avLst/>
                        </a:prstGeom>
                        <a:noFill/>
                        <a:ln w="6350">
                          <a:noFill/>
                        </a:ln>
                      </wps:spPr>
                      <wps:txbx>
                        <w:txbxContent>
                          <w:p w14:paraId="099E32A4" w14:textId="77777777" w:rsidR="00230AB9" w:rsidRDefault="00230AB9" w:rsidP="00BF600D">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EFFC7A7" id="Text Box 1993" o:spid="_x0000_s1381" type="#_x0000_t202" style="position:absolute;left:0;text-align:left;margin-left:2.1pt;margin-top:7.65pt;width:34.6pt;height:25.25pt;z-index:25252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" filled="f" stroked="f" strokeweight=".5pt">
                <v:textbox>
                  <w:txbxContent>
                    <w:p w14:paraId="099E32A4" w14:textId="77777777" w:rsidR="00230AB9" w:rsidRDefault="00230AB9" w:rsidP="00BF600D">
                      <w:r>
                        <w:t>e)</w:t>
                      </w:r>
                    </w:p>
                  </w:txbxContent>
                </v:textbox>
                <w10:wrap anchorx="margin"/>
              </v:shape>
            </w:pict>
          </mc:Fallback>
        </mc:AlternateContent>
      </w:r>
      <w:r>
        <w:rPr>
          <w:noProof/>
          <w:lang w:eastAsia="en-MY"/>
        </w:rPr>
        <mc:AlternateContent>
          <mc:Choice Requires="wps">
            <w:drawing>
              <wp:anchor distT="0" distB="0" distL="114300" distR="114300" simplePos="0" relativeHeight="252526592" behindDoc="0" locked="0" layoutInCell="1" allowOverlap="1" wp14:anchorId="559B21D7" wp14:editId="1EC942EF">
                <wp:simplePos x="0" y="0"/>
                <wp:positionH relativeFrom="column">
                  <wp:posOffset>2842260</wp:posOffset>
                </wp:positionH>
                <wp:positionV relativeFrom="paragraph">
                  <wp:posOffset>97790</wp:posOffset>
                </wp:positionV>
                <wp:extent cx="439420" cy="320675"/>
                <wp:effectExtent l="0" t="0" r="0" b="3175"/>
                <wp:wrapNone/>
                <wp:docPr id="1888" name="Text Box 1888"/>
                <wp:cNvGraphicFramePr/>
                <a:graphic xmlns:a="http://schemas.openxmlformats.org/drawingml/2006/main">
                  <a:graphicData uri="http://schemas.microsoft.com/office/word/2010/wordprocessingShape">
                    <wps:wsp>
                      <wps:cNvSpPr txBox="1"/>
                      <wps:spPr>
                        <a:xfrm>
                          <a:off x="0" y="0"/>
                          <a:ext cx="438785" cy="320040"/>
                        </a:xfrm>
                        <a:prstGeom prst="rect">
                          <a:avLst/>
                        </a:prstGeom>
                        <a:noFill/>
                        <a:ln w="6350">
                          <a:noFill/>
                        </a:ln>
                      </wps:spPr>
                      <wps:txbx>
                        <w:txbxContent>
                          <w:p w14:paraId="25460324" w14:textId="77777777" w:rsidR="00230AB9" w:rsidRDefault="00230AB9" w:rsidP="00BF600D">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59B21D7" id="Text Box 1888" o:spid="_x0000_s1382" type="#_x0000_t202" style="position:absolute;left:0;text-align:left;margin-left:223.8pt;margin-top:7.7pt;width:34.6pt;height:25.25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" filled="f" stroked="f" strokeweight=".5pt">
                <v:textbox>
                  <w:txbxContent>
                    <w:p w14:paraId="25460324" w14:textId="77777777" w:rsidR="00230AB9" w:rsidRDefault="00230AB9" w:rsidP="00BF600D">
                      <w:r>
                        <w:t>f)</w:t>
                      </w:r>
                    </w:p>
                  </w:txbxContent>
                </v:textbox>
              </v:shape>
            </w:pict>
          </mc:Fallback>
        </mc:AlternateContent>
      </w:r>
      <w:r>
        <w:rPr>
          <w:noProof/>
          <w:lang w:eastAsia="en-MY"/>
        </w:rPr>
        <w:drawing>
          <wp:inline distT="0" distB="0" distL="0" distR="0" wp14:anchorId="18A83B32" wp14:editId="2BE05690">
            <wp:extent cx="2667000" cy="21621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667000" cy="2162175"/>
                    </a:xfrm>
                    <a:prstGeom prst="rect">
                      <a:avLst/>
                    </a:prstGeom>
                    <a:noFill/>
                    <a:ln>
                      <a:noFill/>
                    </a:ln>
                  </pic:spPr>
                </pic:pic>
              </a:graphicData>
            </a:graphic>
          </wp:inline>
        </w:drawing>
      </w:r>
      <w:r>
        <w:t xml:space="preserve"> </w:t>
      </w:r>
      <w:r>
        <w:rPr>
          <w:noProof/>
          <w:lang w:eastAsia="en-MY"/>
        </w:rPr>
        <w:drawing>
          <wp:inline distT="0" distB="0" distL="0" distR="0" wp14:anchorId="08F39DA5" wp14:editId="4C3E1991">
            <wp:extent cx="2714625" cy="21621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714625" cy="2162175"/>
                    </a:xfrm>
                    <a:prstGeom prst="rect">
                      <a:avLst/>
                    </a:prstGeom>
                    <a:noFill/>
                    <a:ln>
                      <a:noFill/>
                    </a:ln>
                  </pic:spPr>
                </pic:pic>
              </a:graphicData>
            </a:graphic>
          </wp:inline>
        </w:drawing>
      </w:r>
    </w:p>
    <w:p w14:paraId="44AA4BF1" w14:textId="00F6F009" w:rsidR="00BF600D" w:rsidRDefault="0082632E" w:rsidP="00BF600D">
      <w:pPr>
        <w:jc w:val="center"/>
        <w:rPr>
          <w:rFonts w:asciiTheme="majorBidi" w:hAnsiTheme="majorBidi"/>
        </w:rPr>
      </w:pPr>
      <w:bookmarkStart w:id="916" w:name="_Toc525706409"/>
      <w:bookmarkStart w:id="917" w:name="_Toc525528394"/>
      <w:bookmarkStart w:id="918" w:name="_Toc521420511"/>
      <w:bookmarkStart w:id="919" w:name="_Hlk515396905"/>
      <w:r>
        <w:rPr>
          <w:rFonts w:asciiTheme="majorBidi" w:hAnsiTheme="majorBidi"/>
          <w:iCs/>
        </w:rPr>
        <w:t>Figure 5.10:</w:t>
      </w:r>
      <w:r w:rsidR="00BF600D">
        <w:t xml:space="preserve"> </w:t>
      </w:r>
      <w:r w:rsidR="00BF600D">
        <w:rPr>
          <w:rFonts w:asciiTheme="majorBidi" w:hAnsiTheme="majorBidi"/>
        </w:rPr>
        <w:t xml:space="preserve">Various properties of </w:t>
      </w:r>
      <w:r w:rsidR="00BF600D">
        <w:rPr>
          <w:rFonts w:eastAsia="Times New Roman"/>
          <w:color w:val="000000"/>
          <w:szCs w:val="24"/>
          <w:lang w:eastAsia="en-MY"/>
        </w:rPr>
        <w:t>N</w:t>
      </w:r>
      <w:r w:rsidR="00BF600D">
        <w:rPr>
          <w:rFonts w:eastAsia="Times New Roman"/>
          <w:color w:val="000000"/>
          <w:szCs w:val="24"/>
          <w:vertAlign w:val="subscript"/>
          <w:lang w:eastAsia="en-MY"/>
        </w:rPr>
        <w:t>7.6</w:t>
      </w:r>
      <w:r w:rsidR="00BF600D">
        <w:rPr>
          <w:rFonts w:eastAsia="Times New Roman"/>
          <w:color w:val="000000"/>
          <w:szCs w:val="24"/>
          <w:lang w:eastAsia="en-MY"/>
        </w:rPr>
        <w:t>M</w:t>
      </w:r>
      <w:r w:rsidR="00BF600D">
        <w:rPr>
          <w:rFonts w:eastAsia="Times New Roman"/>
          <w:color w:val="000000"/>
          <w:szCs w:val="24"/>
          <w:vertAlign w:val="subscript"/>
          <w:lang w:eastAsia="en-MY"/>
        </w:rPr>
        <w:t>1.1</w:t>
      </w:r>
      <w:r w:rsidR="00BF600D">
        <w:rPr>
          <w:rFonts w:eastAsia="Times New Roman"/>
          <w:color w:val="000000"/>
          <w:szCs w:val="24"/>
          <w:lang w:eastAsia="en-MY"/>
        </w:rPr>
        <w:t>C</w:t>
      </w:r>
      <w:r w:rsidR="00BF600D">
        <w:rPr>
          <w:rFonts w:eastAsia="Times New Roman"/>
          <w:color w:val="000000"/>
          <w:szCs w:val="24"/>
          <w:vertAlign w:val="subscript"/>
          <w:lang w:eastAsia="en-MY"/>
        </w:rPr>
        <w:t>3</w:t>
      </w:r>
      <w:r w:rsidR="00BF600D">
        <w:rPr>
          <w:rFonts w:eastAsia="Times New Roman"/>
          <w:color w:val="000000"/>
          <w:szCs w:val="24"/>
          <w:lang w:eastAsia="en-MY"/>
        </w:rPr>
        <w:t>A</w:t>
      </w:r>
      <w:r w:rsidR="00BF600D">
        <w:rPr>
          <w:rFonts w:eastAsia="Times New Roman"/>
          <w:color w:val="000000"/>
          <w:szCs w:val="24"/>
          <w:vertAlign w:val="subscript"/>
          <w:lang w:eastAsia="en-MY"/>
        </w:rPr>
        <w:t>x</w:t>
      </w:r>
      <w:r w:rsidR="00BF600D">
        <w:rPr>
          <w:rFonts w:eastAsia="Times New Roman"/>
          <w:color w:val="000000"/>
          <w:szCs w:val="24"/>
          <w:lang w:eastAsia="en-MY"/>
        </w:rPr>
        <w:t>B</w:t>
      </w:r>
      <w:r w:rsidR="00BF600D">
        <w:rPr>
          <w:rFonts w:eastAsia="Times New Roman"/>
          <w:color w:val="000000"/>
          <w:szCs w:val="24"/>
          <w:vertAlign w:val="subscript"/>
          <w:lang w:eastAsia="en-MY"/>
        </w:rPr>
        <w:t>7.6</w:t>
      </w:r>
      <w:r w:rsidR="00BF600D">
        <w:rPr>
          <w:rFonts w:eastAsia="Times New Roman"/>
          <w:color w:val="000000"/>
          <w:szCs w:val="24"/>
          <w:lang w:eastAsia="en-MY"/>
        </w:rPr>
        <w:t>S</w:t>
      </w:r>
      <w:r w:rsidR="00BF600D">
        <w:rPr>
          <w:rFonts w:eastAsia="Times New Roman"/>
          <w:color w:val="000000"/>
          <w:szCs w:val="24"/>
          <w:vertAlign w:val="subscript"/>
          <w:lang w:eastAsia="en-MY"/>
        </w:rPr>
        <w:t>80.7-x</w:t>
      </w:r>
      <w:r w:rsidR="00BF600D">
        <w:rPr>
          <w:rFonts w:asciiTheme="majorBidi" w:hAnsiTheme="majorBidi"/>
          <w:szCs w:val="24"/>
        </w:rPr>
        <w:t xml:space="preserve">, </w:t>
      </w:r>
      <w:r w:rsidR="00BF600D">
        <w:rPr>
          <w:rFonts w:eastAsia="Times New Roman"/>
          <w:color w:val="000000"/>
          <w:szCs w:val="24"/>
          <w:lang w:eastAsia="en-MY"/>
        </w:rPr>
        <w:t>N</w:t>
      </w:r>
      <w:r w:rsidR="00BF600D">
        <w:rPr>
          <w:rFonts w:eastAsia="Times New Roman"/>
          <w:color w:val="000000"/>
          <w:szCs w:val="24"/>
          <w:vertAlign w:val="subscript"/>
          <w:lang w:eastAsia="en-MY"/>
        </w:rPr>
        <w:t>15</w:t>
      </w:r>
      <w:r w:rsidR="00BF600D">
        <w:rPr>
          <w:rFonts w:eastAsia="Times New Roman"/>
          <w:color w:val="000000"/>
          <w:szCs w:val="24"/>
          <w:lang w:eastAsia="en-MY"/>
        </w:rPr>
        <w:t>C</w:t>
      </w:r>
      <w:r w:rsidR="00BF600D">
        <w:rPr>
          <w:rFonts w:eastAsia="Times New Roman"/>
          <w:color w:val="000000"/>
          <w:szCs w:val="24"/>
          <w:vertAlign w:val="subscript"/>
          <w:lang w:eastAsia="en-MY"/>
        </w:rPr>
        <w:t>5</w:t>
      </w:r>
      <w:r w:rsidR="00BF600D">
        <w:rPr>
          <w:rFonts w:eastAsia="Times New Roman"/>
          <w:color w:val="000000"/>
          <w:szCs w:val="24"/>
          <w:lang w:eastAsia="en-MY"/>
        </w:rPr>
        <w:t>A</w:t>
      </w:r>
      <w:r w:rsidR="00BF600D">
        <w:rPr>
          <w:rFonts w:eastAsia="Times New Roman"/>
          <w:color w:val="000000"/>
          <w:szCs w:val="24"/>
          <w:vertAlign w:val="subscript"/>
          <w:lang w:eastAsia="en-MY"/>
        </w:rPr>
        <w:t>x</w:t>
      </w:r>
      <w:r w:rsidR="00BF600D">
        <w:rPr>
          <w:rFonts w:eastAsia="Times New Roman"/>
          <w:color w:val="000000"/>
          <w:szCs w:val="24"/>
          <w:lang w:eastAsia="en-MY"/>
        </w:rPr>
        <w:t>B</w:t>
      </w:r>
      <w:r w:rsidR="00BF600D">
        <w:rPr>
          <w:rFonts w:eastAsia="Times New Roman"/>
          <w:color w:val="000000"/>
          <w:szCs w:val="24"/>
          <w:vertAlign w:val="subscript"/>
          <w:lang w:eastAsia="en-MY"/>
        </w:rPr>
        <w:t>10-x</w:t>
      </w:r>
      <w:r w:rsidR="00BF600D">
        <w:rPr>
          <w:rFonts w:eastAsia="Times New Roman"/>
          <w:color w:val="000000"/>
          <w:szCs w:val="24"/>
          <w:lang w:eastAsia="en-MY"/>
        </w:rPr>
        <w:t>S</w:t>
      </w:r>
      <w:r w:rsidR="00BF600D">
        <w:rPr>
          <w:rFonts w:eastAsia="Times New Roman"/>
          <w:color w:val="000000"/>
          <w:szCs w:val="24"/>
          <w:vertAlign w:val="subscript"/>
          <w:lang w:eastAsia="en-MY"/>
        </w:rPr>
        <w:t xml:space="preserve">70 </w:t>
      </w:r>
      <w:r w:rsidR="00BF600D">
        <w:rPr>
          <w:rFonts w:asciiTheme="majorBidi" w:hAnsiTheme="majorBidi"/>
          <w:szCs w:val="24"/>
        </w:rPr>
        <w:t xml:space="preserve">and </w:t>
      </w:r>
      <w:r w:rsidR="00BF600D">
        <w:rPr>
          <w:rFonts w:eastAsia="Times New Roman"/>
          <w:color w:val="000000"/>
          <w:szCs w:val="24"/>
          <w:lang w:eastAsia="en-MY"/>
        </w:rPr>
        <w:t>N</w:t>
      </w:r>
      <w:r w:rsidR="00BF600D">
        <w:rPr>
          <w:rFonts w:eastAsia="Times New Roman"/>
          <w:color w:val="000000"/>
          <w:szCs w:val="24"/>
          <w:vertAlign w:val="subscript"/>
          <w:lang w:eastAsia="en-MY"/>
        </w:rPr>
        <w:t>15</w:t>
      </w:r>
      <w:r w:rsidR="00BF600D">
        <w:rPr>
          <w:rFonts w:eastAsia="Times New Roman"/>
          <w:color w:val="000000"/>
          <w:szCs w:val="24"/>
          <w:lang w:eastAsia="en-MY"/>
        </w:rPr>
        <w:t>C</w:t>
      </w:r>
      <w:r w:rsidR="00BF600D">
        <w:rPr>
          <w:rFonts w:eastAsia="Times New Roman"/>
          <w:color w:val="000000"/>
          <w:szCs w:val="24"/>
          <w:vertAlign w:val="subscript"/>
          <w:lang w:eastAsia="en-MY"/>
        </w:rPr>
        <w:t>5</w:t>
      </w:r>
      <w:r w:rsidR="00BF600D">
        <w:rPr>
          <w:rFonts w:eastAsia="Times New Roman"/>
          <w:color w:val="000000"/>
          <w:szCs w:val="24"/>
          <w:lang w:eastAsia="en-MY"/>
        </w:rPr>
        <w:t>A</w:t>
      </w:r>
      <w:r w:rsidR="00BF600D">
        <w:rPr>
          <w:rFonts w:eastAsia="Times New Roman"/>
          <w:color w:val="000000"/>
          <w:szCs w:val="24"/>
          <w:vertAlign w:val="subscript"/>
          <w:lang w:eastAsia="en-MY"/>
        </w:rPr>
        <w:t>x</w:t>
      </w:r>
      <w:r w:rsidR="00BF600D">
        <w:rPr>
          <w:rFonts w:eastAsia="Times New Roman"/>
          <w:color w:val="000000"/>
          <w:szCs w:val="24"/>
          <w:lang w:eastAsia="en-MY"/>
        </w:rPr>
        <w:t>B</w:t>
      </w:r>
      <w:r w:rsidR="00BF600D">
        <w:rPr>
          <w:rFonts w:eastAsia="Times New Roman"/>
          <w:color w:val="000000"/>
          <w:szCs w:val="24"/>
          <w:vertAlign w:val="subscript"/>
          <w:lang w:eastAsia="en-MY"/>
        </w:rPr>
        <w:t>20-x</w:t>
      </w:r>
      <w:r w:rsidR="00BF600D">
        <w:rPr>
          <w:rFonts w:eastAsia="Times New Roman"/>
          <w:color w:val="000000"/>
          <w:szCs w:val="24"/>
          <w:lang w:eastAsia="en-MY"/>
        </w:rPr>
        <w:t>S</w:t>
      </w:r>
      <w:r w:rsidR="00BF600D">
        <w:rPr>
          <w:rFonts w:eastAsia="Times New Roman"/>
          <w:color w:val="000000"/>
          <w:szCs w:val="24"/>
          <w:vertAlign w:val="subscript"/>
          <w:lang w:eastAsia="en-MY"/>
        </w:rPr>
        <w:t xml:space="preserve">60 </w:t>
      </w:r>
      <w:r w:rsidR="00BF600D">
        <w:rPr>
          <w:rFonts w:asciiTheme="majorBidi" w:hAnsiTheme="majorBidi"/>
          <w:szCs w:val="24"/>
        </w:rPr>
        <w:t>glass</w:t>
      </w:r>
      <w:r w:rsidR="00BF600D">
        <w:rPr>
          <w:rFonts w:asciiTheme="majorBidi" w:hAnsiTheme="majorBidi"/>
        </w:rPr>
        <w:t xml:space="preserve"> series versus </w:t>
      </w:r>
      <w:r w:rsidR="00BF600D">
        <w:rPr>
          <w:rFonts w:asciiTheme="majorBidi" w:hAnsiTheme="majorBidi"/>
          <w:iCs/>
        </w:rPr>
        <w:t>Al</w:t>
      </w:r>
      <w:r w:rsidR="00BF600D">
        <w:rPr>
          <w:rFonts w:asciiTheme="majorBidi" w:hAnsiTheme="majorBidi"/>
          <w:iCs/>
          <w:vertAlign w:val="subscript"/>
        </w:rPr>
        <w:t>2</w:t>
      </w:r>
      <w:r w:rsidR="00BF600D">
        <w:rPr>
          <w:rFonts w:asciiTheme="majorBidi" w:hAnsiTheme="majorBidi"/>
          <w:iCs/>
        </w:rPr>
        <w:t>O</w:t>
      </w:r>
      <w:r w:rsidR="00BF600D">
        <w:rPr>
          <w:rFonts w:asciiTheme="majorBidi" w:hAnsiTheme="majorBidi"/>
          <w:iCs/>
          <w:vertAlign w:val="subscript"/>
        </w:rPr>
        <w:t>3</w:t>
      </w:r>
      <w:r w:rsidR="00BF600D">
        <w:rPr>
          <w:rFonts w:asciiTheme="majorBidi" w:hAnsiTheme="majorBidi"/>
          <w:iCs/>
        </w:rPr>
        <w:t>/</w:t>
      </w:r>
      <w:r w:rsidR="00BF600D">
        <w:rPr>
          <w:rFonts w:asciiTheme="majorBidi" w:hAnsiTheme="majorBidi"/>
          <w:bCs/>
          <w:iCs/>
        </w:rPr>
        <w:t>Al</w:t>
      </w:r>
      <w:r w:rsidR="00BF600D">
        <w:rPr>
          <w:rFonts w:asciiTheme="majorBidi" w:hAnsiTheme="majorBidi"/>
          <w:bCs/>
          <w:iCs/>
          <w:vertAlign w:val="subscript"/>
        </w:rPr>
        <w:t>2</w:t>
      </w:r>
      <w:r w:rsidR="00BF600D">
        <w:rPr>
          <w:rFonts w:asciiTheme="majorBidi" w:hAnsiTheme="majorBidi"/>
          <w:bCs/>
          <w:iCs/>
        </w:rPr>
        <w:t>O</w:t>
      </w:r>
      <w:r w:rsidR="00BF600D">
        <w:rPr>
          <w:rFonts w:asciiTheme="majorBidi" w:hAnsiTheme="majorBidi"/>
          <w:bCs/>
          <w:iCs/>
          <w:vertAlign w:val="subscript"/>
        </w:rPr>
        <w:t>3</w:t>
      </w:r>
      <w:r w:rsidR="00BF600D">
        <w:rPr>
          <w:rFonts w:asciiTheme="majorBidi" w:hAnsiTheme="majorBidi"/>
          <w:bCs/>
          <w:iCs/>
        </w:rPr>
        <w:t>+SiO</w:t>
      </w:r>
      <w:r w:rsidR="00BF600D">
        <w:rPr>
          <w:rFonts w:asciiTheme="majorBidi" w:hAnsiTheme="majorBidi"/>
          <w:bCs/>
          <w:iCs/>
          <w:vertAlign w:val="subscript"/>
        </w:rPr>
        <w:t>2</w:t>
      </w:r>
      <w:r w:rsidR="00BF600D">
        <w:rPr>
          <w:rFonts w:asciiTheme="majorBidi" w:hAnsiTheme="majorBidi"/>
          <w:bCs/>
          <w:iCs/>
        </w:rPr>
        <w:t>+B</w:t>
      </w:r>
      <w:r w:rsidR="00BF600D">
        <w:rPr>
          <w:rFonts w:asciiTheme="majorBidi" w:hAnsiTheme="majorBidi"/>
          <w:bCs/>
          <w:iCs/>
          <w:vertAlign w:val="subscript"/>
        </w:rPr>
        <w:t>2</w:t>
      </w:r>
      <w:r w:rsidR="00BF600D">
        <w:rPr>
          <w:rFonts w:asciiTheme="majorBidi" w:hAnsiTheme="majorBidi"/>
          <w:bCs/>
          <w:iCs/>
        </w:rPr>
        <w:t>O</w:t>
      </w:r>
      <w:r w:rsidR="00BF600D">
        <w:rPr>
          <w:rFonts w:asciiTheme="majorBidi" w:hAnsiTheme="majorBidi"/>
          <w:bCs/>
          <w:iCs/>
          <w:vertAlign w:val="subscript"/>
        </w:rPr>
        <w:t xml:space="preserve">3 </w:t>
      </w:r>
      <w:r w:rsidR="00BF600D">
        <w:rPr>
          <w:rFonts w:asciiTheme="majorBidi" w:hAnsiTheme="majorBidi"/>
          <w:bCs/>
          <w:iCs/>
        </w:rPr>
        <w:t>a) density b) molar volume c) glass transition temperature d) bulk modulus e) polymerisation index f) hardness.</w:t>
      </w:r>
      <w:bookmarkEnd w:id="916"/>
      <w:bookmarkEnd w:id="917"/>
      <w:bookmarkEnd w:id="918"/>
    </w:p>
    <w:bookmarkEnd w:id="919"/>
    <w:p w14:paraId="54302634" w14:textId="77777777" w:rsidR="00BF600D" w:rsidRDefault="00BF600D" w:rsidP="00BF600D">
      <w:pPr>
        <w:spacing w:line="360" w:lineRule="auto"/>
        <w:jc w:val="both"/>
        <w:rPr>
          <w:rFonts w:cs="Times New Roman"/>
          <w:b w:val="0"/>
          <w:szCs w:val="24"/>
        </w:rPr>
      </w:pPr>
    </w:p>
    <w:p w14:paraId="563687EF" w14:textId="77777777" w:rsidR="00BF600D" w:rsidRDefault="00BF600D" w:rsidP="00BF600D">
      <w:pPr>
        <w:spacing w:line="360" w:lineRule="auto"/>
        <w:jc w:val="both"/>
        <w:rPr>
          <w:rFonts w:cs="Times New Roman"/>
          <w:b w:val="0"/>
          <w:szCs w:val="24"/>
        </w:rPr>
      </w:pPr>
    </w:p>
    <w:p w14:paraId="484446E9" w14:textId="59C6D2B9" w:rsidR="00666029" w:rsidRPr="008A2179" w:rsidRDefault="00BF600D" w:rsidP="00666029">
      <w:pPr>
        <w:spacing w:line="360" w:lineRule="auto"/>
        <w:jc w:val="both"/>
        <w:rPr>
          <w:rFonts w:eastAsia="Times New Roman" w:cs="Times New Roman"/>
          <w:b w:val="0"/>
          <w:color w:val="000000"/>
          <w:szCs w:val="24"/>
          <w:lang w:eastAsia="en-MY"/>
        </w:rPr>
      </w:pPr>
      <w:r>
        <w:rPr>
          <w:rFonts w:cs="Times New Roman"/>
          <w:b w:val="0"/>
          <w:szCs w:val="24"/>
        </w:rPr>
        <w:lastRenderedPageBreak/>
        <w:t>The addition of Al</w:t>
      </w:r>
      <w:r>
        <w:rPr>
          <w:rFonts w:cs="Times New Roman"/>
          <w:b w:val="0"/>
          <w:szCs w:val="24"/>
          <w:vertAlign w:val="subscript"/>
        </w:rPr>
        <w:t>2</w:t>
      </w:r>
      <w:r>
        <w:rPr>
          <w:rFonts w:cs="Times New Roman"/>
          <w:b w:val="0"/>
          <w:szCs w:val="24"/>
        </w:rPr>
        <w:t>O</w:t>
      </w:r>
      <w:r>
        <w:rPr>
          <w:rFonts w:cs="Times New Roman"/>
          <w:b w:val="0"/>
          <w:szCs w:val="24"/>
          <w:vertAlign w:val="subscript"/>
        </w:rPr>
        <w:t>3</w:t>
      </w:r>
      <w:r>
        <w:rPr>
          <w:rFonts w:cs="Times New Roman"/>
          <w:b w:val="0"/>
          <w:szCs w:val="24"/>
        </w:rPr>
        <w:t xml:space="preserve"> affected the physical, structural and mechanical properties of the glasses</w:t>
      </w:r>
      <w:r w:rsidR="001F18E8">
        <w:rPr>
          <w:rFonts w:cs="Times New Roman"/>
          <w:b w:val="0"/>
          <w:szCs w:val="24"/>
        </w:rPr>
        <w:t xml:space="preserve"> as shown in Figure 5.10</w:t>
      </w:r>
      <w:r>
        <w:rPr>
          <w:rFonts w:cs="Times New Roman"/>
          <w:b w:val="0"/>
          <w:szCs w:val="24"/>
        </w:rPr>
        <w:t>.</w:t>
      </w:r>
      <w:r>
        <w:rPr>
          <w:rFonts w:asciiTheme="majorBidi" w:hAnsiTheme="majorBidi" w:cstheme="majorBidi"/>
          <w:b w:val="0"/>
          <w:szCs w:val="24"/>
        </w:rPr>
        <w:t xml:space="preserve"> </w:t>
      </w:r>
      <w:r w:rsidR="008A2179">
        <w:rPr>
          <w:rFonts w:asciiTheme="majorBidi" w:hAnsiTheme="majorBidi" w:cstheme="majorBidi"/>
          <w:b w:val="0"/>
          <w:szCs w:val="24"/>
        </w:rPr>
        <w:t xml:space="preserve">Changing of boron and alumina species from trigonal to tetrahedra changes the network function from </w:t>
      </w:r>
      <w:r w:rsidR="00666029" w:rsidRPr="000E2377">
        <w:rPr>
          <w:rFonts w:asciiTheme="majorBidi" w:hAnsiTheme="majorBidi" w:cstheme="majorBidi"/>
          <w:b w:val="0"/>
          <w:szCs w:val="24"/>
        </w:rPr>
        <w:t>modifier to former</w:t>
      </w:r>
      <w:r w:rsidR="008A2179">
        <w:rPr>
          <w:rFonts w:asciiTheme="majorBidi" w:hAnsiTheme="majorBidi" w:cstheme="majorBidi"/>
          <w:b w:val="0"/>
          <w:szCs w:val="24"/>
        </w:rPr>
        <w:t xml:space="preserve">, resulting in greater structural bonding. </w:t>
      </w:r>
      <w:r w:rsidR="00666029" w:rsidRPr="000E2377">
        <w:rPr>
          <w:rFonts w:asciiTheme="majorBidi" w:hAnsiTheme="majorBidi" w:cstheme="majorBidi"/>
          <w:b w:val="0"/>
          <w:szCs w:val="24"/>
        </w:rPr>
        <w:t xml:space="preserve">The network connectivity for </w:t>
      </w:r>
      <w:r w:rsidR="00666029" w:rsidRPr="000E2377">
        <w:rPr>
          <w:rFonts w:eastAsia="Times New Roman" w:cs="Times New Roman"/>
          <w:b w:val="0"/>
          <w:color w:val="000000"/>
          <w:szCs w:val="24"/>
          <w:lang w:eastAsia="en-MY"/>
        </w:rPr>
        <w:t>N</w:t>
      </w:r>
      <w:r w:rsidR="00666029" w:rsidRPr="000E2377">
        <w:rPr>
          <w:rFonts w:eastAsia="Times New Roman" w:cs="Times New Roman"/>
          <w:b w:val="0"/>
          <w:color w:val="000000"/>
          <w:szCs w:val="24"/>
          <w:vertAlign w:val="subscript"/>
          <w:lang w:eastAsia="en-MY"/>
        </w:rPr>
        <w:t>7.6</w:t>
      </w:r>
      <w:r w:rsidR="00666029" w:rsidRPr="000E2377">
        <w:rPr>
          <w:rFonts w:eastAsia="Times New Roman" w:cs="Times New Roman"/>
          <w:b w:val="0"/>
          <w:color w:val="000000"/>
          <w:szCs w:val="24"/>
          <w:lang w:eastAsia="en-MY"/>
        </w:rPr>
        <w:t>M</w:t>
      </w:r>
      <w:r w:rsidR="00666029" w:rsidRPr="000E2377">
        <w:rPr>
          <w:rFonts w:eastAsia="Times New Roman" w:cs="Times New Roman"/>
          <w:b w:val="0"/>
          <w:color w:val="000000"/>
          <w:szCs w:val="24"/>
          <w:vertAlign w:val="subscript"/>
          <w:lang w:eastAsia="en-MY"/>
        </w:rPr>
        <w:t>1.1</w:t>
      </w:r>
      <w:r w:rsidR="00666029" w:rsidRPr="000E2377">
        <w:rPr>
          <w:rFonts w:eastAsia="Times New Roman" w:cs="Times New Roman"/>
          <w:b w:val="0"/>
          <w:color w:val="000000"/>
          <w:szCs w:val="24"/>
          <w:lang w:eastAsia="en-MY"/>
        </w:rPr>
        <w:t>C</w:t>
      </w:r>
      <w:r w:rsidR="00666029" w:rsidRPr="000E2377">
        <w:rPr>
          <w:rFonts w:eastAsia="Times New Roman" w:cs="Times New Roman"/>
          <w:b w:val="0"/>
          <w:color w:val="000000"/>
          <w:szCs w:val="24"/>
          <w:vertAlign w:val="subscript"/>
          <w:lang w:eastAsia="en-MY"/>
        </w:rPr>
        <w:t>3</w:t>
      </w:r>
      <w:r w:rsidR="00666029" w:rsidRPr="000E2377">
        <w:rPr>
          <w:rFonts w:eastAsia="Times New Roman" w:cs="Times New Roman"/>
          <w:b w:val="0"/>
          <w:color w:val="000000"/>
          <w:szCs w:val="24"/>
          <w:lang w:eastAsia="en-MY"/>
        </w:rPr>
        <w:t>A</w:t>
      </w:r>
      <w:r w:rsidR="00666029" w:rsidRPr="000E2377">
        <w:rPr>
          <w:rFonts w:eastAsia="Times New Roman" w:cs="Times New Roman"/>
          <w:b w:val="0"/>
          <w:color w:val="000000"/>
          <w:szCs w:val="24"/>
          <w:vertAlign w:val="subscript"/>
          <w:lang w:eastAsia="en-MY"/>
        </w:rPr>
        <w:t>x</w:t>
      </w:r>
      <w:r w:rsidR="00666029" w:rsidRPr="000E2377">
        <w:rPr>
          <w:rFonts w:eastAsia="Times New Roman" w:cs="Times New Roman"/>
          <w:b w:val="0"/>
          <w:color w:val="000000"/>
          <w:szCs w:val="24"/>
          <w:lang w:eastAsia="en-MY"/>
        </w:rPr>
        <w:t>B</w:t>
      </w:r>
      <w:r w:rsidR="00666029" w:rsidRPr="000E2377">
        <w:rPr>
          <w:rFonts w:eastAsia="Times New Roman" w:cs="Times New Roman"/>
          <w:b w:val="0"/>
          <w:color w:val="000000"/>
          <w:szCs w:val="24"/>
          <w:vertAlign w:val="subscript"/>
          <w:lang w:eastAsia="en-MY"/>
        </w:rPr>
        <w:t>7.6</w:t>
      </w:r>
      <w:r w:rsidR="00666029" w:rsidRPr="000E2377">
        <w:rPr>
          <w:rFonts w:eastAsia="Times New Roman" w:cs="Times New Roman"/>
          <w:b w:val="0"/>
          <w:color w:val="000000"/>
          <w:szCs w:val="24"/>
          <w:lang w:eastAsia="en-MY"/>
        </w:rPr>
        <w:t>S</w:t>
      </w:r>
      <w:r w:rsidR="00666029" w:rsidRPr="000E2377">
        <w:rPr>
          <w:rFonts w:eastAsia="Times New Roman" w:cs="Times New Roman"/>
          <w:b w:val="0"/>
          <w:color w:val="000000"/>
          <w:szCs w:val="24"/>
          <w:vertAlign w:val="subscript"/>
          <w:lang w:eastAsia="en-MY"/>
        </w:rPr>
        <w:t>80.7-x</w:t>
      </w:r>
      <w:r w:rsidR="00666029" w:rsidRPr="000E2377">
        <w:rPr>
          <w:rFonts w:eastAsia="Times New Roman" w:cs="Times New Roman"/>
          <w:color w:val="000000"/>
          <w:sz w:val="16"/>
          <w:szCs w:val="16"/>
          <w:lang w:eastAsia="en-MY"/>
        </w:rPr>
        <w:t xml:space="preserve">  </w:t>
      </w:r>
      <w:r w:rsidR="00666029" w:rsidRPr="000E2377">
        <w:rPr>
          <w:rFonts w:asciiTheme="majorBidi" w:hAnsiTheme="majorBidi" w:cstheme="majorBidi"/>
          <w:b w:val="0"/>
          <w:szCs w:val="24"/>
        </w:rPr>
        <w:t>start</w:t>
      </w:r>
      <w:r w:rsidR="00666029">
        <w:rPr>
          <w:rFonts w:asciiTheme="majorBidi" w:hAnsiTheme="majorBidi" w:cstheme="majorBidi"/>
          <w:b w:val="0"/>
          <w:szCs w:val="24"/>
        </w:rPr>
        <w:t>s</w:t>
      </w:r>
      <w:r w:rsidR="00666029" w:rsidRPr="000E2377">
        <w:rPr>
          <w:rFonts w:asciiTheme="majorBidi" w:hAnsiTheme="majorBidi" w:cstheme="majorBidi"/>
          <w:b w:val="0"/>
          <w:szCs w:val="24"/>
        </w:rPr>
        <w:t xml:space="preserve"> to increase until x =5.2, but with further addition of alumina, the connectivity is then decreased</w:t>
      </w:r>
      <w:r w:rsidR="00D02A46">
        <w:rPr>
          <w:rFonts w:asciiTheme="majorBidi" w:hAnsiTheme="majorBidi" w:cstheme="majorBidi"/>
          <w:b w:val="0"/>
          <w:szCs w:val="24"/>
        </w:rPr>
        <w:t xml:space="preserve"> as shown in Figure 5.10e</w:t>
      </w:r>
      <w:r w:rsidR="00666029" w:rsidRPr="000E2377">
        <w:rPr>
          <w:rFonts w:asciiTheme="majorBidi" w:hAnsiTheme="majorBidi" w:cstheme="majorBidi"/>
          <w:b w:val="0"/>
          <w:szCs w:val="24"/>
        </w:rPr>
        <w:t xml:space="preserve">. This might due appearance of </w:t>
      </w:r>
      <w:r w:rsidR="000F2CC4">
        <w:rPr>
          <w:rFonts w:asciiTheme="majorBidi" w:hAnsiTheme="majorBidi" w:cstheme="majorBidi"/>
          <w:b w:val="0"/>
          <w:szCs w:val="24"/>
        </w:rPr>
        <w:t>higher</w:t>
      </w:r>
      <w:r w:rsidR="00666029">
        <w:rPr>
          <w:rFonts w:asciiTheme="majorBidi" w:hAnsiTheme="majorBidi" w:cstheme="majorBidi"/>
          <w:b w:val="0"/>
          <w:szCs w:val="24"/>
        </w:rPr>
        <w:t xml:space="preserve"> B</w:t>
      </w:r>
      <w:r w:rsidR="00666029" w:rsidRPr="007F1F01">
        <w:rPr>
          <w:rFonts w:asciiTheme="majorBidi" w:hAnsiTheme="majorBidi" w:cstheme="majorBidi"/>
          <w:b w:val="0"/>
          <w:szCs w:val="24"/>
          <w:vertAlign w:val="superscript"/>
        </w:rPr>
        <w:t>III</w:t>
      </w:r>
      <w:r w:rsidR="00666029" w:rsidRPr="000E2377">
        <w:rPr>
          <w:rFonts w:asciiTheme="majorBidi" w:hAnsiTheme="majorBidi" w:cstheme="majorBidi"/>
          <w:b w:val="0"/>
          <w:szCs w:val="24"/>
        </w:rPr>
        <w:t xml:space="preserve"> coordination</w:t>
      </w:r>
      <w:r w:rsidR="00666029">
        <w:rPr>
          <w:rFonts w:asciiTheme="majorBidi" w:hAnsiTheme="majorBidi" w:cstheme="majorBidi"/>
          <w:b w:val="0"/>
          <w:szCs w:val="24"/>
        </w:rPr>
        <w:t xml:space="preserve">; some evidence was seen in the NMR data which shows </w:t>
      </w:r>
      <w:r w:rsidR="008C4D01">
        <w:rPr>
          <w:rFonts w:asciiTheme="majorBidi" w:hAnsiTheme="majorBidi" w:cstheme="majorBidi"/>
          <w:b w:val="0"/>
          <w:szCs w:val="24"/>
        </w:rPr>
        <w:t xml:space="preserve">a </w:t>
      </w:r>
      <w:r w:rsidR="00666029">
        <w:rPr>
          <w:rFonts w:asciiTheme="majorBidi" w:hAnsiTheme="majorBidi" w:cstheme="majorBidi"/>
          <w:b w:val="0"/>
          <w:szCs w:val="24"/>
        </w:rPr>
        <w:t>high peak which represent</w:t>
      </w:r>
      <w:r w:rsidR="008C4D01">
        <w:rPr>
          <w:rFonts w:asciiTheme="majorBidi" w:hAnsiTheme="majorBidi" w:cstheme="majorBidi"/>
          <w:b w:val="0"/>
          <w:szCs w:val="24"/>
        </w:rPr>
        <w:t>s</w:t>
      </w:r>
      <w:r w:rsidR="00666029">
        <w:rPr>
          <w:rFonts w:asciiTheme="majorBidi" w:hAnsiTheme="majorBidi" w:cstheme="majorBidi"/>
          <w:b w:val="0"/>
          <w:szCs w:val="24"/>
        </w:rPr>
        <w:t xml:space="preserve"> high B</w:t>
      </w:r>
      <w:r w:rsidR="00666029" w:rsidRPr="007F1F01">
        <w:rPr>
          <w:rFonts w:asciiTheme="majorBidi" w:hAnsiTheme="majorBidi" w:cstheme="majorBidi"/>
          <w:b w:val="0"/>
          <w:szCs w:val="24"/>
          <w:vertAlign w:val="superscript"/>
        </w:rPr>
        <w:t>III</w:t>
      </w:r>
      <w:r w:rsidR="00666029">
        <w:rPr>
          <w:rFonts w:asciiTheme="majorBidi" w:hAnsiTheme="majorBidi" w:cstheme="majorBidi"/>
          <w:b w:val="0"/>
          <w:szCs w:val="24"/>
        </w:rPr>
        <w:t xml:space="preserve"> content in highest alumina content than low alumina content. The Q</w:t>
      </w:r>
      <w:r w:rsidR="00666029" w:rsidRPr="00713F4C">
        <w:rPr>
          <w:rFonts w:asciiTheme="majorBidi" w:hAnsiTheme="majorBidi" w:cstheme="majorBidi"/>
          <w:b w:val="0"/>
          <w:szCs w:val="24"/>
          <w:vertAlign w:val="superscript"/>
        </w:rPr>
        <w:t>4</w:t>
      </w:r>
      <w:r w:rsidR="00666029">
        <w:rPr>
          <w:rFonts w:asciiTheme="majorBidi" w:hAnsiTheme="majorBidi" w:cstheme="majorBidi"/>
          <w:b w:val="0"/>
          <w:szCs w:val="24"/>
        </w:rPr>
        <w:t xml:space="preserve"> are also </w:t>
      </w:r>
      <w:r w:rsidR="008C4D01">
        <w:rPr>
          <w:rFonts w:asciiTheme="majorBidi" w:hAnsiTheme="majorBidi" w:cstheme="majorBidi"/>
          <w:b w:val="0"/>
          <w:szCs w:val="24"/>
        </w:rPr>
        <w:t xml:space="preserve">shown </w:t>
      </w:r>
      <w:r w:rsidR="008A2179">
        <w:rPr>
          <w:rFonts w:asciiTheme="majorBidi" w:hAnsiTheme="majorBidi" w:cstheme="majorBidi"/>
          <w:b w:val="0"/>
          <w:szCs w:val="24"/>
        </w:rPr>
        <w:t xml:space="preserve">nearly </w:t>
      </w:r>
      <w:r w:rsidR="008C4D01">
        <w:rPr>
          <w:rFonts w:asciiTheme="majorBidi" w:hAnsiTheme="majorBidi" w:cstheme="majorBidi"/>
          <w:b w:val="0"/>
          <w:szCs w:val="24"/>
        </w:rPr>
        <w:t xml:space="preserve">a </w:t>
      </w:r>
      <w:r w:rsidR="008A2179">
        <w:rPr>
          <w:rFonts w:asciiTheme="majorBidi" w:hAnsiTheme="majorBidi" w:cstheme="majorBidi"/>
          <w:b w:val="0"/>
          <w:szCs w:val="24"/>
        </w:rPr>
        <w:t>similar</w:t>
      </w:r>
      <w:r w:rsidR="00666029">
        <w:rPr>
          <w:rFonts w:asciiTheme="majorBidi" w:hAnsiTheme="majorBidi" w:cstheme="majorBidi"/>
          <w:b w:val="0"/>
          <w:szCs w:val="24"/>
        </w:rPr>
        <w:t xml:space="preserve"> </w:t>
      </w:r>
      <w:r w:rsidR="008A2179">
        <w:rPr>
          <w:rFonts w:asciiTheme="majorBidi" w:hAnsiTheme="majorBidi" w:cstheme="majorBidi"/>
          <w:b w:val="0"/>
          <w:szCs w:val="24"/>
        </w:rPr>
        <w:t>amount</w:t>
      </w:r>
      <w:r w:rsidR="00666029">
        <w:rPr>
          <w:rFonts w:asciiTheme="majorBidi" w:hAnsiTheme="majorBidi" w:cstheme="majorBidi"/>
          <w:b w:val="0"/>
          <w:szCs w:val="24"/>
        </w:rPr>
        <w:t xml:space="preserve"> in </w:t>
      </w:r>
      <w:r w:rsidR="008C4D01">
        <w:rPr>
          <w:rFonts w:asciiTheme="majorBidi" w:hAnsiTheme="majorBidi" w:cstheme="majorBidi"/>
          <w:b w:val="0"/>
          <w:szCs w:val="24"/>
        </w:rPr>
        <w:t xml:space="preserve">the </w:t>
      </w:r>
      <w:r w:rsidR="00666029">
        <w:rPr>
          <w:rFonts w:asciiTheme="majorBidi" w:hAnsiTheme="majorBidi" w:cstheme="majorBidi"/>
          <w:b w:val="0"/>
          <w:szCs w:val="24"/>
        </w:rPr>
        <w:t xml:space="preserve">highest alumina content </w:t>
      </w:r>
      <w:r w:rsidR="00666029" w:rsidRPr="007F1F01">
        <w:rPr>
          <w:rFonts w:asciiTheme="majorBidi" w:hAnsiTheme="majorBidi" w:cstheme="majorBidi"/>
          <w:b w:val="0"/>
          <w:szCs w:val="24"/>
        </w:rPr>
        <w:t>(</w:t>
      </w:r>
      <w:r w:rsidR="00666029" w:rsidRPr="007F1F01">
        <w:rPr>
          <w:rFonts w:eastAsia="Times New Roman" w:cs="Times New Roman"/>
          <w:b w:val="0"/>
          <w:color w:val="000000"/>
          <w:szCs w:val="24"/>
          <w:lang w:eastAsia="en-MY"/>
        </w:rPr>
        <w:t>N</w:t>
      </w:r>
      <w:r w:rsidR="00666029" w:rsidRPr="007F1F01">
        <w:rPr>
          <w:rFonts w:eastAsia="Times New Roman" w:cs="Times New Roman"/>
          <w:b w:val="0"/>
          <w:color w:val="000000"/>
          <w:szCs w:val="24"/>
          <w:vertAlign w:val="subscript"/>
          <w:lang w:eastAsia="en-MY"/>
        </w:rPr>
        <w:t>7.6</w:t>
      </w:r>
      <w:r w:rsidR="00666029" w:rsidRPr="007F1F01">
        <w:rPr>
          <w:rFonts w:eastAsia="Times New Roman" w:cs="Times New Roman"/>
          <w:b w:val="0"/>
          <w:color w:val="000000"/>
          <w:szCs w:val="24"/>
          <w:lang w:eastAsia="en-MY"/>
        </w:rPr>
        <w:t>M</w:t>
      </w:r>
      <w:r w:rsidR="00666029" w:rsidRPr="007F1F01">
        <w:rPr>
          <w:rFonts w:eastAsia="Times New Roman" w:cs="Times New Roman"/>
          <w:b w:val="0"/>
          <w:color w:val="000000"/>
          <w:szCs w:val="24"/>
          <w:vertAlign w:val="subscript"/>
          <w:lang w:eastAsia="en-MY"/>
        </w:rPr>
        <w:t>1.1</w:t>
      </w:r>
      <w:r w:rsidR="00666029" w:rsidRPr="007F1F01">
        <w:rPr>
          <w:rFonts w:eastAsia="Times New Roman" w:cs="Times New Roman"/>
          <w:b w:val="0"/>
          <w:color w:val="000000"/>
          <w:szCs w:val="24"/>
          <w:lang w:eastAsia="en-MY"/>
        </w:rPr>
        <w:t>C</w:t>
      </w:r>
      <w:r w:rsidR="00666029" w:rsidRPr="007F1F01">
        <w:rPr>
          <w:rFonts w:eastAsia="Times New Roman" w:cs="Times New Roman"/>
          <w:b w:val="0"/>
          <w:color w:val="000000"/>
          <w:szCs w:val="24"/>
          <w:vertAlign w:val="subscript"/>
          <w:lang w:eastAsia="en-MY"/>
        </w:rPr>
        <w:t>3</w:t>
      </w:r>
      <w:r w:rsidR="00666029" w:rsidRPr="007F1F01">
        <w:rPr>
          <w:rFonts w:eastAsia="Times New Roman" w:cs="Times New Roman"/>
          <w:b w:val="0"/>
          <w:color w:val="000000"/>
          <w:szCs w:val="24"/>
          <w:lang w:eastAsia="en-MY"/>
        </w:rPr>
        <w:t>A</w:t>
      </w:r>
      <w:r w:rsidR="00666029" w:rsidRPr="007F1F01">
        <w:rPr>
          <w:rFonts w:eastAsia="Times New Roman" w:cs="Times New Roman"/>
          <w:b w:val="0"/>
          <w:color w:val="000000"/>
          <w:szCs w:val="24"/>
          <w:vertAlign w:val="subscript"/>
          <w:lang w:eastAsia="en-MY"/>
        </w:rPr>
        <w:t>7.5</w:t>
      </w:r>
      <w:r w:rsidR="00666029" w:rsidRPr="007F1F01">
        <w:rPr>
          <w:rFonts w:eastAsia="Times New Roman" w:cs="Times New Roman"/>
          <w:b w:val="0"/>
          <w:color w:val="000000"/>
          <w:szCs w:val="24"/>
          <w:lang w:eastAsia="en-MY"/>
        </w:rPr>
        <w:t>B</w:t>
      </w:r>
      <w:r w:rsidR="00666029" w:rsidRPr="007F1F01">
        <w:rPr>
          <w:rFonts w:eastAsia="Times New Roman" w:cs="Times New Roman"/>
          <w:b w:val="0"/>
          <w:color w:val="000000"/>
          <w:szCs w:val="24"/>
          <w:vertAlign w:val="subscript"/>
          <w:lang w:eastAsia="en-MY"/>
        </w:rPr>
        <w:t>7.6</w:t>
      </w:r>
      <w:r w:rsidR="00666029" w:rsidRPr="007F1F01">
        <w:rPr>
          <w:rFonts w:eastAsia="Times New Roman" w:cs="Times New Roman"/>
          <w:b w:val="0"/>
          <w:color w:val="000000"/>
          <w:szCs w:val="24"/>
          <w:lang w:eastAsia="en-MY"/>
        </w:rPr>
        <w:t>S</w:t>
      </w:r>
      <w:r w:rsidR="00666029" w:rsidRPr="007F1F01">
        <w:rPr>
          <w:rFonts w:eastAsia="Times New Roman" w:cs="Times New Roman"/>
          <w:b w:val="0"/>
          <w:color w:val="000000"/>
          <w:szCs w:val="24"/>
          <w:vertAlign w:val="subscript"/>
          <w:lang w:eastAsia="en-MY"/>
        </w:rPr>
        <w:t>73.2</w:t>
      </w:r>
      <w:r w:rsidR="00666029" w:rsidRPr="007F1F01">
        <w:rPr>
          <w:rFonts w:eastAsia="Times New Roman" w:cs="Times New Roman"/>
          <w:b w:val="0"/>
          <w:color w:val="000000"/>
          <w:szCs w:val="24"/>
          <w:lang w:eastAsia="en-MY"/>
        </w:rPr>
        <w:t>)</w:t>
      </w:r>
      <w:r w:rsidR="00666029">
        <w:rPr>
          <w:rFonts w:eastAsia="Times New Roman" w:cs="Times New Roman"/>
          <w:b w:val="0"/>
          <w:color w:val="000000"/>
          <w:szCs w:val="24"/>
          <w:lang w:eastAsia="en-MY"/>
        </w:rPr>
        <w:t xml:space="preserve"> </w:t>
      </w:r>
      <w:r w:rsidR="00666029">
        <w:rPr>
          <w:rFonts w:asciiTheme="majorBidi" w:hAnsiTheme="majorBidi" w:cstheme="majorBidi"/>
          <w:b w:val="0"/>
          <w:szCs w:val="24"/>
        </w:rPr>
        <w:t xml:space="preserve">with 94 % compared to glass </w:t>
      </w:r>
      <w:r w:rsidR="00666029" w:rsidRPr="00713F4C">
        <w:rPr>
          <w:rFonts w:eastAsia="Times New Roman" w:cs="Times New Roman"/>
          <w:b w:val="0"/>
          <w:color w:val="000000"/>
          <w:szCs w:val="24"/>
          <w:lang w:eastAsia="en-MY"/>
        </w:rPr>
        <w:t>N</w:t>
      </w:r>
      <w:r w:rsidR="00666029" w:rsidRPr="00713F4C">
        <w:rPr>
          <w:rFonts w:eastAsia="Times New Roman" w:cs="Times New Roman"/>
          <w:b w:val="0"/>
          <w:color w:val="000000"/>
          <w:szCs w:val="24"/>
          <w:vertAlign w:val="subscript"/>
          <w:lang w:eastAsia="en-MY"/>
        </w:rPr>
        <w:t>7.6</w:t>
      </w:r>
      <w:r w:rsidR="00666029" w:rsidRPr="00713F4C">
        <w:rPr>
          <w:rFonts w:eastAsia="Times New Roman" w:cs="Times New Roman"/>
          <w:b w:val="0"/>
          <w:color w:val="000000"/>
          <w:szCs w:val="24"/>
          <w:lang w:eastAsia="en-MY"/>
        </w:rPr>
        <w:t>M</w:t>
      </w:r>
      <w:r w:rsidR="00666029" w:rsidRPr="00713F4C">
        <w:rPr>
          <w:rFonts w:eastAsia="Times New Roman" w:cs="Times New Roman"/>
          <w:b w:val="0"/>
          <w:color w:val="000000"/>
          <w:szCs w:val="24"/>
          <w:vertAlign w:val="subscript"/>
          <w:lang w:eastAsia="en-MY"/>
        </w:rPr>
        <w:t>1.1</w:t>
      </w:r>
      <w:r w:rsidR="00666029" w:rsidRPr="00713F4C">
        <w:rPr>
          <w:rFonts w:eastAsia="Times New Roman" w:cs="Times New Roman"/>
          <w:b w:val="0"/>
          <w:color w:val="000000"/>
          <w:szCs w:val="24"/>
          <w:lang w:eastAsia="en-MY"/>
        </w:rPr>
        <w:t>C</w:t>
      </w:r>
      <w:r w:rsidR="00666029" w:rsidRPr="00713F4C">
        <w:rPr>
          <w:rFonts w:eastAsia="Times New Roman" w:cs="Times New Roman"/>
          <w:b w:val="0"/>
          <w:color w:val="000000"/>
          <w:szCs w:val="24"/>
          <w:vertAlign w:val="subscript"/>
          <w:lang w:eastAsia="en-MY"/>
        </w:rPr>
        <w:t>3</w:t>
      </w:r>
      <w:r w:rsidR="00666029" w:rsidRPr="00713F4C">
        <w:rPr>
          <w:rFonts w:eastAsia="Times New Roman" w:cs="Times New Roman"/>
          <w:b w:val="0"/>
          <w:color w:val="000000"/>
          <w:szCs w:val="24"/>
          <w:lang w:eastAsia="en-MY"/>
        </w:rPr>
        <w:t>A</w:t>
      </w:r>
      <w:r w:rsidR="00666029" w:rsidRPr="00713F4C">
        <w:rPr>
          <w:rFonts w:eastAsia="Times New Roman" w:cs="Times New Roman"/>
          <w:b w:val="0"/>
          <w:color w:val="000000"/>
          <w:szCs w:val="24"/>
          <w:vertAlign w:val="subscript"/>
          <w:lang w:eastAsia="en-MY"/>
        </w:rPr>
        <w:t>2.5</w:t>
      </w:r>
      <w:r w:rsidR="00666029" w:rsidRPr="00713F4C">
        <w:rPr>
          <w:rFonts w:eastAsia="Times New Roman" w:cs="Times New Roman"/>
          <w:b w:val="0"/>
          <w:color w:val="000000"/>
          <w:szCs w:val="24"/>
          <w:lang w:eastAsia="en-MY"/>
        </w:rPr>
        <w:t>B</w:t>
      </w:r>
      <w:r w:rsidR="00666029" w:rsidRPr="00713F4C">
        <w:rPr>
          <w:rFonts w:eastAsia="Times New Roman" w:cs="Times New Roman"/>
          <w:b w:val="0"/>
          <w:color w:val="000000"/>
          <w:szCs w:val="24"/>
          <w:vertAlign w:val="subscript"/>
          <w:lang w:eastAsia="en-MY"/>
        </w:rPr>
        <w:t>7.6</w:t>
      </w:r>
      <w:r w:rsidR="00666029" w:rsidRPr="00713F4C">
        <w:rPr>
          <w:rFonts w:eastAsia="Times New Roman" w:cs="Times New Roman"/>
          <w:b w:val="0"/>
          <w:color w:val="000000"/>
          <w:szCs w:val="24"/>
          <w:lang w:eastAsia="en-MY"/>
        </w:rPr>
        <w:t>S</w:t>
      </w:r>
      <w:r w:rsidR="00666029" w:rsidRPr="00713F4C">
        <w:rPr>
          <w:rFonts w:eastAsia="Times New Roman" w:cs="Times New Roman"/>
          <w:b w:val="0"/>
          <w:color w:val="000000"/>
          <w:szCs w:val="24"/>
          <w:vertAlign w:val="subscript"/>
          <w:lang w:eastAsia="en-MY"/>
        </w:rPr>
        <w:t>78.2</w:t>
      </w:r>
      <w:r w:rsidR="00666029" w:rsidRPr="008C4799">
        <w:rPr>
          <w:rFonts w:eastAsia="Times New Roman" w:cs="Times New Roman"/>
          <w:color w:val="000000"/>
          <w:sz w:val="16"/>
          <w:szCs w:val="16"/>
          <w:lang w:eastAsia="en-MY"/>
        </w:rPr>
        <w:t xml:space="preserve"> </w:t>
      </w:r>
      <w:r w:rsidR="00666029">
        <w:rPr>
          <w:rFonts w:asciiTheme="majorBidi" w:hAnsiTheme="majorBidi" w:cstheme="majorBidi"/>
          <w:b w:val="0"/>
          <w:szCs w:val="24"/>
        </w:rPr>
        <w:t xml:space="preserve"> with 95 %. </w:t>
      </w:r>
      <w:r w:rsidR="00666029" w:rsidRPr="000E2377">
        <w:rPr>
          <w:rFonts w:asciiTheme="majorBidi" w:hAnsiTheme="majorBidi" w:cstheme="majorBidi"/>
          <w:b w:val="0"/>
          <w:szCs w:val="24"/>
        </w:rPr>
        <w:t xml:space="preserve">Overall the </w:t>
      </w:r>
      <w:proofErr w:type="spellStart"/>
      <w:r w:rsidR="00666029" w:rsidRPr="000E2377">
        <w:rPr>
          <w:rFonts w:asciiTheme="majorBidi" w:hAnsiTheme="majorBidi" w:cstheme="majorBidi"/>
          <w:b w:val="0"/>
          <w:szCs w:val="24"/>
        </w:rPr>
        <w:t>T</w:t>
      </w:r>
      <w:r w:rsidR="00666029" w:rsidRPr="000E2377">
        <w:rPr>
          <w:rFonts w:asciiTheme="majorBidi" w:hAnsiTheme="majorBidi" w:cstheme="majorBidi"/>
          <w:b w:val="0"/>
          <w:i/>
          <w:szCs w:val="24"/>
          <w:vertAlign w:val="subscript"/>
        </w:rPr>
        <w:t>g</w:t>
      </w:r>
      <w:proofErr w:type="spellEnd"/>
      <w:r w:rsidR="00666029" w:rsidRPr="000E2377">
        <w:rPr>
          <w:rFonts w:asciiTheme="majorBidi" w:hAnsiTheme="majorBidi" w:cstheme="majorBidi"/>
          <w:b w:val="0"/>
          <w:i/>
          <w:szCs w:val="24"/>
        </w:rPr>
        <w:t xml:space="preserve"> </w:t>
      </w:r>
      <w:r w:rsidR="00666029" w:rsidRPr="000E2377">
        <w:rPr>
          <w:rFonts w:asciiTheme="majorBidi" w:hAnsiTheme="majorBidi" w:cstheme="majorBidi"/>
          <w:b w:val="0"/>
          <w:szCs w:val="24"/>
        </w:rPr>
        <w:t>value shows an increasing value with increasing Al</w:t>
      </w:r>
      <w:r w:rsidR="00666029" w:rsidRPr="000E2377">
        <w:rPr>
          <w:rFonts w:asciiTheme="majorBidi" w:hAnsiTheme="majorBidi" w:cstheme="majorBidi"/>
          <w:b w:val="0"/>
          <w:szCs w:val="24"/>
          <w:vertAlign w:val="subscript"/>
        </w:rPr>
        <w:t>2</w:t>
      </w:r>
      <w:r w:rsidR="00666029" w:rsidRPr="000E2377">
        <w:rPr>
          <w:rFonts w:asciiTheme="majorBidi" w:hAnsiTheme="majorBidi" w:cstheme="majorBidi"/>
          <w:b w:val="0"/>
          <w:szCs w:val="24"/>
        </w:rPr>
        <w:t>O</w:t>
      </w:r>
      <w:r w:rsidR="00666029" w:rsidRPr="000E2377">
        <w:rPr>
          <w:rFonts w:asciiTheme="majorBidi" w:hAnsiTheme="majorBidi" w:cstheme="majorBidi"/>
          <w:b w:val="0"/>
          <w:szCs w:val="24"/>
          <w:vertAlign w:val="subscript"/>
        </w:rPr>
        <w:t>3</w:t>
      </w:r>
      <w:r w:rsidR="00666029" w:rsidRPr="000E2377">
        <w:rPr>
          <w:rFonts w:asciiTheme="majorBidi" w:hAnsiTheme="majorBidi" w:cstheme="majorBidi"/>
          <w:b w:val="0"/>
          <w:szCs w:val="24"/>
        </w:rPr>
        <w:t>/(Al</w:t>
      </w:r>
      <w:r w:rsidR="00666029" w:rsidRPr="000E2377">
        <w:rPr>
          <w:rFonts w:asciiTheme="majorBidi" w:hAnsiTheme="majorBidi" w:cstheme="majorBidi"/>
          <w:b w:val="0"/>
          <w:szCs w:val="24"/>
          <w:vertAlign w:val="subscript"/>
        </w:rPr>
        <w:t>2</w:t>
      </w:r>
      <w:r w:rsidR="00666029" w:rsidRPr="000E2377">
        <w:rPr>
          <w:rFonts w:asciiTheme="majorBidi" w:hAnsiTheme="majorBidi" w:cstheme="majorBidi"/>
          <w:b w:val="0"/>
          <w:szCs w:val="24"/>
        </w:rPr>
        <w:t>O</w:t>
      </w:r>
      <w:r w:rsidR="00666029" w:rsidRPr="000E2377">
        <w:rPr>
          <w:rFonts w:asciiTheme="majorBidi" w:hAnsiTheme="majorBidi" w:cstheme="majorBidi"/>
          <w:b w:val="0"/>
          <w:szCs w:val="24"/>
          <w:vertAlign w:val="subscript"/>
        </w:rPr>
        <w:t>3</w:t>
      </w:r>
      <w:r w:rsidR="00666029" w:rsidRPr="000E2377">
        <w:rPr>
          <w:rFonts w:asciiTheme="majorBidi" w:hAnsiTheme="majorBidi" w:cstheme="majorBidi"/>
          <w:b w:val="0"/>
          <w:szCs w:val="24"/>
        </w:rPr>
        <w:t>+SiO</w:t>
      </w:r>
      <w:r w:rsidR="00666029" w:rsidRPr="000E2377">
        <w:rPr>
          <w:rFonts w:asciiTheme="majorBidi" w:hAnsiTheme="majorBidi" w:cstheme="majorBidi"/>
          <w:b w:val="0"/>
          <w:szCs w:val="24"/>
          <w:vertAlign w:val="subscript"/>
        </w:rPr>
        <w:t>2</w:t>
      </w:r>
      <w:r w:rsidR="00666029" w:rsidRPr="000E2377">
        <w:rPr>
          <w:rFonts w:asciiTheme="majorBidi" w:hAnsiTheme="majorBidi" w:cstheme="majorBidi"/>
          <w:b w:val="0"/>
          <w:szCs w:val="24"/>
        </w:rPr>
        <w:t>+B</w:t>
      </w:r>
      <w:r w:rsidR="00666029" w:rsidRPr="000E2377">
        <w:rPr>
          <w:rFonts w:asciiTheme="majorBidi" w:hAnsiTheme="majorBidi" w:cstheme="majorBidi"/>
          <w:b w:val="0"/>
          <w:szCs w:val="24"/>
          <w:vertAlign w:val="subscript"/>
        </w:rPr>
        <w:t>2</w:t>
      </w:r>
      <w:r w:rsidR="00666029" w:rsidRPr="000E2377">
        <w:rPr>
          <w:rFonts w:asciiTheme="majorBidi" w:hAnsiTheme="majorBidi" w:cstheme="majorBidi"/>
          <w:b w:val="0"/>
          <w:szCs w:val="24"/>
        </w:rPr>
        <w:t>O</w:t>
      </w:r>
      <w:r w:rsidR="00666029" w:rsidRPr="000E2377">
        <w:rPr>
          <w:rFonts w:asciiTheme="majorBidi" w:hAnsiTheme="majorBidi" w:cstheme="majorBidi"/>
          <w:b w:val="0"/>
          <w:szCs w:val="24"/>
          <w:vertAlign w:val="subscript"/>
        </w:rPr>
        <w:t>3</w:t>
      </w:r>
      <w:r w:rsidR="00666029" w:rsidRPr="000E2377">
        <w:rPr>
          <w:rFonts w:asciiTheme="majorBidi" w:hAnsiTheme="majorBidi" w:cstheme="majorBidi"/>
          <w:b w:val="0"/>
          <w:szCs w:val="24"/>
        </w:rPr>
        <w:t xml:space="preserve">) ratio indicating that </w:t>
      </w:r>
      <w:proofErr w:type="spellStart"/>
      <w:r w:rsidR="00666029" w:rsidRPr="000E2377">
        <w:rPr>
          <w:rFonts w:asciiTheme="majorBidi" w:hAnsiTheme="majorBidi" w:cstheme="majorBidi"/>
          <w:b w:val="0"/>
          <w:szCs w:val="24"/>
        </w:rPr>
        <w:t>Al</w:t>
      </w:r>
      <w:r w:rsidR="00666029" w:rsidRPr="000E2377">
        <w:rPr>
          <w:rFonts w:asciiTheme="majorBidi" w:hAnsiTheme="majorBidi" w:cstheme="majorBidi"/>
          <w:b w:val="0"/>
          <w:szCs w:val="24"/>
          <w:vertAlign w:val="superscript"/>
        </w:rPr>
        <w:t>IV</w:t>
      </w:r>
      <w:proofErr w:type="spellEnd"/>
      <w:r w:rsidR="00666029" w:rsidRPr="000E2377">
        <w:rPr>
          <w:rFonts w:asciiTheme="majorBidi" w:hAnsiTheme="majorBidi" w:cstheme="majorBidi"/>
          <w:b w:val="0"/>
          <w:szCs w:val="24"/>
          <w:vertAlign w:val="superscript"/>
        </w:rPr>
        <w:t xml:space="preserve"> </w:t>
      </w:r>
      <w:r w:rsidR="00666029" w:rsidRPr="000E2377">
        <w:rPr>
          <w:rFonts w:asciiTheme="majorBidi" w:hAnsiTheme="majorBidi" w:cstheme="majorBidi"/>
          <w:b w:val="0"/>
          <w:szCs w:val="24"/>
        </w:rPr>
        <w:t>tetrahedra</w:t>
      </w:r>
      <w:r w:rsidR="00666029" w:rsidRPr="000E2377">
        <w:rPr>
          <w:rFonts w:asciiTheme="majorBidi" w:hAnsiTheme="majorBidi" w:cstheme="majorBidi"/>
          <w:b w:val="0"/>
          <w:szCs w:val="24"/>
          <w:vertAlign w:val="superscript"/>
        </w:rPr>
        <w:t xml:space="preserve"> </w:t>
      </w:r>
      <w:r w:rsidR="00666029" w:rsidRPr="000E2377">
        <w:rPr>
          <w:rFonts w:asciiTheme="majorBidi" w:hAnsiTheme="majorBidi" w:cstheme="majorBidi"/>
          <w:b w:val="0"/>
          <w:szCs w:val="24"/>
        </w:rPr>
        <w:t xml:space="preserve">increased in peralkaline compositions </w:t>
      </w:r>
      <w:r w:rsidR="00666029" w:rsidRPr="000E2377">
        <w:rPr>
          <w:rFonts w:asciiTheme="majorBidi" w:hAnsiTheme="majorBidi" w:cstheme="majorBidi"/>
          <w:b w:val="0"/>
          <w:szCs w:val="24"/>
        </w:rPr>
        <w:fldChar w:fldCharType="begin" w:fldLock="1"/>
      </w:r>
      <w:r w:rsidR="00666029" w:rsidRPr="000E2377">
        <w:rPr>
          <w:rFonts w:asciiTheme="majorBidi" w:hAnsiTheme="majorBidi" w:cstheme="majorBidi"/>
          <w:b w:val="0"/>
          <w:szCs w:val="24"/>
        </w:rPr>
        <w:instrText>ADDIN CSL_CITATION { "citationItems" : [ { "id" : "ITEM-1", "itemData" : { "DOI" : "10.1103/PhysRevB.86.054203", "ISSN" : "1098-0121", "author" : [ { "dropping-particle" : "", "family" : "Zheng", "given" : "Q. J.", "non-dropping-particle" : "", "parse-names" : false, "suffix" : "" }, { "dropping-particle" : "", "family" : "Youngman", "given" : "R. E.", "non-dropping-particle" : "", "parse-names" : false, "suffix" : "" }, { "dropping-particle" : "", "family" : "Hogue", "given" : "C. L.", "non-dropping-particle" : "", "parse-names" : false, "suffix" : "" }, { "dropping-particle" : "", "family" : "Mauro", "given" : "J. C.", "non-dropping-particle" : "", "parse-names" : false, "suffix" : "" }, { "dropping-particle" : "", "family" : "Potuzak", "given" : "M.", "non-dropping-particle" : "", "parse-names" : false, "suffix" : "" }, { "dropping-particle" : "", "family" : "Smedskjaer", "given" : "M. M.", "non-dropping-particle" : "", "parse-names" : false, "suffix" : "" }, { "dropping-particle" : "", "family" : "Yue", "given" : "Y. Z.", "non-dropping-particle" : "", "parse-names" : false, "suffix" : "" } ], "container-title" : "Physical Review B", "id" : "ITEM-1", "issue" : "5", "issued" : { "date-parts" : [ [ "2012", "8" ] ] }, "page" : "054203", "title" : "Structure of boroaluminosilicate glasses: Impact of [Al2O3]/[SiO2] ratio on the structural role of sodium", "type" : "article-journal", "volume" : "86" }, "uris" : [ "http://www.mendeley.com/documents/?uuid=f6cfc0d4-ec89-4c18-843d-e1e63022faaf" ] } ], "mendeley" : { "formattedCitation" : "(Q. J. Zheng et al., 2012)", "manualFormatting" : "(Zheng et al., 2012)", "plainTextFormattedCitation" : "(Q. J. Zheng et al., 2012)", "previouslyFormattedCitation" : "(Q. J. Zheng et al., 2012)" }, "properties" : { "noteIndex" : 0 }, "schema" : "https://github.com/citation-style-language/schema/raw/master/csl-citation.json" }</w:instrText>
      </w:r>
      <w:r w:rsidR="00666029" w:rsidRPr="000E2377">
        <w:rPr>
          <w:rFonts w:asciiTheme="majorBidi" w:hAnsiTheme="majorBidi" w:cstheme="majorBidi"/>
          <w:b w:val="0"/>
          <w:szCs w:val="24"/>
        </w:rPr>
        <w:fldChar w:fldCharType="separate"/>
      </w:r>
      <w:r w:rsidR="00666029" w:rsidRPr="000E2377">
        <w:rPr>
          <w:rFonts w:asciiTheme="majorBidi" w:hAnsiTheme="majorBidi" w:cstheme="majorBidi"/>
          <w:b w:val="0"/>
          <w:noProof/>
          <w:szCs w:val="24"/>
        </w:rPr>
        <w:t>(Zheng et al., 2012)</w:t>
      </w:r>
      <w:r w:rsidR="00666029" w:rsidRPr="000E2377">
        <w:rPr>
          <w:rFonts w:asciiTheme="majorBidi" w:hAnsiTheme="majorBidi" w:cstheme="majorBidi"/>
          <w:b w:val="0"/>
          <w:szCs w:val="24"/>
        </w:rPr>
        <w:fldChar w:fldCharType="end"/>
      </w:r>
      <w:r w:rsidR="00666029" w:rsidRPr="000E2377">
        <w:rPr>
          <w:rFonts w:asciiTheme="majorBidi" w:hAnsiTheme="majorBidi" w:cstheme="majorBidi"/>
          <w:b w:val="0"/>
          <w:szCs w:val="24"/>
        </w:rPr>
        <w:t xml:space="preserve">. </w:t>
      </w:r>
      <w:r w:rsidR="00666029" w:rsidRPr="000E2377">
        <w:rPr>
          <w:rFonts w:cs="Times New Roman"/>
          <w:b w:val="0"/>
          <w:szCs w:val="24"/>
        </w:rPr>
        <w:t xml:space="preserve">As from the literature, network modifiers in the composition tend to charge compensate and stabilize Al to produce </w:t>
      </w:r>
      <w:proofErr w:type="spellStart"/>
      <w:r w:rsidR="00666029" w:rsidRPr="000E2377">
        <w:rPr>
          <w:rFonts w:cs="Times New Roman"/>
          <w:b w:val="0"/>
          <w:szCs w:val="24"/>
        </w:rPr>
        <w:t>Al</w:t>
      </w:r>
      <w:r w:rsidR="00666029" w:rsidRPr="000E2377">
        <w:rPr>
          <w:rFonts w:cs="Times New Roman"/>
          <w:b w:val="0"/>
          <w:szCs w:val="24"/>
          <w:vertAlign w:val="superscript"/>
        </w:rPr>
        <w:t>IV</w:t>
      </w:r>
      <w:proofErr w:type="spellEnd"/>
      <w:r w:rsidR="00666029" w:rsidRPr="000E2377">
        <w:rPr>
          <w:rFonts w:cs="Times New Roman"/>
          <w:b w:val="0"/>
          <w:szCs w:val="24"/>
        </w:rPr>
        <w:t xml:space="preserve"> </w:t>
      </w:r>
      <w:r w:rsidR="00666029" w:rsidRPr="000E2377">
        <w:rPr>
          <w:rFonts w:asciiTheme="majorBidi" w:hAnsiTheme="majorBidi" w:cstheme="majorBidi"/>
          <w:b w:val="0"/>
          <w:szCs w:val="24"/>
        </w:rPr>
        <w:t xml:space="preserve">or converting boron from trigonal group to </w:t>
      </w:r>
      <w:r w:rsidR="008C4D01">
        <w:rPr>
          <w:rFonts w:asciiTheme="majorBidi" w:hAnsiTheme="majorBidi" w:cstheme="majorBidi"/>
          <w:b w:val="0"/>
          <w:szCs w:val="24"/>
        </w:rPr>
        <w:t xml:space="preserve">the </w:t>
      </w:r>
      <w:r w:rsidR="00666029" w:rsidRPr="000E2377">
        <w:rPr>
          <w:rFonts w:asciiTheme="majorBidi" w:hAnsiTheme="majorBidi" w:cstheme="majorBidi"/>
          <w:b w:val="0"/>
          <w:szCs w:val="24"/>
        </w:rPr>
        <w:t xml:space="preserve">tetrahedral group </w:t>
      </w:r>
      <w:r w:rsidR="00666029" w:rsidRPr="000E2377">
        <w:rPr>
          <w:rFonts w:asciiTheme="majorBidi" w:hAnsiTheme="majorBidi" w:cstheme="majorBidi"/>
          <w:b w:val="0"/>
          <w:szCs w:val="24"/>
        </w:rPr>
        <w:fldChar w:fldCharType="begin" w:fldLock="1"/>
      </w:r>
      <w:r w:rsidR="00666029" w:rsidRPr="000E2377">
        <w:rPr>
          <w:rFonts w:asciiTheme="majorBidi" w:hAnsiTheme="majorBidi" w:cstheme="majorBidi"/>
          <w:b w:val="0"/>
          <w:szCs w:val="24"/>
        </w:rPr>
        <w:instrText>ADDIN CSL_CITATION { "citationItems" : [ { "id" : "ITEM-1", "itemData" : { "DOI" : "10.1103/PhysRevB.86.054203", "ISSN" : "1098-0121", "author" : [ { "dropping-particle" : "", "family" : "Zheng", "given" : "Q. J.", "non-dropping-particle" : "", "parse-names" : false, "suffix" : "" }, { "dropping-particle" : "", "family" : "Youngman", "given" : "R. E.", "non-dropping-particle" : "", "parse-names" : false, "suffix" : "" }, { "dropping-particle" : "", "family" : "Hogue", "given" : "C. L.", "non-dropping-particle" : "", "parse-names" : false, "suffix" : "" }, { "dropping-particle" : "", "family" : "Mauro", "given" : "J. C.", "non-dropping-particle" : "", "parse-names" : false, "suffix" : "" }, { "dropping-particle" : "", "family" : "Potuzak", "given" : "M.", "non-dropping-particle" : "", "parse-names" : false, "suffix" : "" }, { "dropping-particle" : "", "family" : "Smedskjaer", "given" : "M. M.", "non-dropping-particle" : "", "parse-names" : false, "suffix" : "" }, { "dropping-particle" : "", "family" : "Yue", "given" : "Y. Z.", "non-dropping-particle" : "", "parse-names" : false, "suffix" : "" } ], "container-title" : "Physical Review B", "id" : "ITEM-1", "issue" : "5", "issued" : { "date-parts" : [ [ "2012", "8" ] ] }, "page" : "054203", "title" : "Structure of boroaluminosilicate glasses: Impact of [Al2O3]/[SiO2] ratio on the structural role of sodium", "type" : "article-journal", "volume" : "86" }, "uris" : [ "http://www.mendeley.com/documents/?uuid=f6cfc0d4-ec89-4c18-843d-e1e63022faaf" ] } ], "mendeley" : { "formattedCitation" : "(Q. J. Zheng et al., 2012)", "manualFormatting" : "(Zheng et al., 2012)", "plainTextFormattedCitation" : "(Q. J. Zheng et al., 2012)", "previouslyFormattedCitation" : "(Q. J. Zheng et al., 2012)" }, "properties" : { "noteIndex" : 0 }, "schema" : "https://github.com/citation-style-language/schema/raw/master/csl-citation.json" }</w:instrText>
      </w:r>
      <w:r w:rsidR="00666029" w:rsidRPr="000E2377">
        <w:rPr>
          <w:rFonts w:asciiTheme="majorBidi" w:hAnsiTheme="majorBidi" w:cstheme="majorBidi"/>
          <w:b w:val="0"/>
          <w:szCs w:val="24"/>
        </w:rPr>
        <w:fldChar w:fldCharType="separate"/>
      </w:r>
      <w:r w:rsidR="00666029" w:rsidRPr="000E2377">
        <w:rPr>
          <w:rFonts w:asciiTheme="majorBidi" w:hAnsiTheme="majorBidi" w:cstheme="majorBidi"/>
          <w:b w:val="0"/>
          <w:noProof/>
          <w:szCs w:val="24"/>
        </w:rPr>
        <w:t>(Zheng et al., 2012)</w:t>
      </w:r>
      <w:r w:rsidR="00666029" w:rsidRPr="000E2377">
        <w:rPr>
          <w:rFonts w:asciiTheme="majorBidi" w:hAnsiTheme="majorBidi" w:cstheme="majorBidi"/>
          <w:b w:val="0"/>
          <w:szCs w:val="24"/>
        </w:rPr>
        <w:fldChar w:fldCharType="end"/>
      </w:r>
      <w:r w:rsidR="00666029" w:rsidRPr="000E2377">
        <w:rPr>
          <w:rFonts w:asciiTheme="majorBidi" w:hAnsiTheme="majorBidi" w:cstheme="majorBidi"/>
          <w:b w:val="0"/>
          <w:szCs w:val="24"/>
        </w:rPr>
        <w:t xml:space="preserve">. </w:t>
      </w:r>
    </w:p>
    <w:p w14:paraId="7E6128AA" w14:textId="77777777" w:rsidR="00666029" w:rsidRPr="000E2377" w:rsidRDefault="00666029" w:rsidP="00666029">
      <w:pPr>
        <w:spacing w:line="360" w:lineRule="auto"/>
        <w:jc w:val="both"/>
        <w:rPr>
          <w:rFonts w:cs="Times New Roman"/>
          <w:b w:val="0"/>
          <w:szCs w:val="24"/>
        </w:rPr>
      </w:pPr>
      <w:r w:rsidRPr="000E2377">
        <w:rPr>
          <w:rFonts w:cs="Times New Roman"/>
          <w:b w:val="0"/>
          <w:szCs w:val="24"/>
        </w:rPr>
        <w:t>From the graph in Figure 5.</w:t>
      </w:r>
      <w:r w:rsidRPr="000E2377">
        <w:rPr>
          <w:rFonts w:cs="Times New Roman"/>
          <w:b w:val="0"/>
          <w:color w:val="000000" w:themeColor="text1"/>
          <w:szCs w:val="24"/>
        </w:rPr>
        <w:t xml:space="preserve">10e, polymerisation </w:t>
      </w:r>
      <w:r>
        <w:rPr>
          <w:rFonts w:cs="Times New Roman"/>
          <w:b w:val="0"/>
          <w:color w:val="000000" w:themeColor="text1"/>
          <w:szCs w:val="24"/>
        </w:rPr>
        <w:t>was a</w:t>
      </w:r>
      <w:r w:rsidRPr="000E2377">
        <w:rPr>
          <w:rFonts w:cs="Times New Roman"/>
          <w:b w:val="0"/>
          <w:color w:val="000000" w:themeColor="text1"/>
          <w:szCs w:val="24"/>
        </w:rPr>
        <w:t>ffect</w:t>
      </w:r>
      <w:r>
        <w:rPr>
          <w:rFonts w:cs="Times New Roman"/>
          <w:b w:val="0"/>
          <w:color w:val="000000" w:themeColor="text1"/>
          <w:szCs w:val="24"/>
        </w:rPr>
        <w:t>ed in different ways by</w:t>
      </w:r>
      <w:r w:rsidRPr="000E2377">
        <w:rPr>
          <w:rFonts w:cs="Times New Roman"/>
          <w:b w:val="0"/>
          <w:color w:val="000000" w:themeColor="text1"/>
          <w:szCs w:val="24"/>
        </w:rPr>
        <w:t xml:space="preserve"> </w:t>
      </w:r>
      <w:r>
        <w:rPr>
          <w:rFonts w:cs="Times New Roman"/>
          <w:b w:val="0"/>
          <w:color w:val="000000" w:themeColor="text1"/>
          <w:szCs w:val="24"/>
        </w:rPr>
        <w:t xml:space="preserve">the amount of </w:t>
      </w:r>
      <w:r w:rsidRPr="000E2377">
        <w:rPr>
          <w:rFonts w:cs="Times New Roman"/>
          <w:b w:val="0"/>
          <w:color w:val="000000" w:themeColor="text1"/>
          <w:szCs w:val="24"/>
        </w:rPr>
        <w:t xml:space="preserve">alumina </w:t>
      </w:r>
      <w:r>
        <w:rPr>
          <w:rFonts w:cs="Times New Roman"/>
          <w:b w:val="0"/>
          <w:color w:val="000000" w:themeColor="text1"/>
          <w:szCs w:val="24"/>
        </w:rPr>
        <w:t xml:space="preserve">in the different series. For the </w:t>
      </w:r>
      <w:r w:rsidRPr="0052527B">
        <w:rPr>
          <w:rFonts w:cs="Times New Roman"/>
          <w:b w:val="0"/>
          <w:color w:val="000000" w:themeColor="text1"/>
          <w:szCs w:val="24"/>
        </w:rPr>
        <w:t xml:space="preserve">series </w:t>
      </w:r>
      <w:r w:rsidRPr="0052527B">
        <w:rPr>
          <w:rFonts w:eastAsia="Times New Roman" w:cs="Times New Roman"/>
          <w:b w:val="0"/>
          <w:color w:val="000000"/>
          <w:szCs w:val="24"/>
          <w:lang w:eastAsia="en-MY"/>
        </w:rPr>
        <w:t>N</w:t>
      </w:r>
      <w:r w:rsidRPr="0052527B">
        <w:rPr>
          <w:rFonts w:eastAsia="Times New Roman" w:cs="Times New Roman"/>
          <w:b w:val="0"/>
          <w:color w:val="000000"/>
          <w:szCs w:val="24"/>
          <w:vertAlign w:val="subscript"/>
          <w:lang w:eastAsia="en-MY"/>
        </w:rPr>
        <w:t>7.6</w:t>
      </w:r>
      <w:r w:rsidRPr="0052527B">
        <w:rPr>
          <w:rFonts w:eastAsia="Times New Roman" w:cs="Times New Roman"/>
          <w:b w:val="0"/>
          <w:color w:val="000000"/>
          <w:szCs w:val="24"/>
          <w:lang w:eastAsia="en-MY"/>
        </w:rPr>
        <w:t>M</w:t>
      </w:r>
      <w:r w:rsidRPr="0052527B">
        <w:rPr>
          <w:rFonts w:eastAsia="Times New Roman" w:cs="Times New Roman"/>
          <w:b w:val="0"/>
          <w:color w:val="000000"/>
          <w:szCs w:val="24"/>
          <w:vertAlign w:val="subscript"/>
          <w:lang w:eastAsia="en-MY"/>
        </w:rPr>
        <w:t>1.1</w:t>
      </w:r>
      <w:r w:rsidRPr="0052527B">
        <w:rPr>
          <w:rFonts w:eastAsia="Times New Roman" w:cs="Times New Roman"/>
          <w:b w:val="0"/>
          <w:color w:val="000000"/>
          <w:szCs w:val="24"/>
          <w:lang w:eastAsia="en-MY"/>
        </w:rPr>
        <w:t>C</w:t>
      </w:r>
      <w:r w:rsidRPr="0052527B">
        <w:rPr>
          <w:rFonts w:eastAsia="Times New Roman" w:cs="Times New Roman"/>
          <w:b w:val="0"/>
          <w:color w:val="000000"/>
          <w:szCs w:val="24"/>
          <w:vertAlign w:val="subscript"/>
          <w:lang w:eastAsia="en-MY"/>
        </w:rPr>
        <w:t>3</w:t>
      </w:r>
      <w:r w:rsidRPr="0052527B">
        <w:rPr>
          <w:rFonts w:eastAsia="Times New Roman" w:cs="Times New Roman"/>
          <w:b w:val="0"/>
          <w:color w:val="000000"/>
          <w:szCs w:val="24"/>
          <w:lang w:eastAsia="en-MY"/>
        </w:rPr>
        <w:t>A</w:t>
      </w:r>
      <w:r w:rsidRPr="0052527B">
        <w:rPr>
          <w:rFonts w:eastAsia="Times New Roman" w:cs="Times New Roman"/>
          <w:b w:val="0"/>
          <w:color w:val="000000"/>
          <w:szCs w:val="24"/>
          <w:vertAlign w:val="subscript"/>
          <w:lang w:eastAsia="en-MY"/>
        </w:rPr>
        <w:t>x</w:t>
      </w:r>
      <w:r w:rsidRPr="0052527B">
        <w:rPr>
          <w:rFonts w:eastAsia="Times New Roman" w:cs="Times New Roman"/>
          <w:b w:val="0"/>
          <w:color w:val="000000"/>
          <w:szCs w:val="24"/>
          <w:lang w:eastAsia="en-MY"/>
        </w:rPr>
        <w:t>B</w:t>
      </w:r>
      <w:r w:rsidRPr="0052527B">
        <w:rPr>
          <w:rFonts w:eastAsia="Times New Roman" w:cs="Times New Roman"/>
          <w:b w:val="0"/>
          <w:color w:val="000000"/>
          <w:szCs w:val="24"/>
          <w:vertAlign w:val="subscript"/>
          <w:lang w:eastAsia="en-MY"/>
        </w:rPr>
        <w:t>7.6</w:t>
      </w:r>
      <w:r w:rsidRPr="0052527B">
        <w:rPr>
          <w:rFonts w:eastAsia="Times New Roman" w:cs="Times New Roman"/>
          <w:b w:val="0"/>
          <w:color w:val="000000"/>
          <w:szCs w:val="24"/>
          <w:lang w:eastAsia="en-MY"/>
        </w:rPr>
        <w:t>S</w:t>
      </w:r>
      <w:r w:rsidRPr="0052527B">
        <w:rPr>
          <w:rFonts w:eastAsia="Times New Roman" w:cs="Times New Roman"/>
          <w:b w:val="0"/>
          <w:color w:val="000000"/>
          <w:szCs w:val="24"/>
          <w:vertAlign w:val="subscript"/>
          <w:lang w:eastAsia="en-MY"/>
        </w:rPr>
        <w:t>80.7-x</w:t>
      </w:r>
      <w:r w:rsidRPr="000E2377">
        <w:rPr>
          <w:rFonts w:cs="Times New Roman"/>
          <w:b w:val="0"/>
          <w:szCs w:val="24"/>
        </w:rPr>
        <w:t xml:space="preserve"> increasing </w:t>
      </w:r>
      <w:r>
        <w:rPr>
          <w:rFonts w:cs="Times New Roman"/>
          <w:b w:val="0"/>
          <w:szCs w:val="24"/>
        </w:rPr>
        <w:t>the</w:t>
      </w:r>
      <w:r w:rsidRPr="000E2377">
        <w:rPr>
          <w:rFonts w:cs="Times New Roman"/>
          <w:b w:val="0"/>
          <w:szCs w:val="24"/>
        </w:rPr>
        <w:t xml:space="preserve"> alumina content in the composition, </w:t>
      </w:r>
      <w:r>
        <w:rPr>
          <w:rFonts w:cs="Times New Roman"/>
          <w:b w:val="0"/>
          <w:szCs w:val="24"/>
        </w:rPr>
        <w:t xml:space="preserve">firstly led to an increase in polymerisation </w:t>
      </w:r>
      <w:r>
        <w:rPr>
          <w:rFonts w:cs="Times New Roman"/>
          <w:b w:val="0"/>
          <w:color w:val="000000" w:themeColor="text1"/>
          <w:szCs w:val="24"/>
        </w:rPr>
        <w:t xml:space="preserve">then a decrease at the highest alumina content </w:t>
      </w:r>
      <w:r w:rsidRPr="002B1CDF">
        <w:rPr>
          <w:rFonts w:eastAsia="Times New Roman" w:cs="Times New Roman"/>
          <w:b w:val="0"/>
          <w:color w:val="000000"/>
          <w:szCs w:val="24"/>
          <w:lang w:eastAsia="en-MY"/>
        </w:rPr>
        <w:t>N</w:t>
      </w:r>
      <w:r w:rsidRPr="002B1CDF">
        <w:rPr>
          <w:rFonts w:eastAsia="Times New Roman" w:cs="Times New Roman"/>
          <w:b w:val="0"/>
          <w:color w:val="000000"/>
          <w:szCs w:val="24"/>
          <w:vertAlign w:val="subscript"/>
          <w:lang w:eastAsia="en-MY"/>
        </w:rPr>
        <w:t>7.6</w:t>
      </w:r>
      <w:r w:rsidRPr="002B1CDF">
        <w:rPr>
          <w:rFonts w:eastAsia="Times New Roman" w:cs="Times New Roman"/>
          <w:b w:val="0"/>
          <w:color w:val="000000"/>
          <w:szCs w:val="24"/>
          <w:lang w:eastAsia="en-MY"/>
        </w:rPr>
        <w:t>M</w:t>
      </w:r>
      <w:r w:rsidRPr="002B1CDF">
        <w:rPr>
          <w:rFonts w:eastAsia="Times New Roman" w:cs="Times New Roman"/>
          <w:b w:val="0"/>
          <w:color w:val="000000"/>
          <w:szCs w:val="24"/>
          <w:vertAlign w:val="subscript"/>
          <w:lang w:eastAsia="en-MY"/>
        </w:rPr>
        <w:t>1.1</w:t>
      </w:r>
      <w:r w:rsidRPr="002B1CDF">
        <w:rPr>
          <w:rFonts w:eastAsia="Times New Roman" w:cs="Times New Roman"/>
          <w:b w:val="0"/>
          <w:color w:val="000000"/>
          <w:szCs w:val="24"/>
          <w:lang w:eastAsia="en-MY"/>
        </w:rPr>
        <w:t>C</w:t>
      </w:r>
      <w:r w:rsidRPr="002B1CDF">
        <w:rPr>
          <w:rFonts w:eastAsia="Times New Roman" w:cs="Times New Roman"/>
          <w:b w:val="0"/>
          <w:color w:val="000000"/>
          <w:szCs w:val="24"/>
          <w:vertAlign w:val="subscript"/>
          <w:lang w:eastAsia="en-MY"/>
        </w:rPr>
        <w:t>3</w:t>
      </w:r>
      <w:r w:rsidRPr="002B1CDF">
        <w:rPr>
          <w:rFonts w:eastAsia="Times New Roman" w:cs="Times New Roman"/>
          <w:b w:val="0"/>
          <w:color w:val="000000"/>
          <w:szCs w:val="24"/>
          <w:lang w:eastAsia="en-MY"/>
        </w:rPr>
        <w:t>A</w:t>
      </w:r>
      <w:r w:rsidRPr="002B1CDF">
        <w:rPr>
          <w:rFonts w:eastAsia="Times New Roman" w:cs="Times New Roman"/>
          <w:b w:val="0"/>
          <w:color w:val="000000"/>
          <w:szCs w:val="24"/>
          <w:vertAlign w:val="subscript"/>
          <w:lang w:eastAsia="en-MY"/>
        </w:rPr>
        <w:t>7.5</w:t>
      </w:r>
      <w:r w:rsidRPr="002B1CDF">
        <w:rPr>
          <w:rFonts w:eastAsia="Times New Roman" w:cs="Times New Roman"/>
          <w:b w:val="0"/>
          <w:color w:val="000000"/>
          <w:szCs w:val="24"/>
          <w:lang w:eastAsia="en-MY"/>
        </w:rPr>
        <w:t>B</w:t>
      </w:r>
      <w:r w:rsidRPr="002B1CDF">
        <w:rPr>
          <w:rFonts w:eastAsia="Times New Roman" w:cs="Times New Roman"/>
          <w:b w:val="0"/>
          <w:color w:val="000000"/>
          <w:szCs w:val="24"/>
          <w:vertAlign w:val="subscript"/>
          <w:lang w:eastAsia="en-MY"/>
        </w:rPr>
        <w:t>7.6</w:t>
      </w:r>
      <w:r w:rsidRPr="002B1CDF">
        <w:rPr>
          <w:rFonts w:eastAsia="Times New Roman" w:cs="Times New Roman"/>
          <w:b w:val="0"/>
          <w:color w:val="000000"/>
          <w:szCs w:val="24"/>
          <w:lang w:eastAsia="en-MY"/>
        </w:rPr>
        <w:t>S</w:t>
      </w:r>
      <w:r w:rsidRPr="002B1CDF">
        <w:rPr>
          <w:rFonts w:eastAsia="Times New Roman" w:cs="Times New Roman"/>
          <w:b w:val="0"/>
          <w:color w:val="000000"/>
          <w:szCs w:val="24"/>
          <w:vertAlign w:val="subscript"/>
          <w:lang w:eastAsia="en-MY"/>
        </w:rPr>
        <w:t>73.2</w:t>
      </w:r>
      <w:r w:rsidRPr="002B1CDF">
        <w:rPr>
          <w:rFonts w:eastAsia="Times New Roman" w:cs="Times New Roman"/>
          <w:b w:val="0"/>
          <w:color w:val="000000"/>
          <w:szCs w:val="24"/>
          <w:lang w:eastAsia="en-MY"/>
        </w:rPr>
        <w:t>.</w:t>
      </w:r>
      <w:r w:rsidRPr="000E2377">
        <w:rPr>
          <w:rFonts w:cs="Times New Roman"/>
          <w:b w:val="0"/>
          <w:szCs w:val="24"/>
        </w:rPr>
        <w:t xml:space="preserve"> This </w:t>
      </w:r>
      <w:r>
        <w:rPr>
          <w:rFonts w:cs="Times New Roman"/>
          <w:b w:val="0"/>
          <w:szCs w:val="24"/>
        </w:rPr>
        <w:t xml:space="preserve">decrease in polymerisation at the highest alumina contents </w:t>
      </w:r>
      <w:r w:rsidRPr="000E2377">
        <w:rPr>
          <w:rFonts w:cs="Times New Roman"/>
          <w:b w:val="0"/>
          <w:szCs w:val="24"/>
        </w:rPr>
        <w:t xml:space="preserve">might </w:t>
      </w:r>
      <w:r>
        <w:rPr>
          <w:rFonts w:cs="Times New Roman"/>
          <w:b w:val="0"/>
          <w:szCs w:val="24"/>
        </w:rPr>
        <w:t xml:space="preserve">be </w:t>
      </w:r>
      <w:r w:rsidRPr="000E2377">
        <w:rPr>
          <w:rFonts w:cs="Times New Roman"/>
          <w:b w:val="0"/>
          <w:szCs w:val="24"/>
        </w:rPr>
        <w:t xml:space="preserve">due to the appearance of </w:t>
      </w:r>
      <w:r w:rsidRPr="004B72FE">
        <w:rPr>
          <w:rFonts w:cs="Times New Roman"/>
          <w:b w:val="0"/>
          <w:szCs w:val="24"/>
          <w:vertAlign w:val="superscript"/>
        </w:rPr>
        <w:t>III</w:t>
      </w:r>
      <w:r>
        <w:rPr>
          <w:rFonts w:cs="Times New Roman"/>
          <w:b w:val="0"/>
          <w:szCs w:val="24"/>
        </w:rPr>
        <w:t>B</w:t>
      </w:r>
      <w:r w:rsidRPr="000E2377">
        <w:rPr>
          <w:rFonts w:cs="Times New Roman"/>
          <w:b w:val="0"/>
          <w:szCs w:val="24"/>
        </w:rPr>
        <w:t xml:space="preserve"> in the structure</w:t>
      </w:r>
      <w:r>
        <w:rPr>
          <w:rFonts w:cs="Times New Roman"/>
          <w:b w:val="0"/>
          <w:szCs w:val="24"/>
        </w:rPr>
        <w:t xml:space="preserve"> (see Figure 4.25). Al</w:t>
      </w:r>
      <w:r w:rsidRPr="002C45E8">
        <w:rPr>
          <w:rFonts w:cs="Times New Roman"/>
          <w:b w:val="0"/>
          <w:szCs w:val="24"/>
          <w:vertAlign w:val="superscript"/>
        </w:rPr>
        <w:t>V</w:t>
      </w:r>
      <w:r>
        <w:rPr>
          <w:rFonts w:cs="Times New Roman"/>
          <w:b w:val="0"/>
          <w:szCs w:val="24"/>
        </w:rPr>
        <w:t xml:space="preserve"> evidence that Al</w:t>
      </w:r>
      <w:r w:rsidRPr="002C45E8">
        <w:rPr>
          <w:rFonts w:cs="Times New Roman"/>
          <w:b w:val="0"/>
          <w:szCs w:val="24"/>
          <w:vertAlign w:val="superscript"/>
        </w:rPr>
        <w:t>V</w:t>
      </w:r>
      <w:r>
        <w:rPr>
          <w:rFonts w:cs="Times New Roman"/>
          <w:b w:val="0"/>
          <w:szCs w:val="24"/>
        </w:rPr>
        <w:t xml:space="preserve"> is higher with high alumina contents as the </w:t>
      </w:r>
      <w:r w:rsidRPr="002C45E8">
        <w:rPr>
          <w:rFonts w:cs="Times New Roman"/>
          <w:b w:val="0"/>
          <w:szCs w:val="24"/>
          <w:vertAlign w:val="superscript"/>
        </w:rPr>
        <w:t>27</w:t>
      </w:r>
      <w:r>
        <w:rPr>
          <w:rFonts w:cs="Times New Roman"/>
          <w:b w:val="0"/>
          <w:szCs w:val="24"/>
        </w:rPr>
        <w:t>Al NMR peak present had similar intensities for all of the glasses measured (refer Figure 4.24). An</w:t>
      </w:r>
      <w:r w:rsidRPr="000E2377">
        <w:rPr>
          <w:rFonts w:cs="Times New Roman"/>
          <w:b w:val="0"/>
          <w:szCs w:val="24"/>
        </w:rPr>
        <w:t xml:space="preserve"> increas</w:t>
      </w:r>
      <w:r>
        <w:rPr>
          <w:rFonts w:cs="Times New Roman"/>
          <w:b w:val="0"/>
          <w:szCs w:val="24"/>
        </w:rPr>
        <w:t xml:space="preserve">e in the </w:t>
      </w:r>
      <w:r w:rsidRPr="000E2377">
        <w:rPr>
          <w:rFonts w:cs="Times New Roman"/>
          <w:b w:val="0"/>
          <w:szCs w:val="24"/>
        </w:rPr>
        <w:t>polymerization index</w:t>
      </w:r>
      <w:r>
        <w:rPr>
          <w:rFonts w:cs="Times New Roman"/>
          <w:b w:val="0"/>
          <w:szCs w:val="24"/>
        </w:rPr>
        <w:t xml:space="preserve"> indicates more cross-linking in</w:t>
      </w:r>
      <w:r w:rsidRPr="000E2377">
        <w:rPr>
          <w:rFonts w:cs="Times New Roman"/>
          <w:b w:val="0"/>
          <w:szCs w:val="24"/>
        </w:rPr>
        <w:t xml:space="preserve"> the composition</w:t>
      </w:r>
      <w:r>
        <w:rPr>
          <w:rFonts w:cs="Times New Roman"/>
          <w:b w:val="0"/>
          <w:szCs w:val="24"/>
        </w:rPr>
        <w:t xml:space="preserve"> thus giving an</w:t>
      </w:r>
      <w:r w:rsidRPr="000E2377">
        <w:rPr>
          <w:rFonts w:cs="Times New Roman"/>
          <w:b w:val="0"/>
          <w:szCs w:val="24"/>
        </w:rPr>
        <w:t xml:space="preserve"> increase </w:t>
      </w:r>
      <w:r>
        <w:rPr>
          <w:rFonts w:cs="Times New Roman"/>
          <w:b w:val="0"/>
          <w:szCs w:val="24"/>
        </w:rPr>
        <w:t xml:space="preserve">of </w:t>
      </w:r>
      <w:r w:rsidRPr="000E2377">
        <w:rPr>
          <w:rFonts w:cs="Times New Roman"/>
          <w:b w:val="0"/>
          <w:szCs w:val="24"/>
        </w:rPr>
        <w:t xml:space="preserve">glass transition </w:t>
      </w:r>
      <w:r>
        <w:rPr>
          <w:rFonts w:cs="Times New Roman"/>
          <w:b w:val="0"/>
          <w:szCs w:val="24"/>
        </w:rPr>
        <w:t>temperature. Meanwhile,</w:t>
      </w:r>
      <w:r w:rsidRPr="000E2377">
        <w:rPr>
          <w:rFonts w:cs="Times New Roman"/>
          <w:b w:val="0"/>
          <w:szCs w:val="24"/>
        </w:rPr>
        <w:t xml:space="preserve"> the appearance of Al</w:t>
      </w:r>
      <w:r w:rsidRPr="000E2377">
        <w:rPr>
          <w:rFonts w:cs="Times New Roman"/>
          <w:b w:val="0"/>
          <w:szCs w:val="24"/>
          <w:vertAlign w:val="superscript"/>
        </w:rPr>
        <w:t>V</w:t>
      </w:r>
      <w:r w:rsidRPr="000E2377">
        <w:rPr>
          <w:rFonts w:cs="Times New Roman"/>
          <w:b w:val="0"/>
          <w:szCs w:val="24"/>
        </w:rPr>
        <w:t xml:space="preserve"> </w:t>
      </w:r>
      <w:r>
        <w:rPr>
          <w:rFonts w:cs="Times New Roman"/>
          <w:b w:val="0"/>
          <w:szCs w:val="24"/>
        </w:rPr>
        <w:t xml:space="preserve">will produce more constraints than silica (it will remove four-fold coordination of silica when incorporated in the network) thus increasing </w:t>
      </w:r>
      <w:proofErr w:type="spellStart"/>
      <w:r>
        <w:rPr>
          <w:rFonts w:cs="Times New Roman"/>
          <w:b w:val="0"/>
          <w:szCs w:val="24"/>
        </w:rPr>
        <w:t>T</w:t>
      </w:r>
      <w:r w:rsidRPr="00D31B44">
        <w:rPr>
          <w:rFonts w:cs="Times New Roman"/>
          <w:b w:val="0"/>
          <w:i/>
          <w:szCs w:val="24"/>
          <w:vertAlign w:val="subscript"/>
        </w:rPr>
        <w:t>g</w:t>
      </w:r>
      <w:proofErr w:type="spellEnd"/>
      <w:r>
        <w:rPr>
          <w:rFonts w:cs="Times New Roman"/>
          <w:b w:val="0"/>
          <w:i/>
          <w:szCs w:val="24"/>
          <w:vertAlign w:val="subscript"/>
        </w:rPr>
        <w:t xml:space="preserve"> </w:t>
      </w:r>
      <w:r>
        <w:rPr>
          <w:rFonts w:cs="Times New Roman"/>
          <w:b w:val="0"/>
          <w:i/>
          <w:szCs w:val="24"/>
          <w:vertAlign w:val="subscript"/>
        </w:rPr>
        <w:fldChar w:fldCharType="begin" w:fldLock="1"/>
      </w:r>
      <w:r>
        <w:rPr>
          <w:rFonts w:cs="Times New Roman"/>
          <w:b w:val="0"/>
          <w:i/>
          <w:szCs w:val="24"/>
          <w:vertAlign w:val="subscript"/>
        </w:rPr>
        <w:instrText>ADDIN CSL_CITATION { "citationItems" : [ { "id" : "ITEM-1", "itemData" : { "DOI" : "10.1111/jace.12529", "ISSN" : "00027820", "author" : [ { "dropping-particle" : "", "family" : "Smedskjaer", "given" : "Morten M.", "non-dropping-particle" : "", "parse-names" : false, "suffix" : "" }, { "dropping-particle" : "", "family" : "Potuzak", "given" : "Marcel", "non-dropping-particle" : "", "parse-names" : false, "suffix" : "" } ], "container-title" : "Journal of the American Ceramic Society", "editor" : [ { "dropping-particle" : "", "family" : "Ching", "given" : "W.-Y.", "non-dropping-particle" : "", "parse-names" : false, "suffix" : "" } ], "id" : "ITEM-1", "issue" : "9", "issued" : { "date-parts" : [ [ "2013", "9", "17" ] ] }, "page" : "2831-2838", "title" : "Viscosity and Fragility of Alkaline-Earth Sodium Boroaluminosilicate Liquids", "type" : "article-journal", "volume" : "96" }, "uris" : [ "http://www.mendeley.com/documents/?uuid=04778052-8980-4744-b4c4-bcf85d21ff25" ] } ], "mendeley" : { "formattedCitation" : "(Smedskjaer &amp; Potuzak, 2013)", "plainTextFormattedCitation" : "(Smedskjaer &amp; Potuzak, 2013)", "previouslyFormattedCitation" : "(Smedskjaer &amp; Potuzak, 2013)" }, "properties" : { "noteIndex" : 113 }, "schema" : "https://github.com/citation-style-language/schema/raw/master/csl-citation.json" }</w:instrText>
      </w:r>
      <w:r>
        <w:rPr>
          <w:rFonts w:cs="Times New Roman"/>
          <w:b w:val="0"/>
          <w:i/>
          <w:szCs w:val="24"/>
          <w:vertAlign w:val="subscript"/>
        </w:rPr>
        <w:fldChar w:fldCharType="separate"/>
      </w:r>
      <w:r w:rsidRPr="00D31B44">
        <w:rPr>
          <w:rFonts w:cs="Times New Roman"/>
          <w:b w:val="0"/>
          <w:noProof/>
          <w:szCs w:val="24"/>
        </w:rPr>
        <w:t>(Smedskjaer &amp; Potuzak, 2013)</w:t>
      </w:r>
      <w:r>
        <w:rPr>
          <w:rFonts w:cs="Times New Roman"/>
          <w:b w:val="0"/>
          <w:i/>
          <w:szCs w:val="24"/>
          <w:vertAlign w:val="subscript"/>
        </w:rPr>
        <w:fldChar w:fldCharType="end"/>
      </w:r>
      <w:r w:rsidRPr="000E2377">
        <w:rPr>
          <w:rFonts w:cs="Times New Roman"/>
          <w:b w:val="0"/>
          <w:szCs w:val="24"/>
        </w:rPr>
        <w:t xml:space="preserve">. For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10-x</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r w:rsidRPr="000E2377">
        <w:rPr>
          <w:rFonts w:cs="Times New Roman"/>
          <w:b w:val="0"/>
          <w:szCs w:val="24"/>
        </w:rPr>
        <w:t xml:space="preserve">, the lowest polymerisation index </w:t>
      </w:r>
      <w:r>
        <w:rPr>
          <w:rFonts w:cs="Times New Roman"/>
          <w:b w:val="0"/>
          <w:szCs w:val="24"/>
        </w:rPr>
        <w:t>was found for the</w:t>
      </w:r>
      <w:r w:rsidRPr="000E2377">
        <w:rPr>
          <w:rFonts w:cs="Times New Roman"/>
          <w:b w:val="0"/>
          <w:szCs w:val="24"/>
        </w:rPr>
        <w:t xml:space="preserve"> composition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r>
        <w:rPr>
          <w:rFonts w:cs="Times New Roman"/>
          <w:b w:val="0"/>
          <w:szCs w:val="24"/>
        </w:rPr>
        <w:t xml:space="preserve"> and this sample also had the lowest</w:t>
      </w:r>
      <w:r w:rsidRPr="000E2377">
        <w:rPr>
          <w:rFonts w:cs="Times New Roman"/>
          <w:b w:val="0"/>
          <w:szCs w:val="24"/>
        </w:rPr>
        <w:t xml:space="preserve"> glass transition </w:t>
      </w:r>
      <w:r>
        <w:rPr>
          <w:rFonts w:cs="Times New Roman"/>
          <w:b w:val="0"/>
          <w:szCs w:val="24"/>
        </w:rPr>
        <w:t>temperature of the glasses in this series.</w:t>
      </w:r>
      <w:r w:rsidRPr="000E2377">
        <w:rPr>
          <w:rFonts w:cs="Times New Roman"/>
          <w:b w:val="0"/>
          <w:szCs w:val="24"/>
        </w:rPr>
        <w:t xml:space="preserve"> </w:t>
      </w:r>
    </w:p>
    <w:p w14:paraId="706201A8" w14:textId="0FF943BD" w:rsidR="00666029" w:rsidRDefault="00666029" w:rsidP="00666029">
      <w:pPr>
        <w:spacing w:line="360" w:lineRule="auto"/>
        <w:jc w:val="both"/>
        <w:rPr>
          <w:rFonts w:cs="Times New Roman"/>
          <w:b w:val="0"/>
          <w:szCs w:val="24"/>
        </w:rPr>
      </w:pPr>
      <w:r w:rsidRPr="000E2377">
        <w:rPr>
          <w:rFonts w:cs="Times New Roman"/>
          <w:b w:val="0"/>
          <w:szCs w:val="24"/>
        </w:rPr>
        <w:t xml:space="preserve">For mechanical properties, it shown there are some correlations with the composition. </w:t>
      </w:r>
      <w:r>
        <w:rPr>
          <w:rFonts w:cs="Times New Roman"/>
          <w:b w:val="0"/>
          <w:szCs w:val="24"/>
        </w:rPr>
        <w:t>For the</w:t>
      </w:r>
      <w:r w:rsidRPr="000E2377">
        <w:rPr>
          <w:rFonts w:eastAsia="Times New Roman" w:cs="Times New Roman"/>
          <w:color w:val="000000"/>
          <w:sz w:val="16"/>
          <w:szCs w:val="16"/>
          <w:lang w:eastAsia="en-MY"/>
        </w:rPr>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eastAsia="Times New Roman" w:cs="Times New Roman"/>
          <w:color w:val="000000"/>
          <w:sz w:val="16"/>
          <w:szCs w:val="16"/>
          <w:lang w:eastAsia="en-MY"/>
        </w:rPr>
        <w:t xml:space="preserve"> </w:t>
      </w:r>
      <w:r w:rsidRPr="000E2377">
        <w:rPr>
          <w:rFonts w:cs="Times New Roman"/>
          <w:b w:val="0"/>
          <w:szCs w:val="24"/>
        </w:rPr>
        <w:t>glass series</w:t>
      </w:r>
      <w:r>
        <w:rPr>
          <w:rFonts w:cs="Times New Roman"/>
          <w:b w:val="0"/>
          <w:szCs w:val="24"/>
        </w:rPr>
        <w:t>,</w:t>
      </w:r>
      <w:r w:rsidRPr="000E2377">
        <w:rPr>
          <w:rFonts w:cs="Times New Roman"/>
          <w:b w:val="0"/>
          <w:szCs w:val="24"/>
        </w:rPr>
        <w:t xml:space="preserve"> </w:t>
      </w:r>
      <w:r w:rsidR="00A54FF7">
        <w:rPr>
          <w:rFonts w:cs="Times New Roman"/>
          <w:b w:val="0"/>
          <w:szCs w:val="24"/>
        </w:rPr>
        <w:t xml:space="preserve">bulk </w:t>
      </w:r>
      <w:r w:rsidRPr="000E2377">
        <w:rPr>
          <w:rFonts w:cs="Times New Roman"/>
          <w:b w:val="0"/>
          <w:szCs w:val="24"/>
        </w:rPr>
        <w:t xml:space="preserve">modulus </w:t>
      </w:r>
      <w:r w:rsidR="008C4D01">
        <w:rPr>
          <w:rFonts w:cs="Times New Roman"/>
          <w:b w:val="0"/>
          <w:szCs w:val="24"/>
        </w:rPr>
        <w:t>is</w:t>
      </w:r>
      <w:r w:rsidR="008C4D01" w:rsidRPr="000E2377">
        <w:rPr>
          <w:rFonts w:cs="Times New Roman"/>
          <w:b w:val="0"/>
          <w:szCs w:val="24"/>
        </w:rPr>
        <w:t xml:space="preserve"> </w:t>
      </w:r>
      <w:r w:rsidRPr="000E2377">
        <w:rPr>
          <w:rFonts w:cs="Times New Roman"/>
          <w:b w:val="0"/>
          <w:szCs w:val="24"/>
        </w:rPr>
        <w:t xml:space="preserve">reduced with </w:t>
      </w:r>
      <w:r>
        <w:rPr>
          <w:rFonts w:cs="Times New Roman"/>
          <w:b w:val="0"/>
          <w:szCs w:val="24"/>
        </w:rPr>
        <w:t xml:space="preserve">the </w:t>
      </w:r>
      <w:r w:rsidRPr="000E2377">
        <w:rPr>
          <w:rFonts w:cs="Times New Roman"/>
          <w:b w:val="0"/>
          <w:szCs w:val="24"/>
        </w:rPr>
        <w:t>addition of alumina</w:t>
      </w:r>
      <w:r w:rsidR="002D646B">
        <w:rPr>
          <w:rFonts w:cs="Times New Roman"/>
          <w:b w:val="0"/>
          <w:szCs w:val="24"/>
        </w:rPr>
        <w:t>.</w:t>
      </w:r>
      <w:r>
        <w:rPr>
          <w:rFonts w:cs="Times New Roman"/>
          <w:b w:val="0"/>
          <w:szCs w:val="24"/>
        </w:rPr>
        <w:t xml:space="preserve"> Meanwhile</w:t>
      </w:r>
      <w:r w:rsidR="008C4D01">
        <w:rPr>
          <w:rFonts w:cs="Times New Roman"/>
          <w:b w:val="0"/>
          <w:szCs w:val="24"/>
        </w:rPr>
        <w:t>,</w:t>
      </w:r>
      <w:r>
        <w:rPr>
          <w:rFonts w:cs="Times New Roman"/>
          <w:b w:val="0"/>
          <w:szCs w:val="24"/>
        </w:rPr>
        <w:t xml:space="preserve"> the hardness slightly decreases value with increasing alumina. </w:t>
      </w:r>
      <w:r w:rsidRPr="000E2377">
        <w:rPr>
          <w:rFonts w:cs="Times New Roman"/>
          <w:b w:val="0"/>
          <w:szCs w:val="24"/>
        </w:rPr>
        <w:t xml:space="preserve">Higher connectivity </w:t>
      </w:r>
      <w:r>
        <w:rPr>
          <w:rFonts w:cs="Times New Roman"/>
          <w:b w:val="0"/>
          <w:szCs w:val="24"/>
        </w:rPr>
        <w:t>results in a decrease in</w:t>
      </w:r>
      <w:r w:rsidRPr="000E2377">
        <w:rPr>
          <w:rFonts w:cs="Times New Roman"/>
          <w:b w:val="0"/>
          <w:szCs w:val="24"/>
        </w:rPr>
        <w:t xml:space="preserve"> </w:t>
      </w:r>
      <w:r>
        <w:rPr>
          <w:rFonts w:cs="Times New Roman"/>
          <w:b w:val="0"/>
          <w:szCs w:val="24"/>
        </w:rPr>
        <w:t xml:space="preserve">Young’s modulus, </w:t>
      </w:r>
      <w:r w:rsidRPr="000E2377">
        <w:rPr>
          <w:rFonts w:cs="Times New Roman"/>
          <w:b w:val="0"/>
          <w:szCs w:val="24"/>
        </w:rPr>
        <w:t xml:space="preserve">bulk modulus and hardness decrease due to </w:t>
      </w:r>
      <w:r>
        <w:rPr>
          <w:rFonts w:cs="Times New Roman"/>
          <w:b w:val="0"/>
          <w:szCs w:val="24"/>
        </w:rPr>
        <w:t>a reduction in</w:t>
      </w:r>
      <w:r w:rsidRPr="000E2377">
        <w:rPr>
          <w:rFonts w:cs="Times New Roman"/>
          <w:b w:val="0"/>
          <w:szCs w:val="24"/>
        </w:rPr>
        <w:t xml:space="preserve"> </w:t>
      </w:r>
      <w:r w:rsidR="00A7256F">
        <w:rPr>
          <w:rFonts w:cs="Times New Roman"/>
          <w:b w:val="0"/>
          <w:szCs w:val="24"/>
        </w:rPr>
        <w:t>netw</w:t>
      </w:r>
      <w:r w:rsidR="008D6F56">
        <w:rPr>
          <w:rFonts w:cs="Times New Roman"/>
          <w:b w:val="0"/>
          <w:szCs w:val="24"/>
        </w:rPr>
        <w:t xml:space="preserve">ork </w:t>
      </w:r>
      <w:r w:rsidRPr="000E2377">
        <w:rPr>
          <w:rFonts w:cs="Times New Roman"/>
          <w:b w:val="0"/>
          <w:szCs w:val="24"/>
        </w:rPr>
        <w:t>packing</w:t>
      </w:r>
      <w:r w:rsidR="00913D43">
        <w:rPr>
          <w:rFonts w:cs="Times New Roman"/>
          <w:b w:val="0"/>
          <w:szCs w:val="24"/>
        </w:rPr>
        <w:t xml:space="preserve"> </w:t>
      </w:r>
      <w:r w:rsidR="00913D43">
        <w:rPr>
          <w:rFonts w:cs="Times New Roman"/>
          <w:b w:val="0"/>
          <w:szCs w:val="24"/>
        </w:rPr>
        <w:fldChar w:fldCharType="begin" w:fldLock="1"/>
      </w:r>
      <w:r w:rsidR="008400FF">
        <w:rPr>
          <w:rFonts w:cs="Times New Roman"/>
          <w:b w:val="0"/>
          <w:szCs w:val="24"/>
        </w:rPr>
        <w:instrText>ADDIN CSL_CITATION { "citationItems" : [ { "id" : "ITEM-1", "itemData" : { "author" : [ { "dropping-particle" : "", "family" : "Deriano", "given" : "S", "non-dropping-particle" : "", "parse-names" : false, "suffix" : "" }, { "dropping-particle" : "", "family" : "Rouxel", "given" : "T", "non-dropping-particle" : "", "parse-names" : false, "suffix" : "" }, { "dropping-particle" : "De", "family" : "Rennes", "given" : "Universit\u00e9", "non-dropping-particle" : "", "parse-names" : false, "suffix" : "" }, { "dropping-particle" : "De", "family" : "Beaulieu", "given" : "Campus", "non-dropping-particle" : "", "parse-names" : false, "suffix" : "" }, { "dropping-particle" : "", "family" : "Lefloch", "given" : "M", "non-dropping-particle" : "", "parse-names" : false, "suffix" : "" }, { "dropping-particle" : "", "family" : "Beaulieu", "given" : "De", "non-dropping-particle" : "", "parse-names" : false, "suffix" : "" }, { "dropping-particle" : "", "family" : "Brillouin", "given" : "Laboratoire L\u00e9on", "non-dropping-particle" : "", "parse-names" : false, "suffix" : "" }, { "dropping-particle" : "", "family" : "Saclay", "given" : "Cnrs-cea", "non-dropping-particle" : "", "parse-names" : false, "suffix" : "" } ], "id" : "ITEM-1", "issue" : "1", "issued" : { "date-parts" : [ [ "2004" ] ] }, "page" : "37-44", "title" : "Structure and mechanical properties of alkali \u2013 alkaline earth \u2013 silicate glasses", "type" : "article-journal", "volume" : "45" }, "uris" : [ "http://www.mendeley.com/documents/?uuid=2bbf787d-390c-4721-a0eb-97f6376fa41a" ] } ], "mendeley" : { "formattedCitation" : "(Deriano, Rouxel, et al., 2004)", "manualFormatting" : "(Deriano &amp; Rouxel, 2004, ", "plainTextFormattedCitation" : "(Deriano, Rouxel, et al., 2004)", "previouslyFormattedCitation" : "(Deriano, Rouxel, et al., 2004)" }, "properties" : { "noteIndex" : 144 }, "schema" : "https://github.com/citation-style-language/schema/raw/master/csl-citation.json" }</w:instrText>
      </w:r>
      <w:r w:rsidR="00913D43">
        <w:rPr>
          <w:rFonts w:cs="Times New Roman"/>
          <w:b w:val="0"/>
          <w:szCs w:val="24"/>
        </w:rPr>
        <w:fldChar w:fldCharType="separate"/>
      </w:r>
      <w:r w:rsidR="00913D43" w:rsidRPr="00913D43">
        <w:rPr>
          <w:rFonts w:cs="Times New Roman"/>
          <w:b w:val="0"/>
          <w:noProof/>
          <w:szCs w:val="24"/>
        </w:rPr>
        <w:t>(Deriano</w:t>
      </w:r>
      <w:r w:rsidR="00913D43">
        <w:rPr>
          <w:rFonts w:cs="Times New Roman"/>
          <w:b w:val="0"/>
          <w:noProof/>
          <w:szCs w:val="24"/>
        </w:rPr>
        <w:t xml:space="preserve"> &amp;</w:t>
      </w:r>
      <w:r w:rsidR="00913D43" w:rsidRPr="00913D43">
        <w:rPr>
          <w:rFonts w:cs="Times New Roman"/>
          <w:b w:val="0"/>
          <w:noProof/>
          <w:szCs w:val="24"/>
        </w:rPr>
        <w:t xml:space="preserve"> Rouxel, 2004</w:t>
      </w:r>
      <w:r w:rsidR="00913D43">
        <w:rPr>
          <w:rFonts w:cs="Times New Roman"/>
          <w:b w:val="0"/>
          <w:noProof/>
          <w:szCs w:val="24"/>
        </w:rPr>
        <w:t xml:space="preserve">, </w:t>
      </w:r>
      <w:r w:rsidR="00913D43">
        <w:rPr>
          <w:rFonts w:cs="Times New Roman"/>
          <w:b w:val="0"/>
          <w:szCs w:val="24"/>
        </w:rPr>
        <w:fldChar w:fldCharType="end"/>
      </w:r>
      <w:r w:rsidRPr="000E2377">
        <w:rPr>
          <w:rFonts w:cs="Times New Roman"/>
          <w:b w:val="0"/>
          <w:szCs w:val="24"/>
        </w:rPr>
        <w:fldChar w:fldCharType="begin" w:fldLock="1"/>
      </w:r>
      <w:r w:rsidR="008400FF">
        <w:rPr>
          <w:rFonts w:cs="Times New Roman"/>
          <w:b w:val="0"/>
          <w:szCs w:val="24"/>
        </w:rPr>
        <w:instrText>ADDIN CSL_CITATION { "citationItems" : [ { "id" : "ITEM-1", "itemData" : { "DOI" : "10.1016/j.jnoncrysol.2015.08.013", "ISSN" : "00223093", "abstract" : "The effects of varying the alkaline earth oxide content of three series of soda-lime-silica glasses with the general formulae 13.5Na&lt;inf&gt;2&lt;/inf&gt;O??xMgO??10CaO??1.5Al&lt;inf&gt;2&lt;/inf&gt;O&lt;inf&gt;3&lt;/inf&gt;??(75 - x)SiO&lt;inf&gt;2&lt;/inf&gt; (mol.%) where x = 0, 1, 2, 3, 4, 5, 6, and 7; 13.5Na&lt;inf&gt;2&lt;/inf&gt;O??3MgO??(7 + y)CaO??1.5Al&lt;inf&gt;2&lt;/inf&gt;O&lt;inf&gt;3&lt;/inf&gt;??(75 - y)SiO&lt;inf&gt;2&lt;/inf&gt; (mol.%) where y = 0, 1, 2, 3, 4, 5, 6, and 7 and 13.5Na&lt;inf&gt;2&lt;/inf&gt;O??zMgO??(13 - z)CaO??1.5Al&lt;inf&gt;2&lt;/inf&gt;O&lt;inf&gt;3&lt;/inf&gt;??72SiO&lt;inf&gt;2&lt;/inf&gt; (mol.%) where z = 1, 3, 5, 7, 9, and 11 have been examined. Raman spectroscopy and nuclear magnetic resonance (NMR) spectroscopy have been used to assess network connectivity. In the first two glass series network connectivity decreases with increasing alkaline earth addition whereas in the third series connectivity tends to be greater for the more magnesia rich glasses suggesting that magnesia does have a different effect to lime on network connectivity, but only when magnesia is the dominant alkaline earth species. Fracture toughness has been measured using bend testing, which avoids many of the questions raised by the widely used indentation technique. Moduli have been assessed using acoustic means. It was found that the mechanical properties tend to decrease with increasing network connectivity for all three glass series. For the MgO-SiO&lt;inf&gt;2&lt;/inf&gt; series and CaO-SiO&lt;inf&gt;2&lt;/inf&gt; glasses increasing the alkaline earth content at the expense of the silica content resulted in increased network depolymerization, whereas for the MgO-CaO series when MgO became the dominant alkaline earth species, network depolymerization was reduced. Thus whilst MgO and CaO both act as network modifiers when more CaO than MgO is present in soda-lime-silica glasses, a difference in behaviour is seen with magnesia rich soda-magnesia-silica glasses. In contradiction to previous data no significant advantage of replacing CaO by MgO is observed. In addition it appears that the glasses with the lowest fracture toughness values may be more resilient to contact damage than those with the higher fracture toughness values.", "author" : [ { "dropping-particle" : "", "family" : "Kilinc", "given" : "Erhan", "non-dropping-particle" : "", "parse-names" : false, "suffix" : "" }, { "dropping-particle" : "", "family" : "Hand", "given" : "Russell J.", "non-dropping-particle" : "", "parse-names" : false, "suffix" : "" } ], "container-title" : "Journal of Non-Crystalline Solids", "id" : "ITEM-1", "issued" : { "date-parts" : [ [ "2015" ] ] }, "page" : "190-197", "publisher" : "Elsevier B.V.", "title" : "Mechanical properties of soda-lime-silica glasses with varying alkaline earth contents", "type" : "article-journal", "volume" : "429" }, "uris" : [ "http://www.mendeley.com/documents/?uuid=9f1c2e71-3e60-4782-b1b2-26adb31dc508" ] } ], "mendeley" : { "formattedCitation" : "(Kilinc &amp; Hand, 2015)", "manualFormatting" : "Kilinc &amp; Hand, 2015)", "plainTextFormattedCitation" : "(Kilinc &amp; Hand, 2015)", "previouslyFormattedCitation" : "(Kilinc &amp; Hand, 2015)" }, "properties" : { "noteIndex" : 0 }, "schema" : "https://github.com/citation-style-language/schema/raw/master/csl-citation.json" }</w:instrText>
      </w:r>
      <w:r w:rsidRPr="000E2377">
        <w:rPr>
          <w:rFonts w:cs="Times New Roman"/>
          <w:b w:val="0"/>
          <w:szCs w:val="24"/>
        </w:rPr>
        <w:fldChar w:fldCharType="separate"/>
      </w:r>
      <w:r w:rsidRPr="000E2377">
        <w:rPr>
          <w:rFonts w:cs="Times New Roman"/>
          <w:b w:val="0"/>
          <w:noProof/>
          <w:szCs w:val="24"/>
        </w:rPr>
        <w:t>Kilinc &amp; Hand, 2015)</w:t>
      </w:r>
      <w:r w:rsidRPr="000E2377">
        <w:rPr>
          <w:rFonts w:cs="Times New Roman"/>
          <w:b w:val="0"/>
          <w:szCs w:val="24"/>
        </w:rPr>
        <w:fldChar w:fldCharType="end"/>
      </w:r>
      <w:r w:rsidRPr="000E2377">
        <w:rPr>
          <w:rFonts w:cs="Times New Roman"/>
          <w:b w:val="0"/>
          <w:szCs w:val="24"/>
        </w:rPr>
        <w:t xml:space="preserve">.  </w:t>
      </w:r>
    </w:p>
    <w:p w14:paraId="79ADED67" w14:textId="77777777" w:rsidR="00666029" w:rsidRPr="000E2377" w:rsidRDefault="00666029" w:rsidP="00666029">
      <w:pPr>
        <w:keepNext/>
        <w:keepLines/>
        <w:spacing w:before="40" w:line="360" w:lineRule="auto"/>
        <w:ind w:left="360" w:hanging="360"/>
        <w:outlineLvl w:val="2"/>
        <w:rPr>
          <w:rFonts w:eastAsia="Calibri" w:cstheme="majorBidi"/>
          <w:iCs/>
          <w:color w:val="000000" w:themeColor="text1"/>
          <w:szCs w:val="24"/>
          <w:lang w:eastAsia="tr-TR"/>
        </w:rPr>
      </w:pPr>
      <w:bookmarkStart w:id="920" w:name="_Toc515398743"/>
      <w:bookmarkStart w:id="921" w:name="_Toc523402942"/>
      <w:bookmarkStart w:id="922" w:name="_Toc525526453"/>
      <w:bookmarkStart w:id="923" w:name="_Toc525707878"/>
      <w:bookmarkStart w:id="924" w:name="_Toc525742543"/>
      <w:bookmarkStart w:id="925" w:name="_Toc12994978"/>
      <w:r w:rsidRPr="000E2377">
        <w:rPr>
          <w:rFonts w:eastAsia="Calibri" w:cstheme="majorBidi"/>
          <w:iCs/>
          <w:color w:val="000000" w:themeColor="text1"/>
          <w:szCs w:val="24"/>
          <w:lang w:eastAsia="tr-TR"/>
        </w:rPr>
        <w:lastRenderedPageBreak/>
        <w:t>5.4 Effect of different alkaline earths</w:t>
      </w:r>
      <w:bookmarkEnd w:id="920"/>
      <w:bookmarkEnd w:id="921"/>
      <w:bookmarkEnd w:id="922"/>
      <w:bookmarkEnd w:id="923"/>
      <w:bookmarkEnd w:id="924"/>
      <w:bookmarkEnd w:id="925"/>
      <w:r w:rsidRPr="000E2377">
        <w:rPr>
          <w:rFonts w:eastAsia="Calibri" w:cstheme="majorBidi"/>
          <w:iCs/>
          <w:color w:val="000000" w:themeColor="text1"/>
          <w:szCs w:val="24"/>
          <w:lang w:eastAsia="tr-TR"/>
        </w:rPr>
        <w:t xml:space="preserve"> </w:t>
      </w:r>
    </w:p>
    <w:p w14:paraId="20797E6F" w14:textId="54A2D5CF" w:rsidR="00666029" w:rsidRPr="000E2377" w:rsidRDefault="00666029" w:rsidP="00666029">
      <w:pPr>
        <w:spacing w:line="360" w:lineRule="auto"/>
        <w:jc w:val="both"/>
        <w:rPr>
          <w:rFonts w:asciiTheme="majorBidi" w:hAnsiTheme="majorBidi" w:cstheme="majorBidi"/>
          <w:b w:val="0"/>
          <w:szCs w:val="24"/>
        </w:rPr>
      </w:pPr>
      <w:r w:rsidRPr="000E2377">
        <w:rPr>
          <w:rFonts w:asciiTheme="majorBidi" w:hAnsiTheme="majorBidi" w:cstheme="majorBidi"/>
          <w:b w:val="0"/>
          <w:szCs w:val="24"/>
        </w:rPr>
        <w:t>Both alkaline earth oxides</w:t>
      </w:r>
      <w:r>
        <w:rPr>
          <w:rFonts w:asciiTheme="majorBidi" w:hAnsiTheme="majorBidi" w:cstheme="majorBidi"/>
          <w:b w:val="0"/>
          <w:szCs w:val="24"/>
        </w:rPr>
        <w:t xml:space="preserve"> considered here</w:t>
      </w:r>
      <w:r w:rsidRPr="000E2377">
        <w:rPr>
          <w:rFonts w:asciiTheme="majorBidi" w:hAnsiTheme="majorBidi" w:cstheme="majorBidi"/>
          <w:b w:val="0"/>
          <w:szCs w:val="24"/>
        </w:rPr>
        <w:t>, Ca and Ba act as network modifiers. Ca ha</w:t>
      </w:r>
      <w:r>
        <w:rPr>
          <w:rFonts w:asciiTheme="majorBidi" w:hAnsiTheme="majorBidi" w:cstheme="majorBidi"/>
          <w:b w:val="0"/>
          <w:szCs w:val="24"/>
        </w:rPr>
        <w:t>s a larger</w:t>
      </w:r>
      <w:r w:rsidRPr="000E2377">
        <w:rPr>
          <w:rFonts w:asciiTheme="majorBidi" w:hAnsiTheme="majorBidi" w:cstheme="majorBidi"/>
          <w:b w:val="0"/>
          <w:szCs w:val="24"/>
        </w:rPr>
        <w:t xml:space="preserve"> field strength than Ba </w:t>
      </w:r>
      <w:r>
        <w:rPr>
          <w:rFonts w:asciiTheme="majorBidi" w:hAnsiTheme="majorBidi" w:cstheme="majorBidi"/>
          <w:b w:val="0"/>
          <w:szCs w:val="24"/>
        </w:rPr>
        <w:t xml:space="preserve">as </w:t>
      </w:r>
      <w:r w:rsidRPr="000E2377">
        <w:rPr>
          <w:rFonts w:asciiTheme="majorBidi" w:hAnsiTheme="majorBidi" w:cstheme="majorBidi"/>
          <w:b w:val="0"/>
          <w:szCs w:val="24"/>
        </w:rPr>
        <w:t xml:space="preserve">Ba </w:t>
      </w:r>
      <w:r>
        <w:rPr>
          <w:rFonts w:asciiTheme="majorBidi" w:hAnsiTheme="majorBidi" w:cstheme="majorBidi"/>
          <w:b w:val="0"/>
          <w:szCs w:val="24"/>
        </w:rPr>
        <w:t>has the larger cation radius</w:t>
      </w:r>
      <w:r w:rsidRPr="000E2377">
        <w:rPr>
          <w:rFonts w:asciiTheme="majorBidi" w:hAnsiTheme="majorBidi" w:cstheme="majorBidi"/>
          <w:b w:val="0"/>
          <w:szCs w:val="24"/>
        </w:rPr>
        <w:t>.</w:t>
      </w:r>
      <w:r w:rsidRPr="000E2377">
        <w:rPr>
          <w:rFonts w:asciiTheme="majorBidi" w:hAnsiTheme="majorBidi" w:cstheme="majorBidi"/>
          <w:b w:val="0"/>
          <w:color w:val="FF0000"/>
          <w:szCs w:val="24"/>
        </w:rPr>
        <w:t xml:space="preserve"> </w:t>
      </w:r>
      <w:r w:rsidRPr="000E2377">
        <w:rPr>
          <w:rFonts w:asciiTheme="majorBidi" w:hAnsiTheme="majorBidi" w:cstheme="majorBidi"/>
          <w:b w:val="0"/>
          <w:szCs w:val="24"/>
        </w:rPr>
        <w:t xml:space="preserve">The </w:t>
      </w:r>
      <w:r>
        <w:rPr>
          <w:rFonts w:asciiTheme="majorBidi" w:hAnsiTheme="majorBidi" w:cstheme="majorBidi"/>
          <w:b w:val="0"/>
          <w:szCs w:val="24"/>
        </w:rPr>
        <w:t xml:space="preserve">glass </w:t>
      </w:r>
      <w:r w:rsidRPr="000E2377">
        <w:rPr>
          <w:rFonts w:asciiTheme="majorBidi" w:hAnsiTheme="majorBidi" w:cstheme="majorBidi"/>
          <w:b w:val="0"/>
          <w:szCs w:val="24"/>
        </w:rPr>
        <w:t xml:space="preserve">density is much higher with </w:t>
      </w:r>
      <w:r>
        <w:rPr>
          <w:rFonts w:asciiTheme="majorBidi" w:hAnsiTheme="majorBidi" w:cstheme="majorBidi"/>
          <w:b w:val="0"/>
          <w:szCs w:val="24"/>
        </w:rPr>
        <w:t xml:space="preserve">the </w:t>
      </w:r>
      <w:r w:rsidRPr="000E2377">
        <w:rPr>
          <w:rFonts w:asciiTheme="majorBidi" w:hAnsiTheme="majorBidi" w:cstheme="majorBidi"/>
          <w:b w:val="0"/>
          <w:szCs w:val="24"/>
        </w:rPr>
        <w:t>larger alkaline earth cation and increasing the amount of alkaline earth steadily increased the density, while molar volume decreased</w:t>
      </w:r>
      <w:r w:rsidR="002337E8">
        <w:rPr>
          <w:rFonts w:asciiTheme="majorBidi" w:hAnsiTheme="majorBidi" w:cstheme="majorBidi"/>
          <w:b w:val="0"/>
          <w:szCs w:val="24"/>
        </w:rPr>
        <w:t>,</w:t>
      </w:r>
      <w:r w:rsidRPr="000E2377">
        <w:rPr>
          <w:rFonts w:asciiTheme="majorBidi" w:hAnsiTheme="majorBidi" w:cstheme="majorBidi"/>
          <w:b w:val="0"/>
          <w:color w:val="000000" w:themeColor="text1"/>
          <w:szCs w:val="24"/>
        </w:rPr>
        <w:t xml:space="preserve"> </w:t>
      </w:r>
      <w:r w:rsidRPr="000E2377">
        <w:rPr>
          <w:rFonts w:asciiTheme="majorBidi" w:hAnsiTheme="majorBidi" w:cstheme="majorBidi"/>
          <w:b w:val="0"/>
          <w:szCs w:val="24"/>
        </w:rPr>
        <w:t>indicating</w:t>
      </w:r>
      <w:r w:rsidRPr="000E2377">
        <w:rPr>
          <w:rFonts w:asciiTheme="majorBidi" w:hAnsiTheme="majorBidi" w:cstheme="majorBidi"/>
          <w:b w:val="0"/>
          <w:color w:val="000000" w:themeColor="text1"/>
          <w:szCs w:val="24"/>
        </w:rPr>
        <w:t xml:space="preserve"> that the structure is</w:t>
      </w:r>
      <w:r>
        <w:rPr>
          <w:rFonts w:asciiTheme="majorBidi" w:hAnsiTheme="majorBidi" w:cstheme="majorBidi"/>
          <w:b w:val="0"/>
          <w:color w:val="000000" w:themeColor="text1"/>
          <w:szCs w:val="24"/>
        </w:rPr>
        <w:t xml:space="preserve"> less open</w:t>
      </w:r>
      <w:r w:rsidRPr="000E2377">
        <w:rPr>
          <w:rFonts w:asciiTheme="majorBidi" w:hAnsiTheme="majorBidi" w:cstheme="majorBidi"/>
          <w:b w:val="0"/>
          <w:color w:val="000000" w:themeColor="text1"/>
          <w:szCs w:val="24"/>
        </w:rPr>
        <w:t xml:space="preserve">. </w:t>
      </w:r>
      <w:r w:rsidRPr="000E2377">
        <w:rPr>
          <w:rFonts w:asciiTheme="majorBidi" w:hAnsiTheme="majorBidi" w:cstheme="majorBidi"/>
          <w:b w:val="0"/>
          <w:szCs w:val="24"/>
        </w:rPr>
        <w:t xml:space="preserve">The glass transition temperature decreased with increasing amounts of alkaline earth </w:t>
      </w:r>
      <w:r>
        <w:rPr>
          <w:rFonts w:asciiTheme="majorBidi" w:hAnsiTheme="majorBidi" w:cstheme="majorBidi"/>
          <w:b w:val="0"/>
          <w:szCs w:val="24"/>
        </w:rPr>
        <w:t xml:space="preserve">due to the </w:t>
      </w:r>
      <w:r w:rsidRPr="000E2377">
        <w:rPr>
          <w:rFonts w:asciiTheme="majorBidi" w:hAnsiTheme="majorBidi" w:cstheme="majorBidi"/>
          <w:b w:val="0"/>
          <w:szCs w:val="24"/>
        </w:rPr>
        <w:t>lower connectivity in the composition</w:t>
      </w:r>
      <w:r>
        <w:rPr>
          <w:rFonts w:asciiTheme="majorBidi" w:hAnsiTheme="majorBidi" w:cstheme="majorBidi"/>
          <w:b w:val="0"/>
          <w:szCs w:val="24"/>
        </w:rPr>
        <w:t>, with</w:t>
      </w:r>
      <w:r w:rsidRPr="000E2377">
        <w:rPr>
          <w:rFonts w:asciiTheme="majorBidi" w:hAnsiTheme="majorBidi" w:cstheme="majorBidi"/>
          <w:b w:val="0"/>
          <w:szCs w:val="24"/>
        </w:rPr>
        <w:t xml:space="preserve"> Ca </w:t>
      </w:r>
      <w:r>
        <w:rPr>
          <w:rFonts w:asciiTheme="majorBidi" w:hAnsiTheme="majorBidi" w:cstheme="majorBidi"/>
          <w:b w:val="0"/>
          <w:szCs w:val="24"/>
        </w:rPr>
        <w:t xml:space="preserve">containing glasses </w:t>
      </w:r>
      <w:r w:rsidRPr="000E2377">
        <w:rPr>
          <w:rFonts w:asciiTheme="majorBidi" w:hAnsiTheme="majorBidi" w:cstheme="majorBidi"/>
          <w:b w:val="0"/>
          <w:szCs w:val="24"/>
        </w:rPr>
        <w:t>hav</w:t>
      </w:r>
      <w:r>
        <w:rPr>
          <w:rFonts w:asciiTheme="majorBidi" w:hAnsiTheme="majorBidi" w:cstheme="majorBidi"/>
          <w:b w:val="0"/>
          <w:szCs w:val="24"/>
        </w:rPr>
        <w:t>ing</w:t>
      </w:r>
      <w:r w:rsidRPr="000E2377">
        <w:rPr>
          <w:rFonts w:asciiTheme="majorBidi" w:hAnsiTheme="majorBidi" w:cstheme="majorBidi"/>
          <w:b w:val="0"/>
          <w:szCs w:val="24"/>
        </w:rPr>
        <w:t xml:space="preserve"> slightly higher glass transition temperature</w:t>
      </w:r>
      <w:r>
        <w:rPr>
          <w:rFonts w:asciiTheme="majorBidi" w:hAnsiTheme="majorBidi" w:cstheme="majorBidi"/>
          <w:b w:val="0"/>
          <w:szCs w:val="24"/>
        </w:rPr>
        <w:t>s</w:t>
      </w:r>
      <w:r w:rsidRPr="000E2377">
        <w:rPr>
          <w:rFonts w:asciiTheme="majorBidi" w:hAnsiTheme="majorBidi" w:cstheme="majorBidi"/>
          <w:b w:val="0"/>
          <w:szCs w:val="24"/>
        </w:rPr>
        <w:t xml:space="preserve"> than </w:t>
      </w:r>
      <w:r>
        <w:rPr>
          <w:rFonts w:asciiTheme="majorBidi" w:hAnsiTheme="majorBidi" w:cstheme="majorBidi"/>
          <w:b w:val="0"/>
          <w:szCs w:val="24"/>
        </w:rPr>
        <w:t xml:space="preserve">their </w:t>
      </w:r>
      <w:r w:rsidRPr="000E2377">
        <w:rPr>
          <w:rFonts w:asciiTheme="majorBidi" w:hAnsiTheme="majorBidi" w:cstheme="majorBidi"/>
          <w:b w:val="0"/>
          <w:szCs w:val="24"/>
        </w:rPr>
        <w:t xml:space="preserve">Ba </w:t>
      </w:r>
      <w:r>
        <w:rPr>
          <w:rFonts w:asciiTheme="majorBidi" w:hAnsiTheme="majorBidi" w:cstheme="majorBidi"/>
          <w:b w:val="0"/>
          <w:szCs w:val="24"/>
        </w:rPr>
        <w:t>containing counterparts. The</w:t>
      </w:r>
      <w:r w:rsidRPr="000E2377">
        <w:rPr>
          <w:rFonts w:asciiTheme="majorBidi" w:hAnsiTheme="majorBidi" w:cstheme="majorBidi"/>
          <w:b w:val="0"/>
          <w:szCs w:val="24"/>
        </w:rPr>
        <w:t xml:space="preserve"> connectivity</w:t>
      </w:r>
      <w:r>
        <w:rPr>
          <w:rFonts w:asciiTheme="majorBidi" w:hAnsiTheme="majorBidi" w:cstheme="majorBidi"/>
          <w:b w:val="0"/>
          <w:szCs w:val="24"/>
        </w:rPr>
        <w:t xml:space="preserve"> of the Ca containing glasses</w:t>
      </w:r>
      <w:r w:rsidRPr="000E2377">
        <w:rPr>
          <w:rFonts w:asciiTheme="majorBidi" w:hAnsiTheme="majorBidi" w:cstheme="majorBidi"/>
          <w:b w:val="0"/>
          <w:szCs w:val="24"/>
        </w:rPr>
        <w:t xml:space="preserve"> w</w:t>
      </w:r>
      <w:r>
        <w:rPr>
          <w:rFonts w:asciiTheme="majorBidi" w:hAnsiTheme="majorBidi" w:cstheme="majorBidi"/>
          <w:b w:val="0"/>
          <w:szCs w:val="24"/>
        </w:rPr>
        <w:t xml:space="preserve">as </w:t>
      </w:r>
      <w:r w:rsidRPr="000E2377">
        <w:rPr>
          <w:rFonts w:asciiTheme="majorBidi" w:hAnsiTheme="majorBidi" w:cstheme="majorBidi"/>
          <w:b w:val="0"/>
          <w:szCs w:val="24"/>
        </w:rPr>
        <w:t>also high</w:t>
      </w:r>
      <w:r>
        <w:rPr>
          <w:rFonts w:asciiTheme="majorBidi" w:hAnsiTheme="majorBidi" w:cstheme="majorBidi"/>
          <w:b w:val="0"/>
          <w:szCs w:val="24"/>
        </w:rPr>
        <w:t>er</w:t>
      </w:r>
      <w:r w:rsidRPr="000E2377">
        <w:rPr>
          <w:rFonts w:asciiTheme="majorBidi" w:hAnsiTheme="majorBidi" w:cstheme="majorBidi"/>
          <w:b w:val="0"/>
          <w:szCs w:val="24"/>
        </w:rPr>
        <w:t xml:space="preserve"> </w:t>
      </w:r>
      <w:r>
        <w:rPr>
          <w:rFonts w:asciiTheme="majorBidi" w:hAnsiTheme="majorBidi" w:cstheme="majorBidi"/>
          <w:b w:val="0"/>
          <w:szCs w:val="24"/>
        </w:rPr>
        <w:t>as shown by the</w:t>
      </w:r>
      <w:r w:rsidRPr="000E2377">
        <w:rPr>
          <w:rFonts w:asciiTheme="majorBidi" w:hAnsiTheme="majorBidi" w:cstheme="majorBidi"/>
          <w:b w:val="0"/>
          <w:szCs w:val="24"/>
        </w:rPr>
        <w:t xml:space="preserve"> Raman</w:t>
      </w:r>
      <w:r>
        <w:rPr>
          <w:rFonts w:asciiTheme="majorBidi" w:hAnsiTheme="majorBidi" w:cstheme="majorBidi"/>
          <w:b w:val="0"/>
          <w:szCs w:val="24"/>
        </w:rPr>
        <w:t xml:space="preserve"> data (larger polymerization index)</w:t>
      </w:r>
      <w:r w:rsidRPr="000E2377">
        <w:rPr>
          <w:rFonts w:asciiTheme="majorBidi" w:hAnsiTheme="majorBidi" w:cstheme="majorBidi"/>
          <w:b w:val="0"/>
          <w:szCs w:val="24"/>
        </w:rPr>
        <w:t xml:space="preserve"> and NMR </w:t>
      </w:r>
      <w:r>
        <w:rPr>
          <w:rFonts w:asciiTheme="majorBidi" w:hAnsiTheme="majorBidi" w:cstheme="majorBidi"/>
          <w:b w:val="0"/>
          <w:szCs w:val="24"/>
        </w:rPr>
        <w:t>data (higher</w:t>
      </w:r>
      <w:r w:rsidRPr="000E2377">
        <w:rPr>
          <w:rFonts w:asciiTheme="majorBidi" w:hAnsiTheme="majorBidi" w:cstheme="majorBidi"/>
          <w:b w:val="0"/>
          <w:szCs w:val="24"/>
        </w:rPr>
        <w:t xml:space="preserve"> Q</w:t>
      </w:r>
      <w:r w:rsidRPr="000E2377">
        <w:rPr>
          <w:rFonts w:asciiTheme="majorBidi" w:hAnsiTheme="majorBidi" w:cstheme="majorBidi"/>
          <w:b w:val="0"/>
          <w:szCs w:val="24"/>
          <w:vertAlign w:val="superscript"/>
        </w:rPr>
        <w:t>4</w:t>
      </w:r>
      <w:r>
        <w:rPr>
          <w:rFonts w:asciiTheme="majorBidi" w:hAnsiTheme="majorBidi" w:cstheme="majorBidi"/>
          <w:b w:val="0"/>
          <w:szCs w:val="24"/>
        </w:rPr>
        <w:t xml:space="preserve"> content)</w:t>
      </w:r>
      <w:r w:rsidRPr="000E2377">
        <w:rPr>
          <w:rFonts w:asciiTheme="majorBidi" w:hAnsiTheme="majorBidi" w:cstheme="majorBidi"/>
          <w:b w:val="0"/>
          <w:szCs w:val="24"/>
        </w:rPr>
        <w:t>. This is because</w:t>
      </w:r>
      <w:r>
        <w:rPr>
          <w:rFonts w:asciiTheme="majorBidi" w:hAnsiTheme="majorBidi" w:cstheme="majorBidi"/>
          <w:b w:val="0"/>
          <w:szCs w:val="24"/>
        </w:rPr>
        <w:t xml:space="preserve"> higher field strength modifier cations have a greater</w:t>
      </w:r>
      <w:r w:rsidRPr="000E2377">
        <w:rPr>
          <w:rFonts w:asciiTheme="majorBidi" w:hAnsiTheme="majorBidi" w:cstheme="majorBidi"/>
          <w:b w:val="0"/>
          <w:szCs w:val="24"/>
        </w:rPr>
        <w:t xml:space="preserve"> tendency to charge balance Si-O-B</w:t>
      </w:r>
      <w:r w:rsidRPr="000E2377">
        <w:rPr>
          <w:rFonts w:asciiTheme="majorBidi" w:hAnsiTheme="majorBidi" w:cstheme="majorBidi"/>
          <w:b w:val="0"/>
          <w:szCs w:val="24"/>
          <w:vertAlign w:val="superscript"/>
        </w:rPr>
        <w:t>IV</w:t>
      </w:r>
      <w:r w:rsidRPr="000E2377">
        <w:rPr>
          <w:rFonts w:asciiTheme="majorBidi" w:hAnsiTheme="majorBidi" w:cstheme="majorBidi"/>
          <w:b w:val="0"/>
          <w:szCs w:val="24"/>
        </w:rPr>
        <w:t xml:space="preserve"> and </w:t>
      </w:r>
      <w:proofErr w:type="spellStart"/>
      <w:r w:rsidRPr="000E2377">
        <w:rPr>
          <w:rFonts w:asciiTheme="majorBidi" w:hAnsiTheme="majorBidi" w:cstheme="majorBidi"/>
          <w:b w:val="0"/>
          <w:szCs w:val="24"/>
        </w:rPr>
        <w:t>Si</w:t>
      </w:r>
      <w:r w:rsidRPr="000E2377">
        <w:rPr>
          <w:rFonts w:asciiTheme="majorBidi" w:hAnsiTheme="majorBidi" w:cstheme="majorBidi"/>
          <w:b w:val="0"/>
          <w:szCs w:val="24"/>
          <w:vertAlign w:val="superscript"/>
        </w:rPr>
        <w:t>IV</w:t>
      </w:r>
      <w:proofErr w:type="spellEnd"/>
      <w:r w:rsidRPr="000E2377">
        <w:rPr>
          <w:rFonts w:asciiTheme="majorBidi" w:hAnsiTheme="majorBidi" w:cstheme="majorBidi"/>
          <w:b w:val="0"/>
          <w:szCs w:val="24"/>
        </w:rPr>
        <w:t>-O-</w:t>
      </w:r>
      <w:proofErr w:type="spellStart"/>
      <w:r w:rsidRPr="000E2377">
        <w:rPr>
          <w:rFonts w:asciiTheme="majorBidi" w:hAnsiTheme="majorBidi" w:cstheme="majorBidi"/>
          <w:b w:val="0"/>
          <w:szCs w:val="24"/>
        </w:rPr>
        <w:t>Al</w:t>
      </w:r>
      <w:r w:rsidRPr="000E2377">
        <w:rPr>
          <w:rFonts w:asciiTheme="majorBidi" w:hAnsiTheme="majorBidi" w:cstheme="majorBidi"/>
          <w:b w:val="0"/>
          <w:szCs w:val="24"/>
          <w:vertAlign w:val="superscript"/>
        </w:rPr>
        <w:t>IV</w:t>
      </w:r>
      <w:proofErr w:type="spellEnd"/>
      <w:r w:rsidRPr="000E2377">
        <w:rPr>
          <w:rFonts w:asciiTheme="majorBidi" w:hAnsiTheme="majorBidi" w:cstheme="majorBidi"/>
          <w:b w:val="0"/>
          <w:szCs w:val="24"/>
        </w:rPr>
        <w:t xml:space="preserve"> bridging oxygens</w:t>
      </w:r>
      <w:r>
        <w:rPr>
          <w:rFonts w:asciiTheme="majorBidi" w:hAnsiTheme="majorBidi" w:cstheme="majorBidi"/>
          <w:b w:val="0"/>
          <w:szCs w:val="24"/>
        </w:rPr>
        <w:t xml:space="preserve"> and hence</w:t>
      </w:r>
      <w:r w:rsidRPr="000E2377">
        <w:rPr>
          <w:rFonts w:asciiTheme="majorBidi" w:hAnsiTheme="majorBidi" w:cstheme="majorBidi"/>
          <w:b w:val="0"/>
          <w:szCs w:val="24"/>
        </w:rPr>
        <w:t xml:space="preserve"> enhance B</w:t>
      </w:r>
      <w:r w:rsidRPr="00666029">
        <w:rPr>
          <w:rFonts w:asciiTheme="majorBidi" w:hAnsiTheme="majorBidi" w:cstheme="majorBidi"/>
          <w:b w:val="0"/>
          <w:szCs w:val="24"/>
          <w:vertAlign w:val="superscript"/>
        </w:rPr>
        <w:t>III</w:t>
      </w:r>
      <w:r w:rsidRPr="000E2377">
        <w:rPr>
          <w:rFonts w:asciiTheme="majorBidi" w:hAnsiTheme="majorBidi" w:cstheme="majorBidi"/>
          <w:b w:val="0"/>
          <w:szCs w:val="24"/>
        </w:rPr>
        <w:t xml:space="preserve"> to B</w:t>
      </w:r>
      <w:r w:rsidRPr="00666029">
        <w:rPr>
          <w:rFonts w:asciiTheme="majorBidi" w:hAnsiTheme="majorBidi" w:cstheme="majorBidi"/>
          <w:b w:val="0"/>
          <w:szCs w:val="24"/>
          <w:vertAlign w:val="superscript"/>
        </w:rPr>
        <w:t>IV</w:t>
      </w:r>
      <w:r w:rsidRPr="000E2377">
        <w:rPr>
          <w:rFonts w:asciiTheme="majorBidi" w:hAnsiTheme="majorBidi" w:cstheme="majorBidi"/>
          <w:b w:val="0"/>
          <w:szCs w:val="24"/>
        </w:rPr>
        <w:t xml:space="preserve"> and </w:t>
      </w:r>
      <w:proofErr w:type="spellStart"/>
      <w:r w:rsidRPr="000E2377">
        <w:rPr>
          <w:rFonts w:asciiTheme="majorBidi" w:hAnsiTheme="majorBidi" w:cstheme="majorBidi"/>
          <w:b w:val="0"/>
          <w:szCs w:val="24"/>
        </w:rPr>
        <w:t>Al</w:t>
      </w:r>
      <w:r w:rsidRPr="000E2377">
        <w:rPr>
          <w:rFonts w:asciiTheme="majorBidi" w:hAnsiTheme="majorBidi" w:cstheme="majorBidi"/>
          <w:b w:val="0"/>
          <w:szCs w:val="24"/>
          <w:vertAlign w:val="superscript"/>
        </w:rPr>
        <w:t>I</w:t>
      </w:r>
      <w:r>
        <w:rPr>
          <w:rFonts w:asciiTheme="majorBidi" w:hAnsiTheme="majorBidi" w:cstheme="majorBidi"/>
          <w:b w:val="0"/>
          <w:szCs w:val="24"/>
          <w:vertAlign w:val="superscript"/>
        </w:rPr>
        <w:t>II</w:t>
      </w:r>
      <w:proofErr w:type="spellEnd"/>
      <w:r w:rsidRPr="000E2377">
        <w:rPr>
          <w:rFonts w:asciiTheme="majorBidi" w:hAnsiTheme="majorBidi" w:cstheme="majorBidi"/>
          <w:b w:val="0"/>
          <w:szCs w:val="24"/>
        </w:rPr>
        <w:t xml:space="preserve"> to </w:t>
      </w:r>
      <w:proofErr w:type="spellStart"/>
      <w:r w:rsidRPr="000E2377">
        <w:rPr>
          <w:rFonts w:asciiTheme="majorBidi" w:hAnsiTheme="majorBidi" w:cstheme="majorBidi"/>
          <w:b w:val="0"/>
          <w:szCs w:val="24"/>
        </w:rPr>
        <w:t>Al</w:t>
      </w:r>
      <w:r w:rsidRPr="00345D0E">
        <w:rPr>
          <w:rFonts w:asciiTheme="majorBidi" w:hAnsiTheme="majorBidi" w:cstheme="majorBidi"/>
          <w:b w:val="0"/>
          <w:szCs w:val="24"/>
          <w:vertAlign w:val="superscript"/>
        </w:rPr>
        <w:t>I</w:t>
      </w:r>
      <w:r w:rsidRPr="000E2377">
        <w:rPr>
          <w:rFonts w:asciiTheme="majorBidi" w:hAnsiTheme="majorBidi" w:cstheme="majorBidi"/>
          <w:b w:val="0"/>
          <w:szCs w:val="24"/>
          <w:vertAlign w:val="superscript"/>
        </w:rPr>
        <w:t>V</w:t>
      </w:r>
      <w:proofErr w:type="spellEnd"/>
      <w:r w:rsidRPr="000E2377">
        <w:rPr>
          <w:rFonts w:asciiTheme="majorBidi" w:hAnsiTheme="majorBidi" w:cstheme="majorBidi"/>
          <w:b w:val="0"/>
          <w:szCs w:val="24"/>
        </w:rPr>
        <w:t xml:space="preserve"> </w:t>
      </w:r>
      <w:r>
        <w:rPr>
          <w:rFonts w:asciiTheme="majorBidi" w:hAnsiTheme="majorBidi" w:cstheme="majorBidi"/>
          <w:b w:val="0"/>
          <w:szCs w:val="24"/>
        </w:rPr>
        <w:t xml:space="preserve">conversion; in </w:t>
      </w:r>
      <w:proofErr w:type="spellStart"/>
      <w:r>
        <w:rPr>
          <w:rFonts w:asciiTheme="majorBidi" w:hAnsiTheme="majorBidi" w:cstheme="majorBidi"/>
          <w:b w:val="0"/>
          <w:szCs w:val="24"/>
        </w:rPr>
        <w:t>aluminoborate</w:t>
      </w:r>
      <w:proofErr w:type="spellEnd"/>
      <w:r>
        <w:rPr>
          <w:rFonts w:asciiTheme="majorBidi" w:hAnsiTheme="majorBidi" w:cstheme="majorBidi"/>
          <w:b w:val="0"/>
          <w:szCs w:val="24"/>
        </w:rPr>
        <w:t xml:space="preserve"> glasses, high field strength cations have been found to promote the presence of Al</w:t>
      </w:r>
      <w:r w:rsidRPr="00F56B08">
        <w:rPr>
          <w:rFonts w:asciiTheme="majorBidi" w:hAnsiTheme="majorBidi" w:cstheme="majorBidi"/>
          <w:b w:val="0"/>
          <w:szCs w:val="24"/>
          <w:vertAlign w:val="superscript"/>
        </w:rPr>
        <w:t>V</w:t>
      </w:r>
      <w:r>
        <w:rPr>
          <w:rFonts w:asciiTheme="majorBidi" w:hAnsiTheme="majorBidi" w:cstheme="majorBidi"/>
          <w:b w:val="0"/>
          <w:szCs w:val="24"/>
          <w:vertAlign w:val="superscript"/>
        </w:rPr>
        <w:t xml:space="preserve"> </w:t>
      </w:r>
      <w:r>
        <w:rPr>
          <w:rFonts w:asciiTheme="majorBidi" w:hAnsiTheme="majorBidi" w:cstheme="majorBidi"/>
          <w:b w:val="0"/>
          <w:szCs w:val="24"/>
        </w:rPr>
        <w:t>(</w:t>
      </w:r>
      <w:r w:rsidRPr="000E2377">
        <w:rPr>
          <w:rFonts w:asciiTheme="majorBidi" w:hAnsiTheme="majorBidi" w:cstheme="majorBidi"/>
          <w:b w:val="0"/>
          <w:szCs w:val="24"/>
        </w:rPr>
        <w:t>Wu and Stebbins</w:t>
      </w:r>
      <w:r>
        <w:rPr>
          <w:rFonts w:asciiTheme="majorBidi" w:hAnsiTheme="majorBidi" w:cstheme="majorBidi"/>
          <w:b w:val="0"/>
          <w:szCs w:val="24"/>
        </w:rPr>
        <w:t>, 2009)</w:t>
      </w:r>
      <w:r w:rsidRPr="000E2377">
        <w:rPr>
          <w:rFonts w:asciiTheme="majorBidi" w:hAnsiTheme="majorBidi" w:cstheme="majorBidi"/>
          <w:b w:val="0"/>
          <w:szCs w:val="24"/>
        </w:rPr>
        <w:t>.</w:t>
      </w:r>
    </w:p>
    <w:p w14:paraId="6FF41F18" w14:textId="20E3F88A" w:rsidR="00666029" w:rsidRDefault="00666029" w:rsidP="00666029">
      <w:pPr>
        <w:spacing w:line="360" w:lineRule="auto"/>
        <w:jc w:val="both"/>
        <w:rPr>
          <w:b w:val="0"/>
          <w:noProof/>
          <w:lang w:val="en-GB"/>
        </w:rPr>
      </w:pPr>
      <w:r w:rsidRPr="000E2377">
        <w:rPr>
          <w:rFonts w:asciiTheme="majorBidi" w:hAnsiTheme="majorBidi" w:cstheme="majorBidi"/>
          <w:b w:val="0"/>
          <w:szCs w:val="24"/>
        </w:rPr>
        <w:t xml:space="preserve">However, </w:t>
      </w:r>
      <w:r w:rsidRPr="000E2377">
        <w:rPr>
          <w:b w:val="0"/>
          <w:color w:val="000000" w:themeColor="text1"/>
          <w:lang w:val="en-GB"/>
        </w:rPr>
        <w:t xml:space="preserve">when comparing different alkaline earths there was no significant difference between the effects of calcium and barium on the mechanical properties. According to </w:t>
      </w:r>
      <w:r w:rsidRPr="000E2377">
        <w:rPr>
          <w:b w:val="0"/>
          <w:color w:val="000000" w:themeColor="text1"/>
          <w:lang w:val="en-GB"/>
        </w:rPr>
        <w:fldChar w:fldCharType="begin" w:fldLock="1"/>
      </w:r>
      <w:r w:rsidRPr="000E2377">
        <w:rPr>
          <w:b w:val="0"/>
          <w:color w:val="000000" w:themeColor="text1"/>
          <w:lang w:val="en-GB"/>
        </w:rPr>
        <w:instrText>ADDIN CSL_CITATION { "citationItems" : [ { "id" : "ITEM-1", "itemData" : { "DOI" : "10.1021/jp8016776", "ISBN" : "1932-7447", "ISSN" : "19327447", "abstract" : "The role of Mg in soda-lime glasses was elucidated by classical molecular dynamics (MD) simulations. The effect of the replacement of CaO for MgO on the structure, transport, and elastic properties of a series of glasses with compositions 15Na2O\u00b7(10 ? x)CaO\u00b7xMgO\u00b775SiO2 (x = 0, 5, and 10 mol) was studied. Different structural roles were found for the Ca and Mg ions. The former, coordinated by six oxygen atoms, acts as a network modifier, while the latter, four-fold coordinated, participates in the silica network. Consequently, Na ion diffusion is favored by the replacement of MgO for CaO in these glasses, as shown by variation in the computed diffusion coefficients and activation energy of the process in the series of glasses studied. Moreover, the consequences of these structural modifications on the elastic properties (Young?s modulus, shear modulus, bulk modulus, Poisson?s ratio, and compressibility) of the glasses were evaluated by means of energy minimization techniques carried out on the structures obtained by MD simulations.\\nThe role of Mg in soda-lime glasses was elucidated by classical molecular dynamics (MD) simulations. The effect of the replacement of CaO for MgO on the structure, transport, and elastic properties of a series of glasses with compositions 15Na2O\u00b7(10 ? x)CaO\u00b7xMgO\u00b775SiO2 (x = 0, 5, and 10 mol) was studied. Different structural roles were found for the Ca and Mg ions. The former, coordinated by six oxygen atoms, acts as a network modifier, while the latter, four-fold coordinated, participates in the silica network. Consequently, Na ion diffusion is favored by the replacement of MgO for CaO in these glasses, as shown by variation in the computed diffusion coefficients and activation energy of the process in the series of glasses studied. Moreover, the consequences of these structural modifications on the elastic properties (Young?s modulus, shear modulus, bulk modulus, Poisson?s ratio, and compressibility) of the glasses were evaluated by means of energy minimization techniques carried out on the structures obtained by MD simulations.", "author" : [ { "dropping-particle" : "", "family" : "Pedone", "given" : "Alfonso", "non-dropping-particle" : "", "parse-names" : false, "suffix" : "" }, { "dropping-particle" : "", "family" : "Malavasi", "given" : "Gianluca", "non-dropping-particle" : "", "parse-names" : false, "suffix" : "" }, { "dropping-particle" : "", "family" : "Menziani", "given" : "M. Cristina", "non-dropping-particle" : "", "parse-names" : false, "suffix" : "" }, { "dropping-particle" : "", "family" : "Segre", "given" : "Ulderico", "non-dropping-particle" : "", "parse-names" : false, "suffix" : "" }, { "dropping-particle" : "", "family" : "Cormack", "given" : "Alastair N.", "non-dropping-particle" : "", "parse-names" : false, "suffix" : "" } ], "container-title" : "Journal of Physical Chemistry C", "id" : "ITEM-1", "issue" : "29", "issued" : { "date-parts" : [ [ "2008" ] ] }, "page" : "11034-11041", "title" : "Role of magnesium in soda-lime glasses: Insight into structural, transport, and mechanical properties through computer simulations", "type" : "article-journal", "volume" : "112" }, "uris" : [ "http://www.mendeley.com/documents/?uuid=b159fbbc-f5d4-4c34-8188-9f3821d4c5c6" ] } ], "mendeley" : { "formattedCitation" : "(Pedone, Malavasi, Menziani, Segre, &amp; Cormack, 2008)", "manualFormatting" : "Pedone et al. (2008)", "plainTextFormattedCitation" : "(Pedone, Malavasi, Menziani, Segre, &amp; Cormack, 2008)", "previouslyFormattedCitation" : "(Pedone, Malavasi, Menziani, Segre, &amp; Cormack, 2008)" }, "properties" : { "noteIndex" : 120 }, "schema" : "https://github.com/citation-style-language/schema/raw/master/csl-citation.json" }</w:instrText>
      </w:r>
      <w:r w:rsidRPr="000E2377">
        <w:rPr>
          <w:b w:val="0"/>
          <w:color w:val="000000" w:themeColor="text1"/>
          <w:lang w:val="en-GB"/>
        </w:rPr>
        <w:fldChar w:fldCharType="separate"/>
      </w:r>
      <w:r w:rsidRPr="000E2377">
        <w:rPr>
          <w:b w:val="0"/>
          <w:noProof/>
          <w:color w:val="000000" w:themeColor="text1"/>
          <w:lang w:val="en-GB"/>
        </w:rPr>
        <w:t>Pedone et al. (2008)</w:t>
      </w:r>
      <w:r w:rsidRPr="000E2377">
        <w:rPr>
          <w:b w:val="0"/>
          <w:color w:val="000000" w:themeColor="text1"/>
          <w:lang w:val="en-GB"/>
        </w:rPr>
        <w:fldChar w:fldCharType="end"/>
      </w:r>
      <w:r w:rsidRPr="000E2377">
        <w:rPr>
          <w:b w:val="0"/>
          <w:lang w:val="en-GB"/>
        </w:rPr>
        <w:t xml:space="preserve">, differences in field strength </w:t>
      </w:r>
      <w:r>
        <w:rPr>
          <w:b w:val="0"/>
          <w:lang w:val="en-GB"/>
        </w:rPr>
        <w:t xml:space="preserve">between the </w:t>
      </w:r>
      <w:r w:rsidRPr="000E2377">
        <w:rPr>
          <w:b w:val="0"/>
          <w:lang w:val="en-GB"/>
        </w:rPr>
        <w:t>alkaline earth</w:t>
      </w:r>
      <w:r>
        <w:rPr>
          <w:b w:val="0"/>
          <w:lang w:val="en-GB"/>
        </w:rPr>
        <w:t>s</w:t>
      </w:r>
      <w:r w:rsidRPr="000E2377">
        <w:rPr>
          <w:b w:val="0"/>
          <w:lang w:val="en-GB"/>
        </w:rPr>
        <w:t xml:space="preserve"> do not affect the elastic moduli and </w:t>
      </w:r>
      <w:r>
        <w:rPr>
          <w:b w:val="0"/>
          <w:lang w:val="en-GB"/>
        </w:rPr>
        <w:t>the current</w:t>
      </w:r>
      <w:r w:rsidRPr="000E2377">
        <w:rPr>
          <w:b w:val="0"/>
          <w:lang w:val="en-GB"/>
        </w:rPr>
        <w:t xml:space="preserve"> findings</w:t>
      </w:r>
      <w:r>
        <w:rPr>
          <w:b w:val="0"/>
          <w:lang w:val="en-GB"/>
        </w:rPr>
        <w:t xml:space="preserve"> agree with this conclusion</w:t>
      </w:r>
      <w:r w:rsidRPr="000E2377">
        <w:rPr>
          <w:b w:val="0"/>
          <w:lang w:val="en-GB"/>
        </w:rPr>
        <w:t>. However</w:t>
      </w:r>
      <w:r w:rsidR="008C4D01">
        <w:rPr>
          <w:b w:val="0"/>
          <w:lang w:val="en-GB"/>
        </w:rPr>
        <w:t>,</w:t>
      </w:r>
      <w:r w:rsidRPr="000E2377">
        <w:rPr>
          <w:b w:val="0"/>
          <w:lang w:val="en-GB"/>
        </w:rPr>
        <w:t xml:space="preserve"> this is</w:t>
      </w:r>
      <w:r w:rsidR="008C4D01">
        <w:rPr>
          <w:b w:val="0"/>
          <w:lang w:val="en-GB"/>
        </w:rPr>
        <w:t xml:space="preserve"> in</w:t>
      </w:r>
      <w:r w:rsidRPr="000E2377">
        <w:rPr>
          <w:b w:val="0"/>
          <w:lang w:val="en-GB"/>
        </w:rPr>
        <w:t xml:space="preserve"> contrast with research by </w:t>
      </w:r>
      <w:r w:rsidRPr="000E2377">
        <w:rPr>
          <w:b w:val="0"/>
          <w:lang w:val="en-GB"/>
        </w:rPr>
        <w:fldChar w:fldCharType="begin" w:fldLock="1"/>
      </w:r>
      <w:r w:rsidR="008400FF">
        <w:rPr>
          <w:b w:val="0"/>
          <w:lang w:val="en-GB"/>
        </w:rPr>
        <w:instrText>ADDIN CSL_CITATION { "citationItems" : [ { "id" : "ITEM-1", "itemData" : { "author" : [ { "dropping-particle" : "", "family" : "Potuzak", "given" : "Marcel", "non-dropping-particle" : "", "parse-names" : false, "suffix" : "" }, { "dropping-particle" : "", "family" : "Smedskjaer", "given" : "Morten M", "non-dropping-particle" : "", "parse-names" : false, "suffix" : "" }, { "dropping-particle" : "", "family" : "Chemistry", "given" : "Section", "non-dropping-particle" : "", "parse-names" : false, "suffix" : "" }, { "dropping-particle" : "", "family" : "Aalborg", "given" : "Dk-", "non-dropping-particle" : "", "parse-names" : false, "suffix" : "" } ], "container-title" : "Phys. Chem. Glasses: Eur. J. Glass Sci. Technol. B", "id" : "ITEM-1", "issue" : "1", "issued" : { "date-parts" : [ [ "2014" ] ] }, "page" : "18-24", "title" : "Physical properties of boroaluminosilicate glasses : effect of modifier cation field strength", "type" : "article-journal", "volume" : "55" }, "uris" : [ "http://www.mendeley.com/documents/?uuid=305c255e-fdb7-45b9-b283-37da8b3809b3" ] } ], "mendeley" : { "formattedCitation" : "(Potuzak et al., 2014)", "manualFormatting" : "Potuzak &amp; Smedskjaer, (2014)", "plainTextFormattedCitation" : "(Potuzak et al., 2014)", "previouslyFormattedCitation" : "(Potuzak et al., 2014)" }, "properties" : { "noteIndex" : 91 }, "schema" : "https://github.com/citation-style-language/schema/raw/master/csl-citation.json" }</w:instrText>
      </w:r>
      <w:r w:rsidRPr="000E2377">
        <w:rPr>
          <w:b w:val="0"/>
          <w:lang w:val="en-GB"/>
        </w:rPr>
        <w:fldChar w:fldCharType="separate"/>
      </w:r>
      <w:r w:rsidRPr="000E2377">
        <w:rPr>
          <w:b w:val="0"/>
          <w:noProof/>
          <w:lang w:val="en-GB"/>
        </w:rPr>
        <w:t>Potuzak &amp; Smedskjaer, (2014)</w:t>
      </w:r>
      <w:r w:rsidRPr="000E2377">
        <w:rPr>
          <w:b w:val="0"/>
          <w:lang w:val="en-GB"/>
        </w:rPr>
        <w:fldChar w:fldCharType="end"/>
      </w:r>
      <w:r w:rsidRPr="000E2377">
        <w:rPr>
          <w:b w:val="0"/>
          <w:lang w:val="en-GB"/>
        </w:rPr>
        <w:t xml:space="preserve"> </w:t>
      </w:r>
      <w:r>
        <w:rPr>
          <w:b w:val="0"/>
          <w:lang w:val="en-GB"/>
        </w:rPr>
        <w:t>who found differences in the</w:t>
      </w:r>
      <w:r w:rsidRPr="000E2377">
        <w:rPr>
          <w:b w:val="0"/>
          <w:lang w:val="en-GB"/>
        </w:rPr>
        <w:t xml:space="preserve"> mechanical properties when using different alkaline earth</w:t>
      </w:r>
      <w:r>
        <w:rPr>
          <w:b w:val="0"/>
          <w:lang w:val="en-GB"/>
        </w:rPr>
        <w:t>s</w:t>
      </w:r>
      <w:r w:rsidRPr="000E2377">
        <w:rPr>
          <w:b w:val="0"/>
          <w:lang w:val="en-GB"/>
        </w:rPr>
        <w:t>. This is because the number of oxygens surround</w:t>
      </w:r>
      <w:r>
        <w:rPr>
          <w:b w:val="0"/>
          <w:lang w:val="en-GB"/>
        </w:rPr>
        <w:t>ing</w:t>
      </w:r>
      <w:r w:rsidRPr="000E2377">
        <w:rPr>
          <w:b w:val="0"/>
          <w:lang w:val="en-GB"/>
        </w:rPr>
        <w:t xml:space="preserve"> alkaline earth cations </w:t>
      </w:r>
      <w:r w:rsidR="008C4D01">
        <w:rPr>
          <w:b w:val="0"/>
          <w:lang w:val="en-GB"/>
        </w:rPr>
        <w:t>is</w:t>
      </w:r>
      <w:r w:rsidR="008C4D01" w:rsidRPr="000E2377">
        <w:rPr>
          <w:b w:val="0"/>
          <w:lang w:val="en-GB"/>
        </w:rPr>
        <w:t xml:space="preserve"> </w:t>
      </w:r>
      <w:r w:rsidRPr="000E2377">
        <w:rPr>
          <w:b w:val="0"/>
          <w:lang w:val="en-GB"/>
        </w:rPr>
        <w:t>based on the ionic radius</w:t>
      </w:r>
      <w:r>
        <w:rPr>
          <w:b w:val="0"/>
          <w:lang w:val="en-GB"/>
        </w:rPr>
        <w:t xml:space="preserve"> with</w:t>
      </w:r>
      <w:r w:rsidRPr="000E2377">
        <w:rPr>
          <w:b w:val="0"/>
          <w:lang w:val="en-GB"/>
        </w:rPr>
        <w:t xml:space="preserve"> </w:t>
      </w:r>
      <w:r>
        <w:rPr>
          <w:b w:val="0"/>
          <w:lang w:val="en-GB"/>
        </w:rPr>
        <w:t>s</w:t>
      </w:r>
      <w:r w:rsidRPr="000E2377">
        <w:rPr>
          <w:b w:val="0"/>
          <w:lang w:val="en-GB"/>
        </w:rPr>
        <w:t xml:space="preserve">mall cations will only </w:t>
      </w:r>
      <w:r>
        <w:rPr>
          <w:b w:val="0"/>
          <w:lang w:val="en-GB"/>
        </w:rPr>
        <w:t>accommodate</w:t>
      </w:r>
      <w:r w:rsidRPr="000E2377">
        <w:rPr>
          <w:b w:val="0"/>
          <w:lang w:val="en-GB"/>
        </w:rPr>
        <w:t xml:space="preserve"> </w:t>
      </w:r>
      <w:r w:rsidR="008C4D01">
        <w:rPr>
          <w:b w:val="0"/>
          <w:lang w:val="en-GB"/>
        </w:rPr>
        <w:t xml:space="preserve">a </w:t>
      </w:r>
      <w:r w:rsidRPr="000E2377">
        <w:rPr>
          <w:b w:val="0"/>
          <w:lang w:val="en-GB"/>
        </w:rPr>
        <w:t>few oxygens</w:t>
      </w:r>
      <w:r>
        <w:rPr>
          <w:b w:val="0"/>
          <w:lang w:val="en-GB"/>
        </w:rPr>
        <w:t xml:space="preserve"> around alkaline earth</w:t>
      </w:r>
      <w:r w:rsidRPr="000E2377">
        <w:rPr>
          <w:b w:val="0"/>
          <w:lang w:val="en-GB"/>
        </w:rPr>
        <w:t>.</w:t>
      </w:r>
      <w:r w:rsidRPr="000E2377" w:rsidDel="0003369E">
        <w:rPr>
          <w:b w:val="0"/>
          <w:lang w:val="en-GB"/>
        </w:rPr>
        <w:t xml:space="preserve"> </w:t>
      </w:r>
      <w:r w:rsidRPr="000E2377">
        <w:rPr>
          <w:b w:val="0"/>
          <w:noProof/>
          <w:lang w:val="en-GB"/>
        </w:rPr>
        <w:t>Potuzak &amp; Smedskjaer</w:t>
      </w:r>
      <w:r>
        <w:rPr>
          <w:b w:val="0"/>
          <w:noProof/>
          <w:lang w:val="en-GB"/>
        </w:rPr>
        <w:t xml:space="preserve"> found that for properties such as Young’s, bulk and shear moduli there was a sudden change at </w:t>
      </w:r>
      <w:r w:rsidRPr="000E2377">
        <w:rPr>
          <w:b w:val="0"/>
          <w:lang w:eastAsia="tr-TR"/>
        </w:rPr>
        <w:t>(Al</w:t>
      </w:r>
      <w:r w:rsidRPr="000E2377">
        <w:rPr>
          <w:b w:val="0"/>
          <w:vertAlign w:val="subscript"/>
          <w:lang w:eastAsia="tr-TR"/>
        </w:rPr>
        <w:t>2</w:t>
      </w:r>
      <w:r w:rsidRPr="000E2377">
        <w:rPr>
          <w:b w:val="0"/>
          <w:lang w:eastAsia="tr-TR"/>
        </w:rPr>
        <w:t>O</w:t>
      </w:r>
      <w:r w:rsidRPr="000E2377">
        <w:rPr>
          <w:b w:val="0"/>
          <w:vertAlign w:val="subscript"/>
          <w:lang w:eastAsia="tr-TR"/>
        </w:rPr>
        <w:t>3</w:t>
      </w:r>
      <w:r w:rsidRPr="000E2377">
        <w:rPr>
          <w:b w:val="0"/>
          <w:lang w:eastAsia="tr-TR"/>
        </w:rPr>
        <w:t>)-(Na</w:t>
      </w:r>
      <w:r w:rsidRPr="000E2377">
        <w:rPr>
          <w:b w:val="0"/>
          <w:vertAlign w:val="subscript"/>
          <w:lang w:eastAsia="tr-TR"/>
        </w:rPr>
        <w:t>2</w:t>
      </w:r>
      <w:r w:rsidRPr="000E2377">
        <w:rPr>
          <w:b w:val="0"/>
          <w:lang w:eastAsia="tr-TR"/>
        </w:rPr>
        <w:t>O)&gt;0</w:t>
      </w:r>
      <w:r>
        <w:rPr>
          <w:b w:val="0"/>
          <w:lang w:eastAsia="tr-TR"/>
        </w:rPr>
        <w:t xml:space="preserve"> (see section 2.9.5) with the moduli reducing with increasing </w:t>
      </w:r>
      <w:r w:rsidRPr="000E2377">
        <w:rPr>
          <w:b w:val="0"/>
          <w:lang w:eastAsia="tr-TR"/>
        </w:rPr>
        <w:t>(Al</w:t>
      </w:r>
      <w:r w:rsidRPr="000E2377">
        <w:rPr>
          <w:b w:val="0"/>
          <w:vertAlign w:val="subscript"/>
          <w:lang w:eastAsia="tr-TR"/>
        </w:rPr>
        <w:t>2</w:t>
      </w:r>
      <w:r w:rsidRPr="000E2377">
        <w:rPr>
          <w:b w:val="0"/>
          <w:lang w:eastAsia="tr-TR"/>
        </w:rPr>
        <w:t>O</w:t>
      </w:r>
      <w:r w:rsidRPr="000E2377">
        <w:rPr>
          <w:b w:val="0"/>
          <w:vertAlign w:val="subscript"/>
          <w:lang w:eastAsia="tr-TR"/>
        </w:rPr>
        <w:t>3</w:t>
      </w:r>
      <w:r w:rsidRPr="000E2377">
        <w:rPr>
          <w:b w:val="0"/>
          <w:lang w:eastAsia="tr-TR"/>
        </w:rPr>
        <w:t>)-(Na</w:t>
      </w:r>
      <w:r w:rsidRPr="000E2377">
        <w:rPr>
          <w:b w:val="0"/>
          <w:vertAlign w:val="subscript"/>
          <w:lang w:eastAsia="tr-TR"/>
        </w:rPr>
        <w:t>2</w:t>
      </w:r>
      <w:r w:rsidRPr="000E2377">
        <w:rPr>
          <w:b w:val="0"/>
          <w:lang w:eastAsia="tr-TR"/>
        </w:rPr>
        <w:t>O)</w:t>
      </w:r>
      <w:r>
        <w:rPr>
          <w:b w:val="0"/>
          <w:lang w:eastAsia="tr-TR"/>
        </w:rPr>
        <w:t>&lt;</w:t>
      </w:r>
      <w:r w:rsidRPr="000E2377">
        <w:rPr>
          <w:b w:val="0"/>
          <w:lang w:eastAsia="tr-TR"/>
        </w:rPr>
        <w:t>0</w:t>
      </w:r>
      <w:r>
        <w:rPr>
          <w:b w:val="0"/>
          <w:lang w:eastAsia="tr-TR"/>
        </w:rPr>
        <w:t xml:space="preserve"> and increasing when </w:t>
      </w:r>
      <w:r w:rsidRPr="000E2377">
        <w:rPr>
          <w:b w:val="0"/>
          <w:lang w:eastAsia="tr-TR"/>
        </w:rPr>
        <w:t>Al</w:t>
      </w:r>
      <w:r w:rsidRPr="000E2377">
        <w:rPr>
          <w:b w:val="0"/>
          <w:vertAlign w:val="subscript"/>
          <w:lang w:eastAsia="tr-TR"/>
        </w:rPr>
        <w:t>2</w:t>
      </w:r>
      <w:r w:rsidRPr="000E2377">
        <w:rPr>
          <w:b w:val="0"/>
          <w:lang w:eastAsia="tr-TR"/>
        </w:rPr>
        <w:t>O</w:t>
      </w:r>
      <w:r w:rsidRPr="000E2377">
        <w:rPr>
          <w:b w:val="0"/>
          <w:vertAlign w:val="subscript"/>
          <w:lang w:eastAsia="tr-TR"/>
        </w:rPr>
        <w:t>3</w:t>
      </w:r>
      <w:r w:rsidRPr="000E2377">
        <w:rPr>
          <w:b w:val="0"/>
          <w:lang w:eastAsia="tr-TR"/>
        </w:rPr>
        <w:t>)-(Na</w:t>
      </w:r>
      <w:r w:rsidRPr="000E2377">
        <w:rPr>
          <w:b w:val="0"/>
          <w:vertAlign w:val="subscript"/>
          <w:lang w:eastAsia="tr-TR"/>
        </w:rPr>
        <w:t>2</w:t>
      </w:r>
      <w:r w:rsidRPr="000E2377">
        <w:rPr>
          <w:b w:val="0"/>
          <w:lang w:eastAsia="tr-TR"/>
        </w:rPr>
        <w:t>O)</w:t>
      </w:r>
      <w:r>
        <w:rPr>
          <w:b w:val="0"/>
          <w:lang w:eastAsia="tr-TR"/>
        </w:rPr>
        <w:t xml:space="preserve"> &gt; 0. Meanwhile in our findings,</w:t>
      </w:r>
      <w:r w:rsidRPr="000E2377">
        <w:rPr>
          <w:b w:val="0"/>
          <w:lang w:eastAsia="tr-TR"/>
        </w:rPr>
        <w:t xml:space="preserve"> </w:t>
      </w:r>
      <w:r>
        <w:rPr>
          <w:b w:val="0"/>
          <w:noProof/>
          <w:lang w:val="en-GB"/>
        </w:rPr>
        <w:t xml:space="preserve">increasing amounts of of alkaline earth, which give increased charge network balance, leads to increasing elastic moduli (see section 4.4.4). </w:t>
      </w:r>
    </w:p>
    <w:p w14:paraId="56205414" w14:textId="77777777" w:rsidR="00666029" w:rsidRPr="000E2377" w:rsidRDefault="00666029" w:rsidP="00666029">
      <w:pPr>
        <w:pStyle w:val="Heading3"/>
        <w:rPr>
          <w:lang w:val="en-GB"/>
        </w:rPr>
      </w:pPr>
      <w:bookmarkStart w:id="926" w:name="_Toc12994979"/>
      <w:r w:rsidRPr="000E2377">
        <w:rPr>
          <w:lang w:val="en-GB"/>
        </w:rPr>
        <w:lastRenderedPageBreak/>
        <w:t>5.5 Degree of connectivity and fracture toughness</w:t>
      </w:r>
      <w:bookmarkEnd w:id="926"/>
      <w:r w:rsidRPr="000E2377">
        <w:rPr>
          <w:lang w:val="en-GB"/>
        </w:rPr>
        <w:t xml:space="preserve"> </w:t>
      </w:r>
    </w:p>
    <w:p w14:paraId="31465E14" w14:textId="77777777" w:rsidR="00666029" w:rsidRPr="000E2377" w:rsidRDefault="00666029" w:rsidP="00666029">
      <w:pPr>
        <w:jc w:val="center"/>
        <w:rPr>
          <w:lang w:val="en-GB"/>
        </w:rPr>
      </w:pPr>
      <w:r w:rsidRPr="000E2377">
        <w:rPr>
          <w:noProof/>
          <w:lang w:eastAsia="en-MY"/>
        </w:rPr>
        <mc:AlternateContent>
          <mc:Choice Requires="wps">
            <w:drawing>
              <wp:anchor distT="0" distB="0" distL="114300" distR="114300" simplePos="0" relativeHeight="252588032" behindDoc="0" locked="0" layoutInCell="1" allowOverlap="1" wp14:anchorId="7FC9CE6F" wp14:editId="7C01870F">
                <wp:simplePos x="0" y="0"/>
                <wp:positionH relativeFrom="margin">
                  <wp:align>center</wp:align>
                </wp:positionH>
                <wp:positionV relativeFrom="paragraph">
                  <wp:posOffset>2027194</wp:posOffset>
                </wp:positionV>
                <wp:extent cx="2251710" cy="628015"/>
                <wp:effectExtent l="0" t="0" r="34290" b="19685"/>
                <wp:wrapNone/>
                <wp:docPr id="336" name="Straight Connector 336"/>
                <wp:cNvGraphicFramePr/>
                <a:graphic xmlns:a="http://schemas.openxmlformats.org/drawingml/2006/main">
                  <a:graphicData uri="http://schemas.microsoft.com/office/word/2010/wordprocessingShape">
                    <wps:wsp>
                      <wps:cNvCnPr/>
                      <wps:spPr>
                        <a:xfrm flipV="1">
                          <a:off x="0" y="0"/>
                          <a:ext cx="2251710" cy="628015"/>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57F8DB08" id="Straight Connector 336" o:spid="_x0000_s1026" style="position:absolute;flip:y;z-index:252588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59.6pt" to="177.3pt,20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">
                <v:stroke dashstyle="dash"/>
                <w10:wrap anchorx="margin"/>
              </v:line>
            </w:pict>
          </mc:Fallback>
        </mc:AlternateContent>
      </w:r>
      <w:r w:rsidRPr="000E2377">
        <w:rPr>
          <w:noProof/>
          <w:lang w:eastAsia="en-MY"/>
        </w:rPr>
        <w:drawing>
          <wp:inline distT="0" distB="0" distL="0" distR="0" wp14:anchorId="61A74BB3" wp14:editId="6A0FF89A">
            <wp:extent cx="4427053" cy="3960000"/>
            <wp:effectExtent l="0" t="0" r="0" b="254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427053" cy="3960000"/>
                    </a:xfrm>
                    <a:prstGeom prst="rect">
                      <a:avLst/>
                    </a:prstGeom>
                    <a:noFill/>
                    <a:ln>
                      <a:noFill/>
                    </a:ln>
                  </pic:spPr>
                </pic:pic>
              </a:graphicData>
            </a:graphic>
          </wp:inline>
        </w:drawing>
      </w:r>
    </w:p>
    <w:p w14:paraId="739404CC" w14:textId="0374011F" w:rsidR="00666029" w:rsidRPr="000E2377" w:rsidRDefault="0082632E" w:rsidP="00666029">
      <w:pPr>
        <w:pStyle w:val="Caption"/>
      </w:pPr>
      <w:bookmarkStart w:id="927" w:name="_Toc521420512"/>
      <w:bookmarkStart w:id="928" w:name="_Toc525528395"/>
      <w:bookmarkStart w:id="929" w:name="_Toc525706410"/>
      <w:bookmarkStart w:id="930" w:name="_Hlk515396925"/>
      <w:r>
        <w:t>Figure 5.11:</w:t>
      </w:r>
      <w:r w:rsidR="00666029" w:rsidRPr="000E2377">
        <w:t xml:space="preserve"> Indentation toughness versus polymerisation index</w:t>
      </w:r>
      <w:bookmarkEnd w:id="927"/>
      <w:r w:rsidR="00666029" w:rsidRPr="000E2377">
        <w:t>.</w:t>
      </w:r>
      <w:bookmarkEnd w:id="928"/>
      <w:bookmarkEnd w:id="929"/>
    </w:p>
    <w:bookmarkEnd w:id="930"/>
    <w:p w14:paraId="1088F6A8" w14:textId="7BE3AC70" w:rsidR="00666029" w:rsidRPr="005252ED" w:rsidRDefault="00666029" w:rsidP="00666029">
      <w:pPr>
        <w:spacing w:before="240" w:line="360" w:lineRule="auto"/>
        <w:jc w:val="both"/>
        <w:rPr>
          <w:lang w:val="en-GB"/>
        </w:rPr>
      </w:pPr>
      <w:r>
        <w:rPr>
          <w:b w:val="0"/>
          <w:lang w:val="en-GB"/>
        </w:rPr>
        <w:t>The</w:t>
      </w:r>
      <w:r w:rsidRPr="000E2377">
        <w:rPr>
          <w:b w:val="0"/>
          <w:lang w:val="en-GB"/>
        </w:rPr>
        <w:t xml:space="preserve"> indentation </w:t>
      </w:r>
      <w:r>
        <w:rPr>
          <w:b w:val="0"/>
          <w:lang w:val="en-GB"/>
        </w:rPr>
        <w:t xml:space="preserve">fracture </w:t>
      </w:r>
      <w:r w:rsidRPr="000E2377">
        <w:rPr>
          <w:b w:val="0"/>
          <w:lang w:val="en-GB"/>
        </w:rPr>
        <w:t xml:space="preserve">toughness </w:t>
      </w:r>
      <w:r>
        <w:rPr>
          <w:b w:val="0"/>
          <w:lang w:val="en-GB"/>
        </w:rPr>
        <w:t xml:space="preserve">increases </w:t>
      </w:r>
      <w:r w:rsidRPr="000E2377">
        <w:rPr>
          <w:b w:val="0"/>
          <w:lang w:val="en-GB"/>
        </w:rPr>
        <w:t>with increasing polymerisation index</w:t>
      </w:r>
      <w:r>
        <w:rPr>
          <w:b w:val="0"/>
          <w:lang w:val="en-GB"/>
        </w:rPr>
        <w:t xml:space="preserve"> (more connected structure) as shown in Figure 5.11. As noted previously, h</w:t>
      </w:r>
      <w:r w:rsidRPr="000E2377">
        <w:rPr>
          <w:b w:val="0"/>
          <w:lang w:val="en-GB"/>
        </w:rPr>
        <w:t xml:space="preserve">igher polymerisation index value </w:t>
      </w:r>
      <w:r>
        <w:rPr>
          <w:b w:val="0"/>
          <w:lang w:val="en-GB"/>
        </w:rPr>
        <w:t xml:space="preserve">indicates </w:t>
      </w:r>
      <w:r w:rsidRPr="000E2377">
        <w:rPr>
          <w:b w:val="0"/>
          <w:lang w:val="en-GB"/>
        </w:rPr>
        <w:t>increased</w:t>
      </w:r>
      <w:r>
        <w:rPr>
          <w:b w:val="0"/>
          <w:lang w:val="en-GB"/>
        </w:rPr>
        <w:t xml:space="preserve"> glass</w:t>
      </w:r>
      <w:r w:rsidRPr="000E2377">
        <w:rPr>
          <w:b w:val="0"/>
          <w:lang w:val="en-GB"/>
        </w:rPr>
        <w:t xml:space="preserve"> connectivity.</w:t>
      </w:r>
      <w:r>
        <w:rPr>
          <w:b w:val="0"/>
          <w:lang w:val="en-GB"/>
        </w:rPr>
        <w:t xml:space="preserve"> </w:t>
      </w:r>
      <w:r>
        <w:rPr>
          <w:b w:val="0"/>
          <w:lang w:val="en-GB"/>
        </w:rPr>
        <w:fldChar w:fldCharType="begin" w:fldLock="1"/>
      </w:r>
      <w:r>
        <w:rPr>
          <w:b w:val="0"/>
          <w:lang w:val="en-GB"/>
        </w:rPr>
        <w:instrText>ADDIN CSL_CITATION { "citationItems" : [ { "id" : "ITEM-1", "itemData" : { "DOI" : "10.1016/j.ceramint.2015.01.144", "ISBN" : "0272-8842", "ISSN" : "02728842", "author" : [ { "dropping-particle" : "", "family" : "Tiegel", "given" : "Mirko", "non-dropping-particle" : "", "parse-names" : false, "suffix" : "" }, { "dropping-particle" : "", "family" : "Hosseinabhadi", "given" : "Reza", "non-dropping-particle" : "", "parse-names" : false, "suffix" : "" }, { "dropping-particle" : "", "family" : "Kuhn", "given" : "Stefan", "non-dropping-particle" : "", "parse-names" : false, "suffix" : "" }, { "dropping-particle" : "", "family" : "Herrmann", "given" : "Andreas", "non-dropping-particle" : "", "parse-names" : false, "suffix" : "" }, { "dropping-particle" : "", "family" : "R\u00fcssel", "given" : "Christian", "non-dropping-particle" : "", "parse-names" : false, "suffix" : "" } ], "container-title" : "Ceramics International", "id" : "ITEM-1", "issue" : "6", "issued" : { "date-parts" : [ [ "2015" ] ] }, "page" : "7267-7275", "publisher" : "Elsevier", "title" : "Young\u05f3s modulus, Vickers hardness and indentation fracture toughness of alumino silicate glasses", "type" : "article-journal", "volume" : "41" }, "uris" : [ "http://www.mendeley.com/documents/?uuid=7f12f343-f854-4545-b24e-48ef728c7dd2" ] } ], "mendeley" : { "formattedCitation" : "(Tiegel, Hosseinabhadi, Kuhn, Herrmann, &amp; R\u00fcssel, 2015)", "manualFormatting" : "Tiegel et al., 2015", "plainTextFormattedCitation" : "(Tiegel, Hosseinabhadi, Kuhn, Herrmann, &amp; R\u00fcssel, 2015)", "previouslyFormattedCitation" : "(Tiegel, Hosseinabhadi, Kuhn, Herrmann, &amp; R\u00fcssel, 2015)" }, "properties" : { "noteIndex" : 115 }, "schema" : "https://github.com/citation-style-language/schema/raw/master/csl-citation.json" }</w:instrText>
      </w:r>
      <w:r>
        <w:rPr>
          <w:b w:val="0"/>
          <w:lang w:val="en-GB"/>
        </w:rPr>
        <w:fldChar w:fldCharType="separate"/>
      </w:r>
      <w:r w:rsidRPr="00497011">
        <w:rPr>
          <w:b w:val="0"/>
          <w:noProof/>
          <w:lang w:val="en-GB"/>
        </w:rPr>
        <w:t xml:space="preserve">Tiegel </w:t>
      </w:r>
      <w:r>
        <w:rPr>
          <w:b w:val="0"/>
          <w:noProof/>
          <w:lang w:val="en-GB"/>
        </w:rPr>
        <w:t xml:space="preserve">et al., </w:t>
      </w:r>
      <w:r w:rsidRPr="00497011">
        <w:rPr>
          <w:b w:val="0"/>
          <w:noProof/>
          <w:lang w:val="en-GB"/>
        </w:rPr>
        <w:t>2015</w:t>
      </w:r>
      <w:r>
        <w:rPr>
          <w:b w:val="0"/>
          <w:lang w:val="en-GB"/>
        </w:rPr>
        <w:fldChar w:fldCharType="end"/>
      </w:r>
      <w:r>
        <w:rPr>
          <w:b w:val="0"/>
          <w:lang w:val="en-GB"/>
        </w:rPr>
        <w:t xml:space="preserve"> in their study mentioned that larger densification of glass will lead to a higher resistance to cracking. In addition</w:t>
      </w:r>
      <w:r w:rsidR="008C4D01">
        <w:rPr>
          <w:b w:val="0"/>
          <w:lang w:val="en-GB"/>
        </w:rPr>
        <w:t>,</w:t>
      </w:r>
      <w:r>
        <w:rPr>
          <w:b w:val="0"/>
          <w:lang w:val="en-GB"/>
        </w:rPr>
        <w:t xml:space="preserve"> when the polymerisation index is high the densification of glass under indentation might be higher (due to a more connected network containing more free volume) thus the cracking will be less. </w:t>
      </w:r>
      <w:r w:rsidRPr="000E2377">
        <w:rPr>
          <w:b w:val="0"/>
          <w:lang w:val="en-GB"/>
        </w:rPr>
        <w:t xml:space="preserve">Glass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rFonts w:eastAsia="Times New Roman" w:cs="Times New Roman"/>
          <w:color w:val="000000"/>
          <w:sz w:val="16"/>
          <w:szCs w:val="16"/>
          <w:lang w:eastAsia="en-MY"/>
        </w:rPr>
        <w:t xml:space="preserve"> </w:t>
      </w:r>
      <w:r w:rsidRPr="000E2377">
        <w:rPr>
          <w:b w:val="0"/>
          <w:lang w:val="en-GB"/>
        </w:rPr>
        <w:t xml:space="preserve">give </w:t>
      </w:r>
      <w:r>
        <w:rPr>
          <w:b w:val="0"/>
          <w:lang w:val="en-GB"/>
        </w:rPr>
        <w:t xml:space="preserve">the </w:t>
      </w:r>
      <w:r w:rsidRPr="000E2377">
        <w:rPr>
          <w:b w:val="0"/>
          <w:lang w:val="en-GB"/>
        </w:rPr>
        <w:t>highe</w:t>
      </w:r>
      <w:r>
        <w:rPr>
          <w:b w:val="0"/>
          <w:lang w:val="en-GB"/>
        </w:rPr>
        <w:t>st</w:t>
      </w:r>
      <w:r w:rsidRPr="000E2377">
        <w:rPr>
          <w:b w:val="0"/>
          <w:lang w:val="en-GB"/>
        </w:rPr>
        <w:t xml:space="preserve"> polymerisation ind</w:t>
      </w:r>
      <w:r>
        <w:rPr>
          <w:b w:val="0"/>
          <w:lang w:val="en-GB"/>
        </w:rPr>
        <w:t>ices</w:t>
      </w:r>
      <w:r w:rsidRPr="000E2377">
        <w:rPr>
          <w:b w:val="0"/>
          <w:lang w:val="en-GB"/>
        </w:rPr>
        <w:t xml:space="preserve"> and high indentation </w:t>
      </w:r>
      <w:proofErr w:type="spellStart"/>
      <w:r w:rsidRPr="000E2377">
        <w:rPr>
          <w:b w:val="0"/>
          <w:lang w:val="en-GB"/>
        </w:rPr>
        <w:t>toughness</w:t>
      </w:r>
      <w:r>
        <w:rPr>
          <w:b w:val="0"/>
          <w:lang w:val="en-GB"/>
        </w:rPr>
        <w:t>es</w:t>
      </w:r>
      <w:proofErr w:type="spellEnd"/>
      <w:r w:rsidRPr="00A612F2">
        <w:rPr>
          <w:b w:val="0"/>
          <w:lang w:val="en-GB"/>
        </w:rPr>
        <w:t>.</w:t>
      </w:r>
      <w:r>
        <w:rPr>
          <w:b w:val="0"/>
          <w:lang w:val="en-GB"/>
        </w:rPr>
        <w:t xml:space="preserve"> The high polymerisation indices are also confirmed by the </w:t>
      </w:r>
      <w:proofErr w:type="spellStart"/>
      <w:r>
        <w:rPr>
          <w:b w:val="0"/>
          <w:lang w:val="en-GB"/>
        </w:rPr>
        <w:t>Q</w:t>
      </w:r>
      <w:r w:rsidRPr="005252ED">
        <w:rPr>
          <w:b w:val="0"/>
          <w:vertAlign w:val="superscript"/>
          <w:lang w:val="en-GB"/>
        </w:rPr>
        <w:t>n</w:t>
      </w:r>
      <w:proofErr w:type="spellEnd"/>
      <w:r>
        <w:rPr>
          <w:b w:val="0"/>
          <w:lang w:val="en-GB"/>
        </w:rPr>
        <w:t xml:space="preserve"> species determined by NMR which shows Q</w:t>
      </w:r>
      <w:r w:rsidRPr="00BB0185">
        <w:rPr>
          <w:b w:val="0"/>
          <w:vertAlign w:val="superscript"/>
          <w:lang w:val="en-GB"/>
        </w:rPr>
        <w:t>4</w:t>
      </w:r>
      <w:r>
        <w:rPr>
          <w:b w:val="0"/>
          <w:lang w:val="en-GB"/>
        </w:rPr>
        <w:t xml:space="preserve"> are highest in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Pr>
          <w:rFonts w:eastAsia="Times New Roman" w:cs="Times New Roman"/>
          <w:b w:val="0"/>
          <w:color w:val="000000"/>
          <w:szCs w:val="24"/>
          <w:vertAlign w:val="subscript"/>
          <w:lang w:eastAsia="en-MY"/>
        </w:rPr>
        <w:t xml:space="preserve"> </w:t>
      </w:r>
      <w:r>
        <w:rPr>
          <w:rFonts w:eastAsia="Times New Roman" w:cs="Times New Roman"/>
          <w:b w:val="0"/>
          <w:color w:val="000000"/>
          <w:szCs w:val="24"/>
          <w:lang w:eastAsia="en-MY"/>
        </w:rPr>
        <w:t>with more than 90 % of Q</w:t>
      </w:r>
      <w:r w:rsidRPr="005252ED">
        <w:rPr>
          <w:rFonts w:eastAsia="Times New Roman" w:cs="Times New Roman"/>
          <w:b w:val="0"/>
          <w:color w:val="000000"/>
          <w:szCs w:val="24"/>
          <w:vertAlign w:val="superscript"/>
          <w:lang w:eastAsia="en-MY"/>
        </w:rPr>
        <w:t>4</w:t>
      </w:r>
      <w:r>
        <w:rPr>
          <w:rFonts w:eastAsia="Times New Roman" w:cs="Times New Roman"/>
          <w:b w:val="0"/>
          <w:color w:val="000000"/>
          <w:szCs w:val="24"/>
          <w:lang w:eastAsia="en-MY"/>
        </w:rPr>
        <w:t xml:space="preserve">. </w:t>
      </w:r>
    </w:p>
    <w:p w14:paraId="716B37E9" w14:textId="77777777" w:rsidR="00666029" w:rsidRPr="000E2377" w:rsidRDefault="00666029" w:rsidP="00666029">
      <w:pPr>
        <w:pStyle w:val="Heading3"/>
      </w:pPr>
      <w:bookmarkStart w:id="931" w:name="_Toc515398744"/>
      <w:bookmarkStart w:id="932" w:name="_Toc523402943"/>
      <w:bookmarkStart w:id="933" w:name="_Toc525526454"/>
      <w:bookmarkStart w:id="934" w:name="_Toc525707879"/>
      <w:bookmarkStart w:id="935" w:name="_Toc525742544"/>
      <w:bookmarkStart w:id="936" w:name="_Toc12994980"/>
      <w:r w:rsidRPr="000E2377">
        <w:lastRenderedPageBreak/>
        <w:t>5.6 Variation of fracture toughness with Poisson’s ratio and modulus</w:t>
      </w:r>
      <w:bookmarkEnd w:id="931"/>
      <w:bookmarkEnd w:id="932"/>
      <w:bookmarkEnd w:id="933"/>
      <w:bookmarkEnd w:id="934"/>
      <w:bookmarkEnd w:id="935"/>
      <w:bookmarkEnd w:id="936"/>
    </w:p>
    <w:p w14:paraId="394CDE48" w14:textId="77777777" w:rsidR="00666029" w:rsidRPr="000E2377" w:rsidRDefault="00666029" w:rsidP="00666029">
      <w:pPr>
        <w:jc w:val="center"/>
      </w:pPr>
      <w:r>
        <w:rPr>
          <w:noProof/>
          <w:lang w:eastAsia="en-MY"/>
        </w:rPr>
        <mc:AlternateContent>
          <mc:Choice Requires="wps">
            <w:drawing>
              <wp:anchor distT="0" distB="0" distL="114300" distR="114300" simplePos="0" relativeHeight="252603392" behindDoc="0" locked="0" layoutInCell="1" allowOverlap="1" wp14:anchorId="01C11F57" wp14:editId="68DBF597">
                <wp:simplePos x="0" y="0"/>
                <wp:positionH relativeFrom="column">
                  <wp:posOffset>4166886</wp:posOffset>
                </wp:positionH>
                <wp:positionV relativeFrom="paragraph">
                  <wp:posOffset>2549758</wp:posOffset>
                </wp:positionV>
                <wp:extent cx="104172" cy="92598"/>
                <wp:effectExtent l="38100" t="38100" r="29210" b="22225"/>
                <wp:wrapNone/>
                <wp:docPr id="1774" name="Straight Arrow Connector 1774"/>
                <wp:cNvGraphicFramePr/>
                <a:graphic xmlns:a="http://schemas.openxmlformats.org/drawingml/2006/main">
                  <a:graphicData uri="http://schemas.microsoft.com/office/word/2010/wordprocessingShape">
                    <wps:wsp>
                      <wps:cNvCnPr/>
                      <wps:spPr>
                        <a:xfrm flipH="1" flipV="1">
                          <a:off x="0" y="0"/>
                          <a:ext cx="104172" cy="9259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9040EBF" id="Straight Arrow Connector 1774" o:spid="_x0000_s1026" type="#_x0000_t32" style="position:absolute;margin-left:328.1pt;margin-top:200.75pt;width:8.2pt;height:7.3pt;flip:x y;z-index:252603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" strokecolor="black [3040]">
                <v:stroke endarrow="block"/>
              </v:shape>
            </w:pict>
          </mc:Fallback>
        </mc:AlternateContent>
      </w:r>
      <w:r>
        <w:rPr>
          <w:noProof/>
          <w:lang w:eastAsia="en-MY"/>
        </w:rPr>
        <mc:AlternateContent>
          <mc:Choice Requires="wps">
            <w:drawing>
              <wp:anchor distT="0" distB="0" distL="114300" distR="114300" simplePos="0" relativeHeight="252602368" behindDoc="0" locked="0" layoutInCell="1" allowOverlap="1" wp14:anchorId="59698968" wp14:editId="40C94CAC">
                <wp:simplePos x="0" y="0"/>
                <wp:positionH relativeFrom="column">
                  <wp:posOffset>3719316</wp:posOffset>
                </wp:positionH>
                <wp:positionV relativeFrom="paragraph">
                  <wp:posOffset>2595880</wp:posOffset>
                </wp:positionV>
                <wp:extent cx="949124" cy="254643"/>
                <wp:effectExtent l="0" t="0" r="0" b="0"/>
                <wp:wrapNone/>
                <wp:docPr id="337" name="Text Box 337"/>
                <wp:cNvGraphicFramePr/>
                <a:graphic xmlns:a="http://schemas.openxmlformats.org/drawingml/2006/main">
                  <a:graphicData uri="http://schemas.microsoft.com/office/word/2010/wordprocessingShape">
                    <wps:wsp>
                      <wps:cNvSpPr txBox="1"/>
                      <wps:spPr>
                        <a:xfrm>
                          <a:off x="0" y="0"/>
                          <a:ext cx="949124" cy="254643"/>
                        </a:xfrm>
                        <a:prstGeom prst="rect">
                          <a:avLst/>
                        </a:prstGeom>
                        <a:noFill/>
                        <a:ln w="6350">
                          <a:noFill/>
                        </a:ln>
                      </wps:spPr>
                      <wps:txbx>
                        <w:txbxContent>
                          <w:p w14:paraId="5177A1C0" w14:textId="77777777" w:rsidR="00230AB9" w:rsidRPr="004C4D06" w:rsidRDefault="00230AB9" w:rsidP="00666029">
                            <w:pPr>
                              <w:rPr>
                                <w:sz w:val="16"/>
                                <w:szCs w:val="16"/>
                              </w:rPr>
                            </w:pPr>
                            <w:r w:rsidRPr="004C4D06">
                              <w:rPr>
                                <w:rFonts w:eastAsia="Times New Roman" w:cs="Times New Roman"/>
                                <w:b w:val="0"/>
                                <w:color w:val="000000"/>
                                <w:sz w:val="16"/>
                                <w:szCs w:val="16"/>
                                <w:lang w:eastAsia="en-MY"/>
                              </w:rPr>
                              <w:t>N</w:t>
                            </w:r>
                            <w:r w:rsidRPr="004C4D06">
                              <w:rPr>
                                <w:rFonts w:eastAsia="Times New Roman" w:cs="Times New Roman"/>
                                <w:b w:val="0"/>
                                <w:color w:val="000000"/>
                                <w:sz w:val="16"/>
                                <w:szCs w:val="16"/>
                                <w:vertAlign w:val="subscript"/>
                                <w:lang w:eastAsia="en-MY"/>
                              </w:rPr>
                              <w:t>15</w:t>
                            </w:r>
                            <w:r w:rsidRPr="004C4D06">
                              <w:rPr>
                                <w:rFonts w:eastAsia="Times New Roman" w:cs="Times New Roman"/>
                                <w:b w:val="0"/>
                                <w:color w:val="000000"/>
                                <w:sz w:val="16"/>
                                <w:szCs w:val="16"/>
                                <w:lang w:eastAsia="en-MY"/>
                              </w:rPr>
                              <w:t>C</w:t>
                            </w:r>
                            <w:r w:rsidRPr="004C4D06">
                              <w:rPr>
                                <w:rFonts w:eastAsia="Times New Roman" w:cs="Times New Roman"/>
                                <w:b w:val="0"/>
                                <w:color w:val="000000"/>
                                <w:sz w:val="16"/>
                                <w:szCs w:val="16"/>
                                <w:vertAlign w:val="subscript"/>
                                <w:lang w:eastAsia="en-MY"/>
                              </w:rPr>
                              <w:t>12.5</w:t>
                            </w:r>
                            <w:r w:rsidRPr="004C4D06">
                              <w:rPr>
                                <w:rFonts w:eastAsia="Times New Roman" w:cs="Times New Roman"/>
                                <w:b w:val="0"/>
                                <w:color w:val="000000"/>
                                <w:sz w:val="16"/>
                                <w:szCs w:val="16"/>
                                <w:lang w:eastAsia="en-MY"/>
                              </w:rPr>
                              <w:t>A</w:t>
                            </w:r>
                            <w:r w:rsidRPr="004C4D06">
                              <w:rPr>
                                <w:rFonts w:eastAsia="Times New Roman" w:cs="Times New Roman"/>
                                <w:b w:val="0"/>
                                <w:color w:val="000000"/>
                                <w:sz w:val="16"/>
                                <w:szCs w:val="16"/>
                                <w:vertAlign w:val="subscript"/>
                                <w:lang w:eastAsia="en-MY"/>
                              </w:rPr>
                              <w:t>2</w:t>
                            </w:r>
                            <w:r w:rsidRPr="004C4D06">
                              <w:rPr>
                                <w:rFonts w:eastAsia="Times New Roman" w:cs="Times New Roman"/>
                                <w:b w:val="0"/>
                                <w:color w:val="000000"/>
                                <w:sz w:val="16"/>
                                <w:szCs w:val="16"/>
                                <w:lang w:eastAsia="en-MY"/>
                              </w:rPr>
                              <w:t>B</w:t>
                            </w:r>
                            <w:r w:rsidRPr="004C4D06">
                              <w:rPr>
                                <w:rFonts w:eastAsia="Times New Roman" w:cs="Times New Roman"/>
                                <w:b w:val="0"/>
                                <w:color w:val="000000"/>
                                <w:sz w:val="16"/>
                                <w:szCs w:val="16"/>
                                <w:vertAlign w:val="subscript"/>
                                <w:lang w:eastAsia="en-MY"/>
                              </w:rPr>
                              <w:t>10</w:t>
                            </w:r>
                            <w:r w:rsidRPr="004C4D06">
                              <w:rPr>
                                <w:rFonts w:eastAsia="Times New Roman" w:cs="Times New Roman"/>
                                <w:b w:val="0"/>
                                <w:color w:val="000000"/>
                                <w:sz w:val="16"/>
                                <w:szCs w:val="16"/>
                                <w:lang w:eastAsia="en-MY"/>
                              </w:rPr>
                              <w:t>S</w:t>
                            </w:r>
                            <w:r w:rsidRPr="004C4D06">
                              <w:rPr>
                                <w:rFonts w:eastAsia="Times New Roman" w:cs="Times New Roman"/>
                                <w:b w:val="0"/>
                                <w:color w:val="000000"/>
                                <w:sz w:val="16"/>
                                <w:szCs w:val="16"/>
                                <w:vertAlign w:val="subscript"/>
                                <w:lang w:eastAsia="en-MY"/>
                              </w:rPr>
                              <w:t>60.5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98968" id="Text Box 337" o:spid="_x0000_s1383" type="#_x0000_t202" style="position:absolute;left:0;text-align:left;margin-left:292.85pt;margin-top:204.4pt;width:74.75pt;height:20.05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" filled="f" stroked="f" strokeweight=".5pt">
                <v:textbox>
                  <w:txbxContent>
                    <w:p w14:paraId="5177A1C0" w14:textId="77777777" w:rsidR="00230AB9" w:rsidRPr="004C4D06" w:rsidRDefault="00230AB9" w:rsidP="00666029">
                      <w:pPr>
                        <w:rPr>
                          <w:sz w:val="16"/>
                          <w:szCs w:val="16"/>
                        </w:rPr>
                      </w:pPr>
                      <w:r w:rsidRPr="004C4D06">
                        <w:rPr>
                          <w:rFonts w:eastAsia="Times New Roman" w:cs="Times New Roman"/>
                          <w:b w:val="0"/>
                          <w:color w:val="000000"/>
                          <w:sz w:val="16"/>
                          <w:szCs w:val="16"/>
                          <w:lang w:eastAsia="en-MY"/>
                        </w:rPr>
                        <w:t>N</w:t>
                      </w:r>
                      <w:r w:rsidRPr="004C4D06">
                        <w:rPr>
                          <w:rFonts w:eastAsia="Times New Roman" w:cs="Times New Roman"/>
                          <w:b w:val="0"/>
                          <w:color w:val="000000"/>
                          <w:sz w:val="16"/>
                          <w:szCs w:val="16"/>
                          <w:vertAlign w:val="subscript"/>
                          <w:lang w:eastAsia="en-MY"/>
                        </w:rPr>
                        <w:t>15</w:t>
                      </w:r>
                      <w:r w:rsidRPr="004C4D06">
                        <w:rPr>
                          <w:rFonts w:eastAsia="Times New Roman" w:cs="Times New Roman"/>
                          <w:b w:val="0"/>
                          <w:color w:val="000000"/>
                          <w:sz w:val="16"/>
                          <w:szCs w:val="16"/>
                          <w:lang w:eastAsia="en-MY"/>
                        </w:rPr>
                        <w:t>C</w:t>
                      </w:r>
                      <w:r w:rsidRPr="004C4D06">
                        <w:rPr>
                          <w:rFonts w:eastAsia="Times New Roman" w:cs="Times New Roman"/>
                          <w:b w:val="0"/>
                          <w:color w:val="000000"/>
                          <w:sz w:val="16"/>
                          <w:szCs w:val="16"/>
                          <w:vertAlign w:val="subscript"/>
                          <w:lang w:eastAsia="en-MY"/>
                        </w:rPr>
                        <w:t>12.5</w:t>
                      </w:r>
                      <w:r w:rsidRPr="004C4D06">
                        <w:rPr>
                          <w:rFonts w:eastAsia="Times New Roman" w:cs="Times New Roman"/>
                          <w:b w:val="0"/>
                          <w:color w:val="000000"/>
                          <w:sz w:val="16"/>
                          <w:szCs w:val="16"/>
                          <w:lang w:eastAsia="en-MY"/>
                        </w:rPr>
                        <w:t>A</w:t>
                      </w:r>
                      <w:r w:rsidRPr="004C4D06">
                        <w:rPr>
                          <w:rFonts w:eastAsia="Times New Roman" w:cs="Times New Roman"/>
                          <w:b w:val="0"/>
                          <w:color w:val="000000"/>
                          <w:sz w:val="16"/>
                          <w:szCs w:val="16"/>
                          <w:vertAlign w:val="subscript"/>
                          <w:lang w:eastAsia="en-MY"/>
                        </w:rPr>
                        <w:t>2</w:t>
                      </w:r>
                      <w:r w:rsidRPr="004C4D06">
                        <w:rPr>
                          <w:rFonts w:eastAsia="Times New Roman" w:cs="Times New Roman"/>
                          <w:b w:val="0"/>
                          <w:color w:val="000000"/>
                          <w:sz w:val="16"/>
                          <w:szCs w:val="16"/>
                          <w:lang w:eastAsia="en-MY"/>
                        </w:rPr>
                        <w:t>B</w:t>
                      </w:r>
                      <w:r w:rsidRPr="004C4D06">
                        <w:rPr>
                          <w:rFonts w:eastAsia="Times New Roman" w:cs="Times New Roman"/>
                          <w:b w:val="0"/>
                          <w:color w:val="000000"/>
                          <w:sz w:val="16"/>
                          <w:szCs w:val="16"/>
                          <w:vertAlign w:val="subscript"/>
                          <w:lang w:eastAsia="en-MY"/>
                        </w:rPr>
                        <w:t>10</w:t>
                      </w:r>
                      <w:r w:rsidRPr="004C4D06">
                        <w:rPr>
                          <w:rFonts w:eastAsia="Times New Roman" w:cs="Times New Roman"/>
                          <w:b w:val="0"/>
                          <w:color w:val="000000"/>
                          <w:sz w:val="16"/>
                          <w:szCs w:val="16"/>
                          <w:lang w:eastAsia="en-MY"/>
                        </w:rPr>
                        <w:t>S</w:t>
                      </w:r>
                      <w:r w:rsidRPr="004C4D06">
                        <w:rPr>
                          <w:rFonts w:eastAsia="Times New Roman" w:cs="Times New Roman"/>
                          <w:b w:val="0"/>
                          <w:color w:val="000000"/>
                          <w:sz w:val="16"/>
                          <w:szCs w:val="16"/>
                          <w:vertAlign w:val="subscript"/>
                          <w:lang w:eastAsia="en-MY"/>
                        </w:rPr>
                        <w:t>60.5</w:t>
                      </w:r>
                    </w:p>
                  </w:txbxContent>
                </v:textbox>
              </v:shape>
            </w:pict>
          </mc:Fallback>
        </mc:AlternateContent>
      </w:r>
      <w:r>
        <w:rPr>
          <w:noProof/>
          <w:lang w:eastAsia="en-MY"/>
        </w:rPr>
        <mc:AlternateContent>
          <mc:Choice Requires="wps">
            <w:drawing>
              <wp:anchor distT="0" distB="0" distL="114300" distR="114300" simplePos="0" relativeHeight="252598272" behindDoc="0" locked="0" layoutInCell="1" allowOverlap="1" wp14:anchorId="058F3FED" wp14:editId="6394079D">
                <wp:simplePos x="0" y="0"/>
                <wp:positionH relativeFrom="column">
                  <wp:posOffset>2705100</wp:posOffset>
                </wp:positionH>
                <wp:positionV relativeFrom="paragraph">
                  <wp:posOffset>5709285</wp:posOffset>
                </wp:positionV>
                <wp:extent cx="828675" cy="352425"/>
                <wp:effectExtent l="0" t="0" r="0" b="0"/>
                <wp:wrapNone/>
                <wp:docPr id="338" name="Text Box 338"/>
                <wp:cNvGraphicFramePr/>
                <a:graphic xmlns:a="http://schemas.openxmlformats.org/drawingml/2006/main">
                  <a:graphicData uri="http://schemas.microsoft.com/office/word/2010/wordprocessingShape">
                    <wps:wsp>
                      <wps:cNvSpPr txBox="1"/>
                      <wps:spPr>
                        <a:xfrm>
                          <a:off x="0" y="0"/>
                          <a:ext cx="828675" cy="352425"/>
                        </a:xfrm>
                        <a:prstGeom prst="rect">
                          <a:avLst/>
                        </a:prstGeom>
                        <a:noFill/>
                        <a:ln w="6350">
                          <a:noFill/>
                        </a:ln>
                      </wps:spPr>
                      <wps:txbx>
                        <w:txbxContent>
                          <w:p w14:paraId="0DD7A7D8" w14:textId="77777777" w:rsidR="00230AB9" w:rsidRPr="008923FF" w:rsidRDefault="00230AB9" w:rsidP="00666029">
                            <w:pPr>
                              <w:jc w:val="center"/>
                              <w:rPr>
                                <w:sz w:val="16"/>
                                <w:szCs w:val="16"/>
                              </w:rPr>
                            </w:pPr>
                            <w:r w:rsidRPr="008923FF">
                              <w:rPr>
                                <w:rFonts w:eastAsia="Times New Roman" w:cs="Times New Roman"/>
                                <w:b w:val="0"/>
                                <w:color w:val="000000"/>
                                <w:sz w:val="16"/>
                                <w:szCs w:val="16"/>
                                <w:lang w:eastAsia="en-MY"/>
                              </w:rPr>
                              <w:t>N</w:t>
                            </w:r>
                            <w:r w:rsidRPr="008923FF">
                              <w:rPr>
                                <w:rFonts w:eastAsia="Times New Roman" w:cs="Times New Roman"/>
                                <w:b w:val="0"/>
                                <w:color w:val="000000"/>
                                <w:sz w:val="16"/>
                                <w:szCs w:val="16"/>
                                <w:vertAlign w:val="subscript"/>
                                <w:lang w:eastAsia="en-MY"/>
                              </w:rPr>
                              <w:t>15</w:t>
                            </w:r>
                            <w:r w:rsidRPr="008923FF">
                              <w:rPr>
                                <w:rFonts w:eastAsia="Times New Roman" w:cs="Times New Roman"/>
                                <w:b w:val="0"/>
                                <w:color w:val="000000"/>
                                <w:sz w:val="16"/>
                                <w:szCs w:val="16"/>
                                <w:lang w:eastAsia="en-MY"/>
                              </w:rPr>
                              <w:t>C</w:t>
                            </w:r>
                            <w:r w:rsidRPr="008923FF">
                              <w:rPr>
                                <w:rFonts w:eastAsia="Times New Roman" w:cs="Times New Roman"/>
                                <w:b w:val="0"/>
                                <w:color w:val="000000"/>
                                <w:sz w:val="16"/>
                                <w:szCs w:val="16"/>
                                <w:vertAlign w:val="subscript"/>
                                <w:lang w:eastAsia="en-MY"/>
                              </w:rPr>
                              <w:t>10</w:t>
                            </w:r>
                            <w:r w:rsidRPr="008923FF">
                              <w:rPr>
                                <w:rFonts w:eastAsia="Times New Roman" w:cs="Times New Roman"/>
                                <w:b w:val="0"/>
                                <w:color w:val="000000"/>
                                <w:sz w:val="16"/>
                                <w:szCs w:val="16"/>
                                <w:lang w:eastAsia="en-MY"/>
                              </w:rPr>
                              <w:t>A</w:t>
                            </w:r>
                            <w:r w:rsidRPr="008923FF">
                              <w:rPr>
                                <w:rFonts w:eastAsia="Times New Roman" w:cs="Times New Roman"/>
                                <w:b w:val="0"/>
                                <w:color w:val="000000"/>
                                <w:sz w:val="16"/>
                                <w:szCs w:val="16"/>
                                <w:vertAlign w:val="subscript"/>
                                <w:lang w:eastAsia="en-MY"/>
                              </w:rPr>
                              <w:t>5</w:t>
                            </w:r>
                            <w:r w:rsidRPr="008923FF">
                              <w:rPr>
                                <w:rFonts w:eastAsia="Times New Roman" w:cs="Times New Roman"/>
                                <w:b w:val="0"/>
                                <w:color w:val="000000"/>
                                <w:sz w:val="16"/>
                                <w:szCs w:val="16"/>
                                <w:lang w:eastAsia="en-MY"/>
                              </w:rPr>
                              <w:t>B</w:t>
                            </w:r>
                            <w:r w:rsidRPr="008923FF">
                              <w:rPr>
                                <w:rFonts w:eastAsia="Times New Roman" w:cs="Times New Roman"/>
                                <w:b w:val="0"/>
                                <w:color w:val="000000"/>
                                <w:sz w:val="16"/>
                                <w:szCs w:val="16"/>
                                <w:vertAlign w:val="subscript"/>
                                <w:lang w:eastAsia="en-MY"/>
                              </w:rPr>
                              <w:t>10</w:t>
                            </w:r>
                            <w:r w:rsidRPr="008923FF">
                              <w:rPr>
                                <w:rFonts w:eastAsia="Times New Roman" w:cs="Times New Roman"/>
                                <w:b w:val="0"/>
                                <w:color w:val="000000"/>
                                <w:sz w:val="16"/>
                                <w:szCs w:val="16"/>
                                <w:lang w:eastAsia="en-MY"/>
                              </w:rPr>
                              <w:t>S</w:t>
                            </w:r>
                            <w:r w:rsidRPr="008923FF">
                              <w:rPr>
                                <w:rFonts w:eastAsia="Times New Roman" w:cs="Times New Roman"/>
                                <w:b w:val="0"/>
                                <w:color w:val="000000"/>
                                <w:sz w:val="16"/>
                                <w:szCs w:val="16"/>
                                <w:vertAlign w:val="subscript"/>
                                <w:lang w:eastAsia="en-MY"/>
                              </w:rPr>
                              <w:t>60</w:t>
                            </w:r>
                            <w:r>
                              <w:rPr>
                                <w:rFonts w:eastAsia="Times New Roman" w:cs="Times New Roman"/>
                                <w:b w:val="0"/>
                                <w:color w:val="000000"/>
                                <w:sz w:val="16"/>
                                <w:szCs w:val="16"/>
                                <w:vertAlign w:val="subscript"/>
                                <w:lang w:eastAsia="en-MY"/>
                              </w:rPr>
                              <w:t xml:space="preserve"> </w:t>
                            </w:r>
                            <w:r>
                              <w:rPr>
                                <w:rFonts w:eastAsia="Times New Roman" w:cs="Times New Roman"/>
                                <w:b w:val="0"/>
                                <w:color w:val="000000"/>
                                <w:sz w:val="12"/>
                                <w:szCs w:val="12"/>
                                <w:lang w:eastAsia="en-MY"/>
                              </w:rPr>
                              <w:t>Q</w:t>
                            </w:r>
                            <w:r w:rsidRPr="00C620C6">
                              <w:rPr>
                                <w:rFonts w:eastAsia="Times New Roman" w:cs="Times New Roman"/>
                                <w:b w:val="0"/>
                                <w:color w:val="000000"/>
                                <w:sz w:val="12"/>
                                <w:szCs w:val="12"/>
                                <w:vertAlign w:val="superscript"/>
                                <w:lang w:eastAsia="en-MY"/>
                              </w:rPr>
                              <w:t>4</w:t>
                            </w:r>
                            <w:r w:rsidRPr="00C620C6">
                              <w:rPr>
                                <w:rFonts w:eastAsia="Times New Roman" w:cs="Times New Roman"/>
                                <w:b w:val="0"/>
                                <w:color w:val="000000"/>
                                <w:sz w:val="12"/>
                                <w:szCs w:val="12"/>
                                <w:lang w:eastAsia="en-MY"/>
                              </w:rPr>
                              <w:t>: 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F3FED" id="Text Box 338" o:spid="_x0000_s1384" type="#_x0000_t202" style="position:absolute;left:0;text-align:left;margin-left:213pt;margin-top:449.55pt;width:65.25pt;height:27.75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" filled="f" stroked="f" strokeweight=".5pt">
                <v:textbox>
                  <w:txbxContent>
                    <w:p w14:paraId="0DD7A7D8" w14:textId="77777777" w:rsidR="00230AB9" w:rsidRPr="008923FF" w:rsidRDefault="00230AB9" w:rsidP="00666029">
                      <w:pPr>
                        <w:jc w:val="center"/>
                        <w:rPr>
                          <w:sz w:val="16"/>
                          <w:szCs w:val="16"/>
                        </w:rPr>
                      </w:pPr>
                      <w:r w:rsidRPr="008923FF">
                        <w:rPr>
                          <w:rFonts w:eastAsia="Times New Roman" w:cs="Times New Roman"/>
                          <w:b w:val="0"/>
                          <w:color w:val="000000"/>
                          <w:sz w:val="16"/>
                          <w:szCs w:val="16"/>
                          <w:lang w:eastAsia="en-MY"/>
                        </w:rPr>
                        <w:t>N</w:t>
                      </w:r>
                      <w:r w:rsidRPr="008923FF">
                        <w:rPr>
                          <w:rFonts w:eastAsia="Times New Roman" w:cs="Times New Roman"/>
                          <w:b w:val="0"/>
                          <w:color w:val="000000"/>
                          <w:sz w:val="16"/>
                          <w:szCs w:val="16"/>
                          <w:vertAlign w:val="subscript"/>
                          <w:lang w:eastAsia="en-MY"/>
                        </w:rPr>
                        <w:t>15</w:t>
                      </w:r>
                      <w:r w:rsidRPr="008923FF">
                        <w:rPr>
                          <w:rFonts w:eastAsia="Times New Roman" w:cs="Times New Roman"/>
                          <w:b w:val="0"/>
                          <w:color w:val="000000"/>
                          <w:sz w:val="16"/>
                          <w:szCs w:val="16"/>
                          <w:lang w:eastAsia="en-MY"/>
                        </w:rPr>
                        <w:t>C</w:t>
                      </w:r>
                      <w:r w:rsidRPr="008923FF">
                        <w:rPr>
                          <w:rFonts w:eastAsia="Times New Roman" w:cs="Times New Roman"/>
                          <w:b w:val="0"/>
                          <w:color w:val="000000"/>
                          <w:sz w:val="16"/>
                          <w:szCs w:val="16"/>
                          <w:vertAlign w:val="subscript"/>
                          <w:lang w:eastAsia="en-MY"/>
                        </w:rPr>
                        <w:t>10</w:t>
                      </w:r>
                      <w:r w:rsidRPr="008923FF">
                        <w:rPr>
                          <w:rFonts w:eastAsia="Times New Roman" w:cs="Times New Roman"/>
                          <w:b w:val="0"/>
                          <w:color w:val="000000"/>
                          <w:sz w:val="16"/>
                          <w:szCs w:val="16"/>
                          <w:lang w:eastAsia="en-MY"/>
                        </w:rPr>
                        <w:t>A</w:t>
                      </w:r>
                      <w:r w:rsidRPr="008923FF">
                        <w:rPr>
                          <w:rFonts w:eastAsia="Times New Roman" w:cs="Times New Roman"/>
                          <w:b w:val="0"/>
                          <w:color w:val="000000"/>
                          <w:sz w:val="16"/>
                          <w:szCs w:val="16"/>
                          <w:vertAlign w:val="subscript"/>
                          <w:lang w:eastAsia="en-MY"/>
                        </w:rPr>
                        <w:t>5</w:t>
                      </w:r>
                      <w:r w:rsidRPr="008923FF">
                        <w:rPr>
                          <w:rFonts w:eastAsia="Times New Roman" w:cs="Times New Roman"/>
                          <w:b w:val="0"/>
                          <w:color w:val="000000"/>
                          <w:sz w:val="16"/>
                          <w:szCs w:val="16"/>
                          <w:lang w:eastAsia="en-MY"/>
                        </w:rPr>
                        <w:t>B</w:t>
                      </w:r>
                      <w:r w:rsidRPr="008923FF">
                        <w:rPr>
                          <w:rFonts w:eastAsia="Times New Roman" w:cs="Times New Roman"/>
                          <w:b w:val="0"/>
                          <w:color w:val="000000"/>
                          <w:sz w:val="16"/>
                          <w:szCs w:val="16"/>
                          <w:vertAlign w:val="subscript"/>
                          <w:lang w:eastAsia="en-MY"/>
                        </w:rPr>
                        <w:t>10</w:t>
                      </w:r>
                      <w:r w:rsidRPr="008923FF">
                        <w:rPr>
                          <w:rFonts w:eastAsia="Times New Roman" w:cs="Times New Roman"/>
                          <w:b w:val="0"/>
                          <w:color w:val="000000"/>
                          <w:sz w:val="16"/>
                          <w:szCs w:val="16"/>
                          <w:lang w:eastAsia="en-MY"/>
                        </w:rPr>
                        <w:t>S</w:t>
                      </w:r>
                      <w:r w:rsidRPr="008923FF">
                        <w:rPr>
                          <w:rFonts w:eastAsia="Times New Roman" w:cs="Times New Roman"/>
                          <w:b w:val="0"/>
                          <w:color w:val="000000"/>
                          <w:sz w:val="16"/>
                          <w:szCs w:val="16"/>
                          <w:vertAlign w:val="subscript"/>
                          <w:lang w:eastAsia="en-MY"/>
                        </w:rPr>
                        <w:t>60</w:t>
                      </w:r>
                      <w:r>
                        <w:rPr>
                          <w:rFonts w:eastAsia="Times New Roman" w:cs="Times New Roman"/>
                          <w:b w:val="0"/>
                          <w:color w:val="000000"/>
                          <w:sz w:val="16"/>
                          <w:szCs w:val="16"/>
                          <w:vertAlign w:val="subscript"/>
                          <w:lang w:eastAsia="en-MY"/>
                        </w:rPr>
                        <w:t xml:space="preserve"> </w:t>
                      </w:r>
                      <w:r>
                        <w:rPr>
                          <w:rFonts w:eastAsia="Times New Roman" w:cs="Times New Roman"/>
                          <w:b w:val="0"/>
                          <w:color w:val="000000"/>
                          <w:sz w:val="12"/>
                          <w:szCs w:val="12"/>
                          <w:lang w:eastAsia="en-MY"/>
                        </w:rPr>
                        <w:t>Q</w:t>
                      </w:r>
                      <w:r w:rsidRPr="00C620C6">
                        <w:rPr>
                          <w:rFonts w:eastAsia="Times New Roman" w:cs="Times New Roman"/>
                          <w:b w:val="0"/>
                          <w:color w:val="000000"/>
                          <w:sz w:val="12"/>
                          <w:szCs w:val="12"/>
                          <w:vertAlign w:val="superscript"/>
                          <w:lang w:eastAsia="en-MY"/>
                        </w:rPr>
                        <w:t>4</w:t>
                      </w:r>
                      <w:r w:rsidRPr="00C620C6">
                        <w:rPr>
                          <w:rFonts w:eastAsia="Times New Roman" w:cs="Times New Roman"/>
                          <w:b w:val="0"/>
                          <w:color w:val="000000"/>
                          <w:sz w:val="12"/>
                          <w:szCs w:val="12"/>
                          <w:lang w:eastAsia="en-MY"/>
                        </w:rPr>
                        <w:t>: 47%</w:t>
                      </w:r>
                    </w:p>
                  </w:txbxContent>
                </v:textbox>
              </v:shape>
            </w:pict>
          </mc:Fallback>
        </mc:AlternateContent>
      </w:r>
      <w:r>
        <w:rPr>
          <w:noProof/>
          <w:lang w:eastAsia="en-MY"/>
        </w:rPr>
        <mc:AlternateContent>
          <mc:Choice Requires="wps">
            <w:drawing>
              <wp:anchor distT="0" distB="0" distL="114300" distR="114300" simplePos="0" relativeHeight="252600320" behindDoc="0" locked="0" layoutInCell="1" allowOverlap="1" wp14:anchorId="40F50BCB" wp14:editId="13D24AF5">
                <wp:simplePos x="0" y="0"/>
                <wp:positionH relativeFrom="column">
                  <wp:posOffset>1847850</wp:posOffset>
                </wp:positionH>
                <wp:positionV relativeFrom="paragraph">
                  <wp:posOffset>5271135</wp:posOffset>
                </wp:positionV>
                <wp:extent cx="838200" cy="419100"/>
                <wp:effectExtent l="0" t="0" r="0" b="0"/>
                <wp:wrapNone/>
                <wp:docPr id="339" name="Text Box 339"/>
                <wp:cNvGraphicFramePr/>
                <a:graphic xmlns:a="http://schemas.openxmlformats.org/drawingml/2006/main">
                  <a:graphicData uri="http://schemas.microsoft.com/office/word/2010/wordprocessingShape">
                    <wps:wsp>
                      <wps:cNvSpPr txBox="1"/>
                      <wps:spPr>
                        <a:xfrm>
                          <a:off x="0" y="0"/>
                          <a:ext cx="838200" cy="419100"/>
                        </a:xfrm>
                        <a:prstGeom prst="rect">
                          <a:avLst/>
                        </a:prstGeom>
                        <a:noFill/>
                        <a:ln w="6350">
                          <a:noFill/>
                        </a:ln>
                      </wps:spPr>
                      <wps:txbx>
                        <w:txbxContent>
                          <w:p w14:paraId="5720F3B1" w14:textId="77777777" w:rsidR="00230AB9" w:rsidRDefault="00230AB9" w:rsidP="00666029">
                            <w:pPr>
                              <w:jc w:val="center"/>
                              <w:rPr>
                                <w:rFonts w:eastAsia="Times New Roman" w:cs="Times New Roman"/>
                                <w:b w:val="0"/>
                                <w:color w:val="000000"/>
                                <w:sz w:val="16"/>
                                <w:szCs w:val="16"/>
                                <w:vertAlign w:val="subscript"/>
                                <w:lang w:eastAsia="en-MY"/>
                              </w:rPr>
                            </w:pPr>
                            <w:r w:rsidRPr="00C620C6">
                              <w:rPr>
                                <w:rFonts w:eastAsia="Times New Roman" w:cs="Times New Roman"/>
                                <w:b w:val="0"/>
                                <w:color w:val="000000"/>
                                <w:sz w:val="16"/>
                                <w:szCs w:val="16"/>
                                <w:lang w:eastAsia="en-MY"/>
                              </w:rPr>
                              <w:t>N</w:t>
                            </w:r>
                            <w:r w:rsidRPr="00C620C6">
                              <w:rPr>
                                <w:rFonts w:eastAsia="Times New Roman" w:cs="Times New Roman"/>
                                <w:b w:val="0"/>
                                <w:color w:val="000000"/>
                                <w:sz w:val="16"/>
                                <w:szCs w:val="16"/>
                                <w:vertAlign w:val="subscript"/>
                                <w:lang w:eastAsia="en-MY"/>
                              </w:rPr>
                              <w:t>10</w:t>
                            </w:r>
                            <w:r w:rsidRPr="00C620C6">
                              <w:rPr>
                                <w:rFonts w:eastAsia="Times New Roman" w:cs="Times New Roman"/>
                                <w:b w:val="0"/>
                                <w:color w:val="000000"/>
                                <w:sz w:val="16"/>
                                <w:szCs w:val="16"/>
                                <w:lang w:eastAsia="en-MY"/>
                              </w:rPr>
                              <w:t>C</w:t>
                            </w:r>
                            <w:r w:rsidRPr="00C620C6">
                              <w:rPr>
                                <w:rFonts w:eastAsia="Times New Roman" w:cs="Times New Roman"/>
                                <w:b w:val="0"/>
                                <w:color w:val="000000"/>
                                <w:sz w:val="16"/>
                                <w:szCs w:val="16"/>
                                <w:vertAlign w:val="subscript"/>
                                <w:lang w:eastAsia="en-MY"/>
                              </w:rPr>
                              <w:t>5</w:t>
                            </w:r>
                            <w:r w:rsidRPr="00C620C6">
                              <w:rPr>
                                <w:rFonts w:eastAsia="Times New Roman" w:cs="Times New Roman"/>
                                <w:b w:val="0"/>
                                <w:color w:val="000000"/>
                                <w:sz w:val="16"/>
                                <w:szCs w:val="16"/>
                                <w:lang w:eastAsia="en-MY"/>
                              </w:rPr>
                              <w:t>A</w:t>
                            </w:r>
                            <w:r w:rsidRPr="00C620C6">
                              <w:rPr>
                                <w:rFonts w:eastAsia="Times New Roman" w:cs="Times New Roman"/>
                                <w:b w:val="0"/>
                                <w:color w:val="000000"/>
                                <w:sz w:val="16"/>
                                <w:szCs w:val="16"/>
                                <w:vertAlign w:val="subscript"/>
                                <w:lang w:eastAsia="en-MY"/>
                              </w:rPr>
                              <w:t>15</w:t>
                            </w:r>
                            <w:r w:rsidRPr="00C620C6">
                              <w:rPr>
                                <w:rFonts w:eastAsia="Times New Roman" w:cs="Times New Roman"/>
                                <w:b w:val="0"/>
                                <w:color w:val="000000"/>
                                <w:sz w:val="16"/>
                                <w:szCs w:val="16"/>
                                <w:lang w:eastAsia="en-MY"/>
                              </w:rPr>
                              <w:t>B</w:t>
                            </w:r>
                            <w:r w:rsidRPr="00C620C6">
                              <w:rPr>
                                <w:rFonts w:eastAsia="Times New Roman" w:cs="Times New Roman"/>
                                <w:b w:val="0"/>
                                <w:color w:val="000000"/>
                                <w:sz w:val="16"/>
                                <w:szCs w:val="16"/>
                                <w:vertAlign w:val="subscript"/>
                                <w:lang w:eastAsia="en-MY"/>
                              </w:rPr>
                              <w:t>10</w:t>
                            </w:r>
                            <w:r w:rsidRPr="00C620C6">
                              <w:rPr>
                                <w:rFonts w:eastAsia="Times New Roman" w:cs="Times New Roman"/>
                                <w:b w:val="0"/>
                                <w:color w:val="000000"/>
                                <w:sz w:val="16"/>
                                <w:szCs w:val="16"/>
                                <w:lang w:eastAsia="en-MY"/>
                              </w:rPr>
                              <w:t>S</w:t>
                            </w:r>
                            <w:r w:rsidRPr="00C620C6">
                              <w:rPr>
                                <w:rFonts w:eastAsia="Times New Roman" w:cs="Times New Roman"/>
                                <w:b w:val="0"/>
                                <w:color w:val="000000"/>
                                <w:sz w:val="16"/>
                                <w:szCs w:val="16"/>
                                <w:vertAlign w:val="subscript"/>
                                <w:lang w:eastAsia="en-MY"/>
                              </w:rPr>
                              <w:t>60</w:t>
                            </w:r>
                            <w:r>
                              <w:rPr>
                                <w:rFonts w:eastAsia="Times New Roman" w:cs="Times New Roman"/>
                                <w:b w:val="0"/>
                                <w:color w:val="000000"/>
                                <w:sz w:val="16"/>
                                <w:szCs w:val="16"/>
                                <w:vertAlign w:val="subscript"/>
                                <w:lang w:eastAsia="en-MY"/>
                              </w:rPr>
                              <w:t xml:space="preserve">        </w:t>
                            </w:r>
                            <w:r w:rsidRPr="00C620C6">
                              <w:rPr>
                                <w:rFonts w:eastAsia="Times New Roman" w:cs="Times New Roman"/>
                                <w:b w:val="0"/>
                                <w:color w:val="000000"/>
                                <w:sz w:val="12"/>
                                <w:szCs w:val="12"/>
                                <w:lang w:eastAsia="en-MY"/>
                              </w:rPr>
                              <w:t>Q</w:t>
                            </w:r>
                            <w:r w:rsidRPr="00C620C6">
                              <w:rPr>
                                <w:rFonts w:eastAsia="Times New Roman" w:cs="Times New Roman"/>
                                <w:b w:val="0"/>
                                <w:color w:val="000000"/>
                                <w:sz w:val="12"/>
                                <w:szCs w:val="12"/>
                                <w:vertAlign w:val="superscript"/>
                                <w:lang w:eastAsia="en-MY"/>
                              </w:rPr>
                              <w:t>4</w:t>
                            </w:r>
                            <w:r w:rsidRPr="00C620C6">
                              <w:rPr>
                                <w:rFonts w:eastAsia="Times New Roman" w:cs="Times New Roman"/>
                                <w:b w:val="0"/>
                                <w:color w:val="000000"/>
                                <w:sz w:val="12"/>
                                <w:szCs w:val="12"/>
                                <w:lang w:eastAsia="en-MY"/>
                              </w:rPr>
                              <w:t>: 86%</w:t>
                            </w:r>
                          </w:p>
                          <w:p w14:paraId="2631A831" w14:textId="77777777" w:rsidR="00230AB9" w:rsidRPr="00C620C6" w:rsidRDefault="00230AB9" w:rsidP="00666029">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50BCB" id="Text Box 339" o:spid="_x0000_s1385" type="#_x0000_t202" style="position:absolute;left:0;text-align:left;margin-left:145.5pt;margin-top:415.05pt;width:66pt;height:33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" filled="f" stroked="f" strokeweight=".5pt">
                <v:textbox>
                  <w:txbxContent>
                    <w:p w14:paraId="5720F3B1" w14:textId="77777777" w:rsidR="00230AB9" w:rsidRDefault="00230AB9" w:rsidP="00666029">
                      <w:pPr>
                        <w:jc w:val="center"/>
                        <w:rPr>
                          <w:rFonts w:eastAsia="Times New Roman" w:cs="Times New Roman"/>
                          <w:b w:val="0"/>
                          <w:color w:val="000000"/>
                          <w:sz w:val="16"/>
                          <w:szCs w:val="16"/>
                          <w:vertAlign w:val="subscript"/>
                          <w:lang w:eastAsia="en-MY"/>
                        </w:rPr>
                      </w:pPr>
                      <w:r w:rsidRPr="00C620C6">
                        <w:rPr>
                          <w:rFonts w:eastAsia="Times New Roman" w:cs="Times New Roman"/>
                          <w:b w:val="0"/>
                          <w:color w:val="000000"/>
                          <w:sz w:val="16"/>
                          <w:szCs w:val="16"/>
                          <w:lang w:eastAsia="en-MY"/>
                        </w:rPr>
                        <w:t>N</w:t>
                      </w:r>
                      <w:r w:rsidRPr="00C620C6">
                        <w:rPr>
                          <w:rFonts w:eastAsia="Times New Roman" w:cs="Times New Roman"/>
                          <w:b w:val="0"/>
                          <w:color w:val="000000"/>
                          <w:sz w:val="16"/>
                          <w:szCs w:val="16"/>
                          <w:vertAlign w:val="subscript"/>
                          <w:lang w:eastAsia="en-MY"/>
                        </w:rPr>
                        <w:t>10</w:t>
                      </w:r>
                      <w:r w:rsidRPr="00C620C6">
                        <w:rPr>
                          <w:rFonts w:eastAsia="Times New Roman" w:cs="Times New Roman"/>
                          <w:b w:val="0"/>
                          <w:color w:val="000000"/>
                          <w:sz w:val="16"/>
                          <w:szCs w:val="16"/>
                          <w:lang w:eastAsia="en-MY"/>
                        </w:rPr>
                        <w:t>C</w:t>
                      </w:r>
                      <w:r w:rsidRPr="00C620C6">
                        <w:rPr>
                          <w:rFonts w:eastAsia="Times New Roman" w:cs="Times New Roman"/>
                          <w:b w:val="0"/>
                          <w:color w:val="000000"/>
                          <w:sz w:val="16"/>
                          <w:szCs w:val="16"/>
                          <w:vertAlign w:val="subscript"/>
                          <w:lang w:eastAsia="en-MY"/>
                        </w:rPr>
                        <w:t>5</w:t>
                      </w:r>
                      <w:r w:rsidRPr="00C620C6">
                        <w:rPr>
                          <w:rFonts w:eastAsia="Times New Roman" w:cs="Times New Roman"/>
                          <w:b w:val="0"/>
                          <w:color w:val="000000"/>
                          <w:sz w:val="16"/>
                          <w:szCs w:val="16"/>
                          <w:lang w:eastAsia="en-MY"/>
                        </w:rPr>
                        <w:t>A</w:t>
                      </w:r>
                      <w:r w:rsidRPr="00C620C6">
                        <w:rPr>
                          <w:rFonts w:eastAsia="Times New Roman" w:cs="Times New Roman"/>
                          <w:b w:val="0"/>
                          <w:color w:val="000000"/>
                          <w:sz w:val="16"/>
                          <w:szCs w:val="16"/>
                          <w:vertAlign w:val="subscript"/>
                          <w:lang w:eastAsia="en-MY"/>
                        </w:rPr>
                        <w:t>15</w:t>
                      </w:r>
                      <w:r w:rsidRPr="00C620C6">
                        <w:rPr>
                          <w:rFonts w:eastAsia="Times New Roman" w:cs="Times New Roman"/>
                          <w:b w:val="0"/>
                          <w:color w:val="000000"/>
                          <w:sz w:val="16"/>
                          <w:szCs w:val="16"/>
                          <w:lang w:eastAsia="en-MY"/>
                        </w:rPr>
                        <w:t>B</w:t>
                      </w:r>
                      <w:r w:rsidRPr="00C620C6">
                        <w:rPr>
                          <w:rFonts w:eastAsia="Times New Roman" w:cs="Times New Roman"/>
                          <w:b w:val="0"/>
                          <w:color w:val="000000"/>
                          <w:sz w:val="16"/>
                          <w:szCs w:val="16"/>
                          <w:vertAlign w:val="subscript"/>
                          <w:lang w:eastAsia="en-MY"/>
                        </w:rPr>
                        <w:t>10</w:t>
                      </w:r>
                      <w:r w:rsidRPr="00C620C6">
                        <w:rPr>
                          <w:rFonts w:eastAsia="Times New Roman" w:cs="Times New Roman"/>
                          <w:b w:val="0"/>
                          <w:color w:val="000000"/>
                          <w:sz w:val="16"/>
                          <w:szCs w:val="16"/>
                          <w:lang w:eastAsia="en-MY"/>
                        </w:rPr>
                        <w:t>S</w:t>
                      </w:r>
                      <w:r w:rsidRPr="00C620C6">
                        <w:rPr>
                          <w:rFonts w:eastAsia="Times New Roman" w:cs="Times New Roman"/>
                          <w:b w:val="0"/>
                          <w:color w:val="000000"/>
                          <w:sz w:val="16"/>
                          <w:szCs w:val="16"/>
                          <w:vertAlign w:val="subscript"/>
                          <w:lang w:eastAsia="en-MY"/>
                        </w:rPr>
                        <w:t>60</w:t>
                      </w:r>
                      <w:r>
                        <w:rPr>
                          <w:rFonts w:eastAsia="Times New Roman" w:cs="Times New Roman"/>
                          <w:b w:val="0"/>
                          <w:color w:val="000000"/>
                          <w:sz w:val="16"/>
                          <w:szCs w:val="16"/>
                          <w:vertAlign w:val="subscript"/>
                          <w:lang w:eastAsia="en-MY"/>
                        </w:rPr>
                        <w:t xml:space="preserve">        </w:t>
                      </w:r>
                      <w:r w:rsidRPr="00C620C6">
                        <w:rPr>
                          <w:rFonts w:eastAsia="Times New Roman" w:cs="Times New Roman"/>
                          <w:b w:val="0"/>
                          <w:color w:val="000000"/>
                          <w:sz w:val="12"/>
                          <w:szCs w:val="12"/>
                          <w:lang w:eastAsia="en-MY"/>
                        </w:rPr>
                        <w:t>Q</w:t>
                      </w:r>
                      <w:r w:rsidRPr="00C620C6">
                        <w:rPr>
                          <w:rFonts w:eastAsia="Times New Roman" w:cs="Times New Roman"/>
                          <w:b w:val="0"/>
                          <w:color w:val="000000"/>
                          <w:sz w:val="12"/>
                          <w:szCs w:val="12"/>
                          <w:vertAlign w:val="superscript"/>
                          <w:lang w:eastAsia="en-MY"/>
                        </w:rPr>
                        <w:t>4</w:t>
                      </w:r>
                      <w:r w:rsidRPr="00C620C6">
                        <w:rPr>
                          <w:rFonts w:eastAsia="Times New Roman" w:cs="Times New Roman"/>
                          <w:b w:val="0"/>
                          <w:color w:val="000000"/>
                          <w:sz w:val="12"/>
                          <w:szCs w:val="12"/>
                          <w:lang w:eastAsia="en-MY"/>
                        </w:rPr>
                        <w:t>: 86%</w:t>
                      </w:r>
                    </w:p>
                    <w:p w14:paraId="2631A831" w14:textId="77777777" w:rsidR="00230AB9" w:rsidRPr="00C620C6" w:rsidRDefault="00230AB9" w:rsidP="00666029">
                      <w:pPr>
                        <w:rPr>
                          <w:sz w:val="16"/>
                          <w:szCs w:val="16"/>
                        </w:rPr>
                      </w:pPr>
                    </w:p>
                  </w:txbxContent>
                </v:textbox>
              </v:shape>
            </w:pict>
          </mc:Fallback>
        </mc:AlternateContent>
      </w:r>
      <w:r>
        <w:rPr>
          <w:noProof/>
          <w:lang w:eastAsia="en-MY"/>
        </w:rPr>
        <mc:AlternateContent>
          <mc:Choice Requires="wps">
            <w:drawing>
              <wp:anchor distT="0" distB="0" distL="114300" distR="114300" simplePos="0" relativeHeight="252601344" behindDoc="0" locked="0" layoutInCell="1" allowOverlap="1" wp14:anchorId="0592552D" wp14:editId="59DA4D5A">
                <wp:simplePos x="0" y="0"/>
                <wp:positionH relativeFrom="column">
                  <wp:posOffset>1905000</wp:posOffset>
                </wp:positionH>
                <wp:positionV relativeFrom="paragraph">
                  <wp:posOffset>5185410</wp:posOffset>
                </wp:positionV>
                <wp:extent cx="104775" cy="114300"/>
                <wp:effectExtent l="38100" t="38100" r="28575" b="19050"/>
                <wp:wrapNone/>
                <wp:docPr id="345" name="Straight Arrow Connector 345"/>
                <wp:cNvGraphicFramePr/>
                <a:graphic xmlns:a="http://schemas.openxmlformats.org/drawingml/2006/main">
                  <a:graphicData uri="http://schemas.microsoft.com/office/word/2010/wordprocessingShape">
                    <wps:wsp>
                      <wps:cNvCnPr/>
                      <wps:spPr>
                        <a:xfrm flipH="1" flipV="1">
                          <a:off x="0" y="0"/>
                          <a:ext cx="104775" cy="114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AC53B38" id="Straight Arrow Connector 345" o:spid="_x0000_s1026" type="#_x0000_t32" style="position:absolute;margin-left:150pt;margin-top:408.3pt;width:8.25pt;height:9pt;flip:x y;z-index:252601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" strokecolor="black [3040]">
                <v:stroke endarrow="block"/>
              </v:shape>
            </w:pict>
          </mc:Fallback>
        </mc:AlternateContent>
      </w:r>
      <w:r>
        <w:rPr>
          <w:noProof/>
          <w:lang w:eastAsia="en-MY"/>
        </w:rPr>
        <mc:AlternateContent>
          <mc:Choice Requires="wps">
            <w:drawing>
              <wp:anchor distT="0" distB="0" distL="114300" distR="114300" simplePos="0" relativeHeight="252599296" behindDoc="0" locked="0" layoutInCell="1" allowOverlap="1" wp14:anchorId="26D663C4" wp14:editId="09BE2987">
                <wp:simplePos x="0" y="0"/>
                <wp:positionH relativeFrom="column">
                  <wp:posOffset>3448050</wp:posOffset>
                </wp:positionH>
                <wp:positionV relativeFrom="paragraph">
                  <wp:posOffset>5823585</wp:posOffset>
                </wp:positionV>
                <wp:extent cx="180975" cy="9525"/>
                <wp:effectExtent l="0" t="57150" r="28575" b="85725"/>
                <wp:wrapNone/>
                <wp:docPr id="350" name="Straight Arrow Connector 350"/>
                <wp:cNvGraphicFramePr/>
                <a:graphic xmlns:a="http://schemas.openxmlformats.org/drawingml/2006/main">
                  <a:graphicData uri="http://schemas.microsoft.com/office/word/2010/wordprocessingShape">
                    <wps:wsp>
                      <wps:cNvCnPr/>
                      <wps:spPr>
                        <a:xfrm>
                          <a:off x="0" y="0"/>
                          <a:ext cx="1809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709CFCD" id="Straight Arrow Connector 350" o:spid="_x0000_s1026" type="#_x0000_t32" style="position:absolute;margin-left:271.5pt;margin-top:458.55pt;width:14.25pt;height:.75pt;z-index:252599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" strokecolor="black [3040]">
                <v:stroke endarrow="block"/>
              </v:shape>
            </w:pict>
          </mc:Fallback>
        </mc:AlternateContent>
      </w:r>
      <w:r w:rsidRPr="000E2377">
        <w:rPr>
          <w:noProof/>
          <w:lang w:eastAsia="en-MY"/>
        </w:rPr>
        <mc:AlternateContent>
          <mc:Choice Requires="wps">
            <w:drawing>
              <wp:anchor distT="0" distB="0" distL="114300" distR="114300" simplePos="0" relativeHeight="252590080" behindDoc="0" locked="0" layoutInCell="1" allowOverlap="1" wp14:anchorId="5F4BD2EB" wp14:editId="7AE76805">
                <wp:simplePos x="0" y="0"/>
                <wp:positionH relativeFrom="margin">
                  <wp:posOffset>667295</wp:posOffset>
                </wp:positionH>
                <wp:positionV relativeFrom="paragraph">
                  <wp:posOffset>3315426</wp:posOffset>
                </wp:positionV>
                <wp:extent cx="388620" cy="331470"/>
                <wp:effectExtent l="0" t="0" r="0" b="0"/>
                <wp:wrapNone/>
                <wp:docPr id="1782" name="Text Box 1782"/>
                <wp:cNvGraphicFramePr/>
                <a:graphic xmlns:a="http://schemas.openxmlformats.org/drawingml/2006/main">
                  <a:graphicData uri="http://schemas.microsoft.com/office/word/2010/wordprocessingShape">
                    <wps:wsp>
                      <wps:cNvSpPr txBox="1"/>
                      <wps:spPr>
                        <a:xfrm>
                          <a:off x="0" y="0"/>
                          <a:ext cx="388620" cy="331470"/>
                        </a:xfrm>
                        <a:prstGeom prst="rect">
                          <a:avLst/>
                        </a:prstGeom>
                        <a:noFill/>
                        <a:ln w="6350">
                          <a:noFill/>
                        </a:ln>
                      </wps:spPr>
                      <wps:txbx>
                        <w:txbxContent>
                          <w:p w14:paraId="6AEC269B" w14:textId="77777777" w:rsidR="00230AB9" w:rsidRDefault="00230AB9" w:rsidP="00666029">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4BD2EB" id="Text Box 1782" o:spid="_x0000_s1386" type="#_x0000_t202" style="position:absolute;left:0;text-align:left;margin-left:52.55pt;margin-top:261.05pt;width:30.6pt;height:26.1pt;z-index:2525900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" filled="f" stroked="f" strokeweight=".5pt">
                <v:textbox>
                  <w:txbxContent>
                    <w:p w14:paraId="6AEC269B" w14:textId="77777777" w:rsidR="00230AB9" w:rsidRDefault="00230AB9" w:rsidP="00666029">
                      <w:r>
                        <w:t>b)</w:t>
                      </w:r>
                    </w:p>
                  </w:txbxContent>
                </v:textbox>
                <w10:wrap anchorx="margin"/>
              </v:shape>
            </w:pict>
          </mc:Fallback>
        </mc:AlternateContent>
      </w:r>
      <w:r w:rsidRPr="000E2377">
        <w:rPr>
          <w:noProof/>
          <w:lang w:eastAsia="en-MY"/>
        </w:rPr>
        <mc:AlternateContent>
          <mc:Choice Requires="wps">
            <w:drawing>
              <wp:anchor distT="0" distB="0" distL="114300" distR="114300" simplePos="0" relativeHeight="252587008" behindDoc="0" locked="0" layoutInCell="1" allowOverlap="1" wp14:anchorId="1A8E822D" wp14:editId="6824C3A6">
                <wp:simplePos x="0" y="0"/>
                <wp:positionH relativeFrom="margin">
                  <wp:posOffset>1959610</wp:posOffset>
                </wp:positionH>
                <wp:positionV relativeFrom="paragraph">
                  <wp:posOffset>4928235</wp:posOffset>
                </wp:positionV>
                <wp:extent cx="1958008" cy="874644"/>
                <wp:effectExtent l="0" t="0" r="23495" b="20955"/>
                <wp:wrapNone/>
                <wp:docPr id="1790" name="Straight Connector 1790"/>
                <wp:cNvGraphicFramePr/>
                <a:graphic xmlns:a="http://schemas.openxmlformats.org/drawingml/2006/main">
                  <a:graphicData uri="http://schemas.microsoft.com/office/word/2010/wordprocessingShape">
                    <wps:wsp>
                      <wps:cNvCnPr/>
                      <wps:spPr>
                        <a:xfrm>
                          <a:off x="0" y="0"/>
                          <a:ext cx="1958008" cy="874644"/>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300E0E63" id="Straight Connector 1790" o:spid="_x0000_s1026" style="position:absolute;z-index:25258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4.3pt,388.05pt" to="308.45pt,45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">
                <v:stroke dashstyle="dash"/>
                <w10:wrap anchorx="margin"/>
              </v:line>
            </w:pict>
          </mc:Fallback>
        </mc:AlternateContent>
      </w:r>
      <w:r w:rsidRPr="000E2377">
        <w:rPr>
          <w:noProof/>
          <w:lang w:eastAsia="en-MY"/>
        </w:rPr>
        <mc:AlternateContent>
          <mc:Choice Requires="wps">
            <w:drawing>
              <wp:anchor distT="0" distB="0" distL="114300" distR="114300" simplePos="0" relativeHeight="252585984" behindDoc="0" locked="0" layoutInCell="1" allowOverlap="1" wp14:anchorId="6572A632" wp14:editId="7A5EC5C5">
                <wp:simplePos x="0" y="0"/>
                <wp:positionH relativeFrom="column">
                  <wp:posOffset>2101215</wp:posOffset>
                </wp:positionH>
                <wp:positionV relativeFrom="paragraph">
                  <wp:posOffset>1358900</wp:posOffset>
                </wp:positionV>
                <wp:extent cx="1908313" cy="1152940"/>
                <wp:effectExtent l="0" t="0" r="34925" b="28575"/>
                <wp:wrapNone/>
                <wp:docPr id="1803" name="Straight Connector 1803"/>
                <wp:cNvGraphicFramePr/>
                <a:graphic xmlns:a="http://schemas.openxmlformats.org/drawingml/2006/main">
                  <a:graphicData uri="http://schemas.microsoft.com/office/word/2010/wordprocessingShape">
                    <wps:wsp>
                      <wps:cNvCnPr/>
                      <wps:spPr>
                        <a:xfrm>
                          <a:off x="0" y="0"/>
                          <a:ext cx="1908313" cy="1152940"/>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69197428" id="Straight Connector 1803" o:spid="_x0000_s1026" style="position:absolute;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45pt,107pt" to="315.7pt,19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">
                <v:stroke dashstyle="dash"/>
              </v:line>
            </w:pict>
          </mc:Fallback>
        </mc:AlternateContent>
      </w:r>
      <w:r w:rsidRPr="000E2377">
        <w:rPr>
          <w:noProof/>
          <w:lang w:eastAsia="en-MY"/>
        </w:rPr>
        <w:drawing>
          <wp:inline distT="0" distB="0" distL="0" distR="0" wp14:anchorId="20D60F34" wp14:editId="4F120273">
            <wp:extent cx="3641794" cy="3240000"/>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641794" cy="3240000"/>
                    </a:xfrm>
                    <a:prstGeom prst="rect">
                      <a:avLst/>
                    </a:prstGeom>
                    <a:noFill/>
                    <a:ln>
                      <a:noFill/>
                    </a:ln>
                  </pic:spPr>
                </pic:pic>
              </a:graphicData>
            </a:graphic>
          </wp:inline>
        </w:drawing>
      </w:r>
      <w:r w:rsidRPr="000E2377">
        <w:rPr>
          <w:noProof/>
          <w:lang w:eastAsia="en-MY"/>
        </w:rPr>
        <mc:AlternateContent>
          <mc:Choice Requires="wps">
            <w:drawing>
              <wp:anchor distT="0" distB="0" distL="114300" distR="114300" simplePos="0" relativeHeight="252589056" behindDoc="0" locked="0" layoutInCell="1" allowOverlap="1" wp14:anchorId="00F4D757" wp14:editId="4BF5C4C0">
                <wp:simplePos x="0" y="0"/>
                <wp:positionH relativeFrom="column">
                  <wp:posOffset>494224</wp:posOffset>
                </wp:positionH>
                <wp:positionV relativeFrom="paragraph">
                  <wp:posOffset>48950</wp:posOffset>
                </wp:positionV>
                <wp:extent cx="388620" cy="331470"/>
                <wp:effectExtent l="0" t="0" r="0" b="0"/>
                <wp:wrapNone/>
                <wp:docPr id="1808" name="Text Box 1808"/>
                <wp:cNvGraphicFramePr/>
                <a:graphic xmlns:a="http://schemas.openxmlformats.org/drawingml/2006/main">
                  <a:graphicData uri="http://schemas.microsoft.com/office/word/2010/wordprocessingShape">
                    <wps:wsp>
                      <wps:cNvSpPr txBox="1"/>
                      <wps:spPr>
                        <a:xfrm>
                          <a:off x="0" y="0"/>
                          <a:ext cx="388620" cy="331470"/>
                        </a:xfrm>
                        <a:prstGeom prst="rect">
                          <a:avLst/>
                        </a:prstGeom>
                        <a:noFill/>
                        <a:ln w="6350">
                          <a:noFill/>
                        </a:ln>
                      </wps:spPr>
                      <wps:txbx>
                        <w:txbxContent>
                          <w:p w14:paraId="7C690667" w14:textId="77777777" w:rsidR="00230AB9" w:rsidRDefault="00230AB9" w:rsidP="00666029">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F4D757" id="Text Box 1808" o:spid="_x0000_s1387" type="#_x0000_t202" style="position:absolute;left:0;text-align:left;margin-left:38.9pt;margin-top:3.85pt;width:30.6pt;height:26.1pt;z-index:25258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" filled="f" stroked="f" strokeweight=".5pt">
                <v:textbox>
                  <w:txbxContent>
                    <w:p w14:paraId="7C690667" w14:textId="77777777" w:rsidR="00230AB9" w:rsidRDefault="00230AB9" w:rsidP="00666029">
                      <w:r>
                        <w:t>a)</w:t>
                      </w:r>
                    </w:p>
                  </w:txbxContent>
                </v:textbox>
              </v:shape>
            </w:pict>
          </mc:Fallback>
        </mc:AlternateContent>
      </w:r>
      <w:r w:rsidRPr="000E2377">
        <w:t xml:space="preserve"> </w:t>
      </w:r>
      <w:r w:rsidRPr="000E2377">
        <w:rPr>
          <w:noProof/>
          <w:lang w:eastAsia="en-MY"/>
        </w:rPr>
        <w:drawing>
          <wp:inline distT="0" distB="0" distL="0" distR="0" wp14:anchorId="2E89D0AB" wp14:editId="78170A08">
            <wp:extent cx="3604029" cy="3240000"/>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604029" cy="3240000"/>
                    </a:xfrm>
                    <a:prstGeom prst="rect">
                      <a:avLst/>
                    </a:prstGeom>
                    <a:noFill/>
                    <a:ln>
                      <a:noFill/>
                    </a:ln>
                  </pic:spPr>
                </pic:pic>
              </a:graphicData>
            </a:graphic>
          </wp:inline>
        </w:drawing>
      </w:r>
    </w:p>
    <w:p w14:paraId="54F834B7" w14:textId="2BF33342" w:rsidR="00666029" w:rsidRPr="000E2377" w:rsidRDefault="0082632E" w:rsidP="00666029">
      <w:pPr>
        <w:pStyle w:val="Caption"/>
      </w:pPr>
      <w:bookmarkStart w:id="937" w:name="_Toc521420513"/>
      <w:bookmarkStart w:id="938" w:name="_Toc525528396"/>
      <w:bookmarkStart w:id="939" w:name="_Toc525706411"/>
      <w:bookmarkStart w:id="940" w:name="_Hlk515396934"/>
      <w:r>
        <w:t xml:space="preserve">Figure 5.12: </w:t>
      </w:r>
      <w:r w:rsidR="00666029" w:rsidRPr="000E2377">
        <w:t>Poisson’s ratio and Young’s modulus versus indentation toughness</w:t>
      </w:r>
      <w:bookmarkEnd w:id="937"/>
      <w:r w:rsidR="00666029" w:rsidRPr="000E2377">
        <w:t>.</w:t>
      </w:r>
      <w:bookmarkEnd w:id="938"/>
      <w:bookmarkEnd w:id="939"/>
    </w:p>
    <w:bookmarkEnd w:id="940"/>
    <w:p w14:paraId="358B7024" w14:textId="0C2EE2C5" w:rsidR="00666029" w:rsidRPr="000E2377" w:rsidRDefault="00666029" w:rsidP="00666029">
      <w:pPr>
        <w:spacing w:before="240" w:line="360" w:lineRule="auto"/>
        <w:jc w:val="both"/>
        <w:rPr>
          <w:b w:val="0"/>
        </w:rPr>
      </w:pPr>
      <w:r w:rsidRPr="000E2377">
        <w:rPr>
          <w:b w:val="0"/>
        </w:rPr>
        <w:t xml:space="preserve">Figure 5.12a shows the correlation between </w:t>
      </w:r>
      <w:r w:rsidR="008C4D01">
        <w:rPr>
          <w:b w:val="0"/>
        </w:rPr>
        <w:t xml:space="preserve">the </w:t>
      </w:r>
      <w:r w:rsidRPr="000E2377">
        <w:rPr>
          <w:b w:val="0"/>
        </w:rPr>
        <w:t>Poisson’s ratio and indentation toughness. It is clear that there is no simple correlation between those two properties</w:t>
      </w:r>
      <w:r>
        <w:rPr>
          <w:b w:val="0"/>
        </w:rPr>
        <w:t>, although it is roughly shown that a</w:t>
      </w:r>
      <w:r w:rsidRPr="000E2377">
        <w:rPr>
          <w:b w:val="0"/>
        </w:rPr>
        <w:t xml:space="preserve"> higher Poisson’s ratio </w:t>
      </w:r>
      <w:r>
        <w:rPr>
          <w:b w:val="0"/>
        </w:rPr>
        <w:t>gave a lower</w:t>
      </w:r>
      <w:r w:rsidRPr="000E2377">
        <w:rPr>
          <w:b w:val="0"/>
        </w:rPr>
        <w:t xml:space="preserve"> indentation toughness. It is also notable that the highest value for those two properties are from </w:t>
      </w:r>
      <w:r w:rsidRPr="000511D6">
        <w:rPr>
          <w:rFonts w:eastAsia="Times New Roman" w:cs="Times New Roman"/>
          <w:b w:val="0"/>
          <w:color w:val="000000"/>
          <w:szCs w:val="24"/>
          <w:lang w:eastAsia="en-MY"/>
        </w:rPr>
        <w:t>N</w:t>
      </w:r>
      <w:r w:rsidRPr="000511D6">
        <w:rPr>
          <w:rFonts w:eastAsia="Times New Roman" w:cs="Times New Roman"/>
          <w:b w:val="0"/>
          <w:color w:val="000000"/>
          <w:szCs w:val="24"/>
          <w:vertAlign w:val="subscript"/>
          <w:lang w:eastAsia="en-MY"/>
        </w:rPr>
        <w:t>7.6</w:t>
      </w:r>
      <w:r w:rsidRPr="000511D6">
        <w:rPr>
          <w:rFonts w:eastAsia="Times New Roman" w:cs="Times New Roman"/>
          <w:b w:val="0"/>
          <w:color w:val="000000"/>
          <w:szCs w:val="24"/>
          <w:lang w:eastAsia="en-MY"/>
        </w:rPr>
        <w:t>M</w:t>
      </w:r>
      <w:r w:rsidRPr="000511D6">
        <w:rPr>
          <w:rFonts w:eastAsia="Times New Roman" w:cs="Times New Roman"/>
          <w:b w:val="0"/>
          <w:color w:val="000000"/>
          <w:szCs w:val="24"/>
          <w:vertAlign w:val="subscript"/>
          <w:lang w:eastAsia="en-MY"/>
        </w:rPr>
        <w:t>1.1</w:t>
      </w:r>
      <w:r w:rsidRPr="000511D6">
        <w:rPr>
          <w:rFonts w:eastAsia="Times New Roman" w:cs="Times New Roman"/>
          <w:b w:val="0"/>
          <w:color w:val="000000"/>
          <w:szCs w:val="24"/>
          <w:lang w:eastAsia="en-MY"/>
        </w:rPr>
        <w:t>C</w:t>
      </w:r>
      <w:r w:rsidRPr="000511D6">
        <w:rPr>
          <w:rFonts w:eastAsia="Times New Roman" w:cs="Times New Roman"/>
          <w:b w:val="0"/>
          <w:color w:val="000000"/>
          <w:szCs w:val="24"/>
          <w:vertAlign w:val="subscript"/>
          <w:lang w:eastAsia="en-MY"/>
        </w:rPr>
        <w:t>3</w:t>
      </w:r>
      <w:r w:rsidRPr="000511D6">
        <w:rPr>
          <w:rFonts w:eastAsia="Times New Roman" w:cs="Times New Roman"/>
          <w:b w:val="0"/>
          <w:color w:val="000000"/>
          <w:szCs w:val="24"/>
          <w:lang w:eastAsia="en-MY"/>
        </w:rPr>
        <w:t>A</w:t>
      </w:r>
      <w:r w:rsidRPr="000511D6">
        <w:rPr>
          <w:rFonts w:eastAsia="Times New Roman" w:cs="Times New Roman"/>
          <w:b w:val="0"/>
          <w:color w:val="000000"/>
          <w:szCs w:val="24"/>
          <w:vertAlign w:val="subscript"/>
          <w:lang w:eastAsia="en-MY"/>
        </w:rPr>
        <w:t>x</w:t>
      </w:r>
      <w:r w:rsidRPr="000511D6">
        <w:rPr>
          <w:rFonts w:eastAsia="Times New Roman" w:cs="Times New Roman"/>
          <w:b w:val="0"/>
          <w:color w:val="000000"/>
          <w:szCs w:val="24"/>
          <w:lang w:eastAsia="en-MY"/>
        </w:rPr>
        <w:t>B</w:t>
      </w:r>
      <w:r w:rsidRPr="000511D6">
        <w:rPr>
          <w:rFonts w:eastAsia="Times New Roman" w:cs="Times New Roman"/>
          <w:b w:val="0"/>
          <w:color w:val="000000"/>
          <w:szCs w:val="24"/>
          <w:vertAlign w:val="subscript"/>
          <w:lang w:eastAsia="en-MY"/>
        </w:rPr>
        <w:t>7.6</w:t>
      </w:r>
      <w:r w:rsidRPr="000511D6">
        <w:rPr>
          <w:rFonts w:eastAsia="Times New Roman" w:cs="Times New Roman"/>
          <w:b w:val="0"/>
          <w:color w:val="000000"/>
          <w:szCs w:val="24"/>
          <w:lang w:eastAsia="en-MY"/>
        </w:rPr>
        <w:t>S</w:t>
      </w:r>
      <w:r w:rsidRPr="000511D6">
        <w:rPr>
          <w:rFonts w:eastAsia="Times New Roman" w:cs="Times New Roman"/>
          <w:b w:val="0"/>
          <w:color w:val="000000"/>
          <w:szCs w:val="24"/>
          <w:vertAlign w:val="subscript"/>
          <w:lang w:eastAsia="en-MY"/>
        </w:rPr>
        <w:t>80.7-x</w:t>
      </w:r>
      <w:r w:rsidRPr="008C4799">
        <w:rPr>
          <w:rFonts w:eastAsia="Times New Roman" w:cs="Times New Roman"/>
          <w:color w:val="000000"/>
          <w:sz w:val="16"/>
          <w:szCs w:val="16"/>
          <w:lang w:eastAsia="en-MY"/>
        </w:rPr>
        <w:t xml:space="preserve"> </w:t>
      </w:r>
      <w:r w:rsidRPr="000E2377">
        <w:rPr>
          <w:b w:val="0"/>
        </w:rPr>
        <w:t xml:space="preserve">series </w:t>
      </w:r>
      <w:r>
        <w:rPr>
          <w:b w:val="0"/>
        </w:rPr>
        <w:t>in which the</w:t>
      </w:r>
      <w:r w:rsidRPr="000E2377">
        <w:rPr>
          <w:b w:val="0"/>
        </w:rPr>
        <w:t xml:space="preserve"> alumina/silica </w:t>
      </w:r>
      <w:r>
        <w:rPr>
          <w:b w:val="0"/>
        </w:rPr>
        <w:t>ratio varies</w:t>
      </w:r>
      <w:r w:rsidRPr="000E2377">
        <w:rPr>
          <w:b w:val="0"/>
        </w:rPr>
        <w:t>. Recently Rouxe</w:t>
      </w:r>
      <w:r>
        <w:rPr>
          <w:b w:val="0"/>
        </w:rPr>
        <w:t>l</w:t>
      </w:r>
      <w:r w:rsidRPr="000E2377">
        <w:rPr>
          <w:b w:val="0"/>
        </w:rPr>
        <w:t xml:space="preserve"> and co-workers</w:t>
      </w:r>
      <w:r w:rsidR="00C5455A">
        <w:rPr>
          <w:b w:val="0"/>
        </w:rPr>
        <w:t>, 20</w:t>
      </w:r>
      <w:r w:rsidR="00C04C97">
        <w:rPr>
          <w:b w:val="0"/>
        </w:rPr>
        <w:t>04</w:t>
      </w:r>
      <w:r w:rsidRPr="000E2377">
        <w:rPr>
          <w:b w:val="0"/>
        </w:rPr>
        <w:t xml:space="preserve"> looked for the correlation between the indentation behaviour (as the toughness were measured from the indentation </w:t>
      </w:r>
      <w:r w:rsidRPr="000E2377">
        <w:rPr>
          <w:b w:val="0"/>
        </w:rPr>
        <w:lastRenderedPageBreak/>
        <w:t>fracture toughness), and Poisson’s ratio,</w:t>
      </w:r>
      <w:r>
        <w:rPr>
          <w:b w:val="0"/>
        </w:rPr>
        <w:t xml:space="preserve"> and mentioned </w:t>
      </w:r>
      <w:r w:rsidRPr="000E2377">
        <w:rPr>
          <w:b w:val="0"/>
        </w:rPr>
        <w:t xml:space="preserve">that with increasing of the toughness value, the Poisson’s ratio is increased. </w:t>
      </w:r>
      <w:r w:rsidRPr="000E2377">
        <w:rPr>
          <w:b w:val="0"/>
        </w:rPr>
        <w:fldChar w:fldCharType="begin" w:fldLock="1"/>
      </w:r>
      <w:r>
        <w:rPr>
          <w:b w:val="0"/>
        </w:rPr>
        <w:instrText>ADDIN CSL_CITATION { "citationItems" : [ { "id" : "ITEM-1", "itemData" : { "DOI" : "10.1016/j.jnoncrysol.2015.08.013", "ISSN" : "00223093", "abstract" : "The effects of varying the alkaline earth oxide content of three series of soda-lime-silica glasses with the general formulae 13.5Na&lt;inf&gt;2&lt;/inf&gt;O??xMgO??10CaO??1.5Al&lt;inf&gt;2&lt;/inf&gt;O&lt;inf&gt;3&lt;/inf&gt;??(75 - x)SiO&lt;inf&gt;2&lt;/inf&gt; (mol.%) where x = 0, 1, 2, 3, 4, 5, 6, and 7; 13.5Na&lt;inf&gt;2&lt;/inf&gt;O??3MgO??(7 + y)CaO??1.5Al&lt;inf&gt;2&lt;/inf&gt;O&lt;inf&gt;3&lt;/inf&gt;??(75 - y)SiO&lt;inf&gt;2&lt;/inf&gt; (mol.%) where y = 0, 1, 2, 3, 4, 5, 6, and 7 and 13.5Na&lt;inf&gt;2&lt;/inf&gt;O??zMgO??(13 - z)CaO??1.5Al&lt;inf&gt;2&lt;/inf&gt;O&lt;inf&gt;3&lt;/inf&gt;??72SiO&lt;inf&gt;2&lt;/inf&gt; (mol.%) where z = 1, 3, 5, 7, 9, and 11 have been examined. Raman spectroscopy and nuclear magnetic resonance (NMR) spectroscopy have been used to assess network connectivity. In the first two glass series network connectivity decreases with increasing alkaline earth addition whereas in the third series connectivity tends to be greater for the more magnesia rich glasses suggesting that magnesia does have a different effect to lime on network connectivity, but only when magnesia is the dominant alkaline earth species. Fracture toughness has been measured using bend testing, which avoids many of the questions raised by the widely used indentation technique. Moduli have been assessed using acoustic means. It was found that the mechanical properties tend to decrease with increasing network connectivity for all three glass series. For the MgO-SiO&lt;inf&gt;2&lt;/inf&gt; series and CaO-SiO&lt;inf&gt;2&lt;/inf&gt; glasses increasing the alkaline earth content at the expense of the silica content resulted in increased network depolymerization, whereas for the MgO-CaO series when MgO became the dominant alkaline earth species, network depolymerization was reduced. Thus whilst MgO and CaO both act as network modifiers when more CaO than MgO is present in soda-lime-silica glasses, a difference in behaviour is seen with magnesia rich soda-magnesia-silica glasses. In contradiction to previous data no significant advantage of replacing CaO by MgO is observed. In addition it appears that the glasses with the lowest fracture toughness values may be more resilient to contact damage than those with the higher fracture toughness values.", "author" : [ { "dropping-particle" : "", "family" : "Kilinc", "given" : "Erhan", "non-dropping-particle" : "", "parse-names" : false, "suffix" : "" }, { "dropping-particle" : "", "family" : "Hand", "given" : "Russell J.", "non-dropping-particle" : "", "parse-names" : false, "suffix" : "" } ], "container-title" : "Journal of Non-Crystalline Solids", "id" : "ITEM-1", "issued" : { "date-parts" : [ [ "2015" ] ] }, "page" : "190-197", "publisher" : "Elsevier B.V.", "title" : "Mechanical properties of soda-lime-silica glasses with varying alkaline earth contents", "type" : "article-journal", "volume" : "429" }, "uris" : [ "http://www.mendeley.com/documents/?uuid=5e3603f4-1f0f-4670-837a-f1bef9fbd8a3" ] } ], "mendeley" : { "formattedCitation" : "(Kilinc &amp; Hand, 2015)", "manualFormatting" : "Kilinc &amp; Hand, 2015", "plainTextFormattedCitation" : "(Kilinc &amp; Hand, 2015)", "previouslyFormattedCitation" : "(Kilinc &amp; Hand, 2015)" }, "properties" : { "noteIndex" : 94 }, "schema" : "https://github.com/citation-style-language/schema/raw/master/csl-citation.json" }</w:instrText>
      </w:r>
      <w:r w:rsidRPr="000E2377">
        <w:rPr>
          <w:b w:val="0"/>
        </w:rPr>
        <w:fldChar w:fldCharType="separate"/>
      </w:r>
      <w:r w:rsidRPr="000E2377">
        <w:rPr>
          <w:b w:val="0"/>
          <w:noProof/>
        </w:rPr>
        <w:t>Kilinc &amp; Hand, 2015</w:t>
      </w:r>
      <w:r w:rsidRPr="000E2377">
        <w:rPr>
          <w:b w:val="0"/>
        </w:rPr>
        <w:fldChar w:fldCharType="end"/>
      </w:r>
      <w:r w:rsidRPr="000E2377">
        <w:rPr>
          <w:b w:val="0"/>
        </w:rPr>
        <w:t xml:space="preserve"> also mentioned the same behaviour as Rouxel and co-workers data. </w:t>
      </w:r>
      <w:r w:rsidR="001C1926" w:rsidRPr="001C1926">
        <w:rPr>
          <w:b w:val="0"/>
        </w:rPr>
        <w:t xml:space="preserve"> </w:t>
      </w:r>
      <w:r w:rsidR="001C1926">
        <w:rPr>
          <w:b w:val="0"/>
        </w:rPr>
        <w:t xml:space="preserve">From the data, for series </w:t>
      </w:r>
      <w:r w:rsidR="001C1926" w:rsidRPr="001C1926">
        <w:rPr>
          <w:rFonts w:eastAsia="Times New Roman" w:cs="Times New Roman"/>
          <w:b w:val="0"/>
          <w:color w:val="000000"/>
          <w:szCs w:val="24"/>
          <w:lang w:eastAsia="en-MY"/>
        </w:rPr>
        <w:t>N</w:t>
      </w:r>
      <w:r w:rsidR="001C1926" w:rsidRPr="001C1926">
        <w:rPr>
          <w:rFonts w:eastAsia="Times New Roman" w:cs="Times New Roman"/>
          <w:b w:val="0"/>
          <w:color w:val="000000"/>
          <w:szCs w:val="24"/>
          <w:vertAlign w:val="subscript"/>
          <w:lang w:eastAsia="en-MY"/>
        </w:rPr>
        <w:t>15</w:t>
      </w:r>
      <w:r w:rsidR="001C1926" w:rsidRPr="001C1926">
        <w:rPr>
          <w:rFonts w:eastAsia="Times New Roman" w:cs="Times New Roman"/>
          <w:b w:val="0"/>
          <w:color w:val="000000"/>
          <w:szCs w:val="24"/>
          <w:lang w:eastAsia="en-MY"/>
        </w:rPr>
        <w:t>C</w:t>
      </w:r>
      <w:r w:rsidR="001C1926" w:rsidRPr="001C1926">
        <w:rPr>
          <w:rFonts w:eastAsia="Times New Roman" w:cs="Times New Roman"/>
          <w:b w:val="0"/>
          <w:color w:val="000000"/>
          <w:szCs w:val="24"/>
          <w:vertAlign w:val="subscript"/>
          <w:lang w:eastAsia="en-MY"/>
        </w:rPr>
        <w:t>5</w:t>
      </w:r>
      <w:r w:rsidR="001C1926" w:rsidRPr="001C1926">
        <w:rPr>
          <w:rFonts w:eastAsia="Times New Roman" w:cs="Times New Roman"/>
          <w:b w:val="0"/>
          <w:color w:val="000000"/>
          <w:szCs w:val="24"/>
          <w:lang w:eastAsia="en-MY"/>
        </w:rPr>
        <w:t>A</w:t>
      </w:r>
      <w:r w:rsidR="001C1926" w:rsidRPr="001C1926">
        <w:rPr>
          <w:rFonts w:eastAsia="Times New Roman" w:cs="Times New Roman"/>
          <w:b w:val="0"/>
          <w:color w:val="000000"/>
          <w:szCs w:val="24"/>
          <w:vertAlign w:val="subscript"/>
          <w:lang w:eastAsia="en-MY"/>
        </w:rPr>
        <w:t>x</w:t>
      </w:r>
      <w:r w:rsidR="001C1926" w:rsidRPr="001C1926">
        <w:rPr>
          <w:rFonts w:eastAsia="Times New Roman" w:cs="Times New Roman"/>
          <w:b w:val="0"/>
          <w:color w:val="000000"/>
          <w:szCs w:val="24"/>
          <w:lang w:eastAsia="en-MY"/>
        </w:rPr>
        <w:t>B</w:t>
      </w:r>
      <w:r w:rsidR="001C1926" w:rsidRPr="001C1926">
        <w:rPr>
          <w:rFonts w:eastAsia="Times New Roman" w:cs="Times New Roman"/>
          <w:b w:val="0"/>
          <w:color w:val="000000"/>
          <w:szCs w:val="24"/>
          <w:vertAlign w:val="subscript"/>
          <w:lang w:eastAsia="en-MY"/>
        </w:rPr>
        <w:t>20-</w:t>
      </w:r>
      <w:r w:rsidR="001C1926" w:rsidRPr="001C1926">
        <w:rPr>
          <w:rFonts w:eastAsia="Times New Roman" w:cs="Times New Roman"/>
          <w:b w:val="0"/>
          <w:color w:val="000000"/>
          <w:szCs w:val="24"/>
          <w:lang w:eastAsia="en-MY"/>
        </w:rPr>
        <w:t>xS60</w:t>
      </w:r>
      <w:r w:rsidR="001C1926">
        <w:rPr>
          <w:rFonts w:eastAsia="Times New Roman" w:cs="Times New Roman"/>
          <w:b w:val="0"/>
          <w:color w:val="000000"/>
          <w:szCs w:val="24"/>
          <w:lang w:eastAsia="en-MY"/>
        </w:rPr>
        <w:t xml:space="preserve">, </w:t>
      </w:r>
      <w:r w:rsidR="001C1926" w:rsidRPr="001C1926">
        <w:rPr>
          <w:rFonts w:eastAsia="Times New Roman" w:cs="Times New Roman"/>
          <w:b w:val="0"/>
          <w:color w:val="000000"/>
          <w:sz w:val="22"/>
          <w:lang w:eastAsia="en-MY"/>
        </w:rPr>
        <w:t>N</w:t>
      </w:r>
      <w:r w:rsidR="001C1926" w:rsidRPr="001C1926">
        <w:rPr>
          <w:rFonts w:eastAsia="Times New Roman" w:cs="Times New Roman"/>
          <w:b w:val="0"/>
          <w:color w:val="000000"/>
          <w:sz w:val="22"/>
          <w:vertAlign w:val="subscript"/>
          <w:lang w:eastAsia="en-MY"/>
        </w:rPr>
        <w:t>15</w:t>
      </w:r>
      <w:r w:rsidR="001C1926" w:rsidRPr="001C1926">
        <w:rPr>
          <w:rFonts w:eastAsia="Times New Roman" w:cs="Times New Roman"/>
          <w:b w:val="0"/>
          <w:color w:val="000000"/>
          <w:sz w:val="22"/>
          <w:lang w:eastAsia="en-MY"/>
        </w:rPr>
        <w:t>C</w:t>
      </w:r>
      <w:r w:rsidR="001C1926" w:rsidRPr="001C1926">
        <w:rPr>
          <w:rFonts w:eastAsia="Times New Roman" w:cs="Times New Roman"/>
          <w:b w:val="0"/>
          <w:color w:val="000000"/>
          <w:sz w:val="22"/>
          <w:vertAlign w:val="subscript"/>
          <w:lang w:eastAsia="en-MY"/>
        </w:rPr>
        <w:t>5</w:t>
      </w:r>
      <w:r w:rsidR="001C1926" w:rsidRPr="001C1926">
        <w:rPr>
          <w:rFonts w:eastAsia="Times New Roman" w:cs="Times New Roman"/>
          <w:b w:val="0"/>
          <w:color w:val="000000"/>
          <w:sz w:val="22"/>
          <w:lang w:eastAsia="en-MY"/>
        </w:rPr>
        <w:t>A</w:t>
      </w:r>
      <w:r w:rsidR="001C1926" w:rsidRPr="001C1926">
        <w:rPr>
          <w:rFonts w:eastAsia="Times New Roman" w:cs="Times New Roman"/>
          <w:b w:val="0"/>
          <w:color w:val="000000"/>
          <w:sz w:val="22"/>
          <w:vertAlign w:val="subscript"/>
          <w:lang w:eastAsia="en-MY"/>
        </w:rPr>
        <w:t>x</w:t>
      </w:r>
      <w:r w:rsidR="001C1926" w:rsidRPr="001C1926">
        <w:rPr>
          <w:rFonts w:eastAsia="Times New Roman" w:cs="Times New Roman"/>
          <w:b w:val="0"/>
          <w:color w:val="000000"/>
          <w:sz w:val="22"/>
          <w:lang w:eastAsia="en-MY"/>
        </w:rPr>
        <w:t>B</w:t>
      </w:r>
      <w:r w:rsidR="001C1926" w:rsidRPr="001C1926">
        <w:rPr>
          <w:rFonts w:eastAsia="Times New Roman" w:cs="Times New Roman"/>
          <w:b w:val="0"/>
          <w:color w:val="000000"/>
          <w:sz w:val="22"/>
          <w:vertAlign w:val="subscript"/>
          <w:lang w:eastAsia="en-MY"/>
        </w:rPr>
        <w:t>20-x</w:t>
      </w:r>
      <w:r w:rsidR="001C1926" w:rsidRPr="001C1926">
        <w:rPr>
          <w:rFonts w:eastAsia="Times New Roman" w:cs="Times New Roman"/>
          <w:b w:val="0"/>
          <w:color w:val="000000"/>
          <w:sz w:val="22"/>
          <w:lang w:eastAsia="en-MY"/>
        </w:rPr>
        <w:t>S</w:t>
      </w:r>
      <w:r w:rsidR="001C1926" w:rsidRPr="001C1926">
        <w:rPr>
          <w:rFonts w:eastAsia="Times New Roman" w:cs="Times New Roman"/>
          <w:b w:val="0"/>
          <w:color w:val="000000"/>
          <w:sz w:val="22"/>
          <w:vertAlign w:val="subscript"/>
          <w:lang w:eastAsia="en-MY"/>
        </w:rPr>
        <w:t>60</w:t>
      </w:r>
      <w:r w:rsidR="001C1926">
        <w:rPr>
          <w:rFonts w:eastAsia="Times New Roman" w:cs="Times New Roman"/>
          <w:b w:val="0"/>
          <w:color w:val="000000"/>
          <w:sz w:val="20"/>
          <w:szCs w:val="20"/>
          <w:vertAlign w:val="subscript"/>
          <w:lang w:eastAsia="en-MY"/>
        </w:rPr>
        <w:t xml:space="preserve"> </w:t>
      </w:r>
      <w:r w:rsidR="001C1926" w:rsidRPr="001C1926">
        <w:rPr>
          <w:rFonts w:eastAsia="Times New Roman" w:cs="Times New Roman"/>
          <w:b w:val="0"/>
          <w:color w:val="000000"/>
          <w:szCs w:val="24"/>
          <w:lang w:eastAsia="en-MY"/>
        </w:rPr>
        <w:t>and N</w:t>
      </w:r>
      <w:r w:rsidR="001C1926" w:rsidRPr="001C1926">
        <w:rPr>
          <w:rFonts w:eastAsia="Times New Roman" w:cs="Times New Roman"/>
          <w:b w:val="0"/>
          <w:color w:val="000000"/>
          <w:szCs w:val="24"/>
          <w:vertAlign w:val="subscript"/>
          <w:lang w:eastAsia="en-MY"/>
        </w:rPr>
        <w:t>15</w:t>
      </w:r>
      <w:r w:rsidR="001C1926" w:rsidRPr="001C1926">
        <w:rPr>
          <w:rFonts w:eastAsia="Times New Roman" w:cs="Times New Roman"/>
          <w:b w:val="0"/>
          <w:color w:val="000000"/>
          <w:szCs w:val="24"/>
          <w:lang w:eastAsia="en-MY"/>
        </w:rPr>
        <w:t>Ba</w:t>
      </w:r>
      <w:r w:rsidR="001C1926" w:rsidRPr="001C1926">
        <w:rPr>
          <w:rFonts w:eastAsia="Times New Roman" w:cs="Times New Roman"/>
          <w:b w:val="0"/>
          <w:color w:val="000000"/>
          <w:szCs w:val="24"/>
          <w:vertAlign w:val="subscript"/>
          <w:lang w:eastAsia="en-MY"/>
        </w:rPr>
        <w:t>x</w:t>
      </w:r>
      <w:r w:rsidR="001C1926" w:rsidRPr="001C1926">
        <w:rPr>
          <w:rFonts w:eastAsia="Times New Roman" w:cs="Times New Roman"/>
          <w:b w:val="0"/>
          <w:color w:val="000000"/>
          <w:szCs w:val="24"/>
          <w:lang w:eastAsia="en-MY"/>
        </w:rPr>
        <w:t>A</w:t>
      </w:r>
      <w:r w:rsidR="001C1926" w:rsidRPr="001C1926">
        <w:rPr>
          <w:rFonts w:eastAsia="Times New Roman" w:cs="Times New Roman"/>
          <w:b w:val="0"/>
          <w:color w:val="000000"/>
          <w:szCs w:val="24"/>
          <w:vertAlign w:val="subscript"/>
          <w:lang w:eastAsia="en-MY"/>
        </w:rPr>
        <w:t>15-x</w:t>
      </w:r>
      <w:r w:rsidR="001C1926" w:rsidRPr="001C1926">
        <w:rPr>
          <w:rFonts w:eastAsia="Times New Roman" w:cs="Times New Roman"/>
          <w:b w:val="0"/>
          <w:color w:val="000000"/>
          <w:szCs w:val="24"/>
          <w:lang w:eastAsia="en-MY"/>
        </w:rPr>
        <w:t>B</w:t>
      </w:r>
      <w:r w:rsidR="001C1926" w:rsidRPr="001C1926">
        <w:rPr>
          <w:rFonts w:eastAsia="Times New Roman" w:cs="Times New Roman"/>
          <w:b w:val="0"/>
          <w:color w:val="000000"/>
          <w:szCs w:val="24"/>
          <w:vertAlign w:val="subscript"/>
          <w:lang w:eastAsia="en-MY"/>
        </w:rPr>
        <w:t>10</w:t>
      </w:r>
      <w:r w:rsidR="001C1926" w:rsidRPr="001C1926">
        <w:rPr>
          <w:rFonts w:eastAsia="Times New Roman" w:cs="Times New Roman"/>
          <w:b w:val="0"/>
          <w:color w:val="000000"/>
          <w:szCs w:val="24"/>
          <w:lang w:eastAsia="en-MY"/>
        </w:rPr>
        <w:t>S</w:t>
      </w:r>
      <w:r w:rsidR="001C1926" w:rsidRPr="001C1926">
        <w:rPr>
          <w:rFonts w:eastAsia="Times New Roman" w:cs="Times New Roman"/>
          <w:b w:val="0"/>
          <w:color w:val="000000"/>
          <w:szCs w:val="24"/>
          <w:vertAlign w:val="subscript"/>
          <w:lang w:eastAsia="en-MY"/>
        </w:rPr>
        <w:t>60</w:t>
      </w:r>
      <w:r w:rsidR="001C1926">
        <w:rPr>
          <w:rFonts w:eastAsia="Times New Roman" w:cs="Times New Roman"/>
          <w:b w:val="0"/>
          <w:color w:val="000000"/>
          <w:szCs w:val="24"/>
          <w:lang w:eastAsia="en-MY"/>
        </w:rPr>
        <w:t xml:space="preserve">, the </w:t>
      </w:r>
      <w:r w:rsidR="001C1926" w:rsidRPr="000E2377">
        <w:rPr>
          <w:b w:val="0"/>
        </w:rPr>
        <w:t>indentation toughness</w:t>
      </w:r>
      <w:r w:rsidR="001C1926">
        <w:rPr>
          <w:b w:val="0"/>
        </w:rPr>
        <w:t xml:space="preserve"> </w:t>
      </w:r>
      <w:r w:rsidR="008C4D01">
        <w:rPr>
          <w:b w:val="0"/>
        </w:rPr>
        <w:t>also increases</w:t>
      </w:r>
      <w:r w:rsidR="001C1926">
        <w:rPr>
          <w:b w:val="0"/>
        </w:rPr>
        <w:t xml:space="preserve"> with increasing of</w:t>
      </w:r>
      <w:r w:rsidR="001C1926">
        <w:rPr>
          <w:rFonts w:eastAsia="Times New Roman" w:cs="Times New Roman"/>
          <w:b w:val="0"/>
          <w:color w:val="000000"/>
          <w:szCs w:val="24"/>
          <w:lang w:eastAsia="en-MY"/>
        </w:rPr>
        <w:t xml:space="preserve"> </w:t>
      </w:r>
      <w:r w:rsidR="001C1926" w:rsidRPr="000E2377">
        <w:rPr>
          <w:b w:val="0"/>
        </w:rPr>
        <w:t>Poisson’s ratio</w:t>
      </w:r>
      <w:r w:rsidR="001C1926">
        <w:rPr>
          <w:b w:val="0"/>
        </w:rPr>
        <w:t xml:space="preserve"> and this might correspond to the glass with high packing density.</w:t>
      </w:r>
    </w:p>
    <w:p w14:paraId="4159EBFF" w14:textId="18DCBFF5" w:rsidR="00666029" w:rsidRPr="000E2377" w:rsidRDefault="00666029" w:rsidP="00666029">
      <w:pPr>
        <w:spacing w:line="360" w:lineRule="auto"/>
        <w:jc w:val="both"/>
        <w:rPr>
          <w:b w:val="0"/>
        </w:rPr>
      </w:pPr>
      <w:r w:rsidRPr="000E2377">
        <w:rPr>
          <w:b w:val="0"/>
        </w:rPr>
        <w:t>Meanwhile</w:t>
      </w:r>
      <w:r w:rsidR="008C4D01">
        <w:rPr>
          <w:b w:val="0"/>
        </w:rPr>
        <w:t>,</w:t>
      </w:r>
      <w:r w:rsidRPr="000E2377">
        <w:rPr>
          <w:b w:val="0"/>
        </w:rPr>
        <w:t xml:space="preserve"> Figure 5.12b shows the plots between Young’s </w:t>
      </w:r>
      <w:r>
        <w:rPr>
          <w:b w:val="0"/>
        </w:rPr>
        <w:t>m</w:t>
      </w:r>
      <w:r w:rsidRPr="000E2377">
        <w:rPr>
          <w:b w:val="0"/>
        </w:rPr>
        <w:t xml:space="preserve">odulus and indentation </w:t>
      </w:r>
      <w:r>
        <w:rPr>
          <w:b w:val="0"/>
        </w:rPr>
        <w:t xml:space="preserve">fracture </w:t>
      </w:r>
      <w:r w:rsidRPr="000E2377">
        <w:rPr>
          <w:b w:val="0"/>
        </w:rPr>
        <w:t xml:space="preserve">toughness. </w:t>
      </w:r>
      <w:r>
        <w:rPr>
          <w:b w:val="0"/>
        </w:rPr>
        <w:t xml:space="preserve">Despite the </w:t>
      </w:r>
      <w:r w:rsidRPr="000E2377">
        <w:rPr>
          <w:b w:val="0"/>
        </w:rPr>
        <w:t>scatt</w:t>
      </w:r>
      <w:r>
        <w:rPr>
          <w:b w:val="0"/>
        </w:rPr>
        <w:t xml:space="preserve">er </w:t>
      </w:r>
      <w:r w:rsidRPr="000E2377">
        <w:rPr>
          <w:b w:val="0"/>
        </w:rPr>
        <w:t xml:space="preserve">due to the </w:t>
      </w:r>
      <w:r>
        <w:rPr>
          <w:b w:val="0"/>
        </w:rPr>
        <w:t xml:space="preserve">various </w:t>
      </w:r>
      <w:r w:rsidRPr="000E2377">
        <w:rPr>
          <w:b w:val="0"/>
        </w:rPr>
        <w:t>different composition</w:t>
      </w:r>
      <w:r>
        <w:rPr>
          <w:b w:val="0"/>
        </w:rPr>
        <w:t>al</w:t>
      </w:r>
      <w:r w:rsidRPr="000E2377">
        <w:rPr>
          <w:b w:val="0"/>
        </w:rPr>
        <w:t xml:space="preserve"> series</w:t>
      </w:r>
      <w:r>
        <w:rPr>
          <w:b w:val="0"/>
        </w:rPr>
        <w:t xml:space="preserve"> </w:t>
      </w:r>
      <w:r w:rsidRPr="000E2377">
        <w:rPr>
          <w:b w:val="0"/>
        </w:rPr>
        <w:t>increasing Young’s modulus value</w:t>
      </w:r>
      <w:r>
        <w:rPr>
          <w:b w:val="0"/>
        </w:rPr>
        <w:t xml:space="preserve"> seems to lead a</w:t>
      </w:r>
      <w:r w:rsidRPr="000E2377">
        <w:rPr>
          <w:b w:val="0"/>
        </w:rPr>
        <w:t xml:space="preserve"> reduction </w:t>
      </w:r>
      <w:r>
        <w:rPr>
          <w:b w:val="0"/>
        </w:rPr>
        <w:t>in the</w:t>
      </w:r>
      <w:r w:rsidRPr="000E2377">
        <w:rPr>
          <w:b w:val="0"/>
        </w:rPr>
        <w:t xml:space="preserve"> indentation toughness. </w:t>
      </w:r>
      <w:r w:rsidRPr="000E2377">
        <w:rPr>
          <w:b w:val="0"/>
        </w:rPr>
        <w:fldChar w:fldCharType="begin" w:fldLock="1"/>
      </w:r>
      <w:r w:rsidRPr="000E2377">
        <w:rPr>
          <w:b w:val="0"/>
        </w:rPr>
        <w:instrText>ADDIN CSL_CITATION { "citationItems" : [ { "id" : "ITEM-1", "itemData" : { "DOI" : "10.1016/j.jnoncrysol.2012.03.029", "ISSN" : "00223093", "abstract" : "Vickers indentation measurements were carried out on borate, silicate and aluminophosphate glasses, each series comprised of samples of different relative alkali ratios (Na/Na + Li). All the glass series exhibited nonlinear variations of hardness with relative alkali ratio, which was attributed to the reduced plastic flow of mixed alkali glasses. The mixed alkali effect was also present in the length of radial cracks although less strongly than in hardness. Using a semi-empirical model, the variations of residual stresses and fracture toughness were estimated. ?? 2012 Elsevier B.V. All rights reserved.", "author" : [ { "dropping-particle" : "", "family" : "Mohajerani", "given" : "a.", "non-dropping-particle" : "", "parse-names" : false, "suffix" : "" }, { "dropping-particle" : "", "family" : "Zwanziger", "given" : "J. W.", "non-dropping-particle" : "", "parse-names" : false, "suffix" : "" } ], "container-title" : "Journal of Non-Crystalline Solids", "id" : "ITEM-1", "issue" : "12-13", "issued" : { "date-parts" : [ [ "2012" ] ] }, "page" : "1474-1479", "publisher" : "Elsevier B.V.", "title" : "Mixed alkali effect on Vickers hardness and cracking", "type" : "article-journal", "volume" : "358" }, "uris" : [ "http://www.mendeley.com/documents/?uuid=6997a2cc-2cf4-4533-9ac5-7b2e0ddd5e97" ] } ], "mendeley" : { "formattedCitation" : "(Mohajerani &amp; Zwanziger, 2012)", "plainTextFormattedCitation" : "(Mohajerani &amp; Zwanziger, 2012)", "previouslyFormattedCitation" : "(Mohajerani &amp; Zwanziger, 2012)" }, "properties" : { "noteIndex" : 94 }, "schema" : "https://github.com/citation-style-language/schema/raw/master/csl-citation.json" }</w:instrText>
      </w:r>
      <w:r w:rsidRPr="000E2377">
        <w:rPr>
          <w:b w:val="0"/>
        </w:rPr>
        <w:fldChar w:fldCharType="separate"/>
      </w:r>
      <w:r w:rsidRPr="000E2377">
        <w:rPr>
          <w:b w:val="0"/>
          <w:noProof/>
        </w:rPr>
        <w:t>(Mohajerani &amp; Zwanziger, 2012)</w:t>
      </w:r>
      <w:r w:rsidRPr="000E2377">
        <w:rPr>
          <w:b w:val="0"/>
        </w:rPr>
        <w:fldChar w:fldCharType="end"/>
      </w:r>
      <w:r w:rsidRPr="000E2377">
        <w:rPr>
          <w:b w:val="0"/>
        </w:rPr>
        <w:t xml:space="preserve"> mentioned that Young’s modulus and fracture toughness is reduced with increasing of alkali in silicate and phosphate glass composition</w:t>
      </w:r>
      <w:r>
        <w:rPr>
          <w:b w:val="0"/>
        </w:rPr>
        <w:t>s</w:t>
      </w:r>
      <w:r w:rsidRPr="000E2377">
        <w:rPr>
          <w:b w:val="0"/>
        </w:rPr>
        <w:t xml:space="preserve">. This </w:t>
      </w:r>
      <w:r>
        <w:rPr>
          <w:b w:val="0"/>
        </w:rPr>
        <w:t xml:space="preserve">is </w:t>
      </w:r>
      <w:r w:rsidRPr="000E2377">
        <w:rPr>
          <w:b w:val="0"/>
        </w:rPr>
        <w:t xml:space="preserve">probably due to the </w:t>
      </w:r>
      <w:r w:rsidR="00447119">
        <w:rPr>
          <w:b w:val="0"/>
        </w:rPr>
        <w:t xml:space="preserve">decreasing of </w:t>
      </w:r>
      <w:r w:rsidRPr="000E2377">
        <w:rPr>
          <w:b w:val="0"/>
        </w:rPr>
        <w:t>dissociation energy of the atomic structure. Increasing dissociation energy will</w:t>
      </w:r>
      <w:r>
        <w:rPr>
          <w:b w:val="0"/>
        </w:rPr>
        <w:t xml:space="preserve"> result in</w:t>
      </w:r>
      <w:r w:rsidRPr="000E2377">
        <w:rPr>
          <w:b w:val="0"/>
        </w:rPr>
        <w:t xml:space="preserve"> increased Young’s modulus </w:t>
      </w:r>
      <w:r w:rsidRPr="000E2377">
        <w:rPr>
          <w:b w:val="0"/>
        </w:rPr>
        <w:fldChar w:fldCharType="begin" w:fldLock="1"/>
      </w:r>
      <w:r w:rsidRPr="000E2377">
        <w:rPr>
          <w:b w:val="0"/>
        </w:rPr>
        <w:instrText>ADDIN CSL_CITATION { "citationItems" : [ { "id" : "ITEM-1", "itemData" : { "DOI" : "10.1016/0022-3093(73)90053-7", "ISBN" : "0022-3093", "ISSN" : "00223093", "abstract" : "An equation has been derived for the direct calculation of the Young's modulus of oxide glasses from their chemical compositions. The method is based on a consideration of dissociation energy of the oxide constituents per unit volume and the packing density. For borate glasses, the ratio of four-coordinated to three-coordinated borons must be taken into consideration. Excellent agreement is obtained between calculated and measured values of Young's modulus for over thirty different glasses. ?? 1973.", "author" : [ { "dropping-particle" : "", "family" : "Makishima", "given" : "A.", "non-dropping-particle" : "", "parse-names" : false, "suffix" : "" }, { "dropping-particle" : "", "family" : "Mackenzie", "given" : "J. D.", "non-dropping-particle" : "", "parse-names" : false, "suffix" : "" } ], "container-title" : "Journal of Non-Crystalline Solids", "id" : "ITEM-1", "issue" : "1", "issued" : { "date-parts" : [ [ "1973" ] ] }, "page" : "35-45", "title" : "Direct calculation of Young's modulus of glass", "type" : "article-journal", "volume" : "12" }, "uris" : [ "http://www.mendeley.com/documents/?uuid=709d85a3-431f-4e06-aa47-85bbb1a904ab" ] } ], "mendeley" : { "formattedCitation" : "(Makishima &amp; Mackenzie, 1973)", "plainTextFormattedCitation" : "(Makishima &amp; Mackenzie, 1973)", "previouslyFormattedCitation" : "(Makishima &amp; Mackenzie, 1973)" }, "properties" : { "noteIndex" : 95 }, "schema" : "https://github.com/citation-style-language/schema/raw/master/csl-citation.json" }</w:instrText>
      </w:r>
      <w:r w:rsidRPr="000E2377">
        <w:rPr>
          <w:b w:val="0"/>
        </w:rPr>
        <w:fldChar w:fldCharType="separate"/>
      </w:r>
      <w:r w:rsidRPr="000E2377">
        <w:rPr>
          <w:b w:val="0"/>
          <w:noProof/>
        </w:rPr>
        <w:t>(Makishima &amp; Mackenzie, 1973)</w:t>
      </w:r>
      <w:r w:rsidRPr="000E2377">
        <w:rPr>
          <w:b w:val="0"/>
        </w:rPr>
        <w:fldChar w:fldCharType="end"/>
      </w:r>
      <w:r w:rsidRPr="000E2377">
        <w:rPr>
          <w:b w:val="0"/>
        </w:rPr>
        <w:t>. The aluminium coordination also give</w:t>
      </w:r>
      <w:r w:rsidR="008C4D01">
        <w:rPr>
          <w:b w:val="0"/>
        </w:rPr>
        <w:t>s</w:t>
      </w:r>
      <w:r w:rsidRPr="000E2377">
        <w:rPr>
          <w:b w:val="0"/>
        </w:rPr>
        <w:t xml:space="preserve"> an effect to both properties. </w:t>
      </w:r>
      <w:r w:rsidRPr="000E2377">
        <w:rPr>
          <w:b w:val="0"/>
        </w:rPr>
        <w:fldChar w:fldCharType="begin" w:fldLock="1"/>
      </w:r>
      <w:r w:rsidR="008400FF">
        <w:rPr>
          <w:b w:val="0"/>
        </w:rPr>
        <w:instrText>ADDIN CSL_CITATION { "citationItems" : [ { "id" : "ITEM-1", "itemData" : { "DOI" : "10.1016/j.ceramint.2015.01.144", "ISBN" : "0272-8842", "ISSN" : "02728842", "author" : [ { "dropping-particle" : "", "family" : "Tiegel", "given" : "Mirko", "non-dropping-particle" : "", "parse-names" : false, "suffix" : "" }, { "dropping-particle" : "", "family" : "Hosseinabhadi", "given" : "Reza", "non-dropping-particle" : "", "parse-names" : false, "suffix" : "" }, { "dropping-particle" : "", "family" : "Kuhn", "given" : "Stefan", "non-dropping-particle" : "", "parse-names" : false, "suffix" : "" }, { "dropping-particle" : "", "family" : "Herrmann", "given" : "Andreas", "non-dropping-particle" : "", "parse-names" : false, "suffix" : "" }, { "dropping-particle" : "", "family" : "R\u00fcssel", "given" : "Christian", "non-dropping-particle" : "", "parse-names" : false, "suffix" : "" } ], "container-title" : "Ceramics International", "id" : "ITEM-1", "issue" : "6", "issued" : { "date-parts" : [ [ "2015" ] ] }, "page" : "7267-7275", "publisher" : "Elsevier", "title" : "Young\u05f3s modulus, Vickers hardness and indentation fracture toughness of alumino silicate glasses", "type" : "article-journal", "volume" : "41" }, "uris" : [ "http://www.mendeley.com/documents/?uuid=7f12f343-f854-4545-b24e-48ef728c7dd2" ] } ], "mendeley" : { "formattedCitation" : "(Tiegel et al., 2015)", "manualFormatting" : "Tiegel et al., (2015)", "plainTextFormattedCitation" : "(Tiegel et al., 2015)", "previouslyFormattedCitation" : "(Tiegel et al., 2015)" }, "properties" : { "noteIndex" : 95 }, "schema" : "https://github.com/citation-style-language/schema/raw/master/csl-citation.json" }</w:instrText>
      </w:r>
      <w:r w:rsidRPr="000E2377">
        <w:rPr>
          <w:b w:val="0"/>
        </w:rPr>
        <w:fldChar w:fldCharType="separate"/>
      </w:r>
      <w:r w:rsidRPr="000E2377">
        <w:rPr>
          <w:b w:val="0"/>
          <w:noProof/>
        </w:rPr>
        <w:t>Tiegel et al., (2015)</w:t>
      </w:r>
      <w:r w:rsidRPr="000E2377">
        <w:rPr>
          <w:b w:val="0"/>
        </w:rPr>
        <w:fldChar w:fldCharType="end"/>
      </w:r>
      <w:r w:rsidRPr="000E2377">
        <w:rPr>
          <w:b w:val="0"/>
        </w:rPr>
        <w:t xml:space="preserve"> studied the effect of bridging oxygens per tetrahedron in aluminosilicate glass and show</w:t>
      </w:r>
      <w:r>
        <w:rPr>
          <w:b w:val="0"/>
        </w:rPr>
        <w:t>ed</w:t>
      </w:r>
      <w:r w:rsidRPr="000E2377">
        <w:rPr>
          <w:b w:val="0"/>
        </w:rPr>
        <w:t xml:space="preserve"> </w:t>
      </w:r>
      <w:r>
        <w:rPr>
          <w:b w:val="0"/>
        </w:rPr>
        <w:t xml:space="preserve">that </w:t>
      </w:r>
      <w:r w:rsidRPr="000E2377">
        <w:rPr>
          <w:b w:val="0"/>
        </w:rPr>
        <w:t xml:space="preserve">the indentation fracture toughness increased </w:t>
      </w:r>
      <w:r>
        <w:rPr>
          <w:b w:val="0"/>
        </w:rPr>
        <w:t>in more connected structures; however</w:t>
      </w:r>
      <w:r w:rsidR="008C4D01">
        <w:rPr>
          <w:b w:val="0"/>
        </w:rPr>
        <w:t>,</w:t>
      </w:r>
      <w:r>
        <w:rPr>
          <w:b w:val="0"/>
        </w:rPr>
        <w:t xml:space="preserve"> Young’s modulus showed no general trends with the increasing number </w:t>
      </w:r>
      <w:r w:rsidRPr="000E2377">
        <w:rPr>
          <w:b w:val="0"/>
        </w:rPr>
        <w:t xml:space="preserve">of bridging-oxygens per tetrahedron. </w:t>
      </w:r>
      <w:r>
        <w:rPr>
          <w:b w:val="0"/>
        </w:rPr>
        <w:t xml:space="preserve">Meanwhile </w:t>
      </w:r>
      <w:proofErr w:type="spellStart"/>
      <w:r>
        <w:rPr>
          <w:b w:val="0"/>
        </w:rPr>
        <w:t>Kilinc</w:t>
      </w:r>
      <w:proofErr w:type="spellEnd"/>
      <w:r>
        <w:rPr>
          <w:b w:val="0"/>
        </w:rPr>
        <w:t xml:space="preserve"> and Hand, 2015 mentioned that high connectivity will lead to low Young’s modulus and low indentation fracture toughness.</w:t>
      </w:r>
      <w:r w:rsidRPr="000E2377">
        <w:rPr>
          <w:b w:val="0"/>
        </w:rPr>
        <w:t xml:space="preserve"> </w:t>
      </w:r>
      <w:r>
        <w:rPr>
          <w:b w:val="0"/>
        </w:rPr>
        <w:t>However</w:t>
      </w:r>
      <w:r w:rsidR="008C4D01">
        <w:rPr>
          <w:b w:val="0"/>
        </w:rPr>
        <w:t>,</w:t>
      </w:r>
      <w:r>
        <w:rPr>
          <w:b w:val="0"/>
        </w:rPr>
        <w:t xml:space="preserve"> Fig 5.12b shows that </w:t>
      </w:r>
      <w:r w:rsidRPr="000E2377">
        <w:rPr>
          <w:b w:val="0"/>
        </w:rPr>
        <w:t xml:space="preserve">indentation fracture toughness </w:t>
      </w:r>
      <w:r>
        <w:rPr>
          <w:b w:val="0"/>
        </w:rPr>
        <w:t xml:space="preserve">decreased with increasing </w:t>
      </w:r>
      <w:r w:rsidRPr="000E2377">
        <w:rPr>
          <w:b w:val="0"/>
        </w:rPr>
        <w:t>Young’s modulus</w:t>
      </w:r>
      <w:r>
        <w:rPr>
          <w:b w:val="0"/>
        </w:rPr>
        <w:t>. In addition Young’s modulus decreases with increasing connectivity</w:t>
      </w:r>
      <w:r w:rsidRPr="000E2377">
        <w:rPr>
          <w:b w:val="0"/>
        </w:rPr>
        <w:t>.</w:t>
      </w:r>
      <w:r>
        <w:rPr>
          <w:b w:val="0"/>
        </w:rPr>
        <w:t xml:space="preserve"> As an example for glass </w:t>
      </w:r>
      <w:r w:rsidRPr="000D1577">
        <w:rPr>
          <w:rFonts w:eastAsia="Times New Roman" w:cs="Times New Roman"/>
          <w:b w:val="0"/>
          <w:color w:val="000000"/>
          <w:szCs w:val="24"/>
          <w:lang w:eastAsia="en-MY"/>
        </w:rPr>
        <w:t>N</w:t>
      </w:r>
      <w:r w:rsidRPr="000D1577">
        <w:rPr>
          <w:rFonts w:eastAsia="Times New Roman" w:cs="Times New Roman"/>
          <w:b w:val="0"/>
          <w:color w:val="000000"/>
          <w:szCs w:val="24"/>
          <w:vertAlign w:val="subscript"/>
          <w:lang w:eastAsia="en-MY"/>
        </w:rPr>
        <w:t>15</w:t>
      </w:r>
      <w:r w:rsidRPr="000D1577">
        <w:rPr>
          <w:rFonts w:eastAsia="Times New Roman" w:cs="Times New Roman"/>
          <w:b w:val="0"/>
          <w:color w:val="000000"/>
          <w:szCs w:val="24"/>
          <w:lang w:eastAsia="en-MY"/>
        </w:rPr>
        <w:t>C</w:t>
      </w:r>
      <w:r w:rsidRPr="000D1577">
        <w:rPr>
          <w:rFonts w:eastAsia="Times New Roman" w:cs="Times New Roman"/>
          <w:b w:val="0"/>
          <w:color w:val="000000"/>
          <w:szCs w:val="24"/>
          <w:vertAlign w:val="subscript"/>
          <w:lang w:eastAsia="en-MY"/>
        </w:rPr>
        <w:t>10</w:t>
      </w:r>
      <w:r w:rsidRPr="000D1577">
        <w:rPr>
          <w:rFonts w:eastAsia="Times New Roman" w:cs="Times New Roman"/>
          <w:b w:val="0"/>
          <w:color w:val="000000"/>
          <w:szCs w:val="24"/>
          <w:lang w:eastAsia="en-MY"/>
        </w:rPr>
        <w:t>A</w:t>
      </w:r>
      <w:r w:rsidRPr="000D1577">
        <w:rPr>
          <w:rFonts w:eastAsia="Times New Roman" w:cs="Times New Roman"/>
          <w:b w:val="0"/>
          <w:color w:val="000000"/>
          <w:szCs w:val="24"/>
          <w:vertAlign w:val="subscript"/>
          <w:lang w:eastAsia="en-MY"/>
        </w:rPr>
        <w:t>5</w:t>
      </w:r>
      <w:r w:rsidRPr="000D1577">
        <w:rPr>
          <w:rFonts w:eastAsia="Times New Roman" w:cs="Times New Roman"/>
          <w:b w:val="0"/>
          <w:color w:val="000000"/>
          <w:szCs w:val="24"/>
          <w:lang w:eastAsia="en-MY"/>
        </w:rPr>
        <w:t>B</w:t>
      </w:r>
      <w:r w:rsidRPr="000D1577">
        <w:rPr>
          <w:rFonts w:eastAsia="Times New Roman" w:cs="Times New Roman"/>
          <w:b w:val="0"/>
          <w:color w:val="000000"/>
          <w:szCs w:val="24"/>
          <w:vertAlign w:val="subscript"/>
          <w:lang w:eastAsia="en-MY"/>
        </w:rPr>
        <w:t>10</w:t>
      </w:r>
      <w:r w:rsidRPr="000D1577">
        <w:rPr>
          <w:rFonts w:eastAsia="Times New Roman" w:cs="Times New Roman"/>
          <w:b w:val="0"/>
          <w:color w:val="000000"/>
          <w:szCs w:val="24"/>
          <w:lang w:eastAsia="en-MY"/>
        </w:rPr>
        <w:t>S</w:t>
      </w:r>
      <w:r w:rsidRPr="000D1577">
        <w:rPr>
          <w:rFonts w:eastAsia="Times New Roman" w:cs="Times New Roman"/>
          <w:b w:val="0"/>
          <w:color w:val="000000"/>
          <w:szCs w:val="24"/>
          <w:vertAlign w:val="subscript"/>
          <w:lang w:eastAsia="en-MY"/>
        </w:rPr>
        <w:t>60</w:t>
      </w:r>
      <w:r w:rsidRPr="000D1577">
        <w:rPr>
          <w:rFonts w:eastAsia="Times New Roman" w:cs="Times New Roman"/>
          <w:b w:val="0"/>
          <w:color w:val="000000"/>
          <w:szCs w:val="24"/>
          <w:lang w:eastAsia="en-MY"/>
        </w:rPr>
        <w:t>,</w:t>
      </w:r>
      <w:r>
        <w:rPr>
          <w:rFonts w:eastAsia="Times New Roman" w:cs="Times New Roman"/>
          <w:b w:val="0"/>
          <w:color w:val="000000"/>
          <w:szCs w:val="24"/>
          <w:lang w:eastAsia="en-MY"/>
        </w:rPr>
        <w:t xml:space="preserve"> the NMR indicated that  47% Q</w:t>
      </w:r>
      <w:r>
        <w:rPr>
          <w:rFonts w:eastAsia="Times New Roman" w:cs="Times New Roman"/>
          <w:b w:val="0"/>
          <w:color w:val="000000"/>
          <w:szCs w:val="24"/>
          <w:vertAlign w:val="superscript"/>
          <w:lang w:eastAsia="en-MY"/>
        </w:rPr>
        <w:t>4</w:t>
      </w:r>
      <w:r>
        <w:rPr>
          <w:rFonts w:eastAsia="Times New Roman" w:cs="Times New Roman"/>
          <w:b w:val="0"/>
          <w:color w:val="000000"/>
          <w:szCs w:val="24"/>
          <w:lang w:eastAsia="en-MY"/>
        </w:rPr>
        <w:t xml:space="preserve"> was present (refer Table 4.3) with 74.7 </w:t>
      </w:r>
      <w:proofErr w:type="spellStart"/>
      <w:r>
        <w:rPr>
          <w:rFonts w:eastAsia="Times New Roman" w:cs="Times New Roman"/>
          <w:b w:val="0"/>
          <w:color w:val="000000"/>
          <w:szCs w:val="24"/>
          <w:lang w:eastAsia="en-MY"/>
        </w:rPr>
        <w:t>GPa</w:t>
      </w:r>
      <w:proofErr w:type="spellEnd"/>
      <w:r>
        <w:rPr>
          <w:rFonts w:eastAsia="Times New Roman" w:cs="Times New Roman"/>
          <w:b w:val="0"/>
          <w:color w:val="000000"/>
          <w:szCs w:val="24"/>
          <w:lang w:eastAsia="en-MY"/>
        </w:rPr>
        <w:t xml:space="preserve"> of Young’s modulus and 0.56 MN m</w:t>
      </w:r>
      <w:r w:rsidRPr="00AF2905">
        <w:rPr>
          <w:rFonts w:eastAsia="Times New Roman" w:cs="Times New Roman"/>
          <w:b w:val="0"/>
          <w:color w:val="000000"/>
          <w:szCs w:val="24"/>
          <w:vertAlign w:val="superscript"/>
          <w:lang w:eastAsia="en-MY"/>
        </w:rPr>
        <w:t>-</w:t>
      </w:r>
      <w:r>
        <w:rPr>
          <w:rFonts w:eastAsia="Times New Roman" w:cs="Times New Roman"/>
          <w:b w:val="0"/>
          <w:color w:val="000000"/>
          <w:szCs w:val="24"/>
          <w:vertAlign w:val="superscript"/>
          <w:lang w:eastAsia="en-MY"/>
        </w:rPr>
        <w:t>3</w:t>
      </w:r>
      <w:r w:rsidRPr="00AF2905">
        <w:rPr>
          <w:rFonts w:eastAsia="Times New Roman" w:cs="Times New Roman"/>
          <w:b w:val="0"/>
          <w:color w:val="000000"/>
          <w:szCs w:val="24"/>
          <w:vertAlign w:val="superscript"/>
          <w:lang w:eastAsia="en-MY"/>
        </w:rPr>
        <w:t>/</w:t>
      </w:r>
      <w:r>
        <w:rPr>
          <w:rFonts w:eastAsia="Times New Roman" w:cs="Times New Roman"/>
          <w:b w:val="0"/>
          <w:color w:val="000000"/>
          <w:szCs w:val="24"/>
          <w:vertAlign w:val="superscript"/>
          <w:lang w:eastAsia="en-MY"/>
        </w:rPr>
        <w:t>2</w:t>
      </w:r>
      <w:r>
        <w:rPr>
          <w:rFonts w:eastAsia="Times New Roman" w:cs="Times New Roman"/>
          <w:b w:val="0"/>
          <w:color w:val="000000"/>
          <w:szCs w:val="24"/>
          <w:lang w:eastAsia="en-MY"/>
        </w:rPr>
        <w:t xml:space="preserve"> of indentation toughness value meanwhile for glass with </w:t>
      </w:r>
      <w:r w:rsidR="00447119">
        <w:rPr>
          <w:rFonts w:eastAsia="Times New Roman" w:cs="Times New Roman"/>
          <w:b w:val="0"/>
          <w:color w:val="000000"/>
          <w:szCs w:val="24"/>
          <w:lang w:eastAsia="en-MY"/>
        </w:rPr>
        <w:t xml:space="preserve">86% </w:t>
      </w:r>
      <w:r>
        <w:rPr>
          <w:rFonts w:eastAsia="Times New Roman" w:cs="Times New Roman"/>
          <w:b w:val="0"/>
          <w:color w:val="000000"/>
          <w:szCs w:val="24"/>
          <w:lang w:eastAsia="en-MY"/>
        </w:rPr>
        <w:t>Q</w:t>
      </w:r>
      <w:r w:rsidRPr="00AF2905">
        <w:rPr>
          <w:rFonts w:eastAsia="Times New Roman" w:cs="Times New Roman"/>
          <w:b w:val="0"/>
          <w:color w:val="000000"/>
          <w:szCs w:val="24"/>
          <w:vertAlign w:val="superscript"/>
          <w:lang w:eastAsia="en-MY"/>
        </w:rPr>
        <w:t>4</w:t>
      </w:r>
      <w:r>
        <w:rPr>
          <w:rFonts w:eastAsia="Times New Roman" w:cs="Times New Roman"/>
          <w:b w:val="0"/>
          <w:color w:val="000000"/>
          <w:szCs w:val="24"/>
          <w:lang w:eastAsia="en-MY"/>
        </w:rPr>
        <w:t xml:space="preserve">, Young’s modulus and toughness </w:t>
      </w:r>
      <w:r w:rsidR="008C4D01">
        <w:rPr>
          <w:rFonts w:eastAsia="Times New Roman" w:cs="Times New Roman"/>
          <w:b w:val="0"/>
          <w:color w:val="000000"/>
          <w:szCs w:val="24"/>
          <w:lang w:eastAsia="en-MY"/>
        </w:rPr>
        <w:t>are</w:t>
      </w:r>
      <w:r w:rsidR="008C4D01">
        <w:rPr>
          <w:b w:val="0"/>
        </w:rPr>
        <w:t xml:space="preserve"> </w:t>
      </w:r>
      <w:r>
        <w:rPr>
          <w:rFonts w:eastAsia="Times New Roman" w:cs="Times New Roman"/>
          <w:b w:val="0"/>
          <w:color w:val="000000"/>
          <w:szCs w:val="24"/>
          <w:lang w:eastAsia="en-MY"/>
        </w:rPr>
        <w:t xml:space="preserve">62.14 </w:t>
      </w:r>
      <w:proofErr w:type="spellStart"/>
      <w:r>
        <w:rPr>
          <w:rFonts w:eastAsia="Times New Roman" w:cs="Times New Roman"/>
          <w:b w:val="0"/>
          <w:color w:val="000000"/>
          <w:szCs w:val="24"/>
          <w:lang w:eastAsia="en-MY"/>
        </w:rPr>
        <w:t>GPa</w:t>
      </w:r>
      <w:proofErr w:type="spellEnd"/>
      <w:r>
        <w:rPr>
          <w:rFonts w:eastAsia="Times New Roman" w:cs="Times New Roman"/>
          <w:b w:val="0"/>
          <w:color w:val="000000"/>
          <w:szCs w:val="24"/>
          <w:lang w:eastAsia="en-MY"/>
        </w:rPr>
        <w:t xml:space="preserve"> and 0.88 MN m</w:t>
      </w:r>
      <w:r w:rsidRPr="00AF2905">
        <w:rPr>
          <w:rFonts w:eastAsia="Times New Roman" w:cs="Times New Roman"/>
          <w:b w:val="0"/>
          <w:color w:val="000000"/>
          <w:szCs w:val="24"/>
          <w:vertAlign w:val="superscript"/>
          <w:lang w:eastAsia="en-MY"/>
        </w:rPr>
        <w:t>-</w:t>
      </w:r>
      <w:r>
        <w:rPr>
          <w:rFonts w:eastAsia="Times New Roman" w:cs="Times New Roman"/>
          <w:b w:val="0"/>
          <w:color w:val="000000"/>
          <w:szCs w:val="24"/>
          <w:vertAlign w:val="superscript"/>
          <w:lang w:eastAsia="en-MY"/>
        </w:rPr>
        <w:t>3</w:t>
      </w:r>
      <w:r w:rsidRPr="00AF2905">
        <w:rPr>
          <w:rFonts w:eastAsia="Times New Roman" w:cs="Times New Roman"/>
          <w:b w:val="0"/>
          <w:color w:val="000000"/>
          <w:szCs w:val="24"/>
          <w:vertAlign w:val="superscript"/>
          <w:lang w:eastAsia="en-MY"/>
        </w:rPr>
        <w:t>/</w:t>
      </w:r>
      <w:r>
        <w:rPr>
          <w:rFonts w:eastAsia="Times New Roman" w:cs="Times New Roman"/>
          <w:b w:val="0"/>
          <w:color w:val="000000"/>
          <w:szCs w:val="24"/>
          <w:vertAlign w:val="superscript"/>
          <w:lang w:eastAsia="en-MY"/>
        </w:rPr>
        <w:t>2</w:t>
      </w:r>
      <w:r>
        <w:rPr>
          <w:rFonts w:eastAsia="Times New Roman" w:cs="Times New Roman"/>
          <w:b w:val="0"/>
          <w:color w:val="000000"/>
          <w:szCs w:val="24"/>
          <w:lang w:eastAsia="en-MY"/>
        </w:rPr>
        <w:t xml:space="preserve"> </w:t>
      </w:r>
      <w:r>
        <w:rPr>
          <w:b w:val="0"/>
        </w:rPr>
        <w:t>respectively. Thus it</w:t>
      </w:r>
      <w:r w:rsidR="008C4D01">
        <w:rPr>
          <w:b w:val="0"/>
        </w:rPr>
        <w:t xml:space="preserve"> </w:t>
      </w:r>
      <w:r>
        <w:rPr>
          <w:b w:val="0"/>
        </w:rPr>
        <w:t xml:space="preserve">is also proved that for boroaluminosilicate glasses high connectivity gives low Young’s modulus and high indentation toughness values. </w:t>
      </w:r>
    </w:p>
    <w:p w14:paraId="31BF6416" w14:textId="77777777" w:rsidR="00666029" w:rsidRPr="000E2377" w:rsidRDefault="00666029" w:rsidP="00666029">
      <w:pPr>
        <w:pStyle w:val="Heading3"/>
      </w:pPr>
      <w:bookmarkStart w:id="941" w:name="_Toc523402944"/>
      <w:bookmarkStart w:id="942" w:name="_Toc525526455"/>
      <w:bookmarkStart w:id="943" w:name="_Toc525707880"/>
      <w:bookmarkStart w:id="944" w:name="_Toc525742545"/>
      <w:bookmarkStart w:id="945" w:name="_Toc12994981"/>
      <w:r w:rsidRPr="000E2377">
        <w:lastRenderedPageBreak/>
        <w:t>5.7 Connection between Poisson’s ratio</w:t>
      </w:r>
      <w:r>
        <w:t>,</w:t>
      </w:r>
      <w:r w:rsidRPr="000E2377">
        <w:t xml:space="preserve"> network connectivity </w:t>
      </w:r>
      <w:r>
        <w:t>and</w:t>
      </w:r>
      <w:r w:rsidRPr="000E2377">
        <w:t xml:space="preserve"> atomic packing density.</w:t>
      </w:r>
      <w:bookmarkEnd w:id="941"/>
      <w:bookmarkEnd w:id="942"/>
      <w:bookmarkEnd w:id="943"/>
      <w:bookmarkEnd w:id="944"/>
      <w:bookmarkEnd w:id="945"/>
    </w:p>
    <w:p w14:paraId="166F80A7" w14:textId="77777777" w:rsidR="00666029" w:rsidRPr="000E2377" w:rsidRDefault="00666029" w:rsidP="00666029">
      <w:pPr>
        <w:jc w:val="center"/>
      </w:pPr>
      <w:r w:rsidRPr="000E2377">
        <w:t xml:space="preserve"> </w:t>
      </w:r>
      <w:r w:rsidRPr="000E2377">
        <w:rPr>
          <w:noProof/>
          <w:lang w:eastAsia="en-MY"/>
        </w:rPr>
        <w:drawing>
          <wp:inline distT="0" distB="0" distL="0" distR="0" wp14:anchorId="26E8D3E9" wp14:editId="4D1666FD">
            <wp:extent cx="3680361" cy="3240000"/>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680361" cy="3240000"/>
                    </a:xfrm>
                    <a:prstGeom prst="rect">
                      <a:avLst/>
                    </a:prstGeom>
                    <a:noFill/>
                    <a:ln>
                      <a:noFill/>
                    </a:ln>
                  </pic:spPr>
                </pic:pic>
              </a:graphicData>
            </a:graphic>
          </wp:inline>
        </w:drawing>
      </w:r>
    </w:p>
    <w:p w14:paraId="4EA74648" w14:textId="76B778BC" w:rsidR="00666029" w:rsidRPr="000E2377" w:rsidRDefault="0082632E" w:rsidP="00666029">
      <w:pPr>
        <w:pStyle w:val="Caption"/>
      </w:pPr>
      <w:bookmarkStart w:id="946" w:name="_Toc521420514"/>
      <w:bookmarkStart w:id="947" w:name="_Toc525528397"/>
      <w:bookmarkStart w:id="948" w:name="_Toc525706412"/>
      <w:r>
        <w:t>Figure 5.13:</w:t>
      </w:r>
      <w:r w:rsidR="00666029" w:rsidRPr="000E2377">
        <w:t xml:space="preserve"> Poisson’s ratio as a function of atomic packing density</w:t>
      </w:r>
      <w:bookmarkEnd w:id="946"/>
      <w:r w:rsidR="00666029" w:rsidRPr="000E2377">
        <w:t>.</w:t>
      </w:r>
      <w:bookmarkEnd w:id="947"/>
      <w:bookmarkEnd w:id="948"/>
    </w:p>
    <w:p w14:paraId="02401A2B" w14:textId="6B11ACF0" w:rsidR="00666029" w:rsidRPr="00845514" w:rsidRDefault="00666029" w:rsidP="00666029">
      <w:pPr>
        <w:spacing w:line="360" w:lineRule="auto"/>
        <w:jc w:val="both"/>
        <w:rPr>
          <w:b w:val="0"/>
        </w:rPr>
      </w:pPr>
      <w:r>
        <w:rPr>
          <w:b w:val="0"/>
        </w:rPr>
        <w:t>The current work shows</w:t>
      </w:r>
      <w:r w:rsidRPr="000E2377">
        <w:rPr>
          <w:b w:val="0"/>
        </w:rPr>
        <w:t xml:space="preserve"> </w:t>
      </w:r>
      <w:r>
        <w:rPr>
          <w:b w:val="0"/>
        </w:rPr>
        <w:t>that</w:t>
      </w:r>
      <w:r w:rsidRPr="000E2377">
        <w:rPr>
          <w:b w:val="0"/>
        </w:rPr>
        <w:t xml:space="preserve"> </w:t>
      </w:r>
      <w:r>
        <w:rPr>
          <w:b w:val="0"/>
        </w:rPr>
        <w:t xml:space="preserve">there may be a slight tendency for </w:t>
      </w:r>
      <w:r w:rsidRPr="000E2377">
        <w:rPr>
          <w:b w:val="0"/>
        </w:rPr>
        <w:t xml:space="preserve">Poisson’s ratio </w:t>
      </w:r>
      <w:r>
        <w:rPr>
          <w:b w:val="0"/>
        </w:rPr>
        <w:t xml:space="preserve">to increase </w:t>
      </w:r>
      <w:r w:rsidRPr="000E2377">
        <w:rPr>
          <w:b w:val="0"/>
        </w:rPr>
        <w:t>with increasing atomic packing density</w:t>
      </w:r>
      <w:r>
        <w:rPr>
          <w:b w:val="0"/>
        </w:rPr>
        <w:t xml:space="preserve"> (Figure 5.13) although the correlation is not strong over the limited range of Poisson’s ratios and packing densities seen for these glasses</w:t>
      </w:r>
      <w:r w:rsidRPr="000E2377">
        <w:t xml:space="preserve">.  </w:t>
      </w:r>
      <w:r w:rsidRPr="000E2377">
        <w:rPr>
          <w:b w:val="0"/>
        </w:rPr>
        <w:t>For inorganic glass,</w:t>
      </w:r>
      <w:r>
        <w:rPr>
          <w:b w:val="0"/>
        </w:rPr>
        <w:t xml:space="preserve"> Poisson’s ratio has been found to</w:t>
      </w:r>
      <w:r w:rsidRPr="000E2377">
        <w:rPr>
          <w:b w:val="0"/>
        </w:rPr>
        <w:t xml:space="preserve"> increas</w:t>
      </w:r>
      <w:r>
        <w:rPr>
          <w:b w:val="0"/>
        </w:rPr>
        <w:t>e with</w:t>
      </w:r>
      <w:r w:rsidRPr="000E2377">
        <w:rPr>
          <w:b w:val="0"/>
        </w:rPr>
        <w:t xml:space="preserve"> atomic packing density</w:t>
      </w:r>
      <w:r>
        <w:rPr>
          <w:b w:val="0"/>
        </w:rPr>
        <w:t xml:space="preserve"> as shown in Figure 2.7 </w:t>
      </w:r>
      <w:r w:rsidRPr="000E2377">
        <w:rPr>
          <w:b w:val="0"/>
        </w:rPr>
        <w:fldChar w:fldCharType="begin" w:fldLock="1"/>
      </w:r>
      <w:r w:rsidRPr="000E2377">
        <w:rPr>
          <w:b w:val="0"/>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"manualFormatting" : "(Rouxel, 2007)", "plainTextFormattedCitation" : "(Tanguy Rouxel, 2007)", "previouslyFormattedCitation" : "(Tanguy Rouxel, 2007)" }, "properties" : { "noteIndex" : 123 }, "schema" : "https://github.com/citation-style-language/schema/raw/master/csl-citation.json" }</w:instrText>
      </w:r>
      <w:r w:rsidRPr="000E2377">
        <w:rPr>
          <w:b w:val="0"/>
        </w:rPr>
        <w:fldChar w:fldCharType="separate"/>
      </w:r>
      <w:r w:rsidRPr="000E2377">
        <w:rPr>
          <w:b w:val="0"/>
          <w:noProof/>
        </w:rPr>
        <w:t>(Rouxel, 2007)</w:t>
      </w:r>
      <w:r w:rsidRPr="000E2377">
        <w:rPr>
          <w:b w:val="0"/>
        </w:rPr>
        <w:fldChar w:fldCharType="end"/>
      </w:r>
      <w:r w:rsidRPr="000746D7">
        <w:rPr>
          <w:b w:val="0"/>
        </w:rPr>
        <w:t>.</w:t>
      </w:r>
      <w:r w:rsidRPr="000E2377">
        <w:t xml:space="preserve"> </w:t>
      </w:r>
      <w:r w:rsidRPr="000E2377">
        <w:rPr>
          <w:b w:val="0"/>
        </w:rPr>
        <w:t xml:space="preserve">From Figure 5.13, it can be seen that the lowest packing density and Poisson’s ratio is for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b w:val="0"/>
        </w:rPr>
        <w:t xml:space="preserve"> series with (</w:t>
      </w:r>
      <w:r w:rsidRPr="000E2377">
        <w:rPr>
          <w:b w:val="0"/>
          <w:i/>
        </w:rPr>
        <w:t>v</w:t>
      </w:r>
      <w:r w:rsidRPr="000E2377">
        <w:rPr>
          <w:b w:val="0"/>
        </w:rPr>
        <w:t>=0.201 to 0.218) and (C</w:t>
      </w:r>
      <w:r w:rsidRPr="000E2377">
        <w:rPr>
          <w:b w:val="0"/>
          <w:vertAlign w:val="subscript"/>
        </w:rPr>
        <w:t>g</w:t>
      </w:r>
      <w:r w:rsidRPr="000E2377">
        <w:rPr>
          <w:b w:val="0"/>
        </w:rPr>
        <w:t>=0.44 to 0.50). In this composition</w:t>
      </w:r>
      <w:r>
        <w:rPr>
          <w:b w:val="0"/>
        </w:rPr>
        <w:t>al series</w:t>
      </w:r>
      <w:r w:rsidRPr="000E2377">
        <w:rPr>
          <w:b w:val="0"/>
        </w:rPr>
        <w:t xml:space="preserve"> increasing alumina content</w:t>
      </w:r>
      <w:r>
        <w:rPr>
          <w:b w:val="0"/>
        </w:rPr>
        <w:t xml:space="preserve"> led to a slight increase in connectivity slightly increased as can be seen from Q</w:t>
      </w:r>
      <w:r w:rsidRPr="00DD1A60">
        <w:rPr>
          <w:b w:val="0"/>
          <w:vertAlign w:val="superscript"/>
        </w:rPr>
        <w:t>4</w:t>
      </w:r>
      <w:r>
        <w:rPr>
          <w:b w:val="0"/>
        </w:rPr>
        <w:t xml:space="preserve"> species and </w:t>
      </w:r>
      <w:proofErr w:type="spellStart"/>
      <w:r>
        <w:rPr>
          <w:b w:val="0"/>
        </w:rPr>
        <w:t>Al</w:t>
      </w:r>
      <w:r w:rsidRPr="00DD1A60">
        <w:rPr>
          <w:b w:val="0"/>
          <w:vertAlign w:val="superscript"/>
        </w:rPr>
        <w:t>IV</w:t>
      </w:r>
      <w:proofErr w:type="spellEnd"/>
      <w:r>
        <w:rPr>
          <w:b w:val="0"/>
        </w:rPr>
        <w:t xml:space="preserve"> and </w:t>
      </w:r>
      <w:proofErr w:type="spellStart"/>
      <w:r>
        <w:rPr>
          <w:b w:val="0"/>
        </w:rPr>
        <w:t>Al</w:t>
      </w:r>
      <w:r w:rsidRPr="00DD1A60">
        <w:rPr>
          <w:b w:val="0"/>
          <w:vertAlign w:val="superscript"/>
        </w:rPr>
        <w:t>V</w:t>
      </w:r>
      <w:proofErr w:type="spellEnd"/>
      <w:r>
        <w:rPr>
          <w:b w:val="0"/>
        </w:rPr>
        <w:t xml:space="preserve"> determined by NMR. </w:t>
      </w:r>
      <w:r w:rsidR="008C4D01">
        <w:rPr>
          <w:b w:val="0"/>
        </w:rPr>
        <w:t>The a</w:t>
      </w:r>
      <w:r w:rsidR="008C4D01" w:rsidRPr="000E2377">
        <w:rPr>
          <w:b w:val="0"/>
        </w:rPr>
        <w:t xml:space="preserve">ppearance </w:t>
      </w:r>
      <w:r w:rsidRPr="000E2377">
        <w:rPr>
          <w:b w:val="0"/>
        </w:rPr>
        <w:t>of network former Al will decrease the atomic packing density, however</w:t>
      </w:r>
      <w:r w:rsidR="008C4D01">
        <w:rPr>
          <w:b w:val="0"/>
        </w:rPr>
        <w:t>,</w:t>
      </w:r>
      <w:r w:rsidRPr="000E2377">
        <w:rPr>
          <w:b w:val="0"/>
        </w:rPr>
        <w:t xml:space="preserve"> C</w:t>
      </w:r>
      <w:r w:rsidRPr="000E2377">
        <w:rPr>
          <w:b w:val="0"/>
          <w:vertAlign w:val="subscript"/>
        </w:rPr>
        <w:t>g</w:t>
      </w:r>
      <w:r w:rsidRPr="000E2377">
        <w:rPr>
          <w:b w:val="0"/>
        </w:rPr>
        <w:t xml:space="preserve"> is enhance</w:t>
      </w:r>
      <w:r w:rsidR="008C4D01">
        <w:rPr>
          <w:b w:val="0"/>
        </w:rPr>
        <w:t>d</w:t>
      </w:r>
      <w:r w:rsidRPr="000E2377">
        <w:rPr>
          <w:b w:val="0"/>
        </w:rPr>
        <w:t xml:space="preserve"> with 6 fold alumina </w:t>
      </w:r>
      <w:r>
        <w:rPr>
          <w:b w:val="0"/>
        </w:rPr>
        <w:t xml:space="preserve">(but not appeared in the study) </w:t>
      </w:r>
      <w:r w:rsidRPr="000E2377">
        <w:rPr>
          <w:b w:val="0"/>
        </w:rPr>
        <w:t xml:space="preserve">and </w:t>
      </w:r>
      <w:r w:rsidRPr="000E2377">
        <w:rPr>
          <w:b w:val="0"/>
          <w:i/>
        </w:rPr>
        <w:t>v</w:t>
      </w:r>
      <w:r w:rsidRPr="000E2377">
        <w:rPr>
          <w:b w:val="0"/>
        </w:rPr>
        <w:t xml:space="preserve"> will show </w:t>
      </w:r>
      <w:r w:rsidR="008C4D01">
        <w:rPr>
          <w:b w:val="0"/>
        </w:rPr>
        <w:t xml:space="preserve">a </w:t>
      </w:r>
      <w:r w:rsidRPr="000E2377">
        <w:rPr>
          <w:b w:val="0"/>
        </w:rPr>
        <w:t xml:space="preserve">slight increase with low Al content. For the other series, </w:t>
      </w:r>
      <w:r w:rsidR="00690070">
        <w:rPr>
          <w:b w:val="0"/>
        </w:rPr>
        <w:t>Poisson’s ratio</w:t>
      </w:r>
      <w:r w:rsidRPr="000E2377">
        <w:rPr>
          <w:b w:val="0"/>
        </w:rPr>
        <w:t xml:space="preserve"> shows and increasing and higher value than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80.7-x</w:t>
      </w:r>
      <w:r w:rsidRPr="000E2377">
        <w:rPr>
          <w:b w:val="0"/>
        </w:rPr>
        <w:t xml:space="preserve"> series. This is due to their connectivity in glass structure as shown in Figure 5.14a.</w:t>
      </w:r>
    </w:p>
    <w:p w14:paraId="70388736" w14:textId="77777777" w:rsidR="00666029" w:rsidRPr="000E2377" w:rsidRDefault="00666029" w:rsidP="00666029">
      <w:pPr>
        <w:spacing w:line="360" w:lineRule="auto"/>
        <w:jc w:val="center"/>
        <w:rPr>
          <w:noProof/>
        </w:rPr>
      </w:pPr>
      <w:r w:rsidRPr="000E2377">
        <w:rPr>
          <w:noProof/>
          <w:lang w:eastAsia="en-MY"/>
        </w:rPr>
        <w:lastRenderedPageBreak/>
        <mc:AlternateContent>
          <mc:Choice Requires="wps">
            <w:drawing>
              <wp:anchor distT="0" distB="0" distL="114300" distR="114300" simplePos="0" relativeHeight="252593152" behindDoc="0" locked="0" layoutInCell="1" allowOverlap="1" wp14:anchorId="6F79CD7A" wp14:editId="2ECCABCB">
                <wp:simplePos x="0" y="0"/>
                <wp:positionH relativeFrom="column">
                  <wp:posOffset>1138424</wp:posOffset>
                </wp:positionH>
                <wp:positionV relativeFrom="paragraph">
                  <wp:posOffset>-115811</wp:posOffset>
                </wp:positionV>
                <wp:extent cx="357809" cy="327881"/>
                <wp:effectExtent l="0" t="0" r="0" b="0"/>
                <wp:wrapNone/>
                <wp:docPr id="2286" name="Text Box 2286"/>
                <wp:cNvGraphicFramePr/>
                <a:graphic xmlns:a="http://schemas.openxmlformats.org/drawingml/2006/main">
                  <a:graphicData uri="http://schemas.microsoft.com/office/word/2010/wordprocessingShape">
                    <wps:wsp>
                      <wps:cNvSpPr txBox="1"/>
                      <wps:spPr>
                        <a:xfrm>
                          <a:off x="0" y="0"/>
                          <a:ext cx="357809" cy="327881"/>
                        </a:xfrm>
                        <a:prstGeom prst="rect">
                          <a:avLst/>
                        </a:prstGeom>
                        <a:noFill/>
                        <a:ln w="6350">
                          <a:noFill/>
                        </a:ln>
                      </wps:spPr>
                      <wps:txbx>
                        <w:txbxContent>
                          <w:p w14:paraId="5BDCFC3E" w14:textId="77777777" w:rsidR="00230AB9" w:rsidRDefault="00230AB9" w:rsidP="00666029">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9CD7A" id="Text Box 2286" o:spid="_x0000_s1388" type="#_x0000_t202" style="position:absolute;left:0;text-align:left;margin-left:89.65pt;margin-top:-9.1pt;width:28.15pt;height:25.8pt;z-index:2525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" filled="f" stroked="f" strokeweight=".5pt">
                <v:textbox>
                  <w:txbxContent>
                    <w:p w14:paraId="5BDCFC3E" w14:textId="77777777" w:rsidR="00230AB9" w:rsidRDefault="00230AB9" w:rsidP="00666029">
                      <w:r>
                        <w:t>a)</w:t>
                      </w:r>
                    </w:p>
                  </w:txbxContent>
                </v:textbox>
              </v:shape>
            </w:pict>
          </mc:Fallback>
        </mc:AlternateContent>
      </w:r>
      <w:r w:rsidRPr="000E2377">
        <w:rPr>
          <w:noProof/>
          <w:lang w:eastAsia="en-MY"/>
        </w:rPr>
        <mc:AlternateContent>
          <mc:Choice Requires="wpg">
            <w:drawing>
              <wp:anchor distT="0" distB="0" distL="114300" distR="114300" simplePos="0" relativeHeight="252591104" behindDoc="0" locked="0" layoutInCell="1" allowOverlap="1" wp14:anchorId="7CE768ED" wp14:editId="54B158AA">
                <wp:simplePos x="0" y="0"/>
                <wp:positionH relativeFrom="column">
                  <wp:posOffset>1888186</wp:posOffset>
                </wp:positionH>
                <wp:positionV relativeFrom="paragraph">
                  <wp:posOffset>819397</wp:posOffset>
                </wp:positionV>
                <wp:extent cx="2505684" cy="1448790"/>
                <wp:effectExtent l="0" t="0" r="28575" b="37465"/>
                <wp:wrapNone/>
                <wp:docPr id="1809" name="Group 1809"/>
                <wp:cNvGraphicFramePr/>
                <a:graphic xmlns:a="http://schemas.openxmlformats.org/drawingml/2006/main">
                  <a:graphicData uri="http://schemas.microsoft.com/office/word/2010/wordprocessingGroup">
                    <wpg:wgp>
                      <wpg:cNvGrpSpPr/>
                      <wpg:grpSpPr>
                        <a:xfrm>
                          <a:off x="0" y="0"/>
                          <a:ext cx="2505684" cy="1448790"/>
                          <a:chOff x="-114623" y="-71252"/>
                          <a:chExt cx="2505684" cy="1448790"/>
                        </a:xfrm>
                      </wpg:grpSpPr>
                      <wps:wsp>
                        <wps:cNvPr id="1813" name="Straight Connector 1813"/>
                        <wps:cNvCnPr/>
                        <wps:spPr>
                          <a:xfrm>
                            <a:off x="39747" y="-71252"/>
                            <a:ext cx="2351314" cy="617517"/>
                          </a:xfrm>
                          <a:prstGeom prst="line">
                            <a:avLst/>
                          </a:prstGeom>
                          <a:noFill/>
                          <a:ln w="9525" cap="flat" cmpd="sng" algn="ctr">
                            <a:solidFill>
                              <a:sysClr val="windowText" lastClr="000000">
                                <a:shade val="95000"/>
                                <a:satMod val="105000"/>
                              </a:sysClr>
                            </a:solidFill>
                            <a:prstDash val="dash"/>
                          </a:ln>
                          <a:effectLst/>
                        </wps:spPr>
                        <wps:bodyPr/>
                      </wps:wsp>
                      <wps:wsp>
                        <wps:cNvPr id="1816" name="Straight Connector 1816"/>
                        <wps:cNvCnPr/>
                        <wps:spPr>
                          <a:xfrm>
                            <a:off x="-114623" y="796752"/>
                            <a:ext cx="2204680" cy="580786"/>
                          </a:xfrm>
                          <a:prstGeom prst="line">
                            <a:avLst/>
                          </a:prstGeom>
                          <a:noFill/>
                          <a:ln w="9525" cap="flat" cmpd="sng" algn="ctr">
                            <a:solidFill>
                              <a:sysClr val="windowText" lastClr="000000">
                                <a:shade val="95000"/>
                                <a:satMod val="105000"/>
                              </a:sysClr>
                            </a:solidFill>
                            <a:prstDash val="dash"/>
                          </a:ln>
                          <a:effectLst/>
                        </wps:spPr>
                        <wps:bodyPr/>
                      </wps:wsp>
                    </wpg:wgp>
                  </a:graphicData>
                </a:graphic>
                <wp14:sizeRelH relativeFrom="margin">
                  <wp14:pctWidth>0</wp14:pctWidth>
                </wp14:sizeRelH>
                <wp14:sizeRelV relativeFrom="margin">
                  <wp14:pctHeight>0</wp14:pctHeight>
                </wp14:sizeRelV>
              </wp:anchor>
            </w:drawing>
          </mc:Choice>
          <mc:Fallback>
            <w:pict>
              <v:group w14:anchorId="1066F5DA" id="Group 1809" o:spid="_x0000_s1026" style="position:absolute;margin-left:148.7pt;margin-top:64.5pt;width:197.3pt;height:114.1pt;z-index:252591104;mso-width-relative:margin;mso-height-relative:margin" coordorigin="-1146,-712" coordsize="25056,14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">
                <v:line id="Straight Connector 1813" o:spid="_x0000_s1027" style="position:absolute;visibility:visible;mso-wrap-style:square" from="397,-712" to="23910,5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">
                  <v:stroke dashstyle="dash"/>
                </v:line>
                <v:line id="Straight Connector 1816" o:spid="_x0000_s1028" style="position:absolute;visibility:visible;mso-wrap-style:square" from="-1146,7967" to="20900,1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">
                  <v:stroke dashstyle="dash"/>
                </v:line>
              </v:group>
            </w:pict>
          </mc:Fallback>
        </mc:AlternateContent>
      </w:r>
      <w:r w:rsidRPr="000E2377">
        <w:t xml:space="preserve"> </w:t>
      </w:r>
      <w:r w:rsidRPr="000E2377">
        <w:rPr>
          <w:noProof/>
          <w:lang w:eastAsia="en-MY"/>
        </w:rPr>
        <w:drawing>
          <wp:inline distT="0" distB="0" distL="0" distR="0" wp14:anchorId="32A3424F" wp14:editId="3C338E4A">
            <wp:extent cx="3251541" cy="2880000"/>
            <wp:effectExtent l="0" t="0" r="635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251541" cy="2880000"/>
                    </a:xfrm>
                    <a:prstGeom prst="rect">
                      <a:avLst/>
                    </a:prstGeom>
                    <a:noFill/>
                    <a:ln>
                      <a:noFill/>
                    </a:ln>
                  </pic:spPr>
                </pic:pic>
              </a:graphicData>
            </a:graphic>
          </wp:inline>
        </w:drawing>
      </w:r>
      <w:r w:rsidRPr="000E2377">
        <w:t xml:space="preserve"> </w:t>
      </w:r>
    </w:p>
    <w:p w14:paraId="43A8072C" w14:textId="77777777" w:rsidR="00666029" w:rsidRPr="000E2377" w:rsidRDefault="00666029" w:rsidP="00666029">
      <w:pPr>
        <w:spacing w:line="360" w:lineRule="auto"/>
        <w:jc w:val="center"/>
      </w:pPr>
      <w:r w:rsidRPr="000E2377">
        <w:rPr>
          <w:noProof/>
          <w:lang w:eastAsia="en-MY"/>
        </w:rPr>
        <mc:AlternateContent>
          <mc:Choice Requires="wpg">
            <w:drawing>
              <wp:anchor distT="0" distB="0" distL="114300" distR="114300" simplePos="0" relativeHeight="252592128" behindDoc="0" locked="0" layoutInCell="1" allowOverlap="1" wp14:anchorId="20E69290" wp14:editId="48916472">
                <wp:simplePos x="0" y="0"/>
                <wp:positionH relativeFrom="margin">
                  <wp:posOffset>1859753</wp:posOffset>
                </wp:positionH>
                <wp:positionV relativeFrom="paragraph">
                  <wp:posOffset>1155092</wp:posOffset>
                </wp:positionV>
                <wp:extent cx="2321056" cy="1287585"/>
                <wp:effectExtent l="0" t="0" r="41275" b="27305"/>
                <wp:wrapNone/>
                <wp:docPr id="1817" name="Group 1817"/>
                <wp:cNvGraphicFramePr/>
                <a:graphic xmlns:a="http://schemas.openxmlformats.org/drawingml/2006/main">
                  <a:graphicData uri="http://schemas.microsoft.com/office/word/2010/wordprocessingGroup">
                    <wpg:wgp>
                      <wpg:cNvGrpSpPr/>
                      <wpg:grpSpPr>
                        <a:xfrm>
                          <a:off x="0" y="0"/>
                          <a:ext cx="2321056" cy="1287585"/>
                          <a:chOff x="-617517" y="-285007"/>
                          <a:chExt cx="2321056" cy="1287585"/>
                        </a:xfrm>
                      </wpg:grpSpPr>
                      <wps:wsp>
                        <wps:cNvPr id="1818" name="Straight Connector 1818"/>
                        <wps:cNvCnPr/>
                        <wps:spPr>
                          <a:xfrm flipV="1">
                            <a:off x="-397347" y="330705"/>
                            <a:ext cx="2100886" cy="671873"/>
                          </a:xfrm>
                          <a:prstGeom prst="line">
                            <a:avLst/>
                          </a:prstGeom>
                          <a:noFill/>
                          <a:ln w="9525" cap="flat" cmpd="sng" algn="ctr">
                            <a:solidFill>
                              <a:sysClr val="windowText" lastClr="000000">
                                <a:shade val="95000"/>
                                <a:satMod val="105000"/>
                              </a:sysClr>
                            </a:solidFill>
                            <a:prstDash val="dash"/>
                          </a:ln>
                          <a:effectLst/>
                        </wps:spPr>
                        <wps:bodyPr/>
                      </wps:wsp>
                      <wps:wsp>
                        <wps:cNvPr id="1821" name="Straight Connector 1821"/>
                        <wps:cNvCnPr/>
                        <wps:spPr>
                          <a:xfrm flipV="1">
                            <a:off x="-617517" y="-285007"/>
                            <a:ext cx="1961300" cy="285007"/>
                          </a:xfrm>
                          <a:prstGeom prst="line">
                            <a:avLst/>
                          </a:prstGeom>
                          <a:noFill/>
                          <a:ln w="9525" cap="flat" cmpd="sng" algn="ctr">
                            <a:solidFill>
                              <a:sysClr val="windowText" lastClr="000000">
                                <a:shade val="95000"/>
                                <a:satMod val="105000"/>
                              </a:sysClr>
                            </a:solidFill>
                            <a:prstDash val="dash"/>
                          </a:ln>
                          <a:effectLst/>
                        </wps:spPr>
                        <wps:bodyPr/>
                      </wps:wsp>
                    </wpg:wgp>
                  </a:graphicData>
                </a:graphic>
                <wp14:sizeRelH relativeFrom="margin">
                  <wp14:pctWidth>0</wp14:pctWidth>
                </wp14:sizeRelH>
                <wp14:sizeRelV relativeFrom="margin">
                  <wp14:pctHeight>0</wp14:pctHeight>
                </wp14:sizeRelV>
              </wp:anchor>
            </w:drawing>
          </mc:Choice>
          <mc:Fallback>
            <w:pict>
              <v:group w14:anchorId="0DF47C66" id="Group 1817" o:spid="_x0000_s1026" style="position:absolute;margin-left:146.45pt;margin-top:90.95pt;width:182.75pt;height:101.4pt;z-index:252592128;mso-position-horizontal-relative:margin;mso-width-relative:margin;mso-height-relative:margin" coordorigin="-6175,-2850" coordsize="23210,1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">
                <v:line id="Straight Connector 1818" o:spid="_x0000_s1027" style="position:absolute;flip:y;visibility:visible;mso-wrap-style:square" from="-3973,3307" to="17035,1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">
                  <v:stroke dashstyle="dash"/>
                </v:line>
                <v:line id="Straight Connector 1821" o:spid="_x0000_s1028" style="position:absolute;flip:y;visibility:visible;mso-wrap-style:square" from="-6175,-2850" to="134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">
                  <v:stroke dashstyle="dash"/>
                </v:line>
                <w10:wrap anchorx="margin"/>
              </v:group>
            </w:pict>
          </mc:Fallback>
        </mc:AlternateContent>
      </w:r>
      <w:r w:rsidRPr="000E2377">
        <w:rPr>
          <w:noProof/>
          <w:lang w:eastAsia="en-MY"/>
        </w:rPr>
        <mc:AlternateContent>
          <mc:Choice Requires="wps">
            <w:drawing>
              <wp:anchor distT="0" distB="0" distL="114300" distR="114300" simplePos="0" relativeHeight="252594176" behindDoc="0" locked="0" layoutInCell="1" allowOverlap="1" wp14:anchorId="0CC743DB" wp14:editId="5382E540">
                <wp:simplePos x="0" y="0"/>
                <wp:positionH relativeFrom="column">
                  <wp:posOffset>1105272</wp:posOffset>
                </wp:positionH>
                <wp:positionV relativeFrom="paragraph">
                  <wp:posOffset>3110</wp:posOffset>
                </wp:positionV>
                <wp:extent cx="357809" cy="327881"/>
                <wp:effectExtent l="0" t="0" r="0" b="0"/>
                <wp:wrapNone/>
                <wp:docPr id="2287" name="Text Box 2287"/>
                <wp:cNvGraphicFramePr/>
                <a:graphic xmlns:a="http://schemas.openxmlformats.org/drawingml/2006/main">
                  <a:graphicData uri="http://schemas.microsoft.com/office/word/2010/wordprocessingShape">
                    <wps:wsp>
                      <wps:cNvSpPr txBox="1"/>
                      <wps:spPr>
                        <a:xfrm>
                          <a:off x="0" y="0"/>
                          <a:ext cx="357809" cy="327881"/>
                        </a:xfrm>
                        <a:prstGeom prst="rect">
                          <a:avLst/>
                        </a:prstGeom>
                        <a:noFill/>
                        <a:ln w="6350">
                          <a:noFill/>
                        </a:ln>
                      </wps:spPr>
                      <wps:txbx>
                        <w:txbxContent>
                          <w:p w14:paraId="08813523" w14:textId="77777777" w:rsidR="00230AB9" w:rsidRDefault="00230AB9" w:rsidP="00666029">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743DB" id="Text Box 2287" o:spid="_x0000_s1389" type="#_x0000_t202" style="position:absolute;left:0;text-align:left;margin-left:87.05pt;margin-top:.25pt;width:28.15pt;height:25.8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" filled="f" stroked="f" strokeweight=".5pt">
                <v:textbox>
                  <w:txbxContent>
                    <w:p w14:paraId="08813523" w14:textId="77777777" w:rsidR="00230AB9" w:rsidRDefault="00230AB9" w:rsidP="00666029">
                      <w:r>
                        <w:t>b)</w:t>
                      </w:r>
                    </w:p>
                  </w:txbxContent>
                </v:textbox>
              </v:shape>
            </w:pict>
          </mc:Fallback>
        </mc:AlternateContent>
      </w:r>
      <w:r w:rsidRPr="009414EF">
        <w:rPr>
          <w:noProof/>
          <w:lang w:eastAsia="en-MY"/>
        </w:rPr>
        <w:drawing>
          <wp:inline distT="0" distB="0" distL="0" distR="0" wp14:anchorId="5FA1A708" wp14:editId="5791D57E">
            <wp:extent cx="3378000" cy="3240000"/>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378000" cy="3240000"/>
                    </a:xfrm>
                    <a:prstGeom prst="rect">
                      <a:avLst/>
                    </a:prstGeom>
                    <a:noFill/>
                    <a:ln>
                      <a:noFill/>
                    </a:ln>
                  </pic:spPr>
                </pic:pic>
              </a:graphicData>
            </a:graphic>
          </wp:inline>
        </w:drawing>
      </w:r>
    </w:p>
    <w:p w14:paraId="20280AC3" w14:textId="2D94FA67" w:rsidR="00666029" w:rsidRPr="000E2377" w:rsidRDefault="0082632E" w:rsidP="00666029">
      <w:pPr>
        <w:pStyle w:val="Caption"/>
      </w:pPr>
      <w:bookmarkStart w:id="949" w:name="_Toc521420515"/>
      <w:bookmarkStart w:id="950" w:name="_Toc525528398"/>
      <w:bookmarkStart w:id="951" w:name="_Toc525706413"/>
      <w:r>
        <w:t>Figure 5.14:</w:t>
      </w:r>
      <w:r w:rsidR="00666029" w:rsidRPr="000E2377">
        <w:t xml:space="preserve"> a) Poisson’s ratio as a function of polymerisation index and b) atomic packing density as a function of charge balance.</w:t>
      </w:r>
      <w:bookmarkEnd w:id="949"/>
      <w:bookmarkEnd w:id="950"/>
      <w:bookmarkEnd w:id="951"/>
    </w:p>
    <w:p w14:paraId="3B31A445" w14:textId="0A36D6A7" w:rsidR="00666029" w:rsidRDefault="00666029" w:rsidP="00666029">
      <w:pPr>
        <w:spacing w:line="360" w:lineRule="auto"/>
        <w:jc w:val="both"/>
        <w:rPr>
          <w:b w:val="0"/>
        </w:rPr>
      </w:pPr>
      <w:r>
        <w:rPr>
          <w:b w:val="0"/>
        </w:rPr>
        <w:t>There is no strong connection between Poisson’s ratio and polymerisation index as shown in Figure 5.14a even we know that in theoretically for some glasses</w:t>
      </w:r>
      <w:r w:rsidR="00501F32">
        <w:rPr>
          <w:b w:val="0"/>
        </w:rPr>
        <w:t xml:space="preserve">; </w:t>
      </w:r>
      <w:r w:rsidR="008400FF" w:rsidRPr="008400FF">
        <w:rPr>
          <w:b w:val="0"/>
        </w:rPr>
        <w:t>alkali-aluminosilicate</w:t>
      </w:r>
      <w:r>
        <w:rPr>
          <w:b w:val="0"/>
        </w:rPr>
        <w:t>, t</w:t>
      </w:r>
      <w:r w:rsidRPr="000E2377">
        <w:rPr>
          <w:b w:val="0"/>
        </w:rPr>
        <w:t>he Poisson’s ratio is connected to glass network connectivity</w:t>
      </w:r>
      <w:r w:rsidR="008400FF">
        <w:rPr>
          <w:b w:val="0"/>
        </w:rPr>
        <w:t xml:space="preserve"> </w:t>
      </w:r>
      <w:r w:rsidR="008400FF">
        <w:rPr>
          <w:b w:val="0"/>
        </w:rPr>
        <w:fldChar w:fldCharType="begin" w:fldLock="1"/>
      </w:r>
      <w:r w:rsidR="008400FF">
        <w:rPr>
          <w:b w:val="0"/>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"manualFormatting" : "(Rouxel, 2007)", "plainTextFormattedCitation" : "(Tanguy Rouxel, 2007)", "previouslyFormattedCitation" : "(Tanguy Rouxel, 2007)" }, "properties" : { "noteIndex" : 149 }, "schema" : "https://github.com/citation-style-language/schema/raw/master/csl-citation.json" }</w:instrText>
      </w:r>
      <w:r w:rsidR="008400FF">
        <w:rPr>
          <w:b w:val="0"/>
        </w:rPr>
        <w:fldChar w:fldCharType="separate"/>
      </w:r>
      <w:r w:rsidR="008400FF" w:rsidRPr="008400FF">
        <w:rPr>
          <w:b w:val="0"/>
          <w:noProof/>
        </w:rPr>
        <w:t>(Rouxel, 2007)</w:t>
      </w:r>
      <w:r w:rsidR="008400FF">
        <w:rPr>
          <w:b w:val="0"/>
        </w:rPr>
        <w:fldChar w:fldCharType="end"/>
      </w:r>
      <w:r w:rsidRPr="000E2377">
        <w:rPr>
          <w:b w:val="0"/>
        </w:rPr>
        <w:t xml:space="preserve">. The data from the experiment </w:t>
      </w:r>
      <w:r>
        <w:rPr>
          <w:b w:val="0"/>
        </w:rPr>
        <w:t xml:space="preserve">roughly </w:t>
      </w:r>
      <w:r w:rsidRPr="000E2377">
        <w:rPr>
          <w:b w:val="0"/>
        </w:rPr>
        <w:t xml:space="preserve">shows that </w:t>
      </w:r>
      <w:r w:rsidRPr="0094499D">
        <w:rPr>
          <w:b w:val="0"/>
          <w:i/>
        </w:rPr>
        <w:t>v</w:t>
      </w:r>
      <w:r w:rsidRPr="000E2377">
        <w:rPr>
          <w:b w:val="0"/>
        </w:rPr>
        <w:t xml:space="preserve"> decreased with increasing polymerisation index</w:t>
      </w:r>
      <w:r>
        <w:rPr>
          <w:b w:val="0"/>
        </w:rPr>
        <w:t xml:space="preserve">, </w:t>
      </w:r>
      <w:r w:rsidR="006E679C">
        <w:rPr>
          <w:b w:val="0"/>
        </w:rPr>
        <w:t>but</w:t>
      </w:r>
      <w:r>
        <w:rPr>
          <w:b w:val="0"/>
        </w:rPr>
        <w:t xml:space="preserve"> it is in wide</w:t>
      </w:r>
      <w:r w:rsidR="008C4D01">
        <w:rPr>
          <w:b w:val="0"/>
        </w:rPr>
        <w:t>ly</w:t>
      </w:r>
      <w:r>
        <w:rPr>
          <w:b w:val="0"/>
        </w:rPr>
        <w:t xml:space="preserve"> scattered</w:t>
      </w:r>
      <w:r w:rsidRPr="000E2377">
        <w:rPr>
          <w:b w:val="0"/>
        </w:rPr>
        <w:t xml:space="preserve">. </w:t>
      </w:r>
      <w:r w:rsidR="006E679C">
        <w:rPr>
          <w:b w:val="0"/>
        </w:rPr>
        <w:t xml:space="preserve">However, </w:t>
      </w:r>
      <w:r w:rsidR="00555C70">
        <w:rPr>
          <w:b w:val="0"/>
        </w:rPr>
        <w:t xml:space="preserve">Rouxel, 2017 </w:t>
      </w:r>
      <w:r w:rsidR="00127727">
        <w:rPr>
          <w:b w:val="0"/>
        </w:rPr>
        <w:t xml:space="preserve">studies </w:t>
      </w:r>
      <w:r>
        <w:rPr>
          <w:b w:val="0"/>
        </w:rPr>
        <w:t xml:space="preserve">the correlation between </w:t>
      </w:r>
      <w:r w:rsidR="00127727">
        <w:rPr>
          <w:b w:val="0"/>
        </w:rPr>
        <w:t xml:space="preserve">packing density and </w:t>
      </w:r>
      <w:r w:rsidR="00127727" w:rsidRPr="0094499D">
        <w:rPr>
          <w:b w:val="0"/>
          <w:i/>
        </w:rPr>
        <w:t>v</w:t>
      </w:r>
      <w:r w:rsidR="00127727">
        <w:rPr>
          <w:b w:val="0"/>
        </w:rPr>
        <w:t xml:space="preserve"> (</w:t>
      </w:r>
      <w:r w:rsidR="002E33D4">
        <w:rPr>
          <w:b w:val="0"/>
        </w:rPr>
        <w:t>see section</w:t>
      </w:r>
      <w:r w:rsidR="00127727">
        <w:rPr>
          <w:b w:val="0"/>
        </w:rPr>
        <w:t xml:space="preserve"> </w:t>
      </w:r>
      <w:r w:rsidR="00127727" w:rsidRPr="00127727">
        <w:rPr>
          <w:b w:val="0"/>
        </w:rPr>
        <w:t>2.11.1.3</w:t>
      </w:r>
      <w:r w:rsidR="00127727">
        <w:rPr>
          <w:b w:val="0"/>
        </w:rPr>
        <w:t xml:space="preserve">) also mentioned that </w:t>
      </w:r>
      <w:r w:rsidR="008C4D01">
        <w:rPr>
          <w:b w:val="0"/>
        </w:rPr>
        <w:t xml:space="preserve">a </w:t>
      </w:r>
      <w:r w:rsidR="00127727">
        <w:rPr>
          <w:b w:val="0"/>
        </w:rPr>
        <w:t xml:space="preserve">wide range of </w:t>
      </w:r>
      <w:r w:rsidR="00127727" w:rsidRPr="0094499D">
        <w:rPr>
          <w:b w:val="0"/>
          <w:i/>
        </w:rPr>
        <w:t>v</w:t>
      </w:r>
      <w:r w:rsidR="00127727">
        <w:rPr>
          <w:b w:val="0"/>
          <w:i/>
        </w:rPr>
        <w:t xml:space="preserve"> </w:t>
      </w:r>
      <w:r w:rsidR="008C4D01">
        <w:rPr>
          <w:b w:val="0"/>
        </w:rPr>
        <w:t>is</w:t>
      </w:r>
      <w:r w:rsidR="008C4D01" w:rsidRPr="00127727">
        <w:rPr>
          <w:b w:val="0"/>
        </w:rPr>
        <w:t xml:space="preserve"> </w:t>
      </w:r>
      <w:r w:rsidR="00127727" w:rsidRPr="00127727">
        <w:rPr>
          <w:b w:val="0"/>
        </w:rPr>
        <w:t>produce</w:t>
      </w:r>
      <w:r w:rsidR="0010196B">
        <w:rPr>
          <w:b w:val="0"/>
        </w:rPr>
        <w:t>d</w:t>
      </w:r>
      <w:r w:rsidR="00127727" w:rsidRPr="00127727">
        <w:rPr>
          <w:b w:val="0"/>
        </w:rPr>
        <w:t xml:space="preserve"> from </w:t>
      </w:r>
      <w:r w:rsidR="0010196B">
        <w:rPr>
          <w:b w:val="0"/>
        </w:rPr>
        <w:t xml:space="preserve">the </w:t>
      </w:r>
      <w:r w:rsidR="00127727">
        <w:rPr>
          <w:b w:val="0"/>
        </w:rPr>
        <w:t xml:space="preserve">glass network polymerisation degree. </w:t>
      </w:r>
      <w:r w:rsidR="00127727" w:rsidRPr="00127727">
        <w:rPr>
          <w:b w:val="0"/>
        </w:rPr>
        <w:t xml:space="preserve"> </w:t>
      </w:r>
    </w:p>
    <w:p w14:paraId="7A77C534" w14:textId="393D65FF" w:rsidR="00666029" w:rsidRPr="001A562D" w:rsidRDefault="00666029" w:rsidP="001A562D">
      <w:pPr>
        <w:pStyle w:val="CommentText"/>
        <w:spacing w:line="360" w:lineRule="auto"/>
        <w:jc w:val="both"/>
        <w:rPr>
          <w:rFonts w:ascii="Times New Roman" w:hAnsi="Times New Roman" w:cs="Times New Roman"/>
          <w:sz w:val="24"/>
          <w:szCs w:val="24"/>
        </w:rPr>
      </w:pPr>
      <w:r w:rsidRPr="001A562D">
        <w:rPr>
          <w:rFonts w:ascii="Times New Roman" w:hAnsi="Times New Roman" w:cs="Times New Roman"/>
          <w:sz w:val="24"/>
          <w:szCs w:val="24"/>
        </w:rPr>
        <w:lastRenderedPageBreak/>
        <w:t>Again, for correlation between atomic packing density as a function of network charge balance, there are also shown there is no strong relationship between both properties as there is no significant pattern and the plot are scattered. However, Rouxel, 2007 mentioned that when glass produced have four bridging oxygens in glass produced, such as a-SiO</w:t>
      </w:r>
      <w:r w:rsidRPr="001A562D">
        <w:rPr>
          <w:rFonts w:ascii="Times New Roman" w:hAnsi="Times New Roman" w:cs="Times New Roman"/>
          <w:sz w:val="24"/>
          <w:szCs w:val="24"/>
          <w:vertAlign w:val="subscript"/>
        </w:rPr>
        <w:t>2</w:t>
      </w:r>
      <w:r w:rsidRPr="001A562D">
        <w:rPr>
          <w:rFonts w:ascii="Times New Roman" w:hAnsi="Times New Roman" w:cs="Times New Roman"/>
          <w:sz w:val="24"/>
          <w:szCs w:val="24"/>
        </w:rPr>
        <w:t xml:space="preserve"> or a-GeO</w:t>
      </w:r>
      <w:r w:rsidRPr="001A562D">
        <w:rPr>
          <w:rFonts w:ascii="Times New Roman" w:hAnsi="Times New Roman" w:cs="Times New Roman"/>
          <w:sz w:val="24"/>
          <w:szCs w:val="24"/>
          <w:vertAlign w:val="subscript"/>
        </w:rPr>
        <w:t>2</w:t>
      </w:r>
      <w:r w:rsidRPr="001A562D">
        <w:rPr>
          <w:rFonts w:ascii="Times New Roman" w:hAnsi="Times New Roman" w:cs="Times New Roman"/>
          <w:sz w:val="24"/>
          <w:szCs w:val="24"/>
        </w:rPr>
        <w:t>, the Poisson’s ratio will be lower which indicate that by increasing of network charge balance, the Poisson’s ratio will be higher.</w:t>
      </w:r>
      <w:r w:rsidR="00891642" w:rsidRPr="001A562D">
        <w:rPr>
          <w:rFonts w:ascii="Times New Roman" w:hAnsi="Times New Roman" w:cs="Times New Roman"/>
          <w:sz w:val="24"/>
          <w:szCs w:val="24"/>
        </w:rPr>
        <w:t xml:space="preserve"> Pure compositions have low Poisson’s ratios due to poor network packing ar</w:t>
      </w:r>
      <w:r w:rsidR="008C4D01">
        <w:rPr>
          <w:rFonts w:ascii="Times New Roman" w:hAnsi="Times New Roman" w:cs="Times New Roman"/>
          <w:sz w:val="24"/>
          <w:szCs w:val="24"/>
        </w:rPr>
        <w:t>i</w:t>
      </w:r>
      <w:r w:rsidR="00891642" w:rsidRPr="001A562D">
        <w:rPr>
          <w:rFonts w:ascii="Times New Roman" w:hAnsi="Times New Roman" w:cs="Times New Roman"/>
          <w:sz w:val="24"/>
          <w:szCs w:val="24"/>
        </w:rPr>
        <w:t>sing from their high network connectivity. Pure compositions will have a network change balance of 0</w:t>
      </w:r>
      <w:r w:rsidR="001A562D">
        <w:rPr>
          <w:rFonts w:ascii="Times New Roman" w:hAnsi="Times New Roman" w:cs="Times New Roman"/>
          <w:sz w:val="24"/>
          <w:szCs w:val="24"/>
        </w:rPr>
        <w:t>.</w:t>
      </w:r>
      <w:r>
        <w:rPr>
          <w:b/>
        </w:rPr>
        <w:t xml:space="preserve"> </w:t>
      </w:r>
      <w:r w:rsidRPr="001A562D">
        <w:rPr>
          <w:rFonts w:ascii="Times New Roman" w:hAnsi="Times New Roman" w:cs="Times New Roman"/>
          <w:sz w:val="24"/>
          <w:szCs w:val="24"/>
        </w:rPr>
        <w:t xml:space="preserve">However, this condition did not occur in boroaluminosilicate glass studies which might due to the complexes connectivity from alumina and boron coordination.   </w:t>
      </w:r>
    </w:p>
    <w:p w14:paraId="5FD5496F" w14:textId="77777777" w:rsidR="00666029" w:rsidRPr="000E2377" w:rsidRDefault="00666029" w:rsidP="00666029">
      <w:pPr>
        <w:pStyle w:val="Heading3"/>
        <w:rPr>
          <w:lang w:val="en-GB"/>
        </w:rPr>
      </w:pPr>
      <w:bookmarkStart w:id="952" w:name="_Toc523402945"/>
      <w:bookmarkStart w:id="953" w:name="_Toc525526456"/>
      <w:bookmarkStart w:id="954" w:name="_Toc525707881"/>
      <w:bookmarkStart w:id="955" w:name="_Toc525742546"/>
      <w:bookmarkStart w:id="956" w:name="_Toc12994982"/>
      <w:r w:rsidRPr="000E2377">
        <w:rPr>
          <w:lang w:val="en-GB"/>
        </w:rPr>
        <w:t>5.8 Relationship between E/</w:t>
      </w:r>
      <w:proofErr w:type="spellStart"/>
      <w:r w:rsidRPr="000E2377">
        <w:rPr>
          <w:lang w:val="en-GB"/>
        </w:rPr>
        <w:t>H</w:t>
      </w:r>
      <w:r w:rsidRPr="00845514">
        <w:rPr>
          <w:lang w:val="en-GB"/>
        </w:rPr>
        <w:t>v</w:t>
      </w:r>
      <w:proofErr w:type="spellEnd"/>
      <w:r w:rsidRPr="000E2377">
        <w:rPr>
          <w:lang w:val="en-GB"/>
        </w:rPr>
        <w:t xml:space="preserve"> and Poisson’s ratio.</w:t>
      </w:r>
      <w:bookmarkEnd w:id="952"/>
      <w:bookmarkEnd w:id="953"/>
      <w:bookmarkEnd w:id="954"/>
      <w:bookmarkEnd w:id="955"/>
      <w:bookmarkEnd w:id="956"/>
    </w:p>
    <w:p w14:paraId="146F16BF" w14:textId="77777777" w:rsidR="00666029" w:rsidRDefault="00666029" w:rsidP="00666029">
      <w:pPr>
        <w:spacing w:after="0"/>
        <w:jc w:val="center"/>
        <w:rPr>
          <w:lang w:val="en-GB"/>
        </w:rPr>
      </w:pPr>
      <w:r>
        <w:rPr>
          <w:noProof/>
          <w:lang w:eastAsia="en-MY"/>
        </w:rPr>
        <mc:AlternateContent>
          <mc:Choice Requires="wps">
            <w:drawing>
              <wp:anchor distT="0" distB="0" distL="114300" distR="114300" simplePos="0" relativeHeight="252626944" behindDoc="0" locked="0" layoutInCell="1" allowOverlap="1" wp14:anchorId="10B818B8" wp14:editId="01990B70">
                <wp:simplePos x="0" y="0"/>
                <wp:positionH relativeFrom="margin">
                  <wp:posOffset>3258119</wp:posOffset>
                </wp:positionH>
                <wp:positionV relativeFrom="paragraph">
                  <wp:posOffset>2396183</wp:posOffset>
                </wp:positionV>
                <wp:extent cx="220717" cy="220717"/>
                <wp:effectExtent l="0" t="0" r="0" b="0"/>
                <wp:wrapNone/>
                <wp:docPr id="1902" name="Text Box 1902"/>
                <wp:cNvGraphicFramePr/>
                <a:graphic xmlns:a="http://schemas.openxmlformats.org/drawingml/2006/main">
                  <a:graphicData uri="http://schemas.microsoft.com/office/word/2010/wordprocessingShape">
                    <wps:wsp>
                      <wps:cNvSpPr txBox="1"/>
                      <wps:spPr>
                        <a:xfrm>
                          <a:off x="0" y="0"/>
                          <a:ext cx="220717" cy="220717"/>
                        </a:xfrm>
                        <a:prstGeom prst="rect">
                          <a:avLst/>
                        </a:prstGeom>
                        <a:noFill/>
                        <a:ln w="6350">
                          <a:noFill/>
                        </a:ln>
                      </wps:spPr>
                      <wps:txbx>
                        <w:txbxContent>
                          <w:p w14:paraId="39C1F1D3" w14:textId="77777777" w:rsidR="00230AB9" w:rsidRPr="00603D82" w:rsidRDefault="00230AB9" w:rsidP="00666029">
                            <w:pPr>
                              <w:rPr>
                                <w:sz w:val="16"/>
                                <w:szCs w:val="16"/>
                              </w:rPr>
                            </w:pPr>
                            <w:r>
                              <w:rPr>
                                <w:sz w:val="16"/>
                                <w:szCs w:val="1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818B8" id="Text Box 1902" o:spid="_x0000_s1390" type="#_x0000_t202" style="position:absolute;left:0;text-align:left;margin-left:256.55pt;margin-top:188.7pt;width:17.4pt;height:17.4pt;z-index:25262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" filled="f" stroked="f" strokeweight=".5pt">
                <v:textbox>
                  <w:txbxContent>
                    <w:p w14:paraId="39C1F1D3" w14:textId="77777777" w:rsidR="00230AB9" w:rsidRPr="00603D82" w:rsidRDefault="00230AB9" w:rsidP="00666029">
                      <w:pPr>
                        <w:rPr>
                          <w:sz w:val="16"/>
                          <w:szCs w:val="16"/>
                        </w:rPr>
                      </w:pPr>
                      <w:r>
                        <w:rPr>
                          <w:sz w:val="16"/>
                          <w:szCs w:val="16"/>
                        </w:rPr>
                        <w:t>0</w:t>
                      </w:r>
                    </w:p>
                  </w:txbxContent>
                </v:textbox>
                <w10:wrap anchorx="margin"/>
              </v:shape>
            </w:pict>
          </mc:Fallback>
        </mc:AlternateContent>
      </w:r>
      <w:r>
        <w:rPr>
          <w:noProof/>
          <w:lang w:eastAsia="en-MY"/>
        </w:rPr>
        <mc:AlternateContent>
          <mc:Choice Requires="wps">
            <w:drawing>
              <wp:anchor distT="0" distB="0" distL="114300" distR="114300" simplePos="0" relativeHeight="252625920" behindDoc="0" locked="0" layoutInCell="1" allowOverlap="1" wp14:anchorId="67586AD4" wp14:editId="46072820">
                <wp:simplePos x="0" y="0"/>
                <wp:positionH relativeFrom="margin">
                  <wp:posOffset>2995448</wp:posOffset>
                </wp:positionH>
                <wp:positionV relativeFrom="paragraph">
                  <wp:posOffset>2081420</wp:posOffset>
                </wp:positionV>
                <wp:extent cx="220717" cy="220717"/>
                <wp:effectExtent l="0" t="0" r="0" b="0"/>
                <wp:wrapNone/>
                <wp:docPr id="1901" name="Text Box 1901"/>
                <wp:cNvGraphicFramePr/>
                <a:graphic xmlns:a="http://schemas.openxmlformats.org/drawingml/2006/main">
                  <a:graphicData uri="http://schemas.microsoft.com/office/word/2010/wordprocessingShape">
                    <wps:wsp>
                      <wps:cNvSpPr txBox="1"/>
                      <wps:spPr>
                        <a:xfrm>
                          <a:off x="0" y="0"/>
                          <a:ext cx="220717" cy="220717"/>
                        </a:xfrm>
                        <a:prstGeom prst="rect">
                          <a:avLst/>
                        </a:prstGeom>
                        <a:noFill/>
                        <a:ln w="6350">
                          <a:noFill/>
                        </a:ln>
                      </wps:spPr>
                      <wps:txbx>
                        <w:txbxContent>
                          <w:p w14:paraId="6895C39C" w14:textId="77777777" w:rsidR="00230AB9" w:rsidRPr="00603D82" w:rsidRDefault="00230AB9" w:rsidP="00666029">
                            <w:pPr>
                              <w:rPr>
                                <w:sz w:val="16"/>
                                <w:szCs w:val="16"/>
                              </w:rPr>
                            </w:pPr>
                            <w:r>
                              <w:rPr>
                                <w:sz w:val="16"/>
                                <w:szCs w:val="1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86AD4" id="Text Box 1901" o:spid="_x0000_s1391" type="#_x0000_t202" style="position:absolute;left:0;text-align:left;margin-left:235.85pt;margin-top:163.9pt;width:17.4pt;height:17.4pt;z-index:25262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" filled="f" stroked="f" strokeweight=".5pt">
                <v:textbox>
                  <w:txbxContent>
                    <w:p w14:paraId="6895C39C" w14:textId="77777777" w:rsidR="00230AB9" w:rsidRPr="00603D82" w:rsidRDefault="00230AB9" w:rsidP="00666029">
                      <w:pPr>
                        <w:rPr>
                          <w:sz w:val="16"/>
                          <w:szCs w:val="16"/>
                        </w:rPr>
                      </w:pPr>
                      <w:r>
                        <w:rPr>
                          <w:sz w:val="16"/>
                          <w:szCs w:val="16"/>
                        </w:rPr>
                        <w:t>0</w:t>
                      </w:r>
                    </w:p>
                  </w:txbxContent>
                </v:textbox>
                <w10:wrap anchorx="margin"/>
              </v:shape>
            </w:pict>
          </mc:Fallback>
        </mc:AlternateContent>
      </w:r>
      <w:r>
        <w:rPr>
          <w:noProof/>
          <w:lang w:eastAsia="en-MY"/>
        </w:rPr>
        <mc:AlternateContent>
          <mc:Choice Requires="wps">
            <w:drawing>
              <wp:anchor distT="0" distB="0" distL="114300" distR="114300" simplePos="0" relativeHeight="252624896" behindDoc="0" locked="0" layoutInCell="1" allowOverlap="1" wp14:anchorId="1B9B2227" wp14:editId="2979F36F">
                <wp:simplePos x="0" y="0"/>
                <wp:positionH relativeFrom="margin">
                  <wp:align>center</wp:align>
                </wp:positionH>
                <wp:positionV relativeFrom="paragraph">
                  <wp:posOffset>1545021</wp:posOffset>
                </wp:positionV>
                <wp:extent cx="220717" cy="220717"/>
                <wp:effectExtent l="0" t="0" r="0" b="0"/>
                <wp:wrapNone/>
                <wp:docPr id="1900" name="Text Box 1900"/>
                <wp:cNvGraphicFramePr/>
                <a:graphic xmlns:a="http://schemas.openxmlformats.org/drawingml/2006/main">
                  <a:graphicData uri="http://schemas.microsoft.com/office/word/2010/wordprocessingShape">
                    <wps:wsp>
                      <wps:cNvSpPr txBox="1"/>
                      <wps:spPr>
                        <a:xfrm>
                          <a:off x="0" y="0"/>
                          <a:ext cx="220717" cy="220717"/>
                        </a:xfrm>
                        <a:prstGeom prst="rect">
                          <a:avLst/>
                        </a:prstGeom>
                        <a:noFill/>
                        <a:ln w="6350">
                          <a:noFill/>
                        </a:ln>
                      </wps:spPr>
                      <wps:txbx>
                        <w:txbxContent>
                          <w:p w14:paraId="087D4633" w14:textId="77777777" w:rsidR="00230AB9" w:rsidRPr="00603D82" w:rsidRDefault="00230AB9" w:rsidP="00666029">
                            <w:pPr>
                              <w:rPr>
                                <w:sz w:val="16"/>
                                <w:szCs w:val="16"/>
                              </w:rPr>
                            </w:pPr>
                            <w:r>
                              <w:rPr>
                                <w:sz w:val="16"/>
                                <w:szCs w:val="1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B2227" id="Text Box 1900" o:spid="_x0000_s1392" type="#_x0000_t202" style="position:absolute;left:0;text-align:left;margin-left:0;margin-top:121.65pt;width:17.4pt;height:17.4pt;z-index:252624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" filled="f" stroked="f" strokeweight=".5pt">
                <v:textbox>
                  <w:txbxContent>
                    <w:p w14:paraId="087D4633" w14:textId="77777777" w:rsidR="00230AB9" w:rsidRPr="00603D82" w:rsidRDefault="00230AB9" w:rsidP="00666029">
                      <w:pPr>
                        <w:rPr>
                          <w:sz w:val="16"/>
                          <w:szCs w:val="16"/>
                        </w:rPr>
                      </w:pPr>
                      <w:r>
                        <w:rPr>
                          <w:sz w:val="16"/>
                          <w:szCs w:val="16"/>
                        </w:rPr>
                        <w:t>0</w:t>
                      </w:r>
                    </w:p>
                  </w:txbxContent>
                </v:textbox>
                <w10:wrap anchorx="margin"/>
              </v:shape>
            </w:pict>
          </mc:Fallback>
        </mc:AlternateContent>
      </w:r>
      <w:r>
        <w:rPr>
          <w:noProof/>
          <w:lang w:eastAsia="en-MY"/>
        </w:rPr>
        <mc:AlternateContent>
          <mc:Choice Requires="wps">
            <w:drawing>
              <wp:anchor distT="0" distB="0" distL="114300" distR="114300" simplePos="0" relativeHeight="252623872" behindDoc="0" locked="0" layoutInCell="1" allowOverlap="1" wp14:anchorId="467CA4D1" wp14:editId="36CBC84F">
                <wp:simplePos x="0" y="0"/>
                <wp:positionH relativeFrom="margin">
                  <wp:posOffset>2669102</wp:posOffset>
                </wp:positionH>
                <wp:positionV relativeFrom="paragraph">
                  <wp:posOffset>1219572</wp:posOffset>
                </wp:positionV>
                <wp:extent cx="220717" cy="220717"/>
                <wp:effectExtent l="0" t="0" r="0" b="0"/>
                <wp:wrapNone/>
                <wp:docPr id="1899" name="Text Box 1899"/>
                <wp:cNvGraphicFramePr/>
                <a:graphic xmlns:a="http://schemas.openxmlformats.org/drawingml/2006/main">
                  <a:graphicData uri="http://schemas.microsoft.com/office/word/2010/wordprocessingShape">
                    <wps:wsp>
                      <wps:cNvSpPr txBox="1"/>
                      <wps:spPr>
                        <a:xfrm>
                          <a:off x="0" y="0"/>
                          <a:ext cx="220717" cy="220717"/>
                        </a:xfrm>
                        <a:prstGeom prst="rect">
                          <a:avLst/>
                        </a:prstGeom>
                        <a:noFill/>
                        <a:ln w="6350">
                          <a:noFill/>
                        </a:ln>
                      </wps:spPr>
                      <wps:txbx>
                        <w:txbxContent>
                          <w:p w14:paraId="56239633" w14:textId="77777777" w:rsidR="00230AB9" w:rsidRPr="00603D82" w:rsidRDefault="00230AB9" w:rsidP="00666029">
                            <w:pPr>
                              <w:rPr>
                                <w:sz w:val="16"/>
                                <w:szCs w:val="16"/>
                              </w:rPr>
                            </w:pPr>
                            <w:r>
                              <w:rPr>
                                <w:sz w:val="16"/>
                                <w:szCs w:val="1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CA4D1" id="Text Box 1899" o:spid="_x0000_s1393" type="#_x0000_t202" style="position:absolute;left:0;text-align:left;margin-left:210.15pt;margin-top:96.05pt;width:17.4pt;height:17.4pt;z-index:25262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" filled="f" stroked="f" strokeweight=".5pt">
                <v:textbox>
                  <w:txbxContent>
                    <w:p w14:paraId="56239633" w14:textId="77777777" w:rsidR="00230AB9" w:rsidRPr="00603D82" w:rsidRDefault="00230AB9" w:rsidP="00666029">
                      <w:pPr>
                        <w:rPr>
                          <w:sz w:val="16"/>
                          <w:szCs w:val="16"/>
                        </w:rPr>
                      </w:pPr>
                      <w:r>
                        <w:rPr>
                          <w:sz w:val="16"/>
                          <w:szCs w:val="16"/>
                        </w:rPr>
                        <w:t>0</w:t>
                      </w:r>
                    </w:p>
                  </w:txbxContent>
                </v:textbox>
                <w10:wrap anchorx="margin"/>
              </v:shape>
            </w:pict>
          </mc:Fallback>
        </mc:AlternateContent>
      </w:r>
      <w:r>
        <w:rPr>
          <w:noProof/>
          <w:lang w:eastAsia="en-MY"/>
        </w:rPr>
        <mc:AlternateContent>
          <mc:Choice Requires="wps">
            <w:drawing>
              <wp:anchor distT="0" distB="0" distL="114300" distR="114300" simplePos="0" relativeHeight="252622848" behindDoc="0" locked="0" layoutInCell="1" allowOverlap="1" wp14:anchorId="42D04522" wp14:editId="4AF8F94D">
                <wp:simplePos x="0" y="0"/>
                <wp:positionH relativeFrom="margin">
                  <wp:posOffset>2637571</wp:posOffset>
                </wp:positionH>
                <wp:positionV relativeFrom="paragraph">
                  <wp:posOffset>2291255</wp:posOffset>
                </wp:positionV>
                <wp:extent cx="220717" cy="220717"/>
                <wp:effectExtent l="0" t="0" r="0" b="0"/>
                <wp:wrapNone/>
                <wp:docPr id="1898" name="Text Box 1898"/>
                <wp:cNvGraphicFramePr/>
                <a:graphic xmlns:a="http://schemas.openxmlformats.org/drawingml/2006/main">
                  <a:graphicData uri="http://schemas.microsoft.com/office/word/2010/wordprocessingShape">
                    <wps:wsp>
                      <wps:cNvSpPr txBox="1"/>
                      <wps:spPr>
                        <a:xfrm>
                          <a:off x="0" y="0"/>
                          <a:ext cx="220717" cy="220717"/>
                        </a:xfrm>
                        <a:prstGeom prst="rect">
                          <a:avLst/>
                        </a:prstGeom>
                        <a:noFill/>
                        <a:ln w="6350">
                          <a:noFill/>
                        </a:ln>
                      </wps:spPr>
                      <wps:txbx>
                        <w:txbxContent>
                          <w:p w14:paraId="5053B846" w14:textId="77777777" w:rsidR="00230AB9" w:rsidRPr="00603D82" w:rsidRDefault="00230AB9" w:rsidP="00666029">
                            <w:pPr>
                              <w:rPr>
                                <w:sz w:val="16"/>
                                <w:szCs w:val="16"/>
                              </w:rPr>
                            </w:pPr>
                            <w:r>
                              <w:rPr>
                                <w:sz w:val="16"/>
                                <w:szCs w:val="1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04522" id="Text Box 1898" o:spid="_x0000_s1394" type="#_x0000_t202" style="position:absolute;left:0;text-align:left;margin-left:207.7pt;margin-top:180.4pt;width:17.4pt;height:17.4pt;z-index:25262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" filled="f" stroked="f" strokeweight=".5pt">
                <v:textbox>
                  <w:txbxContent>
                    <w:p w14:paraId="5053B846" w14:textId="77777777" w:rsidR="00230AB9" w:rsidRPr="00603D82" w:rsidRDefault="00230AB9" w:rsidP="00666029">
                      <w:pPr>
                        <w:rPr>
                          <w:sz w:val="16"/>
                          <w:szCs w:val="16"/>
                        </w:rPr>
                      </w:pPr>
                      <w:r>
                        <w:rPr>
                          <w:sz w:val="16"/>
                          <w:szCs w:val="16"/>
                        </w:rPr>
                        <w:t>0</w:t>
                      </w:r>
                    </w:p>
                  </w:txbxContent>
                </v:textbox>
                <w10:wrap anchorx="margin"/>
              </v:shape>
            </w:pict>
          </mc:Fallback>
        </mc:AlternateContent>
      </w:r>
      <w:r>
        <w:rPr>
          <w:noProof/>
          <w:lang w:eastAsia="en-MY"/>
        </w:rPr>
        <mc:AlternateContent>
          <mc:Choice Requires="wps">
            <w:drawing>
              <wp:anchor distT="0" distB="0" distL="114300" distR="114300" simplePos="0" relativeHeight="252621824" behindDoc="0" locked="0" layoutInCell="1" allowOverlap="1" wp14:anchorId="4C80D18B" wp14:editId="04F3A1C8">
                <wp:simplePos x="0" y="0"/>
                <wp:positionH relativeFrom="margin">
                  <wp:posOffset>2449283</wp:posOffset>
                </wp:positionH>
                <wp:positionV relativeFrom="paragraph">
                  <wp:posOffset>1954924</wp:posOffset>
                </wp:positionV>
                <wp:extent cx="220717" cy="220717"/>
                <wp:effectExtent l="0" t="0" r="0" b="0"/>
                <wp:wrapNone/>
                <wp:docPr id="1897" name="Text Box 1897"/>
                <wp:cNvGraphicFramePr/>
                <a:graphic xmlns:a="http://schemas.openxmlformats.org/drawingml/2006/main">
                  <a:graphicData uri="http://schemas.microsoft.com/office/word/2010/wordprocessingShape">
                    <wps:wsp>
                      <wps:cNvSpPr txBox="1"/>
                      <wps:spPr>
                        <a:xfrm>
                          <a:off x="0" y="0"/>
                          <a:ext cx="220717" cy="220717"/>
                        </a:xfrm>
                        <a:prstGeom prst="rect">
                          <a:avLst/>
                        </a:prstGeom>
                        <a:noFill/>
                        <a:ln w="6350">
                          <a:noFill/>
                        </a:ln>
                      </wps:spPr>
                      <wps:txbx>
                        <w:txbxContent>
                          <w:p w14:paraId="12AD54A1" w14:textId="77777777" w:rsidR="00230AB9" w:rsidRPr="00603D82" w:rsidRDefault="00230AB9" w:rsidP="00666029">
                            <w:pPr>
                              <w:rPr>
                                <w:sz w:val="16"/>
                                <w:szCs w:val="16"/>
                              </w:rPr>
                            </w:pPr>
                            <w:r>
                              <w:rPr>
                                <w:sz w:val="16"/>
                                <w:szCs w:val="1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0D18B" id="Text Box 1897" o:spid="_x0000_s1395" type="#_x0000_t202" style="position:absolute;left:0;text-align:left;margin-left:192.85pt;margin-top:153.95pt;width:17.4pt;height:17.4pt;z-index:25262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" filled="f" stroked="f" strokeweight=".5pt">
                <v:textbox>
                  <w:txbxContent>
                    <w:p w14:paraId="12AD54A1" w14:textId="77777777" w:rsidR="00230AB9" w:rsidRPr="00603D82" w:rsidRDefault="00230AB9" w:rsidP="00666029">
                      <w:pPr>
                        <w:rPr>
                          <w:sz w:val="16"/>
                          <w:szCs w:val="16"/>
                        </w:rPr>
                      </w:pPr>
                      <w:r>
                        <w:rPr>
                          <w:sz w:val="16"/>
                          <w:szCs w:val="16"/>
                        </w:rPr>
                        <w:t>0</w:t>
                      </w:r>
                    </w:p>
                  </w:txbxContent>
                </v:textbox>
                <w10:wrap anchorx="margin"/>
              </v:shape>
            </w:pict>
          </mc:Fallback>
        </mc:AlternateContent>
      </w:r>
      <w:r>
        <w:rPr>
          <w:noProof/>
          <w:lang w:eastAsia="en-MY"/>
        </w:rPr>
        <mc:AlternateContent>
          <mc:Choice Requires="wps">
            <w:drawing>
              <wp:anchor distT="0" distB="0" distL="114300" distR="114300" simplePos="0" relativeHeight="252619776" behindDoc="0" locked="0" layoutInCell="1" allowOverlap="1" wp14:anchorId="119238CC" wp14:editId="319993FF">
                <wp:simplePos x="0" y="0"/>
                <wp:positionH relativeFrom="margin">
                  <wp:posOffset>2333603</wp:posOffset>
                </wp:positionH>
                <wp:positionV relativeFrom="paragraph">
                  <wp:posOffset>1478280</wp:posOffset>
                </wp:positionV>
                <wp:extent cx="220717" cy="220717"/>
                <wp:effectExtent l="0" t="0" r="0" b="0"/>
                <wp:wrapNone/>
                <wp:docPr id="1896" name="Text Box 1896"/>
                <wp:cNvGraphicFramePr/>
                <a:graphic xmlns:a="http://schemas.openxmlformats.org/drawingml/2006/main">
                  <a:graphicData uri="http://schemas.microsoft.com/office/word/2010/wordprocessingShape">
                    <wps:wsp>
                      <wps:cNvSpPr txBox="1"/>
                      <wps:spPr>
                        <a:xfrm>
                          <a:off x="0" y="0"/>
                          <a:ext cx="220717" cy="220717"/>
                        </a:xfrm>
                        <a:prstGeom prst="rect">
                          <a:avLst/>
                        </a:prstGeom>
                        <a:noFill/>
                        <a:ln w="6350">
                          <a:noFill/>
                        </a:ln>
                      </wps:spPr>
                      <wps:txbx>
                        <w:txbxContent>
                          <w:p w14:paraId="3C754B1A" w14:textId="77777777" w:rsidR="00230AB9" w:rsidRPr="00603D82" w:rsidRDefault="00230AB9" w:rsidP="00666029">
                            <w:pPr>
                              <w:rPr>
                                <w:sz w:val="16"/>
                                <w:szCs w:val="16"/>
                              </w:rPr>
                            </w:pPr>
                            <w:r>
                              <w:rPr>
                                <w:sz w:val="16"/>
                                <w:szCs w:val="1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238CC" id="Text Box 1896" o:spid="_x0000_s1396" type="#_x0000_t202" style="position:absolute;left:0;text-align:left;margin-left:183.75pt;margin-top:116.4pt;width:17.4pt;height:17.4pt;z-index:25261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" filled="f" stroked="f" strokeweight=".5pt">
                <v:textbox>
                  <w:txbxContent>
                    <w:p w14:paraId="3C754B1A" w14:textId="77777777" w:rsidR="00230AB9" w:rsidRPr="00603D82" w:rsidRDefault="00230AB9" w:rsidP="00666029">
                      <w:pPr>
                        <w:rPr>
                          <w:sz w:val="16"/>
                          <w:szCs w:val="16"/>
                        </w:rPr>
                      </w:pPr>
                      <w:r>
                        <w:rPr>
                          <w:sz w:val="16"/>
                          <w:szCs w:val="16"/>
                        </w:rPr>
                        <w:t>0</w:t>
                      </w:r>
                    </w:p>
                  </w:txbxContent>
                </v:textbox>
                <w10:wrap anchorx="margin"/>
              </v:shape>
            </w:pict>
          </mc:Fallback>
        </mc:AlternateContent>
      </w:r>
      <w:r>
        <w:rPr>
          <w:noProof/>
          <w:lang w:eastAsia="en-MY"/>
        </w:rPr>
        <mc:AlternateContent>
          <mc:Choice Requires="wps">
            <w:drawing>
              <wp:anchor distT="0" distB="0" distL="114300" distR="114300" simplePos="0" relativeHeight="252620800" behindDoc="0" locked="0" layoutInCell="1" allowOverlap="1" wp14:anchorId="6BCF65B7" wp14:editId="0E7E13A5">
                <wp:simplePos x="0" y="0"/>
                <wp:positionH relativeFrom="margin">
                  <wp:posOffset>2286306</wp:posOffset>
                </wp:positionH>
                <wp:positionV relativeFrom="paragraph">
                  <wp:posOffset>1083507</wp:posOffset>
                </wp:positionV>
                <wp:extent cx="220717" cy="220717"/>
                <wp:effectExtent l="0" t="0" r="0" b="0"/>
                <wp:wrapNone/>
                <wp:docPr id="1895" name="Text Box 1895"/>
                <wp:cNvGraphicFramePr/>
                <a:graphic xmlns:a="http://schemas.openxmlformats.org/drawingml/2006/main">
                  <a:graphicData uri="http://schemas.microsoft.com/office/word/2010/wordprocessingShape">
                    <wps:wsp>
                      <wps:cNvSpPr txBox="1"/>
                      <wps:spPr>
                        <a:xfrm>
                          <a:off x="0" y="0"/>
                          <a:ext cx="220717" cy="220717"/>
                        </a:xfrm>
                        <a:prstGeom prst="rect">
                          <a:avLst/>
                        </a:prstGeom>
                        <a:noFill/>
                        <a:ln w="6350">
                          <a:noFill/>
                        </a:ln>
                      </wps:spPr>
                      <wps:txbx>
                        <w:txbxContent>
                          <w:p w14:paraId="6F99C3BC" w14:textId="77777777" w:rsidR="00230AB9" w:rsidRPr="00603D82" w:rsidRDefault="00230AB9" w:rsidP="00666029">
                            <w:pPr>
                              <w:rPr>
                                <w:sz w:val="16"/>
                                <w:szCs w:val="16"/>
                              </w:rPr>
                            </w:pPr>
                            <w:r>
                              <w:rPr>
                                <w:sz w:val="16"/>
                                <w:szCs w:val="1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F65B7" id="Text Box 1895" o:spid="_x0000_s1397" type="#_x0000_t202" style="position:absolute;left:0;text-align:left;margin-left:180pt;margin-top:85.3pt;width:17.4pt;height:17.4pt;z-index:25262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" filled="f" stroked="f" strokeweight=".5pt">
                <v:textbox>
                  <w:txbxContent>
                    <w:p w14:paraId="6F99C3BC" w14:textId="77777777" w:rsidR="00230AB9" w:rsidRPr="00603D82" w:rsidRDefault="00230AB9" w:rsidP="00666029">
                      <w:pPr>
                        <w:rPr>
                          <w:sz w:val="16"/>
                          <w:szCs w:val="16"/>
                        </w:rPr>
                      </w:pPr>
                      <w:r>
                        <w:rPr>
                          <w:sz w:val="16"/>
                          <w:szCs w:val="16"/>
                        </w:rPr>
                        <w:t>0</w:t>
                      </w:r>
                    </w:p>
                  </w:txbxContent>
                </v:textbox>
                <w10:wrap anchorx="margin"/>
              </v:shape>
            </w:pict>
          </mc:Fallback>
        </mc:AlternateContent>
      </w:r>
      <w:r>
        <w:rPr>
          <w:noProof/>
          <w:lang w:eastAsia="en-MY"/>
        </w:rPr>
        <mc:AlternateContent>
          <mc:Choice Requires="wps">
            <w:drawing>
              <wp:anchor distT="0" distB="0" distL="114300" distR="114300" simplePos="0" relativeHeight="252618752" behindDoc="0" locked="0" layoutInCell="1" allowOverlap="1" wp14:anchorId="15C465A7" wp14:editId="2A7C80CD">
                <wp:simplePos x="0" y="0"/>
                <wp:positionH relativeFrom="margin">
                  <wp:posOffset>2995974</wp:posOffset>
                </wp:positionH>
                <wp:positionV relativeFrom="paragraph">
                  <wp:posOffset>2417379</wp:posOffset>
                </wp:positionV>
                <wp:extent cx="167859" cy="178676"/>
                <wp:effectExtent l="0" t="0" r="0" b="0"/>
                <wp:wrapNone/>
                <wp:docPr id="1894" name="Text Box 1894"/>
                <wp:cNvGraphicFramePr/>
                <a:graphic xmlns:a="http://schemas.openxmlformats.org/drawingml/2006/main">
                  <a:graphicData uri="http://schemas.microsoft.com/office/word/2010/wordprocessingShape">
                    <wps:wsp>
                      <wps:cNvSpPr txBox="1"/>
                      <wps:spPr>
                        <a:xfrm>
                          <a:off x="0" y="0"/>
                          <a:ext cx="167859" cy="178676"/>
                        </a:xfrm>
                        <a:prstGeom prst="rect">
                          <a:avLst/>
                        </a:prstGeom>
                        <a:noFill/>
                        <a:ln w="6350">
                          <a:noFill/>
                        </a:ln>
                      </wps:spPr>
                      <wps:txbx>
                        <w:txbxContent>
                          <w:p w14:paraId="36905FC8" w14:textId="77777777" w:rsidR="00230AB9" w:rsidRPr="00603D82" w:rsidRDefault="00230AB9" w:rsidP="00666029">
                            <w:pPr>
                              <w:rPr>
                                <w:sz w:val="16"/>
                                <w:szCs w:val="16"/>
                              </w:rPr>
                            </w:pPr>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465A7" id="Text Box 1894" o:spid="_x0000_s1398" type="#_x0000_t202" style="position:absolute;left:0;text-align:left;margin-left:235.9pt;margin-top:190.35pt;width:13.2pt;height:14.05pt;z-index:25261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" filled="f" stroked="f" strokeweight=".5pt">
                <v:textbox>
                  <w:txbxContent>
                    <w:p w14:paraId="36905FC8" w14:textId="77777777" w:rsidR="00230AB9" w:rsidRPr="00603D82" w:rsidRDefault="00230AB9" w:rsidP="00666029">
                      <w:pPr>
                        <w:rPr>
                          <w:sz w:val="16"/>
                          <w:szCs w:val="16"/>
                        </w:rPr>
                      </w:pPr>
                      <w:r>
                        <w:rPr>
                          <w:sz w:val="16"/>
                          <w:szCs w:val="16"/>
                        </w:rPr>
                        <w:t>-</w:t>
                      </w:r>
                    </w:p>
                  </w:txbxContent>
                </v:textbox>
                <w10:wrap anchorx="margin"/>
              </v:shape>
            </w:pict>
          </mc:Fallback>
        </mc:AlternateContent>
      </w:r>
      <w:r>
        <w:rPr>
          <w:noProof/>
          <w:lang w:eastAsia="en-MY"/>
        </w:rPr>
        <mc:AlternateContent>
          <mc:Choice Requires="wps">
            <w:drawing>
              <wp:anchor distT="0" distB="0" distL="114300" distR="114300" simplePos="0" relativeHeight="252617728" behindDoc="0" locked="0" layoutInCell="1" allowOverlap="1" wp14:anchorId="0565F6BE" wp14:editId="33B78854">
                <wp:simplePos x="0" y="0"/>
                <wp:positionH relativeFrom="margin">
                  <wp:align>center</wp:align>
                </wp:positionH>
                <wp:positionV relativeFrom="paragraph">
                  <wp:posOffset>2102068</wp:posOffset>
                </wp:positionV>
                <wp:extent cx="167859" cy="178676"/>
                <wp:effectExtent l="0" t="0" r="0" b="0"/>
                <wp:wrapNone/>
                <wp:docPr id="1893" name="Text Box 1893"/>
                <wp:cNvGraphicFramePr/>
                <a:graphic xmlns:a="http://schemas.openxmlformats.org/drawingml/2006/main">
                  <a:graphicData uri="http://schemas.microsoft.com/office/word/2010/wordprocessingShape">
                    <wps:wsp>
                      <wps:cNvSpPr txBox="1"/>
                      <wps:spPr>
                        <a:xfrm>
                          <a:off x="0" y="0"/>
                          <a:ext cx="167859" cy="178676"/>
                        </a:xfrm>
                        <a:prstGeom prst="rect">
                          <a:avLst/>
                        </a:prstGeom>
                        <a:noFill/>
                        <a:ln w="6350">
                          <a:noFill/>
                        </a:ln>
                      </wps:spPr>
                      <wps:txbx>
                        <w:txbxContent>
                          <w:p w14:paraId="24D8E97B" w14:textId="77777777" w:rsidR="00230AB9" w:rsidRPr="00603D82" w:rsidRDefault="00230AB9" w:rsidP="00666029">
                            <w:pPr>
                              <w:rPr>
                                <w:sz w:val="16"/>
                                <w:szCs w:val="16"/>
                              </w:rPr>
                            </w:pPr>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5F6BE" id="Text Box 1893" o:spid="_x0000_s1399" type="#_x0000_t202" style="position:absolute;left:0;text-align:left;margin-left:0;margin-top:165.5pt;width:13.2pt;height:14.05pt;z-index:252617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" filled="f" stroked="f" strokeweight=".5pt">
                <v:textbox>
                  <w:txbxContent>
                    <w:p w14:paraId="24D8E97B" w14:textId="77777777" w:rsidR="00230AB9" w:rsidRPr="00603D82" w:rsidRDefault="00230AB9" w:rsidP="00666029">
                      <w:pPr>
                        <w:rPr>
                          <w:sz w:val="16"/>
                          <w:szCs w:val="16"/>
                        </w:rPr>
                      </w:pPr>
                      <w:r>
                        <w:rPr>
                          <w:sz w:val="16"/>
                          <w:szCs w:val="16"/>
                        </w:rPr>
                        <w:t>-</w:t>
                      </w:r>
                    </w:p>
                  </w:txbxContent>
                </v:textbox>
                <w10:wrap anchorx="margin"/>
              </v:shape>
            </w:pict>
          </mc:Fallback>
        </mc:AlternateContent>
      </w:r>
      <w:r>
        <w:rPr>
          <w:noProof/>
          <w:lang w:eastAsia="en-MY"/>
        </w:rPr>
        <mc:AlternateContent>
          <mc:Choice Requires="wps">
            <w:drawing>
              <wp:anchor distT="0" distB="0" distL="114300" distR="114300" simplePos="0" relativeHeight="252616704" behindDoc="0" locked="0" layoutInCell="1" allowOverlap="1" wp14:anchorId="22F5C5ED" wp14:editId="49B6CC8B">
                <wp:simplePos x="0" y="0"/>
                <wp:positionH relativeFrom="margin">
                  <wp:posOffset>2554014</wp:posOffset>
                </wp:positionH>
                <wp:positionV relativeFrom="paragraph">
                  <wp:posOffset>1439676</wp:posOffset>
                </wp:positionV>
                <wp:extent cx="167859" cy="178676"/>
                <wp:effectExtent l="0" t="0" r="0" b="0"/>
                <wp:wrapNone/>
                <wp:docPr id="1892" name="Text Box 1892"/>
                <wp:cNvGraphicFramePr/>
                <a:graphic xmlns:a="http://schemas.openxmlformats.org/drawingml/2006/main">
                  <a:graphicData uri="http://schemas.microsoft.com/office/word/2010/wordprocessingShape">
                    <wps:wsp>
                      <wps:cNvSpPr txBox="1"/>
                      <wps:spPr>
                        <a:xfrm>
                          <a:off x="0" y="0"/>
                          <a:ext cx="167859" cy="178676"/>
                        </a:xfrm>
                        <a:prstGeom prst="rect">
                          <a:avLst/>
                        </a:prstGeom>
                        <a:noFill/>
                        <a:ln w="6350">
                          <a:noFill/>
                        </a:ln>
                      </wps:spPr>
                      <wps:txbx>
                        <w:txbxContent>
                          <w:p w14:paraId="012C1A41" w14:textId="77777777" w:rsidR="00230AB9" w:rsidRPr="00603D82" w:rsidRDefault="00230AB9" w:rsidP="00666029">
                            <w:pPr>
                              <w:rPr>
                                <w:sz w:val="16"/>
                                <w:szCs w:val="16"/>
                              </w:rPr>
                            </w:pPr>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5C5ED" id="Text Box 1892" o:spid="_x0000_s1400" type="#_x0000_t202" style="position:absolute;left:0;text-align:left;margin-left:201.1pt;margin-top:113.35pt;width:13.2pt;height:14.05pt;z-index:25261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" filled="f" stroked="f" strokeweight=".5pt">
                <v:textbox>
                  <w:txbxContent>
                    <w:p w14:paraId="012C1A41" w14:textId="77777777" w:rsidR="00230AB9" w:rsidRPr="00603D82" w:rsidRDefault="00230AB9" w:rsidP="00666029">
                      <w:pPr>
                        <w:rPr>
                          <w:sz w:val="16"/>
                          <w:szCs w:val="16"/>
                        </w:rPr>
                      </w:pPr>
                      <w:r>
                        <w:rPr>
                          <w:sz w:val="16"/>
                          <w:szCs w:val="16"/>
                        </w:rPr>
                        <w:t>-</w:t>
                      </w:r>
                    </w:p>
                  </w:txbxContent>
                </v:textbox>
                <w10:wrap anchorx="margin"/>
              </v:shape>
            </w:pict>
          </mc:Fallback>
        </mc:AlternateContent>
      </w:r>
      <w:r>
        <w:rPr>
          <w:noProof/>
          <w:lang w:eastAsia="en-MY"/>
        </w:rPr>
        <mc:AlternateContent>
          <mc:Choice Requires="wps">
            <w:drawing>
              <wp:anchor distT="0" distB="0" distL="114300" distR="114300" simplePos="0" relativeHeight="252615680" behindDoc="0" locked="0" layoutInCell="1" allowOverlap="1" wp14:anchorId="04D1DA39" wp14:editId="01AD7B80">
                <wp:simplePos x="0" y="0"/>
                <wp:positionH relativeFrom="margin">
                  <wp:posOffset>2501988</wp:posOffset>
                </wp:positionH>
                <wp:positionV relativeFrom="paragraph">
                  <wp:posOffset>1124256</wp:posOffset>
                </wp:positionV>
                <wp:extent cx="167859" cy="178676"/>
                <wp:effectExtent l="0" t="0" r="0" b="0"/>
                <wp:wrapNone/>
                <wp:docPr id="1891" name="Text Box 1891"/>
                <wp:cNvGraphicFramePr/>
                <a:graphic xmlns:a="http://schemas.openxmlformats.org/drawingml/2006/main">
                  <a:graphicData uri="http://schemas.microsoft.com/office/word/2010/wordprocessingShape">
                    <wps:wsp>
                      <wps:cNvSpPr txBox="1"/>
                      <wps:spPr>
                        <a:xfrm>
                          <a:off x="0" y="0"/>
                          <a:ext cx="167859" cy="178676"/>
                        </a:xfrm>
                        <a:prstGeom prst="rect">
                          <a:avLst/>
                        </a:prstGeom>
                        <a:noFill/>
                        <a:ln w="6350">
                          <a:noFill/>
                        </a:ln>
                      </wps:spPr>
                      <wps:txbx>
                        <w:txbxContent>
                          <w:p w14:paraId="29B8650B" w14:textId="77777777" w:rsidR="00230AB9" w:rsidRPr="00603D82" w:rsidRDefault="00230AB9" w:rsidP="00666029">
                            <w:pPr>
                              <w:rPr>
                                <w:sz w:val="16"/>
                                <w:szCs w:val="16"/>
                              </w:rPr>
                            </w:pPr>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1DA39" id="Text Box 1891" o:spid="_x0000_s1401" type="#_x0000_t202" style="position:absolute;left:0;text-align:left;margin-left:197pt;margin-top:88.5pt;width:13.2pt;height:14.05pt;z-index:25261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" filled="f" stroked="f" strokeweight=".5pt">
                <v:textbox>
                  <w:txbxContent>
                    <w:p w14:paraId="29B8650B" w14:textId="77777777" w:rsidR="00230AB9" w:rsidRPr="00603D82" w:rsidRDefault="00230AB9" w:rsidP="00666029">
                      <w:pPr>
                        <w:rPr>
                          <w:sz w:val="16"/>
                          <w:szCs w:val="16"/>
                        </w:rPr>
                      </w:pPr>
                      <w:r>
                        <w:rPr>
                          <w:sz w:val="16"/>
                          <w:szCs w:val="16"/>
                        </w:rPr>
                        <w:t>-</w:t>
                      </w:r>
                    </w:p>
                  </w:txbxContent>
                </v:textbox>
                <w10:wrap anchorx="margin"/>
              </v:shape>
            </w:pict>
          </mc:Fallback>
        </mc:AlternateContent>
      </w:r>
      <w:r>
        <w:rPr>
          <w:noProof/>
          <w:lang w:eastAsia="en-MY"/>
        </w:rPr>
        <mc:AlternateContent>
          <mc:Choice Requires="wps">
            <w:drawing>
              <wp:anchor distT="0" distB="0" distL="114300" distR="114300" simplePos="0" relativeHeight="252614656" behindDoc="0" locked="0" layoutInCell="1" allowOverlap="1" wp14:anchorId="77679937" wp14:editId="5C6DCA44">
                <wp:simplePos x="0" y="0"/>
                <wp:positionH relativeFrom="column">
                  <wp:posOffset>3605049</wp:posOffset>
                </wp:positionH>
                <wp:positionV relativeFrom="paragraph">
                  <wp:posOffset>2301766</wp:posOffset>
                </wp:positionV>
                <wp:extent cx="167859" cy="178676"/>
                <wp:effectExtent l="0" t="0" r="0" b="0"/>
                <wp:wrapNone/>
                <wp:docPr id="1890" name="Text Box 1890"/>
                <wp:cNvGraphicFramePr/>
                <a:graphic xmlns:a="http://schemas.openxmlformats.org/drawingml/2006/main">
                  <a:graphicData uri="http://schemas.microsoft.com/office/word/2010/wordprocessingShape">
                    <wps:wsp>
                      <wps:cNvSpPr txBox="1"/>
                      <wps:spPr>
                        <a:xfrm>
                          <a:off x="0" y="0"/>
                          <a:ext cx="167859" cy="178676"/>
                        </a:xfrm>
                        <a:prstGeom prst="rect">
                          <a:avLst/>
                        </a:prstGeom>
                        <a:noFill/>
                        <a:ln w="6350">
                          <a:noFill/>
                        </a:ln>
                      </wps:spPr>
                      <wps:txbx>
                        <w:txbxContent>
                          <w:p w14:paraId="55CA21AB" w14:textId="77777777" w:rsidR="00230AB9" w:rsidRPr="00603D82" w:rsidRDefault="00230AB9" w:rsidP="00666029">
                            <w:pPr>
                              <w:rPr>
                                <w:sz w:val="16"/>
                                <w:szCs w:val="16"/>
                              </w:rPr>
                            </w:pPr>
                            <w:r w:rsidRPr="00603D82">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79937" id="Text Box 1890" o:spid="_x0000_s1402" type="#_x0000_t202" style="position:absolute;left:0;text-align:left;margin-left:283.85pt;margin-top:181.25pt;width:13.2pt;height:14.05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" filled="f" stroked="f" strokeweight=".5pt">
                <v:textbox>
                  <w:txbxContent>
                    <w:p w14:paraId="55CA21AB" w14:textId="77777777" w:rsidR="00230AB9" w:rsidRPr="00603D82" w:rsidRDefault="00230AB9" w:rsidP="00666029">
                      <w:pPr>
                        <w:rPr>
                          <w:sz w:val="16"/>
                          <w:szCs w:val="16"/>
                        </w:rPr>
                      </w:pPr>
                      <w:r w:rsidRPr="00603D82">
                        <w:rPr>
                          <w:sz w:val="16"/>
                          <w:szCs w:val="16"/>
                        </w:rPr>
                        <w:t>+</w:t>
                      </w:r>
                    </w:p>
                  </w:txbxContent>
                </v:textbox>
              </v:shape>
            </w:pict>
          </mc:Fallback>
        </mc:AlternateContent>
      </w:r>
      <w:r>
        <w:rPr>
          <w:noProof/>
          <w:lang w:eastAsia="en-MY"/>
        </w:rPr>
        <mc:AlternateContent>
          <mc:Choice Requires="wps">
            <w:drawing>
              <wp:anchor distT="0" distB="0" distL="114300" distR="114300" simplePos="0" relativeHeight="252613632" behindDoc="0" locked="0" layoutInCell="1" allowOverlap="1" wp14:anchorId="7AF58A36" wp14:editId="38C42EF5">
                <wp:simplePos x="0" y="0"/>
                <wp:positionH relativeFrom="column">
                  <wp:posOffset>3268717</wp:posOffset>
                </wp:positionH>
                <wp:positionV relativeFrom="paragraph">
                  <wp:posOffset>2112820</wp:posOffset>
                </wp:positionV>
                <wp:extent cx="167859" cy="178676"/>
                <wp:effectExtent l="0" t="0" r="0" b="0"/>
                <wp:wrapNone/>
                <wp:docPr id="1889" name="Text Box 1889"/>
                <wp:cNvGraphicFramePr/>
                <a:graphic xmlns:a="http://schemas.openxmlformats.org/drawingml/2006/main">
                  <a:graphicData uri="http://schemas.microsoft.com/office/word/2010/wordprocessingShape">
                    <wps:wsp>
                      <wps:cNvSpPr txBox="1"/>
                      <wps:spPr>
                        <a:xfrm>
                          <a:off x="0" y="0"/>
                          <a:ext cx="167859" cy="178676"/>
                        </a:xfrm>
                        <a:prstGeom prst="rect">
                          <a:avLst/>
                        </a:prstGeom>
                        <a:noFill/>
                        <a:ln w="6350">
                          <a:noFill/>
                        </a:ln>
                      </wps:spPr>
                      <wps:txbx>
                        <w:txbxContent>
                          <w:p w14:paraId="636A9A8E" w14:textId="77777777" w:rsidR="00230AB9" w:rsidRPr="00603D82" w:rsidRDefault="00230AB9" w:rsidP="00666029">
                            <w:pPr>
                              <w:rPr>
                                <w:sz w:val="16"/>
                                <w:szCs w:val="16"/>
                              </w:rPr>
                            </w:pPr>
                            <w:r w:rsidRPr="00603D82">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58A36" id="Text Box 1889" o:spid="_x0000_s1403" type="#_x0000_t202" style="position:absolute;left:0;text-align:left;margin-left:257.4pt;margin-top:166.35pt;width:13.2pt;height:14.05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" filled="f" stroked="f" strokeweight=".5pt">
                <v:textbox>
                  <w:txbxContent>
                    <w:p w14:paraId="636A9A8E" w14:textId="77777777" w:rsidR="00230AB9" w:rsidRPr="00603D82" w:rsidRDefault="00230AB9" w:rsidP="00666029">
                      <w:pPr>
                        <w:rPr>
                          <w:sz w:val="16"/>
                          <w:szCs w:val="16"/>
                        </w:rPr>
                      </w:pPr>
                      <w:r w:rsidRPr="00603D82">
                        <w:rPr>
                          <w:sz w:val="16"/>
                          <w:szCs w:val="16"/>
                        </w:rPr>
                        <w:t>+</w:t>
                      </w:r>
                    </w:p>
                  </w:txbxContent>
                </v:textbox>
              </v:shape>
            </w:pict>
          </mc:Fallback>
        </mc:AlternateContent>
      </w:r>
      <w:r>
        <w:rPr>
          <w:noProof/>
          <w:lang w:eastAsia="en-MY"/>
        </w:rPr>
        <mc:AlternateContent>
          <mc:Choice Requires="wps">
            <w:drawing>
              <wp:anchor distT="0" distB="0" distL="114300" distR="114300" simplePos="0" relativeHeight="252612608" behindDoc="0" locked="0" layoutInCell="1" allowOverlap="1" wp14:anchorId="594A31DD" wp14:editId="0E67C25B">
                <wp:simplePos x="0" y="0"/>
                <wp:positionH relativeFrom="column">
                  <wp:posOffset>2963917</wp:posOffset>
                </wp:positionH>
                <wp:positionV relativeFrom="paragraph">
                  <wp:posOffset>1524000</wp:posOffset>
                </wp:positionV>
                <wp:extent cx="167859" cy="178676"/>
                <wp:effectExtent l="0" t="0" r="0" b="0"/>
                <wp:wrapNone/>
                <wp:docPr id="1823" name="Text Box 1823"/>
                <wp:cNvGraphicFramePr/>
                <a:graphic xmlns:a="http://schemas.openxmlformats.org/drawingml/2006/main">
                  <a:graphicData uri="http://schemas.microsoft.com/office/word/2010/wordprocessingShape">
                    <wps:wsp>
                      <wps:cNvSpPr txBox="1"/>
                      <wps:spPr>
                        <a:xfrm>
                          <a:off x="0" y="0"/>
                          <a:ext cx="167859" cy="178676"/>
                        </a:xfrm>
                        <a:prstGeom prst="rect">
                          <a:avLst/>
                        </a:prstGeom>
                        <a:noFill/>
                        <a:ln w="6350">
                          <a:noFill/>
                        </a:ln>
                      </wps:spPr>
                      <wps:txbx>
                        <w:txbxContent>
                          <w:p w14:paraId="2FB70F4E" w14:textId="77777777" w:rsidR="00230AB9" w:rsidRPr="00603D82" w:rsidRDefault="00230AB9" w:rsidP="00666029">
                            <w:pPr>
                              <w:rPr>
                                <w:sz w:val="16"/>
                                <w:szCs w:val="16"/>
                              </w:rPr>
                            </w:pPr>
                            <w:r w:rsidRPr="00603D82">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A31DD" id="Text Box 1823" o:spid="_x0000_s1404" type="#_x0000_t202" style="position:absolute;left:0;text-align:left;margin-left:233.4pt;margin-top:120pt;width:13.2pt;height:14.0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" filled="f" stroked="f" strokeweight=".5pt">
                <v:textbox>
                  <w:txbxContent>
                    <w:p w14:paraId="2FB70F4E" w14:textId="77777777" w:rsidR="00230AB9" w:rsidRPr="00603D82" w:rsidRDefault="00230AB9" w:rsidP="00666029">
                      <w:pPr>
                        <w:rPr>
                          <w:sz w:val="16"/>
                          <w:szCs w:val="16"/>
                        </w:rPr>
                      </w:pPr>
                      <w:r w:rsidRPr="00603D82">
                        <w:rPr>
                          <w:sz w:val="16"/>
                          <w:szCs w:val="16"/>
                        </w:rPr>
                        <w:t>+</w:t>
                      </w:r>
                    </w:p>
                  </w:txbxContent>
                </v:textbox>
              </v:shape>
            </w:pict>
          </mc:Fallback>
        </mc:AlternateContent>
      </w:r>
      <w:r>
        <w:rPr>
          <w:noProof/>
          <w:lang w:eastAsia="en-MY"/>
        </w:rPr>
        <mc:AlternateContent>
          <mc:Choice Requires="wps">
            <w:drawing>
              <wp:anchor distT="0" distB="0" distL="114300" distR="114300" simplePos="0" relativeHeight="252611584" behindDoc="0" locked="0" layoutInCell="1" allowOverlap="1" wp14:anchorId="3D97D315" wp14:editId="0489A50C">
                <wp:simplePos x="0" y="0"/>
                <wp:positionH relativeFrom="column">
                  <wp:posOffset>2869325</wp:posOffset>
                </wp:positionH>
                <wp:positionV relativeFrom="paragraph">
                  <wp:posOffset>1261241</wp:posOffset>
                </wp:positionV>
                <wp:extent cx="167859" cy="178676"/>
                <wp:effectExtent l="0" t="0" r="0" b="0"/>
                <wp:wrapNone/>
                <wp:docPr id="1822" name="Text Box 1822"/>
                <wp:cNvGraphicFramePr/>
                <a:graphic xmlns:a="http://schemas.openxmlformats.org/drawingml/2006/main">
                  <a:graphicData uri="http://schemas.microsoft.com/office/word/2010/wordprocessingShape">
                    <wps:wsp>
                      <wps:cNvSpPr txBox="1"/>
                      <wps:spPr>
                        <a:xfrm>
                          <a:off x="0" y="0"/>
                          <a:ext cx="167859" cy="178676"/>
                        </a:xfrm>
                        <a:prstGeom prst="rect">
                          <a:avLst/>
                        </a:prstGeom>
                        <a:noFill/>
                        <a:ln w="6350">
                          <a:noFill/>
                        </a:ln>
                      </wps:spPr>
                      <wps:txbx>
                        <w:txbxContent>
                          <w:p w14:paraId="6467431B" w14:textId="77777777" w:rsidR="00230AB9" w:rsidRPr="00603D82" w:rsidRDefault="00230AB9" w:rsidP="00666029">
                            <w:pPr>
                              <w:rPr>
                                <w:sz w:val="16"/>
                                <w:szCs w:val="16"/>
                              </w:rPr>
                            </w:pPr>
                            <w:r w:rsidRPr="00603D82">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7D315" id="Text Box 1822" o:spid="_x0000_s1405" type="#_x0000_t202" style="position:absolute;left:0;text-align:left;margin-left:225.95pt;margin-top:99.3pt;width:13.2pt;height:14.05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" filled="f" stroked="f" strokeweight=".5pt">
                <v:textbox>
                  <w:txbxContent>
                    <w:p w14:paraId="6467431B" w14:textId="77777777" w:rsidR="00230AB9" w:rsidRPr="00603D82" w:rsidRDefault="00230AB9" w:rsidP="00666029">
                      <w:pPr>
                        <w:rPr>
                          <w:sz w:val="16"/>
                          <w:szCs w:val="16"/>
                        </w:rPr>
                      </w:pPr>
                      <w:r w:rsidRPr="00603D82">
                        <w:rPr>
                          <w:sz w:val="16"/>
                          <w:szCs w:val="16"/>
                        </w:rPr>
                        <w:t>+</w:t>
                      </w:r>
                    </w:p>
                  </w:txbxContent>
                </v:textbox>
              </v:shape>
            </w:pict>
          </mc:Fallback>
        </mc:AlternateContent>
      </w:r>
      <w:r>
        <w:rPr>
          <w:noProof/>
          <w:lang w:eastAsia="en-MY"/>
        </w:rPr>
        <mc:AlternateContent>
          <mc:Choice Requires="wps">
            <w:drawing>
              <wp:anchor distT="0" distB="0" distL="114300" distR="114300" simplePos="0" relativeHeight="252610560" behindDoc="0" locked="0" layoutInCell="1" allowOverlap="1" wp14:anchorId="2F8D7DB9" wp14:editId="621CFD2B">
                <wp:simplePos x="0" y="0"/>
                <wp:positionH relativeFrom="column">
                  <wp:posOffset>2469931</wp:posOffset>
                </wp:positionH>
                <wp:positionV relativeFrom="paragraph">
                  <wp:posOffset>2291255</wp:posOffset>
                </wp:positionV>
                <wp:extent cx="167859" cy="178676"/>
                <wp:effectExtent l="0" t="0" r="3810" b="0"/>
                <wp:wrapNone/>
                <wp:docPr id="1965" name="Text Box 1965"/>
                <wp:cNvGraphicFramePr/>
                <a:graphic xmlns:a="http://schemas.openxmlformats.org/drawingml/2006/main">
                  <a:graphicData uri="http://schemas.microsoft.com/office/word/2010/wordprocessingShape">
                    <wps:wsp>
                      <wps:cNvSpPr txBox="1"/>
                      <wps:spPr>
                        <a:xfrm>
                          <a:off x="0" y="0"/>
                          <a:ext cx="167859" cy="178676"/>
                        </a:xfrm>
                        <a:prstGeom prst="rect">
                          <a:avLst/>
                        </a:prstGeom>
                        <a:solidFill>
                          <a:sysClr val="window" lastClr="FFFFFF"/>
                        </a:solidFill>
                        <a:ln w="6350">
                          <a:noFill/>
                        </a:ln>
                      </wps:spPr>
                      <wps:txbx>
                        <w:txbxContent>
                          <w:p w14:paraId="02EDE5AB" w14:textId="77777777" w:rsidR="00230AB9" w:rsidRPr="00603D82" w:rsidRDefault="00230AB9" w:rsidP="00666029">
                            <w:pPr>
                              <w:rPr>
                                <w:sz w:val="16"/>
                                <w:szCs w:val="16"/>
                              </w:rPr>
                            </w:pPr>
                            <w:r w:rsidRPr="00603D82">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D7DB9" id="Text Box 1965" o:spid="_x0000_s1406" type="#_x0000_t202" style="position:absolute;left:0;text-align:left;margin-left:194.5pt;margin-top:180.4pt;width:13.2pt;height:14.05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" fillcolor="window" stroked="f" strokeweight=".5pt">
                <v:textbox>
                  <w:txbxContent>
                    <w:p w14:paraId="02EDE5AB" w14:textId="77777777" w:rsidR="00230AB9" w:rsidRPr="00603D82" w:rsidRDefault="00230AB9" w:rsidP="00666029">
                      <w:pPr>
                        <w:rPr>
                          <w:sz w:val="16"/>
                          <w:szCs w:val="16"/>
                        </w:rPr>
                      </w:pPr>
                      <w:r w:rsidRPr="00603D82">
                        <w:rPr>
                          <w:sz w:val="16"/>
                          <w:szCs w:val="16"/>
                        </w:rPr>
                        <w:t>+</w:t>
                      </w:r>
                    </w:p>
                  </w:txbxContent>
                </v:textbox>
              </v:shape>
            </w:pict>
          </mc:Fallback>
        </mc:AlternateContent>
      </w:r>
      <w:r>
        <w:rPr>
          <w:noProof/>
          <w:lang w:eastAsia="en-MY"/>
        </w:rPr>
        <mc:AlternateContent>
          <mc:Choice Requires="wps">
            <w:drawing>
              <wp:anchor distT="0" distB="0" distL="114300" distR="114300" simplePos="0" relativeHeight="252609536" behindDoc="0" locked="0" layoutInCell="1" allowOverlap="1" wp14:anchorId="0D294818" wp14:editId="03BF82A9">
                <wp:simplePos x="0" y="0"/>
                <wp:positionH relativeFrom="column">
                  <wp:posOffset>2238638</wp:posOffset>
                </wp:positionH>
                <wp:positionV relativeFrom="paragraph">
                  <wp:posOffset>1824990</wp:posOffset>
                </wp:positionV>
                <wp:extent cx="167859" cy="178676"/>
                <wp:effectExtent l="0" t="0" r="3810" b="0"/>
                <wp:wrapNone/>
                <wp:docPr id="608" name="Text Box 608"/>
                <wp:cNvGraphicFramePr/>
                <a:graphic xmlns:a="http://schemas.openxmlformats.org/drawingml/2006/main">
                  <a:graphicData uri="http://schemas.microsoft.com/office/word/2010/wordprocessingShape">
                    <wps:wsp>
                      <wps:cNvSpPr txBox="1"/>
                      <wps:spPr>
                        <a:xfrm>
                          <a:off x="0" y="0"/>
                          <a:ext cx="167859" cy="178676"/>
                        </a:xfrm>
                        <a:prstGeom prst="rect">
                          <a:avLst/>
                        </a:prstGeom>
                        <a:solidFill>
                          <a:sysClr val="window" lastClr="FFFFFF"/>
                        </a:solidFill>
                        <a:ln w="6350">
                          <a:noFill/>
                        </a:ln>
                      </wps:spPr>
                      <wps:txbx>
                        <w:txbxContent>
                          <w:p w14:paraId="710B00F6" w14:textId="77777777" w:rsidR="00230AB9" w:rsidRPr="00603D82" w:rsidRDefault="00230AB9" w:rsidP="00666029">
                            <w:pPr>
                              <w:rPr>
                                <w:sz w:val="16"/>
                                <w:szCs w:val="16"/>
                              </w:rPr>
                            </w:pPr>
                            <w:r w:rsidRPr="00603D82">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94818" id="Text Box 608" o:spid="_x0000_s1407" type="#_x0000_t202" style="position:absolute;left:0;text-align:left;margin-left:176.25pt;margin-top:143.7pt;width:13.2pt;height:14.05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" fillcolor="window" stroked="f" strokeweight=".5pt">
                <v:textbox>
                  <w:txbxContent>
                    <w:p w14:paraId="710B00F6" w14:textId="77777777" w:rsidR="00230AB9" w:rsidRPr="00603D82" w:rsidRDefault="00230AB9" w:rsidP="00666029">
                      <w:pPr>
                        <w:rPr>
                          <w:sz w:val="16"/>
                          <w:szCs w:val="16"/>
                        </w:rPr>
                      </w:pPr>
                      <w:r w:rsidRPr="00603D82">
                        <w:rPr>
                          <w:sz w:val="16"/>
                          <w:szCs w:val="16"/>
                        </w:rPr>
                        <w:t>+</w:t>
                      </w:r>
                    </w:p>
                  </w:txbxContent>
                </v:textbox>
              </v:shape>
            </w:pict>
          </mc:Fallback>
        </mc:AlternateContent>
      </w:r>
      <w:r>
        <w:rPr>
          <w:noProof/>
          <w:lang w:eastAsia="en-MY"/>
        </w:rPr>
        <mc:AlternateContent>
          <mc:Choice Requires="wps">
            <w:drawing>
              <wp:anchor distT="0" distB="0" distL="114300" distR="114300" simplePos="0" relativeHeight="252608512" behindDoc="0" locked="0" layoutInCell="1" allowOverlap="1" wp14:anchorId="65043AE0" wp14:editId="6E538707">
                <wp:simplePos x="0" y="0"/>
                <wp:positionH relativeFrom="column">
                  <wp:posOffset>2154774</wp:posOffset>
                </wp:positionH>
                <wp:positionV relativeFrom="paragraph">
                  <wp:posOffset>1393584</wp:posOffset>
                </wp:positionV>
                <wp:extent cx="167859" cy="178676"/>
                <wp:effectExtent l="0" t="0" r="3810" b="0"/>
                <wp:wrapNone/>
                <wp:docPr id="609" name="Text Box 609"/>
                <wp:cNvGraphicFramePr/>
                <a:graphic xmlns:a="http://schemas.openxmlformats.org/drawingml/2006/main">
                  <a:graphicData uri="http://schemas.microsoft.com/office/word/2010/wordprocessingShape">
                    <wps:wsp>
                      <wps:cNvSpPr txBox="1"/>
                      <wps:spPr>
                        <a:xfrm>
                          <a:off x="0" y="0"/>
                          <a:ext cx="167859" cy="178676"/>
                        </a:xfrm>
                        <a:prstGeom prst="rect">
                          <a:avLst/>
                        </a:prstGeom>
                        <a:solidFill>
                          <a:schemeClr val="lt1"/>
                        </a:solidFill>
                        <a:ln w="6350">
                          <a:noFill/>
                        </a:ln>
                      </wps:spPr>
                      <wps:txbx>
                        <w:txbxContent>
                          <w:p w14:paraId="438E7D56" w14:textId="77777777" w:rsidR="00230AB9" w:rsidRPr="00603D82" w:rsidRDefault="00230AB9" w:rsidP="00666029">
                            <w:pPr>
                              <w:rPr>
                                <w:sz w:val="16"/>
                                <w:szCs w:val="16"/>
                              </w:rPr>
                            </w:pPr>
                            <w:r w:rsidRPr="00603D82">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43AE0" id="Text Box 609" o:spid="_x0000_s1408" type="#_x0000_t202" style="position:absolute;left:0;text-align:left;margin-left:169.65pt;margin-top:109.75pt;width:13.2pt;height:14.05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" fillcolor="white [3201]" stroked="f" strokeweight=".5pt">
                <v:textbox>
                  <w:txbxContent>
                    <w:p w14:paraId="438E7D56" w14:textId="77777777" w:rsidR="00230AB9" w:rsidRPr="00603D82" w:rsidRDefault="00230AB9" w:rsidP="00666029">
                      <w:pPr>
                        <w:rPr>
                          <w:sz w:val="16"/>
                          <w:szCs w:val="16"/>
                        </w:rPr>
                      </w:pPr>
                      <w:r w:rsidRPr="00603D82">
                        <w:rPr>
                          <w:sz w:val="16"/>
                          <w:szCs w:val="16"/>
                        </w:rPr>
                        <w:t>+</w:t>
                      </w:r>
                    </w:p>
                  </w:txbxContent>
                </v:textbox>
              </v:shape>
            </w:pict>
          </mc:Fallback>
        </mc:AlternateContent>
      </w:r>
      <w:r>
        <w:rPr>
          <w:noProof/>
          <w:lang w:eastAsia="en-MY"/>
        </w:rPr>
        <mc:AlternateContent>
          <mc:Choice Requires="wps">
            <w:drawing>
              <wp:anchor distT="0" distB="0" distL="114300" distR="114300" simplePos="0" relativeHeight="252607488" behindDoc="0" locked="0" layoutInCell="1" allowOverlap="1" wp14:anchorId="157007B7" wp14:editId="05E4A7D0">
                <wp:simplePos x="0" y="0"/>
                <wp:positionH relativeFrom="column">
                  <wp:posOffset>2827283</wp:posOffset>
                </wp:positionH>
                <wp:positionV relativeFrom="paragraph">
                  <wp:posOffset>1057406</wp:posOffset>
                </wp:positionV>
                <wp:extent cx="1198179" cy="1608083"/>
                <wp:effectExtent l="0" t="0" r="21590" b="11430"/>
                <wp:wrapNone/>
                <wp:docPr id="610" name="Freeform: Shape 610"/>
                <wp:cNvGraphicFramePr/>
                <a:graphic xmlns:a="http://schemas.openxmlformats.org/drawingml/2006/main">
                  <a:graphicData uri="http://schemas.microsoft.com/office/word/2010/wordprocessingShape">
                    <wps:wsp>
                      <wps:cNvSpPr/>
                      <wps:spPr>
                        <a:xfrm>
                          <a:off x="0" y="0"/>
                          <a:ext cx="1198179" cy="1608083"/>
                        </a:xfrm>
                        <a:custGeom>
                          <a:avLst/>
                          <a:gdLst>
                            <a:gd name="connsiteX0" fmla="*/ 0 w 1198179"/>
                            <a:gd name="connsiteY0" fmla="*/ 0 h 1608083"/>
                            <a:gd name="connsiteX1" fmla="*/ 189186 w 1198179"/>
                            <a:gd name="connsiteY1" fmla="*/ 725214 h 1608083"/>
                            <a:gd name="connsiteX2" fmla="*/ 399393 w 1198179"/>
                            <a:gd name="connsiteY2" fmla="*/ 1156138 h 1608083"/>
                            <a:gd name="connsiteX3" fmla="*/ 725214 w 1198179"/>
                            <a:gd name="connsiteY3" fmla="*/ 1418897 h 1608083"/>
                            <a:gd name="connsiteX4" fmla="*/ 1198179 w 1198179"/>
                            <a:gd name="connsiteY4" fmla="*/ 1608083 h 1608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98179" h="1608083">
                              <a:moveTo>
                                <a:pt x="0" y="0"/>
                              </a:moveTo>
                              <a:cubicBezTo>
                                <a:pt x="61310" y="266262"/>
                                <a:pt x="122621" y="532524"/>
                                <a:pt x="189186" y="725214"/>
                              </a:cubicBezTo>
                              <a:cubicBezTo>
                                <a:pt x="255751" y="917904"/>
                                <a:pt x="310055" y="1040524"/>
                                <a:pt x="399393" y="1156138"/>
                              </a:cubicBezTo>
                              <a:cubicBezTo>
                                <a:pt x="488731" y="1271752"/>
                                <a:pt x="592083" y="1343573"/>
                                <a:pt x="725214" y="1418897"/>
                              </a:cubicBezTo>
                              <a:cubicBezTo>
                                <a:pt x="858345" y="1494221"/>
                                <a:pt x="1028262" y="1551152"/>
                                <a:pt x="1198179" y="1608083"/>
                              </a:cubicBezTo>
                            </a:path>
                          </a:pathLst>
                        </a:cu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E6B7D6" id="Freeform: Shape 610" o:spid="_x0000_s1026" style="position:absolute;margin-left:222.6pt;margin-top:83.25pt;width:94.35pt;height:126.6pt;z-index:252607488;visibility:visible;mso-wrap-style:square;mso-wrap-distance-left:9pt;mso-wrap-distance-top:0;mso-wrap-distance-right:9pt;mso-wrap-distance-bottom:0;mso-position-horizontal:absolute;mso-position-horizontal-relative:text;mso-position-vertical:absolute;mso-position-vertical-relative:text;v-text-anchor:middle" coordsize="1198179,1608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" path="m,c61310,266262,122621,532524,189186,725214v66565,192690,120869,315310,210207,430924c488731,1271752,592083,1343573,725214,1418897v133131,75324,303048,132255,472965,189186e" filled="f" strokecolor="black [3213]" strokeweight="1pt">
                <v:stroke dashstyle="dash"/>
                <v:path arrowok="t" o:connecttype="custom" o:connectlocs="0,0;189186,725214;399393,1156138;725214,1418897;1198179,1608083" o:connectangles="0,0,0,0,0"/>
              </v:shape>
            </w:pict>
          </mc:Fallback>
        </mc:AlternateContent>
      </w:r>
      <w:r>
        <w:rPr>
          <w:noProof/>
          <w:lang w:eastAsia="en-MY"/>
        </w:rPr>
        <mc:AlternateContent>
          <mc:Choice Requires="wps">
            <w:drawing>
              <wp:anchor distT="0" distB="0" distL="114300" distR="114300" simplePos="0" relativeHeight="252606464" behindDoc="0" locked="0" layoutInCell="1" allowOverlap="1" wp14:anchorId="3006901C" wp14:editId="06D348D5">
                <wp:simplePos x="0" y="0"/>
                <wp:positionH relativeFrom="column">
                  <wp:posOffset>2669628</wp:posOffset>
                </wp:positionH>
                <wp:positionV relativeFrom="paragraph">
                  <wp:posOffset>1067917</wp:posOffset>
                </wp:positionV>
                <wp:extent cx="1187669" cy="1723456"/>
                <wp:effectExtent l="0" t="0" r="12700" b="10160"/>
                <wp:wrapNone/>
                <wp:docPr id="611" name="Freeform: Shape 611"/>
                <wp:cNvGraphicFramePr/>
                <a:graphic xmlns:a="http://schemas.openxmlformats.org/drawingml/2006/main">
                  <a:graphicData uri="http://schemas.microsoft.com/office/word/2010/wordprocessingShape">
                    <wps:wsp>
                      <wps:cNvSpPr/>
                      <wps:spPr>
                        <a:xfrm>
                          <a:off x="0" y="0"/>
                          <a:ext cx="1187669" cy="1723456"/>
                        </a:xfrm>
                        <a:custGeom>
                          <a:avLst/>
                          <a:gdLst>
                            <a:gd name="connsiteX0" fmla="*/ 0 w 1187669"/>
                            <a:gd name="connsiteY0" fmla="*/ 0 h 1702676"/>
                            <a:gd name="connsiteX1" fmla="*/ 136634 w 1187669"/>
                            <a:gd name="connsiteY1" fmla="*/ 641131 h 1702676"/>
                            <a:gd name="connsiteX2" fmla="*/ 336331 w 1187669"/>
                            <a:gd name="connsiteY2" fmla="*/ 1072055 h 1702676"/>
                            <a:gd name="connsiteX3" fmla="*/ 630620 w 1187669"/>
                            <a:gd name="connsiteY3" fmla="*/ 1450427 h 1702676"/>
                            <a:gd name="connsiteX4" fmla="*/ 1187669 w 1187669"/>
                            <a:gd name="connsiteY4" fmla="*/ 1702676 h 170267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87669" h="1702676">
                              <a:moveTo>
                                <a:pt x="0" y="0"/>
                              </a:moveTo>
                              <a:cubicBezTo>
                                <a:pt x="40289" y="231227"/>
                                <a:pt x="80579" y="462455"/>
                                <a:pt x="136634" y="641131"/>
                              </a:cubicBezTo>
                              <a:cubicBezTo>
                                <a:pt x="192689" y="819807"/>
                                <a:pt x="254000" y="937172"/>
                                <a:pt x="336331" y="1072055"/>
                              </a:cubicBezTo>
                              <a:cubicBezTo>
                                <a:pt x="418662" y="1206938"/>
                                <a:pt x="488730" y="1345324"/>
                                <a:pt x="630620" y="1450427"/>
                              </a:cubicBezTo>
                              <a:cubicBezTo>
                                <a:pt x="772510" y="1555530"/>
                                <a:pt x="980089" y="1629103"/>
                                <a:pt x="1187669" y="1702676"/>
                              </a:cubicBezTo>
                            </a:path>
                          </a:pathLst>
                        </a:cu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E1D00EE" id="Freeform: Shape 611" o:spid="_x0000_s1026" style="position:absolute;margin-left:210.2pt;margin-top:84.1pt;width:93.5pt;height:135.7pt;z-index:25260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187669,1702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" path="m,c40289,231227,80579,462455,136634,641131v56055,178676,117366,296041,199697,430924c418662,1206938,488730,1345324,630620,1450427v141890,105103,349469,178676,557049,252249e" filled="f" strokecolor="black [3213]" strokeweight="1pt">
                <v:stroke dashstyle="dash"/>
                <v:path arrowok="t" o:connecttype="custom" o:connectlocs="0,0;136634,648956;336331,1085139;630620,1468128;1187669,1723456" o:connectangles="0,0,0,0,0"/>
              </v:shape>
            </w:pict>
          </mc:Fallback>
        </mc:AlternateContent>
      </w:r>
      <w:r>
        <w:rPr>
          <w:noProof/>
          <w:lang w:eastAsia="en-MY"/>
        </w:rPr>
        <mc:AlternateContent>
          <mc:Choice Requires="wps">
            <w:drawing>
              <wp:anchor distT="0" distB="0" distL="114300" distR="114300" simplePos="0" relativeHeight="252605440" behindDoc="0" locked="0" layoutInCell="1" allowOverlap="1" wp14:anchorId="729DD1DE" wp14:editId="2B891E39">
                <wp:simplePos x="0" y="0"/>
                <wp:positionH relativeFrom="margin">
                  <wp:align>center</wp:align>
                </wp:positionH>
                <wp:positionV relativeFrom="paragraph">
                  <wp:posOffset>1036451</wp:posOffset>
                </wp:positionV>
                <wp:extent cx="609600" cy="1681656"/>
                <wp:effectExtent l="0" t="0" r="19050" b="13970"/>
                <wp:wrapNone/>
                <wp:docPr id="612" name="Freeform: Shape 612"/>
                <wp:cNvGraphicFramePr/>
                <a:graphic xmlns:a="http://schemas.openxmlformats.org/drawingml/2006/main">
                  <a:graphicData uri="http://schemas.microsoft.com/office/word/2010/wordprocessingShape">
                    <wps:wsp>
                      <wps:cNvSpPr/>
                      <wps:spPr>
                        <a:xfrm>
                          <a:off x="0" y="0"/>
                          <a:ext cx="609600" cy="1681656"/>
                        </a:xfrm>
                        <a:custGeom>
                          <a:avLst/>
                          <a:gdLst>
                            <a:gd name="connsiteX0" fmla="*/ 0 w 609600"/>
                            <a:gd name="connsiteY0" fmla="*/ 0 h 1681656"/>
                            <a:gd name="connsiteX1" fmla="*/ 178676 w 609600"/>
                            <a:gd name="connsiteY1" fmla="*/ 966952 h 1681656"/>
                            <a:gd name="connsiteX2" fmla="*/ 609600 w 609600"/>
                            <a:gd name="connsiteY2" fmla="*/ 1681656 h 1681656"/>
                          </a:gdLst>
                          <a:ahLst/>
                          <a:cxnLst>
                            <a:cxn ang="0">
                              <a:pos x="connsiteX0" y="connsiteY0"/>
                            </a:cxn>
                            <a:cxn ang="0">
                              <a:pos x="connsiteX1" y="connsiteY1"/>
                            </a:cxn>
                            <a:cxn ang="0">
                              <a:pos x="connsiteX2" y="connsiteY2"/>
                            </a:cxn>
                          </a:cxnLst>
                          <a:rect l="l" t="t" r="r" b="b"/>
                          <a:pathLst>
                            <a:path w="609600" h="1681656">
                              <a:moveTo>
                                <a:pt x="0" y="0"/>
                              </a:moveTo>
                              <a:cubicBezTo>
                                <a:pt x="38538" y="343338"/>
                                <a:pt x="77076" y="686676"/>
                                <a:pt x="178676" y="966952"/>
                              </a:cubicBezTo>
                              <a:cubicBezTo>
                                <a:pt x="280276" y="1247228"/>
                                <a:pt x="536028" y="1569546"/>
                                <a:pt x="609600" y="1681656"/>
                              </a:cubicBezTo>
                            </a:path>
                          </a:pathLst>
                        </a:custGeom>
                        <a:noFill/>
                        <a:ln w="12700" cap="flat" cmpd="sng" algn="ctr">
                          <a:solidFill>
                            <a:schemeClr val="tx1"/>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FF3DC5" id="Freeform: Shape 612" o:spid="_x0000_s1026" style="position:absolute;margin-left:0;margin-top:81.6pt;width:48pt;height:132.4pt;z-index:252605440;visibility:visible;mso-wrap-style:square;mso-wrap-distance-left:9pt;mso-wrap-distance-top:0;mso-wrap-distance-right:9pt;mso-wrap-distance-bottom:0;mso-position-horizontal:center;mso-position-horizontal-relative:margin;mso-position-vertical:absolute;mso-position-vertical-relative:text;v-text-anchor:middle" coordsize="609600,1681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" path="m,c38538,343338,77076,686676,178676,966952v101600,280276,357352,602594,430924,714704e" filled="f" strokecolor="black [3213]" strokeweight="1pt">
                <v:stroke dashstyle="dash"/>
                <v:path arrowok="t" o:connecttype="custom" o:connectlocs="0,0;178676,966952;609600,1681656" o:connectangles="0,0,0"/>
                <w10:wrap anchorx="margin"/>
              </v:shape>
            </w:pict>
          </mc:Fallback>
        </mc:AlternateContent>
      </w:r>
      <w:r>
        <w:rPr>
          <w:noProof/>
          <w:lang w:eastAsia="en-MY"/>
        </w:rPr>
        <mc:AlternateContent>
          <mc:Choice Requires="wps">
            <w:drawing>
              <wp:anchor distT="0" distB="0" distL="114300" distR="114300" simplePos="0" relativeHeight="252604416" behindDoc="0" locked="0" layoutInCell="1" allowOverlap="1" wp14:anchorId="46592BD3" wp14:editId="65F3238E">
                <wp:simplePos x="0" y="0"/>
                <wp:positionH relativeFrom="column">
                  <wp:posOffset>2322786</wp:posOffset>
                </wp:positionH>
                <wp:positionV relativeFrom="paragraph">
                  <wp:posOffset>1057406</wp:posOffset>
                </wp:positionV>
                <wp:extent cx="609600" cy="1681656"/>
                <wp:effectExtent l="0" t="0" r="19050" b="13970"/>
                <wp:wrapNone/>
                <wp:docPr id="613" name="Freeform: Shape 613"/>
                <wp:cNvGraphicFramePr/>
                <a:graphic xmlns:a="http://schemas.openxmlformats.org/drawingml/2006/main">
                  <a:graphicData uri="http://schemas.microsoft.com/office/word/2010/wordprocessingShape">
                    <wps:wsp>
                      <wps:cNvSpPr/>
                      <wps:spPr>
                        <a:xfrm>
                          <a:off x="0" y="0"/>
                          <a:ext cx="609600" cy="1681656"/>
                        </a:xfrm>
                        <a:custGeom>
                          <a:avLst/>
                          <a:gdLst>
                            <a:gd name="connsiteX0" fmla="*/ 0 w 609600"/>
                            <a:gd name="connsiteY0" fmla="*/ 0 h 1681656"/>
                            <a:gd name="connsiteX1" fmla="*/ 178676 w 609600"/>
                            <a:gd name="connsiteY1" fmla="*/ 966952 h 1681656"/>
                            <a:gd name="connsiteX2" fmla="*/ 609600 w 609600"/>
                            <a:gd name="connsiteY2" fmla="*/ 1681656 h 1681656"/>
                          </a:gdLst>
                          <a:ahLst/>
                          <a:cxnLst>
                            <a:cxn ang="0">
                              <a:pos x="connsiteX0" y="connsiteY0"/>
                            </a:cxn>
                            <a:cxn ang="0">
                              <a:pos x="connsiteX1" y="connsiteY1"/>
                            </a:cxn>
                            <a:cxn ang="0">
                              <a:pos x="connsiteX2" y="connsiteY2"/>
                            </a:cxn>
                          </a:cxnLst>
                          <a:rect l="l" t="t" r="r" b="b"/>
                          <a:pathLst>
                            <a:path w="609600" h="1681656">
                              <a:moveTo>
                                <a:pt x="0" y="0"/>
                              </a:moveTo>
                              <a:cubicBezTo>
                                <a:pt x="38538" y="343338"/>
                                <a:pt x="77076" y="686676"/>
                                <a:pt x="178676" y="966952"/>
                              </a:cubicBezTo>
                              <a:cubicBezTo>
                                <a:pt x="280276" y="1247228"/>
                                <a:pt x="536028" y="1569546"/>
                                <a:pt x="609600" y="1681656"/>
                              </a:cubicBezTo>
                            </a:path>
                          </a:pathLst>
                        </a:cu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C15F0C" id="Freeform: Shape 613" o:spid="_x0000_s1026" style="position:absolute;margin-left:182.9pt;margin-top:83.25pt;width:48pt;height:132.4pt;z-index:252604416;visibility:visible;mso-wrap-style:square;mso-wrap-distance-left:9pt;mso-wrap-distance-top:0;mso-wrap-distance-right:9pt;mso-wrap-distance-bottom:0;mso-position-horizontal:absolute;mso-position-horizontal-relative:text;mso-position-vertical:absolute;mso-position-vertical-relative:text;v-text-anchor:middle" coordsize="609600,1681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" path="m,c38538,343338,77076,686676,178676,966952v101600,280276,357352,602594,430924,714704e" filled="f" strokecolor="black [3213]" strokeweight="1pt">
                <v:stroke dashstyle="dash"/>
                <v:path arrowok="t" o:connecttype="custom" o:connectlocs="0,0;178676,966952;609600,1681656" o:connectangles="0,0,0"/>
              </v:shape>
            </w:pict>
          </mc:Fallback>
        </mc:AlternateContent>
      </w:r>
      <w:r w:rsidRPr="000E2377">
        <w:rPr>
          <w:noProof/>
          <w:lang w:eastAsia="en-MY"/>
        </w:rPr>
        <mc:AlternateContent>
          <mc:Choice Requires="wps">
            <w:drawing>
              <wp:anchor distT="0" distB="0" distL="114300" distR="114300" simplePos="0" relativeHeight="252597248" behindDoc="0" locked="0" layoutInCell="1" allowOverlap="1" wp14:anchorId="3BA7D9A0" wp14:editId="31549D34">
                <wp:simplePos x="0" y="0"/>
                <wp:positionH relativeFrom="column">
                  <wp:posOffset>2554014</wp:posOffset>
                </wp:positionH>
                <wp:positionV relativeFrom="paragraph">
                  <wp:posOffset>1808152</wp:posOffset>
                </wp:positionV>
                <wp:extent cx="378131" cy="126080"/>
                <wp:effectExtent l="0" t="0" r="22225" b="26670"/>
                <wp:wrapNone/>
                <wp:docPr id="2291" name="Straight Connector 2291"/>
                <wp:cNvGraphicFramePr/>
                <a:graphic xmlns:a="http://schemas.openxmlformats.org/drawingml/2006/main">
                  <a:graphicData uri="http://schemas.microsoft.com/office/word/2010/wordprocessingShape">
                    <wps:wsp>
                      <wps:cNvCnPr/>
                      <wps:spPr>
                        <a:xfrm>
                          <a:off x="0" y="0"/>
                          <a:ext cx="378131" cy="126080"/>
                        </a:xfrm>
                        <a:prstGeom prst="line">
                          <a:avLst/>
                        </a:prstGeom>
                        <a:noFill/>
                        <a:ln w="9525" cap="flat" cmpd="sng" algn="ctr">
                          <a:solidFill>
                            <a:srgbClr val="C0504D">
                              <a:lumMod val="75000"/>
                            </a:srgb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3B5ECCE0" id="Straight Connector 2291" o:spid="_x0000_s1026" style="position:absolute;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1pt,142.35pt" to="230.85pt,1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" strokecolor="#953735">
                <v:stroke dashstyle="dash"/>
              </v:line>
            </w:pict>
          </mc:Fallback>
        </mc:AlternateContent>
      </w:r>
      <w:r w:rsidRPr="000E2377">
        <w:rPr>
          <w:noProof/>
          <w:lang w:eastAsia="en-MY"/>
        </w:rPr>
        <mc:AlternateContent>
          <mc:Choice Requires="wps">
            <w:drawing>
              <wp:anchor distT="0" distB="0" distL="114300" distR="114300" simplePos="0" relativeHeight="252596224" behindDoc="0" locked="0" layoutInCell="1" allowOverlap="1" wp14:anchorId="161F91B6" wp14:editId="5425A0F9">
                <wp:simplePos x="0" y="0"/>
                <wp:positionH relativeFrom="margin">
                  <wp:posOffset>2690648</wp:posOffset>
                </wp:positionH>
                <wp:positionV relativeFrom="paragraph">
                  <wp:posOffset>1503352</wp:posOffset>
                </wp:positionV>
                <wp:extent cx="945931" cy="577631"/>
                <wp:effectExtent l="0" t="0" r="26035" b="32385"/>
                <wp:wrapNone/>
                <wp:docPr id="2290" name="Straight Connector 2290"/>
                <wp:cNvGraphicFramePr/>
                <a:graphic xmlns:a="http://schemas.openxmlformats.org/drawingml/2006/main">
                  <a:graphicData uri="http://schemas.microsoft.com/office/word/2010/wordprocessingShape">
                    <wps:wsp>
                      <wps:cNvCnPr/>
                      <wps:spPr>
                        <a:xfrm flipV="1">
                          <a:off x="0" y="0"/>
                          <a:ext cx="945931" cy="577631"/>
                        </a:xfrm>
                        <a:prstGeom prst="line">
                          <a:avLst/>
                        </a:prstGeom>
                        <a:noFill/>
                        <a:ln w="9525" cap="flat" cmpd="sng" algn="ctr">
                          <a:solidFill>
                            <a:srgbClr val="1F497D">
                              <a:lumMod val="40000"/>
                              <a:lumOff val="60000"/>
                            </a:srgb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14F1349F" id="Straight Connector 2290" o:spid="_x0000_s1026" style="position:absolute;flip:y;z-index:25259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11.85pt,118.35pt" to="286.35pt,1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" strokecolor="#8eb4e3">
                <v:stroke dashstyle="dash"/>
                <w10:wrap anchorx="margin"/>
              </v:line>
            </w:pict>
          </mc:Fallback>
        </mc:AlternateContent>
      </w:r>
      <w:r w:rsidRPr="000E2377">
        <w:rPr>
          <w:noProof/>
          <w:lang w:eastAsia="en-MY"/>
        </w:rPr>
        <mc:AlternateContent>
          <mc:Choice Requires="wps">
            <w:drawing>
              <wp:anchor distT="0" distB="0" distL="114300" distR="114300" simplePos="0" relativeHeight="252595200" behindDoc="0" locked="0" layoutInCell="1" allowOverlap="1" wp14:anchorId="429D5097" wp14:editId="28298C6B">
                <wp:simplePos x="0" y="0"/>
                <wp:positionH relativeFrom="column">
                  <wp:posOffset>1944414</wp:posOffset>
                </wp:positionH>
                <wp:positionV relativeFrom="paragraph">
                  <wp:posOffset>1650496</wp:posOffset>
                </wp:positionV>
                <wp:extent cx="2144110" cy="850900"/>
                <wp:effectExtent l="0" t="0" r="27940" b="25400"/>
                <wp:wrapNone/>
                <wp:docPr id="2289" name="Straight Connector 2289"/>
                <wp:cNvGraphicFramePr/>
                <a:graphic xmlns:a="http://schemas.openxmlformats.org/drawingml/2006/main">
                  <a:graphicData uri="http://schemas.microsoft.com/office/word/2010/wordprocessingShape">
                    <wps:wsp>
                      <wps:cNvCnPr/>
                      <wps:spPr>
                        <a:xfrm flipV="1">
                          <a:off x="0" y="0"/>
                          <a:ext cx="2144110" cy="850900"/>
                        </a:xfrm>
                        <a:prstGeom prst="line">
                          <a:avLst/>
                        </a:prstGeom>
                        <a:noFill/>
                        <a:ln w="9525" cap="flat" cmpd="sng" algn="ctr">
                          <a:solidFill>
                            <a:srgbClr val="F79646">
                              <a:shade val="95000"/>
                              <a:satMod val="105000"/>
                            </a:srgb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7D17D529" id="Straight Connector 2289" o:spid="_x0000_s1026" style="position:absolute;flip:y;z-index:2525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1pt,129.95pt" to="321.95pt,19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" strokecolor="#f69240">
                <v:stroke dashstyle="dash"/>
              </v:line>
            </w:pict>
          </mc:Fallback>
        </mc:AlternateContent>
      </w:r>
      <w:r w:rsidRPr="003E36CD">
        <w:rPr>
          <w:noProof/>
          <w:lang w:eastAsia="en-MY"/>
        </w:rPr>
        <w:drawing>
          <wp:inline distT="0" distB="0" distL="0" distR="0" wp14:anchorId="5CFCBD5C" wp14:editId="66F9601D">
            <wp:extent cx="3250745" cy="3240000"/>
            <wp:effectExtent l="0" t="0" r="6985"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250745" cy="3240000"/>
                    </a:xfrm>
                    <a:prstGeom prst="rect">
                      <a:avLst/>
                    </a:prstGeom>
                    <a:noFill/>
                    <a:ln>
                      <a:noFill/>
                    </a:ln>
                  </pic:spPr>
                </pic:pic>
              </a:graphicData>
            </a:graphic>
          </wp:inline>
        </w:drawing>
      </w:r>
    </w:p>
    <w:p w14:paraId="04C854B0" w14:textId="057F2244" w:rsidR="00666029" w:rsidRPr="000E2377" w:rsidRDefault="0082632E" w:rsidP="00666029">
      <w:pPr>
        <w:jc w:val="center"/>
      </w:pPr>
      <w:bookmarkStart w:id="957" w:name="_Toc521420516"/>
      <w:bookmarkStart w:id="958" w:name="_Toc525528399"/>
      <w:bookmarkStart w:id="959" w:name="_Toc525706414"/>
      <w:r>
        <w:t>Figure 5.15:</w:t>
      </w:r>
      <w:r w:rsidR="00666029" w:rsidRPr="000E2377">
        <w:t xml:space="preserve"> Correlation between E/</w:t>
      </w:r>
      <w:proofErr w:type="spellStart"/>
      <w:r w:rsidR="00666029" w:rsidRPr="000E2377">
        <w:t>H</w:t>
      </w:r>
      <w:r w:rsidR="00666029" w:rsidRPr="000E2377">
        <w:rPr>
          <w:vertAlign w:val="subscript"/>
        </w:rPr>
        <w:t>v</w:t>
      </w:r>
      <w:proofErr w:type="spellEnd"/>
      <w:r w:rsidR="00666029" w:rsidRPr="000E2377">
        <w:rPr>
          <w:vertAlign w:val="subscript"/>
        </w:rPr>
        <w:t xml:space="preserve"> </w:t>
      </w:r>
      <w:r w:rsidR="00666029" w:rsidRPr="000E2377">
        <w:t>and Poisson’s ratio of glass produced and literature glass</w:t>
      </w:r>
      <w:r w:rsidR="00666029">
        <w:t xml:space="preserve">. </w:t>
      </w:r>
      <w:r w:rsidR="00666029" w:rsidRPr="00DD5A3C">
        <w:rPr>
          <w:lang w:val="en-GB"/>
        </w:rPr>
        <w:t>Three regions of map: compressive stress (-), tensile (+) and zero stress (0)</w:t>
      </w:r>
      <w:r w:rsidR="00666029" w:rsidRPr="00DD5A3C">
        <w:t>.</w:t>
      </w:r>
      <w:bookmarkEnd w:id="957"/>
      <w:bookmarkEnd w:id="958"/>
      <w:bookmarkEnd w:id="959"/>
    </w:p>
    <w:p w14:paraId="05A69159" w14:textId="7030A083" w:rsidR="003B21E5" w:rsidRPr="003B21E5" w:rsidRDefault="00666029" w:rsidP="003B21E5">
      <w:pPr>
        <w:spacing w:line="360" w:lineRule="auto"/>
        <w:jc w:val="both"/>
        <w:rPr>
          <w:b w:val="0"/>
          <w:lang w:val="en-GB"/>
        </w:rPr>
      </w:pPr>
      <w:r w:rsidRPr="000E2377">
        <w:rPr>
          <w:b w:val="0"/>
          <w:lang w:val="en-GB"/>
        </w:rPr>
        <w:t>Figure 5.15 shows the crack resistance of various types of glass as Rouxel (2015) investigated in terms of E/</w:t>
      </w:r>
      <w:proofErr w:type="spellStart"/>
      <w:r w:rsidRPr="000E2377">
        <w:rPr>
          <w:b w:val="0"/>
          <w:lang w:val="en-GB"/>
        </w:rPr>
        <w:t>Hv</w:t>
      </w:r>
      <w:proofErr w:type="spellEnd"/>
      <w:r w:rsidRPr="000E2377">
        <w:rPr>
          <w:b w:val="0"/>
          <w:lang w:val="en-GB"/>
        </w:rPr>
        <w:t xml:space="preserve"> and Poisson’s ratio </w:t>
      </w:r>
      <w:r>
        <w:rPr>
          <w:b w:val="0"/>
          <w:lang w:val="en-GB"/>
        </w:rPr>
        <w:t>in a</w:t>
      </w:r>
      <w:r w:rsidR="008C4D01">
        <w:rPr>
          <w:b w:val="0"/>
          <w:lang w:val="en-GB"/>
        </w:rPr>
        <w:t>n</w:t>
      </w:r>
      <w:r w:rsidRPr="000E2377">
        <w:rPr>
          <w:b w:val="0"/>
          <w:lang w:val="en-GB"/>
        </w:rPr>
        <w:t xml:space="preserve"> ‘indentation cracking driving force map’. The map is divided into three region</w:t>
      </w:r>
      <w:r>
        <w:rPr>
          <w:b w:val="0"/>
          <w:lang w:val="en-GB"/>
        </w:rPr>
        <w:t>s:</w:t>
      </w:r>
      <w:r w:rsidRPr="000E2377">
        <w:rPr>
          <w:b w:val="0"/>
          <w:lang w:val="en-GB"/>
        </w:rPr>
        <w:t xml:space="preserve"> compressive stress</w:t>
      </w:r>
      <w:r>
        <w:rPr>
          <w:b w:val="0"/>
          <w:lang w:val="en-GB"/>
        </w:rPr>
        <w:t xml:space="preserve"> (-)</w:t>
      </w:r>
      <w:r w:rsidRPr="000E2377">
        <w:rPr>
          <w:b w:val="0"/>
          <w:lang w:val="en-GB"/>
        </w:rPr>
        <w:t xml:space="preserve">, tensile </w:t>
      </w:r>
      <w:r>
        <w:rPr>
          <w:b w:val="0"/>
          <w:lang w:val="en-GB"/>
        </w:rPr>
        <w:t xml:space="preserve">(+) </w:t>
      </w:r>
      <w:r w:rsidRPr="000E2377">
        <w:rPr>
          <w:b w:val="0"/>
          <w:lang w:val="en-GB"/>
        </w:rPr>
        <w:t>and zero stress</w:t>
      </w:r>
      <w:r>
        <w:rPr>
          <w:b w:val="0"/>
          <w:lang w:val="en-GB"/>
        </w:rPr>
        <w:t xml:space="preserve"> (0)</w:t>
      </w:r>
      <w:r w:rsidRPr="000E2377">
        <w:rPr>
          <w:b w:val="0"/>
          <w:lang w:val="en-GB"/>
        </w:rPr>
        <w:t xml:space="preserve"> which used to see the different stress zone due to contact loading. </w:t>
      </w:r>
      <w:r>
        <w:rPr>
          <w:b w:val="0"/>
          <w:lang w:val="en-GB"/>
        </w:rPr>
        <w:t>For this study</w:t>
      </w:r>
      <w:r w:rsidR="003B21E5">
        <w:rPr>
          <w:b w:val="0"/>
          <w:lang w:val="en-GB"/>
        </w:rPr>
        <w:t>,</w:t>
      </w:r>
      <w:r>
        <w:rPr>
          <w:b w:val="0"/>
          <w:lang w:val="en-GB"/>
        </w:rPr>
        <w:t xml:space="preserve"> g</w:t>
      </w:r>
      <w:r w:rsidRPr="000E2377">
        <w:rPr>
          <w:b w:val="0"/>
          <w:lang w:val="en-GB"/>
        </w:rPr>
        <w:t xml:space="preserve">lasses </w:t>
      </w:r>
      <w:r>
        <w:rPr>
          <w:b w:val="0"/>
          <w:lang w:val="en-GB"/>
        </w:rPr>
        <w:t>in the</w:t>
      </w:r>
      <w:r w:rsidRPr="000E2377">
        <w:rPr>
          <w:b w:val="0"/>
          <w:lang w:val="en-GB"/>
        </w:rPr>
        <w:t xml:space="preserve"> series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x</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 xml:space="preserve">80.7-x </w:t>
      </w:r>
      <w:r>
        <w:rPr>
          <w:b w:val="0"/>
          <w:lang w:val="en-GB"/>
        </w:rPr>
        <w:t>fall into the</w:t>
      </w:r>
      <w:r w:rsidRPr="000E2377">
        <w:rPr>
          <w:b w:val="0"/>
          <w:lang w:val="en-GB"/>
        </w:rPr>
        <w:t xml:space="preserve"> compressive stress</w:t>
      </w:r>
      <w:r>
        <w:rPr>
          <w:b w:val="0"/>
          <w:lang w:val="en-GB"/>
        </w:rPr>
        <w:t xml:space="preserve"> region</w:t>
      </w:r>
      <w:r w:rsidR="003B21E5">
        <w:rPr>
          <w:b w:val="0"/>
          <w:lang w:val="en-GB"/>
        </w:rPr>
        <w:t xml:space="preserve">, </w:t>
      </w:r>
      <w:r w:rsidR="003B21E5" w:rsidRPr="000E2377">
        <w:rPr>
          <w:b w:val="0"/>
          <w:lang w:val="en-GB"/>
        </w:rPr>
        <w:t xml:space="preserve">hence </w:t>
      </w:r>
      <w:r w:rsidR="003B21E5">
        <w:rPr>
          <w:b w:val="0"/>
          <w:lang w:val="en-GB"/>
        </w:rPr>
        <w:t xml:space="preserve">the rate of crack </w:t>
      </w:r>
      <w:r w:rsidR="003B21E5" w:rsidRPr="000E2377">
        <w:rPr>
          <w:b w:val="0"/>
          <w:lang w:val="en-GB"/>
        </w:rPr>
        <w:t>propagation</w:t>
      </w:r>
      <w:r w:rsidR="003B21E5">
        <w:rPr>
          <w:b w:val="0"/>
          <w:lang w:val="en-GB"/>
        </w:rPr>
        <w:t xml:space="preserve"> will be reduced</w:t>
      </w:r>
      <w:r w:rsidR="003B21E5" w:rsidRPr="000E2377">
        <w:rPr>
          <w:b w:val="0"/>
          <w:lang w:val="en-GB"/>
        </w:rPr>
        <w:t xml:space="preserve">. </w:t>
      </w:r>
      <w:r w:rsidR="003B21E5">
        <w:rPr>
          <w:b w:val="0"/>
          <w:lang w:val="en-GB"/>
        </w:rPr>
        <w:t>M</w:t>
      </w:r>
      <w:r w:rsidRPr="000E2377">
        <w:rPr>
          <w:b w:val="0"/>
          <w:lang w:val="en-GB"/>
        </w:rPr>
        <w:t>eanwhile</w:t>
      </w:r>
      <w:r w:rsidR="008C4D01">
        <w:rPr>
          <w:b w:val="0"/>
          <w:lang w:val="en-GB"/>
        </w:rPr>
        <w:t>,</w:t>
      </w:r>
      <w:r w:rsidRPr="000E2377">
        <w:rPr>
          <w:b w:val="0"/>
          <w:lang w:val="en-GB"/>
        </w:rPr>
        <w:t xml:space="preserve"> </w:t>
      </w:r>
      <w:r>
        <w:rPr>
          <w:b w:val="0"/>
          <w:lang w:val="en-GB"/>
        </w:rPr>
        <w:t>most of the glasses from the other</w:t>
      </w:r>
      <w:r w:rsidRPr="000E2377">
        <w:rPr>
          <w:b w:val="0"/>
          <w:lang w:val="en-GB"/>
        </w:rPr>
        <w:t xml:space="preserve"> series</w:t>
      </w:r>
      <w:r>
        <w:rPr>
          <w:b w:val="0"/>
          <w:lang w:val="en-GB"/>
        </w:rPr>
        <w:t xml:space="preserve"> fall</w:t>
      </w:r>
      <w:r w:rsidRPr="000E2377">
        <w:rPr>
          <w:b w:val="0"/>
          <w:lang w:val="en-GB"/>
        </w:rPr>
        <w:t xml:space="preserve"> </w:t>
      </w:r>
      <w:r>
        <w:rPr>
          <w:b w:val="0"/>
          <w:lang w:val="en-GB"/>
        </w:rPr>
        <w:t>into the tensile stress region</w:t>
      </w:r>
      <w:r w:rsidR="003B21E5">
        <w:rPr>
          <w:b w:val="0"/>
          <w:lang w:val="en-GB"/>
        </w:rPr>
        <w:t xml:space="preserve"> and zero stress</w:t>
      </w:r>
      <w:r w:rsidRPr="000E2377">
        <w:rPr>
          <w:b w:val="0"/>
          <w:lang w:val="en-GB"/>
        </w:rPr>
        <w:t>. This indicate</w:t>
      </w:r>
      <w:r w:rsidR="008C4D01">
        <w:rPr>
          <w:b w:val="0"/>
          <w:lang w:val="en-GB"/>
        </w:rPr>
        <w:t>s</w:t>
      </w:r>
      <w:r w:rsidRPr="000E2377">
        <w:rPr>
          <w:b w:val="0"/>
          <w:lang w:val="en-GB"/>
        </w:rPr>
        <w:t xml:space="preserve"> that the boroaluminosilicate glass produce ha</w:t>
      </w:r>
      <w:r w:rsidR="003B21E5">
        <w:rPr>
          <w:b w:val="0"/>
          <w:lang w:val="en-GB"/>
        </w:rPr>
        <w:t>s</w:t>
      </w:r>
      <w:r w:rsidRPr="000E2377">
        <w:rPr>
          <w:b w:val="0"/>
          <w:lang w:val="en-GB"/>
        </w:rPr>
        <w:t xml:space="preserve"> </w:t>
      </w:r>
      <w:r>
        <w:rPr>
          <w:b w:val="0"/>
          <w:lang w:val="en-GB"/>
        </w:rPr>
        <w:t>f</w:t>
      </w:r>
      <w:r w:rsidR="003B21E5">
        <w:rPr>
          <w:b w:val="0"/>
          <w:lang w:val="en-GB"/>
        </w:rPr>
        <w:t>a</w:t>
      </w:r>
      <w:r>
        <w:rPr>
          <w:b w:val="0"/>
          <w:lang w:val="en-GB"/>
        </w:rPr>
        <w:t>ll</w:t>
      </w:r>
      <w:r w:rsidR="003B21E5">
        <w:rPr>
          <w:b w:val="0"/>
          <w:lang w:val="en-GB"/>
        </w:rPr>
        <w:t>en</w:t>
      </w:r>
      <w:r>
        <w:rPr>
          <w:b w:val="0"/>
          <w:lang w:val="en-GB"/>
        </w:rPr>
        <w:t xml:space="preserve"> into all three regions</w:t>
      </w:r>
      <w:r w:rsidRPr="000E2377">
        <w:rPr>
          <w:b w:val="0"/>
          <w:lang w:val="en-GB"/>
        </w:rPr>
        <w:t xml:space="preserve">. </w:t>
      </w:r>
      <w:bookmarkStart w:id="960" w:name="_Toc523402946"/>
      <w:bookmarkStart w:id="961" w:name="_Toc525526457"/>
      <w:bookmarkStart w:id="962" w:name="_Toc525707882"/>
      <w:bookmarkStart w:id="963" w:name="_Toc525742547"/>
    </w:p>
    <w:p w14:paraId="409D4011" w14:textId="364A98B0" w:rsidR="00666029" w:rsidRDefault="00666029" w:rsidP="003B21E5">
      <w:pPr>
        <w:spacing w:line="360" w:lineRule="auto"/>
        <w:jc w:val="both"/>
        <w:rPr>
          <w:lang w:val="en-GB"/>
        </w:rPr>
      </w:pPr>
      <w:r w:rsidRPr="000E2377">
        <w:rPr>
          <w:lang w:val="en-GB"/>
        </w:rPr>
        <w:lastRenderedPageBreak/>
        <w:t>5.</w:t>
      </w:r>
      <w:r w:rsidR="005D09FD">
        <w:rPr>
          <w:lang w:val="en-GB"/>
        </w:rPr>
        <w:t>9</w:t>
      </w:r>
      <w:r w:rsidRPr="000E2377">
        <w:rPr>
          <w:lang w:val="en-GB"/>
        </w:rPr>
        <w:t xml:space="preserve"> Summary</w:t>
      </w:r>
      <w:bookmarkEnd w:id="960"/>
      <w:bookmarkEnd w:id="961"/>
      <w:bookmarkEnd w:id="962"/>
      <w:bookmarkEnd w:id="963"/>
    </w:p>
    <w:p w14:paraId="6BAF90A8" w14:textId="764B13C0" w:rsidR="00666029" w:rsidRPr="004712FB" w:rsidRDefault="00666029" w:rsidP="00EB3B50">
      <w:pPr>
        <w:spacing w:line="360" w:lineRule="auto"/>
        <w:jc w:val="both"/>
        <w:rPr>
          <w:b w:val="0"/>
          <w:lang w:val="en-GB"/>
        </w:rPr>
      </w:pPr>
      <w:r w:rsidRPr="004712FB">
        <w:rPr>
          <w:b w:val="0"/>
          <w:lang w:val="en-GB"/>
        </w:rPr>
        <w:t xml:space="preserve">In this chapter, </w:t>
      </w:r>
      <w:r w:rsidR="002337E8">
        <w:rPr>
          <w:b w:val="0"/>
          <w:lang w:val="en-GB"/>
        </w:rPr>
        <w:t xml:space="preserve">the </w:t>
      </w:r>
      <w:r w:rsidRPr="004712FB">
        <w:rPr>
          <w:b w:val="0"/>
          <w:lang w:val="en-GB"/>
        </w:rPr>
        <w:t xml:space="preserve">overall </w:t>
      </w:r>
      <w:r w:rsidR="001A28EB">
        <w:rPr>
          <w:b w:val="0"/>
          <w:lang w:val="en-GB"/>
        </w:rPr>
        <w:t xml:space="preserve">property-composition </w:t>
      </w:r>
      <w:r w:rsidRPr="004712FB">
        <w:rPr>
          <w:b w:val="0"/>
          <w:lang w:val="en-GB"/>
        </w:rPr>
        <w:t>relationship</w:t>
      </w:r>
      <w:r w:rsidR="001A28EB">
        <w:rPr>
          <w:b w:val="0"/>
          <w:lang w:val="en-GB"/>
        </w:rPr>
        <w:t>s</w:t>
      </w:r>
      <w:r w:rsidR="002337E8">
        <w:rPr>
          <w:b w:val="0"/>
          <w:lang w:val="en-GB"/>
        </w:rPr>
        <w:t xml:space="preserve"> </w:t>
      </w:r>
      <w:r w:rsidR="001A28EB" w:rsidRPr="004712FB">
        <w:rPr>
          <w:b w:val="0"/>
          <w:lang w:val="en-GB"/>
        </w:rPr>
        <w:t>w</w:t>
      </w:r>
      <w:r w:rsidR="001A28EB">
        <w:rPr>
          <w:b w:val="0"/>
          <w:lang w:val="en-GB"/>
        </w:rPr>
        <w:t>ere</w:t>
      </w:r>
      <w:r w:rsidR="001A28EB" w:rsidRPr="004712FB">
        <w:rPr>
          <w:b w:val="0"/>
          <w:lang w:val="en-GB"/>
        </w:rPr>
        <w:t xml:space="preserve"> </w:t>
      </w:r>
      <w:r w:rsidR="001A28EB">
        <w:rPr>
          <w:b w:val="0"/>
          <w:lang w:val="en-GB"/>
        </w:rPr>
        <w:t>examined and the following conclusions reached</w:t>
      </w:r>
      <w:r>
        <w:rPr>
          <w:b w:val="0"/>
          <w:lang w:val="en-GB"/>
        </w:rPr>
        <w:t>:</w:t>
      </w:r>
    </w:p>
    <w:p w14:paraId="5271CEA9" w14:textId="131B3EA2" w:rsidR="005A5786" w:rsidRDefault="00625842" w:rsidP="00620FB4">
      <w:pPr>
        <w:pStyle w:val="ListParagraph"/>
        <w:numPr>
          <w:ilvl w:val="0"/>
          <w:numId w:val="16"/>
        </w:numPr>
        <w:spacing w:line="360" w:lineRule="auto"/>
        <w:jc w:val="both"/>
        <w:rPr>
          <w:b w:val="0"/>
        </w:rPr>
      </w:pPr>
      <w:r>
        <w:rPr>
          <w:b w:val="0"/>
        </w:rPr>
        <w:t>The literature reports that</w:t>
      </w:r>
      <w:r w:rsidR="00A86FC8">
        <w:rPr>
          <w:b w:val="0"/>
        </w:rPr>
        <w:t xml:space="preserve"> the</w:t>
      </w:r>
      <w:r w:rsidR="001A28EB">
        <w:rPr>
          <w:b w:val="0"/>
        </w:rPr>
        <w:t xml:space="preserve">re is a </w:t>
      </w:r>
      <w:r w:rsidR="00440F46" w:rsidRPr="00440F46">
        <w:rPr>
          <w:b w:val="0"/>
        </w:rPr>
        <w:t xml:space="preserve">strong nonlinear </w:t>
      </w:r>
      <w:r w:rsidR="001A28EB">
        <w:rPr>
          <w:b w:val="0"/>
        </w:rPr>
        <w:t>dependence of</w:t>
      </w:r>
      <w:r w:rsidR="00E34D1D">
        <w:rPr>
          <w:b w:val="0"/>
        </w:rPr>
        <w:t xml:space="preserve"> the macroscopic properties</w:t>
      </w:r>
      <w:r w:rsidR="001A28EB">
        <w:rPr>
          <w:b w:val="0"/>
        </w:rPr>
        <w:t xml:space="preserve"> on composition if mixed alkalis are present</w:t>
      </w:r>
      <w:r w:rsidR="00E34D1D">
        <w:rPr>
          <w:b w:val="0"/>
        </w:rPr>
        <w:t>.</w:t>
      </w:r>
      <w:r>
        <w:rPr>
          <w:b w:val="0"/>
        </w:rPr>
        <w:t xml:space="preserve"> In this work, we also </w:t>
      </w:r>
      <w:r w:rsidR="001A28EB">
        <w:rPr>
          <w:b w:val="0"/>
        </w:rPr>
        <w:t xml:space="preserve">found </w:t>
      </w:r>
      <w:r>
        <w:rPr>
          <w:b w:val="0"/>
        </w:rPr>
        <w:t>that t</w:t>
      </w:r>
      <w:r w:rsidR="00666029">
        <w:rPr>
          <w:b w:val="0"/>
        </w:rPr>
        <w:t>he relationships between composition and properties are</w:t>
      </w:r>
      <w:r w:rsidR="00666029" w:rsidRPr="000E2377">
        <w:rPr>
          <w:b w:val="0"/>
        </w:rPr>
        <w:t xml:space="preserve"> non-linear </w:t>
      </w:r>
      <w:r w:rsidR="00666029">
        <w:rPr>
          <w:b w:val="0"/>
        </w:rPr>
        <w:t>due to</w:t>
      </w:r>
      <w:r w:rsidR="00666029" w:rsidRPr="000E2377">
        <w:rPr>
          <w:b w:val="0"/>
        </w:rPr>
        <w:t xml:space="preserve"> the mixed network effect. </w:t>
      </w:r>
    </w:p>
    <w:p w14:paraId="403BB9F2" w14:textId="77777777" w:rsidR="00620FB4" w:rsidRPr="00620FB4" w:rsidRDefault="00620FB4" w:rsidP="00620FB4">
      <w:pPr>
        <w:pStyle w:val="ListParagraph"/>
        <w:spacing w:line="360" w:lineRule="auto"/>
        <w:ind w:left="360"/>
        <w:jc w:val="both"/>
        <w:rPr>
          <w:b w:val="0"/>
        </w:rPr>
      </w:pPr>
    </w:p>
    <w:p w14:paraId="03A82FC4" w14:textId="369FEC39" w:rsidR="00666029" w:rsidRPr="000E2377" w:rsidRDefault="000B6770" w:rsidP="00666029">
      <w:pPr>
        <w:pStyle w:val="ListParagraph"/>
        <w:numPr>
          <w:ilvl w:val="0"/>
          <w:numId w:val="16"/>
        </w:numPr>
        <w:spacing w:line="360" w:lineRule="auto"/>
        <w:jc w:val="both"/>
        <w:rPr>
          <w:b w:val="0"/>
          <w:lang w:val="en-GB"/>
        </w:rPr>
      </w:pPr>
      <w:r w:rsidRPr="00881F81">
        <w:rPr>
          <w:b w:val="0"/>
          <w:lang w:val="en-GB"/>
        </w:rPr>
        <w:t>The</w:t>
      </w:r>
      <w:r>
        <w:rPr>
          <w:b w:val="0"/>
          <w:lang w:val="en-GB"/>
        </w:rPr>
        <w:t xml:space="preserve"> number of works that </w:t>
      </w:r>
      <w:r w:rsidR="001A28EB">
        <w:rPr>
          <w:b w:val="0"/>
          <w:lang w:val="en-GB"/>
        </w:rPr>
        <w:t xml:space="preserve">have examined both </w:t>
      </w:r>
      <w:r>
        <w:rPr>
          <w:b w:val="0"/>
          <w:lang w:val="en-GB"/>
        </w:rPr>
        <w:t xml:space="preserve">polymerisation index and network charge balance are very limited. </w:t>
      </w:r>
      <w:r w:rsidR="00881F81">
        <w:rPr>
          <w:b w:val="0"/>
          <w:lang w:val="en-GB"/>
        </w:rPr>
        <w:t>However, we</w:t>
      </w:r>
      <w:r w:rsidR="00666029" w:rsidRPr="000E2377">
        <w:rPr>
          <w:b w:val="0"/>
          <w:lang w:val="en-GB"/>
        </w:rPr>
        <w:t xml:space="preserve"> </w:t>
      </w:r>
      <w:r w:rsidR="001A28EB">
        <w:rPr>
          <w:b w:val="0"/>
          <w:lang w:val="en-GB"/>
        </w:rPr>
        <w:t>found</w:t>
      </w:r>
      <w:r w:rsidR="001A28EB" w:rsidRPr="000E2377">
        <w:rPr>
          <w:b w:val="0"/>
          <w:lang w:val="en-GB"/>
        </w:rPr>
        <w:t xml:space="preserve"> </w:t>
      </w:r>
      <w:r w:rsidR="00666029" w:rsidRPr="000E2377">
        <w:rPr>
          <w:b w:val="0"/>
          <w:lang w:val="en-GB"/>
        </w:rPr>
        <w:t xml:space="preserve">that there is some connection between </w:t>
      </w:r>
      <w:r w:rsidR="008C4D01">
        <w:rPr>
          <w:b w:val="0"/>
          <w:lang w:val="en-GB"/>
        </w:rPr>
        <w:t xml:space="preserve">the </w:t>
      </w:r>
      <w:r w:rsidR="00666029" w:rsidRPr="000E2377">
        <w:rPr>
          <w:b w:val="0"/>
          <w:lang w:val="en-GB"/>
        </w:rPr>
        <w:t xml:space="preserve">degree of polymerisation index </w:t>
      </w:r>
      <w:r w:rsidR="001A28EB">
        <w:rPr>
          <w:b w:val="0"/>
          <w:lang w:val="en-GB"/>
        </w:rPr>
        <w:t>and</w:t>
      </w:r>
      <w:r w:rsidR="001A28EB" w:rsidRPr="000E2377">
        <w:rPr>
          <w:b w:val="0"/>
          <w:lang w:val="en-GB"/>
        </w:rPr>
        <w:t xml:space="preserve"> </w:t>
      </w:r>
      <w:r w:rsidR="00666029" w:rsidRPr="000E2377">
        <w:rPr>
          <w:b w:val="0"/>
          <w:lang w:val="en-GB"/>
        </w:rPr>
        <w:t xml:space="preserve">the network charge balance. </w:t>
      </w:r>
      <w:r w:rsidR="002337E8">
        <w:rPr>
          <w:b w:val="0"/>
          <w:lang w:val="en-GB"/>
        </w:rPr>
        <w:t>The polymerisation index decrease</w:t>
      </w:r>
      <w:r w:rsidR="001A28EB">
        <w:rPr>
          <w:b w:val="0"/>
          <w:lang w:val="en-GB"/>
        </w:rPr>
        <w:t>s</w:t>
      </w:r>
      <w:r w:rsidR="002337E8">
        <w:rPr>
          <w:b w:val="0"/>
          <w:lang w:val="en-GB"/>
        </w:rPr>
        <w:t xml:space="preserve"> </w:t>
      </w:r>
      <w:r w:rsidR="001A28EB">
        <w:rPr>
          <w:b w:val="0"/>
          <w:lang w:val="en-GB"/>
        </w:rPr>
        <w:t>as the</w:t>
      </w:r>
      <w:r w:rsidR="00666029">
        <w:rPr>
          <w:b w:val="0"/>
          <w:lang w:val="en-GB"/>
        </w:rPr>
        <w:t xml:space="preserve"> network charge balance </w:t>
      </w:r>
      <w:r w:rsidR="001A28EB">
        <w:rPr>
          <w:b w:val="0"/>
          <w:lang w:val="en-GB"/>
        </w:rPr>
        <w:t xml:space="preserve">becomes more </w:t>
      </w:r>
      <w:r w:rsidR="00311853">
        <w:rPr>
          <w:b w:val="0"/>
          <w:lang w:val="en-GB"/>
        </w:rPr>
        <w:t>positive</w:t>
      </w:r>
      <w:r w:rsidR="00666029">
        <w:rPr>
          <w:b w:val="0"/>
          <w:lang w:val="en-GB"/>
        </w:rPr>
        <w:t>.</w:t>
      </w:r>
    </w:p>
    <w:p w14:paraId="577869FC" w14:textId="77777777" w:rsidR="00666029" w:rsidRPr="000E2377" w:rsidRDefault="00666029" w:rsidP="00666029">
      <w:pPr>
        <w:pStyle w:val="ListParagraph"/>
        <w:spacing w:line="360" w:lineRule="auto"/>
        <w:jc w:val="both"/>
        <w:rPr>
          <w:b w:val="0"/>
        </w:rPr>
      </w:pPr>
    </w:p>
    <w:p w14:paraId="57E7910B" w14:textId="3C890CE8" w:rsidR="00620FB4" w:rsidRPr="00620FB4" w:rsidRDefault="00311853" w:rsidP="00620FB4">
      <w:pPr>
        <w:pStyle w:val="ListParagraph"/>
        <w:numPr>
          <w:ilvl w:val="0"/>
          <w:numId w:val="16"/>
        </w:numPr>
        <w:spacing w:after="0" w:line="360" w:lineRule="auto"/>
        <w:jc w:val="both"/>
        <w:rPr>
          <w:lang w:val="en-GB"/>
        </w:rPr>
      </w:pPr>
      <w:r>
        <w:rPr>
          <w:b w:val="0"/>
        </w:rPr>
        <w:t>Previous s</w:t>
      </w:r>
      <w:r w:rsidR="00881F81">
        <w:rPr>
          <w:b w:val="0"/>
        </w:rPr>
        <w:t xml:space="preserve">tudies of </w:t>
      </w:r>
      <w:r w:rsidR="008C4D01">
        <w:rPr>
          <w:b w:val="0"/>
        </w:rPr>
        <w:t xml:space="preserve">the </w:t>
      </w:r>
      <w:r w:rsidR="00881F81">
        <w:rPr>
          <w:b w:val="0"/>
        </w:rPr>
        <w:t xml:space="preserve">correlation between polymerisation index with indentation fracture toughness are </w:t>
      </w:r>
      <w:r>
        <w:rPr>
          <w:b w:val="0"/>
        </w:rPr>
        <w:t xml:space="preserve">also </w:t>
      </w:r>
      <w:r w:rsidR="00881F81">
        <w:rPr>
          <w:b w:val="0"/>
        </w:rPr>
        <w:t>very limited</w:t>
      </w:r>
      <w:r w:rsidR="00EB3B50">
        <w:rPr>
          <w:b w:val="0"/>
        </w:rPr>
        <w:t>.</w:t>
      </w:r>
      <w:r w:rsidR="00881F81">
        <w:rPr>
          <w:b w:val="0"/>
        </w:rPr>
        <w:t xml:space="preserve"> </w:t>
      </w:r>
      <w:r w:rsidR="00EB3B50">
        <w:rPr>
          <w:b w:val="0"/>
        </w:rPr>
        <w:t>W</w:t>
      </w:r>
      <w:r w:rsidR="00881F81">
        <w:rPr>
          <w:b w:val="0"/>
        </w:rPr>
        <w:t xml:space="preserve">e </w:t>
      </w:r>
      <w:r>
        <w:rPr>
          <w:b w:val="0"/>
        </w:rPr>
        <w:t xml:space="preserve">have found </w:t>
      </w:r>
      <w:r w:rsidR="00881F81">
        <w:rPr>
          <w:b w:val="0"/>
        </w:rPr>
        <w:t>that i</w:t>
      </w:r>
      <w:r w:rsidR="00666029" w:rsidRPr="00385341">
        <w:rPr>
          <w:b w:val="0"/>
        </w:rPr>
        <w:t>ndentation fracture toughness increased with increasing polymerisation index</w:t>
      </w:r>
      <w:r w:rsidR="00666029">
        <w:rPr>
          <w:b w:val="0"/>
        </w:rPr>
        <w:t xml:space="preserve"> </w:t>
      </w:r>
      <w:r w:rsidR="002337E8">
        <w:rPr>
          <w:b w:val="0"/>
        </w:rPr>
        <w:t>suggesting</w:t>
      </w:r>
      <w:r w:rsidR="00666029">
        <w:rPr>
          <w:b w:val="0"/>
        </w:rPr>
        <w:t xml:space="preserve"> that higher connectivity gave greater resistance to crack growth in boroaluminosilicate glasses mostly for glass series </w:t>
      </w:r>
      <w:r w:rsidR="00666029" w:rsidRPr="0094499D">
        <w:rPr>
          <w:rFonts w:eastAsia="Times New Roman" w:cs="Times New Roman"/>
          <w:b w:val="0"/>
          <w:color w:val="000000"/>
          <w:szCs w:val="24"/>
          <w:lang w:eastAsia="en-MY"/>
        </w:rPr>
        <w:t>N</w:t>
      </w:r>
      <w:r w:rsidR="00666029" w:rsidRPr="0094499D">
        <w:rPr>
          <w:rFonts w:eastAsia="Times New Roman" w:cs="Times New Roman"/>
          <w:b w:val="0"/>
          <w:color w:val="000000"/>
          <w:szCs w:val="24"/>
          <w:vertAlign w:val="subscript"/>
          <w:lang w:eastAsia="en-MY"/>
        </w:rPr>
        <w:t>7.6</w:t>
      </w:r>
      <w:r w:rsidR="00666029" w:rsidRPr="0094499D">
        <w:rPr>
          <w:rFonts w:eastAsia="Times New Roman" w:cs="Times New Roman"/>
          <w:b w:val="0"/>
          <w:color w:val="000000"/>
          <w:szCs w:val="24"/>
          <w:lang w:eastAsia="en-MY"/>
        </w:rPr>
        <w:t>M</w:t>
      </w:r>
      <w:r w:rsidR="00666029" w:rsidRPr="0094499D">
        <w:rPr>
          <w:rFonts w:eastAsia="Times New Roman" w:cs="Times New Roman"/>
          <w:b w:val="0"/>
          <w:color w:val="000000"/>
          <w:szCs w:val="24"/>
          <w:vertAlign w:val="subscript"/>
          <w:lang w:eastAsia="en-MY"/>
        </w:rPr>
        <w:t>1.1</w:t>
      </w:r>
      <w:r w:rsidR="00666029" w:rsidRPr="0094499D">
        <w:rPr>
          <w:rFonts w:eastAsia="Times New Roman" w:cs="Times New Roman"/>
          <w:b w:val="0"/>
          <w:color w:val="000000"/>
          <w:szCs w:val="24"/>
          <w:lang w:eastAsia="en-MY"/>
        </w:rPr>
        <w:t>C</w:t>
      </w:r>
      <w:r w:rsidR="00666029" w:rsidRPr="0094499D">
        <w:rPr>
          <w:rFonts w:eastAsia="Times New Roman" w:cs="Times New Roman"/>
          <w:b w:val="0"/>
          <w:color w:val="000000"/>
          <w:szCs w:val="24"/>
          <w:vertAlign w:val="subscript"/>
          <w:lang w:eastAsia="en-MY"/>
        </w:rPr>
        <w:t>3</w:t>
      </w:r>
      <w:r w:rsidR="00666029" w:rsidRPr="0094499D">
        <w:rPr>
          <w:rFonts w:eastAsia="Times New Roman" w:cs="Times New Roman"/>
          <w:b w:val="0"/>
          <w:color w:val="000000"/>
          <w:szCs w:val="24"/>
          <w:lang w:eastAsia="en-MY"/>
        </w:rPr>
        <w:t>A</w:t>
      </w:r>
      <w:r w:rsidR="00666029" w:rsidRPr="0094499D">
        <w:rPr>
          <w:rFonts w:eastAsia="Times New Roman" w:cs="Times New Roman"/>
          <w:b w:val="0"/>
          <w:color w:val="000000"/>
          <w:szCs w:val="24"/>
          <w:vertAlign w:val="subscript"/>
          <w:lang w:eastAsia="en-MY"/>
        </w:rPr>
        <w:t>x</w:t>
      </w:r>
      <w:r w:rsidR="00666029" w:rsidRPr="0094499D">
        <w:rPr>
          <w:rFonts w:eastAsia="Times New Roman" w:cs="Times New Roman"/>
          <w:b w:val="0"/>
          <w:color w:val="000000"/>
          <w:szCs w:val="24"/>
          <w:lang w:eastAsia="en-MY"/>
        </w:rPr>
        <w:t>B</w:t>
      </w:r>
      <w:r w:rsidR="00666029" w:rsidRPr="0094499D">
        <w:rPr>
          <w:rFonts w:eastAsia="Times New Roman" w:cs="Times New Roman"/>
          <w:b w:val="0"/>
          <w:color w:val="000000"/>
          <w:szCs w:val="24"/>
          <w:vertAlign w:val="subscript"/>
          <w:lang w:eastAsia="en-MY"/>
        </w:rPr>
        <w:t>7.6</w:t>
      </w:r>
      <w:r w:rsidR="00666029" w:rsidRPr="0094499D">
        <w:rPr>
          <w:rFonts w:eastAsia="Times New Roman" w:cs="Times New Roman"/>
          <w:b w:val="0"/>
          <w:color w:val="000000"/>
          <w:szCs w:val="24"/>
          <w:lang w:eastAsia="en-MY"/>
        </w:rPr>
        <w:t>S</w:t>
      </w:r>
      <w:r w:rsidR="00666029" w:rsidRPr="0094499D">
        <w:rPr>
          <w:rFonts w:eastAsia="Times New Roman" w:cs="Times New Roman"/>
          <w:b w:val="0"/>
          <w:color w:val="000000"/>
          <w:szCs w:val="24"/>
          <w:vertAlign w:val="subscript"/>
          <w:lang w:eastAsia="en-MY"/>
        </w:rPr>
        <w:t>80.7-x</w:t>
      </w:r>
      <w:r w:rsidR="00666029">
        <w:rPr>
          <w:b w:val="0"/>
        </w:rPr>
        <w:t>.</w:t>
      </w:r>
      <w:r w:rsidR="00881F81">
        <w:rPr>
          <w:b w:val="0"/>
        </w:rPr>
        <w:t xml:space="preserve"> </w:t>
      </w:r>
    </w:p>
    <w:p w14:paraId="69B428F0" w14:textId="77777777" w:rsidR="00620FB4" w:rsidRPr="00620FB4" w:rsidRDefault="00620FB4" w:rsidP="00620FB4">
      <w:pPr>
        <w:pStyle w:val="ListParagraph"/>
        <w:rPr>
          <w:b w:val="0"/>
        </w:rPr>
      </w:pPr>
    </w:p>
    <w:p w14:paraId="3C38A511" w14:textId="74988D99" w:rsidR="00EB3B50" w:rsidRPr="00EB3B50" w:rsidRDefault="00311853" w:rsidP="00620FB4">
      <w:pPr>
        <w:pStyle w:val="ListParagraph"/>
        <w:numPr>
          <w:ilvl w:val="0"/>
          <w:numId w:val="16"/>
        </w:numPr>
        <w:spacing w:after="0" w:line="360" w:lineRule="auto"/>
        <w:jc w:val="both"/>
        <w:rPr>
          <w:lang w:val="en-GB"/>
        </w:rPr>
      </w:pPr>
      <w:r>
        <w:rPr>
          <w:b w:val="0"/>
        </w:rPr>
        <w:t>It was found that the</w:t>
      </w:r>
      <w:r w:rsidR="00620FB4" w:rsidRPr="00C4098B">
        <w:rPr>
          <w:b w:val="0"/>
        </w:rPr>
        <w:t xml:space="preserve"> mechanical properties </w:t>
      </w:r>
      <w:r>
        <w:rPr>
          <w:b w:val="0"/>
        </w:rPr>
        <w:t>had higher</w:t>
      </w:r>
      <w:r w:rsidR="00620FB4" w:rsidRPr="00C4098B">
        <w:rPr>
          <w:b w:val="0"/>
        </w:rPr>
        <w:t xml:space="preserve"> value</w:t>
      </w:r>
      <w:r w:rsidR="00230AB9">
        <w:rPr>
          <w:b w:val="0"/>
        </w:rPr>
        <w:t>s</w:t>
      </w:r>
      <w:r w:rsidR="00620FB4" w:rsidRPr="00C4098B">
        <w:rPr>
          <w:b w:val="0"/>
        </w:rPr>
        <w:t xml:space="preserve"> </w:t>
      </w:r>
      <w:r w:rsidR="00620FB4">
        <w:rPr>
          <w:b w:val="0"/>
        </w:rPr>
        <w:t>at</w:t>
      </w:r>
      <w:r w:rsidR="00620FB4" w:rsidRPr="00C4098B">
        <w:rPr>
          <w:b w:val="0"/>
        </w:rPr>
        <w:t xml:space="preserve"> high network former</w:t>
      </w:r>
      <w:r>
        <w:rPr>
          <w:b w:val="0"/>
        </w:rPr>
        <w:t xml:space="preserve"> content</w:t>
      </w:r>
      <w:r w:rsidRPr="00C4098B">
        <w:rPr>
          <w:b w:val="0"/>
        </w:rPr>
        <w:t xml:space="preserve"> </w:t>
      </w:r>
      <w:r w:rsidR="00620FB4" w:rsidRPr="00C4098B">
        <w:rPr>
          <w:b w:val="0"/>
        </w:rPr>
        <w:t xml:space="preserve">&gt; 65 </w:t>
      </w:r>
      <w:proofErr w:type="spellStart"/>
      <w:r w:rsidR="00620FB4" w:rsidRPr="00C4098B">
        <w:rPr>
          <w:b w:val="0"/>
        </w:rPr>
        <w:t>wt</w:t>
      </w:r>
      <w:proofErr w:type="spellEnd"/>
      <w:r w:rsidR="00620FB4" w:rsidRPr="00C4098B">
        <w:rPr>
          <w:b w:val="0"/>
        </w:rPr>
        <w:t xml:space="preserve"> % thus </w:t>
      </w:r>
      <w:r w:rsidRPr="00C4098B">
        <w:rPr>
          <w:b w:val="0"/>
        </w:rPr>
        <w:t>impl</w:t>
      </w:r>
      <w:r>
        <w:rPr>
          <w:b w:val="0"/>
        </w:rPr>
        <w:t>ying</w:t>
      </w:r>
      <w:r w:rsidRPr="00C4098B">
        <w:rPr>
          <w:b w:val="0"/>
        </w:rPr>
        <w:t xml:space="preserve"> </w:t>
      </w:r>
      <w:r w:rsidR="00620FB4" w:rsidRPr="00C4098B">
        <w:rPr>
          <w:b w:val="0"/>
        </w:rPr>
        <w:t xml:space="preserve">that </w:t>
      </w:r>
      <w:r>
        <w:rPr>
          <w:b w:val="0"/>
        </w:rPr>
        <w:t xml:space="preserve">increasing </w:t>
      </w:r>
      <w:r w:rsidR="00620FB4" w:rsidRPr="00C4098B">
        <w:rPr>
          <w:b w:val="0"/>
        </w:rPr>
        <w:t xml:space="preserve">connectivity </w:t>
      </w:r>
      <w:r w:rsidR="00FF29AB">
        <w:rPr>
          <w:b w:val="0"/>
        </w:rPr>
        <w:t xml:space="preserve">in </w:t>
      </w:r>
      <w:proofErr w:type="spellStart"/>
      <w:r w:rsidR="00FF29AB" w:rsidRPr="00C4098B">
        <w:rPr>
          <w:b w:val="0"/>
        </w:rPr>
        <w:t>boroaluminosilicat</w:t>
      </w:r>
      <w:r w:rsidR="00FF29AB">
        <w:rPr>
          <w:b w:val="0"/>
        </w:rPr>
        <w:t>es</w:t>
      </w:r>
      <w:proofErr w:type="spellEnd"/>
      <w:r w:rsidR="00FF29AB">
        <w:rPr>
          <w:b w:val="0"/>
        </w:rPr>
        <w:t xml:space="preserve"> </w:t>
      </w:r>
      <w:r w:rsidR="00620FB4" w:rsidRPr="00C4098B">
        <w:rPr>
          <w:b w:val="0"/>
        </w:rPr>
        <w:t>increase</w:t>
      </w:r>
      <w:r>
        <w:rPr>
          <w:b w:val="0"/>
        </w:rPr>
        <w:t>s</w:t>
      </w:r>
      <w:r w:rsidR="00620FB4" w:rsidRPr="00C4098B">
        <w:rPr>
          <w:b w:val="0"/>
        </w:rPr>
        <w:t xml:space="preserve"> the</w:t>
      </w:r>
      <w:r>
        <w:rPr>
          <w:b w:val="0"/>
        </w:rPr>
        <w:t>ir</w:t>
      </w:r>
      <w:r w:rsidR="00620FB4" w:rsidRPr="00C4098B">
        <w:rPr>
          <w:b w:val="0"/>
        </w:rPr>
        <w:t xml:space="preserve"> mechanical properties</w:t>
      </w:r>
      <w:r w:rsidR="00620FB4">
        <w:rPr>
          <w:b w:val="0"/>
        </w:rPr>
        <w:t>.</w:t>
      </w:r>
      <w:r w:rsidR="00620FB4" w:rsidRPr="00620FB4">
        <w:rPr>
          <w:b w:val="0"/>
        </w:rPr>
        <w:t xml:space="preserve"> </w:t>
      </w:r>
      <w:r w:rsidR="00620FB4" w:rsidRPr="00AC05B6">
        <w:rPr>
          <w:b w:val="0"/>
        </w:rPr>
        <w:t>Bulk modulus, Poisson’s ratio and hardness also</w:t>
      </w:r>
      <w:r w:rsidR="00620FB4" w:rsidRPr="00AC05B6" w:rsidDel="00385341">
        <w:rPr>
          <w:b w:val="0"/>
        </w:rPr>
        <w:t xml:space="preserve"> </w:t>
      </w:r>
      <w:r w:rsidR="00620FB4" w:rsidRPr="00AC05B6">
        <w:rPr>
          <w:b w:val="0"/>
        </w:rPr>
        <w:t xml:space="preserve">increase </w:t>
      </w:r>
      <w:r w:rsidR="001F3D08">
        <w:rPr>
          <w:b w:val="0"/>
        </w:rPr>
        <w:t>but the</w:t>
      </w:r>
      <w:r w:rsidR="001F3D08" w:rsidRPr="00AC05B6">
        <w:rPr>
          <w:b w:val="0"/>
        </w:rPr>
        <w:t xml:space="preserve"> </w:t>
      </w:r>
      <w:r w:rsidR="00620FB4" w:rsidRPr="00AC05B6">
        <w:rPr>
          <w:b w:val="0"/>
        </w:rPr>
        <w:t>polymerisation index are decreased if the total charge balance is &gt; 0</w:t>
      </w:r>
      <w:r w:rsidR="00620FB4">
        <w:rPr>
          <w:b w:val="0"/>
        </w:rPr>
        <w:t xml:space="preserve">. </w:t>
      </w:r>
      <w:r>
        <w:rPr>
          <w:b w:val="0"/>
        </w:rPr>
        <w:t xml:space="preserve">Depending on </w:t>
      </w:r>
      <w:r w:rsidRPr="001F3D08">
        <w:rPr>
          <w:b w:val="0"/>
        </w:rPr>
        <w:t xml:space="preserve">glass </w:t>
      </w:r>
      <w:r>
        <w:rPr>
          <w:b w:val="0"/>
        </w:rPr>
        <w:t xml:space="preserve">composition </w:t>
      </w:r>
      <w:r w:rsidRPr="001F3D08">
        <w:rPr>
          <w:b w:val="0"/>
        </w:rPr>
        <w:t>range</w:t>
      </w:r>
      <w:r>
        <w:rPr>
          <w:b w:val="0"/>
        </w:rPr>
        <w:t xml:space="preserve"> b</w:t>
      </w:r>
      <w:r w:rsidRPr="001F3D08">
        <w:rPr>
          <w:b w:val="0"/>
        </w:rPr>
        <w:t xml:space="preserve">oth </w:t>
      </w:r>
      <w:r w:rsidR="00620FB4" w:rsidRPr="001F3D08">
        <w:rPr>
          <w:b w:val="0"/>
        </w:rPr>
        <w:t>Young’s modulus and shear modulus increased with increasing network charge balance This differs from the specific trends seen in the literature for narrow compositional series</w:t>
      </w:r>
      <w:r w:rsidR="00EB3B50" w:rsidRPr="001F3D08">
        <w:rPr>
          <w:b w:val="0"/>
        </w:rPr>
        <w:t>.</w:t>
      </w:r>
    </w:p>
    <w:p w14:paraId="642155D0" w14:textId="77777777" w:rsidR="00EB3B50" w:rsidRPr="00EB3B50" w:rsidRDefault="00EB3B50" w:rsidP="00EB3B50">
      <w:pPr>
        <w:pStyle w:val="ListParagraph"/>
        <w:rPr>
          <w:b w:val="0"/>
        </w:rPr>
      </w:pPr>
    </w:p>
    <w:p w14:paraId="2C4086E6" w14:textId="1B7D20A5" w:rsidR="00620FB4" w:rsidRPr="00AC05B6" w:rsidRDefault="00EB3B50" w:rsidP="00620FB4">
      <w:pPr>
        <w:pStyle w:val="ListParagraph"/>
        <w:numPr>
          <w:ilvl w:val="0"/>
          <w:numId w:val="16"/>
        </w:numPr>
        <w:spacing w:after="0" w:line="360" w:lineRule="auto"/>
        <w:jc w:val="both"/>
        <w:rPr>
          <w:lang w:val="en-GB"/>
        </w:rPr>
        <w:sectPr w:rsidR="00620FB4" w:rsidRPr="00AC05B6" w:rsidSect="00F60D24">
          <w:pgSz w:w="11906" w:h="16838"/>
          <w:pgMar w:top="1440" w:right="1440" w:bottom="1440" w:left="1440" w:header="708" w:footer="708" w:gutter="0"/>
          <w:cols w:space="708"/>
          <w:docGrid w:linePitch="360"/>
        </w:sectPr>
      </w:pPr>
      <w:r>
        <w:rPr>
          <w:b w:val="0"/>
        </w:rPr>
        <w:t>T</w:t>
      </w:r>
      <w:r w:rsidRPr="00620FB4">
        <w:rPr>
          <w:b w:val="0"/>
        </w:rPr>
        <w:t xml:space="preserve">he Poisson’s ratio </w:t>
      </w:r>
      <w:r w:rsidR="0010196B">
        <w:rPr>
          <w:b w:val="0"/>
        </w:rPr>
        <w:t>is</w:t>
      </w:r>
      <w:r w:rsidR="0010196B" w:rsidRPr="00620FB4">
        <w:rPr>
          <w:b w:val="0"/>
        </w:rPr>
        <w:t xml:space="preserve"> </w:t>
      </w:r>
      <w:r w:rsidRPr="00620FB4">
        <w:rPr>
          <w:b w:val="0"/>
        </w:rPr>
        <w:t>related to the indentation toughness</w:t>
      </w:r>
      <w:r w:rsidR="001F3D08">
        <w:rPr>
          <w:b w:val="0"/>
        </w:rPr>
        <w:t>. G</w:t>
      </w:r>
      <w:r w:rsidRPr="00620FB4">
        <w:rPr>
          <w:b w:val="0"/>
        </w:rPr>
        <w:t>lasses with higher Poisson’s ratios generally had lower indentation toughness values. Poisson’s ratio increased with increasing atomic packing density</w:t>
      </w:r>
      <w:r w:rsidR="001F3D08">
        <w:rPr>
          <w:b w:val="0"/>
        </w:rPr>
        <w:t>,</w:t>
      </w:r>
      <w:r w:rsidRPr="00620FB4">
        <w:rPr>
          <w:b w:val="0"/>
        </w:rPr>
        <w:t xml:space="preserve"> which is in line with results from other authors</w:t>
      </w:r>
      <w:r>
        <w:rPr>
          <w:b w:val="0"/>
        </w:rPr>
        <w:t>.</w:t>
      </w:r>
    </w:p>
    <w:p w14:paraId="6320BC05" w14:textId="217F44E0" w:rsidR="00666029" w:rsidRPr="000E2377" w:rsidRDefault="00666029" w:rsidP="00666029">
      <w:pPr>
        <w:pStyle w:val="Heading1"/>
      </w:pPr>
      <w:bookmarkStart w:id="964" w:name="_Toc515398746"/>
      <w:bookmarkStart w:id="965" w:name="_Toc523402947"/>
      <w:bookmarkStart w:id="966" w:name="_Toc525526458"/>
      <w:bookmarkStart w:id="967" w:name="_Toc525707883"/>
      <w:bookmarkStart w:id="968" w:name="_Toc525742548"/>
      <w:bookmarkStart w:id="969" w:name="_Toc12994983"/>
      <w:r w:rsidRPr="000E2377">
        <w:lastRenderedPageBreak/>
        <w:t>Chapter 6</w:t>
      </w:r>
      <w:bookmarkEnd w:id="964"/>
      <w:bookmarkEnd w:id="965"/>
      <w:bookmarkEnd w:id="966"/>
      <w:bookmarkEnd w:id="967"/>
      <w:bookmarkEnd w:id="968"/>
      <w:bookmarkEnd w:id="969"/>
    </w:p>
    <w:p w14:paraId="79D9F7EF" w14:textId="77777777" w:rsidR="00666029" w:rsidRDefault="00666029" w:rsidP="00666029">
      <w:pPr>
        <w:pStyle w:val="Heading1"/>
      </w:pPr>
      <w:r w:rsidRPr="000E2377">
        <w:t xml:space="preserve">      </w:t>
      </w:r>
      <w:bookmarkStart w:id="970" w:name="_Toc515398747"/>
      <w:bookmarkStart w:id="971" w:name="_Toc523402948"/>
      <w:bookmarkStart w:id="972" w:name="_Toc525526459"/>
      <w:bookmarkStart w:id="973" w:name="_Toc525707884"/>
      <w:bookmarkStart w:id="974" w:name="_Toc525742549"/>
      <w:bookmarkStart w:id="975" w:name="_Toc12994984"/>
      <w:r w:rsidRPr="000E2377">
        <w:t>Conclusion</w:t>
      </w:r>
      <w:r>
        <w:t>s</w:t>
      </w:r>
      <w:r w:rsidRPr="000E2377">
        <w:t xml:space="preserve"> and </w:t>
      </w:r>
      <w:bookmarkEnd w:id="970"/>
      <w:bookmarkEnd w:id="971"/>
      <w:bookmarkEnd w:id="972"/>
      <w:r>
        <w:t>Suggestions for further work</w:t>
      </w:r>
      <w:bookmarkEnd w:id="973"/>
      <w:bookmarkEnd w:id="974"/>
      <w:bookmarkEnd w:id="975"/>
    </w:p>
    <w:p w14:paraId="3A099026" w14:textId="77777777" w:rsidR="00666029" w:rsidRPr="00187A9E" w:rsidRDefault="00666029" w:rsidP="00666029">
      <w:pPr>
        <w:pStyle w:val="Heading2"/>
        <w:jc w:val="left"/>
      </w:pPr>
      <w:bookmarkStart w:id="976" w:name="_Toc12994985"/>
      <w:r>
        <w:t>6.1 Conclusion</w:t>
      </w:r>
      <w:bookmarkEnd w:id="976"/>
    </w:p>
    <w:p w14:paraId="1BEBD341" w14:textId="77777777" w:rsidR="00666029" w:rsidRDefault="00666029" w:rsidP="00666029">
      <w:pPr>
        <w:pStyle w:val="Heading3"/>
      </w:pPr>
      <w:bookmarkStart w:id="977" w:name="_Toc523402949"/>
      <w:bookmarkStart w:id="978" w:name="_Toc525526460"/>
      <w:bookmarkStart w:id="979" w:name="_Toc525707885"/>
      <w:bookmarkStart w:id="980" w:name="_Toc525742550"/>
      <w:bookmarkStart w:id="981" w:name="_Toc12994986"/>
      <w:r w:rsidRPr="000E2377">
        <w:t>6.1</w:t>
      </w:r>
      <w:r>
        <w:t>.1</w:t>
      </w:r>
      <w:r w:rsidRPr="000E2377">
        <w:t xml:space="preserve"> </w:t>
      </w:r>
      <w:bookmarkEnd w:id="977"/>
      <w:bookmarkEnd w:id="978"/>
      <w:bookmarkEnd w:id="979"/>
      <w:bookmarkEnd w:id="980"/>
      <w:r>
        <w:t xml:space="preserve"> Varying amount of SiO</w:t>
      </w:r>
      <w:r w:rsidRPr="00CE7DAA">
        <w:rPr>
          <w:vertAlign w:val="subscript"/>
        </w:rPr>
        <w:t>2</w:t>
      </w:r>
      <w:r>
        <w:t>, B</w:t>
      </w:r>
      <w:r w:rsidRPr="00CE7DAA">
        <w:rPr>
          <w:vertAlign w:val="subscript"/>
        </w:rPr>
        <w:t>2</w:t>
      </w:r>
      <w:r>
        <w:t>O</w:t>
      </w:r>
      <w:r w:rsidRPr="00CE7DAA">
        <w:rPr>
          <w:vertAlign w:val="subscript"/>
        </w:rPr>
        <w:t>3</w:t>
      </w:r>
      <w:r>
        <w:t xml:space="preserve"> and Al</w:t>
      </w:r>
      <w:r w:rsidRPr="00CE7DAA">
        <w:rPr>
          <w:vertAlign w:val="subscript"/>
        </w:rPr>
        <w:t>2</w:t>
      </w:r>
      <w:r>
        <w:t>O</w:t>
      </w:r>
      <w:r w:rsidRPr="00CE7DAA">
        <w:rPr>
          <w:vertAlign w:val="subscript"/>
        </w:rPr>
        <w:t>3</w:t>
      </w:r>
      <w:bookmarkEnd w:id="981"/>
    </w:p>
    <w:p w14:paraId="41142919" w14:textId="3E053D4E" w:rsidR="00666029" w:rsidRDefault="00666029" w:rsidP="00666029">
      <w:pPr>
        <w:spacing w:line="360" w:lineRule="auto"/>
        <w:jc w:val="both"/>
        <w:rPr>
          <w:b w:val="0"/>
        </w:rPr>
      </w:pPr>
      <w:r w:rsidRPr="000E2377">
        <w:rPr>
          <w:b w:val="0"/>
        </w:rPr>
        <w:t xml:space="preserve">Ten different </w:t>
      </w:r>
      <w:proofErr w:type="spellStart"/>
      <w:r w:rsidRPr="000E2377">
        <w:rPr>
          <w:b w:val="0"/>
        </w:rPr>
        <w:t>boroaluminosilicate</w:t>
      </w:r>
      <w:r w:rsidR="00FF29AB">
        <w:rPr>
          <w:b w:val="0"/>
        </w:rPr>
        <w:t>s</w:t>
      </w:r>
      <w:proofErr w:type="spellEnd"/>
      <w:r w:rsidRPr="000E2377">
        <w:rPr>
          <w:b w:val="0"/>
        </w:rPr>
        <w:t xml:space="preserve"> glass series were produced </w:t>
      </w:r>
      <w:r>
        <w:rPr>
          <w:b w:val="0"/>
        </w:rPr>
        <w:t>and characterised to develop</w:t>
      </w:r>
      <w:r w:rsidRPr="000E2377">
        <w:rPr>
          <w:b w:val="0"/>
        </w:rPr>
        <w:t xml:space="preserve"> further insight </w:t>
      </w:r>
      <w:r>
        <w:rPr>
          <w:b w:val="0"/>
        </w:rPr>
        <w:t>into the</w:t>
      </w:r>
      <w:r w:rsidRPr="000E2377">
        <w:rPr>
          <w:b w:val="0"/>
        </w:rPr>
        <w:t xml:space="preserve"> structural dependence </w:t>
      </w:r>
      <w:r>
        <w:rPr>
          <w:b w:val="0"/>
        </w:rPr>
        <w:t>of</w:t>
      </w:r>
      <w:r w:rsidRPr="000E2377">
        <w:rPr>
          <w:b w:val="0"/>
        </w:rPr>
        <w:t xml:space="preserve"> mechanical properties </w:t>
      </w:r>
      <w:r>
        <w:rPr>
          <w:b w:val="0"/>
        </w:rPr>
        <w:t>for these glasses</w:t>
      </w:r>
      <w:r w:rsidRPr="000E2377">
        <w:rPr>
          <w:b w:val="0"/>
        </w:rPr>
        <w:t xml:space="preserve">. </w:t>
      </w:r>
      <w:r w:rsidR="00311853" w:rsidRPr="00F546EB">
        <w:rPr>
          <w:b w:val="0"/>
        </w:rPr>
        <w:t xml:space="preserve">A </w:t>
      </w:r>
      <w:r w:rsidR="00311853">
        <w:rPr>
          <w:b w:val="0"/>
        </w:rPr>
        <w:t>range</w:t>
      </w:r>
      <w:r w:rsidR="00311853" w:rsidRPr="00F546EB">
        <w:rPr>
          <w:b w:val="0"/>
        </w:rPr>
        <w:t xml:space="preserve"> of composition</w:t>
      </w:r>
      <w:r w:rsidR="00311853">
        <w:rPr>
          <w:b w:val="0"/>
        </w:rPr>
        <w:t>s</w:t>
      </w:r>
      <w:r w:rsidR="00311853" w:rsidRPr="00F546EB">
        <w:rPr>
          <w:b w:val="0"/>
        </w:rPr>
        <w:t xml:space="preserve"> were produce</w:t>
      </w:r>
      <w:r w:rsidR="00311853">
        <w:rPr>
          <w:b w:val="0"/>
        </w:rPr>
        <w:t>d</w:t>
      </w:r>
      <w:r w:rsidR="00311853" w:rsidRPr="00F546EB">
        <w:rPr>
          <w:b w:val="0"/>
        </w:rPr>
        <w:t xml:space="preserve"> using </w:t>
      </w:r>
      <w:r w:rsidR="00311853">
        <w:rPr>
          <w:b w:val="0"/>
        </w:rPr>
        <w:t xml:space="preserve">the </w:t>
      </w:r>
      <w:r w:rsidR="00311853" w:rsidRPr="00F546EB">
        <w:rPr>
          <w:b w:val="0"/>
        </w:rPr>
        <w:t xml:space="preserve">ternary diagram to see the range of types of </w:t>
      </w:r>
      <w:r w:rsidR="00311853">
        <w:rPr>
          <w:b w:val="0"/>
        </w:rPr>
        <w:t xml:space="preserve">the </w:t>
      </w:r>
      <w:r w:rsidR="00311853" w:rsidRPr="00F546EB">
        <w:rPr>
          <w:b w:val="0"/>
        </w:rPr>
        <w:t xml:space="preserve">network used. </w:t>
      </w:r>
      <w:r w:rsidRPr="000E2377">
        <w:rPr>
          <w:b w:val="0"/>
        </w:rPr>
        <w:t>Based on results and discussion, it can be suggest</w:t>
      </w:r>
      <w:r>
        <w:rPr>
          <w:b w:val="0"/>
        </w:rPr>
        <w:t>ed</w:t>
      </w:r>
      <w:r w:rsidRPr="000E2377">
        <w:rPr>
          <w:b w:val="0"/>
        </w:rPr>
        <w:t xml:space="preserve"> that the </w:t>
      </w:r>
      <w:r>
        <w:rPr>
          <w:b w:val="0"/>
        </w:rPr>
        <w:t xml:space="preserve">network </w:t>
      </w:r>
      <w:r w:rsidRPr="000E2377">
        <w:rPr>
          <w:b w:val="0"/>
        </w:rPr>
        <w:t xml:space="preserve">charge balance is important </w:t>
      </w:r>
      <w:r>
        <w:rPr>
          <w:b w:val="0"/>
        </w:rPr>
        <w:t>for characterising the glass connectivity</w:t>
      </w:r>
      <w:r w:rsidRPr="000E2377">
        <w:rPr>
          <w:b w:val="0"/>
        </w:rPr>
        <w:t xml:space="preserve">. </w:t>
      </w:r>
    </w:p>
    <w:p w14:paraId="3D797EAC" w14:textId="38719845" w:rsidR="00666029" w:rsidRPr="004F5890" w:rsidRDefault="00666029" w:rsidP="00666029">
      <w:pPr>
        <w:pStyle w:val="Heading3"/>
      </w:pPr>
      <w:bookmarkStart w:id="982" w:name="_Toc12994987"/>
      <w:r>
        <w:t>6.1.2 Structural-physical and mechanical correlation</w:t>
      </w:r>
      <w:r w:rsidR="00311853">
        <w:t>s</w:t>
      </w:r>
      <w:r>
        <w:t xml:space="preserve"> </w:t>
      </w:r>
      <w:bookmarkEnd w:id="982"/>
    </w:p>
    <w:p w14:paraId="0B3C1C62" w14:textId="4C50885F" w:rsidR="00F500D0" w:rsidRDefault="00666029" w:rsidP="00666029">
      <w:pPr>
        <w:spacing w:line="360" w:lineRule="auto"/>
        <w:jc w:val="both"/>
        <w:rPr>
          <w:b w:val="0"/>
        </w:rPr>
      </w:pPr>
      <w:r>
        <w:rPr>
          <w:b w:val="0"/>
        </w:rPr>
        <w:t xml:space="preserve">Changes in network charge balance </w:t>
      </w:r>
      <w:r w:rsidR="00311853">
        <w:rPr>
          <w:b w:val="0"/>
        </w:rPr>
        <w:t xml:space="preserve">were found to </w:t>
      </w:r>
      <w:r>
        <w:rPr>
          <w:b w:val="0"/>
        </w:rPr>
        <w:t xml:space="preserve">link to changes in density and </w:t>
      </w:r>
      <w:proofErr w:type="spellStart"/>
      <w:r>
        <w:rPr>
          <w:b w:val="0"/>
        </w:rPr>
        <w:t>T</w:t>
      </w:r>
      <w:r w:rsidRPr="00991418">
        <w:rPr>
          <w:b w:val="0"/>
          <w:i/>
          <w:vertAlign w:val="subscript"/>
        </w:rPr>
        <w:t>g</w:t>
      </w:r>
      <w:proofErr w:type="spellEnd"/>
      <w:r>
        <w:rPr>
          <w:b w:val="0"/>
        </w:rPr>
        <w:t xml:space="preserve">. </w:t>
      </w:r>
      <w:r w:rsidR="00311853">
        <w:rPr>
          <w:b w:val="0"/>
        </w:rPr>
        <w:t>T</w:t>
      </w:r>
      <w:r w:rsidRPr="00F546EB">
        <w:rPr>
          <w:b w:val="0"/>
        </w:rPr>
        <w:t>he different alkaline earth</w:t>
      </w:r>
      <w:r w:rsidR="00311853">
        <w:rPr>
          <w:b w:val="0"/>
        </w:rPr>
        <w:t>s</w:t>
      </w:r>
      <w:r w:rsidRPr="00F546EB">
        <w:rPr>
          <w:b w:val="0"/>
        </w:rPr>
        <w:t xml:space="preserve"> used </w:t>
      </w:r>
      <w:r w:rsidR="00311853">
        <w:rPr>
          <w:b w:val="0"/>
        </w:rPr>
        <w:t>gave</w:t>
      </w:r>
      <w:r w:rsidR="008C4D01">
        <w:rPr>
          <w:b w:val="0"/>
        </w:rPr>
        <w:t xml:space="preserve"> </w:t>
      </w:r>
      <w:r w:rsidRPr="00F546EB">
        <w:rPr>
          <w:b w:val="0"/>
        </w:rPr>
        <w:t xml:space="preserve">different </w:t>
      </w:r>
      <w:r w:rsidR="00FF29AB" w:rsidRPr="00F546EB">
        <w:rPr>
          <w:b w:val="0"/>
        </w:rPr>
        <w:t>valu</w:t>
      </w:r>
      <w:r w:rsidR="00FF29AB">
        <w:rPr>
          <w:b w:val="0"/>
        </w:rPr>
        <w:t>e</w:t>
      </w:r>
      <w:r w:rsidR="00FF29AB" w:rsidRPr="00F546EB">
        <w:rPr>
          <w:b w:val="0"/>
        </w:rPr>
        <w:t>s</w:t>
      </w:r>
      <w:r w:rsidRPr="00F546EB">
        <w:rPr>
          <w:b w:val="0"/>
        </w:rPr>
        <w:t xml:space="preserve"> of polymerisation index and also Q species</w:t>
      </w:r>
      <w:r w:rsidR="00311853">
        <w:rPr>
          <w:b w:val="0"/>
        </w:rPr>
        <w:t xml:space="preserve"> however in this case the</w:t>
      </w:r>
      <w:r w:rsidRPr="00F546EB">
        <w:rPr>
          <w:b w:val="0"/>
        </w:rPr>
        <w:t xml:space="preserve"> </w:t>
      </w:r>
      <w:r w:rsidR="00311853" w:rsidRPr="00F546EB">
        <w:rPr>
          <w:b w:val="0"/>
        </w:rPr>
        <w:t>differen</w:t>
      </w:r>
      <w:r w:rsidR="00311853">
        <w:rPr>
          <w:b w:val="0"/>
        </w:rPr>
        <w:t>ces</w:t>
      </w:r>
      <w:r w:rsidR="00311853" w:rsidRPr="00F546EB">
        <w:rPr>
          <w:b w:val="0"/>
        </w:rPr>
        <w:t xml:space="preserve"> </w:t>
      </w:r>
      <w:r w:rsidRPr="00F546EB">
        <w:rPr>
          <w:b w:val="0"/>
        </w:rPr>
        <w:t>in modulus, hardness, toughness and brittleness</w:t>
      </w:r>
      <w:r w:rsidR="00311853">
        <w:rPr>
          <w:b w:val="0"/>
        </w:rPr>
        <w:t xml:space="preserve"> were small</w:t>
      </w:r>
      <w:r w:rsidRPr="00F546EB">
        <w:rPr>
          <w:b w:val="0"/>
        </w:rPr>
        <w:t xml:space="preserve">.  </w:t>
      </w:r>
      <w:r w:rsidRPr="00134C03">
        <w:rPr>
          <w:b w:val="0"/>
        </w:rPr>
        <w:t>Overall, we find that with increasing network charge balance in the composition, Young’s modulus, shear modulus, bulk modulus, Poisson’s ratio, hardness, brittleness and density are increased</w:t>
      </w:r>
      <w:r w:rsidR="00AF6A66">
        <w:rPr>
          <w:b w:val="0"/>
        </w:rPr>
        <w:t>.</w:t>
      </w:r>
      <w:r w:rsidRPr="00134C03">
        <w:rPr>
          <w:b w:val="0"/>
        </w:rPr>
        <w:t xml:space="preserve"> </w:t>
      </w:r>
      <w:r w:rsidR="00AF6A66">
        <w:rPr>
          <w:b w:val="0"/>
        </w:rPr>
        <w:t>M</w:t>
      </w:r>
      <w:r w:rsidRPr="00134C03">
        <w:rPr>
          <w:b w:val="0"/>
        </w:rPr>
        <w:t>eanwhile</w:t>
      </w:r>
      <w:r w:rsidR="00AF6A66">
        <w:rPr>
          <w:b w:val="0"/>
        </w:rPr>
        <w:t>,</w:t>
      </w:r>
      <w:r w:rsidRPr="00134C03">
        <w:rPr>
          <w:b w:val="0"/>
        </w:rPr>
        <w:t xml:space="preserve"> indentation toughness and molar volume are decreased.</w:t>
      </w:r>
      <w:r>
        <w:rPr>
          <w:b w:val="0"/>
        </w:rPr>
        <w:t xml:space="preserve"> </w:t>
      </w:r>
      <w:r w:rsidRPr="00F546EB">
        <w:rPr>
          <w:b w:val="0"/>
        </w:rPr>
        <w:t>There is no simple correlation between Young’s modulus and Poisson’s ratio with indentation toughness. Th</w:t>
      </w:r>
      <w:r>
        <w:rPr>
          <w:b w:val="0"/>
        </w:rPr>
        <w:t>ese</w:t>
      </w:r>
      <w:r w:rsidRPr="00F546EB">
        <w:rPr>
          <w:b w:val="0"/>
        </w:rPr>
        <w:t xml:space="preserve"> results </w:t>
      </w:r>
      <w:r>
        <w:rPr>
          <w:b w:val="0"/>
        </w:rPr>
        <w:t>are</w:t>
      </w:r>
      <w:r w:rsidRPr="00F546EB">
        <w:rPr>
          <w:b w:val="0"/>
        </w:rPr>
        <w:t xml:space="preserve"> different </w:t>
      </w:r>
      <w:r>
        <w:rPr>
          <w:b w:val="0"/>
        </w:rPr>
        <w:t xml:space="preserve">from those </w:t>
      </w:r>
      <w:r w:rsidR="00AF6A66">
        <w:rPr>
          <w:b w:val="0"/>
        </w:rPr>
        <w:t>from</w:t>
      </w:r>
      <w:r w:rsidR="008C4D01">
        <w:rPr>
          <w:b w:val="0"/>
        </w:rPr>
        <w:t xml:space="preserve"> </w:t>
      </w:r>
      <w:r w:rsidR="00AF6A66">
        <w:rPr>
          <w:b w:val="0"/>
        </w:rPr>
        <w:t xml:space="preserve">the </w:t>
      </w:r>
      <w:r w:rsidRPr="00F546EB">
        <w:rPr>
          <w:b w:val="0"/>
        </w:rPr>
        <w:t xml:space="preserve">previous study which indicate that fracture toughness in silicate glass </w:t>
      </w:r>
      <w:r>
        <w:rPr>
          <w:b w:val="0"/>
        </w:rPr>
        <w:t>increases with</w:t>
      </w:r>
      <w:r w:rsidRPr="00F546EB">
        <w:rPr>
          <w:b w:val="0"/>
        </w:rPr>
        <w:t xml:space="preserve"> Young’s modulus and Poisson’s ratio</w:t>
      </w:r>
      <w:r>
        <w:rPr>
          <w:b w:val="0"/>
        </w:rPr>
        <w:t>.</w:t>
      </w:r>
      <w:r w:rsidRPr="00F546EB">
        <w:rPr>
          <w:b w:val="0"/>
        </w:rPr>
        <w:t xml:space="preserve"> </w:t>
      </w:r>
    </w:p>
    <w:p w14:paraId="78FD571C" w14:textId="6AAD14F3" w:rsidR="00666029" w:rsidRDefault="00FF29AB" w:rsidP="006834FC">
      <w:pPr>
        <w:spacing w:after="0" w:line="360" w:lineRule="auto"/>
        <w:jc w:val="both"/>
      </w:pPr>
      <w:r>
        <w:t>6.1.3 Structure</w:t>
      </w:r>
      <w:r w:rsidR="00311853">
        <w:t xml:space="preserve"> </w:t>
      </w:r>
      <w:r w:rsidR="00666029">
        <w:t>of alumina and boron in boroaluminosilicate glasses</w:t>
      </w:r>
    </w:p>
    <w:p w14:paraId="2A03CA14" w14:textId="2BB1B65D" w:rsidR="00666029" w:rsidRPr="00F546EB" w:rsidRDefault="00666029" w:rsidP="00666029">
      <w:pPr>
        <w:spacing w:line="360" w:lineRule="auto"/>
        <w:contextualSpacing/>
        <w:jc w:val="both"/>
        <w:rPr>
          <w:b w:val="0"/>
        </w:rPr>
      </w:pPr>
      <w:r>
        <w:rPr>
          <w:b w:val="0"/>
        </w:rPr>
        <w:t xml:space="preserve">The addition of alumina at the expense of the silica </w:t>
      </w:r>
      <w:r w:rsidRPr="000E2377">
        <w:rPr>
          <w:b w:val="0"/>
        </w:rPr>
        <w:t>in</w:t>
      </w:r>
      <w:r>
        <w:rPr>
          <w:b w:val="0"/>
        </w:rPr>
        <w:t xml:space="preserve"> the</w:t>
      </w:r>
      <w:r w:rsidRPr="000E2377">
        <w:rPr>
          <w:b w:val="0"/>
        </w:rPr>
        <w:t xml:space="preserve"> peralkaline state </w:t>
      </w:r>
      <w:r>
        <w:rPr>
          <w:b w:val="0"/>
        </w:rPr>
        <w:t>result</w:t>
      </w:r>
      <w:r w:rsidR="00311853">
        <w:rPr>
          <w:b w:val="0"/>
        </w:rPr>
        <w:t>ed</w:t>
      </w:r>
      <w:r>
        <w:rPr>
          <w:b w:val="0"/>
        </w:rPr>
        <w:t xml:space="preserve"> in increases in the</w:t>
      </w:r>
      <w:r w:rsidRPr="000E2377">
        <w:rPr>
          <w:b w:val="0"/>
        </w:rPr>
        <w:t xml:space="preserve"> value</w:t>
      </w:r>
      <w:r>
        <w:rPr>
          <w:b w:val="0"/>
        </w:rPr>
        <w:t>s</w:t>
      </w:r>
      <w:r w:rsidRPr="000E2377">
        <w:rPr>
          <w:b w:val="0"/>
        </w:rPr>
        <w:t xml:space="preserve"> of Young’s and shear moduli and also </w:t>
      </w:r>
      <w:r w:rsidR="00311853">
        <w:rPr>
          <w:b w:val="0"/>
        </w:rPr>
        <w:t xml:space="preserve">in </w:t>
      </w:r>
      <w:r w:rsidRPr="000E2377">
        <w:rPr>
          <w:b w:val="0"/>
        </w:rPr>
        <w:t>hardness. However</w:t>
      </w:r>
      <w:r w:rsidR="008C4D01">
        <w:rPr>
          <w:b w:val="0"/>
        </w:rPr>
        <w:t>,</w:t>
      </w:r>
      <w:r w:rsidRPr="000E2377">
        <w:rPr>
          <w:b w:val="0"/>
        </w:rPr>
        <w:t xml:space="preserve"> </w:t>
      </w:r>
      <w:r>
        <w:rPr>
          <w:b w:val="0"/>
        </w:rPr>
        <w:t>with</w:t>
      </w:r>
      <w:r w:rsidRPr="000E2377">
        <w:rPr>
          <w:b w:val="0"/>
        </w:rPr>
        <w:t xml:space="preserve"> higher alumina content</w:t>
      </w:r>
      <w:r>
        <w:rPr>
          <w:b w:val="0"/>
        </w:rPr>
        <w:t>s</w:t>
      </w:r>
      <w:r w:rsidRPr="000E2377">
        <w:rPr>
          <w:b w:val="0"/>
        </w:rPr>
        <w:t xml:space="preserve">, the glass structure </w:t>
      </w:r>
      <w:r>
        <w:rPr>
          <w:b w:val="0"/>
        </w:rPr>
        <w:t xml:space="preserve">started to </w:t>
      </w:r>
      <w:r w:rsidRPr="000E2377">
        <w:rPr>
          <w:b w:val="0"/>
        </w:rPr>
        <w:t xml:space="preserve">depolymerise due to </w:t>
      </w:r>
      <w:r w:rsidR="008C4D01">
        <w:rPr>
          <w:b w:val="0"/>
        </w:rPr>
        <w:t xml:space="preserve">the </w:t>
      </w:r>
      <w:r>
        <w:rPr>
          <w:b w:val="0"/>
        </w:rPr>
        <w:t xml:space="preserve">appearance of </w:t>
      </w:r>
      <w:r w:rsidRPr="001C634E">
        <w:rPr>
          <w:b w:val="0"/>
        </w:rPr>
        <w:t>B</w:t>
      </w:r>
      <w:r w:rsidR="00AB5A38" w:rsidRPr="001C634E">
        <w:rPr>
          <w:b w:val="0"/>
          <w:vertAlign w:val="superscript"/>
        </w:rPr>
        <w:t>III</w:t>
      </w:r>
      <w:r w:rsidRPr="000E2377">
        <w:rPr>
          <w:b w:val="0"/>
        </w:rPr>
        <w:t>.</w:t>
      </w:r>
      <w:r>
        <w:rPr>
          <w:b w:val="0"/>
        </w:rPr>
        <w:t xml:space="preserve"> Meanwhile, a</w:t>
      </w:r>
      <w:r w:rsidRPr="00F546EB">
        <w:rPr>
          <w:b w:val="0"/>
        </w:rPr>
        <w:t xml:space="preserve"> polymerisation index calculated from Raman data following the work of </w:t>
      </w:r>
      <w:proofErr w:type="spellStart"/>
      <w:r w:rsidRPr="00F546EB">
        <w:rPr>
          <w:b w:val="0"/>
        </w:rPr>
        <w:t>Columban</w:t>
      </w:r>
      <w:proofErr w:type="spellEnd"/>
      <w:r w:rsidRPr="00F546EB">
        <w:rPr>
          <w:b w:val="0"/>
        </w:rPr>
        <w:t xml:space="preserve"> </w:t>
      </w:r>
      <w:r>
        <w:rPr>
          <w:b w:val="0"/>
        </w:rPr>
        <w:t>(</w:t>
      </w:r>
      <w:r w:rsidRPr="00F546EB">
        <w:rPr>
          <w:b w:val="0"/>
        </w:rPr>
        <w:t>2003</w:t>
      </w:r>
      <w:r>
        <w:rPr>
          <w:b w:val="0"/>
        </w:rPr>
        <w:t>)</w:t>
      </w:r>
      <w:r w:rsidRPr="00F546EB">
        <w:rPr>
          <w:b w:val="0"/>
        </w:rPr>
        <w:t xml:space="preserve"> and </w:t>
      </w:r>
      <w:proofErr w:type="spellStart"/>
      <w:r w:rsidRPr="00F546EB">
        <w:rPr>
          <w:b w:val="0"/>
        </w:rPr>
        <w:t>Kilinc</w:t>
      </w:r>
      <w:proofErr w:type="spellEnd"/>
      <w:r w:rsidRPr="00F546EB">
        <w:rPr>
          <w:b w:val="0"/>
        </w:rPr>
        <w:t xml:space="preserve"> and Hand </w:t>
      </w:r>
      <w:r>
        <w:rPr>
          <w:b w:val="0"/>
        </w:rPr>
        <w:t>(</w:t>
      </w:r>
      <w:r w:rsidRPr="00F546EB">
        <w:rPr>
          <w:b w:val="0"/>
        </w:rPr>
        <w:t>2015</w:t>
      </w:r>
      <w:r w:rsidR="00AB5A38">
        <w:rPr>
          <w:b w:val="0"/>
        </w:rPr>
        <w:t xml:space="preserve">) </w:t>
      </w:r>
      <w:r w:rsidRPr="00F546EB">
        <w:rPr>
          <w:b w:val="0"/>
        </w:rPr>
        <w:t>shown consistent</w:t>
      </w:r>
      <w:r>
        <w:rPr>
          <w:b w:val="0"/>
        </w:rPr>
        <w:t xml:space="preserve"> trends </w:t>
      </w:r>
      <w:r w:rsidR="00AF6A66">
        <w:rPr>
          <w:b w:val="0"/>
        </w:rPr>
        <w:t xml:space="preserve">when </w:t>
      </w:r>
      <w:r>
        <w:rPr>
          <w:b w:val="0"/>
        </w:rPr>
        <w:t>compared</w:t>
      </w:r>
      <w:r w:rsidRPr="00F546EB">
        <w:rPr>
          <w:b w:val="0"/>
        </w:rPr>
        <w:t xml:space="preserve"> with NMR results (connectivity)</w:t>
      </w:r>
      <w:r w:rsidR="00311853">
        <w:rPr>
          <w:b w:val="0"/>
        </w:rPr>
        <w:t xml:space="preserve"> hence it can be</w:t>
      </w:r>
      <w:r w:rsidRPr="00F546EB">
        <w:rPr>
          <w:b w:val="0"/>
        </w:rPr>
        <w:t xml:space="preserve"> conclude</w:t>
      </w:r>
      <w:r w:rsidR="00311853">
        <w:rPr>
          <w:b w:val="0"/>
        </w:rPr>
        <w:t>d</w:t>
      </w:r>
      <w:r w:rsidRPr="00F546EB">
        <w:rPr>
          <w:b w:val="0"/>
        </w:rPr>
        <w:t xml:space="preserve"> that </w:t>
      </w:r>
      <w:r w:rsidR="00311853">
        <w:rPr>
          <w:b w:val="0"/>
        </w:rPr>
        <w:t>the polymerisation index</w:t>
      </w:r>
      <w:r w:rsidR="00311853" w:rsidRPr="00F546EB">
        <w:rPr>
          <w:b w:val="0"/>
        </w:rPr>
        <w:t xml:space="preserve"> </w:t>
      </w:r>
      <w:r w:rsidRPr="00F546EB">
        <w:rPr>
          <w:b w:val="0"/>
        </w:rPr>
        <w:t xml:space="preserve">can be used </w:t>
      </w:r>
      <w:r w:rsidR="00AF6A66">
        <w:rPr>
          <w:b w:val="0"/>
        </w:rPr>
        <w:t xml:space="preserve">as </w:t>
      </w:r>
      <w:r w:rsidRPr="00F546EB">
        <w:rPr>
          <w:b w:val="0"/>
        </w:rPr>
        <w:t>one of the method</w:t>
      </w:r>
      <w:r w:rsidR="008C4D01">
        <w:rPr>
          <w:b w:val="0"/>
        </w:rPr>
        <w:t>s</w:t>
      </w:r>
      <w:r w:rsidRPr="00F546EB">
        <w:rPr>
          <w:b w:val="0"/>
        </w:rPr>
        <w:t xml:space="preserve"> to determine the degree of polymerisation for boroaluminosilicate glasses even </w:t>
      </w:r>
      <w:r w:rsidR="00AF6A66">
        <w:rPr>
          <w:b w:val="0"/>
        </w:rPr>
        <w:t>in</w:t>
      </w:r>
      <w:r w:rsidRPr="00F546EB">
        <w:rPr>
          <w:b w:val="0"/>
        </w:rPr>
        <w:t xml:space="preserve"> very complex</w:t>
      </w:r>
      <w:r w:rsidR="00AF6A66">
        <w:rPr>
          <w:b w:val="0"/>
        </w:rPr>
        <w:t xml:space="preserve"> </w:t>
      </w:r>
      <w:r w:rsidR="00AF6A66" w:rsidRPr="00F546EB">
        <w:rPr>
          <w:b w:val="0"/>
        </w:rPr>
        <w:t>structure</w:t>
      </w:r>
      <w:r w:rsidR="00AF6A66">
        <w:rPr>
          <w:b w:val="0"/>
        </w:rPr>
        <w:t>s</w:t>
      </w:r>
      <w:r w:rsidRPr="00F546EB">
        <w:rPr>
          <w:b w:val="0"/>
        </w:rPr>
        <w:t xml:space="preserve">. </w:t>
      </w:r>
    </w:p>
    <w:p w14:paraId="47F959EE" w14:textId="77777777" w:rsidR="00666029" w:rsidRDefault="00666029" w:rsidP="00666029">
      <w:pPr>
        <w:pStyle w:val="Heading3"/>
      </w:pPr>
      <w:bookmarkStart w:id="983" w:name="_Toc12994988"/>
      <w:r>
        <w:lastRenderedPageBreak/>
        <w:t>6.1.4  Different types of alkaline earth used (</w:t>
      </w:r>
      <w:proofErr w:type="spellStart"/>
      <w:r>
        <w:t>CaO</w:t>
      </w:r>
      <w:proofErr w:type="spellEnd"/>
      <w:r>
        <w:t xml:space="preserve"> and </w:t>
      </w:r>
      <w:proofErr w:type="spellStart"/>
      <w:r>
        <w:t>BaO</w:t>
      </w:r>
      <w:proofErr w:type="spellEnd"/>
      <w:r>
        <w:t>)</w:t>
      </w:r>
      <w:bookmarkEnd w:id="983"/>
    </w:p>
    <w:p w14:paraId="43FBDF98" w14:textId="5351BB92" w:rsidR="00666029" w:rsidRDefault="00666029" w:rsidP="00666029">
      <w:pPr>
        <w:spacing w:line="360" w:lineRule="auto"/>
        <w:jc w:val="both"/>
        <w:rPr>
          <w:rFonts w:cs="Times New Roman"/>
          <w:b w:val="0"/>
          <w:szCs w:val="24"/>
        </w:rPr>
      </w:pPr>
      <w:r>
        <w:rPr>
          <w:b w:val="0"/>
        </w:rPr>
        <w:t>The glass transition temperature (</w:t>
      </w:r>
      <w:proofErr w:type="spellStart"/>
      <w:r>
        <w:rPr>
          <w:b w:val="0"/>
        </w:rPr>
        <w:t>T</w:t>
      </w:r>
      <w:r w:rsidRPr="00AB5A38">
        <w:rPr>
          <w:b w:val="0"/>
          <w:i/>
          <w:vertAlign w:val="subscript"/>
        </w:rPr>
        <w:t>g</w:t>
      </w:r>
      <w:proofErr w:type="spellEnd"/>
      <w:r>
        <w:rPr>
          <w:b w:val="0"/>
        </w:rPr>
        <w:t xml:space="preserve">) generally decreased with </w:t>
      </w:r>
      <w:r w:rsidR="008C4D01">
        <w:rPr>
          <w:b w:val="0"/>
        </w:rPr>
        <w:t xml:space="preserve">an </w:t>
      </w:r>
      <w:r>
        <w:rPr>
          <w:b w:val="0"/>
        </w:rPr>
        <w:t xml:space="preserve">increasing amount of alkaline earth in </w:t>
      </w:r>
      <w:r w:rsidR="00311853">
        <w:rPr>
          <w:b w:val="0"/>
        </w:rPr>
        <w:t xml:space="preserve">the </w:t>
      </w:r>
      <w:r>
        <w:rPr>
          <w:b w:val="0"/>
        </w:rPr>
        <w:t xml:space="preserve">composition due to </w:t>
      </w:r>
      <w:r w:rsidR="00311853">
        <w:rPr>
          <w:b w:val="0"/>
        </w:rPr>
        <w:t xml:space="preserve">increased </w:t>
      </w:r>
      <w:r>
        <w:rPr>
          <w:b w:val="0"/>
        </w:rPr>
        <w:t>netw</w:t>
      </w:r>
      <w:r w:rsidR="008E3147">
        <w:rPr>
          <w:b w:val="0"/>
        </w:rPr>
        <w:t>or</w:t>
      </w:r>
      <w:r>
        <w:rPr>
          <w:b w:val="0"/>
        </w:rPr>
        <w:t>k charge balance (increased NBOs). C</w:t>
      </w:r>
      <w:r w:rsidRPr="000E2377">
        <w:rPr>
          <w:rFonts w:asciiTheme="majorBidi" w:hAnsiTheme="majorBidi" w:cstheme="majorBidi"/>
          <w:b w:val="0"/>
          <w:szCs w:val="24"/>
        </w:rPr>
        <w:t xml:space="preserve">a </w:t>
      </w:r>
      <w:r>
        <w:rPr>
          <w:rFonts w:asciiTheme="majorBidi" w:hAnsiTheme="majorBidi" w:cstheme="majorBidi"/>
          <w:b w:val="0"/>
          <w:szCs w:val="24"/>
        </w:rPr>
        <w:t xml:space="preserve">containing glasses </w:t>
      </w:r>
      <w:r w:rsidRPr="000E2377">
        <w:rPr>
          <w:rFonts w:asciiTheme="majorBidi" w:hAnsiTheme="majorBidi" w:cstheme="majorBidi"/>
          <w:b w:val="0"/>
          <w:szCs w:val="24"/>
        </w:rPr>
        <w:t>have slightly higher glass transition temperature</w:t>
      </w:r>
      <w:r>
        <w:rPr>
          <w:rFonts w:asciiTheme="majorBidi" w:hAnsiTheme="majorBidi" w:cstheme="majorBidi"/>
          <w:b w:val="0"/>
          <w:szCs w:val="24"/>
        </w:rPr>
        <w:t>s</w:t>
      </w:r>
      <w:r w:rsidRPr="000E2377">
        <w:rPr>
          <w:rFonts w:asciiTheme="majorBidi" w:hAnsiTheme="majorBidi" w:cstheme="majorBidi"/>
          <w:b w:val="0"/>
          <w:szCs w:val="24"/>
        </w:rPr>
        <w:t xml:space="preserve"> than </w:t>
      </w:r>
      <w:r>
        <w:rPr>
          <w:rFonts w:asciiTheme="majorBidi" w:hAnsiTheme="majorBidi" w:cstheme="majorBidi"/>
          <w:b w:val="0"/>
          <w:szCs w:val="24"/>
        </w:rPr>
        <w:t xml:space="preserve">their </w:t>
      </w:r>
      <w:r w:rsidRPr="000E2377">
        <w:rPr>
          <w:rFonts w:asciiTheme="majorBidi" w:hAnsiTheme="majorBidi" w:cstheme="majorBidi"/>
          <w:b w:val="0"/>
          <w:szCs w:val="24"/>
        </w:rPr>
        <w:t xml:space="preserve">Ba </w:t>
      </w:r>
      <w:r>
        <w:rPr>
          <w:rFonts w:asciiTheme="majorBidi" w:hAnsiTheme="majorBidi" w:cstheme="majorBidi"/>
          <w:b w:val="0"/>
          <w:szCs w:val="24"/>
        </w:rPr>
        <w:t>containing counterparts. The</w:t>
      </w:r>
      <w:r w:rsidRPr="000E2377">
        <w:rPr>
          <w:rFonts w:asciiTheme="majorBidi" w:hAnsiTheme="majorBidi" w:cstheme="majorBidi"/>
          <w:b w:val="0"/>
          <w:szCs w:val="24"/>
        </w:rPr>
        <w:t xml:space="preserve"> connectivity</w:t>
      </w:r>
      <w:r>
        <w:rPr>
          <w:rFonts w:asciiTheme="majorBidi" w:hAnsiTheme="majorBidi" w:cstheme="majorBidi"/>
          <w:b w:val="0"/>
          <w:szCs w:val="24"/>
        </w:rPr>
        <w:t xml:space="preserve"> of the Ca containing glasses</w:t>
      </w:r>
      <w:r w:rsidRPr="000E2377">
        <w:rPr>
          <w:rFonts w:asciiTheme="majorBidi" w:hAnsiTheme="majorBidi" w:cstheme="majorBidi"/>
          <w:b w:val="0"/>
          <w:szCs w:val="24"/>
        </w:rPr>
        <w:t xml:space="preserve"> w</w:t>
      </w:r>
      <w:r>
        <w:rPr>
          <w:rFonts w:asciiTheme="majorBidi" w:hAnsiTheme="majorBidi" w:cstheme="majorBidi"/>
          <w:b w:val="0"/>
          <w:szCs w:val="24"/>
        </w:rPr>
        <w:t xml:space="preserve">as </w:t>
      </w:r>
      <w:r w:rsidRPr="000E2377">
        <w:rPr>
          <w:rFonts w:asciiTheme="majorBidi" w:hAnsiTheme="majorBidi" w:cstheme="majorBidi"/>
          <w:b w:val="0"/>
          <w:szCs w:val="24"/>
        </w:rPr>
        <w:t>also high</w:t>
      </w:r>
      <w:r>
        <w:rPr>
          <w:rFonts w:asciiTheme="majorBidi" w:hAnsiTheme="majorBidi" w:cstheme="majorBidi"/>
          <w:b w:val="0"/>
          <w:szCs w:val="24"/>
        </w:rPr>
        <w:t>er,</w:t>
      </w:r>
      <w:r w:rsidRPr="000E2377">
        <w:rPr>
          <w:rFonts w:asciiTheme="majorBidi" w:hAnsiTheme="majorBidi" w:cstheme="majorBidi"/>
          <w:b w:val="0"/>
          <w:szCs w:val="24"/>
        </w:rPr>
        <w:t xml:space="preserve"> </w:t>
      </w:r>
      <w:r>
        <w:rPr>
          <w:rFonts w:asciiTheme="majorBidi" w:hAnsiTheme="majorBidi" w:cstheme="majorBidi"/>
          <w:b w:val="0"/>
          <w:szCs w:val="24"/>
        </w:rPr>
        <w:t>as shown by the</w:t>
      </w:r>
      <w:r w:rsidRPr="000E2377">
        <w:rPr>
          <w:rFonts w:asciiTheme="majorBidi" w:hAnsiTheme="majorBidi" w:cstheme="majorBidi"/>
          <w:b w:val="0"/>
          <w:szCs w:val="24"/>
        </w:rPr>
        <w:t xml:space="preserve"> Raman</w:t>
      </w:r>
      <w:r>
        <w:rPr>
          <w:rFonts w:asciiTheme="majorBidi" w:hAnsiTheme="majorBidi" w:cstheme="majorBidi"/>
          <w:b w:val="0"/>
          <w:szCs w:val="24"/>
        </w:rPr>
        <w:t xml:space="preserve"> data (larger polymerization index)</w:t>
      </w:r>
      <w:r w:rsidRPr="000E2377">
        <w:rPr>
          <w:rFonts w:asciiTheme="majorBidi" w:hAnsiTheme="majorBidi" w:cstheme="majorBidi"/>
          <w:b w:val="0"/>
          <w:szCs w:val="24"/>
        </w:rPr>
        <w:t xml:space="preserve"> and NMR </w:t>
      </w:r>
      <w:r>
        <w:rPr>
          <w:rFonts w:asciiTheme="majorBidi" w:hAnsiTheme="majorBidi" w:cstheme="majorBidi"/>
          <w:b w:val="0"/>
          <w:szCs w:val="24"/>
        </w:rPr>
        <w:t>data (higher</w:t>
      </w:r>
      <w:r w:rsidRPr="000E2377">
        <w:rPr>
          <w:rFonts w:asciiTheme="majorBidi" w:hAnsiTheme="majorBidi" w:cstheme="majorBidi"/>
          <w:b w:val="0"/>
          <w:szCs w:val="24"/>
        </w:rPr>
        <w:t xml:space="preserve"> Q</w:t>
      </w:r>
      <w:r w:rsidRPr="000E2377">
        <w:rPr>
          <w:rFonts w:asciiTheme="majorBidi" w:hAnsiTheme="majorBidi" w:cstheme="majorBidi"/>
          <w:b w:val="0"/>
          <w:szCs w:val="24"/>
          <w:vertAlign w:val="superscript"/>
        </w:rPr>
        <w:t>4</w:t>
      </w:r>
      <w:r>
        <w:rPr>
          <w:rFonts w:asciiTheme="majorBidi" w:hAnsiTheme="majorBidi" w:cstheme="majorBidi"/>
          <w:b w:val="0"/>
          <w:szCs w:val="24"/>
        </w:rPr>
        <w:t xml:space="preserve"> content), due to higher field strength modifier cations have a greater</w:t>
      </w:r>
      <w:r w:rsidRPr="000E2377">
        <w:rPr>
          <w:rFonts w:asciiTheme="majorBidi" w:hAnsiTheme="majorBidi" w:cstheme="majorBidi"/>
          <w:b w:val="0"/>
          <w:szCs w:val="24"/>
        </w:rPr>
        <w:t xml:space="preserve"> tendency to charge balance Si-O-B</w:t>
      </w:r>
      <w:r w:rsidRPr="000E2377">
        <w:rPr>
          <w:rFonts w:asciiTheme="majorBidi" w:hAnsiTheme="majorBidi" w:cstheme="majorBidi"/>
          <w:b w:val="0"/>
          <w:szCs w:val="24"/>
          <w:vertAlign w:val="superscript"/>
        </w:rPr>
        <w:t>IV</w:t>
      </w:r>
      <w:r w:rsidRPr="000E2377">
        <w:rPr>
          <w:rFonts w:asciiTheme="majorBidi" w:hAnsiTheme="majorBidi" w:cstheme="majorBidi"/>
          <w:b w:val="0"/>
          <w:szCs w:val="24"/>
        </w:rPr>
        <w:t xml:space="preserve"> and </w:t>
      </w:r>
      <w:proofErr w:type="spellStart"/>
      <w:r w:rsidRPr="000E2377">
        <w:rPr>
          <w:rFonts w:asciiTheme="majorBidi" w:hAnsiTheme="majorBidi" w:cstheme="majorBidi"/>
          <w:b w:val="0"/>
          <w:szCs w:val="24"/>
        </w:rPr>
        <w:t>Si</w:t>
      </w:r>
      <w:r w:rsidRPr="000E2377">
        <w:rPr>
          <w:rFonts w:asciiTheme="majorBidi" w:hAnsiTheme="majorBidi" w:cstheme="majorBidi"/>
          <w:b w:val="0"/>
          <w:szCs w:val="24"/>
          <w:vertAlign w:val="superscript"/>
        </w:rPr>
        <w:t>IV</w:t>
      </w:r>
      <w:proofErr w:type="spellEnd"/>
      <w:r w:rsidRPr="000E2377">
        <w:rPr>
          <w:rFonts w:asciiTheme="majorBidi" w:hAnsiTheme="majorBidi" w:cstheme="majorBidi"/>
          <w:b w:val="0"/>
          <w:szCs w:val="24"/>
        </w:rPr>
        <w:t>-O-</w:t>
      </w:r>
      <w:proofErr w:type="spellStart"/>
      <w:r w:rsidRPr="000E2377">
        <w:rPr>
          <w:rFonts w:asciiTheme="majorBidi" w:hAnsiTheme="majorBidi" w:cstheme="majorBidi"/>
          <w:b w:val="0"/>
          <w:szCs w:val="24"/>
        </w:rPr>
        <w:t>Al</w:t>
      </w:r>
      <w:r w:rsidRPr="000E2377">
        <w:rPr>
          <w:rFonts w:asciiTheme="majorBidi" w:hAnsiTheme="majorBidi" w:cstheme="majorBidi"/>
          <w:b w:val="0"/>
          <w:szCs w:val="24"/>
          <w:vertAlign w:val="superscript"/>
        </w:rPr>
        <w:t>IV</w:t>
      </w:r>
      <w:proofErr w:type="spellEnd"/>
      <w:r w:rsidRPr="000E2377">
        <w:rPr>
          <w:rFonts w:asciiTheme="majorBidi" w:hAnsiTheme="majorBidi" w:cstheme="majorBidi"/>
          <w:b w:val="0"/>
          <w:szCs w:val="24"/>
        </w:rPr>
        <w:t xml:space="preserve"> bridging oxygens</w:t>
      </w:r>
      <w:r>
        <w:rPr>
          <w:rFonts w:asciiTheme="majorBidi" w:hAnsiTheme="majorBidi" w:cstheme="majorBidi"/>
          <w:b w:val="0"/>
          <w:szCs w:val="24"/>
        </w:rPr>
        <w:t xml:space="preserve"> and hence</w:t>
      </w:r>
      <w:r w:rsidRPr="000E2377">
        <w:rPr>
          <w:rFonts w:asciiTheme="majorBidi" w:hAnsiTheme="majorBidi" w:cstheme="majorBidi"/>
          <w:b w:val="0"/>
          <w:szCs w:val="24"/>
        </w:rPr>
        <w:t xml:space="preserve"> enhance B</w:t>
      </w:r>
      <w:r w:rsidR="008E3147" w:rsidRPr="008E3147">
        <w:rPr>
          <w:rFonts w:asciiTheme="majorBidi" w:hAnsiTheme="majorBidi" w:cstheme="majorBidi"/>
          <w:b w:val="0"/>
          <w:szCs w:val="24"/>
          <w:vertAlign w:val="superscript"/>
        </w:rPr>
        <w:t>III</w:t>
      </w:r>
      <w:r w:rsidRPr="000E2377">
        <w:rPr>
          <w:rFonts w:asciiTheme="majorBidi" w:hAnsiTheme="majorBidi" w:cstheme="majorBidi"/>
          <w:b w:val="0"/>
          <w:szCs w:val="24"/>
        </w:rPr>
        <w:t xml:space="preserve"> to B</w:t>
      </w:r>
      <w:r w:rsidR="008E3147" w:rsidRPr="008E3147">
        <w:rPr>
          <w:rFonts w:asciiTheme="majorBidi" w:hAnsiTheme="majorBidi" w:cstheme="majorBidi"/>
          <w:b w:val="0"/>
          <w:szCs w:val="24"/>
          <w:vertAlign w:val="superscript"/>
        </w:rPr>
        <w:t>IV</w:t>
      </w:r>
      <w:r w:rsidRPr="000E2377">
        <w:rPr>
          <w:rFonts w:asciiTheme="majorBidi" w:hAnsiTheme="majorBidi" w:cstheme="majorBidi"/>
          <w:b w:val="0"/>
          <w:szCs w:val="24"/>
        </w:rPr>
        <w:t xml:space="preserve"> and </w:t>
      </w:r>
      <w:proofErr w:type="spellStart"/>
      <w:r w:rsidRPr="000E2377">
        <w:rPr>
          <w:rFonts w:asciiTheme="majorBidi" w:hAnsiTheme="majorBidi" w:cstheme="majorBidi"/>
          <w:b w:val="0"/>
          <w:szCs w:val="24"/>
        </w:rPr>
        <w:t>Al</w:t>
      </w:r>
      <w:r w:rsidRPr="000E2377">
        <w:rPr>
          <w:rFonts w:asciiTheme="majorBidi" w:hAnsiTheme="majorBidi" w:cstheme="majorBidi"/>
          <w:b w:val="0"/>
          <w:szCs w:val="24"/>
          <w:vertAlign w:val="superscript"/>
        </w:rPr>
        <w:t>I</w:t>
      </w:r>
      <w:r>
        <w:rPr>
          <w:rFonts w:asciiTheme="majorBidi" w:hAnsiTheme="majorBidi" w:cstheme="majorBidi"/>
          <w:b w:val="0"/>
          <w:szCs w:val="24"/>
          <w:vertAlign w:val="superscript"/>
        </w:rPr>
        <w:t>II</w:t>
      </w:r>
      <w:proofErr w:type="spellEnd"/>
      <w:r w:rsidRPr="000E2377">
        <w:rPr>
          <w:rFonts w:asciiTheme="majorBidi" w:hAnsiTheme="majorBidi" w:cstheme="majorBidi"/>
          <w:b w:val="0"/>
          <w:szCs w:val="24"/>
        </w:rPr>
        <w:t xml:space="preserve"> to </w:t>
      </w:r>
      <w:proofErr w:type="spellStart"/>
      <w:r w:rsidRPr="000E2377">
        <w:rPr>
          <w:rFonts w:asciiTheme="majorBidi" w:hAnsiTheme="majorBidi" w:cstheme="majorBidi"/>
          <w:b w:val="0"/>
          <w:szCs w:val="24"/>
        </w:rPr>
        <w:t>Al</w:t>
      </w:r>
      <w:r w:rsidRPr="00345D0E">
        <w:rPr>
          <w:rFonts w:asciiTheme="majorBidi" w:hAnsiTheme="majorBidi" w:cstheme="majorBidi"/>
          <w:b w:val="0"/>
          <w:szCs w:val="24"/>
          <w:vertAlign w:val="superscript"/>
        </w:rPr>
        <w:t>I</w:t>
      </w:r>
      <w:r w:rsidRPr="000E2377">
        <w:rPr>
          <w:rFonts w:asciiTheme="majorBidi" w:hAnsiTheme="majorBidi" w:cstheme="majorBidi"/>
          <w:b w:val="0"/>
          <w:szCs w:val="24"/>
          <w:vertAlign w:val="superscript"/>
        </w:rPr>
        <w:t>V</w:t>
      </w:r>
      <w:proofErr w:type="spellEnd"/>
      <w:r w:rsidRPr="000E2377">
        <w:rPr>
          <w:rFonts w:asciiTheme="majorBidi" w:hAnsiTheme="majorBidi" w:cstheme="majorBidi"/>
          <w:b w:val="0"/>
          <w:szCs w:val="24"/>
        </w:rPr>
        <w:t xml:space="preserve"> </w:t>
      </w:r>
      <w:r>
        <w:rPr>
          <w:rFonts w:asciiTheme="majorBidi" w:hAnsiTheme="majorBidi" w:cstheme="majorBidi"/>
          <w:b w:val="0"/>
          <w:szCs w:val="24"/>
        </w:rPr>
        <w:t>conversion</w:t>
      </w:r>
      <w:r w:rsidR="008C4D01">
        <w:rPr>
          <w:rFonts w:asciiTheme="majorBidi" w:hAnsiTheme="majorBidi" w:cstheme="majorBidi"/>
          <w:b w:val="0"/>
          <w:szCs w:val="24"/>
        </w:rPr>
        <w:t>.</w:t>
      </w:r>
      <w:r>
        <w:rPr>
          <w:rFonts w:asciiTheme="majorBidi" w:hAnsiTheme="majorBidi" w:cstheme="majorBidi"/>
          <w:b w:val="0"/>
          <w:szCs w:val="24"/>
        </w:rPr>
        <w:t xml:space="preserve"> </w:t>
      </w:r>
      <w:r w:rsidRPr="000E2377">
        <w:rPr>
          <w:rFonts w:asciiTheme="majorBidi" w:hAnsiTheme="majorBidi" w:cstheme="majorBidi"/>
          <w:b w:val="0"/>
          <w:szCs w:val="24"/>
        </w:rPr>
        <w:t xml:space="preserve">However, </w:t>
      </w:r>
      <w:r w:rsidRPr="000E2377">
        <w:rPr>
          <w:b w:val="0"/>
          <w:color w:val="000000" w:themeColor="text1"/>
          <w:lang w:val="en-GB"/>
        </w:rPr>
        <w:t xml:space="preserve">when comparing different alkaline earths </w:t>
      </w:r>
      <w:r w:rsidR="0010196B">
        <w:rPr>
          <w:b w:val="0"/>
          <w:color w:val="000000" w:themeColor="text1"/>
          <w:lang w:val="en-GB"/>
        </w:rPr>
        <w:t xml:space="preserve">used, </w:t>
      </w:r>
      <w:r w:rsidRPr="000E2377">
        <w:rPr>
          <w:b w:val="0"/>
          <w:color w:val="000000" w:themeColor="text1"/>
          <w:lang w:val="en-GB"/>
        </w:rPr>
        <w:t xml:space="preserve">there was no significant difference between the effects of calcium and barium on the mechanical properties. </w:t>
      </w:r>
    </w:p>
    <w:p w14:paraId="30BDA5C8" w14:textId="77777777" w:rsidR="00666029" w:rsidRPr="00AC2DD0" w:rsidRDefault="00666029" w:rsidP="00666029">
      <w:pPr>
        <w:pStyle w:val="Heading3"/>
      </w:pPr>
      <w:bookmarkStart w:id="984" w:name="_Toc12994989"/>
      <w:r>
        <w:t>6.1.5</w:t>
      </w:r>
      <w:r>
        <w:tab/>
      </w:r>
      <w:r w:rsidRPr="00AC2DD0">
        <w:t>Compositional modification</w:t>
      </w:r>
      <w:bookmarkEnd w:id="984"/>
    </w:p>
    <w:p w14:paraId="768DC225" w14:textId="6F7C78E2" w:rsidR="00666029" w:rsidRDefault="00666029" w:rsidP="00666029">
      <w:pPr>
        <w:spacing w:line="360" w:lineRule="auto"/>
        <w:jc w:val="both"/>
        <w:rPr>
          <w:rFonts w:cs="Times New Roman"/>
          <w:b w:val="0"/>
          <w:szCs w:val="24"/>
        </w:rPr>
      </w:pPr>
      <w:r w:rsidRPr="00AC2DD0">
        <w:rPr>
          <w:rFonts w:cs="Times New Roman"/>
          <w:b w:val="0"/>
          <w:szCs w:val="24"/>
        </w:rPr>
        <w:t>Compositional modification</w:t>
      </w:r>
      <w:r w:rsidR="00A92D68">
        <w:rPr>
          <w:rFonts w:cs="Times New Roman"/>
          <w:b w:val="0"/>
          <w:szCs w:val="24"/>
        </w:rPr>
        <w:t>s</w:t>
      </w:r>
      <w:r w:rsidRPr="00AC2DD0">
        <w:rPr>
          <w:rFonts w:cs="Times New Roman"/>
          <w:b w:val="0"/>
          <w:szCs w:val="24"/>
        </w:rPr>
        <w:t xml:space="preserve"> </w:t>
      </w:r>
      <w:r>
        <w:rPr>
          <w:rFonts w:cs="Times New Roman"/>
          <w:b w:val="0"/>
          <w:szCs w:val="24"/>
        </w:rPr>
        <w:t xml:space="preserve">can </w:t>
      </w:r>
      <w:r w:rsidR="00A92D68">
        <w:rPr>
          <w:rFonts w:cs="Times New Roman"/>
          <w:b w:val="0"/>
          <w:szCs w:val="24"/>
        </w:rPr>
        <w:t xml:space="preserve">be </w:t>
      </w:r>
      <w:r>
        <w:rPr>
          <w:rFonts w:cs="Times New Roman"/>
          <w:b w:val="0"/>
          <w:szCs w:val="24"/>
        </w:rPr>
        <w:t xml:space="preserve">to </w:t>
      </w:r>
      <w:r w:rsidRPr="00AC2DD0">
        <w:rPr>
          <w:rFonts w:cs="Times New Roman"/>
          <w:b w:val="0"/>
          <w:szCs w:val="24"/>
        </w:rPr>
        <w:t xml:space="preserve">produce tougher commercial </w:t>
      </w:r>
      <w:r>
        <w:rPr>
          <w:rFonts w:cs="Times New Roman"/>
          <w:b w:val="0"/>
          <w:szCs w:val="24"/>
        </w:rPr>
        <w:t>boroaluminosilicate glass</w:t>
      </w:r>
      <w:r w:rsidRPr="00AC2DD0">
        <w:rPr>
          <w:rFonts w:cs="Times New Roman"/>
          <w:b w:val="0"/>
          <w:szCs w:val="24"/>
        </w:rPr>
        <w:t xml:space="preserve"> products. </w:t>
      </w:r>
      <w:r>
        <w:rPr>
          <w:rFonts w:cs="Times New Roman"/>
          <w:b w:val="0"/>
          <w:szCs w:val="24"/>
        </w:rPr>
        <w:t>Controlling the amount of network former (SiO</w:t>
      </w:r>
      <w:r w:rsidRPr="008D3158">
        <w:rPr>
          <w:rFonts w:cs="Times New Roman"/>
          <w:b w:val="0"/>
          <w:szCs w:val="24"/>
          <w:vertAlign w:val="subscript"/>
        </w:rPr>
        <w:t>2</w:t>
      </w:r>
      <w:r>
        <w:rPr>
          <w:rFonts w:cs="Times New Roman"/>
          <w:b w:val="0"/>
          <w:szCs w:val="24"/>
        </w:rPr>
        <w:t>, Al</w:t>
      </w:r>
      <w:r w:rsidRPr="008D3158">
        <w:rPr>
          <w:rFonts w:cs="Times New Roman"/>
          <w:b w:val="0"/>
          <w:szCs w:val="24"/>
          <w:vertAlign w:val="subscript"/>
        </w:rPr>
        <w:t>2</w:t>
      </w:r>
      <w:r>
        <w:rPr>
          <w:rFonts w:cs="Times New Roman"/>
          <w:b w:val="0"/>
          <w:szCs w:val="24"/>
        </w:rPr>
        <w:t>O</w:t>
      </w:r>
      <w:r w:rsidRPr="008D3158">
        <w:rPr>
          <w:rFonts w:cs="Times New Roman"/>
          <w:b w:val="0"/>
          <w:szCs w:val="24"/>
          <w:vertAlign w:val="subscript"/>
        </w:rPr>
        <w:t>3</w:t>
      </w:r>
      <w:r>
        <w:rPr>
          <w:rFonts w:cs="Times New Roman"/>
          <w:b w:val="0"/>
          <w:szCs w:val="24"/>
        </w:rPr>
        <w:t xml:space="preserve"> and B</w:t>
      </w:r>
      <w:r w:rsidRPr="008D3158">
        <w:rPr>
          <w:rFonts w:cs="Times New Roman"/>
          <w:b w:val="0"/>
          <w:szCs w:val="24"/>
          <w:vertAlign w:val="subscript"/>
        </w:rPr>
        <w:t>2</w:t>
      </w:r>
      <w:r>
        <w:rPr>
          <w:rFonts w:cs="Times New Roman"/>
          <w:b w:val="0"/>
          <w:szCs w:val="24"/>
        </w:rPr>
        <w:t>O</w:t>
      </w:r>
      <w:r w:rsidRPr="008D3158">
        <w:rPr>
          <w:rFonts w:cs="Times New Roman"/>
          <w:b w:val="0"/>
          <w:szCs w:val="24"/>
          <w:vertAlign w:val="subscript"/>
        </w:rPr>
        <w:t>3</w:t>
      </w:r>
      <w:r>
        <w:rPr>
          <w:rFonts w:cs="Times New Roman"/>
          <w:b w:val="0"/>
          <w:szCs w:val="24"/>
        </w:rPr>
        <w:t>) and network modifier (Na</w:t>
      </w:r>
      <w:r w:rsidRPr="008D3158">
        <w:rPr>
          <w:rFonts w:cs="Times New Roman"/>
          <w:b w:val="0"/>
          <w:szCs w:val="24"/>
          <w:vertAlign w:val="subscript"/>
        </w:rPr>
        <w:t>2</w:t>
      </w:r>
      <w:r>
        <w:rPr>
          <w:rFonts w:cs="Times New Roman"/>
          <w:b w:val="0"/>
          <w:szCs w:val="24"/>
        </w:rPr>
        <w:t xml:space="preserve">O, </w:t>
      </w:r>
      <w:proofErr w:type="spellStart"/>
      <w:r>
        <w:rPr>
          <w:rFonts w:cs="Times New Roman"/>
          <w:b w:val="0"/>
          <w:szCs w:val="24"/>
        </w:rPr>
        <w:t>CaO</w:t>
      </w:r>
      <w:proofErr w:type="spellEnd"/>
      <w:r>
        <w:rPr>
          <w:rFonts w:cs="Times New Roman"/>
          <w:b w:val="0"/>
          <w:szCs w:val="24"/>
        </w:rPr>
        <w:t xml:space="preserve"> and </w:t>
      </w:r>
      <w:proofErr w:type="spellStart"/>
      <w:r>
        <w:rPr>
          <w:rFonts w:cs="Times New Roman"/>
          <w:b w:val="0"/>
          <w:szCs w:val="24"/>
        </w:rPr>
        <w:t>BaO</w:t>
      </w:r>
      <w:proofErr w:type="spellEnd"/>
      <w:r>
        <w:rPr>
          <w:rFonts w:cs="Times New Roman"/>
          <w:b w:val="0"/>
          <w:szCs w:val="24"/>
        </w:rPr>
        <w:t xml:space="preserve">) in borosilicate glass to find the optimum structure-physical and mechanical properties </w:t>
      </w:r>
      <w:r w:rsidR="00A92D68">
        <w:rPr>
          <w:rFonts w:cs="Times New Roman"/>
          <w:b w:val="0"/>
          <w:szCs w:val="24"/>
        </w:rPr>
        <w:t xml:space="preserve">is </w:t>
      </w:r>
      <w:r>
        <w:rPr>
          <w:rFonts w:cs="Times New Roman"/>
          <w:b w:val="0"/>
          <w:szCs w:val="24"/>
        </w:rPr>
        <w:t xml:space="preserve">essential. Using alumina </w:t>
      </w:r>
      <w:r w:rsidR="008158FC">
        <w:rPr>
          <w:rFonts w:cs="Times New Roman"/>
          <w:b w:val="0"/>
          <w:szCs w:val="24"/>
        </w:rPr>
        <w:t xml:space="preserve">in </w:t>
      </w:r>
      <w:r w:rsidR="008C4D01">
        <w:rPr>
          <w:rFonts w:cs="Times New Roman"/>
          <w:b w:val="0"/>
          <w:szCs w:val="24"/>
        </w:rPr>
        <w:t xml:space="preserve">the </w:t>
      </w:r>
      <w:r w:rsidR="008158FC">
        <w:rPr>
          <w:rFonts w:cs="Times New Roman"/>
          <w:b w:val="0"/>
          <w:szCs w:val="24"/>
        </w:rPr>
        <w:t xml:space="preserve">peralkaline region </w:t>
      </w:r>
      <w:r>
        <w:rPr>
          <w:rFonts w:cs="Times New Roman"/>
          <w:b w:val="0"/>
          <w:szCs w:val="24"/>
        </w:rPr>
        <w:t xml:space="preserve">will help the compensation of alumina from alkali and alkaline earth. The best compositions of those studied in terms of its structural, physical and mechanical properties are generally glasses in series </w:t>
      </w:r>
      <w:r w:rsidRPr="00B33D12">
        <w:rPr>
          <w:rFonts w:eastAsia="Times New Roman" w:cs="Times New Roman"/>
          <w:b w:val="0"/>
          <w:color w:val="000000"/>
          <w:szCs w:val="24"/>
          <w:lang w:eastAsia="en-MY"/>
        </w:rPr>
        <w:t>N</w:t>
      </w:r>
      <w:r w:rsidRPr="00B33D12">
        <w:rPr>
          <w:rFonts w:eastAsia="Times New Roman" w:cs="Times New Roman"/>
          <w:b w:val="0"/>
          <w:color w:val="000000"/>
          <w:szCs w:val="24"/>
          <w:vertAlign w:val="subscript"/>
          <w:lang w:eastAsia="en-MY"/>
        </w:rPr>
        <w:t>15</w:t>
      </w:r>
      <w:r w:rsidRPr="00B33D12">
        <w:rPr>
          <w:rFonts w:eastAsia="Times New Roman" w:cs="Times New Roman"/>
          <w:b w:val="0"/>
          <w:color w:val="000000"/>
          <w:szCs w:val="24"/>
          <w:lang w:eastAsia="en-MY"/>
        </w:rPr>
        <w:t>C</w:t>
      </w:r>
      <w:r w:rsidRPr="00B33D12">
        <w:rPr>
          <w:rFonts w:eastAsia="Times New Roman" w:cs="Times New Roman"/>
          <w:b w:val="0"/>
          <w:color w:val="000000"/>
          <w:szCs w:val="24"/>
          <w:vertAlign w:val="subscript"/>
          <w:lang w:eastAsia="en-MY"/>
        </w:rPr>
        <w:t>x</w:t>
      </w:r>
      <w:r w:rsidRPr="00B33D12">
        <w:rPr>
          <w:rFonts w:eastAsia="Times New Roman" w:cs="Times New Roman"/>
          <w:b w:val="0"/>
          <w:color w:val="000000"/>
          <w:szCs w:val="24"/>
          <w:lang w:eastAsia="en-MY"/>
        </w:rPr>
        <w:t>A</w:t>
      </w:r>
      <w:r w:rsidRPr="00B33D12">
        <w:rPr>
          <w:rFonts w:eastAsia="Times New Roman" w:cs="Times New Roman"/>
          <w:b w:val="0"/>
          <w:color w:val="000000"/>
          <w:szCs w:val="24"/>
          <w:vertAlign w:val="subscript"/>
          <w:lang w:eastAsia="en-MY"/>
        </w:rPr>
        <w:t>2</w:t>
      </w:r>
      <w:r w:rsidRPr="00B33D12">
        <w:rPr>
          <w:rFonts w:eastAsia="Times New Roman" w:cs="Times New Roman"/>
          <w:b w:val="0"/>
          <w:color w:val="000000"/>
          <w:szCs w:val="24"/>
          <w:lang w:eastAsia="en-MY"/>
        </w:rPr>
        <w:t>B</w:t>
      </w:r>
      <w:r w:rsidRPr="00B33D12">
        <w:rPr>
          <w:rFonts w:eastAsia="Times New Roman" w:cs="Times New Roman"/>
          <w:b w:val="0"/>
          <w:color w:val="000000"/>
          <w:szCs w:val="24"/>
          <w:vertAlign w:val="subscript"/>
          <w:lang w:eastAsia="en-MY"/>
        </w:rPr>
        <w:t>10</w:t>
      </w:r>
      <w:r w:rsidRPr="00B33D12">
        <w:rPr>
          <w:rFonts w:eastAsia="Times New Roman" w:cs="Times New Roman"/>
          <w:b w:val="0"/>
          <w:color w:val="000000"/>
          <w:szCs w:val="24"/>
          <w:lang w:eastAsia="en-MY"/>
        </w:rPr>
        <w:t>S</w:t>
      </w:r>
      <w:r w:rsidRPr="00B33D12">
        <w:rPr>
          <w:rFonts w:eastAsia="Times New Roman" w:cs="Times New Roman"/>
          <w:b w:val="0"/>
          <w:color w:val="000000"/>
          <w:szCs w:val="24"/>
          <w:vertAlign w:val="subscript"/>
          <w:lang w:eastAsia="en-MY"/>
        </w:rPr>
        <w:t>73-x</w:t>
      </w:r>
      <w:r w:rsidRPr="00B33D12">
        <w:rPr>
          <w:rFonts w:cs="Times New Roman"/>
          <w:b w:val="0"/>
          <w:szCs w:val="24"/>
        </w:rPr>
        <w:t xml:space="preserve"> </w:t>
      </w:r>
      <w:r>
        <w:rPr>
          <w:rFonts w:cs="Times New Roman"/>
          <w:b w:val="0"/>
          <w:szCs w:val="24"/>
        </w:rPr>
        <w:t xml:space="preserve">specifically </w:t>
      </w:r>
      <w:r w:rsidRPr="00B33D12">
        <w:rPr>
          <w:rFonts w:cs="Times New Roman"/>
          <w:b w:val="0"/>
          <w:szCs w:val="24"/>
        </w:rPr>
        <w:t>N</w:t>
      </w:r>
      <w:r w:rsidRPr="00B33D12">
        <w:rPr>
          <w:rFonts w:cs="Times New Roman"/>
          <w:b w:val="0"/>
          <w:szCs w:val="24"/>
          <w:vertAlign w:val="subscript"/>
        </w:rPr>
        <w:t>15</w:t>
      </w:r>
      <w:r w:rsidRPr="00B33D12">
        <w:rPr>
          <w:rFonts w:cs="Times New Roman"/>
          <w:b w:val="0"/>
          <w:szCs w:val="24"/>
        </w:rPr>
        <w:t>C</w:t>
      </w:r>
      <w:r w:rsidRPr="00B33D12">
        <w:rPr>
          <w:rFonts w:cs="Times New Roman"/>
          <w:b w:val="0"/>
          <w:szCs w:val="24"/>
          <w:vertAlign w:val="subscript"/>
        </w:rPr>
        <w:t>10</w:t>
      </w:r>
      <w:r w:rsidRPr="00B33D12">
        <w:rPr>
          <w:rFonts w:cs="Times New Roman"/>
          <w:b w:val="0"/>
          <w:szCs w:val="24"/>
        </w:rPr>
        <w:t>A</w:t>
      </w:r>
      <w:r w:rsidRPr="00B33D12">
        <w:rPr>
          <w:rFonts w:cs="Times New Roman"/>
          <w:b w:val="0"/>
          <w:szCs w:val="24"/>
          <w:vertAlign w:val="subscript"/>
        </w:rPr>
        <w:t>2</w:t>
      </w:r>
      <w:r w:rsidRPr="00B33D12">
        <w:rPr>
          <w:rFonts w:cs="Times New Roman"/>
          <w:b w:val="0"/>
          <w:szCs w:val="24"/>
        </w:rPr>
        <w:t>B</w:t>
      </w:r>
      <w:r w:rsidRPr="00B33D12">
        <w:rPr>
          <w:rFonts w:cs="Times New Roman"/>
          <w:b w:val="0"/>
          <w:szCs w:val="24"/>
          <w:vertAlign w:val="subscript"/>
        </w:rPr>
        <w:t>10</w:t>
      </w:r>
      <w:r w:rsidRPr="00B33D12">
        <w:rPr>
          <w:rFonts w:cs="Times New Roman"/>
          <w:b w:val="0"/>
          <w:szCs w:val="24"/>
        </w:rPr>
        <w:t>S</w:t>
      </w:r>
      <w:r w:rsidRPr="00B33D12">
        <w:rPr>
          <w:rFonts w:cs="Times New Roman"/>
          <w:b w:val="0"/>
          <w:szCs w:val="24"/>
          <w:vertAlign w:val="subscript"/>
        </w:rPr>
        <w:t>63</w:t>
      </w:r>
      <w:r>
        <w:rPr>
          <w:rFonts w:cs="Times New Roman"/>
          <w:b w:val="0"/>
          <w:szCs w:val="24"/>
        </w:rPr>
        <w:t xml:space="preserve">. This can be seen from the ternary diagram shown in Chapter 5. </w:t>
      </w:r>
      <w:bookmarkStart w:id="985" w:name="_Toc523402950"/>
      <w:bookmarkStart w:id="986" w:name="_Toc525526461"/>
      <w:bookmarkStart w:id="987" w:name="_Toc525707886"/>
      <w:bookmarkStart w:id="988" w:name="_Toc525742551"/>
    </w:p>
    <w:p w14:paraId="375DF323" w14:textId="77777777" w:rsidR="00666029" w:rsidRDefault="00666029" w:rsidP="00666029">
      <w:pPr>
        <w:spacing w:after="0" w:line="360" w:lineRule="auto"/>
        <w:jc w:val="both"/>
      </w:pPr>
    </w:p>
    <w:p w14:paraId="2A455C8F" w14:textId="77777777" w:rsidR="00666029" w:rsidRDefault="00666029" w:rsidP="00666029">
      <w:pPr>
        <w:spacing w:after="0" w:line="360" w:lineRule="auto"/>
        <w:jc w:val="both"/>
      </w:pPr>
    </w:p>
    <w:p w14:paraId="41FCA16E" w14:textId="50796102" w:rsidR="00666029" w:rsidRDefault="00666029" w:rsidP="00666029">
      <w:pPr>
        <w:spacing w:after="0" w:line="360" w:lineRule="auto"/>
        <w:jc w:val="both"/>
      </w:pPr>
    </w:p>
    <w:p w14:paraId="5B8B5986" w14:textId="28407A43" w:rsidR="006834FC" w:rsidRDefault="006834FC" w:rsidP="00666029">
      <w:pPr>
        <w:spacing w:after="0" w:line="360" w:lineRule="auto"/>
        <w:jc w:val="both"/>
      </w:pPr>
    </w:p>
    <w:p w14:paraId="4C9F33A2" w14:textId="77777777" w:rsidR="006834FC" w:rsidRDefault="006834FC" w:rsidP="00666029">
      <w:pPr>
        <w:spacing w:after="0" w:line="360" w:lineRule="auto"/>
        <w:jc w:val="both"/>
      </w:pPr>
    </w:p>
    <w:p w14:paraId="496FA473" w14:textId="77777777" w:rsidR="00072B77" w:rsidRDefault="00072B77" w:rsidP="00072B77">
      <w:bookmarkStart w:id="989" w:name="_Toc12994990"/>
    </w:p>
    <w:p w14:paraId="70059260" w14:textId="4DC8B892" w:rsidR="00666029" w:rsidRDefault="00666029" w:rsidP="00072B77">
      <w:pPr>
        <w:pStyle w:val="Heading2"/>
        <w:jc w:val="left"/>
      </w:pPr>
      <w:r w:rsidRPr="000E2377">
        <w:lastRenderedPageBreak/>
        <w:t xml:space="preserve">6.2 </w:t>
      </w:r>
      <w:bookmarkEnd w:id="985"/>
      <w:bookmarkEnd w:id="986"/>
      <w:r>
        <w:t>Suggestions for further work</w:t>
      </w:r>
      <w:bookmarkEnd w:id="987"/>
      <w:bookmarkEnd w:id="988"/>
      <w:bookmarkEnd w:id="989"/>
    </w:p>
    <w:p w14:paraId="20CD4D89" w14:textId="172FB9E5" w:rsidR="00666029" w:rsidRDefault="00666029" w:rsidP="006834FC">
      <w:pPr>
        <w:pStyle w:val="Heading3"/>
        <w:numPr>
          <w:ilvl w:val="3"/>
          <w:numId w:val="11"/>
        </w:numPr>
      </w:pPr>
      <w:bookmarkStart w:id="990" w:name="_Toc12994991"/>
      <w:r>
        <w:t>6.2.1</w:t>
      </w:r>
      <w:r>
        <w:tab/>
        <w:t xml:space="preserve"> Produced varied of glass composition using </w:t>
      </w:r>
      <w:r w:rsidR="008C4D01">
        <w:t xml:space="preserve">the </w:t>
      </w:r>
      <w:r>
        <w:t xml:space="preserve">ternary diagram as a </w:t>
      </w:r>
      <w:r w:rsidR="00A92D68">
        <w:t xml:space="preserve">basis </w:t>
      </w:r>
      <w:r>
        <w:t xml:space="preserve">to </w:t>
      </w:r>
      <w:r w:rsidR="006834FC">
        <w:t xml:space="preserve"> </w:t>
      </w:r>
      <w:r>
        <w:t>produce new compositions.</w:t>
      </w:r>
      <w:bookmarkEnd w:id="990"/>
    </w:p>
    <w:p w14:paraId="7F244088" w14:textId="1D0A5258" w:rsidR="00666029" w:rsidRDefault="00666029" w:rsidP="00666029">
      <w:pPr>
        <w:spacing w:line="360" w:lineRule="auto"/>
        <w:jc w:val="both"/>
        <w:rPr>
          <w:b w:val="0"/>
        </w:rPr>
      </w:pPr>
      <w:r w:rsidRPr="006D75E6">
        <w:rPr>
          <w:b w:val="0"/>
        </w:rPr>
        <w:t>The compositions studied were all within a limited region of the ternary diagram (as mention</w:t>
      </w:r>
      <w:r>
        <w:rPr>
          <w:b w:val="0"/>
        </w:rPr>
        <w:t>ed</w:t>
      </w:r>
      <w:r w:rsidRPr="006D75E6">
        <w:rPr>
          <w:b w:val="0"/>
        </w:rPr>
        <w:t xml:space="preserve"> in </w:t>
      </w:r>
      <w:r w:rsidR="00A92D68">
        <w:rPr>
          <w:b w:val="0"/>
        </w:rPr>
        <w:t xml:space="preserve">section </w:t>
      </w:r>
      <w:r w:rsidRPr="006D75E6">
        <w:rPr>
          <w:b w:val="0"/>
        </w:rPr>
        <w:t xml:space="preserve">4.1). A wider or different range of compositions should be studied to see if the relationships identified here apply over a wider compositional region. </w:t>
      </w:r>
    </w:p>
    <w:p w14:paraId="2CCC915A" w14:textId="36F3158D" w:rsidR="00666029" w:rsidRDefault="00666029" w:rsidP="00666029">
      <w:pPr>
        <w:pStyle w:val="Heading3"/>
      </w:pPr>
      <w:bookmarkStart w:id="991" w:name="_Toc12994992"/>
      <w:r>
        <w:t>6.2.2</w:t>
      </w:r>
      <w:r>
        <w:tab/>
        <w:t xml:space="preserve">Phase separation due to </w:t>
      </w:r>
      <w:r w:rsidR="008C4D01">
        <w:t xml:space="preserve">the </w:t>
      </w:r>
      <w:r w:rsidR="0010196B">
        <w:t xml:space="preserve">presence </w:t>
      </w:r>
      <w:r>
        <w:t xml:space="preserve">of silica/boron oxide in </w:t>
      </w:r>
      <w:r w:rsidR="008C4D01">
        <w:t xml:space="preserve">the </w:t>
      </w:r>
      <w:r>
        <w:t>glass melt.</w:t>
      </w:r>
      <w:bookmarkEnd w:id="991"/>
    </w:p>
    <w:p w14:paraId="3EF0EB8F" w14:textId="361B1860" w:rsidR="00666029" w:rsidRDefault="00666029" w:rsidP="00666029">
      <w:pPr>
        <w:spacing w:line="360" w:lineRule="auto"/>
        <w:jc w:val="both"/>
        <w:rPr>
          <w:b w:val="0"/>
        </w:rPr>
      </w:pPr>
      <w:r>
        <w:rPr>
          <w:b w:val="0"/>
        </w:rPr>
        <w:t xml:space="preserve">Phase separation in silicate, borate or borosilicate glass </w:t>
      </w:r>
      <w:r w:rsidR="008C4D01">
        <w:rPr>
          <w:b w:val="0"/>
        </w:rPr>
        <w:t xml:space="preserve">has </w:t>
      </w:r>
      <w:r>
        <w:rPr>
          <w:b w:val="0"/>
        </w:rPr>
        <w:t xml:space="preserve">been extensively studied especially on </w:t>
      </w:r>
      <w:r w:rsidR="008C4D01">
        <w:rPr>
          <w:b w:val="0"/>
        </w:rPr>
        <w:t xml:space="preserve">the </w:t>
      </w:r>
      <w:r>
        <w:rPr>
          <w:b w:val="0"/>
        </w:rPr>
        <w:t>boundary of alkalis and alkaline earth oxides and the effect of alkalis and alkaline earth to the system. This is because</w:t>
      </w:r>
      <w:r w:rsidR="00AF6A66">
        <w:rPr>
          <w:b w:val="0"/>
        </w:rPr>
        <w:t>, phase separation easily</w:t>
      </w:r>
      <w:r>
        <w:rPr>
          <w:b w:val="0"/>
        </w:rPr>
        <w:t xml:space="preserve"> </w:t>
      </w:r>
      <w:r w:rsidR="00A92D68">
        <w:rPr>
          <w:b w:val="0"/>
        </w:rPr>
        <w:t xml:space="preserve">occurs </w:t>
      </w:r>
      <w:r>
        <w:rPr>
          <w:b w:val="0"/>
        </w:rPr>
        <w:t xml:space="preserve">in alkali-rich </w:t>
      </w:r>
      <w:r w:rsidR="00A92D68">
        <w:rPr>
          <w:b w:val="0"/>
        </w:rPr>
        <w:t xml:space="preserve">composition </w:t>
      </w:r>
      <w:r w:rsidR="00AF6A66">
        <w:rPr>
          <w:b w:val="0"/>
        </w:rPr>
        <w:t xml:space="preserve">but </w:t>
      </w:r>
      <w:r w:rsidR="00A92D68">
        <w:rPr>
          <w:b w:val="0"/>
        </w:rPr>
        <w:t xml:space="preserve">it </w:t>
      </w:r>
      <w:r>
        <w:rPr>
          <w:b w:val="0"/>
        </w:rPr>
        <w:t xml:space="preserve">only </w:t>
      </w:r>
      <w:r w:rsidR="00A92D68">
        <w:rPr>
          <w:b w:val="0"/>
        </w:rPr>
        <w:t xml:space="preserve">occurs </w:t>
      </w:r>
      <w:r>
        <w:rPr>
          <w:b w:val="0"/>
        </w:rPr>
        <w:t>with additional help from repeated heat treatment</w:t>
      </w:r>
      <w:r w:rsidR="00A92D68">
        <w:rPr>
          <w:b w:val="0"/>
        </w:rPr>
        <w:t>s</w:t>
      </w:r>
      <w:r>
        <w:rPr>
          <w:b w:val="0"/>
        </w:rPr>
        <w:t xml:space="preserve">. </w:t>
      </w:r>
      <w:r w:rsidRPr="006D75E6">
        <w:rPr>
          <w:b w:val="0"/>
        </w:rPr>
        <w:t xml:space="preserve">The effects of any possible phase separation in boroaluminosilicate glasses should be investigated by using transmission electron microscopy. </w:t>
      </w:r>
      <w:r>
        <w:rPr>
          <w:b w:val="0"/>
        </w:rPr>
        <w:t>The liquid phase separation might occur when the glass is produced at a certain temperature.  The separation also might occur during cool</w:t>
      </w:r>
      <w:r w:rsidR="00AF6A66">
        <w:rPr>
          <w:b w:val="0"/>
        </w:rPr>
        <w:t xml:space="preserve">ing or </w:t>
      </w:r>
      <w:r>
        <w:rPr>
          <w:b w:val="0"/>
        </w:rPr>
        <w:t xml:space="preserve">heating the glass at </w:t>
      </w:r>
      <w:r w:rsidR="008C4D01">
        <w:rPr>
          <w:b w:val="0"/>
        </w:rPr>
        <w:t xml:space="preserve">a </w:t>
      </w:r>
      <w:r>
        <w:rPr>
          <w:b w:val="0"/>
        </w:rPr>
        <w:t xml:space="preserve">lower temperature.  </w:t>
      </w:r>
    </w:p>
    <w:p w14:paraId="3B8999D4" w14:textId="4882F550" w:rsidR="00666029" w:rsidRDefault="00666029" w:rsidP="00666029">
      <w:pPr>
        <w:pStyle w:val="Heading3"/>
      </w:pPr>
      <w:bookmarkStart w:id="992" w:name="_Toc12994993"/>
      <w:r>
        <w:t>6.2.3</w:t>
      </w:r>
      <w:r>
        <w:tab/>
        <w:t>Toughness measurement using 4 point bending.</w:t>
      </w:r>
      <w:bookmarkEnd w:id="992"/>
    </w:p>
    <w:p w14:paraId="1210D185" w14:textId="4A178E21" w:rsidR="00666029" w:rsidRDefault="00666029" w:rsidP="00666029">
      <w:pPr>
        <w:spacing w:line="360" w:lineRule="auto"/>
        <w:jc w:val="both"/>
        <w:rPr>
          <w:b w:val="0"/>
        </w:rPr>
      </w:pPr>
      <w:r w:rsidRPr="006D75E6">
        <w:rPr>
          <w:b w:val="0"/>
        </w:rPr>
        <w:t xml:space="preserve">In this research, toughness was only measured using </w:t>
      </w:r>
      <w:r w:rsidR="008C4D01">
        <w:rPr>
          <w:b w:val="0"/>
        </w:rPr>
        <w:t xml:space="preserve">a </w:t>
      </w:r>
      <w:r w:rsidRPr="006D75E6">
        <w:rPr>
          <w:b w:val="0"/>
        </w:rPr>
        <w:t xml:space="preserve">Vickers indentation method due to universal testing equipment that could have been used for single edge notched bend tests </w:t>
      </w:r>
      <w:r w:rsidR="00AF6A66">
        <w:rPr>
          <w:b w:val="0"/>
        </w:rPr>
        <w:t xml:space="preserve">are </w:t>
      </w:r>
      <w:r w:rsidRPr="006D75E6">
        <w:rPr>
          <w:b w:val="0"/>
        </w:rPr>
        <w:t>being out of action for extended periods. Various authors have shown that the indentation method is of limited reliability compared to conventional fracture toughness measurement techniques</w:t>
      </w:r>
      <w:r w:rsidR="00AF6A66">
        <w:rPr>
          <w:b w:val="0"/>
        </w:rPr>
        <w:t>. T</w:t>
      </w:r>
      <w:r w:rsidR="008C4D01">
        <w:rPr>
          <w:b w:val="0"/>
        </w:rPr>
        <w:t>herefore,</w:t>
      </w:r>
      <w:r w:rsidRPr="006D75E6">
        <w:rPr>
          <w:b w:val="0"/>
        </w:rPr>
        <w:t xml:space="preserve"> fracture toughness of these glasses should be measured using single edge notch bend testing. </w:t>
      </w:r>
      <w:proofErr w:type="spellStart"/>
      <w:r>
        <w:rPr>
          <w:b w:val="0"/>
        </w:rPr>
        <w:t>Kilinc</w:t>
      </w:r>
      <w:proofErr w:type="spellEnd"/>
      <w:r>
        <w:rPr>
          <w:b w:val="0"/>
        </w:rPr>
        <w:t xml:space="preserve"> (2016) used to compare the different study of toughness measurement using Vickers indentation and 4 point bending. </w:t>
      </w:r>
    </w:p>
    <w:p w14:paraId="28DF1B6E" w14:textId="0D0E1AB0" w:rsidR="00666029" w:rsidRDefault="00666029" w:rsidP="006834FC">
      <w:pPr>
        <w:spacing w:after="0" w:line="360" w:lineRule="auto"/>
        <w:jc w:val="both"/>
      </w:pPr>
      <w:r>
        <w:t>6.2.4</w:t>
      </w:r>
      <w:r>
        <w:tab/>
        <w:t xml:space="preserve">NMR analysis for </w:t>
      </w:r>
      <w:r w:rsidR="00A92D68">
        <w:t xml:space="preserve">detailed </w:t>
      </w:r>
      <w:r>
        <w:t>structural studies (</w:t>
      </w:r>
      <w:r w:rsidR="00A92D68">
        <w:t xml:space="preserve">including </w:t>
      </w:r>
      <w:r>
        <w:t>Na, Al, B and Si).</w:t>
      </w:r>
    </w:p>
    <w:p w14:paraId="122C1465" w14:textId="06321335" w:rsidR="00666029" w:rsidRDefault="00666029" w:rsidP="00666029">
      <w:pPr>
        <w:spacing w:line="360" w:lineRule="auto"/>
        <w:jc w:val="both"/>
        <w:rPr>
          <w:b w:val="0"/>
        </w:rPr>
      </w:pPr>
      <w:r w:rsidRPr="006D75E6">
        <w:rPr>
          <w:b w:val="0"/>
        </w:rPr>
        <w:t xml:space="preserve">More detailed structural investigation of Al and B speciation using </w:t>
      </w:r>
      <w:r w:rsidRPr="006D75E6">
        <w:rPr>
          <w:b w:val="0"/>
          <w:vertAlign w:val="superscript"/>
        </w:rPr>
        <w:t>27</w:t>
      </w:r>
      <w:r w:rsidRPr="006D75E6">
        <w:rPr>
          <w:b w:val="0"/>
        </w:rPr>
        <w:t xml:space="preserve">Al NMR and </w:t>
      </w:r>
      <w:r w:rsidRPr="006D75E6">
        <w:rPr>
          <w:b w:val="0"/>
          <w:vertAlign w:val="superscript"/>
        </w:rPr>
        <w:t>17</w:t>
      </w:r>
      <w:r w:rsidRPr="006D75E6">
        <w:rPr>
          <w:b w:val="0"/>
        </w:rPr>
        <w:t xml:space="preserve">B spectroscopies should be undertaken. </w:t>
      </w:r>
      <w:r>
        <w:rPr>
          <w:b w:val="0"/>
        </w:rPr>
        <w:t xml:space="preserve">In this study, there are only selected samples were </w:t>
      </w:r>
      <w:r w:rsidR="00A92D68">
        <w:rPr>
          <w:b w:val="0"/>
        </w:rPr>
        <w:t>analysed using</w:t>
      </w:r>
      <w:r>
        <w:rPr>
          <w:b w:val="0"/>
        </w:rPr>
        <w:t xml:space="preserve"> NMR </w:t>
      </w:r>
      <w:r w:rsidR="00A92D68">
        <w:rPr>
          <w:b w:val="0"/>
        </w:rPr>
        <w:t xml:space="preserve">and </w:t>
      </w:r>
      <w:r>
        <w:rPr>
          <w:b w:val="0"/>
        </w:rPr>
        <w:t xml:space="preserve">only Al, B and Si </w:t>
      </w:r>
      <w:r w:rsidR="00A92D68">
        <w:rPr>
          <w:b w:val="0"/>
        </w:rPr>
        <w:t>were studied; N</w:t>
      </w:r>
      <w:r>
        <w:rPr>
          <w:b w:val="0"/>
        </w:rPr>
        <w:t xml:space="preserve">a </w:t>
      </w:r>
      <w:r w:rsidR="00A92D68">
        <w:rPr>
          <w:b w:val="0"/>
        </w:rPr>
        <w:t>was not studied</w:t>
      </w:r>
      <w:r>
        <w:rPr>
          <w:b w:val="0"/>
        </w:rPr>
        <w:t xml:space="preserve">. </w:t>
      </w:r>
    </w:p>
    <w:p w14:paraId="66047ACF" w14:textId="77777777" w:rsidR="008571D5" w:rsidRPr="006D75E6" w:rsidRDefault="008571D5" w:rsidP="00666029">
      <w:pPr>
        <w:spacing w:line="360" w:lineRule="auto"/>
        <w:jc w:val="both"/>
        <w:rPr>
          <w:b w:val="0"/>
        </w:rPr>
      </w:pPr>
    </w:p>
    <w:p w14:paraId="40171A78" w14:textId="77777777" w:rsidR="00666029" w:rsidRPr="006D75E6" w:rsidRDefault="00666029" w:rsidP="00666029">
      <w:pPr>
        <w:pStyle w:val="Heading3"/>
      </w:pPr>
      <w:bookmarkStart w:id="993" w:name="_Toc12994994"/>
      <w:r>
        <w:lastRenderedPageBreak/>
        <w:t>6.2.5</w:t>
      </w:r>
      <w:r>
        <w:tab/>
      </w:r>
      <w:r w:rsidRPr="006D75E6">
        <w:t xml:space="preserve">Using different types of </w:t>
      </w:r>
      <w:r>
        <w:t>alkali / a</w:t>
      </w:r>
      <w:r w:rsidRPr="006D75E6">
        <w:t>lkaline earth as network modifier</w:t>
      </w:r>
      <w:r>
        <w:t>.</w:t>
      </w:r>
      <w:bookmarkEnd w:id="993"/>
    </w:p>
    <w:p w14:paraId="515F34C6" w14:textId="04B45279" w:rsidR="00666029" w:rsidRPr="006D75E6" w:rsidRDefault="00666029" w:rsidP="00666029">
      <w:pPr>
        <w:spacing w:line="360" w:lineRule="auto"/>
        <w:jc w:val="both"/>
        <w:rPr>
          <w:b w:val="0"/>
        </w:rPr>
      </w:pPr>
      <w:r>
        <w:rPr>
          <w:b w:val="0"/>
        </w:rPr>
        <w:t>This</w:t>
      </w:r>
      <w:r w:rsidRPr="006D75E6">
        <w:rPr>
          <w:b w:val="0"/>
        </w:rPr>
        <w:t xml:space="preserve"> research only focused on using two different types of alkaline earth as network modifier (</w:t>
      </w:r>
      <w:proofErr w:type="spellStart"/>
      <w:r w:rsidRPr="006D75E6">
        <w:rPr>
          <w:b w:val="0"/>
        </w:rPr>
        <w:t>CaO</w:t>
      </w:r>
      <w:proofErr w:type="spellEnd"/>
      <w:r w:rsidRPr="006D75E6">
        <w:rPr>
          <w:b w:val="0"/>
        </w:rPr>
        <w:t xml:space="preserve"> and </w:t>
      </w:r>
      <w:proofErr w:type="spellStart"/>
      <w:r w:rsidRPr="006D75E6">
        <w:rPr>
          <w:b w:val="0"/>
        </w:rPr>
        <w:t>BaO</w:t>
      </w:r>
      <w:proofErr w:type="spellEnd"/>
      <w:r w:rsidRPr="006D75E6">
        <w:rPr>
          <w:b w:val="0"/>
        </w:rPr>
        <w:t xml:space="preserve">). Thus, the effect of other alkaline earths such as MgO and </w:t>
      </w:r>
      <w:proofErr w:type="spellStart"/>
      <w:r w:rsidRPr="006D75E6">
        <w:rPr>
          <w:b w:val="0"/>
        </w:rPr>
        <w:t>SrO</w:t>
      </w:r>
      <w:proofErr w:type="spellEnd"/>
      <w:r w:rsidRPr="006D75E6">
        <w:rPr>
          <w:b w:val="0"/>
        </w:rPr>
        <w:t xml:space="preserve"> </w:t>
      </w:r>
      <w:r>
        <w:rPr>
          <w:b w:val="0"/>
        </w:rPr>
        <w:t>can</w:t>
      </w:r>
      <w:r w:rsidRPr="006D75E6">
        <w:rPr>
          <w:b w:val="0"/>
        </w:rPr>
        <w:t xml:space="preserve"> also be studied. The role of different alkali oxides, such as </w:t>
      </w:r>
      <w:r w:rsidR="008C4D01" w:rsidRPr="006D75E6">
        <w:rPr>
          <w:b w:val="0"/>
        </w:rPr>
        <w:t>potassi</w:t>
      </w:r>
      <w:r w:rsidR="008C4D01">
        <w:rPr>
          <w:b w:val="0"/>
        </w:rPr>
        <w:t>um</w:t>
      </w:r>
      <w:r w:rsidR="008C4D01" w:rsidRPr="006D75E6">
        <w:rPr>
          <w:b w:val="0"/>
        </w:rPr>
        <w:t xml:space="preserve"> </w:t>
      </w:r>
      <w:r w:rsidRPr="006D75E6">
        <w:rPr>
          <w:b w:val="0"/>
        </w:rPr>
        <w:t xml:space="preserve">and lithia would also be worthwhile studying to see the effect to the Al and B coordination and mostly effect to the properties. </w:t>
      </w:r>
      <w:r>
        <w:rPr>
          <w:b w:val="0"/>
        </w:rPr>
        <w:t xml:space="preserve">Mixed alkaline earth or mixed alkali effect can also be studied by replacing alkali/alkaline earth with another alkali/alkaline earth in glass composition or in other words, </w:t>
      </w:r>
      <w:r w:rsidRPr="00545141">
        <w:rPr>
          <w:b w:val="0"/>
        </w:rPr>
        <w:t>one alkali</w:t>
      </w:r>
      <w:r>
        <w:rPr>
          <w:b w:val="0"/>
        </w:rPr>
        <w:t>/ alkaline earth</w:t>
      </w:r>
      <w:r w:rsidRPr="00545141">
        <w:rPr>
          <w:b w:val="0"/>
        </w:rPr>
        <w:t xml:space="preserve"> ion is substituted by another one</w:t>
      </w:r>
      <w:r>
        <w:rPr>
          <w:b w:val="0"/>
        </w:rPr>
        <w:t>. As earlier stated in the literature review, mixed alkali/alkaline earths result in non-linear property var</w:t>
      </w:r>
      <w:r w:rsidR="008C4D01">
        <w:rPr>
          <w:b w:val="0"/>
        </w:rPr>
        <w:t>i</w:t>
      </w:r>
      <w:r>
        <w:rPr>
          <w:b w:val="0"/>
        </w:rPr>
        <w:t>ation</w:t>
      </w:r>
      <w:r w:rsidR="00A92D68">
        <w:rPr>
          <w:b w:val="0"/>
        </w:rPr>
        <w:t>s</w:t>
      </w:r>
      <w:r>
        <w:rPr>
          <w:b w:val="0"/>
        </w:rPr>
        <w:t xml:space="preserve">. The mixed alkaline earth effect </w:t>
      </w:r>
      <w:r w:rsidR="008C4D01">
        <w:rPr>
          <w:b w:val="0"/>
        </w:rPr>
        <w:t xml:space="preserve">has </w:t>
      </w:r>
      <w:r>
        <w:rPr>
          <w:b w:val="0"/>
        </w:rPr>
        <w:t>received less attention</w:t>
      </w:r>
      <w:r w:rsidR="005631FE">
        <w:rPr>
          <w:b w:val="0"/>
        </w:rPr>
        <w:t xml:space="preserve"> and</w:t>
      </w:r>
      <w:r w:rsidR="008F5B96">
        <w:rPr>
          <w:b w:val="0"/>
        </w:rPr>
        <w:t xml:space="preserve"> it is important to study their technology, structural and scientific </w:t>
      </w:r>
      <w:r w:rsidR="00876E78">
        <w:rPr>
          <w:b w:val="0"/>
        </w:rPr>
        <w:t xml:space="preserve">since the mixed alkaline earth can </w:t>
      </w:r>
      <w:r w:rsidR="008C4D01">
        <w:rPr>
          <w:b w:val="0"/>
        </w:rPr>
        <w:t xml:space="preserve">affect </w:t>
      </w:r>
      <w:r w:rsidR="00876E78">
        <w:rPr>
          <w:b w:val="0"/>
        </w:rPr>
        <w:t xml:space="preserve">the </w:t>
      </w:r>
      <w:r w:rsidR="008F5B96">
        <w:rPr>
          <w:b w:val="0"/>
        </w:rPr>
        <w:t xml:space="preserve">macroscopic </w:t>
      </w:r>
      <w:r w:rsidR="00876E78">
        <w:rPr>
          <w:b w:val="0"/>
        </w:rPr>
        <w:t>properties</w:t>
      </w:r>
      <w:r w:rsidR="006C531D">
        <w:rPr>
          <w:b w:val="0"/>
        </w:rPr>
        <w:t xml:space="preserve"> in </w:t>
      </w:r>
      <w:r w:rsidR="008C4D01">
        <w:rPr>
          <w:b w:val="0"/>
        </w:rPr>
        <w:t xml:space="preserve">a </w:t>
      </w:r>
      <w:r w:rsidR="006C531D">
        <w:rPr>
          <w:b w:val="0"/>
        </w:rPr>
        <w:t>non-predictive manner</w:t>
      </w:r>
      <w:r>
        <w:rPr>
          <w:b w:val="0"/>
        </w:rPr>
        <w:t>. Mixed cationic effect (mixed alkali and alkaline earth in composition) also can be pursue</w:t>
      </w:r>
      <w:r w:rsidR="008C4D01">
        <w:rPr>
          <w:b w:val="0"/>
        </w:rPr>
        <w:t>d</w:t>
      </w:r>
      <w:r>
        <w:rPr>
          <w:b w:val="0"/>
        </w:rPr>
        <w:t xml:space="preserve"> for further studies.</w:t>
      </w:r>
    </w:p>
    <w:p w14:paraId="4C787F33" w14:textId="77777777" w:rsidR="00666029" w:rsidRPr="000E2377" w:rsidRDefault="00666029" w:rsidP="00666029">
      <w:pPr>
        <w:pStyle w:val="ListParagraph"/>
        <w:rPr>
          <w:b w:val="0"/>
        </w:rPr>
      </w:pPr>
    </w:p>
    <w:p w14:paraId="45B49740" w14:textId="77777777" w:rsidR="00666029" w:rsidRPr="000E2377" w:rsidRDefault="00666029" w:rsidP="00666029">
      <w:pPr>
        <w:pStyle w:val="ListParagraph"/>
      </w:pPr>
    </w:p>
    <w:p w14:paraId="3C1B5648" w14:textId="77777777" w:rsidR="00666029" w:rsidRPr="000E2377" w:rsidRDefault="00666029" w:rsidP="00666029">
      <w:pPr>
        <w:pStyle w:val="ListParagraph"/>
      </w:pPr>
    </w:p>
    <w:p w14:paraId="55F6ADBF" w14:textId="77777777" w:rsidR="00666029" w:rsidRDefault="00666029" w:rsidP="00BF600D">
      <w:pPr>
        <w:spacing w:line="360" w:lineRule="auto"/>
        <w:jc w:val="both"/>
        <w:rPr>
          <w:rFonts w:eastAsia="Times New Roman" w:cs="Times New Roman"/>
          <w:b w:val="0"/>
          <w:color w:val="000000"/>
          <w:szCs w:val="24"/>
          <w:lang w:eastAsia="en-MY"/>
        </w:rPr>
      </w:pPr>
    </w:p>
    <w:p w14:paraId="60298A29" w14:textId="697861F6" w:rsidR="00CB5F95" w:rsidRDefault="00CB5F95" w:rsidP="00BF600D">
      <w:pPr>
        <w:spacing w:line="360" w:lineRule="auto"/>
        <w:jc w:val="both"/>
        <w:rPr>
          <w:rFonts w:eastAsia="Times New Roman" w:cs="Times New Roman"/>
          <w:b w:val="0"/>
          <w:color w:val="000000"/>
          <w:szCs w:val="24"/>
          <w:lang w:eastAsia="en-MY"/>
        </w:rPr>
      </w:pPr>
    </w:p>
    <w:p w14:paraId="4A52F9C0" w14:textId="6C441D5A" w:rsidR="00CB5F95" w:rsidRDefault="00CB5F95" w:rsidP="00BF600D">
      <w:pPr>
        <w:spacing w:line="360" w:lineRule="auto"/>
        <w:jc w:val="both"/>
        <w:rPr>
          <w:rFonts w:eastAsia="Times New Roman" w:cs="Times New Roman"/>
          <w:b w:val="0"/>
          <w:color w:val="000000"/>
          <w:szCs w:val="24"/>
          <w:lang w:eastAsia="en-MY"/>
        </w:rPr>
      </w:pPr>
    </w:p>
    <w:p w14:paraId="0C270766" w14:textId="505397B7" w:rsidR="00CB5F95" w:rsidRDefault="00CB5F95" w:rsidP="00BF600D">
      <w:pPr>
        <w:spacing w:line="360" w:lineRule="auto"/>
        <w:jc w:val="both"/>
        <w:rPr>
          <w:rFonts w:eastAsia="Times New Roman" w:cs="Times New Roman"/>
          <w:b w:val="0"/>
          <w:color w:val="000000"/>
          <w:szCs w:val="24"/>
          <w:lang w:eastAsia="en-MY"/>
        </w:rPr>
      </w:pPr>
    </w:p>
    <w:p w14:paraId="31F02225" w14:textId="293FA59C" w:rsidR="00CB5F95" w:rsidRDefault="00CB5F95" w:rsidP="00BF600D">
      <w:pPr>
        <w:spacing w:line="360" w:lineRule="auto"/>
        <w:jc w:val="both"/>
        <w:rPr>
          <w:rFonts w:eastAsia="Times New Roman" w:cs="Times New Roman"/>
          <w:b w:val="0"/>
          <w:color w:val="000000"/>
          <w:szCs w:val="24"/>
          <w:lang w:eastAsia="en-MY"/>
        </w:rPr>
      </w:pPr>
    </w:p>
    <w:p w14:paraId="09C12D2A" w14:textId="77777777" w:rsidR="008255F9" w:rsidRDefault="008255F9" w:rsidP="00BF600D">
      <w:pPr>
        <w:spacing w:line="360" w:lineRule="auto"/>
        <w:jc w:val="both"/>
        <w:rPr>
          <w:rFonts w:eastAsia="Times New Roman" w:cs="Times New Roman"/>
          <w:b w:val="0"/>
          <w:color w:val="000000"/>
          <w:szCs w:val="24"/>
          <w:lang w:eastAsia="en-MY"/>
        </w:rPr>
      </w:pPr>
    </w:p>
    <w:p w14:paraId="072CCD0F" w14:textId="5CC3646E" w:rsidR="00CB5F95" w:rsidRDefault="00CB5F95" w:rsidP="00BF600D">
      <w:pPr>
        <w:spacing w:line="360" w:lineRule="auto"/>
        <w:jc w:val="both"/>
        <w:rPr>
          <w:rFonts w:eastAsia="Times New Roman" w:cs="Times New Roman"/>
          <w:b w:val="0"/>
          <w:color w:val="000000"/>
          <w:szCs w:val="24"/>
          <w:lang w:eastAsia="en-MY"/>
        </w:rPr>
      </w:pPr>
    </w:p>
    <w:p w14:paraId="4EF0C1B4" w14:textId="0543E5E5" w:rsidR="00CB5F95" w:rsidRDefault="00CB5F95" w:rsidP="00BF600D">
      <w:pPr>
        <w:spacing w:line="360" w:lineRule="auto"/>
        <w:jc w:val="both"/>
        <w:rPr>
          <w:rFonts w:eastAsia="Times New Roman" w:cs="Times New Roman"/>
          <w:b w:val="0"/>
          <w:color w:val="000000"/>
          <w:szCs w:val="24"/>
          <w:lang w:eastAsia="en-MY"/>
        </w:rPr>
      </w:pPr>
    </w:p>
    <w:p w14:paraId="14CC8E34" w14:textId="77777777" w:rsidR="00FF29AB" w:rsidRDefault="00FF29AB" w:rsidP="00BF600D">
      <w:pPr>
        <w:spacing w:line="360" w:lineRule="auto"/>
        <w:jc w:val="both"/>
        <w:rPr>
          <w:rFonts w:eastAsia="Times New Roman" w:cs="Times New Roman"/>
          <w:b w:val="0"/>
          <w:color w:val="000000"/>
          <w:szCs w:val="24"/>
          <w:lang w:eastAsia="en-MY"/>
        </w:rPr>
      </w:pPr>
    </w:p>
    <w:p w14:paraId="067814BF" w14:textId="77777777" w:rsidR="00FF29AB" w:rsidRDefault="00FF29AB" w:rsidP="00BF600D">
      <w:pPr>
        <w:spacing w:line="360" w:lineRule="auto"/>
        <w:jc w:val="both"/>
        <w:rPr>
          <w:rFonts w:eastAsia="Times New Roman" w:cs="Times New Roman"/>
          <w:b w:val="0"/>
          <w:color w:val="000000"/>
          <w:szCs w:val="24"/>
          <w:lang w:eastAsia="en-MY"/>
        </w:rPr>
      </w:pPr>
    </w:p>
    <w:p w14:paraId="47C08B2C" w14:textId="77777777" w:rsidR="00FF29AB" w:rsidRDefault="00FF29AB" w:rsidP="00BF600D">
      <w:pPr>
        <w:spacing w:line="360" w:lineRule="auto"/>
        <w:jc w:val="both"/>
        <w:rPr>
          <w:rFonts w:eastAsia="Times New Roman" w:cs="Times New Roman"/>
          <w:b w:val="0"/>
          <w:color w:val="000000"/>
          <w:szCs w:val="24"/>
          <w:lang w:eastAsia="en-MY"/>
        </w:rPr>
      </w:pPr>
    </w:p>
    <w:p w14:paraId="40A80222" w14:textId="77777777" w:rsidR="00FF29AB" w:rsidRDefault="00FF29AB" w:rsidP="00BF600D">
      <w:pPr>
        <w:spacing w:line="360" w:lineRule="auto"/>
        <w:jc w:val="both"/>
        <w:rPr>
          <w:rFonts w:eastAsia="Times New Roman" w:cs="Times New Roman"/>
          <w:b w:val="0"/>
          <w:color w:val="000000"/>
          <w:szCs w:val="24"/>
          <w:lang w:eastAsia="en-MY"/>
        </w:rPr>
      </w:pPr>
    </w:p>
    <w:p w14:paraId="756A1CD7" w14:textId="77777777" w:rsidR="008255F9" w:rsidRPr="000E2377" w:rsidRDefault="008255F9" w:rsidP="008255F9">
      <w:pPr>
        <w:spacing w:line="240" w:lineRule="auto"/>
        <w:jc w:val="center"/>
        <w:rPr>
          <w:rFonts w:eastAsia="Calibri" w:cs="Times New Roman"/>
          <w:bCs/>
          <w:szCs w:val="24"/>
          <w:lang w:val="en-GB"/>
        </w:rPr>
      </w:pPr>
      <w:bookmarkStart w:id="994" w:name="_Toc453770800"/>
      <w:bookmarkStart w:id="995" w:name="_Toc515398748"/>
      <w:bookmarkStart w:id="996" w:name="_Toc523402951"/>
      <w:bookmarkStart w:id="997" w:name="_Toc525526462"/>
      <w:bookmarkStart w:id="998" w:name="_Toc525707887"/>
      <w:bookmarkStart w:id="999" w:name="_Toc525742552"/>
      <w:bookmarkStart w:id="1000" w:name="_Toc12994995"/>
      <w:r w:rsidRPr="000E2377">
        <w:rPr>
          <w:rFonts w:eastAsia="Calibri" w:cs="Times New Roman"/>
          <w:bCs/>
          <w:szCs w:val="24"/>
          <w:lang w:val="en-GB"/>
        </w:rPr>
        <w:lastRenderedPageBreak/>
        <w:t>REFERENCES</w:t>
      </w:r>
    </w:p>
    <w:p w14:paraId="02E14F42" w14:textId="77777777" w:rsidR="008255F9" w:rsidRPr="000E2377" w:rsidRDefault="008255F9" w:rsidP="008255F9">
      <w:pPr>
        <w:spacing w:line="240" w:lineRule="auto"/>
        <w:jc w:val="center"/>
        <w:rPr>
          <w:rFonts w:eastAsia="Calibri" w:cs="Times New Roman"/>
          <w:bCs/>
          <w:szCs w:val="24"/>
          <w:lang w:val="en-GB"/>
        </w:rPr>
      </w:pPr>
    </w:p>
    <w:p w14:paraId="18AA40DD"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Abdelghany</w:t>
      </w:r>
      <w:proofErr w:type="spellEnd"/>
      <w:r w:rsidRPr="000E2377">
        <w:rPr>
          <w:rFonts w:eastAsia="Calibri" w:cs="Times New Roman"/>
          <w:b w:val="0"/>
          <w:bCs/>
          <w:szCs w:val="24"/>
          <w:lang w:val="en-GB"/>
        </w:rPr>
        <w:t xml:space="preserve">, A. M., </w:t>
      </w:r>
      <w:proofErr w:type="spellStart"/>
      <w:r w:rsidRPr="000E2377">
        <w:rPr>
          <w:rFonts w:eastAsia="Calibri" w:cs="Times New Roman"/>
          <w:b w:val="0"/>
          <w:bCs/>
          <w:szCs w:val="24"/>
          <w:lang w:val="en-GB"/>
        </w:rPr>
        <w:t>ElBatal</w:t>
      </w:r>
      <w:proofErr w:type="spellEnd"/>
      <w:r w:rsidRPr="000E2377">
        <w:rPr>
          <w:rFonts w:eastAsia="Calibri" w:cs="Times New Roman"/>
          <w:b w:val="0"/>
          <w:bCs/>
          <w:szCs w:val="24"/>
          <w:lang w:val="en-GB"/>
        </w:rPr>
        <w:t xml:space="preserve">, F. H., </w:t>
      </w:r>
      <w:proofErr w:type="spellStart"/>
      <w:r w:rsidRPr="000E2377">
        <w:rPr>
          <w:rFonts w:eastAsia="Calibri" w:cs="Times New Roman"/>
          <w:b w:val="0"/>
          <w:bCs/>
          <w:szCs w:val="24"/>
          <w:lang w:val="en-GB"/>
        </w:rPr>
        <w:t>ElBatal</w:t>
      </w:r>
      <w:proofErr w:type="spellEnd"/>
      <w:r w:rsidRPr="000E2377">
        <w:rPr>
          <w:rFonts w:eastAsia="Calibri" w:cs="Times New Roman"/>
          <w:b w:val="0"/>
          <w:bCs/>
          <w:szCs w:val="24"/>
          <w:lang w:val="en-GB"/>
        </w:rPr>
        <w:t xml:space="preserve">, H. A., &amp; </w:t>
      </w:r>
      <w:proofErr w:type="spellStart"/>
      <w:r w:rsidRPr="000E2377">
        <w:rPr>
          <w:rFonts w:eastAsia="Calibri" w:cs="Times New Roman"/>
          <w:b w:val="0"/>
          <w:bCs/>
          <w:szCs w:val="24"/>
          <w:lang w:val="en-GB"/>
        </w:rPr>
        <w:t>EzzElDin</w:t>
      </w:r>
      <w:proofErr w:type="spellEnd"/>
      <w:r w:rsidRPr="000E2377">
        <w:rPr>
          <w:rFonts w:eastAsia="Calibri" w:cs="Times New Roman"/>
          <w:b w:val="0"/>
          <w:bCs/>
          <w:szCs w:val="24"/>
          <w:lang w:val="en-GB"/>
        </w:rPr>
        <w:t xml:space="preserve">, F. M. (2014). Optical and FTIR structural studies of </w:t>
      </w:r>
      <w:proofErr w:type="spellStart"/>
      <w:r w:rsidRPr="000E2377">
        <w:rPr>
          <w:rFonts w:eastAsia="Calibri" w:cs="Times New Roman"/>
          <w:b w:val="0"/>
          <w:bCs/>
          <w:szCs w:val="24"/>
          <w:lang w:val="en-GB"/>
        </w:rPr>
        <w:t>CoO</w:t>
      </w:r>
      <w:proofErr w:type="spellEnd"/>
      <w:r w:rsidRPr="000E2377">
        <w:rPr>
          <w:rFonts w:eastAsia="Calibri" w:cs="Times New Roman"/>
          <w:b w:val="0"/>
          <w:bCs/>
          <w:szCs w:val="24"/>
          <w:lang w:val="en-GB"/>
        </w:rPr>
        <w:t xml:space="preserve">-doped sodium borate, sodium silicate and sodium phosphate glasses and effects of gamma irradiation-a comparative study. Journal of Molecular Structure, 1074, 503–510. </w:t>
      </w:r>
    </w:p>
    <w:p w14:paraId="5687265E"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Aguiar, H., Serra, J., Gonzalez, P., &amp; Leon, B. (2009). Structural study of sol–gel silicate glasses by IR and Raman spectroscopies. Journal of Non-Crystalline Solids, 355(8), 475–480. </w:t>
      </w:r>
    </w:p>
    <w:p w14:paraId="19D7CAF4"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Angeli</w:t>
      </w:r>
      <w:proofErr w:type="spellEnd"/>
      <w:r w:rsidRPr="000E2377">
        <w:rPr>
          <w:rFonts w:eastAsia="Calibri" w:cs="Times New Roman"/>
          <w:b w:val="0"/>
          <w:bCs/>
          <w:szCs w:val="24"/>
          <w:lang w:val="en-GB"/>
        </w:rPr>
        <w:t xml:space="preserve">, F., Charpentier, T., De </w:t>
      </w:r>
      <w:proofErr w:type="spellStart"/>
      <w:r w:rsidRPr="000E2377">
        <w:rPr>
          <w:rFonts w:eastAsia="Calibri" w:cs="Times New Roman"/>
          <w:b w:val="0"/>
          <w:bCs/>
          <w:szCs w:val="24"/>
          <w:lang w:val="en-GB"/>
        </w:rPr>
        <w:t>Ligny</w:t>
      </w:r>
      <w:proofErr w:type="spellEnd"/>
      <w:r w:rsidRPr="000E2377">
        <w:rPr>
          <w:rFonts w:eastAsia="Calibri" w:cs="Times New Roman"/>
          <w:b w:val="0"/>
          <w:bCs/>
          <w:szCs w:val="24"/>
          <w:lang w:val="en-GB"/>
        </w:rPr>
        <w:t xml:space="preserve">, D., &amp; </w:t>
      </w:r>
      <w:proofErr w:type="spellStart"/>
      <w:r w:rsidRPr="000E2377">
        <w:rPr>
          <w:rFonts w:eastAsia="Calibri" w:cs="Times New Roman"/>
          <w:b w:val="0"/>
          <w:bCs/>
          <w:szCs w:val="24"/>
          <w:lang w:val="en-GB"/>
        </w:rPr>
        <w:t>Cailleteau</w:t>
      </w:r>
      <w:proofErr w:type="spellEnd"/>
      <w:r w:rsidRPr="000E2377">
        <w:rPr>
          <w:rFonts w:eastAsia="Calibri" w:cs="Times New Roman"/>
          <w:b w:val="0"/>
          <w:bCs/>
          <w:szCs w:val="24"/>
          <w:lang w:val="en-GB"/>
        </w:rPr>
        <w:t xml:space="preserve">, C. (2010). Boron speciation in soda-lime borosilicate glasses containing zirconium. Journal of the American Ceramic Society, 93(9), 2693–2704. </w:t>
      </w:r>
    </w:p>
    <w:p w14:paraId="0691AE36"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Araujo, R. J. (1983). Statistical mechanics of chemical disorder: Application to alkali borate glasses. Journal of Non-Crystalline Solids, 58, 201–208.</w:t>
      </w:r>
    </w:p>
    <w:p w14:paraId="1DD5109B"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Barlet</w:t>
      </w:r>
      <w:proofErr w:type="spellEnd"/>
      <w:r w:rsidRPr="000E2377">
        <w:rPr>
          <w:rFonts w:eastAsia="Calibri" w:cs="Times New Roman"/>
          <w:b w:val="0"/>
          <w:bCs/>
          <w:szCs w:val="24"/>
          <w:lang w:val="en-GB"/>
        </w:rPr>
        <w:t xml:space="preserve">, M., </w:t>
      </w:r>
      <w:proofErr w:type="spellStart"/>
      <w:r w:rsidRPr="000E2377">
        <w:rPr>
          <w:rFonts w:eastAsia="Calibri" w:cs="Times New Roman"/>
          <w:b w:val="0"/>
          <w:bCs/>
          <w:szCs w:val="24"/>
          <w:lang w:val="en-GB"/>
        </w:rPr>
        <w:t>Delaye</w:t>
      </w:r>
      <w:proofErr w:type="spellEnd"/>
      <w:r w:rsidRPr="000E2377">
        <w:rPr>
          <w:rFonts w:eastAsia="Calibri" w:cs="Times New Roman"/>
          <w:b w:val="0"/>
          <w:bCs/>
          <w:szCs w:val="24"/>
          <w:lang w:val="en-GB"/>
        </w:rPr>
        <w:t xml:space="preserve">, J. M., Charpentier, T., </w:t>
      </w:r>
      <w:proofErr w:type="spellStart"/>
      <w:r w:rsidRPr="000E2377">
        <w:rPr>
          <w:rFonts w:eastAsia="Calibri" w:cs="Times New Roman"/>
          <w:b w:val="0"/>
          <w:bCs/>
          <w:szCs w:val="24"/>
          <w:lang w:val="en-GB"/>
        </w:rPr>
        <w:t>Gennisson</w:t>
      </w:r>
      <w:proofErr w:type="spellEnd"/>
      <w:r w:rsidRPr="000E2377">
        <w:rPr>
          <w:rFonts w:eastAsia="Calibri" w:cs="Times New Roman"/>
          <w:b w:val="0"/>
          <w:bCs/>
          <w:szCs w:val="24"/>
          <w:lang w:val="en-GB"/>
        </w:rPr>
        <w:t xml:space="preserve">, M., </w:t>
      </w:r>
      <w:proofErr w:type="spellStart"/>
      <w:r w:rsidRPr="000E2377">
        <w:rPr>
          <w:rFonts w:eastAsia="Calibri" w:cs="Times New Roman"/>
          <w:b w:val="0"/>
          <w:bCs/>
          <w:szCs w:val="24"/>
          <w:lang w:val="en-GB"/>
        </w:rPr>
        <w:t>Bonamy</w:t>
      </w:r>
      <w:proofErr w:type="spellEnd"/>
      <w:r w:rsidRPr="000E2377">
        <w:rPr>
          <w:rFonts w:eastAsia="Calibri" w:cs="Times New Roman"/>
          <w:b w:val="0"/>
          <w:bCs/>
          <w:szCs w:val="24"/>
          <w:lang w:val="en-GB"/>
        </w:rPr>
        <w:t xml:space="preserve">, D., Rouxel, T., &amp; Rountree, C. L. (2015). Hardness and toughness of sodium borosilicate glasses via Vickers’s indentations. Journal of Non-Crystalline Solids, 417–418, 66–79. </w:t>
      </w:r>
    </w:p>
    <w:p w14:paraId="11EACCA0"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Bechgaard</w:t>
      </w:r>
      <w:proofErr w:type="spellEnd"/>
      <w:r w:rsidRPr="000E2377">
        <w:rPr>
          <w:rFonts w:eastAsia="Calibri" w:cs="Times New Roman"/>
          <w:b w:val="0"/>
          <w:bCs/>
          <w:szCs w:val="24"/>
          <w:lang w:val="en-GB"/>
        </w:rPr>
        <w:t xml:space="preserve">, T. K., Goel, A., Youngman, R. E., Mauro, J. C., </w:t>
      </w:r>
      <w:proofErr w:type="spellStart"/>
      <w:r w:rsidRPr="000E2377">
        <w:rPr>
          <w:rFonts w:eastAsia="Calibri" w:cs="Times New Roman"/>
          <w:b w:val="0"/>
          <w:bCs/>
          <w:szCs w:val="24"/>
          <w:lang w:val="en-GB"/>
        </w:rPr>
        <w:t>Rzoska</w:t>
      </w:r>
      <w:proofErr w:type="spellEnd"/>
      <w:r w:rsidRPr="000E2377">
        <w:rPr>
          <w:rFonts w:eastAsia="Calibri" w:cs="Times New Roman"/>
          <w:b w:val="0"/>
          <w:bCs/>
          <w:szCs w:val="24"/>
          <w:lang w:val="en-GB"/>
        </w:rPr>
        <w:t xml:space="preserve">, S. J., </w:t>
      </w:r>
      <w:proofErr w:type="spellStart"/>
      <w:r w:rsidRPr="000E2377">
        <w:rPr>
          <w:rFonts w:eastAsia="Calibri" w:cs="Times New Roman"/>
          <w:b w:val="0"/>
          <w:bCs/>
          <w:szCs w:val="24"/>
          <w:lang w:val="en-GB"/>
        </w:rPr>
        <w:t>Bockowski</w:t>
      </w:r>
      <w:proofErr w:type="spellEnd"/>
      <w:r w:rsidRPr="000E2377">
        <w:rPr>
          <w:rFonts w:eastAsia="Calibri" w:cs="Times New Roman"/>
          <w:b w:val="0"/>
          <w:bCs/>
          <w:szCs w:val="24"/>
          <w:lang w:val="en-GB"/>
        </w:rPr>
        <w:t xml:space="preserve">, M., </w:t>
      </w:r>
      <w:proofErr w:type="spellStart"/>
      <w:r w:rsidRPr="000E2377">
        <w:rPr>
          <w:rFonts w:eastAsia="Calibri" w:cs="Times New Roman"/>
          <w:b w:val="0"/>
          <w:bCs/>
          <w:szCs w:val="24"/>
          <w:lang w:val="en-GB"/>
        </w:rPr>
        <w:t>Smedskjaer</w:t>
      </w:r>
      <w:proofErr w:type="spellEnd"/>
      <w:r w:rsidRPr="000E2377">
        <w:rPr>
          <w:rFonts w:eastAsia="Calibri" w:cs="Times New Roman"/>
          <w:b w:val="0"/>
          <w:bCs/>
          <w:szCs w:val="24"/>
          <w:lang w:val="en-GB"/>
        </w:rPr>
        <w:t xml:space="preserve">, M. M. (2016). Structure and mechanical properties of compressed sodium aluminosilicate glasses: Role of non-bridging oxygens. Journal of Non-Crystalline Solids, 441, 49–57. </w:t>
      </w:r>
    </w:p>
    <w:p w14:paraId="77B8C015"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Bechgaard</w:t>
      </w:r>
      <w:proofErr w:type="spellEnd"/>
      <w:r w:rsidRPr="000E2377">
        <w:rPr>
          <w:rFonts w:eastAsia="Calibri" w:cs="Times New Roman"/>
          <w:b w:val="0"/>
          <w:bCs/>
          <w:szCs w:val="24"/>
          <w:lang w:val="en-GB"/>
        </w:rPr>
        <w:t xml:space="preserve">, T. K., Scannell, G., Huang, L., Youngman, R. E., Mauro, J. C., &amp; </w:t>
      </w:r>
      <w:proofErr w:type="spellStart"/>
      <w:r w:rsidRPr="000E2377">
        <w:rPr>
          <w:rFonts w:eastAsia="Calibri" w:cs="Times New Roman"/>
          <w:b w:val="0"/>
          <w:bCs/>
          <w:szCs w:val="24"/>
          <w:lang w:val="en-GB"/>
        </w:rPr>
        <w:t>Smedskjaer</w:t>
      </w:r>
      <w:proofErr w:type="spellEnd"/>
      <w:r w:rsidRPr="000E2377">
        <w:rPr>
          <w:rFonts w:eastAsia="Calibri" w:cs="Times New Roman"/>
          <w:b w:val="0"/>
          <w:bCs/>
          <w:szCs w:val="24"/>
          <w:lang w:val="en-GB"/>
        </w:rPr>
        <w:t>, M. M. (2017). Structure of MgO/</w:t>
      </w:r>
      <w:proofErr w:type="spellStart"/>
      <w:r w:rsidRPr="000E2377">
        <w:rPr>
          <w:rFonts w:eastAsia="Calibri" w:cs="Times New Roman"/>
          <w:b w:val="0"/>
          <w:bCs/>
          <w:szCs w:val="24"/>
          <w:lang w:val="en-GB"/>
        </w:rPr>
        <w:t>CaO</w:t>
      </w:r>
      <w:proofErr w:type="spellEnd"/>
      <w:r w:rsidRPr="000E2377">
        <w:rPr>
          <w:rFonts w:eastAsia="Calibri" w:cs="Times New Roman"/>
          <w:b w:val="0"/>
          <w:bCs/>
          <w:szCs w:val="24"/>
          <w:lang w:val="en-GB"/>
        </w:rPr>
        <w:t xml:space="preserve"> sodium aluminosilicate glasses: Raman spectroscopy study. Journal of Non-Crystalline Solids, 470(May), 145–151. </w:t>
      </w:r>
    </w:p>
    <w:p w14:paraId="05ADDB0C"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Bengisu</w:t>
      </w:r>
      <w:proofErr w:type="spellEnd"/>
      <w:r w:rsidRPr="000E2377">
        <w:rPr>
          <w:rFonts w:eastAsia="Calibri" w:cs="Times New Roman"/>
          <w:b w:val="0"/>
          <w:bCs/>
          <w:szCs w:val="24"/>
          <w:lang w:val="en-GB"/>
        </w:rPr>
        <w:t xml:space="preserve">, M., Brow, R. K., Yilmaz, E., </w:t>
      </w:r>
      <w:proofErr w:type="spellStart"/>
      <w:r w:rsidRPr="000E2377">
        <w:rPr>
          <w:rFonts w:eastAsia="Calibri" w:cs="Times New Roman"/>
          <w:b w:val="0"/>
          <w:bCs/>
          <w:szCs w:val="24"/>
          <w:lang w:val="en-GB"/>
        </w:rPr>
        <w:t>Moguš-Milanković</w:t>
      </w:r>
      <w:proofErr w:type="spellEnd"/>
      <w:r w:rsidRPr="000E2377">
        <w:rPr>
          <w:rFonts w:eastAsia="Calibri" w:cs="Times New Roman"/>
          <w:b w:val="0"/>
          <w:bCs/>
          <w:szCs w:val="24"/>
          <w:lang w:val="en-GB"/>
        </w:rPr>
        <w:t xml:space="preserve">,  A., &amp; Reis, S. T. (2006). </w:t>
      </w:r>
      <w:proofErr w:type="spellStart"/>
      <w:r w:rsidRPr="000E2377">
        <w:rPr>
          <w:rFonts w:eastAsia="Calibri" w:cs="Times New Roman"/>
          <w:b w:val="0"/>
          <w:bCs/>
          <w:szCs w:val="24"/>
          <w:lang w:val="en-GB"/>
        </w:rPr>
        <w:t>Aluminoborate</w:t>
      </w:r>
      <w:proofErr w:type="spellEnd"/>
      <w:r w:rsidRPr="000E2377">
        <w:rPr>
          <w:rFonts w:eastAsia="Calibri" w:cs="Times New Roman"/>
          <w:b w:val="0"/>
          <w:bCs/>
          <w:szCs w:val="24"/>
          <w:lang w:val="en-GB"/>
        </w:rPr>
        <w:t xml:space="preserve"> and </w:t>
      </w:r>
      <w:proofErr w:type="spellStart"/>
      <w:r w:rsidRPr="000E2377">
        <w:rPr>
          <w:rFonts w:eastAsia="Calibri" w:cs="Times New Roman"/>
          <w:b w:val="0"/>
          <w:bCs/>
          <w:szCs w:val="24"/>
          <w:lang w:val="en-GB"/>
        </w:rPr>
        <w:t>aluminoborosilicate</w:t>
      </w:r>
      <w:proofErr w:type="spellEnd"/>
      <w:r w:rsidRPr="000E2377">
        <w:rPr>
          <w:rFonts w:eastAsia="Calibri" w:cs="Times New Roman"/>
          <w:b w:val="0"/>
          <w:bCs/>
          <w:szCs w:val="24"/>
          <w:lang w:val="en-GB"/>
        </w:rPr>
        <w:t xml:space="preserve"> glasses with high chemical durability and the effect of P</w:t>
      </w:r>
      <w:r w:rsidRPr="005805E7">
        <w:rPr>
          <w:rFonts w:eastAsia="Calibri" w:cs="Times New Roman"/>
          <w:b w:val="0"/>
          <w:bCs/>
          <w:szCs w:val="24"/>
          <w:vertAlign w:val="subscript"/>
          <w:lang w:val="en-GB"/>
        </w:rPr>
        <w:t>2</w:t>
      </w:r>
      <w:r w:rsidRPr="000E2377">
        <w:rPr>
          <w:rFonts w:eastAsia="Calibri" w:cs="Times New Roman"/>
          <w:b w:val="0"/>
          <w:bCs/>
          <w:szCs w:val="24"/>
          <w:lang w:val="en-GB"/>
        </w:rPr>
        <w:t>O</w:t>
      </w:r>
      <w:r w:rsidRPr="005805E7">
        <w:rPr>
          <w:rFonts w:eastAsia="Calibri" w:cs="Times New Roman"/>
          <w:b w:val="0"/>
          <w:bCs/>
          <w:szCs w:val="24"/>
          <w:vertAlign w:val="subscript"/>
          <w:lang w:val="en-GB"/>
        </w:rPr>
        <w:t>5</w:t>
      </w:r>
      <w:r w:rsidRPr="000E2377">
        <w:rPr>
          <w:rFonts w:eastAsia="Calibri" w:cs="Times New Roman"/>
          <w:b w:val="0"/>
          <w:bCs/>
          <w:szCs w:val="24"/>
          <w:lang w:val="en-GB"/>
        </w:rPr>
        <w:t xml:space="preserve"> additions on the properties. Journal of Non-Crystalline Solids, 352(32–35), 3668–3676.</w:t>
      </w:r>
    </w:p>
    <w:p w14:paraId="79B900BF"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Bingham, P. A., &amp; Hand, R. J. (2008). Sulphate incorporation and glass formation in phosphate systems for nuclear and toxic waste immobilization. Materials Research Bulletin, 43(7), 1679–1693. </w:t>
      </w:r>
    </w:p>
    <w:p w14:paraId="495E91BA" w14:textId="77777777" w:rsidR="008255F9"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Bingham, P. A., Hand, R. J., </w:t>
      </w:r>
      <w:proofErr w:type="spellStart"/>
      <w:r w:rsidRPr="000E2377">
        <w:rPr>
          <w:rFonts w:eastAsia="Calibri" w:cs="Times New Roman"/>
          <w:b w:val="0"/>
          <w:bCs/>
          <w:szCs w:val="24"/>
          <w:lang w:val="en-GB"/>
        </w:rPr>
        <w:t>Hannant</w:t>
      </w:r>
      <w:proofErr w:type="spellEnd"/>
      <w:r w:rsidRPr="000E2377">
        <w:rPr>
          <w:rFonts w:eastAsia="Calibri" w:cs="Times New Roman"/>
          <w:b w:val="0"/>
          <w:bCs/>
          <w:szCs w:val="24"/>
          <w:lang w:val="en-GB"/>
        </w:rPr>
        <w:t xml:space="preserve">, O. M., Forder, S. D., &amp; Kilcoyne, S. H. (2009). Effects of modifier additions on the thermal properties, chemical durability, oxidation state and structure of iron phosphate glasses. Journal of Non-Crystalline Solids, 355(28–30), 1526–1538. </w:t>
      </w:r>
    </w:p>
    <w:p w14:paraId="4C096D9A" w14:textId="77777777" w:rsidR="008255F9" w:rsidRPr="00F5499F" w:rsidRDefault="008255F9" w:rsidP="008255F9">
      <w:pPr>
        <w:spacing w:line="240" w:lineRule="auto"/>
        <w:jc w:val="both"/>
        <w:rPr>
          <w:rFonts w:eastAsia="Calibri" w:cs="Times New Roman"/>
          <w:b w:val="0"/>
          <w:bCs/>
          <w:szCs w:val="24"/>
          <w:lang w:val="en-GB"/>
        </w:rPr>
      </w:pPr>
      <w:r>
        <w:rPr>
          <w:rFonts w:eastAsia="Calibri" w:cs="Times New Roman"/>
          <w:b w:val="0"/>
          <w:bCs/>
          <w:szCs w:val="24"/>
          <w:lang w:val="en-GB"/>
        </w:rPr>
        <w:t xml:space="preserve">Bishop </w:t>
      </w:r>
      <w:r w:rsidRPr="007B03E4">
        <w:rPr>
          <w:rFonts w:eastAsia="Calibri" w:cs="Times New Roman"/>
          <w:b w:val="0"/>
          <w:bCs/>
          <w:szCs w:val="24"/>
          <w:lang w:val="en-GB"/>
        </w:rPr>
        <w:t xml:space="preserve">S. G. </w:t>
      </w:r>
      <w:r>
        <w:rPr>
          <w:rFonts w:eastAsia="Calibri" w:cs="Times New Roman"/>
          <w:b w:val="0"/>
          <w:bCs/>
          <w:szCs w:val="24"/>
          <w:lang w:val="en-GB"/>
        </w:rPr>
        <w:t xml:space="preserve">and Bray </w:t>
      </w:r>
      <w:r w:rsidRPr="007B03E4">
        <w:rPr>
          <w:rFonts w:eastAsia="Calibri" w:cs="Times New Roman"/>
          <w:b w:val="0"/>
          <w:bCs/>
          <w:szCs w:val="24"/>
          <w:lang w:val="en-GB"/>
        </w:rPr>
        <w:t>P. J.</w:t>
      </w:r>
      <w:r>
        <w:rPr>
          <w:rFonts w:eastAsia="Calibri" w:cs="Times New Roman"/>
          <w:b w:val="0"/>
          <w:bCs/>
          <w:szCs w:val="24"/>
          <w:lang w:val="en-GB"/>
        </w:rPr>
        <w:t xml:space="preserve">, (1966). </w:t>
      </w:r>
      <w:r w:rsidRPr="007B03E4">
        <w:rPr>
          <w:rFonts w:eastAsia="Calibri" w:cs="Times New Roman"/>
          <w:b w:val="0"/>
          <w:bCs/>
          <w:szCs w:val="24"/>
          <w:lang w:val="en-GB"/>
        </w:rPr>
        <w:t>Nuclear Magnetic Resonance Studies of Calcium Boroaluminate Glasses</w:t>
      </w:r>
      <w:r>
        <w:rPr>
          <w:rFonts w:eastAsia="Calibri" w:cs="Times New Roman"/>
          <w:b w:val="0"/>
          <w:bCs/>
          <w:szCs w:val="24"/>
          <w:lang w:val="en-GB"/>
        </w:rPr>
        <w:t xml:space="preserve">. Physical Chemistry Glass, </w:t>
      </w:r>
      <w:r w:rsidRPr="007B03E4">
        <w:rPr>
          <w:rFonts w:eastAsia="Calibri" w:cs="Times New Roman"/>
          <w:b w:val="0"/>
          <w:bCs/>
          <w:szCs w:val="24"/>
          <w:lang w:val="en-GB"/>
        </w:rPr>
        <w:t>7, 73-8</w:t>
      </w:r>
      <w:r>
        <w:rPr>
          <w:rFonts w:eastAsia="Calibri" w:cs="Times New Roman"/>
          <w:b w:val="0"/>
          <w:bCs/>
          <w:szCs w:val="24"/>
          <w:lang w:val="en-GB"/>
        </w:rPr>
        <w:t>.</w:t>
      </w:r>
    </w:p>
    <w:p w14:paraId="20BE8F67"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Bray, J. Z. and P. J. (1989). Change in boron coordination in borate glasses, and mixed alkali effects, as elucidated by NMR. Journal of Non-Crystalline Solids, 111, 67–76.</w:t>
      </w:r>
    </w:p>
    <w:p w14:paraId="49902FD2"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Brow, R. K. (2000). Review: the structure of simple phosphate glasses. Journal of Non-Crystalline Solids, 263–264, 1–28. </w:t>
      </w:r>
    </w:p>
    <w:p w14:paraId="3B87571E"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lastRenderedPageBreak/>
        <w:t>Bunker, B. C., Kirkpatrick, R. J., Brow, R. K., &amp; Turner, G. L. (1991). Local structure of alkaline-earth boroaluminate crystals and glasses: II, B and Al MAS NMR spectroscopy of alkaline-earth boroaluminate glasses. Journal of the American Ceramic Society, 1430(I), 1430–1438.</w:t>
      </w:r>
    </w:p>
    <w:p w14:paraId="5225ECD8" w14:textId="6CDEC8A4"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Colomban</w:t>
      </w:r>
      <w:proofErr w:type="spellEnd"/>
      <w:r w:rsidRPr="000E2377">
        <w:rPr>
          <w:rFonts w:eastAsia="Calibri" w:cs="Times New Roman"/>
          <w:b w:val="0"/>
          <w:bCs/>
          <w:szCs w:val="24"/>
          <w:lang w:val="en-GB"/>
        </w:rPr>
        <w:t xml:space="preserve">, P. (2003). Polymerization degree and Raman identification of ancient glasses used for </w:t>
      </w:r>
      <w:proofErr w:type="spellStart"/>
      <w:r w:rsidRPr="000E2377">
        <w:rPr>
          <w:rFonts w:eastAsia="Calibri" w:cs="Times New Roman"/>
          <w:b w:val="0"/>
          <w:bCs/>
          <w:szCs w:val="24"/>
          <w:lang w:val="en-GB"/>
        </w:rPr>
        <w:t>jewelry</w:t>
      </w:r>
      <w:proofErr w:type="spellEnd"/>
      <w:r w:rsidRPr="000E2377">
        <w:rPr>
          <w:rFonts w:eastAsia="Calibri" w:cs="Times New Roman"/>
          <w:b w:val="0"/>
          <w:bCs/>
          <w:szCs w:val="24"/>
          <w:lang w:val="en-GB"/>
        </w:rPr>
        <w:t xml:space="preserve">, ceramic enamels and mosaics. Journal of Non-Crystalline Solids, 323(1–3), 180–187. </w:t>
      </w:r>
    </w:p>
    <w:p w14:paraId="13FBF73C"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Colomban</w:t>
      </w:r>
      <w:proofErr w:type="spellEnd"/>
      <w:r w:rsidRPr="000E2377">
        <w:rPr>
          <w:rFonts w:eastAsia="Calibri" w:cs="Times New Roman"/>
          <w:b w:val="0"/>
          <w:bCs/>
          <w:szCs w:val="24"/>
          <w:lang w:val="en-GB"/>
        </w:rPr>
        <w:t xml:space="preserve">, P., </w:t>
      </w:r>
      <w:proofErr w:type="spellStart"/>
      <w:r w:rsidRPr="000E2377">
        <w:rPr>
          <w:rFonts w:eastAsia="Calibri" w:cs="Times New Roman"/>
          <w:b w:val="0"/>
          <w:bCs/>
          <w:szCs w:val="24"/>
          <w:lang w:val="en-GB"/>
        </w:rPr>
        <w:t>Etcheverry</w:t>
      </w:r>
      <w:proofErr w:type="spellEnd"/>
      <w:r w:rsidRPr="000E2377">
        <w:rPr>
          <w:rFonts w:eastAsia="Calibri" w:cs="Times New Roman"/>
          <w:b w:val="0"/>
          <w:bCs/>
          <w:szCs w:val="24"/>
          <w:lang w:val="en-GB"/>
        </w:rPr>
        <w:t xml:space="preserve">, M. P., </w:t>
      </w:r>
      <w:proofErr w:type="spellStart"/>
      <w:r w:rsidRPr="000E2377">
        <w:rPr>
          <w:rFonts w:eastAsia="Calibri" w:cs="Times New Roman"/>
          <w:b w:val="0"/>
          <w:bCs/>
          <w:szCs w:val="24"/>
          <w:lang w:val="en-GB"/>
        </w:rPr>
        <w:t>Asquier</w:t>
      </w:r>
      <w:proofErr w:type="spellEnd"/>
      <w:r w:rsidRPr="000E2377">
        <w:rPr>
          <w:rFonts w:eastAsia="Calibri" w:cs="Times New Roman"/>
          <w:b w:val="0"/>
          <w:bCs/>
          <w:szCs w:val="24"/>
          <w:lang w:val="en-GB"/>
        </w:rPr>
        <w:t xml:space="preserve">, M., </w:t>
      </w:r>
      <w:proofErr w:type="spellStart"/>
      <w:r w:rsidRPr="000E2377">
        <w:rPr>
          <w:rFonts w:eastAsia="Calibri" w:cs="Times New Roman"/>
          <w:b w:val="0"/>
          <w:bCs/>
          <w:szCs w:val="24"/>
          <w:lang w:val="en-GB"/>
        </w:rPr>
        <w:t>Bounichou</w:t>
      </w:r>
      <w:proofErr w:type="spellEnd"/>
      <w:r w:rsidRPr="000E2377">
        <w:rPr>
          <w:rFonts w:eastAsia="Calibri" w:cs="Times New Roman"/>
          <w:b w:val="0"/>
          <w:bCs/>
          <w:szCs w:val="24"/>
          <w:lang w:val="en-GB"/>
        </w:rPr>
        <w:t xml:space="preserve">, M., &amp; </w:t>
      </w:r>
      <w:proofErr w:type="spellStart"/>
      <w:r w:rsidRPr="000E2377">
        <w:rPr>
          <w:rFonts w:eastAsia="Calibri" w:cs="Times New Roman"/>
          <w:b w:val="0"/>
          <w:bCs/>
          <w:szCs w:val="24"/>
          <w:lang w:val="en-GB"/>
        </w:rPr>
        <w:t>Tournié</w:t>
      </w:r>
      <w:proofErr w:type="spellEnd"/>
      <w:r w:rsidRPr="000E2377">
        <w:rPr>
          <w:rFonts w:eastAsia="Calibri" w:cs="Times New Roman"/>
          <w:b w:val="0"/>
          <w:bCs/>
          <w:szCs w:val="24"/>
          <w:lang w:val="en-GB"/>
        </w:rPr>
        <w:t xml:space="preserve">, A. (2006). Raman identification of ancient stained glasses and their degree of deterioration. Journal of Raman Spectroscopy, 37(5), 614–626. </w:t>
      </w:r>
    </w:p>
    <w:p w14:paraId="44486754"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Colomban</w:t>
      </w:r>
      <w:proofErr w:type="spellEnd"/>
      <w:r w:rsidRPr="000E2377">
        <w:rPr>
          <w:rFonts w:eastAsia="Calibri" w:cs="Times New Roman"/>
          <w:b w:val="0"/>
          <w:bCs/>
          <w:szCs w:val="24"/>
          <w:lang w:val="en-GB"/>
        </w:rPr>
        <w:t xml:space="preserve">, P., &amp; Paulsen, O. (2005). Non-destructive determination of the structure and composition of glazes by Raman spectroscopy. Journal of the American Ceramic Society, 88(2), 390–395. </w:t>
      </w:r>
    </w:p>
    <w:p w14:paraId="28B0D3A4"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Connelly, A. J., Hand, R. J., Bingham, P. a., &amp; Hyatt, N. C. (2011). Mechanical properties of nuclear waste glasses. Journal of Nuclear Materials, 408(2), 188–193. </w:t>
      </w:r>
    </w:p>
    <w:p w14:paraId="22B3F10E"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Connelly, A. J., Travis, K. P., Hand, R. J., Hyatt, N. C., &amp; </w:t>
      </w:r>
      <w:proofErr w:type="spellStart"/>
      <w:r w:rsidRPr="000E2377">
        <w:rPr>
          <w:rFonts w:eastAsia="Calibri" w:cs="Times New Roman"/>
          <w:b w:val="0"/>
          <w:bCs/>
          <w:szCs w:val="24"/>
          <w:lang w:val="en-GB"/>
        </w:rPr>
        <w:t>Maddrell</w:t>
      </w:r>
      <w:proofErr w:type="spellEnd"/>
      <w:r w:rsidRPr="000E2377">
        <w:rPr>
          <w:rFonts w:eastAsia="Calibri" w:cs="Times New Roman"/>
          <w:b w:val="0"/>
          <w:bCs/>
          <w:szCs w:val="24"/>
          <w:lang w:val="en-GB"/>
        </w:rPr>
        <w:t>, E. (2011). Composition–structure relationships in simplified nuclear waste glasses: 2. The effect of ZrO</w:t>
      </w:r>
      <w:r w:rsidRPr="003E5DF1">
        <w:rPr>
          <w:rFonts w:eastAsia="Calibri" w:cs="Times New Roman"/>
          <w:b w:val="0"/>
          <w:bCs/>
          <w:szCs w:val="24"/>
          <w:vertAlign w:val="subscript"/>
          <w:lang w:val="en-GB"/>
        </w:rPr>
        <w:t>2</w:t>
      </w:r>
      <w:r w:rsidRPr="000E2377">
        <w:rPr>
          <w:rFonts w:eastAsia="Calibri" w:cs="Times New Roman"/>
          <w:b w:val="0"/>
          <w:bCs/>
          <w:szCs w:val="24"/>
          <w:lang w:val="en-GB"/>
        </w:rPr>
        <w:t xml:space="preserve"> additions. Journal of American Ceramic Society, 94(1), 137–144. </w:t>
      </w:r>
    </w:p>
    <w:p w14:paraId="6C335B95" w14:textId="77777777" w:rsidR="008255F9"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Cormier, L., Majerus, O., Neuville, D. R., &amp; </w:t>
      </w:r>
      <w:proofErr w:type="spellStart"/>
      <w:r w:rsidRPr="000E2377">
        <w:rPr>
          <w:rFonts w:eastAsia="Calibri" w:cs="Times New Roman"/>
          <w:b w:val="0"/>
          <w:bCs/>
          <w:szCs w:val="24"/>
          <w:lang w:val="en-GB"/>
        </w:rPr>
        <w:t>Calas</w:t>
      </w:r>
      <w:proofErr w:type="spellEnd"/>
      <w:r w:rsidRPr="000E2377">
        <w:rPr>
          <w:rFonts w:eastAsia="Calibri" w:cs="Times New Roman"/>
          <w:b w:val="0"/>
          <w:bCs/>
          <w:szCs w:val="24"/>
          <w:lang w:val="en-GB"/>
        </w:rPr>
        <w:t xml:space="preserve">, G. (2006). Temperature-induced structural modifications between alkali borate glasses and melts. Journal of the American Ceramic Society, 89(1), 13–19. </w:t>
      </w:r>
    </w:p>
    <w:p w14:paraId="094D577F" w14:textId="6E856D3E" w:rsidR="008255F9" w:rsidRPr="00215352" w:rsidRDefault="008255F9" w:rsidP="008255F9">
      <w:pPr>
        <w:jc w:val="both"/>
        <w:rPr>
          <w:b w:val="0"/>
        </w:rPr>
      </w:pPr>
      <w:r w:rsidRPr="00215352">
        <w:rPr>
          <w:b w:val="0"/>
        </w:rPr>
        <w:t>El-</w:t>
      </w:r>
      <w:proofErr w:type="spellStart"/>
      <w:r w:rsidRPr="00215352">
        <w:rPr>
          <w:b w:val="0"/>
        </w:rPr>
        <w:t>Moneim</w:t>
      </w:r>
      <w:proofErr w:type="spellEnd"/>
      <w:r w:rsidRPr="00215352">
        <w:rPr>
          <w:b w:val="0"/>
        </w:rPr>
        <w:t xml:space="preserve">, A.A.,  </w:t>
      </w:r>
      <w:proofErr w:type="spellStart"/>
      <w:r w:rsidRPr="00215352">
        <w:rPr>
          <w:b w:val="0"/>
        </w:rPr>
        <w:t>Alenezy</w:t>
      </w:r>
      <w:proofErr w:type="spellEnd"/>
      <w:r w:rsidRPr="00215352">
        <w:rPr>
          <w:b w:val="0"/>
        </w:rPr>
        <w:t>, A. (2013). Structural and acoustic properties of lead silicate glasses doped with alkali and alkaline earth oxides, Physic</w:t>
      </w:r>
      <w:r w:rsidR="0010196B">
        <w:rPr>
          <w:b w:val="0"/>
        </w:rPr>
        <w:t xml:space="preserve"> and</w:t>
      </w:r>
      <w:r w:rsidRPr="00215352">
        <w:rPr>
          <w:b w:val="0"/>
        </w:rPr>
        <w:t xml:space="preserve"> Chemistry </w:t>
      </w:r>
      <w:r w:rsidR="0010196B">
        <w:rPr>
          <w:b w:val="0"/>
        </w:rPr>
        <w:t xml:space="preserve">of </w:t>
      </w:r>
      <w:r w:rsidRPr="00215352">
        <w:rPr>
          <w:b w:val="0"/>
        </w:rPr>
        <w:t>Gla</w:t>
      </w:r>
      <w:r w:rsidR="0010196B">
        <w:rPr>
          <w:b w:val="0"/>
        </w:rPr>
        <w:t>s</w:t>
      </w:r>
      <w:r w:rsidRPr="00215352">
        <w:rPr>
          <w:b w:val="0"/>
        </w:rPr>
        <w:t>s</w:t>
      </w:r>
      <w:r w:rsidR="0010196B">
        <w:rPr>
          <w:b w:val="0"/>
        </w:rPr>
        <w:t>es</w:t>
      </w:r>
      <w:r w:rsidRPr="00215352">
        <w:rPr>
          <w:b w:val="0"/>
        </w:rPr>
        <w:t>: European Journal</w:t>
      </w:r>
      <w:r>
        <w:rPr>
          <w:b w:val="0"/>
        </w:rPr>
        <w:t xml:space="preserve"> of</w:t>
      </w:r>
      <w:r w:rsidRPr="00215352">
        <w:rPr>
          <w:b w:val="0"/>
        </w:rPr>
        <w:t xml:space="preserve"> Glass Science Technology B. 54 (5), 232–237.</w:t>
      </w:r>
    </w:p>
    <w:p w14:paraId="77225A0E"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Deriano</w:t>
      </w:r>
      <w:proofErr w:type="spellEnd"/>
      <w:r w:rsidRPr="000E2377">
        <w:rPr>
          <w:rFonts w:eastAsia="Calibri" w:cs="Times New Roman"/>
          <w:b w:val="0"/>
          <w:bCs/>
          <w:szCs w:val="24"/>
          <w:lang w:val="en-GB"/>
        </w:rPr>
        <w:t xml:space="preserve">, S., </w:t>
      </w:r>
      <w:proofErr w:type="spellStart"/>
      <w:r w:rsidRPr="000E2377">
        <w:rPr>
          <w:rFonts w:eastAsia="Calibri" w:cs="Times New Roman"/>
          <w:b w:val="0"/>
          <w:bCs/>
          <w:szCs w:val="24"/>
          <w:lang w:val="en-GB"/>
        </w:rPr>
        <w:t>Jarry</w:t>
      </w:r>
      <w:proofErr w:type="spellEnd"/>
      <w:r w:rsidRPr="000E2377">
        <w:rPr>
          <w:rFonts w:eastAsia="Calibri" w:cs="Times New Roman"/>
          <w:b w:val="0"/>
          <w:bCs/>
          <w:szCs w:val="24"/>
          <w:lang w:val="en-GB"/>
        </w:rPr>
        <w:t xml:space="preserve">, A., Rouxel, T., </w:t>
      </w:r>
      <w:proofErr w:type="spellStart"/>
      <w:r w:rsidRPr="000E2377">
        <w:rPr>
          <w:rFonts w:eastAsia="Calibri" w:cs="Times New Roman"/>
          <w:b w:val="0"/>
          <w:bCs/>
          <w:szCs w:val="24"/>
          <w:lang w:val="en-GB"/>
        </w:rPr>
        <w:t>Sangleboeuf</w:t>
      </w:r>
      <w:proofErr w:type="spellEnd"/>
      <w:r w:rsidRPr="000E2377">
        <w:rPr>
          <w:rFonts w:eastAsia="Calibri" w:cs="Times New Roman"/>
          <w:b w:val="0"/>
          <w:bCs/>
          <w:szCs w:val="24"/>
          <w:lang w:val="en-GB"/>
        </w:rPr>
        <w:t>, J. C., &amp; Hampshire, S. (2004). The indentation fracture toughness (k</w:t>
      </w:r>
      <w:r w:rsidRPr="000E2377">
        <w:rPr>
          <w:rFonts w:eastAsia="Calibri" w:cs="Times New Roman"/>
          <w:b w:val="0"/>
          <w:bCs/>
          <w:szCs w:val="24"/>
          <w:vertAlign w:val="subscript"/>
          <w:lang w:val="en-GB"/>
        </w:rPr>
        <w:t>c</w:t>
      </w:r>
      <w:r w:rsidRPr="000E2377">
        <w:rPr>
          <w:rFonts w:eastAsia="Calibri" w:cs="Times New Roman"/>
          <w:b w:val="0"/>
          <w:bCs/>
          <w:szCs w:val="24"/>
          <w:lang w:val="en-GB"/>
        </w:rPr>
        <w:t xml:space="preserve">) and its parameters: The case of silica-rich glasses. Journal of Non-Crystalline Solids, 344(1–2), 44–50. </w:t>
      </w:r>
    </w:p>
    <w:p w14:paraId="7BE5D0C1" w14:textId="09574263" w:rsidR="008255F9"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Deriano</w:t>
      </w:r>
      <w:proofErr w:type="spellEnd"/>
      <w:r w:rsidRPr="000E2377">
        <w:rPr>
          <w:rFonts w:eastAsia="Calibri" w:cs="Times New Roman"/>
          <w:b w:val="0"/>
          <w:bCs/>
          <w:szCs w:val="24"/>
          <w:lang w:val="en-GB"/>
        </w:rPr>
        <w:t xml:space="preserve">, S., Rouxel, T., Rennes, U. De, Beaulieu, C. De, </w:t>
      </w:r>
      <w:proofErr w:type="spellStart"/>
      <w:r w:rsidRPr="000E2377">
        <w:rPr>
          <w:rFonts w:eastAsia="Calibri" w:cs="Times New Roman"/>
          <w:b w:val="0"/>
          <w:bCs/>
          <w:szCs w:val="24"/>
          <w:lang w:val="en-GB"/>
        </w:rPr>
        <w:t>Lefloch</w:t>
      </w:r>
      <w:proofErr w:type="spellEnd"/>
      <w:r w:rsidRPr="000E2377">
        <w:rPr>
          <w:rFonts w:eastAsia="Calibri" w:cs="Times New Roman"/>
          <w:b w:val="0"/>
          <w:bCs/>
          <w:szCs w:val="24"/>
          <w:lang w:val="en-GB"/>
        </w:rPr>
        <w:t xml:space="preserve">, M., Beaulieu, D., </w:t>
      </w:r>
      <w:proofErr w:type="spellStart"/>
      <w:r w:rsidRPr="000E2377">
        <w:rPr>
          <w:rFonts w:eastAsia="Calibri" w:cs="Times New Roman"/>
          <w:b w:val="0"/>
          <w:bCs/>
          <w:szCs w:val="24"/>
          <w:lang w:val="en-GB"/>
        </w:rPr>
        <w:t>Saclay</w:t>
      </w:r>
      <w:proofErr w:type="spellEnd"/>
      <w:r w:rsidRPr="000E2377">
        <w:rPr>
          <w:rFonts w:eastAsia="Calibri" w:cs="Times New Roman"/>
          <w:b w:val="0"/>
          <w:bCs/>
          <w:szCs w:val="24"/>
          <w:lang w:val="en-GB"/>
        </w:rPr>
        <w:t>, C. (2004). Structure and mechanical properties of alkali – alkaline earth – silicate glasses, 45(1), 37–44.</w:t>
      </w:r>
    </w:p>
    <w:p w14:paraId="739A8CE1" w14:textId="1B4DFB2E" w:rsidR="00173B1F" w:rsidRPr="000E2377" w:rsidRDefault="00173B1F" w:rsidP="008255F9">
      <w:pPr>
        <w:spacing w:line="240" w:lineRule="auto"/>
        <w:jc w:val="both"/>
        <w:rPr>
          <w:rFonts w:eastAsia="Calibri" w:cs="Times New Roman"/>
          <w:b w:val="0"/>
          <w:bCs/>
          <w:szCs w:val="24"/>
          <w:lang w:val="en-GB"/>
        </w:rPr>
      </w:pPr>
      <w:proofErr w:type="spellStart"/>
      <w:r w:rsidRPr="00173B1F">
        <w:rPr>
          <w:rFonts w:eastAsia="Calibri" w:cs="Times New Roman"/>
          <w:b w:val="0"/>
          <w:bCs/>
          <w:szCs w:val="24"/>
          <w:lang w:val="en-GB"/>
        </w:rPr>
        <w:t>Dietzel</w:t>
      </w:r>
      <w:proofErr w:type="spellEnd"/>
      <w:r>
        <w:rPr>
          <w:rFonts w:eastAsia="Calibri" w:cs="Times New Roman"/>
          <w:b w:val="0"/>
          <w:bCs/>
          <w:szCs w:val="24"/>
          <w:lang w:val="en-GB"/>
        </w:rPr>
        <w:t xml:space="preserve"> A.,</w:t>
      </w:r>
      <w:r w:rsidRPr="00173B1F">
        <w:rPr>
          <w:rFonts w:eastAsia="Calibri" w:cs="Times New Roman"/>
          <w:b w:val="0"/>
          <w:bCs/>
          <w:szCs w:val="24"/>
          <w:lang w:val="en-GB"/>
        </w:rPr>
        <w:t xml:space="preserve"> (1948), </w:t>
      </w:r>
      <w:proofErr w:type="spellStart"/>
      <w:r w:rsidRPr="00173B1F">
        <w:rPr>
          <w:rFonts w:eastAsia="Calibri" w:cs="Times New Roman"/>
          <w:b w:val="0"/>
          <w:bCs/>
          <w:szCs w:val="24"/>
          <w:lang w:val="en-GB"/>
        </w:rPr>
        <w:t>Glastech</w:t>
      </w:r>
      <w:proofErr w:type="spellEnd"/>
      <w:r w:rsidRPr="00173B1F">
        <w:rPr>
          <w:rFonts w:eastAsia="Calibri" w:cs="Times New Roman"/>
          <w:b w:val="0"/>
          <w:bCs/>
          <w:szCs w:val="24"/>
          <w:lang w:val="en-GB"/>
        </w:rPr>
        <w:t>. Ber. 21</w:t>
      </w:r>
      <w:r>
        <w:rPr>
          <w:rFonts w:eastAsia="Calibri" w:cs="Times New Roman"/>
          <w:b w:val="0"/>
          <w:bCs/>
          <w:szCs w:val="24"/>
          <w:lang w:val="en-GB"/>
        </w:rPr>
        <w:t>,</w:t>
      </w:r>
      <w:r w:rsidRPr="00173B1F">
        <w:rPr>
          <w:rFonts w:eastAsia="Calibri" w:cs="Times New Roman"/>
          <w:b w:val="0"/>
          <w:bCs/>
          <w:szCs w:val="24"/>
          <w:lang w:val="en-GB"/>
        </w:rPr>
        <w:t xml:space="preserve"> 41</w:t>
      </w:r>
      <w:r>
        <w:rPr>
          <w:rFonts w:eastAsia="Calibri" w:cs="Times New Roman"/>
          <w:b w:val="0"/>
          <w:bCs/>
          <w:szCs w:val="24"/>
          <w:lang w:val="en-GB"/>
        </w:rPr>
        <w:t>-49.</w:t>
      </w:r>
    </w:p>
    <w:p w14:paraId="3A867E1D"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Donald, I. W. (2015). The Science and Technology of Inorganic Glasses and Glass-Ceramic. Society of Glass Technology.</w:t>
      </w:r>
    </w:p>
    <w:p w14:paraId="54A0FE11"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Du, L. S., &amp; Stebbins, J. F. (2005). Network connectivity in aluminoborosilicate glasses: A high-resolution 11B, 27Al and 17O NMR study. Journal of Non-Crystalline Solids, 351(43–45), 3508–3520. </w:t>
      </w:r>
    </w:p>
    <w:p w14:paraId="3F3FC2B8"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Dupree, R., Holland, D., McMillan, P. W., &amp; Pettifer, R. F. (1984). The structure of soda-silica glasses: A mas NMR study. Journal of Non-Crystalline Solids, 68(2–3), 399–410. </w:t>
      </w:r>
    </w:p>
    <w:p w14:paraId="0C1DDFF1"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lastRenderedPageBreak/>
        <w:t xml:space="preserve">Furukawa, T., &amp; White, W. B. (1981). Raman spectroscopic investigation of sodium borosilicate glass structure. Journal of Materials Science, 16(10), 2689–2700. </w:t>
      </w:r>
    </w:p>
    <w:p w14:paraId="7124E4E2"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Galeener</w:t>
      </w:r>
      <w:proofErr w:type="spellEnd"/>
      <w:r w:rsidRPr="000E2377">
        <w:rPr>
          <w:rFonts w:eastAsia="Calibri" w:cs="Times New Roman"/>
          <w:b w:val="0"/>
          <w:bCs/>
          <w:szCs w:val="24"/>
          <w:lang w:val="en-GB"/>
        </w:rPr>
        <w:t>, F. L., &amp; A.C Wright. (1986). The J.C. Phillips model for vitreous SiO</w:t>
      </w:r>
      <w:r w:rsidRPr="005805E7">
        <w:rPr>
          <w:rFonts w:eastAsia="Calibri" w:cs="Times New Roman"/>
          <w:b w:val="0"/>
          <w:bCs/>
          <w:szCs w:val="24"/>
          <w:vertAlign w:val="subscript"/>
          <w:lang w:val="en-GB"/>
        </w:rPr>
        <w:t>2</w:t>
      </w:r>
      <w:r w:rsidRPr="000E2377">
        <w:rPr>
          <w:rFonts w:eastAsia="Calibri" w:cs="Times New Roman"/>
          <w:b w:val="0"/>
          <w:bCs/>
          <w:szCs w:val="24"/>
          <w:lang w:val="en-GB"/>
        </w:rPr>
        <w:t xml:space="preserve">: A critical appraisal. Solid State Communications, 60(3), 299–300. </w:t>
      </w:r>
    </w:p>
    <w:p w14:paraId="2F6DA51E" w14:textId="77777777" w:rsidR="008255F9"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Greaves, G. N., Greer, A. L., Lakes, R. S., &amp; Rouxel, T. (2011). Poisson’s ratio and modern materials. Nature Materials, 10(11), 823–837. </w:t>
      </w:r>
    </w:p>
    <w:p w14:paraId="1C6442D9" w14:textId="77777777" w:rsidR="008255F9" w:rsidRPr="000E2377" w:rsidRDefault="008255F9" w:rsidP="008255F9">
      <w:pPr>
        <w:tabs>
          <w:tab w:val="left" w:pos="810"/>
        </w:tabs>
        <w:contextualSpacing/>
        <w:jc w:val="both"/>
        <w:rPr>
          <w:rFonts w:eastAsia="Calibri" w:cs="Times New Roman"/>
          <w:b w:val="0"/>
          <w:bCs/>
          <w:szCs w:val="24"/>
          <w:lang w:val="en-GB"/>
        </w:rPr>
      </w:pPr>
      <w:r w:rsidRPr="00A85FC3">
        <w:rPr>
          <w:rFonts w:cs="Times New Roman"/>
          <w:b w:val="0"/>
          <w:szCs w:val="24"/>
          <w:lang w:val="en-GB"/>
        </w:rPr>
        <w:t>Griffith, A.A. (1921) The Phenomenon of rupture and flow in solids. The Philosophical Transaction of The Royal Society. 221, pp.163-197.</w:t>
      </w:r>
    </w:p>
    <w:p w14:paraId="4D65353B" w14:textId="77777777" w:rsidR="008255F9" w:rsidRDefault="008255F9" w:rsidP="008255F9">
      <w:pPr>
        <w:spacing w:after="0" w:line="240" w:lineRule="auto"/>
        <w:jc w:val="both"/>
        <w:rPr>
          <w:rFonts w:eastAsia="Calibri" w:cs="Times New Roman"/>
          <w:b w:val="0"/>
          <w:bCs/>
          <w:szCs w:val="24"/>
          <w:lang w:val="en-GB"/>
        </w:rPr>
      </w:pPr>
    </w:p>
    <w:p w14:paraId="3EB7ED54" w14:textId="77777777" w:rsidR="008255F9" w:rsidRPr="000E2377" w:rsidRDefault="008255F9" w:rsidP="008255F9">
      <w:pPr>
        <w:spacing w:after="0"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Grofmeier</w:t>
      </w:r>
      <w:proofErr w:type="spellEnd"/>
      <w:r w:rsidRPr="000E2377">
        <w:rPr>
          <w:rFonts w:eastAsia="Calibri" w:cs="Times New Roman"/>
          <w:b w:val="0"/>
          <w:bCs/>
          <w:szCs w:val="24"/>
          <w:lang w:val="en-GB"/>
        </w:rPr>
        <w:t xml:space="preserve">, M., &amp; Bracht, H. (2012). Cation diffusion in mixed cation silicate glasses under non-equilibrium conditions. Solid State Ionics, 222–223, 47–52. </w:t>
      </w:r>
    </w:p>
    <w:p w14:paraId="311881A3" w14:textId="77777777" w:rsidR="008255F9" w:rsidRPr="000E2377" w:rsidRDefault="008255F9" w:rsidP="008255F9">
      <w:pPr>
        <w:spacing w:after="0" w:line="240" w:lineRule="auto"/>
        <w:jc w:val="both"/>
        <w:rPr>
          <w:rFonts w:eastAsia="Calibri" w:cs="Times New Roman"/>
          <w:b w:val="0"/>
          <w:bCs/>
          <w:szCs w:val="24"/>
          <w:lang w:val="en-GB"/>
        </w:rPr>
      </w:pPr>
    </w:p>
    <w:p w14:paraId="1432270E"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Hand, R. J., &amp; </w:t>
      </w:r>
      <w:proofErr w:type="spellStart"/>
      <w:r w:rsidRPr="000E2377">
        <w:rPr>
          <w:rFonts w:eastAsia="Calibri" w:cs="Times New Roman"/>
          <w:b w:val="0"/>
          <w:bCs/>
          <w:szCs w:val="24"/>
          <w:lang w:val="en-GB"/>
        </w:rPr>
        <w:t>Tadjiev</w:t>
      </w:r>
      <w:proofErr w:type="spellEnd"/>
      <w:r w:rsidRPr="000E2377">
        <w:rPr>
          <w:rFonts w:eastAsia="Calibri" w:cs="Times New Roman"/>
          <w:b w:val="0"/>
          <w:bCs/>
          <w:szCs w:val="24"/>
          <w:lang w:val="en-GB"/>
        </w:rPr>
        <w:t xml:space="preserve">, D. R. (2010). Mechanical properties of silicate glasses as a function of composition. Journal of Non-Crystalline Solids, 356(44–49), 2417–2423. </w:t>
      </w:r>
    </w:p>
    <w:p w14:paraId="6310F995"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Hasdemir</w:t>
      </w:r>
      <w:proofErr w:type="spellEnd"/>
      <w:r w:rsidRPr="000E2377">
        <w:rPr>
          <w:rFonts w:eastAsia="Calibri" w:cs="Times New Roman"/>
          <w:b w:val="0"/>
          <w:bCs/>
          <w:szCs w:val="24"/>
          <w:lang w:val="en-GB"/>
        </w:rPr>
        <w:t xml:space="preserve">, I., </w:t>
      </w:r>
      <w:proofErr w:type="spellStart"/>
      <w:r w:rsidRPr="000E2377">
        <w:rPr>
          <w:rFonts w:eastAsia="Calibri" w:cs="Times New Roman"/>
          <w:b w:val="0"/>
          <w:bCs/>
          <w:szCs w:val="24"/>
          <w:lang w:val="en-GB"/>
        </w:rPr>
        <w:t>Striepe</w:t>
      </w:r>
      <w:proofErr w:type="spellEnd"/>
      <w:r w:rsidRPr="000E2377">
        <w:rPr>
          <w:rFonts w:eastAsia="Calibri" w:cs="Times New Roman"/>
          <w:b w:val="0"/>
          <w:bCs/>
          <w:szCs w:val="24"/>
          <w:lang w:val="en-GB"/>
        </w:rPr>
        <w:t xml:space="preserve">, S., </w:t>
      </w:r>
      <w:proofErr w:type="spellStart"/>
      <w:r w:rsidRPr="000E2377">
        <w:rPr>
          <w:rFonts w:eastAsia="Calibri" w:cs="Times New Roman"/>
          <w:b w:val="0"/>
          <w:bCs/>
          <w:szCs w:val="24"/>
          <w:lang w:val="en-GB"/>
        </w:rPr>
        <w:t>Deubener</w:t>
      </w:r>
      <w:proofErr w:type="spellEnd"/>
      <w:r w:rsidRPr="000E2377">
        <w:rPr>
          <w:rFonts w:eastAsia="Calibri" w:cs="Times New Roman"/>
          <w:b w:val="0"/>
          <w:bCs/>
          <w:szCs w:val="24"/>
          <w:lang w:val="en-GB"/>
        </w:rPr>
        <w:t xml:space="preserve">, J., &amp; Simon, K. (2015). A 2000-year perspective on indentation crack resistance and brittleness of glass. Journal of Non-Crystalline Solids, 408, 51–56. </w:t>
      </w:r>
    </w:p>
    <w:p w14:paraId="1D43BD7F"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Heath, P. G., </w:t>
      </w:r>
      <w:proofErr w:type="spellStart"/>
      <w:r w:rsidRPr="000E2377">
        <w:rPr>
          <w:rFonts w:eastAsia="Calibri" w:cs="Times New Roman"/>
          <w:b w:val="0"/>
          <w:bCs/>
          <w:szCs w:val="24"/>
          <w:lang w:val="en-GB"/>
        </w:rPr>
        <w:t>Stennett</w:t>
      </w:r>
      <w:proofErr w:type="spellEnd"/>
      <w:r w:rsidRPr="000E2377">
        <w:rPr>
          <w:rFonts w:eastAsia="Calibri" w:cs="Times New Roman"/>
          <w:b w:val="0"/>
          <w:bCs/>
          <w:szCs w:val="24"/>
          <w:lang w:val="en-GB"/>
        </w:rPr>
        <w:t xml:space="preserve">, M. C., </w:t>
      </w:r>
      <w:proofErr w:type="spellStart"/>
      <w:r w:rsidRPr="000E2377">
        <w:rPr>
          <w:rFonts w:eastAsia="Calibri" w:cs="Times New Roman"/>
          <w:b w:val="0"/>
          <w:bCs/>
          <w:szCs w:val="24"/>
          <w:lang w:val="en-GB"/>
        </w:rPr>
        <w:t>Mcgann</w:t>
      </w:r>
      <w:proofErr w:type="spellEnd"/>
      <w:r w:rsidRPr="000E2377">
        <w:rPr>
          <w:rFonts w:eastAsia="Calibri" w:cs="Times New Roman"/>
          <w:b w:val="0"/>
          <w:bCs/>
          <w:szCs w:val="24"/>
          <w:lang w:val="en-GB"/>
        </w:rPr>
        <w:t>, O. J., Hand, R. J., &amp; Hyatt, N. C. (2013). The use of high durability alumino-borosilicate glass for the encapsulation of high temperature reactor (HTR) fuel. Materials Research Society Symposium Proceeding, 1518, 1–5.</w:t>
      </w:r>
    </w:p>
    <w:p w14:paraId="4AC967FC" w14:textId="77777777" w:rsidR="008255F9"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Hojamberdiev</w:t>
      </w:r>
      <w:proofErr w:type="spellEnd"/>
      <w:r w:rsidRPr="000E2377">
        <w:rPr>
          <w:rFonts w:eastAsia="Calibri" w:cs="Times New Roman"/>
          <w:b w:val="0"/>
          <w:bCs/>
          <w:szCs w:val="24"/>
          <w:lang w:val="en-GB"/>
        </w:rPr>
        <w:t xml:space="preserve">, M., &amp; Stevens, H. J. (2012). Indentation recovery of soda-lime silicate glasses containing </w:t>
      </w:r>
      <w:proofErr w:type="spellStart"/>
      <w:r w:rsidRPr="000E2377">
        <w:rPr>
          <w:rFonts w:eastAsia="Calibri" w:cs="Times New Roman"/>
          <w:b w:val="0"/>
          <w:bCs/>
          <w:szCs w:val="24"/>
          <w:lang w:val="en-GB"/>
        </w:rPr>
        <w:t>titania</w:t>
      </w:r>
      <w:proofErr w:type="spellEnd"/>
      <w:r w:rsidRPr="000E2377">
        <w:rPr>
          <w:rFonts w:eastAsia="Calibri" w:cs="Times New Roman"/>
          <w:b w:val="0"/>
          <w:bCs/>
          <w:szCs w:val="24"/>
          <w:lang w:val="en-GB"/>
        </w:rPr>
        <w:t xml:space="preserve">, zirconia and hafnia at low temperatures. Materials Science and Engineering A, 532, 456–461. </w:t>
      </w:r>
    </w:p>
    <w:p w14:paraId="2BA706E4" w14:textId="77777777" w:rsidR="008255F9" w:rsidRPr="00ED64C9" w:rsidRDefault="008255F9" w:rsidP="008255F9">
      <w:pPr>
        <w:jc w:val="both"/>
        <w:rPr>
          <w:b w:val="0"/>
        </w:rPr>
      </w:pPr>
      <w:r w:rsidRPr="00ED64C9">
        <w:rPr>
          <w:b w:val="0"/>
        </w:rPr>
        <w:t xml:space="preserve">Inaba, S., &amp; </w:t>
      </w:r>
      <w:proofErr w:type="spellStart"/>
      <w:r w:rsidRPr="00ED64C9">
        <w:rPr>
          <w:b w:val="0"/>
        </w:rPr>
        <w:t>Fujino</w:t>
      </w:r>
      <w:proofErr w:type="spellEnd"/>
      <w:r w:rsidRPr="00ED64C9">
        <w:rPr>
          <w:b w:val="0"/>
        </w:rPr>
        <w:t>, S. (2010. Empirical equation for calculating the density of oxide glasses</w:t>
      </w:r>
      <w:r>
        <w:rPr>
          <w:b w:val="0"/>
        </w:rPr>
        <w:t>.</w:t>
      </w:r>
      <w:r w:rsidRPr="00ED64C9">
        <w:rPr>
          <w:b w:val="0"/>
        </w:rPr>
        <w:t xml:space="preserve"> Journal of American Ceramic Society, 93, 217–220.</w:t>
      </w:r>
    </w:p>
    <w:p w14:paraId="41C01239" w14:textId="77777777" w:rsidR="008255F9" w:rsidRPr="00886069" w:rsidRDefault="008255F9" w:rsidP="008255F9">
      <w:pPr>
        <w:tabs>
          <w:tab w:val="left" w:pos="810"/>
        </w:tabs>
        <w:spacing w:after="0"/>
        <w:contextualSpacing/>
        <w:jc w:val="both"/>
        <w:rPr>
          <w:rFonts w:cs="Times New Roman"/>
          <w:b w:val="0"/>
          <w:szCs w:val="24"/>
          <w:lang w:val="en-GB"/>
        </w:rPr>
      </w:pPr>
      <w:r w:rsidRPr="00886069">
        <w:rPr>
          <w:rFonts w:cs="Times New Roman"/>
          <w:b w:val="0"/>
          <w:szCs w:val="24"/>
          <w:lang w:val="en-GB"/>
        </w:rPr>
        <w:t>Irwin, G.R. (1957) Analysis of stresses and strains near the end of crack traversing a plate. Journal of Applied Mechanics. 24, pp.361-364.</w:t>
      </w:r>
    </w:p>
    <w:p w14:paraId="0087F3CC" w14:textId="77777777" w:rsidR="008255F9" w:rsidRPr="000E2377" w:rsidRDefault="008255F9" w:rsidP="008255F9">
      <w:pPr>
        <w:spacing w:before="240" w:line="240" w:lineRule="auto"/>
        <w:jc w:val="both"/>
        <w:rPr>
          <w:rFonts w:eastAsia="Calibri" w:cs="Times New Roman"/>
          <w:b w:val="0"/>
          <w:bCs/>
          <w:szCs w:val="24"/>
          <w:lang w:val="en-GB"/>
        </w:rPr>
      </w:pPr>
      <w:r w:rsidRPr="000E2377">
        <w:rPr>
          <w:rFonts w:eastAsia="Calibri" w:cs="Times New Roman"/>
          <w:b w:val="0"/>
          <w:bCs/>
          <w:szCs w:val="24"/>
          <w:lang w:val="en-GB"/>
        </w:rPr>
        <w:t xml:space="preserve">Jantzen, C. M., Brown, K. G., &amp; Pickett, J. B. (2010). Durable Glass for Thousands of Years. International Journal of Applied Glass Science, 1(1), 38–62. </w:t>
      </w:r>
    </w:p>
    <w:p w14:paraId="7AA0797A" w14:textId="5CDAE3EB" w:rsidR="008255F9"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Jean </w:t>
      </w:r>
      <w:proofErr w:type="spellStart"/>
      <w:r w:rsidRPr="000E2377">
        <w:rPr>
          <w:rFonts w:eastAsia="Calibri" w:cs="Times New Roman"/>
          <w:b w:val="0"/>
          <w:bCs/>
          <w:szCs w:val="24"/>
          <w:lang w:val="en-GB"/>
        </w:rPr>
        <w:t>Rocherulle</w:t>
      </w:r>
      <w:proofErr w:type="spellEnd"/>
      <w:r w:rsidRPr="000E2377">
        <w:rPr>
          <w:rFonts w:eastAsia="Calibri" w:cs="Times New Roman"/>
          <w:b w:val="0"/>
          <w:bCs/>
          <w:szCs w:val="24"/>
          <w:lang w:val="en-GB"/>
        </w:rPr>
        <w:t xml:space="preserve">, Claude </w:t>
      </w:r>
      <w:proofErr w:type="spellStart"/>
      <w:r w:rsidRPr="000E2377">
        <w:rPr>
          <w:rFonts w:eastAsia="Calibri" w:cs="Times New Roman"/>
          <w:b w:val="0"/>
          <w:bCs/>
          <w:szCs w:val="24"/>
          <w:lang w:val="en-GB"/>
        </w:rPr>
        <w:t>Ecolivet</w:t>
      </w:r>
      <w:proofErr w:type="spellEnd"/>
      <w:r w:rsidRPr="000E2377">
        <w:rPr>
          <w:rFonts w:eastAsia="Calibri" w:cs="Times New Roman"/>
          <w:b w:val="0"/>
          <w:bCs/>
          <w:szCs w:val="24"/>
          <w:lang w:val="en-GB"/>
        </w:rPr>
        <w:t xml:space="preserve">, Marcel </w:t>
      </w:r>
      <w:proofErr w:type="spellStart"/>
      <w:r w:rsidRPr="000E2377">
        <w:rPr>
          <w:rFonts w:eastAsia="Calibri" w:cs="Times New Roman"/>
          <w:b w:val="0"/>
          <w:bCs/>
          <w:szCs w:val="24"/>
          <w:lang w:val="en-GB"/>
        </w:rPr>
        <w:t>Poulain</w:t>
      </w:r>
      <w:proofErr w:type="spellEnd"/>
      <w:r w:rsidRPr="000E2377">
        <w:rPr>
          <w:rFonts w:eastAsia="Calibri" w:cs="Times New Roman"/>
          <w:b w:val="0"/>
          <w:bCs/>
          <w:szCs w:val="24"/>
          <w:lang w:val="en-GB"/>
        </w:rPr>
        <w:t xml:space="preserve">, P. V. and Y. L. (1989). Elastic moduli of oxynitride glasses: Extension of </w:t>
      </w:r>
      <w:proofErr w:type="spellStart"/>
      <w:r w:rsidRPr="000E2377">
        <w:rPr>
          <w:rFonts w:eastAsia="Calibri" w:cs="Times New Roman"/>
          <w:b w:val="0"/>
          <w:bCs/>
          <w:szCs w:val="24"/>
          <w:lang w:val="en-GB"/>
        </w:rPr>
        <w:t>Makishima</w:t>
      </w:r>
      <w:proofErr w:type="spellEnd"/>
      <w:r w:rsidRPr="000E2377">
        <w:rPr>
          <w:rFonts w:eastAsia="Calibri" w:cs="Times New Roman"/>
          <w:b w:val="0"/>
          <w:bCs/>
          <w:szCs w:val="24"/>
          <w:lang w:val="en-GB"/>
        </w:rPr>
        <w:t xml:space="preserve"> and Mackenzie’s theory, 108, 187–193.</w:t>
      </w:r>
    </w:p>
    <w:p w14:paraId="79612924" w14:textId="77777777" w:rsidR="008255F9" w:rsidRPr="00697B5F" w:rsidRDefault="008255F9" w:rsidP="008255F9">
      <w:pPr>
        <w:spacing w:line="240" w:lineRule="auto"/>
        <w:jc w:val="both"/>
        <w:rPr>
          <w:rFonts w:eastAsia="Calibri" w:cs="Times New Roman"/>
          <w:b w:val="0"/>
          <w:bCs/>
          <w:szCs w:val="24"/>
          <w:lang w:val="en-GB"/>
        </w:rPr>
      </w:pPr>
      <w:proofErr w:type="spellStart"/>
      <w:r w:rsidRPr="00697B5F">
        <w:rPr>
          <w:rFonts w:eastAsia="Calibri" w:cs="Times New Roman"/>
          <w:b w:val="0"/>
          <w:bCs/>
          <w:szCs w:val="24"/>
          <w:lang w:val="en-GB"/>
        </w:rPr>
        <w:t>Jingshi</w:t>
      </w:r>
      <w:proofErr w:type="spellEnd"/>
      <w:r w:rsidRPr="00697B5F">
        <w:rPr>
          <w:rFonts w:eastAsia="Calibri" w:cs="Times New Roman"/>
          <w:b w:val="0"/>
          <w:bCs/>
          <w:szCs w:val="24"/>
          <w:lang w:val="en-GB"/>
        </w:rPr>
        <w:t xml:space="preserve"> </w:t>
      </w:r>
      <w:r>
        <w:rPr>
          <w:rFonts w:eastAsia="Calibri" w:cs="Times New Roman"/>
          <w:b w:val="0"/>
          <w:bCs/>
          <w:szCs w:val="24"/>
          <w:lang w:val="en-GB"/>
        </w:rPr>
        <w:t>W. &amp;</w:t>
      </w:r>
      <w:r w:rsidRPr="00697B5F">
        <w:rPr>
          <w:rFonts w:eastAsia="Calibri" w:cs="Times New Roman"/>
          <w:b w:val="0"/>
          <w:bCs/>
          <w:szCs w:val="24"/>
          <w:lang w:val="en-GB"/>
        </w:rPr>
        <w:t xml:space="preserve"> </w:t>
      </w:r>
      <w:r>
        <w:rPr>
          <w:rFonts w:eastAsia="Calibri" w:cs="Times New Roman"/>
          <w:b w:val="0"/>
          <w:bCs/>
          <w:szCs w:val="24"/>
          <w:lang w:val="en-GB"/>
        </w:rPr>
        <w:t>Stebbins J. F. (2009).</w:t>
      </w:r>
      <w:r w:rsidRPr="00697B5F">
        <w:rPr>
          <w:rFonts w:eastAsia="Calibri" w:cs="Times New Roman"/>
          <w:b w:val="0"/>
          <w:bCs/>
          <w:szCs w:val="24"/>
          <w:lang w:val="en-GB"/>
        </w:rPr>
        <w:t xml:space="preserve"> Effects of cation field strength on the structure of aluminoborosilicate glasses: High-resolution </w:t>
      </w:r>
      <w:r w:rsidRPr="00697B5F">
        <w:rPr>
          <w:rFonts w:eastAsia="Calibri" w:cs="Times New Roman"/>
          <w:b w:val="0"/>
          <w:bCs/>
          <w:szCs w:val="24"/>
          <w:vertAlign w:val="superscript"/>
          <w:lang w:val="en-GB"/>
        </w:rPr>
        <w:t>11</w:t>
      </w:r>
      <w:r w:rsidRPr="00697B5F">
        <w:rPr>
          <w:rFonts w:eastAsia="Calibri" w:cs="Times New Roman"/>
          <w:b w:val="0"/>
          <w:bCs/>
          <w:szCs w:val="24"/>
          <w:lang w:val="en-GB"/>
        </w:rPr>
        <w:t xml:space="preserve">B, </w:t>
      </w:r>
      <w:r w:rsidRPr="00697B5F">
        <w:rPr>
          <w:rFonts w:eastAsia="Calibri" w:cs="Times New Roman"/>
          <w:b w:val="0"/>
          <w:bCs/>
          <w:szCs w:val="24"/>
          <w:vertAlign w:val="superscript"/>
          <w:lang w:val="en-GB"/>
        </w:rPr>
        <w:t>27</w:t>
      </w:r>
      <w:r w:rsidRPr="00697B5F">
        <w:rPr>
          <w:rFonts w:eastAsia="Calibri" w:cs="Times New Roman"/>
          <w:b w:val="0"/>
          <w:bCs/>
          <w:szCs w:val="24"/>
          <w:lang w:val="en-GB"/>
        </w:rPr>
        <w:t xml:space="preserve">Al and </w:t>
      </w:r>
      <w:r w:rsidRPr="00697B5F">
        <w:rPr>
          <w:rFonts w:eastAsia="Calibri" w:cs="Times New Roman"/>
          <w:b w:val="0"/>
          <w:bCs/>
          <w:szCs w:val="24"/>
          <w:vertAlign w:val="superscript"/>
          <w:lang w:val="en-GB"/>
        </w:rPr>
        <w:t>23</w:t>
      </w:r>
      <w:r w:rsidRPr="00697B5F">
        <w:rPr>
          <w:rFonts w:eastAsia="Calibri" w:cs="Times New Roman"/>
          <w:b w:val="0"/>
          <w:bCs/>
          <w:szCs w:val="24"/>
          <w:lang w:val="en-GB"/>
        </w:rPr>
        <w:t>Na MAS NMR</w:t>
      </w:r>
      <w:r>
        <w:rPr>
          <w:rFonts w:eastAsia="Calibri" w:cs="Times New Roman"/>
          <w:b w:val="0"/>
          <w:bCs/>
          <w:szCs w:val="24"/>
          <w:lang w:val="en-GB"/>
        </w:rPr>
        <w:t>.</w:t>
      </w:r>
      <w:r w:rsidRPr="00697B5F">
        <w:t xml:space="preserve"> </w:t>
      </w:r>
      <w:r w:rsidRPr="00697B5F">
        <w:rPr>
          <w:rFonts w:eastAsia="Calibri" w:cs="Times New Roman"/>
          <w:b w:val="0"/>
          <w:bCs/>
          <w:szCs w:val="24"/>
          <w:lang w:val="en-GB"/>
        </w:rPr>
        <w:t>Journal of Non-Crystalline Solids</w:t>
      </w:r>
      <w:r>
        <w:rPr>
          <w:rFonts w:eastAsia="Calibri" w:cs="Times New Roman"/>
          <w:b w:val="0"/>
          <w:bCs/>
          <w:szCs w:val="24"/>
          <w:lang w:val="en-GB"/>
        </w:rPr>
        <w:t>,</w:t>
      </w:r>
      <w:r w:rsidRPr="00697B5F">
        <w:rPr>
          <w:rFonts w:eastAsia="Calibri" w:cs="Times New Roman"/>
          <w:b w:val="0"/>
          <w:bCs/>
          <w:szCs w:val="24"/>
          <w:lang w:val="en-GB"/>
        </w:rPr>
        <w:t xml:space="preserve"> 355</w:t>
      </w:r>
      <w:r>
        <w:rPr>
          <w:rFonts w:eastAsia="Calibri" w:cs="Times New Roman"/>
          <w:b w:val="0"/>
          <w:bCs/>
          <w:szCs w:val="24"/>
          <w:lang w:val="en-GB"/>
        </w:rPr>
        <w:t xml:space="preserve">, </w:t>
      </w:r>
      <w:r w:rsidRPr="00697B5F">
        <w:rPr>
          <w:rFonts w:eastAsia="Calibri" w:cs="Times New Roman"/>
          <w:b w:val="0"/>
          <w:bCs/>
          <w:szCs w:val="24"/>
          <w:lang w:val="en-GB"/>
        </w:rPr>
        <w:t>556–562</w:t>
      </w:r>
      <w:r>
        <w:rPr>
          <w:rFonts w:eastAsia="Calibri" w:cs="Times New Roman"/>
          <w:b w:val="0"/>
          <w:bCs/>
          <w:szCs w:val="24"/>
          <w:lang w:val="en-GB"/>
        </w:rPr>
        <w:t>.</w:t>
      </w:r>
    </w:p>
    <w:p w14:paraId="1F743E25"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Jones, A. R., Winter, R., Greaves, G. N., &amp; Smith, I. H. (2001). MAS NMR study of soda-lime-silicate glasses with variable degree of polymerisation. Journal of Non-Crystalline Solids, 293–295(1), 87–92. </w:t>
      </w:r>
    </w:p>
    <w:p w14:paraId="4980D2DB"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Kanehashi</w:t>
      </w:r>
      <w:proofErr w:type="spellEnd"/>
      <w:r w:rsidRPr="000E2377">
        <w:rPr>
          <w:rFonts w:eastAsia="Calibri" w:cs="Times New Roman"/>
          <w:b w:val="0"/>
          <w:bCs/>
          <w:szCs w:val="24"/>
          <w:lang w:val="en-GB"/>
        </w:rPr>
        <w:t xml:space="preserve">, K., &amp; Stebbins, J. F. (2007). In situ high temperature 27Al NMR study of structure and dynamics in a calcium aluminosilicate glass and melt. Journal of Non-Crystalline Solids, 353(44–46), 4001–4010. </w:t>
      </w:r>
    </w:p>
    <w:p w14:paraId="6E25E4FC"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lastRenderedPageBreak/>
        <w:t xml:space="preserve">Kato, Y., Yamazaki, H., Kubo, Y., </w:t>
      </w:r>
      <w:proofErr w:type="spellStart"/>
      <w:r w:rsidRPr="000E2377">
        <w:rPr>
          <w:rFonts w:eastAsia="Calibri" w:cs="Times New Roman"/>
          <w:b w:val="0"/>
          <w:bCs/>
          <w:szCs w:val="24"/>
          <w:lang w:val="en-GB"/>
        </w:rPr>
        <w:t>Yosyida</w:t>
      </w:r>
      <w:proofErr w:type="spellEnd"/>
      <w:r w:rsidRPr="000E2377">
        <w:rPr>
          <w:rFonts w:eastAsia="Calibri" w:cs="Times New Roman"/>
          <w:b w:val="0"/>
          <w:bCs/>
          <w:szCs w:val="24"/>
          <w:lang w:val="en-GB"/>
        </w:rPr>
        <w:t xml:space="preserve">, S., </w:t>
      </w:r>
      <w:proofErr w:type="spellStart"/>
      <w:r w:rsidRPr="000E2377">
        <w:rPr>
          <w:rFonts w:eastAsia="Calibri" w:cs="Times New Roman"/>
          <w:b w:val="0"/>
          <w:bCs/>
          <w:szCs w:val="24"/>
          <w:lang w:val="en-GB"/>
        </w:rPr>
        <w:t>Matsuoko</w:t>
      </w:r>
      <w:proofErr w:type="spellEnd"/>
      <w:r w:rsidRPr="000E2377">
        <w:rPr>
          <w:rFonts w:eastAsia="Calibri" w:cs="Times New Roman"/>
          <w:b w:val="0"/>
          <w:bCs/>
          <w:szCs w:val="24"/>
          <w:lang w:val="en-GB"/>
        </w:rPr>
        <w:t xml:space="preserve">, J., &amp; Akai, T. (2010). Effect of B2O3 content on crack initiation under Vickers indentation test. Journal of the Ceramic Society of Japan, 118(1381), 792–798. </w:t>
      </w:r>
    </w:p>
    <w:p w14:paraId="3ECE980D"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Kato, Y., Yamazaki, H., Watanabe, T., Saito, K., &amp; </w:t>
      </w:r>
      <w:proofErr w:type="spellStart"/>
      <w:r w:rsidRPr="000E2377">
        <w:rPr>
          <w:rFonts w:eastAsia="Calibri" w:cs="Times New Roman"/>
          <w:b w:val="0"/>
          <w:bCs/>
          <w:szCs w:val="24"/>
          <w:lang w:val="en-GB"/>
        </w:rPr>
        <w:t>Ikushima</w:t>
      </w:r>
      <w:proofErr w:type="spellEnd"/>
      <w:r w:rsidRPr="000E2377">
        <w:rPr>
          <w:rFonts w:eastAsia="Calibri" w:cs="Times New Roman"/>
          <w:b w:val="0"/>
          <w:bCs/>
          <w:szCs w:val="24"/>
          <w:lang w:val="en-GB"/>
        </w:rPr>
        <w:t xml:space="preserve">,  a. J. (2005). Early stage of phase separation in aluminoborosilicate glass for liquid crystal display substrate. Journal of the American Ceramic Society, 88(2), 473–477. </w:t>
      </w:r>
    </w:p>
    <w:p w14:paraId="16ABF1FB" w14:textId="77777777" w:rsidR="008255F9"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Kazuyuki </w:t>
      </w:r>
      <w:proofErr w:type="spellStart"/>
      <w:r w:rsidRPr="000E2377">
        <w:rPr>
          <w:rFonts w:eastAsia="Calibri" w:cs="Times New Roman"/>
          <w:b w:val="0"/>
          <w:bCs/>
          <w:szCs w:val="24"/>
          <w:lang w:val="en-GB"/>
        </w:rPr>
        <w:t>Hirao</w:t>
      </w:r>
      <w:proofErr w:type="spellEnd"/>
      <w:r w:rsidRPr="000E2377">
        <w:rPr>
          <w:rFonts w:eastAsia="Calibri" w:cs="Times New Roman"/>
          <w:b w:val="0"/>
          <w:bCs/>
          <w:szCs w:val="24"/>
          <w:lang w:val="en-GB"/>
        </w:rPr>
        <w:t>, J. M. and N. S. (1989). Inelastic deformation and structure of borate glass. Journal of Non-Crystalline Solids, 112, 336–340.</w:t>
      </w:r>
    </w:p>
    <w:p w14:paraId="5D6EFA0E"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Kiczenski</w:t>
      </w:r>
      <w:proofErr w:type="spellEnd"/>
      <w:r w:rsidRPr="000E2377">
        <w:rPr>
          <w:rFonts w:eastAsia="Calibri" w:cs="Times New Roman"/>
          <w:b w:val="0"/>
          <w:bCs/>
          <w:szCs w:val="24"/>
          <w:lang w:val="en-GB"/>
        </w:rPr>
        <w:t xml:space="preserve">, T. J., Du, L.-S., &amp; Stebbins, J. (2005). The effect of fictive temperature on the structure of E-glass: A high resolution, multinuclear NMR study. Journal of Non-Crystalline Solids, 351(46–48), 3571–3578. </w:t>
      </w:r>
    </w:p>
    <w:p w14:paraId="057BDD0E"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Kilinc</w:t>
      </w:r>
      <w:proofErr w:type="spellEnd"/>
      <w:r w:rsidRPr="000E2377">
        <w:rPr>
          <w:rFonts w:eastAsia="Calibri" w:cs="Times New Roman"/>
          <w:b w:val="0"/>
          <w:bCs/>
          <w:szCs w:val="24"/>
          <w:lang w:val="en-GB"/>
        </w:rPr>
        <w:t xml:space="preserve">, E., (2016). Mechanical structural properties of soda lime silica glasses as a function of composition. </w:t>
      </w:r>
      <w:proofErr w:type="spellStart"/>
      <w:r w:rsidRPr="000E2377">
        <w:rPr>
          <w:rFonts w:eastAsia="Calibri" w:cs="Times New Roman"/>
          <w:b w:val="0"/>
          <w:bCs/>
          <w:szCs w:val="24"/>
          <w:lang w:val="en-GB"/>
        </w:rPr>
        <w:t>P.h.D</w:t>
      </w:r>
      <w:proofErr w:type="spellEnd"/>
      <w:r w:rsidRPr="000E2377">
        <w:rPr>
          <w:rFonts w:eastAsia="Calibri" w:cs="Times New Roman"/>
          <w:b w:val="0"/>
          <w:bCs/>
          <w:szCs w:val="24"/>
          <w:lang w:val="en-GB"/>
        </w:rPr>
        <w:t xml:space="preserve"> thesis, The University of Sheffield.</w:t>
      </w:r>
    </w:p>
    <w:p w14:paraId="7BDC2020" w14:textId="77777777" w:rsidR="008255F9"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Kilinc</w:t>
      </w:r>
      <w:proofErr w:type="spellEnd"/>
      <w:r w:rsidRPr="000E2377">
        <w:rPr>
          <w:rFonts w:eastAsia="Calibri" w:cs="Times New Roman"/>
          <w:b w:val="0"/>
          <w:bCs/>
          <w:szCs w:val="24"/>
          <w:lang w:val="en-GB"/>
        </w:rPr>
        <w:t xml:space="preserve">, E., &amp; Hand, R. J. (2015). Mechanical properties of soda-lime-silica glasses with varying alkaline earth contents. Journal of Non-Crystalline Solids, 429, 190–197. </w:t>
      </w:r>
    </w:p>
    <w:p w14:paraId="46C954C0" w14:textId="77777777" w:rsidR="008255F9" w:rsidRPr="000E2377" w:rsidRDefault="008255F9" w:rsidP="008255F9">
      <w:pPr>
        <w:spacing w:line="240" w:lineRule="auto"/>
        <w:jc w:val="both"/>
        <w:rPr>
          <w:rFonts w:eastAsia="Calibri" w:cs="Times New Roman"/>
          <w:b w:val="0"/>
          <w:bCs/>
          <w:szCs w:val="24"/>
          <w:lang w:val="en-GB"/>
        </w:rPr>
      </w:pPr>
      <w:r w:rsidRPr="00EA3B09">
        <w:rPr>
          <w:rFonts w:eastAsia="Calibri" w:cs="Times New Roman"/>
          <w:b w:val="0"/>
          <w:bCs/>
          <w:szCs w:val="24"/>
          <w:lang w:val="en-GB"/>
        </w:rPr>
        <w:t>Kelsey</w:t>
      </w:r>
      <w:r>
        <w:rPr>
          <w:rFonts w:eastAsia="Calibri" w:cs="Times New Roman"/>
          <w:b w:val="0"/>
          <w:bCs/>
          <w:szCs w:val="24"/>
          <w:lang w:val="en-GB"/>
        </w:rPr>
        <w:t>,</w:t>
      </w:r>
      <w:r w:rsidRPr="00EA3B09">
        <w:rPr>
          <w:rFonts w:eastAsia="Calibri" w:cs="Times New Roman"/>
          <w:b w:val="0"/>
          <w:bCs/>
          <w:szCs w:val="24"/>
          <w:lang w:val="en-GB"/>
        </w:rPr>
        <w:t xml:space="preserve"> K</w:t>
      </w:r>
      <w:r>
        <w:rPr>
          <w:rFonts w:eastAsia="Calibri" w:cs="Times New Roman"/>
          <w:b w:val="0"/>
          <w:bCs/>
          <w:szCs w:val="24"/>
          <w:lang w:val="en-GB"/>
        </w:rPr>
        <w:t>.</w:t>
      </w:r>
      <w:r w:rsidRPr="00EA3B09">
        <w:rPr>
          <w:rFonts w:eastAsia="Calibri" w:cs="Times New Roman"/>
          <w:b w:val="0"/>
          <w:bCs/>
          <w:szCs w:val="24"/>
          <w:lang w:val="en-GB"/>
        </w:rPr>
        <w:t xml:space="preserve"> E., Stebbins</w:t>
      </w:r>
      <w:r>
        <w:rPr>
          <w:rFonts w:eastAsia="Calibri" w:cs="Times New Roman"/>
          <w:b w:val="0"/>
          <w:bCs/>
          <w:szCs w:val="24"/>
          <w:lang w:val="en-GB"/>
        </w:rPr>
        <w:t>,</w:t>
      </w:r>
      <w:r w:rsidRPr="00EA3B09">
        <w:rPr>
          <w:rFonts w:eastAsia="Calibri" w:cs="Times New Roman"/>
          <w:b w:val="0"/>
          <w:bCs/>
          <w:szCs w:val="24"/>
          <w:lang w:val="en-GB"/>
        </w:rPr>
        <w:t xml:space="preserve"> J</w:t>
      </w:r>
      <w:r>
        <w:rPr>
          <w:rFonts w:eastAsia="Calibri" w:cs="Times New Roman"/>
          <w:b w:val="0"/>
          <w:bCs/>
          <w:szCs w:val="24"/>
          <w:lang w:val="en-GB"/>
        </w:rPr>
        <w:t>.</w:t>
      </w:r>
      <w:r w:rsidRPr="00EA3B09">
        <w:rPr>
          <w:rFonts w:eastAsia="Calibri" w:cs="Times New Roman"/>
          <w:b w:val="0"/>
          <w:bCs/>
          <w:szCs w:val="24"/>
          <w:lang w:val="en-GB"/>
        </w:rPr>
        <w:t xml:space="preserve"> F.</w:t>
      </w:r>
      <w:r>
        <w:rPr>
          <w:rFonts w:eastAsia="Calibri" w:cs="Times New Roman"/>
          <w:b w:val="0"/>
          <w:bCs/>
          <w:szCs w:val="24"/>
          <w:lang w:val="en-GB"/>
        </w:rPr>
        <w:t>,</w:t>
      </w:r>
      <w:r w:rsidRPr="00EA3B09">
        <w:rPr>
          <w:rFonts w:eastAsia="Calibri" w:cs="Times New Roman"/>
          <w:b w:val="0"/>
          <w:bCs/>
          <w:szCs w:val="24"/>
          <w:lang w:val="en-GB"/>
        </w:rPr>
        <w:t xml:space="preserve">  Singer</w:t>
      </w:r>
      <w:r>
        <w:rPr>
          <w:rFonts w:eastAsia="Calibri" w:cs="Times New Roman"/>
          <w:b w:val="0"/>
          <w:bCs/>
          <w:szCs w:val="24"/>
          <w:lang w:val="en-GB"/>
        </w:rPr>
        <w:t>,</w:t>
      </w:r>
      <w:r w:rsidRPr="00EA3B09">
        <w:rPr>
          <w:rFonts w:eastAsia="Calibri" w:cs="Times New Roman"/>
          <w:b w:val="0"/>
          <w:bCs/>
          <w:szCs w:val="24"/>
          <w:lang w:val="en-GB"/>
        </w:rPr>
        <w:t xml:space="preserve"> D</w:t>
      </w:r>
      <w:r>
        <w:rPr>
          <w:rFonts w:eastAsia="Calibri" w:cs="Times New Roman"/>
          <w:b w:val="0"/>
          <w:bCs/>
          <w:szCs w:val="24"/>
          <w:lang w:val="en-GB"/>
        </w:rPr>
        <w:t>.</w:t>
      </w:r>
      <w:r w:rsidRPr="00EA3B09">
        <w:rPr>
          <w:rFonts w:eastAsia="Calibri" w:cs="Times New Roman"/>
          <w:b w:val="0"/>
          <w:bCs/>
          <w:szCs w:val="24"/>
          <w:lang w:val="en-GB"/>
        </w:rPr>
        <w:t xml:space="preserve"> M.</w:t>
      </w:r>
      <w:r>
        <w:rPr>
          <w:rFonts w:eastAsia="Calibri" w:cs="Times New Roman"/>
          <w:b w:val="0"/>
          <w:bCs/>
          <w:szCs w:val="24"/>
          <w:lang w:val="en-GB"/>
        </w:rPr>
        <w:t>,</w:t>
      </w:r>
      <w:r w:rsidRPr="00EA3B09">
        <w:rPr>
          <w:rFonts w:eastAsia="Calibri" w:cs="Times New Roman"/>
          <w:b w:val="0"/>
          <w:bCs/>
          <w:szCs w:val="24"/>
          <w:lang w:val="en-GB"/>
        </w:rPr>
        <w:t xml:space="preserve">  Brown</w:t>
      </w:r>
      <w:r>
        <w:rPr>
          <w:rFonts w:eastAsia="Calibri" w:cs="Times New Roman"/>
          <w:b w:val="0"/>
          <w:bCs/>
          <w:szCs w:val="24"/>
          <w:lang w:val="en-GB"/>
        </w:rPr>
        <w:t>,</w:t>
      </w:r>
      <w:r w:rsidRPr="00EA3B09">
        <w:rPr>
          <w:rFonts w:eastAsia="Calibri" w:cs="Times New Roman"/>
          <w:b w:val="0"/>
          <w:bCs/>
          <w:szCs w:val="24"/>
          <w:lang w:val="en-GB"/>
        </w:rPr>
        <w:t xml:space="preserve"> G</w:t>
      </w:r>
      <w:r>
        <w:rPr>
          <w:rFonts w:eastAsia="Calibri" w:cs="Times New Roman"/>
          <w:b w:val="0"/>
          <w:bCs/>
          <w:szCs w:val="24"/>
          <w:lang w:val="en-GB"/>
        </w:rPr>
        <w:t>.</w:t>
      </w:r>
      <w:r w:rsidRPr="00EA3B09">
        <w:rPr>
          <w:rFonts w:eastAsia="Calibri" w:cs="Times New Roman"/>
          <w:b w:val="0"/>
          <w:bCs/>
          <w:szCs w:val="24"/>
          <w:lang w:val="en-GB"/>
        </w:rPr>
        <w:t xml:space="preserve"> E. J.</w:t>
      </w:r>
      <w:r>
        <w:rPr>
          <w:rFonts w:eastAsia="Calibri" w:cs="Times New Roman"/>
          <w:b w:val="0"/>
          <w:bCs/>
          <w:szCs w:val="24"/>
          <w:lang w:val="en-GB"/>
        </w:rPr>
        <w:t>,</w:t>
      </w:r>
      <w:r w:rsidRPr="00EA3B09">
        <w:rPr>
          <w:rFonts w:eastAsia="Calibri" w:cs="Times New Roman"/>
          <w:b w:val="0"/>
          <w:bCs/>
          <w:szCs w:val="24"/>
          <w:lang w:val="en-GB"/>
        </w:rPr>
        <w:t xml:space="preserve"> </w:t>
      </w:r>
      <w:proofErr w:type="spellStart"/>
      <w:r w:rsidRPr="00EA3B09">
        <w:rPr>
          <w:rFonts w:eastAsia="Calibri" w:cs="Times New Roman"/>
          <w:b w:val="0"/>
          <w:bCs/>
          <w:szCs w:val="24"/>
          <w:lang w:val="en-GB"/>
        </w:rPr>
        <w:t>Mosenfelder</w:t>
      </w:r>
      <w:proofErr w:type="spellEnd"/>
      <w:r>
        <w:rPr>
          <w:rFonts w:eastAsia="Calibri" w:cs="Times New Roman"/>
          <w:b w:val="0"/>
          <w:bCs/>
          <w:szCs w:val="24"/>
          <w:lang w:val="en-GB"/>
        </w:rPr>
        <w:t>,</w:t>
      </w:r>
      <w:r w:rsidRPr="00EA3B09">
        <w:rPr>
          <w:rFonts w:eastAsia="Calibri" w:cs="Times New Roman"/>
          <w:b w:val="0"/>
          <w:bCs/>
          <w:szCs w:val="24"/>
          <w:lang w:val="en-GB"/>
        </w:rPr>
        <w:t xml:space="preserve"> J</w:t>
      </w:r>
      <w:r>
        <w:rPr>
          <w:rFonts w:eastAsia="Calibri" w:cs="Times New Roman"/>
          <w:b w:val="0"/>
          <w:bCs/>
          <w:szCs w:val="24"/>
          <w:lang w:val="en-GB"/>
        </w:rPr>
        <w:t>.</w:t>
      </w:r>
      <w:r w:rsidRPr="00EA3B09">
        <w:rPr>
          <w:rFonts w:eastAsia="Calibri" w:cs="Times New Roman"/>
          <w:b w:val="0"/>
          <w:bCs/>
          <w:szCs w:val="24"/>
          <w:lang w:val="en-GB"/>
        </w:rPr>
        <w:t xml:space="preserve"> L.</w:t>
      </w:r>
      <w:r>
        <w:rPr>
          <w:rFonts w:eastAsia="Calibri" w:cs="Times New Roman"/>
          <w:b w:val="0"/>
          <w:bCs/>
          <w:szCs w:val="24"/>
          <w:lang w:val="en-GB"/>
        </w:rPr>
        <w:t>,</w:t>
      </w:r>
      <w:r w:rsidRPr="00EA3B09">
        <w:rPr>
          <w:rFonts w:eastAsia="Calibri" w:cs="Times New Roman"/>
          <w:b w:val="0"/>
          <w:bCs/>
          <w:szCs w:val="24"/>
          <w:lang w:val="en-GB"/>
        </w:rPr>
        <w:t xml:space="preserve"> </w:t>
      </w:r>
      <w:proofErr w:type="spellStart"/>
      <w:r w:rsidRPr="00EA3B09">
        <w:rPr>
          <w:rFonts w:eastAsia="Calibri" w:cs="Times New Roman"/>
          <w:b w:val="0"/>
          <w:bCs/>
          <w:szCs w:val="24"/>
          <w:lang w:val="en-GB"/>
        </w:rPr>
        <w:t>Asimowc</w:t>
      </w:r>
      <w:proofErr w:type="spellEnd"/>
      <w:r>
        <w:rPr>
          <w:rFonts w:eastAsia="Calibri" w:cs="Times New Roman"/>
          <w:b w:val="0"/>
          <w:bCs/>
          <w:szCs w:val="24"/>
          <w:lang w:val="en-GB"/>
        </w:rPr>
        <w:t>,</w:t>
      </w:r>
      <w:r w:rsidRPr="00EA3B09">
        <w:rPr>
          <w:rFonts w:eastAsia="Calibri" w:cs="Times New Roman"/>
          <w:b w:val="0"/>
          <w:bCs/>
          <w:szCs w:val="24"/>
          <w:lang w:val="en-GB"/>
        </w:rPr>
        <w:t xml:space="preserve"> P</w:t>
      </w:r>
      <w:r>
        <w:rPr>
          <w:rFonts w:eastAsia="Calibri" w:cs="Times New Roman"/>
          <w:b w:val="0"/>
          <w:bCs/>
          <w:szCs w:val="24"/>
          <w:lang w:val="en-GB"/>
        </w:rPr>
        <w:t>.</w:t>
      </w:r>
      <w:r w:rsidRPr="00EA3B09">
        <w:rPr>
          <w:rFonts w:eastAsia="Calibri" w:cs="Times New Roman"/>
          <w:b w:val="0"/>
          <w:bCs/>
          <w:szCs w:val="24"/>
          <w:lang w:val="en-GB"/>
        </w:rPr>
        <w:t xml:space="preserve"> D.</w:t>
      </w:r>
      <w:r>
        <w:rPr>
          <w:rFonts w:eastAsia="Calibri" w:cs="Times New Roman"/>
          <w:b w:val="0"/>
          <w:bCs/>
          <w:szCs w:val="24"/>
          <w:lang w:val="en-GB"/>
        </w:rPr>
        <w:t>,</w:t>
      </w:r>
      <w:r w:rsidRPr="00EA3B09">
        <w:rPr>
          <w:rFonts w:eastAsia="Calibri" w:cs="Times New Roman"/>
          <w:b w:val="0"/>
          <w:bCs/>
          <w:szCs w:val="24"/>
          <w:lang w:val="en-GB"/>
        </w:rPr>
        <w:t xml:space="preserve"> (2009)</w:t>
      </w:r>
      <w:r>
        <w:rPr>
          <w:rFonts w:eastAsia="Calibri" w:cs="Times New Roman"/>
          <w:b w:val="0"/>
          <w:bCs/>
          <w:szCs w:val="24"/>
          <w:lang w:val="en-GB"/>
        </w:rPr>
        <w:t xml:space="preserve">. </w:t>
      </w:r>
      <w:r w:rsidRPr="00EA3B09">
        <w:rPr>
          <w:rFonts w:eastAsia="Calibri" w:cs="Times New Roman"/>
          <w:b w:val="0"/>
          <w:bCs/>
          <w:szCs w:val="24"/>
          <w:lang w:val="en-GB"/>
        </w:rPr>
        <w:t>Cation field strength effects on high pressure aluminosilicate glass structure: Multinuclear NMR and La XAFS results</w:t>
      </w:r>
      <w:r>
        <w:rPr>
          <w:rFonts w:eastAsia="Calibri" w:cs="Times New Roman"/>
          <w:b w:val="0"/>
          <w:bCs/>
          <w:szCs w:val="24"/>
          <w:lang w:val="en-GB"/>
        </w:rPr>
        <w:t xml:space="preserve">. </w:t>
      </w:r>
      <w:proofErr w:type="spellStart"/>
      <w:r w:rsidRPr="00EA3B09">
        <w:rPr>
          <w:rFonts w:eastAsia="Calibri" w:cs="Times New Roman"/>
          <w:b w:val="0"/>
          <w:bCs/>
          <w:szCs w:val="24"/>
          <w:lang w:val="en-GB"/>
        </w:rPr>
        <w:t>Geochimica</w:t>
      </w:r>
      <w:proofErr w:type="spellEnd"/>
      <w:r w:rsidRPr="00EA3B09">
        <w:rPr>
          <w:rFonts w:eastAsia="Calibri" w:cs="Times New Roman"/>
          <w:b w:val="0"/>
          <w:bCs/>
          <w:szCs w:val="24"/>
          <w:lang w:val="en-GB"/>
        </w:rPr>
        <w:t xml:space="preserve"> et </w:t>
      </w:r>
      <w:proofErr w:type="spellStart"/>
      <w:r w:rsidRPr="00EA3B09">
        <w:rPr>
          <w:rFonts w:eastAsia="Calibri" w:cs="Times New Roman"/>
          <w:b w:val="0"/>
          <w:bCs/>
          <w:szCs w:val="24"/>
          <w:lang w:val="en-GB"/>
        </w:rPr>
        <w:t>Cosmochimica</w:t>
      </w:r>
      <w:proofErr w:type="spellEnd"/>
      <w:r w:rsidRPr="00EA3B09">
        <w:rPr>
          <w:rFonts w:eastAsia="Calibri" w:cs="Times New Roman"/>
          <w:b w:val="0"/>
          <w:bCs/>
          <w:szCs w:val="24"/>
          <w:lang w:val="en-GB"/>
        </w:rPr>
        <w:t xml:space="preserve"> Acta</w:t>
      </w:r>
      <w:r>
        <w:rPr>
          <w:rFonts w:eastAsia="Calibri" w:cs="Times New Roman"/>
          <w:b w:val="0"/>
          <w:bCs/>
          <w:szCs w:val="24"/>
          <w:lang w:val="en-GB"/>
        </w:rPr>
        <w:t>,</w:t>
      </w:r>
      <w:r w:rsidRPr="00EA3B09">
        <w:rPr>
          <w:rFonts w:eastAsia="Calibri" w:cs="Times New Roman"/>
          <w:b w:val="0"/>
          <w:bCs/>
          <w:szCs w:val="24"/>
          <w:lang w:val="en-GB"/>
        </w:rPr>
        <w:t xml:space="preserve"> 73</w:t>
      </w:r>
      <w:r>
        <w:rPr>
          <w:rFonts w:eastAsia="Calibri" w:cs="Times New Roman"/>
          <w:b w:val="0"/>
          <w:bCs/>
          <w:szCs w:val="24"/>
          <w:lang w:val="en-GB"/>
        </w:rPr>
        <w:t>,</w:t>
      </w:r>
      <w:r w:rsidRPr="00EA3B09">
        <w:rPr>
          <w:rFonts w:eastAsia="Calibri" w:cs="Times New Roman"/>
          <w:b w:val="0"/>
          <w:bCs/>
          <w:szCs w:val="24"/>
          <w:lang w:val="en-GB"/>
        </w:rPr>
        <w:t xml:space="preserve"> 3914–3933</w:t>
      </w:r>
      <w:r>
        <w:rPr>
          <w:rFonts w:eastAsia="Calibri" w:cs="Times New Roman"/>
          <w:b w:val="0"/>
          <w:bCs/>
          <w:szCs w:val="24"/>
          <w:lang w:val="en-GB"/>
        </w:rPr>
        <w:t>.</w:t>
      </w:r>
    </w:p>
    <w:p w14:paraId="34C51D99"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Kjeldsen, J., </w:t>
      </w:r>
      <w:proofErr w:type="spellStart"/>
      <w:r w:rsidRPr="000E2377">
        <w:rPr>
          <w:rFonts w:eastAsia="Calibri" w:cs="Times New Roman"/>
          <w:b w:val="0"/>
          <w:bCs/>
          <w:szCs w:val="24"/>
          <w:lang w:val="en-GB"/>
        </w:rPr>
        <w:t>Smedskjaer</w:t>
      </w:r>
      <w:proofErr w:type="spellEnd"/>
      <w:r w:rsidRPr="000E2377">
        <w:rPr>
          <w:rFonts w:eastAsia="Calibri" w:cs="Times New Roman"/>
          <w:b w:val="0"/>
          <w:bCs/>
          <w:szCs w:val="24"/>
          <w:lang w:val="en-GB"/>
        </w:rPr>
        <w:t xml:space="preserve">, M. M., Mauro, J. C., Youngman, R. E., Huang, L., &amp; Yue, Y. (2013). Mixed alkaline earth effect in sodium aluminosilicate glasses. Journal of Non-Crystalline Solids, 369, 61–68. </w:t>
      </w:r>
    </w:p>
    <w:p w14:paraId="090D33E1" w14:textId="77777777" w:rsidR="008255F9"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Koudelka</w:t>
      </w:r>
      <w:proofErr w:type="spellEnd"/>
      <w:r w:rsidRPr="000E2377">
        <w:rPr>
          <w:rFonts w:eastAsia="Calibri" w:cs="Times New Roman"/>
          <w:b w:val="0"/>
          <w:bCs/>
          <w:szCs w:val="24"/>
          <w:lang w:val="en-GB"/>
        </w:rPr>
        <w:t xml:space="preserve">, L., </w:t>
      </w:r>
      <w:proofErr w:type="spellStart"/>
      <w:r w:rsidRPr="000E2377">
        <w:rPr>
          <w:rFonts w:eastAsia="Calibri" w:cs="Times New Roman"/>
          <w:b w:val="0"/>
          <w:bCs/>
          <w:szCs w:val="24"/>
          <w:lang w:val="en-GB"/>
        </w:rPr>
        <w:t>Kalenda</w:t>
      </w:r>
      <w:proofErr w:type="spellEnd"/>
      <w:r w:rsidRPr="000E2377">
        <w:rPr>
          <w:rFonts w:eastAsia="Calibri" w:cs="Times New Roman"/>
          <w:b w:val="0"/>
          <w:bCs/>
          <w:szCs w:val="24"/>
          <w:lang w:val="en-GB"/>
        </w:rPr>
        <w:t xml:space="preserve">, P., </w:t>
      </w:r>
      <w:proofErr w:type="spellStart"/>
      <w:r w:rsidRPr="000E2377">
        <w:rPr>
          <w:rFonts w:eastAsia="Calibri" w:cs="Times New Roman"/>
          <w:b w:val="0"/>
          <w:bCs/>
          <w:szCs w:val="24"/>
          <w:lang w:val="en-GB"/>
        </w:rPr>
        <w:t>Mosner</w:t>
      </w:r>
      <w:proofErr w:type="spellEnd"/>
      <w:r w:rsidRPr="000E2377">
        <w:rPr>
          <w:rFonts w:eastAsia="Calibri" w:cs="Times New Roman"/>
          <w:b w:val="0"/>
          <w:bCs/>
          <w:szCs w:val="24"/>
          <w:lang w:val="en-GB"/>
        </w:rPr>
        <w:t xml:space="preserve">, P., </w:t>
      </w:r>
      <w:proofErr w:type="spellStart"/>
      <w:r w:rsidRPr="000E2377">
        <w:rPr>
          <w:rFonts w:eastAsia="Calibri" w:cs="Times New Roman"/>
          <w:b w:val="0"/>
          <w:bCs/>
          <w:szCs w:val="24"/>
          <w:lang w:val="en-GB"/>
        </w:rPr>
        <w:t>Cernocek</w:t>
      </w:r>
      <w:proofErr w:type="spellEnd"/>
      <w:r w:rsidRPr="000E2377">
        <w:rPr>
          <w:rFonts w:eastAsia="Calibri" w:cs="Times New Roman"/>
          <w:b w:val="0"/>
          <w:bCs/>
          <w:szCs w:val="24"/>
          <w:lang w:val="en-GB"/>
        </w:rPr>
        <w:t>, Z., Montagne, L., &amp; Revel, B. (2016). Structural investigation of BaO-B</w:t>
      </w:r>
      <w:r w:rsidRPr="005805E7">
        <w:rPr>
          <w:rFonts w:eastAsia="Calibri" w:cs="Times New Roman"/>
          <w:b w:val="0"/>
          <w:bCs/>
          <w:szCs w:val="24"/>
          <w:vertAlign w:val="subscript"/>
          <w:lang w:val="en-GB"/>
        </w:rPr>
        <w:t>2</w:t>
      </w:r>
      <w:r w:rsidRPr="000E2377">
        <w:rPr>
          <w:rFonts w:eastAsia="Calibri" w:cs="Times New Roman"/>
          <w:b w:val="0"/>
          <w:bCs/>
          <w:szCs w:val="24"/>
          <w:lang w:val="en-GB"/>
        </w:rPr>
        <w:t>O</w:t>
      </w:r>
      <w:r w:rsidRPr="005805E7">
        <w:rPr>
          <w:rFonts w:eastAsia="Calibri" w:cs="Times New Roman"/>
          <w:b w:val="0"/>
          <w:bCs/>
          <w:szCs w:val="24"/>
          <w:vertAlign w:val="subscript"/>
          <w:lang w:val="en-GB"/>
        </w:rPr>
        <w:t>3</w:t>
      </w:r>
      <w:r w:rsidRPr="000E2377">
        <w:rPr>
          <w:rFonts w:eastAsia="Calibri" w:cs="Times New Roman"/>
          <w:b w:val="0"/>
          <w:bCs/>
          <w:szCs w:val="24"/>
          <w:lang w:val="en-GB"/>
        </w:rPr>
        <w:t>-P</w:t>
      </w:r>
      <w:r w:rsidRPr="005805E7">
        <w:rPr>
          <w:rFonts w:eastAsia="Calibri" w:cs="Times New Roman"/>
          <w:b w:val="0"/>
          <w:bCs/>
          <w:szCs w:val="24"/>
          <w:vertAlign w:val="subscript"/>
          <w:lang w:val="en-GB"/>
        </w:rPr>
        <w:t>2</w:t>
      </w:r>
      <w:r w:rsidRPr="000E2377">
        <w:rPr>
          <w:rFonts w:eastAsia="Calibri" w:cs="Times New Roman"/>
          <w:b w:val="0"/>
          <w:bCs/>
          <w:szCs w:val="24"/>
          <w:lang w:val="en-GB"/>
        </w:rPr>
        <w:t>O</w:t>
      </w:r>
      <w:r w:rsidRPr="005805E7">
        <w:rPr>
          <w:rFonts w:eastAsia="Calibri" w:cs="Times New Roman"/>
          <w:b w:val="0"/>
          <w:bCs/>
          <w:szCs w:val="24"/>
          <w:vertAlign w:val="subscript"/>
          <w:lang w:val="en-GB"/>
        </w:rPr>
        <w:t>5</w:t>
      </w:r>
      <w:r w:rsidRPr="000E2377">
        <w:rPr>
          <w:rFonts w:eastAsia="Calibri" w:cs="Times New Roman"/>
          <w:b w:val="0"/>
          <w:bCs/>
          <w:szCs w:val="24"/>
          <w:lang w:val="en-GB"/>
        </w:rPr>
        <w:t xml:space="preserve"> glasses by NMR and Raman spectroscopy. Journal of Molecular Structure, 1119, 212–219. </w:t>
      </w:r>
    </w:p>
    <w:p w14:paraId="5A8BE22E" w14:textId="77777777" w:rsidR="008255F9" w:rsidRDefault="008255F9" w:rsidP="008255F9">
      <w:pPr>
        <w:jc w:val="both"/>
        <w:rPr>
          <w:b w:val="0"/>
        </w:rPr>
      </w:pPr>
      <w:r w:rsidRPr="001002ED">
        <w:rPr>
          <w:b w:val="0"/>
        </w:rPr>
        <w:t xml:space="preserve">Kumar, V., Pandey, O. P.  &amp; Singh, K. (2010). Structural and optical properties of barium borosilicate glasses. </w:t>
      </w:r>
      <w:proofErr w:type="spellStart"/>
      <w:r w:rsidRPr="001002ED">
        <w:rPr>
          <w:b w:val="0"/>
        </w:rPr>
        <w:t>Physica</w:t>
      </w:r>
      <w:proofErr w:type="spellEnd"/>
      <w:r w:rsidRPr="001002ED">
        <w:rPr>
          <w:b w:val="0"/>
        </w:rPr>
        <w:t xml:space="preserve"> B: Condensed Matter, 405, 204-207.</w:t>
      </w:r>
    </w:p>
    <w:p w14:paraId="4370D554" w14:textId="77777777" w:rsidR="008255F9" w:rsidRPr="001002ED" w:rsidRDefault="008255F9" w:rsidP="008255F9">
      <w:pPr>
        <w:jc w:val="both"/>
        <w:rPr>
          <w:b w:val="0"/>
        </w:rPr>
      </w:pPr>
      <w:r w:rsidRPr="00E966E9">
        <w:rPr>
          <w:b w:val="0"/>
        </w:rPr>
        <w:t xml:space="preserve">Kumar </w:t>
      </w:r>
      <w:r>
        <w:rPr>
          <w:b w:val="0"/>
        </w:rPr>
        <w:t xml:space="preserve">R. </w:t>
      </w:r>
      <w:r w:rsidRPr="00E966E9">
        <w:rPr>
          <w:b w:val="0"/>
        </w:rPr>
        <w:t>A, Rao</w:t>
      </w:r>
      <w:r>
        <w:rPr>
          <w:b w:val="0"/>
        </w:rPr>
        <w:t>,</w:t>
      </w:r>
      <w:r w:rsidRPr="00E966E9">
        <w:rPr>
          <w:b w:val="0"/>
        </w:rPr>
        <w:t xml:space="preserve"> T</w:t>
      </w:r>
      <w:r>
        <w:rPr>
          <w:b w:val="0"/>
        </w:rPr>
        <w:t>.</w:t>
      </w:r>
      <w:r w:rsidRPr="00E966E9">
        <w:rPr>
          <w:b w:val="0"/>
        </w:rPr>
        <w:t xml:space="preserve"> G</w:t>
      </w:r>
      <w:r>
        <w:rPr>
          <w:b w:val="0"/>
        </w:rPr>
        <w:t>.</w:t>
      </w:r>
      <w:r w:rsidRPr="00E966E9">
        <w:rPr>
          <w:b w:val="0"/>
        </w:rPr>
        <w:t xml:space="preserve"> V</w:t>
      </w:r>
      <w:r>
        <w:rPr>
          <w:b w:val="0"/>
        </w:rPr>
        <w:t>.</w:t>
      </w:r>
      <w:r w:rsidRPr="00E966E9">
        <w:rPr>
          <w:b w:val="0"/>
        </w:rPr>
        <w:t xml:space="preserve"> M, </w:t>
      </w:r>
      <w:proofErr w:type="spellStart"/>
      <w:r w:rsidRPr="00E966E9">
        <w:rPr>
          <w:b w:val="0"/>
        </w:rPr>
        <w:t>Neeraja</w:t>
      </w:r>
      <w:proofErr w:type="spellEnd"/>
      <w:r>
        <w:rPr>
          <w:b w:val="0"/>
        </w:rPr>
        <w:t>,</w:t>
      </w:r>
      <w:r w:rsidRPr="00E966E9">
        <w:rPr>
          <w:b w:val="0"/>
        </w:rPr>
        <w:t xml:space="preserve"> K</w:t>
      </w:r>
      <w:r>
        <w:rPr>
          <w:b w:val="0"/>
        </w:rPr>
        <w:t>.</w:t>
      </w:r>
      <w:r w:rsidRPr="00E966E9">
        <w:rPr>
          <w:b w:val="0"/>
        </w:rPr>
        <w:t>, Reddy</w:t>
      </w:r>
      <w:r>
        <w:rPr>
          <w:b w:val="0"/>
        </w:rPr>
        <w:t>. R.</w:t>
      </w:r>
      <w:r w:rsidRPr="00E966E9">
        <w:rPr>
          <w:b w:val="0"/>
        </w:rPr>
        <w:t xml:space="preserve"> M</w:t>
      </w:r>
      <w:r>
        <w:rPr>
          <w:b w:val="0"/>
        </w:rPr>
        <w:t>.,</w:t>
      </w:r>
      <w:r w:rsidRPr="00E966E9">
        <w:rPr>
          <w:b w:val="0"/>
        </w:rPr>
        <w:t xml:space="preserve"> </w:t>
      </w:r>
      <w:r>
        <w:rPr>
          <w:b w:val="0"/>
        </w:rPr>
        <w:t>&amp;</w:t>
      </w:r>
      <w:r w:rsidRPr="00E966E9">
        <w:rPr>
          <w:b w:val="0"/>
        </w:rPr>
        <w:t xml:space="preserve"> </w:t>
      </w:r>
      <w:proofErr w:type="spellStart"/>
      <w:r w:rsidRPr="00E966E9">
        <w:rPr>
          <w:b w:val="0"/>
        </w:rPr>
        <w:t>Veeraiah</w:t>
      </w:r>
      <w:proofErr w:type="spellEnd"/>
      <w:r>
        <w:rPr>
          <w:b w:val="0"/>
        </w:rPr>
        <w:t>,</w:t>
      </w:r>
      <w:r w:rsidRPr="00E966E9">
        <w:rPr>
          <w:b w:val="0"/>
        </w:rPr>
        <w:t xml:space="preserve"> N</w:t>
      </w:r>
      <w:r>
        <w:rPr>
          <w:b w:val="0"/>
        </w:rPr>
        <w:t>.</w:t>
      </w:r>
      <w:r w:rsidRPr="00E966E9">
        <w:rPr>
          <w:b w:val="0"/>
        </w:rPr>
        <w:t xml:space="preserve"> </w:t>
      </w:r>
      <w:r>
        <w:rPr>
          <w:b w:val="0"/>
        </w:rPr>
        <w:t>(</w:t>
      </w:r>
      <w:r w:rsidRPr="00E966E9">
        <w:rPr>
          <w:b w:val="0"/>
        </w:rPr>
        <w:t>2013</w:t>
      </w:r>
      <w:r>
        <w:rPr>
          <w:b w:val="0"/>
        </w:rPr>
        <w:t>).</w:t>
      </w:r>
      <w:r w:rsidRPr="00E966E9">
        <w:rPr>
          <w:b w:val="0"/>
        </w:rPr>
        <w:t xml:space="preserve"> Gamma ray induced changes on vibrational spectroscopic properties of strontium alumino-borosilicate glasses</w:t>
      </w:r>
      <w:r>
        <w:rPr>
          <w:b w:val="0"/>
        </w:rPr>
        <w:t>,</w:t>
      </w:r>
      <w:r w:rsidRPr="00E966E9">
        <w:rPr>
          <w:b w:val="0"/>
        </w:rPr>
        <w:t xml:space="preserve"> Vib</w:t>
      </w:r>
      <w:r>
        <w:rPr>
          <w:b w:val="0"/>
        </w:rPr>
        <w:t>ration</w:t>
      </w:r>
      <w:r w:rsidRPr="00E966E9">
        <w:rPr>
          <w:b w:val="0"/>
        </w:rPr>
        <w:t xml:space="preserve"> Spectrosc</w:t>
      </w:r>
      <w:r>
        <w:rPr>
          <w:b w:val="0"/>
        </w:rPr>
        <w:t>opy,</w:t>
      </w:r>
      <w:r w:rsidRPr="00E966E9">
        <w:rPr>
          <w:b w:val="0"/>
        </w:rPr>
        <w:t xml:space="preserve"> 69</w:t>
      </w:r>
      <w:r>
        <w:rPr>
          <w:b w:val="0"/>
        </w:rPr>
        <w:t>,</w:t>
      </w:r>
      <w:r w:rsidRPr="00E966E9">
        <w:rPr>
          <w:b w:val="0"/>
        </w:rPr>
        <w:t xml:space="preserve"> 49–56</w:t>
      </w:r>
      <w:r>
        <w:rPr>
          <w:b w:val="0"/>
        </w:rPr>
        <w:t>.</w:t>
      </w:r>
    </w:p>
    <w:p w14:paraId="5AB4D074"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Kuryaeva</w:t>
      </w:r>
      <w:proofErr w:type="spellEnd"/>
      <w:r w:rsidRPr="000E2377">
        <w:rPr>
          <w:rFonts w:eastAsia="Calibri" w:cs="Times New Roman"/>
          <w:b w:val="0"/>
          <w:bCs/>
          <w:szCs w:val="24"/>
          <w:lang w:val="en-GB"/>
        </w:rPr>
        <w:t xml:space="preserve">, R. G. (2004). Degree of polymerization of aluminosilicate glasses and melts. Glass Physics and Chemistry, 30(2), 157–166. </w:t>
      </w:r>
    </w:p>
    <w:p w14:paraId="65ADE348"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Lawn, B R; Fuller, E. R. (1975). Equilibrium penny-like indentation fracture crack in indentation fracture. Journal of Materials Science, 10, 2016–2024.</w:t>
      </w:r>
    </w:p>
    <w:p w14:paraId="5AF525A2"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Le </w:t>
      </w:r>
      <w:proofErr w:type="spellStart"/>
      <w:r w:rsidRPr="000E2377">
        <w:rPr>
          <w:rFonts w:eastAsia="Calibri" w:cs="Times New Roman"/>
          <w:b w:val="0"/>
          <w:bCs/>
          <w:szCs w:val="24"/>
          <w:lang w:val="en-GB"/>
        </w:rPr>
        <w:t>Losq</w:t>
      </w:r>
      <w:proofErr w:type="spellEnd"/>
      <w:r w:rsidRPr="000E2377">
        <w:rPr>
          <w:rFonts w:eastAsia="Calibri" w:cs="Times New Roman"/>
          <w:b w:val="0"/>
          <w:bCs/>
          <w:szCs w:val="24"/>
          <w:lang w:val="en-GB"/>
        </w:rPr>
        <w:t xml:space="preserve">, C., Neuville, D. R., Florian, P., Henderson, G. S., &amp; </w:t>
      </w:r>
      <w:proofErr w:type="spellStart"/>
      <w:r w:rsidRPr="000E2377">
        <w:rPr>
          <w:rFonts w:eastAsia="Calibri" w:cs="Times New Roman"/>
          <w:b w:val="0"/>
          <w:bCs/>
          <w:szCs w:val="24"/>
          <w:lang w:val="en-GB"/>
        </w:rPr>
        <w:t>Massiot</w:t>
      </w:r>
      <w:proofErr w:type="spellEnd"/>
      <w:r w:rsidRPr="000E2377">
        <w:rPr>
          <w:rFonts w:eastAsia="Calibri" w:cs="Times New Roman"/>
          <w:b w:val="0"/>
          <w:bCs/>
          <w:szCs w:val="24"/>
          <w:lang w:val="en-GB"/>
        </w:rPr>
        <w:t>, D. (2014). The role of Al</w:t>
      </w:r>
      <w:r w:rsidRPr="005805E7">
        <w:rPr>
          <w:rFonts w:eastAsia="Calibri" w:cs="Times New Roman"/>
          <w:b w:val="0"/>
          <w:bCs/>
          <w:szCs w:val="24"/>
          <w:vertAlign w:val="superscript"/>
          <w:lang w:val="en-GB"/>
        </w:rPr>
        <w:t>3+</w:t>
      </w:r>
      <w:r w:rsidRPr="000E2377">
        <w:rPr>
          <w:rFonts w:eastAsia="Calibri" w:cs="Times New Roman"/>
          <w:b w:val="0"/>
          <w:bCs/>
          <w:szCs w:val="24"/>
          <w:lang w:val="en-GB"/>
        </w:rPr>
        <w:t xml:space="preserve"> on rheology and structural changes in sodium silicate and aluminosilicate glasses and melts. </w:t>
      </w:r>
      <w:proofErr w:type="spellStart"/>
      <w:r w:rsidRPr="000E2377">
        <w:rPr>
          <w:rFonts w:eastAsia="Calibri" w:cs="Times New Roman"/>
          <w:b w:val="0"/>
          <w:bCs/>
          <w:szCs w:val="24"/>
          <w:lang w:val="en-GB"/>
        </w:rPr>
        <w:t>Geochimica</w:t>
      </w:r>
      <w:proofErr w:type="spellEnd"/>
      <w:r w:rsidRPr="000E2377">
        <w:rPr>
          <w:rFonts w:eastAsia="Calibri" w:cs="Times New Roman"/>
          <w:b w:val="0"/>
          <w:bCs/>
          <w:szCs w:val="24"/>
          <w:lang w:val="en-GB"/>
        </w:rPr>
        <w:t xml:space="preserve"> et </w:t>
      </w:r>
      <w:proofErr w:type="spellStart"/>
      <w:r w:rsidRPr="000E2377">
        <w:rPr>
          <w:rFonts w:eastAsia="Calibri" w:cs="Times New Roman"/>
          <w:b w:val="0"/>
          <w:bCs/>
          <w:szCs w:val="24"/>
          <w:lang w:val="en-GB"/>
        </w:rPr>
        <w:t>Cosmochimica</w:t>
      </w:r>
      <w:proofErr w:type="spellEnd"/>
      <w:r w:rsidRPr="000E2377">
        <w:rPr>
          <w:rFonts w:eastAsia="Calibri" w:cs="Times New Roman"/>
          <w:b w:val="0"/>
          <w:bCs/>
          <w:szCs w:val="24"/>
          <w:lang w:val="en-GB"/>
        </w:rPr>
        <w:t xml:space="preserve"> Acta, 126, 495–517. </w:t>
      </w:r>
    </w:p>
    <w:p w14:paraId="09B1A7F3"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Lee, S. K. (2004). Structure of silicate glasses and melts at high pressure: Quantum chemical calculations and solid-state NMR. The Journal of Physical Chemistry B, 108(19), 5889–5900. </w:t>
      </w:r>
    </w:p>
    <w:p w14:paraId="7F84BE8F"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lastRenderedPageBreak/>
        <w:t xml:space="preserve">Lee, S. K., &amp; Stebbins, J. F. (2000). The structure of aluminosilicate glasses : High-resolution NMR study </w:t>
      </w:r>
      <w:r w:rsidRPr="005805E7">
        <w:rPr>
          <w:rFonts w:eastAsia="Calibri" w:cs="Times New Roman"/>
          <w:b w:val="0"/>
          <w:bCs/>
          <w:szCs w:val="24"/>
          <w:vertAlign w:val="superscript"/>
          <w:lang w:val="en-GB"/>
        </w:rPr>
        <w:t>17</w:t>
      </w:r>
      <w:r w:rsidRPr="000E2377">
        <w:rPr>
          <w:rFonts w:eastAsia="Calibri" w:cs="Times New Roman"/>
          <w:b w:val="0"/>
          <w:bCs/>
          <w:szCs w:val="24"/>
          <w:lang w:val="en-GB"/>
        </w:rPr>
        <w:t xml:space="preserve">O and </w:t>
      </w:r>
      <w:r w:rsidRPr="005805E7">
        <w:rPr>
          <w:rFonts w:eastAsia="Calibri" w:cs="Times New Roman"/>
          <w:b w:val="0"/>
          <w:bCs/>
          <w:szCs w:val="24"/>
          <w:vertAlign w:val="superscript"/>
          <w:lang w:val="en-GB"/>
        </w:rPr>
        <w:t>27</w:t>
      </w:r>
      <w:r w:rsidRPr="000E2377">
        <w:rPr>
          <w:rFonts w:eastAsia="Calibri" w:cs="Times New Roman"/>
          <w:b w:val="0"/>
          <w:bCs/>
          <w:szCs w:val="24"/>
          <w:lang w:val="en-GB"/>
        </w:rPr>
        <w:t xml:space="preserve">Al 3QMAS NMR study. Journal of Physical Chemistry B, 104, 4091–4100. </w:t>
      </w:r>
    </w:p>
    <w:p w14:paraId="228F7760"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Maekawa, H., Maekawa, T., Kawamura, K., &amp; Yokokawa, T. (1991). The structural groups of alkali silicate glasses determined from </w:t>
      </w:r>
      <w:r w:rsidRPr="005805E7">
        <w:rPr>
          <w:rFonts w:eastAsia="Calibri" w:cs="Times New Roman"/>
          <w:b w:val="0"/>
          <w:bCs/>
          <w:szCs w:val="24"/>
          <w:vertAlign w:val="superscript"/>
          <w:lang w:val="en-GB"/>
        </w:rPr>
        <w:t>29</w:t>
      </w:r>
      <w:r w:rsidRPr="000E2377">
        <w:rPr>
          <w:rFonts w:eastAsia="Calibri" w:cs="Times New Roman"/>
          <w:b w:val="0"/>
          <w:bCs/>
          <w:szCs w:val="24"/>
          <w:lang w:val="en-GB"/>
        </w:rPr>
        <w:t xml:space="preserve">Si MAS-NMR. Journal of Non-Crystalline Solids, 127(1), 53–64. </w:t>
      </w:r>
    </w:p>
    <w:p w14:paraId="74E3686D"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Makishima</w:t>
      </w:r>
      <w:proofErr w:type="spellEnd"/>
      <w:r w:rsidRPr="000E2377">
        <w:rPr>
          <w:rFonts w:eastAsia="Calibri" w:cs="Times New Roman"/>
          <w:b w:val="0"/>
          <w:bCs/>
          <w:szCs w:val="24"/>
          <w:lang w:val="en-GB"/>
        </w:rPr>
        <w:t xml:space="preserve">, A., &amp; Mackenzie, J. D. (1973). Direct calculation of Young’s modulus of glass. Journal of Non-Crystalline Solids, 12(1), 35–45. </w:t>
      </w:r>
    </w:p>
    <w:p w14:paraId="532A1389"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Makishma</w:t>
      </w:r>
      <w:proofErr w:type="spellEnd"/>
      <w:r w:rsidRPr="000E2377">
        <w:rPr>
          <w:rFonts w:eastAsia="Calibri" w:cs="Times New Roman"/>
          <w:b w:val="0"/>
          <w:bCs/>
          <w:szCs w:val="24"/>
          <w:lang w:val="en-GB"/>
        </w:rPr>
        <w:t>, A., &amp; Mackenzie, J. D. (1975). Calculation of bulk modulus, shear modulus and Poisson’s ratio of glass, 17, 147–157.</w:t>
      </w:r>
    </w:p>
    <w:p w14:paraId="103C4504"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Malfait</w:t>
      </w:r>
      <w:proofErr w:type="spellEnd"/>
      <w:r w:rsidRPr="000E2377">
        <w:rPr>
          <w:rFonts w:eastAsia="Calibri" w:cs="Times New Roman"/>
          <w:b w:val="0"/>
          <w:bCs/>
          <w:szCs w:val="24"/>
          <w:lang w:val="en-GB"/>
        </w:rPr>
        <w:t xml:space="preserve">, W. J., </w:t>
      </w:r>
      <w:proofErr w:type="spellStart"/>
      <w:r w:rsidRPr="000E2377">
        <w:rPr>
          <w:rFonts w:eastAsia="Calibri" w:cs="Times New Roman"/>
          <w:b w:val="0"/>
          <w:bCs/>
          <w:szCs w:val="24"/>
          <w:lang w:val="en-GB"/>
        </w:rPr>
        <w:t>Verel</w:t>
      </w:r>
      <w:proofErr w:type="spellEnd"/>
      <w:r w:rsidRPr="000E2377">
        <w:rPr>
          <w:rFonts w:eastAsia="Calibri" w:cs="Times New Roman"/>
          <w:b w:val="0"/>
          <w:bCs/>
          <w:szCs w:val="24"/>
          <w:lang w:val="en-GB"/>
        </w:rPr>
        <w:t xml:space="preserve">, R., </w:t>
      </w:r>
      <w:proofErr w:type="spellStart"/>
      <w:r w:rsidRPr="000E2377">
        <w:rPr>
          <w:rFonts w:eastAsia="Calibri" w:cs="Times New Roman"/>
          <w:b w:val="0"/>
          <w:bCs/>
          <w:szCs w:val="24"/>
          <w:lang w:val="en-GB"/>
        </w:rPr>
        <w:t>Ardia</w:t>
      </w:r>
      <w:proofErr w:type="spellEnd"/>
      <w:r w:rsidRPr="000E2377">
        <w:rPr>
          <w:rFonts w:eastAsia="Calibri" w:cs="Times New Roman"/>
          <w:b w:val="0"/>
          <w:bCs/>
          <w:szCs w:val="24"/>
          <w:lang w:val="en-GB"/>
        </w:rPr>
        <w:t xml:space="preserve">, P., &amp; Sanchez-Valle, C. (2012). Aluminum coordination in rhyolite and andesite glasses and melts: Effect of temperature, pressure, composition and water content. </w:t>
      </w:r>
      <w:proofErr w:type="spellStart"/>
      <w:r w:rsidRPr="000E2377">
        <w:rPr>
          <w:rFonts w:eastAsia="Calibri" w:cs="Times New Roman"/>
          <w:b w:val="0"/>
          <w:bCs/>
          <w:szCs w:val="24"/>
          <w:lang w:val="en-GB"/>
        </w:rPr>
        <w:t>Geochimica</w:t>
      </w:r>
      <w:proofErr w:type="spellEnd"/>
      <w:r w:rsidRPr="000E2377">
        <w:rPr>
          <w:rFonts w:eastAsia="Calibri" w:cs="Times New Roman"/>
          <w:b w:val="0"/>
          <w:bCs/>
          <w:szCs w:val="24"/>
          <w:lang w:val="en-GB"/>
        </w:rPr>
        <w:t xml:space="preserve"> et </w:t>
      </w:r>
      <w:proofErr w:type="spellStart"/>
      <w:r w:rsidRPr="000E2377">
        <w:rPr>
          <w:rFonts w:eastAsia="Calibri" w:cs="Times New Roman"/>
          <w:b w:val="0"/>
          <w:bCs/>
          <w:szCs w:val="24"/>
          <w:lang w:val="en-GB"/>
        </w:rPr>
        <w:t>Cosmochimica</w:t>
      </w:r>
      <w:proofErr w:type="spellEnd"/>
      <w:r w:rsidRPr="000E2377">
        <w:rPr>
          <w:rFonts w:eastAsia="Calibri" w:cs="Times New Roman"/>
          <w:b w:val="0"/>
          <w:bCs/>
          <w:szCs w:val="24"/>
          <w:lang w:val="en-GB"/>
        </w:rPr>
        <w:t xml:space="preserve"> Acta, 77, 11–26. </w:t>
      </w:r>
    </w:p>
    <w:p w14:paraId="7330608C"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Manara</w:t>
      </w:r>
      <w:proofErr w:type="spellEnd"/>
      <w:r w:rsidRPr="000E2377">
        <w:rPr>
          <w:rFonts w:eastAsia="Calibri" w:cs="Times New Roman"/>
          <w:b w:val="0"/>
          <w:bCs/>
          <w:szCs w:val="24"/>
          <w:lang w:val="en-GB"/>
        </w:rPr>
        <w:t xml:space="preserve">, D., </w:t>
      </w:r>
      <w:proofErr w:type="spellStart"/>
      <w:r w:rsidRPr="000E2377">
        <w:rPr>
          <w:rFonts w:eastAsia="Calibri" w:cs="Times New Roman"/>
          <w:b w:val="0"/>
          <w:bCs/>
          <w:szCs w:val="24"/>
          <w:lang w:val="en-GB"/>
        </w:rPr>
        <w:t>Grandjean</w:t>
      </w:r>
      <w:proofErr w:type="spellEnd"/>
      <w:r w:rsidRPr="000E2377">
        <w:rPr>
          <w:rFonts w:eastAsia="Calibri" w:cs="Times New Roman"/>
          <w:b w:val="0"/>
          <w:bCs/>
          <w:szCs w:val="24"/>
          <w:lang w:val="en-GB"/>
        </w:rPr>
        <w:t xml:space="preserve">,  a., &amp; Neuville, D. R. (2009). Advances in understanding the structure of borosilicate glasses: A Raman spectroscopy study. American Mineralogist, 94(5–6), 777–784. </w:t>
      </w:r>
    </w:p>
    <w:p w14:paraId="21F4E09C"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Martens, R., &amp; Muller-</w:t>
      </w:r>
      <w:proofErr w:type="spellStart"/>
      <w:r w:rsidRPr="000E2377">
        <w:rPr>
          <w:rFonts w:eastAsia="Calibri" w:cs="Times New Roman"/>
          <w:b w:val="0"/>
          <w:bCs/>
          <w:szCs w:val="24"/>
          <w:lang w:val="en-GB"/>
        </w:rPr>
        <w:t>Warmuth</w:t>
      </w:r>
      <w:proofErr w:type="spellEnd"/>
      <w:r w:rsidRPr="000E2377">
        <w:rPr>
          <w:rFonts w:eastAsia="Calibri" w:cs="Times New Roman"/>
          <w:b w:val="0"/>
          <w:bCs/>
          <w:szCs w:val="24"/>
          <w:lang w:val="en-GB"/>
        </w:rPr>
        <w:t xml:space="preserve">, W. (2000). Structural groups and their mixing in borosilicate glasses of various compositions - an NMR study. Journal of Non-Crystalline Solids, 265(1), 167–175. </w:t>
      </w:r>
    </w:p>
    <w:p w14:paraId="4A597CFD"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Mauro, J. C., Gupta, P. K., &amp; Loucks, R. J. (2009). Composition dependence of glass transition temperature and fragility. II. A topological model of alkali borate liquids. The Journal of Chemical Physics, 130(23), 234503. </w:t>
      </w:r>
    </w:p>
    <w:p w14:paraId="661CD837"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McKeown, D. A., </w:t>
      </w:r>
      <w:proofErr w:type="spellStart"/>
      <w:r w:rsidRPr="000E2377">
        <w:rPr>
          <w:rFonts w:eastAsia="Calibri" w:cs="Times New Roman"/>
          <w:b w:val="0"/>
          <w:bCs/>
          <w:szCs w:val="24"/>
          <w:lang w:val="en-GB"/>
        </w:rPr>
        <w:t>Galeener</w:t>
      </w:r>
      <w:proofErr w:type="spellEnd"/>
      <w:r w:rsidRPr="000E2377">
        <w:rPr>
          <w:rFonts w:eastAsia="Calibri" w:cs="Times New Roman"/>
          <w:b w:val="0"/>
          <w:bCs/>
          <w:szCs w:val="24"/>
          <w:lang w:val="en-GB"/>
        </w:rPr>
        <w:t xml:space="preserve">, F. L., &amp; Brown, G. E. (1984). Raman studies of Al coordination in silica-rich sodium aluminosilicate glasses and some related minerals. Journal of Non-Crystalline Solids, 68(2–3), 361–378. </w:t>
      </w:r>
    </w:p>
    <w:p w14:paraId="7B9F9BCE" w14:textId="77777777" w:rsidR="008255F9"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McKeown, D. A., &amp; Jr, Brown G.E., </w:t>
      </w:r>
      <w:proofErr w:type="spellStart"/>
      <w:r w:rsidRPr="000E2377">
        <w:rPr>
          <w:rFonts w:eastAsia="Calibri" w:cs="Times New Roman"/>
          <w:b w:val="0"/>
          <w:bCs/>
          <w:szCs w:val="24"/>
          <w:lang w:val="en-GB"/>
        </w:rPr>
        <w:t>Waychunas</w:t>
      </w:r>
      <w:proofErr w:type="spellEnd"/>
      <w:r w:rsidRPr="000E2377">
        <w:rPr>
          <w:rFonts w:eastAsia="Calibri" w:cs="Times New Roman"/>
          <w:b w:val="0"/>
          <w:bCs/>
          <w:szCs w:val="24"/>
          <w:lang w:val="en-GB"/>
        </w:rPr>
        <w:t xml:space="preserve"> G. A. (1985). </w:t>
      </w:r>
      <w:proofErr w:type="spellStart"/>
      <w:r w:rsidRPr="000E2377">
        <w:rPr>
          <w:rFonts w:eastAsia="Calibri" w:cs="Times New Roman"/>
          <w:b w:val="0"/>
          <w:bCs/>
          <w:szCs w:val="24"/>
          <w:lang w:val="en-GB"/>
        </w:rPr>
        <w:t>Exafs</w:t>
      </w:r>
      <w:proofErr w:type="spellEnd"/>
      <w:r w:rsidRPr="000E2377">
        <w:rPr>
          <w:rFonts w:eastAsia="Calibri" w:cs="Times New Roman"/>
          <w:b w:val="0"/>
          <w:bCs/>
          <w:szCs w:val="24"/>
          <w:lang w:val="en-GB"/>
        </w:rPr>
        <w:t xml:space="preserve"> and </w:t>
      </w:r>
      <w:proofErr w:type="spellStart"/>
      <w:r w:rsidRPr="000E2377">
        <w:rPr>
          <w:rFonts w:eastAsia="Calibri" w:cs="Times New Roman"/>
          <w:b w:val="0"/>
          <w:bCs/>
          <w:szCs w:val="24"/>
          <w:lang w:val="en-GB"/>
        </w:rPr>
        <w:t>Xanes</w:t>
      </w:r>
      <w:proofErr w:type="spellEnd"/>
      <w:r w:rsidRPr="000E2377">
        <w:rPr>
          <w:rFonts w:eastAsia="Calibri" w:cs="Times New Roman"/>
          <w:b w:val="0"/>
          <w:bCs/>
          <w:szCs w:val="24"/>
          <w:lang w:val="en-GB"/>
        </w:rPr>
        <w:t xml:space="preserve"> study of the local coordination environment of sodium in series of silica-rich glasses and selected minerals within the Na</w:t>
      </w:r>
      <w:r w:rsidRPr="003E5DF1">
        <w:rPr>
          <w:rFonts w:eastAsia="Calibri" w:cs="Times New Roman"/>
          <w:b w:val="0"/>
          <w:bCs/>
          <w:szCs w:val="24"/>
          <w:vertAlign w:val="subscript"/>
          <w:lang w:val="en-GB"/>
        </w:rPr>
        <w:t>2</w:t>
      </w:r>
      <w:r w:rsidRPr="000E2377">
        <w:rPr>
          <w:rFonts w:eastAsia="Calibri" w:cs="Times New Roman"/>
          <w:b w:val="0"/>
          <w:bCs/>
          <w:szCs w:val="24"/>
          <w:lang w:val="en-GB"/>
        </w:rPr>
        <w:t>O-Al</w:t>
      </w:r>
      <w:r w:rsidRPr="003E5DF1">
        <w:rPr>
          <w:rFonts w:eastAsia="Calibri" w:cs="Times New Roman"/>
          <w:b w:val="0"/>
          <w:bCs/>
          <w:szCs w:val="24"/>
          <w:vertAlign w:val="subscript"/>
          <w:lang w:val="en-GB"/>
        </w:rPr>
        <w:t>2</w:t>
      </w:r>
      <w:r w:rsidRPr="000E2377">
        <w:rPr>
          <w:rFonts w:eastAsia="Calibri" w:cs="Times New Roman"/>
          <w:b w:val="0"/>
          <w:bCs/>
          <w:szCs w:val="24"/>
          <w:lang w:val="en-GB"/>
        </w:rPr>
        <w:t>O</w:t>
      </w:r>
      <w:r w:rsidRPr="003E5DF1">
        <w:rPr>
          <w:rFonts w:eastAsia="Calibri" w:cs="Times New Roman"/>
          <w:b w:val="0"/>
          <w:bCs/>
          <w:szCs w:val="24"/>
          <w:vertAlign w:val="subscript"/>
          <w:lang w:val="en-GB"/>
        </w:rPr>
        <w:t>3</w:t>
      </w:r>
      <w:r w:rsidRPr="000E2377">
        <w:rPr>
          <w:rFonts w:eastAsia="Calibri" w:cs="Times New Roman"/>
          <w:b w:val="0"/>
          <w:bCs/>
          <w:szCs w:val="24"/>
          <w:lang w:val="en-GB"/>
        </w:rPr>
        <w:t>-SiO</w:t>
      </w:r>
      <w:r w:rsidRPr="003E5DF1">
        <w:rPr>
          <w:rFonts w:eastAsia="Calibri" w:cs="Times New Roman"/>
          <w:b w:val="0"/>
          <w:bCs/>
          <w:szCs w:val="24"/>
          <w:vertAlign w:val="subscript"/>
          <w:lang w:val="en-GB"/>
        </w:rPr>
        <w:t>2</w:t>
      </w:r>
      <w:r w:rsidRPr="000E2377">
        <w:rPr>
          <w:rFonts w:eastAsia="Calibri" w:cs="Times New Roman"/>
          <w:b w:val="0"/>
          <w:bCs/>
          <w:szCs w:val="24"/>
          <w:lang w:val="en-GB"/>
        </w:rPr>
        <w:t xml:space="preserve"> system, Journal of Non-Crystalline Solids, 74, 325–348.</w:t>
      </w:r>
    </w:p>
    <w:p w14:paraId="35292845" w14:textId="77777777" w:rsidR="008255F9" w:rsidRPr="000E2377" w:rsidRDefault="008255F9" w:rsidP="008255F9">
      <w:pPr>
        <w:spacing w:line="240" w:lineRule="auto"/>
        <w:jc w:val="both"/>
        <w:rPr>
          <w:rFonts w:eastAsia="Calibri" w:cs="Times New Roman"/>
          <w:b w:val="0"/>
          <w:bCs/>
          <w:szCs w:val="24"/>
          <w:lang w:val="en-GB"/>
        </w:rPr>
      </w:pPr>
      <w:r w:rsidRPr="00991D83">
        <w:rPr>
          <w:rFonts w:eastAsia="Calibri" w:cs="Times New Roman"/>
          <w:b w:val="0"/>
          <w:bCs/>
          <w:szCs w:val="24"/>
          <w:lang w:val="en-GB"/>
        </w:rPr>
        <w:t>McKeown D</w:t>
      </w:r>
      <w:r>
        <w:rPr>
          <w:rFonts w:eastAsia="Calibri" w:cs="Times New Roman"/>
          <w:b w:val="0"/>
          <w:bCs/>
          <w:szCs w:val="24"/>
          <w:lang w:val="en-GB"/>
        </w:rPr>
        <w:t>.</w:t>
      </w:r>
      <w:r w:rsidRPr="00991D83">
        <w:rPr>
          <w:rFonts w:eastAsia="Calibri" w:cs="Times New Roman"/>
          <w:b w:val="0"/>
          <w:bCs/>
          <w:szCs w:val="24"/>
          <w:lang w:val="en-GB"/>
        </w:rPr>
        <w:t xml:space="preserve"> A</w:t>
      </w:r>
      <w:r>
        <w:rPr>
          <w:rFonts w:eastAsia="Calibri" w:cs="Times New Roman"/>
          <w:b w:val="0"/>
          <w:bCs/>
          <w:szCs w:val="24"/>
          <w:lang w:val="en-GB"/>
        </w:rPr>
        <w:t>.</w:t>
      </w:r>
      <w:r w:rsidRPr="00991D83">
        <w:rPr>
          <w:rFonts w:eastAsia="Calibri" w:cs="Times New Roman"/>
          <w:b w:val="0"/>
          <w:bCs/>
          <w:szCs w:val="24"/>
          <w:lang w:val="en-GB"/>
        </w:rPr>
        <w:t xml:space="preserve">, </w:t>
      </w:r>
      <w:proofErr w:type="spellStart"/>
      <w:r w:rsidRPr="00991D83">
        <w:rPr>
          <w:rFonts w:eastAsia="Calibri" w:cs="Times New Roman"/>
          <w:b w:val="0"/>
          <w:bCs/>
          <w:szCs w:val="24"/>
          <w:lang w:val="en-GB"/>
        </w:rPr>
        <w:t>Buechele</w:t>
      </w:r>
      <w:proofErr w:type="spellEnd"/>
      <w:r w:rsidRPr="00991D83">
        <w:rPr>
          <w:rFonts w:eastAsia="Calibri" w:cs="Times New Roman"/>
          <w:b w:val="0"/>
          <w:bCs/>
          <w:szCs w:val="24"/>
          <w:lang w:val="en-GB"/>
        </w:rPr>
        <w:t xml:space="preserve"> A</w:t>
      </w:r>
      <w:r>
        <w:rPr>
          <w:rFonts w:eastAsia="Calibri" w:cs="Times New Roman"/>
          <w:b w:val="0"/>
          <w:bCs/>
          <w:szCs w:val="24"/>
          <w:lang w:val="en-GB"/>
        </w:rPr>
        <w:t>.</w:t>
      </w:r>
      <w:r w:rsidRPr="00991D83">
        <w:rPr>
          <w:rFonts w:eastAsia="Calibri" w:cs="Times New Roman"/>
          <w:b w:val="0"/>
          <w:bCs/>
          <w:szCs w:val="24"/>
          <w:lang w:val="en-GB"/>
        </w:rPr>
        <w:t xml:space="preserve"> C</w:t>
      </w:r>
      <w:r>
        <w:rPr>
          <w:rFonts w:eastAsia="Calibri" w:cs="Times New Roman"/>
          <w:b w:val="0"/>
          <w:bCs/>
          <w:szCs w:val="24"/>
          <w:lang w:val="en-GB"/>
        </w:rPr>
        <w:t>.</w:t>
      </w:r>
      <w:r w:rsidRPr="00991D83">
        <w:rPr>
          <w:rFonts w:eastAsia="Calibri" w:cs="Times New Roman"/>
          <w:b w:val="0"/>
          <w:bCs/>
          <w:szCs w:val="24"/>
          <w:lang w:val="en-GB"/>
        </w:rPr>
        <w:t xml:space="preserve">, </w:t>
      </w:r>
      <w:proofErr w:type="spellStart"/>
      <w:r w:rsidRPr="00991D83">
        <w:rPr>
          <w:rFonts w:eastAsia="Calibri" w:cs="Times New Roman"/>
          <w:b w:val="0"/>
          <w:bCs/>
          <w:szCs w:val="24"/>
          <w:lang w:val="en-GB"/>
        </w:rPr>
        <w:t>Viragh</w:t>
      </w:r>
      <w:proofErr w:type="spellEnd"/>
      <w:r>
        <w:rPr>
          <w:rFonts w:eastAsia="Calibri" w:cs="Times New Roman"/>
          <w:b w:val="0"/>
          <w:bCs/>
          <w:szCs w:val="24"/>
          <w:lang w:val="en-GB"/>
        </w:rPr>
        <w:t>,</w:t>
      </w:r>
      <w:r w:rsidRPr="00991D83">
        <w:rPr>
          <w:rFonts w:eastAsia="Calibri" w:cs="Times New Roman"/>
          <w:b w:val="0"/>
          <w:bCs/>
          <w:szCs w:val="24"/>
          <w:lang w:val="en-GB"/>
        </w:rPr>
        <w:t xml:space="preserve"> C</w:t>
      </w:r>
      <w:r>
        <w:rPr>
          <w:rFonts w:eastAsia="Calibri" w:cs="Times New Roman"/>
          <w:b w:val="0"/>
          <w:bCs/>
          <w:szCs w:val="24"/>
          <w:lang w:val="en-GB"/>
        </w:rPr>
        <w:t>.,</w:t>
      </w:r>
      <w:r w:rsidRPr="00991D83">
        <w:rPr>
          <w:rFonts w:eastAsia="Calibri" w:cs="Times New Roman"/>
          <w:b w:val="0"/>
          <w:bCs/>
          <w:szCs w:val="24"/>
          <w:lang w:val="en-GB"/>
        </w:rPr>
        <w:t xml:space="preserve"> </w:t>
      </w:r>
      <w:r>
        <w:rPr>
          <w:rFonts w:eastAsia="Calibri" w:cs="Times New Roman"/>
          <w:b w:val="0"/>
          <w:bCs/>
          <w:szCs w:val="24"/>
          <w:lang w:val="en-GB"/>
        </w:rPr>
        <w:t>&amp;</w:t>
      </w:r>
      <w:r w:rsidRPr="00991D83">
        <w:rPr>
          <w:rFonts w:eastAsia="Calibri" w:cs="Times New Roman"/>
          <w:b w:val="0"/>
          <w:bCs/>
          <w:szCs w:val="24"/>
          <w:lang w:val="en-GB"/>
        </w:rPr>
        <w:t xml:space="preserve"> </w:t>
      </w:r>
      <w:proofErr w:type="spellStart"/>
      <w:r w:rsidRPr="00991D83">
        <w:rPr>
          <w:rFonts w:eastAsia="Calibri" w:cs="Times New Roman"/>
          <w:b w:val="0"/>
          <w:bCs/>
          <w:szCs w:val="24"/>
          <w:lang w:val="en-GB"/>
        </w:rPr>
        <w:t>Pegg</w:t>
      </w:r>
      <w:proofErr w:type="spellEnd"/>
      <w:r w:rsidRPr="00991D83">
        <w:rPr>
          <w:rFonts w:eastAsia="Calibri" w:cs="Times New Roman"/>
          <w:b w:val="0"/>
          <w:bCs/>
          <w:szCs w:val="24"/>
          <w:lang w:val="en-GB"/>
        </w:rPr>
        <w:t xml:space="preserve"> I</w:t>
      </w:r>
      <w:r>
        <w:rPr>
          <w:rFonts w:eastAsia="Calibri" w:cs="Times New Roman"/>
          <w:b w:val="0"/>
          <w:bCs/>
          <w:szCs w:val="24"/>
          <w:lang w:val="en-GB"/>
        </w:rPr>
        <w:t>.</w:t>
      </w:r>
      <w:r w:rsidRPr="00991D83">
        <w:rPr>
          <w:rFonts w:eastAsia="Calibri" w:cs="Times New Roman"/>
          <w:b w:val="0"/>
          <w:bCs/>
          <w:szCs w:val="24"/>
          <w:lang w:val="en-GB"/>
        </w:rPr>
        <w:t xml:space="preserve"> L</w:t>
      </w:r>
      <w:r>
        <w:rPr>
          <w:rFonts w:eastAsia="Calibri" w:cs="Times New Roman"/>
          <w:b w:val="0"/>
          <w:bCs/>
          <w:szCs w:val="24"/>
          <w:lang w:val="en-GB"/>
        </w:rPr>
        <w:t>.,</w:t>
      </w:r>
      <w:r w:rsidRPr="00991D83">
        <w:rPr>
          <w:rFonts w:eastAsia="Calibri" w:cs="Times New Roman"/>
          <w:b w:val="0"/>
          <w:bCs/>
          <w:szCs w:val="24"/>
          <w:lang w:val="en-GB"/>
        </w:rPr>
        <w:t xml:space="preserve"> </w:t>
      </w:r>
      <w:r>
        <w:rPr>
          <w:rFonts w:eastAsia="Calibri" w:cs="Times New Roman"/>
          <w:b w:val="0"/>
          <w:bCs/>
          <w:szCs w:val="24"/>
          <w:lang w:val="en-GB"/>
        </w:rPr>
        <w:t>(</w:t>
      </w:r>
      <w:r w:rsidRPr="00991D83">
        <w:rPr>
          <w:rFonts w:eastAsia="Calibri" w:cs="Times New Roman"/>
          <w:b w:val="0"/>
          <w:bCs/>
          <w:szCs w:val="24"/>
          <w:lang w:val="en-GB"/>
        </w:rPr>
        <w:t>2010</w:t>
      </w:r>
      <w:r>
        <w:rPr>
          <w:rFonts w:eastAsia="Calibri" w:cs="Times New Roman"/>
          <w:b w:val="0"/>
          <w:bCs/>
          <w:szCs w:val="24"/>
          <w:lang w:val="en-GB"/>
        </w:rPr>
        <w:t>).</w:t>
      </w:r>
      <w:r w:rsidRPr="00991D83">
        <w:rPr>
          <w:rFonts w:eastAsia="Calibri" w:cs="Times New Roman"/>
          <w:b w:val="0"/>
          <w:bCs/>
          <w:szCs w:val="24"/>
          <w:lang w:val="en-GB"/>
        </w:rPr>
        <w:t xml:space="preserve"> Raman and X-ray absorption spectroscopic studies of hydrothermally altered alkali-borosilicate nuclear waste glass </w:t>
      </w:r>
      <w:proofErr w:type="spellStart"/>
      <w:r w:rsidRPr="00991D83">
        <w:rPr>
          <w:rFonts w:eastAsia="Calibri" w:cs="Times New Roman"/>
          <w:b w:val="0"/>
          <w:bCs/>
          <w:szCs w:val="24"/>
          <w:lang w:val="en-GB"/>
        </w:rPr>
        <w:t>J</w:t>
      </w:r>
      <w:r>
        <w:rPr>
          <w:rFonts w:eastAsia="Calibri" w:cs="Times New Roman"/>
          <w:b w:val="0"/>
          <w:bCs/>
          <w:szCs w:val="24"/>
          <w:lang w:val="en-GB"/>
        </w:rPr>
        <w:t>ornal</w:t>
      </w:r>
      <w:proofErr w:type="spellEnd"/>
      <w:r>
        <w:rPr>
          <w:rFonts w:eastAsia="Calibri" w:cs="Times New Roman"/>
          <w:b w:val="0"/>
          <w:bCs/>
          <w:szCs w:val="24"/>
          <w:lang w:val="en-GB"/>
        </w:rPr>
        <w:t xml:space="preserve"> of</w:t>
      </w:r>
      <w:r w:rsidRPr="00991D83">
        <w:rPr>
          <w:rFonts w:eastAsia="Calibri" w:cs="Times New Roman"/>
          <w:b w:val="0"/>
          <w:bCs/>
          <w:szCs w:val="24"/>
          <w:lang w:val="en-GB"/>
        </w:rPr>
        <w:t xml:space="preserve"> Nucl</w:t>
      </w:r>
      <w:r>
        <w:rPr>
          <w:rFonts w:eastAsia="Calibri" w:cs="Times New Roman"/>
          <w:b w:val="0"/>
          <w:bCs/>
          <w:szCs w:val="24"/>
          <w:lang w:val="en-GB"/>
        </w:rPr>
        <w:t>ear</w:t>
      </w:r>
      <w:r w:rsidRPr="00991D83">
        <w:rPr>
          <w:rFonts w:eastAsia="Calibri" w:cs="Times New Roman"/>
          <w:b w:val="0"/>
          <w:bCs/>
          <w:szCs w:val="24"/>
          <w:lang w:val="en-GB"/>
        </w:rPr>
        <w:t xml:space="preserve"> Mater</w:t>
      </w:r>
      <w:r>
        <w:rPr>
          <w:rFonts w:eastAsia="Calibri" w:cs="Times New Roman"/>
          <w:b w:val="0"/>
          <w:bCs/>
          <w:szCs w:val="24"/>
          <w:lang w:val="en-GB"/>
        </w:rPr>
        <w:t>ial,</w:t>
      </w:r>
      <w:r w:rsidRPr="00991D83">
        <w:rPr>
          <w:rFonts w:eastAsia="Calibri" w:cs="Times New Roman"/>
          <w:b w:val="0"/>
          <w:bCs/>
          <w:szCs w:val="24"/>
          <w:lang w:val="en-GB"/>
        </w:rPr>
        <w:t xml:space="preserve"> 399 13–25</w:t>
      </w:r>
      <w:r>
        <w:rPr>
          <w:rFonts w:eastAsia="Calibri" w:cs="Times New Roman"/>
          <w:b w:val="0"/>
          <w:bCs/>
          <w:szCs w:val="24"/>
          <w:lang w:val="en-GB"/>
        </w:rPr>
        <w:t>.</w:t>
      </w:r>
    </w:p>
    <w:p w14:paraId="06FAB16B"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McMillan, P. F., Poe, B. T., Gillet, P. H., &amp; Reynard, B. (1994). A study of SiO</w:t>
      </w:r>
      <w:r w:rsidRPr="005805E7">
        <w:rPr>
          <w:rFonts w:eastAsia="Calibri" w:cs="Times New Roman"/>
          <w:b w:val="0"/>
          <w:bCs/>
          <w:szCs w:val="24"/>
          <w:vertAlign w:val="subscript"/>
          <w:lang w:val="en-GB"/>
        </w:rPr>
        <w:t>2</w:t>
      </w:r>
      <w:r w:rsidRPr="000E2377">
        <w:rPr>
          <w:rFonts w:eastAsia="Calibri" w:cs="Times New Roman"/>
          <w:b w:val="0"/>
          <w:bCs/>
          <w:szCs w:val="24"/>
          <w:lang w:val="en-GB"/>
        </w:rPr>
        <w:t xml:space="preserve"> glass and supercooled liquid to 1950 K via high-temperature Raman spectroscopy. </w:t>
      </w:r>
      <w:proofErr w:type="spellStart"/>
      <w:r w:rsidRPr="000E2377">
        <w:rPr>
          <w:rFonts w:eastAsia="Calibri" w:cs="Times New Roman"/>
          <w:b w:val="0"/>
          <w:bCs/>
          <w:szCs w:val="24"/>
          <w:lang w:val="en-GB"/>
        </w:rPr>
        <w:t>Geochimica</w:t>
      </w:r>
      <w:proofErr w:type="spellEnd"/>
      <w:r w:rsidRPr="000E2377">
        <w:rPr>
          <w:rFonts w:eastAsia="Calibri" w:cs="Times New Roman"/>
          <w:b w:val="0"/>
          <w:bCs/>
          <w:szCs w:val="24"/>
          <w:lang w:val="en-GB"/>
        </w:rPr>
        <w:t xml:space="preserve"> et </w:t>
      </w:r>
      <w:proofErr w:type="spellStart"/>
      <w:r w:rsidRPr="000E2377">
        <w:rPr>
          <w:rFonts w:eastAsia="Calibri" w:cs="Times New Roman"/>
          <w:b w:val="0"/>
          <w:bCs/>
          <w:szCs w:val="24"/>
          <w:lang w:val="en-GB"/>
        </w:rPr>
        <w:t>Cosmochimica</w:t>
      </w:r>
      <w:proofErr w:type="spellEnd"/>
      <w:r w:rsidRPr="000E2377">
        <w:rPr>
          <w:rFonts w:eastAsia="Calibri" w:cs="Times New Roman"/>
          <w:b w:val="0"/>
          <w:bCs/>
          <w:szCs w:val="24"/>
          <w:lang w:val="en-GB"/>
        </w:rPr>
        <w:t xml:space="preserve"> Acta, 58(17), 3653–3664. </w:t>
      </w:r>
    </w:p>
    <w:p w14:paraId="5A74FAE2"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Meera, B. N., &amp; Ramakrishna, J. (1993). Raman spectral studies of borate glasses. Journal of Non-Crystalline Solids, 159(1–2), 1–21. </w:t>
      </w:r>
    </w:p>
    <w:p w14:paraId="54C9A5F6"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Merzbacher, C. I., &amp; White, W. B. (1991). The structure of alkaline earth aluminosilicate glasses as determined by vibrational spectroscopy. Journal of Non-Crystalline Solids, 130(1), 18–34. </w:t>
      </w:r>
    </w:p>
    <w:p w14:paraId="56F0C3DB"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lastRenderedPageBreak/>
        <w:t>Metwalli</w:t>
      </w:r>
      <w:proofErr w:type="spellEnd"/>
      <w:r w:rsidRPr="000E2377">
        <w:rPr>
          <w:rFonts w:eastAsia="Calibri" w:cs="Times New Roman"/>
          <w:b w:val="0"/>
          <w:bCs/>
          <w:szCs w:val="24"/>
          <w:lang w:val="en-GB"/>
        </w:rPr>
        <w:t xml:space="preserve">, E., &amp; Brow, R. K. (2001). Modifier effects on the properties and structures of </w:t>
      </w:r>
      <w:proofErr w:type="spellStart"/>
      <w:r w:rsidRPr="000E2377">
        <w:rPr>
          <w:rFonts w:eastAsia="Calibri" w:cs="Times New Roman"/>
          <w:b w:val="0"/>
          <w:bCs/>
          <w:szCs w:val="24"/>
          <w:lang w:val="en-GB"/>
        </w:rPr>
        <w:t>aluminophosphate</w:t>
      </w:r>
      <w:proofErr w:type="spellEnd"/>
      <w:r w:rsidRPr="000E2377">
        <w:rPr>
          <w:rFonts w:eastAsia="Calibri" w:cs="Times New Roman"/>
          <w:b w:val="0"/>
          <w:bCs/>
          <w:szCs w:val="24"/>
          <w:lang w:val="en-GB"/>
        </w:rPr>
        <w:t xml:space="preserve"> glasses. Journal of Non-Crystalline Solids, 289, 113–122. </w:t>
      </w:r>
    </w:p>
    <w:p w14:paraId="6D967B34" w14:textId="77777777" w:rsidR="008255F9"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Mohajerani,  a., &amp; </w:t>
      </w:r>
      <w:proofErr w:type="spellStart"/>
      <w:r w:rsidRPr="000E2377">
        <w:rPr>
          <w:rFonts w:eastAsia="Calibri" w:cs="Times New Roman"/>
          <w:b w:val="0"/>
          <w:bCs/>
          <w:szCs w:val="24"/>
          <w:lang w:val="en-GB"/>
        </w:rPr>
        <w:t>Zwanziger</w:t>
      </w:r>
      <w:proofErr w:type="spellEnd"/>
      <w:r w:rsidRPr="000E2377">
        <w:rPr>
          <w:rFonts w:eastAsia="Calibri" w:cs="Times New Roman"/>
          <w:b w:val="0"/>
          <w:bCs/>
          <w:szCs w:val="24"/>
          <w:lang w:val="en-GB"/>
        </w:rPr>
        <w:t xml:space="preserve">, J. W. (2012). Mixed alkali effect on Vickers hardness and cracking. Journal of Non-Crystalline Solids, 358(12–13), 1474–1479. </w:t>
      </w:r>
    </w:p>
    <w:p w14:paraId="41016124" w14:textId="77777777" w:rsidR="008255F9" w:rsidRPr="00782479" w:rsidRDefault="008255F9" w:rsidP="008255F9">
      <w:pPr>
        <w:spacing w:line="300" w:lineRule="exact"/>
        <w:ind w:left="567" w:hanging="567"/>
        <w:jc w:val="both"/>
        <w:rPr>
          <w:b w:val="0"/>
          <w:lang w:val="en-GB"/>
        </w:rPr>
      </w:pPr>
      <w:proofErr w:type="spellStart"/>
      <w:r w:rsidRPr="00782479">
        <w:rPr>
          <w:b w:val="0"/>
          <w:lang w:val="en-GB"/>
        </w:rPr>
        <w:t>Mysen</w:t>
      </w:r>
      <w:proofErr w:type="spellEnd"/>
      <w:r w:rsidRPr="00782479">
        <w:rPr>
          <w:b w:val="0"/>
          <w:lang w:val="en-GB"/>
        </w:rPr>
        <w:t xml:space="preserve"> B.O. (1988), Structure and Properties of Silicate Melts, Elsevier, Amsterdam, 354.</w:t>
      </w:r>
    </w:p>
    <w:p w14:paraId="6CF8879B" w14:textId="77777777" w:rsidR="008255F9"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Mysen</w:t>
      </w:r>
      <w:proofErr w:type="spellEnd"/>
      <w:r w:rsidRPr="000E2377">
        <w:rPr>
          <w:rFonts w:eastAsia="Calibri" w:cs="Times New Roman"/>
          <w:b w:val="0"/>
          <w:bCs/>
          <w:szCs w:val="24"/>
          <w:lang w:val="en-GB"/>
        </w:rPr>
        <w:t xml:space="preserve">, B. J. O. M., </w:t>
      </w:r>
      <w:proofErr w:type="spellStart"/>
      <w:r w:rsidRPr="000E2377">
        <w:rPr>
          <w:rFonts w:eastAsia="Calibri" w:cs="Times New Roman"/>
          <w:b w:val="0"/>
          <w:bCs/>
          <w:szCs w:val="24"/>
          <w:lang w:val="en-GB"/>
        </w:rPr>
        <w:t>Lucier</w:t>
      </w:r>
      <w:proofErr w:type="spellEnd"/>
      <w:r w:rsidRPr="000E2377">
        <w:rPr>
          <w:rFonts w:eastAsia="Calibri" w:cs="Times New Roman"/>
          <w:b w:val="0"/>
          <w:bCs/>
          <w:szCs w:val="24"/>
          <w:lang w:val="en-GB"/>
        </w:rPr>
        <w:t xml:space="preserve">,  a M. I. E., &amp; Cody, G. E. D. (2003). The structural </w:t>
      </w:r>
      <w:proofErr w:type="spellStart"/>
      <w:r w:rsidRPr="000E2377">
        <w:rPr>
          <w:rFonts w:eastAsia="Calibri" w:cs="Times New Roman"/>
          <w:b w:val="0"/>
          <w:bCs/>
          <w:szCs w:val="24"/>
          <w:lang w:val="en-GB"/>
        </w:rPr>
        <w:t>behavior</w:t>
      </w:r>
      <w:proofErr w:type="spellEnd"/>
      <w:r w:rsidRPr="000E2377">
        <w:rPr>
          <w:rFonts w:eastAsia="Calibri" w:cs="Times New Roman"/>
          <w:b w:val="0"/>
          <w:bCs/>
          <w:szCs w:val="24"/>
          <w:lang w:val="en-GB"/>
        </w:rPr>
        <w:t xml:space="preserve"> of Al</w:t>
      </w:r>
      <w:r w:rsidRPr="005805E7">
        <w:rPr>
          <w:rFonts w:eastAsia="Calibri" w:cs="Times New Roman"/>
          <w:b w:val="0"/>
          <w:bCs/>
          <w:szCs w:val="24"/>
          <w:vertAlign w:val="superscript"/>
          <w:lang w:val="en-GB"/>
        </w:rPr>
        <w:t>3+</w:t>
      </w:r>
      <w:r w:rsidRPr="000E2377">
        <w:rPr>
          <w:rFonts w:eastAsia="Calibri" w:cs="Times New Roman"/>
          <w:b w:val="0"/>
          <w:bCs/>
          <w:szCs w:val="24"/>
          <w:lang w:val="en-GB"/>
        </w:rPr>
        <w:t xml:space="preserve"> in peralkaline melts and glasses in the system Na</w:t>
      </w:r>
      <w:r w:rsidRPr="005805E7">
        <w:rPr>
          <w:rFonts w:eastAsia="Calibri" w:cs="Times New Roman"/>
          <w:b w:val="0"/>
          <w:bCs/>
          <w:szCs w:val="24"/>
          <w:vertAlign w:val="subscript"/>
          <w:lang w:val="en-GB"/>
        </w:rPr>
        <w:t>2</w:t>
      </w:r>
      <w:r w:rsidRPr="000E2377">
        <w:rPr>
          <w:rFonts w:eastAsia="Calibri" w:cs="Times New Roman"/>
          <w:b w:val="0"/>
          <w:bCs/>
          <w:szCs w:val="24"/>
          <w:lang w:val="en-GB"/>
        </w:rPr>
        <w:t>O-Al</w:t>
      </w:r>
      <w:r w:rsidRPr="005805E7">
        <w:rPr>
          <w:rFonts w:eastAsia="Calibri" w:cs="Times New Roman"/>
          <w:b w:val="0"/>
          <w:bCs/>
          <w:szCs w:val="24"/>
          <w:vertAlign w:val="subscript"/>
          <w:lang w:val="en-GB"/>
        </w:rPr>
        <w:t>2</w:t>
      </w:r>
      <w:r w:rsidRPr="000E2377">
        <w:rPr>
          <w:rFonts w:eastAsia="Calibri" w:cs="Times New Roman"/>
          <w:b w:val="0"/>
          <w:bCs/>
          <w:szCs w:val="24"/>
          <w:lang w:val="en-GB"/>
        </w:rPr>
        <w:t>O</w:t>
      </w:r>
      <w:r w:rsidRPr="005805E7">
        <w:rPr>
          <w:rFonts w:eastAsia="Calibri" w:cs="Times New Roman"/>
          <w:b w:val="0"/>
          <w:bCs/>
          <w:szCs w:val="24"/>
          <w:vertAlign w:val="subscript"/>
          <w:lang w:val="en-GB"/>
        </w:rPr>
        <w:t>3</w:t>
      </w:r>
      <w:r w:rsidRPr="000E2377">
        <w:rPr>
          <w:rFonts w:eastAsia="Calibri" w:cs="Times New Roman"/>
          <w:b w:val="0"/>
          <w:bCs/>
          <w:szCs w:val="24"/>
          <w:lang w:val="en-GB"/>
        </w:rPr>
        <w:t>-SiO</w:t>
      </w:r>
      <w:r w:rsidRPr="005805E7">
        <w:rPr>
          <w:rFonts w:eastAsia="Calibri" w:cs="Times New Roman"/>
          <w:b w:val="0"/>
          <w:bCs/>
          <w:szCs w:val="24"/>
          <w:vertAlign w:val="subscript"/>
          <w:lang w:val="en-GB"/>
        </w:rPr>
        <w:t>2</w:t>
      </w:r>
      <w:r w:rsidRPr="000E2377">
        <w:rPr>
          <w:rFonts w:eastAsia="Calibri" w:cs="Times New Roman"/>
          <w:b w:val="0"/>
          <w:bCs/>
          <w:szCs w:val="24"/>
          <w:lang w:val="en-GB"/>
        </w:rPr>
        <w:t xml:space="preserve"> Si NMR spectroscopy. American Mineralogist, 88, 1668–1678. </w:t>
      </w:r>
    </w:p>
    <w:p w14:paraId="157723DF" w14:textId="77777777" w:rsidR="008255F9" w:rsidRPr="00153631" w:rsidRDefault="008255F9" w:rsidP="008255F9">
      <w:pPr>
        <w:spacing w:before="240"/>
        <w:jc w:val="both"/>
        <w:rPr>
          <w:b w:val="0"/>
        </w:rPr>
      </w:pPr>
      <w:r>
        <w:rPr>
          <w:b w:val="0"/>
        </w:rPr>
        <w:t xml:space="preserve">Nanba </w:t>
      </w:r>
      <w:r w:rsidRPr="00153631">
        <w:rPr>
          <w:b w:val="0"/>
        </w:rPr>
        <w:t>T., (2011). Characterization of glasses based on basicity. Journal of the Ceramic Society of Japan 119 (10), 720-725.</w:t>
      </w:r>
    </w:p>
    <w:p w14:paraId="16A7DE7B"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Neuville, D. R., Cormier, L., &amp; </w:t>
      </w:r>
      <w:proofErr w:type="spellStart"/>
      <w:r w:rsidRPr="000E2377">
        <w:rPr>
          <w:rFonts w:eastAsia="Calibri" w:cs="Times New Roman"/>
          <w:b w:val="0"/>
          <w:bCs/>
          <w:szCs w:val="24"/>
          <w:lang w:val="en-GB"/>
        </w:rPr>
        <w:t>Massiot</w:t>
      </w:r>
      <w:proofErr w:type="spellEnd"/>
      <w:r w:rsidRPr="000E2377">
        <w:rPr>
          <w:rFonts w:eastAsia="Calibri" w:cs="Times New Roman"/>
          <w:b w:val="0"/>
          <w:bCs/>
          <w:szCs w:val="24"/>
          <w:lang w:val="en-GB"/>
        </w:rPr>
        <w:t xml:space="preserve">, D. (2006). Al coordination and speciation in calcium aluminosilicate glasses: Effects of composition determined by </w:t>
      </w:r>
      <w:r w:rsidRPr="005805E7">
        <w:rPr>
          <w:rFonts w:eastAsia="Calibri" w:cs="Times New Roman"/>
          <w:b w:val="0"/>
          <w:bCs/>
          <w:szCs w:val="24"/>
          <w:vertAlign w:val="superscript"/>
          <w:lang w:val="en-GB"/>
        </w:rPr>
        <w:t>27</w:t>
      </w:r>
      <w:r w:rsidRPr="000E2377">
        <w:rPr>
          <w:rFonts w:eastAsia="Calibri" w:cs="Times New Roman"/>
          <w:b w:val="0"/>
          <w:bCs/>
          <w:szCs w:val="24"/>
          <w:lang w:val="en-GB"/>
        </w:rPr>
        <w:t xml:space="preserve">Al MQ-MAS NMR and Raman spectroscopy. Chemical Geology, 229(1–3), 173–185. </w:t>
      </w:r>
    </w:p>
    <w:p w14:paraId="410EDE90"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Neuville, D. R., &amp; </w:t>
      </w:r>
      <w:proofErr w:type="spellStart"/>
      <w:r w:rsidRPr="000E2377">
        <w:rPr>
          <w:rFonts w:eastAsia="Calibri" w:cs="Times New Roman"/>
          <w:b w:val="0"/>
          <w:bCs/>
          <w:szCs w:val="24"/>
          <w:lang w:val="en-GB"/>
        </w:rPr>
        <w:t>Mysen</w:t>
      </w:r>
      <w:proofErr w:type="spellEnd"/>
      <w:r w:rsidRPr="000E2377">
        <w:rPr>
          <w:rFonts w:eastAsia="Calibri" w:cs="Times New Roman"/>
          <w:b w:val="0"/>
          <w:bCs/>
          <w:szCs w:val="24"/>
          <w:lang w:val="en-GB"/>
        </w:rPr>
        <w:t>, B. O. (1996). Role of aluminium in the silicate network: In situ, high-temperature study of glasses and melts on the join SiO</w:t>
      </w:r>
      <w:r w:rsidRPr="005805E7">
        <w:rPr>
          <w:rFonts w:eastAsia="Calibri" w:cs="Times New Roman"/>
          <w:b w:val="0"/>
          <w:bCs/>
          <w:szCs w:val="24"/>
          <w:vertAlign w:val="subscript"/>
          <w:lang w:val="en-GB"/>
        </w:rPr>
        <w:t>2</w:t>
      </w:r>
      <w:r w:rsidRPr="000E2377">
        <w:rPr>
          <w:rFonts w:eastAsia="Calibri" w:cs="Times New Roman"/>
          <w:b w:val="0"/>
          <w:bCs/>
          <w:szCs w:val="24"/>
          <w:lang w:val="en-GB"/>
        </w:rPr>
        <w:t>-NaAlO</w:t>
      </w:r>
      <w:r w:rsidRPr="005805E7">
        <w:rPr>
          <w:rFonts w:eastAsia="Calibri" w:cs="Times New Roman"/>
          <w:b w:val="0"/>
          <w:bCs/>
          <w:szCs w:val="24"/>
          <w:vertAlign w:val="subscript"/>
          <w:lang w:val="en-GB"/>
        </w:rPr>
        <w:t>2</w:t>
      </w:r>
      <w:r w:rsidRPr="000E2377">
        <w:rPr>
          <w:rFonts w:eastAsia="Calibri" w:cs="Times New Roman"/>
          <w:b w:val="0"/>
          <w:bCs/>
          <w:szCs w:val="24"/>
          <w:lang w:val="en-GB"/>
        </w:rPr>
        <w:t xml:space="preserve">. </w:t>
      </w:r>
      <w:proofErr w:type="spellStart"/>
      <w:r w:rsidRPr="000E2377">
        <w:rPr>
          <w:rFonts w:eastAsia="Calibri" w:cs="Times New Roman"/>
          <w:b w:val="0"/>
          <w:bCs/>
          <w:szCs w:val="24"/>
          <w:lang w:val="en-GB"/>
        </w:rPr>
        <w:t>Geochimica</w:t>
      </w:r>
      <w:proofErr w:type="spellEnd"/>
      <w:r w:rsidRPr="000E2377">
        <w:rPr>
          <w:rFonts w:eastAsia="Calibri" w:cs="Times New Roman"/>
          <w:b w:val="0"/>
          <w:bCs/>
          <w:szCs w:val="24"/>
          <w:lang w:val="en-GB"/>
        </w:rPr>
        <w:t xml:space="preserve"> et </w:t>
      </w:r>
      <w:proofErr w:type="spellStart"/>
      <w:r w:rsidRPr="000E2377">
        <w:rPr>
          <w:rFonts w:eastAsia="Calibri" w:cs="Times New Roman"/>
          <w:b w:val="0"/>
          <w:bCs/>
          <w:szCs w:val="24"/>
          <w:lang w:val="en-GB"/>
        </w:rPr>
        <w:t>Cosmochimica</w:t>
      </w:r>
      <w:proofErr w:type="spellEnd"/>
      <w:r w:rsidRPr="000E2377">
        <w:rPr>
          <w:rFonts w:eastAsia="Calibri" w:cs="Times New Roman"/>
          <w:b w:val="0"/>
          <w:bCs/>
          <w:szCs w:val="24"/>
          <w:lang w:val="en-GB"/>
        </w:rPr>
        <w:t xml:space="preserve"> Acta, 60(10), 1727–1737. </w:t>
      </w:r>
    </w:p>
    <w:p w14:paraId="727D17E5"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Pedone</w:t>
      </w:r>
      <w:proofErr w:type="spellEnd"/>
      <w:r w:rsidRPr="000E2377">
        <w:rPr>
          <w:rFonts w:eastAsia="Calibri" w:cs="Times New Roman"/>
          <w:b w:val="0"/>
          <w:bCs/>
          <w:szCs w:val="24"/>
          <w:lang w:val="en-GB"/>
        </w:rPr>
        <w:t xml:space="preserve">, A., </w:t>
      </w:r>
      <w:proofErr w:type="spellStart"/>
      <w:r w:rsidRPr="000E2377">
        <w:rPr>
          <w:rFonts w:eastAsia="Calibri" w:cs="Times New Roman"/>
          <w:b w:val="0"/>
          <w:bCs/>
          <w:szCs w:val="24"/>
          <w:lang w:val="en-GB"/>
        </w:rPr>
        <w:t>Malavasi</w:t>
      </w:r>
      <w:proofErr w:type="spellEnd"/>
      <w:r w:rsidRPr="000E2377">
        <w:rPr>
          <w:rFonts w:eastAsia="Calibri" w:cs="Times New Roman"/>
          <w:b w:val="0"/>
          <w:bCs/>
          <w:szCs w:val="24"/>
          <w:lang w:val="en-GB"/>
        </w:rPr>
        <w:t xml:space="preserve">, G., </w:t>
      </w:r>
      <w:proofErr w:type="spellStart"/>
      <w:r w:rsidRPr="000E2377">
        <w:rPr>
          <w:rFonts w:eastAsia="Calibri" w:cs="Times New Roman"/>
          <w:b w:val="0"/>
          <w:bCs/>
          <w:szCs w:val="24"/>
          <w:lang w:val="en-GB"/>
        </w:rPr>
        <w:t>Menziani</w:t>
      </w:r>
      <w:proofErr w:type="spellEnd"/>
      <w:r w:rsidRPr="000E2377">
        <w:rPr>
          <w:rFonts w:eastAsia="Calibri" w:cs="Times New Roman"/>
          <w:b w:val="0"/>
          <w:bCs/>
          <w:szCs w:val="24"/>
          <w:lang w:val="en-GB"/>
        </w:rPr>
        <w:t xml:space="preserve">, M. C., Segre, U., &amp; Cormack, A. N. (2008). Role of magnesium in soda-lime glasses: Insight into structural, transport, and mechanical properties through computer simulations. Journal of Physical Chemistry C, 112(29), 11034–11041. </w:t>
      </w:r>
    </w:p>
    <w:p w14:paraId="440AA760"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Plummer, J. D., Figueroa, I. a., Hand, R. J., Davies, H. A., &amp; Todd, I. (2009). Elastic properties of some bulk metallic glasses. Journal of Non-Crystalline Solids, 355(6), 335–339. </w:t>
      </w:r>
    </w:p>
    <w:p w14:paraId="67C3D907"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Potuzak</w:t>
      </w:r>
      <w:proofErr w:type="spellEnd"/>
      <w:r w:rsidRPr="000E2377">
        <w:rPr>
          <w:rFonts w:eastAsia="Calibri" w:cs="Times New Roman"/>
          <w:b w:val="0"/>
          <w:bCs/>
          <w:szCs w:val="24"/>
          <w:lang w:val="en-GB"/>
        </w:rPr>
        <w:t xml:space="preserve">, M., &amp; </w:t>
      </w:r>
      <w:proofErr w:type="spellStart"/>
      <w:r w:rsidRPr="000E2377">
        <w:rPr>
          <w:rFonts w:eastAsia="Calibri" w:cs="Times New Roman"/>
          <w:b w:val="0"/>
          <w:bCs/>
          <w:szCs w:val="24"/>
          <w:lang w:val="en-GB"/>
        </w:rPr>
        <w:t>Smedskjaer</w:t>
      </w:r>
      <w:proofErr w:type="spellEnd"/>
      <w:r w:rsidRPr="000E2377">
        <w:rPr>
          <w:rFonts w:eastAsia="Calibri" w:cs="Times New Roman"/>
          <w:b w:val="0"/>
          <w:bCs/>
          <w:szCs w:val="24"/>
          <w:lang w:val="en-GB"/>
        </w:rPr>
        <w:t>, M. M. (2014). Physical properties of boroaluminosilicate glasses : Effect of modifier cation field strength, Physical Chemistry glasses: European Journal g</w:t>
      </w:r>
      <w:r>
        <w:rPr>
          <w:rFonts w:eastAsia="Calibri" w:cs="Times New Roman"/>
          <w:b w:val="0"/>
          <w:bCs/>
          <w:szCs w:val="24"/>
          <w:lang w:val="en-GB"/>
        </w:rPr>
        <w:t>lass</w:t>
      </w:r>
      <w:r w:rsidRPr="000E2377">
        <w:rPr>
          <w:rFonts w:eastAsia="Calibri" w:cs="Times New Roman"/>
          <w:b w:val="0"/>
          <w:bCs/>
          <w:szCs w:val="24"/>
          <w:lang w:val="en-GB"/>
        </w:rPr>
        <w:t xml:space="preserve"> Science Technology B, 55(1), 18–24.</w:t>
      </w:r>
    </w:p>
    <w:p w14:paraId="5F69C280"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Quintas</w:t>
      </w:r>
      <w:proofErr w:type="spellEnd"/>
      <w:r w:rsidRPr="000E2377">
        <w:rPr>
          <w:rFonts w:eastAsia="Calibri" w:cs="Times New Roman"/>
          <w:b w:val="0"/>
          <w:bCs/>
          <w:szCs w:val="24"/>
          <w:lang w:val="en-GB"/>
        </w:rPr>
        <w:t xml:space="preserve">, A., Charpentier, T., </w:t>
      </w:r>
      <w:proofErr w:type="spellStart"/>
      <w:r w:rsidRPr="000E2377">
        <w:rPr>
          <w:rFonts w:eastAsia="Calibri" w:cs="Times New Roman"/>
          <w:b w:val="0"/>
          <w:bCs/>
          <w:szCs w:val="24"/>
          <w:lang w:val="en-GB"/>
        </w:rPr>
        <w:t>Majérus</w:t>
      </w:r>
      <w:proofErr w:type="spellEnd"/>
      <w:r w:rsidRPr="000E2377">
        <w:rPr>
          <w:rFonts w:eastAsia="Calibri" w:cs="Times New Roman"/>
          <w:b w:val="0"/>
          <w:bCs/>
          <w:szCs w:val="24"/>
          <w:lang w:val="en-GB"/>
        </w:rPr>
        <w:t xml:space="preserve">, O., </w:t>
      </w:r>
      <w:proofErr w:type="spellStart"/>
      <w:r w:rsidRPr="000E2377">
        <w:rPr>
          <w:rFonts w:eastAsia="Calibri" w:cs="Times New Roman"/>
          <w:b w:val="0"/>
          <w:bCs/>
          <w:szCs w:val="24"/>
          <w:lang w:val="en-GB"/>
        </w:rPr>
        <w:t>Caurant</w:t>
      </w:r>
      <w:proofErr w:type="spellEnd"/>
      <w:r w:rsidRPr="000E2377">
        <w:rPr>
          <w:rFonts w:eastAsia="Calibri" w:cs="Times New Roman"/>
          <w:b w:val="0"/>
          <w:bCs/>
          <w:szCs w:val="24"/>
          <w:lang w:val="en-GB"/>
        </w:rPr>
        <w:t xml:space="preserve">, D., </w:t>
      </w:r>
      <w:proofErr w:type="spellStart"/>
      <w:r w:rsidRPr="000E2377">
        <w:rPr>
          <w:rFonts w:eastAsia="Calibri" w:cs="Times New Roman"/>
          <w:b w:val="0"/>
          <w:bCs/>
          <w:szCs w:val="24"/>
          <w:lang w:val="en-GB"/>
        </w:rPr>
        <w:t>Dussossoy</w:t>
      </w:r>
      <w:proofErr w:type="spellEnd"/>
      <w:r w:rsidRPr="000E2377">
        <w:rPr>
          <w:rFonts w:eastAsia="Calibri" w:cs="Times New Roman"/>
          <w:b w:val="0"/>
          <w:bCs/>
          <w:szCs w:val="24"/>
          <w:lang w:val="en-GB"/>
        </w:rPr>
        <w:t xml:space="preserve">, J.-L., &amp; </w:t>
      </w:r>
      <w:proofErr w:type="spellStart"/>
      <w:r w:rsidRPr="000E2377">
        <w:rPr>
          <w:rFonts w:eastAsia="Calibri" w:cs="Times New Roman"/>
          <w:b w:val="0"/>
          <w:bCs/>
          <w:szCs w:val="24"/>
          <w:lang w:val="en-GB"/>
        </w:rPr>
        <w:t>Vermaut</w:t>
      </w:r>
      <w:proofErr w:type="spellEnd"/>
      <w:r w:rsidRPr="000E2377">
        <w:rPr>
          <w:rFonts w:eastAsia="Calibri" w:cs="Times New Roman"/>
          <w:b w:val="0"/>
          <w:bCs/>
          <w:szCs w:val="24"/>
          <w:lang w:val="en-GB"/>
        </w:rPr>
        <w:t>, P. (2007). NMR study of a rare-earth aluminoborosilicate glass with varying CaO-to-Na</w:t>
      </w:r>
      <w:r w:rsidRPr="005805E7">
        <w:rPr>
          <w:rFonts w:eastAsia="Calibri" w:cs="Times New Roman"/>
          <w:b w:val="0"/>
          <w:bCs/>
          <w:szCs w:val="24"/>
          <w:vertAlign w:val="subscript"/>
          <w:lang w:val="en-GB"/>
        </w:rPr>
        <w:t>2</w:t>
      </w:r>
      <w:r w:rsidRPr="000E2377">
        <w:rPr>
          <w:rFonts w:eastAsia="Calibri" w:cs="Times New Roman"/>
          <w:b w:val="0"/>
          <w:bCs/>
          <w:szCs w:val="24"/>
          <w:lang w:val="en-GB"/>
        </w:rPr>
        <w:t xml:space="preserve">O Ratio. Applied Magnetic Resonance, 32(4), 613–634. </w:t>
      </w:r>
    </w:p>
    <w:p w14:paraId="775783FC"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Ragoen</w:t>
      </w:r>
      <w:proofErr w:type="spellEnd"/>
      <w:r w:rsidRPr="000E2377">
        <w:rPr>
          <w:rFonts w:eastAsia="Calibri" w:cs="Times New Roman"/>
          <w:b w:val="0"/>
          <w:bCs/>
          <w:szCs w:val="24"/>
          <w:lang w:val="en-GB"/>
        </w:rPr>
        <w:t xml:space="preserve">, C., Sen, S., </w:t>
      </w:r>
      <w:proofErr w:type="spellStart"/>
      <w:r w:rsidRPr="000E2377">
        <w:rPr>
          <w:rFonts w:eastAsia="Calibri" w:cs="Times New Roman"/>
          <w:b w:val="0"/>
          <w:bCs/>
          <w:szCs w:val="24"/>
          <w:lang w:val="en-GB"/>
        </w:rPr>
        <w:t>Lambricht</w:t>
      </w:r>
      <w:proofErr w:type="spellEnd"/>
      <w:r w:rsidRPr="000E2377">
        <w:rPr>
          <w:rFonts w:eastAsia="Calibri" w:cs="Times New Roman"/>
          <w:b w:val="0"/>
          <w:bCs/>
          <w:szCs w:val="24"/>
          <w:lang w:val="en-GB"/>
        </w:rPr>
        <w:t>, T., &amp; Godet, S. (2017). Effect of Al</w:t>
      </w:r>
      <w:r w:rsidRPr="005805E7">
        <w:rPr>
          <w:rFonts w:eastAsia="Calibri" w:cs="Times New Roman"/>
          <w:b w:val="0"/>
          <w:bCs/>
          <w:szCs w:val="24"/>
          <w:vertAlign w:val="subscript"/>
          <w:lang w:val="en-GB"/>
        </w:rPr>
        <w:t>2</w:t>
      </w:r>
      <w:r w:rsidRPr="000E2377">
        <w:rPr>
          <w:rFonts w:eastAsia="Calibri" w:cs="Times New Roman"/>
          <w:b w:val="0"/>
          <w:bCs/>
          <w:szCs w:val="24"/>
          <w:lang w:val="en-GB"/>
        </w:rPr>
        <w:t>O</w:t>
      </w:r>
      <w:r w:rsidRPr="005805E7">
        <w:rPr>
          <w:rFonts w:eastAsia="Calibri" w:cs="Times New Roman"/>
          <w:b w:val="0"/>
          <w:bCs/>
          <w:szCs w:val="24"/>
          <w:vertAlign w:val="subscript"/>
          <w:lang w:val="en-GB"/>
        </w:rPr>
        <w:t>3</w:t>
      </w:r>
      <w:r w:rsidRPr="000E2377">
        <w:rPr>
          <w:rFonts w:eastAsia="Calibri" w:cs="Times New Roman"/>
          <w:b w:val="0"/>
          <w:bCs/>
          <w:szCs w:val="24"/>
          <w:lang w:val="en-GB"/>
        </w:rPr>
        <w:t xml:space="preserve"> content on the mechanical and </w:t>
      </w:r>
      <w:proofErr w:type="spellStart"/>
      <w:r w:rsidRPr="000E2377">
        <w:rPr>
          <w:rFonts w:eastAsia="Calibri" w:cs="Times New Roman"/>
          <w:b w:val="0"/>
          <w:bCs/>
          <w:szCs w:val="24"/>
          <w:lang w:val="en-GB"/>
        </w:rPr>
        <w:t>interdiffusional</w:t>
      </w:r>
      <w:proofErr w:type="spellEnd"/>
      <w:r w:rsidRPr="000E2377">
        <w:rPr>
          <w:rFonts w:eastAsia="Calibri" w:cs="Times New Roman"/>
          <w:b w:val="0"/>
          <w:bCs/>
          <w:szCs w:val="24"/>
          <w:lang w:val="en-GB"/>
        </w:rPr>
        <w:t xml:space="preserve"> properties of ion-exchanged Na-aluminosilicate glasses. Journal of Non-Crystalline Solids, 458, 129–136. </w:t>
      </w:r>
    </w:p>
    <w:p w14:paraId="736F526E"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Ramkumar, J., </w:t>
      </w:r>
      <w:proofErr w:type="spellStart"/>
      <w:r w:rsidRPr="000E2377">
        <w:rPr>
          <w:rFonts w:eastAsia="Calibri" w:cs="Times New Roman"/>
          <w:b w:val="0"/>
          <w:bCs/>
          <w:szCs w:val="24"/>
          <w:lang w:val="en-GB"/>
        </w:rPr>
        <w:t>Sudarsan</w:t>
      </w:r>
      <w:proofErr w:type="spellEnd"/>
      <w:r w:rsidRPr="000E2377">
        <w:rPr>
          <w:rFonts w:eastAsia="Calibri" w:cs="Times New Roman"/>
          <w:b w:val="0"/>
          <w:bCs/>
          <w:szCs w:val="24"/>
          <w:lang w:val="en-GB"/>
        </w:rPr>
        <w:t xml:space="preserve">, V., </w:t>
      </w:r>
      <w:proofErr w:type="spellStart"/>
      <w:r w:rsidRPr="000E2377">
        <w:rPr>
          <w:rFonts w:eastAsia="Calibri" w:cs="Times New Roman"/>
          <w:b w:val="0"/>
          <w:bCs/>
          <w:szCs w:val="24"/>
          <w:lang w:val="en-GB"/>
        </w:rPr>
        <w:t>Chandramouleeswaran</w:t>
      </w:r>
      <w:proofErr w:type="spellEnd"/>
      <w:r w:rsidRPr="000E2377">
        <w:rPr>
          <w:rFonts w:eastAsia="Calibri" w:cs="Times New Roman"/>
          <w:b w:val="0"/>
          <w:bCs/>
          <w:szCs w:val="24"/>
          <w:lang w:val="en-GB"/>
        </w:rPr>
        <w:t xml:space="preserve">, S., </w:t>
      </w:r>
      <w:proofErr w:type="spellStart"/>
      <w:r w:rsidRPr="000E2377">
        <w:rPr>
          <w:rFonts w:eastAsia="Calibri" w:cs="Times New Roman"/>
          <w:b w:val="0"/>
          <w:bCs/>
          <w:szCs w:val="24"/>
          <w:lang w:val="en-GB"/>
        </w:rPr>
        <w:t>Shrikhande</w:t>
      </w:r>
      <w:proofErr w:type="spellEnd"/>
      <w:r w:rsidRPr="000E2377">
        <w:rPr>
          <w:rFonts w:eastAsia="Calibri" w:cs="Times New Roman"/>
          <w:b w:val="0"/>
          <w:bCs/>
          <w:szCs w:val="24"/>
          <w:lang w:val="en-GB"/>
        </w:rPr>
        <w:t xml:space="preserve">, V. K., </w:t>
      </w:r>
      <w:proofErr w:type="spellStart"/>
      <w:r w:rsidRPr="000E2377">
        <w:rPr>
          <w:rFonts w:eastAsia="Calibri" w:cs="Times New Roman"/>
          <w:b w:val="0"/>
          <w:bCs/>
          <w:szCs w:val="24"/>
          <w:lang w:val="en-GB"/>
        </w:rPr>
        <w:t>Kothiyal</w:t>
      </w:r>
      <w:proofErr w:type="spellEnd"/>
      <w:r w:rsidRPr="000E2377">
        <w:rPr>
          <w:rFonts w:eastAsia="Calibri" w:cs="Times New Roman"/>
          <w:b w:val="0"/>
          <w:bCs/>
          <w:szCs w:val="24"/>
          <w:lang w:val="en-GB"/>
        </w:rPr>
        <w:t xml:space="preserve">, G. P., Ravindran, P. V., &amp; Mukherjee, T. (2008). Structural studies on boroaluminosilicate glasses. Journal of Non-Crystalline Solids, 354(15–16), 1591–1597. </w:t>
      </w:r>
    </w:p>
    <w:p w14:paraId="10BA37C8"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Richet, P., </w:t>
      </w:r>
      <w:proofErr w:type="spellStart"/>
      <w:r w:rsidRPr="000E2377">
        <w:rPr>
          <w:rFonts w:eastAsia="Calibri" w:cs="Times New Roman"/>
          <w:b w:val="0"/>
          <w:bCs/>
          <w:szCs w:val="24"/>
          <w:lang w:val="en-GB"/>
        </w:rPr>
        <w:t>Roskosz</w:t>
      </w:r>
      <w:proofErr w:type="spellEnd"/>
      <w:r w:rsidRPr="000E2377">
        <w:rPr>
          <w:rFonts w:eastAsia="Calibri" w:cs="Times New Roman"/>
          <w:b w:val="0"/>
          <w:bCs/>
          <w:szCs w:val="24"/>
          <w:lang w:val="en-GB"/>
        </w:rPr>
        <w:t xml:space="preserve">, M., &amp; Roux, J. (2006). Glass formation in silicates: Insights from composition. Chemical Geology, 225(3–4), 388–401. </w:t>
      </w:r>
    </w:p>
    <w:p w14:paraId="52FAA3D6"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Risbud</w:t>
      </w:r>
      <w:proofErr w:type="spellEnd"/>
      <w:r w:rsidRPr="000E2377">
        <w:rPr>
          <w:rFonts w:eastAsia="Calibri" w:cs="Times New Roman"/>
          <w:b w:val="0"/>
          <w:bCs/>
          <w:szCs w:val="24"/>
          <w:lang w:val="en-GB"/>
        </w:rPr>
        <w:t xml:space="preserve">, S. H., Kirkpatrick, R. J., </w:t>
      </w:r>
      <w:proofErr w:type="spellStart"/>
      <w:r w:rsidRPr="000E2377">
        <w:rPr>
          <w:rFonts w:eastAsia="Calibri" w:cs="Times New Roman"/>
          <w:b w:val="0"/>
          <w:bCs/>
          <w:szCs w:val="24"/>
          <w:lang w:val="en-GB"/>
        </w:rPr>
        <w:t>Taglialavore</w:t>
      </w:r>
      <w:proofErr w:type="spellEnd"/>
      <w:r w:rsidRPr="000E2377">
        <w:rPr>
          <w:rFonts w:eastAsia="Calibri" w:cs="Times New Roman"/>
          <w:b w:val="0"/>
          <w:bCs/>
          <w:szCs w:val="24"/>
          <w:lang w:val="en-GB"/>
        </w:rPr>
        <w:t>, A. P., &amp; Montez, B. (1987). Solid</w:t>
      </w:r>
      <w:r w:rsidRPr="000E2377">
        <w:rPr>
          <w:rFonts w:ascii="Cambria Math" w:eastAsia="Calibri" w:hAnsi="Cambria Math" w:cs="Cambria Math"/>
          <w:b w:val="0"/>
          <w:bCs/>
          <w:szCs w:val="24"/>
          <w:lang w:val="en-GB"/>
        </w:rPr>
        <w:t>‐</w:t>
      </w:r>
      <w:r w:rsidRPr="000E2377">
        <w:rPr>
          <w:rFonts w:eastAsia="Calibri" w:cs="Times New Roman"/>
          <w:b w:val="0"/>
          <w:bCs/>
          <w:szCs w:val="24"/>
          <w:lang w:val="en-GB"/>
        </w:rPr>
        <w:t>state NMR evidence of 4</w:t>
      </w:r>
      <w:r w:rsidRPr="000E2377">
        <w:rPr>
          <w:rFonts w:ascii="Cambria Math" w:eastAsia="Calibri" w:hAnsi="Cambria Math" w:cs="Cambria Math"/>
          <w:b w:val="0"/>
          <w:bCs/>
          <w:szCs w:val="24"/>
          <w:lang w:val="en-GB"/>
        </w:rPr>
        <w:t>‐</w:t>
      </w:r>
      <w:r w:rsidRPr="000E2377">
        <w:rPr>
          <w:rFonts w:eastAsia="Calibri" w:cs="Times New Roman"/>
          <w:b w:val="0"/>
          <w:bCs/>
          <w:szCs w:val="24"/>
          <w:lang w:val="en-GB"/>
        </w:rPr>
        <w:t>, 5, and 6</w:t>
      </w:r>
      <w:r w:rsidRPr="000E2377">
        <w:rPr>
          <w:rFonts w:ascii="Cambria Math" w:eastAsia="Calibri" w:hAnsi="Cambria Math" w:cs="Cambria Math"/>
          <w:b w:val="0"/>
          <w:bCs/>
          <w:szCs w:val="24"/>
          <w:lang w:val="en-GB"/>
        </w:rPr>
        <w:t>‐</w:t>
      </w:r>
      <w:r w:rsidRPr="000E2377">
        <w:rPr>
          <w:rFonts w:eastAsia="Calibri" w:cs="Times New Roman"/>
          <w:b w:val="0"/>
          <w:bCs/>
          <w:szCs w:val="24"/>
          <w:lang w:val="en-GB"/>
        </w:rPr>
        <w:t>fold aluminum sites in roller</w:t>
      </w:r>
      <w:r w:rsidRPr="000E2377">
        <w:rPr>
          <w:rFonts w:ascii="Cambria Math" w:eastAsia="Calibri" w:hAnsi="Cambria Math" w:cs="Cambria Math"/>
          <w:b w:val="0"/>
          <w:bCs/>
          <w:szCs w:val="24"/>
          <w:lang w:val="en-GB"/>
        </w:rPr>
        <w:t>‐</w:t>
      </w:r>
      <w:r w:rsidRPr="000E2377">
        <w:rPr>
          <w:rFonts w:eastAsia="Calibri" w:cs="Times New Roman"/>
          <w:b w:val="0"/>
          <w:bCs/>
          <w:szCs w:val="24"/>
          <w:lang w:val="en-GB"/>
        </w:rPr>
        <w:t>quenched SiO</w:t>
      </w:r>
      <w:r w:rsidRPr="005805E7">
        <w:rPr>
          <w:rFonts w:eastAsia="Calibri" w:cs="Times New Roman"/>
          <w:b w:val="0"/>
          <w:bCs/>
          <w:szCs w:val="24"/>
          <w:vertAlign w:val="subscript"/>
          <w:lang w:val="en-GB"/>
        </w:rPr>
        <w:t>2</w:t>
      </w:r>
      <w:r w:rsidRPr="000E2377">
        <w:rPr>
          <w:rFonts w:ascii="Cambria Math" w:eastAsia="Calibri" w:hAnsi="Cambria Math" w:cs="Cambria Math"/>
          <w:b w:val="0"/>
          <w:bCs/>
          <w:szCs w:val="24"/>
          <w:lang w:val="en-GB"/>
        </w:rPr>
        <w:t>‐</w:t>
      </w:r>
      <w:r w:rsidRPr="000E2377">
        <w:rPr>
          <w:rFonts w:eastAsia="Calibri" w:cs="Times New Roman"/>
          <w:b w:val="0"/>
          <w:bCs/>
          <w:szCs w:val="24"/>
          <w:lang w:val="en-GB"/>
        </w:rPr>
        <w:t>A1</w:t>
      </w:r>
      <w:r w:rsidRPr="005805E7">
        <w:rPr>
          <w:rFonts w:eastAsia="Calibri" w:cs="Times New Roman"/>
          <w:b w:val="0"/>
          <w:bCs/>
          <w:szCs w:val="24"/>
          <w:vertAlign w:val="subscript"/>
          <w:lang w:val="en-GB"/>
        </w:rPr>
        <w:t>2</w:t>
      </w:r>
      <w:r w:rsidRPr="000E2377">
        <w:rPr>
          <w:rFonts w:eastAsia="Calibri" w:cs="Times New Roman"/>
          <w:b w:val="0"/>
          <w:bCs/>
          <w:szCs w:val="24"/>
          <w:lang w:val="en-GB"/>
        </w:rPr>
        <w:t>O</w:t>
      </w:r>
      <w:r w:rsidRPr="005805E7">
        <w:rPr>
          <w:rFonts w:eastAsia="Calibri" w:cs="Times New Roman"/>
          <w:b w:val="0"/>
          <w:bCs/>
          <w:szCs w:val="24"/>
          <w:vertAlign w:val="subscript"/>
          <w:lang w:val="en-GB"/>
        </w:rPr>
        <w:t>3</w:t>
      </w:r>
      <w:r w:rsidRPr="000E2377">
        <w:rPr>
          <w:rFonts w:eastAsia="Calibri" w:cs="Times New Roman"/>
          <w:b w:val="0"/>
          <w:bCs/>
          <w:szCs w:val="24"/>
          <w:lang w:val="en-GB"/>
        </w:rPr>
        <w:t xml:space="preserve"> glasses. Journal of the American Ceramic Society, 70(1), C</w:t>
      </w:r>
      <w:r w:rsidRPr="000E2377">
        <w:rPr>
          <w:rFonts w:ascii="Cambria Math" w:eastAsia="Calibri" w:hAnsi="Cambria Math" w:cs="Cambria Math"/>
          <w:b w:val="0"/>
          <w:bCs/>
          <w:szCs w:val="24"/>
          <w:lang w:val="en-GB"/>
        </w:rPr>
        <w:t>‐</w:t>
      </w:r>
      <w:r w:rsidRPr="000E2377">
        <w:rPr>
          <w:rFonts w:eastAsia="Calibri" w:cs="Times New Roman"/>
          <w:b w:val="0"/>
          <w:bCs/>
          <w:szCs w:val="24"/>
          <w:lang w:val="en-GB"/>
        </w:rPr>
        <w:t>10-C</w:t>
      </w:r>
      <w:r w:rsidRPr="000E2377">
        <w:rPr>
          <w:rFonts w:ascii="Cambria Math" w:eastAsia="Calibri" w:hAnsi="Cambria Math" w:cs="Cambria Math"/>
          <w:b w:val="0"/>
          <w:bCs/>
          <w:szCs w:val="24"/>
          <w:lang w:val="en-GB"/>
        </w:rPr>
        <w:t>‐</w:t>
      </w:r>
      <w:r w:rsidRPr="000E2377">
        <w:rPr>
          <w:rFonts w:eastAsia="Calibri" w:cs="Times New Roman"/>
          <w:b w:val="0"/>
          <w:bCs/>
          <w:szCs w:val="24"/>
          <w:lang w:val="en-GB"/>
        </w:rPr>
        <w:t xml:space="preserve">12. </w:t>
      </w:r>
    </w:p>
    <w:p w14:paraId="746C1AB6"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lastRenderedPageBreak/>
        <w:t xml:space="preserve">Roderick, J. M., Holland, D., Howes, A. P., &amp; Scales, C. R. (2001). Density ± structure relations in mixed-alkali borosilicate glasses by </w:t>
      </w:r>
      <w:r w:rsidRPr="005805E7">
        <w:rPr>
          <w:rFonts w:eastAsia="Calibri" w:cs="Times New Roman"/>
          <w:b w:val="0"/>
          <w:bCs/>
          <w:szCs w:val="24"/>
          <w:vertAlign w:val="superscript"/>
          <w:lang w:val="en-GB"/>
        </w:rPr>
        <w:t>29</w:t>
      </w:r>
      <w:r w:rsidRPr="000E2377">
        <w:rPr>
          <w:rFonts w:eastAsia="Calibri" w:cs="Times New Roman"/>
          <w:b w:val="0"/>
          <w:bCs/>
          <w:szCs w:val="24"/>
          <w:lang w:val="en-GB"/>
        </w:rPr>
        <w:t xml:space="preserve">Si and </w:t>
      </w:r>
      <w:r w:rsidRPr="005805E7">
        <w:rPr>
          <w:rFonts w:eastAsia="Calibri" w:cs="Times New Roman"/>
          <w:b w:val="0"/>
          <w:bCs/>
          <w:szCs w:val="24"/>
          <w:vertAlign w:val="superscript"/>
          <w:lang w:val="en-GB"/>
        </w:rPr>
        <w:t>11</w:t>
      </w:r>
      <w:r w:rsidRPr="000E2377">
        <w:rPr>
          <w:rFonts w:eastAsia="Calibri" w:cs="Times New Roman"/>
          <w:b w:val="0"/>
          <w:bCs/>
          <w:szCs w:val="24"/>
          <w:lang w:val="en-GB"/>
        </w:rPr>
        <w:t>B MAS ± NMR, Journal of Non-Crystalline Solids, 295, 746–751.</w:t>
      </w:r>
    </w:p>
    <w:p w14:paraId="7249AD61"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Rouxel, T. (2007). Elastic properties and short to medium range order in glasses. Journal of the American Ceramic Society, 90(10), 3019–3039. </w:t>
      </w:r>
    </w:p>
    <w:p w14:paraId="0F8D466C" w14:textId="77777777" w:rsidR="008255F9"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Rouxel, T., Ji, H., </w:t>
      </w:r>
      <w:proofErr w:type="spellStart"/>
      <w:r w:rsidRPr="000E2377">
        <w:rPr>
          <w:rFonts w:eastAsia="Calibri" w:cs="Times New Roman"/>
          <w:b w:val="0"/>
          <w:bCs/>
          <w:szCs w:val="24"/>
          <w:lang w:val="en-GB"/>
        </w:rPr>
        <w:t>Guin</w:t>
      </w:r>
      <w:proofErr w:type="spellEnd"/>
      <w:r w:rsidRPr="000E2377">
        <w:rPr>
          <w:rFonts w:eastAsia="Calibri" w:cs="Times New Roman"/>
          <w:b w:val="0"/>
          <w:bCs/>
          <w:szCs w:val="24"/>
          <w:lang w:val="en-GB"/>
        </w:rPr>
        <w:t xml:space="preserve">, J. P., </w:t>
      </w:r>
      <w:proofErr w:type="spellStart"/>
      <w:r w:rsidRPr="000E2377">
        <w:rPr>
          <w:rFonts w:eastAsia="Calibri" w:cs="Times New Roman"/>
          <w:b w:val="0"/>
          <w:bCs/>
          <w:szCs w:val="24"/>
          <w:lang w:val="en-GB"/>
        </w:rPr>
        <w:t>Augereau</w:t>
      </w:r>
      <w:proofErr w:type="spellEnd"/>
      <w:r w:rsidRPr="000E2377">
        <w:rPr>
          <w:rFonts w:eastAsia="Calibri" w:cs="Times New Roman"/>
          <w:b w:val="0"/>
          <w:bCs/>
          <w:szCs w:val="24"/>
          <w:lang w:val="en-GB"/>
        </w:rPr>
        <w:t xml:space="preserve">, F., &amp; </w:t>
      </w:r>
      <w:proofErr w:type="spellStart"/>
      <w:r w:rsidRPr="000E2377">
        <w:rPr>
          <w:rFonts w:eastAsia="Calibri" w:cs="Times New Roman"/>
          <w:b w:val="0"/>
          <w:bCs/>
          <w:szCs w:val="24"/>
          <w:lang w:val="en-GB"/>
        </w:rPr>
        <w:t>Ruffĺ</w:t>
      </w:r>
      <w:proofErr w:type="spellEnd"/>
      <w:r w:rsidRPr="000E2377">
        <w:rPr>
          <w:rFonts w:eastAsia="Calibri" w:cs="Times New Roman"/>
          <w:b w:val="0"/>
          <w:bCs/>
          <w:szCs w:val="24"/>
          <w:lang w:val="en-GB"/>
        </w:rPr>
        <w:t xml:space="preserve">, B. (2010). Indentation deformation mechanism in glass: Densification versus shear flow. Journal of Applied Physics, 107, 92903. </w:t>
      </w:r>
    </w:p>
    <w:p w14:paraId="39D34B2B" w14:textId="77777777" w:rsidR="008255F9" w:rsidRDefault="008255F9" w:rsidP="008255F9">
      <w:pPr>
        <w:spacing w:line="240" w:lineRule="auto"/>
        <w:jc w:val="both"/>
        <w:rPr>
          <w:rFonts w:eastAsia="Calibri" w:cs="Times New Roman"/>
          <w:b w:val="0"/>
          <w:bCs/>
          <w:szCs w:val="24"/>
          <w:lang w:val="en-GB"/>
        </w:rPr>
      </w:pPr>
      <w:r w:rsidRPr="00C5455A">
        <w:rPr>
          <w:rFonts w:eastAsia="Calibri" w:cs="Times New Roman"/>
          <w:b w:val="0"/>
          <w:bCs/>
          <w:szCs w:val="24"/>
          <w:lang w:val="en-GB"/>
        </w:rPr>
        <w:t>Rouxel</w:t>
      </w:r>
      <w:r>
        <w:rPr>
          <w:rFonts w:eastAsia="Calibri" w:cs="Times New Roman"/>
          <w:b w:val="0"/>
          <w:bCs/>
          <w:szCs w:val="24"/>
          <w:lang w:val="en-GB"/>
        </w:rPr>
        <w:t>, T.,</w:t>
      </w:r>
      <w:r w:rsidRPr="00C5455A">
        <w:rPr>
          <w:rFonts w:eastAsia="Calibri" w:cs="Times New Roman"/>
          <w:b w:val="0"/>
          <w:bCs/>
          <w:szCs w:val="24"/>
          <w:lang w:val="en-GB"/>
        </w:rPr>
        <w:t xml:space="preserve"> </w:t>
      </w:r>
      <w:proofErr w:type="spellStart"/>
      <w:r w:rsidRPr="00C5455A">
        <w:rPr>
          <w:rFonts w:eastAsia="Calibri" w:cs="Times New Roman"/>
          <w:b w:val="0"/>
          <w:bCs/>
          <w:szCs w:val="24"/>
          <w:lang w:val="en-GB"/>
        </w:rPr>
        <w:t>Sellappan</w:t>
      </w:r>
      <w:proofErr w:type="spellEnd"/>
      <w:r>
        <w:rPr>
          <w:rFonts w:eastAsia="Calibri" w:cs="Times New Roman"/>
          <w:b w:val="0"/>
          <w:bCs/>
          <w:szCs w:val="24"/>
          <w:lang w:val="en-GB"/>
        </w:rPr>
        <w:t>, P.,</w:t>
      </w:r>
      <w:r w:rsidRPr="00C5455A">
        <w:rPr>
          <w:rFonts w:eastAsia="Calibri" w:cs="Times New Roman"/>
          <w:b w:val="0"/>
          <w:bCs/>
          <w:szCs w:val="24"/>
          <w:lang w:val="en-GB"/>
        </w:rPr>
        <w:t xml:space="preserve"> </w:t>
      </w:r>
      <w:proofErr w:type="spellStart"/>
      <w:r w:rsidRPr="00C5455A">
        <w:rPr>
          <w:rFonts w:eastAsia="Calibri" w:cs="Times New Roman"/>
          <w:b w:val="0"/>
          <w:bCs/>
          <w:szCs w:val="24"/>
          <w:lang w:val="en-GB"/>
        </w:rPr>
        <w:t>Célarié</w:t>
      </w:r>
      <w:proofErr w:type="spellEnd"/>
      <w:r>
        <w:rPr>
          <w:rFonts w:eastAsia="Calibri" w:cs="Times New Roman"/>
          <w:b w:val="0"/>
          <w:bCs/>
          <w:szCs w:val="24"/>
          <w:lang w:val="en-GB"/>
        </w:rPr>
        <w:t>,</w:t>
      </w:r>
      <w:r w:rsidRPr="00C5455A">
        <w:rPr>
          <w:rFonts w:eastAsia="Calibri" w:cs="Times New Roman"/>
          <w:b w:val="0"/>
          <w:bCs/>
          <w:szCs w:val="24"/>
          <w:lang w:val="en-GB"/>
        </w:rPr>
        <w:t xml:space="preserve"> </w:t>
      </w:r>
      <w:r>
        <w:rPr>
          <w:rFonts w:eastAsia="Calibri" w:cs="Times New Roman"/>
          <w:b w:val="0"/>
          <w:bCs/>
          <w:szCs w:val="24"/>
          <w:lang w:val="en-GB"/>
        </w:rPr>
        <w:t xml:space="preserve">F., </w:t>
      </w:r>
      <w:proofErr w:type="spellStart"/>
      <w:r w:rsidRPr="00C5455A">
        <w:rPr>
          <w:rFonts w:eastAsia="Calibri" w:cs="Times New Roman"/>
          <w:b w:val="0"/>
          <w:bCs/>
          <w:szCs w:val="24"/>
          <w:lang w:val="en-GB"/>
        </w:rPr>
        <w:t>Houizot</w:t>
      </w:r>
      <w:proofErr w:type="spellEnd"/>
      <w:r>
        <w:rPr>
          <w:rFonts w:eastAsia="Calibri" w:cs="Times New Roman"/>
          <w:b w:val="0"/>
          <w:bCs/>
          <w:szCs w:val="24"/>
          <w:lang w:val="en-GB"/>
        </w:rPr>
        <w:t>, P.,</w:t>
      </w:r>
      <w:r w:rsidRPr="00C5455A">
        <w:rPr>
          <w:rFonts w:eastAsia="Calibri" w:cs="Times New Roman"/>
          <w:b w:val="0"/>
          <w:bCs/>
          <w:szCs w:val="24"/>
          <w:lang w:val="en-GB"/>
        </w:rPr>
        <w:t xml:space="preserve"> </w:t>
      </w:r>
      <w:proofErr w:type="spellStart"/>
      <w:r w:rsidRPr="00C5455A">
        <w:rPr>
          <w:rFonts w:eastAsia="Calibri" w:cs="Times New Roman"/>
          <w:b w:val="0"/>
          <w:bCs/>
          <w:szCs w:val="24"/>
          <w:lang w:val="en-GB"/>
        </w:rPr>
        <w:t>Sanglebœuf</w:t>
      </w:r>
      <w:proofErr w:type="spellEnd"/>
      <w:r w:rsidRPr="00C5455A">
        <w:rPr>
          <w:rFonts w:eastAsia="Calibri" w:cs="Times New Roman"/>
          <w:b w:val="0"/>
          <w:bCs/>
          <w:szCs w:val="24"/>
          <w:lang w:val="en-GB"/>
        </w:rPr>
        <w:t xml:space="preserve"> </w:t>
      </w:r>
      <w:r>
        <w:rPr>
          <w:rFonts w:eastAsia="Calibri" w:cs="Times New Roman"/>
          <w:b w:val="0"/>
          <w:bCs/>
          <w:szCs w:val="24"/>
          <w:lang w:val="en-GB"/>
        </w:rPr>
        <w:t>J. C., (2014).</w:t>
      </w:r>
      <w:r w:rsidRPr="00C5455A">
        <w:t xml:space="preserve"> </w:t>
      </w:r>
      <w:r w:rsidRPr="00C5455A">
        <w:rPr>
          <w:rFonts w:eastAsia="Calibri" w:cs="Times New Roman"/>
          <w:b w:val="0"/>
          <w:bCs/>
          <w:szCs w:val="24"/>
          <w:lang w:val="en-GB"/>
        </w:rPr>
        <w:t>Toward glasses with better indentation cracking resistance</w:t>
      </w:r>
      <w:r>
        <w:rPr>
          <w:rFonts w:eastAsia="Calibri" w:cs="Times New Roman"/>
          <w:b w:val="0"/>
          <w:bCs/>
          <w:szCs w:val="24"/>
          <w:lang w:val="en-GB"/>
        </w:rPr>
        <w:t>.</w:t>
      </w:r>
      <w:r w:rsidRPr="00C5455A">
        <w:t xml:space="preserve"> </w:t>
      </w:r>
      <w:proofErr w:type="spellStart"/>
      <w:r w:rsidRPr="00C5455A">
        <w:rPr>
          <w:rFonts w:eastAsia="Calibri" w:cs="Times New Roman"/>
          <w:b w:val="0"/>
          <w:bCs/>
          <w:szCs w:val="24"/>
          <w:lang w:val="en-GB"/>
        </w:rPr>
        <w:t>Comptes</w:t>
      </w:r>
      <w:proofErr w:type="spellEnd"/>
      <w:r w:rsidRPr="00C5455A">
        <w:rPr>
          <w:rFonts w:eastAsia="Calibri" w:cs="Times New Roman"/>
          <w:b w:val="0"/>
          <w:bCs/>
          <w:szCs w:val="24"/>
          <w:lang w:val="en-GB"/>
        </w:rPr>
        <w:t xml:space="preserve"> </w:t>
      </w:r>
      <w:proofErr w:type="spellStart"/>
      <w:r w:rsidRPr="00C5455A">
        <w:rPr>
          <w:rFonts w:eastAsia="Calibri" w:cs="Times New Roman"/>
          <w:b w:val="0"/>
          <w:bCs/>
          <w:szCs w:val="24"/>
          <w:lang w:val="en-GB"/>
        </w:rPr>
        <w:t>Rendus</w:t>
      </w:r>
      <w:proofErr w:type="spellEnd"/>
      <w:r w:rsidRPr="00C5455A">
        <w:rPr>
          <w:rFonts w:eastAsia="Calibri" w:cs="Times New Roman"/>
          <w:b w:val="0"/>
          <w:bCs/>
          <w:szCs w:val="24"/>
          <w:lang w:val="en-GB"/>
        </w:rPr>
        <w:t xml:space="preserve"> </w:t>
      </w:r>
      <w:proofErr w:type="spellStart"/>
      <w:r w:rsidRPr="00C5455A">
        <w:rPr>
          <w:rFonts w:eastAsia="Calibri" w:cs="Times New Roman"/>
          <w:b w:val="0"/>
          <w:bCs/>
          <w:szCs w:val="24"/>
          <w:lang w:val="en-GB"/>
        </w:rPr>
        <w:t>Mecanique</w:t>
      </w:r>
      <w:proofErr w:type="spellEnd"/>
      <w:r>
        <w:rPr>
          <w:rFonts w:eastAsia="Calibri" w:cs="Times New Roman"/>
          <w:b w:val="0"/>
          <w:bCs/>
          <w:szCs w:val="24"/>
          <w:lang w:val="en-GB"/>
        </w:rPr>
        <w:t>,</w:t>
      </w:r>
      <w:r w:rsidRPr="00C5455A">
        <w:t xml:space="preserve"> </w:t>
      </w:r>
      <w:r w:rsidRPr="00C5455A">
        <w:rPr>
          <w:rFonts w:eastAsia="Calibri" w:cs="Times New Roman"/>
          <w:b w:val="0"/>
          <w:bCs/>
          <w:szCs w:val="24"/>
          <w:lang w:val="en-GB"/>
        </w:rPr>
        <w:t>342</w:t>
      </w:r>
      <w:r>
        <w:rPr>
          <w:rFonts w:eastAsia="Calibri" w:cs="Times New Roman"/>
          <w:b w:val="0"/>
          <w:bCs/>
          <w:szCs w:val="24"/>
          <w:lang w:val="en-GB"/>
        </w:rPr>
        <w:t>,</w:t>
      </w:r>
      <w:r w:rsidRPr="00C5455A">
        <w:rPr>
          <w:rFonts w:eastAsia="Calibri" w:cs="Times New Roman"/>
          <w:b w:val="0"/>
          <w:bCs/>
          <w:szCs w:val="24"/>
          <w:lang w:val="en-GB"/>
        </w:rPr>
        <w:t xml:space="preserve"> 46–51 Contents</w:t>
      </w:r>
    </w:p>
    <w:p w14:paraId="79F7715B" w14:textId="77777777" w:rsidR="008255F9" w:rsidRPr="00E512C3" w:rsidRDefault="008255F9" w:rsidP="008255F9">
      <w:pPr>
        <w:rPr>
          <w:rFonts w:eastAsia="Times New Roman" w:cs="Times New Roman"/>
          <w:b w:val="0"/>
          <w:color w:val="000000"/>
          <w:lang w:eastAsia="en-MY"/>
        </w:rPr>
      </w:pPr>
      <w:proofErr w:type="spellStart"/>
      <w:r w:rsidRPr="00E512C3">
        <w:rPr>
          <w:b w:val="0"/>
        </w:rPr>
        <w:t>Sasmal</w:t>
      </w:r>
      <w:proofErr w:type="spellEnd"/>
      <w:r w:rsidRPr="00E512C3">
        <w:rPr>
          <w:b w:val="0"/>
        </w:rPr>
        <w:t xml:space="preserve">, N., M. </w:t>
      </w:r>
      <w:proofErr w:type="spellStart"/>
      <w:r w:rsidRPr="00E512C3">
        <w:rPr>
          <w:b w:val="0"/>
        </w:rPr>
        <w:t>Garai</w:t>
      </w:r>
      <w:proofErr w:type="spellEnd"/>
      <w:r w:rsidRPr="00E512C3">
        <w:rPr>
          <w:b w:val="0"/>
        </w:rPr>
        <w:t xml:space="preserve">, A. R. </w:t>
      </w:r>
      <w:proofErr w:type="spellStart"/>
      <w:r w:rsidRPr="00E512C3">
        <w:rPr>
          <w:b w:val="0"/>
        </w:rPr>
        <w:t>Molla</w:t>
      </w:r>
      <w:proofErr w:type="spellEnd"/>
      <w:r w:rsidRPr="00E512C3">
        <w:rPr>
          <w:b w:val="0"/>
        </w:rPr>
        <w:t xml:space="preserve">, A. </w:t>
      </w:r>
      <w:proofErr w:type="spellStart"/>
      <w:r w:rsidRPr="00E512C3">
        <w:rPr>
          <w:b w:val="0"/>
        </w:rPr>
        <w:t>Tarafder</w:t>
      </w:r>
      <w:proofErr w:type="spellEnd"/>
      <w:r w:rsidRPr="00E512C3">
        <w:rPr>
          <w:b w:val="0"/>
        </w:rPr>
        <w:t xml:space="preserve">, S. P. Singh and B. </w:t>
      </w:r>
      <w:proofErr w:type="spellStart"/>
      <w:r w:rsidRPr="00E512C3">
        <w:rPr>
          <w:b w:val="0"/>
        </w:rPr>
        <w:t>Karmakar</w:t>
      </w:r>
      <w:proofErr w:type="spellEnd"/>
      <w:r w:rsidRPr="00E512C3">
        <w:rPr>
          <w:b w:val="0"/>
        </w:rPr>
        <w:t xml:space="preserve"> (2014). Effects of lanthanum oxide on the properties of barium-free alkaline-earth borosilicate sealant glass. Journal of Non</w:t>
      </w:r>
      <w:r>
        <w:rPr>
          <w:b w:val="0"/>
        </w:rPr>
        <w:t xml:space="preserve"> </w:t>
      </w:r>
      <w:r w:rsidRPr="00E512C3">
        <w:rPr>
          <w:b w:val="0"/>
        </w:rPr>
        <w:t>Crystalline Solids, 387, 62-70.</w:t>
      </w:r>
    </w:p>
    <w:p w14:paraId="24C4ADDD"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Schuch</w:t>
      </w:r>
      <w:proofErr w:type="spellEnd"/>
      <w:r w:rsidRPr="000E2377">
        <w:rPr>
          <w:rFonts w:eastAsia="Calibri" w:cs="Times New Roman"/>
          <w:b w:val="0"/>
          <w:bCs/>
          <w:szCs w:val="24"/>
          <w:lang w:val="en-GB"/>
        </w:rPr>
        <w:t xml:space="preserve">, M., Müller, C., </w:t>
      </w:r>
      <w:proofErr w:type="spellStart"/>
      <w:r w:rsidRPr="000E2377">
        <w:rPr>
          <w:rFonts w:eastAsia="Calibri" w:cs="Times New Roman"/>
          <w:b w:val="0"/>
          <w:bCs/>
          <w:szCs w:val="24"/>
          <w:lang w:val="en-GB"/>
        </w:rPr>
        <w:t>Maass</w:t>
      </w:r>
      <w:proofErr w:type="spellEnd"/>
      <w:r w:rsidRPr="000E2377">
        <w:rPr>
          <w:rFonts w:eastAsia="Calibri" w:cs="Times New Roman"/>
          <w:b w:val="0"/>
          <w:bCs/>
          <w:szCs w:val="24"/>
          <w:lang w:val="en-GB"/>
        </w:rPr>
        <w:t xml:space="preserve">, P., &amp; Martin, S. (2009). Mixed barrier model for the mixed glass former effect in ion conducting glasses. Physical Review Letters, 102(14), 145902. </w:t>
      </w:r>
    </w:p>
    <w:p w14:paraId="284ED03A"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Sehgal, J., &amp; Ito, S. (1998). A new low-Brittleness glass in the soda – lime – silica glass family. Journal of the American Ceramic Society, 81(9), 2485–2488. </w:t>
      </w:r>
    </w:p>
    <w:p w14:paraId="72970BD9"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Sehgal, J., &amp; Ito, S. (1999). Brittleness of glass. Journal of Non-Crystalline Solids, 253(1–3), 126–132. </w:t>
      </w:r>
    </w:p>
    <w:p w14:paraId="27AE6850"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Sellappan</w:t>
      </w:r>
      <w:proofErr w:type="spellEnd"/>
      <w:r w:rsidRPr="000E2377">
        <w:rPr>
          <w:rFonts w:eastAsia="Calibri" w:cs="Times New Roman"/>
          <w:b w:val="0"/>
          <w:bCs/>
          <w:szCs w:val="24"/>
          <w:lang w:val="en-GB"/>
        </w:rPr>
        <w:t xml:space="preserve">, P., Rouxel, T., </w:t>
      </w:r>
      <w:proofErr w:type="spellStart"/>
      <w:r w:rsidRPr="000E2377">
        <w:rPr>
          <w:rFonts w:eastAsia="Calibri" w:cs="Times New Roman"/>
          <w:b w:val="0"/>
          <w:bCs/>
          <w:szCs w:val="24"/>
          <w:lang w:val="en-GB"/>
        </w:rPr>
        <w:t>Celarie</w:t>
      </w:r>
      <w:proofErr w:type="spellEnd"/>
      <w:r w:rsidRPr="000E2377">
        <w:rPr>
          <w:rFonts w:eastAsia="Calibri" w:cs="Times New Roman"/>
          <w:b w:val="0"/>
          <w:bCs/>
          <w:szCs w:val="24"/>
          <w:lang w:val="en-GB"/>
        </w:rPr>
        <w:t xml:space="preserve">, F., Becker, E., </w:t>
      </w:r>
      <w:proofErr w:type="spellStart"/>
      <w:r w:rsidRPr="000E2377">
        <w:rPr>
          <w:rFonts w:eastAsia="Calibri" w:cs="Times New Roman"/>
          <w:b w:val="0"/>
          <w:bCs/>
          <w:szCs w:val="24"/>
          <w:lang w:val="en-GB"/>
        </w:rPr>
        <w:t>Houizot</w:t>
      </w:r>
      <w:proofErr w:type="spellEnd"/>
      <w:r w:rsidRPr="000E2377">
        <w:rPr>
          <w:rFonts w:eastAsia="Calibri" w:cs="Times New Roman"/>
          <w:b w:val="0"/>
          <w:bCs/>
          <w:szCs w:val="24"/>
          <w:lang w:val="en-GB"/>
        </w:rPr>
        <w:t xml:space="preserve">, P., &amp; </w:t>
      </w:r>
      <w:proofErr w:type="spellStart"/>
      <w:r w:rsidRPr="000E2377">
        <w:rPr>
          <w:rFonts w:eastAsia="Calibri" w:cs="Times New Roman"/>
          <w:b w:val="0"/>
          <w:bCs/>
          <w:szCs w:val="24"/>
          <w:lang w:val="en-GB"/>
        </w:rPr>
        <w:t>Conradt</w:t>
      </w:r>
      <w:proofErr w:type="spellEnd"/>
      <w:r w:rsidRPr="000E2377">
        <w:rPr>
          <w:rFonts w:eastAsia="Calibri" w:cs="Times New Roman"/>
          <w:b w:val="0"/>
          <w:bCs/>
          <w:szCs w:val="24"/>
          <w:lang w:val="en-GB"/>
        </w:rPr>
        <w:t xml:space="preserve">, R. (2013). Composition dependence of indentation deformation and indentation cracking in glass. Acta </w:t>
      </w:r>
      <w:proofErr w:type="spellStart"/>
      <w:r w:rsidRPr="000E2377">
        <w:rPr>
          <w:rFonts w:eastAsia="Calibri" w:cs="Times New Roman"/>
          <w:b w:val="0"/>
          <w:bCs/>
          <w:szCs w:val="24"/>
          <w:lang w:val="en-GB"/>
        </w:rPr>
        <w:t>Materialia</w:t>
      </w:r>
      <w:proofErr w:type="spellEnd"/>
      <w:r w:rsidRPr="000E2377">
        <w:rPr>
          <w:rFonts w:eastAsia="Calibri" w:cs="Times New Roman"/>
          <w:b w:val="0"/>
          <w:bCs/>
          <w:szCs w:val="24"/>
          <w:lang w:val="en-GB"/>
        </w:rPr>
        <w:t xml:space="preserve">, 61(16), 5949–5965. </w:t>
      </w:r>
    </w:p>
    <w:p w14:paraId="68E48EDD"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Sellappan</w:t>
      </w:r>
      <w:proofErr w:type="spellEnd"/>
      <w:r w:rsidRPr="000E2377">
        <w:rPr>
          <w:rFonts w:eastAsia="Calibri" w:cs="Times New Roman"/>
          <w:b w:val="0"/>
          <w:bCs/>
          <w:szCs w:val="24"/>
          <w:lang w:val="en-GB"/>
        </w:rPr>
        <w:t xml:space="preserve">, P., </w:t>
      </w:r>
      <w:proofErr w:type="spellStart"/>
      <w:r w:rsidRPr="000E2377">
        <w:rPr>
          <w:rFonts w:eastAsia="Calibri" w:cs="Times New Roman"/>
          <w:b w:val="0"/>
          <w:bCs/>
          <w:szCs w:val="24"/>
          <w:lang w:val="en-GB"/>
        </w:rPr>
        <w:t>Sharafat</w:t>
      </w:r>
      <w:proofErr w:type="spellEnd"/>
      <w:r w:rsidRPr="000E2377">
        <w:rPr>
          <w:rFonts w:eastAsia="Calibri" w:cs="Times New Roman"/>
          <w:b w:val="0"/>
          <w:bCs/>
          <w:szCs w:val="24"/>
          <w:lang w:val="en-GB"/>
        </w:rPr>
        <w:t xml:space="preserve">, A., </w:t>
      </w:r>
      <w:proofErr w:type="spellStart"/>
      <w:r w:rsidRPr="000E2377">
        <w:rPr>
          <w:rFonts w:eastAsia="Calibri" w:cs="Times New Roman"/>
          <w:b w:val="0"/>
          <w:bCs/>
          <w:szCs w:val="24"/>
          <w:lang w:val="en-GB"/>
        </w:rPr>
        <w:t>Keryvin</w:t>
      </w:r>
      <w:proofErr w:type="spellEnd"/>
      <w:r w:rsidRPr="000E2377">
        <w:rPr>
          <w:rFonts w:eastAsia="Calibri" w:cs="Times New Roman"/>
          <w:b w:val="0"/>
          <w:bCs/>
          <w:szCs w:val="24"/>
          <w:lang w:val="en-GB"/>
        </w:rPr>
        <w:t xml:space="preserve">, V., </w:t>
      </w:r>
      <w:proofErr w:type="spellStart"/>
      <w:r w:rsidRPr="000E2377">
        <w:rPr>
          <w:rFonts w:eastAsia="Calibri" w:cs="Times New Roman"/>
          <w:b w:val="0"/>
          <w:bCs/>
          <w:szCs w:val="24"/>
          <w:lang w:val="en-GB"/>
        </w:rPr>
        <w:t>Houizot</w:t>
      </w:r>
      <w:proofErr w:type="spellEnd"/>
      <w:r w:rsidRPr="000E2377">
        <w:rPr>
          <w:rFonts w:eastAsia="Calibri" w:cs="Times New Roman"/>
          <w:b w:val="0"/>
          <w:bCs/>
          <w:szCs w:val="24"/>
          <w:lang w:val="en-GB"/>
        </w:rPr>
        <w:t xml:space="preserve">, P., Rouxel, T., Grins, J., &amp; </w:t>
      </w:r>
      <w:proofErr w:type="spellStart"/>
      <w:r w:rsidRPr="000E2377">
        <w:rPr>
          <w:rFonts w:eastAsia="Calibri" w:cs="Times New Roman"/>
          <w:b w:val="0"/>
          <w:bCs/>
          <w:szCs w:val="24"/>
          <w:lang w:val="en-GB"/>
        </w:rPr>
        <w:t>Esmaeilzadeh</w:t>
      </w:r>
      <w:proofErr w:type="spellEnd"/>
      <w:r w:rsidRPr="000E2377">
        <w:rPr>
          <w:rFonts w:eastAsia="Calibri" w:cs="Times New Roman"/>
          <w:b w:val="0"/>
          <w:bCs/>
          <w:szCs w:val="24"/>
          <w:lang w:val="en-GB"/>
        </w:rPr>
        <w:t>, S. (2010). Elastic properties and surface damage resistance of nitrogen-rich (</w:t>
      </w:r>
      <w:proofErr w:type="spellStart"/>
      <w:r w:rsidRPr="000E2377">
        <w:rPr>
          <w:rFonts w:eastAsia="Calibri" w:cs="Times New Roman"/>
          <w:b w:val="0"/>
          <w:bCs/>
          <w:szCs w:val="24"/>
          <w:lang w:val="en-GB"/>
        </w:rPr>
        <w:t>Ca,Sr</w:t>
      </w:r>
      <w:proofErr w:type="spellEnd"/>
      <w:r w:rsidRPr="000E2377">
        <w:rPr>
          <w:rFonts w:eastAsia="Calibri" w:cs="Times New Roman"/>
          <w:b w:val="0"/>
          <w:bCs/>
          <w:szCs w:val="24"/>
          <w:lang w:val="en-GB"/>
        </w:rPr>
        <w:t xml:space="preserve">)-Si-O-N glasses. Journal of Non-Crystalline Solids, 356(41–42), 2120–2126. </w:t>
      </w:r>
    </w:p>
    <w:p w14:paraId="2349B145"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Sen, S., &amp; Youngman, R. E. (2004). High-resolution multinuclear NMR structural study of binary aluminosilicate and other related glasses. Journal of Physical Chemistry B, 108(23), 7557–7564.</w:t>
      </w:r>
    </w:p>
    <w:p w14:paraId="5D2256A4"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Serra, J., González, P., </w:t>
      </w:r>
      <w:proofErr w:type="spellStart"/>
      <w:r w:rsidRPr="000E2377">
        <w:rPr>
          <w:rFonts w:eastAsia="Calibri" w:cs="Times New Roman"/>
          <w:b w:val="0"/>
          <w:bCs/>
          <w:szCs w:val="24"/>
          <w:lang w:val="en-GB"/>
        </w:rPr>
        <w:t>Liste</w:t>
      </w:r>
      <w:proofErr w:type="spellEnd"/>
      <w:r w:rsidRPr="000E2377">
        <w:rPr>
          <w:rFonts w:eastAsia="Calibri" w:cs="Times New Roman"/>
          <w:b w:val="0"/>
          <w:bCs/>
          <w:szCs w:val="24"/>
          <w:lang w:val="en-GB"/>
        </w:rPr>
        <w:t xml:space="preserve">, S., Serra, C., </w:t>
      </w:r>
      <w:proofErr w:type="spellStart"/>
      <w:r w:rsidRPr="000E2377">
        <w:rPr>
          <w:rFonts w:eastAsia="Calibri" w:cs="Times New Roman"/>
          <w:b w:val="0"/>
          <w:bCs/>
          <w:szCs w:val="24"/>
          <w:lang w:val="en-GB"/>
        </w:rPr>
        <w:t>Chiussi</w:t>
      </w:r>
      <w:proofErr w:type="spellEnd"/>
      <w:r w:rsidRPr="000E2377">
        <w:rPr>
          <w:rFonts w:eastAsia="Calibri" w:cs="Times New Roman"/>
          <w:b w:val="0"/>
          <w:bCs/>
          <w:szCs w:val="24"/>
          <w:lang w:val="en-GB"/>
        </w:rPr>
        <w:t xml:space="preserve">, S., León, B., Hupa, M. (2003). FTIR and XPS studies of bioactive silica based glasses. Journal of Non-Crystalline Solids, 332(1–3), 20–27. </w:t>
      </w:r>
    </w:p>
    <w:p w14:paraId="0962C2B9"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Shelby J. E., (2005). Introduction to glass science and technology. Second Edition, The Royal Society of Chemistry.</w:t>
      </w:r>
    </w:p>
    <w:p w14:paraId="2CD4F153" w14:textId="77777777" w:rsidR="008255F9"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Shimoda</w:t>
      </w:r>
      <w:proofErr w:type="spellEnd"/>
      <w:r w:rsidRPr="000E2377">
        <w:rPr>
          <w:rFonts w:eastAsia="Calibri" w:cs="Times New Roman"/>
          <w:b w:val="0"/>
          <w:bCs/>
          <w:szCs w:val="24"/>
          <w:lang w:val="en-GB"/>
        </w:rPr>
        <w:t xml:space="preserve">, K., </w:t>
      </w:r>
      <w:proofErr w:type="spellStart"/>
      <w:r w:rsidRPr="000E2377">
        <w:rPr>
          <w:rFonts w:eastAsia="Calibri" w:cs="Times New Roman"/>
          <w:b w:val="0"/>
          <w:bCs/>
          <w:szCs w:val="24"/>
          <w:lang w:val="en-GB"/>
        </w:rPr>
        <w:t>Nemoto</w:t>
      </w:r>
      <w:proofErr w:type="spellEnd"/>
      <w:r w:rsidRPr="000E2377">
        <w:rPr>
          <w:rFonts w:eastAsia="Calibri" w:cs="Times New Roman"/>
          <w:b w:val="0"/>
          <w:bCs/>
          <w:szCs w:val="24"/>
          <w:lang w:val="en-GB"/>
        </w:rPr>
        <w:t xml:space="preserve">, T., &amp; Saito, K. (2008). Local structure of magnesium in silicate glasses: a 25Mg 3QMAS NMR study. The Journal of Physical Chemistry. B, 112(22), 6747–6752. </w:t>
      </w:r>
    </w:p>
    <w:p w14:paraId="003AC6E3" w14:textId="77777777" w:rsidR="008255F9" w:rsidRPr="000E2377" w:rsidRDefault="008255F9" w:rsidP="008255F9">
      <w:pPr>
        <w:spacing w:line="240" w:lineRule="auto"/>
        <w:jc w:val="both"/>
        <w:rPr>
          <w:rFonts w:eastAsia="Calibri" w:cs="Times New Roman"/>
          <w:b w:val="0"/>
          <w:bCs/>
          <w:szCs w:val="24"/>
          <w:lang w:val="en-GB"/>
        </w:rPr>
      </w:pPr>
      <w:r w:rsidRPr="001351D4">
        <w:rPr>
          <w:rFonts w:eastAsia="Calibri" w:cs="Times New Roman"/>
          <w:b w:val="0"/>
          <w:bCs/>
          <w:szCs w:val="24"/>
          <w:lang w:val="en-GB"/>
        </w:rPr>
        <w:t>Singh</w:t>
      </w:r>
      <w:r>
        <w:rPr>
          <w:rFonts w:eastAsia="Calibri" w:cs="Times New Roman"/>
          <w:b w:val="0"/>
          <w:bCs/>
          <w:szCs w:val="24"/>
          <w:lang w:val="en-GB"/>
        </w:rPr>
        <w:t>, D.</w:t>
      </w:r>
      <w:r w:rsidRPr="001351D4">
        <w:rPr>
          <w:rFonts w:eastAsia="Calibri" w:cs="Times New Roman"/>
          <w:b w:val="0"/>
          <w:bCs/>
          <w:szCs w:val="24"/>
          <w:lang w:val="en-GB"/>
        </w:rPr>
        <w:t>, Singh</w:t>
      </w:r>
      <w:r>
        <w:rPr>
          <w:rFonts w:eastAsia="Calibri" w:cs="Times New Roman"/>
          <w:b w:val="0"/>
          <w:bCs/>
          <w:szCs w:val="24"/>
          <w:lang w:val="en-GB"/>
        </w:rPr>
        <w:t>, K.</w:t>
      </w:r>
      <w:r w:rsidRPr="001351D4">
        <w:rPr>
          <w:rFonts w:eastAsia="Calibri" w:cs="Times New Roman"/>
          <w:b w:val="0"/>
          <w:bCs/>
          <w:szCs w:val="24"/>
          <w:lang w:val="en-GB"/>
        </w:rPr>
        <w:t>, Singh</w:t>
      </w:r>
      <w:r>
        <w:rPr>
          <w:rFonts w:eastAsia="Calibri" w:cs="Times New Roman"/>
          <w:b w:val="0"/>
          <w:bCs/>
          <w:szCs w:val="24"/>
          <w:lang w:val="en-GB"/>
        </w:rPr>
        <w:t xml:space="preserve">, G., </w:t>
      </w:r>
      <w:proofErr w:type="spellStart"/>
      <w:r w:rsidRPr="001351D4">
        <w:rPr>
          <w:rFonts w:eastAsia="Calibri" w:cs="Times New Roman"/>
          <w:b w:val="0"/>
          <w:bCs/>
          <w:szCs w:val="24"/>
          <w:lang w:val="en-GB"/>
        </w:rPr>
        <w:t>Manupriya</w:t>
      </w:r>
      <w:proofErr w:type="spellEnd"/>
      <w:r w:rsidRPr="001351D4">
        <w:rPr>
          <w:rFonts w:eastAsia="Calibri" w:cs="Times New Roman"/>
          <w:b w:val="0"/>
          <w:bCs/>
          <w:szCs w:val="24"/>
          <w:lang w:val="en-GB"/>
        </w:rPr>
        <w:t>,</w:t>
      </w:r>
      <w:r>
        <w:rPr>
          <w:rFonts w:eastAsia="Calibri" w:cs="Times New Roman"/>
          <w:b w:val="0"/>
          <w:bCs/>
          <w:szCs w:val="24"/>
          <w:lang w:val="en-GB"/>
        </w:rPr>
        <w:t xml:space="preserve"> </w:t>
      </w:r>
      <w:r w:rsidRPr="001351D4">
        <w:rPr>
          <w:rFonts w:eastAsia="Calibri" w:cs="Times New Roman"/>
          <w:b w:val="0"/>
          <w:bCs/>
          <w:szCs w:val="24"/>
          <w:lang w:val="en-GB"/>
        </w:rPr>
        <w:t>Mohan</w:t>
      </w:r>
      <w:r>
        <w:rPr>
          <w:rFonts w:eastAsia="Calibri" w:cs="Times New Roman"/>
          <w:b w:val="0"/>
          <w:bCs/>
          <w:szCs w:val="24"/>
          <w:lang w:val="en-GB"/>
        </w:rPr>
        <w:t xml:space="preserve">, S., </w:t>
      </w:r>
      <w:r w:rsidRPr="001351D4">
        <w:rPr>
          <w:rFonts w:eastAsia="Calibri" w:cs="Times New Roman"/>
          <w:b w:val="0"/>
          <w:bCs/>
          <w:szCs w:val="24"/>
          <w:lang w:val="en-GB"/>
        </w:rPr>
        <w:t>Arora</w:t>
      </w:r>
      <w:r>
        <w:rPr>
          <w:rFonts w:eastAsia="Calibri" w:cs="Times New Roman"/>
          <w:b w:val="0"/>
          <w:bCs/>
          <w:szCs w:val="24"/>
          <w:lang w:val="en-GB"/>
        </w:rPr>
        <w:t>, M.,</w:t>
      </w:r>
      <w:r w:rsidRPr="001351D4">
        <w:rPr>
          <w:rFonts w:eastAsia="Calibri" w:cs="Times New Roman"/>
          <w:b w:val="0"/>
          <w:bCs/>
          <w:szCs w:val="24"/>
          <w:lang w:val="en-GB"/>
        </w:rPr>
        <w:t xml:space="preserve"> Sharma</w:t>
      </w:r>
      <w:r>
        <w:rPr>
          <w:rFonts w:eastAsia="Calibri" w:cs="Times New Roman"/>
          <w:b w:val="0"/>
          <w:bCs/>
          <w:szCs w:val="24"/>
          <w:lang w:val="en-GB"/>
        </w:rPr>
        <w:t>. G.,</w:t>
      </w:r>
      <w:r w:rsidRPr="001351D4">
        <w:rPr>
          <w:rFonts w:eastAsia="Calibri" w:cs="Times New Roman"/>
          <w:b w:val="0"/>
          <w:bCs/>
          <w:szCs w:val="24"/>
          <w:lang w:val="en-GB"/>
        </w:rPr>
        <w:t xml:space="preserve"> (2008)</w:t>
      </w:r>
      <w:r>
        <w:rPr>
          <w:rFonts w:eastAsia="Calibri" w:cs="Times New Roman"/>
          <w:b w:val="0"/>
          <w:bCs/>
          <w:szCs w:val="24"/>
          <w:lang w:val="en-GB"/>
        </w:rPr>
        <w:t xml:space="preserve">. </w:t>
      </w:r>
      <w:r w:rsidRPr="001351D4">
        <w:rPr>
          <w:rFonts w:eastAsia="Calibri" w:cs="Times New Roman"/>
          <w:b w:val="0"/>
          <w:bCs/>
          <w:szCs w:val="24"/>
          <w:lang w:val="en-GB"/>
        </w:rPr>
        <w:t>Optical and structural properties of</w:t>
      </w:r>
      <w:r>
        <w:rPr>
          <w:rFonts w:eastAsia="Calibri" w:cs="Times New Roman"/>
          <w:b w:val="0"/>
          <w:bCs/>
          <w:szCs w:val="24"/>
          <w:lang w:val="en-GB"/>
        </w:rPr>
        <w:t xml:space="preserve"> </w:t>
      </w:r>
      <w:proofErr w:type="spellStart"/>
      <w:r w:rsidRPr="001351D4">
        <w:rPr>
          <w:rFonts w:eastAsia="Calibri" w:cs="Times New Roman"/>
          <w:b w:val="0"/>
          <w:bCs/>
          <w:szCs w:val="24"/>
          <w:lang w:val="en-GB"/>
        </w:rPr>
        <w:t>ZnO</w:t>
      </w:r>
      <w:proofErr w:type="spellEnd"/>
      <w:r w:rsidRPr="001351D4">
        <w:rPr>
          <w:rFonts w:eastAsia="Calibri" w:cs="Times New Roman"/>
          <w:b w:val="0"/>
          <w:bCs/>
          <w:szCs w:val="24"/>
          <w:lang w:val="en-GB"/>
        </w:rPr>
        <w:t>–</w:t>
      </w:r>
      <w:proofErr w:type="spellStart"/>
      <w:r w:rsidRPr="001351D4">
        <w:rPr>
          <w:rFonts w:eastAsia="Calibri" w:cs="Times New Roman"/>
          <w:b w:val="0"/>
          <w:bCs/>
          <w:szCs w:val="24"/>
          <w:lang w:val="en-GB"/>
        </w:rPr>
        <w:t>PbO</w:t>
      </w:r>
      <w:proofErr w:type="spellEnd"/>
      <w:r w:rsidRPr="001351D4">
        <w:rPr>
          <w:rFonts w:eastAsia="Calibri" w:cs="Times New Roman"/>
          <w:b w:val="0"/>
          <w:bCs/>
          <w:szCs w:val="24"/>
          <w:lang w:val="en-GB"/>
        </w:rPr>
        <w:t>–B</w:t>
      </w:r>
      <w:r w:rsidRPr="001351D4">
        <w:rPr>
          <w:rFonts w:eastAsia="Calibri" w:cs="Times New Roman"/>
          <w:b w:val="0"/>
          <w:bCs/>
          <w:szCs w:val="24"/>
          <w:vertAlign w:val="subscript"/>
          <w:lang w:val="en-GB"/>
        </w:rPr>
        <w:t>2</w:t>
      </w:r>
      <w:r w:rsidRPr="001351D4">
        <w:rPr>
          <w:rFonts w:eastAsia="Calibri" w:cs="Times New Roman"/>
          <w:b w:val="0"/>
          <w:bCs/>
          <w:szCs w:val="24"/>
          <w:lang w:val="en-GB"/>
        </w:rPr>
        <w:t>O</w:t>
      </w:r>
      <w:r w:rsidRPr="001351D4">
        <w:rPr>
          <w:rFonts w:eastAsia="Calibri" w:cs="Times New Roman"/>
          <w:b w:val="0"/>
          <w:bCs/>
          <w:szCs w:val="24"/>
          <w:vertAlign w:val="subscript"/>
          <w:lang w:val="en-GB"/>
        </w:rPr>
        <w:t>3</w:t>
      </w:r>
      <w:r w:rsidRPr="001351D4">
        <w:rPr>
          <w:rFonts w:eastAsia="Calibri" w:cs="Times New Roman"/>
          <w:b w:val="0"/>
          <w:bCs/>
          <w:szCs w:val="24"/>
          <w:lang w:val="en-GB"/>
        </w:rPr>
        <w:t xml:space="preserve"> and </w:t>
      </w:r>
      <w:proofErr w:type="spellStart"/>
      <w:r w:rsidRPr="001351D4">
        <w:rPr>
          <w:rFonts w:eastAsia="Calibri" w:cs="Times New Roman"/>
          <w:b w:val="0"/>
          <w:bCs/>
          <w:szCs w:val="24"/>
          <w:lang w:val="en-GB"/>
        </w:rPr>
        <w:t>ZnO</w:t>
      </w:r>
      <w:proofErr w:type="spellEnd"/>
      <w:r w:rsidRPr="001351D4">
        <w:rPr>
          <w:rFonts w:eastAsia="Calibri" w:cs="Times New Roman"/>
          <w:b w:val="0"/>
          <w:bCs/>
          <w:szCs w:val="24"/>
          <w:lang w:val="en-GB"/>
        </w:rPr>
        <w:t>–</w:t>
      </w:r>
      <w:proofErr w:type="spellStart"/>
      <w:r w:rsidRPr="001351D4">
        <w:rPr>
          <w:rFonts w:eastAsia="Calibri" w:cs="Times New Roman"/>
          <w:b w:val="0"/>
          <w:bCs/>
          <w:szCs w:val="24"/>
          <w:lang w:val="en-GB"/>
        </w:rPr>
        <w:t>PbO</w:t>
      </w:r>
      <w:proofErr w:type="spellEnd"/>
      <w:r w:rsidRPr="001351D4">
        <w:rPr>
          <w:rFonts w:eastAsia="Calibri" w:cs="Times New Roman"/>
          <w:b w:val="0"/>
          <w:bCs/>
          <w:szCs w:val="24"/>
          <w:lang w:val="en-GB"/>
        </w:rPr>
        <w:t>–B</w:t>
      </w:r>
      <w:r w:rsidRPr="001351D4">
        <w:rPr>
          <w:rFonts w:eastAsia="Calibri" w:cs="Times New Roman"/>
          <w:b w:val="0"/>
          <w:bCs/>
          <w:szCs w:val="24"/>
          <w:vertAlign w:val="subscript"/>
          <w:lang w:val="en-GB"/>
        </w:rPr>
        <w:t>2</w:t>
      </w:r>
      <w:r w:rsidRPr="001351D4">
        <w:rPr>
          <w:rFonts w:eastAsia="Calibri" w:cs="Times New Roman"/>
          <w:b w:val="0"/>
          <w:bCs/>
          <w:szCs w:val="24"/>
          <w:lang w:val="en-GB"/>
        </w:rPr>
        <w:t>O</w:t>
      </w:r>
      <w:r w:rsidRPr="001351D4">
        <w:rPr>
          <w:rFonts w:eastAsia="Calibri" w:cs="Times New Roman"/>
          <w:b w:val="0"/>
          <w:bCs/>
          <w:szCs w:val="24"/>
          <w:vertAlign w:val="subscript"/>
          <w:lang w:val="en-GB"/>
        </w:rPr>
        <w:t>3</w:t>
      </w:r>
      <w:r w:rsidRPr="001351D4">
        <w:rPr>
          <w:rFonts w:eastAsia="Calibri" w:cs="Times New Roman"/>
          <w:b w:val="0"/>
          <w:bCs/>
          <w:szCs w:val="24"/>
          <w:lang w:val="en-GB"/>
        </w:rPr>
        <w:t>–SiO</w:t>
      </w:r>
      <w:r w:rsidRPr="001351D4">
        <w:rPr>
          <w:rFonts w:eastAsia="Calibri" w:cs="Times New Roman"/>
          <w:b w:val="0"/>
          <w:bCs/>
          <w:szCs w:val="24"/>
          <w:vertAlign w:val="subscript"/>
          <w:lang w:val="en-GB"/>
        </w:rPr>
        <w:t>2</w:t>
      </w:r>
      <w:r w:rsidRPr="001351D4">
        <w:rPr>
          <w:rFonts w:eastAsia="Calibri" w:cs="Times New Roman"/>
          <w:b w:val="0"/>
          <w:bCs/>
          <w:szCs w:val="24"/>
          <w:lang w:val="en-GB"/>
        </w:rPr>
        <w:t xml:space="preserve"> glasses</w:t>
      </w:r>
      <w:r>
        <w:rPr>
          <w:rFonts w:eastAsia="Calibri" w:cs="Times New Roman"/>
          <w:b w:val="0"/>
          <w:bCs/>
          <w:szCs w:val="24"/>
          <w:lang w:val="en-GB"/>
        </w:rPr>
        <w:t xml:space="preserve">. </w:t>
      </w:r>
      <w:r w:rsidRPr="001351D4">
        <w:rPr>
          <w:rFonts w:eastAsia="Calibri" w:cs="Times New Roman"/>
          <w:b w:val="0"/>
          <w:bCs/>
          <w:szCs w:val="24"/>
          <w:lang w:val="en-GB"/>
        </w:rPr>
        <w:t>J</w:t>
      </w:r>
      <w:r>
        <w:rPr>
          <w:rFonts w:eastAsia="Calibri" w:cs="Times New Roman"/>
          <w:b w:val="0"/>
          <w:bCs/>
          <w:szCs w:val="24"/>
          <w:lang w:val="en-GB"/>
        </w:rPr>
        <w:t xml:space="preserve">ournal of </w:t>
      </w:r>
      <w:r w:rsidRPr="001351D4">
        <w:rPr>
          <w:rFonts w:eastAsia="Calibri" w:cs="Times New Roman"/>
          <w:b w:val="0"/>
          <w:bCs/>
          <w:szCs w:val="24"/>
          <w:lang w:val="en-GB"/>
        </w:rPr>
        <w:t xml:space="preserve"> Phys</w:t>
      </w:r>
      <w:r>
        <w:rPr>
          <w:rFonts w:eastAsia="Calibri" w:cs="Times New Roman"/>
          <w:b w:val="0"/>
          <w:bCs/>
          <w:szCs w:val="24"/>
          <w:lang w:val="en-GB"/>
        </w:rPr>
        <w:t>ical:</w:t>
      </w:r>
      <w:r w:rsidRPr="001351D4">
        <w:rPr>
          <w:rFonts w:eastAsia="Calibri" w:cs="Times New Roman"/>
          <w:b w:val="0"/>
          <w:bCs/>
          <w:szCs w:val="24"/>
          <w:lang w:val="en-GB"/>
        </w:rPr>
        <w:t xml:space="preserve"> Condens</w:t>
      </w:r>
      <w:r>
        <w:rPr>
          <w:rFonts w:eastAsia="Calibri" w:cs="Times New Roman"/>
          <w:b w:val="0"/>
          <w:bCs/>
          <w:szCs w:val="24"/>
          <w:lang w:val="en-GB"/>
        </w:rPr>
        <w:t>e</w:t>
      </w:r>
      <w:r w:rsidRPr="001351D4">
        <w:rPr>
          <w:rFonts w:eastAsia="Calibri" w:cs="Times New Roman"/>
          <w:b w:val="0"/>
          <w:bCs/>
          <w:szCs w:val="24"/>
          <w:lang w:val="en-GB"/>
        </w:rPr>
        <w:t xml:space="preserve"> Matter</w:t>
      </w:r>
      <w:r>
        <w:rPr>
          <w:rFonts w:eastAsia="Calibri" w:cs="Times New Roman"/>
          <w:b w:val="0"/>
          <w:bCs/>
          <w:szCs w:val="24"/>
          <w:lang w:val="en-GB"/>
        </w:rPr>
        <w:t>.</w:t>
      </w:r>
      <w:r w:rsidRPr="001351D4">
        <w:rPr>
          <w:rFonts w:eastAsia="Calibri" w:cs="Times New Roman"/>
          <w:b w:val="0"/>
          <w:bCs/>
          <w:szCs w:val="24"/>
          <w:lang w:val="en-GB"/>
        </w:rPr>
        <w:t xml:space="preserve"> 20</w:t>
      </w:r>
      <w:r>
        <w:rPr>
          <w:rFonts w:eastAsia="Calibri" w:cs="Times New Roman"/>
          <w:b w:val="0"/>
          <w:bCs/>
          <w:szCs w:val="24"/>
          <w:lang w:val="en-GB"/>
        </w:rPr>
        <w:t xml:space="preserve"> (7). </w:t>
      </w:r>
    </w:p>
    <w:p w14:paraId="69EC9BC0"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lastRenderedPageBreak/>
        <w:t>Smedskjaer</w:t>
      </w:r>
      <w:proofErr w:type="spellEnd"/>
      <w:r w:rsidRPr="000E2377">
        <w:rPr>
          <w:rFonts w:eastAsia="Calibri" w:cs="Times New Roman"/>
          <w:b w:val="0"/>
          <w:bCs/>
          <w:szCs w:val="24"/>
          <w:lang w:val="en-GB"/>
        </w:rPr>
        <w:t xml:space="preserve">, M. M., Jensen, M., &amp; Yue, Y. (2010). Effect of thermal history and chemical composition on hardness of silicate glasses. Journal of Non-Crystalline Solids, 356(18–19), 893–897. </w:t>
      </w:r>
    </w:p>
    <w:p w14:paraId="351FF1D0"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Smedskjaer</w:t>
      </w:r>
      <w:proofErr w:type="spellEnd"/>
      <w:r w:rsidRPr="000E2377">
        <w:rPr>
          <w:rFonts w:eastAsia="Calibri" w:cs="Times New Roman"/>
          <w:b w:val="0"/>
          <w:bCs/>
          <w:szCs w:val="24"/>
          <w:lang w:val="en-GB"/>
        </w:rPr>
        <w:t xml:space="preserve">, M. M., Mauro, J. C., Kjeldsen, J., &amp; Yue, Y. (2013). Microscopic origins of compositional trends in aluminosilicate Glass, 1443, 1436–1443. </w:t>
      </w:r>
    </w:p>
    <w:p w14:paraId="258C915B"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Smedskjaer</w:t>
      </w:r>
      <w:proofErr w:type="spellEnd"/>
      <w:r w:rsidRPr="000E2377">
        <w:rPr>
          <w:rFonts w:eastAsia="Calibri" w:cs="Times New Roman"/>
          <w:b w:val="0"/>
          <w:bCs/>
          <w:szCs w:val="24"/>
          <w:lang w:val="en-GB"/>
        </w:rPr>
        <w:t xml:space="preserve">, M. M., Mauro, J. C., Youngman, R. E., Hogue, C. L., </w:t>
      </w:r>
      <w:proofErr w:type="spellStart"/>
      <w:r w:rsidRPr="000E2377">
        <w:rPr>
          <w:rFonts w:eastAsia="Calibri" w:cs="Times New Roman"/>
          <w:b w:val="0"/>
          <w:bCs/>
          <w:szCs w:val="24"/>
          <w:lang w:val="en-GB"/>
        </w:rPr>
        <w:t>Potuzak</w:t>
      </w:r>
      <w:proofErr w:type="spellEnd"/>
      <w:r w:rsidRPr="000E2377">
        <w:rPr>
          <w:rFonts w:eastAsia="Calibri" w:cs="Times New Roman"/>
          <w:b w:val="0"/>
          <w:bCs/>
          <w:szCs w:val="24"/>
          <w:lang w:val="en-GB"/>
        </w:rPr>
        <w:t xml:space="preserve">, M., &amp; Yue, Y. (2011). Topological principles of borosilicate glass chemistry. The Journal of Physical Chemistry. B, 115(44), 12930–46. </w:t>
      </w:r>
    </w:p>
    <w:p w14:paraId="1CB10CE7"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Smedskjaer</w:t>
      </w:r>
      <w:proofErr w:type="spellEnd"/>
      <w:r w:rsidRPr="000E2377">
        <w:rPr>
          <w:rFonts w:eastAsia="Calibri" w:cs="Times New Roman"/>
          <w:b w:val="0"/>
          <w:bCs/>
          <w:szCs w:val="24"/>
          <w:lang w:val="en-GB"/>
        </w:rPr>
        <w:t xml:space="preserve">, M. M., &amp; </w:t>
      </w:r>
      <w:proofErr w:type="spellStart"/>
      <w:r w:rsidRPr="000E2377">
        <w:rPr>
          <w:rFonts w:eastAsia="Calibri" w:cs="Times New Roman"/>
          <w:b w:val="0"/>
          <w:bCs/>
          <w:szCs w:val="24"/>
          <w:lang w:val="en-GB"/>
        </w:rPr>
        <w:t>Potuzak</w:t>
      </w:r>
      <w:proofErr w:type="spellEnd"/>
      <w:r w:rsidRPr="000E2377">
        <w:rPr>
          <w:rFonts w:eastAsia="Calibri" w:cs="Times New Roman"/>
          <w:b w:val="0"/>
          <w:bCs/>
          <w:szCs w:val="24"/>
          <w:lang w:val="en-GB"/>
        </w:rPr>
        <w:t xml:space="preserve">, M. (2013). Viscosity and fragility of alkaline-earth sodium boroaluminosilicate liquids. Journal of the American Ceramic Society, 96(9), 2831–2838. </w:t>
      </w:r>
    </w:p>
    <w:p w14:paraId="4F48C046"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Smedskjaer</w:t>
      </w:r>
      <w:proofErr w:type="spellEnd"/>
      <w:r w:rsidRPr="000E2377">
        <w:rPr>
          <w:rFonts w:eastAsia="Calibri" w:cs="Times New Roman"/>
          <w:b w:val="0"/>
          <w:bCs/>
          <w:szCs w:val="24"/>
          <w:lang w:val="en-GB"/>
        </w:rPr>
        <w:t xml:space="preserve">, Youngman, R. E., &amp; Mauro, J. C. (2013). Impact of </w:t>
      </w:r>
      <w:proofErr w:type="spellStart"/>
      <w:r w:rsidRPr="000E2377">
        <w:rPr>
          <w:rFonts w:eastAsia="Calibri" w:cs="Times New Roman"/>
          <w:b w:val="0"/>
          <w:bCs/>
          <w:szCs w:val="24"/>
          <w:lang w:val="en-GB"/>
        </w:rPr>
        <w:t>ZnO</w:t>
      </w:r>
      <w:proofErr w:type="spellEnd"/>
      <w:r w:rsidRPr="000E2377">
        <w:rPr>
          <w:rFonts w:eastAsia="Calibri" w:cs="Times New Roman"/>
          <w:b w:val="0"/>
          <w:bCs/>
          <w:szCs w:val="24"/>
          <w:lang w:val="en-GB"/>
        </w:rPr>
        <w:t xml:space="preserve"> on the structure and properties of sodium aluminosilicate glasses: Comparison with alkaline earth oxides. Journal of Non-Crystalline Solids, 381, 58–64. </w:t>
      </w:r>
    </w:p>
    <w:p w14:paraId="35052CC6"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Sreeram</w:t>
      </w:r>
      <w:proofErr w:type="spellEnd"/>
      <w:r w:rsidRPr="000E2377">
        <w:rPr>
          <w:rFonts w:eastAsia="Calibri" w:cs="Times New Roman"/>
          <w:b w:val="0"/>
          <w:bCs/>
          <w:szCs w:val="24"/>
          <w:lang w:val="en-GB"/>
        </w:rPr>
        <w:t xml:space="preserve">,  a. N., </w:t>
      </w:r>
      <w:proofErr w:type="spellStart"/>
      <w:r w:rsidRPr="000E2377">
        <w:rPr>
          <w:rFonts w:eastAsia="Calibri" w:cs="Times New Roman"/>
          <w:b w:val="0"/>
          <w:bCs/>
          <w:szCs w:val="24"/>
          <w:lang w:val="en-GB"/>
        </w:rPr>
        <w:t>Varshneya</w:t>
      </w:r>
      <w:proofErr w:type="spellEnd"/>
      <w:r w:rsidRPr="000E2377">
        <w:rPr>
          <w:rFonts w:eastAsia="Calibri" w:cs="Times New Roman"/>
          <w:b w:val="0"/>
          <w:bCs/>
          <w:szCs w:val="24"/>
          <w:lang w:val="en-GB"/>
        </w:rPr>
        <w:t xml:space="preserve">,  a. K., &amp; </w:t>
      </w:r>
      <w:proofErr w:type="spellStart"/>
      <w:r w:rsidRPr="000E2377">
        <w:rPr>
          <w:rFonts w:eastAsia="Calibri" w:cs="Times New Roman"/>
          <w:b w:val="0"/>
          <w:bCs/>
          <w:szCs w:val="24"/>
          <w:lang w:val="en-GB"/>
        </w:rPr>
        <w:t>Swiler</w:t>
      </w:r>
      <w:proofErr w:type="spellEnd"/>
      <w:r w:rsidRPr="000E2377">
        <w:rPr>
          <w:rFonts w:eastAsia="Calibri" w:cs="Times New Roman"/>
          <w:b w:val="0"/>
          <w:bCs/>
          <w:szCs w:val="24"/>
          <w:lang w:val="en-GB"/>
        </w:rPr>
        <w:t xml:space="preserve">, D. R. (1991). Molar volume and elastic properties of multicomponent chalcogenide glasses. Journal of Non-Crystalline Solids, 128(3), 294–309. </w:t>
      </w:r>
    </w:p>
    <w:p w14:paraId="22937EA0"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Stebbins, J. F., Dubinsky, E. V., </w:t>
      </w:r>
      <w:proofErr w:type="spellStart"/>
      <w:r w:rsidRPr="000E2377">
        <w:rPr>
          <w:rFonts w:eastAsia="Calibri" w:cs="Times New Roman"/>
          <w:b w:val="0"/>
          <w:bCs/>
          <w:szCs w:val="24"/>
          <w:lang w:val="en-GB"/>
        </w:rPr>
        <w:t>Kanehashi</w:t>
      </w:r>
      <w:proofErr w:type="spellEnd"/>
      <w:r w:rsidRPr="000E2377">
        <w:rPr>
          <w:rFonts w:eastAsia="Calibri" w:cs="Times New Roman"/>
          <w:b w:val="0"/>
          <w:bCs/>
          <w:szCs w:val="24"/>
          <w:lang w:val="en-GB"/>
        </w:rPr>
        <w:t xml:space="preserve">, K., &amp; Kelsey, K. E. (2008). Temperature effects on non-bridging oxygen and aluminum coordination number in calcium aluminosilicate glasses and melts. </w:t>
      </w:r>
      <w:proofErr w:type="spellStart"/>
      <w:r w:rsidRPr="000E2377">
        <w:rPr>
          <w:rFonts w:eastAsia="Calibri" w:cs="Times New Roman"/>
          <w:b w:val="0"/>
          <w:bCs/>
          <w:szCs w:val="24"/>
          <w:lang w:val="en-GB"/>
        </w:rPr>
        <w:t>Geochimica</w:t>
      </w:r>
      <w:proofErr w:type="spellEnd"/>
      <w:r w:rsidRPr="000E2377">
        <w:rPr>
          <w:rFonts w:eastAsia="Calibri" w:cs="Times New Roman"/>
          <w:b w:val="0"/>
          <w:bCs/>
          <w:szCs w:val="24"/>
          <w:lang w:val="en-GB"/>
        </w:rPr>
        <w:t xml:space="preserve"> et </w:t>
      </w:r>
      <w:proofErr w:type="spellStart"/>
      <w:r w:rsidRPr="000E2377">
        <w:rPr>
          <w:rFonts w:eastAsia="Calibri" w:cs="Times New Roman"/>
          <w:b w:val="0"/>
          <w:bCs/>
          <w:szCs w:val="24"/>
          <w:lang w:val="en-GB"/>
        </w:rPr>
        <w:t>Cosmochimica</w:t>
      </w:r>
      <w:proofErr w:type="spellEnd"/>
      <w:r w:rsidRPr="000E2377">
        <w:rPr>
          <w:rFonts w:eastAsia="Calibri" w:cs="Times New Roman"/>
          <w:b w:val="0"/>
          <w:bCs/>
          <w:szCs w:val="24"/>
          <w:lang w:val="en-GB"/>
        </w:rPr>
        <w:t xml:space="preserve"> Acta, 72(3), 910–925. </w:t>
      </w:r>
    </w:p>
    <w:p w14:paraId="0F6D79AC" w14:textId="77777777" w:rsidR="008255F9"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Striepe</w:t>
      </w:r>
      <w:proofErr w:type="spellEnd"/>
      <w:r w:rsidRPr="000E2377">
        <w:rPr>
          <w:rFonts w:eastAsia="Calibri" w:cs="Times New Roman"/>
          <w:b w:val="0"/>
          <w:bCs/>
          <w:szCs w:val="24"/>
          <w:lang w:val="en-GB"/>
        </w:rPr>
        <w:t xml:space="preserve">, S., </w:t>
      </w:r>
      <w:proofErr w:type="spellStart"/>
      <w:r w:rsidRPr="000E2377">
        <w:rPr>
          <w:rFonts w:eastAsia="Calibri" w:cs="Times New Roman"/>
          <w:b w:val="0"/>
          <w:bCs/>
          <w:szCs w:val="24"/>
          <w:lang w:val="en-GB"/>
        </w:rPr>
        <w:t>Smedskjaer</w:t>
      </w:r>
      <w:proofErr w:type="spellEnd"/>
      <w:r w:rsidRPr="000E2377">
        <w:rPr>
          <w:rFonts w:eastAsia="Calibri" w:cs="Times New Roman"/>
          <w:b w:val="0"/>
          <w:bCs/>
          <w:szCs w:val="24"/>
          <w:lang w:val="en-GB"/>
        </w:rPr>
        <w:t xml:space="preserve">, M. M., </w:t>
      </w:r>
      <w:proofErr w:type="spellStart"/>
      <w:r w:rsidRPr="000E2377">
        <w:rPr>
          <w:rFonts w:eastAsia="Calibri" w:cs="Times New Roman"/>
          <w:b w:val="0"/>
          <w:bCs/>
          <w:szCs w:val="24"/>
          <w:lang w:val="en-GB"/>
        </w:rPr>
        <w:t>Deubener</w:t>
      </w:r>
      <w:proofErr w:type="spellEnd"/>
      <w:r w:rsidRPr="000E2377">
        <w:rPr>
          <w:rFonts w:eastAsia="Calibri" w:cs="Times New Roman"/>
          <w:b w:val="0"/>
          <w:bCs/>
          <w:szCs w:val="24"/>
          <w:lang w:val="en-GB"/>
        </w:rPr>
        <w:t xml:space="preserve">, J., Bauer, U., Behrens, H., </w:t>
      </w:r>
      <w:proofErr w:type="spellStart"/>
      <w:r w:rsidRPr="000E2377">
        <w:rPr>
          <w:rFonts w:eastAsia="Calibri" w:cs="Times New Roman"/>
          <w:b w:val="0"/>
          <w:bCs/>
          <w:szCs w:val="24"/>
          <w:lang w:val="en-GB"/>
        </w:rPr>
        <w:t>Potuzak</w:t>
      </w:r>
      <w:proofErr w:type="spellEnd"/>
      <w:r w:rsidRPr="000E2377">
        <w:rPr>
          <w:rFonts w:eastAsia="Calibri" w:cs="Times New Roman"/>
          <w:b w:val="0"/>
          <w:bCs/>
          <w:szCs w:val="24"/>
          <w:lang w:val="en-GB"/>
        </w:rPr>
        <w:t xml:space="preserve">, M., Yue, Y. (2013). Elastic and micromechanical properties of </w:t>
      </w:r>
      <w:proofErr w:type="spellStart"/>
      <w:r w:rsidRPr="000E2377">
        <w:rPr>
          <w:rFonts w:eastAsia="Calibri" w:cs="Times New Roman"/>
          <w:b w:val="0"/>
          <w:bCs/>
          <w:szCs w:val="24"/>
          <w:lang w:val="en-GB"/>
        </w:rPr>
        <w:t>isostatically</w:t>
      </w:r>
      <w:proofErr w:type="spellEnd"/>
      <w:r w:rsidRPr="000E2377">
        <w:rPr>
          <w:rFonts w:eastAsia="Calibri" w:cs="Times New Roman"/>
          <w:b w:val="0"/>
          <w:bCs/>
          <w:szCs w:val="24"/>
          <w:lang w:val="en-GB"/>
        </w:rPr>
        <w:t xml:space="preserve"> compressed soda–lime–borate glasses. Journal of Non-Crystalline Solids, 364, 44–52. </w:t>
      </w:r>
    </w:p>
    <w:p w14:paraId="75E18224" w14:textId="77777777" w:rsidR="008255F9" w:rsidRPr="005332D0" w:rsidRDefault="008255F9" w:rsidP="008255F9">
      <w:pPr>
        <w:jc w:val="both"/>
        <w:rPr>
          <w:b w:val="0"/>
        </w:rPr>
      </w:pPr>
      <w:proofErr w:type="spellStart"/>
      <w:r w:rsidRPr="005332D0">
        <w:rPr>
          <w:b w:val="0"/>
        </w:rPr>
        <w:t>Striepe</w:t>
      </w:r>
      <w:proofErr w:type="spellEnd"/>
      <w:r w:rsidRPr="005332D0">
        <w:rPr>
          <w:b w:val="0"/>
        </w:rPr>
        <w:t xml:space="preserve">, S., </w:t>
      </w:r>
      <w:proofErr w:type="spellStart"/>
      <w:r w:rsidRPr="005332D0">
        <w:rPr>
          <w:b w:val="0"/>
        </w:rPr>
        <w:t>Deubener</w:t>
      </w:r>
      <w:proofErr w:type="spellEnd"/>
      <w:r w:rsidRPr="005332D0">
        <w:rPr>
          <w:b w:val="0"/>
        </w:rPr>
        <w:t>, J., (2013). Effect of lithium-to-magnesium ratio in metaphosphate glasses on crack-tip condensation and sub-critical crack growth. Journal of Non Crystalline Solids, 375, 47–54.</w:t>
      </w:r>
    </w:p>
    <w:p w14:paraId="674A83EE" w14:textId="77777777" w:rsidR="008255F9"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Sudarsan</w:t>
      </w:r>
      <w:proofErr w:type="spellEnd"/>
      <w:r w:rsidRPr="000E2377">
        <w:rPr>
          <w:rFonts w:eastAsia="Calibri" w:cs="Times New Roman"/>
          <w:b w:val="0"/>
          <w:bCs/>
          <w:szCs w:val="24"/>
          <w:lang w:val="en-GB"/>
        </w:rPr>
        <w:t xml:space="preserve">, V., </w:t>
      </w:r>
      <w:proofErr w:type="spellStart"/>
      <w:r w:rsidRPr="000E2377">
        <w:rPr>
          <w:rFonts w:eastAsia="Calibri" w:cs="Times New Roman"/>
          <w:b w:val="0"/>
          <w:bCs/>
          <w:szCs w:val="24"/>
          <w:lang w:val="en-GB"/>
        </w:rPr>
        <w:t>Shrikhande</w:t>
      </w:r>
      <w:proofErr w:type="spellEnd"/>
      <w:r w:rsidRPr="000E2377">
        <w:rPr>
          <w:rFonts w:eastAsia="Calibri" w:cs="Times New Roman"/>
          <w:b w:val="0"/>
          <w:bCs/>
          <w:szCs w:val="24"/>
          <w:lang w:val="en-GB"/>
        </w:rPr>
        <w:t xml:space="preserve">, V., </w:t>
      </w:r>
      <w:proofErr w:type="spellStart"/>
      <w:r w:rsidRPr="000E2377">
        <w:rPr>
          <w:rFonts w:eastAsia="Calibri" w:cs="Times New Roman"/>
          <w:b w:val="0"/>
          <w:bCs/>
          <w:szCs w:val="24"/>
          <w:lang w:val="en-GB"/>
        </w:rPr>
        <w:t>Kothiyal</w:t>
      </w:r>
      <w:proofErr w:type="spellEnd"/>
      <w:r w:rsidRPr="000E2377">
        <w:rPr>
          <w:rFonts w:eastAsia="Calibri" w:cs="Times New Roman"/>
          <w:b w:val="0"/>
          <w:bCs/>
          <w:szCs w:val="24"/>
          <w:lang w:val="en-GB"/>
        </w:rPr>
        <w:t xml:space="preserve">, G. P., &amp; </w:t>
      </w:r>
      <w:proofErr w:type="spellStart"/>
      <w:r w:rsidRPr="000E2377">
        <w:rPr>
          <w:rFonts w:eastAsia="Calibri" w:cs="Times New Roman"/>
          <w:b w:val="0"/>
          <w:bCs/>
          <w:szCs w:val="24"/>
          <w:lang w:val="en-GB"/>
        </w:rPr>
        <w:t>Kulshreshtha</w:t>
      </w:r>
      <w:proofErr w:type="spellEnd"/>
      <w:r w:rsidRPr="000E2377">
        <w:rPr>
          <w:rFonts w:eastAsia="Calibri" w:cs="Times New Roman"/>
          <w:b w:val="0"/>
          <w:bCs/>
          <w:szCs w:val="24"/>
          <w:lang w:val="en-GB"/>
        </w:rPr>
        <w:t>, K. (2002). Structural aspects of B2O3 -substituted (</w:t>
      </w:r>
      <w:proofErr w:type="spellStart"/>
      <w:r w:rsidRPr="000E2377">
        <w:rPr>
          <w:rFonts w:eastAsia="Calibri" w:cs="Times New Roman"/>
          <w:b w:val="0"/>
          <w:bCs/>
          <w:szCs w:val="24"/>
          <w:lang w:val="en-GB"/>
        </w:rPr>
        <w:t>PbO</w:t>
      </w:r>
      <w:proofErr w:type="spellEnd"/>
      <w:r w:rsidRPr="000E2377">
        <w:rPr>
          <w:rFonts w:eastAsia="Calibri" w:cs="Times New Roman"/>
          <w:b w:val="0"/>
          <w:bCs/>
          <w:szCs w:val="24"/>
          <w:lang w:val="en-GB"/>
        </w:rPr>
        <w:t>)0.5(SiO2)0.5 glasses. Journal of. Physics: Condensed Matter, 14, 6553–6565.</w:t>
      </w:r>
    </w:p>
    <w:p w14:paraId="30B42E2F" w14:textId="77777777" w:rsidR="008255F9" w:rsidRPr="00EC311A" w:rsidRDefault="008255F9" w:rsidP="008255F9">
      <w:pPr>
        <w:spacing w:line="240" w:lineRule="auto"/>
        <w:jc w:val="both"/>
        <w:rPr>
          <w:rFonts w:eastAsia="Calibri" w:cs="Times New Roman"/>
          <w:b w:val="0"/>
          <w:bCs/>
          <w:szCs w:val="24"/>
          <w:lang w:val="en-GB"/>
        </w:rPr>
      </w:pPr>
      <w:r w:rsidRPr="00EC311A">
        <w:rPr>
          <w:b w:val="0"/>
        </w:rPr>
        <w:t>Sun, T., Xiao, H. W. Guo, W., &amp; Hong X. (2010). Effect of Al</w:t>
      </w:r>
      <w:r w:rsidRPr="00EC311A">
        <w:rPr>
          <w:b w:val="0"/>
          <w:vertAlign w:val="subscript"/>
        </w:rPr>
        <w:t>2</w:t>
      </w:r>
      <w:r w:rsidRPr="00EC311A">
        <w:rPr>
          <w:b w:val="0"/>
        </w:rPr>
        <w:t>O</w:t>
      </w:r>
      <w:r w:rsidRPr="00EC311A">
        <w:rPr>
          <w:b w:val="0"/>
          <w:vertAlign w:val="subscript"/>
        </w:rPr>
        <w:t>3</w:t>
      </w:r>
      <w:r w:rsidRPr="00EC311A">
        <w:rPr>
          <w:b w:val="0"/>
        </w:rPr>
        <w:t xml:space="preserve"> content on </w:t>
      </w:r>
      <w:proofErr w:type="spellStart"/>
      <w:r w:rsidRPr="00EC311A">
        <w:rPr>
          <w:b w:val="0"/>
        </w:rPr>
        <w:t>BaO</w:t>
      </w:r>
      <w:proofErr w:type="spellEnd"/>
      <w:r w:rsidRPr="00EC311A">
        <w:rPr>
          <w:b w:val="0"/>
        </w:rPr>
        <w:t>–Al</w:t>
      </w:r>
      <w:r w:rsidRPr="00EC311A">
        <w:rPr>
          <w:b w:val="0"/>
          <w:vertAlign w:val="subscript"/>
        </w:rPr>
        <w:t>2</w:t>
      </w:r>
      <w:r w:rsidRPr="00EC311A">
        <w:rPr>
          <w:b w:val="0"/>
        </w:rPr>
        <w:t>O</w:t>
      </w:r>
      <w:r w:rsidRPr="00EC311A">
        <w:rPr>
          <w:b w:val="0"/>
          <w:vertAlign w:val="subscript"/>
        </w:rPr>
        <w:t>3</w:t>
      </w:r>
      <w:r w:rsidRPr="00EC311A">
        <w:rPr>
          <w:b w:val="0"/>
        </w:rPr>
        <w:t>–B</w:t>
      </w:r>
      <w:r w:rsidRPr="00EC311A">
        <w:rPr>
          <w:b w:val="0"/>
          <w:vertAlign w:val="subscript"/>
        </w:rPr>
        <w:t>2</w:t>
      </w:r>
      <w:r w:rsidRPr="00EC311A">
        <w:rPr>
          <w:b w:val="0"/>
        </w:rPr>
        <w:t>O</w:t>
      </w:r>
      <w:r w:rsidRPr="00EC311A">
        <w:rPr>
          <w:b w:val="0"/>
          <w:vertAlign w:val="subscript"/>
        </w:rPr>
        <w:t>3</w:t>
      </w:r>
      <w:r w:rsidRPr="00EC311A">
        <w:rPr>
          <w:b w:val="0"/>
        </w:rPr>
        <w:t>–SiO</w:t>
      </w:r>
      <w:r w:rsidRPr="00EC311A">
        <w:rPr>
          <w:b w:val="0"/>
          <w:vertAlign w:val="subscript"/>
        </w:rPr>
        <w:t>2</w:t>
      </w:r>
      <w:r w:rsidRPr="00EC311A">
        <w:rPr>
          <w:b w:val="0"/>
        </w:rPr>
        <w:t xml:space="preserve"> glass sealant for solid oxide fuel cell. Ceramics International, 36 (2), 821-826.</w:t>
      </w:r>
    </w:p>
    <w:p w14:paraId="0B5C8A0F"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Taylor W R. (1990). Application of infrared spectroscopy to studies of silicate glass structure: Examples from the melilite glasses and the systems Na</w:t>
      </w:r>
      <w:r w:rsidRPr="005805E7">
        <w:rPr>
          <w:rFonts w:eastAsia="Calibri" w:cs="Times New Roman"/>
          <w:b w:val="0"/>
          <w:bCs/>
          <w:szCs w:val="24"/>
          <w:vertAlign w:val="subscript"/>
          <w:lang w:val="en-GB"/>
        </w:rPr>
        <w:t>2</w:t>
      </w:r>
      <w:r w:rsidRPr="000E2377">
        <w:rPr>
          <w:rFonts w:eastAsia="Calibri" w:cs="Times New Roman"/>
          <w:b w:val="0"/>
          <w:bCs/>
          <w:szCs w:val="24"/>
          <w:lang w:val="en-GB"/>
        </w:rPr>
        <w:t>O-SiO</w:t>
      </w:r>
      <w:r w:rsidRPr="005805E7">
        <w:rPr>
          <w:rFonts w:eastAsia="Calibri" w:cs="Times New Roman"/>
          <w:b w:val="0"/>
          <w:bCs/>
          <w:szCs w:val="24"/>
          <w:vertAlign w:val="subscript"/>
          <w:lang w:val="en-GB"/>
        </w:rPr>
        <w:t>2</w:t>
      </w:r>
      <w:r w:rsidRPr="000E2377">
        <w:rPr>
          <w:rFonts w:eastAsia="Calibri" w:cs="Times New Roman"/>
          <w:b w:val="0"/>
          <w:bCs/>
          <w:szCs w:val="24"/>
          <w:lang w:val="en-GB"/>
        </w:rPr>
        <w:t>- and Na</w:t>
      </w:r>
      <w:r w:rsidRPr="003E5DF1">
        <w:rPr>
          <w:rFonts w:eastAsia="Calibri" w:cs="Times New Roman"/>
          <w:b w:val="0"/>
          <w:bCs/>
          <w:szCs w:val="24"/>
          <w:vertAlign w:val="subscript"/>
          <w:lang w:val="en-GB"/>
        </w:rPr>
        <w:t>2</w:t>
      </w:r>
      <w:r w:rsidRPr="000E2377">
        <w:rPr>
          <w:rFonts w:eastAsia="Calibri" w:cs="Times New Roman"/>
          <w:b w:val="0"/>
          <w:bCs/>
          <w:szCs w:val="24"/>
          <w:lang w:val="en-GB"/>
        </w:rPr>
        <w:t>O-Al</w:t>
      </w:r>
      <w:r w:rsidRPr="003E5DF1">
        <w:rPr>
          <w:rFonts w:eastAsia="Calibri" w:cs="Times New Roman"/>
          <w:b w:val="0"/>
          <w:bCs/>
          <w:szCs w:val="24"/>
          <w:vertAlign w:val="subscript"/>
          <w:lang w:val="en-GB"/>
        </w:rPr>
        <w:t>2</w:t>
      </w:r>
      <w:r w:rsidRPr="000E2377">
        <w:rPr>
          <w:rFonts w:eastAsia="Calibri" w:cs="Times New Roman"/>
          <w:b w:val="0"/>
          <w:bCs/>
          <w:szCs w:val="24"/>
          <w:lang w:val="en-GB"/>
        </w:rPr>
        <w:t>O</w:t>
      </w:r>
      <w:r w:rsidRPr="003E5DF1">
        <w:rPr>
          <w:rFonts w:eastAsia="Calibri" w:cs="Times New Roman"/>
          <w:b w:val="0"/>
          <w:bCs/>
          <w:szCs w:val="24"/>
          <w:vertAlign w:val="subscript"/>
          <w:lang w:val="en-GB"/>
        </w:rPr>
        <w:t>3</w:t>
      </w:r>
      <w:r w:rsidRPr="000E2377">
        <w:rPr>
          <w:rFonts w:eastAsia="Calibri" w:cs="Times New Roman"/>
          <w:b w:val="0"/>
          <w:bCs/>
          <w:szCs w:val="24"/>
          <w:lang w:val="en-GB"/>
        </w:rPr>
        <w:t>-SiO</w:t>
      </w:r>
      <w:r w:rsidRPr="003E5DF1">
        <w:rPr>
          <w:rFonts w:eastAsia="Calibri" w:cs="Times New Roman"/>
          <w:b w:val="0"/>
          <w:bCs/>
          <w:szCs w:val="24"/>
          <w:vertAlign w:val="subscript"/>
          <w:lang w:val="en-GB"/>
        </w:rPr>
        <w:t>2</w:t>
      </w:r>
      <w:r w:rsidRPr="000E2377">
        <w:rPr>
          <w:rFonts w:eastAsia="Calibri" w:cs="Times New Roman"/>
          <w:b w:val="0"/>
          <w:bCs/>
          <w:szCs w:val="24"/>
          <w:lang w:val="en-GB"/>
        </w:rPr>
        <w:t>. Proceeding Indian Academic Science (Earth Planet Science), 99, 99-117.</w:t>
      </w:r>
    </w:p>
    <w:p w14:paraId="782911C6"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Tiegel</w:t>
      </w:r>
      <w:proofErr w:type="spellEnd"/>
      <w:r w:rsidRPr="000E2377">
        <w:rPr>
          <w:rFonts w:eastAsia="Calibri" w:cs="Times New Roman"/>
          <w:b w:val="0"/>
          <w:bCs/>
          <w:szCs w:val="24"/>
          <w:lang w:val="en-GB"/>
        </w:rPr>
        <w:t xml:space="preserve">, M., </w:t>
      </w:r>
      <w:proofErr w:type="spellStart"/>
      <w:r w:rsidRPr="000E2377">
        <w:rPr>
          <w:rFonts w:eastAsia="Calibri" w:cs="Times New Roman"/>
          <w:b w:val="0"/>
          <w:bCs/>
          <w:szCs w:val="24"/>
          <w:lang w:val="en-GB"/>
        </w:rPr>
        <w:t>Hosseinabhadi</w:t>
      </w:r>
      <w:proofErr w:type="spellEnd"/>
      <w:r w:rsidRPr="000E2377">
        <w:rPr>
          <w:rFonts w:eastAsia="Calibri" w:cs="Times New Roman"/>
          <w:b w:val="0"/>
          <w:bCs/>
          <w:szCs w:val="24"/>
          <w:lang w:val="en-GB"/>
        </w:rPr>
        <w:t xml:space="preserve">, R., Kuhn, S., Herrmann, A., &amp; </w:t>
      </w:r>
      <w:proofErr w:type="spellStart"/>
      <w:r w:rsidRPr="000E2377">
        <w:rPr>
          <w:rFonts w:eastAsia="Calibri" w:cs="Times New Roman"/>
          <w:b w:val="0"/>
          <w:bCs/>
          <w:szCs w:val="24"/>
          <w:lang w:val="en-GB"/>
        </w:rPr>
        <w:t>Rüssel</w:t>
      </w:r>
      <w:proofErr w:type="spellEnd"/>
      <w:r w:rsidRPr="000E2377">
        <w:rPr>
          <w:rFonts w:eastAsia="Calibri" w:cs="Times New Roman"/>
          <w:b w:val="0"/>
          <w:bCs/>
          <w:szCs w:val="24"/>
          <w:lang w:val="en-GB"/>
        </w:rPr>
        <w:t xml:space="preserve">, C. (2015). </w:t>
      </w:r>
      <w:proofErr w:type="spellStart"/>
      <w:r w:rsidRPr="000E2377">
        <w:rPr>
          <w:rFonts w:eastAsia="Calibri" w:cs="Times New Roman"/>
          <w:b w:val="0"/>
          <w:bCs/>
          <w:szCs w:val="24"/>
          <w:lang w:val="en-GB"/>
        </w:rPr>
        <w:t>Young׳s</w:t>
      </w:r>
      <w:proofErr w:type="spellEnd"/>
      <w:r w:rsidRPr="000E2377">
        <w:rPr>
          <w:rFonts w:eastAsia="Calibri" w:cs="Times New Roman"/>
          <w:b w:val="0"/>
          <w:bCs/>
          <w:szCs w:val="24"/>
          <w:lang w:val="en-GB"/>
        </w:rPr>
        <w:t xml:space="preserve"> modulus, Vickers hardness and indentation fracture toughness of alumino silicate glasses. Ceramics International, 41(6), 7267–7275. </w:t>
      </w:r>
    </w:p>
    <w:p w14:paraId="5A9BDF33"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Varshneya</w:t>
      </w:r>
      <w:proofErr w:type="spellEnd"/>
      <w:r w:rsidRPr="000E2377">
        <w:rPr>
          <w:rFonts w:eastAsia="Calibri" w:cs="Times New Roman"/>
          <w:b w:val="0"/>
          <w:bCs/>
          <w:szCs w:val="24"/>
          <w:lang w:val="en-GB"/>
        </w:rPr>
        <w:t>, A. K. (2006). Fundamentals of Inorganic Glasses.</w:t>
      </w:r>
    </w:p>
    <w:p w14:paraId="28CE948D"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Varshneya</w:t>
      </w:r>
      <w:proofErr w:type="spellEnd"/>
      <w:r w:rsidRPr="000E2377">
        <w:rPr>
          <w:rFonts w:eastAsia="Calibri" w:cs="Times New Roman"/>
          <w:b w:val="0"/>
          <w:bCs/>
          <w:szCs w:val="24"/>
          <w:lang w:val="en-GB"/>
        </w:rPr>
        <w:t xml:space="preserve">, A. K. (2010). Chemical </w:t>
      </w:r>
      <w:r>
        <w:rPr>
          <w:rFonts w:eastAsia="Calibri" w:cs="Times New Roman"/>
          <w:b w:val="0"/>
          <w:bCs/>
          <w:szCs w:val="24"/>
          <w:lang w:val="en-GB"/>
        </w:rPr>
        <w:t>s</w:t>
      </w:r>
      <w:r w:rsidRPr="000E2377">
        <w:rPr>
          <w:rFonts w:eastAsia="Calibri" w:cs="Times New Roman"/>
          <w:b w:val="0"/>
          <w:bCs/>
          <w:szCs w:val="24"/>
          <w:lang w:val="en-GB"/>
        </w:rPr>
        <w:t xml:space="preserve">trengthening of </w:t>
      </w:r>
      <w:r>
        <w:rPr>
          <w:rFonts w:eastAsia="Calibri" w:cs="Times New Roman"/>
          <w:b w:val="0"/>
          <w:bCs/>
          <w:szCs w:val="24"/>
          <w:lang w:val="en-GB"/>
        </w:rPr>
        <w:t>g</w:t>
      </w:r>
      <w:r w:rsidRPr="000E2377">
        <w:rPr>
          <w:rFonts w:eastAsia="Calibri" w:cs="Times New Roman"/>
          <w:b w:val="0"/>
          <w:bCs/>
          <w:szCs w:val="24"/>
          <w:lang w:val="en-GB"/>
        </w:rPr>
        <w:t xml:space="preserve">lass: Lessons </w:t>
      </w:r>
      <w:r>
        <w:rPr>
          <w:rFonts w:eastAsia="Calibri" w:cs="Times New Roman"/>
          <w:b w:val="0"/>
          <w:bCs/>
          <w:szCs w:val="24"/>
          <w:lang w:val="en-GB"/>
        </w:rPr>
        <w:t>l</w:t>
      </w:r>
      <w:r w:rsidRPr="000E2377">
        <w:rPr>
          <w:rFonts w:eastAsia="Calibri" w:cs="Times New Roman"/>
          <w:b w:val="0"/>
          <w:bCs/>
          <w:szCs w:val="24"/>
          <w:lang w:val="en-GB"/>
        </w:rPr>
        <w:t xml:space="preserve">earned and </w:t>
      </w:r>
      <w:r>
        <w:rPr>
          <w:rFonts w:eastAsia="Calibri" w:cs="Times New Roman"/>
          <w:b w:val="0"/>
          <w:bCs/>
          <w:szCs w:val="24"/>
          <w:lang w:val="en-GB"/>
        </w:rPr>
        <w:t>y</w:t>
      </w:r>
      <w:r w:rsidRPr="000E2377">
        <w:rPr>
          <w:rFonts w:eastAsia="Calibri" w:cs="Times New Roman"/>
          <w:b w:val="0"/>
          <w:bCs/>
          <w:szCs w:val="24"/>
          <w:lang w:val="en-GB"/>
        </w:rPr>
        <w:t xml:space="preserve">et </w:t>
      </w:r>
      <w:r>
        <w:rPr>
          <w:rFonts w:eastAsia="Calibri" w:cs="Times New Roman"/>
          <w:b w:val="0"/>
          <w:bCs/>
          <w:szCs w:val="24"/>
          <w:lang w:val="en-GB"/>
        </w:rPr>
        <w:t>t</w:t>
      </w:r>
      <w:r w:rsidRPr="000E2377">
        <w:rPr>
          <w:rFonts w:eastAsia="Calibri" w:cs="Times New Roman"/>
          <w:b w:val="0"/>
          <w:bCs/>
          <w:szCs w:val="24"/>
          <w:lang w:val="en-GB"/>
        </w:rPr>
        <w:t xml:space="preserve">o </w:t>
      </w:r>
      <w:r>
        <w:rPr>
          <w:rFonts w:eastAsia="Calibri" w:cs="Times New Roman"/>
          <w:b w:val="0"/>
          <w:bCs/>
          <w:szCs w:val="24"/>
          <w:lang w:val="en-GB"/>
        </w:rPr>
        <w:t>b</w:t>
      </w:r>
      <w:r w:rsidRPr="000E2377">
        <w:rPr>
          <w:rFonts w:eastAsia="Calibri" w:cs="Times New Roman"/>
          <w:b w:val="0"/>
          <w:bCs/>
          <w:szCs w:val="24"/>
          <w:lang w:val="en-GB"/>
        </w:rPr>
        <w:t xml:space="preserve">e </w:t>
      </w:r>
      <w:r>
        <w:rPr>
          <w:rFonts w:eastAsia="Calibri" w:cs="Times New Roman"/>
          <w:b w:val="0"/>
          <w:bCs/>
          <w:szCs w:val="24"/>
          <w:lang w:val="en-GB"/>
        </w:rPr>
        <w:t>l</w:t>
      </w:r>
      <w:r w:rsidRPr="000E2377">
        <w:rPr>
          <w:rFonts w:eastAsia="Calibri" w:cs="Times New Roman"/>
          <w:b w:val="0"/>
          <w:bCs/>
          <w:szCs w:val="24"/>
          <w:lang w:val="en-GB"/>
        </w:rPr>
        <w:t xml:space="preserve">earned. International Journal of Applied Glass Science, 1(2), 131–142. </w:t>
      </w:r>
    </w:p>
    <w:p w14:paraId="1825A3B7"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Varshneya</w:t>
      </w:r>
      <w:proofErr w:type="spellEnd"/>
      <w:r w:rsidRPr="000E2377">
        <w:rPr>
          <w:rFonts w:eastAsia="Calibri" w:cs="Times New Roman"/>
          <w:b w:val="0"/>
          <w:bCs/>
          <w:szCs w:val="24"/>
          <w:lang w:val="en-GB"/>
        </w:rPr>
        <w:t xml:space="preserve">, A. K. (2013). Fundamental of </w:t>
      </w:r>
      <w:r>
        <w:rPr>
          <w:rFonts w:eastAsia="Calibri" w:cs="Times New Roman"/>
          <w:b w:val="0"/>
          <w:bCs/>
          <w:szCs w:val="24"/>
          <w:lang w:val="en-GB"/>
        </w:rPr>
        <w:t>i</w:t>
      </w:r>
      <w:r w:rsidRPr="000E2377">
        <w:rPr>
          <w:rFonts w:eastAsia="Calibri" w:cs="Times New Roman"/>
          <w:b w:val="0"/>
          <w:bCs/>
          <w:szCs w:val="24"/>
          <w:lang w:val="en-GB"/>
        </w:rPr>
        <w:t xml:space="preserve">norganic </w:t>
      </w:r>
      <w:r>
        <w:rPr>
          <w:rFonts w:eastAsia="Calibri" w:cs="Times New Roman"/>
          <w:b w:val="0"/>
          <w:bCs/>
          <w:szCs w:val="24"/>
          <w:lang w:val="en-GB"/>
        </w:rPr>
        <w:t>g</w:t>
      </w:r>
      <w:r w:rsidRPr="000E2377">
        <w:rPr>
          <w:rFonts w:eastAsia="Calibri" w:cs="Times New Roman"/>
          <w:b w:val="0"/>
          <w:bCs/>
          <w:szCs w:val="24"/>
          <w:lang w:val="en-GB"/>
        </w:rPr>
        <w:t>lass. Society of Glass Technology.</w:t>
      </w:r>
    </w:p>
    <w:p w14:paraId="770669AF"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lastRenderedPageBreak/>
        <w:t>Vegiri</w:t>
      </w:r>
      <w:proofErr w:type="spellEnd"/>
      <w:r w:rsidRPr="000E2377">
        <w:rPr>
          <w:rFonts w:eastAsia="Calibri" w:cs="Times New Roman"/>
          <w:b w:val="0"/>
          <w:bCs/>
          <w:szCs w:val="24"/>
          <w:lang w:val="en-GB"/>
        </w:rPr>
        <w:t xml:space="preserve">, A., </w:t>
      </w:r>
      <w:proofErr w:type="spellStart"/>
      <w:r w:rsidRPr="000E2377">
        <w:rPr>
          <w:rFonts w:eastAsia="Calibri" w:cs="Times New Roman"/>
          <w:b w:val="0"/>
          <w:bCs/>
          <w:szCs w:val="24"/>
          <w:lang w:val="en-GB"/>
        </w:rPr>
        <w:t>Varsamis</w:t>
      </w:r>
      <w:proofErr w:type="spellEnd"/>
      <w:r w:rsidRPr="000E2377">
        <w:rPr>
          <w:rFonts w:eastAsia="Calibri" w:cs="Times New Roman"/>
          <w:b w:val="0"/>
          <w:bCs/>
          <w:szCs w:val="24"/>
          <w:lang w:val="en-GB"/>
        </w:rPr>
        <w:t xml:space="preserve">, C. P., &amp; </w:t>
      </w:r>
      <w:proofErr w:type="spellStart"/>
      <w:r w:rsidRPr="000E2377">
        <w:rPr>
          <w:rFonts w:eastAsia="Calibri" w:cs="Times New Roman"/>
          <w:b w:val="0"/>
          <w:bCs/>
          <w:szCs w:val="24"/>
          <w:lang w:val="en-GB"/>
        </w:rPr>
        <w:t>Kamitsos</w:t>
      </w:r>
      <w:proofErr w:type="spellEnd"/>
      <w:r w:rsidRPr="000E2377">
        <w:rPr>
          <w:rFonts w:eastAsia="Calibri" w:cs="Times New Roman"/>
          <w:b w:val="0"/>
          <w:bCs/>
          <w:szCs w:val="24"/>
          <w:lang w:val="en-GB"/>
        </w:rPr>
        <w:t xml:space="preserve">, E. (2009). Molecular dynamics investigation of mixed-alkali borate glasses: Short-range order structure and alkali-ion environments. Physical Review B, 80(18), 184202. </w:t>
      </w:r>
    </w:p>
    <w:p w14:paraId="4C116658"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Veit</w:t>
      </w:r>
      <w:proofErr w:type="spellEnd"/>
      <w:r w:rsidRPr="000E2377">
        <w:rPr>
          <w:rFonts w:eastAsia="Calibri" w:cs="Times New Roman"/>
          <w:b w:val="0"/>
          <w:bCs/>
          <w:szCs w:val="24"/>
          <w:lang w:val="en-GB"/>
        </w:rPr>
        <w:t xml:space="preserve">, U., &amp; </w:t>
      </w:r>
      <w:proofErr w:type="spellStart"/>
      <w:r w:rsidRPr="000E2377">
        <w:rPr>
          <w:rFonts w:eastAsia="Calibri" w:cs="Times New Roman"/>
          <w:b w:val="0"/>
          <w:bCs/>
          <w:szCs w:val="24"/>
          <w:lang w:val="en-GB"/>
        </w:rPr>
        <w:t>Rüssel</w:t>
      </w:r>
      <w:proofErr w:type="spellEnd"/>
      <w:r w:rsidRPr="000E2377">
        <w:rPr>
          <w:rFonts w:eastAsia="Calibri" w:cs="Times New Roman"/>
          <w:b w:val="0"/>
          <w:bCs/>
          <w:szCs w:val="24"/>
          <w:lang w:val="en-GB"/>
        </w:rPr>
        <w:t xml:space="preserve">, C. (2016). Density and Young’s Modulus of ternary glasses close to the eutectic composition in the CaO-Al2O3-SiO2-system. Ceramics International, 42(5), 5810–5822. </w:t>
      </w:r>
    </w:p>
    <w:p w14:paraId="52901CE7"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Wang, D. S., &amp; </w:t>
      </w:r>
      <w:proofErr w:type="spellStart"/>
      <w:r w:rsidRPr="000E2377">
        <w:rPr>
          <w:rFonts w:eastAsia="Calibri" w:cs="Times New Roman"/>
          <w:b w:val="0"/>
          <w:bCs/>
          <w:szCs w:val="24"/>
          <w:lang w:val="en-GB"/>
        </w:rPr>
        <w:t>Pantano</w:t>
      </w:r>
      <w:proofErr w:type="spellEnd"/>
      <w:r w:rsidRPr="000E2377">
        <w:rPr>
          <w:rFonts w:eastAsia="Calibri" w:cs="Times New Roman"/>
          <w:b w:val="0"/>
          <w:bCs/>
          <w:szCs w:val="24"/>
          <w:lang w:val="en-GB"/>
        </w:rPr>
        <w:t>, C. G. (1992). Structural characterization of CaO-B</w:t>
      </w:r>
      <w:r w:rsidRPr="00906CFB">
        <w:rPr>
          <w:rFonts w:eastAsia="Calibri" w:cs="Times New Roman"/>
          <w:b w:val="0"/>
          <w:bCs/>
          <w:szCs w:val="24"/>
          <w:vertAlign w:val="subscript"/>
          <w:lang w:val="en-GB"/>
        </w:rPr>
        <w:t>2</w:t>
      </w:r>
      <w:r w:rsidRPr="000E2377">
        <w:rPr>
          <w:rFonts w:eastAsia="Calibri" w:cs="Times New Roman"/>
          <w:b w:val="0"/>
          <w:bCs/>
          <w:szCs w:val="24"/>
          <w:lang w:val="en-GB"/>
        </w:rPr>
        <w:t>O</w:t>
      </w:r>
      <w:r w:rsidRPr="00906CFB">
        <w:rPr>
          <w:rFonts w:eastAsia="Calibri" w:cs="Times New Roman"/>
          <w:b w:val="0"/>
          <w:bCs/>
          <w:szCs w:val="24"/>
          <w:vertAlign w:val="subscript"/>
          <w:lang w:val="en-GB"/>
        </w:rPr>
        <w:t>3</w:t>
      </w:r>
      <w:r w:rsidRPr="000E2377">
        <w:rPr>
          <w:rFonts w:eastAsia="Calibri" w:cs="Times New Roman"/>
          <w:b w:val="0"/>
          <w:bCs/>
          <w:szCs w:val="24"/>
          <w:lang w:val="en-GB"/>
        </w:rPr>
        <w:t>-A1</w:t>
      </w:r>
      <w:r w:rsidRPr="00906CFB">
        <w:rPr>
          <w:rFonts w:eastAsia="Calibri" w:cs="Times New Roman"/>
          <w:b w:val="0"/>
          <w:bCs/>
          <w:szCs w:val="24"/>
          <w:vertAlign w:val="subscript"/>
          <w:lang w:val="en-GB"/>
        </w:rPr>
        <w:t>2</w:t>
      </w:r>
      <w:r w:rsidRPr="000E2377">
        <w:rPr>
          <w:rFonts w:eastAsia="Calibri" w:cs="Times New Roman"/>
          <w:b w:val="0"/>
          <w:bCs/>
          <w:szCs w:val="24"/>
          <w:lang w:val="en-GB"/>
        </w:rPr>
        <w:t>O</w:t>
      </w:r>
      <w:r w:rsidRPr="00906CFB">
        <w:rPr>
          <w:rFonts w:eastAsia="Calibri" w:cs="Times New Roman"/>
          <w:b w:val="0"/>
          <w:bCs/>
          <w:szCs w:val="24"/>
          <w:vertAlign w:val="subscript"/>
          <w:lang w:val="en-GB"/>
        </w:rPr>
        <w:t>3</w:t>
      </w:r>
      <w:r w:rsidRPr="000E2377">
        <w:rPr>
          <w:rFonts w:eastAsia="Calibri" w:cs="Times New Roman"/>
          <w:b w:val="0"/>
          <w:bCs/>
          <w:szCs w:val="24"/>
          <w:lang w:val="en-GB"/>
        </w:rPr>
        <w:t>-SiO</w:t>
      </w:r>
      <w:r w:rsidRPr="00906CFB">
        <w:rPr>
          <w:rFonts w:eastAsia="Calibri" w:cs="Times New Roman"/>
          <w:b w:val="0"/>
          <w:bCs/>
          <w:szCs w:val="24"/>
          <w:vertAlign w:val="subscript"/>
          <w:lang w:val="en-GB"/>
        </w:rPr>
        <w:t>2</w:t>
      </w:r>
      <w:r w:rsidRPr="000E2377">
        <w:rPr>
          <w:rFonts w:eastAsia="Calibri" w:cs="Times New Roman"/>
          <w:b w:val="0"/>
          <w:bCs/>
          <w:szCs w:val="24"/>
          <w:lang w:val="en-GB"/>
        </w:rPr>
        <w:t xml:space="preserve"> xerogels and glasses. Journal of Non-Crystalline Solids, 142, 225–233.</w:t>
      </w:r>
    </w:p>
    <w:p w14:paraId="7DB1A913" w14:textId="77777777" w:rsidR="008255F9"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Wang, M., Li, M., Cheng, J., &amp; He, F. (2014). Structure and viscosity of soda lime silicate glasses with varying Gd</w:t>
      </w:r>
      <w:r w:rsidRPr="00906CFB">
        <w:rPr>
          <w:rFonts w:eastAsia="Calibri" w:cs="Times New Roman"/>
          <w:b w:val="0"/>
          <w:bCs/>
          <w:szCs w:val="24"/>
          <w:vertAlign w:val="subscript"/>
          <w:lang w:val="en-GB"/>
        </w:rPr>
        <w:t>2</w:t>
      </w:r>
      <w:r w:rsidRPr="000E2377">
        <w:rPr>
          <w:rFonts w:eastAsia="Calibri" w:cs="Times New Roman"/>
          <w:b w:val="0"/>
          <w:bCs/>
          <w:szCs w:val="24"/>
          <w:lang w:val="en-GB"/>
        </w:rPr>
        <w:t>O</w:t>
      </w:r>
      <w:r w:rsidRPr="00906CFB">
        <w:rPr>
          <w:rFonts w:eastAsia="Calibri" w:cs="Times New Roman"/>
          <w:b w:val="0"/>
          <w:bCs/>
          <w:szCs w:val="24"/>
          <w:vertAlign w:val="subscript"/>
          <w:lang w:val="en-GB"/>
        </w:rPr>
        <w:t>3</w:t>
      </w:r>
      <w:r w:rsidRPr="000E2377">
        <w:rPr>
          <w:rFonts w:eastAsia="Calibri" w:cs="Times New Roman"/>
          <w:b w:val="0"/>
          <w:bCs/>
          <w:szCs w:val="24"/>
          <w:lang w:val="en-GB"/>
        </w:rPr>
        <w:t xml:space="preserve"> content. Journal of Molecular Structure, 1063, 139–144. </w:t>
      </w:r>
    </w:p>
    <w:p w14:paraId="23B031F8" w14:textId="77777777" w:rsidR="008255F9" w:rsidRDefault="008255F9" w:rsidP="008255F9">
      <w:pPr>
        <w:jc w:val="both"/>
        <w:rPr>
          <w:b w:val="0"/>
        </w:rPr>
      </w:pPr>
      <w:proofErr w:type="spellStart"/>
      <w:r w:rsidRPr="00300C42">
        <w:rPr>
          <w:b w:val="0"/>
        </w:rPr>
        <w:t>Wilantewicz</w:t>
      </w:r>
      <w:proofErr w:type="spellEnd"/>
      <w:r w:rsidRPr="00300C42">
        <w:rPr>
          <w:b w:val="0"/>
        </w:rPr>
        <w:t xml:space="preserve"> T. E., and Varner, J. R., (2008). Vickers indentation </w:t>
      </w:r>
      <w:proofErr w:type="spellStart"/>
      <w:r w:rsidRPr="00300C42">
        <w:rPr>
          <w:b w:val="0"/>
        </w:rPr>
        <w:t>behavior</w:t>
      </w:r>
      <w:proofErr w:type="spellEnd"/>
      <w:r w:rsidRPr="00300C42">
        <w:rPr>
          <w:b w:val="0"/>
        </w:rPr>
        <w:t xml:space="preserve"> of several commercial glasses at high temperatures. Journal of Materials Science, 43, 281–298.</w:t>
      </w:r>
    </w:p>
    <w:p w14:paraId="3979B882" w14:textId="77777777" w:rsidR="008255F9" w:rsidRPr="00300C42" w:rsidRDefault="008255F9" w:rsidP="008255F9">
      <w:pPr>
        <w:jc w:val="both"/>
        <w:rPr>
          <w:b w:val="0"/>
        </w:rPr>
      </w:pPr>
      <w:proofErr w:type="spellStart"/>
      <w:r w:rsidRPr="00E41FF5">
        <w:rPr>
          <w:b w:val="0"/>
        </w:rPr>
        <w:t>Winterstein</w:t>
      </w:r>
      <w:proofErr w:type="spellEnd"/>
      <w:r w:rsidRPr="00E41FF5">
        <w:rPr>
          <w:b w:val="0"/>
        </w:rPr>
        <w:t>-Beckmann A</w:t>
      </w:r>
      <w:r>
        <w:rPr>
          <w:b w:val="0"/>
        </w:rPr>
        <w:t>.</w:t>
      </w:r>
      <w:r w:rsidRPr="00E41FF5">
        <w:rPr>
          <w:b w:val="0"/>
        </w:rPr>
        <w:t xml:space="preserve">, </w:t>
      </w:r>
      <w:proofErr w:type="spellStart"/>
      <w:r w:rsidRPr="00E41FF5">
        <w:rPr>
          <w:b w:val="0"/>
        </w:rPr>
        <w:t>Möncke</w:t>
      </w:r>
      <w:proofErr w:type="spellEnd"/>
      <w:r w:rsidRPr="00E41FF5">
        <w:rPr>
          <w:b w:val="0"/>
        </w:rPr>
        <w:t xml:space="preserve"> D</w:t>
      </w:r>
      <w:r>
        <w:rPr>
          <w:b w:val="0"/>
        </w:rPr>
        <w:t>.</w:t>
      </w:r>
      <w:r w:rsidRPr="00E41FF5">
        <w:rPr>
          <w:b w:val="0"/>
        </w:rPr>
        <w:t xml:space="preserve">, </w:t>
      </w:r>
      <w:proofErr w:type="spellStart"/>
      <w:r w:rsidRPr="00E41FF5">
        <w:rPr>
          <w:b w:val="0"/>
        </w:rPr>
        <w:t>Palles</w:t>
      </w:r>
      <w:proofErr w:type="spellEnd"/>
      <w:r w:rsidRPr="00E41FF5">
        <w:rPr>
          <w:b w:val="0"/>
        </w:rPr>
        <w:t xml:space="preserve"> D</w:t>
      </w:r>
      <w:r>
        <w:rPr>
          <w:b w:val="0"/>
        </w:rPr>
        <w:t>.</w:t>
      </w:r>
      <w:r w:rsidRPr="00E41FF5">
        <w:rPr>
          <w:b w:val="0"/>
        </w:rPr>
        <w:t xml:space="preserve">, </w:t>
      </w:r>
      <w:proofErr w:type="spellStart"/>
      <w:r w:rsidRPr="00E41FF5">
        <w:rPr>
          <w:b w:val="0"/>
        </w:rPr>
        <w:t>Kamitsos</w:t>
      </w:r>
      <w:proofErr w:type="spellEnd"/>
      <w:r w:rsidRPr="00E41FF5">
        <w:rPr>
          <w:b w:val="0"/>
        </w:rPr>
        <w:t xml:space="preserve"> E</w:t>
      </w:r>
      <w:r>
        <w:rPr>
          <w:b w:val="0"/>
        </w:rPr>
        <w:t>.</w:t>
      </w:r>
      <w:r w:rsidRPr="00E41FF5">
        <w:rPr>
          <w:b w:val="0"/>
        </w:rPr>
        <w:t xml:space="preserve"> I and </w:t>
      </w:r>
      <w:proofErr w:type="spellStart"/>
      <w:r w:rsidRPr="00E41FF5">
        <w:rPr>
          <w:b w:val="0"/>
        </w:rPr>
        <w:t>Wondraczek</w:t>
      </w:r>
      <w:proofErr w:type="spellEnd"/>
      <w:r w:rsidRPr="00E41FF5">
        <w:rPr>
          <w:b w:val="0"/>
        </w:rPr>
        <w:t xml:space="preserve"> L</w:t>
      </w:r>
      <w:r>
        <w:rPr>
          <w:b w:val="0"/>
        </w:rPr>
        <w:t>.,</w:t>
      </w:r>
      <w:r w:rsidRPr="00E41FF5">
        <w:rPr>
          <w:b w:val="0"/>
        </w:rPr>
        <w:t xml:space="preserve"> </w:t>
      </w:r>
      <w:r>
        <w:rPr>
          <w:b w:val="0"/>
        </w:rPr>
        <w:t>(</w:t>
      </w:r>
      <w:r w:rsidRPr="00E41FF5">
        <w:rPr>
          <w:b w:val="0"/>
        </w:rPr>
        <w:t>2014</w:t>
      </w:r>
      <w:r>
        <w:rPr>
          <w:b w:val="0"/>
        </w:rPr>
        <w:t>).</w:t>
      </w:r>
      <w:r w:rsidRPr="00E41FF5">
        <w:rPr>
          <w:b w:val="0"/>
        </w:rPr>
        <w:t xml:space="preserve"> A Raman-spectroscopic study of indentation-induced structural changes in technical alkali- borosilicate glasses with varying silicate network connectivity</w:t>
      </w:r>
      <w:r>
        <w:rPr>
          <w:b w:val="0"/>
        </w:rPr>
        <w:t>.</w:t>
      </w:r>
      <w:r w:rsidRPr="00E41FF5">
        <w:rPr>
          <w:b w:val="0"/>
        </w:rPr>
        <w:t xml:space="preserve"> </w:t>
      </w:r>
      <w:r w:rsidRPr="000E2377">
        <w:rPr>
          <w:rFonts w:eastAsia="Calibri" w:cs="Times New Roman"/>
          <w:b w:val="0"/>
          <w:bCs/>
          <w:szCs w:val="24"/>
          <w:lang w:val="en-GB"/>
        </w:rPr>
        <w:t>Journal of Non-Crystalline Solids</w:t>
      </w:r>
      <w:r>
        <w:rPr>
          <w:rFonts w:eastAsia="Calibri" w:cs="Times New Roman"/>
          <w:b w:val="0"/>
          <w:bCs/>
          <w:szCs w:val="24"/>
          <w:lang w:val="en-GB"/>
        </w:rPr>
        <w:t>,</w:t>
      </w:r>
      <w:r w:rsidRPr="00E41FF5">
        <w:rPr>
          <w:b w:val="0"/>
        </w:rPr>
        <w:t xml:space="preserve"> 405</w:t>
      </w:r>
      <w:r>
        <w:rPr>
          <w:b w:val="0"/>
        </w:rPr>
        <w:t>,</w:t>
      </w:r>
      <w:r w:rsidRPr="00E41FF5">
        <w:rPr>
          <w:b w:val="0"/>
        </w:rPr>
        <w:t xml:space="preserve"> 196–206</w:t>
      </w:r>
    </w:p>
    <w:p w14:paraId="0DA81CA9"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Woelffel</w:t>
      </w:r>
      <w:proofErr w:type="spellEnd"/>
      <w:r w:rsidRPr="000E2377">
        <w:rPr>
          <w:rFonts w:eastAsia="Calibri" w:cs="Times New Roman"/>
          <w:b w:val="0"/>
          <w:bCs/>
          <w:szCs w:val="24"/>
          <w:lang w:val="en-GB"/>
        </w:rPr>
        <w:t xml:space="preserve">, W., </w:t>
      </w:r>
      <w:proofErr w:type="spellStart"/>
      <w:r w:rsidRPr="000E2377">
        <w:rPr>
          <w:rFonts w:eastAsia="Calibri" w:cs="Times New Roman"/>
          <w:b w:val="0"/>
          <w:bCs/>
          <w:szCs w:val="24"/>
          <w:lang w:val="en-GB"/>
        </w:rPr>
        <w:t>Claireaux</w:t>
      </w:r>
      <w:proofErr w:type="spellEnd"/>
      <w:r w:rsidRPr="000E2377">
        <w:rPr>
          <w:rFonts w:eastAsia="Calibri" w:cs="Times New Roman"/>
          <w:b w:val="0"/>
          <w:bCs/>
          <w:szCs w:val="24"/>
          <w:lang w:val="en-GB"/>
        </w:rPr>
        <w:t xml:space="preserve">, C., </w:t>
      </w:r>
      <w:proofErr w:type="spellStart"/>
      <w:r w:rsidRPr="000E2377">
        <w:rPr>
          <w:rFonts w:eastAsia="Calibri" w:cs="Times New Roman"/>
          <w:b w:val="0"/>
          <w:bCs/>
          <w:szCs w:val="24"/>
          <w:lang w:val="en-GB"/>
        </w:rPr>
        <w:t>Toplis</w:t>
      </w:r>
      <w:proofErr w:type="spellEnd"/>
      <w:r w:rsidRPr="000E2377">
        <w:rPr>
          <w:rFonts w:eastAsia="Calibri" w:cs="Times New Roman"/>
          <w:b w:val="0"/>
          <w:bCs/>
          <w:szCs w:val="24"/>
          <w:lang w:val="en-GB"/>
        </w:rPr>
        <w:t xml:space="preserve">, M. J., Burov, E., Barthel, É., Shukla, A., </w:t>
      </w:r>
      <w:proofErr w:type="spellStart"/>
      <w:r w:rsidRPr="000E2377">
        <w:rPr>
          <w:rFonts w:eastAsia="Calibri" w:cs="Times New Roman"/>
          <w:b w:val="0"/>
          <w:bCs/>
          <w:szCs w:val="24"/>
          <w:lang w:val="en-GB"/>
        </w:rPr>
        <w:t>Gouillart</w:t>
      </w:r>
      <w:proofErr w:type="spellEnd"/>
      <w:r w:rsidRPr="000E2377">
        <w:rPr>
          <w:rFonts w:eastAsia="Calibri" w:cs="Times New Roman"/>
          <w:b w:val="0"/>
          <w:bCs/>
          <w:szCs w:val="24"/>
          <w:lang w:val="en-GB"/>
        </w:rPr>
        <w:t xml:space="preserve">, E. (2015). Analysis of soda-lime glasses using non-negative matrix factor deconvolution of Raman spectra. Journal of Non-Crystalline Solids, 428, 121–131. </w:t>
      </w:r>
    </w:p>
    <w:p w14:paraId="0560332D" w14:textId="77777777" w:rsidR="008255F9" w:rsidRPr="000E2377"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Wondraczek</w:t>
      </w:r>
      <w:proofErr w:type="spellEnd"/>
      <w:r w:rsidRPr="000E2377">
        <w:rPr>
          <w:rFonts w:eastAsia="Calibri" w:cs="Times New Roman"/>
          <w:b w:val="0"/>
          <w:bCs/>
          <w:szCs w:val="24"/>
          <w:lang w:val="en-GB"/>
        </w:rPr>
        <w:t xml:space="preserve">, L., Sen, S., Behrens, H., &amp; Youngman, R. E. (2007). Structure-energy map of alkali borosilicate glasses: Effects of pressure and temperature. Physical Review B - Condensed Matter and Materials Physics, 76(1), 1–8. </w:t>
      </w:r>
    </w:p>
    <w:p w14:paraId="5697E62A" w14:textId="77777777" w:rsidR="008255F9" w:rsidRDefault="008255F9" w:rsidP="008255F9">
      <w:pPr>
        <w:spacing w:before="240" w:after="0" w:line="240" w:lineRule="auto"/>
        <w:jc w:val="both"/>
        <w:rPr>
          <w:rFonts w:eastAsia="Times New Roman" w:cs="Times New Roman"/>
          <w:b w:val="0"/>
          <w:szCs w:val="24"/>
          <w:lang w:eastAsia="en-MY"/>
        </w:rPr>
      </w:pPr>
      <w:proofErr w:type="spellStart"/>
      <w:r w:rsidRPr="00F611DC">
        <w:rPr>
          <w:rFonts w:eastAsia="Times New Roman" w:cs="Times New Roman"/>
          <w:b w:val="0"/>
          <w:szCs w:val="24"/>
          <w:lang w:eastAsia="en-MY"/>
        </w:rPr>
        <w:t>Wondraczek</w:t>
      </w:r>
      <w:proofErr w:type="spellEnd"/>
      <w:r w:rsidRPr="00F611DC">
        <w:rPr>
          <w:rFonts w:eastAsia="Times New Roman" w:cs="Times New Roman"/>
          <w:b w:val="0"/>
          <w:szCs w:val="24"/>
          <w:lang w:eastAsia="en-MY"/>
        </w:rPr>
        <w:t>, L</w:t>
      </w:r>
      <w:r w:rsidRPr="000E2377">
        <w:rPr>
          <w:rFonts w:eastAsia="Times New Roman" w:cs="Times New Roman"/>
          <w:b w:val="0"/>
          <w:szCs w:val="24"/>
          <w:lang w:eastAsia="en-MY"/>
        </w:rPr>
        <w:t xml:space="preserve"> .,</w:t>
      </w:r>
      <w:r w:rsidRPr="00F611DC">
        <w:rPr>
          <w:rFonts w:eastAsia="Times New Roman" w:cs="Times New Roman"/>
          <w:b w:val="0"/>
          <w:szCs w:val="24"/>
          <w:lang w:eastAsia="en-MY"/>
        </w:rPr>
        <w:t>Mauro, J</w:t>
      </w:r>
      <w:r w:rsidRPr="000E2377">
        <w:rPr>
          <w:rFonts w:eastAsia="Times New Roman" w:cs="Times New Roman"/>
          <w:b w:val="0"/>
          <w:szCs w:val="24"/>
          <w:lang w:eastAsia="en-MY"/>
        </w:rPr>
        <w:t>.</w:t>
      </w:r>
      <w:r w:rsidRPr="00F611DC">
        <w:rPr>
          <w:rFonts w:eastAsia="Times New Roman" w:cs="Times New Roman"/>
          <w:b w:val="0"/>
          <w:szCs w:val="24"/>
          <w:lang w:eastAsia="en-MY"/>
        </w:rPr>
        <w:t xml:space="preserve"> C.</w:t>
      </w:r>
      <w:r w:rsidRPr="000E2377">
        <w:rPr>
          <w:rFonts w:eastAsia="Times New Roman" w:cs="Times New Roman"/>
          <w:b w:val="0"/>
          <w:szCs w:val="24"/>
          <w:lang w:eastAsia="en-MY"/>
        </w:rPr>
        <w:t xml:space="preserve">, </w:t>
      </w:r>
      <w:r w:rsidRPr="00F611DC">
        <w:rPr>
          <w:rFonts w:eastAsia="Times New Roman" w:cs="Times New Roman"/>
          <w:b w:val="0"/>
          <w:szCs w:val="24"/>
          <w:lang w:eastAsia="en-MY"/>
        </w:rPr>
        <w:t>Eckert, J</w:t>
      </w:r>
      <w:r w:rsidRPr="000E2377">
        <w:rPr>
          <w:rFonts w:eastAsia="Times New Roman" w:cs="Times New Roman"/>
          <w:b w:val="0"/>
          <w:szCs w:val="24"/>
          <w:lang w:eastAsia="en-MY"/>
        </w:rPr>
        <w:t xml:space="preserve">., </w:t>
      </w:r>
      <w:proofErr w:type="spellStart"/>
      <w:r w:rsidRPr="00F611DC">
        <w:rPr>
          <w:rFonts w:eastAsia="Times New Roman" w:cs="Times New Roman"/>
          <w:b w:val="0"/>
          <w:szCs w:val="24"/>
          <w:lang w:eastAsia="en-MY"/>
        </w:rPr>
        <w:t>Kühn</w:t>
      </w:r>
      <w:proofErr w:type="spellEnd"/>
      <w:r w:rsidRPr="00F611DC">
        <w:rPr>
          <w:rFonts w:eastAsia="Times New Roman" w:cs="Times New Roman"/>
          <w:b w:val="0"/>
          <w:szCs w:val="24"/>
          <w:lang w:eastAsia="en-MY"/>
        </w:rPr>
        <w:t>, U</w:t>
      </w:r>
      <w:r w:rsidRPr="000E2377">
        <w:rPr>
          <w:rFonts w:eastAsia="Times New Roman" w:cs="Times New Roman"/>
          <w:b w:val="0"/>
          <w:szCs w:val="24"/>
          <w:lang w:eastAsia="en-MY"/>
        </w:rPr>
        <w:t xml:space="preserve">., </w:t>
      </w:r>
      <w:proofErr w:type="spellStart"/>
      <w:r w:rsidRPr="00F611DC">
        <w:rPr>
          <w:rFonts w:eastAsia="Times New Roman" w:cs="Times New Roman"/>
          <w:b w:val="0"/>
          <w:szCs w:val="24"/>
          <w:lang w:eastAsia="en-MY"/>
        </w:rPr>
        <w:t>Horbach</w:t>
      </w:r>
      <w:proofErr w:type="spellEnd"/>
      <w:r w:rsidRPr="00F611DC">
        <w:rPr>
          <w:rFonts w:eastAsia="Times New Roman" w:cs="Times New Roman"/>
          <w:b w:val="0"/>
          <w:szCs w:val="24"/>
          <w:lang w:eastAsia="en-MY"/>
        </w:rPr>
        <w:t>, J</w:t>
      </w:r>
      <w:r w:rsidRPr="000E2377">
        <w:rPr>
          <w:rFonts w:eastAsia="Times New Roman" w:cs="Times New Roman"/>
          <w:b w:val="0"/>
          <w:szCs w:val="24"/>
          <w:lang w:eastAsia="en-MY"/>
        </w:rPr>
        <w:t xml:space="preserve">., </w:t>
      </w:r>
      <w:proofErr w:type="spellStart"/>
      <w:r w:rsidRPr="00F611DC">
        <w:rPr>
          <w:rFonts w:eastAsia="Times New Roman" w:cs="Times New Roman"/>
          <w:b w:val="0"/>
          <w:szCs w:val="24"/>
          <w:lang w:eastAsia="en-MY"/>
        </w:rPr>
        <w:t>Deubener</w:t>
      </w:r>
      <w:proofErr w:type="spellEnd"/>
      <w:r w:rsidRPr="00F611DC">
        <w:rPr>
          <w:rFonts w:eastAsia="Times New Roman" w:cs="Times New Roman"/>
          <w:b w:val="0"/>
          <w:szCs w:val="24"/>
          <w:lang w:eastAsia="en-MY"/>
        </w:rPr>
        <w:t>, J</w:t>
      </w:r>
      <w:r w:rsidRPr="000E2377">
        <w:rPr>
          <w:rFonts w:eastAsia="Times New Roman" w:cs="Times New Roman"/>
          <w:b w:val="0"/>
          <w:szCs w:val="24"/>
          <w:lang w:eastAsia="en-MY"/>
        </w:rPr>
        <w:t xml:space="preserve">., Rouxel, T (2011), Towards </w:t>
      </w:r>
      <w:proofErr w:type="spellStart"/>
      <w:r w:rsidRPr="000E2377">
        <w:rPr>
          <w:rFonts w:eastAsia="Times New Roman" w:cs="Times New Roman"/>
          <w:b w:val="0"/>
          <w:szCs w:val="24"/>
          <w:lang w:eastAsia="en-MY"/>
        </w:rPr>
        <w:t>ultrastrong</w:t>
      </w:r>
      <w:proofErr w:type="spellEnd"/>
      <w:r w:rsidRPr="000E2377">
        <w:rPr>
          <w:rFonts w:eastAsia="Times New Roman" w:cs="Times New Roman"/>
          <w:b w:val="0"/>
          <w:szCs w:val="24"/>
          <w:lang w:eastAsia="en-MY"/>
        </w:rPr>
        <w:t xml:space="preserve"> glasses, Advance Materials, 23(39), 4578-4586.</w:t>
      </w:r>
    </w:p>
    <w:p w14:paraId="1C65C887" w14:textId="77777777" w:rsidR="008255F9" w:rsidRDefault="008255F9" w:rsidP="008255F9">
      <w:pPr>
        <w:spacing w:after="0"/>
      </w:pPr>
    </w:p>
    <w:p w14:paraId="07CAB2C5" w14:textId="77777777" w:rsidR="008255F9" w:rsidRPr="00330FA8" w:rsidRDefault="008255F9" w:rsidP="008255F9">
      <w:pPr>
        <w:spacing w:after="0"/>
        <w:rPr>
          <w:b w:val="0"/>
        </w:rPr>
      </w:pPr>
      <w:r w:rsidRPr="00330FA8">
        <w:rPr>
          <w:b w:val="0"/>
        </w:rPr>
        <w:t>Wong J., Angell C.A.,(1991). Glass: Structure by Spectroscopy, Marcel Dekker Inc</w:t>
      </w:r>
      <w:r w:rsidRPr="00330FA8">
        <w:rPr>
          <w:rFonts w:cs="Times New Roman"/>
          <w:b w:val="0"/>
        </w:rPr>
        <w:t xml:space="preserve">, </w:t>
      </w:r>
      <w:r w:rsidRPr="00330FA8">
        <w:rPr>
          <w:b w:val="0"/>
        </w:rPr>
        <w:t>36.</w:t>
      </w:r>
    </w:p>
    <w:p w14:paraId="0638ED3C" w14:textId="77777777" w:rsidR="008255F9" w:rsidRPr="000E2377" w:rsidRDefault="008255F9" w:rsidP="008255F9">
      <w:pPr>
        <w:spacing w:after="0" w:line="240" w:lineRule="auto"/>
        <w:jc w:val="both"/>
        <w:rPr>
          <w:rFonts w:eastAsia="Calibri" w:cs="Times New Roman"/>
          <w:b w:val="0"/>
          <w:bCs/>
          <w:szCs w:val="24"/>
          <w:lang w:val="en-GB"/>
        </w:rPr>
      </w:pPr>
    </w:p>
    <w:p w14:paraId="50F1DD14"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Wu, J., &amp; Stebbins, J. F. (2010). Quench rate and temperature effects on boron coordination in aluminoborosilicate melts. Journal of Non-Crystalline Solids, 356(41–42), 2097–2108. </w:t>
      </w:r>
    </w:p>
    <w:p w14:paraId="69BB30A3"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Yadav, A. K., &amp; Singh, P. (2015). A Review on Structure of Glasses by Raman Spectroscopy. RSC Adv., 5, 67583–67609.</w:t>
      </w:r>
    </w:p>
    <w:p w14:paraId="4D45DE64" w14:textId="77777777" w:rsidR="008255F9" w:rsidRDefault="008255F9" w:rsidP="008255F9">
      <w:pPr>
        <w:spacing w:line="240" w:lineRule="auto"/>
        <w:jc w:val="both"/>
        <w:rPr>
          <w:rFonts w:eastAsia="Calibri" w:cs="Times New Roman"/>
          <w:b w:val="0"/>
          <w:bCs/>
          <w:szCs w:val="24"/>
          <w:lang w:val="en-GB"/>
        </w:rPr>
      </w:pPr>
      <w:proofErr w:type="spellStart"/>
      <w:r w:rsidRPr="000E2377">
        <w:rPr>
          <w:rFonts w:eastAsia="Calibri" w:cs="Times New Roman"/>
          <w:b w:val="0"/>
          <w:bCs/>
          <w:szCs w:val="24"/>
          <w:lang w:val="en-GB"/>
        </w:rPr>
        <w:t>Yarger</w:t>
      </w:r>
      <w:proofErr w:type="spellEnd"/>
      <w:r w:rsidRPr="000E2377">
        <w:rPr>
          <w:rFonts w:eastAsia="Calibri" w:cs="Times New Roman"/>
          <w:b w:val="0"/>
          <w:bCs/>
          <w:szCs w:val="24"/>
          <w:lang w:val="en-GB"/>
        </w:rPr>
        <w:t xml:space="preserve">, J. L., Smith, K. H., Nieman, R. A., </w:t>
      </w:r>
      <w:proofErr w:type="spellStart"/>
      <w:r w:rsidRPr="000E2377">
        <w:rPr>
          <w:rFonts w:eastAsia="Calibri" w:cs="Times New Roman"/>
          <w:b w:val="0"/>
          <w:bCs/>
          <w:szCs w:val="24"/>
          <w:lang w:val="en-GB"/>
        </w:rPr>
        <w:t>Diefenbacher</w:t>
      </w:r>
      <w:proofErr w:type="spellEnd"/>
      <w:r w:rsidRPr="000E2377">
        <w:rPr>
          <w:rFonts w:eastAsia="Calibri" w:cs="Times New Roman"/>
          <w:b w:val="0"/>
          <w:bCs/>
          <w:szCs w:val="24"/>
          <w:lang w:val="en-GB"/>
        </w:rPr>
        <w:t xml:space="preserve">, J., Wolf, G. H., Poe, B. T., &amp; McMillan, P. F. (1995). Al coordination changes in high pressure aluminosilicate liquids. Science, 270(5244), 1964–1967. </w:t>
      </w:r>
    </w:p>
    <w:p w14:paraId="0C7181DD" w14:textId="77777777" w:rsidR="008255F9" w:rsidRPr="000E2377" w:rsidRDefault="008255F9" w:rsidP="008255F9">
      <w:pPr>
        <w:spacing w:line="240" w:lineRule="auto"/>
        <w:jc w:val="both"/>
        <w:rPr>
          <w:rFonts w:eastAsia="Calibri" w:cs="Times New Roman"/>
          <w:b w:val="0"/>
          <w:bCs/>
          <w:szCs w:val="24"/>
          <w:lang w:val="en-GB"/>
        </w:rPr>
      </w:pPr>
      <w:proofErr w:type="spellStart"/>
      <w:r w:rsidRPr="00D9110E">
        <w:rPr>
          <w:rFonts w:eastAsia="Calibri" w:cs="Times New Roman"/>
          <w:b w:val="0"/>
          <w:bCs/>
          <w:szCs w:val="24"/>
          <w:lang w:val="en-GB"/>
        </w:rPr>
        <w:t>Zachariasbn</w:t>
      </w:r>
      <w:proofErr w:type="spellEnd"/>
      <w:r>
        <w:rPr>
          <w:rFonts w:eastAsia="Calibri" w:cs="Times New Roman"/>
          <w:b w:val="0"/>
          <w:bCs/>
          <w:szCs w:val="24"/>
          <w:lang w:val="en-GB"/>
        </w:rPr>
        <w:t xml:space="preserve">, </w:t>
      </w:r>
      <w:r w:rsidRPr="00D9110E">
        <w:rPr>
          <w:rFonts w:eastAsia="Calibri" w:cs="Times New Roman"/>
          <w:b w:val="0"/>
          <w:bCs/>
          <w:szCs w:val="24"/>
          <w:lang w:val="en-GB"/>
        </w:rPr>
        <w:t>W. H.</w:t>
      </w:r>
      <w:r>
        <w:rPr>
          <w:rFonts w:eastAsia="Calibri" w:cs="Times New Roman"/>
          <w:b w:val="0"/>
          <w:bCs/>
          <w:szCs w:val="24"/>
          <w:lang w:val="en-GB"/>
        </w:rPr>
        <w:t xml:space="preserve">, (1932), The atomic arrangement in glass, </w:t>
      </w:r>
      <w:r w:rsidRPr="00D9110E">
        <w:rPr>
          <w:rFonts w:eastAsia="Calibri" w:cs="Times New Roman"/>
          <w:b w:val="0"/>
          <w:bCs/>
          <w:szCs w:val="24"/>
          <w:lang w:val="en-GB"/>
        </w:rPr>
        <w:t>Ryerson Physical Laboratory, University o</w:t>
      </w:r>
      <w:r>
        <w:rPr>
          <w:rFonts w:eastAsia="Calibri" w:cs="Times New Roman"/>
          <w:b w:val="0"/>
          <w:bCs/>
          <w:szCs w:val="24"/>
          <w:lang w:val="en-GB"/>
        </w:rPr>
        <w:t>f</w:t>
      </w:r>
      <w:r w:rsidRPr="00D9110E">
        <w:rPr>
          <w:rFonts w:eastAsia="Calibri" w:cs="Times New Roman"/>
          <w:b w:val="0"/>
          <w:bCs/>
          <w:szCs w:val="24"/>
          <w:lang w:val="en-GB"/>
        </w:rPr>
        <w:t xml:space="preserve"> Chicago</w:t>
      </w:r>
      <w:r>
        <w:rPr>
          <w:rFonts w:eastAsia="Calibri" w:cs="Times New Roman"/>
          <w:b w:val="0"/>
          <w:bCs/>
          <w:szCs w:val="24"/>
          <w:lang w:val="en-GB"/>
        </w:rPr>
        <w:t>.</w:t>
      </w:r>
    </w:p>
    <w:p w14:paraId="798FC576"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Zhang, H., Corkhill, C. L., Heath, P. G., Hand, R. J., Martin, C., &amp; Hyatt, N. C. (2015). Effect of Zn- and Ca-oxides on the structure and chemical durability of simulant alkali borosilicate glasses for immobilisation of UK high level wastes. Journal of Nuclear Materials, 462, 321–328. </w:t>
      </w:r>
    </w:p>
    <w:p w14:paraId="1B973954" w14:textId="609C3138"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lastRenderedPageBreak/>
        <w:t xml:space="preserve">Zheng, Q. (2012). Composition dependence of structure, properties and crystallization in three series of oxide glasses. </w:t>
      </w:r>
      <w:proofErr w:type="spellStart"/>
      <w:r w:rsidRPr="000E2377">
        <w:rPr>
          <w:rFonts w:eastAsia="Calibri" w:cs="Times New Roman"/>
          <w:b w:val="0"/>
          <w:bCs/>
          <w:szCs w:val="24"/>
          <w:lang w:val="en-GB"/>
        </w:rPr>
        <w:t>Ph.D</w:t>
      </w:r>
      <w:proofErr w:type="spellEnd"/>
      <w:r w:rsidRPr="000E2377">
        <w:rPr>
          <w:rFonts w:eastAsia="Calibri" w:cs="Times New Roman"/>
          <w:b w:val="0"/>
          <w:bCs/>
          <w:szCs w:val="24"/>
          <w:lang w:val="en-GB"/>
        </w:rPr>
        <w:t xml:space="preserve"> </w:t>
      </w:r>
      <w:r w:rsidR="0010196B" w:rsidRPr="000E2377">
        <w:rPr>
          <w:rFonts w:eastAsia="Calibri" w:cs="Times New Roman"/>
          <w:b w:val="0"/>
          <w:bCs/>
          <w:szCs w:val="24"/>
          <w:lang w:val="en-GB"/>
        </w:rPr>
        <w:t>D</w:t>
      </w:r>
      <w:r w:rsidR="0010196B">
        <w:rPr>
          <w:rFonts w:eastAsia="Calibri" w:cs="Times New Roman"/>
          <w:b w:val="0"/>
          <w:bCs/>
          <w:szCs w:val="24"/>
          <w:lang w:val="en-GB"/>
        </w:rPr>
        <w:t>i</w:t>
      </w:r>
      <w:r w:rsidR="0010196B" w:rsidRPr="000E2377">
        <w:rPr>
          <w:rFonts w:eastAsia="Calibri" w:cs="Times New Roman"/>
          <w:b w:val="0"/>
          <w:bCs/>
          <w:szCs w:val="24"/>
          <w:lang w:val="en-GB"/>
        </w:rPr>
        <w:t>ssertation</w:t>
      </w:r>
      <w:r w:rsidRPr="000E2377">
        <w:rPr>
          <w:rFonts w:eastAsia="Calibri" w:cs="Times New Roman"/>
          <w:b w:val="0"/>
          <w:bCs/>
          <w:szCs w:val="24"/>
          <w:lang w:val="en-GB"/>
        </w:rPr>
        <w:t>, Aalborg University.</w:t>
      </w:r>
    </w:p>
    <w:p w14:paraId="137F0FEE" w14:textId="77777777" w:rsidR="008255F9" w:rsidRPr="000E2377"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Zheng, Q. J., Youngman, R. E., Hogue, C. L., Mauro, J. C., </w:t>
      </w:r>
      <w:proofErr w:type="spellStart"/>
      <w:r w:rsidRPr="000E2377">
        <w:rPr>
          <w:rFonts w:eastAsia="Calibri" w:cs="Times New Roman"/>
          <w:b w:val="0"/>
          <w:bCs/>
          <w:szCs w:val="24"/>
          <w:lang w:val="en-GB"/>
        </w:rPr>
        <w:t>Potuzak</w:t>
      </w:r>
      <w:proofErr w:type="spellEnd"/>
      <w:r w:rsidRPr="000E2377">
        <w:rPr>
          <w:rFonts w:eastAsia="Calibri" w:cs="Times New Roman"/>
          <w:b w:val="0"/>
          <w:bCs/>
          <w:szCs w:val="24"/>
          <w:lang w:val="en-GB"/>
        </w:rPr>
        <w:t xml:space="preserve">, M., </w:t>
      </w:r>
      <w:proofErr w:type="spellStart"/>
      <w:r w:rsidRPr="000E2377">
        <w:rPr>
          <w:rFonts w:eastAsia="Calibri" w:cs="Times New Roman"/>
          <w:b w:val="0"/>
          <w:bCs/>
          <w:szCs w:val="24"/>
          <w:lang w:val="en-GB"/>
        </w:rPr>
        <w:t>Smedskjaer</w:t>
      </w:r>
      <w:proofErr w:type="spellEnd"/>
      <w:r w:rsidRPr="000E2377">
        <w:rPr>
          <w:rFonts w:eastAsia="Calibri" w:cs="Times New Roman"/>
          <w:b w:val="0"/>
          <w:bCs/>
          <w:szCs w:val="24"/>
          <w:lang w:val="en-GB"/>
        </w:rPr>
        <w:t>, M. M., &amp; Yue, Y. Z. (2012). Structure of boroaluminosilicate glasses: Impact of [Al</w:t>
      </w:r>
      <w:r w:rsidRPr="005805E7">
        <w:rPr>
          <w:rFonts w:eastAsia="Calibri" w:cs="Times New Roman"/>
          <w:b w:val="0"/>
          <w:bCs/>
          <w:szCs w:val="24"/>
          <w:vertAlign w:val="subscript"/>
          <w:lang w:val="en-GB"/>
        </w:rPr>
        <w:t>2</w:t>
      </w:r>
      <w:r w:rsidRPr="000E2377">
        <w:rPr>
          <w:rFonts w:eastAsia="Calibri" w:cs="Times New Roman"/>
          <w:b w:val="0"/>
          <w:bCs/>
          <w:szCs w:val="24"/>
          <w:lang w:val="en-GB"/>
        </w:rPr>
        <w:t>O</w:t>
      </w:r>
      <w:r w:rsidRPr="005805E7">
        <w:rPr>
          <w:rFonts w:eastAsia="Calibri" w:cs="Times New Roman"/>
          <w:b w:val="0"/>
          <w:bCs/>
          <w:szCs w:val="24"/>
          <w:vertAlign w:val="subscript"/>
          <w:lang w:val="en-GB"/>
        </w:rPr>
        <w:t>3</w:t>
      </w:r>
      <w:r w:rsidRPr="000E2377">
        <w:rPr>
          <w:rFonts w:eastAsia="Calibri" w:cs="Times New Roman"/>
          <w:b w:val="0"/>
          <w:bCs/>
          <w:szCs w:val="24"/>
          <w:lang w:val="en-GB"/>
        </w:rPr>
        <w:t>]/[SiO</w:t>
      </w:r>
      <w:r w:rsidRPr="005805E7">
        <w:rPr>
          <w:rFonts w:eastAsia="Calibri" w:cs="Times New Roman"/>
          <w:b w:val="0"/>
          <w:bCs/>
          <w:szCs w:val="24"/>
          <w:vertAlign w:val="subscript"/>
          <w:lang w:val="en-GB"/>
        </w:rPr>
        <w:t>2</w:t>
      </w:r>
      <w:r w:rsidRPr="000E2377">
        <w:rPr>
          <w:rFonts w:eastAsia="Calibri" w:cs="Times New Roman"/>
          <w:b w:val="0"/>
          <w:bCs/>
          <w:szCs w:val="24"/>
          <w:lang w:val="en-GB"/>
        </w:rPr>
        <w:t xml:space="preserve">] ratio on the structural role of sodium. Physical Review B, 86(5), 54203. </w:t>
      </w:r>
    </w:p>
    <w:p w14:paraId="0C92CAB9" w14:textId="77777777" w:rsidR="008255F9" w:rsidRDefault="008255F9" w:rsidP="008255F9">
      <w:pPr>
        <w:spacing w:line="240" w:lineRule="auto"/>
        <w:jc w:val="both"/>
        <w:rPr>
          <w:rFonts w:eastAsia="Calibri" w:cs="Times New Roman"/>
          <w:b w:val="0"/>
          <w:bCs/>
          <w:szCs w:val="24"/>
          <w:lang w:val="en-GB"/>
        </w:rPr>
      </w:pPr>
      <w:r w:rsidRPr="000E2377">
        <w:rPr>
          <w:rFonts w:eastAsia="Calibri" w:cs="Times New Roman"/>
          <w:b w:val="0"/>
          <w:bCs/>
          <w:szCs w:val="24"/>
          <w:lang w:val="en-GB"/>
        </w:rPr>
        <w:t xml:space="preserve">Zheng, Q., </w:t>
      </w:r>
      <w:proofErr w:type="spellStart"/>
      <w:r w:rsidRPr="000E2377">
        <w:rPr>
          <w:rFonts w:eastAsia="Calibri" w:cs="Times New Roman"/>
          <w:b w:val="0"/>
          <w:bCs/>
          <w:szCs w:val="24"/>
          <w:lang w:val="en-GB"/>
        </w:rPr>
        <w:t>Potuzak</w:t>
      </w:r>
      <w:proofErr w:type="spellEnd"/>
      <w:r w:rsidRPr="000E2377">
        <w:rPr>
          <w:rFonts w:eastAsia="Calibri" w:cs="Times New Roman"/>
          <w:b w:val="0"/>
          <w:bCs/>
          <w:szCs w:val="24"/>
          <w:lang w:val="en-GB"/>
        </w:rPr>
        <w:t xml:space="preserve">, M., Mauro, J. C., </w:t>
      </w:r>
      <w:proofErr w:type="spellStart"/>
      <w:r w:rsidRPr="000E2377">
        <w:rPr>
          <w:rFonts w:eastAsia="Calibri" w:cs="Times New Roman"/>
          <w:b w:val="0"/>
          <w:bCs/>
          <w:szCs w:val="24"/>
          <w:lang w:val="en-GB"/>
        </w:rPr>
        <w:t>Smedskjaer</w:t>
      </w:r>
      <w:proofErr w:type="spellEnd"/>
      <w:r w:rsidRPr="000E2377">
        <w:rPr>
          <w:rFonts w:eastAsia="Calibri" w:cs="Times New Roman"/>
          <w:b w:val="0"/>
          <w:bCs/>
          <w:szCs w:val="24"/>
          <w:lang w:val="en-GB"/>
        </w:rPr>
        <w:t>, M. M., Youngman, R. E., &amp; Yue, Y. (2012). Composition–structure–property relationships in boroaluminosilicate glasses. Journal of Non-Crystalline Solids, 358(6–7), 993–1002.</w:t>
      </w:r>
      <w:r w:rsidRPr="00F5499F">
        <w:rPr>
          <w:rFonts w:eastAsia="Calibri" w:cs="Times New Roman"/>
          <w:b w:val="0"/>
          <w:bCs/>
          <w:szCs w:val="24"/>
          <w:lang w:val="en-GB"/>
        </w:rPr>
        <w:t xml:space="preserve"> </w:t>
      </w:r>
    </w:p>
    <w:p w14:paraId="7677C397" w14:textId="77777777" w:rsidR="008255F9" w:rsidRDefault="008255F9" w:rsidP="008255F9">
      <w:pPr>
        <w:spacing w:line="240" w:lineRule="auto"/>
        <w:jc w:val="both"/>
        <w:rPr>
          <w:rFonts w:eastAsia="Calibri" w:cs="Times New Roman"/>
          <w:b w:val="0"/>
          <w:bCs/>
          <w:szCs w:val="24"/>
          <w:lang w:val="en-GB"/>
        </w:rPr>
      </w:pPr>
    </w:p>
    <w:p w14:paraId="6B977462" w14:textId="77777777" w:rsidR="008255F9" w:rsidRPr="00F5499F" w:rsidRDefault="008255F9" w:rsidP="008255F9">
      <w:pPr>
        <w:spacing w:line="240" w:lineRule="auto"/>
        <w:jc w:val="both"/>
        <w:rPr>
          <w:rFonts w:eastAsia="Calibri" w:cs="Times New Roman"/>
          <w:b w:val="0"/>
          <w:bCs/>
          <w:szCs w:val="24"/>
          <w:lang w:val="en-GB"/>
        </w:rPr>
      </w:pPr>
    </w:p>
    <w:p w14:paraId="2C58CF9C" w14:textId="77777777" w:rsidR="008255F9" w:rsidRDefault="008255F9" w:rsidP="008255F9"/>
    <w:p w14:paraId="66215ED3" w14:textId="3A79519F" w:rsidR="008255F9" w:rsidRDefault="008255F9" w:rsidP="008255F9">
      <w:pPr>
        <w:spacing w:line="360" w:lineRule="auto"/>
        <w:jc w:val="both"/>
        <w:rPr>
          <w:rFonts w:eastAsia="Times New Roman" w:cs="Times New Roman"/>
          <w:b w:val="0"/>
          <w:color w:val="000000"/>
          <w:szCs w:val="24"/>
          <w:lang w:eastAsia="en-MY"/>
        </w:rPr>
      </w:pPr>
    </w:p>
    <w:p w14:paraId="5B3D0BC3" w14:textId="4FF93139" w:rsidR="008255F9" w:rsidRDefault="008255F9" w:rsidP="008255F9">
      <w:pPr>
        <w:spacing w:line="360" w:lineRule="auto"/>
        <w:jc w:val="both"/>
        <w:rPr>
          <w:rFonts w:eastAsia="Times New Roman" w:cs="Times New Roman"/>
          <w:b w:val="0"/>
          <w:color w:val="000000"/>
          <w:szCs w:val="24"/>
          <w:lang w:eastAsia="en-MY"/>
        </w:rPr>
      </w:pPr>
    </w:p>
    <w:p w14:paraId="25E23B70" w14:textId="730F0875" w:rsidR="008255F9" w:rsidRDefault="008255F9" w:rsidP="008255F9">
      <w:pPr>
        <w:spacing w:line="360" w:lineRule="auto"/>
        <w:jc w:val="both"/>
        <w:rPr>
          <w:rFonts w:eastAsia="Times New Roman" w:cs="Times New Roman"/>
          <w:b w:val="0"/>
          <w:color w:val="000000"/>
          <w:szCs w:val="24"/>
          <w:lang w:eastAsia="en-MY"/>
        </w:rPr>
      </w:pPr>
    </w:p>
    <w:p w14:paraId="22C4695E" w14:textId="640AEE2C" w:rsidR="008255F9" w:rsidRDefault="008255F9" w:rsidP="008255F9">
      <w:pPr>
        <w:spacing w:line="360" w:lineRule="auto"/>
        <w:jc w:val="both"/>
        <w:rPr>
          <w:rFonts w:eastAsia="Times New Roman" w:cs="Times New Roman"/>
          <w:b w:val="0"/>
          <w:color w:val="000000"/>
          <w:szCs w:val="24"/>
          <w:lang w:eastAsia="en-MY"/>
        </w:rPr>
      </w:pPr>
    </w:p>
    <w:p w14:paraId="12600293" w14:textId="084F8D29" w:rsidR="008255F9" w:rsidRDefault="008255F9" w:rsidP="008255F9">
      <w:pPr>
        <w:spacing w:line="360" w:lineRule="auto"/>
        <w:jc w:val="both"/>
        <w:rPr>
          <w:rFonts w:eastAsia="Times New Roman" w:cs="Times New Roman"/>
          <w:b w:val="0"/>
          <w:color w:val="000000"/>
          <w:szCs w:val="24"/>
          <w:lang w:eastAsia="en-MY"/>
        </w:rPr>
      </w:pPr>
    </w:p>
    <w:p w14:paraId="6EE70382" w14:textId="2F7E731C" w:rsidR="008255F9" w:rsidRDefault="008255F9" w:rsidP="008255F9">
      <w:pPr>
        <w:spacing w:line="360" w:lineRule="auto"/>
        <w:jc w:val="both"/>
        <w:rPr>
          <w:rFonts w:eastAsia="Times New Roman" w:cs="Times New Roman"/>
          <w:b w:val="0"/>
          <w:color w:val="000000"/>
          <w:szCs w:val="24"/>
          <w:lang w:eastAsia="en-MY"/>
        </w:rPr>
      </w:pPr>
    </w:p>
    <w:p w14:paraId="2112CDC5" w14:textId="696CB4D0" w:rsidR="008255F9" w:rsidRDefault="008255F9" w:rsidP="008255F9">
      <w:pPr>
        <w:spacing w:line="360" w:lineRule="auto"/>
        <w:jc w:val="both"/>
        <w:rPr>
          <w:rFonts w:eastAsia="Times New Roman" w:cs="Times New Roman"/>
          <w:b w:val="0"/>
          <w:color w:val="000000"/>
          <w:szCs w:val="24"/>
          <w:lang w:eastAsia="en-MY"/>
        </w:rPr>
      </w:pPr>
    </w:p>
    <w:p w14:paraId="0A617CE3" w14:textId="5900C477" w:rsidR="008255F9" w:rsidRDefault="008255F9" w:rsidP="008255F9">
      <w:pPr>
        <w:spacing w:line="360" w:lineRule="auto"/>
        <w:jc w:val="both"/>
        <w:rPr>
          <w:rFonts w:eastAsia="Times New Roman" w:cs="Times New Roman"/>
          <w:b w:val="0"/>
          <w:color w:val="000000"/>
          <w:szCs w:val="24"/>
          <w:lang w:eastAsia="en-MY"/>
        </w:rPr>
      </w:pPr>
    </w:p>
    <w:p w14:paraId="0D7DE552" w14:textId="31D33755" w:rsidR="008255F9" w:rsidRDefault="008255F9" w:rsidP="008255F9">
      <w:pPr>
        <w:spacing w:line="360" w:lineRule="auto"/>
        <w:jc w:val="both"/>
        <w:rPr>
          <w:rFonts w:eastAsia="Times New Roman" w:cs="Times New Roman"/>
          <w:b w:val="0"/>
          <w:color w:val="000000"/>
          <w:szCs w:val="24"/>
          <w:lang w:eastAsia="en-MY"/>
        </w:rPr>
      </w:pPr>
    </w:p>
    <w:p w14:paraId="0EFE88BB" w14:textId="55D02109" w:rsidR="008255F9" w:rsidRDefault="008255F9" w:rsidP="008255F9">
      <w:pPr>
        <w:spacing w:line="360" w:lineRule="auto"/>
        <w:jc w:val="both"/>
        <w:rPr>
          <w:rFonts w:eastAsia="Times New Roman" w:cs="Times New Roman"/>
          <w:b w:val="0"/>
          <w:color w:val="000000"/>
          <w:szCs w:val="24"/>
          <w:lang w:eastAsia="en-MY"/>
        </w:rPr>
      </w:pPr>
    </w:p>
    <w:p w14:paraId="2C902B77" w14:textId="31E03BDD" w:rsidR="008255F9" w:rsidRDefault="008255F9" w:rsidP="008255F9">
      <w:pPr>
        <w:spacing w:line="360" w:lineRule="auto"/>
        <w:jc w:val="both"/>
        <w:rPr>
          <w:rFonts w:eastAsia="Times New Roman" w:cs="Times New Roman"/>
          <w:b w:val="0"/>
          <w:color w:val="000000"/>
          <w:szCs w:val="24"/>
          <w:lang w:eastAsia="en-MY"/>
        </w:rPr>
      </w:pPr>
    </w:p>
    <w:p w14:paraId="026559A4" w14:textId="052C9F94" w:rsidR="008255F9" w:rsidRDefault="008255F9" w:rsidP="008255F9">
      <w:pPr>
        <w:spacing w:line="360" w:lineRule="auto"/>
        <w:jc w:val="both"/>
        <w:rPr>
          <w:rFonts w:eastAsia="Times New Roman" w:cs="Times New Roman"/>
          <w:b w:val="0"/>
          <w:color w:val="000000"/>
          <w:szCs w:val="24"/>
          <w:lang w:eastAsia="en-MY"/>
        </w:rPr>
      </w:pPr>
    </w:p>
    <w:p w14:paraId="1BF2B0AF" w14:textId="4870F1B8" w:rsidR="008255F9" w:rsidRDefault="008255F9" w:rsidP="008255F9">
      <w:pPr>
        <w:spacing w:line="360" w:lineRule="auto"/>
        <w:jc w:val="both"/>
        <w:rPr>
          <w:rFonts w:eastAsia="Times New Roman" w:cs="Times New Roman"/>
          <w:b w:val="0"/>
          <w:color w:val="000000"/>
          <w:szCs w:val="24"/>
          <w:lang w:eastAsia="en-MY"/>
        </w:rPr>
      </w:pPr>
    </w:p>
    <w:p w14:paraId="2FF60DBA" w14:textId="77777777" w:rsidR="008255F9" w:rsidRDefault="008255F9" w:rsidP="008255F9">
      <w:pPr>
        <w:spacing w:line="360" w:lineRule="auto"/>
        <w:jc w:val="both"/>
        <w:rPr>
          <w:rFonts w:eastAsia="Times New Roman" w:cs="Times New Roman"/>
          <w:b w:val="0"/>
          <w:color w:val="000000"/>
          <w:szCs w:val="24"/>
          <w:lang w:eastAsia="en-MY"/>
        </w:rPr>
      </w:pPr>
    </w:p>
    <w:p w14:paraId="79C8419E" w14:textId="77777777" w:rsidR="00CB5F95" w:rsidRPr="0074222D" w:rsidRDefault="00CB5F95" w:rsidP="00CB5F95">
      <w:pPr>
        <w:pStyle w:val="Heading1"/>
        <w:rPr>
          <w:sz w:val="40"/>
          <w:szCs w:val="40"/>
          <w:lang w:val="en-GB"/>
        </w:rPr>
      </w:pPr>
      <w:r w:rsidRPr="0074222D">
        <w:rPr>
          <w:sz w:val="40"/>
          <w:szCs w:val="40"/>
          <w:lang w:val="en-GB"/>
        </w:rPr>
        <w:lastRenderedPageBreak/>
        <w:t>Appendices</w:t>
      </w:r>
      <w:bookmarkEnd w:id="994"/>
      <w:bookmarkEnd w:id="995"/>
      <w:bookmarkEnd w:id="996"/>
      <w:bookmarkEnd w:id="997"/>
      <w:bookmarkEnd w:id="998"/>
      <w:bookmarkEnd w:id="999"/>
      <w:bookmarkEnd w:id="1000"/>
    </w:p>
    <w:p w14:paraId="128A345A" w14:textId="77777777" w:rsidR="00CB5F95" w:rsidRPr="000746D7" w:rsidRDefault="00CB5F95" w:rsidP="00CB5F95">
      <w:pPr>
        <w:rPr>
          <w:szCs w:val="24"/>
          <w:lang w:val="en-GB"/>
        </w:rPr>
      </w:pPr>
    </w:p>
    <w:p w14:paraId="5B070E2D" w14:textId="77777777" w:rsidR="00CB5F95" w:rsidRPr="00832F50" w:rsidRDefault="00CB5F95" w:rsidP="00CB5F95">
      <w:pPr>
        <w:pStyle w:val="ListParagraph"/>
        <w:numPr>
          <w:ilvl w:val="0"/>
          <w:numId w:val="29"/>
        </w:numPr>
        <w:rPr>
          <w:b w:val="0"/>
          <w:lang w:val="en-GB"/>
        </w:rPr>
      </w:pPr>
      <w:r w:rsidRPr="00832F50">
        <w:rPr>
          <w:b w:val="0"/>
          <w:lang w:val="en-GB"/>
        </w:rPr>
        <w:t>Appendix A – Reference tables for the data used in property figures in Literature Review Chapter.</w:t>
      </w:r>
    </w:p>
    <w:p w14:paraId="38B7B801" w14:textId="77777777" w:rsidR="00CB5F95" w:rsidRPr="00832F50" w:rsidRDefault="00CB5F95" w:rsidP="00CB5F95">
      <w:pPr>
        <w:pStyle w:val="ListParagraph"/>
        <w:numPr>
          <w:ilvl w:val="0"/>
          <w:numId w:val="29"/>
        </w:numPr>
        <w:rPr>
          <w:b w:val="0"/>
          <w:lang w:val="en-GB"/>
        </w:rPr>
      </w:pPr>
      <w:bookmarkStart w:id="1001" w:name="_Toc523153630"/>
      <w:bookmarkStart w:id="1002" w:name="_Toc523402952"/>
      <w:bookmarkStart w:id="1003" w:name="_Toc525526463"/>
      <w:bookmarkStart w:id="1004" w:name="_Toc525707888"/>
      <w:bookmarkStart w:id="1005" w:name="_Toc525742553"/>
      <w:bookmarkStart w:id="1006" w:name="_Toc453575922"/>
      <w:bookmarkStart w:id="1007" w:name="_Toc453576686"/>
      <w:bookmarkStart w:id="1008" w:name="_Toc453770801"/>
      <w:bookmarkStart w:id="1009" w:name="_Toc515398749"/>
      <w:r w:rsidRPr="00832F50">
        <w:rPr>
          <w:b w:val="0"/>
          <w:lang w:val="en-GB"/>
        </w:rPr>
        <w:t>Appendix B – NMR Deconvolution</w:t>
      </w:r>
      <w:bookmarkEnd w:id="1001"/>
      <w:bookmarkEnd w:id="1002"/>
      <w:bookmarkEnd w:id="1003"/>
      <w:bookmarkEnd w:id="1004"/>
      <w:bookmarkEnd w:id="1005"/>
      <w:r w:rsidRPr="00832F50">
        <w:rPr>
          <w:b w:val="0"/>
          <w:lang w:val="en-GB"/>
        </w:rPr>
        <w:t xml:space="preserve"> </w:t>
      </w:r>
    </w:p>
    <w:p w14:paraId="7B1AC82A" w14:textId="77777777" w:rsidR="00CB5F95" w:rsidRPr="00832F50" w:rsidRDefault="00CB5F95" w:rsidP="00CB5F95">
      <w:pPr>
        <w:pStyle w:val="ListParagraph"/>
        <w:numPr>
          <w:ilvl w:val="0"/>
          <w:numId w:val="29"/>
        </w:numPr>
        <w:rPr>
          <w:b w:val="0"/>
          <w:lang w:val="en-GB"/>
        </w:rPr>
      </w:pPr>
      <w:bookmarkStart w:id="1010" w:name="_Toc523153631"/>
      <w:bookmarkStart w:id="1011" w:name="_Toc523402953"/>
      <w:bookmarkStart w:id="1012" w:name="_Toc525526464"/>
      <w:bookmarkStart w:id="1013" w:name="_Toc525703789"/>
      <w:bookmarkStart w:id="1014" w:name="_Toc525707889"/>
      <w:bookmarkStart w:id="1015" w:name="_Toc525742554"/>
      <w:r w:rsidRPr="00832F50">
        <w:rPr>
          <w:b w:val="0"/>
          <w:lang w:val="en-GB"/>
        </w:rPr>
        <w:t>Appendix C – Raman deconvolution</w:t>
      </w:r>
      <w:bookmarkEnd w:id="1010"/>
      <w:bookmarkEnd w:id="1011"/>
      <w:bookmarkEnd w:id="1012"/>
      <w:bookmarkEnd w:id="1013"/>
      <w:bookmarkEnd w:id="1014"/>
      <w:bookmarkEnd w:id="1015"/>
      <w:r w:rsidRPr="00832F50">
        <w:rPr>
          <w:b w:val="0"/>
          <w:lang w:val="en-GB"/>
        </w:rPr>
        <w:t xml:space="preserve"> </w:t>
      </w:r>
    </w:p>
    <w:p w14:paraId="4D7DF03D" w14:textId="77777777" w:rsidR="00CB5F95" w:rsidRPr="00832F50" w:rsidRDefault="00CB5F95" w:rsidP="00CB5F95">
      <w:pPr>
        <w:pStyle w:val="ListParagraph"/>
        <w:numPr>
          <w:ilvl w:val="0"/>
          <w:numId w:val="29"/>
        </w:numPr>
        <w:rPr>
          <w:b w:val="0"/>
          <w:lang w:val="en-GB"/>
        </w:rPr>
      </w:pPr>
      <w:bookmarkStart w:id="1016" w:name="_Toc523153632"/>
      <w:bookmarkStart w:id="1017" w:name="_Toc523402954"/>
      <w:bookmarkStart w:id="1018" w:name="_Toc525526465"/>
      <w:bookmarkStart w:id="1019" w:name="_Toc525703790"/>
      <w:bookmarkStart w:id="1020" w:name="_Toc525707890"/>
      <w:bookmarkStart w:id="1021" w:name="_Toc525742555"/>
      <w:r w:rsidRPr="00832F50">
        <w:rPr>
          <w:b w:val="0"/>
          <w:lang w:val="en-GB"/>
        </w:rPr>
        <w:t>Appendix D – Details of glass composition and their charge balance.</w:t>
      </w:r>
      <w:bookmarkEnd w:id="1016"/>
      <w:bookmarkEnd w:id="1017"/>
      <w:bookmarkEnd w:id="1018"/>
      <w:bookmarkEnd w:id="1019"/>
      <w:bookmarkEnd w:id="1020"/>
      <w:bookmarkEnd w:id="1021"/>
    </w:p>
    <w:p w14:paraId="73762D19" w14:textId="77777777" w:rsidR="00CB5F95" w:rsidRPr="00832F50" w:rsidRDefault="00CB5F95" w:rsidP="00CB5F95">
      <w:pPr>
        <w:pStyle w:val="ListParagraph"/>
        <w:numPr>
          <w:ilvl w:val="0"/>
          <w:numId w:val="29"/>
        </w:numPr>
        <w:rPr>
          <w:b w:val="0"/>
          <w:lang w:val="en-GB"/>
        </w:rPr>
      </w:pPr>
      <w:bookmarkStart w:id="1022" w:name="_Toc523153633"/>
      <w:bookmarkStart w:id="1023" w:name="_Toc523402955"/>
      <w:bookmarkStart w:id="1024" w:name="_Toc525526466"/>
      <w:bookmarkStart w:id="1025" w:name="_Toc525703791"/>
      <w:bookmarkStart w:id="1026" w:name="_Toc525707891"/>
      <w:bookmarkStart w:id="1027" w:name="_Toc525742556"/>
      <w:r w:rsidRPr="00832F50">
        <w:rPr>
          <w:b w:val="0"/>
          <w:lang w:val="en-GB"/>
        </w:rPr>
        <w:t xml:space="preserve">Appendix E - </w:t>
      </w:r>
      <w:bookmarkStart w:id="1028" w:name="_Toc453575923"/>
      <w:bookmarkStart w:id="1029" w:name="_Toc453576687"/>
      <w:bookmarkStart w:id="1030" w:name="_Toc453770802"/>
      <w:bookmarkStart w:id="1031" w:name="_Toc515398750"/>
      <w:bookmarkEnd w:id="1006"/>
      <w:bookmarkEnd w:id="1007"/>
      <w:bookmarkEnd w:id="1008"/>
      <w:bookmarkEnd w:id="1009"/>
      <w:r w:rsidRPr="00832F50">
        <w:rPr>
          <w:b w:val="0"/>
          <w:lang w:val="en-GB"/>
        </w:rPr>
        <w:t>Tables and figures of experimental results of the produced glass series.</w:t>
      </w:r>
      <w:bookmarkEnd w:id="1022"/>
      <w:bookmarkEnd w:id="1023"/>
      <w:bookmarkEnd w:id="1024"/>
      <w:bookmarkEnd w:id="1025"/>
      <w:bookmarkEnd w:id="1026"/>
      <w:bookmarkEnd w:id="1027"/>
    </w:p>
    <w:p w14:paraId="17AD093A" w14:textId="77777777" w:rsidR="00CB5F95" w:rsidRPr="00832F50" w:rsidRDefault="00CB5F95" w:rsidP="00CB5F95">
      <w:pPr>
        <w:numPr>
          <w:ilvl w:val="2"/>
          <w:numId w:val="29"/>
        </w:numPr>
        <w:spacing w:line="360" w:lineRule="auto"/>
        <w:contextualSpacing/>
        <w:rPr>
          <w:rFonts w:cs="Times New Roman"/>
          <w:b w:val="0"/>
          <w:szCs w:val="24"/>
          <w:lang w:val="en-GB"/>
        </w:rPr>
      </w:pPr>
      <w:r w:rsidRPr="00832F50">
        <w:rPr>
          <w:rFonts w:eastAsia="Calibri" w:cs="Times New Roman"/>
          <w:b w:val="0"/>
          <w:bCs/>
          <w:szCs w:val="24"/>
          <w:lang w:val="en-GB"/>
        </w:rPr>
        <w:t>Physical and thermal properties of glass series</w:t>
      </w:r>
      <w:r w:rsidRPr="00832F50">
        <w:rPr>
          <w:rFonts w:cs="Times New Roman"/>
          <w:b w:val="0"/>
          <w:szCs w:val="24"/>
          <w:lang w:val="en-GB"/>
        </w:rPr>
        <w:t>.</w:t>
      </w:r>
    </w:p>
    <w:p w14:paraId="6447B455" w14:textId="77777777" w:rsidR="00CB5F95" w:rsidRPr="00832F50" w:rsidRDefault="00CB5F95" w:rsidP="00CB5F95">
      <w:pPr>
        <w:numPr>
          <w:ilvl w:val="2"/>
          <w:numId w:val="29"/>
        </w:numPr>
        <w:spacing w:line="360" w:lineRule="auto"/>
        <w:contextualSpacing/>
        <w:rPr>
          <w:rFonts w:cs="Times New Roman"/>
          <w:b w:val="0"/>
          <w:szCs w:val="24"/>
          <w:lang w:val="en-GB"/>
        </w:rPr>
      </w:pPr>
      <w:r w:rsidRPr="00832F50">
        <w:rPr>
          <w:rFonts w:eastAsia="Calibri" w:cs="Times New Roman"/>
          <w:b w:val="0"/>
          <w:bCs/>
          <w:szCs w:val="24"/>
          <w:lang w:val="en-GB"/>
        </w:rPr>
        <w:t>Structural properties of glass series</w:t>
      </w:r>
      <w:r w:rsidRPr="00832F50">
        <w:rPr>
          <w:rFonts w:cs="Times New Roman"/>
          <w:b w:val="0"/>
          <w:szCs w:val="24"/>
          <w:lang w:val="en-GB"/>
        </w:rPr>
        <w:t>.</w:t>
      </w:r>
    </w:p>
    <w:p w14:paraId="2DDE1EE9" w14:textId="77777777" w:rsidR="00CB5F95" w:rsidRPr="00832F50" w:rsidRDefault="00CB5F95" w:rsidP="00CB5F95">
      <w:pPr>
        <w:numPr>
          <w:ilvl w:val="2"/>
          <w:numId w:val="29"/>
        </w:numPr>
        <w:spacing w:line="360" w:lineRule="auto"/>
        <w:contextualSpacing/>
        <w:rPr>
          <w:rFonts w:cs="Times New Roman"/>
          <w:b w:val="0"/>
          <w:szCs w:val="24"/>
          <w:lang w:val="en-GB"/>
        </w:rPr>
      </w:pPr>
      <w:r w:rsidRPr="00832F50">
        <w:rPr>
          <w:rFonts w:eastAsia="Calibri" w:cs="Times New Roman"/>
          <w:b w:val="0"/>
          <w:bCs/>
          <w:szCs w:val="24"/>
          <w:lang w:val="en-GB"/>
        </w:rPr>
        <w:t>Elastic properties of glass series</w:t>
      </w:r>
    </w:p>
    <w:p w14:paraId="3D54980D" w14:textId="77777777" w:rsidR="00CB5F95" w:rsidRPr="00832F50" w:rsidRDefault="00CB5F95" w:rsidP="00CB5F95">
      <w:pPr>
        <w:numPr>
          <w:ilvl w:val="2"/>
          <w:numId w:val="29"/>
        </w:numPr>
        <w:spacing w:after="0" w:line="360" w:lineRule="auto"/>
        <w:contextualSpacing/>
        <w:rPr>
          <w:rFonts w:cs="Times New Roman"/>
          <w:b w:val="0"/>
          <w:szCs w:val="24"/>
          <w:lang w:val="en-GB"/>
        </w:rPr>
      </w:pPr>
      <w:r w:rsidRPr="00832F50">
        <w:rPr>
          <w:rFonts w:eastAsia="Calibri" w:cs="Times New Roman"/>
          <w:b w:val="0"/>
          <w:bCs/>
          <w:szCs w:val="24"/>
          <w:lang w:val="en-GB"/>
        </w:rPr>
        <w:t>Other measured mechanical properties of glass series</w:t>
      </w:r>
    </w:p>
    <w:p w14:paraId="715A0888" w14:textId="77777777" w:rsidR="00CB5F95" w:rsidRPr="00832F50" w:rsidRDefault="00CB5F95" w:rsidP="00CB5F95">
      <w:pPr>
        <w:pStyle w:val="ListParagraph"/>
        <w:numPr>
          <w:ilvl w:val="0"/>
          <w:numId w:val="29"/>
        </w:numPr>
        <w:rPr>
          <w:b w:val="0"/>
          <w:lang w:val="en-GB"/>
        </w:rPr>
      </w:pPr>
      <w:bookmarkStart w:id="1032" w:name="_Toc523153634"/>
      <w:bookmarkStart w:id="1033" w:name="_Toc523402956"/>
      <w:bookmarkStart w:id="1034" w:name="_Toc525526467"/>
      <w:bookmarkStart w:id="1035" w:name="_Toc525703792"/>
      <w:bookmarkStart w:id="1036" w:name="_Toc525707892"/>
      <w:bookmarkStart w:id="1037" w:name="_Toc525742557"/>
      <w:bookmarkEnd w:id="1028"/>
      <w:bookmarkEnd w:id="1029"/>
      <w:bookmarkEnd w:id="1030"/>
      <w:bookmarkEnd w:id="1031"/>
      <w:r w:rsidRPr="00832F50">
        <w:rPr>
          <w:b w:val="0"/>
          <w:lang w:val="en-GB"/>
        </w:rPr>
        <w:t>Appendix F – Ternary diagram of composition and physical properties.</w:t>
      </w:r>
      <w:bookmarkEnd w:id="1032"/>
      <w:bookmarkEnd w:id="1033"/>
      <w:bookmarkEnd w:id="1034"/>
      <w:bookmarkEnd w:id="1035"/>
      <w:bookmarkEnd w:id="1036"/>
      <w:bookmarkEnd w:id="1037"/>
      <w:r w:rsidRPr="00832F50">
        <w:rPr>
          <w:b w:val="0"/>
          <w:lang w:val="en-GB"/>
        </w:rPr>
        <w:t xml:space="preserve"> </w:t>
      </w:r>
    </w:p>
    <w:p w14:paraId="26063322" w14:textId="77777777" w:rsidR="00CB5F95" w:rsidRPr="00832F50" w:rsidRDefault="00CB5F95" w:rsidP="00CB5F95">
      <w:pPr>
        <w:pStyle w:val="ListParagraph"/>
        <w:numPr>
          <w:ilvl w:val="0"/>
          <w:numId w:val="29"/>
        </w:numPr>
        <w:rPr>
          <w:b w:val="0"/>
          <w:lang w:val="en-GB"/>
        </w:rPr>
      </w:pPr>
      <w:r w:rsidRPr="00832F50">
        <w:rPr>
          <w:b w:val="0"/>
          <w:lang w:val="en-GB"/>
        </w:rPr>
        <w:t>Appendix G – X-Ray Diffraction</w:t>
      </w:r>
    </w:p>
    <w:p w14:paraId="56E45E37" w14:textId="77777777" w:rsidR="00CB5F95" w:rsidRPr="00832F50" w:rsidRDefault="00CB5F95" w:rsidP="00CB5F95">
      <w:pPr>
        <w:pStyle w:val="ListParagraph"/>
        <w:numPr>
          <w:ilvl w:val="0"/>
          <w:numId w:val="29"/>
        </w:numPr>
        <w:rPr>
          <w:b w:val="0"/>
          <w:lang w:val="en-GB"/>
        </w:rPr>
      </w:pPr>
      <w:r w:rsidRPr="00832F50">
        <w:rPr>
          <w:b w:val="0"/>
          <w:lang w:val="en-GB"/>
        </w:rPr>
        <w:t>Appendix H – Differential Thermal Analysis</w:t>
      </w:r>
    </w:p>
    <w:p w14:paraId="11FF4D08" w14:textId="77777777" w:rsidR="00CB5F95" w:rsidRPr="000746D7" w:rsidRDefault="00CB5F95" w:rsidP="00CB5F95">
      <w:pPr>
        <w:rPr>
          <w:szCs w:val="24"/>
        </w:rPr>
      </w:pPr>
    </w:p>
    <w:p w14:paraId="0A3AF8B6" w14:textId="77777777" w:rsidR="00CB5F95" w:rsidRPr="000E2377" w:rsidRDefault="00CB5F95" w:rsidP="00CB5F95"/>
    <w:p w14:paraId="13641890" w14:textId="77777777" w:rsidR="00CB5F95" w:rsidRPr="000E2377" w:rsidRDefault="00CB5F95" w:rsidP="00CB5F95"/>
    <w:p w14:paraId="020F19DE" w14:textId="77777777" w:rsidR="00CB5F95" w:rsidRPr="000E2377" w:rsidRDefault="00CB5F95" w:rsidP="00CB5F95"/>
    <w:p w14:paraId="18600D0D" w14:textId="77777777" w:rsidR="00CB5F95" w:rsidRPr="000E2377" w:rsidRDefault="00CB5F95" w:rsidP="00CB5F95"/>
    <w:p w14:paraId="37E1766E" w14:textId="77777777" w:rsidR="00CB5F95" w:rsidRDefault="00CB5F95" w:rsidP="00CB5F95"/>
    <w:p w14:paraId="5F89281C" w14:textId="77777777" w:rsidR="00CB5F95" w:rsidRDefault="00CB5F95" w:rsidP="00CB5F95"/>
    <w:p w14:paraId="2BD4A552" w14:textId="77777777" w:rsidR="00CB5F95" w:rsidRDefault="00CB5F95" w:rsidP="00CB5F95"/>
    <w:p w14:paraId="17D70AE4" w14:textId="77777777" w:rsidR="00CB5F95" w:rsidRPr="000E2377" w:rsidRDefault="00CB5F95" w:rsidP="00CB5F95"/>
    <w:p w14:paraId="2FC986F9" w14:textId="77777777" w:rsidR="00CB5F95" w:rsidRPr="000E2377" w:rsidRDefault="00CB5F95" w:rsidP="00CB5F95"/>
    <w:p w14:paraId="614BD67F" w14:textId="77777777" w:rsidR="00CB5F95" w:rsidRDefault="00CB5F95" w:rsidP="00CB5F95"/>
    <w:p w14:paraId="3570B063" w14:textId="77777777" w:rsidR="00CB5F95" w:rsidRPr="000E2377" w:rsidRDefault="00CB5F95" w:rsidP="00CB5F95"/>
    <w:p w14:paraId="3F2B8F2C" w14:textId="77777777" w:rsidR="00CB5F95" w:rsidRPr="000E2377" w:rsidRDefault="00CB5F95" w:rsidP="00CB5F95"/>
    <w:p w14:paraId="05205039" w14:textId="77777777" w:rsidR="00CB5F95" w:rsidRPr="000E2377" w:rsidRDefault="00CB5F95" w:rsidP="00CB5F95"/>
    <w:p w14:paraId="43B247E4" w14:textId="77777777" w:rsidR="00CB5F95" w:rsidRPr="000E2377" w:rsidRDefault="00CB5F95" w:rsidP="00987DA0">
      <w:pPr>
        <w:jc w:val="center"/>
      </w:pPr>
      <w:bookmarkStart w:id="1038" w:name="_Toc515398752"/>
      <w:bookmarkStart w:id="1039" w:name="_Toc523153635"/>
      <w:bookmarkStart w:id="1040" w:name="_Toc523402957"/>
      <w:bookmarkStart w:id="1041" w:name="_Toc525526468"/>
      <w:bookmarkStart w:id="1042" w:name="_Toc525703793"/>
      <w:bookmarkStart w:id="1043" w:name="_Toc525707893"/>
      <w:bookmarkStart w:id="1044" w:name="_Toc525742558"/>
      <w:r w:rsidRPr="000E2377">
        <w:lastRenderedPageBreak/>
        <w:t>APPENDIX</w:t>
      </w:r>
      <w:bookmarkEnd w:id="1038"/>
      <w:r w:rsidRPr="000E2377">
        <w:t xml:space="preserve"> A</w:t>
      </w:r>
      <w:bookmarkEnd w:id="1039"/>
      <w:bookmarkEnd w:id="1040"/>
      <w:bookmarkEnd w:id="1041"/>
      <w:bookmarkEnd w:id="1042"/>
      <w:bookmarkEnd w:id="1043"/>
      <w:bookmarkEnd w:id="1044"/>
    </w:p>
    <w:p w14:paraId="297CBD9C" w14:textId="77777777" w:rsidR="00CB5F95" w:rsidRPr="000E2377" w:rsidRDefault="00CB5F95" w:rsidP="00CB5F95">
      <w:pPr>
        <w:pStyle w:val="Caption"/>
        <w:spacing w:before="200"/>
        <w:rPr>
          <w:szCs w:val="24"/>
        </w:rPr>
      </w:pPr>
      <w:r w:rsidRPr="000E2377">
        <w:rPr>
          <w:szCs w:val="24"/>
        </w:rPr>
        <w:t>References for the mechanical property data which are used in the property space plots.</w:t>
      </w:r>
    </w:p>
    <w:tbl>
      <w:tblPr>
        <w:tblW w:w="6237" w:type="dxa"/>
        <w:jc w:val="center"/>
        <w:tblLook w:val="04A0" w:firstRow="1" w:lastRow="0" w:firstColumn="1" w:lastColumn="0" w:noHBand="0" w:noVBand="1"/>
      </w:tblPr>
      <w:tblGrid>
        <w:gridCol w:w="2740"/>
        <w:gridCol w:w="3497"/>
      </w:tblGrid>
      <w:tr w:rsidR="00CB5F95" w:rsidRPr="000E2377" w14:paraId="3AF46113" w14:textId="77777777" w:rsidTr="00CB5F95">
        <w:trPr>
          <w:trHeight w:val="300"/>
          <w:jc w:val="center"/>
        </w:trPr>
        <w:tc>
          <w:tcPr>
            <w:tcW w:w="2740" w:type="dxa"/>
            <w:tcBorders>
              <w:top w:val="single" w:sz="4" w:space="0" w:color="auto"/>
              <w:left w:val="nil"/>
              <w:bottom w:val="single" w:sz="4" w:space="0" w:color="auto"/>
              <w:right w:val="nil"/>
            </w:tcBorders>
            <w:shd w:val="clear" w:color="auto" w:fill="auto"/>
            <w:noWrap/>
            <w:vAlign w:val="center"/>
            <w:hideMark/>
          </w:tcPr>
          <w:p w14:paraId="3182E3F6"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Types of glass</w:t>
            </w:r>
          </w:p>
        </w:tc>
        <w:tc>
          <w:tcPr>
            <w:tcW w:w="3497" w:type="dxa"/>
            <w:tcBorders>
              <w:top w:val="single" w:sz="4" w:space="0" w:color="auto"/>
              <w:left w:val="nil"/>
              <w:bottom w:val="single" w:sz="4" w:space="0" w:color="auto"/>
              <w:right w:val="nil"/>
            </w:tcBorders>
            <w:shd w:val="clear" w:color="auto" w:fill="auto"/>
            <w:noWrap/>
            <w:vAlign w:val="center"/>
            <w:hideMark/>
          </w:tcPr>
          <w:p w14:paraId="0570297D"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Reference</w:t>
            </w:r>
          </w:p>
        </w:tc>
      </w:tr>
      <w:tr w:rsidR="00CB5F95" w:rsidRPr="000E2377" w14:paraId="6B0C5AB8"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4C3CE660" w14:textId="77777777" w:rsidR="00CB5F95" w:rsidRPr="000E2377" w:rsidRDefault="00CB5F95" w:rsidP="00CB5F95">
            <w:pPr>
              <w:spacing w:after="0" w:line="360" w:lineRule="auto"/>
              <w:jc w:val="center"/>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NaCaSiM</w:t>
            </w:r>
            <w:proofErr w:type="spellEnd"/>
            <w:r w:rsidRPr="000E2377">
              <w:rPr>
                <w:rFonts w:eastAsia="Times New Roman" w:cs="Times New Roman"/>
                <w:b w:val="0"/>
                <w:color w:val="000000"/>
                <w:szCs w:val="24"/>
                <w:lang w:eastAsia="en-MY"/>
              </w:rPr>
              <w:t xml:space="preserve"> 1</w:t>
            </w:r>
          </w:p>
        </w:tc>
        <w:tc>
          <w:tcPr>
            <w:tcW w:w="3497" w:type="dxa"/>
            <w:tcBorders>
              <w:top w:val="nil"/>
              <w:left w:val="nil"/>
              <w:bottom w:val="nil"/>
              <w:right w:val="nil"/>
            </w:tcBorders>
            <w:shd w:val="clear" w:color="auto" w:fill="auto"/>
            <w:noWrap/>
            <w:vAlign w:val="center"/>
            <w:hideMark/>
          </w:tcPr>
          <w:p w14:paraId="575ECDDC"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"10.1016/j.jnoncrysol.2015.08.013", "ISSN" : "00223093", "abstract" : "The effects of varying the alkaline earth oxide content of three series of soda-lime-silica glasses with the general formulae 13.5Na&lt;inf&gt;2&lt;/inf&gt;O??xMgO??10CaO??1.5Al&lt;inf&gt;2&lt;/inf&gt;O&lt;inf&gt;3&lt;/inf&gt;??(75 - x)SiO&lt;inf&gt;2&lt;/inf&gt; (mol.%) where x = 0, 1, 2, 3, 4, 5, 6, and 7; 13.5Na&lt;inf&gt;2&lt;/inf&gt;O??3MgO??(7 + y)CaO??1.5Al&lt;inf&gt;2&lt;/inf&gt;O&lt;inf&gt;3&lt;/inf&gt;??(75 - y)SiO&lt;inf&gt;2&lt;/inf&gt; (mol.%) where y = 0, 1, 2, 3, 4, 5, 6, and 7 and 13.5Na&lt;inf&gt;2&lt;/inf&gt;O??zMgO??(13 - z)CaO??1.5Al&lt;inf&gt;2&lt;/inf&gt;O&lt;inf&gt;3&lt;/inf&gt;??72SiO&lt;inf&gt;2&lt;/inf&gt; (mol.%) where z = 1, 3, 5, 7, 9, and 11 have been examined. Raman spectroscopy and nuclear magnetic resonance (NMR) spectroscopy have been used to assess network connectivity. In the first two glass series network connectivity decreases with increasing alkaline earth addition whereas in the third series connectivity tends to be greater for the more magnesia rich glasses suggesting that magnesia does have a different effect to lime on network connectivity, but only when magnesia is the dominant alkaline earth species. Fracture toughness has been measured using bend testing, which avoids many of the questions raised by the widely used indentation technique. Moduli have been assessed using acoustic means. It was found that the mechanical properties tend to decrease with increasing network connectivity for all three glass series. For the MgO-SiO&lt;inf&gt;2&lt;/inf&gt; series and CaO-SiO&lt;inf&gt;2&lt;/inf&gt; glasses increasing the alkaline earth content at the expense of the silica content resulted in increased network depolymerization, whereas for the MgO-CaO series when MgO became the dominant alkaline earth species, network depolymerization was reduced. Thus whilst MgO and CaO both act as network modifiers when more CaO than MgO is present in soda-lime-silica glasses, a difference in behaviour is seen with magnesia rich soda-magnesia-silica glasses. In contradiction to previous data no significant advantage of replacing CaO by MgO is observed. In addition it appears that the glasses with the lowest fracture toughness values may be more resilient to contact damage than those with the higher fracture toughness values.", "author" : [ { "dropping-particle" : "", "family" : "Kilinc", "given" : "Erhan", "non-dropping-particle" : "", "parse-names" : false, "suffix" : "" }, { "dropping-particle" : "", "family" : "Hand", "given" : "Russell J.", "non-dropping-particle" : "", "parse-names" : false, "suffix" : "" } ], "container-title" : "Journal of Non-Crystalline Solids", "id" : "ITEM-1", "issued" : { "date-parts" : [ [ "2015" ] ] }, "page" : "190-197", "publisher" : "Elsevier B.V.", "title" : "Mechanical properties of soda-lime-silica glasses with varying alkaline earth contents", "type" : "article-journal", "volume" : "429" }, "uris" : [ "http://www.mendeley.com/documents/?uuid=e13d0b43-c3bd-445d-9e34-20db699e6c29" ] } ], "mendeley" : { "formattedCitation" : "(Kilinc &amp; Hand, 2015)", "plainTextFormattedCitation" : "(Kilinc &amp; Hand, 2015)", "previouslyFormattedCitation" : "(Kilinc &amp; Hand, 2015)"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(Kilinc &amp; Hand, 2015)</w:t>
            </w:r>
            <w:r w:rsidRPr="000E2377">
              <w:rPr>
                <w:rFonts w:eastAsia="Times New Roman" w:cs="Times New Roman"/>
                <w:b w:val="0"/>
                <w:color w:val="000000"/>
                <w:szCs w:val="24"/>
                <w:lang w:eastAsia="en-MY"/>
              </w:rPr>
              <w:fldChar w:fldCharType="end"/>
            </w:r>
          </w:p>
        </w:tc>
      </w:tr>
      <w:tr w:rsidR="00CB5F95" w:rsidRPr="000E2377" w14:paraId="090DA479"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540130F7" w14:textId="77777777" w:rsidR="00CB5F95" w:rsidRPr="000E2377" w:rsidRDefault="00CB5F95" w:rsidP="00CB5F95">
            <w:pPr>
              <w:spacing w:after="0" w:line="360" w:lineRule="auto"/>
              <w:jc w:val="center"/>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NaCaSiM</w:t>
            </w:r>
            <w:proofErr w:type="spellEnd"/>
            <w:r w:rsidRPr="000E2377">
              <w:rPr>
                <w:rFonts w:eastAsia="Times New Roman" w:cs="Times New Roman"/>
                <w:b w:val="0"/>
                <w:color w:val="000000"/>
                <w:szCs w:val="24"/>
                <w:lang w:eastAsia="en-MY"/>
              </w:rPr>
              <w:t xml:space="preserve"> 2</w:t>
            </w:r>
          </w:p>
        </w:tc>
        <w:tc>
          <w:tcPr>
            <w:tcW w:w="3497" w:type="dxa"/>
            <w:tcBorders>
              <w:top w:val="nil"/>
              <w:left w:val="nil"/>
              <w:bottom w:val="nil"/>
              <w:right w:val="nil"/>
            </w:tcBorders>
            <w:shd w:val="clear" w:color="auto" w:fill="auto"/>
            <w:noWrap/>
            <w:vAlign w:val="center"/>
            <w:hideMark/>
          </w:tcPr>
          <w:p w14:paraId="4CC051C4"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w:t>
            </w:r>
            <w:proofErr w:type="spellStart"/>
            <w:r w:rsidRPr="000E2377">
              <w:rPr>
                <w:rFonts w:eastAsia="Times New Roman" w:cs="Times New Roman"/>
                <w:b w:val="0"/>
                <w:color w:val="000000"/>
                <w:szCs w:val="24"/>
                <w:lang w:eastAsia="en-MY"/>
              </w:rPr>
              <w:t>Kilinc</w:t>
            </w:r>
            <w:proofErr w:type="spellEnd"/>
            <w:r w:rsidRPr="000E2377">
              <w:rPr>
                <w:rFonts w:eastAsia="Times New Roman" w:cs="Times New Roman"/>
                <w:b w:val="0"/>
                <w:color w:val="000000"/>
                <w:szCs w:val="24"/>
                <w:lang w:eastAsia="en-MY"/>
              </w:rPr>
              <w:t xml:space="preserve"> &amp; Hand, 2015)</w:t>
            </w:r>
          </w:p>
        </w:tc>
      </w:tr>
      <w:tr w:rsidR="00CB5F95" w:rsidRPr="000E2377" w14:paraId="46F87D8F"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6B6B6862" w14:textId="77777777" w:rsidR="00CB5F95" w:rsidRPr="000E2377" w:rsidRDefault="00CB5F95" w:rsidP="00CB5F95">
            <w:pPr>
              <w:spacing w:after="0" w:line="360" w:lineRule="auto"/>
              <w:jc w:val="center"/>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NaCaSiM</w:t>
            </w:r>
            <w:proofErr w:type="spellEnd"/>
            <w:r w:rsidRPr="000E2377">
              <w:rPr>
                <w:rFonts w:eastAsia="Times New Roman" w:cs="Times New Roman"/>
                <w:b w:val="0"/>
                <w:color w:val="000000"/>
                <w:szCs w:val="24"/>
                <w:lang w:eastAsia="en-MY"/>
              </w:rPr>
              <w:t xml:space="preserve"> 3</w:t>
            </w:r>
          </w:p>
        </w:tc>
        <w:tc>
          <w:tcPr>
            <w:tcW w:w="3497" w:type="dxa"/>
            <w:tcBorders>
              <w:top w:val="nil"/>
              <w:left w:val="nil"/>
              <w:bottom w:val="nil"/>
              <w:right w:val="nil"/>
            </w:tcBorders>
            <w:shd w:val="clear" w:color="auto" w:fill="auto"/>
            <w:noWrap/>
            <w:vAlign w:val="center"/>
            <w:hideMark/>
          </w:tcPr>
          <w:p w14:paraId="12905ACF"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w:t>
            </w:r>
            <w:proofErr w:type="spellStart"/>
            <w:r w:rsidRPr="000E2377">
              <w:rPr>
                <w:rFonts w:eastAsia="Times New Roman" w:cs="Times New Roman"/>
                <w:b w:val="0"/>
                <w:color w:val="000000"/>
                <w:szCs w:val="24"/>
                <w:lang w:eastAsia="en-MY"/>
              </w:rPr>
              <w:t>Kilinc</w:t>
            </w:r>
            <w:proofErr w:type="spellEnd"/>
            <w:r w:rsidRPr="000E2377">
              <w:rPr>
                <w:rFonts w:eastAsia="Times New Roman" w:cs="Times New Roman"/>
                <w:b w:val="0"/>
                <w:color w:val="000000"/>
                <w:szCs w:val="24"/>
                <w:lang w:eastAsia="en-MY"/>
              </w:rPr>
              <w:t xml:space="preserve"> &amp; Hand, 2015)</w:t>
            </w:r>
          </w:p>
        </w:tc>
      </w:tr>
      <w:tr w:rsidR="00CB5F95" w:rsidRPr="000E2377" w14:paraId="14146C14"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45F59FEE" w14:textId="77777777" w:rsidR="00CB5F95" w:rsidRPr="000E2377" w:rsidRDefault="00CB5F95" w:rsidP="00CB5F95">
            <w:pPr>
              <w:spacing w:after="0" w:line="360" w:lineRule="auto"/>
              <w:jc w:val="center"/>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CaNa-silicophosphate</w:t>
            </w:r>
            <w:proofErr w:type="spellEnd"/>
          </w:p>
        </w:tc>
        <w:tc>
          <w:tcPr>
            <w:tcW w:w="3497" w:type="dxa"/>
            <w:tcBorders>
              <w:top w:val="nil"/>
              <w:left w:val="nil"/>
              <w:bottom w:val="nil"/>
              <w:right w:val="nil"/>
            </w:tcBorders>
            <w:shd w:val="clear" w:color="auto" w:fill="auto"/>
            <w:noWrap/>
            <w:vAlign w:val="center"/>
            <w:hideMark/>
          </w:tcPr>
          <w:p w14:paraId="7B054426"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"plainTextFormattedCitation" : "(Tanguy Rouxel, 2007)", "previouslyFormattedCitation" : "(Tanguy Rouxel, 2007)"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(Tanguy Rouxel, 2007)</w:t>
            </w:r>
            <w:r w:rsidRPr="000E2377">
              <w:rPr>
                <w:rFonts w:eastAsia="Times New Roman" w:cs="Times New Roman"/>
                <w:b w:val="0"/>
                <w:color w:val="000000"/>
                <w:szCs w:val="24"/>
                <w:lang w:eastAsia="en-MY"/>
              </w:rPr>
              <w:fldChar w:fldCharType="end"/>
            </w:r>
          </w:p>
        </w:tc>
      </w:tr>
      <w:tr w:rsidR="00CB5F95" w:rsidRPr="000E2377" w14:paraId="61102A36"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6E8301EC"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Aluminosilicate</w:t>
            </w:r>
          </w:p>
        </w:tc>
        <w:tc>
          <w:tcPr>
            <w:tcW w:w="3497" w:type="dxa"/>
            <w:tcBorders>
              <w:top w:val="nil"/>
              <w:left w:val="nil"/>
              <w:bottom w:val="nil"/>
              <w:right w:val="nil"/>
            </w:tcBorders>
            <w:shd w:val="clear" w:color="auto" w:fill="auto"/>
            <w:noWrap/>
            <w:vAlign w:val="center"/>
            <w:hideMark/>
          </w:tcPr>
          <w:p w14:paraId="32ED9F97"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"plainTextFormattedCitation" : "(Tanguy Rouxel, 2007)", "previouslyFormattedCitation" : "(Tanguy Rouxel, 2007)"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(Tanguy Rouxel, 2007)</w:t>
            </w:r>
            <w:r w:rsidRPr="000E2377">
              <w:rPr>
                <w:rFonts w:eastAsia="Times New Roman" w:cs="Times New Roman"/>
                <w:b w:val="0"/>
                <w:color w:val="000000"/>
                <w:szCs w:val="24"/>
                <w:lang w:eastAsia="en-MY"/>
              </w:rPr>
              <w:fldChar w:fldCharType="end"/>
            </w:r>
          </w:p>
        </w:tc>
      </w:tr>
      <w:tr w:rsidR="00CB5F95" w:rsidRPr="000E2377" w14:paraId="43E60B5C"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443048F6"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Borate</w:t>
            </w:r>
          </w:p>
        </w:tc>
        <w:tc>
          <w:tcPr>
            <w:tcW w:w="3497" w:type="dxa"/>
            <w:tcBorders>
              <w:top w:val="nil"/>
              <w:left w:val="nil"/>
              <w:bottom w:val="nil"/>
              <w:right w:val="nil"/>
            </w:tcBorders>
            <w:shd w:val="clear" w:color="auto" w:fill="auto"/>
            <w:noWrap/>
            <w:vAlign w:val="center"/>
            <w:hideMark/>
          </w:tcPr>
          <w:p w14:paraId="0B6BDC10"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"10.1016/j.jnoncrysol.2012.03.029", "ISSN" : "00223093", "abstract" : "Vickers indentation measurements were carried out on borate, silicate and aluminophosphate glasses, each series comprised of samples of different relative alkali ratios (Na/Na + Li). All the glass series exhibited nonlinear variations of hardness with relative alkali ratio, which was attributed to the reduced plastic flow of mixed alkali glasses. The mixed alkali effect was also present in the length of radial cracks although less strongly than in hardness. Using a semi-empirical model, the variations of residual stresses and fracture toughness were estimated. ?? 2012 Elsevier B.V. All rights reserved.", "author" : [ { "dropping-particle" : "", "family" : "Mohajerani", "given" : "a.", "non-dropping-particle" : "", "parse-names" : false, "suffix" : "" }, { "dropping-particle" : "", "family" : "Zwanziger", "given" : "J. W.", "non-dropping-particle" : "", "parse-names" : false, "suffix" : "" } ], "container-title" : "Journal of Non-Crystalline Solids", "id" : "ITEM-1", "issue" : "12-13", "issued" : { "date-parts" : [ [ "2012" ] ] }, "page" : "1474-1479", "publisher" : "Elsevier B.V.", "title" : "Mixed alkali effect on Vickers hardness and cracking", "type" : "article-journal", "volume" : "358" }, "uris" : [ "http://www.mendeley.com/documents/?uuid=6997a2cc-2cf4-4533-9ac5-7b2e0ddd5e97" ] } ], "mendeley" : { "formattedCitation" : "(Mohajerani &amp; Zwanziger, 2012)", "plainTextFormattedCitation" : "(Mohajerani &amp; Zwanziger, 2012)", "previouslyFormattedCitation" : "(Mohajerani &amp; Zwanziger, 2012)"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(Mohajerani &amp; Zwanziger, 2012)</w:t>
            </w:r>
            <w:r w:rsidRPr="000E2377">
              <w:rPr>
                <w:rFonts w:eastAsia="Times New Roman" w:cs="Times New Roman"/>
                <w:b w:val="0"/>
                <w:color w:val="000000"/>
                <w:szCs w:val="24"/>
                <w:lang w:eastAsia="en-MY"/>
              </w:rPr>
              <w:fldChar w:fldCharType="end"/>
            </w:r>
          </w:p>
        </w:tc>
      </w:tr>
      <w:tr w:rsidR="00CB5F95" w:rsidRPr="000E2377" w14:paraId="3CF0869F"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6B4E8F14"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Silicate</w:t>
            </w:r>
          </w:p>
        </w:tc>
        <w:tc>
          <w:tcPr>
            <w:tcW w:w="3497" w:type="dxa"/>
            <w:tcBorders>
              <w:top w:val="nil"/>
              <w:left w:val="nil"/>
              <w:bottom w:val="nil"/>
              <w:right w:val="nil"/>
            </w:tcBorders>
            <w:shd w:val="clear" w:color="auto" w:fill="auto"/>
            <w:noWrap/>
            <w:vAlign w:val="center"/>
            <w:hideMark/>
          </w:tcPr>
          <w:p w14:paraId="3FD3D71F"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"10.1016/j.jnoncrysol.2010.05.007", "ISSN" : "00223093", "author" : [ { "dropping-particle" : "", "family" : "Hand", "given" : "Russell J.", "non-dropping-particle" : "", "parse-names" : false, "suffix" : "" }, { "dropping-particle" : "", "family" : "Tadjiev", "given" : "Damir R.", "non-dropping-particle" : "", "parse-names" : false, "suffix" : "" } ], "container-title" : "Journal of Non-Crystalline Solids", "id" : "ITEM-1", "issue" : "44-49", "issued" : { "date-parts" : [ [ "2010", "10" ] ] }, "page" : "2417-2423", "publisher" : "Elsevier B.V.", "title" : "Mechanical properties of silicate glasses as a function of composition", "type" : "article-journal", "volume" : "356" }, "uris" : [ "http://www.mendeley.com/documents/?uuid=f8df0232-a385-494d-80d7-5c933b1d8e38" ] } ], "mendeley" : { "formattedCitation" : "(Hand &amp; Tadjiev, 2010)", "plainTextFormattedCitation" : "(Hand &amp; Tadjiev, 2010)", "previouslyFormattedCitation" : "(Hand &amp; Tadjiev, 2010)"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(Hand &amp; Tadjiev, 2010)</w:t>
            </w:r>
            <w:r w:rsidRPr="000E2377">
              <w:rPr>
                <w:rFonts w:eastAsia="Times New Roman" w:cs="Times New Roman"/>
                <w:b w:val="0"/>
                <w:color w:val="000000"/>
                <w:szCs w:val="24"/>
                <w:lang w:eastAsia="en-MY"/>
              </w:rPr>
              <w:fldChar w:fldCharType="end"/>
            </w:r>
          </w:p>
        </w:tc>
      </w:tr>
      <w:tr w:rsidR="00CB5F95" w:rsidRPr="000E2377" w14:paraId="61311976"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72694ABD" w14:textId="77777777" w:rsidR="00CB5F95" w:rsidRPr="000E2377" w:rsidRDefault="00CB5F95" w:rsidP="00CB5F95">
            <w:pPr>
              <w:spacing w:after="0" w:line="360" w:lineRule="auto"/>
              <w:jc w:val="center"/>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MgCaSi</w:t>
            </w:r>
            <w:proofErr w:type="spellEnd"/>
          </w:p>
        </w:tc>
        <w:tc>
          <w:tcPr>
            <w:tcW w:w="3497" w:type="dxa"/>
            <w:tcBorders>
              <w:top w:val="nil"/>
              <w:left w:val="nil"/>
              <w:bottom w:val="nil"/>
              <w:right w:val="nil"/>
            </w:tcBorders>
            <w:shd w:val="clear" w:color="auto" w:fill="auto"/>
            <w:noWrap/>
            <w:vAlign w:val="center"/>
            <w:hideMark/>
          </w:tcPr>
          <w:p w14:paraId="4C6531B7"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"10.1016/j.jnoncrysol.2015.08.013", "ISSN" : "00223093", "abstract" : "The effects of varying the alkaline earth oxide content of three series of soda-lime-silica glasses with the general formulae 13.5Na&lt;inf&gt;2&lt;/inf&gt;O??xMgO??10CaO??1.5Al&lt;inf&gt;2&lt;/inf&gt;O&lt;inf&gt;3&lt;/inf&gt;??(75 - x)SiO&lt;inf&gt;2&lt;/inf&gt; (mol.%) where x = 0, 1, 2, 3, 4, 5, 6, and 7; 13.5Na&lt;inf&gt;2&lt;/inf&gt;O??3MgO??(7 + y)CaO??1.5Al&lt;inf&gt;2&lt;/inf&gt;O&lt;inf&gt;3&lt;/inf&gt;??(75 - y)SiO&lt;inf&gt;2&lt;/inf&gt; (mol.%) where y = 0, 1, 2, 3, 4, 5, 6, and 7 and 13.5Na&lt;inf&gt;2&lt;/inf&gt;O??zMgO??(13 - z)CaO??1.5Al&lt;inf&gt;2&lt;/inf&gt;O&lt;inf&gt;3&lt;/inf&gt;??72SiO&lt;inf&gt;2&lt;/inf&gt; (mol.%) where z = 1, 3, 5, 7, 9, and 11 have been examined. Raman spectroscopy and nuclear magnetic resonance (NMR) spectroscopy have been used to assess network connectivity. In the first two glass series network connectivity decreases with increasing alkaline earth addition whereas in the third series connectivity tends to be greater for the more magnesia rich glasses suggesting that magnesia does have a different effect to lime on network connectivity, but only when magnesia is the dominant alkaline earth species. Fracture toughness has been measured using bend testing, which avoids many of the questions raised by the widely used indentation technique. Moduli have been assessed using acoustic means. It was found that the mechanical properties tend to decrease with increasing network connectivity for all three glass series. For the MgO-SiO&lt;inf&gt;2&lt;/inf&gt; series and CaO-SiO&lt;inf&gt;2&lt;/inf&gt; glasses increasing the alkaline earth content at the expense of the silica content resulted in increased network depolymerization, whereas for the MgO-CaO series when MgO became the dominant alkaline earth species, network depolymerization was reduced. Thus whilst MgO and CaO both act as network modifiers when more CaO than MgO is present in soda-lime-silica glasses, a difference in behaviour is seen with magnesia rich soda-magnesia-silica glasses. In contradiction to previous data no significant advantage of replacing CaO by MgO is observed. In addition it appears that the glasses with the lowest fracture toughness values may be more resilient to contact damage than those with the higher fracture toughness values.", "author" : [ { "dropping-particle" : "", "family" : "Kilinc", "given" : "Erhan", "non-dropping-particle" : "", "parse-names" : false, "suffix" : "" }, { "dropping-particle" : "", "family" : "Hand", "given" : "Russell J.", "non-dropping-particle" : "", "parse-names" : false, "suffix" : "" } ], "container-title" : "Journal of Non-Crystalline Solids", "id" : "ITEM-1", "issued" : { "date-parts" : [ [ "2015" ] ] }, "page" : "190-197", "publisher" : "Elsevier B.V.", "title" : "Mechanical properties of soda-lime-silica glasses with varying alkaline earth contents", "type" : "article-journal", "volume" : "429" }, "uris" : [ "http://www.mendeley.com/documents/?uuid=e13d0b43-c3bd-445d-9e34-20db699e6c29" ] } ], "mendeley" : { "formattedCitation" : "(Kilinc &amp; Hand, 2015)", "plainTextFormattedCitation" : "(Kilinc &amp; Hand, 2015)", "previouslyFormattedCitation" : "(Kilinc &amp; Hand, 2015)"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(Kilinc &amp; Hand, 2015)</w:t>
            </w:r>
            <w:r w:rsidRPr="000E2377">
              <w:rPr>
                <w:rFonts w:eastAsia="Times New Roman" w:cs="Times New Roman"/>
                <w:b w:val="0"/>
                <w:color w:val="000000"/>
                <w:szCs w:val="24"/>
                <w:lang w:eastAsia="en-MY"/>
              </w:rPr>
              <w:fldChar w:fldCharType="end"/>
            </w:r>
          </w:p>
        </w:tc>
      </w:tr>
      <w:tr w:rsidR="00CB5F95" w:rsidRPr="000E2377" w14:paraId="66425CD4"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33AAB7DB" w14:textId="77777777" w:rsidR="00CB5F95" w:rsidRPr="000E2377" w:rsidRDefault="00CB5F95" w:rsidP="00CB5F95">
            <w:pPr>
              <w:spacing w:after="0" w:line="360" w:lineRule="auto"/>
              <w:jc w:val="center"/>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SiBNa</w:t>
            </w:r>
            <w:proofErr w:type="spellEnd"/>
          </w:p>
        </w:tc>
        <w:tc>
          <w:tcPr>
            <w:tcW w:w="3497" w:type="dxa"/>
            <w:tcBorders>
              <w:top w:val="nil"/>
              <w:left w:val="nil"/>
              <w:bottom w:val="nil"/>
              <w:right w:val="nil"/>
            </w:tcBorders>
            <w:shd w:val="clear" w:color="auto" w:fill="auto"/>
            <w:noWrap/>
            <w:vAlign w:val="center"/>
            <w:hideMark/>
          </w:tcPr>
          <w:p w14:paraId="375C2D4B"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"10.1016/j.jnoncrysol.2015.02.005", "ISSN" : "00223093", "abstract" : "This study investigates the mechanical response of sodium borosilicate (SBN) glasses as a function of their chemical composition. Vickers's indentation tests provide an estimate of the material hardness (HV) and indentation fracture toughness (KCVIF) plus the amount of densification/shear flow processes. Sodium content significantly impacts the glass behavior under a sharp indenter. Low sodium glasses maintain high connected networks and low Poisson's ratios (??). This entails significant densification processes during deformation. Conversely, glasses with high sodium content, i.e. large ??, partake in a more depolymerized network favoring deformation by shear flow. As a consequence, indentation patterns differ depending on the processes occurring. Densification processes appear to hinder the formation of half-penny median-radial cracks. Increasing ?? favors shear flow and residual stresses enhance the development of half-penny median-radial cracks. Hence, KCVIF decreases linearly with ??.", "author" : [ { "dropping-particle" : "", "family" : "Barlet", "given" : "Marina", "non-dropping-particle" : "", "parse-names" : false, "suffix" : "" }, { "dropping-particle" : "", "family" : "Delaye", "given" : "Jean Marc", "non-dropping-particle" : "", "parse-names" : false, "suffix" : "" }, { "dropping-particle" : "", "family" : "Charpentier", "given" : "Thibault", "non-dropping-particle" : "", "parse-names" : false, "suffix" : "" }, { "dropping-particle" : "", "family" : "Gennisson", "given" : "Mickael", "non-dropping-particle" : "", "parse-names" : false, "suffix" : "" }, { "dropping-particle" : "", "family" : "Bonamy", "given" : "Daniel", "non-dropping-particle" : "", "parse-names" : false, "suffix" : "" }, { "dropping-particle" : "", "family" : "Rouxel", "given" : "Tanguy", "non-dropping-particle" : "", "parse-names" : false, "suffix" : "" }, { "dropping-particle" : "", "family" : "Rountree", "given" : "Cindy L.", "non-dropping-particle" : "", "parse-names" : false, "suffix" : "" } ], "container-title" : "Journal of Non-Crystalline Solids", "id" : "ITEM-1", "issued" : { "date-parts" : [ [ "2015" ] ] }, "page" : "66-79", "publisher" : "Elsevier B.V.", "title" : "Hardness and toughness of sodium borosilicate glasses via Vickers's indentations", "type" : "article-journal", "volume" : "417-418" }, "uris" : [ "http://www.mendeley.com/documents/?uuid=53ec0e49-d67e-43d5-a8f1-5cdffcee86b1" ] } ], "mendeley" : { "formattedCitation" : "(Barlet et al., 2015)", "plainTextFormattedCitation" : "(Barlet et al., 2015)", "previouslyFormattedCitation" : "(Barlet et al., 2015)"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(Barlet et al., 2015)</w:t>
            </w:r>
            <w:r w:rsidRPr="000E2377">
              <w:rPr>
                <w:rFonts w:eastAsia="Times New Roman" w:cs="Times New Roman"/>
                <w:b w:val="0"/>
                <w:color w:val="000000"/>
                <w:szCs w:val="24"/>
                <w:lang w:eastAsia="en-MY"/>
              </w:rPr>
              <w:fldChar w:fldCharType="end"/>
            </w:r>
          </w:p>
        </w:tc>
      </w:tr>
      <w:tr w:rsidR="00CB5F95" w:rsidRPr="000E2377" w14:paraId="579017EB"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1AF00EE7"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Window glass</w:t>
            </w:r>
          </w:p>
        </w:tc>
        <w:tc>
          <w:tcPr>
            <w:tcW w:w="3497" w:type="dxa"/>
            <w:tcBorders>
              <w:top w:val="nil"/>
              <w:left w:val="nil"/>
              <w:bottom w:val="nil"/>
              <w:right w:val="nil"/>
            </w:tcBorders>
            <w:shd w:val="clear" w:color="auto" w:fill="auto"/>
            <w:noWrap/>
            <w:vAlign w:val="center"/>
            <w:hideMark/>
          </w:tcPr>
          <w:p w14:paraId="06787E40" w14:textId="79A80AF2"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008400FF">
              <w:rPr>
                <w:rFonts w:eastAsia="Times New Roman" w:cs="Times New Roman"/>
                <w:b w:val="0"/>
                <w:color w:val="000000"/>
                <w:szCs w:val="24"/>
                <w:lang w:eastAsia="en-MY"/>
              </w:rPr>
              <w:instrText>ADDIN CSL_CITATION { "citationItems" : [ { "id" : "ITEM-1", "itemData" : { "DOI" : "10.1016/j.jnonerysol.2004.07.021", "ISSN" : "00223093", "abstract" : "The fracture toughness of several glasses, including soda-lime-silica and aluminosilicate glasses, was measured by both the indentation fracture (IF) and the single-edge notched beam (SENB) techniques. The flow densification mechanism occurring during indentation for silica-rich compositions leads to discrepancies between the two methods. The influence of the indentation load and the post-indentation fatigue duration on the indentation on the crack length and on the fracture toughness measurement were investigated. Fatigue curves (V-K) were obtained directly from indentation experiments and fatigue parameters were derived. The sub-critical crack growth resistance was found to be improved by increasing the silica content. In comparison with the studied oxide glasses, a Y-SiAlON oxynitride glass exhibits much greater fatigue resistance. The fatigue phenomenon has a major effect on the estimation of KC from indentation-cracking measurements. \u00a9 2004 Published by Elsevier B.V.", "author" : [ { "dropping-particle" : "", "family" : "Deriano", "given" : "S.", "non-dropping-particle" : "", "parse-names" : false, "suffix" : "" }, { "dropping-particle" : "", "family" : "Jarry", "given" : "A", "non-dropping-particle" : "", "parse-names" : false, "suffix" : "" }, { "dropping-particle" : "", "family" : "Rouxel", "given" : "T.", "non-dropping-particle" : "", "parse-names" : false, "suffix" : "" }, { "dropping-particle" : "", "family" : "Sangleboeuf", "given" : "J. C.", "non-dropping-particle" : "", "parse-names" : false, "suffix" : "" }, { "dropping-particle" : "", "family" : "Hampshire", "given" : "S.", "non-dropping-particle" : "", "parse-names" : false, "suffix" : "" } ], "container-title" : "Journal of Non-Crystalline Solids", "id" : "ITEM-1", "issue" : "1-2", "issued" : { "date-parts" : [ [ "2004" ] ] }, "page" : "44-50", "title" : "The indentation fracture toughness (kc) and its parameters: The case of silica-rich glasses", "type" : "article-journal", "volume" : "344" }, "uris" : [ "http://www.mendeley.com/documents/?uuid=6a965cb4-c3aa-4bce-8cbf-0183a0460e17" ] } ], "mendeley" : { "formattedCitation" : "(Deriano, Jarry, et al., 2004)", "manualFormatting" : "(Deriano et al., 2004)", "plainTextFormattedCitation" : "(Deriano, Jarry, et al., 2004)", "previouslyFormattedCitation" : "(Deriano, Jarry, et al., 2004)"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(Deriano et al., 2004)</w:t>
            </w:r>
            <w:r w:rsidRPr="000E2377">
              <w:rPr>
                <w:rFonts w:eastAsia="Times New Roman" w:cs="Times New Roman"/>
                <w:b w:val="0"/>
                <w:color w:val="000000"/>
                <w:szCs w:val="24"/>
                <w:lang w:eastAsia="en-MY"/>
              </w:rPr>
              <w:fldChar w:fldCharType="end"/>
            </w:r>
          </w:p>
        </w:tc>
      </w:tr>
      <w:tr w:rsidR="00CB5F95" w:rsidRPr="000E2377" w14:paraId="56FAF2B3"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4DF274D4" w14:textId="77777777" w:rsidR="00CB5F95" w:rsidRPr="000E2377" w:rsidRDefault="00CB5F95" w:rsidP="00CB5F95">
            <w:pPr>
              <w:spacing w:after="0" w:line="360" w:lineRule="auto"/>
              <w:jc w:val="center"/>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NaCaSi</w:t>
            </w:r>
            <w:proofErr w:type="spellEnd"/>
          </w:p>
        </w:tc>
        <w:tc>
          <w:tcPr>
            <w:tcW w:w="3497" w:type="dxa"/>
            <w:tcBorders>
              <w:top w:val="nil"/>
              <w:left w:val="nil"/>
              <w:bottom w:val="nil"/>
              <w:right w:val="nil"/>
            </w:tcBorders>
            <w:shd w:val="clear" w:color="auto" w:fill="auto"/>
            <w:noWrap/>
            <w:vAlign w:val="center"/>
            <w:hideMark/>
          </w:tcPr>
          <w:p w14:paraId="6978B66A"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"10.1111/j.1151-2916.1998.tb02649.x", "ISSN" : "1551-2916", "abstract" : "In the soda\u2013lime\u2013silica glass family, the effect of each constituent of the composition on the brittleness was first investigated. Vickers indentation was employed to estimate the brittleness (ratio of harness (H) to fracture toughness (Kc)) by measuring the C/a ratios (where C and a are the characteristic crack and indentation diagonal lengths, respectively). It was observed that a higher silica content and a lower lime content helped to lower the brittleness. Substitution of potash and magnesia for soda and calcia, respectively, was effective in lowering the brittleness. From these results, a higher molar volume was found to be a key factor for reducing the brittleness. A new low-brittleness glass was then developed with a brittleness as low as 5.1 \u03bcm\u22121/2 as compared with the brittleness of 7.1 \u03bcm\u22121/2 for commercial soda\u2013lime\u2013silica glass. The crack initiation load (P*), measured by the Vickers indentation method, for this new low-brittleness glass was almost 10 times as high as P* of commercial soda\u2013lime\u2013silica glass. The new glass shows lower hardness and higher fracture toughness than the commercial soda\u2013lime\u2013silica glass.", "author" : [ { "dropping-particle" : "", "family" : "Sehgal", "given" : "Jeetendra", "non-dropping-particle" : "", "parse-names" : false, "suffix" : "" }, { "dropping-particle" : "", "family" : "Ito", "given" : "Setsuro", "non-dropping-particle" : "", "parse-names" : false, "suffix" : "" } ], "container-title" : "Journal of the American Ceramic Society", "id" : "ITEM-1", "issue" : "9", "issued" : { "date-parts" : [ [ "1998" ] ] }, "page" : "2485-2488", "title" : "A New Low-Brittleness Glass in the Soda \u2013 Lime \u2013 Silica Glass Family", "type" : "article-journal", "volume" : "81" }, "uris" : [ "http://www.mendeley.com/documents/?uuid=d1ef5862-ddf2-4193-a520-ab000d20209f" ] } ], "mendeley" : { "formattedCitation" : "(Sehgal &amp; Ito, 1998)", "plainTextFormattedCitation" : "(Sehgal &amp; Ito, 1998)", "previouslyFormattedCitation" : "(Sehgal &amp; Ito, 1998)"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(Sehgal &amp; Ito, 1998)</w:t>
            </w:r>
            <w:r w:rsidRPr="000E2377">
              <w:rPr>
                <w:rFonts w:eastAsia="Times New Roman" w:cs="Times New Roman"/>
                <w:b w:val="0"/>
                <w:color w:val="000000"/>
                <w:szCs w:val="24"/>
                <w:lang w:eastAsia="en-MY"/>
              </w:rPr>
              <w:fldChar w:fldCharType="end"/>
            </w:r>
          </w:p>
        </w:tc>
      </w:tr>
      <w:tr w:rsidR="00CB5F95" w:rsidRPr="000E2377" w14:paraId="56E5D963"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743D8FF8" w14:textId="77777777" w:rsidR="00CB5F95" w:rsidRPr="000E2377" w:rsidRDefault="00CB5F95" w:rsidP="00CB5F95">
            <w:pPr>
              <w:spacing w:after="0" w:line="360" w:lineRule="auto"/>
              <w:jc w:val="center"/>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SiBNaC</w:t>
            </w:r>
            <w:proofErr w:type="spellEnd"/>
          </w:p>
        </w:tc>
        <w:tc>
          <w:tcPr>
            <w:tcW w:w="3497" w:type="dxa"/>
            <w:tcBorders>
              <w:top w:val="nil"/>
              <w:left w:val="nil"/>
              <w:bottom w:val="nil"/>
              <w:right w:val="nil"/>
            </w:tcBorders>
            <w:shd w:val="clear" w:color="auto" w:fill="auto"/>
            <w:noWrap/>
            <w:vAlign w:val="center"/>
            <w:hideMark/>
          </w:tcPr>
          <w:p w14:paraId="78C92037"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"10.1016/j.actamat.2013.06.034", "ISSN" : "13596454", "abstract" : "Crack initiation and deformation behaviors of oxide glasses belonging to different chemical systems were studied using the Vickers indentation test. The crack initiation resistance is chiefly governed by the extents to which densification and isochoric shear flow develop in a process zone beneath and within the contact area. Densification is favored in glasses with relatively small Poisson's ratio (\u03bd), whereas shear is favored at large \u03bd. Glasses were ranged according to their resistance to the formation of corner cracks as follows: Resilient, for 0.15 \u2264 \u03bd \u2264 0.20; Semi-Resilient, for 0.20 \u2264 \u03bd \u2264 0.25; and Easily-Damaged for 0.25 &lt; \u03bd &lt; 0.30. Radial-median cracks occur at low load (\u226450 mN) in Easily-Damaged glasses, while cone cracks predominate in Resilient glasses under higher loads. A critical value for \u03bd (\u223c0.22 depending on the Young's modulus/hardness ratio) was identified, at which the intensity of the indentation stress field tends to vanish, preventing crack formation on loading, while the driving force on unloading remains very small. \u00a9 2013 Acta Materialia Inc. Published by Elsevier Ltd. All rights reserved.", "author" : [ { "dropping-particle" : "", "family" : "Sellappan", "given" : "P.", "non-dropping-particle" : "", "parse-names" : false, "suffix" : "" }, { "dropping-particle" : "", "family" : "Rouxel", "given" : "T.", "non-dropping-particle" : "", "parse-names" : false, "suffix" : "" }, { "dropping-particle" : "", "family" : "Celarie", "given" : "F.", "non-dropping-particle" : "", "parse-names" : false, "suffix" : "" }, { "dropping-particle" : "", "family" : "Becker", "given" : "E.", "non-dropping-particle" : "", "parse-names" : false, "suffix" : "" }, { "dropping-particle" : "", "family" : "Houizot", "given" : "P.", "non-dropping-particle" : "", "parse-names" : false, "suffix" : "" }, { "dropping-particle" : "", "family" : "Conradt", "given" : "R.", "non-dropping-particle" : "", "parse-names" : false, "suffix" : "" } ], "container-title" : "Acta Materialia", "id" : "ITEM-1", "issue" : "16", "issued" : { "date-parts" : [ [ "2013" ] ] }, "page" : "5949-5965", "publisher" : "Acta Materialia Inc.", "title" : "Composition dependence of indentation deformation and indentation cracking in glass", "type" : "article-journal", "volume" : "61" }, "uris" : [ "http://www.mendeley.com/documents/?uuid=187dabef-b9f8-474a-a879-9d9be28a8d96" ] } ], "mendeley" : { "formattedCitation" : "(P. Sellappan et al., 2013)", "manualFormatting" : "(Sellappan et al., 2013)", "plainTextFormattedCitation" : "(P. Sellappan et al., 2013)", "previouslyFormattedCitation" : "(P. Sellappan et al., 2013)"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(Sellappan et al., 2013)</w:t>
            </w:r>
            <w:r w:rsidRPr="000E2377">
              <w:rPr>
                <w:rFonts w:eastAsia="Times New Roman" w:cs="Times New Roman"/>
                <w:b w:val="0"/>
                <w:color w:val="000000"/>
                <w:szCs w:val="24"/>
                <w:lang w:eastAsia="en-MY"/>
              </w:rPr>
              <w:fldChar w:fldCharType="end"/>
            </w:r>
          </w:p>
        </w:tc>
      </w:tr>
      <w:tr w:rsidR="00CB5F95" w:rsidRPr="000E2377" w14:paraId="0E2EA76F"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4AD18B19"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Si Alkaline-alkaline earth</w:t>
            </w:r>
          </w:p>
        </w:tc>
        <w:tc>
          <w:tcPr>
            <w:tcW w:w="3497" w:type="dxa"/>
            <w:tcBorders>
              <w:top w:val="nil"/>
              <w:left w:val="nil"/>
              <w:bottom w:val="nil"/>
              <w:right w:val="nil"/>
            </w:tcBorders>
            <w:shd w:val="clear" w:color="auto" w:fill="auto"/>
            <w:noWrap/>
            <w:vAlign w:val="center"/>
            <w:hideMark/>
          </w:tcPr>
          <w:p w14:paraId="63D219A4"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"10.1016/j.jnoncrysol.2010.05.007", "ISSN" : "00223093", "author" : [ { "dropping-particle" : "", "family" : "Hand", "given" : "Russell J.", "non-dropping-particle" : "", "parse-names" : false, "suffix" : "" }, { "dropping-particle" : "", "family" : "Tadjiev", "given" : "Damir R.", "non-dropping-particle" : "", "parse-names" : false, "suffix" : "" } ], "container-title" : "Journal of Non-Crystalline Solids", "id" : "ITEM-1", "issue" : "44-49", "issued" : { "date-parts" : [ [ "2010", "10" ] ] }, "page" : "2417-2423", "publisher" : "Elsevier B.V.", "title" : "Mechanical properties of silicate glasses as a function of composition", "type" : "article-journal", "volume" : "356" }, "uris" : [ "http://www.mendeley.com/documents/?uuid=f8df0232-a385-494d-80d7-5c933b1d8e38" ] } ], "mendeley" : { "formattedCitation" : "(Hand &amp; Tadjiev, 2010)", "plainTextFormattedCitation" : "(Hand &amp; Tadjiev, 2010)", "previouslyFormattedCitation" : "(Hand &amp; Tadjiev, 2010)"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(Hand &amp; Tadjiev, 2010)</w:t>
            </w:r>
            <w:r w:rsidRPr="000E2377">
              <w:rPr>
                <w:rFonts w:eastAsia="Times New Roman" w:cs="Times New Roman"/>
                <w:b w:val="0"/>
                <w:color w:val="000000"/>
                <w:szCs w:val="24"/>
                <w:lang w:eastAsia="en-MY"/>
              </w:rPr>
              <w:fldChar w:fldCharType="end"/>
            </w:r>
          </w:p>
        </w:tc>
      </w:tr>
      <w:tr w:rsidR="00CB5F95" w:rsidRPr="000E2377" w14:paraId="526D23DB"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2EDA14A8" w14:textId="77777777" w:rsidR="00CB5F95" w:rsidRPr="000E2377" w:rsidRDefault="00CB5F95" w:rsidP="00CB5F95">
            <w:pPr>
              <w:spacing w:after="0" w:line="360" w:lineRule="auto"/>
              <w:jc w:val="center"/>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N</w:t>
            </w:r>
            <w:r>
              <w:rPr>
                <w:rFonts w:eastAsia="Times New Roman" w:cs="Times New Roman"/>
                <w:b w:val="0"/>
                <w:color w:val="000000"/>
                <w:szCs w:val="24"/>
                <w:lang w:eastAsia="en-MY"/>
              </w:rPr>
              <w:t>a</w:t>
            </w:r>
            <w:r w:rsidRPr="000E2377">
              <w:rPr>
                <w:rFonts w:eastAsia="Times New Roman" w:cs="Times New Roman"/>
                <w:b w:val="0"/>
                <w:color w:val="000000"/>
                <w:szCs w:val="24"/>
                <w:lang w:eastAsia="en-MY"/>
              </w:rPr>
              <w:t>SiA</w:t>
            </w:r>
            <w:proofErr w:type="spellEnd"/>
            <w:r w:rsidRPr="000E2377">
              <w:rPr>
                <w:rFonts w:eastAsia="Times New Roman" w:cs="Times New Roman"/>
                <w:b w:val="0"/>
                <w:color w:val="000000"/>
                <w:szCs w:val="24"/>
                <w:lang w:eastAsia="en-MY"/>
              </w:rPr>
              <w:t xml:space="preserve"> alkaline earth</w:t>
            </w:r>
          </w:p>
        </w:tc>
        <w:tc>
          <w:tcPr>
            <w:tcW w:w="3497" w:type="dxa"/>
            <w:tcBorders>
              <w:top w:val="nil"/>
              <w:left w:val="nil"/>
              <w:bottom w:val="nil"/>
              <w:right w:val="nil"/>
            </w:tcBorders>
            <w:shd w:val="clear" w:color="auto" w:fill="auto"/>
            <w:noWrap/>
            <w:vAlign w:val="center"/>
            <w:hideMark/>
          </w:tcPr>
          <w:p w14:paraId="7F5747DF"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Pr>
                <w:rFonts w:eastAsia="Times New Roman" w:cs="Times New Roman"/>
                <w:b w:val="0"/>
                <w:color w:val="000000"/>
                <w:szCs w:val="24"/>
                <w:lang w:eastAsia="en-MY"/>
              </w:rPr>
              <w:instrText>ADDIN CSL_CITATION { "citationItems" : [ { "id" : "ITEM-1", "itemData" : { "DOI" : "10.1016/j.jnoncrysol.2012.01.045", "ISSN" : "00223093", "abstract" : "Elastic constants, hardness and crack initiation resistance of sulfur-bearing sodium-zinc-phosphate glasses were determined by ultrasonic echography and Vickers indentation experiments. Incorporation of up to 35 mol% of sulfur into the glass structure resulted in a decrease in molar volume of 23% and an increase of Poisson's ratio up to a value of ?? 0.32. Resistance against permanent deformation and cracking decreased with compaction of the glass structure, i.e. a more brittle character of softer sulfophosphate glasses was observed when tested under normal atmosphere. Under flowing N 2 gas only a weak compositional dependence of the crack-to-indent size ratio was evident, which indicates that surface reactions dominate micromechanical crack initiation in sulfophosphate glasses. ?? 2012 Elsevier B.V. All rights reserved.", "author" : [ { "dropping-particle" : "", "family" : "Striepe", "given" : "Simon", "non-dropping-particle" : "", "parse-names" : false, "suffix" : "" }, { "dropping-particle" : "", "family" : "Da", "given" : "Ning", "non-dropping-particle" : "", "parse-names" : false, "suffix" : "" }, { "dropping-particle" : "", "family" : "Deubener", "given" : "Joachim", "non-dropping-particle" : "", "parse-names" : false, "suffix" : "" }, { "dropping-particle" : "", "family" : "Wondraczek", "given" : "Lothar", "non-dropping-particle" : "", "parse-names" : false, "suffix" : "" } ], "container-title" : "Journal of Non-Crystalline Solids", "id" : "ITEM-1", "issue" : "6-7", "issued" : { "date-parts" : [ [ "2012" ] ] }, "page" : "1032-1037", "publisher" : "Elsevier B.V.", "title" : "Micromechanical properties of (Na,Zn)-sulfophosphate glasses", "type" : "article-journal", "volume" : "358" }, "uris" : [ "http://www.mendeley.com/documents/?uuid=e5c8b337-a25b-43a9-a850-e8264f605e55" ] } ], "mendeley" : { "formattedCitation" : "(Simon Striepe, Da, Deubener, &amp; Wondraczek, 2012)", "manualFormatting" : "(Striepe et al., 2012)", "plainTextFormattedCitation" : "(Simon Striepe, Da, Deubener, &amp; Wondraczek, 2012)", "previouslyFormattedCitation" : "(Simon Striepe, Da, Deubener, &amp; Wondraczek, 2012)"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(Striepe et al., 2012)</w:t>
            </w:r>
            <w:r w:rsidRPr="000E2377">
              <w:rPr>
                <w:rFonts w:eastAsia="Times New Roman" w:cs="Times New Roman"/>
                <w:b w:val="0"/>
                <w:color w:val="000000"/>
                <w:szCs w:val="24"/>
                <w:lang w:eastAsia="en-MY"/>
              </w:rPr>
              <w:fldChar w:fldCharType="end"/>
            </w:r>
          </w:p>
        </w:tc>
      </w:tr>
      <w:tr w:rsidR="00CB5F95" w:rsidRPr="000E2377" w14:paraId="3C8354C7"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40056D7D"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Phosphate</w:t>
            </w:r>
          </w:p>
        </w:tc>
        <w:tc>
          <w:tcPr>
            <w:tcW w:w="3497" w:type="dxa"/>
            <w:tcBorders>
              <w:top w:val="nil"/>
              <w:left w:val="nil"/>
              <w:bottom w:val="nil"/>
              <w:right w:val="nil"/>
            </w:tcBorders>
            <w:shd w:val="clear" w:color="auto" w:fill="auto"/>
            <w:noWrap/>
            <w:vAlign w:val="center"/>
            <w:hideMark/>
          </w:tcPr>
          <w:p w14:paraId="2B462196"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"plainTextFormattedCitation" : "(Tanguy Rouxel, 2007)", "previouslyFormattedCitation" : "(Tanguy Rouxel, 2007)"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(Tanguy Rouxel, 2007)</w:t>
            </w:r>
            <w:r w:rsidRPr="000E2377">
              <w:rPr>
                <w:rFonts w:eastAsia="Times New Roman" w:cs="Times New Roman"/>
                <w:b w:val="0"/>
                <w:color w:val="000000"/>
                <w:szCs w:val="24"/>
                <w:lang w:eastAsia="en-MY"/>
              </w:rPr>
              <w:fldChar w:fldCharType="end"/>
            </w:r>
          </w:p>
        </w:tc>
      </w:tr>
      <w:tr w:rsidR="00CB5F95" w:rsidRPr="000E2377" w14:paraId="390DA397"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1558359B"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 xml:space="preserve">Water </w:t>
            </w:r>
            <w:proofErr w:type="spellStart"/>
            <w:r w:rsidRPr="000E2377">
              <w:rPr>
                <w:rFonts w:eastAsia="Times New Roman" w:cs="Times New Roman"/>
                <w:b w:val="0"/>
                <w:color w:val="000000"/>
                <w:szCs w:val="24"/>
                <w:lang w:eastAsia="en-MY"/>
              </w:rPr>
              <w:t>chalcohalogenide</w:t>
            </w:r>
            <w:proofErr w:type="spellEnd"/>
          </w:p>
        </w:tc>
        <w:tc>
          <w:tcPr>
            <w:tcW w:w="3497" w:type="dxa"/>
            <w:tcBorders>
              <w:top w:val="nil"/>
              <w:left w:val="nil"/>
              <w:bottom w:val="nil"/>
              <w:right w:val="nil"/>
            </w:tcBorders>
            <w:shd w:val="clear" w:color="auto" w:fill="auto"/>
            <w:noWrap/>
            <w:vAlign w:val="center"/>
            <w:hideMark/>
          </w:tcPr>
          <w:p w14:paraId="740D3094"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"plainTextFormattedCitation" : "(Tanguy Rouxel, 2007)", "previouslyFormattedCitation" : "(Tanguy Rouxel, 2007)"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(Tanguy Rouxel, 2007)</w:t>
            </w:r>
            <w:r w:rsidRPr="000E2377">
              <w:rPr>
                <w:rFonts w:eastAsia="Times New Roman" w:cs="Times New Roman"/>
                <w:b w:val="0"/>
                <w:color w:val="000000"/>
                <w:szCs w:val="24"/>
                <w:lang w:eastAsia="en-MY"/>
              </w:rPr>
              <w:fldChar w:fldCharType="end"/>
            </w:r>
          </w:p>
        </w:tc>
      </w:tr>
      <w:tr w:rsidR="00CB5F95" w:rsidRPr="000E2377" w14:paraId="3E2B646F"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5B499B37"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Alkali-alkaline earth</w:t>
            </w:r>
          </w:p>
        </w:tc>
        <w:tc>
          <w:tcPr>
            <w:tcW w:w="3497" w:type="dxa"/>
            <w:tcBorders>
              <w:top w:val="nil"/>
              <w:left w:val="nil"/>
              <w:bottom w:val="nil"/>
              <w:right w:val="nil"/>
            </w:tcBorders>
            <w:shd w:val="clear" w:color="auto" w:fill="auto"/>
            <w:noWrap/>
            <w:vAlign w:val="center"/>
            <w:hideMark/>
          </w:tcPr>
          <w:p w14:paraId="31D47223"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"plainTextFormattedCitation" : "(Tanguy Rouxel, 2007)", "previouslyFormattedCitation" : "(Tanguy Rouxel, 2007)"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(Tanguy Rouxel, 2007)</w:t>
            </w:r>
            <w:r w:rsidRPr="000E2377">
              <w:rPr>
                <w:rFonts w:eastAsia="Times New Roman" w:cs="Times New Roman"/>
                <w:b w:val="0"/>
                <w:color w:val="000000"/>
                <w:szCs w:val="24"/>
                <w:lang w:eastAsia="en-MY"/>
              </w:rPr>
              <w:fldChar w:fldCharType="end"/>
            </w:r>
          </w:p>
        </w:tc>
      </w:tr>
      <w:tr w:rsidR="00CB5F95" w:rsidRPr="000E2377" w14:paraId="2039C6DD"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21B8C740"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Aluminosilicate</w:t>
            </w:r>
          </w:p>
        </w:tc>
        <w:tc>
          <w:tcPr>
            <w:tcW w:w="3497" w:type="dxa"/>
            <w:tcBorders>
              <w:top w:val="nil"/>
              <w:left w:val="nil"/>
              <w:bottom w:val="nil"/>
              <w:right w:val="nil"/>
            </w:tcBorders>
            <w:shd w:val="clear" w:color="auto" w:fill="auto"/>
            <w:noWrap/>
            <w:vAlign w:val="center"/>
            <w:hideMark/>
          </w:tcPr>
          <w:p w14:paraId="48C09C52"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"plainTextFormattedCitation" : "(Tanguy Rouxel, 2007)", "previouslyFormattedCitation" : "(Tanguy Rouxel, 2007)"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(Tanguy Rouxel, 2007)</w:t>
            </w:r>
            <w:r w:rsidRPr="000E2377">
              <w:rPr>
                <w:rFonts w:eastAsia="Times New Roman" w:cs="Times New Roman"/>
                <w:b w:val="0"/>
                <w:color w:val="000000"/>
                <w:szCs w:val="24"/>
                <w:lang w:eastAsia="en-MY"/>
              </w:rPr>
              <w:fldChar w:fldCharType="end"/>
            </w:r>
          </w:p>
        </w:tc>
      </w:tr>
      <w:tr w:rsidR="00CB5F95" w:rsidRPr="000E2377" w14:paraId="4D566A05"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638ED44A"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Rare earth</w:t>
            </w:r>
          </w:p>
        </w:tc>
        <w:tc>
          <w:tcPr>
            <w:tcW w:w="3497" w:type="dxa"/>
            <w:tcBorders>
              <w:top w:val="nil"/>
              <w:left w:val="nil"/>
              <w:bottom w:val="nil"/>
              <w:right w:val="nil"/>
            </w:tcBorders>
            <w:shd w:val="clear" w:color="auto" w:fill="auto"/>
            <w:noWrap/>
            <w:vAlign w:val="center"/>
            <w:hideMark/>
          </w:tcPr>
          <w:p w14:paraId="79730A13"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"10.1111/j.1551-2916.2007.01945.x", "ISBN" : "1551-2916", "ISSN" : "00027820", "abstract" : "Very different materials are named \u2018\u2018Glass,\u2019\u2019 with Young\u2019s mod- ulus (E) and Poisson\u2019s ratio (n) extending from 5 to 180 GPa and from 0.1 to 0.4, respectively, in the case of bulk inorganic glasses. Although glasses have in common the lack of long-range order in the atomic organization, they offer a wide range of structural features at the nanoscale and we show in this analysis that beside the essential role of elastic properties for materials selection in mechanical design, the elastic characteristics (E, n) at the continuum scale allow to get insight into the short- and medium-range orders existing in glasses. In particular, n,the atomic packing density (Cg) and the glass network dimension- ality appear to be strongly correlated. Maximum values for n and Cg are observed for metallic glasses (nB0.4 and Cg40.7), which are based on cluster-like structural units. Atomic net- works consisting primarily of chains and layers units (chalcogen- ides, low Si-content silicate, and phosphate glasses) correspond to n40.25 and Cg40.56. On the contrary, no0.25 is associ- ated with a highly cross-linked network, such as in a-SiO2,with a tri-dimensional organization resulting in a low packing densi- ty.Moreover, the temperature dependence of the elastic moduli brings a new light on the structural changes occurring above the glass transition temperature and on the depolymerization rate in the supercooled liquid. The softening rate depends on the level of cooperativity of atomic movements at the source of the defor- mation process, with an obvious correlation with the \u2018\u2018fragility\u2019\u2019 of the liquid.", "author" : [ { "dropping-particle" : "", "family" : "Rouxel", "given" : "Tanguy", "non-dropping-particle" : "", "parse-names" : false, "suffix" : "" } ], "container-title" : "Journal of the American Ceramic Society", "id" : "ITEM-1", "issue" : "10", "issued" : { "date-parts" : [ [ "2007" ] ] }, "page" : "3019-3039", "title" : "Elastic properties and short-to medium-range order in glasses", "type" : "article-journal", "volume" : "90" }, "uris" : [ "http://www.mendeley.com/documents/?uuid=0cb48e83-e946-4ff1-8d50-146fcf1c075d" ] } ], "mendeley" : { "formattedCitation" : "(Tanguy Rouxel, 2007)", "plainTextFormattedCitation" : "(Tanguy Rouxel, 2007)", "previouslyFormattedCitation" : "(Tanguy Rouxel, 2007)"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(Tanguy Rouxel, 2007)</w:t>
            </w:r>
            <w:r w:rsidRPr="000E2377">
              <w:rPr>
                <w:rFonts w:eastAsia="Times New Roman" w:cs="Times New Roman"/>
                <w:b w:val="0"/>
                <w:color w:val="000000"/>
                <w:szCs w:val="24"/>
                <w:lang w:eastAsia="en-MY"/>
              </w:rPr>
              <w:fldChar w:fldCharType="end"/>
            </w:r>
          </w:p>
        </w:tc>
      </w:tr>
      <w:tr w:rsidR="00CB5F95" w:rsidRPr="000E2377" w14:paraId="229AB6CA"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072E2A0C" w14:textId="77777777" w:rsidR="00CB5F95" w:rsidRPr="000E2377" w:rsidRDefault="00CB5F95" w:rsidP="00CB5F95">
            <w:pPr>
              <w:spacing w:after="0" w:line="360" w:lineRule="auto"/>
              <w:jc w:val="center"/>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NaAlSi</w:t>
            </w:r>
            <w:proofErr w:type="spellEnd"/>
            <w:r w:rsidRPr="000E2377">
              <w:rPr>
                <w:rFonts w:eastAsia="Times New Roman" w:cs="Times New Roman"/>
                <w:b w:val="0"/>
                <w:color w:val="000000"/>
                <w:szCs w:val="24"/>
                <w:lang w:eastAsia="en-MY"/>
              </w:rPr>
              <w:t xml:space="preserve"> Alkaline Earth</w:t>
            </w:r>
          </w:p>
        </w:tc>
        <w:tc>
          <w:tcPr>
            <w:tcW w:w="3497" w:type="dxa"/>
            <w:tcBorders>
              <w:top w:val="nil"/>
              <w:left w:val="nil"/>
              <w:bottom w:val="nil"/>
              <w:right w:val="nil"/>
            </w:tcBorders>
            <w:shd w:val="clear" w:color="auto" w:fill="auto"/>
            <w:noWrap/>
            <w:vAlign w:val="center"/>
            <w:hideMark/>
          </w:tcPr>
          <w:p w14:paraId="110FB4E0"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"10.1016/S0022-3093(99)00348-8", "ISSN" : "00223093", "abstract" : "A study seeking to decrease the brittleness of glasses was carried out. The brittleness, defined as the ratio of hardness to fracture toughness, was estimated from the ratio of median crack length to the diagonal length of a deformation impression. The brittleness of various kinds of glasses in the silicate as well as borosilicate systems was investigated as a function of glass properties. The brittleness of the glasses was correlated with densities, i.e., a variation of approximately 1 to approximately 9 ??m-1/2 in brittleness was observed as the density varied from approximately 1.9 to approximately 2.8 g/cm3. The brittleness of normal glasses decreased with decreasing density due to the ease of both plastic flow and densification. On the other hand, the brittleness of anomalous glasses increased with decreasing density due to the lack of plastic flow. In addition, the brittleness of normal glasses was less than that of the anomalous glasses with the same density. We also observed that a 50% decrease in brittleness resulted in an increase of crack initiation load by approximately 15 times.", "author" : [ { "dropping-particle" : "", "family" : "Sehgal", "given" : "Jeetendra", "non-dropping-particle" : "", "parse-names" : false, "suffix" : "" }, { "dropping-particle" : "", "family" : "Ito", "given" : "Setsuro", "non-dropping-particle" : "", "parse-names" : false, "suffix" : "" } ], "container-title" : "Journal of Non-Crystalline Solids", "id" : "ITEM-1", "issue" : "1-3", "issued" : { "date-parts" : [ [ "1999" ] ] }, "page" : "126-132", "title" : "Brittleness of glass", "type" : "article-journal", "volume" : "253" }, "uris" : [ "http://www.mendeley.com/documents/?uuid=97c0428d-f5d8-425f-94e6-c34c36d82652" ] } ], "mendeley" : { "formattedCitation" : "(Sehgal &amp; Ito, 1999)", "plainTextFormattedCitation" : "(Sehgal &amp; Ito, 1999)", "previouslyFormattedCitation" : "(Sehgal &amp; Ito, 1999)"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(Sehgal &amp; Ito, 1999)</w:t>
            </w:r>
            <w:r w:rsidRPr="000E2377">
              <w:rPr>
                <w:rFonts w:eastAsia="Times New Roman" w:cs="Times New Roman"/>
                <w:b w:val="0"/>
                <w:color w:val="000000"/>
                <w:szCs w:val="24"/>
                <w:lang w:eastAsia="en-MY"/>
              </w:rPr>
              <w:fldChar w:fldCharType="end"/>
            </w:r>
          </w:p>
        </w:tc>
      </w:tr>
      <w:tr w:rsidR="00CB5F95" w:rsidRPr="000E2377" w14:paraId="203D1D93"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24632CD1"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Soda Ash 1</w:t>
            </w:r>
          </w:p>
        </w:tc>
        <w:tc>
          <w:tcPr>
            <w:tcW w:w="3497" w:type="dxa"/>
            <w:tcBorders>
              <w:top w:val="nil"/>
              <w:left w:val="nil"/>
              <w:bottom w:val="nil"/>
              <w:right w:val="nil"/>
            </w:tcBorders>
            <w:shd w:val="clear" w:color="auto" w:fill="auto"/>
            <w:noWrap/>
            <w:vAlign w:val="center"/>
            <w:hideMark/>
          </w:tcPr>
          <w:p w14:paraId="0BBB01B4" w14:textId="2D8CBD68"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008400FF">
              <w:rPr>
                <w:rFonts w:eastAsia="Times New Roman" w:cs="Times New Roman"/>
                <w:b w:val="0"/>
                <w:color w:val="000000"/>
                <w:szCs w:val="24"/>
                <w:lang w:eastAsia="en-MY"/>
              </w:rPr>
              <w:instrText>ADDIN CSL_CITATION { "citationItems" : [ { "id" : "ITEM-1", "itemData" : { "DOI" : "10.1016/j.jnoncrysol.2014.10.012", "ISSN" : "00223093", "abstract" : "Data on micromechanical properties of ancient and medieval glass fragments and glasses of early modern and today's manufacturing were compiled to offer a tentative look on changes in the brittleness of glass over the past 2000 years. Chronology of glass making was based on glass chemistry using rare earth element (REE) pattern, fluxing agents and provenance analysis while cracking and brittleness were evaluated from Vickers indentation in the course of the mean crack initiation load CR and the crack length-to-half diagonal ratio c/a. A structural analysis revealed that CR increases and c/a decreases with increasing molar volume i.e. decreasing atomic packing fraction, which allows us to classify periods of high and low crack-resistant and brittle glasses along the time line of historic glass technology.", "author" : [ { "dropping-particle" : "", "family" : "Hasdemir", "given" : "Ilhan", "non-dropping-particle" : "", "parse-names" : false, "suffix" : "" }, { "dropping-particle" : "", "family" : "Striepe", "given" : "Simon", "non-dropping-particle" : "", "parse-names" : false, "suffix" : "" }, { "dropping-particle" : "", "family" : "Deubener", "given" : "Joachim", "non-dropping-particle" : "", "parse-names" : false, "suffix" : "" }, { "dropping-particle" : "", "family" : "Simon", "given" : "Klaus", "non-dropping-particle" : "", "parse-names" : false, "suffix" : "" } ], "container-title" : "Journal of Non-Crystalline Solids", "id" : "ITEM-1", "issued" : { "date-parts" : [ [ "2015" ] ] }, "page" : "51-56", "publisher" : "Elsevier B.V.", "title" : "A 2000-year perspective on indentation crack resistance and brittleness of glass", "type" : "article-journal", "volume" : "408" }, "uris" : [ "http://www.mendeley.com/documents/?uuid=d050bc6c-5fd2-4854-b76b-a8122a60be78" ] } ], "mendeley" : { "formattedCitation" : "(Hasdemir et al., 2015)", "manualFormatting" : "(Hasdemir et al., 2015)", "plainTextFormattedCitation" : "(Hasdemir et al., 2015)", "previouslyFormattedCitation" : "(Hasdemir et al., 2015)"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(Hasdemir et al., 2015)</w:t>
            </w:r>
            <w:r w:rsidRPr="000E2377">
              <w:rPr>
                <w:rFonts w:eastAsia="Times New Roman" w:cs="Times New Roman"/>
                <w:b w:val="0"/>
                <w:color w:val="000000"/>
                <w:szCs w:val="24"/>
                <w:lang w:eastAsia="en-MY"/>
              </w:rPr>
              <w:fldChar w:fldCharType="end"/>
            </w:r>
          </w:p>
        </w:tc>
      </w:tr>
      <w:tr w:rsidR="00CB5F95" w:rsidRPr="000E2377" w14:paraId="14744244" w14:textId="77777777" w:rsidTr="00CB5F95">
        <w:trPr>
          <w:trHeight w:val="300"/>
          <w:jc w:val="center"/>
        </w:trPr>
        <w:tc>
          <w:tcPr>
            <w:tcW w:w="2740" w:type="dxa"/>
            <w:tcBorders>
              <w:top w:val="nil"/>
              <w:left w:val="nil"/>
              <w:bottom w:val="nil"/>
              <w:right w:val="nil"/>
            </w:tcBorders>
            <w:shd w:val="clear" w:color="auto" w:fill="auto"/>
            <w:noWrap/>
            <w:vAlign w:val="center"/>
            <w:hideMark/>
          </w:tcPr>
          <w:p w14:paraId="63A4594E"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Soda Ash 2</w:t>
            </w:r>
          </w:p>
        </w:tc>
        <w:tc>
          <w:tcPr>
            <w:tcW w:w="3497" w:type="dxa"/>
            <w:tcBorders>
              <w:top w:val="nil"/>
              <w:left w:val="nil"/>
              <w:bottom w:val="nil"/>
              <w:right w:val="nil"/>
            </w:tcBorders>
            <w:shd w:val="clear" w:color="auto" w:fill="auto"/>
            <w:noWrap/>
            <w:vAlign w:val="center"/>
            <w:hideMark/>
          </w:tcPr>
          <w:p w14:paraId="3302FB6D"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"10.1016/j.jnoncrysol.2014.10.012", "ISSN" : "00223093", "abstract" : "Data on micromechanical properties of ancient and medieval glass fragments and glasses of early modern and today's manufacturing were compiled to offer a tentative look on changes in the brittleness of glass over the past 2000 years. Chronology of glass making was based on glass chemistry using rare earth element (REE) pattern, fluxing agents and provenance analysis while cracking and brittleness were evaluated from Vickers indentation in the course of the mean crack initiation load CR and the crack length-to-half diagonal ratio c/a. A structural analysis revealed that CR increases and c/a decreases with increasing molar volume i.e. decreasing atomic packing fraction, which allows us to classify periods of high and low crack-resistant and brittle glasses along the time line of historic glass technology.", "author" : [ { "dropping-particle" : "", "family" : "Hasdemir", "given" : "Ilhan", "non-dropping-particle" : "", "parse-names" : false, "suffix" : "" }, { "dropping-particle" : "", "family" : "Striepe", "given" : "Simon", "non-dropping-particle" : "", "parse-names" : false, "suffix" : "" }, { "dropping-particle" : "", "family" : "Deubener", "given" : "Joachim", "non-dropping-particle" : "", "parse-names" : false, "suffix" : "" }, { "dropping-particle" : "", "family" : "Simon", "given" : "Klaus", "non-dropping-particle" : "", "parse-names" : false, "suffix" : "" } ], "container-title" : "Journal of Non-Crystalline Solids", "id" : "ITEM-1", "issued" : { "date-parts" : [ [ "2015" ] ] }, "page" : "51-56", "publisher" : "Elsevier B.V.", "title" : "A 2000-year perspective on indentation crack resistance and brittleness of glass", "type" : "article-journal", "volume" : "408" }, "uris" : [ "http://www.mendeley.com/documents/?uuid=d050bc6c-5fd2-4854-b76b-a8122a60be78" ] } ], "mendeley" : { "formattedCitation" : "(Hasdemir et al., 2015)", "manualFormatting" : "(Hasdemir et al., 2015)", "plainTextFormattedCitation" : "(Hasdemir et al., 2015)", "previouslyFormattedCitation" : "(Hasdemir et al., 2015)"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(Hasdemir et al., 2015)</w:t>
            </w:r>
            <w:r w:rsidRPr="000E2377">
              <w:rPr>
                <w:rFonts w:eastAsia="Times New Roman" w:cs="Times New Roman"/>
                <w:b w:val="0"/>
                <w:color w:val="000000"/>
                <w:szCs w:val="24"/>
                <w:lang w:eastAsia="en-MY"/>
              </w:rPr>
              <w:fldChar w:fldCharType="end"/>
            </w:r>
          </w:p>
        </w:tc>
      </w:tr>
      <w:tr w:rsidR="00CB5F95" w:rsidRPr="000E2377" w14:paraId="6474C78C" w14:textId="77777777" w:rsidTr="00CB5F95">
        <w:trPr>
          <w:trHeight w:val="300"/>
          <w:jc w:val="center"/>
        </w:trPr>
        <w:tc>
          <w:tcPr>
            <w:tcW w:w="2740" w:type="dxa"/>
            <w:tcBorders>
              <w:top w:val="nil"/>
              <w:left w:val="nil"/>
              <w:bottom w:val="single" w:sz="4" w:space="0" w:color="auto"/>
              <w:right w:val="nil"/>
            </w:tcBorders>
            <w:shd w:val="clear" w:color="auto" w:fill="auto"/>
            <w:noWrap/>
            <w:vAlign w:val="center"/>
            <w:hideMark/>
          </w:tcPr>
          <w:p w14:paraId="4B1EF0FC" w14:textId="77777777" w:rsidR="00CB5F95" w:rsidRPr="000E2377" w:rsidRDefault="00CB5F95" w:rsidP="00CB5F95">
            <w:pPr>
              <w:spacing w:after="0" w:line="360" w:lineRule="auto"/>
              <w:jc w:val="center"/>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NaBSiCa</w:t>
            </w:r>
            <w:proofErr w:type="spellEnd"/>
          </w:p>
        </w:tc>
        <w:tc>
          <w:tcPr>
            <w:tcW w:w="3497" w:type="dxa"/>
            <w:tcBorders>
              <w:top w:val="nil"/>
              <w:left w:val="nil"/>
              <w:bottom w:val="single" w:sz="4" w:space="0" w:color="auto"/>
              <w:right w:val="nil"/>
            </w:tcBorders>
            <w:shd w:val="clear" w:color="auto" w:fill="auto"/>
            <w:noWrap/>
            <w:vAlign w:val="center"/>
            <w:hideMark/>
          </w:tcPr>
          <w:p w14:paraId="7D0FDBEB" w14:textId="77777777" w:rsidR="00CB5F95" w:rsidRPr="000E2377" w:rsidRDefault="00CB5F95" w:rsidP="00CB5F95">
            <w:pPr>
              <w:spacing w:after="0" w:line="36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fldChar w:fldCharType="begin" w:fldLock="1"/>
            </w:r>
            <w:r w:rsidRPr="000E2377">
              <w:rPr>
                <w:rFonts w:eastAsia="Times New Roman" w:cs="Times New Roman"/>
                <w:b w:val="0"/>
                <w:color w:val="000000"/>
                <w:szCs w:val="24"/>
                <w:lang w:eastAsia="en-MY"/>
              </w:rPr>
              <w:instrText>ADDIN CSL_CITATION { "citationItems" : [ { "id" : "ITEM-1", "itemData" : { "DOI" : "10.1016/j.msea.2011.11.012", "ISSN" : "09215093", "abstract" : "From thermal treatment of indentations made on glass, the densification contribution to the total indentation deformation can be estimated. In this work, we studied the physico-mechanical properties and low-temperature indentation recovery of soda-lime silicate glasses with the composition of (in wt%) 73SiO 2-12CaO-15Na 2O-xTiO 2 (ZrO 2 or HfO 2), where x is 0, 1, 2, 4 and 8. The obtained results demonstrated that the addition of group IV B metal oxides (TiO 2, ZrO 2 and HfO 2) into soda-lime silicate glass increased density, elastic moduli, Vickers hardness and brittleness due to the higher atomic weight of additives, increased network connectivity, higher strength of individual bonds formed and lower molar volume, respectively. Indentation recovery of glass samples containing 8 wt% TiO 2 (G5), 8 wt% ZrO 2 (G9) and 8 wt% HfO 2 (G13) was comparatively estimated with that of a pure soda-lime silicate glass (G1), as a reference, on the basis of the depth change of indentation impressions at low temperatures, 25??C and 100??C, for different periods with a maximum of 48h. It was found that the higher indentation recovery for all four samples was observed at both temperatures within the first 6h due to stored strain energy in deformation zone but equilibrium was not reached even after 48h because of low thermal treatment temperatures, which generally provide a thermodynamic driving force to recover. According to the glass composition, the indentation recovery rate follows the order: G13&lt;G9&lt;G5&lt;G1, which is mainly attributed to the decrease in densification with the increase the size of tetravalent metal cations introduced into soda-lime silicate glass. All the indentations made on the experimental glasses exhibited three common features: elasticity, viscoelasticity and plasticity. ?? 2011 Elsevier B.V.", "author" : [ { "dropping-particle" : "", "family" : "Hojamberdiev", "given" : "Mirabbos", "non-dropping-particle" : "", "parse-names" : false, "suffix" : "" }, { "dropping-particle" : "", "family" : "Stevens", "given" : "Harrie J.", "non-dropping-particle" : "", "parse-names" : false, "suffix" : "" } ], "container-title" : "Materials Science and Engineering A", "id" : "ITEM-1", "issued" : { "date-parts" : [ [ "2012" ] ] }, "page" : "456-461", "publisher" : "Elsevier B.V.", "title" : "Indentation recovery of soda-lime silicate glasses containing titania, zirconia and hafnia at low temperatures", "type" : "article-journal", "volume" : "532" }, "uris" : [ "http://www.mendeley.com/documents/?uuid=942f748b-a2ed-4872-b012-3ed579939333" ] } ], "mendeley" : { "formattedCitation" : "(Hojamberdiev &amp; Stevens, 2012)", "plainTextFormattedCitation" : "(Hojamberdiev &amp; Stevens, 2012)", "previouslyFormattedCitation" : "(Hojamberdiev &amp; Stevens, 2012)" }, "properties" : { "noteIndex" : 132 }, "schema" : "https://github.com/citation-style-language/schema/raw/master/csl-citation.json" }</w:instrText>
            </w:r>
            <w:r w:rsidRPr="000E2377">
              <w:rPr>
                <w:rFonts w:eastAsia="Times New Roman" w:cs="Times New Roman"/>
                <w:b w:val="0"/>
                <w:color w:val="000000"/>
                <w:szCs w:val="24"/>
                <w:lang w:eastAsia="en-MY"/>
              </w:rPr>
              <w:fldChar w:fldCharType="separate"/>
            </w:r>
            <w:r w:rsidRPr="000E2377">
              <w:rPr>
                <w:rFonts w:eastAsia="Times New Roman" w:cs="Times New Roman"/>
                <w:b w:val="0"/>
                <w:noProof/>
                <w:color w:val="000000"/>
                <w:szCs w:val="24"/>
                <w:lang w:eastAsia="en-MY"/>
              </w:rPr>
              <w:t>(Hojamberdiev &amp; Stevens, 2012)</w:t>
            </w:r>
            <w:r w:rsidRPr="000E2377">
              <w:rPr>
                <w:rFonts w:eastAsia="Times New Roman" w:cs="Times New Roman"/>
                <w:b w:val="0"/>
                <w:color w:val="000000"/>
                <w:szCs w:val="24"/>
                <w:lang w:eastAsia="en-MY"/>
              </w:rPr>
              <w:fldChar w:fldCharType="end"/>
            </w:r>
            <w:r w:rsidRPr="000E2377">
              <w:rPr>
                <w:rFonts w:eastAsia="Times New Roman" w:cs="Times New Roman"/>
                <w:b w:val="0"/>
                <w:color w:val="000000"/>
                <w:szCs w:val="24"/>
                <w:lang w:eastAsia="en-MY"/>
              </w:rPr>
              <w:t> </w:t>
            </w:r>
          </w:p>
        </w:tc>
      </w:tr>
    </w:tbl>
    <w:p w14:paraId="6F182564" w14:textId="77777777" w:rsidR="00CB5F95" w:rsidRPr="000E2377" w:rsidRDefault="00CB5F95" w:rsidP="00CB5F95"/>
    <w:p w14:paraId="0C5F5DE0" w14:textId="77777777" w:rsidR="00CB5F95" w:rsidRPr="000E2377" w:rsidRDefault="00CB5F95" w:rsidP="00CB5F95"/>
    <w:p w14:paraId="41A10742" w14:textId="77777777" w:rsidR="00CB5F95" w:rsidRPr="000E2377" w:rsidRDefault="00CB5F95" w:rsidP="00CB5F95"/>
    <w:p w14:paraId="59A0413F" w14:textId="77777777" w:rsidR="00CB5F95" w:rsidRDefault="00CB5F95" w:rsidP="00CB5F95"/>
    <w:p w14:paraId="73F3F8A8" w14:textId="77777777" w:rsidR="00CB5F95" w:rsidRDefault="00CB5F95" w:rsidP="00CB5F95"/>
    <w:p w14:paraId="71973F03" w14:textId="77777777" w:rsidR="00CB5F95" w:rsidRPr="000E2377" w:rsidRDefault="00CB5F95" w:rsidP="00CB5F95"/>
    <w:p w14:paraId="52594B34" w14:textId="77777777" w:rsidR="00CB5F95" w:rsidRPr="000E2377" w:rsidRDefault="00CB5F95" w:rsidP="00CB5F95">
      <w:pPr>
        <w:jc w:val="center"/>
      </w:pPr>
      <w:r w:rsidRPr="000E2377">
        <w:lastRenderedPageBreak/>
        <w:t>APPENDIX B</w:t>
      </w:r>
    </w:p>
    <w:p w14:paraId="46A6E022" w14:textId="77777777" w:rsidR="00CB5F95" w:rsidRPr="000E2377" w:rsidRDefault="00CB5F95" w:rsidP="00CB5F95">
      <w:pPr>
        <w:jc w:val="center"/>
      </w:pPr>
      <w:r w:rsidRPr="000E2377">
        <w:t>NMR DECONVOLTUION</w:t>
      </w:r>
    </w:p>
    <w:p w14:paraId="0AF154D1" w14:textId="77777777" w:rsidR="00CB5F95" w:rsidRPr="000E2377" w:rsidRDefault="00CB5F95" w:rsidP="00CB5F95">
      <w:pPr>
        <w:rPr>
          <w:rFonts w:cs="Times New Roman"/>
          <w:b w:val="0"/>
          <w:szCs w:val="24"/>
        </w:rPr>
      </w:pPr>
      <w:r w:rsidRPr="000E2377">
        <w:rPr>
          <w:rFonts w:cs="Times New Roman"/>
          <w:b w:val="0"/>
          <w:noProof/>
          <w:szCs w:val="24"/>
          <w:lang w:eastAsia="en-MY"/>
        </w:rPr>
        <w:drawing>
          <wp:inline distT="0" distB="0" distL="0" distR="0" wp14:anchorId="5E974B57" wp14:editId="6D322DD5">
            <wp:extent cx="2830949" cy="2880000"/>
            <wp:effectExtent l="0" t="0" r="7620" b="0"/>
            <wp:docPr id="1967" name="Picture 1967" descr="C:\Users\Asus A450L\Google Drive\NMR\NMR Si\A5 n15c10s60A5c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 A450L\Google Drive\NMR\NMR Si\A5 n15c10s60A5c10.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30949" cy="2880000"/>
                    </a:xfrm>
                    <a:prstGeom prst="rect">
                      <a:avLst/>
                    </a:prstGeom>
                    <a:noFill/>
                    <a:ln>
                      <a:noFill/>
                    </a:ln>
                  </pic:spPr>
                </pic:pic>
              </a:graphicData>
            </a:graphic>
          </wp:inline>
        </w:drawing>
      </w:r>
      <w:r w:rsidRPr="000E2377">
        <w:rPr>
          <w:rFonts w:cs="Times New Roman"/>
          <w:b w:val="0"/>
          <w:szCs w:val="24"/>
        </w:rPr>
        <w:t xml:space="preserve"> </w:t>
      </w:r>
      <w:r w:rsidRPr="000E2377">
        <w:rPr>
          <w:rFonts w:cs="Times New Roman"/>
          <w:b w:val="0"/>
          <w:noProof/>
          <w:szCs w:val="24"/>
          <w:lang w:eastAsia="en-MY"/>
        </w:rPr>
        <w:drawing>
          <wp:inline distT="0" distB="0" distL="0" distR="0" wp14:anchorId="39152D6E" wp14:editId="7C7CA1E9">
            <wp:extent cx="2820670" cy="2881011"/>
            <wp:effectExtent l="0" t="0" r="0" b="0"/>
            <wp:docPr id="1968" name="Picture 1968" descr="C:\Users\Asus A450L\Google Drive\NMR\NMR Si\A6. n15b10s60a5bA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 A450L\Google Drive\NMR\NMR Si\A6. n15b10s60a5bA10.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29167" cy="2889690"/>
                    </a:xfrm>
                    <a:prstGeom prst="rect">
                      <a:avLst/>
                    </a:prstGeom>
                    <a:noFill/>
                    <a:ln>
                      <a:noFill/>
                    </a:ln>
                  </pic:spPr>
                </pic:pic>
              </a:graphicData>
            </a:graphic>
          </wp:inline>
        </w:drawing>
      </w:r>
    </w:p>
    <w:p w14:paraId="674F8EF2" w14:textId="77777777" w:rsidR="00CB5F95" w:rsidRPr="000E2377" w:rsidRDefault="00CB5F95" w:rsidP="00CB5F95">
      <w:pPr>
        <w:ind w:left="1440" w:firstLine="720"/>
        <w:rPr>
          <w:rFonts w:cs="Times New Roman"/>
          <w:b w:val="0"/>
          <w:szCs w:val="24"/>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b w:val="0"/>
          <w:color w:val="000000"/>
          <w:szCs w:val="24"/>
          <w:lang w:eastAsia="en-MY"/>
        </w:rPr>
        <w:t xml:space="preserve"> </w:t>
      </w:r>
      <w:r w:rsidRPr="000E2377">
        <w:rPr>
          <w:rFonts w:eastAsia="Times New Roman" w:cs="Times New Roman"/>
          <w:b w:val="0"/>
          <w:color w:val="000000"/>
          <w:szCs w:val="24"/>
          <w:lang w:eastAsia="en-MY"/>
        </w:rPr>
        <w:tab/>
      </w:r>
      <w:r w:rsidRPr="000E2377">
        <w:rPr>
          <w:rFonts w:eastAsia="Times New Roman" w:cs="Times New Roman"/>
          <w:b w:val="0"/>
          <w:color w:val="000000"/>
          <w:szCs w:val="24"/>
          <w:lang w:eastAsia="en-MY"/>
        </w:rPr>
        <w:tab/>
      </w:r>
      <w:r w:rsidRPr="000E2377">
        <w:rPr>
          <w:rFonts w:eastAsia="Times New Roman" w:cs="Times New Roman"/>
          <w:b w:val="0"/>
          <w:color w:val="000000"/>
          <w:szCs w:val="24"/>
          <w:lang w:eastAsia="en-MY"/>
        </w:rPr>
        <w:tab/>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p w14:paraId="722BBC84" w14:textId="77777777" w:rsidR="00CB5F95" w:rsidRPr="000E2377" w:rsidRDefault="00CB5F95" w:rsidP="00CB5F95">
      <w:pPr>
        <w:rPr>
          <w:rFonts w:cs="Times New Roman"/>
          <w:b w:val="0"/>
          <w:szCs w:val="24"/>
        </w:rPr>
      </w:pPr>
    </w:p>
    <w:p w14:paraId="12EC15A8" w14:textId="77777777" w:rsidR="00CB5F95" w:rsidRPr="000E2377" w:rsidRDefault="00CB5F95" w:rsidP="00CB5F95">
      <w:pPr>
        <w:rPr>
          <w:rFonts w:cs="Times New Roman"/>
          <w:b w:val="0"/>
          <w:szCs w:val="24"/>
        </w:rPr>
      </w:pPr>
      <w:r w:rsidRPr="000E2377">
        <w:rPr>
          <w:rFonts w:cs="Times New Roman"/>
          <w:b w:val="0"/>
          <w:szCs w:val="24"/>
        </w:rPr>
        <w:t xml:space="preserve"> </w:t>
      </w:r>
      <w:r w:rsidRPr="000E2377">
        <w:rPr>
          <w:rFonts w:cs="Times New Roman"/>
          <w:b w:val="0"/>
          <w:noProof/>
          <w:szCs w:val="24"/>
          <w:lang w:eastAsia="en-MY"/>
        </w:rPr>
        <w:drawing>
          <wp:inline distT="0" distB="0" distL="0" distR="0" wp14:anchorId="545C5663" wp14:editId="756AFFC9">
            <wp:extent cx="2812919" cy="2875915"/>
            <wp:effectExtent l="0" t="0" r="6985" b="635"/>
            <wp:docPr id="1970" name="Picture 1970" descr="C:\Users\Asus A450L\Google Drive\NMR\NMR Si\A8. n10b10s60a15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 A450L\Google Drive\NMR\NMR Si\A8. n10b10s60a15c5.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822215" cy="2885419"/>
                    </a:xfrm>
                    <a:prstGeom prst="rect">
                      <a:avLst/>
                    </a:prstGeom>
                    <a:noFill/>
                    <a:ln>
                      <a:noFill/>
                    </a:ln>
                  </pic:spPr>
                </pic:pic>
              </a:graphicData>
            </a:graphic>
          </wp:inline>
        </w:drawing>
      </w:r>
      <w:r w:rsidRPr="000E2377">
        <w:rPr>
          <w:rFonts w:cs="Times New Roman"/>
          <w:b w:val="0"/>
          <w:noProof/>
          <w:szCs w:val="24"/>
          <w:lang w:eastAsia="en-MY"/>
        </w:rPr>
        <w:drawing>
          <wp:inline distT="0" distB="0" distL="0" distR="0" wp14:anchorId="24E3AA79" wp14:editId="4D0F9F86">
            <wp:extent cx="2829219" cy="2880000"/>
            <wp:effectExtent l="0" t="0" r="9525" b="0"/>
            <wp:docPr id="1969" name="Picture 1969" descr="C:\Users\Asus A450L\Google Drive\NMR\NMR Si\A7. n10b10s60a15b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 A450L\Google Drive\NMR\NMR Si\A7. n10b10s60a15bA5.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829219" cy="2880000"/>
                    </a:xfrm>
                    <a:prstGeom prst="rect">
                      <a:avLst/>
                    </a:prstGeom>
                    <a:noFill/>
                    <a:ln>
                      <a:noFill/>
                    </a:ln>
                  </pic:spPr>
                </pic:pic>
              </a:graphicData>
            </a:graphic>
          </wp:inline>
        </w:drawing>
      </w:r>
    </w:p>
    <w:p w14:paraId="060791B2" w14:textId="77777777" w:rsidR="00CB5F95" w:rsidRPr="00857423" w:rsidRDefault="00CB5F95" w:rsidP="00CB5F95">
      <w:pPr>
        <w:tabs>
          <w:tab w:val="left" w:pos="1500"/>
          <w:tab w:val="left" w:pos="6240"/>
        </w:tabs>
        <w:rPr>
          <w:rFonts w:asciiTheme="minorHAnsi" w:hAnsiTheme="minorHAnsi"/>
          <w:sz w:val="22"/>
        </w:rPr>
        <w:sectPr w:rsidR="00CB5F95" w:rsidRPr="00857423" w:rsidSect="009D5247">
          <w:pgSz w:w="11906" w:h="16838"/>
          <w:pgMar w:top="1440" w:right="1440" w:bottom="1440" w:left="1440" w:header="709" w:footer="709" w:gutter="0"/>
          <w:cols w:space="708"/>
          <w:docGrid w:linePitch="360"/>
        </w:sectPr>
      </w:pPr>
      <w:r w:rsidRPr="000E2377">
        <w:rPr>
          <w:rFonts w:asciiTheme="minorHAnsi" w:hAnsiTheme="minorHAnsi"/>
          <w:sz w:val="22"/>
        </w:rPr>
        <w:tab/>
        <w:t xml:space="preserve">         </w:t>
      </w: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r w:rsidRPr="000E2377">
        <w:rPr>
          <w:rFonts w:eastAsia="Times New Roman" w:cs="Times New Roman"/>
          <w:b w:val="0"/>
          <w:color w:val="000000"/>
          <w:szCs w:val="24"/>
          <w:lang w:eastAsia="en-MY"/>
        </w:rPr>
        <w:t xml:space="preserve">                                         N</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p w14:paraId="6B6D0DF6" w14:textId="77777777" w:rsidR="00CB5F95" w:rsidRPr="000E2377" w:rsidRDefault="00CB5F95" w:rsidP="00CB5F95">
      <w:pPr>
        <w:jc w:val="center"/>
      </w:pPr>
      <w:r w:rsidRPr="000E2377">
        <w:lastRenderedPageBreak/>
        <w:t>APPENDIX C</w:t>
      </w:r>
    </w:p>
    <w:p w14:paraId="51BD8E54" w14:textId="77777777" w:rsidR="00CB5F95" w:rsidRDefault="00CB5F95" w:rsidP="00CB5F95">
      <w:pPr>
        <w:jc w:val="center"/>
        <w:sectPr w:rsidR="00CB5F95" w:rsidSect="00857423">
          <w:pgSz w:w="16838" w:h="11906" w:orient="landscape"/>
          <w:pgMar w:top="1440" w:right="1440" w:bottom="1440" w:left="1440" w:header="709" w:footer="709" w:gutter="0"/>
          <w:cols w:space="708"/>
          <w:docGrid w:linePitch="360"/>
        </w:sectPr>
      </w:pPr>
      <w:r w:rsidRPr="000E2377">
        <w:t>Raman Deconvolution</w:t>
      </w:r>
      <w:r>
        <w:t xml:space="preserve"> (Q Species)</w:t>
      </w:r>
    </w:p>
    <w:tbl>
      <w:tblPr>
        <w:tblpPr w:leftFromText="180" w:rightFromText="180" w:vertAnchor="text" w:horzAnchor="margin" w:tblpY="60"/>
        <w:tblW w:w="13540" w:type="dxa"/>
        <w:tblLook w:val="04A0" w:firstRow="1" w:lastRow="0" w:firstColumn="1" w:lastColumn="0" w:noHBand="0" w:noVBand="1"/>
      </w:tblPr>
      <w:tblGrid>
        <w:gridCol w:w="2500"/>
        <w:gridCol w:w="2500"/>
        <w:gridCol w:w="1820"/>
        <w:gridCol w:w="960"/>
        <w:gridCol w:w="960"/>
        <w:gridCol w:w="960"/>
        <w:gridCol w:w="960"/>
        <w:gridCol w:w="960"/>
        <w:gridCol w:w="960"/>
        <w:gridCol w:w="960"/>
      </w:tblGrid>
      <w:tr w:rsidR="00CB5F95" w:rsidRPr="00C533F9" w14:paraId="6710DABA" w14:textId="77777777" w:rsidTr="00CB5F95">
        <w:trPr>
          <w:trHeight w:val="315"/>
        </w:trPr>
        <w:tc>
          <w:tcPr>
            <w:tcW w:w="2500" w:type="dxa"/>
            <w:tcBorders>
              <w:top w:val="single" w:sz="8" w:space="0" w:color="auto"/>
              <w:left w:val="nil"/>
              <w:bottom w:val="single" w:sz="8" w:space="0" w:color="auto"/>
              <w:right w:val="nil"/>
            </w:tcBorders>
            <w:shd w:val="clear" w:color="auto" w:fill="auto"/>
            <w:noWrap/>
            <w:vAlign w:val="center"/>
            <w:hideMark/>
          </w:tcPr>
          <w:p w14:paraId="7009FF02"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Glass series</w:t>
            </w:r>
          </w:p>
        </w:tc>
        <w:tc>
          <w:tcPr>
            <w:tcW w:w="2500" w:type="dxa"/>
            <w:tcBorders>
              <w:top w:val="single" w:sz="8" w:space="0" w:color="auto"/>
              <w:left w:val="nil"/>
              <w:bottom w:val="single" w:sz="8" w:space="0" w:color="auto"/>
              <w:right w:val="nil"/>
            </w:tcBorders>
            <w:shd w:val="clear" w:color="auto" w:fill="auto"/>
            <w:noWrap/>
            <w:vAlign w:val="center"/>
            <w:hideMark/>
          </w:tcPr>
          <w:p w14:paraId="4A88EF67"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Label</w:t>
            </w:r>
          </w:p>
        </w:tc>
        <w:tc>
          <w:tcPr>
            <w:tcW w:w="1820" w:type="dxa"/>
            <w:tcBorders>
              <w:top w:val="single" w:sz="8" w:space="0" w:color="auto"/>
              <w:left w:val="nil"/>
              <w:bottom w:val="single" w:sz="8" w:space="0" w:color="auto"/>
              <w:right w:val="nil"/>
            </w:tcBorders>
            <w:shd w:val="clear" w:color="auto" w:fill="auto"/>
            <w:noWrap/>
            <w:vAlign w:val="center"/>
            <w:hideMark/>
          </w:tcPr>
          <w:p w14:paraId="0255300B"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 </w:t>
            </w:r>
          </w:p>
        </w:tc>
        <w:tc>
          <w:tcPr>
            <w:tcW w:w="960" w:type="dxa"/>
            <w:tcBorders>
              <w:top w:val="single" w:sz="8" w:space="0" w:color="auto"/>
              <w:left w:val="nil"/>
              <w:bottom w:val="single" w:sz="8" w:space="0" w:color="auto"/>
              <w:right w:val="nil"/>
            </w:tcBorders>
            <w:shd w:val="clear" w:color="auto" w:fill="auto"/>
            <w:noWrap/>
            <w:vAlign w:val="center"/>
            <w:hideMark/>
          </w:tcPr>
          <w:p w14:paraId="1920BF8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2</w:t>
            </w:r>
          </w:p>
        </w:tc>
        <w:tc>
          <w:tcPr>
            <w:tcW w:w="960" w:type="dxa"/>
            <w:tcBorders>
              <w:top w:val="single" w:sz="8" w:space="0" w:color="auto"/>
              <w:left w:val="nil"/>
              <w:bottom w:val="single" w:sz="8" w:space="0" w:color="auto"/>
              <w:right w:val="nil"/>
            </w:tcBorders>
            <w:shd w:val="clear" w:color="auto" w:fill="auto"/>
            <w:noWrap/>
            <w:vAlign w:val="center"/>
            <w:hideMark/>
          </w:tcPr>
          <w:p w14:paraId="185FA9D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3</w:t>
            </w:r>
          </w:p>
        </w:tc>
        <w:tc>
          <w:tcPr>
            <w:tcW w:w="960" w:type="dxa"/>
            <w:tcBorders>
              <w:top w:val="single" w:sz="8" w:space="0" w:color="auto"/>
              <w:left w:val="nil"/>
              <w:bottom w:val="single" w:sz="8" w:space="0" w:color="auto"/>
              <w:right w:val="nil"/>
            </w:tcBorders>
            <w:shd w:val="clear" w:color="auto" w:fill="auto"/>
            <w:noWrap/>
            <w:vAlign w:val="center"/>
            <w:hideMark/>
          </w:tcPr>
          <w:p w14:paraId="2903256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3</w:t>
            </w:r>
          </w:p>
        </w:tc>
        <w:tc>
          <w:tcPr>
            <w:tcW w:w="960" w:type="dxa"/>
            <w:tcBorders>
              <w:top w:val="single" w:sz="8" w:space="0" w:color="auto"/>
              <w:left w:val="nil"/>
              <w:bottom w:val="single" w:sz="8" w:space="0" w:color="auto"/>
              <w:right w:val="nil"/>
            </w:tcBorders>
            <w:shd w:val="clear" w:color="auto" w:fill="auto"/>
            <w:noWrap/>
            <w:vAlign w:val="center"/>
            <w:hideMark/>
          </w:tcPr>
          <w:p w14:paraId="78BF804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4</w:t>
            </w:r>
          </w:p>
        </w:tc>
        <w:tc>
          <w:tcPr>
            <w:tcW w:w="960" w:type="dxa"/>
            <w:tcBorders>
              <w:top w:val="single" w:sz="8" w:space="0" w:color="auto"/>
              <w:left w:val="nil"/>
              <w:bottom w:val="single" w:sz="8" w:space="0" w:color="auto"/>
              <w:right w:val="nil"/>
            </w:tcBorders>
            <w:shd w:val="clear" w:color="auto" w:fill="auto"/>
            <w:noWrap/>
            <w:vAlign w:val="center"/>
            <w:hideMark/>
          </w:tcPr>
          <w:p w14:paraId="65A991D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2</w:t>
            </w:r>
            <w:r w:rsidRPr="00C533F9">
              <w:rPr>
                <w:rFonts w:ascii="Calibri" w:eastAsia="Times New Roman" w:hAnsi="Calibri" w:cs="Times New Roman"/>
                <w:b w:val="0"/>
                <w:color w:val="000000"/>
                <w:sz w:val="20"/>
                <w:szCs w:val="20"/>
                <w:lang w:eastAsia="en-MY"/>
              </w:rPr>
              <w:t xml:space="preserve"> (%)</w:t>
            </w:r>
          </w:p>
        </w:tc>
        <w:tc>
          <w:tcPr>
            <w:tcW w:w="960" w:type="dxa"/>
            <w:tcBorders>
              <w:top w:val="single" w:sz="8" w:space="0" w:color="auto"/>
              <w:left w:val="nil"/>
              <w:bottom w:val="single" w:sz="8" w:space="0" w:color="auto"/>
              <w:right w:val="nil"/>
            </w:tcBorders>
            <w:shd w:val="clear" w:color="auto" w:fill="auto"/>
            <w:noWrap/>
            <w:vAlign w:val="center"/>
            <w:hideMark/>
          </w:tcPr>
          <w:p w14:paraId="354CC1C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3</w:t>
            </w:r>
            <w:r w:rsidRPr="00C533F9">
              <w:rPr>
                <w:rFonts w:ascii="Calibri" w:eastAsia="Times New Roman" w:hAnsi="Calibri" w:cs="Times New Roman"/>
                <w:b w:val="0"/>
                <w:color w:val="000000"/>
                <w:sz w:val="20"/>
                <w:szCs w:val="20"/>
                <w:lang w:eastAsia="en-MY"/>
              </w:rPr>
              <w:t xml:space="preserve"> (%)</w:t>
            </w:r>
          </w:p>
        </w:tc>
        <w:tc>
          <w:tcPr>
            <w:tcW w:w="960" w:type="dxa"/>
            <w:tcBorders>
              <w:top w:val="single" w:sz="8" w:space="0" w:color="auto"/>
              <w:left w:val="nil"/>
              <w:bottom w:val="single" w:sz="8" w:space="0" w:color="auto"/>
              <w:right w:val="nil"/>
            </w:tcBorders>
            <w:shd w:val="clear" w:color="auto" w:fill="auto"/>
            <w:noWrap/>
            <w:vAlign w:val="center"/>
            <w:hideMark/>
          </w:tcPr>
          <w:p w14:paraId="5CB356A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 xml:space="preserve">4 </w:t>
            </w:r>
            <w:r w:rsidRPr="00C533F9">
              <w:rPr>
                <w:rFonts w:ascii="Calibri" w:eastAsia="Times New Roman" w:hAnsi="Calibri" w:cs="Times New Roman"/>
                <w:b w:val="0"/>
                <w:color w:val="000000"/>
                <w:sz w:val="20"/>
                <w:szCs w:val="20"/>
                <w:lang w:eastAsia="en-MY"/>
              </w:rPr>
              <w:t>(%)</w:t>
            </w:r>
          </w:p>
        </w:tc>
      </w:tr>
      <w:tr w:rsidR="00CB5F95" w:rsidRPr="00C533F9" w14:paraId="1421AB8E" w14:textId="77777777" w:rsidTr="00CB5F95">
        <w:trPr>
          <w:trHeight w:val="300"/>
        </w:trPr>
        <w:tc>
          <w:tcPr>
            <w:tcW w:w="2500" w:type="dxa"/>
            <w:vMerge w:val="restart"/>
            <w:tcBorders>
              <w:top w:val="nil"/>
              <w:left w:val="nil"/>
              <w:bottom w:val="single" w:sz="8" w:space="0" w:color="000000"/>
              <w:right w:val="nil"/>
            </w:tcBorders>
            <w:shd w:val="clear" w:color="auto" w:fill="auto"/>
            <w:noWrap/>
            <w:vAlign w:val="center"/>
            <w:hideMark/>
          </w:tcPr>
          <w:p w14:paraId="0CA3EE09"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7.6</w:t>
            </w:r>
            <w:r w:rsidRPr="00C533F9">
              <w:rPr>
                <w:rFonts w:eastAsia="Times New Roman" w:cs="Times New Roman"/>
                <w:b w:val="0"/>
                <w:color w:val="000000"/>
                <w:sz w:val="20"/>
                <w:szCs w:val="20"/>
                <w:lang w:eastAsia="en-MY"/>
              </w:rPr>
              <w:t>M</w:t>
            </w:r>
            <w:r w:rsidRPr="00C533F9">
              <w:rPr>
                <w:rFonts w:eastAsia="Times New Roman" w:cs="Times New Roman"/>
                <w:b w:val="0"/>
                <w:color w:val="000000"/>
                <w:sz w:val="20"/>
                <w:szCs w:val="20"/>
                <w:vertAlign w:val="subscript"/>
                <w:lang w:eastAsia="en-MY"/>
              </w:rPr>
              <w:t>1.1</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3</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x</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7.6</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80.7-x</w:t>
            </w:r>
            <w:r w:rsidRPr="00C533F9">
              <w:rPr>
                <w:rFonts w:eastAsia="Times New Roman" w:cs="Times New Roman"/>
                <w:b w:val="0"/>
                <w:color w:val="000000"/>
                <w:sz w:val="20"/>
                <w:szCs w:val="20"/>
                <w:lang w:eastAsia="en-MY"/>
              </w:rPr>
              <w:t xml:space="preserve"> </w:t>
            </w:r>
          </w:p>
        </w:tc>
        <w:tc>
          <w:tcPr>
            <w:tcW w:w="2500" w:type="dxa"/>
            <w:tcBorders>
              <w:top w:val="nil"/>
              <w:left w:val="nil"/>
              <w:bottom w:val="nil"/>
              <w:right w:val="nil"/>
            </w:tcBorders>
            <w:shd w:val="clear" w:color="auto" w:fill="auto"/>
            <w:noWrap/>
            <w:vAlign w:val="bottom"/>
            <w:hideMark/>
          </w:tcPr>
          <w:p w14:paraId="07EF884B"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7.6</w:t>
            </w:r>
            <w:r w:rsidRPr="00C533F9">
              <w:rPr>
                <w:rFonts w:eastAsia="Times New Roman" w:cs="Times New Roman"/>
                <w:b w:val="0"/>
                <w:color w:val="000000"/>
                <w:sz w:val="20"/>
                <w:szCs w:val="20"/>
                <w:lang w:eastAsia="en-MY"/>
              </w:rPr>
              <w:t>M</w:t>
            </w:r>
            <w:r w:rsidRPr="00C533F9">
              <w:rPr>
                <w:rFonts w:eastAsia="Times New Roman" w:cs="Times New Roman"/>
                <w:b w:val="0"/>
                <w:color w:val="000000"/>
                <w:sz w:val="20"/>
                <w:szCs w:val="20"/>
                <w:vertAlign w:val="subscript"/>
                <w:lang w:eastAsia="en-MY"/>
              </w:rPr>
              <w:t>1.1</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3</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1</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7.6</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79.7</w:t>
            </w:r>
          </w:p>
        </w:tc>
        <w:tc>
          <w:tcPr>
            <w:tcW w:w="1820" w:type="dxa"/>
            <w:tcBorders>
              <w:top w:val="nil"/>
              <w:left w:val="nil"/>
              <w:bottom w:val="nil"/>
              <w:right w:val="nil"/>
            </w:tcBorders>
            <w:shd w:val="clear" w:color="auto" w:fill="auto"/>
            <w:noWrap/>
            <w:vAlign w:val="center"/>
            <w:hideMark/>
          </w:tcPr>
          <w:p w14:paraId="0B4C617E"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0C44D3C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0.07</w:t>
            </w:r>
          </w:p>
        </w:tc>
        <w:tc>
          <w:tcPr>
            <w:tcW w:w="960" w:type="dxa"/>
            <w:tcBorders>
              <w:top w:val="nil"/>
              <w:left w:val="nil"/>
              <w:bottom w:val="nil"/>
              <w:right w:val="nil"/>
            </w:tcBorders>
            <w:shd w:val="clear" w:color="auto" w:fill="auto"/>
            <w:noWrap/>
            <w:vAlign w:val="center"/>
            <w:hideMark/>
          </w:tcPr>
          <w:p w14:paraId="477C305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0.21</w:t>
            </w:r>
          </w:p>
        </w:tc>
        <w:tc>
          <w:tcPr>
            <w:tcW w:w="960" w:type="dxa"/>
            <w:tcBorders>
              <w:top w:val="nil"/>
              <w:left w:val="nil"/>
              <w:bottom w:val="nil"/>
              <w:right w:val="nil"/>
            </w:tcBorders>
            <w:shd w:val="clear" w:color="auto" w:fill="auto"/>
            <w:noWrap/>
            <w:vAlign w:val="center"/>
            <w:hideMark/>
          </w:tcPr>
          <w:p w14:paraId="025726F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0.44</w:t>
            </w:r>
          </w:p>
        </w:tc>
        <w:tc>
          <w:tcPr>
            <w:tcW w:w="960" w:type="dxa"/>
            <w:tcBorders>
              <w:top w:val="nil"/>
              <w:left w:val="nil"/>
              <w:bottom w:val="nil"/>
              <w:right w:val="nil"/>
            </w:tcBorders>
            <w:shd w:val="clear" w:color="auto" w:fill="auto"/>
            <w:noWrap/>
            <w:vAlign w:val="center"/>
            <w:hideMark/>
          </w:tcPr>
          <w:p w14:paraId="647D9AE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0.28</w:t>
            </w:r>
          </w:p>
        </w:tc>
        <w:tc>
          <w:tcPr>
            <w:tcW w:w="960" w:type="dxa"/>
            <w:tcBorders>
              <w:top w:val="nil"/>
              <w:left w:val="nil"/>
              <w:bottom w:val="nil"/>
              <w:right w:val="nil"/>
            </w:tcBorders>
            <w:shd w:val="clear" w:color="auto" w:fill="auto"/>
            <w:noWrap/>
            <w:vAlign w:val="center"/>
            <w:hideMark/>
          </w:tcPr>
          <w:p w14:paraId="41AC885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7.4</w:t>
            </w:r>
          </w:p>
        </w:tc>
        <w:tc>
          <w:tcPr>
            <w:tcW w:w="960" w:type="dxa"/>
            <w:tcBorders>
              <w:top w:val="nil"/>
              <w:left w:val="nil"/>
              <w:bottom w:val="nil"/>
              <w:right w:val="nil"/>
            </w:tcBorders>
            <w:shd w:val="clear" w:color="auto" w:fill="auto"/>
            <w:noWrap/>
            <w:vAlign w:val="center"/>
            <w:hideMark/>
          </w:tcPr>
          <w:p w14:paraId="12F6EB6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64.75</w:t>
            </w:r>
          </w:p>
        </w:tc>
        <w:tc>
          <w:tcPr>
            <w:tcW w:w="960" w:type="dxa"/>
            <w:tcBorders>
              <w:top w:val="nil"/>
              <w:left w:val="nil"/>
              <w:bottom w:val="nil"/>
              <w:right w:val="nil"/>
            </w:tcBorders>
            <w:shd w:val="clear" w:color="auto" w:fill="auto"/>
            <w:noWrap/>
            <w:vAlign w:val="center"/>
            <w:hideMark/>
          </w:tcPr>
          <w:p w14:paraId="25B10BE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27.84</w:t>
            </w:r>
          </w:p>
        </w:tc>
      </w:tr>
      <w:tr w:rsidR="00CB5F95" w:rsidRPr="00C533F9" w14:paraId="6382CF08" w14:textId="77777777" w:rsidTr="00CB5F95">
        <w:trPr>
          <w:trHeight w:val="300"/>
        </w:trPr>
        <w:tc>
          <w:tcPr>
            <w:tcW w:w="2500" w:type="dxa"/>
            <w:vMerge/>
            <w:tcBorders>
              <w:top w:val="nil"/>
              <w:left w:val="nil"/>
              <w:bottom w:val="single" w:sz="8" w:space="0" w:color="000000"/>
              <w:right w:val="nil"/>
            </w:tcBorders>
            <w:vAlign w:val="center"/>
            <w:hideMark/>
          </w:tcPr>
          <w:p w14:paraId="6ABF20E1"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nil"/>
              <w:right w:val="nil"/>
            </w:tcBorders>
            <w:shd w:val="clear" w:color="auto" w:fill="auto"/>
            <w:noWrap/>
            <w:vAlign w:val="center"/>
            <w:hideMark/>
          </w:tcPr>
          <w:p w14:paraId="415D3DB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820" w:type="dxa"/>
            <w:tcBorders>
              <w:top w:val="nil"/>
              <w:left w:val="nil"/>
              <w:bottom w:val="nil"/>
              <w:right w:val="nil"/>
            </w:tcBorders>
            <w:shd w:val="clear" w:color="auto" w:fill="auto"/>
            <w:noWrap/>
            <w:vAlign w:val="center"/>
            <w:hideMark/>
          </w:tcPr>
          <w:p w14:paraId="3115777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1F95C05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906.57</w:t>
            </w:r>
          </w:p>
        </w:tc>
        <w:tc>
          <w:tcPr>
            <w:tcW w:w="960" w:type="dxa"/>
            <w:tcBorders>
              <w:top w:val="nil"/>
              <w:left w:val="nil"/>
              <w:bottom w:val="nil"/>
              <w:right w:val="nil"/>
            </w:tcBorders>
            <w:shd w:val="clear" w:color="auto" w:fill="auto"/>
            <w:noWrap/>
            <w:vAlign w:val="center"/>
            <w:hideMark/>
          </w:tcPr>
          <w:p w14:paraId="4F01945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992.08</w:t>
            </w:r>
          </w:p>
        </w:tc>
        <w:tc>
          <w:tcPr>
            <w:tcW w:w="960" w:type="dxa"/>
            <w:tcBorders>
              <w:top w:val="nil"/>
              <w:left w:val="nil"/>
              <w:bottom w:val="nil"/>
              <w:right w:val="nil"/>
            </w:tcBorders>
            <w:shd w:val="clear" w:color="auto" w:fill="auto"/>
            <w:noWrap/>
            <w:vAlign w:val="center"/>
            <w:hideMark/>
          </w:tcPr>
          <w:p w14:paraId="0AA49E4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1075.69</w:t>
            </w:r>
          </w:p>
        </w:tc>
        <w:tc>
          <w:tcPr>
            <w:tcW w:w="960" w:type="dxa"/>
            <w:tcBorders>
              <w:top w:val="nil"/>
              <w:left w:val="nil"/>
              <w:bottom w:val="nil"/>
              <w:right w:val="nil"/>
            </w:tcBorders>
            <w:shd w:val="clear" w:color="auto" w:fill="auto"/>
            <w:noWrap/>
            <w:vAlign w:val="center"/>
            <w:hideMark/>
          </w:tcPr>
          <w:p w14:paraId="6859E1D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1171.86</w:t>
            </w:r>
          </w:p>
        </w:tc>
        <w:tc>
          <w:tcPr>
            <w:tcW w:w="960" w:type="dxa"/>
            <w:tcBorders>
              <w:top w:val="nil"/>
              <w:left w:val="nil"/>
              <w:bottom w:val="nil"/>
              <w:right w:val="nil"/>
            </w:tcBorders>
            <w:shd w:val="clear" w:color="auto" w:fill="auto"/>
            <w:noWrap/>
            <w:vAlign w:val="center"/>
            <w:hideMark/>
          </w:tcPr>
          <w:p w14:paraId="5B3AB8B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76CD5816"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3EB93DC0"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16C9FB66" w14:textId="77777777" w:rsidTr="00CB5F95">
        <w:trPr>
          <w:trHeight w:val="300"/>
        </w:trPr>
        <w:tc>
          <w:tcPr>
            <w:tcW w:w="2500" w:type="dxa"/>
            <w:vMerge/>
            <w:tcBorders>
              <w:top w:val="nil"/>
              <w:left w:val="nil"/>
              <w:bottom w:val="single" w:sz="8" w:space="0" w:color="000000"/>
              <w:right w:val="nil"/>
            </w:tcBorders>
            <w:vAlign w:val="center"/>
            <w:hideMark/>
          </w:tcPr>
          <w:p w14:paraId="2C4D4F68"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nil"/>
              <w:right w:val="nil"/>
            </w:tcBorders>
            <w:shd w:val="clear" w:color="auto" w:fill="auto"/>
            <w:noWrap/>
            <w:vAlign w:val="bottom"/>
            <w:hideMark/>
          </w:tcPr>
          <w:p w14:paraId="2CEC1908"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7.6</w:t>
            </w:r>
            <w:r w:rsidRPr="00C533F9">
              <w:rPr>
                <w:rFonts w:eastAsia="Times New Roman" w:cs="Times New Roman"/>
                <w:b w:val="0"/>
                <w:color w:val="000000"/>
                <w:sz w:val="20"/>
                <w:szCs w:val="20"/>
                <w:lang w:eastAsia="en-MY"/>
              </w:rPr>
              <w:t>M</w:t>
            </w:r>
            <w:r w:rsidRPr="00C533F9">
              <w:rPr>
                <w:rFonts w:eastAsia="Times New Roman" w:cs="Times New Roman"/>
                <w:b w:val="0"/>
                <w:color w:val="000000"/>
                <w:sz w:val="20"/>
                <w:szCs w:val="20"/>
                <w:vertAlign w:val="subscript"/>
                <w:lang w:eastAsia="en-MY"/>
              </w:rPr>
              <w:t>1.1</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3</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2.5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7.6</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78.2</w:t>
            </w:r>
            <w:r w:rsidRPr="00C533F9">
              <w:rPr>
                <w:rFonts w:eastAsia="Times New Roman" w:cs="Times New Roman"/>
                <w:b w:val="0"/>
                <w:color w:val="000000"/>
                <w:sz w:val="20"/>
                <w:szCs w:val="20"/>
                <w:lang w:eastAsia="en-MY"/>
              </w:rPr>
              <w:t xml:space="preserve"> </w:t>
            </w:r>
          </w:p>
        </w:tc>
        <w:tc>
          <w:tcPr>
            <w:tcW w:w="1820" w:type="dxa"/>
            <w:tcBorders>
              <w:top w:val="nil"/>
              <w:left w:val="nil"/>
              <w:bottom w:val="nil"/>
              <w:right w:val="nil"/>
            </w:tcBorders>
            <w:shd w:val="clear" w:color="auto" w:fill="auto"/>
            <w:noWrap/>
            <w:vAlign w:val="center"/>
            <w:hideMark/>
          </w:tcPr>
          <w:p w14:paraId="78890FFC"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3D372CB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0.05</w:t>
            </w:r>
          </w:p>
        </w:tc>
        <w:tc>
          <w:tcPr>
            <w:tcW w:w="960" w:type="dxa"/>
            <w:tcBorders>
              <w:top w:val="nil"/>
              <w:left w:val="nil"/>
              <w:bottom w:val="nil"/>
              <w:right w:val="nil"/>
            </w:tcBorders>
            <w:shd w:val="clear" w:color="auto" w:fill="auto"/>
            <w:noWrap/>
            <w:vAlign w:val="center"/>
            <w:hideMark/>
          </w:tcPr>
          <w:p w14:paraId="08BB06D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0.21</w:t>
            </w:r>
          </w:p>
        </w:tc>
        <w:tc>
          <w:tcPr>
            <w:tcW w:w="960" w:type="dxa"/>
            <w:tcBorders>
              <w:top w:val="nil"/>
              <w:left w:val="nil"/>
              <w:bottom w:val="nil"/>
              <w:right w:val="nil"/>
            </w:tcBorders>
            <w:shd w:val="clear" w:color="auto" w:fill="auto"/>
            <w:noWrap/>
            <w:vAlign w:val="center"/>
            <w:hideMark/>
          </w:tcPr>
          <w:p w14:paraId="0A01BC2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0.43</w:t>
            </w:r>
          </w:p>
        </w:tc>
        <w:tc>
          <w:tcPr>
            <w:tcW w:w="960" w:type="dxa"/>
            <w:tcBorders>
              <w:top w:val="nil"/>
              <w:left w:val="nil"/>
              <w:bottom w:val="nil"/>
              <w:right w:val="nil"/>
            </w:tcBorders>
            <w:shd w:val="clear" w:color="auto" w:fill="auto"/>
            <w:noWrap/>
            <w:vAlign w:val="center"/>
            <w:hideMark/>
          </w:tcPr>
          <w:p w14:paraId="7F9BBC1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0.31</w:t>
            </w:r>
          </w:p>
        </w:tc>
        <w:tc>
          <w:tcPr>
            <w:tcW w:w="960" w:type="dxa"/>
            <w:tcBorders>
              <w:top w:val="nil"/>
              <w:left w:val="nil"/>
              <w:bottom w:val="nil"/>
              <w:right w:val="nil"/>
            </w:tcBorders>
            <w:shd w:val="clear" w:color="auto" w:fill="auto"/>
            <w:noWrap/>
            <w:vAlign w:val="center"/>
            <w:hideMark/>
          </w:tcPr>
          <w:p w14:paraId="148AD63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4.56</w:t>
            </w:r>
          </w:p>
        </w:tc>
        <w:tc>
          <w:tcPr>
            <w:tcW w:w="960" w:type="dxa"/>
            <w:tcBorders>
              <w:top w:val="nil"/>
              <w:left w:val="nil"/>
              <w:bottom w:val="nil"/>
              <w:right w:val="nil"/>
            </w:tcBorders>
            <w:shd w:val="clear" w:color="auto" w:fill="auto"/>
            <w:noWrap/>
            <w:vAlign w:val="center"/>
            <w:hideMark/>
          </w:tcPr>
          <w:p w14:paraId="2D4876D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64.42</w:t>
            </w:r>
          </w:p>
        </w:tc>
        <w:tc>
          <w:tcPr>
            <w:tcW w:w="960" w:type="dxa"/>
            <w:tcBorders>
              <w:top w:val="nil"/>
              <w:left w:val="nil"/>
              <w:bottom w:val="nil"/>
              <w:right w:val="nil"/>
            </w:tcBorders>
            <w:shd w:val="clear" w:color="auto" w:fill="auto"/>
            <w:noWrap/>
            <w:vAlign w:val="center"/>
            <w:hideMark/>
          </w:tcPr>
          <w:p w14:paraId="5002CEF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31.02</w:t>
            </w:r>
          </w:p>
        </w:tc>
      </w:tr>
      <w:tr w:rsidR="00CB5F95" w:rsidRPr="00C533F9" w14:paraId="119E97C2" w14:textId="77777777" w:rsidTr="00CB5F95">
        <w:trPr>
          <w:trHeight w:val="300"/>
        </w:trPr>
        <w:tc>
          <w:tcPr>
            <w:tcW w:w="2500" w:type="dxa"/>
            <w:vMerge/>
            <w:tcBorders>
              <w:top w:val="nil"/>
              <w:left w:val="nil"/>
              <w:bottom w:val="single" w:sz="8" w:space="0" w:color="000000"/>
              <w:right w:val="nil"/>
            </w:tcBorders>
            <w:vAlign w:val="center"/>
            <w:hideMark/>
          </w:tcPr>
          <w:p w14:paraId="5DBE3798"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nil"/>
              <w:right w:val="nil"/>
            </w:tcBorders>
            <w:shd w:val="clear" w:color="auto" w:fill="auto"/>
            <w:noWrap/>
            <w:vAlign w:val="center"/>
            <w:hideMark/>
          </w:tcPr>
          <w:p w14:paraId="65679D4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820" w:type="dxa"/>
            <w:tcBorders>
              <w:top w:val="nil"/>
              <w:left w:val="nil"/>
              <w:bottom w:val="nil"/>
              <w:right w:val="nil"/>
            </w:tcBorders>
            <w:shd w:val="clear" w:color="auto" w:fill="auto"/>
            <w:noWrap/>
            <w:vAlign w:val="center"/>
            <w:hideMark/>
          </w:tcPr>
          <w:p w14:paraId="5308BB0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10FCC5E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921.7</w:t>
            </w:r>
          </w:p>
        </w:tc>
        <w:tc>
          <w:tcPr>
            <w:tcW w:w="960" w:type="dxa"/>
            <w:tcBorders>
              <w:top w:val="nil"/>
              <w:left w:val="nil"/>
              <w:bottom w:val="nil"/>
              <w:right w:val="nil"/>
            </w:tcBorders>
            <w:shd w:val="clear" w:color="auto" w:fill="auto"/>
            <w:noWrap/>
            <w:vAlign w:val="center"/>
            <w:hideMark/>
          </w:tcPr>
          <w:p w14:paraId="4C41032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1002.86</w:t>
            </w:r>
          </w:p>
        </w:tc>
        <w:tc>
          <w:tcPr>
            <w:tcW w:w="960" w:type="dxa"/>
            <w:tcBorders>
              <w:top w:val="nil"/>
              <w:left w:val="nil"/>
              <w:bottom w:val="nil"/>
              <w:right w:val="nil"/>
            </w:tcBorders>
            <w:shd w:val="clear" w:color="auto" w:fill="auto"/>
            <w:noWrap/>
            <w:vAlign w:val="center"/>
            <w:hideMark/>
          </w:tcPr>
          <w:p w14:paraId="752235D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1076.93</w:t>
            </w:r>
          </w:p>
        </w:tc>
        <w:tc>
          <w:tcPr>
            <w:tcW w:w="960" w:type="dxa"/>
            <w:tcBorders>
              <w:top w:val="nil"/>
              <w:left w:val="nil"/>
              <w:bottom w:val="nil"/>
              <w:right w:val="nil"/>
            </w:tcBorders>
            <w:shd w:val="clear" w:color="auto" w:fill="auto"/>
            <w:noWrap/>
            <w:vAlign w:val="center"/>
            <w:hideMark/>
          </w:tcPr>
          <w:p w14:paraId="3C78A16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1171</w:t>
            </w:r>
          </w:p>
        </w:tc>
        <w:tc>
          <w:tcPr>
            <w:tcW w:w="960" w:type="dxa"/>
            <w:tcBorders>
              <w:top w:val="nil"/>
              <w:left w:val="nil"/>
              <w:bottom w:val="nil"/>
              <w:right w:val="nil"/>
            </w:tcBorders>
            <w:shd w:val="clear" w:color="auto" w:fill="auto"/>
            <w:noWrap/>
            <w:vAlign w:val="center"/>
            <w:hideMark/>
          </w:tcPr>
          <w:p w14:paraId="7AD4785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44192A26"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1472C28F"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209AC090" w14:textId="77777777" w:rsidTr="00CB5F95">
        <w:trPr>
          <w:trHeight w:val="300"/>
        </w:trPr>
        <w:tc>
          <w:tcPr>
            <w:tcW w:w="2500" w:type="dxa"/>
            <w:vMerge/>
            <w:tcBorders>
              <w:top w:val="nil"/>
              <w:left w:val="nil"/>
              <w:bottom w:val="single" w:sz="8" w:space="0" w:color="000000"/>
              <w:right w:val="nil"/>
            </w:tcBorders>
            <w:vAlign w:val="center"/>
            <w:hideMark/>
          </w:tcPr>
          <w:p w14:paraId="0C309C9C"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nil"/>
              <w:right w:val="nil"/>
            </w:tcBorders>
            <w:shd w:val="clear" w:color="auto" w:fill="auto"/>
            <w:noWrap/>
            <w:vAlign w:val="bottom"/>
            <w:hideMark/>
          </w:tcPr>
          <w:p w14:paraId="3FF4C9D0"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7.6</w:t>
            </w:r>
            <w:r w:rsidRPr="00C533F9">
              <w:rPr>
                <w:rFonts w:eastAsia="Times New Roman" w:cs="Times New Roman"/>
                <w:b w:val="0"/>
                <w:color w:val="000000"/>
                <w:sz w:val="20"/>
                <w:szCs w:val="20"/>
                <w:lang w:eastAsia="en-MY"/>
              </w:rPr>
              <w:t>M</w:t>
            </w:r>
            <w:r w:rsidRPr="00C533F9">
              <w:rPr>
                <w:rFonts w:eastAsia="Times New Roman" w:cs="Times New Roman"/>
                <w:b w:val="0"/>
                <w:color w:val="000000"/>
                <w:sz w:val="20"/>
                <w:szCs w:val="20"/>
                <w:vertAlign w:val="subscript"/>
                <w:lang w:eastAsia="en-MY"/>
              </w:rPr>
              <w:t>1.1</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3</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7.6</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75.7</w:t>
            </w:r>
            <w:r w:rsidRPr="00C533F9">
              <w:rPr>
                <w:rFonts w:eastAsia="Times New Roman" w:cs="Times New Roman"/>
                <w:b w:val="0"/>
                <w:color w:val="000000"/>
                <w:sz w:val="20"/>
                <w:szCs w:val="20"/>
                <w:lang w:eastAsia="en-MY"/>
              </w:rPr>
              <w:t xml:space="preserve"> </w:t>
            </w:r>
          </w:p>
        </w:tc>
        <w:tc>
          <w:tcPr>
            <w:tcW w:w="1820" w:type="dxa"/>
            <w:tcBorders>
              <w:top w:val="nil"/>
              <w:left w:val="nil"/>
              <w:bottom w:val="nil"/>
              <w:right w:val="nil"/>
            </w:tcBorders>
            <w:shd w:val="clear" w:color="auto" w:fill="auto"/>
            <w:noWrap/>
            <w:vAlign w:val="center"/>
            <w:hideMark/>
          </w:tcPr>
          <w:p w14:paraId="2CEF12CC"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6AB0D49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0.05</w:t>
            </w:r>
          </w:p>
        </w:tc>
        <w:tc>
          <w:tcPr>
            <w:tcW w:w="960" w:type="dxa"/>
            <w:tcBorders>
              <w:top w:val="nil"/>
              <w:left w:val="nil"/>
              <w:bottom w:val="nil"/>
              <w:right w:val="nil"/>
            </w:tcBorders>
            <w:shd w:val="clear" w:color="auto" w:fill="auto"/>
            <w:noWrap/>
            <w:vAlign w:val="center"/>
            <w:hideMark/>
          </w:tcPr>
          <w:p w14:paraId="1CD9168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0.25</w:t>
            </w:r>
          </w:p>
        </w:tc>
        <w:tc>
          <w:tcPr>
            <w:tcW w:w="960" w:type="dxa"/>
            <w:tcBorders>
              <w:top w:val="nil"/>
              <w:left w:val="nil"/>
              <w:bottom w:val="nil"/>
              <w:right w:val="nil"/>
            </w:tcBorders>
            <w:shd w:val="clear" w:color="auto" w:fill="auto"/>
            <w:noWrap/>
            <w:vAlign w:val="center"/>
            <w:hideMark/>
          </w:tcPr>
          <w:p w14:paraId="4F40FE5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0.37</w:t>
            </w:r>
          </w:p>
        </w:tc>
        <w:tc>
          <w:tcPr>
            <w:tcW w:w="960" w:type="dxa"/>
            <w:tcBorders>
              <w:top w:val="nil"/>
              <w:left w:val="nil"/>
              <w:bottom w:val="nil"/>
              <w:right w:val="nil"/>
            </w:tcBorders>
            <w:shd w:val="clear" w:color="auto" w:fill="auto"/>
            <w:noWrap/>
            <w:vAlign w:val="center"/>
            <w:hideMark/>
          </w:tcPr>
          <w:p w14:paraId="0B69771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0.33</w:t>
            </w:r>
          </w:p>
        </w:tc>
        <w:tc>
          <w:tcPr>
            <w:tcW w:w="960" w:type="dxa"/>
            <w:tcBorders>
              <w:top w:val="nil"/>
              <w:left w:val="nil"/>
              <w:bottom w:val="nil"/>
              <w:right w:val="nil"/>
            </w:tcBorders>
            <w:shd w:val="clear" w:color="auto" w:fill="auto"/>
            <w:noWrap/>
            <w:vAlign w:val="center"/>
            <w:hideMark/>
          </w:tcPr>
          <w:p w14:paraId="680B7FE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5.09</w:t>
            </w:r>
          </w:p>
        </w:tc>
        <w:tc>
          <w:tcPr>
            <w:tcW w:w="960" w:type="dxa"/>
            <w:tcBorders>
              <w:top w:val="nil"/>
              <w:left w:val="nil"/>
              <w:bottom w:val="nil"/>
              <w:right w:val="nil"/>
            </w:tcBorders>
            <w:shd w:val="clear" w:color="auto" w:fill="auto"/>
            <w:noWrap/>
            <w:vAlign w:val="center"/>
            <w:hideMark/>
          </w:tcPr>
          <w:p w14:paraId="1C35CD9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62.04</w:t>
            </w:r>
          </w:p>
        </w:tc>
        <w:tc>
          <w:tcPr>
            <w:tcW w:w="960" w:type="dxa"/>
            <w:tcBorders>
              <w:top w:val="nil"/>
              <w:left w:val="nil"/>
              <w:bottom w:val="nil"/>
              <w:right w:val="nil"/>
            </w:tcBorders>
            <w:shd w:val="clear" w:color="auto" w:fill="auto"/>
            <w:noWrap/>
            <w:vAlign w:val="center"/>
            <w:hideMark/>
          </w:tcPr>
          <w:p w14:paraId="571D783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32.87</w:t>
            </w:r>
          </w:p>
        </w:tc>
      </w:tr>
      <w:tr w:rsidR="00CB5F95" w:rsidRPr="00C533F9" w14:paraId="78D8238E" w14:textId="77777777" w:rsidTr="00CB5F95">
        <w:trPr>
          <w:trHeight w:val="315"/>
        </w:trPr>
        <w:tc>
          <w:tcPr>
            <w:tcW w:w="2500" w:type="dxa"/>
            <w:vMerge/>
            <w:tcBorders>
              <w:top w:val="nil"/>
              <w:left w:val="nil"/>
              <w:bottom w:val="single" w:sz="8" w:space="0" w:color="000000"/>
              <w:right w:val="nil"/>
            </w:tcBorders>
            <w:vAlign w:val="center"/>
            <w:hideMark/>
          </w:tcPr>
          <w:p w14:paraId="6BDA0636"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nil"/>
              <w:right w:val="nil"/>
            </w:tcBorders>
            <w:shd w:val="clear" w:color="auto" w:fill="auto"/>
            <w:noWrap/>
            <w:vAlign w:val="center"/>
            <w:hideMark/>
          </w:tcPr>
          <w:p w14:paraId="262D44C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820" w:type="dxa"/>
            <w:tcBorders>
              <w:top w:val="nil"/>
              <w:left w:val="nil"/>
              <w:bottom w:val="nil"/>
              <w:right w:val="nil"/>
            </w:tcBorders>
            <w:shd w:val="clear" w:color="auto" w:fill="auto"/>
            <w:noWrap/>
            <w:vAlign w:val="center"/>
            <w:hideMark/>
          </w:tcPr>
          <w:p w14:paraId="31B41CD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65C37E2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914.39</w:t>
            </w:r>
          </w:p>
        </w:tc>
        <w:tc>
          <w:tcPr>
            <w:tcW w:w="960" w:type="dxa"/>
            <w:tcBorders>
              <w:top w:val="nil"/>
              <w:left w:val="nil"/>
              <w:bottom w:val="nil"/>
              <w:right w:val="nil"/>
            </w:tcBorders>
            <w:shd w:val="clear" w:color="auto" w:fill="auto"/>
            <w:noWrap/>
            <w:vAlign w:val="center"/>
            <w:hideMark/>
          </w:tcPr>
          <w:p w14:paraId="17CBAFC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1003.62</w:t>
            </w:r>
          </w:p>
        </w:tc>
        <w:tc>
          <w:tcPr>
            <w:tcW w:w="960" w:type="dxa"/>
            <w:tcBorders>
              <w:top w:val="nil"/>
              <w:left w:val="nil"/>
              <w:bottom w:val="nil"/>
              <w:right w:val="nil"/>
            </w:tcBorders>
            <w:shd w:val="clear" w:color="auto" w:fill="auto"/>
            <w:noWrap/>
            <w:vAlign w:val="center"/>
            <w:hideMark/>
          </w:tcPr>
          <w:p w14:paraId="7C22562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1078.51</w:t>
            </w:r>
          </w:p>
        </w:tc>
        <w:tc>
          <w:tcPr>
            <w:tcW w:w="960" w:type="dxa"/>
            <w:tcBorders>
              <w:top w:val="nil"/>
              <w:left w:val="nil"/>
              <w:bottom w:val="nil"/>
              <w:right w:val="nil"/>
            </w:tcBorders>
            <w:shd w:val="clear" w:color="auto" w:fill="auto"/>
            <w:noWrap/>
            <w:vAlign w:val="center"/>
            <w:hideMark/>
          </w:tcPr>
          <w:p w14:paraId="4C50FF1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1165.28</w:t>
            </w:r>
          </w:p>
        </w:tc>
        <w:tc>
          <w:tcPr>
            <w:tcW w:w="960" w:type="dxa"/>
            <w:tcBorders>
              <w:top w:val="nil"/>
              <w:left w:val="nil"/>
              <w:bottom w:val="nil"/>
              <w:right w:val="nil"/>
            </w:tcBorders>
            <w:shd w:val="clear" w:color="auto" w:fill="auto"/>
            <w:noWrap/>
            <w:vAlign w:val="center"/>
            <w:hideMark/>
          </w:tcPr>
          <w:p w14:paraId="5A573A9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5F6EE0BC"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3BB06324"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6292190F" w14:textId="77777777" w:rsidTr="00CB5F95">
        <w:trPr>
          <w:trHeight w:val="300"/>
        </w:trPr>
        <w:tc>
          <w:tcPr>
            <w:tcW w:w="2500" w:type="dxa"/>
            <w:vMerge/>
            <w:tcBorders>
              <w:top w:val="nil"/>
              <w:left w:val="nil"/>
              <w:bottom w:val="single" w:sz="8" w:space="0" w:color="000000"/>
              <w:right w:val="nil"/>
            </w:tcBorders>
            <w:vAlign w:val="center"/>
            <w:hideMark/>
          </w:tcPr>
          <w:p w14:paraId="16D909BB"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nil"/>
              <w:right w:val="nil"/>
            </w:tcBorders>
            <w:shd w:val="clear" w:color="auto" w:fill="auto"/>
            <w:noWrap/>
            <w:vAlign w:val="bottom"/>
            <w:hideMark/>
          </w:tcPr>
          <w:p w14:paraId="1F570A40"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7.6</w:t>
            </w:r>
            <w:r w:rsidRPr="00C533F9">
              <w:rPr>
                <w:rFonts w:eastAsia="Times New Roman" w:cs="Times New Roman"/>
                <w:b w:val="0"/>
                <w:color w:val="000000"/>
                <w:sz w:val="20"/>
                <w:szCs w:val="20"/>
                <w:lang w:eastAsia="en-MY"/>
              </w:rPr>
              <w:t>M</w:t>
            </w:r>
            <w:r w:rsidRPr="00C533F9">
              <w:rPr>
                <w:rFonts w:eastAsia="Times New Roman" w:cs="Times New Roman"/>
                <w:b w:val="0"/>
                <w:color w:val="000000"/>
                <w:sz w:val="20"/>
                <w:szCs w:val="20"/>
                <w:vertAlign w:val="subscript"/>
                <w:lang w:eastAsia="en-MY"/>
              </w:rPr>
              <w:t>1.1</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3</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5.2</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7.6</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75.5</w:t>
            </w:r>
          </w:p>
        </w:tc>
        <w:tc>
          <w:tcPr>
            <w:tcW w:w="1820" w:type="dxa"/>
            <w:tcBorders>
              <w:top w:val="nil"/>
              <w:left w:val="nil"/>
              <w:bottom w:val="nil"/>
              <w:right w:val="nil"/>
            </w:tcBorders>
            <w:shd w:val="clear" w:color="auto" w:fill="auto"/>
            <w:noWrap/>
            <w:vAlign w:val="center"/>
            <w:hideMark/>
          </w:tcPr>
          <w:p w14:paraId="6930FF61"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17C22D0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0.04</w:t>
            </w:r>
          </w:p>
        </w:tc>
        <w:tc>
          <w:tcPr>
            <w:tcW w:w="960" w:type="dxa"/>
            <w:tcBorders>
              <w:top w:val="nil"/>
              <w:left w:val="nil"/>
              <w:bottom w:val="nil"/>
              <w:right w:val="nil"/>
            </w:tcBorders>
            <w:shd w:val="clear" w:color="auto" w:fill="auto"/>
            <w:noWrap/>
            <w:vAlign w:val="center"/>
            <w:hideMark/>
          </w:tcPr>
          <w:p w14:paraId="0F46BBB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0.31</w:t>
            </w:r>
          </w:p>
        </w:tc>
        <w:tc>
          <w:tcPr>
            <w:tcW w:w="960" w:type="dxa"/>
            <w:tcBorders>
              <w:top w:val="nil"/>
              <w:left w:val="nil"/>
              <w:bottom w:val="nil"/>
              <w:right w:val="nil"/>
            </w:tcBorders>
            <w:shd w:val="clear" w:color="auto" w:fill="auto"/>
            <w:noWrap/>
            <w:vAlign w:val="center"/>
            <w:hideMark/>
          </w:tcPr>
          <w:p w14:paraId="279B2DB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0.35</w:t>
            </w:r>
          </w:p>
        </w:tc>
        <w:tc>
          <w:tcPr>
            <w:tcW w:w="960" w:type="dxa"/>
            <w:tcBorders>
              <w:top w:val="nil"/>
              <w:left w:val="nil"/>
              <w:bottom w:val="nil"/>
              <w:right w:val="nil"/>
            </w:tcBorders>
            <w:shd w:val="clear" w:color="auto" w:fill="auto"/>
            <w:noWrap/>
            <w:vAlign w:val="center"/>
            <w:hideMark/>
          </w:tcPr>
          <w:p w14:paraId="0735E36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w:t>
            </w:r>
          </w:p>
        </w:tc>
        <w:tc>
          <w:tcPr>
            <w:tcW w:w="960" w:type="dxa"/>
            <w:tcBorders>
              <w:top w:val="nil"/>
              <w:left w:val="nil"/>
              <w:bottom w:val="nil"/>
              <w:right w:val="nil"/>
            </w:tcBorders>
            <w:shd w:val="clear" w:color="auto" w:fill="auto"/>
            <w:noWrap/>
            <w:vAlign w:val="center"/>
            <w:hideMark/>
          </w:tcPr>
          <w:p w14:paraId="3962C8E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4.31</w:t>
            </w:r>
          </w:p>
        </w:tc>
        <w:tc>
          <w:tcPr>
            <w:tcW w:w="960" w:type="dxa"/>
            <w:tcBorders>
              <w:top w:val="nil"/>
              <w:left w:val="nil"/>
              <w:bottom w:val="nil"/>
              <w:right w:val="nil"/>
            </w:tcBorders>
            <w:shd w:val="clear" w:color="auto" w:fill="auto"/>
            <w:noWrap/>
            <w:vAlign w:val="center"/>
            <w:hideMark/>
          </w:tcPr>
          <w:p w14:paraId="1DC22CD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66.11</w:t>
            </w:r>
          </w:p>
        </w:tc>
        <w:tc>
          <w:tcPr>
            <w:tcW w:w="960" w:type="dxa"/>
            <w:tcBorders>
              <w:top w:val="nil"/>
              <w:left w:val="nil"/>
              <w:bottom w:val="nil"/>
              <w:right w:val="nil"/>
            </w:tcBorders>
            <w:shd w:val="clear" w:color="auto" w:fill="auto"/>
            <w:noWrap/>
            <w:vAlign w:val="center"/>
            <w:hideMark/>
          </w:tcPr>
          <w:p w14:paraId="3D40308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29.58</w:t>
            </w:r>
          </w:p>
        </w:tc>
      </w:tr>
      <w:tr w:rsidR="00CB5F95" w:rsidRPr="00C533F9" w14:paraId="73288533" w14:textId="77777777" w:rsidTr="00CB5F95">
        <w:trPr>
          <w:trHeight w:val="300"/>
        </w:trPr>
        <w:tc>
          <w:tcPr>
            <w:tcW w:w="2500" w:type="dxa"/>
            <w:vMerge/>
            <w:tcBorders>
              <w:top w:val="nil"/>
              <w:left w:val="nil"/>
              <w:bottom w:val="single" w:sz="8" w:space="0" w:color="000000"/>
              <w:right w:val="nil"/>
            </w:tcBorders>
            <w:vAlign w:val="center"/>
            <w:hideMark/>
          </w:tcPr>
          <w:p w14:paraId="19D83DE0"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nil"/>
              <w:right w:val="nil"/>
            </w:tcBorders>
            <w:shd w:val="clear" w:color="auto" w:fill="auto"/>
            <w:noWrap/>
            <w:vAlign w:val="center"/>
            <w:hideMark/>
          </w:tcPr>
          <w:p w14:paraId="17CA83A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820" w:type="dxa"/>
            <w:tcBorders>
              <w:top w:val="nil"/>
              <w:left w:val="nil"/>
              <w:bottom w:val="nil"/>
              <w:right w:val="nil"/>
            </w:tcBorders>
            <w:shd w:val="clear" w:color="auto" w:fill="auto"/>
            <w:noWrap/>
            <w:vAlign w:val="center"/>
            <w:hideMark/>
          </w:tcPr>
          <w:p w14:paraId="4F29903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088F1D3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913.07</w:t>
            </w:r>
          </w:p>
        </w:tc>
        <w:tc>
          <w:tcPr>
            <w:tcW w:w="960" w:type="dxa"/>
            <w:tcBorders>
              <w:top w:val="nil"/>
              <w:left w:val="nil"/>
              <w:bottom w:val="nil"/>
              <w:right w:val="nil"/>
            </w:tcBorders>
            <w:shd w:val="clear" w:color="auto" w:fill="auto"/>
            <w:noWrap/>
            <w:vAlign w:val="center"/>
            <w:hideMark/>
          </w:tcPr>
          <w:p w14:paraId="7560DBD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1004.82</w:t>
            </w:r>
          </w:p>
        </w:tc>
        <w:tc>
          <w:tcPr>
            <w:tcW w:w="960" w:type="dxa"/>
            <w:tcBorders>
              <w:top w:val="nil"/>
              <w:left w:val="nil"/>
              <w:bottom w:val="nil"/>
              <w:right w:val="nil"/>
            </w:tcBorders>
            <w:shd w:val="clear" w:color="auto" w:fill="auto"/>
            <w:noWrap/>
            <w:vAlign w:val="center"/>
            <w:hideMark/>
          </w:tcPr>
          <w:p w14:paraId="1FDF840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1083.57</w:t>
            </w:r>
          </w:p>
        </w:tc>
        <w:tc>
          <w:tcPr>
            <w:tcW w:w="960" w:type="dxa"/>
            <w:tcBorders>
              <w:top w:val="nil"/>
              <w:left w:val="nil"/>
              <w:bottom w:val="nil"/>
              <w:right w:val="nil"/>
            </w:tcBorders>
            <w:shd w:val="clear" w:color="auto" w:fill="auto"/>
            <w:noWrap/>
            <w:vAlign w:val="center"/>
            <w:hideMark/>
          </w:tcPr>
          <w:p w14:paraId="5CD9CDB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1160.12</w:t>
            </w:r>
          </w:p>
        </w:tc>
        <w:tc>
          <w:tcPr>
            <w:tcW w:w="960" w:type="dxa"/>
            <w:tcBorders>
              <w:top w:val="nil"/>
              <w:left w:val="nil"/>
              <w:bottom w:val="nil"/>
              <w:right w:val="nil"/>
            </w:tcBorders>
            <w:shd w:val="clear" w:color="auto" w:fill="auto"/>
            <w:noWrap/>
            <w:vAlign w:val="center"/>
            <w:hideMark/>
          </w:tcPr>
          <w:p w14:paraId="2AB70F3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4BCFDAB1"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0005A21B"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37050AF8" w14:textId="77777777" w:rsidTr="00CB5F95">
        <w:trPr>
          <w:trHeight w:val="300"/>
        </w:trPr>
        <w:tc>
          <w:tcPr>
            <w:tcW w:w="2500" w:type="dxa"/>
            <w:vMerge/>
            <w:tcBorders>
              <w:top w:val="nil"/>
              <w:left w:val="nil"/>
              <w:bottom w:val="single" w:sz="8" w:space="0" w:color="000000"/>
              <w:right w:val="nil"/>
            </w:tcBorders>
            <w:vAlign w:val="center"/>
            <w:hideMark/>
          </w:tcPr>
          <w:p w14:paraId="748AF9D9"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nil"/>
              <w:right w:val="nil"/>
            </w:tcBorders>
            <w:shd w:val="clear" w:color="auto" w:fill="auto"/>
            <w:noWrap/>
            <w:vAlign w:val="bottom"/>
            <w:hideMark/>
          </w:tcPr>
          <w:p w14:paraId="129FFF6F"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7.6</w:t>
            </w:r>
            <w:r w:rsidRPr="00C533F9">
              <w:rPr>
                <w:rFonts w:eastAsia="Times New Roman" w:cs="Times New Roman"/>
                <w:b w:val="0"/>
                <w:color w:val="000000"/>
                <w:sz w:val="20"/>
                <w:szCs w:val="20"/>
                <w:lang w:eastAsia="en-MY"/>
              </w:rPr>
              <w:t>M</w:t>
            </w:r>
            <w:r w:rsidRPr="00C533F9">
              <w:rPr>
                <w:rFonts w:eastAsia="Times New Roman" w:cs="Times New Roman"/>
                <w:b w:val="0"/>
                <w:color w:val="000000"/>
                <w:sz w:val="20"/>
                <w:szCs w:val="20"/>
                <w:vertAlign w:val="subscript"/>
                <w:lang w:eastAsia="en-MY"/>
              </w:rPr>
              <w:t>1.1</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3</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7.5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7.6</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73.2</w:t>
            </w:r>
          </w:p>
        </w:tc>
        <w:tc>
          <w:tcPr>
            <w:tcW w:w="1820" w:type="dxa"/>
            <w:tcBorders>
              <w:top w:val="nil"/>
              <w:left w:val="nil"/>
              <w:bottom w:val="nil"/>
              <w:right w:val="nil"/>
            </w:tcBorders>
            <w:shd w:val="clear" w:color="auto" w:fill="auto"/>
            <w:noWrap/>
            <w:vAlign w:val="center"/>
            <w:hideMark/>
          </w:tcPr>
          <w:p w14:paraId="1F16F3B5"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4E902AF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0.05</w:t>
            </w:r>
          </w:p>
        </w:tc>
        <w:tc>
          <w:tcPr>
            <w:tcW w:w="960" w:type="dxa"/>
            <w:tcBorders>
              <w:top w:val="nil"/>
              <w:left w:val="nil"/>
              <w:bottom w:val="nil"/>
              <w:right w:val="nil"/>
            </w:tcBorders>
            <w:shd w:val="clear" w:color="auto" w:fill="auto"/>
            <w:noWrap/>
            <w:vAlign w:val="center"/>
            <w:hideMark/>
          </w:tcPr>
          <w:p w14:paraId="0BCC1E4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w:t>
            </w:r>
          </w:p>
        </w:tc>
        <w:tc>
          <w:tcPr>
            <w:tcW w:w="960" w:type="dxa"/>
            <w:tcBorders>
              <w:top w:val="nil"/>
              <w:left w:val="nil"/>
              <w:bottom w:val="nil"/>
              <w:right w:val="nil"/>
            </w:tcBorders>
            <w:shd w:val="clear" w:color="auto" w:fill="auto"/>
            <w:noWrap/>
            <w:vAlign w:val="center"/>
            <w:hideMark/>
          </w:tcPr>
          <w:p w14:paraId="30B1F1D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0.35</w:t>
            </w:r>
          </w:p>
        </w:tc>
        <w:tc>
          <w:tcPr>
            <w:tcW w:w="960" w:type="dxa"/>
            <w:tcBorders>
              <w:top w:val="nil"/>
              <w:left w:val="nil"/>
              <w:bottom w:val="nil"/>
              <w:right w:val="nil"/>
            </w:tcBorders>
            <w:shd w:val="clear" w:color="auto" w:fill="auto"/>
            <w:noWrap/>
            <w:vAlign w:val="center"/>
            <w:hideMark/>
          </w:tcPr>
          <w:p w14:paraId="3596B3F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w:t>
            </w:r>
          </w:p>
        </w:tc>
        <w:tc>
          <w:tcPr>
            <w:tcW w:w="960" w:type="dxa"/>
            <w:tcBorders>
              <w:top w:val="nil"/>
              <w:left w:val="nil"/>
              <w:bottom w:val="nil"/>
              <w:right w:val="nil"/>
            </w:tcBorders>
            <w:shd w:val="clear" w:color="auto" w:fill="auto"/>
            <w:noWrap/>
            <w:vAlign w:val="center"/>
            <w:hideMark/>
          </w:tcPr>
          <w:p w14:paraId="7183112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4.88</w:t>
            </w:r>
          </w:p>
        </w:tc>
        <w:tc>
          <w:tcPr>
            <w:tcW w:w="960" w:type="dxa"/>
            <w:tcBorders>
              <w:top w:val="nil"/>
              <w:left w:val="nil"/>
              <w:bottom w:val="nil"/>
              <w:right w:val="nil"/>
            </w:tcBorders>
            <w:shd w:val="clear" w:color="auto" w:fill="auto"/>
            <w:noWrap/>
            <w:vAlign w:val="center"/>
            <w:hideMark/>
          </w:tcPr>
          <w:p w14:paraId="4C35D9C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65.07</w:t>
            </w:r>
          </w:p>
        </w:tc>
        <w:tc>
          <w:tcPr>
            <w:tcW w:w="960" w:type="dxa"/>
            <w:tcBorders>
              <w:top w:val="nil"/>
              <w:left w:val="nil"/>
              <w:bottom w:val="nil"/>
              <w:right w:val="nil"/>
            </w:tcBorders>
            <w:shd w:val="clear" w:color="auto" w:fill="auto"/>
            <w:noWrap/>
            <w:vAlign w:val="center"/>
            <w:hideMark/>
          </w:tcPr>
          <w:p w14:paraId="48EFEA8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30.05</w:t>
            </w:r>
          </w:p>
        </w:tc>
      </w:tr>
      <w:tr w:rsidR="00CB5F95" w:rsidRPr="00C533F9" w14:paraId="06EFD799" w14:textId="77777777" w:rsidTr="00CB5F95">
        <w:trPr>
          <w:trHeight w:val="315"/>
        </w:trPr>
        <w:tc>
          <w:tcPr>
            <w:tcW w:w="2500" w:type="dxa"/>
            <w:vMerge/>
            <w:tcBorders>
              <w:top w:val="nil"/>
              <w:left w:val="nil"/>
              <w:bottom w:val="single" w:sz="8" w:space="0" w:color="000000"/>
              <w:right w:val="nil"/>
            </w:tcBorders>
            <w:vAlign w:val="center"/>
            <w:hideMark/>
          </w:tcPr>
          <w:p w14:paraId="5782A256"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single" w:sz="8" w:space="0" w:color="auto"/>
              <w:right w:val="nil"/>
            </w:tcBorders>
            <w:shd w:val="clear" w:color="auto" w:fill="auto"/>
            <w:noWrap/>
            <w:vAlign w:val="center"/>
            <w:hideMark/>
          </w:tcPr>
          <w:p w14:paraId="499A99B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1820" w:type="dxa"/>
            <w:tcBorders>
              <w:top w:val="nil"/>
              <w:left w:val="nil"/>
              <w:bottom w:val="single" w:sz="8" w:space="0" w:color="auto"/>
              <w:right w:val="nil"/>
            </w:tcBorders>
            <w:shd w:val="clear" w:color="auto" w:fill="auto"/>
            <w:noWrap/>
            <w:vAlign w:val="center"/>
            <w:hideMark/>
          </w:tcPr>
          <w:p w14:paraId="4B076DC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single" w:sz="8" w:space="0" w:color="auto"/>
              <w:right w:val="nil"/>
            </w:tcBorders>
            <w:shd w:val="clear" w:color="auto" w:fill="auto"/>
            <w:noWrap/>
            <w:vAlign w:val="center"/>
            <w:hideMark/>
          </w:tcPr>
          <w:p w14:paraId="770B278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914.6</w:t>
            </w:r>
          </w:p>
        </w:tc>
        <w:tc>
          <w:tcPr>
            <w:tcW w:w="960" w:type="dxa"/>
            <w:tcBorders>
              <w:top w:val="nil"/>
              <w:left w:val="nil"/>
              <w:bottom w:val="single" w:sz="8" w:space="0" w:color="auto"/>
              <w:right w:val="nil"/>
            </w:tcBorders>
            <w:shd w:val="clear" w:color="auto" w:fill="auto"/>
            <w:noWrap/>
            <w:vAlign w:val="center"/>
            <w:hideMark/>
          </w:tcPr>
          <w:p w14:paraId="01F88E1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1005.62</w:t>
            </w:r>
          </w:p>
        </w:tc>
        <w:tc>
          <w:tcPr>
            <w:tcW w:w="960" w:type="dxa"/>
            <w:tcBorders>
              <w:top w:val="nil"/>
              <w:left w:val="nil"/>
              <w:bottom w:val="single" w:sz="8" w:space="0" w:color="auto"/>
              <w:right w:val="nil"/>
            </w:tcBorders>
            <w:shd w:val="clear" w:color="auto" w:fill="auto"/>
            <w:noWrap/>
            <w:vAlign w:val="center"/>
            <w:hideMark/>
          </w:tcPr>
          <w:p w14:paraId="37708BD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1083.09</w:t>
            </w:r>
          </w:p>
        </w:tc>
        <w:tc>
          <w:tcPr>
            <w:tcW w:w="960" w:type="dxa"/>
            <w:tcBorders>
              <w:top w:val="nil"/>
              <w:left w:val="nil"/>
              <w:bottom w:val="single" w:sz="8" w:space="0" w:color="auto"/>
              <w:right w:val="nil"/>
            </w:tcBorders>
            <w:shd w:val="clear" w:color="auto" w:fill="auto"/>
            <w:noWrap/>
            <w:vAlign w:val="center"/>
            <w:hideMark/>
          </w:tcPr>
          <w:p w14:paraId="73B1450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1161.95</w:t>
            </w:r>
          </w:p>
        </w:tc>
        <w:tc>
          <w:tcPr>
            <w:tcW w:w="960" w:type="dxa"/>
            <w:tcBorders>
              <w:top w:val="nil"/>
              <w:left w:val="nil"/>
              <w:bottom w:val="single" w:sz="8" w:space="0" w:color="auto"/>
              <w:right w:val="nil"/>
            </w:tcBorders>
            <w:shd w:val="clear" w:color="auto" w:fill="auto"/>
            <w:noWrap/>
            <w:vAlign w:val="center"/>
            <w:hideMark/>
          </w:tcPr>
          <w:p w14:paraId="72B29F9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49A179F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52CFBF6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r>
      <w:tr w:rsidR="00CB5F95" w:rsidRPr="00C533F9" w14:paraId="09B6BDB0" w14:textId="77777777" w:rsidTr="00CB5F95">
        <w:trPr>
          <w:trHeight w:val="300"/>
        </w:trPr>
        <w:tc>
          <w:tcPr>
            <w:tcW w:w="2500" w:type="dxa"/>
            <w:vMerge w:val="restart"/>
            <w:tcBorders>
              <w:top w:val="nil"/>
              <w:left w:val="nil"/>
              <w:bottom w:val="single" w:sz="8" w:space="0" w:color="000000"/>
              <w:right w:val="nil"/>
            </w:tcBorders>
            <w:shd w:val="clear" w:color="auto" w:fill="auto"/>
            <w:noWrap/>
            <w:vAlign w:val="center"/>
            <w:hideMark/>
          </w:tcPr>
          <w:p w14:paraId="3A2ECCFE"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x</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10-x</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70</w:t>
            </w:r>
          </w:p>
        </w:tc>
        <w:tc>
          <w:tcPr>
            <w:tcW w:w="2500" w:type="dxa"/>
            <w:tcBorders>
              <w:top w:val="nil"/>
              <w:left w:val="nil"/>
              <w:bottom w:val="nil"/>
              <w:right w:val="nil"/>
            </w:tcBorders>
            <w:shd w:val="clear" w:color="auto" w:fill="auto"/>
            <w:noWrap/>
            <w:vAlign w:val="bottom"/>
            <w:hideMark/>
          </w:tcPr>
          <w:p w14:paraId="307AFFE5"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0</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70</w:t>
            </w:r>
          </w:p>
        </w:tc>
        <w:tc>
          <w:tcPr>
            <w:tcW w:w="1820" w:type="dxa"/>
            <w:tcBorders>
              <w:top w:val="nil"/>
              <w:left w:val="nil"/>
              <w:bottom w:val="nil"/>
              <w:right w:val="nil"/>
            </w:tcBorders>
            <w:shd w:val="clear" w:color="auto" w:fill="auto"/>
            <w:noWrap/>
            <w:vAlign w:val="center"/>
            <w:hideMark/>
          </w:tcPr>
          <w:p w14:paraId="79B7C2F0"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19BE6DB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0.03</w:t>
            </w:r>
          </w:p>
        </w:tc>
        <w:tc>
          <w:tcPr>
            <w:tcW w:w="960" w:type="dxa"/>
            <w:tcBorders>
              <w:top w:val="nil"/>
              <w:left w:val="nil"/>
              <w:bottom w:val="nil"/>
              <w:right w:val="nil"/>
            </w:tcBorders>
            <w:shd w:val="clear" w:color="auto" w:fill="auto"/>
            <w:noWrap/>
            <w:vAlign w:val="center"/>
            <w:hideMark/>
          </w:tcPr>
          <w:p w14:paraId="3984017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0.33</w:t>
            </w:r>
          </w:p>
        </w:tc>
        <w:tc>
          <w:tcPr>
            <w:tcW w:w="960" w:type="dxa"/>
            <w:tcBorders>
              <w:top w:val="nil"/>
              <w:left w:val="nil"/>
              <w:bottom w:val="nil"/>
              <w:right w:val="nil"/>
            </w:tcBorders>
            <w:shd w:val="clear" w:color="auto" w:fill="auto"/>
            <w:noWrap/>
            <w:vAlign w:val="center"/>
            <w:hideMark/>
          </w:tcPr>
          <w:p w14:paraId="1839E37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0.19</w:t>
            </w:r>
          </w:p>
        </w:tc>
        <w:tc>
          <w:tcPr>
            <w:tcW w:w="960" w:type="dxa"/>
            <w:tcBorders>
              <w:top w:val="nil"/>
              <w:left w:val="nil"/>
              <w:bottom w:val="nil"/>
              <w:right w:val="nil"/>
            </w:tcBorders>
            <w:shd w:val="clear" w:color="auto" w:fill="auto"/>
            <w:noWrap/>
            <w:vAlign w:val="center"/>
            <w:hideMark/>
          </w:tcPr>
          <w:p w14:paraId="7FD90C6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0.45</w:t>
            </w:r>
          </w:p>
        </w:tc>
        <w:tc>
          <w:tcPr>
            <w:tcW w:w="960" w:type="dxa"/>
            <w:tcBorders>
              <w:top w:val="nil"/>
              <w:left w:val="nil"/>
              <w:bottom w:val="nil"/>
              <w:right w:val="nil"/>
            </w:tcBorders>
            <w:shd w:val="clear" w:color="auto" w:fill="auto"/>
            <w:noWrap/>
            <w:vAlign w:val="center"/>
            <w:hideMark/>
          </w:tcPr>
          <w:p w14:paraId="44BD84A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3.01</w:t>
            </w:r>
          </w:p>
        </w:tc>
        <w:tc>
          <w:tcPr>
            <w:tcW w:w="960" w:type="dxa"/>
            <w:tcBorders>
              <w:top w:val="nil"/>
              <w:left w:val="nil"/>
              <w:bottom w:val="nil"/>
              <w:right w:val="nil"/>
            </w:tcBorders>
            <w:shd w:val="clear" w:color="auto" w:fill="auto"/>
            <w:noWrap/>
            <w:vAlign w:val="center"/>
            <w:hideMark/>
          </w:tcPr>
          <w:p w14:paraId="35973EE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51.94</w:t>
            </w:r>
          </w:p>
        </w:tc>
        <w:tc>
          <w:tcPr>
            <w:tcW w:w="960" w:type="dxa"/>
            <w:tcBorders>
              <w:top w:val="nil"/>
              <w:left w:val="nil"/>
              <w:bottom w:val="nil"/>
              <w:right w:val="nil"/>
            </w:tcBorders>
            <w:shd w:val="clear" w:color="auto" w:fill="auto"/>
            <w:noWrap/>
            <w:vAlign w:val="center"/>
            <w:hideMark/>
          </w:tcPr>
          <w:p w14:paraId="0655194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45.05</w:t>
            </w:r>
          </w:p>
        </w:tc>
      </w:tr>
      <w:tr w:rsidR="00CB5F95" w:rsidRPr="00C533F9" w14:paraId="1A9FAB17" w14:textId="77777777" w:rsidTr="00CB5F95">
        <w:trPr>
          <w:trHeight w:val="315"/>
        </w:trPr>
        <w:tc>
          <w:tcPr>
            <w:tcW w:w="2500" w:type="dxa"/>
            <w:vMerge/>
            <w:tcBorders>
              <w:top w:val="nil"/>
              <w:left w:val="nil"/>
              <w:bottom w:val="single" w:sz="8" w:space="0" w:color="000000"/>
              <w:right w:val="nil"/>
            </w:tcBorders>
            <w:vAlign w:val="center"/>
            <w:hideMark/>
          </w:tcPr>
          <w:p w14:paraId="4297D211"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nil"/>
              <w:right w:val="nil"/>
            </w:tcBorders>
            <w:shd w:val="clear" w:color="auto" w:fill="auto"/>
            <w:noWrap/>
            <w:vAlign w:val="center"/>
            <w:hideMark/>
          </w:tcPr>
          <w:p w14:paraId="5562BAC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820" w:type="dxa"/>
            <w:tcBorders>
              <w:top w:val="nil"/>
              <w:left w:val="nil"/>
              <w:bottom w:val="nil"/>
              <w:right w:val="nil"/>
            </w:tcBorders>
            <w:shd w:val="clear" w:color="auto" w:fill="auto"/>
            <w:noWrap/>
            <w:vAlign w:val="center"/>
            <w:hideMark/>
          </w:tcPr>
          <w:p w14:paraId="47A5488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2ADB444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907.17</w:t>
            </w:r>
          </w:p>
        </w:tc>
        <w:tc>
          <w:tcPr>
            <w:tcW w:w="960" w:type="dxa"/>
            <w:tcBorders>
              <w:top w:val="nil"/>
              <w:left w:val="nil"/>
              <w:bottom w:val="nil"/>
              <w:right w:val="nil"/>
            </w:tcBorders>
            <w:shd w:val="clear" w:color="auto" w:fill="auto"/>
            <w:noWrap/>
            <w:vAlign w:val="center"/>
            <w:hideMark/>
          </w:tcPr>
          <w:p w14:paraId="38D6E8E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995.69</w:t>
            </w:r>
          </w:p>
        </w:tc>
        <w:tc>
          <w:tcPr>
            <w:tcW w:w="960" w:type="dxa"/>
            <w:tcBorders>
              <w:top w:val="nil"/>
              <w:left w:val="nil"/>
              <w:bottom w:val="nil"/>
              <w:right w:val="nil"/>
            </w:tcBorders>
            <w:shd w:val="clear" w:color="auto" w:fill="auto"/>
            <w:noWrap/>
            <w:vAlign w:val="center"/>
            <w:hideMark/>
          </w:tcPr>
          <w:p w14:paraId="27B0C31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1159.23</w:t>
            </w:r>
          </w:p>
        </w:tc>
        <w:tc>
          <w:tcPr>
            <w:tcW w:w="960" w:type="dxa"/>
            <w:tcBorders>
              <w:top w:val="nil"/>
              <w:left w:val="nil"/>
              <w:bottom w:val="nil"/>
              <w:right w:val="nil"/>
            </w:tcBorders>
            <w:shd w:val="clear" w:color="auto" w:fill="auto"/>
            <w:noWrap/>
            <w:vAlign w:val="center"/>
            <w:hideMark/>
          </w:tcPr>
          <w:p w14:paraId="43397B3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1081.14</w:t>
            </w:r>
          </w:p>
        </w:tc>
        <w:tc>
          <w:tcPr>
            <w:tcW w:w="960" w:type="dxa"/>
            <w:tcBorders>
              <w:top w:val="nil"/>
              <w:left w:val="nil"/>
              <w:bottom w:val="nil"/>
              <w:right w:val="nil"/>
            </w:tcBorders>
            <w:shd w:val="clear" w:color="auto" w:fill="auto"/>
            <w:noWrap/>
            <w:vAlign w:val="center"/>
            <w:hideMark/>
          </w:tcPr>
          <w:p w14:paraId="0F398EE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2E2B1EAA"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474419D4"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16ADF8E3" w14:textId="77777777" w:rsidTr="00CB5F95">
        <w:trPr>
          <w:trHeight w:val="300"/>
        </w:trPr>
        <w:tc>
          <w:tcPr>
            <w:tcW w:w="2500" w:type="dxa"/>
            <w:vMerge/>
            <w:tcBorders>
              <w:top w:val="nil"/>
              <w:left w:val="nil"/>
              <w:bottom w:val="single" w:sz="8" w:space="0" w:color="000000"/>
              <w:right w:val="nil"/>
            </w:tcBorders>
            <w:vAlign w:val="center"/>
            <w:hideMark/>
          </w:tcPr>
          <w:p w14:paraId="7A73595C"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nil"/>
              <w:right w:val="nil"/>
            </w:tcBorders>
            <w:shd w:val="clear" w:color="auto" w:fill="auto"/>
            <w:noWrap/>
            <w:vAlign w:val="bottom"/>
            <w:hideMark/>
          </w:tcPr>
          <w:p w14:paraId="36380D9E"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70</w:t>
            </w:r>
          </w:p>
        </w:tc>
        <w:tc>
          <w:tcPr>
            <w:tcW w:w="1820" w:type="dxa"/>
            <w:tcBorders>
              <w:top w:val="nil"/>
              <w:left w:val="nil"/>
              <w:bottom w:val="nil"/>
              <w:right w:val="nil"/>
            </w:tcBorders>
            <w:shd w:val="clear" w:color="auto" w:fill="auto"/>
            <w:noWrap/>
            <w:vAlign w:val="center"/>
            <w:hideMark/>
          </w:tcPr>
          <w:p w14:paraId="1F6F2F28"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0770D35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0.03</w:t>
            </w:r>
          </w:p>
        </w:tc>
        <w:tc>
          <w:tcPr>
            <w:tcW w:w="960" w:type="dxa"/>
            <w:tcBorders>
              <w:top w:val="nil"/>
              <w:left w:val="nil"/>
              <w:bottom w:val="nil"/>
              <w:right w:val="nil"/>
            </w:tcBorders>
            <w:shd w:val="clear" w:color="auto" w:fill="auto"/>
            <w:noWrap/>
            <w:vAlign w:val="center"/>
            <w:hideMark/>
          </w:tcPr>
          <w:p w14:paraId="0E67B6B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0.29</w:t>
            </w:r>
          </w:p>
        </w:tc>
        <w:tc>
          <w:tcPr>
            <w:tcW w:w="960" w:type="dxa"/>
            <w:tcBorders>
              <w:top w:val="nil"/>
              <w:left w:val="nil"/>
              <w:bottom w:val="nil"/>
              <w:right w:val="nil"/>
            </w:tcBorders>
            <w:shd w:val="clear" w:color="auto" w:fill="auto"/>
            <w:noWrap/>
            <w:vAlign w:val="center"/>
            <w:hideMark/>
          </w:tcPr>
          <w:p w14:paraId="3BD8B69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0.16</w:t>
            </w:r>
          </w:p>
        </w:tc>
        <w:tc>
          <w:tcPr>
            <w:tcW w:w="960" w:type="dxa"/>
            <w:tcBorders>
              <w:top w:val="nil"/>
              <w:left w:val="nil"/>
              <w:bottom w:val="nil"/>
              <w:right w:val="nil"/>
            </w:tcBorders>
            <w:shd w:val="clear" w:color="auto" w:fill="auto"/>
            <w:noWrap/>
            <w:vAlign w:val="center"/>
            <w:hideMark/>
          </w:tcPr>
          <w:p w14:paraId="03E07B5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0.52</w:t>
            </w:r>
          </w:p>
        </w:tc>
        <w:tc>
          <w:tcPr>
            <w:tcW w:w="960" w:type="dxa"/>
            <w:tcBorders>
              <w:top w:val="nil"/>
              <w:left w:val="nil"/>
              <w:bottom w:val="nil"/>
              <w:right w:val="nil"/>
            </w:tcBorders>
            <w:shd w:val="clear" w:color="auto" w:fill="auto"/>
            <w:noWrap/>
            <w:vAlign w:val="center"/>
            <w:hideMark/>
          </w:tcPr>
          <w:p w14:paraId="55E9A2C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3.29</w:t>
            </w:r>
          </w:p>
        </w:tc>
        <w:tc>
          <w:tcPr>
            <w:tcW w:w="960" w:type="dxa"/>
            <w:tcBorders>
              <w:top w:val="nil"/>
              <w:left w:val="nil"/>
              <w:bottom w:val="nil"/>
              <w:right w:val="nil"/>
            </w:tcBorders>
            <w:shd w:val="clear" w:color="auto" w:fill="auto"/>
            <w:noWrap/>
            <w:vAlign w:val="center"/>
            <w:hideMark/>
          </w:tcPr>
          <w:p w14:paraId="7F17BAF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44.89</w:t>
            </w:r>
          </w:p>
        </w:tc>
        <w:tc>
          <w:tcPr>
            <w:tcW w:w="960" w:type="dxa"/>
            <w:tcBorders>
              <w:top w:val="nil"/>
              <w:left w:val="nil"/>
              <w:bottom w:val="nil"/>
              <w:right w:val="nil"/>
            </w:tcBorders>
            <w:shd w:val="clear" w:color="auto" w:fill="auto"/>
            <w:noWrap/>
            <w:vAlign w:val="center"/>
            <w:hideMark/>
          </w:tcPr>
          <w:p w14:paraId="4C6D42F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51.82</w:t>
            </w:r>
          </w:p>
        </w:tc>
      </w:tr>
      <w:tr w:rsidR="00CB5F95" w:rsidRPr="00C533F9" w14:paraId="459A963C" w14:textId="77777777" w:rsidTr="00CB5F95">
        <w:trPr>
          <w:trHeight w:val="315"/>
        </w:trPr>
        <w:tc>
          <w:tcPr>
            <w:tcW w:w="2500" w:type="dxa"/>
            <w:vMerge/>
            <w:tcBorders>
              <w:top w:val="nil"/>
              <w:left w:val="nil"/>
              <w:bottom w:val="single" w:sz="8" w:space="0" w:color="000000"/>
              <w:right w:val="nil"/>
            </w:tcBorders>
            <w:vAlign w:val="center"/>
            <w:hideMark/>
          </w:tcPr>
          <w:p w14:paraId="2B31CE12"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single" w:sz="8" w:space="0" w:color="auto"/>
              <w:right w:val="nil"/>
            </w:tcBorders>
            <w:shd w:val="clear" w:color="auto" w:fill="auto"/>
            <w:noWrap/>
            <w:vAlign w:val="center"/>
            <w:hideMark/>
          </w:tcPr>
          <w:p w14:paraId="30BB457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1820" w:type="dxa"/>
            <w:tcBorders>
              <w:top w:val="nil"/>
              <w:left w:val="nil"/>
              <w:bottom w:val="single" w:sz="8" w:space="0" w:color="auto"/>
              <w:right w:val="nil"/>
            </w:tcBorders>
            <w:shd w:val="clear" w:color="auto" w:fill="auto"/>
            <w:noWrap/>
            <w:vAlign w:val="center"/>
            <w:hideMark/>
          </w:tcPr>
          <w:p w14:paraId="1B6466D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single" w:sz="8" w:space="0" w:color="auto"/>
              <w:right w:val="nil"/>
            </w:tcBorders>
            <w:shd w:val="clear" w:color="auto" w:fill="auto"/>
            <w:noWrap/>
            <w:vAlign w:val="center"/>
            <w:hideMark/>
          </w:tcPr>
          <w:p w14:paraId="75C9BE3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908.84</w:t>
            </w:r>
          </w:p>
        </w:tc>
        <w:tc>
          <w:tcPr>
            <w:tcW w:w="960" w:type="dxa"/>
            <w:tcBorders>
              <w:top w:val="nil"/>
              <w:left w:val="nil"/>
              <w:bottom w:val="single" w:sz="8" w:space="0" w:color="auto"/>
              <w:right w:val="nil"/>
            </w:tcBorders>
            <w:shd w:val="clear" w:color="auto" w:fill="auto"/>
            <w:noWrap/>
            <w:vAlign w:val="center"/>
            <w:hideMark/>
          </w:tcPr>
          <w:p w14:paraId="5794013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991.54</w:t>
            </w:r>
          </w:p>
        </w:tc>
        <w:tc>
          <w:tcPr>
            <w:tcW w:w="960" w:type="dxa"/>
            <w:tcBorders>
              <w:top w:val="nil"/>
              <w:left w:val="nil"/>
              <w:bottom w:val="single" w:sz="8" w:space="0" w:color="auto"/>
              <w:right w:val="nil"/>
            </w:tcBorders>
            <w:shd w:val="clear" w:color="auto" w:fill="auto"/>
            <w:noWrap/>
            <w:vAlign w:val="center"/>
            <w:hideMark/>
          </w:tcPr>
          <w:p w14:paraId="63FFEA9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1164.16</w:t>
            </w:r>
          </w:p>
        </w:tc>
        <w:tc>
          <w:tcPr>
            <w:tcW w:w="960" w:type="dxa"/>
            <w:tcBorders>
              <w:top w:val="nil"/>
              <w:left w:val="nil"/>
              <w:bottom w:val="single" w:sz="8" w:space="0" w:color="auto"/>
              <w:right w:val="nil"/>
            </w:tcBorders>
            <w:shd w:val="clear" w:color="auto" w:fill="auto"/>
            <w:noWrap/>
            <w:vAlign w:val="center"/>
            <w:hideMark/>
          </w:tcPr>
          <w:p w14:paraId="6BD822A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1078.51</w:t>
            </w:r>
          </w:p>
        </w:tc>
        <w:tc>
          <w:tcPr>
            <w:tcW w:w="960" w:type="dxa"/>
            <w:tcBorders>
              <w:top w:val="nil"/>
              <w:left w:val="nil"/>
              <w:bottom w:val="single" w:sz="8" w:space="0" w:color="auto"/>
              <w:right w:val="nil"/>
            </w:tcBorders>
            <w:shd w:val="clear" w:color="auto" w:fill="auto"/>
            <w:noWrap/>
            <w:vAlign w:val="center"/>
            <w:hideMark/>
          </w:tcPr>
          <w:p w14:paraId="5DB68BE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3F21128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72D08C1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r>
      <w:tr w:rsidR="00CB5F95" w:rsidRPr="00C533F9" w14:paraId="43A61BBF" w14:textId="77777777" w:rsidTr="00CB5F95">
        <w:trPr>
          <w:trHeight w:val="300"/>
        </w:trPr>
        <w:tc>
          <w:tcPr>
            <w:tcW w:w="2500" w:type="dxa"/>
            <w:vMerge w:val="restart"/>
            <w:tcBorders>
              <w:top w:val="nil"/>
              <w:left w:val="nil"/>
              <w:bottom w:val="single" w:sz="8" w:space="0" w:color="000000"/>
              <w:right w:val="nil"/>
            </w:tcBorders>
            <w:shd w:val="clear" w:color="auto" w:fill="auto"/>
            <w:noWrap/>
            <w:vAlign w:val="center"/>
            <w:hideMark/>
          </w:tcPr>
          <w:p w14:paraId="568253D6"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x</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20-x</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2500" w:type="dxa"/>
            <w:tcBorders>
              <w:top w:val="nil"/>
              <w:left w:val="nil"/>
              <w:bottom w:val="nil"/>
              <w:right w:val="nil"/>
            </w:tcBorders>
            <w:shd w:val="clear" w:color="auto" w:fill="auto"/>
            <w:noWrap/>
            <w:vAlign w:val="bottom"/>
            <w:hideMark/>
          </w:tcPr>
          <w:p w14:paraId="60D722FD"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1820" w:type="dxa"/>
            <w:tcBorders>
              <w:top w:val="nil"/>
              <w:left w:val="nil"/>
              <w:bottom w:val="nil"/>
              <w:right w:val="nil"/>
            </w:tcBorders>
            <w:shd w:val="clear" w:color="auto" w:fill="auto"/>
            <w:noWrap/>
            <w:vAlign w:val="center"/>
            <w:hideMark/>
          </w:tcPr>
          <w:p w14:paraId="3866337B"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43D1BAEB"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5FFC9CE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0.39</w:t>
            </w:r>
          </w:p>
        </w:tc>
        <w:tc>
          <w:tcPr>
            <w:tcW w:w="960" w:type="dxa"/>
            <w:tcBorders>
              <w:top w:val="nil"/>
              <w:left w:val="nil"/>
              <w:bottom w:val="nil"/>
              <w:right w:val="nil"/>
            </w:tcBorders>
            <w:shd w:val="clear" w:color="auto" w:fill="auto"/>
            <w:noWrap/>
            <w:vAlign w:val="center"/>
            <w:hideMark/>
          </w:tcPr>
          <w:p w14:paraId="791CAB2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0.45</w:t>
            </w:r>
          </w:p>
        </w:tc>
        <w:tc>
          <w:tcPr>
            <w:tcW w:w="960" w:type="dxa"/>
            <w:tcBorders>
              <w:top w:val="nil"/>
              <w:left w:val="nil"/>
              <w:bottom w:val="nil"/>
              <w:right w:val="nil"/>
            </w:tcBorders>
            <w:shd w:val="clear" w:color="auto" w:fill="auto"/>
            <w:noWrap/>
            <w:vAlign w:val="center"/>
            <w:hideMark/>
          </w:tcPr>
          <w:p w14:paraId="5BDED17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0.15</w:t>
            </w:r>
          </w:p>
        </w:tc>
        <w:tc>
          <w:tcPr>
            <w:tcW w:w="960" w:type="dxa"/>
            <w:tcBorders>
              <w:top w:val="nil"/>
              <w:left w:val="nil"/>
              <w:bottom w:val="nil"/>
              <w:right w:val="nil"/>
            </w:tcBorders>
            <w:shd w:val="clear" w:color="auto" w:fill="auto"/>
            <w:noWrap/>
            <w:vAlign w:val="center"/>
            <w:hideMark/>
          </w:tcPr>
          <w:p w14:paraId="0E164AB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w:t>
            </w:r>
          </w:p>
        </w:tc>
        <w:tc>
          <w:tcPr>
            <w:tcW w:w="960" w:type="dxa"/>
            <w:tcBorders>
              <w:top w:val="nil"/>
              <w:left w:val="nil"/>
              <w:bottom w:val="nil"/>
              <w:right w:val="nil"/>
            </w:tcBorders>
            <w:shd w:val="clear" w:color="auto" w:fill="auto"/>
            <w:noWrap/>
            <w:vAlign w:val="center"/>
            <w:hideMark/>
          </w:tcPr>
          <w:p w14:paraId="083C7CA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84.72</w:t>
            </w:r>
          </w:p>
        </w:tc>
        <w:tc>
          <w:tcPr>
            <w:tcW w:w="960" w:type="dxa"/>
            <w:tcBorders>
              <w:top w:val="nil"/>
              <w:left w:val="nil"/>
              <w:bottom w:val="nil"/>
              <w:right w:val="nil"/>
            </w:tcBorders>
            <w:shd w:val="clear" w:color="auto" w:fill="auto"/>
            <w:noWrap/>
            <w:vAlign w:val="center"/>
            <w:hideMark/>
          </w:tcPr>
          <w:p w14:paraId="13872BC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15.28</w:t>
            </w:r>
          </w:p>
        </w:tc>
      </w:tr>
      <w:tr w:rsidR="00CB5F95" w:rsidRPr="00C533F9" w14:paraId="08D0A9DF" w14:textId="77777777" w:rsidTr="00CB5F95">
        <w:trPr>
          <w:trHeight w:val="300"/>
        </w:trPr>
        <w:tc>
          <w:tcPr>
            <w:tcW w:w="2500" w:type="dxa"/>
            <w:vMerge/>
            <w:tcBorders>
              <w:top w:val="nil"/>
              <w:left w:val="nil"/>
              <w:bottom w:val="single" w:sz="8" w:space="0" w:color="000000"/>
              <w:right w:val="nil"/>
            </w:tcBorders>
            <w:vAlign w:val="center"/>
            <w:hideMark/>
          </w:tcPr>
          <w:p w14:paraId="568354AA"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nil"/>
              <w:right w:val="nil"/>
            </w:tcBorders>
            <w:shd w:val="clear" w:color="auto" w:fill="auto"/>
            <w:noWrap/>
            <w:vAlign w:val="center"/>
            <w:hideMark/>
          </w:tcPr>
          <w:p w14:paraId="0753D54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820" w:type="dxa"/>
            <w:tcBorders>
              <w:top w:val="nil"/>
              <w:left w:val="nil"/>
              <w:bottom w:val="nil"/>
              <w:right w:val="nil"/>
            </w:tcBorders>
            <w:shd w:val="clear" w:color="auto" w:fill="auto"/>
            <w:noWrap/>
            <w:vAlign w:val="center"/>
            <w:hideMark/>
          </w:tcPr>
          <w:p w14:paraId="3629BE4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7A74F66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741D434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980.61</w:t>
            </w:r>
          </w:p>
        </w:tc>
        <w:tc>
          <w:tcPr>
            <w:tcW w:w="960" w:type="dxa"/>
            <w:tcBorders>
              <w:top w:val="nil"/>
              <w:left w:val="nil"/>
              <w:bottom w:val="nil"/>
              <w:right w:val="nil"/>
            </w:tcBorders>
            <w:shd w:val="clear" w:color="auto" w:fill="auto"/>
            <w:noWrap/>
            <w:vAlign w:val="center"/>
            <w:hideMark/>
          </w:tcPr>
          <w:p w14:paraId="21ABCD3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1061.36</w:t>
            </w:r>
          </w:p>
        </w:tc>
        <w:tc>
          <w:tcPr>
            <w:tcW w:w="960" w:type="dxa"/>
            <w:tcBorders>
              <w:top w:val="nil"/>
              <w:left w:val="nil"/>
              <w:bottom w:val="nil"/>
              <w:right w:val="nil"/>
            </w:tcBorders>
            <w:shd w:val="clear" w:color="auto" w:fill="auto"/>
            <w:noWrap/>
            <w:vAlign w:val="center"/>
            <w:hideMark/>
          </w:tcPr>
          <w:p w14:paraId="56EDAF7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1130.33</w:t>
            </w:r>
          </w:p>
        </w:tc>
        <w:tc>
          <w:tcPr>
            <w:tcW w:w="960" w:type="dxa"/>
            <w:tcBorders>
              <w:top w:val="nil"/>
              <w:left w:val="nil"/>
              <w:bottom w:val="nil"/>
              <w:right w:val="nil"/>
            </w:tcBorders>
            <w:shd w:val="clear" w:color="auto" w:fill="auto"/>
            <w:noWrap/>
            <w:vAlign w:val="center"/>
            <w:hideMark/>
          </w:tcPr>
          <w:p w14:paraId="77726B2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7B85DD6E"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598CC78F"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6CA5A827" w14:textId="77777777" w:rsidTr="00CB5F95">
        <w:trPr>
          <w:trHeight w:val="300"/>
        </w:trPr>
        <w:tc>
          <w:tcPr>
            <w:tcW w:w="2500" w:type="dxa"/>
            <w:vMerge/>
            <w:tcBorders>
              <w:top w:val="nil"/>
              <w:left w:val="nil"/>
              <w:bottom w:val="single" w:sz="8" w:space="0" w:color="000000"/>
              <w:right w:val="nil"/>
            </w:tcBorders>
            <w:vAlign w:val="center"/>
            <w:hideMark/>
          </w:tcPr>
          <w:p w14:paraId="48117939"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nil"/>
              <w:right w:val="nil"/>
            </w:tcBorders>
            <w:shd w:val="clear" w:color="auto" w:fill="auto"/>
            <w:noWrap/>
            <w:vAlign w:val="bottom"/>
            <w:hideMark/>
          </w:tcPr>
          <w:p w14:paraId="616455CC"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1820" w:type="dxa"/>
            <w:tcBorders>
              <w:top w:val="nil"/>
              <w:left w:val="nil"/>
              <w:bottom w:val="nil"/>
              <w:right w:val="nil"/>
            </w:tcBorders>
            <w:shd w:val="clear" w:color="auto" w:fill="auto"/>
            <w:noWrap/>
            <w:vAlign w:val="center"/>
            <w:hideMark/>
          </w:tcPr>
          <w:p w14:paraId="613C67FF"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656E8943"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5C94B13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0.38</w:t>
            </w:r>
          </w:p>
        </w:tc>
        <w:tc>
          <w:tcPr>
            <w:tcW w:w="960" w:type="dxa"/>
            <w:tcBorders>
              <w:top w:val="nil"/>
              <w:left w:val="nil"/>
              <w:bottom w:val="nil"/>
              <w:right w:val="nil"/>
            </w:tcBorders>
            <w:shd w:val="clear" w:color="auto" w:fill="auto"/>
            <w:noWrap/>
            <w:vAlign w:val="center"/>
            <w:hideMark/>
          </w:tcPr>
          <w:p w14:paraId="4F5EAD8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0.46</w:t>
            </w:r>
          </w:p>
        </w:tc>
        <w:tc>
          <w:tcPr>
            <w:tcW w:w="960" w:type="dxa"/>
            <w:tcBorders>
              <w:top w:val="nil"/>
              <w:left w:val="nil"/>
              <w:bottom w:val="nil"/>
              <w:right w:val="nil"/>
            </w:tcBorders>
            <w:shd w:val="clear" w:color="auto" w:fill="auto"/>
            <w:noWrap/>
            <w:vAlign w:val="center"/>
            <w:hideMark/>
          </w:tcPr>
          <w:p w14:paraId="7E349A4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0.16</w:t>
            </w:r>
          </w:p>
        </w:tc>
        <w:tc>
          <w:tcPr>
            <w:tcW w:w="960" w:type="dxa"/>
            <w:tcBorders>
              <w:top w:val="nil"/>
              <w:left w:val="nil"/>
              <w:bottom w:val="nil"/>
              <w:right w:val="nil"/>
            </w:tcBorders>
            <w:shd w:val="clear" w:color="auto" w:fill="auto"/>
            <w:noWrap/>
            <w:vAlign w:val="center"/>
            <w:hideMark/>
          </w:tcPr>
          <w:p w14:paraId="430FFF3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w:t>
            </w:r>
          </w:p>
        </w:tc>
        <w:tc>
          <w:tcPr>
            <w:tcW w:w="960" w:type="dxa"/>
            <w:tcBorders>
              <w:top w:val="nil"/>
              <w:left w:val="nil"/>
              <w:bottom w:val="nil"/>
              <w:right w:val="nil"/>
            </w:tcBorders>
            <w:shd w:val="clear" w:color="auto" w:fill="auto"/>
            <w:noWrap/>
            <w:vAlign w:val="center"/>
            <w:hideMark/>
          </w:tcPr>
          <w:p w14:paraId="57BDF3C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84.34</w:t>
            </w:r>
          </w:p>
        </w:tc>
        <w:tc>
          <w:tcPr>
            <w:tcW w:w="960" w:type="dxa"/>
            <w:tcBorders>
              <w:top w:val="nil"/>
              <w:left w:val="nil"/>
              <w:bottom w:val="nil"/>
              <w:right w:val="nil"/>
            </w:tcBorders>
            <w:shd w:val="clear" w:color="auto" w:fill="auto"/>
            <w:noWrap/>
            <w:vAlign w:val="center"/>
            <w:hideMark/>
          </w:tcPr>
          <w:p w14:paraId="2D3F337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15.66</w:t>
            </w:r>
          </w:p>
        </w:tc>
      </w:tr>
      <w:tr w:rsidR="00CB5F95" w:rsidRPr="00C533F9" w14:paraId="5B65BB0C" w14:textId="77777777" w:rsidTr="00CB5F95">
        <w:trPr>
          <w:trHeight w:val="315"/>
        </w:trPr>
        <w:tc>
          <w:tcPr>
            <w:tcW w:w="2500" w:type="dxa"/>
            <w:vMerge/>
            <w:tcBorders>
              <w:top w:val="nil"/>
              <w:left w:val="nil"/>
              <w:bottom w:val="single" w:sz="8" w:space="0" w:color="000000"/>
              <w:right w:val="nil"/>
            </w:tcBorders>
            <w:vAlign w:val="center"/>
            <w:hideMark/>
          </w:tcPr>
          <w:p w14:paraId="2A30D728"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nil"/>
              <w:right w:val="nil"/>
            </w:tcBorders>
            <w:shd w:val="clear" w:color="auto" w:fill="auto"/>
            <w:noWrap/>
            <w:vAlign w:val="center"/>
            <w:hideMark/>
          </w:tcPr>
          <w:p w14:paraId="2EBADE1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820" w:type="dxa"/>
            <w:tcBorders>
              <w:top w:val="nil"/>
              <w:left w:val="nil"/>
              <w:bottom w:val="nil"/>
              <w:right w:val="nil"/>
            </w:tcBorders>
            <w:shd w:val="clear" w:color="auto" w:fill="auto"/>
            <w:noWrap/>
            <w:vAlign w:val="center"/>
            <w:hideMark/>
          </w:tcPr>
          <w:p w14:paraId="51E6F9E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250E4C8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309A3AD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984.51</w:t>
            </w:r>
          </w:p>
        </w:tc>
        <w:tc>
          <w:tcPr>
            <w:tcW w:w="960" w:type="dxa"/>
            <w:tcBorders>
              <w:top w:val="nil"/>
              <w:left w:val="nil"/>
              <w:bottom w:val="nil"/>
              <w:right w:val="nil"/>
            </w:tcBorders>
            <w:shd w:val="clear" w:color="auto" w:fill="auto"/>
            <w:noWrap/>
            <w:vAlign w:val="center"/>
            <w:hideMark/>
          </w:tcPr>
          <w:p w14:paraId="27D14B7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1066.6</w:t>
            </w:r>
          </w:p>
        </w:tc>
        <w:tc>
          <w:tcPr>
            <w:tcW w:w="960" w:type="dxa"/>
            <w:tcBorders>
              <w:top w:val="nil"/>
              <w:left w:val="nil"/>
              <w:bottom w:val="nil"/>
              <w:right w:val="nil"/>
            </w:tcBorders>
            <w:shd w:val="clear" w:color="auto" w:fill="auto"/>
            <w:noWrap/>
            <w:vAlign w:val="center"/>
            <w:hideMark/>
          </w:tcPr>
          <w:p w14:paraId="2348CE8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1135.26</w:t>
            </w:r>
          </w:p>
        </w:tc>
        <w:tc>
          <w:tcPr>
            <w:tcW w:w="960" w:type="dxa"/>
            <w:tcBorders>
              <w:top w:val="nil"/>
              <w:left w:val="nil"/>
              <w:bottom w:val="nil"/>
              <w:right w:val="nil"/>
            </w:tcBorders>
            <w:shd w:val="clear" w:color="auto" w:fill="auto"/>
            <w:noWrap/>
            <w:vAlign w:val="center"/>
            <w:hideMark/>
          </w:tcPr>
          <w:p w14:paraId="3B27D0A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017C9F0B"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24EE0C97"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6E30726B" w14:textId="77777777" w:rsidTr="00CB5F95">
        <w:trPr>
          <w:trHeight w:val="300"/>
        </w:trPr>
        <w:tc>
          <w:tcPr>
            <w:tcW w:w="2500" w:type="dxa"/>
            <w:vMerge/>
            <w:tcBorders>
              <w:top w:val="nil"/>
              <w:left w:val="nil"/>
              <w:bottom w:val="single" w:sz="8" w:space="0" w:color="000000"/>
              <w:right w:val="nil"/>
            </w:tcBorders>
            <w:vAlign w:val="center"/>
            <w:hideMark/>
          </w:tcPr>
          <w:p w14:paraId="68C5978E"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nil"/>
              <w:right w:val="nil"/>
            </w:tcBorders>
            <w:shd w:val="clear" w:color="auto" w:fill="auto"/>
            <w:noWrap/>
            <w:vAlign w:val="bottom"/>
            <w:hideMark/>
          </w:tcPr>
          <w:p w14:paraId="7F542329"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1820" w:type="dxa"/>
            <w:tcBorders>
              <w:top w:val="nil"/>
              <w:left w:val="nil"/>
              <w:bottom w:val="nil"/>
              <w:right w:val="nil"/>
            </w:tcBorders>
            <w:shd w:val="clear" w:color="auto" w:fill="auto"/>
            <w:noWrap/>
            <w:vAlign w:val="center"/>
            <w:hideMark/>
          </w:tcPr>
          <w:p w14:paraId="59D5D068"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7AA9110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0.02</w:t>
            </w:r>
          </w:p>
        </w:tc>
        <w:tc>
          <w:tcPr>
            <w:tcW w:w="960" w:type="dxa"/>
            <w:tcBorders>
              <w:top w:val="nil"/>
              <w:left w:val="nil"/>
              <w:bottom w:val="nil"/>
              <w:right w:val="nil"/>
            </w:tcBorders>
            <w:shd w:val="clear" w:color="auto" w:fill="auto"/>
            <w:noWrap/>
            <w:vAlign w:val="center"/>
            <w:hideMark/>
          </w:tcPr>
          <w:p w14:paraId="42FE2A6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0.38</w:t>
            </w:r>
          </w:p>
        </w:tc>
        <w:tc>
          <w:tcPr>
            <w:tcW w:w="960" w:type="dxa"/>
            <w:tcBorders>
              <w:top w:val="nil"/>
              <w:left w:val="nil"/>
              <w:bottom w:val="nil"/>
              <w:right w:val="nil"/>
            </w:tcBorders>
            <w:shd w:val="clear" w:color="auto" w:fill="auto"/>
            <w:noWrap/>
            <w:vAlign w:val="center"/>
            <w:hideMark/>
          </w:tcPr>
          <w:p w14:paraId="2BAE9A8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0.45</w:t>
            </w:r>
          </w:p>
        </w:tc>
        <w:tc>
          <w:tcPr>
            <w:tcW w:w="960" w:type="dxa"/>
            <w:tcBorders>
              <w:top w:val="nil"/>
              <w:left w:val="nil"/>
              <w:bottom w:val="nil"/>
              <w:right w:val="nil"/>
            </w:tcBorders>
            <w:shd w:val="clear" w:color="auto" w:fill="auto"/>
            <w:noWrap/>
            <w:vAlign w:val="center"/>
            <w:hideMark/>
          </w:tcPr>
          <w:p w14:paraId="6469E07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0.16</w:t>
            </w:r>
          </w:p>
        </w:tc>
        <w:tc>
          <w:tcPr>
            <w:tcW w:w="960" w:type="dxa"/>
            <w:tcBorders>
              <w:top w:val="nil"/>
              <w:left w:val="nil"/>
              <w:bottom w:val="nil"/>
              <w:right w:val="nil"/>
            </w:tcBorders>
            <w:shd w:val="clear" w:color="auto" w:fill="auto"/>
            <w:noWrap/>
            <w:vAlign w:val="center"/>
            <w:hideMark/>
          </w:tcPr>
          <w:p w14:paraId="4CD5F9E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1.79</w:t>
            </w:r>
          </w:p>
        </w:tc>
        <w:tc>
          <w:tcPr>
            <w:tcW w:w="960" w:type="dxa"/>
            <w:tcBorders>
              <w:top w:val="nil"/>
              <w:left w:val="nil"/>
              <w:bottom w:val="nil"/>
              <w:right w:val="nil"/>
            </w:tcBorders>
            <w:shd w:val="clear" w:color="auto" w:fill="auto"/>
            <w:noWrap/>
            <w:vAlign w:val="center"/>
            <w:hideMark/>
          </w:tcPr>
          <w:p w14:paraId="47E0A1E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82.33</w:t>
            </w:r>
          </w:p>
        </w:tc>
        <w:tc>
          <w:tcPr>
            <w:tcW w:w="960" w:type="dxa"/>
            <w:tcBorders>
              <w:top w:val="nil"/>
              <w:left w:val="nil"/>
              <w:bottom w:val="nil"/>
              <w:right w:val="nil"/>
            </w:tcBorders>
            <w:shd w:val="clear" w:color="auto" w:fill="auto"/>
            <w:noWrap/>
            <w:vAlign w:val="center"/>
            <w:hideMark/>
          </w:tcPr>
          <w:p w14:paraId="0FB0015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15.88</w:t>
            </w:r>
          </w:p>
        </w:tc>
      </w:tr>
      <w:tr w:rsidR="00CB5F95" w:rsidRPr="00C533F9" w14:paraId="519EE4EB" w14:textId="77777777" w:rsidTr="00CB5F95">
        <w:trPr>
          <w:trHeight w:val="315"/>
        </w:trPr>
        <w:tc>
          <w:tcPr>
            <w:tcW w:w="2500" w:type="dxa"/>
            <w:vMerge/>
            <w:tcBorders>
              <w:top w:val="nil"/>
              <w:left w:val="nil"/>
              <w:bottom w:val="single" w:sz="8" w:space="0" w:color="000000"/>
              <w:right w:val="nil"/>
            </w:tcBorders>
            <w:vAlign w:val="center"/>
            <w:hideMark/>
          </w:tcPr>
          <w:p w14:paraId="53A270D3"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500" w:type="dxa"/>
            <w:tcBorders>
              <w:top w:val="nil"/>
              <w:left w:val="nil"/>
              <w:bottom w:val="single" w:sz="8" w:space="0" w:color="auto"/>
              <w:right w:val="nil"/>
            </w:tcBorders>
            <w:shd w:val="clear" w:color="auto" w:fill="auto"/>
            <w:noWrap/>
            <w:vAlign w:val="center"/>
            <w:hideMark/>
          </w:tcPr>
          <w:p w14:paraId="19CF358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1820" w:type="dxa"/>
            <w:tcBorders>
              <w:top w:val="nil"/>
              <w:left w:val="nil"/>
              <w:bottom w:val="single" w:sz="8" w:space="0" w:color="auto"/>
              <w:right w:val="nil"/>
            </w:tcBorders>
            <w:shd w:val="clear" w:color="auto" w:fill="auto"/>
            <w:noWrap/>
            <w:vAlign w:val="center"/>
            <w:hideMark/>
          </w:tcPr>
          <w:p w14:paraId="3D4564F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single" w:sz="8" w:space="0" w:color="auto"/>
              <w:right w:val="nil"/>
            </w:tcBorders>
            <w:shd w:val="clear" w:color="auto" w:fill="auto"/>
            <w:noWrap/>
            <w:vAlign w:val="center"/>
            <w:hideMark/>
          </w:tcPr>
          <w:p w14:paraId="2A3E56C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911.38</w:t>
            </w:r>
          </w:p>
        </w:tc>
        <w:tc>
          <w:tcPr>
            <w:tcW w:w="960" w:type="dxa"/>
            <w:tcBorders>
              <w:top w:val="nil"/>
              <w:left w:val="nil"/>
              <w:bottom w:val="single" w:sz="8" w:space="0" w:color="auto"/>
              <w:right w:val="nil"/>
            </w:tcBorders>
            <w:shd w:val="clear" w:color="auto" w:fill="auto"/>
            <w:noWrap/>
            <w:vAlign w:val="center"/>
            <w:hideMark/>
          </w:tcPr>
          <w:p w14:paraId="3493F95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990.33</w:t>
            </w:r>
          </w:p>
        </w:tc>
        <w:tc>
          <w:tcPr>
            <w:tcW w:w="960" w:type="dxa"/>
            <w:tcBorders>
              <w:top w:val="nil"/>
              <w:left w:val="nil"/>
              <w:bottom w:val="single" w:sz="8" w:space="0" w:color="auto"/>
              <w:right w:val="nil"/>
            </w:tcBorders>
            <w:shd w:val="clear" w:color="auto" w:fill="auto"/>
            <w:noWrap/>
            <w:vAlign w:val="center"/>
            <w:hideMark/>
          </w:tcPr>
          <w:p w14:paraId="2BD171C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1073.61</w:t>
            </w:r>
          </w:p>
        </w:tc>
        <w:tc>
          <w:tcPr>
            <w:tcW w:w="960" w:type="dxa"/>
            <w:tcBorders>
              <w:top w:val="nil"/>
              <w:left w:val="nil"/>
              <w:bottom w:val="single" w:sz="8" w:space="0" w:color="auto"/>
              <w:right w:val="nil"/>
            </w:tcBorders>
            <w:shd w:val="clear" w:color="auto" w:fill="auto"/>
            <w:noWrap/>
            <w:vAlign w:val="center"/>
            <w:hideMark/>
          </w:tcPr>
          <w:p w14:paraId="1D06736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1144.36</w:t>
            </w:r>
          </w:p>
        </w:tc>
        <w:tc>
          <w:tcPr>
            <w:tcW w:w="960" w:type="dxa"/>
            <w:tcBorders>
              <w:top w:val="nil"/>
              <w:left w:val="nil"/>
              <w:bottom w:val="single" w:sz="8" w:space="0" w:color="auto"/>
              <w:right w:val="nil"/>
            </w:tcBorders>
            <w:shd w:val="clear" w:color="auto" w:fill="auto"/>
            <w:noWrap/>
            <w:vAlign w:val="center"/>
            <w:hideMark/>
          </w:tcPr>
          <w:p w14:paraId="1B84F76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5714EA5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586FBC7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r>
    </w:tbl>
    <w:p w14:paraId="57C0FF95" w14:textId="77777777" w:rsidR="00CB5F95" w:rsidRDefault="00CB5F95" w:rsidP="00CB5F95">
      <w:pPr>
        <w:sectPr w:rsidR="00CB5F95" w:rsidSect="00857423">
          <w:type w:val="continuous"/>
          <w:pgSz w:w="16838" w:h="11906" w:orient="landscape"/>
          <w:pgMar w:top="1440" w:right="1440" w:bottom="1440" w:left="1440" w:header="709" w:footer="709" w:gutter="0"/>
          <w:cols w:space="708"/>
          <w:docGrid w:linePitch="360"/>
        </w:sectPr>
      </w:pPr>
    </w:p>
    <w:p w14:paraId="2219ECC5" w14:textId="77777777" w:rsidR="00CB5F95" w:rsidRDefault="00CB5F95" w:rsidP="00CB5F95">
      <w:pPr>
        <w:sectPr w:rsidR="00CB5F95" w:rsidSect="00857423">
          <w:type w:val="continuous"/>
          <w:pgSz w:w="16838" w:h="11906" w:orient="landscape"/>
          <w:pgMar w:top="1440" w:right="1440" w:bottom="1440" w:left="1440" w:header="709" w:footer="709" w:gutter="0"/>
          <w:cols w:space="708"/>
          <w:docGrid w:linePitch="360"/>
        </w:sectPr>
      </w:pPr>
    </w:p>
    <w:p w14:paraId="579CFBC9" w14:textId="77777777" w:rsidR="00CB5F95" w:rsidRDefault="00CB5F95" w:rsidP="00CB5F95"/>
    <w:tbl>
      <w:tblPr>
        <w:tblW w:w="13460" w:type="dxa"/>
        <w:tblLook w:val="04A0" w:firstRow="1" w:lastRow="0" w:firstColumn="1" w:lastColumn="0" w:noHBand="0" w:noVBand="1"/>
      </w:tblPr>
      <w:tblGrid>
        <w:gridCol w:w="2880"/>
        <w:gridCol w:w="2220"/>
        <w:gridCol w:w="1640"/>
        <w:gridCol w:w="960"/>
        <w:gridCol w:w="960"/>
        <w:gridCol w:w="960"/>
        <w:gridCol w:w="960"/>
        <w:gridCol w:w="960"/>
        <w:gridCol w:w="960"/>
        <w:gridCol w:w="960"/>
      </w:tblGrid>
      <w:tr w:rsidR="00CB5F95" w:rsidRPr="00C533F9" w14:paraId="6994757E" w14:textId="77777777" w:rsidTr="00CB5F95">
        <w:trPr>
          <w:trHeight w:val="315"/>
        </w:trPr>
        <w:tc>
          <w:tcPr>
            <w:tcW w:w="2880" w:type="dxa"/>
            <w:tcBorders>
              <w:top w:val="single" w:sz="8" w:space="0" w:color="auto"/>
              <w:left w:val="nil"/>
              <w:bottom w:val="single" w:sz="8" w:space="0" w:color="auto"/>
              <w:right w:val="nil"/>
            </w:tcBorders>
            <w:shd w:val="clear" w:color="auto" w:fill="auto"/>
            <w:noWrap/>
            <w:vAlign w:val="center"/>
            <w:hideMark/>
          </w:tcPr>
          <w:p w14:paraId="3C742D07"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Glass series</w:t>
            </w:r>
          </w:p>
        </w:tc>
        <w:tc>
          <w:tcPr>
            <w:tcW w:w="2220" w:type="dxa"/>
            <w:tcBorders>
              <w:top w:val="single" w:sz="8" w:space="0" w:color="auto"/>
              <w:left w:val="nil"/>
              <w:bottom w:val="single" w:sz="8" w:space="0" w:color="auto"/>
              <w:right w:val="nil"/>
            </w:tcBorders>
            <w:shd w:val="clear" w:color="auto" w:fill="auto"/>
            <w:noWrap/>
            <w:vAlign w:val="center"/>
            <w:hideMark/>
          </w:tcPr>
          <w:p w14:paraId="4FF04BAB"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Label</w:t>
            </w:r>
          </w:p>
        </w:tc>
        <w:tc>
          <w:tcPr>
            <w:tcW w:w="1640" w:type="dxa"/>
            <w:tcBorders>
              <w:top w:val="single" w:sz="8" w:space="0" w:color="auto"/>
              <w:left w:val="nil"/>
              <w:bottom w:val="single" w:sz="8" w:space="0" w:color="auto"/>
              <w:right w:val="nil"/>
            </w:tcBorders>
            <w:shd w:val="clear" w:color="auto" w:fill="auto"/>
            <w:noWrap/>
            <w:vAlign w:val="center"/>
            <w:hideMark/>
          </w:tcPr>
          <w:p w14:paraId="5093CF10"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 </w:t>
            </w:r>
          </w:p>
        </w:tc>
        <w:tc>
          <w:tcPr>
            <w:tcW w:w="960" w:type="dxa"/>
            <w:tcBorders>
              <w:top w:val="single" w:sz="8" w:space="0" w:color="auto"/>
              <w:left w:val="nil"/>
              <w:bottom w:val="single" w:sz="8" w:space="0" w:color="auto"/>
              <w:right w:val="nil"/>
            </w:tcBorders>
            <w:shd w:val="clear" w:color="auto" w:fill="auto"/>
            <w:noWrap/>
            <w:vAlign w:val="center"/>
            <w:hideMark/>
          </w:tcPr>
          <w:p w14:paraId="517B80E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2</w:t>
            </w:r>
          </w:p>
        </w:tc>
        <w:tc>
          <w:tcPr>
            <w:tcW w:w="960" w:type="dxa"/>
            <w:tcBorders>
              <w:top w:val="single" w:sz="8" w:space="0" w:color="auto"/>
              <w:left w:val="nil"/>
              <w:bottom w:val="single" w:sz="8" w:space="0" w:color="auto"/>
              <w:right w:val="nil"/>
            </w:tcBorders>
            <w:shd w:val="clear" w:color="auto" w:fill="auto"/>
            <w:noWrap/>
            <w:vAlign w:val="center"/>
            <w:hideMark/>
          </w:tcPr>
          <w:p w14:paraId="0A0C69C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3</w:t>
            </w:r>
          </w:p>
        </w:tc>
        <w:tc>
          <w:tcPr>
            <w:tcW w:w="960" w:type="dxa"/>
            <w:tcBorders>
              <w:top w:val="single" w:sz="8" w:space="0" w:color="auto"/>
              <w:left w:val="nil"/>
              <w:bottom w:val="single" w:sz="8" w:space="0" w:color="auto"/>
              <w:right w:val="nil"/>
            </w:tcBorders>
            <w:shd w:val="clear" w:color="auto" w:fill="auto"/>
            <w:noWrap/>
            <w:vAlign w:val="center"/>
            <w:hideMark/>
          </w:tcPr>
          <w:p w14:paraId="1942743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3</w:t>
            </w:r>
          </w:p>
        </w:tc>
        <w:tc>
          <w:tcPr>
            <w:tcW w:w="960" w:type="dxa"/>
            <w:tcBorders>
              <w:top w:val="single" w:sz="8" w:space="0" w:color="auto"/>
              <w:left w:val="nil"/>
              <w:bottom w:val="single" w:sz="8" w:space="0" w:color="auto"/>
              <w:right w:val="nil"/>
            </w:tcBorders>
            <w:shd w:val="clear" w:color="auto" w:fill="auto"/>
            <w:noWrap/>
            <w:vAlign w:val="center"/>
            <w:hideMark/>
          </w:tcPr>
          <w:p w14:paraId="2571776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4</w:t>
            </w:r>
          </w:p>
        </w:tc>
        <w:tc>
          <w:tcPr>
            <w:tcW w:w="960" w:type="dxa"/>
            <w:tcBorders>
              <w:top w:val="single" w:sz="8" w:space="0" w:color="auto"/>
              <w:left w:val="nil"/>
              <w:bottom w:val="single" w:sz="8" w:space="0" w:color="auto"/>
              <w:right w:val="nil"/>
            </w:tcBorders>
            <w:shd w:val="clear" w:color="auto" w:fill="auto"/>
            <w:noWrap/>
            <w:vAlign w:val="center"/>
            <w:hideMark/>
          </w:tcPr>
          <w:p w14:paraId="0CFDF22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2</w:t>
            </w:r>
            <w:r w:rsidRPr="00C533F9">
              <w:rPr>
                <w:rFonts w:ascii="Calibri" w:eastAsia="Times New Roman" w:hAnsi="Calibri" w:cs="Times New Roman"/>
                <w:b w:val="0"/>
                <w:color w:val="000000"/>
                <w:sz w:val="20"/>
                <w:szCs w:val="20"/>
                <w:lang w:eastAsia="en-MY"/>
              </w:rPr>
              <w:t xml:space="preserve"> (%)</w:t>
            </w:r>
          </w:p>
        </w:tc>
        <w:tc>
          <w:tcPr>
            <w:tcW w:w="960" w:type="dxa"/>
            <w:tcBorders>
              <w:top w:val="single" w:sz="8" w:space="0" w:color="auto"/>
              <w:left w:val="nil"/>
              <w:bottom w:val="single" w:sz="8" w:space="0" w:color="auto"/>
              <w:right w:val="nil"/>
            </w:tcBorders>
            <w:shd w:val="clear" w:color="auto" w:fill="auto"/>
            <w:noWrap/>
            <w:vAlign w:val="center"/>
            <w:hideMark/>
          </w:tcPr>
          <w:p w14:paraId="053F65D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3</w:t>
            </w:r>
            <w:r w:rsidRPr="00C533F9">
              <w:rPr>
                <w:rFonts w:ascii="Calibri" w:eastAsia="Times New Roman" w:hAnsi="Calibri" w:cs="Times New Roman"/>
                <w:b w:val="0"/>
                <w:color w:val="000000"/>
                <w:sz w:val="20"/>
                <w:szCs w:val="20"/>
                <w:lang w:eastAsia="en-MY"/>
              </w:rPr>
              <w:t xml:space="preserve"> (%)</w:t>
            </w:r>
          </w:p>
        </w:tc>
        <w:tc>
          <w:tcPr>
            <w:tcW w:w="960" w:type="dxa"/>
            <w:tcBorders>
              <w:top w:val="single" w:sz="8" w:space="0" w:color="auto"/>
              <w:left w:val="nil"/>
              <w:bottom w:val="single" w:sz="8" w:space="0" w:color="auto"/>
              <w:right w:val="nil"/>
            </w:tcBorders>
            <w:shd w:val="clear" w:color="auto" w:fill="auto"/>
            <w:noWrap/>
            <w:vAlign w:val="center"/>
            <w:hideMark/>
          </w:tcPr>
          <w:p w14:paraId="6C3287E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 xml:space="preserve">4 </w:t>
            </w:r>
            <w:r w:rsidRPr="00C533F9">
              <w:rPr>
                <w:rFonts w:ascii="Calibri" w:eastAsia="Times New Roman" w:hAnsi="Calibri" w:cs="Times New Roman"/>
                <w:b w:val="0"/>
                <w:color w:val="000000"/>
                <w:sz w:val="20"/>
                <w:szCs w:val="20"/>
                <w:lang w:eastAsia="en-MY"/>
              </w:rPr>
              <w:t>(%)</w:t>
            </w:r>
          </w:p>
        </w:tc>
      </w:tr>
      <w:tr w:rsidR="00CB5F95" w:rsidRPr="00C533F9" w14:paraId="4A6FA078" w14:textId="77777777" w:rsidTr="00CB5F95">
        <w:trPr>
          <w:trHeight w:val="300"/>
        </w:trPr>
        <w:tc>
          <w:tcPr>
            <w:tcW w:w="2880" w:type="dxa"/>
            <w:vMerge w:val="restart"/>
            <w:tcBorders>
              <w:top w:val="nil"/>
              <w:left w:val="nil"/>
              <w:bottom w:val="single" w:sz="8" w:space="0" w:color="000000"/>
              <w:right w:val="nil"/>
            </w:tcBorders>
            <w:shd w:val="clear" w:color="auto" w:fill="auto"/>
            <w:noWrap/>
            <w:vAlign w:val="center"/>
            <w:hideMark/>
          </w:tcPr>
          <w:p w14:paraId="7F6C552F"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x</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15-x</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2220" w:type="dxa"/>
            <w:tcBorders>
              <w:top w:val="nil"/>
              <w:left w:val="nil"/>
              <w:bottom w:val="nil"/>
              <w:right w:val="nil"/>
            </w:tcBorders>
            <w:shd w:val="clear" w:color="auto" w:fill="auto"/>
            <w:noWrap/>
            <w:vAlign w:val="bottom"/>
            <w:hideMark/>
          </w:tcPr>
          <w:p w14:paraId="7A0CFA49"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7.5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7.5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1640" w:type="dxa"/>
            <w:tcBorders>
              <w:top w:val="nil"/>
              <w:left w:val="nil"/>
              <w:bottom w:val="nil"/>
              <w:right w:val="nil"/>
            </w:tcBorders>
            <w:shd w:val="clear" w:color="auto" w:fill="auto"/>
            <w:noWrap/>
            <w:vAlign w:val="center"/>
            <w:hideMark/>
          </w:tcPr>
          <w:p w14:paraId="5EEAB96E"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6DD894F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0.18</w:t>
            </w:r>
          </w:p>
        </w:tc>
        <w:tc>
          <w:tcPr>
            <w:tcW w:w="960" w:type="dxa"/>
            <w:tcBorders>
              <w:top w:val="nil"/>
              <w:left w:val="nil"/>
              <w:bottom w:val="nil"/>
              <w:right w:val="nil"/>
            </w:tcBorders>
            <w:shd w:val="clear" w:color="auto" w:fill="auto"/>
            <w:noWrap/>
            <w:vAlign w:val="center"/>
            <w:hideMark/>
          </w:tcPr>
          <w:p w14:paraId="28D89A8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0.38</w:t>
            </w:r>
          </w:p>
        </w:tc>
        <w:tc>
          <w:tcPr>
            <w:tcW w:w="960" w:type="dxa"/>
            <w:tcBorders>
              <w:top w:val="nil"/>
              <w:left w:val="nil"/>
              <w:bottom w:val="nil"/>
              <w:right w:val="nil"/>
            </w:tcBorders>
            <w:shd w:val="clear" w:color="auto" w:fill="auto"/>
            <w:noWrap/>
            <w:vAlign w:val="center"/>
            <w:hideMark/>
          </w:tcPr>
          <w:p w14:paraId="18AE221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0.24</w:t>
            </w:r>
          </w:p>
        </w:tc>
        <w:tc>
          <w:tcPr>
            <w:tcW w:w="960" w:type="dxa"/>
            <w:tcBorders>
              <w:top w:val="nil"/>
              <w:left w:val="nil"/>
              <w:bottom w:val="nil"/>
              <w:right w:val="nil"/>
            </w:tcBorders>
            <w:shd w:val="clear" w:color="auto" w:fill="auto"/>
            <w:noWrap/>
            <w:vAlign w:val="center"/>
            <w:hideMark/>
          </w:tcPr>
          <w:p w14:paraId="6B5F74E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0.16</w:t>
            </w:r>
          </w:p>
        </w:tc>
        <w:tc>
          <w:tcPr>
            <w:tcW w:w="960" w:type="dxa"/>
            <w:tcBorders>
              <w:top w:val="nil"/>
              <w:left w:val="nil"/>
              <w:bottom w:val="nil"/>
              <w:right w:val="nil"/>
            </w:tcBorders>
            <w:shd w:val="clear" w:color="auto" w:fill="auto"/>
            <w:noWrap/>
            <w:vAlign w:val="center"/>
            <w:hideMark/>
          </w:tcPr>
          <w:p w14:paraId="4815590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18.33</w:t>
            </w:r>
          </w:p>
        </w:tc>
        <w:tc>
          <w:tcPr>
            <w:tcW w:w="960" w:type="dxa"/>
            <w:tcBorders>
              <w:top w:val="nil"/>
              <w:left w:val="nil"/>
              <w:bottom w:val="nil"/>
              <w:right w:val="nil"/>
            </w:tcBorders>
            <w:shd w:val="clear" w:color="auto" w:fill="auto"/>
            <w:noWrap/>
            <w:vAlign w:val="center"/>
            <w:hideMark/>
          </w:tcPr>
          <w:p w14:paraId="76052C8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64.46</w:t>
            </w:r>
          </w:p>
        </w:tc>
        <w:tc>
          <w:tcPr>
            <w:tcW w:w="960" w:type="dxa"/>
            <w:tcBorders>
              <w:top w:val="nil"/>
              <w:left w:val="nil"/>
              <w:bottom w:val="nil"/>
              <w:right w:val="nil"/>
            </w:tcBorders>
            <w:shd w:val="clear" w:color="auto" w:fill="auto"/>
            <w:noWrap/>
            <w:vAlign w:val="center"/>
            <w:hideMark/>
          </w:tcPr>
          <w:p w14:paraId="3F8AC9E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17.21</w:t>
            </w:r>
          </w:p>
        </w:tc>
      </w:tr>
      <w:tr w:rsidR="00CB5F95" w:rsidRPr="00C533F9" w14:paraId="242717FE" w14:textId="77777777" w:rsidTr="00CB5F95">
        <w:trPr>
          <w:trHeight w:val="300"/>
        </w:trPr>
        <w:tc>
          <w:tcPr>
            <w:tcW w:w="2880" w:type="dxa"/>
            <w:vMerge/>
            <w:tcBorders>
              <w:top w:val="nil"/>
              <w:left w:val="nil"/>
              <w:bottom w:val="single" w:sz="8" w:space="0" w:color="000000"/>
              <w:right w:val="nil"/>
            </w:tcBorders>
            <w:vAlign w:val="center"/>
            <w:hideMark/>
          </w:tcPr>
          <w:p w14:paraId="376BEC5E"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nil"/>
              <w:right w:val="nil"/>
            </w:tcBorders>
            <w:shd w:val="clear" w:color="auto" w:fill="auto"/>
            <w:noWrap/>
            <w:vAlign w:val="center"/>
            <w:hideMark/>
          </w:tcPr>
          <w:p w14:paraId="4257A4A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640" w:type="dxa"/>
            <w:tcBorders>
              <w:top w:val="nil"/>
              <w:left w:val="nil"/>
              <w:bottom w:val="nil"/>
              <w:right w:val="nil"/>
            </w:tcBorders>
            <w:shd w:val="clear" w:color="auto" w:fill="auto"/>
            <w:noWrap/>
            <w:vAlign w:val="center"/>
            <w:hideMark/>
          </w:tcPr>
          <w:p w14:paraId="3754274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3272D63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949.08</w:t>
            </w:r>
          </w:p>
        </w:tc>
        <w:tc>
          <w:tcPr>
            <w:tcW w:w="960" w:type="dxa"/>
            <w:tcBorders>
              <w:top w:val="nil"/>
              <w:left w:val="nil"/>
              <w:bottom w:val="nil"/>
              <w:right w:val="nil"/>
            </w:tcBorders>
            <w:shd w:val="clear" w:color="auto" w:fill="auto"/>
            <w:noWrap/>
            <w:vAlign w:val="center"/>
            <w:hideMark/>
          </w:tcPr>
          <w:p w14:paraId="7A918BA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1036.97</w:t>
            </w:r>
          </w:p>
        </w:tc>
        <w:tc>
          <w:tcPr>
            <w:tcW w:w="960" w:type="dxa"/>
            <w:tcBorders>
              <w:top w:val="nil"/>
              <w:left w:val="nil"/>
              <w:bottom w:val="nil"/>
              <w:right w:val="nil"/>
            </w:tcBorders>
            <w:shd w:val="clear" w:color="auto" w:fill="auto"/>
            <w:noWrap/>
            <w:vAlign w:val="center"/>
            <w:hideMark/>
          </w:tcPr>
          <w:p w14:paraId="3CA8111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1091.18</w:t>
            </w:r>
          </w:p>
        </w:tc>
        <w:tc>
          <w:tcPr>
            <w:tcW w:w="960" w:type="dxa"/>
            <w:tcBorders>
              <w:top w:val="nil"/>
              <w:left w:val="nil"/>
              <w:bottom w:val="nil"/>
              <w:right w:val="nil"/>
            </w:tcBorders>
            <w:shd w:val="clear" w:color="auto" w:fill="auto"/>
            <w:noWrap/>
            <w:vAlign w:val="center"/>
            <w:hideMark/>
          </w:tcPr>
          <w:p w14:paraId="16A45D7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1154.83</w:t>
            </w:r>
          </w:p>
        </w:tc>
        <w:tc>
          <w:tcPr>
            <w:tcW w:w="960" w:type="dxa"/>
            <w:tcBorders>
              <w:top w:val="nil"/>
              <w:left w:val="nil"/>
              <w:bottom w:val="nil"/>
              <w:right w:val="nil"/>
            </w:tcBorders>
            <w:shd w:val="clear" w:color="auto" w:fill="auto"/>
            <w:noWrap/>
            <w:vAlign w:val="center"/>
            <w:hideMark/>
          </w:tcPr>
          <w:p w14:paraId="3AA2B4B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0EFA9397"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3DFCBE8E"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7304BD67" w14:textId="77777777" w:rsidTr="00CB5F95">
        <w:trPr>
          <w:trHeight w:val="300"/>
        </w:trPr>
        <w:tc>
          <w:tcPr>
            <w:tcW w:w="2880" w:type="dxa"/>
            <w:vMerge/>
            <w:tcBorders>
              <w:top w:val="nil"/>
              <w:left w:val="nil"/>
              <w:bottom w:val="single" w:sz="8" w:space="0" w:color="000000"/>
              <w:right w:val="nil"/>
            </w:tcBorders>
            <w:vAlign w:val="center"/>
            <w:hideMark/>
          </w:tcPr>
          <w:p w14:paraId="0AD02CEA"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nil"/>
              <w:right w:val="nil"/>
            </w:tcBorders>
            <w:shd w:val="clear" w:color="auto" w:fill="auto"/>
            <w:noWrap/>
            <w:vAlign w:val="bottom"/>
            <w:hideMark/>
          </w:tcPr>
          <w:p w14:paraId="6F57C4FA" w14:textId="77777777" w:rsidR="00CB5F95" w:rsidRPr="00C533F9" w:rsidRDefault="00CB5F95" w:rsidP="00CB5F95">
            <w:pPr>
              <w:spacing w:after="0" w:line="240" w:lineRule="auto"/>
              <w:rPr>
                <w:rFonts w:eastAsia="Times New Roman" w:cs="Times New Roman"/>
                <w:b w:val="0"/>
                <w:color w:val="000000"/>
                <w:sz w:val="20"/>
                <w:szCs w:val="20"/>
                <w:lang w:eastAsia="en-MY"/>
              </w:rPr>
            </w:pPr>
            <w:bookmarkStart w:id="1045" w:name="_Hlk12304002"/>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bookmarkEnd w:id="1045"/>
          </w:p>
        </w:tc>
        <w:tc>
          <w:tcPr>
            <w:tcW w:w="1640" w:type="dxa"/>
            <w:tcBorders>
              <w:top w:val="nil"/>
              <w:left w:val="nil"/>
              <w:bottom w:val="nil"/>
              <w:right w:val="nil"/>
            </w:tcBorders>
            <w:shd w:val="clear" w:color="auto" w:fill="auto"/>
            <w:noWrap/>
            <w:vAlign w:val="center"/>
            <w:hideMark/>
          </w:tcPr>
          <w:p w14:paraId="152C9EF6"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6BDB0BD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0.17</w:t>
            </w:r>
          </w:p>
        </w:tc>
        <w:tc>
          <w:tcPr>
            <w:tcW w:w="960" w:type="dxa"/>
            <w:tcBorders>
              <w:top w:val="nil"/>
              <w:left w:val="nil"/>
              <w:bottom w:val="nil"/>
              <w:right w:val="nil"/>
            </w:tcBorders>
            <w:shd w:val="clear" w:color="auto" w:fill="auto"/>
            <w:noWrap/>
            <w:vAlign w:val="center"/>
            <w:hideMark/>
          </w:tcPr>
          <w:p w14:paraId="4D6169E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0.35</w:t>
            </w:r>
          </w:p>
        </w:tc>
        <w:tc>
          <w:tcPr>
            <w:tcW w:w="960" w:type="dxa"/>
            <w:tcBorders>
              <w:top w:val="nil"/>
              <w:left w:val="nil"/>
              <w:bottom w:val="nil"/>
              <w:right w:val="nil"/>
            </w:tcBorders>
            <w:shd w:val="clear" w:color="auto" w:fill="auto"/>
            <w:noWrap/>
            <w:vAlign w:val="center"/>
            <w:hideMark/>
          </w:tcPr>
          <w:p w14:paraId="2D29A60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0.28</w:t>
            </w:r>
          </w:p>
        </w:tc>
        <w:tc>
          <w:tcPr>
            <w:tcW w:w="960" w:type="dxa"/>
            <w:tcBorders>
              <w:top w:val="nil"/>
              <w:left w:val="nil"/>
              <w:bottom w:val="nil"/>
              <w:right w:val="nil"/>
            </w:tcBorders>
            <w:shd w:val="clear" w:color="auto" w:fill="auto"/>
            <w:noWrap/>
            <w:vAlign w:val="center"/>
            <w:hideMark/>
          </w:tcPr>
          <w:p w14:paraId="31D2465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0.15</w:t>
            </w:r>
          </w:p>
        </w:tc>
        <w:tc>
          <w:tcPr>
            <w:tcW w:w="960" w:type="dxa"/>
            <w:tcBorders>
              <w:top w:val="nil"/>
              <w:left w:val="nil"/>
              <w:bottom w:val="nil"/>
              <w:right w:val="nil"/>
            </w:tcBorders>
            <w:shd w:val="clear" w:color="auto" w:fill="auto"/>
            <w:noWrap/>
            <w:vAlign w:val="center"/>
            <w:hideMark/>
          </w:tcPr>
          <w:p w14:paraId="6AE1202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17.84</w:t>
            </w:r>
          </w:p>
        </w:tc>
        <w:tc>
          <w:tcPr>
            <w:tcW w:w="960" w:type="dxa"/>
            <w:tcBorders>
              <w:top w:val="nil"/>
              <w:left w:val="nil"/>
              <w:bottom w:val="nil"/>
              <w:right w:val="nil"/>
            </w:tcBorders>
            <w:shd w:val="clear" w:color="auto" w:fill="auto"/>
            <w:noWrap/>
            <w:vAlign w:val="center"/>
            <w:hideMark/>
          </w:tcPr>
          <w:p w14:paraId="599AE92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66.65</w:t>
            </w:r>
          </w:p>
        </w:tc>
        <w:tc>
          <w:tcPr>
            <w:tcW w:w="960" w:type="dxa"/>
            <w:tcBorders>
              <w:top w:val="nil"/>
              <w:left w:val="nil"/>
              <w:bottom w:val="nil"/>
              <w:right w:val="nil"/>
            </w:tcBorders>
            <w:shd w:val="clear" w:color="auto" w:fill="auto"/>
            <w:noWrap/>
            <w:vAlign w:val="center"/>
            <w:hideMark/>
          </w:tcPr>
          <w:p w14:paraId="26F07D5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15.51</w:t>
            </w:r>
          </w:p>
        </w:tc>
      </w:tr>
      <w:tr w:rsidR="00CB5F95" w:rsidRPr="00C533F9" w14:paraId="64686FFE" w14:textId="77777777" w:rsidTr="00CB5F95">
        <w:trPr>
          <w:trHeight w:val="300"/>
        </w:trPr>
        <w:tc>
          <w:tcPr>
            <w:tcW w:w="2880" w:type="dxa"/>
            <w:vMerge/>
            <w:tcBorders>
              <w:top w:val="nil"/>
              <w:left w:val="nil"/>
              <w:bottom w:val="single" w:sz="8" w:space="0" w:color="000000"/>
              <w:right w:val="nil"/>
            </w:tcBorders>
            <w:vAlign w:val="center"/>
            <w:hideMark/>
          </w:tcPr>
          <w:p w14:paraId="17E319F9"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nil"/>
              <w:right w:val="nil"/>
            </w:tcBorders>
            <w:shd w:val="clear" w:color="auto" w:fill="auto"/>
            <w:noWrap/>
            <w:vAlign w:val="center"/>
            <w:hideMark/>
          </w:tcPr>
          <w:p w14:paraId="7E681B2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640" w:type="dxa"/>
            <w:tcBorders>
              <w:top w:val="nil"/>
              <w:left w:val="nil"/>
              <w:bottom w:val="nil"/>
              <w:right w:val="nil"/>
            </w:tcBorders>
            <w:shd w:val="clear" w:color="auto" w:fill="auto"/>
            <w:noWrap/>
            <w:vAlign w:val="center"/>
            <w:hideMark/>
          </w:tcPr>
          <w:p w14:paraId="7AE7969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2189FC4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948.01</w:t>
            </w:r>
          </w:p>
        </w:tc>
        <w:tc>
          <w:tcPr>
            <w:tcW w:w="960" w:type="dxa"/>
            <w:tcBorders>
              <w:top w:val="nil"/>
              <w:left w:val="nil"/>
              <w:bottom w:val="nil"/>
              <w:right w:val="nil"/>
            </w:tcBorders>
            <w:shd w:val="clear" w:color="auto" w:fill="auto"/>
            <w:noWrap/>
            <w:vAlign w:val="center"/>
            <w:hideMark/>
          </w:tcPr>
          <w:p w14:paraId="459ED66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1040.06</w:t>
            </w:r>
          </w:p>
        </w:tc>
        <w:tc>
          <w:tcPr>
            <w:tcW w:w="960" w:type="dxa"/>
            <w:tcBorders>
              <w:top w:val="nil"/>
              <w:left w:val="nil"/>
              <w:bottom w:val="nil"/>
              <w:right w:val="nil"/>
            </w:tcBorders>
            <w:shd w:val="clear" w:color="auto" w:fill="auto"/>
            <w:noWrap/>
            <w:vAlign w:val="center"/>
            <w:hideMark/>
          </w:tcPr>
          <w:p w14:paraId="7994EFC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1088.74</w:t>
            </w:r>
          </w:p>
        </w:tc>
        <w:tc>
          <w:tcPr>
            <w:tcW w:w="960" w:type="dxa"/>
            <w:tcBorders>
              <w:top w:val="nil"/>
              <w:left w:val="nil"/>
              <w:bottom w:val="nil"/>
              <w:right w:val="nil"/>
            </w:tcBorders>
            <w:shd w:val="clear" w:color="auto" w:fill="auto"/>
            <w:noWrap/>
            <w:vAlign w:val="center"/>
            <w:hideMark/>
          </w:tcPr>
          <w:p w14:paraId="61BECF5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1158.55</w:t>
            </w:r>
          </w:p>
        </w:tc>
        <w:tc>
          <w:tcPr>
            <w:tcW w:w="960" w:type="dxa"/>
            <w:tcBorders>
              <w:top w:val="nil"/>
              <w:left w:val="nil"/>
              <w:bottom w:val="nil"/>
              <w:right w:val="nil"/>
            </w:tcBorders>
            <w:shd w:val="clear" w:color="auto" w:fill="auto"/>
            <w:noWrap/>
            <w:vAlign w:val="center"/>
            <w:hideMark/>
          </w:tcPr>
          <w:p w14:paraId="70257C7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6925F4F1"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7032B576"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493CACDA" w14:textId="77777777" w:rsidTr="00CB5F95">
        <w:trPr>
          <w:trHeight w:val="300"/>
        </w:trPr>
        <w:tc>
          <w:tcPr>
            <w:tcW w:w="2880" w:type="dxa"/>
            <w:vMerge/>
            <w:tcBorders>
              <w:top w:val="nil"/>
              <w:left w:val="nil"/>
              <w:bottom w:val="single" w:sz="8" w:space="0" w:color="000000"/>
              <w:right w:val="nil"/>
            </w:tcBorders>
            <w:vAlign w:val="center"/>
            <w:hideMark/>
          </w:tcPr>
          <w:p w14:paraId="159D547E"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nil"/>
              <w:right w:val="nil"/>
            </w:tcBorders>
            <w:shd w:val="clear" w:color="auto" w:fill="auto"/>
            <w:noWrap/>
            <w:vAlign w:val="bottom"/>
            <w:hideMark/>
          </w:tcPr>
          <w:p w14:paraId="4FBF2ADB"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12.5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2.5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1640" w:type="dxa"/>
            <w:tcBorders>
              <w:top w:val="nil"/>
              <w:left w:val="nil"/>
              <w:bottom w:val="nil"/>
              <w:right w:val="nil"/>
            </w:tcBorders>
            <w:shd w:val="clear" w:color="auto" w:fill="auto"/>
            <w:noWrap/>
            <w:vAlign w:val="center"/>
            <w:hideMark/>
          </w:tcPr>
          <w:p w14:paraId="73DBFF87"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59E6D46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0.19</w:t>
            </w:r>
          </w:p>
        </w:tc>
        <w:tc>
          <w:tcPr>
            <w:tcW w:w="960" w:type="dxa"/>
            <w:tcBorders>
              <w:top w:val="nil"/>
              <w:left w:val="nil"/>
              <w:bottom w:val="nil"/>
              <w:right w:val="nil"/>
            </w:tcBorders>
            <w:shd w:val="clear" w:color="auto" w:fill="auto"/>
            <w:noWrap/>
            <w:vAlign w:val="center"/>
            <w:hideMark/>
          </w:tcPr>
          <w:p w14:paraId="0770598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0.39</w:t>
            </w:r>
          </w:p>
        </w:tc>
        <w:tc>
          <w:tcPr>
            <w:tcW w:w="960" w:type="dxa"/>
            <w:tcBorders>
              <w:top w:val="nil"/>
              <w:left w:val="nil"/>
              <w:bottom w:val="nil"/>
              <w:right w:val="nil"/>
            </w:tcBorders>
            <w:shd w:val="clear" w:color="auto" w:fill="auto"/>
            <w:noWrap/>
            <w:vAlign w:val="center"/>
            <w:hideMark/>
          </w:tcPr>
          <w:p w14:paraId="7C265FA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0.22</w:t>
            </w:r>
          </w:p>
        </w:tc>
        <w:tc>
          <w:tcPr>
            <w:tcW w:w="960" w:type="dxa"/>
            <w:tcBorders>
              <w:top w:val="nil"/>
              <w:left w:val="nil"/>
              <w:bottom w:val="nil"/>
              <w:right w:val="nil"/>
            </w:tcBorders>
            <w:shd w:val="clear" w:color="auto" w:fill="auto"/>
            <w:noWrap/>
            <w:vAlign w:val="center"/>
            <w:hideMark/>
          </w:tcPr>
          <w:p w14:paraId="6730C04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0.16</w:t>
            </w:r>
          </w:p>
        </w:tc>
        <w:tc>
          <w:tcPr>
            <w:tcW w:w="960" w:type="dxa"/>
            <w:tcBorders>
              <w:top w:val="nil"/>
              <w:left w:val="nil"/>
              <w:bottom w:val="nil"/>
              <w:right w:val="nil"/>
            </w:tcBorders>
            <w:shd w:val="clear" w:color="auto" w:fill="auto"/>
            <w:noWrap/>
            <w:vAlign w:val="center"/>
            <w:hideMark/>
          </w:tcPr>
          <w:p w14:paraId="544CE3D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19.49</w:t>
            </w:r>
          </w:p>
        </w:tc>
        <w:tc>
          <w:tcPr>
            <w:tcW w:w="960" w:type="dxa"/>
            <w:tcBorders>
              <w:top w:val="nil"/>
              <w:left w:val="nil"/>
              <w:bottom w:val="nil"/>
              <w:right w:val="nil"/>
            </w:tcBorders>
            <w:shd w:val="clear" w:color="auto" w:fill="auto"/>
            <w:noWrap/>
            <w:vAlign w:val="center"/>
            <w:hideMark/>
          </w:tcPr>
          <w:p w14:paraId="24CE9C7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64.13</w:t>
            </w:r>
          </w:p>
        </w:tc>
        <w:tc>
          <w:tcPr>
            <w:tcW w:w="960" w:type="dxa"/>
            <w:tcBorders>
              <w:top w:val="nil"/>
              <w:left w:val="nil"/>
              <w:bottom w:val="nil"/>
              <w:right w:val="nil"/>
            </w:tcBorders>
            <w:shd w:val="clear" w:color="auto" w:fill="auto"/>
            <w:noWrap/>
            <w:vAlign w:val="center"/>
            <w:hideMark/>
          </w:tcPr>
          <w:p w14:paraId="2555020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16.37</w:t>
            </w:r>
          </w:p>
        </w:tc>
      </w:tr>
      <w:tr w:rsidR="00CB5F95" w:rsidRPr="00C533F9" w14:paraId="1933074A" w14:textId="77777777" w:rsidTr="00CB5F95">
        <w:trPr>
          <w:trHeight w:val="315"/>
        </w:trPr>
        <w:tc>
          <w:tcPr>
            <w:tcW w:w="2880" w:type="dxa"/>
            <w:vMerge/>
            <w:tcBorders>
              <w:top w:val="nil"/>
              <w:left w:val="nil"/>
              <w:bottom w:val="single" w:sz="8" w:space="0" w:color="000000"/>
              <w:right w:val="nil"/>
            </w:tcBorders>
            <w:vAlign w:val="center"/>
            <w:hideMark/>
          </w:tcPr>
          <w:p w14:paraId="37BFF1E6"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single" w:sz="8" w:space="0" w:color="auto"/>
              <w:right w:val="nil"/>
            </w:tcBorders>
            <w:shd w:val="clear" w:color="auto" w:fill="auto"/>
            <w:noWrap/>
            <w:vAlign w:val="center"/>
            <w:hideMark/>
          </w:tcPr>
          <w:p w14:paraId="59AFE21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1640" w:type="dxa"/>
            <w:tcBorders>
              <w:top w:val="nil"/>
              <w:left w:val="nil"/>
              <w:bottom w:val="single" w:sz="8" w:space="0" w:color="auto"/>
              <w:right w:val="nil"/>
            </w:tcBorders>
            <w:shd w:val="clear" w:color="auto" w:fill="auto"/>
            <w:noWrap/>
            <w:vAlign w:val="center"/>
            <w:hideMark/>
          </w:tcPr>
          <w:p w14:paraId="4B80740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single" w:sz="8" w:space="0" w:color="auto"/>
              <w:right w:val="nil"/>
            </w:tcBorders>
            <w:shd w:val="clear" w:color="auto" w:fill="auto"/>
            <w:noWrap/>
            <w:vAlign w:val="center"/>
            <w:hideMark/>
          </w:tcPr>
          <w:p w14:paraId="19EFFFD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942</w:t>
            </w:r>
          </w:p>
        </w:tc>
        <w:tc>
          <w:tcPr>
            <w:tcW w:w="960" w:type="dxa"/>
            <w:tcBorders>
              <w:top w:val="nil"/>
              <w:left w:val="nil"/>
              <w:bottom w:val="single" w:sz="8" w:space="0" w:color="auto"/>
              <w:right w:val="nil"/>
            </w:tcBorders>
            <w:shd w:val="clear" w:color="auto" w:fill="auto"/>
            <w:noWrap/>
            <w:vAlign w:val="center"/>
            <w:hideMark/>
          </w:tcPr>
          <w:p w14:paraId="2735D58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1046.8</w:t>
            </w:r>
          </w:p>
        </w:tc>
        <w:tc>
          <w:tcPr>
            <w:tcW w:w="960" w:type="dxa"/>
            <w:tcBorders>
              <w:top w:val="nil"/>
              <w:left w:val="nil"/>
              <w:bottom w:val="single" w:sz="8" w:space="0" w:color="auto"/>
              <w:right w:val="nil"/>
            </w:tcBorders>
            <w:shd w:val="clear" w:color="auto" w:fill="auto"/>
            <w:noWrap/>
            <w:vAlign w:val="center"/>
            <w:hideMark/>
          </w:tcPr>
          <w:p w14:paraId="574CBB3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1090.95</w:t>
            </w:r>
          </w:p>
        </w:tc>
        <w:tc>
          <w:tcPr>
            <w:tcW w:w="960" w:type="dxa"/>
            <w:tcBorders>
              <w:top w:val="nil"/>
              <w:left w:val="nil"/>
              <w:bottom w:val="single" w:sz="8" w:space="0" w:color="auto"/>
              <w:right w:val="nil"/>
            </w:tcBorders>
            <w:shd w:val="clear" w:color="auto" w:fill="auto"/>
            <w:noWrap/>
            <w:vAlign w:val="center"/>
            <w:hideMark/>
          </w:tcPr>
          <w:p w14:paraId="35B7D2E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1156.7</w:t>
            </w:r>
          </w:p>
        </w:tc>
        <w:tc>
          <w:tcPr>
            <w:tcW w:w="960" w:type="dxa"/>
            <w:tcBorders>
              <w:top w:val="nil"/>
              <w:left w:val="nil"/>
              <w:bottom w:val="single" w:sz="8" w:space="0" w:color="auto"/>
              <w:right w:val="nil"/>
            </w:tcBorders>
            <w:shd w:val="clear" w:color="auto" w:fill="auto"/>
            <w:noWrap/>
            <w:vAlign w:val="center"/>
            <w:hideMark/>
          </w:tcPr>
          <w:p w14:paraId="682397A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387EAFE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6F2FD60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r>
      <w:tr w:rsidR="00CB5F95" w:rsidRPr="00C533F9" w14:paraId="11893F30" w14:textId="77777777" w:rsidTr="00CB5F95">
        <w:trPr>
          <w:trHeight w:val="300"/>
        </w:trPr>
        <w:tc>
          <w:tcPr>
            <w:tcW w:w="2880" w:type="dxa"/>
            <w:vMerge w:val="restart"/>
            <w:tcBorders>
              <w:top w:val="nil"/>
              <w:left w:val="nil"/>
              <w:bottom w:val="single" w:sz="8" w:space="0" w:color="000000"/>
              <w:right w:val="nil"/>
            </w:tcBorders>
            <w:shd w:val="clear" w:color="auto" w:fill="auto"/>
            <w:noWrap/>
            <w:vAlign w:val="center"/>
            <w:hideMark/>
          </w:tcPr>
          <w:p w14:paraId="55AB6AA3"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Ba</w:t>
            </w:r>
            <w:r w:rsidRPr="00C533F9">
              <w:rPr>
                <w:rFonts w:eastAsia="Times New Roman" w:cs="Times New Roman"/>
                <w:b w:val="0"/>
                <w:color w:val="000000"/>
                <w:sz w:val="20"/>
                <w:szCs w:val="20"/>
                <w:vertAlign w:val="subscript"/>
                <w:lang w:eastAsia="en-MY"/>
              </w:rPr>
              <w:t>x</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15-x</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2220" w:type="dxa"/>
            <w:tcBorders>
              <w:top w:val="nil"/>
              <w:left w:val="nil"/>
              <w:bottom w:val="nil"/>
              <w:right w:val="nil"/>
            </w:tcBorders>
            <w:shd w:val="clear" w:color="auto" w:fill="auto"/>
            <w:noWrap/>
            <w:vAlign w:val="bottom"/>
            <w:hideMark/>
          </w:tcPr>
          <w:p w14:paraId="2C26D75E"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Ba</w:t>
            </w:r>
            <w:r w:rsidRPr="00C533F9">
              <w:rPr>
                <w:rFonts w:eastAsia="Times New Roman" w:cs="Times New Roman"/>
                <w:b w:val="0"/>
                <w:color w:val="000000"/>
                <w:sz w:val="20"/>
                <w:szCs w:val="20"/>
                <w:vertAlign w:val="subscript"/>
                <w:lang w:eastAsia="en-MY"/>
              </w:rPr>
              <w:t>7.5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7.5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1640" w:type="dxa"/>
            <w:tcBorders>
              <w:top w:val="nil"/>
              <w:left w:val="nil"/>
              <w:bottom w:val="nil"/>
              <w:right w:val="nil"/>
            </w:tcBorders>
            <w:shd w:val="clear" w:color="auto" w:fill="auto"/>
            <w:noWrap/>
            <w:vAlign w:val="center"/>
            <w:hideMark/>
          </w:tcPr>
          <w:p w14:paraId="6920F70E"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30B2BFF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0.15</w:t>
            </w:r>
          </w:p>
        </w:tc>
        <w:tc>
          <w:tcPr>
            <w:tcW w:w="960" w:type="dxa"/>
            <w:tcBorders>
              <w:top w:val="nil"/>
              <w:left w:val="nil"/>
              <w:bottom w:val="nil"/>
              <w:right w:val="nil"/>
            </w:tcBorders>
            <w:shd w:val="clear" w:color="auto" w:fill="auto"/>
            <w:noWrap/>
            <w:vAlign w:val="center"/>
            <w:hideMark/>
          </w:tcPr>
          <w:p w14:paraId="547BEF9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0.39</w:t>
            </w:r>
          </w:p>
        </w:tc>
        <w:tc>
          <w:tcPr>
            <w:tcW w:w="960" w:type="dxa"/>
            <w:tcBorders>
              <w:top w:val="nil"/>
              <w:left w:val="nil"/>
              <w:bottom w:val="nil"/>
              <w:right w:val="nil"/>
            </w:tcBorders>
            <w:shd w:val="clear" w:color="auto" w:fill="auto"/>
            <w:noWrap/>
            <w:vAlign w:val="center"/>
            <w:hideMark/>
          </w:tcPr>
          <w:p w14:paraId="31A3C49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0.28</w:t>
            </w:r>
          </w:p>
        </w:tc>
        <w:tc>
          <w:tcPr>
            <w:tcW w:w="960" w:type="dxa"/>
            <w:tcBorders>
              <w:top w:val="nil"/>
              <w:left w:val="nil"/>
              <w:bottom w:val="nil"/>
              <w:right w:val="nil"/>
            </w:tcBorders>
            <w:shd w:val="clear" w:color="auto" w:fill="auto"/>
            <w:noWrap/>
            <w:vAlign w:val="center"/>
            <w:hideMark/>
          </w:tcPr>
          <w:p w14:paraId="72BA4A1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0.11</w:t>
            </w:r>
          </w:p>
        </w:tc>
        <w:tc>
          <w:tcPr>
            <w:tcW w:w="960" w:type="dxa"/>
            <w:tcBorders>
              <w:top w:val="nil"/>
              <w:left w:val="nil"/>
              <w:bottom w:val="nil"/>
              <w:right w:val="nil"/>
            </w:tcBorders>
            <w:shd w:val="clear" w:color="auto" w:fill="auto"/>
            <w:noWrap/>
            <w:vAlign w:val="center"/>
            <w:hideMark/>
          </w:tcPr>
          <w:p w14:paraId="6FB9681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15.84</w:t>
            </w:r>
          </w:p>
        </w:tc>
        <w:tc>
          <w:tcPr>
            <w:tcW w:w="960" w:type="dxa"/>
            <w:tcBorders>
              <w:top w:val="nil"/>
              <w:left w:val="nil"/>
              <w:bottom w:val="nil"/>
              <w:right w:val="nil"/>
            </w:tcBorders>
            <w:shd w:val="clear" w:color="auto" w:fill="auto"/>
            <w:noWrap/>
            <w:vAlign w:val="center"/>
            <w:hideMark/>
          </w:tcPr>
          <w:p w14:paraId="36DC01D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72.66</w:t>
            </w:r>
          </w:p>
        </w:tc>
        <w:tc>
          <w:tcPr>
            <w:tcW w:w="960" w:type="dxa"/>
            <w:tcBorders>
              <w:top w:val="nil"/>
              <w:left w:val="nil"/>
              <w:bottom w:val="nil"/>
              <w:right w:val="nil"/>
            </w:tcBorders>
            <w:shd w:val="clear" w:color="auto" w:fill="auto"/>
            <w:noWrap/>
            <w:vAlign w:val="center"/>
            <w:hideMark/>
          </w:tcPr>
          <w:p w14:paraId="314079B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11.49</w:t>
            </w:r>
          </w:p>
        </w:tc>
      </w:tr>
      <w:tr w:rsidR="00CB5F95" w:rsidRPr="00C533F9" w14:paraId="7FA6AB02" w14:textId="77777777" w:rsidTr="00CB5F95">
        <w:trPr>
          <w:trHeight w:val="300"/>
        </w:trPr>
        <w:tc>
          <w:tcPr>
            <w:tcW w:w="2880" w:type="dxa"/>
            <w:vMerge/>
            <w:tcBorders>
              <w:top w:val="nil"/>
              <w:left w:val="nil"/>
              <w:bottom w:val="single" w:sz="8" w:space="0" w:color="000000"/>
              <w:right w:val="nil"/>
            </w:tcBorders>
            <w:vAlign w:val="center"/>
            <w:hideMark/>
          </w:tcPr>
          <w:p w14:paraId="5949DDA4"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nil"/>
              <w:right w:val="nil"/>
            </w:tcBorders>
            <w:shd w:val="clear" w:color="auto" w:fill="auto"/>
            <w:noWrap/>
            <w:vAlign w:val="center"/>
            <w:hideMark/>
          </w:tcPr>
          <w:p w14:paraId="01C8C82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640" w:type="dxa"/>
            <w:tcBorders>
              <w:top w:val="nil"/>
              <w:left w:val="nil"/>
              <w:bottom w:val="nil"/>
              <w:right w:val="nil"/>
            </w:tcBorders>
            <w:shd w:val="clear" w:color="auto" w:fill="auto"/>
            <w:noWrap/>
            <w:vAlign w:val="center"/>
            <w:hideMark/>
          </w:tcPr>
          <w:p w14:paraId="0EB439E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331DCDF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939.2</w:t>
            </w:r>
          </w:p>
        </w:tc>
        <w:tc>
          <w:tcPr>
            <w:tcW w:w="960" w:type="dxa"/>
            <w:tcBorders>
              <w:top w:val="nil"/>
              <w:left w:val="nil"/>
              <w:bottom w:val="nil"/>
              <w:right w:val="nil"/>
            </w:tcBorders>
            <w:shd w:val="clear" w:color="auto" w:fill="auto"/>
            <w:noWrap/>
            <w:vAlign w:val="center"/>
            <w:hideMark/>
          </w:tcPr>
          <w:p w14:paraId="1973BAC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1034.62</w:t>
            </w:r>
          </w:p>
        </w:tc>
        <w:tc>
          <w:tcPr>
            <w:tcW w:w="960" w:type="dxa"/>
            <w:tcBorders>
              <w:top w:val="nil"/>
              <w:left w:val="nil"/>
              <w:bottom w:val="nil"/>
              <w:right w:val="nil"/>
            </w:tcBorders>
            <w:shd w:val="clear" w:color="auto" w:fill="auto"/>
            <w:noWrap/>
            <w:vAlign w:val="center"/>
            <w:hideMark/>
          </w:tcPr>
          <w:p w14:paraId="07D023C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1091.14</w:t>
            </w:r>
          </w:p>
        </w:tc>
        <w:tc>
          <w:tcPr>
            <w:tcW w:w="960" w:type="dxa"/>
            <w:tcBorders>
              <w:top w:val="nil"/>
              <w:left w:val="nil"/>
              <w:bottom w:val="nil"/>
              <w:right w:val="nil"/>
            </w:tcBorders>
            <w:shd w:val="clear" w:color="auto" w:fill="auto"/>
            <w:noWrap/>
            <w:vAlign w:val="center"/>
            <w:hideMark/>
          </w:tcPr>
          <w:p w14:paraId="56FA575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1163.88</w:t>
            </w:r>
          </w:p>
        </w:tc>
        <w:tc>
          <w:tcPr>
            <w:tcW w:w="960" w:type="dxa"/>
            <w:tcBorders>
              <w:top w:val="nil"/>
              <w:left w:val="nil"/>
              <w:bottom w:val="nil"/>
              <w:right w:val="nil"/>
            </w:tcBorders>
            <w:shd w:val="clear" w:color="auto" w:fill="auto"/>
            <w:noWrap/>
            <w:vAlign w:val="center"/>
            <w:hideMark/>
          </w:tcPr>
          <w:p w14:paraId="5CF4DB8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3897863E"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2805C015"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621D34D5" w14:textId="77777777" w:rsidTr="00CB5F95">
        <w:trPr>
          <w:trHeight w:val="300"/>
        </w:trPr>
        <w:tc>
          <w:tcPr>
            <w:tcW w:w="2880" w:type="dxa"/>
            <w:vMerge/>
            <w:tcBorders>
              <w:top w:val="nil"/>
              <w:left w:val="nil"/>
              <w:bottom w:val="single" w:sz="8" w:space="0" w:color="000000"/>
              <w:right w:val="nil"/>
            </w:tcBorders>
            <w:vAlign w:val="center"/>
            <w:hideMark/>
          </w:tcPr>
          <w:p w14:paraId="37FB7393"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nil"/>
              <w:right w:val="nil"/>
            </w:tcBorders>
            <w:shd w:val="clear" w:color="auto" w:fill="auto"/>
            <w:noWrap/>
            <w:vAlign w:val="bottom"/>
            <w:hideMark/>
          </w:tcPr>
          <w:p w14:paraId="448D8E04" w14:textId="77777777" w:rsidR="00CB5F95" w:rsidRPr="00C533F9" w:rsidRDefault="00CB5F95" w:rsidP="00CB5F95">
            <w:pPr>
              <w:spacing w:after="0" w:line="240" w:lineRule="auto"/>
              <w:rPr>
                <w:rFonts w:eastAsia="Times New Roman" w:cs="Times New Roman"/>
                <w:b w:val="0"/>
                <w:color w:val="000000"/>
                <w:sz w:val="20"/>
                <w:szCs w:val="20"/>
                <w:lang w:eastAsia="en-MY"/>
              </w:rPr>
            </w:pPr>
            <w:bookmarkStart w:id="1046" w:name="_Hlk12304019"/>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Ba</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bookmarkEnd w:id="1046"/>
          </w:p>
        </w:tc>
        <w:tc>
          <w:tcPr>
            <w:tcW w:w="1640" w:type="dxa"/>
            <w:tcBorders>
              <w:top w:val="nil"/>
              <w:left w:val="nil"/>
              <w:bottom w:val="nil"/>
              <w:right w:val="nil"/>
            </w:tcBorders>
            <w:shd w:val="clear" w:color="auto" w:fill="auto"/>
            <w:noWrap/>
            <w:vAlign w:val="center"/>
            <w:hideMark/>
          </w:tcPr>
          <w:p w14:paraId="058E1177"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3640A5D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0.17</w:t>
            </w:r>
          </w:p>
        </w:tc>
        <w:tc>
          <w:tcPr>
            <w:tcW w:w="960" w:type="dxa"/>
            <w:tcBorders>
              <w:top w:val="nil"/>
              <w:left w:val="nil"/>
              <w:bottom w:val="nil"/>
              <w:right w:val="nil"/>
            </w:tcBorders>
            <w:shd w:val="clear" w:color="auto" w:fill="auto"/>
            <w:noWrap/>
            <w:vAlign w:val="center"/>
            <w:hideMark/>
          </w:tcPr>
          <w:p w14:paraId="69264DD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0.49</w:t>
            </w:r>
          </w:p>
        </w:tc>
        <w:tc>
          <w:tcPr>
            <w:tcW w:w="960" w:type="dxa"/>
            <w:tcBorders>
              <w:top w:val="nil"/>
              <w:left w:val="nil"/>
              <w:bottom w:val="nil"/>
              <w:right w:val="nil"/>
            </w:tcBorders>
            <w:shd w:val="clear" w:color="auto" w:fill="auto"/>
            <w:noWrap/>
            <w:vAlign w:val="center"/>
            <w:hideMark/>
          </w:tcPr>
          <w:p w14:paraId="7D85282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0.19</w:t>
            </w:r>
          </w:p>
        </w:tc>
        <w:tc>
          <w:tcPr>
            <w:tcW w:w="960" w:type="dxa"/>
            <w:tcBorders>
              <w:top w:val="nil"/>
              <w:left w:val="nil"/>
              <w:bottom w:val="nil"/>
              <w:right w:val="nil"/>
            </w:tcBorders>
            <w:shd w:val="clear" w:color="auto" w:fill="auto"/>
            <w:noWrap/>
            <w:vAlign w:val="center"/>
            <w:hideMark/>
          </w:tcPr>
          <w:p w14:paraId="7862C52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0.11</w:t>
            </w:r>
          </w:p>
        </w:tc>
        <w:tc>
          <w:tcPr>
            <w:tcW w:w="960" w:type="dxa"/>
            <w:tcBorders>
              <w:top w:val="nil"/>
              <w:left w:val="nil"/>
              <w:bottom w:val="nil"/>
              <w:right w:val="nil"/>
            </w:tcBorders>
            <w:shd w:val="clear" w:color="auto" w:fill="auto"/>
            <w:noWrap/>
            <w:vAlign w:val="center"/>
            <w:hideMark/>
          </w:tcPr>
          <w:p w14:paraId="0032203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17.65</w:t>
            </w:r>
          </w:p>
        </w:tc>
        <w:tc>
          <w:tcPr>
            <w:tcW w:w="960" w:type="dxa"/>
            <w:tcBorders>
              <w:top w:val="nil"/>
              <w:left w:val="nil"/>
              <w:bottom w:val="nil"/>
              <w:right w:val="nil"/>
            </w:tcBorders>
            <w:shd w:val="clear" w:color="auto" w:fill="auto"/>
            <w:noWrap/>
            <w:vAlign w:val="center"/>
            <w:hideMark/>
          </w:tcPr>
          <w:p w14:paraId="1E0BB17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70.85</w:t>
            </w:r>
          </w:p>
        </w:tc>
        <w:tc>
          <w:tcPr>
            <w:tcW w:w="960" w:type="dxa"/>
            <w:tcBorders>
              <w:top w:val="nil"/>
              <w:left w:val="nil"/>
              <w:bottom w:val="nil"/>
              <w:right w:val="nil"/>
            </w:tcBorders>
            <w:shd w:val="clear" w:color="auto" w:fill="auto"/>
            <w:noWrap/>
            <w:vAlign w:val="center"/>
            <w:hideMark/>
          </w:tcPr>
          <w:p w14:paraId="41A4960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11.5</w:t>
            </w:r>
          </w:p>
        </w:tc>
      </w:tr>
      <w:tr w:rsidR="00CB5F95" w:rsidRPr="00C533F9" w14:paraId="11588387" w14:textId="77777777" w:rsidTr="00CB5F95">
        <w:trPr>
          <w:trHeight w:val="315"/>
        </w:trPr>
        <w:tc>
          <w:tcPr>
            <w:tcW w:w="2880" w:type="dxa"/>
            <w:vMerge/>
            <w:tcBorders>
              <w:top w:val="nil"/>
              <w:left w:val="nil"/>
              <w:bottom w:val="single" w:sz="8" w:space="0" w:color="000000"/>
              <w:right w:val="nil"/>
            </w:tcBorders>
            <w:vAlign w:val="center"/>
            <w:hideMark/>
          </w:tcPr>
          <w:p w14:paraId="1580AD7E"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nil"/>
              <w:right w:val="nil"/>
            </w:tcBorders>
            <w:shd w:val="clear" w:color="auto" w:fill="auto"/>
            <w:noWrap/>
            <w:vAlign w:val="center"/>
            <w:hideMark/>
          </w:tcPr>
          <w:p w14:paraId="048C73A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640" w:type="dxa"/>
            <w:tcBorders>
              <w:top w:val="nil"/>
              <w:left w:val="nil"/>
              <w:bottom w:val="nil"/>
              <w:right w:val="nil"/>
            </w:tcBorders>
            <w:shd w:val="clear" w:color="auto" w:fill="auto"/>
            <w:noWrap/>
            <w:vAlign w:val="center"/>
            <w:hideMark/>
          </w:tcPr>
          <w:p w14:paraId="1B3D559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1B0A254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942.74</w:t>
            </w:r>
          </w:p>
        </w:tc>
        <w:tc>
          <w:tcPr>
            <w:tcW w:w="960" w:type="dxa"/>
            <w:tcBorders>
              <w:top w:val="nil"/>
              <w:left w:val="nil"/>
              <w:bottom w:val="nil"/>
              <w:right w:val="nil"/>
            </w:tcBorders>
            <w:shd w:val="clear" w:color="auto" w:fill="auto"/>
            <w:noWrap/>
            <w:vAlign w:val="center"/>
            <w:hideMark/>
          </w:tcPr>
          <w:p w14:paraId="6F43F17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1040.13</w:t>
            </w:r>
          </w:p>
        </w:tc>
        <w:tc>
          <w:tcPr>
            <w:tcW w:w="960" w:type="dxa"/>
            <w:tcBorders>
              <w:top w:val="nil"/>
              <w:left w:val="nil"/>
              <w:bottom w:val="nil"/>
              <w:right w:val="nil"/>
            </w:tcBorders>
            <w:shd w:val="clear" w:color="auto" w:fill="auto"/>
            <w:noWrap/>
            <w:vAlign w:val="center"/>
            <w:hideMark/>
          </w:tcPr>
          <w:p w14:paraId="1C92A38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1136.36</w:t>
            </w:r>
          </w:p>
        </w:tc>
        <w:tc>
          <w:tcPr>
            <w:tcW w:w="960" w:type="dxa"/>
            <w:tcBorders>
              <w:top w:val="nil"/>
              <w:left w:val="nil"/>
              <w:bottom w:val="nil"/>
              <w:right w:val="nil"/>
            </w:tcBorders>
            <w:shd w:val="clear" w:color="auto" w:fill="auto"/>
            <w:noWrap/>
            <w:vAlign w:val="center"/>
            <w:hideMark/>
          </w:tcPr>
          <w:p w14:paraId="4097D79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1077.27</w:t>
            </w:r>
          </w:p>
        </w:tc>
        <w:tc>
          <w:tcPr>
            <w:tcW w:w="960" w:type="dxa"/>
            <w:tcBorders>
              <w:top w:val="nil"/>
              <w:left w:val="nil"/>
              <w:bottom w:val="nil"/>
              <w:right w:val="nil"/>
            </w:tcBorders>
            <w:shd w:val="clear" w:color="auto" w:fill="auto"/>
            <w:noWrap/>
            <w:vAlign w:val="center"/>
            <w:hideMark/>
          </w:tcPr>
          <w:p w14:paraId="1C36B77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7A2A0502"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390F0C52"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39FE1702" w14:textId="77777777" w:rsidTr="00CB5F95">
        <w:trPr>
          <w:trHeight w:val="300"/>
        </w:trPr>
        <w:tc>
          <w:tcPr>
            <w:tcW w:w="2880" w:type="dxa"/>
            <w:vMerge/>
            <w:tcBorders>
              <w:top w:val="nil"/>
              <w:left w:val="nil"/>
              <w:bottom w:val="single" w:sz="8" w:space="0" w:color="000000"/>
              <w:right w:val="nil"/>
            </w:tcBorders>
            <w:vAlign w:val="center"/>
            <w:hideMark/>
          </w:tcPr>
          <w:p w14:paraId="0BBA8E70"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nil"/>
              <w:right w:val="nil"/>
            </w:tcBorders>
            <w:shd w:val="clear" w:color="auto" w:fill="auto"/>
            <w:noWrap/>
            <w:vAlign w:val="bottom"/>
            <w:hideMark/>
          </w:tcPr>
          <w:p w14:paraId="0EF7219A"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Ba</w:t>
            </w:r>
            <w:r w:rsidRPr="00C533F9">
              <w:rPr>
                <w:rFonts w:eastAsia="Times New Roman" w:cs="Times New Roman"/>
                <w:b w:val="0"/>
                <w:color w:val="000000"/>
                <w:sz w:val="20"/>
                <w:szCs w:val="20"/>
                <w:vertAlign w:val="subscript"/>
                <w:lang w:eastAsia="en-MY"/>
              </w:rPr>
              <w:t>12.5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2.5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1640" w:type="dxa"/>
            <w:tcBorders>
              <w:top w:val="nil"/>
              <w:left w:val="nil"/>
              <w:bottom w:val="nil"/>
              <w:right w:val="nil"/>
            </w:tcBorders>
            <w:shd w:val="clear" w:color="auto" w:fill="auto"/>
            <w:noWrap/>
            <w:vAlign w:val="center"/>
            <w:hideMark/>
          </w:tcPr>
          <w:p w14:paraId="39D0CC4A"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1A3A075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0.18</w:t>
            </w:r>
          </w:p>
        </w:tc>
        <w:tc>
          <w:tcPr>
            <w:tcW w:w="960" w:type="dxa"/>
            <w:tcBorders>
              <w:top w:val="nil"/>
              <w:left w:val="nil"/>
              <w:bottom w:val="nil"/>
              <w:right w:val="nil"/>
            </w:tcBorders>
            <w:shd w:val="clear" w:color="auto" w:fill="auto"/>
            <w:noWrap/>
            <w:vAlign w:val="center"/>
            <w:hideMark/>
          </w:tcPr>
          <w:p w14:paraId="3F37F03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0.15</w:t>
            </w:r>
          </w:p>
        </w:tc>
        <w:tc>
          <w:tcPr>
            <w:tcW w:w="960" w:type="dxa"/>
            <w:tcBorders>
              <w:top w:val="nil"/>
              <w:left w:val="nil"/>
              <w:bottom w:val="nil"/>
              <w:right w:val="nil"/>
            </w:tcBorders>
            <w:shd w:val="clear" w:color="auto" w:fill="auto"/>
            <w:noWrap/>
            <w:vAlign w:val="center"/>
            <w:hideMark/>
          </w:tcPr>
          <w:p w14:paraId="6006570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0.48</w:t>
            </w:r>
          </w:p>
        </w:tc>
        <w:tc>
          <w:tcPr>
            <w:tcW w:w="960" w:type="dxa"/>
            <w:tcBorders>
              <w:top w:val="nil"/>
              <w:left w:val="nil"/>
              <w:bottom w:val="nil"/>
              <w:right w:val="nil"/>
            </w:tcBorders>
            <w:shd w:val="clear" w:color="auto" w:fill="auto"/>
            <w:noWrap/>
            <w:vAlign w:val="center"/>
            <w:hideMark/>
          </w:tcPr>
          <w:p w14:paraId="6E44749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0.17</w:t>
            </w:r>
          </w:p>
        </w:tc>
        <w:tc>
          <w:tcPr>
            <w:tcW w:w="960" w:type="dxa"/>
            <w:tcBorders>
              <w:top w:val="nil"/>
              <w:left w:val="nil"/>
              <w:bottom w:val="nil"/>
              <w:right w:val="nil"/>
            </w:tcBorders>
            <w:shd w:val="clear" w:color="auto" w:fill="auto"/>
            <w:noWrap/>
            <w:vAlign w:val="center"/>
            <w:hideMark/>
          </w:tcPr>
          <w:p w14:paraId="533A8E2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18.32</w:t>
            </w:r>
          </w:p>
        </w:tc>
        <w:tc>
          <w:tcPr>
            <w:tcW w:w="960" w:type="dxa"/>
            <w:tcBorders>
              <w:top w:val="nil"/>
              <w:left w:val="nil"/>
              <w:bottom w:val="nil"/>
              <w:right w:val="nil"/>
            </w:tcBorders>
            <w:shd w:val="clear" w:color="auto" w:fill="auto"/>
            <w:noWrap/>
            <w:vAlign w:val="center"/>
            <w:hideMark/>
          </w:tcPr>
          <w:p w14:paraId="086CC71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64.23</w:t>
            </w:r>
          </w:p>
        </w:tc>
        <w:tc>
          <w:tcPr>
            <w:tcW w:w="960" w:type="dxa"/>
            <w:tcBorders>
              <w:top w:val="nil"/>
              <w:left w:val="nil"/>
              <w:bottom w:val="nil"/>
              <w:right w:val="nil"/>
            </w:tcBorders>
            <w:shd w:val="clear" w:color="auto" w:fill="auto"/>
            <w:noWrap/>
            <w:vAlign w:val="center"/>
            <w:hideMark/>
          </w:tcPr>
          <w:p w14:paraId="501E6B1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17.45</w:t>
            </w:r>
          </w:p>
        </w:tc>
      </w:tr>
      <w:tr w:rsidR="00CB5F95" w:rsidRPr="00C533F9" w14:paraId="35675021" w14:textId="77777777" w:rsidTr="00CB5F95">
        <w:trPr>
          <w:trHeight w:val="315"/>
        </w:trPr>
        <w:tc>
          <w:tcPr>
            <w:tcW w:w="2880" w:type="dxa"/>
            <w:vMerge/>
            <w:tcBorders>
              <w:top w:val="nil"/>
              <w:left w:val="nil"/>
              <w:bottom w:val="single" w:sz="8" w:space="0" w:color="000000"/>
              <w:right w:val="nil"/>
            </w:tcBorders>
            <w:vAlign w:val="center"/>
            <w:hideMark/>
          </w:tcPr>
          <w:p w14:paraId="63C58B87"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single" w:sz="8" w:space="0" w:color="auto"/>
              <w:right w:val="nil"/>
            </w:tcBorders>
            <w:shd w:val="clear" w:color="auto" w:fill="auto"/>
            <w:noWrap/>
            <w:vAlign w:val="center"/>
            <w:hideMark/>
          </w:tcPr>
          <w:p w14:paraId="2C86B82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1640" w:type="dxa"/>
            <w:tcBorders>
              <w:top w:val="nil"/>
              <w:left w:val="nil"/>
              <w:bottom w:val="single" w:sz="8" w:space="0" w:color="auto"/>
              <w:right w:val="nil"/>
            </w:tcBorders>
            <w:shd w:val="clear" w:color="auto" w:fill="auto"/>
            <w:noWrap/>
            <w:vAlign w:val="center"/>
            <w:hideMark/>
          </w:tcPr>
          <w:p w14:paraId="4753582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single" w:sz="8" w:space="0" w:color="auto"/>
              <w:right w:val="nil"/>
            </w:tcBorders>
            <w:shd w:val="clear" w:color="auto" w:fill="auto"/>
            <w:noWrap/>
            <w:vAlign w:val="center"/>
            <w:hideMark/>
          </w:tcPr>
          <w:p w14:paraId="636AB66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946.37</w:t>
            </w:r>
          </w:p>
        </w:tc>
        <w:tc>
          <w:tcPr>
            <w:tcW w:w="960" w:type="dxa"/>
            <w:tcBorders>
              <w:top w:val="nil"/>
              <w:left w:val="nil"/>
              <w:bottom w:val="single" w:sz="8" w:space="0" w:color="auto"/>
              <w:right w:val="nil"/>
            </w:tcBorders>
            <w:shd w:val="clear" w:color="auto" w:fill="auto"/>
            <w:noWrap/>
            <w:vAlign w:val="center"/>
            <w:hideMark/>
          </w:tcPr>
          <w:p w14:paraId="0FE4512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1077.41</w:t>
            </w:r>
          </w:p>
        </w:tc>
        <w:tc>
          <w:tcPr>
            <w:tcW w:w="960" w:type="dxa"/>
            <w:tcBorders>
              <w:top w:val="nil"/>
              <w:left w:val="nil"/>
              <w:bottom w:val="single" w:sz="8" w:space="0" w:color="auto"/>
              <w:right w:val="nil"/>
            </w:tcBorders>
            <w:shd w:val="clear" w:color="auto" w:fill="auto"/>
            <w:noWrap/>
            <w:vAlign w:val="center"/>
            <w:hideMark/>
          </w:tcPr>
          <w:p w14:paraId="450A26C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1051.38</w:t>
            </w:r>
          </w:p>
        </w:tc>
        <w:tc>
          <w:tcPr>
            <w:tcW w:w="960" w:type="dxa"/>
            <w:tcBorders>
              <w:top w:val="nil"/>
              <w:left w:val="nil"/>
              <w:bottom w:val="single" w:sz="8" w:space="0" w:color="auto"/>
              <w:right w:val="nil"/>
            </w:tcBorders>
            <w:shd w:val="clear" w:color="auto" w:fill="auto"/>
            <w:noWrap/>
            <w:vAlign w:val="center"/>
            <w:hideMark/>
          </w:tcPr>
          <w:p w14:paraId="317F53F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1141.51</w:t>
            </w:r>
          </w:p>
        </w:tc>
        <w:tc>
          <w:tcPr>
            <w:tcW w:w="960" w:type="dxa"/>
            <w:tcBorders>
              <w:top w:val="nil"/>
              <w:left w:val="nil"/>
              <w:bottom w:val="single" w:sz="8" w:space="0" w:color="auto"/>
              <w:right w:val="nil"/>
            </w:tcBorders>
            <w:shd w:val="clear" w:color="auto" w:fill="auto"/>
            <w:noWrap/>
            <w:vAlign w:val="center"/>
            <w:hideMark/>
          </w:tcPr>
          <w:p w14:paraId="7CC4641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153FFBB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52A8EBB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r>
      <w:tr w:rsidR="00CB5F95" w:rsidRPr="00C533F9" w14:paraId="4C9DE74E" w14:textId="77777777" w:rsidTr="00CB5F95">
        <w:trPr>
          <w:trHeight w:val="300"/>
        </w:trPr>
        <w:tc>
          <w:tcPr>
            <w:tcW w:w="2880" w:type="dxa"/>
            <w:vMerge w:val="restart"/>
            <w:tcBorders>
              <w:top w:val="nil"/>
              <w:left w:val="nil"/>
              <w:bottom w:val="single" w:sz="8" w:space="0" w:color="000000"/>
              <w:right w:val="nil"/>
            </w:tcBorders>
            <w:shd w:val="clear" w:color="auto" w:fill="auto"/>
            <w:noWrap/>
            <w:vAlign w:val="center"/>
            <w:hideMark/>
          </w:tcPr>
          <w:p w14:paraId="5779BF81"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x</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20-x</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2220" w:type="dxa"/>
            <w:tcBorders>
              <w:top w:val="nil"/>
              <w:left w:val="nil"/>
              <w:bottom w:val="nil"/>
              <w:right w:val="nil"/>
            </w:tcBorders>
            <w:shd w:val="clear" w:color="auto" w:fill="auto"/>
            <w:noWrap/>
            <w:vAlign w:val="bottom"/>
            <w:hideMark/>
          </w:tcPr>
          <w:p w14:paraId="74B49692"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2.5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17.5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1640" w:type="dxa"/>
            <w:tcBorders>
              <w:top w:val="nil"/>
              <w:left w:val="nil"/>
              <w:bottom w:val="nil"/>
              <w:right w:val="nil"/>
            </w:tcBorders>
            <w:shd w:val="clear" w:color="auto" w:fill="auto"/>
            <w:noWrap/>
            <w:vAlign w:val="center"/>
            <w:hideMark/>
          </w:tcPr>
          <w:p w14:paraId="4F014FA8"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0059BA2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0.02</w:t>
            </w:r>
          </w:p>
        </w:tc>
        <w:tc>
          <w:tcPr>
            <w:tcW w:w="960" w:type="dxa"/>
            <w:tcBorders>
              <w:top w:val="nil"/>
              <w:left w:val="nil"/>
              <w:bottom w:val="nil"/>
              <w:right w:val="nil"/>
            </w:tcBorders>
            <w:shd w:val="clear" w:color="auto" w:fill="auto"/>
            <w:noWrap/>
            <w:vAlign w:val="center"/>
            <w:hideMark/>
          </w:tcPr>
          <w:p w14:paraId="0D47F12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0.33</w:t>
            </w:r>
          </w:p>
        </w:tc>
        <w:tc>
          <w:tcPr>
            <w:tcW w:w="960" w:type="dxa"/>
            <w:tcBorders>
              <w:top w:val="nil"/>
              <w:left w:val="nil"/>
              <w:bottom w:val="nil"/>
              <w:right w:val="nil"/>
            </w:tcBorders>
            <w:shd w:val="clear" w:color="auto" w:fill="auto"/>
            <w:noWrap/>
            <w:vAlign w:val="center"/>
            <w:hideMark/>
          </w:tcPr>
          <w:p w14:paraId="1BFBC78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0.36</w:t>
            </w:r>
          </w:p>
        </w:tc>
        <w:tc>
          <w:tcPr>
            <w:tcW w:w="960" w:type="dxa"/>
            <w:tcBorders>
              <w:top w:val="nil"/>
              <w:left w:val="nil"/>
              <w:bottom w:val="nil"/>
              <w:right w:val="nil"/>
            </w:tcBorders>
            <w:shd w:val="clear" w:color="auto" w:fill="auto"/>
            <w:noWrap/>
            <w:vAlign w:val="center"/>
            <w:hideMark/>
          </w:tcPr>
          <w:p w14:paraId="2522642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0.29</w:t>
            </w:r>
          </w:p>
        </w:tc>
        <w:tc>
          <w:tcPr>
            <w:tcW w:w="960" w:type="dxa"/>
            <w:tcBorders>
              <w:top w:val="nil"/>
              <w:left w:val="nil"/>
              <w:bottom w:val="nil"/>
              <w:right w:val="nil"/>
            </w:tcBorders>
            <w:shd w:val="clear" w:color="auto" w:fill="auto"/>
            <w:noWrap/>
            <w:vAlign w:val="center"/>
            <w:hideMark/>
          </w:tcPr>
          <w:p w14:paraId="3368AF6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2.4</w:t>
            </w:r>
          </w:p>
        </w:tc>
        <w:tc>
          <w:tcPr>
            <w:tcW w:w="960" w:type="dxa"/>
            <w:tcBorders>
              <w:top w:val="nil"/>
              <w:left w:val="nil"/>
              <w:bottom w:val="nil"/>
              <w:right w:val="nil"/>
            </w:tcBorders>
            <w:shd w:val="clear" w:color="auto" w:fill="auto"/>
            <w:noWrap/>
            <w:vAlign w:val="center"/>
            <w:hideMark/>
          </w:tcPr>
          <w:p w14:paraId="521ED1D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69.03</w:t>
            </w:r>
          </w:p>
        </w:tc>
        <w:tc>
          <w:tcPr>
            <w:tcW w:w="960" w:type="dxa"/>
            <w:tcBorders>
              <w:top w:val="nil"/>
              <w:left w:val="nil"/>
              <w:bottom w:val="nil"/>
              <w:right w:val="nil"/>
            </w:tcBorders>
            <w:shd w:val="clear" w:color="auto" w:fill="auto"/>
            <w:noWrap/>
            <w:vAlign w:val="center"/>
            <w:hideMark/>
          </w:tcPr>
          <w:p w14:paraId="0364C9C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28.57</w:t>
            </w:r>
          </w:p>
        </w:tc>
      </w:tr>
      <w:tr w:rsidR="00CB5F95" w:rsidRPr="00C533F9" w14:paraId="7C203A2C" w14:textId="77777777" w:rsidTr="00CB5F95">
        <w:trPr>
          <w:trHeight w:val="315"/>
        </w:trPr>
        <w:tc>
          <w:tcPr>
            <w:tcW w:w="2880" w:type="dxa"/>
            <w:vMerge/>
            <w:tcBorders>
              <w:top w:val="nil"/>
              <w:left w:val="nil"/>
              <w:bottom w:val="single" w:sz="8" w:space="0" w:color="000000"/>
              <w:right w:val="nil"/>
            </w:tcBorders>
            <w:vAlign w:val="center"/>
            <w:hideMark/>
          </w:tcPr>
          <w:p w14:paraId="60BF7985"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nil"/>
              <w:right w:val="nil"/>
            </w:tcBorders>
            <w:shd w:val="clear" w:color="auto" w:fill="auto"/>
            <w:noWrap/>
            <w:vAlign w:val="center"/>
            <w:hideMark/>
          </w:tcPr>
          <w:p w14:paraId="2CA5C98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640" w:type="dxa"/>
            <w:tcBorders>
              <w:top w:val="nil"/>
              <w:left w:val="nil"/>
              <w:bottom w:val="nil"/>
              <w:right w:val="nil"/>
            </w:tcBorders>
            <w:shd w:val="clear" w:color="auto" w:fill="auto"/>
            <w:noWrap/>
            <w:vAlign w:val="center"/>
            <w:hideMark/>
          </w:tcPr>
          <w:p w14:paraId="6F30C3D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3CD6D93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901.96</w:t>
            </w:r>
          </w:p>
        </w:tc>
        <w:tc>
          <w:tcPr>
            <w:tcW w:w="960" w:type="dxa"/>
            <w:tcBorders>
              <w:top w:val="nil"/>
              <w:left w:val="nil"/>
              <w:bottom w:val="nil"/>
              <w:right w:val="nil"/>
            </w:tcBorders>
            <w:shd w:val="clear" w:color="auto" w:fill="auto"/>
            <w:noWrap/>
            <w:vAlign w:val="center"/>
            <w:hideMark/>
          </w:tcPr>
          <w:p w14:paraId="1958DEF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997.27</w:t>
            </w:r>
          </w:p>
        </w:tc>
        <w:tc>
          <w:tcPr>
            <w:tcW w:w="960" w:type="dxa"/>
            <w:tcBorders>
              <w:top w:val="nil"/>
              <w:left w:val="nil"/>
              <w:bottom w:val="nil"/>
              <w:right w:val="nil"/>
            </w:tcBorders>
            <w:shd w:val="clear" w:color="auto" w:fill="auto"/>
            <w:noWrap/>
            <w:vAlign w:val="center"/>
            <w:hideMark/>
          </w:tcPr>
          <w:p w14:paraId="016F63F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1078.46</w:t>
            </w:r>
          </w:p>
        </w:tc>
        <w:tc>
          <w:tcPr>
            <w:tcW w:w="960" w:type="dxa"/>
            <w:tcBorders>
              <w:top w:val="nil"/>
              <w:left w:val="nil"/>
              <w:bottom w:val="nil"/>
              <w:right w:val="nil"/>
            </w:tcBorders>
            <w:shd w:val="clear" w:color="auto" w:fill="auto"/>
            <w:noWrap/>
            <w:vAlign w:val="center"/>
            <w:hideMark/>
          </w:tcPr>
          <w:p w14:paraId="295B666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1148.95</w:t>
            </w:r>
          </w:p>
        </w:tc>
        <w:tc>
          <w:tcPr>
            <w:tcW w:w="960" w:type="dxa"/>
            <w:tcBorders>
              <w:top w:val="nil"/>
              <w:left w:val="nil"/>
              <w:bottom w:val="nil"/>
              <w:right w:val="nil"/>
            </w:tcBorders>
            <w:shd w:val="clear" w:color="auto" w:fill="auto"/>
            <w:noWrap/>
            <w:vAlign w:val="center"/>
            <w:hideMark/>
          </w:tcPr>
          <w:p w14:paraId="32737B0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1344383E"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3B2E592F"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5F0FD2DD" w14:textId="77777777" w:rsidTr="00CB5F95">
        <w:trPr>
          <w:trHeight w:val="300"/>
        </w:trPr>
        <w:tc>
          <w:tcPr>
            <w:tcW w:w="2880" w:type="dxa"/>
            <w:vMerge/>
            <w:tcBorders>
              <w:top w:val="nil"/>
              <w:left w:val="nil"/>
              <w:bottom w:val="single" w:sz="8" w:space="0" w:color="000000"/>
              <w:right w:val="nil"/>
            </w:tcBorders>
            <w:vAlign w:val="center"/>
            <w:hideMark/>
          </w:tcPr>
          <w:p w14:paraId="7B64A743"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nil"/>
              <w:right w:val="nil"/>
            </w:tcBorders>
            <w:shd w:val="clear" w:color="auto" w:fill="auto"/>
            <w:noWrap/>
            <w:vAlign w:val="bottom"/>
            <w:hideMark/>
          </w:tcPr>
          <w:p w14:paraId="5F71AA27"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1640" w:type="dxa"/>
            <w:tcBorders>
              <w:top w:val="nil"/>
              <w:left w:val="nil"/>
              <w:bottom w:val="nil"/>
              <w:right w:val="nil"/>
            </w:tcBorders>
            <w:shd w:val="clear" w:color="auto" w:fill="auto"/>
            <w:noWrap/>
            <w:vAlign w:val="center"/>
            <w:hideMark/>
          </w:tcPr>
          <w:p w14:paraId="26997AE7"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690CB68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0.03</w:t>
            </w:r>
          </w:p>
        </w:tc>
        <w:tc>
          <w:tcPr>
            <w:tcW w:w="960" w:type="dxa"/>
            <w:tcBorders>
              <w:top w:val="nil"/>
              <w:left w:val="nil"/>
              <w:bottom w:val="nil"/>
              <w:right w:val="nil"/>
            </w:tcBorders>
            <w:shd w:val="clear" w:color="auto" w:fill="auto"/>
            <w:noWrap/>
            <w:vAlign w:val="center"/>
            <w:hideMark/>
          </w:tcPr>
          <w:p w14:paraId="27C22A6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0.38</w:t>
            </w:r>
          </w:p>
        </w:tc>
        <w:tc>
          <w:tcPr>
            <w:tcW w:w="960" w:type="dxa"/>
            <w:tcBorders>
              <w:top w:val="nil"/>
              <w:left w:val="nil"/>
              <w:bottom w:val="nil"/>
              <w:right w:val="nil"/>
            </w:tcBorders>
            <w:shd w:val="clear" w:color="auto" w:fill="auto"/>
            <w:noWrap/>
            <w:vAlign w:val="center"/>
            <w:hideMark/>
          </w:tcPr>
          <w:p w14:paraId="5EE0E24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0.46</w:t>
            </w:r>
          </w:p>
        </w:tc>
        <w:tc>
          <w:tcPr>
            <w:tcW w:w="960" w:type="dxa"/>
            <w:tcBorders>
              <w:top w:val="nil"/>
              <w:left w:val="nil"/>
              <w:bottom w:val="nil"/>
              <w:right w:val="nil"/>
            </w:tcBorders>
            <w:shd w:val="clear" w:color="auto" w:fill="auto"/>
            <w:noWrap/>
            <w:vAlign w:val="center"/>
            <w:hideMark/>
          </w:tcPr>
          <w:p w14:paraId="7456384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0.13</w:t>
            </w:r>
          </w:p>
        </w:tc>
        <w:tc>
          <w:tcPr>
            <w:tcW w:w="960" w:type="dxa"/>
            <w:tcBorders>
              <w:top w:val="nil"/>
              <w:left w:val="nil"/>
              <w:bottom w:val="nil"/>
              <w:right w:val="nil"/>
            </w:tcBorders>
            <w:shd w:val="clear" w:color="auto" w:fill="auto"/>
            <w:noWrap/>
            <w:vAlign w:val="center"/>
            <w:hideMark/>
          </w:tcPr>
          <w:p w14:paraId="2AB9DE4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2.79</w:t>
            </w:r>
          </w:p>
        </w:tc>
        <w:tc>
          <w:tcPr>
            <w:tcW w:w="960" w:type="dxa"/>
            <w:tcBorders>
              <w:top w:val="nil"/>
              <w:left w:val="nil"/>
              <w:bottom w:val="nil"/>
              <w:right w:val="nil"/>
            </w:tcBorders>
            <w:shd w:val="clear" w:color="auto" w:fill="auto"/>
            <w:noWrap/>
            <w:vAlign w:val="center"/>
            <w:hideMark/>
          </w:tcPr>
          <w:p w14:paraId="37900AC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84.09</w:t>
            </w:r>
          </w:p>
        </w:tc>
        <w:tc>
          <w:tcPr>
            <w:tcW w:w="960" w:type="dxa"/>
            <w:tcBorders>
              <w:top w:val="nil"/>
              <w:left w:val="nil"/>
              <w:bottom w:val="nil"/>
              <w:right w:val="nil"/>
            </w:tcBorders>
            <w:shd w:val="clear" w:color="auto" w:fill="auto"/>
            <w:noWrap/>
            <w:vAlign w:val="center"/>
            <w:hideMark/>
          </w:tcPr>
          <w:p w14:paraId="2BFB343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13.13</w:t>
            </w:r>
          </w:p>
        </w:tc>
      </w:tr>
      <w:tr w:rsidR="00CB5F95" w:rsidRPr="00C533F9" w14:paraId="61F4B90F" w14:textId="77777777" w:rsidTr="00CB5F95">
        <w:trPr>
          <w:trHeight w:val="300"/>
        </w:trPr>
        <w:tc>
          <w:tcPr>
            <w:tcW w:w="2880" w:type="dxa"/>
            <w:vMerge/>
            <w:tcBorders>
              <w:top w:val="nil"/>
              <w:left w:val="nil"/>
              <w:bottom w:val="single" w:sz="8" w:space="0" w:color="000000"/>
              <w:right w:val="nil"/>
            </w:tcBorders>
            <w:vAlign w:val="center"/>
            <w:hideMark/>
          </w:tcPr>
          <w:p w14:paraId="7D1945CB"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nil"/>
              <w:right w:val="nil"/>
            </w:tcBorders>
            <w:shd w:val="clear" w:color="auto" w:fill="auto"/>
            <w:noWrap/>
            <w:vAlign w:val="center"/>
            <w:hideMark/>
          </w:tcPr>
          <w:p w14:paraId="4D9770F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640" w:type="dxa"/>
            <w:tcBorders>
              <w:top w:val="nil"/>
              <w:left w:val="nil"/>
              <w:bottom w:val="nil"/>
              <w:right w:val="nil"/>
            </w:tcBorders>
            <w:shd w:val="clear" w:color="auto" w:fill="auto"/>
            <w:noWrap/>
            <w:vAlign w:val="center"/>
            <w:hideMark/>
          </w:tcPr>
          <w:p w14:paraId="45D55CB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2552C00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945.46</w:t>
            </w:r>
          </w:p>
        </w:tc>
        <w:tc>
          <w:tcPr>
            <w:tcW w:w="960" w:type="dxa"/>
            <w:tcBorders>
              <w:top w:val="nil"/>
              <w:left w:val="nil"/>
              <w:bottom w:val="nil"/>
              <w:right w:val="nil"/>
            </w:tcBorders>
            <w:shd w:val="clear" w:color="auto" w:fill="auto"/>
            <w:noWrap/>
            <w:vAlign w:val="center"/>
            <w:hideMark/>
          </w:tcPr>
          <w:p w14:paraId="729DCDC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1005.63</w:t>
            </w:r>
          </w:p>
        </w:tc>
        <w:tc>
          <w:tcPr>
            <w:tcW w:w="960" w:type="dxa"/>
            <w:tcBorders>
              <w:top w:val="nil"/>
              <w:left w:val="nil"/>
              <w:bottom w:val="nil"/>
              <w:right w:val="nil"/>
            </w:tcBorders>
            <w:shd w:val="clear" w:color="auto" w:fill="auto"/>
            <w:noWrap/>
            <w:vAlign w:val="center"/>
            <w:hideMark/>
          </w:tcPr>
          <w:p w14:paraId="2AECCB4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1091.46</w:t>
            </w:r>
          </w:p>
        </w:tc>
        <w:tc>
          <w:tcPr>
            <w:tcW w:w="960" w:type="dxa"/>
            <w:tcBorders>
              <w:top w:val="nil"/>
              <w:left w:val="nil"/>
              <w:bottom w:val="nil"/>
              <w:right w:val="nil"/>
            </w:tcBorders>
            <w:shd w:val="clear" w:color="auto" w:fill="auto"/>
            <w:noWrap/>
            <w:vAlign w:val="center"/>
            <w:hideMark/>
          </w:tcPr>
          <w:p w14:paraId="593E1C4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1164.29</w:t>
            </w:r>
          </w:p>
        </w:tc>
        <w:tc>
          <w:tcPr>
            <w:tcW w:w="960" w:type="dxa"/>
            <w:tcBorders>
              <w:top w:val="nil"/>
              <w:left w:val="nil"/>
              <w:bottom w:val="nil"/>
              <w:right w:val="nil"/>
            </w:tcBorders>
            <w:shd w:val="clear" w:color="auto" w:fill="auto"/>
            <w:noWrap/>
            <w:vAlign w:val="center"/>
            <w:hideMark/>
          </w:tcPr>
          <w:p w14:paraId="3ED0D62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6CB516CC"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7A386E84"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55D1749F" w14:textId="77777777" w:rsidTr="00CB5F95">
        <w:trPr>
          <w:trHeight w:val="300"/>
        </w:trPr>
        <w:tc>
          <w:tcPr>
            <w:tcW w:w="2880" w:type="dxa"/>
            <w:vMerge/>
            <w:tcBorders>
              <w:top w:val="nil"/>
              <w:left w:val="nil"/>
              <w:bottom w:val="single" w:sz="8" w:space="0" w:color="000000"/>
              <w:right w:val="nil"/>
            </w:tcBorders>
            <w:vAlign w:val="center"/>
            <w:hideMark/>
          </w:tcPr>
          <w:p w14:paraId="046C5F13"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nil"/>
              <w:right w:val="nil"/>
            </w:tcBorders>
            <w:shd w:val="clear" w:color="auto" w:fill="auto"/>
            <w:noWrap/>
            <w:vAlign w:val="bottom"/>
            <w:hideMark/>
          </w:tcPr>
          <w:p w14:paraId="4C882196"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7.5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12.5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1640" w:type="dxa"/>
            <w:tcBorders>
              <w:top w:val="nil"/>
              <w:left w:val="nil"/>
              <w:bottom w:val="nil"/>
              <w:right w:val="nil"/>
            </w:tcBorders>
            <w:shd w:val="clear" w:color="auto" w:fill="auto"/>
            <w:noWrap/>
            <w:vAlign w:val="center"/>
            <w:hideMark/>
          </w:tcPr>
          <w:p w14:paraId="1D7D4E7D"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6B38C07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0.04</w:t>
            </w:r>
          </w:p>
        </w:tc>
        <w:tc>
          <w:tcPr>
            <w:tcW w:w="960" w:type="dxa"/>
            <w:tcBorders>
              <w:top w:val="nil"/>
              <w:left w:val="nil"/>
              <w:bottom w:val="nil"/>
              <w:right w:val="nil"/>
            </w:tcBorders>
            <w:shd w:val="clear" w:color="auto" w:fill="auto"/>
            <w:noWrap/>
            <w:vAlign w:val="center"/>
            <w:hideMark/>
          </w:tcPr>
          <w:p w14:paraId="7B3C71C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0.45</w:t>
            </w:r>
          </w:p>
        </w:tc>
        <w:tc>
          <w:tcPr>
            <w:tcW w:w="960" w:type="dxa"/>
            <w:tcBorders>
              <w:top w:val="nil"/>
              <w:left w:val="nil"/>
              <w:bottom w:val="nil"/>
              <w:right w:val="nil"/>
            </w:tcBorders>
            <w:shd w:val="clear" w:color="auto" w:fill="auto"/>
            <w:noWrap/>
            <w:vAlign w:val="center"/>
            <w:hideMark/>
          </w:tcPr>
          <w:p w14:paraId="58E552A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0.35</w:t>
            </w:r>
          </w:p>
        </w:tc>
        <w:tc>
          <w:tcPr>
            <w:tcW w:w="960" w:type="dxa"/>
            <w:tcBorders>
              <w:top w:val="nil"/>
              <w:left w:val="nil"/>
              <w:bottom w:val="nil"/>
              <w:right w:val="nil"/>
            </w:tcBorders>
            <w:shd w:val="clear" w:color="auto" w:fill="auto"/>
            <w:noWrap/>
            <w:vAlign w:val="center"/>
            <w:hideMark/>
          </w:tcPr>
          <w:p w14:paraId="709FD00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0.18</w:t>
            </w:r>
          </w:p>
        </w:tc>
        <w:tc>
          <w:tcPr>
            <w:tcW w:w="960" w:type="dxa"/>
            <w:tcBorders>
              <w:top w:val="nil"/>
              <w:left w:val="nil"/>
              <w:bottom w:val="nil"/>
              <w:right w:val="nil"/>
            </w:tcBorders>
            <w:shd w:val="clear" w:color="auto" w:fill="auto"/>
            <w:noWrap/>
            <w:vAlign w:val="center"/>
            <w:hideMark/>
          </w:tcPr>
          <w:p w14:paraId="3DFC080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3.87</w:t>
            </w:r>
          </w:p>
        </w:tc>
        <w:tc>
          <w:tcPr>
            <w:tcW w:w="960" w:type="dxa"/>
            <w:tcBorders>
              <w:top w:val="nil"/>
              <w:left w:val="nil"/>
              <w:bottom w:val="nil"/>
              <w:right w:val="nil"/>
            </w:tcBorders>
            <w:shd w:val="clear" w:color="auto" w:fill="auto"/>
            <w:noWrap/>
            <w:vAlign w:val="center"/>
            <w:hideMark/>
          </w:tcPr>
          <w:p w14:paraId="08CC3DE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78.25</w:t>
            </w:r>
          </w:p>
        </w:tc>
        <w:tc>
          <w:tcPr>
            <w:tcW w:w="960" w:type="dxa"/>
            <w:tcBorders>
              <w:top w:val="nil"/>
              <w:left w:val="nil"/>
              <w:bottom w:val="nil"/>
              <w:right w:val="nil"/>
            </w:tcBorders>
            <w:shd w:val="clear" w:color="auto" w:fill="auto"/>
            <w:noWrap/>
            <w:vAlign w:val="center"/>
            <w:hideMark/>
          </w:tcPr>
          <w:p w14:paraId="1E70509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17.87</w:t>
            </w:r>
          </w:p>
        </w:tc>
      </w:tr>
      <w:tr w:rsidR="00CB5F95" w:rsidRPr="00C533F9" w14:paraId="50387F6F" w14:textId="77777777" w:rsidTr="00CB5F95">
        <w:trPr>
          <w:trHeight w:val="315"/>
        </w:trPr>
        <w:tc>
          <w:tcPr>
            <w:tcW w:w="2880" w:type="dxa"/>
            <w:vMerge/>
            <w:tcBorders>
              <w:top w:val="nil"/>
              <w:left w:val="nil"/>
              <w:bottom w:val="single" w:sz="8" w:space="0" w:color="000000"/>
              <w:right w:val="nil"/>
            </w:tcBorders>
            <w:vAlign w:val="center"/>
            <w:hideMark/>
          </w:tcPr>
          <w:p w14:paraId="5F73CC94"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single" w:sz="8" w:space="0" w:color="auto"/>
              <w:right w:val="nil"/>
            </w:tcBorders>
            <w:shd w:val="clear" w:color="auto" w:fill="auto"/>
            <w:noWrap/>
            <w:vAlign w:val="center"/>
            <w:hideMark/>
          </w:tcPr>
          <w:p w14:paraId="787C3B4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1640" w:type="dxa"/>
            <w:tcBorders>
              <w:top w:val="nil"/>
              <w:left w:val="nil"/>
              <w:bottom w:val="single" w:sz="8" w:space="0" w:color="auto"/>
              <w:right w:val="nil"/>
            </w:tcBorders>
            <w:shd w:val="clear" w:color="auto" w:fill="auto"/>
            <w:noWrap/>
            <w:vAlign w:val="center"/>
            <w:hideMark/>
          </w:tcPr>
          <w:p w14:paraId="50FB1A1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single" w:sz="8" w:space="0" w:color="auto"/>
              <w:right w:val="nil"/>
            </w:tcBorders>
            <w:shd w:val="clear" w:color="auto" w:fill="auto"/>
            <w:noWrap/>
            <w:vAlign w:val="center"/>
            <w:hideMark/>
          </w:tcPr>
          <w:p w14:paraId="4C25A62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920.27</w:t>
            </w:r>
          </w:p>
        </w:tc>
        <w:tc>
          <w:tcPr>
            <w:tcW w:w="960" w:type="dxa"/>
            <w:tcBorders>
              <w:top w:val="nil"/>
              <w:left w:val="nil"/>
              <w:bottom w:val="single" w:sz="8" w:space="0" w:color="auto"/>
              <w:right w:val="nil"/>
            </w:tcBorders>
            <w:shd w:val="clear" w:color="auto" w:fill="auto"/>
            <w:noWrap/>
            <w:vAlign w:val="center"/>
            <w:hideMark/>
          </w:tcPr>
          <w:p w14:paraId="5B64C57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997.29</w:t>
            </w:r>
          </w:p>
        </w:tc>
        <w:tc>
          <w:tcPr>
            <w:tcW w:w="960" w:type="dxa"/>
            <w:tcBorders>
              <w:top w:val="nil"/>
              <w:left w:val="nil"/>
              <w:bottom w:val="single" w:sz="8" w:space="0" w:color="auto"/>
              <w:right w:val="nil"/>
            </w:tcBorders>
            <w:shd w:val="clear" w:color="auto" w:fill="auto"/>
            <w:noWrap/>
            <w:vAlign w:val="center"/>
            <w:hideMark/>
          </w:tcPr>
          <w:p w14:paraId="43F769A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1076.72</w:t>
            </w:r>
          </w:p>
        </w:tc>
        <w:tc>
          <w:tcPr>
            <w:tcW w:w="960" w:type="dxa"/>
            <w:tcBorders>
              <w:top w:val="nil"/>
              <w:left w:val="nil"/>
              <w:bottom w:val="single" w:sz="8" w:space="0" w:color="auto"/>
              <w:right w:val="nil"/>
            </w:tcBorders>
            <w:shd w:val="clear" w:color="auto" w:fill="auto"/>
            <w:noWrap/>
            <w:vAlign w:val="center"/>
            <w:hideMark/>
          </w:tcPr>
          <w:p w14:paraId="059BF65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1133.82</w:t>
            </w:r>
          </w:p>
        </w:tc>
        <w:tc>
          <w:tcPr>
            <w:tcW w:w="960" w:type="dxa"/>
            <w:tcBorders>
              <w:top w:val="nil"/>
              <w:left w:val="nil"/>
              <w:bottom w:val="single" w:sz="8" w:space="0" w:color="auto"/>
              <w:right w:val="nil"/>
            </w:tcBorders>
            <w:shd w:val="clear" w:color="auto" w:fill="auto"/>
            <w:noWrap/>
            <w:vAlign w:val="center"/>
            <w:hideMark/>
          </w:tcPr>
          <w:p w14:paraId="4B4651E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63C1E7A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20E0195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r>
      <w:tr w:rsidR="00CB5F95" w:rsidRPr="00C533F9" w14:paraId="141F3250" w14:textId="77777777" w:rsidTr="00CB5F95">
        <w:trPr>
          <w:trHeight w:val="300"/>
        </w:trPr>
        <w:tc>
          <w:tcPr>
            <w:tcW w:w="2880" w:type="dxa"/>
            <w:vMerge w:val="restart"/>
            <w:tcBorders>
              <w:top w:val="nil"/>
              <w:left w:val="nil"/>
              <w:bottom w:val="single" w:sz="8" w:space="0" w:color="000000"/>
              <w:right w:val="nil"/>
            </w:tcBorders>
            <w:shd w:val="clear" w:color="auto" w:fill="auto"/>
            <w:noWrap/>
            <w:vAlign w:val="center"/>
            <w:hideMark/>
          </w:tcPr>
          <w:p w14:paraId="227DAFF3"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Ba</w:t>
            </w:r>
            <w:r w:rsidRPr="00C533F9">
              <w:rPr>
                <w:rFonts w:eastAsia="Times New Roman" w:cs="Times New Roman"/>
                <w:b w:val="0"/>
                <w:color w:val="000000"/>
                <w:sz w:val="20"/>
                <w:szCs w:val="20"/>
                <w:vertAlign w:val="subscript"/>
                <w:lang w:eastAsia="en-MY"/>
              </w:rPr>
              <w:t>x</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20-x</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2220" w:type="dxa"/>
            <w:tcBorders>
              <w:top w:val="nil"/>
              <w:left w:val="nil"/>
              <w:bottom w:val="nil"/>
              <w:right w:val="nil"/>
            </w:tcBorders>
            <w:shd w:val="clear" w:color="auto" w:fill="auto"/>
            <w:noWrap/>
            <w:vAlign w:val="bottom"/>
            <w:hideMark/>
          </w:tcPr>
          <w:p w14:paraId="4AD3C2F6"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Ba</w:t>
            </w:r>
            <w:r w:rsidRPr="00C533F9">
              <w:rPr>
                <w:rFonts w:eastAsia="Times New Roman" w:cs="Times New Roman"/>
                <w:b w:val="0"/>
                <w:color w:val="000000"/>
                <w:sz w:val="20"/>
                <w:szCs w:val="20"/>
                <w:vertAlign w:val="subscript"/>
                <w:lang w:eastAsia="en-MY"/>
              </w:rPr>
              <w:t>2.5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17.5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1640" w:type="dxa"/>
            <w:tcBorders>
              <w:top w:val="nil"/>
              <w:left w:val="nil"/>
              <w:bottom w:val="nil"/>
              <w:right w:val="nil"/>
            </w:tcBorders>
            <w:shd w:val="clear" w:color="auto" w:fill="auto"/>
            <w:noWrap/>
            <w:vAlign w:val="center"/>
            <w:hideMark/>
          </w:tcPr>
          <w:p w14:paraId="38EB2E5C"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315E54D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0.02</w:t>
            </w:r>
          </w:p>
        </w:tc>
        <w:tc>
          <w:tcPr>
            <w:tcW w:w="960" w:type="dxa"/>
            <w:tcBorders>
              <w:top w:val="nil"/>
              <w:left w:val="nil"/>
              <w:bottom w:val="nil"/>
              <w:right w:val="nil"/>
            </w:tcBorders>
            <w:shd w:val="clear" w:color="auto" w:fill="auto"/>
            <w:noWrap/>
            <w:vAlign w:val="center"/>
            <w:hideMark/>
          </w:tcPr>
          <w:p w14:paraId="0AE998A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0.39</w:t>
            </w:r>
          </w:p>
        </w:tc>
        <w:tc>
          <w:tcPr>
            <w:tcW w:w="960" w:type="dxa"/>
            <w:tcBorders>
              <w:top w:val="nil"/>
              <w:left w:val="nil"/>
              <w:bottom w:val="nil"/>
              <w:right w:val="nil"/>
            </w:tcBorders>
            <w:shd w:val="clear" w:color="auto" w:fill="auto"/>
            <w:noWrap/>
            <w:vAlign w:val="center"/>
            <w:hideMark/>
          </w:tcPr>
          <w:p w14:paraId="3E91B1E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0.34</w:t>
            </w:r>
          </w:p>
        </w:tc>
        <w:tc>
          <w:tcPr>
            <w:tcW w:w="960" w:type="dxa"/>
            <w:tcBorders>
              <w:top w:val="nil"/>
              <w:left w:val="nil"/>
              <w:bottom w:val="nil"/>
              <w:right w:val="nil"/>
            </w:tcBorders>
            <w:shd w:val="clear" w:color="auto" w:fill="auto"/>
            <w:noWrap/>
            <w:vAlign w:val="center"/>
            <w:hideMark/>
          </w:tcPr>
          <w:p w14:paraId="7663D5F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0.25</w:t>
            </w:r>
          </w:p>
        </w:tc>
        <w:tc>
          <w:tcPr>
            <w:tcW w:w="960" w:type="dxa"/>
            <w:tcBorders>
              <w:top w:val="nil"/>
              <w:left w:val="nil"/>
              <w:bottom w:val="nil"/>
              <w:right w:val="nil"/>
            </w:tcBorders>
            <w:shd w:val="clear" w:color="auto" w:fill="auto"/>
            <w:noWrap/>
            <w:vAlign w:val="center"/>
            <w:hideMark/>
          </w:tcPr>
          <w:p w14:paraId="6F1380A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w:t>
            </w:r>
          </w:p>
        </w:tc>
        <w:tc>
          <w:tcPr>
            <w:tcW w:w="960" w:type="dxa"/>
            <w:tcBorders>
              <w:top w:val="nil"/>
              <w:left w:val="nil"/>
              <w:bottom w:val="nil"/>
              <w:right w:val="nil"/>
            </w:tcBorders>
            <w:shd w:val="clear" w:color="auto" w:fill="auto"/>
            <w:noWrap/>
            <w:vAlign w:val="center"/>
            <w:hideMark/>
          </w:tcPr>
          <w:p w14:paraId="5A3A608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73.04</w:t>
            </w:r>
          </w:p>
        </w:tc>
        <w:tc>
          <w:tcPr>
            <w:tcW w:w="960" w:type="dxa"/>
            <w:tcBorders>
              <w:top w:val="nil"/>
              <w:left w:val="nil"/>
              <w:bottom w:val="nil"/>
              <w:right w:val="nil"/>
            </w:tcBorders>
            <w:shd w:val="clear" w:color="auto" w:fill="auto"/>
            <w:noWrap/>
            <w:vAlign w:val="center"/>
            <w:hideMark/>
          </w:tcPr>
          <w:p w14:paraId="0C96E6C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24.95</w:t>
            </w:r>
          </w:p>
        </w:tc>
      </w:tr>
      <w:tr w:rsidR="00CB5F95" w:rsidRPr="00C533F9" w14:paraId="7D09F229" w14:textId="77777777" w:rsidTr="00CB5F95">
        <w:trPr>
          <w:trHeight w:val="315"/>
        </w:trPr>
        <w:tc>
          <w:tcPr>
            <w:tcW w:w="2880" w:type="dxa"/>
            <w:vMerge/>
            <w:tcBorders>
              <w:top w:val="nil"/>
              <w:left w:val="nil"/>
              <w:bottom w:val="single" w:sz="8" w:space="0" w:color="000000"/>
              <w:right w:val="nil"/>
            </w:tcBorders>
            <w:vAlign w:val="center"/>
            <w:hideMark/>
          </w:tcPr>
          <w:p w14:paraId="0BD9E362"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nil"/>
              <w:right w:val="nil"/>
            </w:tcBorders>
            <w:shd w:val="clear" w:color="auto" w:fill="auto"/>
            <w:noWrap/>
            <w:vAlign w:val="center"/>
            <w:hideMark/>
          </w:tcPr>
          <w:p w14:paraId="40F4E28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640" w:type="dxa"/>
            <w:tcBorders>
              <w:top w:val="nil"/>
              <w:left w:val="nil"/>
              <w:bottom w:val="nil"/>
              <w:right w:val="nil"/>
            </w:tcBorders>
            <w:shd w:val="clear" w:color="auto" w:fill="auto"/>
            <w:noWrap/>
            <w:vAlign w:val="center"/>
            <w:hideMark/>
          </w:tcPr>
          <w:p w14:paraId="0DA3D45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6115483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964.46</w:t>
            </w:r>
          </w:p>
        </w:tc>
        <w:tc>
          <w:tcPr>
            <w:tcW w:w="960" w:type="dxa"/>
            <w:tcBorders>
              <w:top w:val="nil"/>
              <w:left w:val="nil"/>
              <w:bottom w:val="nil"/>
              <w:right w:val="nil"/>
            </w:tcBorders>
            <w:shd w:val="clear" w:color="auto" w:fill="auto"/>
            <w:noWrap/>
            <w:vAlign w:val="center"/>
            <w:hideMark/>
          </w:tcPr>
          <w:p w14:paraId="088084E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1015.38</w:t>
            </w:r>
          </w:p>
        </w:tc>
        <w:tc>
          <w:tcPr>
            <w:tcW w:w="960" w:type="dxa"/>
            <w:tcBorders>
              <w:top w:val="nil"/>
              <w:left w:val="nil"/>
              <w:bottom w:val="nil"/>
              <w:right w:val="nil"/>
            </w:tcBorders>
            <w:shd w:val="clear" w:color="auto" w:fill="auto"/>
            <w:noWrap/>
            <w:vAlign w:val="center"/>
            <w:hideMark/>
          </w:tcPr>
          <w:p w14:paraId="457775B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1092.14</w:t>
            </w:r>
          </w:p>
        </w:tc>
        <w:tc>
          <w:tcPr>
            <w:tcW w:w="960" w:type="dxa"/>
            <w:tcBorders>
              <w:top w:val="nil"/>
              <w:left w:val="nil"/>
              <w:bottom w:val="nil"/>
              <w:right w:val="nil"/>
            </w:tcBorders>
            <w:shd w:val="clear" w:color="auto" w:fill="auto"/>
            <w:noWrap/>
            <w:vAlign w:val="center"/>
            <w:hideMark/>
          </w:tcPr>
          <w:p w14:paraId="12EC11F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1154.77</w:t>
            </w:r>
          </w:p>
        </w:tc>
        <w:tc>
          <w:tcPr>
            <w:tcW w:w="960" w:type="dxa"/>
            <w:tcBorders>
              <w:top w:val="nil"/>
              <w:left w:val="nil"/>
              <w:bottom w:val="nil"/>
              <w:right w:val="nil"/>
            </w:tcBorders>
            <w:shd w:val="clear" w:color="auto" w:fill="auto"/>
            <w:noWrap/>
            <w:vAlign w:val="center"/>
            <w:hideMark/>
          </w:tcPr>
          <w:p w14:paraId="057965A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1D3D915C"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5DFE3A28"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53F94B92" w14:textId="77777777" w:rsidTr="00CB5F95">
        <w:trPr>
          <w:trHeight w:val="300"/>
        </w:trPr>
        <w:tc>
          <w:tcPr>
            <w:tcW w:w="2880" w:type="dxa"/>
            <w:vMerge/>
            <w:tcBorders>
              <w:top w:val="nil"/>
              <w:left w:val="nil"/>
              <w:bottom w:val="single" w:sz="8" w:space="0" w:color="000000"/>
              <w:right w:val="nil"/>
            </w:tcBorders>
            <w:vAlign w:val="center"/>
            <w:hideMark/>
          </w:tcPr>
          <w:p w14:paraId="019C02BD"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nil"/>
              <w:right w:val="nil"/>
            </w:tcBorders>
            <w:shd w:val="clear" w:color="auto" w:fill="auto"/>
            <w:noWrap/>
            <w:vAlign w:val="bottom"/>
            <w:hideMark/>
          </w:tcPr>
          <w:p w14:paraId="5921B93E"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Ba</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1640" w:type="dxa"/>
            <w:tcBorders>
              <w:top w:val="nil"/>
              <w:left w:val="nil"/>
              <w:bottom w:val="nil"/>
              <w:right w:val="nil"/>
            </w:tcBorders>
            <w:shd w:val="clear" w:color="auto" w:fill="auto"/>
            <w:noWrap/>
            <w:vAlign w:val="center"/>
            <w:hideMark/>
          </w:tcPr>
          <w:p w14:paraId="7DCC5C48"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23FD3CE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w:t>
            </w:r>
          </w:p>
        </w:tc>
        <w:tc>
          <w:tcPr>
            <w:tcW w:w="960" w:type="dxa"/>
            <w:tcBorders>
              <w:top w:val="nil"/>
              <w:left w:val="nil"/>
              <w:bottom w:val="nil"/>
              <w:right w:val="nil"/>
            </w:tcBorders>
            <w:shd w:val="clear" w:color="auto" w:fill="auto"/>
            <w:noWrap/>
            <w:vAlign w:val="center"/>
            <w:hideMark/>
          </w:tcPr>
          <w:p w14:paraId="45154DF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0.31</w:t>
            </w:r>
          </w:p>
        </w:tc>
        <w:tc>
          <w:tcPr>
            <w:tcW w:w="960" w:type="dxa"/>
            <w:tcBorders>
              <w:top w:val="nil"/>
              <w:left w:val="nil"/>
              <w:bottom w:val="nil"/>
              <w:right w:val="nil"/>
            </w:tcBorders>
            <w:shd w:val="clear" w:color="auto" w:fill="auto"/>
            <w:noWrap/>
            <w:vAlign w:val="center"/>
            <w:hideMark/>
          </w:tcPr>
          <w:p w14:paraId="5D5DE35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0.32</w:t>
            </w:r>
          </w:p>
        </w:tc>
        <w:tc>
          <w:tcPr>
            <w:tcW w:w="960" w:type="dxa"/>
            <w:tcBorders>
              <w:top w:val="nil"/>
              <w:left w:val="nil"/>
              <w:bottom w:val="nil"/>
              <w:right w:val="nil"/>
            </w:tcBorders>
            <w:shd w:val="clear" w:color="auto" w:fill="auto"/>
            <w:noWrap/>
            <w:vAlign w:val="center"/>
            <w:hideMark/>
          </w:tcPr>
          <w:p w14:paraId="75E740D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0.27</w:t>
            </w:r>
          </w:p>
        </w:tc>
        <w:tc>
          <w:tcPr>
            <w:tcW w:w="960" w:type="dxa"/>
            <w:tcBorders>
              <w:top w:val="nil"/>
              <w:left w:val="nil"/>
              <w:bottom w:val="nil"/>
              <w:right w:val="nil"/>
            </w:tcBorders>
            <w:shd w:val="clear" w:color="auto" w:fill="auto"/>
            <w:noWrap/>
            <w:vAlign w:val="center"/>
            <w:hideMark/>
          </w:tcPr>
          <w:p w14:paraId="43AE855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9.87</w:t>
            </w:r>
          </w:p>
        </w:tc>
        <w:tc>
          <w:tcPr>
            <w:tcW w:w="960" w:type="dxa"/>
            <w:tcBorders>
              <w:top w:val="nil"/>
              <w:left w:val="nil"/>
              <w:bottom w:val="nil"/>
              <w:right w:val="nil"/>
            </w:tcBorders>
            <w:shd w:val="clear" w:color="auto" w:fill="auto"/>
            <w:noWrap/>
            <w:vAlign w:val="center"/>
            <w:hideMark/>
          </w:tcPr>
          <w:p w14:paraId="193D43C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63.33</w:t>
            </w:r>
          </w:p>
        </w:tc>
        <w:tc>
          <w:tcPr>
            <w:tcW w:w="960" w:type="dxa"/>
            <w:tcBorders>
              <w:top w:val="nil"/>
              <w:left w:val="nil"/>
              <w:bottom w:val="nil"/>
              <w:right w:val="nil"/>
            </w:tcBorders>
            <w:shd w:val="clear" w:color="auto" w:fill="auto"/>
            <w:noWrap/>
            <w:vAlign w:val="center"/>
            <w:hideMark/>
          </w:tcPr>
          <w:p w14:paraId="5E5DEA7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26.81</w:t>
            </w:r>
          </w:p>
        </w:tc>
      </w:tr>
      <w:tr w:rsidR="00CB5F95" w:rsidRPr="00C533F9" w14:paraId="45F2870D" w14:textId="77777777" w:rsidTr="00CB5F95">
        <w:trPr>
          <w:trHeight w:val="300"/>
        </w:trPr>
        <w:tc>
          <w:tcPr>
            <w:tcW w:w="2880" w:type="dxa"/>
            <w:vMerge/>
            <w:tcBorders>
              <w:top w:val="nil"/>
              <w:left w:val="nil"/>
              <w:bottom w:val="single" w:sz="8" w:space="0" w:color="000000"/>
              <w:right w:val="nil"/>
            </w:tcBorders>
            <w:vAlign w:val="center"/>
            <w:hideMark/>
          </w:tcPr>
          <w:p w14:paraId="1DD5068B"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nil"/>
              <w:right w:val="nil"/>
            </w:tcBorders>
            <w:shd w:val="clear" w:color="auto" w:fill="auto"/>
            <w:noWrap/>
            <w:vAlign w:val="center"/>
            <w:hideMark/>
          </w:tcPr>
          <w:p w14:paraId="1068C88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640" w:type="dxa"/>
            <w:tcBorders>
              <w:top w:val="nil"/>
              <w:left w:val="nil"/>
              <w:bottom w:val="nil"/>
              <w:right w:val="nil"/>
            </w:tcBorders>
            <w:shd w:val="clear" w:color="auto" w:fill="auto"/>
            <w:noWrap/>
            <w:vAlign w:val="center"/>
            <w:hideMark/>
          </w:tcPr>
          <w:p w14:paraId="1EE2C30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7C61D74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900.31</w:t>
            </w:r>
          </w:p>
        </w:tc>
        <w:tc>
          <w:tcPr>
            <w:tcW w:w="960" w:type="dxa"/>
            <w:tcBorders>
              <w:top w:val="nil"/>
              <w:left w:val="nil"/>
              <w:bottom w:val="nil"/>
              <w:right w:val="nil"/>
            </w:tcBorders>
            <w:shd w:val="clear" w:color="auto" w:fill="auto"/>
            <w:noWrap/>
            <w:vAlign w:val="center"/>
            <w:hideMark/>
          </w:tcPr>
          <w:p w14:paraId="508C03C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994.77</w:t>
            </w:r>
          </w:p>
        </w:tc>
        <w:tc>
          <w:tcPr>
            <w:tcW w:w="960" w:type="dxa"/>
            <w:tcBorders>
              <w:top w:val="nil"/>
              <w:left w:val="nil"/>
              <w:bottom w:val="nil"/>
              <w:right w:val="nil"/>
            </w:tcBorders>
            <w:shd w:val="clear" w:color="auto" w:fill="auto"/>
            <w:noWrap/>
            <w:vAlign w:val="center"/>
            <w:hideMark/>
          </w:tcPr>
          <w:p w14:paraId="2678B17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1070.81</w:t>
            </w:r>
          </w:p>
        </w:tc>
        <w:tc>
          <w:tcPr>
            <w:tcW w:w="960" w:type="dxa"/>
            <w:tcBorders>
              <w:top w:val="nil"/>
              <w:left w:val="nil"/>
              <w:bottom w:val="nil"/>
              <w:right w:val="nil"/>
            </w:tcBorders>
            <w:shd w:val="clear" w:color="auto" w:fill="auto"/>
            <w:noWrap/>
            <w:vAlign w:val="center"/>
            <w:hideMark/>
          </w:tcPr>
          <w:p w14:paraId="7F3E195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1137.66</w:t>
            </w:r>
          </w:p>
        </w:tc>
        <w:tc>
          <w:tcPr>
            <w:tcW w:w="960" w:type="dxa"/>
            <w:tcBorders>
              <w:top w:val="nil"/>
              <w:left w:val="nil"/>
              <w:bottom w:val="nil"/>
              <w:right w:val="nil"/>
            </w:tcBorders>
            <w:shd w:val="clear" w:color="auto" w:fill="auto"/>
            <w:noWrap/>
            <w:vAlign w:val="center"/>
            <w:hideMark/>
          </w:tcPr>
          <w:p w14:paraId="0C5E43D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175E76D7"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1E01CBC2"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48601191" w14:textId="77777777" w:rsidTr="00CB5F95">
        <w:trPr>
          <w:trHeight w:val="300"/>
        </w:trPr>
        <w:tc>
          <w:tcPr>
            <w:tcW w:w="2880" w:type="dxa"/>
            <w:vMerge/>
            <w:tcBorders>
              <w:top w:val="nil"/>
              <w:left w:val="nil"/>
              <w:bottom w:val="single" w:sz="8" w:space="0" w:color="000000"/>
              <w:right w:val="nil"/>
            </w:tcBorders>
            <w:vAlign w:val="center"/>
            <w:hideMark/>
          </w:tcPr>
          <w:p w14:paraId="0433D2B2"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nil"/>
              <w:right w:val="nil"/>
            </w:tcBorders>
            <w:shd w:val="clear" w:color="auto" w:fill="auto"/>
            <w:noWrap/>
            <w:vAlign w:val="bottom"/>
            <w:hideMark/>
          </w:tcPr>
          <w:p w14:paraId="5326A964"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Ba</w:t>
            </w:r>
            <w:r w:rsidRPr="00C533F9">
              <w:rPr>
                <w:rFonts w:eastAsia="Times New Roman" w:cs="Times New Roman"/>
                <w:b w:val="0"/>
                <w:color w:val="000000"/>
                <w:sz w:val="20"/>
                <w:szCs w:val="20"/>
                <w:vertAlign w:val="subscript"/>
                <w:lang w:eastAsia="en-MY"/>
              </w:rPr>
              <w:t>7.5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12.5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w:t>
            </w:r>
          </w:p>
        </w:tc>
        <w:tc>
          <w:tcPr>
            <w:tcW w:w="1640" w:type="dxa"/>
            <w:tcBorders>
              <w:top w:val="nil"/>
              <w:left w:val="nil"/>
              <w:bottom w:val="nil"/>
              <w:right w:val="nil"/>
            </w:tcBorders>
            <w:shd w:val="clear" w:color="auto" w:fill="auto"/>
            <w:noWrap/>
            <w:vAlign w:val="center"/>
            <w:hideMark/>
          </w:tcPr>
          <w:p w14:paraId="0D3D3A0C"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00E8943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0.01</w:t>
            </w:r>
          </w:p>
        </w:tc>
        <w:tc>
          <w:tcPr>
            <w:tcW w:w="960" w:type="dxa"/>
            <w:tcBorders>
              <w:top w:val="nil"/>
              <w:left w:val="nil"/>
              <w:bottom w:val="nil"/>
              <w:right w:val="nil"/>
            </w:tcBorders>
            <w:shd w:val="clear" w:color="auto" w:fill="auto"/>
            <w:noWrap/>
            <w:vAlign w:val="center"/>
            <w:hideMark/>
          </w:tcPr>
          <w:p w14:paraId="758B8C4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0.43</w:t>
            </w:r>
          </w:p>
        </w:tc>
        <w:tc>
          <w:tcPr>
            <w:tcW w:w="960" w:type="dxa"/>
            <w:tcBorders>
              <w:top w:val="nil"/>
              <w:left w:val="nil"/>
              <w:bottom w:val="nil"/>
              <w:right w:val="nil"/>
            </w:tcBorders>
            <w:shd w:val="clear" w:color="auto" w:fill="auto"/>
            <w:noWrap/>
            <w:vAlign w:val="center"/>
            <w:hideMark/>
          </w:tcPr>
          <w:p w14:paraId="0591486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0.39</w:t>
            </w:r>
          </w:p>
        </w:tc>
        <w:tc>
          <w:tcPr>
            <w:tcW w:w="960" w:type="dxa"/>
            <w:tcBorders>
              <w:top w:val="nil"/>
              <w:left w:val="nil"/>
              <w:bottom w:val="nil"/>
              <w:right w:val="nil"/>
            </w:tcBorders>
            <w:shd w:val="clear" w:color="auto" w:fill="auto"/>
            <w:noWrap/>
            <w:vAlign w:val="center"/>
            <w:hideMark/>
          </w:tcPr>
          <w:p w14:paraId="319356E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0.18</w:t>
            </w:r>
          </w:p>
        </w:tc>
        <w:tc>
          <w:tcPr>
            <w:tcW w:w="960" w:type="dxa"/>
            <w:tcBorders>
              <w:top w:val="nil"/>
              <w:left w:val="nil"/>
              <w:bottom w:val="nil"/>
              <w:right w:val="nil"/>
            </w:tcBorders>
            <w:shd w:val="clear" w:color="auto" w:fill="auto"/>
            <w:noWrap/>
            <w:vAlign w:val="center"/>
            <w:hideMark/>
          </w:tcPr>
          <w:p w14:paraId="7C78F02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0.72</w:t>
            </w:r>
          </w:p>
        </w:tc>
        <w:tc>
          <w:tcPr>
            <w:tcW w:w="960" w:type="dxa"/>
            <w:tcBorders>
              <w:top w:val="nil"/>
              <w:left w:val="nil"/>
              <w:bottom w:val="nil"/>
              <w:right w:val="nil"/>
            </w:tcBorders>
            <w:shd w:val="clear" w:color="auto" w:fill="auto"/>
            <w:noWrap/>
            <w:vAlign w:val="center"/>
            <w:hideMark/>
          </w:tcPr>
          <w:p w14:paraId="46A29A2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81.46</w:t>
            </w:r>
          </w:p>
        </w:tc>
        <w:tc>
          <w:tcPr>
            <w:tcW w:w="960" w:type="dxa"/>
            <w:tcBorders>
              <w:top w:val="nil"/>
              <w:left w:val="nil"/>
              <w:bottom w:val="nil"/>
              <w:right w:val="nil"/>
            </w:tcBorders>
            <w:shd w:val="clear" w:color="auto" w:fill="auto"/>
            <w:noWrap/>
            <w:vAlign w:val="center"/>
            <w:hideMark/>
          </w:tcPr>
          <w:p w14:paraId="6701BA9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17.82</w:t>
            </w:r>
          </w:p>
        </w:tc>
      </w:tr>
      <w:tr w:rsidR="00CB5F95" w:rsidRPr="00C533F9" w14:paraId="6CD4F4E6" w14:textId="77777777" w:rsidTr="00CB5F95">
        <w:trPr>
          <w:trHeight w:val="315"/>
        </w:trPr>
        <w:tc>
          <w:tcPr>
            <w:tcW w:w="2880" w:type="dxa"/>
            <w:vMerge/>
            <w:tcBorders>
              <w:top w:val="nil"/>
              <w:left w:val="nil"/>
              <w:bottom w:val="single" w:sz="8" w:space="0" w:color="000000"/>
              <w:right w:val="nil"/>
            </w:tcBorders>
            <w:vAlign w:val="center"/>
            <w:hideMark/>
          </w:tcPr>
          <w:p w14:paraId="288EB1EE"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20" w:type="dxa"/>
            <w:tcBorders>
              <w:top w:val="nil"/>
              <w:left w:val="nil"/>
              <w:bottom w:val="single" w:sz="8" w:space="0" w:color="auto"/>
              <w:right w:val="nil"/>
            </w:tcBorders>
            <w:shd w:val="clear" w:color="auto" w:fill="auto"/>
            <w:noWrap/>
            <w:vAlign w:val="center"/>
            <w:hideMark/>
          </w:tcPr>
          <w:p w14:paraId="054CD18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1640" w:type="dxa"/>
            <w:tcBorders>
              <w:top w:val="nil"/>
              <w:left w:val="nil"/>
              <w:bottom w:val="single" w:sz="8" w:space="0" w:color="auto"/>
              <w:right w:val="nil"/>
            </w:tcBorders>
            <w:shd w:val="clear" w:color="auto" w:fill="auto"/>
            <w:noWrap/>
            <w:vAlign w:val="center"/>
            <w:hideMark/>
          </w:tcPr>
          <w:p w14:paraId="6F0EE84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single" w:sz="8" w:space="0" w:color="auto"/>
              <w:right w:val="nil"/>
            </w:tcBorders>
            <w:shd w:val="clear" w:color="auto" w:fill="auto"/>
            <w:noWrap/>
            <w:vAlign w:val="center"/>
            <w:hideMark/>
          </w:tcPr>
          <w:p w14:paraId="29F0F90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895.1</w:t>
            </w:r>
          </w:p>
        </w:tc>
        <w:tc>
          <w:tcPr>
            <w:tcW w:w="960" w:type="dxa"/>
            <w:tcBorders>
              <w:top w:val="nil"/>
              <w:left w:val="nil"/>
              <w:bottom w:val="single" w:sz="8" w:space="0" w:color="auto"/>
              <w:right w:val="nil"/>
            </w:tcBorders>
            <w:shd w:val="clear" w:color="auto" w:fill="auto"/>
            <w:noWrap/>
            <w:vAlign w:val="center"/>
            <w:hideMark/>
          </w:tcPr>
          <w:p w14:paraId="1C8D6AB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994.88</w:t>
            </w:r>
          </w:p>
        </w:tc>
        <w:tc>
          <w:tcPr>
            <w:tcW w:w="960" w:type="dxa"/>
            <w:tcBorders>
              <w:top w:val="nil"/>
              <w:left w:val="nil"/>
              <w:bottom w:val="single" w:sz="8" w:space="0" w:color="auto"/>
              <w:right w:val="nil"/>
            </w:tcBorders>
            <w:shd w:val="clear" w:color="auto" w:fill="auto"/>
            <w:noWrap/>
            <w:vAlign w:val="center"/>
            <w:hideMark/>
          </w:tcPr>
          <w:p w14:paraId="7843AFA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1079.2</w:t>
            </w:r>
          </w:p>
        </w:tc>
        <w:tc>
          <w:tcPr>
            <w:tcW w:w="960" w:type="dxa"/>
            <w:tcBorders>
              <w:top w:val="nil"/>
              <w:left w:val="nil"/>
              <w:bottom w:val="single" w:sz="8" w:space="0" w:color="auto"/>
              <w:right w:val="nil"/>
            </w:tcBorders>
            <w:shd w:val="clear" w:color="auto" w:fill="auto"/>
            <w:noWrap/>
            <w:vAlign w:val="center"/>
            <w:hideMark/>
          </w:tcPr>
          <w:p w14:paraId="57B70E0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1139.96</w:t>
            </w:r>
          </w:p>
        </w:tc>
        <w:tc>
          <w:tcPr>
            <w:tcW w:w="960" w:type="dxa"/>
            <w:tcBorders>
              <w:top w:val="nil"/>
              <w:left w:val="nil"/>
              <w:bottom w:val="single" w:sz="8" w:space="0" w:color="auto"/>
              <w:right w:val="nil"/>
            </w:tcBorders>
            <w:shd w:val="clear" w:color="auto" w:fill="auto"/>
            <w:noWrap/>
            <w:vAlign w:val="center"/>
            <w:hideMark/>
          </w:tcPr>
          <w:p w14:paraId="24A1494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5A86025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6215792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r>
    </w:tbl>
    <w:p w14:paraId="40C41CCE" w14:textId="77777777" w:rsidR="00CB5F95" w:rsidRPr="000E2377" w:rsidRDefault="00CB5F95" w:rsidP="00CB5F95"/>
    <w:p w14:paraId="3E91F16A" w14:textId="77777777" w:rsidR="00CB5F95" w:rsidRPr="000E2377" w:rsidRDefault="00CB5F95" w:rsidP="00CB5F95"/>
    <w:tbl>
      <w:tblPr>
        <w:tblW w:w="13020" w:type="dxa"/>
        <w:tblLook w:val="04A0" w:firstRow="1" w:lastRow="0" w:firstColumn="1" w:lastColumn="0" w:noHBand="0" w:noVBand="1"/>
      </w:tblPr>
      <w:tblGrid>
        <w:gridCol w:w="2620"/>
        <w:gridCol w:w="2260"/>
        <w:gridCol w:w="1420"/>
        <w:gridCol w:w="960"/>
        <w:gridCol w:w="960"/>
        <w:gridCol w:w="960"/>
        <w:gridCol w:w="960"/>
        <w:gridCol w:w="960"/>
        <w:gridCol w:w="960"/>
        <w:gridCol w:w="960"/>
      </w:tblGrid>
      <w:tr w:rsidR="00CB5F95" w:rsidRPr="00C533F9" w14:paraId="28B4F9E3" w14:textId="77777777" w:rsidTr="00CB5F95">
        <w:trPr>
          <w:trHeight w:val="315"/>
        </w:trPr>
        <w:tc>
          <w:tcPr>
            <w:tcW w:w="2620" w:type="dxa"/>
            <w:tcBorders>
              <w:top w:val="single" w:sz="8" w:space="0" w:color="auto"/>
              <w:left w:val="nil"/>
              <w:bottom w:val="single" w:sz="8" w:space="0" w:color="auto"/>
              <w:right w:val="nil"/>
            </w:tcBorders>
            <w:shd w:val="clear" w:color="auto" w:fill="auto"/>
            <w:noWrap/>
            <w:vAlign w:val="center"/>
            <w:hideMark/>
          </w:tcPr>
          <w:p w14:paraId="7FE73C88"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Glass series</w:t>
            </w:r>
          </w:p>
        </w:tc>
        <w:tc>
          <w:tcPr>
            <w:tcW w:w="2260" w:type="dxa"/>
            <w:tcBorders>
              <w:top w:val="single" w:sz="8" w:space="0" w:color="auto"/>
              <w:left w:val="nil"/>
              <w:bottom w:val="single" w:sz="8" w:space="0" w:color="auto"/>
              <w:right w:val="nil"/>
            </w:tcBorders>
            <w:shd w:val="clear" w:color="auto" w:fill="auto"/>
            <w:noWrap/>
            <w:vAlign w:val="center"/>
            <w:hideMark/>
          </w:tcPr>
          <w:p w14:paraId="650A231E"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Label</w:t>
            </w:r>
          </w:p>
        </w:tc>
        <w:tc>
          <w:tcPr>
            <w:tcW w:w="1420" w:type="dxa"/>
            <w:tcBorders>
              <w:top w:val="single" w:sz="8" w:space="0" w:color="auto"/>
              <w:left w:val="nil"/>
              <w:bottom w:val="single" w:sz="8" w:space="0" w:color="auto"/>
              <w:right w:val="nil"/>
            </w:tcBorders>
            <w:shd w:val="clear" w:color="auto" w:fill="auto"/>
            <w:noWrap/>
            <w:vAlign w:val="center"/>
            <w:hideMark/>
          </w:tcPr>
          <w:p w14:paraId="50F21D86"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 </w:t>
            </w:r>
          </w:p>
        </w:tc>
        <w:tc>
          <w:tcPr>
            <w:tcW w:w="960" w:type="dxa"/>
            <w:tcBorders>
              <w:top w:val="single" w:sz="8" w:space="0" w:color="auto"/>
              <w:left w:val="nil"/>
              <w:bottom w:val="single" w:sz="8" w:space="0" w:color="auto"/>
              <w:right w:val="nil"/>
            </w:tcBorders>
            <w:shd w:val="clear" w:color="auto" w:fill="auto"/>
            <w:noWrap/>
            <w:vAlign w:val="center"/>
            <w:hideMark/>
          </w:tcPr>
          <w:p w14:paraId="73637F8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2</w:t>
            </w:r>
          </w:p>
        </w:tc>
        <w:tc>
          <w:tcPr>
            <w:tcW w:w="960" w:type="dxa"/>
            <w:tcBorders>
              <w:top w:val="single" w:sz="8" w:space="0" w:color="auto"/>
              <w:left w:val="nil"/>
              <w:bottom w:val="single" w:sz="8" w:space="0" w:color="auto"/>
              <w:right w:val="nil"/>
            </w:tcBorders>
            <w:shd w:val="clear" w:color="auto" w:fill="auto"/>
            <w:noWrap/>
            <w:vAlign w:val="center"/>
            <w:hideMark/>
          </w:tcPr>
          <w:p w14:paraId="4B208D2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3</w:t>
            </w:r>
          </w:p>
        </w:tc>
        <w:tc>
          <w:tcPr>
            <w:tcW w:w="960" w:type="dxa"/>
            <w:tcBorders>
              <w:top w:val="single" w:sz="8" w:space="0" w:color="auto"/>
              <w:left w:val="nil"/>
              <w:bottom w:val="single" w:sz="8" w:space="0" w:color="auto"/>
              <w:right w:val="nil"/>
            </w:tcBorders>
            <w:shd w:val="clear" w:color="auto" w:fill="auto"/>
            <w:noWrap/>
            <w:vAlign w:val="center"/>
            <w:hideMark/>
          </w:tcPr>
          <w:p w14:paraId="3AD3D7A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3</w:t>
            </w:r>
          </w:p>
        </w:tc>
        <w:tc>
          <w:tcPr>
            <w:tcW w:w="960" w:type="dxa"/>
            <w:tcBorders>
              <w:top w:val="single" w:sz="8" w:space="0" w:color="auto"/>
              <w:left w:val="nil"/>
              <w:bottom w:val="single" w:sz="8" w:space="0" w:color="auto"/>
              <w:right w:val="nil"/>
            </w:tcBorders>
            <w:shd w:val="clear" w:color="auto" w:fill="auto"/>
            <w:noWrap/>
            <w:vAlign w:val="center"/>
            <w:hideMark/>
          </w:tcPr>
          <w:p w14:paraId="6C05DEC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4</w:t>
            </w:r>
          </w:p>
        </w:tc>
        <w:tc>
          <w:tcPr>
            <w:tcW w:w="960" w:type="dxa"/>
            <w:tcBorders>
              <w:top w:val="single" w:sz="8" w:space="0" w:color="auto"/>
              <w:left w:val="nil"/>
              <w:bottom w:val="single" w:sz="8" w:space="0" w:color="auto"/>
              <w:right w:val="nil"/>
            </w:tcBorders>
            <w:shd w:val="clear" w:color="auto" w:fill="auto"/>
            <w:noWrap/>
            <w:vAlign w:val="center"/>
            <w:hideMark/>
          </w:tcPr>
          <w:p w14:paraId="383FD3A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2</w:t>
            </w:r>
            <w:r w:rsidRPr="00C533F9">
              <w:rPr>
                <w:rFonts w:ascii="Calibri" w:eastAsia="Times New Roman" w:hAnsi="Calibri" w:cs="Times New Roman"/>
                <w:b w:val="0"/>
                <w:color w:val="000000"/>
                <w:sz w:val="20"/>
                <w:szCs w:val="20"/>
                <w:lang w:eastAsia="en-MY"/>
              </w:rPr>
              <w:t xml:space="preserve"> (%)</w:t>
            </w:r>
          </w:p>
        </w:tc>
        <w:tc>
          <w:tcPr>
            <w:tcW w:w="960" w:type="dxa"/>
            <w:tcBorders>
              <w:top w:val="single" w:sz="8" w:space="0" w:color="auto"/>
              <w:left w:val="nil"/>
              <w:bottom w:val="single" w:sz="8" w:space="0" w:color="auto"/>
              <w:right w:val="nil"/>
            </w:tcBorders>
            <w:shd w:val="clear" w:color="auto" w:fill="auto"/>
            <w:noWrap/>
            <w:vAlign w:val="center"/>
            <w:hideMark/>
          </w:tcPr>
          <w:p w14:paraId="03A78E6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3</w:t>
            </w:r>
            <w:r w:rsidRPr="00C533F9">
              <w:rPr>
                <w:rFonts w:ascii="Calibri" w:eastAsia="Times New Roman" w:hAnsi="Calibri" w:cs="Times New Roman"/>
                <w:b w:val="0"/>
                <w:color w:val="000000"/>
                <w:sz w:val="20"/>
                <w:szCs w:val="20"/>
                <w:lang w:eastAsia="en-MY"/>
              </w:rPr>
              <w:t xml:space="preserve"> (%)</w:t>
            </w:r>
          </w:p>
        </w:tc>
        <w:tc>
          <w:tcPr>
            <w:tcW w:w="960" w:type="dxa"/>
            <w:tcBorders>
              <w:top w:val="single" w:sz="8" w:space="0" w:color="auto"/>
              <w:left w:val="nil"/>
              <w:bottom w:val="single" w:sz="8" w:space="0" w:color="auto"/>
              <w:right w:val="nil"/>
            </w:tcBorders>
            <w:shd w:val="clear" w:color="auto" w:fill="auto"/>
            <w:noWrap/>
            <w:vAlign w:val="center"/>
            <w:hideMark/>
          </w:tcPr>
          <w:p w14:paraId="4E0ECC0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Q</w:t>
            </w:r>
            <w:r w:rsidRPr="00C533F9">
              <w:rPr>
                <w:rFonts w:ascii="Calibri" w:eastAsia="Times New Roman" w:hAnsi="Calibri" w:cs="Times New Roman"/>
                <w:b w:val="0"/>
                <w:color w:val="000000"/>
                <w:sz w:val="20"/>
                <w:szCs w:val="20"/>
                <w:vertAlign w:val="subscript"/>
                <w:lang w:eastAsia="en-MY"/>
              </w:rPr>
              <w:t xml:space="preserve">4 </w:t>
            </w:r>
            <w:r w:rsidRPr="00C533F9">
              <w:rPr>
                <w:rFonts w:ascii="Calibri" w:eastAsia="Times New Roman" w:hAnsi="Calibri" w:cs="Times New Roman"/>
                <w:b w:val="0"/>
                <w:color w:val="000000"/>
                <w:sz w:val="20"/>
                <w:szCs w:val="20"/>
                <w:lang w:eastAsia="en-MY"/>
              </w:rPr>
              <w:t>(%)</w:t>
            </w:r>
          </w:p>
        </w:tc>
      </w:tr>
      <w:tr w:rsidR="00CB5F95" w:rsidRPr="00C533F9" w14:paraId="30BE878F" w14:textId="77777777" w:rsidTr="00CB5F95">
        <w:trPr>
          <w:trHeight w:val="300"/>
        </w:trPr>
        <w:tc>
          <w:tcPr>
            <w:tcW w:w="2620" w:type="dxa"/>
            <w:vMerge w:val="restart"/>
            <w:tcBorders>
              <w:top w:val="nil"/>
              <w:left w:val="nil"/>
              <w:bottom w:val="single" w:sz="8" w:space="0" w:color="000000"/>
              <w:right w:val="nil"/>
            </w:tcBorders>
            <w:shd w:val="clear" w:color="auto" w:fill="auto"/>
            <w:noWrap/>
            <w:vAlign w:val="center"/>
            <w:hideMark/>
          </w:tcPr>
          <w:p w14:paraId="41E343CB"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x</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2</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78-x</w:t>
            </w:r>
          </w:p>
        </w:tc>
        <w:tc>
          <w:tcPr>
            <w:tcW w:w="2260" w:type="dxa"/>
            <w:tcBorders>
              <w:top w:val="nil"/>
              <w:left w:val="nil"/>
              <w:bottom w:val="nil"/>
              <w:right w:val="nil"/>
            </w:tcBorders>
            <w:shd w:val="clear" w:color="auto" w:fill="auto"/>
            <w:noWrap/>
            <w:vAlign w:val="bottom"/>
            <w:hideMark/>
          </w:tcPr>
          <w:p w14:paraId="46ACA3C7"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2.5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2</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75.5</w:t>
            </w:r>
          </w:p>
        </w:tc>
        <w:tc>
          <w:tcPr>
            <w:tcW w:w="1420" w:type="dxa"/>
            <w:tcBorders>
              <w:top w:val="nil"/>
              <w:left w:val="nil"/>
              <w:bottom w:val="nil"/>
              <w:right w:val="nil"/>
            </w:tcBorders>
            <w:shd w:val="clear" w:color="auto" w:fill="auto"/>
            <w:noWrap/>
            <w:vAlign w:val="center"/>
            <w:hideMark/>
          </w:tcPr>
          <w:p w14:paraId="6813EBBF"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5F47F22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0.05</w:t>
            </w:r>
          </w:p>
        </w:tc>
        <w:tc>
          <w:tcPr>
            <w:tcW w:w="960" w:type="dxa"/>
            <w:tcBorders>
              <w:top w:val="nil"/>
              <w:left w:val="nil"/>
              <w:bottom w:val="nil"/>
              <w:right w:val="nil"/>
            </w:tcBorders>
            <w:shd w:val="clear" w:color="auto" w:fill="auto"/>
            <w:noWrap/>
            <w:vAlign w:val="center"/>
            <w:hideMark/>
          </w:tcPr>
          <w:p w14:paraId="66218DF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0.22</w:t>
            </w:r>
          </w:p>
        </w:tc>
        <w:tc>
          <w:tcPr>
            <w:tcW w:w="960" w:type="dxa"/>
            <w:tcBorders>
              <w:top w:val="nil"/>
              <w:left w:val="nil"/>
              <w:bottom w:val="nil"/>
              <w:right w:val="nil"/>
            </w:tcBorders>
            <w:shd w:val="clear" w:color="auto" w:fill="auto"/>
            <w:noWrap/>
            <w:vAlign w:val="center"/>
            <w:hideMark/>
          </w:tcPr>
          <w:p w14:paraId="3051429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0.41</w:t>
            </w:r>
          </w:p>
        </w:tc>
        <w:tc>
          <w:tcPr>
            <w:tcW w:w="960" w:type="dxa"/>
            <w:tcBorders>
              <w:top w:val="nil"/>
              <w:left w:val="nil"/>
              <w:bottom w:val="nil"/>
              <w:right w:val="nil"/>
            </w:tcBorders>
            <w:shd w:val="clear" w:color="auto" w:fill="auto"/>
            <w:noWrap/>
            <w:vAlign w:val="center"/>
            <w:hideMark/>
          </w:tcPr>
          <w:p w14:paraId="38742AE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0.32</w:t>
            </w:r>
          </w:p>
        </w:tc>
        <w:tc>
          <w:tcPr>
            <w:tcW w:w="960" w:type="dxa"/>
            <w:tcBorders>
              <w:top w:val="nil"/>
              <w:left w:val="nil"/>
              <w:bottom w:val="nil"/>
              <w:right w:val="nil"/>
            </w:tcBorders>
            <w:shd w:val="clear" w:color="auto" w:fill="auto"/>
            <w:noWrap/>
            <w:vAlign w:val="center"/>
            <w:hideMark/>
          </w:tcPr>
          <w:p w14:paraId="5B9E41B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5.18</w:t>
            </w:r>
          </w:p>
        </w:tc>
        <w:tc>
          <w:tcPr>
            <w:tcW w:w="960" w:type="dxa"/>
            <w:tcBorders>
              <w:top w:val="nil"/>
              <w:left w:val="nil"/>
              <w:bottom w:val="nil"/>
              <w:right w:val="nil"/>
            </w:tcBorders>
            <w:shd w:val="clear" w:color="auto" w:fill="auto"/>
            <w:noWrap/>
            <w:vAlign w:val="center"/>
            <w:hideMark/>
          </w:tcPr>
          <w:p w14:paraId="614C285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63.28</w:t>
            </w:r>
          </w:p>
        </w:tc>
        <w:tc>
          <w:tcPr>
            <w:tcW w:w="960" w:type="dxa"/>
            <w:tcBorders>
              <w:top w:val="nil"/>
              <w:left w:val="nil"/>
              <w:bottom w:val="nil"/>
              <w:right w:val="nil"/>
            </w:tcBorders>
            <w:shd w:val="clear" w:color="auto" w:fill="auto"/>
            <w:noWrap/>
            <w:vAlign w:val="center"/>
            <w:hideMark/>
          </w:tcPr>
          <w:p w14:paraId="41B3FB5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31.53</w:t>
            </w:r>
          </w:p>
        </w:tc>
      </w:tr>
      <w:tr w:rsidR="00CB5F95" w:rsidRPr="00C533F9" w14:paraId="77616EE5" w14:textId="77777777" w:rsidTr="00CB5F95">
        <w:trPr>
          <w:trHeight w:val="300"/>
        </w:trPr>
        <w:tc>
          <w:tcPr>
            <w:tcW w:w="2620" w:type="dxa"/>
            <w:vMerge/>
            <w:tcBorders>
              <w:top w:val="nil"/>
              <w:left w:val="nil"/>
              <w:bottom w:val="single" w:sz="8" w:space="0" w:color="000000"/>
              <w:right w:val="nil"/>
            </w:tcBorders>
            <w:vAlign w:val="center"/>
            <w:hideMark/>
          </w:tcPr>
          <w:p w14:paraId="186346F4"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nil"/>
              <w:right w:val="nil"/>
            </w:tcBorders>
            <w:shd w:val="clear" w:color="auto" w:fill="auto"/>
            <w:noWrap/>
            <w:vAlign w:val="center"/>
            <w:hideMark/>
          </w:tcPr>
          <w:p w14:paraId="33A5B57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420" w:type="dxa"/>
            <w:tcBorders>
              <w:top w:val="nil"/>
              <w:left w:val="nil"/>
              <w:bottom w:val="nil"/>
              <w:right w:val="nil"/>
            </w:tcBorders>
            <w:shd w:val="clear" w:color="auto" w:fill="auto"/>
            <w:noWrap/>
            <w:vAlign w:val="center"/>
            <w:hideMark/>
          </w:tcPr>
          <w:p w14:paraId="773054B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1430298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910.22</w:t>
            </w:r>
          </w:p>
        </w:tc>
        <w:tc>
          <w:tcPr>
            <w:tcW w:w="960" w:type="dxa"/>
            <w:tcBorders>
              <w:top w:val="nil"/>
              <w:left w:val="nil"/>
              <w:bottom w:val="nil"/>
              <w:right w:val="nil"/>
            </w:tcBorders>
            <w:shd w:val="clear" w:color="auto" w:fill="auto"/>
            <w:noWrap/>
            <w:vAlign w:val="center"/>
            <w:hideMark/>
          </w:tcPr>
          <w:p w14:paraId="16B53F7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993.02</w:t>
            </w:r>
          </w:p>
        </w:tc>
        <w:tc>
          <w:tcPr>
            <w:tcW w:w="960" w:type="dxa"/>
            <w:tcBorders>
              <w:top w:val="nil"/>
              <w:left w:val="nil"/>
              <w:bottom w:val="nil"/>
              <w:right w:val="nil"/>
            </w:tcBorders>
            <w:shd w:val="clear" w:color="auto" w:fill="auto"/>
            <w:noWrap/>
            <w:vAlign w:val="center"/>
            <w:hideMark/>
          </w:tcPr>
          <w:p w14:paraId="4250668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1073.79</w:t>
            </w:r>
          </w:p>
        </w:tc>
        <w:tc>
          <w:tcPr>
            <w:tcW w:w="960" w:type="dxa"/>
            <w:tcBorders>
              <w:top w:val="nil"/>
              <w:left w:val="nil"/>
              <w:bottom w:val="nil"/>
              <w:right w:val="nil"/>
            </w:tcBorders>
            <w:shd w:val="clear" w:color="auto" w:fill="auto"/>
            <w:noWrap/>
            <w:vAlign w:val="center"/>
            <w:hideMark/>
          </w:tcPr>
          <w:p w14:paraId="217A795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1163.5</w:t>
            </w:r>
          </w:p>
        </w:tc>
        <w:tc>
          <w:tcPr>
            <w:tcW w:w="960" w:type="dxa"/>
            <w:tcBorders>
              <w:top w:val="nil"/>
              <w:left w:val="nil"/>
              <w:bottom w:val="nil"/>
              <w:right w:val="nil"/>
            </w:tcBorders>
            <w:shd w:val="clear" w:color="auto" w:fill="auto"/>
            <w:noWrap/>
            <w:vAlign w:val="center"/>
            <w:hideMark/>
          </w:tcPr>
          <w:p w14:paraId="728E348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54822025"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1F180415"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19C7FD9E" w14:textId="77777777" w:rsidTr="00CB5F95">
        <w:trPr>
          <w:trHeight w:val="300"/>
        </w:trPr>
        <w:tc>
          <w:tcPr>
            <w:tcW w:w="2620" w:type="dxa"/>
            <w:vMerge/>
            <w:tcBorders>
              <w:top w:val="nil"/>
              <w:left w:val="nil"/>
              <w:bottom w:val="single" w:sz="8" w:space="0" w:color="000000"/>
              <w:right w:val="nil"/>
            </w:tcBorders>
            <w:vAlign w:val="center"/>
            <w:hideMark/>
          </w:tcPr>
          <w:p w14:paraId="6FE83C27"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nil"/>
              <w:right w:val="nil"/>
            </w:tcBorders>
            <w:shd w:val="clear" w:color="auto" w:fill="auto"/>
            <w:noWrap/>
            <w:vAlign w:val="bottom"/>
            <w:hideMark/>
          </w:tcPr>
          <w:p w14:paraId="3B5892D6"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2</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73</w:t>
            </w:r>
          </w:p>
        </w:tc>
        <w:tc>
          <w:tcPr>
            <w:tcW w:w="1420" w:type="dxa"/>
            <w:tcBorders>
              <w:top w:val="nil"/>
              <w:left w:val="nil"/>
              <w:bottom w:val="nil"/>
              <w:right w:val="nil"/>
            </w:tcBorders>
            <w:shd w:val="clear" w:color="auto" w:fill="auto"/>
            <w:noWrap/>
            <w:vAlign w:val="center"/>
            <w:hideMark/>
          </w:tcPr>
          <w:p w14:paraId="50060085"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114ED3E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0.06</w:t>
            </w:r>
          </w:p>
        </w:tc>
        <w:tc>
          <w:tcPr>
            <w:tcW w:w="960" w:type="dxa"/>
            <w:tcBorders>
              <w:top w:val="nil"/>
              <w:left w:val="nil"/>
              <w:bottom w:val="nil"/>
              <w:right w:val="nil"/>
            </w:tcBorders>
            <w:shd w:val="clear" w:color="auto" w:fill="auto"/>
            <w:noWrap/>
            <w:vAlign w:val="center"/>
            <w:hideMark/>
          </w:tcPr>
          <w:p w14:paraId="1824C3E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0.16</w:t>
            </w:r>
          </w:p>
        </w:tc>
        <w:tc>
          <w:tcPr>
            <w:tcW w:w="960" w:type="dxa"/>
            <w:tcBorders>
              <w:top w:val="nil"/>
              <w:left w:val="nil"/>
              <w:bottom w:val="nil"/>
              <w:right w:val="nil"/>
            </w:tcBorders>
            <w:shd w:val="clear" w:color="auto" w:fill="auto"/>
            <w:noWrap/>
            <w:vAlign w:val="center"/>
            <w:hideMark/>
          </w:tcPr>
          <w:p w14:paraId="557C2D1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0.51</w:t>
            </w:r>
          </w:p>
        </w:tc>
        <w:tc>
          <w:tcPr>
            <w:tcW w:w="960" w:type="dxa"/>
            <w:tcBorders>
              <w:top w:val="nil"/>
              <w:left w:val="nil"/>
              <w:bottom w:val="nil"/>
              <w:right w:val="nil"/>
            </w:tcBorders>
            <w:shd w:val="clear" w:color="auto" w:fill="auto"/>
            <w:noWrap/>
            <w:vAlign w:val="center"/>
            <w:hideMark/>
          </w:tcPr>
          <w:p w14:paraId="17DB943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0.27</w:t>
            </w:r>
          </w:p>
        </w:tc>
        <w:tc>
          <w:tcPr>
            <w:tcW w:w="960" w:type="dxa"/>
            <w:tcBorders>
              <w:top w:val="nil"/>
              <w:left w:val="nil"/>
              <w:bottom w:val="nil"/>
              <w:right w:val="nil"/>
            </w:tcBorders>
            <w:shd w:val="clear" w:color="auto" w:fill="auto"/>
            <w:noWrap/>
            <w:vAlign w:val="center"/>
            <w:hideMark/>
          </w:tcPr>
          <w:p w14:paraId="5DD1E44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5.55</w:t>
            </w:r>
          </w:p>
        </w:tc>
        <w:tc>
          <w:tcPr>
            <w:tcW w:w="960" w:type="dxa"/>
            <w:tcBorders>
              <w:top w:val="nil"/>
              <w:left w:val="nil"/>
              <w:bottom w:val="nil"/>
              <w:right w:val="nil"/>
            </w:tcBorders>
            <w:shd w:val="clear" w:color="auto" w:fill="auto"/>
            <w:noWrap/>
            <w:vAlign w:val="center"/>
            <w:hideMark/>
          </w:tcPr>
          <w:p w14:paraId="582FAA5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67.59</w:t>
            </w:r>
          </w:p>
        </w:tc>
        <w:tc>
          <w:tcPr>
            <w:tcW w:w="960" w:type="dxa"/>
            <w:tcBorders>
              <w:top w:val="nil"/>
              <w:left w:val="nil"/>
              <w:bottom w:val="nil"/>
              <w:right w:val="nil"/>
            </w:tcBorders>
            <w:shd w:val="clear" w:color="auto" w:fill="auto"/>
            <w:noWrap/>
            <w:vAlign w:val="center"/>
            <w:hideMark/>
          </w:tcPr>
          <w:p w14:paraId="37A6EC6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26.86</w:t>
            </w:r>
          </w:p>
        </w:tc>
      </w:tr>
      <w:tr w:rsidR="00CB5F95" w:rsidRPr="00C533F9" w14:paraId="79EE7FD2" w14:textId="77777777" w:rsidTr="00CB5F95">
        <w:trPr>
          <w:trHeight w:val="300"/>
        </w:trPr>
        <w:tc>
          <w:tcPr>
            <w:tcW w:w="2620" w:type="dxa"/>
            <w:vMerge/>
            <w:tcBorders>
              <w:top w:val="nil"/>
              <w:left w:val="nil"/>
              <w:bottom w:val="single" w:sz="8" w:space="0" w:color="000000"/>
              <w:right w:val="nil"/>
            </w:tcBorders>
            <w:vAlign w:val="center"/>
            <w:hideMark/>
          </w:tcPr>
          <w:p w14:paraId="285953D7"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nil"/>
              <w:right w:val="nil"/>
            </w:tcBorders>
            <w:shd w:val="clear" w:color="auto" w:fill="auto"/>
            <w:noWrap/>
            <w:vAlign w:val="center"/>
            <w:hideMark/>
          </w:tcPr>
          <w:p w14:paraId="05F236D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420" w:type="dxa"/>
            <w:tcBorders>
              <w:top w:val="nil"/>
              <w:left w:val="nil"/>
              <w:bottom w:val="nil"/>
              <w:right w:val="nil"/>
            </w:tcBorders>
            <w:shd w:val="clear" w:color="auto" w:fill="auto"/>
            <w:noWrap/>
            <w:vAlign w:val="center"/>
            <w:hideMark/>
          </w:tcPr>
          <w:p w14:paraId="382EF13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7BE857F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916.25</w:t>
            </w:r>
          </w:p>
        </w:tc>
        <w:tc>
          <w:tcPr>
            <w:tcW w:w="960" w:type="dxa"/>
            <w:tcBorders>
              <w:top w:val="nil"/>
              <w:left w:val="nil"/>
              <w:bottom w:val="nil"/>
              <w:right w:val="nil"/>
            </w:tcBorders>
            <w:shd w:val="clear" w:color="auto" w:fill="auto"/>
            <w:noWrap/>
            <w:vAlign w:val="center"/>
            <w:hideMark/>
          </w:tcPr>
          <w:p w14:paraId="1B82A2A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988.68</w:t>
            </w:r>
          </w:p>
        </w:tc>
        <w:tc>
          <w:tcPr>
            <w:tcW w:w="960" w:type="dxa"/>
            <w:tcBorders>
              <w:top w:val="nil"/>
              <w:left w:val="nil"/>
              <w:bottom w:val="nil"/>
              <w:right w:val="nil"/>
            </w:tcBorders>
            <w:shd w:val="clear" w:color="auto" w:fill="auto"/>
            <w:noWrap/>
            <w:vAlign w:val="center"/>
            <w:hideMark/>
          </w:tcPr>
          <w:p w14:paraId="7DA69BE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1070.83</w:t>
            </w:r>
          </w:p>
        </w:tc>
        <w:tc>
          <w:tcPr>
            <w:tcW w:w="960" w:type="dxa"/>
            <w:tcBorders>
              <w:top w:val="nil"/>
              <w:left w:val="nil"/>
              <w:bottom w:val="nil"/>
              <w:right w:val="nil"/>
            </w:tcBorders>
            <w:shd w:val="clear" w:color="auto" w:fill="auto"/>
            <w:noWrap/>
            <w:vAlign w:val="center"/>
            <w:hideMark/>
          </w:tcPr>
          <w:p w14:paraId="7BB913A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1166.19</w:t>
            </w:r>
          </w:p>
        </w:tc>
        <w:tc>
          <w:tcPr>
            <w:tcW w:w="960" w:type="dxa"/>
            <w:tcBorders>
              <w:top w:val="nil"/>
              <w:left w:val="nil"/>
              <w:bottom w:val="nil"/>
              <w:right w:val="nil"/>
            </w:tcBorders>
            <w:shd w:val="clear" w:color="auto" w:fill="auto"/>
            <w:noWrap/>
            <w:vAlign w:val="center"/>
            <w:hideMark/>
          </w:tcPr>
          <w:p w14:paraId="063433B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1BB05D3B"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57F555EE"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78AAB0F0" w14:textId="77777777" w:rsidTr="00CB5F95">
        <w:trPr>
          <w:trHeight w:val="300"/>
        </w:trPr>
        <w:tc>
          <w:tcPr>
            <w:tcW w:w="2620" w:type="dxa"/>
            <w:vMerge/>
            <w:tcBorders>
              <w:top w:val="nil"/>
              <w:left w:val="nil"/>
              <w:bottom w:val="single" w:sz="8" w:space="0" w:color="000000"/>
              <w:right w:val="nil"/>
            </w:tcBorders>
            <w:vAlign w:val="center"/>
            <w:hideMark/>
          </w:tcPr>
          <w:p w14:paraId="4DAA9EDD"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nil"/>
              <w:right w:val="nil"/>
            </w:tcBorders>
            <w:shd w:val="clear" w:color="auto" w:fill="auto"/>
            <w:noWrap/>
            <w:vAlign w:val="bottom"/>
            <w:hideMark/>
          </w:tcPr>
          <w:p w14:paraId="259D5CA1"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7.5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2</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70.5</w:t>
            </w:r>
          </w:p>
        </w:tc>
        <w:tc>
          <w:tcPr>
            <w:tcW w:w="1420" w:type="dxa"/>
            <w:tcBorders>
              <w:top w:val="nil"/>
              <w:left w:val="nil"/>
              <w:bottom w:val="nil"/>
              <w:right w:val="nil"/>
            </w:tcBorders>
            <w:shd w:val="clear" w:color="auto" w:fill="auto"/>
            <w:noWrap/>
            <w:vAlign w:val="center"/>
            <w:hideMark/>
          </w:tcPr>
          <w:p w14:paraId="20F745E3"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4940CE2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0.04</w:t>
            </w:r>
          </w:p>
        </w:tc>
        <w:tc>
          <w:tcPr>
            <w:tcW w:w="960" w:type="dxa"/>
            <w:tcBorders>
              <w:top w:val="nil"/>
              <w:left w:val="nil"/>
              <w:bottom w:val="nil"/>
              <w:right w:val="nil"/>
            </w:tcBorders>
            <w:shd w:val="clear" w:color="auto" w:fill="auto"/>
            <w:noWrap/>
            <w:vAlign w:val="center"/>
            <w:hideMark/>
          </w:tcPr>
          <w:p w14:paraId="5632CE2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0.18</w:t>
            </w:r>
          </w:p>
        </w:tc>
        <w:tc>
          <w:tcPr>
            <w:tcW w:w="960" w:type="dxa"/>
            <w:tcBorders>
              <w:top w:val="nil"/>
              <w:left w:val="nil"/>
              <w:bottom w:val="nil"/>
              <w:right w:val="nil"/>
            </w:tcBorders>
            <w:shd w:val="clear" w:color="auto" w:fill="auto"/>
            <w:noWrap/>
            <w:vAlign w:val="center"/>
            <w:hideMark/>
          </w:tcPr>
          <w:p w14:paraId="761C337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0.53</w:t>
            </w:r>
          </w:p>
        </w:tc>
        <w:tc>
          <w:tcPr>
            <w:tcW w:w="960" w:type="dxa"/>
            <w:tcBorders>
              <w:top w:val="nil"/>
              <w:left w:val="nil"/>
              <w:bottom w:val="nil"/>
              <w:right w:val="nil"/>
            </w:tcBorders>
            <w:shd w:val="clear" w:color="auto" w:fill="auto"/>
            <w:noWrap/>
            <w:vAlign w:val="center"/>
            <w:hideMark/>
          </w:tcPr>
          <w:p w14:paraId="32EE5E8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0.25</w:t>
            </w:r>
          </w:p>
        </w:tc>
        <w:tc>
          <w:tcPr>
            <w:tcW w:w="960" w:type="dxa"/>
            <w:tcBorders>
              <w:top w:val="nil"/>
              <w:left w:val="nil"/>
              <w:bottom w:val="nil"/>
              <w:right w:val="nil"/>
            </w:tcBorders>
            <w:shd w:val="clear" w:color="auto" w:fill="auto"/>
            <w:noWrap/>
            <w:vAlign w:val="center"/>
            <w:hideMark/>
          </w:tcPr>
          <w:p w14:paraId="7DAC366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4.27</w:t>
            </w:r>
          </w:p>
        </w:tc>
        <w:tc>
          <w:tcPr>
            <w:tcW w:w="960" w:type="dxa"/>
            <w:tcBorders>
              <w:top w:val="nil"/>
              <w:left w:val="nil"/>
              <w:bottom w:val="nil"/>
              <w:right w:val="nil"/>
            </w:tcBorders>
            <w:shd w:val="clear" w:color="auto" w:fill="auto"/>
            <w:noWrap/>
            <w:vAlign w:val="center"/>
            <w:hideMark/>
          </w:tcPr>
          <w:p w14:paraId="52B1034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71.05</w:t>
            </w:r>
          </w:p>
        </w:tc>
        <w:tc>
          <w:tcPr>
            <w:tcW w:w="960" w:type="dxa"/>
            <w:tcBorders>
              <w:top w:val="nil"/>
              <w:left w:val="nil"/>
              <w:bottom w:val="nil"/>
              <w:right w:val="nil"/>
            </w:tcBorders>
            <w:shd w:val="clear" w:color="auto" w:fill="auto"/>
            <w:noWrap/>
            <w:vAlign w:val="center"/>
            <w:hideMark/>
          </w:tcPr>
          <w:p w14:paraId="6BD8D68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24.68</w:t>
            </w:r>
          </w:p>
        </w:tc>
      </w:tr>
      <w:tr w:rsidR="00CB5F95" w:rsidRPr="00C533F9" w14:paraId="3BF84DC8" w14:textId="77777777" w:rsidTr="00CB5F95">
        <w:trPr>
          <w:trHeight w:val="315"/>
        </w:trPr>
        <w:tc>
          <w:tcPr>
            <w:tcW w:w="2620" w:type="dxa"/>
            <w:vMerge/>
            <w:tcBorders>
              <w:top w:val="nil"/>
              <w:left w:val="nil"/>
              <w:bottom w:val="single" w:sz="8" w:space="0" w:color="000000"/>
              <w:right w:val="nil"/>
            </w:tcBorders>
            <w:vAlign w:val="center"/>
            <w:hideMark/>
          </w:tcPr>
          <w:p w14:paraId="4752D482"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single" w:sz="8" w:space="0" w:color="auto"/>
              <w:right w:val="nil"/>
            </w:tcBorders>
            <w:shd w:val="clear" w:color="auto" w:fill="auto"/>
            <w:noWrap/>
            <w:vAlign w:val="center"/>
            <w:hideMark/>
          </w:tcPr>
          <w:p w14:paraId="4FAF59A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1420" w:type="dxa"/>
            <w:tcBorders>
              <w:top w:val="nil"/>
              <w:left w:val="nil"/>
              <w:bottom w:val="single" w:sz="8" w:space="0" w:color="auto"/>
              <w:right w:val="nil"/>
            </w:tcBorders>
            <w:shd w:val="clear" w:color="auto" w:fill="auto"/>
            <w:noWrap/>
            <w:vAlign w:val="center"/>
            <w:hideMark/>
          </w:tcPr>
          <w:p w14:paraId="150FB1D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single" w:sz="8" w:space="0" w:color="auto"/>
              <w:right w:val="nil"/>
            </w:tcBorders>
            <w:shd w:val="clear" w:color="auto" w:fill="auto"/>
            <w:noWrap/>
            <w:vAlign w:val="center"/>
            <w:hideMark/>
          </w:tcPr>
          <w:p w14:paraId="1625575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916.82</w:t>
            </w:r>
          </w:p>
        </w:tc>
        <w:tc>
          <w:tcPr>
            <w:tcW w:w="960" w:type="dxa"/>
            <w:tcBorders>
              <w:top w:val="nil"/>
              <w:left w:val="nil"/>
              <w:bottom w:val="single" w:sz="8" w:space="0" w:color="auto"/>
              <w:right w:val="nil"/>
            </w:tcBorders>
            <w:shd w:val="clear" w:color="auto" w:fill="auto"/>
            <w:noWrap/>
            <w:vAlign w:val="center"/>
            <w:hideMark/>
          </w:tcPr>
          <w:p w14:paraId="3194C28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987.99</w:t>
            </w:r>
          </w:p>
        </w:tc>
        <w:tc>
          <w:tcPr>
            <w:tcW w:w="960" w:type="dxa"/>
            <w:tcBorders>
              <w:top w:val="nil"/>
              <w:left w:val="nil"/>
              <w:bottom w:val="single" w:sz="8" w:space="0" w:color="auto"/>
              <w:right w:val="nil"/>
            </w:tcBorders>
            <w:shd w:val="clear" w:color="auto" w:fill="auto"/>
            <w:noWrap/>
            <w:vAlign w:val="center"/>
            <w:hideMark/>
          </w:tcPr>
          <w:p w14:paraId="32F8978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1071.13</w:t>
            </w:r>
          </w:p>
        </w:tc>
        <w:tc>
          <w:tcPr>
            <w:tcW w:w="960" w:type="dxa"/>
            <w:tcBorders>
              <w:top w:val="nil"/>
              <w:left w:val="nil"/>
              <w:bottom w:val="single" w:sz="8" w:space="0" w:color="auto"/>
              <w:right w:val="nil"/>
            </w:tcBorders>
            <w:shd w:val="clear" w:color="auto" w:fill="auto"/>
            <w:noWrap/>
            <w:vAlign w:val="center"/>
            <w:hideMark/>
          </w:tcPr>
          <w:p w14:paraId="05D9FD0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1163.84</w:t>
            </w:r>
          </w:p>
        </w:tc>
        <w:tc>
          <w:tcPr>
            <w:tcW w:w="960" w:type="dxa"/>
            <w:tcBorders>
              <w:top w:val="nil"/>
              <w:left w:val="nil"/>
              <w:bottom w:val="single" w:sz="8" w:space="0" w:color="auto"/>
              <w:right w:val="nil"/>
            </w:tcBorders>
            <w:shd w:val="clear" w:color="auto" w:fill="auto"/>
            <w:noWrap/>
            <w:vAlign w:val="center"/>
            <w:hideMark/>
          </w:tcPr>
          <w:p w14:paraId="16CB8C2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19CC223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47484E8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r>
      <w:tr w:rsidR="00CB5F95" w:rsidRPr="00C533F9" w14:paraId="2AB31ED0" w14:textId="77777777" w:rsidTr="00CB5F95">
        <w:trPr>
          <w:trHeight w:val="300"/>
        </w:trPr>
        <w:tc>
          <w:tcPr>
            <w:tcW w:w="2620" w:type="dxa"/>
            <w:vMerge w:val="restart"/>
            <w:tcBorders>
              <w:top w:val="nil"/>
              <w:left w:val="nil"/>
              <w:bottom w:val="single" w:sz="8" w:space="0" w:color="000000"/>
              <w:right w:val="nil"/>
            </w:tcBorders>
            <w:shd w:val="clear" w:color="auto" w:fill="auto"/>
            <w:noWrap/>
            <w:vAlign w:val="center"/>
            <w:hideMark/>
          </w:tcPr>
          <w:p w14:paraId="3FCCBDDC"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x</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2</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73-x</w:t>
            </w:r>
          </w:p>
        </w:tc>
        <w:tc>
          <w:tcPr>
            <w:tcW w:w="2260" w:type="dxa"/>
            <w:tcBorders>
              <w:top w:val="nil"/>
              <w:left w:val="nil"/>
              <w:bottom w:val="nil"/>
              <w:right w:val="nil"/>
            </w:tcBorders>
            <w:shd w:val="clear" w:color="auto" w:fill="auto"/>
            <w:noWrap/>
            <w:vAlign w:val="bottom"/>
            <w:hideMark/>
          </w:tcPr>
          <w:p w14:paraId="2C9C7059"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7.5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2</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65.5</w:t>
            </w:r>
          </w:p>
        </w:tc>
        <w:tc>
          <w:tcPr>
            <w:tcW w:w="1420" w:type="dxa"/>
            <w:tcBorders>
              <w:top w:val="nil"/>
              <w:left w:val="nil"/>
              <w:bottom w:val="nil"/>
              <w:right w:val="nil"/>
            </w:tcBorders>
            <w:shd w:val="clear" w:color="auto" w:fill="auto"/>
            <w:noWrap/>
            <w:vAlign w:val="center"/>
            <w:hideMark/>
          </w:tcPr>
          <w:p w14:paraId="088ECE7E"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6994682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0.12</w:t>
            </w:r>
          </w:p>
        </w:tc>
        <w:tc>
          <w:tcPr>
            <w:tcW w:w="960" w:type="dxa"/>
            <w:tcBorders>
              <w:top w:val="nil"/>
              <w:left w:val="nil"/>
              <w:bottom w:val="nil"/>
              <w:right w:val="nil"/>
            </w:tcBorders>
            <w:shd w:val="clear" w:color="auto" w:fill="auto"/>
            <w:noWrap/>
            <w:vAlign w:val="center"/>
            <w:hideMark/>
          </w:tcPr>
          <w:p w14:paraId="7D6D6D3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0.27</w:t>
            </w:r>
          </w:p>
        </w:tc>
        <w:tc>
          <w:tcPr>
            <w:tcW w:w="960" w:type="dxa"/>
            <w:tcBorders>
              <w:top w:val="nil"/>
              <w:left w:val="nil"/>
              <w:bottom w:val="nil"/>
              <w:right w:val="nil"/>
            </w:tcBorders>
            <w:shd w:val="clear" w:color="auto" w:fill="auto"/>
            <w:noWrap/>
            <w:vAlign w:val="center"/>
            <w:hideMark/>
          </w:tcPr>
          <w:p w14:paraId="6A040C9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0.36</w:t>
            </w:r>
          </w:p>
        </w:tc>
        <w:tc>
          <w:tcPr>
            <w:tcW w:w="960" w:type="dxa"/>
            <w:tcBorders>
              <w:top w:val="nil"/>
              <w:left w:val="nil"/>
              <w:bottom w:val="nil"/>
              <w:right w:val="nil"/>
            </w:tcBorders>
            <w:shd w:val="clear" w:color="auto" w:fill="auto"/>
            <w:noWrap/>
            <w:vAlign w:val="center"/>
            <w:hideMark/>
          </w:tcPr>
          <w:p w14:paraId="38647B8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0.21</w:t>
            </w:r>
          </w:p>
        </w:tc>
        <w:tc>
          <w:tcPr>
            <w:tcW w:w="960" w:type="dxa"/>
            <w:tcBorders>
              <w:top w:val="nil"/>
              <w:left w:val="nil"/>
              <w:bottom w:val="nil"/>
              <w:right w:val="nil"/>
            </w:tcBorders>
            <w:shd w:val="clear" w:color="auto" w:fill="auto"/>
            <w:noWrap/>
            <w:vAlign w:val="center"/>
            <w:hideMark/>
          </w:tcPr>
          <w:p w14:paraId="01E41FD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12.55</w:t>
            </w:r>
          </w:p>
        </w:tc>
        <w:tc>
          <w:tcPr>
            <w:tcW w:w="960" w:type="dxa"/>
            <w:tcBorders>
              <w:top w:val="nil"/>
              <w:left w:val="nil"/>
              <w:bottom w:val="nil"/>
              <w:right w:val="nil"/>
            </w:tcBorders>
            <w:shd w:val="clear" w:color="auto" w:fill="auto"/>
            <w:noWrap/>
            <w:vAlign w:val="center"/>
            <w:hideMark/>
          </w:tcPr>
          <w:p w14:paraId="27A5881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65.78</w:t>
            </w:r>
          </w:p>
        </w:tc>
        <w:tc>
          <w:tcPr>
            <w:tcW w:w="960" w:type="dxa"/>
            <w:tcBorders>
              <w:top w:val="nil"/>
              <w:left w:val="nil"/>
              <w:bottom w:val="nil"/>
              <w:right w:val="nil"/>
            </w:tcBorders>
            <w:shd w:val="clear" w:color="auto" w:fill="auto"/>
            <w:noWrap/>
            <w:vAlign w:val="center"/>
            <w:hideMark/>
          </w:tcPr>
          <w:p w14:paraId="1462BB2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21.68</w:t>
            </w:r>
          </w:p>
        </w:tc>
      </w:tr>
      <w:tr w:rsidR="00CB5F95" w:rsidRPr="00C533F9" w14:paraId="170B8E01" w14:textId="77777777" w:rsidTr="00CB5F95">
        <w:trPr>
          <w:trHeight w:val="300"/>
        </w:trPr>
        <w:tc>
          <w:tcPr>
            <w:tcW w:w="2620" w:type="dxa"/>
            <w:vMerge/>
            <w:tcBorders>
              <w:top w:val="nil"/>
              <w:left w:val="nil"/>
              <w:bottom w:val="single" w:sz="8" w:space="0" w:color="000000"/>
              <w:right w:val="nil"/>
            </w:tcBorders>
            <w:vAlign w:val="center"/>
            <w:hideMark/>
          </w:tcPr>
          <w:p w14:paraId="34B1E243"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nil"/>
              <w:right w:val="nil"/>
            </w:tcBorders>
            <w:shd w:val="clear" w:color="auto" w:fill="auto"/>
            <w:noWrap/>
            <w:vAlign w:val="center"/>
            <w:hideMark/>
          </w:tcPr>
          <w:p w14:paraId="2741EFD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420" w:type="dxa"/>
            <w:tcBorders>
              <w:top w:val="nil"/>
              <w:left w:val="nil"/>
              <w:bottom w:val="nil"/>
              <w:right w:val="nil"/>
            </w:tcBorders>
            <w:shd w:val="clear" w:color="auto" w:fill="auto"/>
            <w:noWrap/>
            <w:vAlign w:val="center"/>
            <w:hideMark/>
          </w:tcPr>
          <w:p w14:paraId="279BF51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251613E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943.88</w:t>
            </w:r>
          </w:p>
        </w:tc>
        <w:tc>
          <w:tcPr>
            <w:tcW w:w="960" w:type="dxa"/>
            <w:tcBorders>
              <w:top w:val="nil"/>
              <w:left w:val="nil"/>
              <w:bottom w:val="nil"/>
              <w:right w:val="nil"/>
            </w:tcBorders>
            <w:shd w:val="clear" w:color="auto" w:fill="auto"/>
            <w:noWrap/>
            <w:vAlign w:val="center"/>
            <w:hideMark/>
          </w:tcPr>
          <w:p w14:paraId="5B054BC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1037.33</w:t>
            </w:r>
          </w:p>
        </w:tc>
        <w:tc>
          <w:tcPr>
            <w:tcW w:w="960" w:type="dxa"/>
            <w:tcBorders>
              <w:top w:val="nil"/>
              <w:left w:val="nil"/>
              <w:bottom w:val="nil"/>
              <w:right w:val="nil"/>
            </w:tcBorders>
            <w:shd w:val="clear" w:color="auto" w:fill="auto"/>
            <w:noWrap/>
            <w:vAlign w:val="center"/>
            <w:hideMark/>
          </w:tcPr>
          <w:p w14:paraId="7538A4C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1085.48</w:t>
            </w:r>
          </w:p>
        </w:tc>
        <w:tc>
          <w:tcPr>
            <w:tcW w:w="960" w:type="dxa"/>
            <w:tcBorders>
              <w:top w:val="nil"/>
              <w:left w:val="nil"/>
              <w:bottom w:val="nil"/>
              <w:right w:val="nil"/>
            </w:tcBorders>
            <w:shd w:val="clear" w:color="auto" w:fill="auto"/>
            <w:noWrap/>
            <w:vAlign w:val="center"/>
            <w:hideMark/>
          </w:tcPr>
          <w:p w14:paraId="1916227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1154.97</w:t>
            </w:r>
          </w:p>
        </w:tc>
        <w:tc>
          <w:tcPr>
            <w:tcW w:w="960" w:type="dxa"/>
            <w:tcBorders>
              <w:top w:val="nil"/>
              <w:left w:val="nil"/>
              <w:bottom w:val="nil"/>
              <w:right w:val="nil"/>
            </w:tcBorders>
            <w:shd w:val="clear" w:color="auto" w:fill="auto"/>
            <w:noWrap/>
            <w:vAlign w:val="center"/>
            <w:hideMark/>
          </w:tcPr>
          <w:p w14:paraId="0134DD5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641B14BC"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7DF765DB"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5A5FE381" w14:textId="77777777" w:rsidTr="00CB5F95">
        <w:trPr>
          <w:trHeight w:val="300"/>
        </w:trPr>
        <w:tc>
          <w:tcPr>
            <w:tcW w:w="2620" w:type="dxa"/>
            <w:vMerge/>
            <w:tcBorders>
              <w:top w:val="nil"/>
              <w:left w:val="nil"/>
              <w:bottom w:val="single" w:sz="8" w:space="0" w:color="000000"/>
              <w:right w:val="nil"/>
            </w:tcBorders>
            <w:vAlign w:val="center"/>
            <w:hideMark/>
          </w:tcPr>
          <w:p w14:paraId="31537130"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nil"/>
              <w:right w:val="nil"/>
            </w:tcBorders>
            <w:shd w:val="clear" w:color="auto" w:fill="auto"/>
            <w:noWrap/>
            <w:vAlign w:val="bottom"/>
            <w:hideMark/>
          </w:tcPr>
          <w:p w14:paraId="692A1A72"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2</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63</w:t>
            </w:r>
          </w:p>
        </w:tc>
        <w:tc>
          <w:tcPr>
            <w:tcW w:w="1420" w:type="dxa"/>
            <w:tcBorders>
              <w:top w:val="nil"/>
              <w:left w:val="nil"/>
              <w:bottom w:val="nil"/>
              <w:right w:val="nil"/>
            </w:tcBorders>
            <w:shd w:val="clear" w:color="auto" w:fill="auto"/>
            <w:noWrap/>
            <w:vAlign w:val="center"/>
            <w:hideMark/>
          </w:tcPr>
          <w:p w14:paraId="0F4589B8"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79C1067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0.15</w:t>
            </w:r>
          </w:p>
        </w:tc>
        <w:tc>
          <w:tcPr>
            <w:tcW w:w="960" w:type="dxa"/>
            <w:tcBorders>
              <w:top w:val="nil"/>
              <w:left w:val="nil"/>
              <w:bottom w:val="nil"/>
              <w:right w:val="nil"/>
            </w:tcBorders>
            <w:shd w:val="clear" w:color="auto" w:fill="auto"/>
            <w:noWrap/>
            <w:vAlign w:val="center"/>
            <w:hideMark/>
          </w:tcPr>
          <w:p w14:paraId="7D2142D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0.21</w:t>
            </w:r>
          </w:p>
        </w:tc>
        <w:tc>
          <w:tcPr>
            <w:tcW w:w="960" w:type="dxa"/>
            <w:tcBorders>
              <w:top w:val="nil"/>
              <w:left w:val="nil"/>
              <w:bottom w:val="nil"/>
              <w:right w:val="nil"/>
            </w:tcBorders>
            <w:shd w:val="clear" w:color="auto" w:fill="auto"/>
            <w:noWrap/>
            <w:vAlign w:val="center"/>
            <w:hideMark/>
          </w:tcPr>
          <w:p w14:paraId="000F177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0.37</w:t>
            </w:r>
          </w:p>
        </w:tc>
        <w:tc>
          <w:tcPr>
            <w:tcW w:w="960" w:type="dxa"/>
            <w:tcBorders>
              <w:top w:val="nil"/>
              <w:left w:val="nil"/>
              <w:bottom w:val="nil"/>
              <w:right w:val="nil"/>
            </w:tcBorders>
            <w:shd w:val="clear" w:color="auto" w:fill="auto"/>
            <w:noWrap/>
            <w:vAlign w:val="center"/>
            <w:hideMark/>
          </w:tcPr>
          <w:p w14:paraId="5E0306F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0.22</w:t>
            </w:r>
          </w:p>
        </w:tc>
        <w:tc>
          <w:tcPr>
            <w:tcW w:w="960" w:type="dxa"/>
            <w:tcBorders>
              <w:top w:val="nil"/>
              <w:left w:val="nil"/>
              <w:bottom w:val="nil"/>
              <w:right w:val="nil"/>
            </w:tcBorders>
            <w:shd w:val="clear" w:color="auto" w:fill="auto"/>
            <w:noWrap/>
            <w:vAlign w:val="center"/>
            <w:hideMark/>
          </w:tcPr>
          <w:p w14:paraId="352F256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15.71</w:t>
            </w:r>
          </w:p>
        </w:tc>
        <w:tc>
          <w:tcPr>
            <w:tcW w:w="960" w:type="dxa"/>
            <w:tcBorders>
              <w:top w:val="nil"/>
              <w:left w:val="nil"/>
              <w:bottom w:val="nil"/>
              <w:right w:val="nil"/>
            </w:tcBorders>
            <w:shd w:val="clear" w:color="auto" w:fill="auto"/>
            <w:noWrap/>
            <w:vAlign w:val="center"/>
            <w:hideMark/>
          </w:tcPr>
          <w:p w14:paraId="6CBB72B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61.14</w:t>
            </w:r>
          </w:p>
        </w:tc>
        <w:tc>
          <w:tcPr>
            <w:tcW w:w="960" w:type="dxa"/>
            <w:tcBorders>
              <w:top w:val="nil"/>
              <w:left w:val="nil"/>
              <w:bottom w:val="nil"/>
              <w:right w:val="nil"/>
            </w:tcBorders>
            <w:shd w:val="clear" w:color="auto" w:fill="auto"/>
            <w:noWrap/>
            <w:vAlign w:val="center"/>
            <w:hideMark/>
          </w:tcPr>
          <w:p w14:paraId="6E2D493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23.14</w:t>
            </w:r>
          </w:p>
        </w:tc>
      </w:tr>
      <w:tr w:rsidR="00CB5F95" w:rsidRPr="00C533F9" w14:paraId="3309EABD" w14:textId="77777777" w:rsidTr="00CB5F95">
        <w:trPr>
          <w:trHeight w:val="315"/>
        </w:trPr>
        <w:tc>
          <w:tcPr>
            <w:tcW w:w="2620" w:type="dxa"/>
            <w:vMerge/>
            <w:tcBorders>
              <w:top w:val="nil"/>
              <w:left w:val="nil"/>
              <w:bottom w:val="single" w:sz="8" w:space="0" w:color="000000"/>
              <w:right w:val="nil"/>
            </w:tcBorders>
            <w:vAlign w:val="center"/>
            <w:hideMark/>
          </w:tcPr>
          <w:p w14:paraId="2BA7C22D"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nil"/>
              <w:right w:val="nil"/>
            </w:tcBorders>
            <w:shd w:val="clear" w:color="auto" w:fill="auto"/>
            <w:noWrap/>
            <w:vAlign w:val="center"/>
            <w:hideMark/>
          </w:tcPr>
          <w:p w14:paraId="5DD10AE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420" w:type="dxa"/>
            <w:tcBorders>
              <w:top w:val="nil"/>
              <w:left w:val="nil"/>
              <w:bottom w:val="nil"/>
              <w:right w:val="nil"/>
            </w:tcBorders>
            <w:shd w:val="clear" w:color="auto" w:fill="auto"/>
            <w:noWrap/>
            <w:vAlign w:val="center"/>
            <w:hideMark/>
          </w:tcPr>
          <w:p w14:paraId="379CB9A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128B252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947.61</w:t>
            </w:r>
          </w:p>
        </w:tc>
        <w:tc>
          <w:tcPr>
            <w:tcW w:w="960" w:type="dxa"/>
            <w:tcBorders>
              <w:top w:val="nil"/>
              <w:left w:val="nil"/>
              <w:bottom w:val="nil"/>
              <w:right w:val="nil"/>
            </w:tcBorders>
            <w:shd w:val="clear" w:color="auto" w:fill="auto"/>
            <w:noWrap/>
            <w:vAlign w:val="center"/>
            <w:hideMark/>
          </w:tcPr>
          <w:p w14:paraId="7F1DB2D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1028.07</w:t>
            </w:r>
          </w:p>
        </w:tc>
        <w:tc>
          <w:tcPr>
            <w:tcW w:w="960" w:type="dxa"/>
            <w:tcBorders>
              <w:top w:val="nil"/>
              <w:left w:val="nil"/>
              <w:bottom w:val="nil"/>
              <w:right w:val="nil"/>
            </w:tcBorders>
            <w:shd w:val="clear" w:color="auto" w:fill="auto"/>
            <w:noWrap/>
            <w:vAlign w:val="center"/>
            <w:hideMark/>
          </w:tcPr>
          <w:p w14:paraId="3163DD1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1082.49</w:t>
            </w:r>
          </w:p>
        </w:tc>
        <w:tc>
          <w:tcPr>
            <w:tcW w:w="960" w:type="dxa"/>
            <w:tcBorders>
              <w:top w:val="nil"/>
              <w:left w:val="nil"/>
              <w:bottom w:val="nil"/>
              <w:right w:val="nil"/>
            </w:tcBorders>
            <w:shd w:val="clear" w:color="auto" w:fill="auto"/>
            <w:noWrap/>
            <w:vAlign w:val="center"/>
            <w:hideMark/>
          </w:tcPr>
          <w:p w14:paraId="5F25B1A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1145.49</w:t>
            </w:r>
          </w:p>
        </w:tc>
        <w:tc>
          <w:tcPr>
            <w:tcW w:w="960" w:type="dxa"/>
            <w:tcBorders>
              <w:top w:val="nil"/>
              <w:left w:val="nil"/>
              <w:bottom w:val="nil"/>
              <w:right w:val="nil"/>
            </w:tcBorders>
            <w:shd w:val="clear" w:color="auto" w:fill="auto"/>
            <w:noWrap/>
            <w:vAlign w:val="center"/>
            <w:hideMark/>
          </w:tcPr>
          <w:p w14:paraId="441DBFB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444FC995"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43F542A1"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696776E1" w14:textId="77777777" w:rsidTr="00CB5F95">
        <w:trPr>
          <w:trHeight w:val="300"/>
        </w:trPr>
        <w:tc>
          <w:tcPr>
            <w:tcW w:w="2620" w:type="dxa"/>
            <w:vMerge/>
            <w:tcBorders>
              <w:top w:val="nil"/>
              <w:left w:val="nil"/>
              <w:bottom w:val="single" w:sz="8" w:space="0" w:color="000000"/>
              <w:right w:val="nil"/>
            </w:tcBorders>
            <w:vAlign w:val="center"/>
            <w:hideMark/>
          </w:tcPr>
          <w:p w14:paraId="1E7F1CBE"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nil"/>
              <w:right w:val="nil"/>
            </w:tcBorders>
            <w:shd w:val="clear" w:color="auto" w:fill="auto"/>
            <w:noWrap/>
            <w:vAlign w:val="bottom"/>
            <w:hideMark/>
          </w:tcPr>
          <w:p w14:paraId="0D7E74D3"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15</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12.5</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2</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60.5</w:t>
            </w:r>
          </w:p>
        </w:tc>
        <w:tc>
          <w:tcPr>
            <w:tcW w:w="1420" w:type="dxa"/>
            <w:tcBorders>
              <w:top w:val="nil"/>
              <w:left w:val="nil"/>
              <w:bottom w:val="nil"/>
              <w:right w:val="nil"/>
            </w:tcBorders>
            <w:shd w:val="clear" w:color="auto" w:fill="auto"/>
            <w:noWrap/>
            <w:vAlign w:val="center"/>
            <w:hideMark/>
          </w:tcPr>
          <w:p w14:paraId="47548749"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10D6E40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0.17</w:t>
            </w:r>
          </w:p>
        </w:tc>
        <w:tc>
          <w:tcPr>
            <w:tcW w:w="960" w:type="dxa"/>
            <w:tcBorders>
              <w:top w:val="nil"/>
              <w:left w:val="nil"/>
              <w:bottom w:val="nil"/>
              <w:right w:val="nil"/>
            </w:tcBorders>
            <w:shd w:val="clear" w:color="auto" w:fill="auto"/>
            <w:noWrap/>
            <w:vAlign w:val="center"/>
            <w:hideMark/>
          </w:tcPr>
          <w:p w14:paraId="1EF762C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0.32</w:t>
            </w:r>
          </w:p>
        </w:tc>
        <w:tc>
          <w:tcPr>
            <w:tcW w:w="960" w:type="dxa"/>
            <w:tcBorders>
              <w:top w:val="nil"/>
              <w:left w:val="nil"/>
              <w:bottom w:val="nil"/>
              <w:right w:val="nil"/>
            </w:tcBorders>
            <w:shd w:val="clear" w:color="auto" w:fill="auto"/>
            <w:noWrap/>
            <w:vAlign w:val="center"/>
            <w:hideMark/>
          </w:tcPr>
          <w:p w14:paraId="139410A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0.33</w:t>
            </w:r>
          </w:p>
        </w:tc>
        <w:tc>
          <w:tcPr>
            <w:tcW w:w="960" w:type="dxa"/>
            <w:tcBorders>
              <w:top w:val="nil"/>
              <w:left w:val="nil"/>
              <w:bottom w:val="nil"/>
              <w:right w:val="nil"/>
            </w:tcBorders>
            <w:shd w:val="clear" w:color="auto" w:fill="auto"/>
            <w:noWrap/>
            <w:vAlign w:val="center"/>
            <w:hideMark/>
          </w:tcPr>
          <w:p w14:paraId="3250AE2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0.15</w:t>
            </w:r>
          </w:p>
        </w:tc>
        <w:tc>
          <w:tcPr>
            <w:tcW w:w="960" w:type="dxa"/>
            <w:tcBorders>
              <w:top w:val="nil"/>
              <w:left w:val="nil"/>
              <w:bottom w:val="nil"/>
              <w:right w:val="nil"/>
            </w:tcBorders>
            <w:shd w:val="clear" w:color="auto" w:fill="auto"/>
            <w:noWrap/>
            <w:vAlign w:val="center"/>
            <w:hideMark/>
          </w:tcPr>
          <w:p w14:paraId="5C35672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17.96</w:t>
            </w:r>
          </w:p>
        </w:tc>
        <w:tc>
          <w:tcPr>
            <w:tcW w:w="960" w:type="dxa"/>
            <w:tcBorders>
              <w:top w:val="nil"/>
              <w:left w:val="nil"/>
              <w:bottom w:val="nil"/>
              <w:right w:val="nil"/>
            </w:tcBorders>
            <w:shd w:val="clear" w:color="auto" w:fill="auto"/>
            <w:noWrap/>
            <w:vAlign w:val="center"/>
            <w:hideMark/>
          </w:tcPr>
          <w:p w14:paraId="07C244D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66.77</w:t>
            </w:r>
          </w:p>
        </w:tc>
        <w:tc>
          <w:tcPr>
            <w:tcW w:w="960" w:type="dxa"/>
            <w:tcBorders>
              <w:top w:val="nil"/>
              <w:left w:val="nil"/>
              <w:bottom w:val="nil"/>
              <w:right w:val="nil"/>
            </w:tcBorders>
            <w:shd w:val="clear" w:color="auto" w:fill="auto"/>
            <w:noWrap/>
            <w:vAlign w:val="center"/>
            <w:hideMark/>
          </w:tcPr>
          <w:p w14:paraId="42D7BC8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15.27</w:t>
            </w:r>
          </w:p>
        </w:tc>
      </w:tr>
      <w:tr w:rsidR="00CB5F95" w:rsidRPr="00C533F9" w14:paraId="7AE3B82F" w14:textId="77777777" w:rsidTr="00CB5F95">
        <w:trPr>
          <w:trHeight w:val="315"/>
        </w:trPr>
        <w:tc>
          <w:tcPr>
            <w:tcW w:w="2620" w:type="dxa"/>
            <w:vMerge/>
            <w:tcBorders>
              <w:top w:val="nil"/>
              <w:left w:val="nil"/>
              <w:bottom w:val="single" w:sz="8" w:space="0" w:color="000000"/>
              <w:right w:val="nil"/>
            </w:tcBorders>
            <w:vAlign w:val="center"/>
            <w:hideMark/>
          </w:tcPr>
          <w:p w14:paraId="414883A9"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single" w:sz="8" w:space="0" w:color="auto"/>
              <w:right w:val="nil"/>
            </w:tcBorders>
            <w:shd w:val="clear" w:color="auto" w:fill="auto"/>
            <w:noWrap/>
            <w:vAlign w:val="center"/>
            <w:hideMark/>
          </w:tcPr>
          <w:p w14:paraId="15EFAFC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1420" w:type="dxa"/>
            <w:tcBorders>
              <w:top w:val="nil"/>
              <w:left w:val="nil"/>
              <w:bottom w:val="single" w:sz="8" w:space="0" w:color="auto"/>
              <w:right w:val="nil"/>
            </w:tcBorders>
            <w:shd w:val="clear" w:color="auto" w:fill="auto"/>
            <w:noWrap/>
            <w:vAlign w:val="center"/>
            <w:hideMark/>
          </w:tcPr>
          <w:p w14:paraId="273746C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single" w:sz="8" w:space="0" w:color="auto"/>
              <w:right w:val="nil"/>
            </w:tcBorders>
            <w:shd w:val="clear" w:color="auto" w:fill="auto"/>
            <w:noWrap/>
            <w:vAlign w:val="center"/>
            <w:hideMark/>
          </w:tcPr>
          <w:p w14:paraId="0EA2FFD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950.48</w:t>
            </w:r>
          </w:p>
        </w:tc>
        <w:tc>
          <w:tcPr>
            <w:tcW w:w="960" w:type="dxa"/>
            <w:tcBorders>
              <w:top w:val="nil"/>
              <w:left w:val="nil"/>
              <w:bottom w:val="single" w:sz="8" w:space="0" w:color="auto"/>
              <w:right w:val="nil"/>
            </w:tcBorders>
            <w:shd w:val="clear" w:color="auto" w:fill="auto"/>
            <w:noWrap/>
            <w:vAlign w:val="center"/>
            <w:hideMark/>
          </w:tcPr>
          <w:p w14:paraId="1E3D696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1040.05</w:t>
            </w:r>
          </w:p>
        </w:tc>
        <w:tc>
          <w:tcPr>
            <w:tcW w:w="960" w:type="dxa"/>
            <w:tcBorders>
              <w:top w:val="nil"/>
              <w:left w:val="nil"/>
              <w:bottom w:val="single" w:sz="8" w:space="0" w:color="auto"/>
              <w:right w:val="nil"/>
            </w:tcBorders>
            <w:shd w:val="clear" w:color="auto" w:fill="auto"/>
            <w:noWrap/>
            <w:vAlign w:val="center"/>
            <w:hideMark/>
          </w:tcPr>
          <w:p w14:paraId="3501FBF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1088.08</w:t>
            </w:r>
          </w:p>
        </w:tc>
        <w:tc>
          <w:tcPr>
            <w:tcW w:w="960" w:type="dxa"/>
            <w:tcBorders>
              <w:top w:val="nil"/>
              <w:left w:val="nil"/>
              <w:bottom w:val="single" w:sz="8" w:space="0" w:color="auto"/>
              <w:right w:val="nil"/>
            </w:tcBorders>
            <w:shd w:val="clear" w:color="auto" w:fill="auto"/>
            <w:noWrap/>
            <w:vAlign w:val="center"/>
            <w:hideMark/>
          </w:tcPr>
          <w:p w14:paraId="282B571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1161.17</w:t>
            </w:r>
          </w:p>
        </w:tc>
        <w:tc>
          <w:tcPr>
            <w:tcW w:w="960" w:type="dxa"/>
            <w:tcBorders>
              <w:top w:val="nil"/>
              <w:left w:val="nil"/>
              <w:bottom w:val="single" w:sz="8" w:space="0" w:color="auto"/>
              <w:right w:val="nil"/>
            </w:tcBorders>
            <w:shd w:val="clear" w:color="auto" w:fill="auto"/>
            <w:noWrap/>
            <w:vAlign w:val="center"/>
            <w:hideMark/>
          </w:tcPr>
          <w:p w14:paraId="21B907F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5272625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0932BF5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r>
      <w:tr w:rsidR="00CB5F95" w:rsidRPr="00C533F9" w14:paraId="7D3F0770" w14:textId="77777777" w:rsidTr="00CB5F95">
        <w:trPr>
          <w:trHeight w:val="300"/>
        </w:trPr>
        <w:tc>
          <w:tcPr>
            <w:tcW w:w="2620" w:type="dxa"/>
            <w:vMerge w:val="restart"/>
            <w:tcBorders>
              <w:top w:val="nil"/>
              <w:left w:val="nil"/>
              <w:bottom w:val="single" w:sz="8" w:space="0" w:color="000000"/>
              <w:right w:val="nil"/>
            </w:tcBorders>
            <w:shd w:val="clear" w:color="auto" w:fill="auto"/>
            <w:noWrap/>
            <w:vAlign w:val="center"/>
            <w:hideMark/>
          </w:tcPr>
          <w:p w14:paraId="0D1DD0C6"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x</w:t>
            </w:r>
            <w:r w:rsidRPr="00C533F9">
              <w:rPr>
                <w:rFonts w:eastAsia="Times New Roman" w:cs="Times New Roman"/>
                <w:b w:val="0"/>
                <w:color w:val="000000"/>
                <w:sz w:val="20"/>
                <w:szCs w:val="20"/>
                <w:lang w:eastAsia="en-MY"/>
              </w:rPr>
              <w:t>Ba</w:t>
            </w:r>
            <w:r w:rsidRPr="00C533F9">
              <w:rPr>
                <w:rFonts w:eastAsia="Times New Roman" w:cs="Times New Roman"/>
                <w:b w:val="0"/>
                <w:color w:val="000000"/>
                <w:sz w:val="20"/>
                <w:szCs w:val="20"/>
                <w:vertAlign w:val="subscript"/>
                <w:lang w:eastAsia="en-MY"/>
              </w:rPr>
              <w:t>2</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y</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78-x-y</w:t>
            </w:r>
          </w:p>
        </w:tc>
        <w:tc>
          <w:tcPr>
            <w:tcW w:w="2260" w:type="dxa"/>
            <w:tcBorders>
              <w:top w:val="nil"/>
              <w:left w:val="nil"/>
              <w:bottom w:val="nil"/>
              <w:right w:val="nil"/>
            </w:tcBorders>
            <w:shd w:val="clear" w:color="auto" w:fill="auto"/>
            <w:noWrap/>
            <w:vAlign w:val="bottom"/>
            <w:hideMark/>
          </w:tcPr>
          <w:p w14:paraId="4BDEEC68"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2.4</w:t>
            </w:r>
            <w:r w:rsidRPr="00C533F9">
              <w:rPr>
                <w:rFonts w:eastAsia="Times New Roman" w:cs="Times New Roman"/>
                <w:b w:val="0"/>
                <w:color w:val="000000"/>
                <w:sz w:val="20"/>
                <w:szCs w:val="20"/>
                <w:lang w:eastAsia="en-MY"/>
              </w:rPr>
              <w:t>Ba</w:t>
            </w:r>
            <w:r w:rsidRPr="00C533F9">
              <w:rPr>
                <w:rFonts w:eastAsia="Times New Roman" w:cs="Times New Roman"/>
                <w:b w:val="0"/>
                <w:color w:val="000000"/>
                <w:sz w:val="20"/>
                <w:szCs w:val="20"/>
                <w:vertAlign w:val="subscript"/>
                <w:lang w:eastAsia="en-MY"/>
              </w:rPr>
              <w:t>2</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5.7</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69.9</w:t>
            </w:r>
          </w:p>
        </w:tc>
        <w:tc>
          <w:tcPr>
            <w:tcW w:w="1420" w:type="dxa"/>
            <w:tcBorders>
              <w:top w:val="nil"/>
              <w:left w:val="nil"/>
              <w:bottom w:val="nil"/>
              <w:right w:val="nil"/>
            </w:tcBorders>
            <w:shd w:val="clear" w:color="auto" w:fill="auto"/>
            <w:noWrap/>
            <w:vAlign w:val="center"/>
            <w:hideMark/>
          </w:tcPr>
          <w:p w14:paraId="42203FA0"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6A35C1E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0.03</w:t>
            </w:r>
          </w:p>
        </w:tc>
        <w:tc>
          <w:tcPr>
            <w:tcW w:w="960" w:type="dxa"/>
            <w:tcBorders>
              <w:top w:val="nil"/>
              <w:left w:val="nil"/>
              <w:bottom w:val="nil"/>
              <w:right w:val="nil"/>
            </w:tcBorders>
            <w:shd w:val="clear" w:color="auto" w:fill="auto"/>
            <w:noWrap/>
            <w:vAlign w:val="center"/>
            <w:hideMark/>
          </w:tcPr>
          <w:p w14:paraId="2B5CA08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0.38</w:t>
            </w:r>
          </w:p>
        </w:tc>
        <w:tc>
          <w:tcPr>
            <w:tcW w:w="960" w:type="dxa"/>
            <w:tcBorders>
              <w:top w:val="nil"/>
              <w:left w:val="nil"/>
              <w:bottom w:val="nil"/>
              <w:right w:val="nil"/>
            </w:tcBorders>
            <w:shd w:val="clear" w:color="auto" w:fill="auto"/>
            <w:noWrap/>
            <w:vAlign w:val="center"/>
            <w:hideMark/>
          </w:tcPr>
          <w:p w14:paraId="1B86F3D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0.39</w:t>
            </w:r>
          </w:p>
        </w:tc>
        <w:tc>
          <w:tcPr>
            <w:tcW w:w="960" w:type="dxa"/>
            <w:tcBorders>
              <w:top w:val="nil"/>
              <w:left w:val="nil"/>
              <w:bottom w:val="nil"/>
              <w:right w:val="nil"/>
            </w:tcBorders>
            <w:shd w:val="clear" w:color="auto" w:fill="auto"/>
            <w:noWrap/>
            <w:vAlign w:val="center"/>
            <w:hideMark/>
          </w:tcPr>
          <w:p w14:paraId="2345840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0.19</w:t>
            </w:r>
          </w:p>
        </w:tc>
        <w:tc>
          <w:tcPr>
            <w:tcW w:w="960" w:type="dxa"/>
            <w:tcBorders>
              <w:top w:val="nil"/>
              <w:left w:val="nil"/>
              <w:bottom w:val="nil"/>
              <w:right w:val="nil"/>
            </w:tcBorders>
            <w:shd w:val="clear" w:color="auto" w:fill="auto"/>
            <w:noWrap/>
            <w:vAlign w:val="center"/>
            <w:hideMark/>
          </w:tcPr>
          <w:p w14:paraId="3CE6E33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3.34</w:t>
            </w:r>
          </w:p>
        </w:tc>
        <w:tc>
          <w:tcPr>
            <w:tcW w:w="960" w:type="dxa"/>
            <w:tcBorders>
              <w:top w:val="nil"/>
              <w:left w:val="nil"/>
              <w:bottom w:val="nil"/>
              <w:right w:val="nil"/>
            </w:tcBorders>
            <w:shd w:val="clear" w:color="auto" w:fill="auto"/>
            <w:noWrap/>
            <w:vAlign w:val="center"/>
            <w:hideMark/>
          </w:tcPr>
          <w:p w14:paraId="00A7E40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77.51</w:t>
            </w:r>
          </w:p>
        </w:tc>
        <w:tc>
          <w:tcPr>
            <w:tcW w:w="960" w:type="dxa"/>
            <w:tcBorders>
              <w:top w:val="nil"/>
              <w:left w:val="nil"/>
              <w:bottom w:val="nil"/>
              <w:right w:val="nil"/>
            </w:tcBorders>
            <w:shd w:val="clear" w:color="auto" w:fill="auto"/>
            <w:noWrap/>
            <w:vAlign w:val="center"/>
            <w:hideMark/>
          </w:tcPr>
          <w:p w14:paraId="43E32CE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19.15</w:t>
            </w:r>
          </w:p>
        </w:tc>
      </w:tr>
      <w:tr w:rsidR="00CB5F95" w:rsidRPr="00C533F9" w14:paraId="3B1BDDB5" w14:textId="77777777" w:rsidTr="00CB5F95">
        <w:trPr>
          <w:trHeight w:val="315"/>
        </w:trPr>
        <w:tc>
          <w:tcPr>
            <w:tcW w:w="2620" w:type="dxa"/>
            <w:vMerge/>
            <w:tcBorders>
              <w:top w:val="nil"/>
              <w:left w:val="nil"/>
              <w:bottom w:val="single" w:sz="8" w:space="0" w:color="000000"/>
              <w:right w:val="nil"/>
            </w:tcBorders>
            <w:vAlign w:val="center"/>
            <w:hideMark/>
          </w:tcPr>
          <w:p w14:paraId="760D57B5"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nil"/>
              <w:right w:val="nil"/>
            </w:tcBorders>
            <w:shd w:val="clear" w:color="auto" w:fill="auto"/>
            <w:noWrap/>
            <w:vAlign w:val="center"/>
            <w:hideMark/>
          </w:tcPr>
          <w:p w14:paraId="78EABD0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420" w:type="dxa"/>
            <w:tcBorders>
              <w:top w:val="nil"/>
              <w:left w:val="nil"/>
              <w:bottom w:val="nil"/>
              <w:right w:val="nil"/>
            </w:tcBorders>
            <w:shd w:val="clear" w:color="auto" w:fill="auto"/>
            <w:noWrap/>
            <w:vAlign w:val="center"/>
            <w:hideMark/>
          </w:tcPr>
          <w:p w14:paraId="6063972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67A9AD1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910.62</w:t>
            </w:r>
          </w:p>
        </w:tc>
        <w:tc>
          <w:tcPr>
            <w:tcW w:w="960" w:type="dxa"/>
            <w:tcBorders>
              <w:top w:val="nil"/>
              <w:left w:val="nil"/>
              <w:bottom w:val="nil"/>
              <w:right w:val="nil"/>
            </w:tcBorders>
            <w:shd w:val="clear" w:color="auto" w:fill="auto"/>
            <w:noWrap/>
            <w:vAlign w:val="center"/>
            <w:hideMark/>
          </w:tcPr>
          <w:p w14:paraId="736359D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999.69</w:t>
            </w:r>
          </w:p>
        </w:tc>
        <w:tc>
          <w:tcPr>
            <w:tcW w:w="960" w:type="dxa"/>
            <w:tcBorders>
              <w:top w:val="nil"/>
              <w:left w:val="nil"/>
              <w:bottom w:val="nil"/>
              <w:right w:val="nil"/>
            </w:tcBorders>
            <w:shd w:val="clear" w:color="auto" w:fill="auto"/>
            <w:noWrap/>
            <w:vAlign w:val="center"/>
            <w:hideMark/>
          </w:tcPr>
          <w:p w14:paraId="4579CC25"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1087.43</w:t>
            </w:r>
          </w:p>
        </w:tc>
        <w:tc>
          <w:tcPr>
            <w:tcW w:w="960" w:type="dxa"/>
            <w:tcBorders>
              <w:top w:val="nil"/>
              <w:left w:val="nil"/>
              <w:bottom w:val="nil"/>
              <w:right w:val="nil"/>
            </w:tcBorders>
            <w:shd w:val="clear" w:color="auto" w:fill="auto"/>
            <w:noWrap/>
            <w:vAlign w:val="center"/>
            <w:hideMark/>
          </w:tcPr>
          <w:p w14:paraId="6C996ED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1155.65</w:t>
            </w:r>
          </w:p>
        </w:tc>
        <w:tc>
          <w:tcPr>
            <w:tcW w:w="960" w:type="dxa"/>
            <w:tcBorders>
              <w:top w:val="nil"/>
              <w:left w:val="nil"/>
              <w:bottom w:val="nil"/>
              <w:right w:val="nil"/>
            </w:tcBorders>
            <w:shd w:val="clear" w:color="auto" w:fill="auto"/>
            <w:noWrap/>
            <w:vAlign w:val="center"/>
            <w:hideMark/>
          </w:tcPr>
          <w:p w14:paraId="553E58A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53DB754D"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252FF021"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1F55E9A6" w14:textId="77777777" w:rsidTr="00CB5F95">
        <w:trPr>
          <w:trHeight w:val="300"/>
        </w:trPr>
        <w:tc>
          <w:tcPr>
            <w:tcW w:w="2620" w:type="dxa"/>
            <w:vMerge/>
            <w:tcBorders>
              <w:top w:val="nil"/>
              <w:left w:val="nil"/>
              <w:bottom w:val="single" w:sz="8" w:space="0" w:color="000000"/>
              <w:right w:val="nil"/>
            </w:tcBorders>
            <w:vAlign w:val="center"/>
            <w:hideMark/>
          </w:tcPr>
          <w:p w14:paraId="371539AD"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nil"/>
              <w:right w:val="nil"/>
            </w:tcBorders>
            <w:shd w:val="clear" w:color="auto" w:fill="auto"/>
            <w:noWrap/>
            <w:vAlign w:val="bottom"/>
            <w:hideMark/>
          </w:tcPr>
          <w:p w14:paraId="44528248"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3.6</w:t>
            </w:r>
            <w:r w:rsidRPr="00C533F9">
              <w:rPr>
                <w:rFonts w:eastAsia="Times New Roman" w:cs="Times New Roman"/>
                <w:b w:val="0"/>
                <w:color w:val="000000"/>
                <w:sz w:val="20"/>
                <w:szCs w:val="20"/>
                <w:lang w:eastAsia="en-MY"/>
              </w:rPr>
              <w:t>Ba</w:t>
            </w:r>
            <w:r w:rsidRPr="00C533F9">
              <w:rPr>
                <w:rFonts w:eastAsia="Times New Roman" w:cs="Times New Roman"/>
                <w:b w:val="0"/>
                <w:color w:val="000000"/>
                <w:sz w:val="20"/>
                <w:szCs w:val="20"/>
                <w:vertAlign w:val="subscript"/>
                <w:lang w:eastAsia="en-MY"/>
              </w:rPr>
              <w:t>2</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10.1</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64.3</w:t>
            </w:r>
          </w:p>
        </w:tc>
        <w:tc>
          <w:tcPr>
            <w:tcW w:w="1420" w:type="dxa"/>
            <w:tcBorders>
              <w:top w:val="nil"/>
              <w:left w:val="nil"/>
              <w:bottom w:val="nil"/>
              <w:right w:val="nil"/>
            </w:tcBorders>
            <w:shd w:val="clear" w:color="auto" w:fill="auto"/>
            <w:noWrap/>
            <w:vAlign w:val="center"/>
            <w:hideMark/>
          </w:tcPr>
          <w:p w14:paraId="2C5CD53B"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006D007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0.02</w:t>
            </w:r>
          </w:p>
        </w:tc>
        <w:tc>
          <w:tcPr>
            <w:tcW w:w="960" w:type="dxa"/>
            <w:tcBorders>
              <w:top w:val="nil"/>
              <w:left w:val="nil"/>
              <w:bottom w:val="nil"/>
              <w:right w:val="nil"/>
            </w:tcBorders>
            <w:shd w:val="clear" w:color="auto" w:fill="auto"/>
            <w:noWrap/>
            <w:vAlign w:val="center"/>
            <w:hideMark/>
          </w:tcPr>
          <w:p w14:paraId="70B6B7E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0.35</w:t>
            </w:r>
          </w:p>
        </w:tc>
        <w:tc>
          <w:tcPr>
            <w:tcW w:w="960" w:type="dxa"/>
            <w:tcBorders>
              <w:top w:val="nil"/>
              <w:left w:val="nil"/>
              <w:bottom w:val="nil"/>
              <w:right w:val="nil"/>
            </w:tcBorders>
            <w:shd w:val="clear" w:color="auto" w:fill="auto"/>
            <w:noWrap/>
            <w:vAlign w:val="center"/>
            <w:hideMark/>
          </w:tcPr>
          <w:p w14:paraId="2CB921D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0.36</w:t>
            </w:r>
          </w:p>
        </w:tc>
        <w:tc>
          <w:tcPr>
            <w:tcW w:w="960" w:type="dxa"/>
            <w:tcBorders>
              <w:top w:val="nil"/>
              <w:left w:val="nil"/>
              <w:bottom w:val="nil"/>
              <w:right w:val="nil"/>
            </w:tcBorders>
            <w:shd w:val="clear" w:color="auto" w:fill="auto"/>
            <w:noWrap/>
            <w:vAlign w:val="center"/>
            <w:hideMark/>
          </w:tcPr>
          <w:p w14:paraId="5554C25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0.26</w:t>
            </w:r>
          </w:p>
        </w:tc>
        <w:tc>
          <w:tcPr>
            <w:tcW w:w="960" w:type="dxa"/>
            <w:tcBorders>
              <w:top w:val="nil"/>
              <w:left w:val="nil"/>
              <w:bottom w:val="nil"/>
              <w:right w:val="nil"/>
            </w:tcBorders>
            <w:shd w:val="clear" w:color="auto" w:fill="auto"/>
            <w:noWrap/>
            <w:vAlign w:val="center"/>
            <w:hideMark/>
          </w:tcPr>
          <w:p w14:paraId="2FAFB5F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2.04</w:t>
            </w:r>
          </w:p>
        </w:tc>
        <w:tc>
          <w:tcPr>
            <w:tcW w:w="960" w:type="dxa"/>
            <w:tcBorders>
              <w:top w:val="nil"/>
              <w:left w:val="nil"/>
              <w:bottom w:val="nil"/>
              <w:right w:val="nil"/>
            </w:tcBorders>
            <w:shd w:val="clear" w:color="auto" w:fill="auto"/>
            <w:noWrap/>
            <w:vAlign w:val="center"/>
            <w:hideMark/>
          </w:tcPr>
          <w:p w14:paraId="02E5312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71.84</w:t>
            </w:r>
          </w:p>
        </w:tc>
        <w:tc>
          <w:tcPr>
            <w:tcW w:w="960" w:type="dxa"/>
            <w:tcBorders>
              <w:top w:val="nil"/>
              <w:left w:val="nil"/>
              <w:bottom w:val="nil"/>
              <w:right w:val="nil"/>
            </w:tcBorders>
            <w:shd w:val="clear" w:color="auto" w:fill="auto"/>
            <w:noWrap/>
            <w:vAlign w:val="center"/>
            <w:hideMark/>
          </w:tcPr>
          <w:p w14:paraId="2D9A9BC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26.12</w:t>
            </w:r>
          </w:p>
        </w:tc>
      </w:tr>
      <w:tr w:rsidR="00CB5F95" w:rsidRPr="00C533F9" w14:paraId="7434070A" w14:textId="77777777" w:rsidTr="00CB5F95">
        <w:trPr>
          <w:trHeight w:val="300"/>
        </w:trPr>
        <w:tc>
          <w:tcPr>
            <w:tcW w:w="2620" w:type="dxa"/>
            <w:vMerge/>
            <w:tcBorders>
              <w:top w:val="nil"/>
              <w:left w:val="nil"/>
              <w:bottom w:val="single" w:sz="8" w:space="0" w:color="000000"/>
              <w:right w:val="nil"/>
            </w:tcBorders>
            <w:vAlign w:val="center"/>
            <w:hideMark/>
          </w:tcPr>
          <w:p w14:paraId="3DF14811"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nil"/>
              <w:right w:val="nil"/>
            </w:tcBorders>
            <w:shd w:val="clear" w:color="auto" w:fill="auto"/>
            <w:noWrap/>
            <w:vAlign w:val="center"/>
            <w:hideMark/>
          </w:tcPr>
          <w:p w14:paraId="6C6687F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420" w:type="dxa"/>
            <w:tcBorders>
              <w:top w:val="nil"/>
              <w:left w:val="nil"/>
              <w:bottom w:val="nil"/>
              <w:right w:val="nil"/>
            </w:tcBorders>
            <w:shd w:val="clear" w:color="auto" w:fill="auto"/>
            <w:noWrap/>
            <w:vAlign w:val="center"/>
            <w:hideMark/>
          </w:tcPr>
          <w:p w14:paraId="347A2B9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4DE780F2"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913.15</w:t>
            </w:r>
          </w:p>
        </w:tc>
        <w:tc>
          <w:tcPr>
            <w:tcW w:w="960" w:type="dxa"/>
            <w:tcBorders>
              <w:top w:val="nil"/>
              <w:left w:val="nil"/>
              <w:bottom w:val="nil"/>
              <w:right w:val="nil"/>
            </w:tcBorders>
            <w:shd w:val="clear" w:color="auto" w:fill="auto"/>
            <w:noWrap/>
            <w:vAlign w:val="center"/>
            <w:hideMark/>
          </w:tcPr>
          <w:p w14:paraId="454AA12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994.5</w:t>
            </w:r>
          </w:p>
        </w:tc>
        <w:tc>
          <w:tcPr>
            <w:tcW w:w="960" w:type="dxa"/>
            <w:tcBorders>
              <w:top w:val="nil"/>
              <w:left w:val="nil"/>
              <w:bottom w:val="nil"/>
              <w:right w:val="nil"/>
            </w:tcBorders>
            <w:shd w:val="clear" w:color="auto" w:fill="auto"/>
            <w:noWrap/>
            <w:vAlign w:val="center"/>
            <w:hideMark/>
          </w:tcPr>
          <w:p w14:paraId="5B1420F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1073.42</w:t>
            </w:r>
          </w:p>
        </w:tc>
        <w:tc>
          <w:tcPr>
            <w:tcW w:w="960" w:type="dxa"/>
            <w:tcBorders>
              <w:top w:val="nil"/>
              <w:left w:val="nil"/>
              <w:bottom w:val="nil"/>
              <w:right w:val="nil"/>
            </w:tcBorders>
            <w:shd w:val="clear" w:color="auto" w:fill="auto"/>
            <w:noWrap/>
            <w:vAlign w:val="center"/>
            <w:hideMark/>
          </w:tcPr>
          <w:p w14:paraId="2E41837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1143.36</w:t>
            </w:r>
          </w:p>
        </w:tc>
        <w:tc>
          <w:tcPr>
            <w:tcW w:w="960" w:type="dxa"/>
            <w:tcBorders>
              <w:top w:val="nil"/>
              <w:left w:val="nil"/>
              <w:bottom w:val="nil"/>
              <w:right w:val="nil"/>
            </w:tcBorders>
            <w:shd w:val="clear" w:color="auto" w:fill="auto"/>
            <w:noWrap/>
            <w:vAlign w:val="center"/>
            <w:hideMark/>
          </w:tcPr>
          <w:p w14:paraId="225E317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129D9BDF"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43717F78"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3EB685BD" w14:textId="77777777" w:rsidTr="00CB5F95">
        <w:trPr>
          <w:trHeight w:val="300"/>
        </w:trPr>
        <w:tc>
          <w:tcPr>
            <w:tcW w:w="2620" w:type="dxa"/>
            <w:vMerge/>
            <w:tcBorders>
              <w:top w:val="nil"/>
              <w:left w:val="nil"/>
              <w:bottom w:val="single" w:sz="8" w:space="0" w:color="000000"/>
              <w:right w:val="nil"/>
            </w:tcBorders>
            <w:vAlign w:val="center"/>
            <w:hideMark/>
          </w:tcPr>
          <w:p w14:paraId="0AFF12C8"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nil"/>
              <w:right w:val="nil"/>
            </w:tcBorders>
            <w:shd w:val="clear" w:color="auto" w:fill="auto"/>
            <w:noWrap/>
            <w:vAlign w:val="bottom"/>
            <w:hideMark/>
          </w:tcPr>
          <w:p w14:paraId="768037C7"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4.9</w:t>
            </w:r>
            <w:r w:rsidRPr="00C533F9">
              <w:rPr>
                <w:rFonts w:eastAsia="Times New Roman" w:cs="Times New Roman"/>
                <w:b w:val="0"/>
                <w:color w:val="000000"/>
                <w:sz w:val="20"/>
                <w:szCs w:val="20"/>
                <w:lang w:eastAsia="en-MY"/>
              </w:rPr>
              <w:t>Ba</w:t>
            </w:r>
            <w:r w:rsidRPr="00C533F9">
              <w:rPr>
                <w:rFonts w:eastAsia="Times New Roman" w:cs="Times New Roman"/>
                <w:b w:val="0"/>
                <w:color w:val="000000"/>
                <w:sz w:val="20"/>
                <w:szCs w:val="20"/>
                <w:vertAlign w:val="subscript"/>
                <w:lang w:eastAsia="en-MY"/>
              </w:rPr>
              <w:t>2</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7.1</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66</w:t>
            </w:r>
          </w:p>
        </w:tc>
        <w:tc>
          <w:tcPr>
            <w:tcW w:w="1420" w:type="dxa"/>
            <w:tcBorders>
              <w:top w:val="nil"/>
              <w:left w:val="nil"/>
              <w:bottom w:val="nil"/>
              <w:right w:val="nil"/>
            </w:tcBorders>
            <w:shd w:val="clear" w:color="auto" w:fill="auto"/>
            <w:noWrap/>
            <w:vAlign w:val="center"/>
            <w:hideMark/>
          </w:tcPr>
          <w:p w14:paraId="2FE8C52E"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0FE1412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0.03</w:t>
            </w:r>
          </w:p>
        </w:tc>
        <w:tc>
          <w:tcPr>
            <w:tcW w:w="960" w:type="dxa"/>
            <w:tcBorders>
              <w:top w:val="nil"/>
              <w:left w:val="nil"/>
              <w:bottom w:val="nil"/>
              <w:right w:val="nil"/>
            </w:tcBorders>
            <w:shd w:val="clear" w:color="auto" w:fill="auto"/>
            <w:noWrap/>
            <w:vAlign w:val="center"/>
            <w:hideMark/>
          </w:tcPr>
          <w:p w14:paraId="4F8DBEB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0.39</w:t>
            </w:r>
          </w:p>
        </w:tc>
        <w:tc>
          <w:tcPr>
            <w:tcW w:w="960" w:type="dxa"/>
            <w:tcBorders>
              <w:top w:val="nil"/>
              <w:left w:val="nil"/>
              <w:bottom w:val="nil"/>
              <w:right w:val="nil"/>
            </w:tcBorders>
            <w:shd w:val="clear" w:color="auto" w:fill="auto"/>
            <w:noWrap/>
            <w:vAlign w:val="center"/>
            <w:hideMark/>
          </w:tcPr>
          <w:p w14:paraId="0BDAB09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0.4</w:t>
            </w:r>
          </w:p>
        </w:tc>
        <w:tc>
          <w:tcPr>
            <w:tcW w:w="960" w:type="dxa"/>
            <w:tcBorders>
              <w:top w:val="nil"/>
              <w:left w:val="nil"/>
              <w:bottom w:val="nil"/>
              <w:right w:val="nil"/>
            </w:tcBorders>
            <w:shd w:val="clear" w:color="auto" w:fill="auto"/>
            <w:noWrap/>
            <w:vAlign w:val="center"/>
            <w:hideMark/>
          </w:tcPr>
          <w:p w14:paraId="5FB4CA6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0.19</w:t>
            </w:r>
          </w:p>
        </w:tc>
        <w:tc>
          <w:tcPr>
            <w:tcW w:w="960" w:type="dxa"/>
            <w:tcBorders>
              <w:top w:val="nil"/>
              <w:left w:val="nil"/>
              <w:bottom w:val="nil"/>
              <w:right w:val="nil"/>
            </w:tcBorders>
            <w:shd w:val="clear" w:color="auto" w:fill="auto"/>
            <w:noWrap/>
            <w:vAlign w:val="center"/>
            <w:hideMark/>
          </w:tcPr>
          <w:p w14:paraId="35C674F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2.52</w:t>
            </w:r>
          </w:p>
        </w:tc>
        <w:tc>
          <w:tcPr>
            <w:tcW w:w="960" w:type="dxa"/>
            <w:tcBorders>
              <w:top w:val="nil"/>
              <w:left w:val="nil"/>
              <w:bottom w:val="nil"/>
              <w:right w:val="nil"/>
            </w:tcBorders>
            <w:shd w:val="clear" w:color="auto" w:fill="auto"/>
            <w:noWrap/>
            <w:vAlign w:val="center"/>
            <w:hideMark/>
          </w:tcPr>
          <w:p w14:paraId="1981F881"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78.56</w:t>
            </w:r>
          </w:p>
        </w:tc>
        <w:tc>
          <w:tcPr>
            <w:tcW w:w="960" w:type="dxa"/>
            <w:tcBorders>
              <w:top w:val="nil"/>
              <w:left w:val="nil"/>
              <w:bottom w:val="nil"/>
              <w:right w:val="nil"/>
            </w:tcBorders>
            <w:shd w:val="clear" w:color="auto" w:fill="auto"/>
            <w:noWrap/>
            <w:vAlign w:val="center"/>
            <w:hideMark/>
          </w:tcPr>
          <w:p w14:paraId="2A273F5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18.92</w:t>
            </w:r>
          </w:p>
        </w:tc>
      </w:tr>
      <w:tr w:rsidR="00CB5F95" w:rsidRPr="00C533F9" w14:paraId="66AFD668" w14:textId="77777777" w:rsidTr="00CB5F95">
        <w:trPr>
          <w:trHeight w:val="315"/>
        </w:trPr>
        <w:tc>
          <w:tcPr>
            <w:tcW w:w="2620" w:type="dxa"/>
            <w:vMerge/>
            <w:tcBorders>
              <w:top w:val="nil"/>
              <w:left w:val="nil"/>
              <w:bottom w:val="single" w:sz="8" w:space="0" w:color="000000"/>
              <w:right w:val="nil"/>
            </w:tcBorders>
            <w:vAlign w:val="center"/>
            <w:hideMark/>
          </w:tcPr>
          <w:p w14:paraId="7B356AEA"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nil"/>
              <w:right w:val="nil"/>
            </w:tcBorders>
            <w:shd w:val="clear" w:color="auto" w:fill="auto"/>
            <w:noWrap/>
            <w:vAlign w:val="center"/>
            <w:hideMark/>
          </w:tcPr>
          <w:p w14:paraId="4B53893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1420" w:type="dxa"/>
            <w:tcBorders>
              <w:top w:val="nil"/>
              <w:left w:val="nil"/>
              <w:bottom w:val="nil"/>
              <w:right w:val="nil"/>
            </w:tcBorders>
            <w:shd w:val="clear" w:color="auto" w:fill="auto"/>
            <w:noWrap/>
            <w:vAlign w:val="center"/>
            <w:hideMark/>
          </w:tcPr>
          <w:p w14:paraId="5EC501A3"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nil"/>
              <w:right w:val="nil"/>
            </w:tcBorders>
            <w:shd w:val="clear" w:color="auto" w:fill="auto"/>
            <w:noWrap/>
            <w:vAlign w:val="center"/>
            <w:hideMark/>
          </w:tcPr>
          <w:p w14:paraId="46DCBC8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907.66</w:t>
            </w:r>
          </w:p>
        </w:tc>
        <w:tc>
          <w:tcPr>
            <w:tcW w:w="960" w:type="dxa"/>
            <w:tcBorders>
              <w:top w:val="nil"/>
              <w:left w:val="nil"/>
              <w:bottom w:val="nil"/>
              <w:right w:val="nil"/>
            </w:tcBorders>
            <w:shd w:val="clear" w:color="auto" w:fill="auto"/>
            <w:noWrap/>
            <w:vAlign w:val="center"/>
            <w:hideMark/>
          </w:tcPr>
          <w:p w14:paraId="1D3A747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991.86</w:t>
            </w:r>
          </w:p>
        </w:tc>
        <w:tc>
          <w:tcPr>
            <w:tcW w:w="960" w:type="dxa"/>
            <w:tcBorders>
              <w:top w:val="nil"/>
              <w:left w:val="nil"/>
              <w:bottom w:val="nil"/>
              <w:right w:val="nil"/>
            </w:tcBorders>
            <w:shd w:val="clear" w:color="auto" w:fill="auto"/>
            <w:noWrap/>
            <w:vAlign w:val="center"/>
            <w:hideMark/>
          </w:tcPr>
          <w:p w14:paraId="6692F41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1076.61</w:t>
            </w:r>
          </w:p>
        </w:tc>
        <w:tc>
          <w:tcPr>
            <w:tcW w:w="960" w:type="dxa"/>
            <w:tcBorders>
              <w:top w:val="nil"/>
              <w:left w:val="nil"/>
              <w:bottom w:val="nil"/>
              <w:right w:val="nil"/>
            </w:tcBorders>
            <w:shd w:val="clear" w:color="auto" w:fill="auto"/>
            <w:noWrap/>
            <w:vAlign w:val="center"/>
            <w:hideMark/>
          </w:tcPr>
          <w:p w14:paraId="2EABD22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1148.7</w:t>
            </w:r>
          </w:p>
        </w:tc>
        <w:tc>
          <w:tcPr>
            <w:tcW w:w="960" w:type="dxa"/>
            <w:tcBorders>
              <w:top w:val="nil"/>
              <w:left w:val="nil"/>
              <w:bottom w:val="nil"/>
              <w:right w:val="nil"/>
            </w:tcBorders>
            <w:shd w:val="clear" w:color="auto" w:fill="auto"/>
            <w:noWrap/>
            <w:vAlign w:val="center"/>
            <w:hideMark/>
          </w:tcPr>
          <w:p w14:paraId="10AAF9C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p>
        </w:tc>
        <w:tc>
          <w:tcPr>
            <w:tcW w:w="960" w:type="dxa"/>
            <w:tcBorders>
              <w:top w:val="nil"/>
              <w:left w:val="nil"/>
              <w:bottom w:val="nil"/>
              <w:right w:val="nil"/>
            </w:tcBorders>
            <w:shd w:val="clear" w:color="auto" w:fill="auto"/>
            <w:noWrap/>
            <w:vAlign w:val="center"/>
            <w:hideMark/>
          </w:tcPr>
          <w:p w14:paraId="0A3D9460" w14:textId="77777777" w:rsidR="00CB5F95" w:rsidRPr="00C533F9" w:rsidRDefault="00CB5F95" w:rsidP="00CB5F95">
            <w:pPr>
              <w:spacing w:after="0" w:line="240" w:lineRule="auto"/>
              <w:rPr>
                <w:rFonts w:eastAsia="Times New Roman" w:cs="Times New Roman"/>
                <w:b w:val="0"/>
                <w:sz w:val="20"/>
                <w:szCs w:val="20"/>
                <w:lang w:eastAsia="en-MY"/>
              </w:rPr>
            </w:pPr>
          </w:p>
        </w:tc>
        <w:tc>
          <w:tcPr>
            <w:tcW w:w="960" w:type="dxa"/>
            <w:tcBorders>
              <w:top w:val="nil"/>
              <w:left w:val="nil"/>
              <w:bottom w:val="nil"/>
              <w:right w:val="nil"/>
            </w:tcBorders>
            <w:shd w:val="clear" w:color="auto" w:fill="auto"/>
            <w:noWrap/>
            <w:vAlign w:val="center"/>
            <w:hideMark/>
          </w:tcPr>
          <w:p w14:paraId="7771E01E" w14:textId="77777777" w:rsidR="00CB5F95" w:rsidRPr="00C533F9" w:rsidRDefault="00CB5F95" w:rsidP="00CB5F95">
            <w:pPr>
              <w:spacing w:after="0" w:line="240" w:lineRule="auto"/>
              <w:rPr>
                <w:rFonts w:eastAsia="Times New Roman" w:cs="Times New Roman"/>
                <w:b w:val="0"/>
                <w:sz w:val="20"/>
                <w:szCs w:val="20"/>
                <w:lang w:eastAsia="en-MY"/>
              </w:rPr>
            </w:pPr>
          </w:p>
        </w:tc>
      </w:tr>
      <w:tr w:rsidR="00CB5F95" w:rsidRPr="00C533F9" w14:paraId="79313FB3" w14:textId="77777777" w:rsidTr="00CB5F95">
        <w:trPr>
          <w:trHeight w:val="300"/>
        </w:trPr>
        <w:tc>
          <w:tcPr>
            <w:tcW w:w="2620" w:type="dxa"/>
            <w:vMerge/>
            <w:tcBorders>
              <w:top w:val="nil"/>
              <w:left w:val="nil"/>
              <w:bottom w:val="single" w:sz="8" w:space="0" w:color="000000"/>
              <w:right w:val="nil"/>
            </w:tcBorders>
            <w:vAlign w:val="center"/>
            <w:hideMark/>
          </w:tcPr>
          <w:p w14:paraId="02C14933"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nil"/>
              <w:right w:val="nil"/>
            </w:tcBorders>
            <w:shd w:val="clear" w:color="auto" w:fill="auto"/>
            <w:noWrap/>
            <w:vAlign w:val="bottom"/>
            <w:hideMark/>
          </w:tcPr>
          <w:p w14:paraId="4C21CED7" w14:textId="77777777" w:rsidR="00CB5F95" w:rsidRPr="00C533F9" w:rsidRDefault="00CB5F95" w:rsidP="00CB5F95">
            <w:pPr>
              <w:spacing w:after="0" w:line="240" w:lineRule="auto"/>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N</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C</w:t>
            </w:r>
            <w:r w:rsidRPr="00C533F9">
              <w:rPr>
                <w:rFonts w:eastAsia="Times New Roman" w:cs="Times New Roman"/>
                <w:b w:val="0"/>
                <w:color w:val="000000"/>
                <w:sz w:val="20"/>
                <w:szCs w:val="20"/>
                <w:vertAlign w:val="subscript"/>
                <w:lang w:eastAsia="en-MY"/>
              </w:rPr>
              <w:t>2.5</w:t>
            </w:r>
            <w:r w:rsidRPr="00C533F9">
              <w:rPr>
                <w:rFonts w:eastAsia="Times New Roman" w:cs="Times New Roman"/>
                <w:b w:val="0"/>
                <w:color w:val="000000"/>
                <w:sz w:val="20"/>
                <w:szCs w:val="20"/>
                <w:lang w:eastAsia="en-MY"/>
              </w:rPr>
              <w:t>Ba</w:t>
            </w:r>
            <w:r w:rsidRPr="00C533F9">
              <w:rPr>
                <w:rFonts w:eastAsia="Times New Roman" w:cs="Times New Roman"/>
                <w:b w:val="0"/>
                <w:color w:val="000000"/>
                <w:sz w:val="20"/>
                <w:szCs w:val="20"/>
                <w:vertAlign w:val="subscript"/>
                <w:lang w:eastAsia="en-MY"/>
              </w:rPr>
              <w:t>2</w:t>
            </w:r>
            <w:r w:rsidRPr="00C533F9">
              <w:rPr>
                <w:rFonts w:eastAsia="Times New Roman" w:cs="Times New Roman"/>
                <w:b w:val="0"/>
                <w:color w:val="000000"/>
                <w:sz w:val="20"/>
                <w:szCs w:val="20"/>
                <w:lang w:eastAsia="en-MY"/>
              </w:rPr>
              <w:t>A</w:t>
            </w:r>
            <w:r w:rsidRPr="00C533F9">
              <w:rPr>
                <w:rFonts w:eastAsia="Times New Roman" w:cs="Times New Roman"/>
                <w:b w:val="0"/>
                <w:color w:val="000000"/>
                <w:sz w:val="20"/>
                <w:szCs w:val="20"/>
                <w:vertAlign w:val="subscript"/>
                <w:lang w:eastAsia="en-MY"/>
              </w:rPr>
              <w:t>12.5</w:t>
            </w:r>
            <w:r w:rsidRPr="00C533F9">
              <w:rPr>
                <w:rFonts w:eastAsia="Times New Roman" w:cs="Times New Roman"/>
                <w:b w:val="0"/>
                <w:color w:val="000000"/>
                <w:sz w:val="20"/>
                <w:szCs w:val="20"/>
                <w:lang w:eastAsia="en-MY"/>
              </w:rPr>
              <w:t>B</w:t>
            </w:r>
            <w:r w:rsidRPr="00C533F9">
              <w:rPr>
                <w:rFonts w:eastAsia="Times New Roman" w:cs="Times New Roman"/>
                <w:b w:val="0"/>
                <w:color w:val="000000"/>
                <w:sz w:val="20"/>
                <w:szCs w:val="20"/>
                <w:vertAlign w:val="subscript"/>
                <w:lang w:eastAsia="en-MY"/>
              </w:rPr>
              <w:t>10</w:t>
            </w:r>
            <w:r w:rsidRPr="00C533F9">
              <w:rPr>
                <w:rFonts w:eastAsia="Times New Roman" w:cs="Times New Roman"/>
                <w:b w:val="0"/>
                <w:color w:val="000000"/>
                <w:sz w:val="20"/>
                <w:szCs w:val="20"/>
                <w:lang w:eastAsia="en-MY"/>
              </w:rPr>
              <w:t>S</w:t>
            </w:r>
            <w:r w:rsidRPr="00C533F9">
              <w:rPr>
                <w:rFonts w:eastAsia="Times New Roman" w:cs="Times New Roman"/>
                <w:b w:val="0"/>
                <w:color w:val="000000"/>
                <w:sz w:val="20"/>
                <w:szCs w:val="20"/>
                <w:vertAlign w:val="subscript"/>
                <w:lang w:eastAsia="en-MY"/>
              </w:rPr>
              <w:t>63</w:t>
            </w:r>
          </w:p>
        </w:tc>
        <w:tc>
          <w:tcPr>
            <w:tcW w:w="1420" w:type="dxa"/>
            <w:tcBorders>
              <w:top w:val="nil"/>
              <w:left w:val="nil"/>
              <w:bottom w:val="nil"/>
              <w:right w:val="nil"/>
            </w:tcBorders>
            <w:shd w:val="clear" w:color="auto" w:fill="auto"/>
            <w:noWrap/>
            <w:vAlign w:val="center"/>
            <w:hideMark/>
          </w:tcPr>
          <w:p w14:paraId="4808F97B" w14:textId="77777777" w:rsidR="00CB5F95" w:rsidRPr="00C533F9" w:rsidRDefault="00CB5F95" w:rsidP="00CB5F95">
            <w:pPr>
              <w:spacing w:after="0" w:line="240" w:lineRule="auto"/>
              <w:jc w:val="center"/>
              <w:rPr>
                <w:rFonts w:eastAsia="Times New Roman" w:cs="Times New Roman"/>
                <w:b w:val="0"/>
                <w:color w:val="000000"/>
                <w:sz w:val="20"/>
                <w:szCs w:val="20"/>
                <w:lang w:eastAsia="en-MY"/>
              </w:rPr>
            </w:pPr>
            <w:r w:rsidRPr="00C533F9">
              <w:rPr>
                <w:rFonts w:eastAsia="Times New Roman" w:cs="Times New Roman"/>
                <w:b w:val="0"/>
                <w:color w:val="000000"/>
                <w:sz w:val="20"/>
                <w:szCs w:val="20"/>
                <w:lang w:eastAsia="en-MY"/>
              </w:rPr>
              <w:t>Area</w:t>
            </w:r>
          </w:p>
        </w:tc>
        <w:tc>
          <w:tcPr>
            <w:tcW w:w="960" w:type="dxa"/>
            <w:tcBorders>
              <w:top w:val="nil"/>
              <w:left w:val="nil"/>
              <w:bottom w:val="nil"/>
              <w:right w:val="nil"/>
            </w:tcBorders>
            <w:shd w:val="clear" w:color="auto" w:fill="auto"/>
            <w:noWrap/>
            <w:vAlign w:val="center"/>
            <w:hideMark/>
          </w:tcPr>
          <w:p w14:paraId="1B57B95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0.03</w:t>
            </w:r>
          </w:p>
        </w:tc>
        <w:tc>
          <w:tcPr>
            <w:tcW w:w="960" w:type="dxa"/>
            <w:tcBorders>
              <w:top w:val="nil"/>
              <w:left w:val="nil"/>
              <w:bottom w:val="nil"/>
              <w:right w:val="nil"/>
            </w:tcBorders>
            <w:shd w:val="clear" w:color="auto" w:fill="auto"/>
            <w:noWrap/>
            <w:vAlign w:val="center"/>
            <w:hideMark/>
          </w:tcPr>
          <w:p w14:paraId="0F6D9699"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0.33</w:t>
            </w:r>
          </w:p>
        </w:tc>
        <w:tc>
          <w:tcPr>
            <w:tcW w:w="960" w:type="dxa"/>
            <w:tcBorders>
              <w:top w:val="nil"/>
              <w:left w:val="nil"/>
              <w:bottom w:val="nil"/>
              <w:right w:val="nil"/>
            </w:tcBorders>
            <w:shd w:val="clear" w:color="auto" w:fill="auto"/>
            <w:noWrap/>
            <w:vAlign w:val="center"/>
            <w:hideMark/>
          </w:tcPr>
          <w:p w14:paraId="7A371F34"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0.35</w:t>
            </w:r>
          </w:p>
        </w:tc>
        <w:tc>
          <w:tcPr>
            <w:tcW w:w="960" w:type="dxa"/>
            <w:tcBorders>
              <w:top w:val="nil"/>
              <w:left w:val="nil"/>
              <w:bottom w:val="nil"/>
              <w:right w:val="nil"/>
            </w:tcBorders>
            <w:shd w:val="clear" w:color="auto" w:fill="auto"/>
            <w:noWrap/>
            <w:vAlign w:val="center"/>
            <w:hideMark/>
          </w:tcPr>
          <w:p w14:paraId="2FB513D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0.29</w:t>
            </w:r>
          </w:p>
        </w:tc>
        <w:tc>
          <w:tcPr>
            <w:tcW w:w="960" w:type="dxa"/>
            <w:tcBorders>
              <w:top w:val="nil"/>
              <w:left w:val="nil"/>
              <w:bottom w:val="nil"/>
              <w:right w:val="nil"/>
            </w:tcBorders>
            <w:shd w:val="clear" w:color="auto" w:fill="auto"/>
            <w:noWrap/>
            <w:vAlign w:val="center"/>
            <w:hideMark/>
          </w:tcPr>
          <w:p w14:paraId="50C7D66F"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2.66</w:t>
            </w:r>
          </w:p>
        </w:tc>
        <w:tc>
          <w:tcPr>
            <w:tcW w:w="960" w:type="dxa"/>
            <w:tcBorders>
              <w:top w:val="nil"/>
              <w:left w:val="nil"/>
              <w:bottom w:val="nil"/>
              <w:right w:val="nil"/>
            </w:tcBorders>
            <w:shd w:val="clear" w:color="auto" w:fill="auto"/>
            <w:noWrap/>
            <w:vAlign w:val="center"/>
            <w:hideMark/>
          </w:tcPr>
          <w:p w14:paraId="1D7A2F4D"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67.92</w:t>
            </w:r>
          </w:p>
        </w:tc>
        <w:tc>
          <w:tcPr>
            <w:tcW w:w="960" w:type="dxa"/>
            <w:tcBorders>
              <w:top w:val="nil"/>
              <w:left w:val="nil"/>
              <w:bottom w:val="nil"/>
              <w:right w:val="nil"/>
            </w:tcBorders>
            <w:shd w:val="clear" w:color="auto" w:fill="auto"/>
            <w:noWrap/>
            <w:vAlign w:val="center"/>
            <w:hideMark/>
          </w:tcPr>
          <w:p w14:paraId="737561A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29.42</w:t>
            </w:r>
          </w:p>
        </w:tc>
      </w:tr>
      <w:tr w:rsidR="00CB5F95" w:rsidRPr="00C533F9" w14:paraId="1477CD32" w14:textId="77777777" w:rsidTr="00CB5F95">
        <w:trPr>
          <w:trHeight w:val="315"/>
        </w:trPr>
        <w:tc>
          <w:tcPr>
            <w:tcW w:w="2620" w:type="dxa"/>
            <w:vMerge/>
            <w:tcBorders>
              <w:top w:val="nil"/>
              <w:left w:val="nil"/>
              <w:bottom w:val="single" w:sz="8" w:space="0" w:color="000000"/>
              <w:right w:val="nil"/>
            </w:tcBorders>
            <w:vAlign w:val="center"/>
            <w:hideMark/>
          </w:tcPr>
          <w:p w14:paraId="7165C104" w14:textId="77777777" w:rsidR="00CB5F95" w:rsidRPr="00C533F9" w:rsidRDefault="00CB5F95" w:rsidP="00CB5F95">
            <w:pPr>
              <w:spacing w:after="0" w:line="240" w:lineRule="auto"/>
              <w:rPr>
                <w:rFonts w:eastAsia="Times New Roman" w:cs="Times New Roman"/>
                <w:b w:val="0"/>
                <w:color w:val="000000"/>
                <w:sz w:val="20"/>
                <w:szCs w:val="20"/>
                <w:lang w:eastAsia="en-MY"/>
              </w:rPr>
            </w:pPr>
          </w:p>
        </w:tc>
        <w:tc>
          <w:tcPr>
            <w:tcW w:w="2260" w:type="dxa"/>
            <w:tcBorders>
              <w:top w:val="nil"/>
              <w:left w:val="nil"/>
              <w:bottom w:val="single" w:sz="8" w:space="0" w:color="auto"/>
              <w:right w:val="nil"/>
            </w:tcBorders>
            <w:shd w:val="clear" w:color="auto" w:fill="auto"/>
            <w:noWrap/>
            <w:vAlign w:val="center"/>
            <w:hideMark/>
          </w:tcPr>
          <w:p w14:paraId="67AAB48E"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1420" w:type="dxa"/>
            <w:tcBorders>
              <w:top w:val="nil"/>
              <w:left w:val="nil"/>
              <w:bottom w:val="single" w:sz="8" w:space="0" w:color="auto"/>
              <w:right w:val="nil"/>
            </w:tcBorders>
            <w:shd w:val="clear" w:color="auto" w:fill="auto"/>
            <w:noWrap/>
            <w:vAlign w:val="center"/>
            <w:hideMark/>
          </w:tcPr>
          <w:p w14:paraId="1ADDA06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Wavenumber</w:t>
            </w:r>
          </w:p>
        </w:tc>
        <w:tc>
          <w:tcPr>
            <w:tcW w:w="960" w:type="dxa"/>
            <w:tcBorders>
              <w:top w:val="nil"/>
              <w:left w:val="nil"/>
              <w:bottom w:val="single" w:sz="8" w:space="0" w:color="auto"/>
              <w:right w:val="nil"/>
            </w:tcBorders>
            <w:shd w:val="clear" w:color="auto" w:fill="auto"/>
            <w:noWrap/>
            <w:vAlign w:val="center"/>
            <w:hideMark/>
          </w:tcPr>
          <w:p w14:paraId="435F49B6"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905.64</w:t>
            </w:r>
          </w:p>
        </w:tc>
        <w:tc>
          <w:tcPr>
            <w:tcW w:w="960" w:type="dxa"/>
            <w:tcBorders>
              <w:top w:val="nil"/>
              <w:left w:val="nil"/>
              <w:bottom w:val="single" w:sz="8" w:space="0" w:color="auto"/>
              <w:right w:val="nil"/>
            </w:tcBorders>
            <w:shd w:val="clear" w:color="auto" w:fill="auto"/>
            <w:noWrap/>
            <w:vAlign w:val="center"/>
            <w:hideMark/>
          </w:tcPr>
          <w:p w14:paraId="399BB118"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994.87</w:t>
            </w:r>
          </w:p>
        </w:tc>
        <w:tc>
          <w:tcPr>
            <w:tcW w:w="960" w:type="dxa"/>
            <w:tcBorders>
              <w:top w:val="nil"/>
              <w:left w:val="nil"/>
              <w:bottom w:val="single" w:sz="8" w:space="0" w:color="auto"/>
              <w:right w:val="nil"/>
            </w:tcBorders>
            <w:shd w:val="clear" w:color="auto" w:fill="auto"/>
            <w:noWrap/>
            <w:vAlign w:val="center"/>
            <w:hideMark/>
          </w:tcPr>
          <w:p w14:paraId="24E5C7BA"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1070.98</w:t>
            </w:r>
          </w:p>
        </w:tc>
        <w:tc>
          <w:tcPr>
            <w:tcW w:w="960" w:type="dxa"/>
            <w:tcBorders>
              <w:top w:val="nil"/>
              <w:left w:val="nil"/>
              <w:bottom w:val="single" w:sz="8" w:space="0" w:color="auto"/>
              <w:right w:val="nil"/>
            </w:tcBorders>
            <w:shd w:val="clear" w:color="auto" w:fill="auto"/>
            <w:noWrap/>
            <w:vAlign w:val="center"/>
            <w:hideMark/>
          </w:tcPr>
          <w:p w14:paraId="1E2BF487"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1139.53</w:t>
            </w:r>
          </w:p>
        </w:tc>
        <w:tc>
          <w:tcPr>
            <w:tcW w:w="960" w:type="dxa"/>
            <w:tcBorders>
              <w:top w:val="nil"/>
              <w:left w:val="nil"/>
              <w:bottom w:val="single" w:sz="8" w:space="0" w:color="auto"/>
              <w:right w:val="nil"/>
            </w:tcBorders>
            <w:shd w:val="clear" w:color="auto" w:fill="auto"/>
            <w:noWrap/>
            <w:vAlign w:val="center"/>
            <w:hideMark/>
          </w:tcPr>
          <w:p w14:paraId="17509D3C"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0AACD780"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c>
          <w:tcPr>
            <w:tcW w:w="960" w:type="dxa"/>
            <w:tcBorders>
              <w:top w:val="nil"/>
              <w:left w:val="nil"/>
              <w:bottom w:val="single" w:sz="8" w:space="0" w:color="auto"/>
              <w:right w:val="nil"/>
            </w:tcBorders>
            <w:shd w:val="clear" w:color="auto" w:fill="auto"/>
            <w:noWrap/>
            <w:vAlign w:val="center"/>
            <w:hideMark/>
          </w:tcPr>
          <w:p w14:paraId="23D3EEAB" w14:textId="77777777" w:rsidR="00CB5F95" w:rsidRPr="00C533F9" w:rsidRDefault="00CB5F95" w:rsidP="00CB5F95">
            <w:pPr>
              <w:spacing w:after="0" w:line="240" w:lineRule="auto"/>
              <w:jc w:val="center"/>
              <w:rPr>
                <w:rFonts w:ascii="Calibri" w:eastAsia="Times New Roman" w:hAnsi="Calibri" w:cs="Times New Roman"/>
                <w:b w:val="0"/>
                <w:color w:val="000000"/>
                <w:sz w:val="20"/>
                <w:szCs w:val="20"/>
                <w:lang w:eastAsia="en-MY"/>
              </w:rPr>
            </w:pPr>
            <w:r w:rsidRPr="00C533F9">
              <w:rPr>
                <w:rFonts w:ascii="Calibri" w:eastAsia="Times New Roman" w:hAnsi="Calibri" w:cs="Times New Roman"/>
                <w:b w:val="0"/>
                <w:color w:val="000000"/>
                <w:sz w:val="20"/>
                <w:szCs w:val="20"/>
                <w:lang w:eastAsia="en-MY"/>
              </w:rPr>
              <w:t> </w:t>
            </w:r>
          </w:p>
        </w:tc>
      </w:tr>
    </w:tbl>
    <w:p w14:paraId="5307BE0C" w14:textId="77777777" w:rsidR="00CB5F95" w:rsidRDefault="00CB5F95" w:rsidP="00CB5F95">
      <w:pPr>
        <w:sectPr w:rsidR="00CB5F95" w:rsidSect="00C533F9">
          <w:pgSz w:w="16838" w:h="11906" w:orient="landscape"/>
          <w:pgMar w:top="1440" w:right="1440" w:bottom="1440" w:left="1440" w:header="709" w:footer="709" w:gutter="0"/>
          <w:cols w:space="708"/>
          <w:docGrid w:linePitch="360"/>
        </w:sectPr>
      </w:pPr>
    </w:p>
    <w:p w14:paraId="6B12A5C1" w14:textId="77777777" w:rsidR="00CB5F95" w:rsidRPr="000E2377" w:rsidRDefault="00CB5F95" w:rsidP="00CB5F95">
      <w:pPr>
        <w:spacing w:line="240" w:lineRule="auto"/>
        <w:jc w:val="center"/>
        <w:rPr>
          <w:rFonts w:eastAsia="Calibri" w:cs="Times New Roman"/>
          <w:b w:val="0"/>
          <w:bCs/>
          <w:szCs w:val="24"/>
          <w:vertAlign w:val="superscript"/>
          <w:lang w:val="en-GB"/>
        </w:rPr>
      </w:pPr>
      <w:r w:rsidRPr="000E2377">
        <w:rPr>
          <w:rFonts w:eastAsia="Calibri" w:cs="Times New Roman"/>
          <w:b w:val="0"/>
          <w:bCs/>
          <w:szCs w:val="24"/>
          <w:lang w:val="en-GB"/>
        </w:rPr>
        <w:lastRenderedPageBreak/>
        <w:t>DECONVOLUTION OF RAMAN AT 850-1300 cm</w:t>
      </w:r>
      <w:r w:rsidRPr="000E2377">
        <w:rPr>
          <w:rFonts w:eastAsia="Calibri" w:cs="Times New Roman"/>
          <w:b w:val="0"/>
          <w:bCs/>
          <w:szCs w:val="24"/>
          <w:vertAlign w:val="superscript"/>
          <w:lang w:val="en-GB"/>
        </w:rPr>
        <w:t>-1</w:t>
      </w:r>
    </w:p>
    <w:p w14:paraId="456DBD52" w14:textId="77777777" w:rsidR="00CB5F95" w:rsidRPr="000E2377" w:rsidRDefault="00CB5F95" w:rsidP="00CB5F95">
      <w:pPr>
        <w:spacing w:after="0" w:line="360" w:lineRule="auto"/>
        <w:jc w:val="both"/>
        <w:rPr>
          <w:rFonts w:cs="Times New Roman"/>
          <w:b w:val="0"/>
          <w:i/>
          <w:szCs w:val="24"/>
        </w:rPr>
      </w:pPr>
    </w:p>
    <w:p w14:paraId="1E04D552" w14:textId="77777777" w:rsidR="00CB5F95" w:rsidRPr="000E2377" w:rsidRDefault="00CB5F95" w:rsidP="00CB5F95">
      <w:pPr>
        <w:spacing w:after="0" w:line="360" w:lineRule="auto"/>
        <w:jc w:val="center"/>
        <w:rPr>
          <w:rFonts w:cs="Times New Roman"/>
          <w:b w:val="0"/>
          <w:i/>
          <w:szCs w:val="24"/>
        </w:rPr>
      </w:pP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15</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15-x</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 xml:space="preserve">60 </w:t>
      </w:r>
      <w:r w:rsidRPr="000E2377">
        <w:rPr>
          <w:rFonts w:eastAsia="Times New Roman" w:cs="Times New Roman"/>
          <w:color w:val="000000"/>
          <w:szCs w:val="24"/>
          <w:lang w:eastAsia="en-MY"/>
        </w:rPr>
        <w:t>and N</w:t>
      </w:r>
      <w:r w:rsidRPr="000E2377">
        <w:rPr>
          <w:rFonts w:eastAsia="Times New Roman" w:cs="Times New Roman"/>
          <w:color w:val="000000"/>
          <w:szCs w:val="24"/>
          <w:vertAlign w:val="subscript"/>
          <w:lang w:eastAsia="en-MY"/>
        </w:rPr>
        <w:t>15</w:t>
      </w:r>
      <w:r w:rsidRPr="000E2377">
        <w:rPr>
          <w:rFonts w:eastAsia="Times New Roman" w:cs="Times New Roman"/>
          <w:color w:val="000000"/>
          <w:szCs w:val="24"/>
          <w:lang w:eastAsia="en-MY"/>
        </w:rPr>
        <w:t>Ba</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15-x</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 xml:space="preserve">60 </w:t>
      </w:r>
      <w:r w:rsidRPr="000E2377">
        <w:rPr>
          <w:rFonts w:cs="Times New Roman"/>
          <w:szCs w:val="24"/>
        </w:rPr>
        <w:t>glass</w:t>
      </w:r>
      <w:r w:rsidRPr="000E2377">
        <w:rPr>
          <w:rFonts w:cs="Times New Roman"/>
          <w:szCs w:val="24"/>
          <w:lang w:val="en-GB"/>
        </w:rPr>
        <w:t xml:space="preserve"> series</w:t>
      </w:r>
    </w:p>
    <w:p w14:paraId="3A787F29" w14:textId="77777777" w:rsidR="00CB5F95" w:rsidRPr="000E2377" w:rsidRDefault="00CB5F95" w:rsidP="00CB5F95">
      <w:pPr>
        <w:spacing w:after="0" w:line="360" w:lineRule="auto"/>
        <w:jc w:val="both"/>
        <w:rPr>
          <w:rFonts w:cs="Times New Roman"/>
          <w:b w:val="0"/>
          <w:i/>
          <w:szCs w:val="24"/>
        </w:rPr>
      </w:pPr>
      <w:r w:rsidRPr="000E2377">
        <w:rPr>
          <w:rFonts w:cs="Times New Roman"/>
          <w:noProof/>
          <w:szCs w:val="24"/>
          <w:lang w:eastAsia="en-MY"/>
        </w:rPr>
        <mc:AlternateContent>
          <mc:Choice Requires="wps">
            <w:drawing>
              <wp:anchor distT="0" distB="0" distL="114300" distR="114300" simplePos="0" relativeHeight="252551168" behindDoc="0" locked="0" layoutInCell="1" allowOverlap="1" wp14:anchorId="6B67C107" wp14:editId="06651239">
                <wp:simplePos x="0" y="0"/>
                <wp:positionH relativeFrom="column">
                  <wp:posOffset>126459</wp:posOffset>
                </wp:positionH>
                <wp:positionV relativeFrom="paragraph">
                  <wp:posOffset>261458</wp:posOffset>
                </wp:positionV>
                <wp:extent cx="1721795" cy="332105"/>
                <wp:effectExtent l="0" t="0" r="0" b="0"/>
                <wp:wrapNone/>
                <wp:docPr id="1198" name="Text Box 1198"/>
                <wp:cNvGraphicFramePr/>
                <a:graphic xmlns:a="http://schemas.openxmlformats.org/drawingml/2006/main">
                  <a:graphicData uri="http://schemas.microsoft.com/office/word/2010/wordprocessingShape">
                    <wps:wsp>
                      <wps:cNvSpPr txBox="1"/>
                      <wps:spPr>
                        <a:xfrm>
                          <a:off x="0" y="0"/>
                          <a:ext cx="1721795" cy="332105"/>
                        </a:xfrm>
                        <a:prstGeom prst="rect">
                          <a:avLst/>
                        </a:prstGeom>
                        <a:noFill/>
                        <a:ln w="6350">
                          <a:noFill/>
                        </a:ln>
                      </wps:spPr>
                      <wps:txbx>
                        <w:txbxContent>
                          <w:p w14:paraId="57F02B5F"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7.5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7.5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67C107" id="Text Box 1198" o:spid="_x0000_s1409" type="#_x0000_t202" style="position:absolute;left:0;text-align:left;margin-left:9.95pt;margin-top:20.6pt;width:135.55pt;height:26.15pt;z-index:25255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" filled="f" stroked="f" strokeweight=".5pt">
                <v:textbox>
                  <w:txbxContent>
                    <w:p w14:paraId="57F02B5F"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7.5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7.5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v:textbox>
              </v:shape>
            </w:pict>
          </mc:Fallback>
        </mc:AlternateContent>
      </w:r>
    </w:p>
    <w:p w14:paraId="3BB30F9A" w14:textId="77777777" w:rsidR="00CB5F95" w:rsidRPr="000E2377" w:rsidRDefault="00CB5F95" w:rsidP="00CB5F95">
      <w:pPr>
        <w:spacing w:after="0" w:line="360" w:lineRule="auto"/>
        <w:jc w:val="both"/>
        <w:rPr>
          <w:rFonts w:cs="Times New Roman"/>
          <w:b w:val="0"/>
          <w:i/>
          <w:szCs w:val="24"/>
        </w:rPr>
      </w:pPr>
      <w:r w:rsidRPr="000E2377">
        <w:rPr>
          <w:rFonts w:cs="Times New Roman"/>
          <w:noProof/>
          <w:szCs w:val="24"/>
          <w:lang w:eastAsia="en-MY"/>
        </w:rPr>
        <mc:AlternateContent>
          <mc:Choice Requires="wps">
            <w:drawing>
              <wp:anchor distT="0" distB="0" distL="114300" distR="114300" simplePos="0" relativeHeight="252552192" behindDoc="0" locked="0" layoutInCell="1" allowOverlap="1" wp14:anchorId="6E78BEBD" wp14:editId="293A550B">
                <wp:simplePos x="0" y="0"/>
                <wp:positionH relativeFrom="column">
                  <wp:posOffset>2918298</wp:posOffset>
                </wp:positionH>
                <wp:positionV relativeFrom="paragraph">
                  <wp:posOffset>8296</wp:posOffset>
                </wp:positionV>
                <wp:extent cx="1682885" cy="332509"/>
                <wp:effectExtent l="0" t="0" r="0" b="0"/>
                <wp:wrapNone/>
                <wp:docPr id="1196" name="Text Box 1196"/>
                <wp:cNvGraphicFramePr/>
                <a:graphic xmlns:a="http://schemas.openxmlformats.org/drawingml/2006/main">
                  <a:graphicData uri="http://schemas.microsoft.com/office/word/2010/wordprocessingShape">
                    <wps:wsp>
                      <wps:cNvSpPr txBox="1"/>
                      <wps:spPr>
                        <a:xfrm>
                          <a:off x="0" y="0"/>
                          <a:ext cx="1682885" cy="332509"/>
                        </a:xfrm>
                        <a:prstGeom prst="rect">
                          <a:avLst/>
                        </a:prstGeom>
                        <a:noFill/>
                        <a:ln w="6350">
                          <a:noFill/>
                        </a:ln>
                      </wps:spPr>
                      <wps:txbx>
                        <w:txbxContent>
                          <w:p w14:paraId="6ADEFFD9"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78BEBD" id="Text Box 1196" o:spid="_x0000_s1410" type="#_x0000_t202" style="position:absolute;left:0;text-align:left;margin-left:229.8pt;margin-top:.65pt;width:132.5pt;height:26.2pt;z-index:25255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" filled="f" stroked="f" strokeweight=".5pt">
                <v:textbox>
                  <w:txbxContent>
                    <w:p w14:paraId="6ADEFFD9"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v:textbox>
              </v:shape>
            </w:pict>
          </mc:Fallback>
        </mc:AlternateContent>
      </w:r>
      <w:r w:rsidRPr="000E2377">
        <w:rPr>
          <w:rFonts w:cs="Times New Roman"/>
          <w:b w:val="0"/>
          <w:i/>
          <w:noProof/>
          <w:szCs w:val="24"/>
          <w:lang w:eastAsia="en-MY"/>
        </w:rPr>
        <w:drawing>
          <wp:inline distT="0" distB="0" distL="0" distR="0" wp14:anchorId="3DDD4E8E" wp14:editId="6E1B62F8">
            <wp:extent cx="2780259" cy="1368000"/>
            <wp:effectExtent l="0" t="0" r="1270" b="3810"/>
            <wp:docPr id="2274" name="Picture 2274" descr="C:\Users\Asus A450L\Google Drive\0. Master data\PART 4  Results\picture\Dec S3\C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sus A450L\Google Drive\0. Master data\PART 4  Results\picture\Dec S3\C7.5.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780259" cy="1368000"/>
                    </a:xfrm>
                    <a:prstGeom prst="rect">
                      <a:avLst/>
                    </a:prstGeom>
                    <a:noFill/>
                    <a:ln>
                      <a:noFill/>
                    </a:ln>
                  </pic:spPr>
                </pic:pic>
              </a:graphicData>
            </a:graphic>
          </wp:inline>
        </w:drawing>
      </w:r>
      <w:r w:rsidRPr="000E2377">
        <w:rPr>
          <w:rFonts w:cs="Times New Roman"/>
          <w:b w:val="0"/>
          <w:i/>
          <w:noProof/>
          <w:szCs w:val="24"/>
          <w:lang w:eastAsia="en-MY"/>
        </w:rPr>
        <w:drawing>
          <wp:inline distT="0" distB="0" distL="0" distR="0" wp14:anchorId="2BB0A594" wp14:editId="32CCDE62">
            <wp:extent cx="2892578" cy="1368000"/>
            <wp:effectExtent l="0" t="0" r="3175" b="3810"/>
            <wp:docPr id="2275" name="Picture 2275" descr="C:\Users\Asus A450L\Google Drive\0. Master data\PART 4  Results\picture\Dec S3\C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sus A450L\Google Drive\0. Master data\PART 4  Results\picture\Dec S3\C10.PN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892578" cy="1368000"/>
                    </a:xfrm>
                    <a:prstGeom prst="rect">
                      <a:avLst/>
                    </a:prstGeom>
                    <a:noFill/>
                    <a:ln>
                      <a:noFill/>
                    </a:ln>
                  </pic:spPr>
                </pic:pic>
              </a:graphicData>
            </a:graphic>
          </wp:inline>
        </w:drawing>
      </w:r>
    </w:p>
    <w:p w14:paraId="5F6A5A44" w14:textId="77777777" w:rsidR="00CB5F95" w:rsidRPr="000E2377" w:rsidRDefault="00CB5F95" w:rsidP="00CB5F95">
      <w:pPr>
        <w:spacing w:after="0" w:line="360" w:lineRule="auto"/>
        <w:jc w:val="both"/>
        <w:rPr>
          <w:rFonts w:cs="Times New Roman"/>
          <w:b w:val="0"/>
          <w:i/>
          <w:szCs w:val="24"/>
        </w:rPr>
      </w:pPr>
      <w:r w:rsidRPr="000E2377">
        <w:rPr>
          <w:rFonts w:cs="Times New Roman"/>
          <w:noProof/>
          <w:szCs w:val="24"/>
          <w:lang w:eastAsia="en-MY"/>
        </w:rPr>
        <mc:AlternateContent>
          <mc:Choice Requires="wps">
            <w:drawing>
              <wp:anchor distT="0" distB="0" distL="114300" distR="114300" simplePos="0" relativeHeight="252553216" behindDoc="0" locked="0" layoutInCell="1" allowOverlap="1" wp14:anchorId="787C113E" wp14:editId="4AAE67D7">
                <wp:simplePos x="0" y="0"/>
                <wp:positionH relativeFrom="column">
                  <wp:posOffset>116731</wp:posOffset>
                </wp:positionH>
                <wp:positionV relativeFrom="paragraph">
                  <wp:posOffset>202768</wp:posOffset>
                </wp:positionV>
                <wp:extent cx="1634247" cy="332105"/>
                <wp:effectExtent l="0" t="0" r="0" b="0"/>
                <wp:wrapNone/>
                <wp:docPr id="2273" name="Text Box 2273"/>
                <wp:cNvGraphicFramePr/>
                <a:graphic xmlns:a="http://schemas.openxmlformats.org/drawingml/2006/main">
                  <a:graphicData uri="http://schemas.microsoft.com/office/word/2010/wordprocessingShape">
                    <wps:wsp>
                      <wps:cNvSpPr txBox="1"/>
                      <wps:spPr>
                        <a:xfrm>
                          <a:off x="0" y="0"/>
                          <a:ext cx="1634247" cy="332105"/>
                        </a:xfrm>
                        <a:prstGeom prst="rect">
                          <a:avLst/>
                        </a:prstGeom>
                        <a:noFill/>
                        <a:ln w="6350">
                          <a:noFill/>
                        </a:ln>
                      </wps:spPr>
                      <wps:txbx>
                        <w:txbxContent>
                          <w:p w14:paraId="037EAEC5"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12.5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2.5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7C113E" id="Text Box 2273" o:spid="_x0000_s1411" type="#_x0000_t202" style="position:absolute;left:0;text-align:left;margin-left:9.2pt;margin-top:15.95pt;width:128.7pt;height:26.15pt;z-index:25255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" filled="f" stroked="f" strokeweight=".5pt">
                <v:textbox>
                  <w:txbxContent>
                    <w:p w14:paraId="037EAEC5"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12.5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2.5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554240" behindDoc="0" locked="0" layoutInCell="1" allowOverlap="1" wp14:anchorId="1FD287BD" wp14:editId="6AAE0EF6">
                <wp:simplePos x="0" y="0"/>
                <wp:positionH relativeFrom="column">
                  <wp:posOffset>2889115</wp:posOffset>
                </wp:positionH>
                <wp:positionV relativeFrom="paragraph">
                  <wp:posOffset>163857</wp:posOffset>
                </wp:positionV>
                <wp:extent cx="1750979" cy="719847"/>
                <wp:effectExtent l="0" t="0" r="0" b="4445"/>
                <wp:wrapNone/>
                <wp:docPr id="1197" name="Text Box 1197"/>
                <wp:cNvGraphicFramePr/>
                <a:graphic xmlns:a="http://schemas.openxmlformats.org/drawingml/2006/main">
                  <a:graphicData uri="http://schemas.microsoft.com/office/word/2010/wordprocessingShape">
                    <wps:wsp>
                      <wps:cNvSpPr txBox="1"/>
                      <wps:spPr>
                        <a:xfrm>
                          <a:off x="0" y="0"/>
                          <a:ext cx="1750979" cy="719847"/>
                        </a:xfrm>
                        <a:prstGeom prst="rect">
                          <a:avLst/>
                        </a:prstGeom>
                        <a:noFill/>
                        <a:ln w="6350">
                          <a:noFill/>
                        </a:ln>
                      </wps:spPr>
                      <wps:txbx>
                        <w:txbxContent>
                          <w:p w14:paraId="539FB7FD" w14:textId="77777777" w:rsidR="00230AB9" w:rsidRPr="00C84119" w:rsidRDefault="00230AB9" w:rsidP="00CB5F95">
                            <w:pPr>
                              <w:spacing w:after="0" w:line="240" w:lineRule="auto"/>
                              <w:rPr>
                                <w:rFonts w:eastAsia="Times New Roman" w:cs="Times New Roman"/>
                                <w:b w:val="0"/>
                                <w:color w:val="000000"/>
                                <w:sz w:val="28"/>
                                <w:szCs w:val="28"/>
                                <w:lang w:eastAsia="en-MY"/>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7.5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7.5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p w14:paraId="316240C6" w14:textId="77777777" w:rsidR="00230AB9" w:rsidRDefault="00230AB9" w:rsidP="00CB5F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287BD" id="Text Box 1197" o:spid="_x0000_s1412" type="#_x0000_t202" style="position:absolute;left:0;text-align:left;margin-left:227.5pt;margin-top:12.9pt;width:137.85pt;height:56.7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" filled="f" stroked="f" strokeweight=".5pt">
                <v:textbox>
                  <w:txbxContent>
                    <w:p w14:paraId="539FB7FD" w14:textId="77777777" w:rsidR="00230AB9" w:rsidRPr="00C84119" w:rsidRDefault="00230AB9" w:rsidP="00CB5F95">
                      <w:pPr>
                        <w:spacing w:after="0" w:line="240" w:lineRule="auto"/>
                        <w:rPr>
                          <w:rFonts w:eastAsia="Times New Roman" w:cs="Times New Roman"/>
                          <w:b w:val="0"/>
                          <w:color w:val="000000"/>
                          <w:sz w:val="28"/>
                          <w:szCs w:val="28"/>
                          <w:lang w:eastAsia="en-MY"/>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7.5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7.5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p w14:paraId="316240C6" w14:textId="77777777" w:rsidR="00230AB9" w:rsidRDefault="00230AB9" w:rsidP="00CB5F95"/>
                  </w:txbxContent>
                </v:textbox>
              </v:shape>
            </w:pict>
          </mc:Fallback>
        </mc:AlternateContent>
      </w:r>
    </w:p>
    <w:p w14:paraId="0E15BBF2" w14:textId="77777777" w:rsidR="00CB5F95" w:rsidRPr="000E2377" w:rsidRDefault="00CB5F95" w:rsidP="00CB5F95">
      <w:pPr>
        <w:spacing w:after="0" w:line="360" w:lineRule="auto"/>
        <w:jc w:val="both"/>
        <w:rPr>
          <w:rFonts w:cs="Times New Roman"/>
          <w:b w:val="0"/>
          <w:i/>
          <w:szCs w:val="24"/>
        </w:rPr>
      </w:pPr>
      <w:r w:rsidRPr="000E2377">
        <w:rPr>
          <w:rFonts w:cs="Times New Roman"/>
          <w:b w:val="0"/>
          <w:i/>
          <w:noProof/>
          <w:szCs w:val="24"/>
          <w:lang w:eastAsia="en-MY"/>
        </w:rPr>
        <w:drawing>
          <wp:inline distT="0" distB="0" distL="0" distR="0" wp14:anchorId="3280E123" wp14:editId="1549D987">
            <wp:extent cx="2783860" cy="1368000"/>
            <wp:effectExtent l="0" t="0" r="0" b="3810"/>
            <wp:docPr id="2276" name="Picture 2276" descr="C:\Users\Asus A450L\Google Drive\0. Master data\PART 4  Results\picture\Dec S3\C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sus A450L\Google Drive\0. Master data\PART 4  Results\picture\Dec S3\C12.5.PN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783860" cy="1368000"/>
                    </a:xfrm>
                    <a:prstGeom prst="rect">
                      <a:avLst/>
                    </a:prstGeom>
                    <a:noFill/>
                    <a:ln>
                      <a:noFill/>
                    </a:ln>
                  </pic:spPr>
                </pic:pic>
              </a:graphicData>
            </a:graphic>
          </wp:inline>
        </w:drawing>
      </w:r>
      <w:r w:rsidRPr="000E2377">
        <w:rPr>
          <w:rFonts w:cs="Times New Roman"/>
          <w:b w:val="0"/>
          <w:i/>
          <w:noProof/>
          <w:szCs w:val="24"/>
          <w:lang w:eastAsia="en-MY"/>
        </w:rPr>
        <w:drawing>
          <wp:inline distT="0" distB="0" distL="0" distR="0" wp14:anchorId="4D2AD367" wp14:editId="7EFCFB91">
            <wp:extent cx="2858874" cy="1368000"/>
            <wp:effectExtent l="0" t="0" r="0" b="3810"/>
            <wp:docPr id="2277" name="Picture 2277" descr="C:\Users\Asus A450L\Google Drive\0. Master data\PART 4  Results\picture\Dec S3\Ba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sus A450L\Google Drive\0. Master data\PART 4  Results\picture\Dec S3\Ba7.5.PN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858874" cy="1368000"/>
                    </a:xfrm>
                    <a:prstGeom prst="rect">
                      <a:avLst/>
                    </a:prstGeom>
                    <a:noFill/>
                    <a:ln>
                      <a:noFill/>
                    </a:ln>
                  </pic:spPr>
                </pic:pic>
              </a:graphicData>
            </a:graphic>
          </wp:inline>
        </w:drawing>
      </w:r>
    </w:p>
    <w:p w14:paraId="72D7F333" w14:textId="77777777" w:rsidR="00CB5F95" w:rsidRPr="000E2377" w:rsidRDefault="00CB5F95" w:rsidP="00CB5F95">
      <w:pPr>
        <w:spacing w:after="0" w:line="360" w:lineRule="auto"/>
        <w:jc w:val="both"/>
        <w:rPr>
          <w:rFonts w:cs="Times New Roman"/>
          <w:b w:val="0"/>
          <w:i/>
          <w:szCs w:val="24"/>
        </w:rPr>
      </w:pPr>
    </w:p>
    <w:p w14:paraId="6199E5E2" w14:textId="77777777" w:rsidR="00CB5F95" w:rsidRPr="000E2377" w:rsidRDefault="00CB5F95" w:rsidP="00CB5F95">
      <w:pPr>
        <w:spacing w:after="0" w:line="360" w:lineRule="auto"/>
        <w:jc w:val="center"/>
        <w:rPr>
          <w:rFonts w:cs="Times New Roman"/>
          <w:b w:val="0"/>
          <w:i/>
          <w:szCs w:val="24"/>
        </w:rPr>
      </w:pPr>
      <w:r w:rsidRPr="000E2377">
        <w:rPr>
          <w:rFonts w:cs="Times New Roman"/>
          <w:noProof/>
          <w:szCs w:val="24"/>
          <w:lang w:eastAsia="en-MY"/>
        </w:rPr>
        <mc:AlternateContent>
          <mc:Choice Requires="wps">
            <w:drawing>
              <wp:anchor distT="0" distB="0" distL="114300" distR="114300" simplePos="0" relativeHeight="252556288" behindDoc="0" locked="0" layoutInCell="1" allowOverlap="1" wp14:anchorId="4A4BF21F" wp14:editId="5E946042">
                <wp:simplePos x="0" y="0"/>
                <wp:positionH relativeFrom="column">
                  <wp:posOffset>2976663</wp:posOffset>
                </wp:positionH>
                <wp:positionV relativeFrom="paragraph">
                  <wp:posOffset>7647</wp:posOffset>
                </wp:positionV>
                <wp:extent cx="1916349" cy="332105"/>
                <wp:effectExtent l="0" t="0" r="0" b="0"/>
                <wp:wrapNone/>
                <wp:docPr id="1199" name="Text Box 1199"/>
                <wp:cNvGraphicFramePr/>
                <a:graphic xmlns:a="http://schemas.openxmlformats.org/drawingml/2006/main">
                  <a:graphicData uri="http://schemas.microsoft.com/office/word/2010/wordprocessingShape">
                    <wps:wsp>
                      <wps:cNvSpPr txBox="1"/>
                      <wps:spPr>
                        <a:xfrm>
                          <a:off x="0" y="0"/>
                          <a:ext cx="1916349" cy="332105"/>
                        </a:xfrm>
                        <a:prstGeom prst="rect">
                          <a:avLst/>
                        </a:prstGeom>
                        <a:noFill/>
                        <a:ln w="6350">
                          <a:noFill/>
                        </a:ln>
                      </wps:spPr>
                      <wps:txbx>
                        <w:txbxContent>
                          <w:p w14:paraId="56F8BCAC"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12.5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2.5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4BF21F" id="Text Box 1199" o:spid="_x0000_s1413" type="#_x0000_t202" style="position:absolute;left:0;text-align:left;margin-left:234.4pt;margin-top:.6pt;width:150.9pt;height:26.15pt;z-index:25255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" filled="f" stroked="f" strokeweight=".5pt">
                <v:textbox>
                  <w:txbxContent>
                    <w:p w14:paraId="56F8BCAC"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12.5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2.5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555264" behindDoc="0" locked="0" layoutInCell="1" allowOverlap="1" wp14:anchorId="7D3DAB60" wp14:editId="41E47531">
                <wp:simplePos x="0" y="0"/>
                <wp:positionH relativeFrom="column">
                  <wp:posOffset>155643</wp:posOffset>
                </wp:positionH>
                <wp:positionV relativeFrom="paragraph">
                  <wp:posOffset>17375</wp:posOffset>
                </wp:positionV>
                <wp:extent cx="1809344" cy="332105"/>
                <wp:effectExtent l="0" t="0" r="0" b="0"/>
                <wp:wrapNone/>
                <wp:docPr id="2272" name="Text Box 2272"/>
                <wp:cNvGraphicFramePr/>
                <a:graphic xmlns:a="http://schemas.openxmlformats.org/drawingml/2006/main">
                  <a:graphicData uri="http://schemas.microsoft.com/office/word/2010/wordprocessingShape">
                    <wps:wsp>
                      <wps:cNvSpPr txBox="1"/>
                      <wps:spPr>
                        <a:xfrm>
                          <a:off x="0" y="0"/>
                          <a:ext cx="1809344" cy="332105"/>
                        </a:xfrm>
                        <a:prstGeom prst="rect">
                          <a:avLst/>
                        </a:prstGeom>
                        <a:noFill/>
                        <a:ln w="6350">
                          <a:noFill/>
                        </a:ln>
                      </wps:spPr>
                      <wps:txbx>
                        <w:txbxContent>
                          <w:p w14:paraId="63BF8069"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3DAB60" id="Text Box 2272" o:spid="_x0000_s1414" type="#_x0000_t202" style="position:absolute;left:0;text-align:left;margin-left:12.25pt;margin-top:1.35pt;width:142.45pt;height:26.15pt;z-index:25255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" filled="f" stroked="f" strokeweight=".5pt">
                <v:textbox>
                  <w:txbxContent>
                    <w:p w14:paraId="63BF8069"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v:textbox>
              </v:shape>
            </w:pict>
          </mc:Fallback>
        </mc:AlternateContent>
      </w:r>
      <w:r w:rsidRPr="000E2377">
        <w:rPr>
          <w:rFonts w:cs="Times New Roman"/>
          <w:b w:val="0"/>
          <w:i/>
          <w:noProof/>
          <w:szCs w:val="24"/>
          <w:lang w:eastAsia="en-MY"/>
        </w:rPr>
        <w:drawing>
          <wp:inline distT="0" distB="0" distL="0" distR="0" wp14:anchorId="7470A141" wp14:editId="1FE72D42">
            <wp:extent cx="2798334" cy="1476000"/>
            <wp:effectExtent l="0" t="0" r="2540" b="0"/>
            <wp:docPr id="2278" name="Picture 2278" descr="C:\Users\Asus A450L\Google Drive\0. Master data\PART 4  Results\picture\Dec S3\Ba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sus A450L\Google Drive\0. Master data\PART 4  Results\picture\Dec S3\Ba10.PN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798334" cy="1476000"/>
                    </a:xfrm>
                    <a:prstGeom prst="rect">
                      <a:avLst/>
                    </a:prstGeom>
                    <a:noFill/>
                    <a:ln>
                      <a:noFill/>
                    </a:ln>
                  </pic:spPr>
                </pic:pic>
              </a:graphicData>
            </a:graphic>
          </wp:inline>
        </w:drawing>
      </w:r>
      <w:r w:rsidRPr="000E2377">
        <w:rPr>
          <w:rFonts w:cs="Times New Roman"/>
          <w:b w:val="0"/>
          <w:i/>
          <w:noProof/>
          <w:szCs w:val="24"/>
          <w:lang w:eastAsia="en-MY"/>
        </w:rPr>
        <w:drawing>
          <wp:inline distT="0" distB="0" distL="0" distR="0" wp14:anchorId="02BFED29" wp14:editId="17F9E981">
            <wp:extent cx="2832769" cy="1476000"/>
            <wp:effectExtent l="0" t="0" r="5715" b="0"/>
            <wp:docPr id="2279" name="Picture 2279" descr="C:\Users\Asus A450L\Google Drive\0. Master data\PART 4  Results\picture\Dec S3\Ba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sus A450L\Google Drive\0. Master data\PART 4  Results\picture\Dec S3\Ba12.5.P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832769" cy="1476000"/>
                    </a:xfrm>
                    <a:prstGeom prst="rect">
                      <a:avLst/>
                    </a:prstGeom>
                    <a:noFill/>
                    <a:ln>
                      <a:noFill/>
                    </a:ln>
                  </pic:spPr>
                </pic:pic>
              </a:graphicData>
            </a:graphic>
          </wp:inline>
        </w:drawing>
      </w:r>
    </w:p>
    <w:p w14:paraId="681500C4" w14:textId="77777777" w:rsidR="00CB5F95" w:rsidRPr="000E2377" w:rsidRDefault="00CB5F95" w:rsidP="00CB5F95">
      <w:pPr>
        <w:spacing w:line="360" w:lineRule="auto"/>
        <w:jc w:val="center"/>
        <w:rPr>
          <w:rFonts w:cs="Times New Roman"/>
          <w:szCs w:val="24"/>
          <w:lang w:val="en-GB"/>
        </w:rPr>
      </w:pPr>
    </w:p>
    <w:p w14:paraId="08CB4E1A" w14:textId="77777777" w:rsidR="00CB5F95" w:rsidRPr="000E2377" w:rsidRDefault="00CB5F95" w:rsidP="00CB5F95">
      <w:pPr>
        <w:spacing w:line="360" w:lineRule="auto"/>
        <w:jc w:val="center"/>
        <w:rPr>
          <w:rFonts w:cs="Times New Roman"/>
          <w:szCs w:val="24"/>
          <w:lang w:val="en-GB"/>
        </w:rPr>
      </w:pPr>
    </w:p>
    <w:p w14:paraId="7A7FE853" w14:textId="77777777" w:rsidR="00CB5F95" w:rsidRPr="000E2377" w:rsidRDefault="00CB5F95" w:rsidP="00CB5F95">
      <w:pPr>
        <w:spacing w:line="360" w:lineRule="auto"/>
        <w:jc w:val="both"/>
        <w:rPr>
          <w:rFonts w:eastAsia="Times New Roman" w:cs="Times New Roman"/>
          <w:b w:val="0"/>
          <w:color w:val="000000"/>
          <w:szCs w:val="24"/>
          <w:lang w:eastAsia="en-MY"/>
        </w:rPr>
      </w:pPr>
      <w:r w:rsidRPr="000E2377">
        <w:rPr>
          <w:rFonts w:eastAsia="Times New Roman" w:cs="Times New Roman"/>
          <w:b w:val="0"/>
          <w:color w:val="000000"/>
          <w:szCs w:val="24"/>
          <w:lang w:eastAsia="en-MY"/>
        </w:rPr>
        <w:t xml:space="preserve">. </w:t>
      </w:r>
    </w:p>
    <w:p w14:paraId="1800B0CA" w14:textId="77777777" w:rsidR="00CB5F95" w:rsidRPr="000E2377" w:rsidRDefault="00CB5F95" w:rsidP="00CB5F95">
      <w:pPr>
        <w:spacing w:line="360" w:lineRule="auto"/>
        <w:jc w:val="both"/>
        <w:rPr>
          <w:b w:val="0"/>
        </w:rPr>
      </w:pPr>
    </w:p>
    <w:p w14:paraId="6D8AF9F1" w14:textId="77777777" w:rsidR="00CB5F95" w:rsidRPr="000E2377" w:rsidRDefault="00CB5F95" w:rsidP="00CB5F95">
      <w:pPr>
        <w:spacing w:line="360" w:lineRule="auto"/>
        <w:jc w:val="both"/>
        <w:rPr>
          <w:b w:val="0"/>
        </w:rPr>
      </w:pPr>
    </w:p>
    <w:p w14:paraId="07A3741C" w14:textId="77777777" w:rsidR="00CB5F95" w:rsidRPr="000E2377" w:rsidRDefault="00CB5F95" w:rsidP="00CB5F95">
      <w:pPr>
        <w:spacing w:line="360" w:lineRule="auto"/>
        <w:jc w:val="both"/>
        <w:rPr>
          <w:b w:val="0"/>
        </w:rPr>
      </w:pPr>
    </w:p>
    <w:p w14:paraId="24AA1CD5" w14:textId="77777777" w:rsidR="00CB5F95" w:rsidRPr="000E2377" w:rsidRDefault="00CB5F95" w:rsidP="00CB5F95">
      <w:pPr>
        <w:spacing w:line="360" w:lineRule="auto"/>
        <w:jc w:val="both"/>
        <w:rPr>
          <w:b w:val="0"/>
        </w:rPr>
      </w:pPr>
    </w:p>
    <w:p w14:paraId="2D20D5DF" w14:textId="77777777" w:rsidR="00CB5F95" w:rsidRPr="000E2377" w:rsidRDefault="00CB5F95" w:rsidP="00CB5F95">
      <w:pPr>
        <w:spacing w:line="240" w:lineRule="auto"/>
        <w:jc w:val="center"/>
        <w:rPr>
          <w:rFonts w:eastAsia="Calibri" w:cs="Times New Roman"/>
          <w:b w:val="0"/>
          <w:bCs/>
          <w:szCs w:val="24"/>
          <w:vertAlign w:val="superscript"/>
          <w:lang w:val="en-GB"/>
        </w:rPr>
      </w:pPr>
      <w:r w:rsidRPr="000E2377">
        <w:rPr>
          <w:rFonts w:eastAsia="Calibri" w:cs="Times New Roman"/>
          <w:b w:val="0"/>
          <w:bCs/>
          <w:szCs w:val="24"/>
          <w:lang w:val="en-GB"/>
        </w:rPr>
        <w:lastRenderedPageBreak/>
        <w:t>DECONVOLUTION OF RAMAN AT 850-1300 cm</w:t>
      </w:r>
      <w:r w:rsidRPr="000E2377">
        <w:rPr>
          <w:rFonts w:eastAsia="Calibri" w:cs="Times New Roman"/>
          <w:b w:val="0"/>
          <w:bCs/>
          <w:szCs w:val="24"/>
          <w:vertAlign w:val="superscript"/>
          <w:lang w:val="en-GB"/>
        </w:rPr>
        <w:t>-1</w:t>
      </w:r>
    </w:p>
    <w:p w14:paraId="5FB99238" w14:textId="77777777" w:rsidR="00CB5F95" w:rsidRPr="000E2377" w:rsidRDefault="00CB5F95" w:rsidP="00CB5F95">
      <w:pPr>
        <w:spacing w:line="360" w:lineRule="auto"/>
        <w:jc w:val="center"/>
        <w:rPr>
          <w:rFonts w:eastAsia="Times New Roman" w:cs="Times New Roman"/>
          <w:color w:val="000000"/>
          <w:szCs w:val="24"/>
          <w:lang w:eastAsia="en-MY"/>
        </w:rPr>
      </w:pPr>
    </w:p>
    <w:p w14:paraId="6D2B4FC0" w14:textId="77777777" w:rsidR="00CB5F95" w:rsidRPr="000E2377" w:rsidRDefault="00CB5F95" w:rsidP="00CB5F95">
      <w:pPr>
        <w:spacing w:line="360" w:lineRule="auto"/>
        <w:jc w:val="center"/>
        <w:rPr>
          <w:b w:val="0"/>
          <w:szCs w:val="24"/>
        </w:rPr>
      </w:pP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20-x</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 xml:space="preserve">60 </w:t>
      </w:r>
      <w:r w:rsidRPr="000E2377">
        <w:rPr>
          <w:rFonts w:eastAsia="Times New Roman" w:cs="Times New Roman"/>
          <w:color w:val="000000"/>
          <w:szCs w:val="24"/>
          <w:lang w:eastAsia="en-MY"/>
        </w:rPr>
        <w:t>and N</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Ba</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20-x</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 xml:space="preserve">60 </w:t>
      </w:r>
      <w:r w:rsidRPr="000E2377">
        <w:rPr>
          <w:rFonts w:cs="Times New Roman"/>
          <w:szCs w:val="24"/>
        </w:rPr>
        <w:t>glass</w:t>
      </w:r>
      <w:r w:rsidRPr="000E2377">
        <w:rPr>
          <w:rFonts w:cs="Times New Roman"/>
          <w:szCs w:val="24"/>
          <w:lang w:val="en-GB"/>
        </w:rPr>
        <w:t xml:space="preserve"> series</w:t>
      </w:r>
    </w:p>
    <w:p w14:paraId="319F57AF" w14:textId="77777777" w:rsidR="00CB5F95" w:rsidRPr="000E2377" w:rsidRDefault="00CB5F95" w:rsidP="00CB5F95">
      <w:pPr>
        <w:spacing w:line="360" w:lineRule="auto"/>
        <w:jc w:val="both"/>
        <w:rPr>
          <w:b w:val="0"/>
        </w:rPr>
      </w:pPr>
      <w:r w:rsidRPr="000E2377">
        <w:rPr>
          <w:rFonts w:cs="Times New Roman"/>
          <w:noProof/>
          <w:szCs w:val="24"/>
          <w:lang w:eastAsia="en-MY"/>
        </w:rPr>
        <mc:AlternateContent>
          <mc:Choice Requires="wps">
            <w:drawing>
              <wp:anchor distT="0" distB="0" distL="114300" distR="114300" simplePos="0" relativeHeight="252558336" behindDoc="0" locked="0" layoutInCell="1" allowOverlap="1" wp14:anchorId="697FC8C3" wp14:editId="6645DBF2">
                <wp:simplePos x="0" y="0"/>
                <wp:positionH relativeFrom="column">
                  <wp:posOffset>3024911</wp:posOffset>
                </wp:positionH>
                <wp:positionV relativeFrom="paragraph">
                  <wp:posOffset>298964</wp:posOffset>
                </wp:positionV>
                <wp:extent cx="1322962" cy="332509"/>
                <wp:effectExtent l="0" t="0" r="0" b="0"/>
                <wp:wrapNone/>
                <wp:docPr id="2300" name="Text Box 2300"/>
                <wp:cNvGraphicFramePr/>
                <a:graphic xmlns:a="http://schemas.openxmlformats.org/drawingml/2006/main">
                  <a:graphicData uri="http://schemas.microsoft.com/office/word/2010/wordprocessingShape">
                    <wps:wsp>
                      <wps:cNvSpPr txBox="1"/>
                      <wps:spPr>
                        <a:xfrm>
                          <a:off x="0" y="0"/>
                          <a:ext cx="1322962" cy="332509"/>
                        </a:xfrm>
                        <a:prstGeom prst="rect">
                          <a:avLst/>
                        </a:prstGeom>
                        <a:noFill/>
                        <a:ln w="6350">
                          <a:noFill/>
                        </a:ln>
                      </wps:spPr>
                      <wps:txbx>
                        <w:txbxContent>
                          <w:p w14:paraId="66576D2A"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7FC8C3" id="Text Box 2300" o:spid="_x0000_s1415" type="#_x0000_t202" style="position:absolute;left:0;text-align:left;margin-left:238.2pt;margin-top:23.55pt;width:104.15pt;height:26.2pt;z-index:25255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" filled="f" stroked="f" strokeweight=".5pt">
                <v:textbox>
                  <w:txbxContent>
                    <w:p w14:paraId="66576D2A"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557312" behindDoc="0" locked="0" layoutInCell="1" allowOverlap="1" wp14:anchorId="2113BD77" wp14:editId="0D583CF3">
                <wp:simplePos x="0" y="0"/>
                <wp:positionH relativeFrom="column">
                  <wp:posOffset>271983</wp:posOffset>
                </wp:positionH>
                <wp:positionV relativeFrom="paragraph">
                  <wp:posOffset>279711</wp:posOffset>
                </wp:positionV>
                <wp:extent cx="1595336" cy="332105"/>
                <wp:effectExtent l="0" t="0" r="0" b="0"/>
                <wp:wrapNone/>
                <wp:docPr id="2299" name="Text Box 2299"/>
                <wp:cNvGraphicFramePr/>
                <a:graphic xmlns:a="http://schemas.openxmlformats.org/drawingml/2006/main">
                  <a:graphicData uri="http://schemas.microsoft.com/office/word/2010/wordprocessingShape">
                    <wps:wsp>
                      <wps:cNvSpPr txBox="1"/>
                      <wps:spPr>
                        <a:xfrm>
                          <a:off x="0" y="0"/>
                          <a:ext cx="1595336" cy="332105"/>
                        </a:xfrm>
                        <a:prstGeom prst="rect">
                          <a:avLst/>
                        </a:prstGeom>
                        <a:noFill/>
                        <a:ln w="6350">
                          <a:noFill/>
                        </a:ln>
                      </wps:spPr>
                      <wps:txbx>
                        <w:txbxContent>
                          <w:p w14:paraId="045277B8"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2.5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17.5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13BD77" id="Text Box 2299" o:spid="_x0000_s1416" type="#_x0000_t202" style="position:absolute;left:0;text-align:left;margin-left:21.4pt;margin-top:22pt;width:125.6pt;height:26.15pt;z-index:25255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" filled="f" stroked="f" strokeweight=".5pt">
                <v:textbox>
                  <w:txbxContent>
                    <w:p w14:paraId="045277B8"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2.5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17.5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v:textbox>
              </v:shape>
            </w:pict>
          </mc:Fallback>
        </mc:AlternateContent>
      </w:r>
    </w:p>
    <w:p w14:paraId="48F3B3CF" w14:textId="77777777" w:rsidR="00CB5F95" w:rsidRPr="000E2377" w:rsidRDefault="00CB5F95" w:rsidP="00CB5F95">
      <w:pPr>
        <w:spacing w:after="0" w:line="360" w:lineRule="auto"/>
        <w:jc w:val="center"/>
        <w:rPr>
          <w:rFonts w:cs="Times New Roman"/>
          <w:b w:val="0"/>
          <w:i/>
          <w:szCs w:val="24"/>
        </w:rPr>
      </w:pPr>
      <w:r w:rsidRPr="000E2377">
        <w:rPr>
          <w:rFonts w:cs="Times New Roman"/>
          <w:b w:val="0"/>
          <w:i/>
          <w:noProof/>
          <w:szCs w:val="24"/>
          <w:lang w:eastAsia="en-MY"/>
        </w:rPr>
        <w:drawing>
          <wp:inline distT="0" distB="0" distL="0" distR="0" wp14:anchorId="0D26EB08" wp14:editId="29134097">
            <wp:extent cx="2757005" cy="1656000"/>
            <wp:effectExtent l="0" t="0" r="5715" b="1905"/>
            <wp:docPr id="2305" name="Picture 2305" descr="C:\Users\Asus A450L\Google Drive\0. Master data\PART 4  Results\picture\Dec S4\C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sus A450L\Google Drive\0. Master data\PART 4  Results\picture\Dec S4\C2.5.PN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757005" cy="1656000"/>
                    </a:xfrm>
                    <a:prstGeom prst="rect">
                      <a:avLst/>
                    </a:prstGeom>
                    <a:noFill/>
                    <a:ln>
                      <a:noFill/>
                    </a:ln>
                  </pic:spPr>
                </pic:pic>
              </a:graphicData>
            </a:graphic>
          </wp:inline>
        </w:drawing>
      </w:r>
      <w:r w:rsidRPr="000E2377">
        <w:rPr>
          <w:rFonts w:cs="Times New Roman"/>
          <w:b w:val="0"/>
          <w:i/>
          <w:noProof/>
          <w:szCs w:val="24"/>
          <w:lang w:eastAsia="en-MY"/>
        </w:rPr>
        <w:drawing>
          <wp:inline distT="0" distB="0" distL="0" distR="0" wp14:anchorId="62A19A8C" wp14:editId="6CB2E7D0">
            <wp:extent cx="2670484" cy="1656000"/>
            <wp:effectExtent l="0" t="0" r="0" b="1905"/>
            <wp:docPr id="2306" name="Picture 2306" descr="C:\Users\Asus A450L\Google Drive\0. Master data\PART 4  Results\picture\Dec S4\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sus A450L\Google Drive\0. Master data\PART 4  Results\picture\Dec S4\C5.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670484" cy="1656000"/>
                    </a:xfrm>
                    <a:prstGeom prst="rect">
                      <a:avLst/>
                    </a:prstGeom>
                    <a:noFill/>
                    <a:ln>
                      <a:noFill/>
                    </a:ln>
                  </pic:spPr>
                </pic:pic>
              </a:graphicData>
            </a:graphic>
          </wp:inline>
        </w:drawing>
      </w:r>
    </w:p>
    <w:p w14:paraId="4845E0DE" w14:textId="77777777" w:rsidR="00CB5F95" w:rsidRPr="000E2377" w:rsidRDefault="00CB5F95" w:rsidP="00CB5F95">
      <w:pPr>
        <w:spacing w:after="0" w:line="360" w:lineRule="auto"/>
        <w:jc w:val="center"/>
        <w:rPr>
          <w:rFonts w:cs="Times New Roman"/>
          <w:b w:val="0"/>
          <w:i/>
          <w:szCs w:val="24"/>
        </w:rPr>
      </w:pPr>
      <w:r w:rsidRPr="000E2377">
        <w:rPr>
          <w:rFonts w:cs="Times New Roman"/>
          <w:noProof/>
          <w:szCs w:val="24"/>
          <w:lang w:eastAsia="en-MY"/>
        </w:rPr>
        <mc:AlternateContent>
          <mc:Choice Requires="wps">
            <w:drawing>
              <wp:anchor distT="0" distB="0" distL="114300" distR="114300" simplePos="0" relativeHeight="252560384" behindDoc="0" locked="0" layoutInCell="1" allowOverlap="1" wp14:anchorId="2674198A" wp14:editId="4F048A17">
                <wp:simplePos x="0" y="0"/>
                <wp:positionH relativeFrom="column">
                  <wp:posOffset>2996119</wp:posOffset>
                </wp:positionH>
                <wp:positionV relativeFrom="paragraph">
                  <wp:posOffset>207226</wp:posOffset>
                </wp:positionV>
                <wp:extent cx="2052536" cy="332105"/>
                <wp:effectExtent l="0" t="0" r="0" b="0"/>
                <wp:wrapNone/>
                <wp:docPr id="2302" name="Text Box 2302"/>
                <wp:cNvGraphicFramePr/>
                <a:graphic xmlns:a="http://schemas.openxmlformats.org/drawingml/2006/main">
                  <a:graphicData uri="http://schemas.microsoft.com/office/word/2010/wordprocessingShape">
                    <wps:wsp>
                      <wps:cNvSpPr txBox="1"/>
                      <wps:spPr>
                        <a:xfrm>
                          <a:off x="0" y="0"/>
                          <a:ext cx="2052536" cy="332105"/>
                        </a:xfrm>
                        <a:prstGeom prst="rect">
                          <a:avLst/>
                        </a:prstGeom>
                        <a:noFill/>
                        <a:ln w="6350">
                          <a:noFill/>
                        </a:ln>
                      </wps:spPr>
                      <wps:txbx>
                        <w:txbxContent>
                          <w:p w14:paraId="03E9AAC2"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2.5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17.5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74198A" id="Text Box 2302" o:spid="_x0000_s1417" type="#_x0000_t202" style="position:absolute;left:0;text-align:left;margin-left:235.9pt;margin-top:16.3pt;width:161.6pt;height:26.15pt;z-index:25256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" filled="f" stroked="f" strokeweight=".5pt">
                <v:textbox>
                  <w:txbxContent>
                    <w:p w14:paraId="03E9AAC2"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2.5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17.5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559360" behindDoc="0" locked="0" layoutInCell="1" allowOverlap="1" wp14:anchorId="7C326EB7" wp14:editId="35CE64EE">
                <wp:simplePos x="0" y="0"/>
                <wp:positionH relativeFrom="column">
                  <wp:posOffset>184826</wp:posOffset>
                </wp:positionH>
                <wp:positionV relativeFrom="paragraph">
                  <wp:posOffset>216954</wp:posOffset>
                </wp:positionV>
                <wp:extent cx="2023353" cy="332105"/>
                <wp:effectExtent l="0" t="0" r="0" b="0"/>
                <wp:wrapNone/>
                <wp:docPr id="2303" name="Text Box 2303"/>
                <wp:cNvGraphicFramePr/>
                <a:graphic xmlns:a="http://schemas.openxmlformats.org/drawingml/2006/main">
                  <a:graphicData uri="http://schemas.microsoft.com/office/word/2010/wordprocessingShape">
                    <wps:wsp>
                      <wps:cNvSpPr txBox="1"/>
                      <wps:spPr>
                        <a:xfrm>
                          <a:off x="0" y="0"/>
                          <a:ext cx="2023353" cy="332105"/>
                        </a:xfrm>
                        <a:prstGeom prst="rect">
                          <a:avLst/>
                        </a:prstGeom>
                        <a:noFill/>
                        <a:ln w="6350">
                          <a:noFill/>
                        </a:ln>
                      </wps:spPr>
                      <wps:txbx>
                        <w:txbxContent>
                          <w:p w14:paraId="154A07B3"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7.5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12.5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326EB7" id="Text Box 2303" o:spid="_x0000_s1418" type="#_x0000_t202" style="position:absolute;left:0;text-align:left;margin-left:14.55pt;margin-top:17.1pt;width:159.3pt;height:26.15pt;z-index:25255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" filled="f" stroked="f" strokeweight=".5pt">
                <v:textbox>
                  <w:txbxContent>
                    <w:p w14:paraId="154A07B3"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7.5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12.5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v:textbox>
              </v:shape>
            </w:pict>
          </mc:Fallback>
        </mc:AlternateContent>
      </w:r>
    </w:p>
    <w:p w14:paraId="3BD0883B" w14:textId="77777777" w:rsidR="00CB5F95" w:rsidRPr="000E2377" w:rsidRDefault="00CB5F95" w:rsidP="00CB5F95">
      <w:pPr>
        <w:spacing w:after="0" w:line="360" w:lineRule="auto"/>
        <w:jc w:val="center"/>
        <w:rPr>
          <w:rFonts w:cs="Times New Roman"/>
          <w:b w:val="0"/>
          <w:i/>
          <w:szCs w:val="24"/>
        </w:rPr>
      </w:pPr>
      <w:r w:rsidRPr="000E2377">
        <w:rPr>
          <w:rFonts w:cs="Times New Roman"/>
          <w:b w:val="0"/>
          <w:i/>
          <w:noProof/>
          <w:szCs w:val="24"/>
          <w:lang w:eastAsia="en-MY"/>
        </w:rPr>
        <w:drawing>
          <wp:inline distT="0" distB="0" distL="0" distR="0" wp14:anchorId="4A02E171" wp14:editId="6B8F83DD">
            <wp:extent cx="2813794" cy="1512000"/>
            <wp:effectExtent l="0" t="0" r="5715" b="0"/>
            <wp:docPr id="333" name="Picture 333" descr="C:\Users\Asus A450L\Google Drive\0. Master data\PART 4  Results\picture\Dec S4\C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 A450L\Google Drive\0. Master data\PART 4  Results\picture\Dec S4\C7.5.PN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813794" cy="1512000"/>
                    </a:xfrm>
                    <a:prstGeom prst="rect">
                      <a:avLst/>
                    </a:prstGeom>
                    <a:noFill/>
                    <a:ln>
                      <a:noFill/>
                    </a:ln>
                  </pic:spPr>
                </pic:pic>
              </a:graphicData>
            </a:graphic>
          </wp:inline>
        </w:drawing>
      </w:r>
      <w:r w:rsidRPr="000E2377">
        <w:rPr>
          <w:rFonts w:cs="Times New Roman"/>
          <w:b w:val="0"/>
          <w:i/>
          <w:noProof/>
          <w:szCs w:val="24"/>
          <w:lang w:eastAsia="en-MY"/>
        </w:rPr>
        <w:drawing>
          <wp:inline distT="0" distB="0" distL="0" distR="0" wp14:anchorId="7BC2B0FD" wp14:editId="770CD5EA">
            <wp:extent cx="2618708" cy="1512000"/>
            <wp:effectExtent l="0" t="0" r="0" b="0"/>
            <wp:docPr id="2307" name="Picture 2307" descr="C:\Users\Asus A450L\Google Drive\0. Master data\PART 4  Results\picture\Dec S4\Ba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 A450L\Google Drive\0. Master data\PART 4  Results\picture\Dec S4\Ba2.5.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618708" cy="1512000"/>
                    </a:xfrm>
                    <a:prstGeom prst="rect">
                      <a:avLst/>
                    </a:prstGeom>
                    <a:noFill/>
                    <a:ln>
                      <a:noFill/>
                    </a:ln>
                  </pic:spPr>
                </pic:pic>
              </a:graphicData>
            </a:graphic>
          </wp:inline>
        </w:drawing>
      </w:r>
    </w:p>
    <w:p w14:paraId="4A070245" w14:textId="77777777" w:rsidR="00CB5F95" w:rsidRPr="000E2377" w:rsidRDefault="00CB5F95" w:rsidP="00CB5F95">
      <w:pPr>
        <w:spacing w:after="0" w:line="360" w:lineRule="auto"/>
        <w:jc w:val="center"/>
        <w:rPr>
          <w:rFonts w:cs="Times New Roman"/>
          <w:b w:val="0"/>
          <w:i/>
          <w:szCs w:val="24"/>
        </w:rPr>
      </w:pPr>
      <w:r w:rsidRPr="000E2377">
        <w:rPr>
          <w:rFonts w:cs="Times New Roman"/>
          <w:noProof/>
          <w:szCs w:val="24"/>
          <w:lang w:eastAsia="en-MY"/>
        </w:rPr>
        <mc:AlternateContent>
          <mc:Choice Requires="wps">
            <w:drawing>
              <wp:anchor distT="0" distB="0" distL="114300" distR="114300" simplePos="0" relativeHeight="252561408" behindDoc="0" locked="0" layoutInCell="1" allowOverlap="1" wp14:anchorId="42776386" wp14:editId="7931ECB5">
                <wp:simplePos x="0" y="0"/>
                <wp:positionH relativeFrom="column">
                  <wp:posOffset>223736</wp:posOffset>
                </wp:positionH>
                <wp:positionV relativeFrom="paragraph">
                  <wp:posOffset>105478</wp:posOffset>
                </wp:positionV>
                <wp:extent cx="2208179" cy="332105"/>
                <wp:effectExtent l="0" t="0" r="0" b="0"/>
                <wp:wrapNone/>
                <wp:docPr id="2304" name="Text Box 2304"/>
                <wp:cNvGraphicFramePr/>
                <a:graphic xmlns:a="http://schemas.openxmlformats.org/drawingml/2006/main">
                  <a:graphicData uri="http://schemas.microsoft.com/office/word/2010/wordprocessingShape">
                    <wps:wsp>
                      <wps:cNvSpPr txBox="1"/>
                      <wps:spPr>
                        <a:xfrm>
                          <a:off x="0" y="0"/>
                          <a:ext cx="2208179" cy="332105"/>
                        </a:xfrm>
                        <a:prstGeom prst="rect">
                          <a:avLst/>
                        </a:prstGeom>
                        <a:noFill/>
                        <a:ln w="6350">
                          <a:noFill/>
                        </a:ln>
                      </wps:spPr>
                      <wps:txbx>
                        <w:txbxContent>
                          <w:p w14:paraId="6D1A9A00"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776386" id="Text Box 2304" o:spid="_x0000_s1419" type="#_x0000_t202" style="position:absolute;left:0;text-align:left;margin-left:17.6pt;margin-top:8.3pt;width:173.85pt;height:26.15pt;z-index:25256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" filled="f" stroked="f" strokeweight=".5pt">
                <v:textbox>
                  <w:txbxContent>
                    <w:p w14:paraId="6D1A9A00" w14:textId="77777777" w:rsidR="00230AB9" w:rsidRPr="003803C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562432" behindDoc="0" locked="0" layoutInCell="1" allowOverlap="1" wp14:anchorId="0B52E494" wp14:editId="0617A8F5">
                <wp:simplePos x="0" y="0"/>
                <wp:positionH relativeFrom="column">
                  <wp:posOffset>2976664</wp:posOffset>
                </wp:positionH>
                <wp:positionV relativeFrom="paragraph">
                  <wp:posOffset>124933</wp:posOffset>
                </wp:positionV>
                <wp:extent cx="1478604" cy="478020"/>
                <wp:effectExtent l="0" t="0" r="0" b="0"/>
                <wp:wrapNone/>
                <wp:docPr id="2301" name="Text Box 2301"/>
                <wp:cNvGraphicFramePr/>
                <a:graphic xmlns:a="http://schemas.openxmlformats.org/drawingml/2006/main">
                  <a:graphicData uri="http://schemas.microsoft.com/office/word/2010/wordprocessingShape">
                    <wps:wsp>
                      <wps:cNvSpPr txBox="1"/>
                      <wps:spPr>
                        <a:xfrm>
                          <a:off x="0" y="0"/>
                          <a:ext cx="1478604" cy="478020"/>
                        </a:xfrm>
                        <a:prstGeom prst="rect">
                          <a:avLst/>
                        </a:prstGeom>
                        <a:noFill/>
                        <a:ln w="6350">
                          <a:noFill/>
                        </a:ln>
                      </wps:spPr>
                      <wps:txbx>
                        <w:txbxContent>
                          <w:p w14:paraId="0CB3B10F"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7.5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12.5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2E494" id="Text Box 2301" o:spid="_x0000_s1420" type="#_x0000_t202" style="position:absolute;left:0;text-align:left;margin-left:234.4pt;margin-top:9.85pt;width:116.45pt;height:37.65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" filled="f" stroked="f" strokeweight=".5pt">
                <v:textbox>
                  <w:txbxContent>
                    <w:p w14:paraId="0CB3B10F"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7.5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12.5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w:t>
                      </w:r>
                    </w:p>
                  </w:txbxContent>
                </v:textbox>
              </v:shape>
            </w:pict>
          </mc:Fallback>
        </mc:AlternateContent>
      </w:r>
    </w:p>
    <w:p w14:paraId="09EEEBCF" w14:textId="77777777" w:rsidR="00CB5F95" w:rsidRPr="000E2377" w:rsidRDefault="00CB5F95" w:rsidP="00CB5F95">
      <w:pPr>
        <w:spacing w:after="0" w:line="360" w:lineRule="auto"/>
        <w:jc w:val="center"/>
        <w:rPr>
          <w:rFonts w:cs="Times New Roman"/>
          <w:b w:val="0"/>
          <w:i/>
          <w:szCs w:val="24"/>
        </w:rPr>
      </w:pPr>
      <w:r w:rsidRPr="000E2377">
        <w:rPr>
          <w:rFonts w:cs="Times New Roman"/>
          <w:b w:val="0"/>
          <w:i/>
          <w:noProof/>
          <w:szCs w:val="24"/>
          <w:lang w:eastAsia="en-MY"/>
        </w:rPr>
        <w:drawing>
          <wp:inline distT="0" distB="0" distL="0" distR="0" wp14:anchorId="54B97267" wp14:editId="6966CA7C">
            <wp:extent cx="2672589" cy="1692000"/>
            <wp:effectExtent l="0" t="0" r="0" b="3810"/>
            <wp:docPr id="2308" name="Picture 2308" descr="C:\Users\Asus A450L\Google Drive\0. Master data\PART 4  Results\picture\Dec S4\B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 A450L\Google Drive\0. Master data\PART 4  Results\picture\Dec S4\Ba5.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672589" cy="1692000"/>
                    </a:xfrm>
                    <a:prstGeom prst="rect">
                      <a:avLst/>
                    </a:prstGeom>
                    <a:noFill/>
                    <a:ln>
                      <a:noFill/>
                    </a:ln>
                  </pic:spPr>
                </pic:pic>
              </a:graphicData>
            </a:graphic>
          </wp:inline>
        </w:drawing>
      </w:r>
      <w:r w:rsidRPr="000E2377">
        <w:rPr>
          <w:rFonts w:cs="Times New Roman"/>
          <w:b w:val="0"/>
          <w:i/>
          <w:noProof/>
          <w:szCs w:val="24"/>
          <w:lang w:eastAsia="en-MY"/>
        </w:rPr>
        <w:drawing>
          <wp:inline distT="0" distB="0" distL="0" distR="0" wp14:anchorId="2772D48F" wp14:editId="7B513FCC">
            <wp:extent cx="2745671" cy="1692000"/>
            <wp:effectExtent l="0" t="0" r="0" b="3810"/>
            <wp:docPr id="2309" name="Picture 2309" descr="C:\Users\Asus A450L\Google Drive\0. Master data\PART 4  Results\picture\Dec S4\Ba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us A450L\Google Drive\0. Master data\PART 4  Results\picture\Dec S4\Ba7.5.PN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745671" cy="1692000"/>
                    </a:xfrm>
                    <a:prstGeom prst="rect">
                      <a:avLst/>
                    </a:prstGeom>
                    <a:noFill/>
                    <a:ln>
                      <a:noFill/>
                    </a:ln>
                  </pic:spPr>
                </pic:pic>
              </a:graphicData>
            </a:graphic>
          </wp:inline>
        </w:drawing>
      </w:r>
    </w:p>
    <w:p w14:paraId="2DD91667" w14:textId="77777777" w:rsidR="00CB5F95" w:rsidRPr="000E2377" w:rsidRDefault="00CB5F95" w:rsidP="00CB5F95">
      <w:pPr>
        <w:spacing w:line="360" w:lineRule="auto"/>
        <w:jc w:val="both"/>
        <w:rPr>
          <w:rFonts w:eastAsia="Times New Roman" w:cs="Times New Roman"/>
          <w:b w:val="0"/>
          <w:i/>
          <w:color w:val="000000"/>
          <w:szCs w:val="24"/>
          <w:lang w:eastAsia="en-MY"/>
        </w:rPr>
      </w:pPr>
    </w:p>
    <w:p w14:paraId="7C3D3BB7" w14:textId="77777777" w:rsidR="00CB5F95" w:rsidRPr="000E2377" w:rsidRDefault="00CB5F95" w:rsidP="00CB5F95">
      <w:pPr>
        <w:spacing w:after="0" w:line="360" w:lineRule="auto"/>
        <w:jc w:val="both"/>
        <w:rPr>
          <w:rFonts w:asciiTheme="majorBidi" w:hAnsiTheme="majorBidi" w:cstheme="majorBidi"/>
          <w:b w:val="0"/>
          <w:szCs w:val="24"/>
        </w:rPr>
      </w:pPr>
    </w:p>
    <w:p w14:paraId="5428D490" w14:textId="77777777" w:rsidR="00CB5F95" w:rsidRPr="000E2377" w:rsidRDefault="00CB5F95" w:rsidP="00CB5F95">
      <w:pPr>
        <w:spacing w:after="0" w:line="360" w:lineRule="auto"/>
        <w:jc w:val="both"/>
        <w:rPr>
          <w:rFonts w:asciiTheme="majorBidi" w:hAnsiTheme="majorBidi" w:cstheme="majorBidi"/>
          <w:b w:val="0"/>
          <w:szCs w:val="24"/>
        </w:rPr>
      </w:pPr>
    </w:p>
    <w:p w14:paraId="3D6F8688" w14:textId="77777777" w:rsidR="00CB5F95" w:rsidRPr="000E2377" w:rsidRDefault="00CB5F95" w:rsidP="00CB5F95">
      <w:pPr>
        <w:spacing w:after="0" w:line="360" w:lineRule="auto"/>
        <w:jc w:val="both"/>
        <w:rPr>
          <w:rFonts w:asciiTheme="majorBidi" w:hAnsiTheme="majorBidi" w:cstheme="majorBidi"/>
          <w:b w:val="0"/>
          <w:szCs w:val="24"/>
        </w:rPr>
      </w:pPr>
    </w:p>
    <w:p w14:paraId="7A88F0A9" w14:textId="77777777" w:rsidR="00CB5F95" w:rsidRPr="000E2377" w:rsidRDefault="00CB5F95" w:rsidP="00CB5F95">
      <w:pPr>
        <w:spacing w:after="0" w:line="360" w:lineRule="auto"/>
        <w:jc w:val="both"/>
        <w:rPr>
          <w:rFonts w:asciiTheme="majorBidi" w:hAnsiTheme="majorBidi" w:cstheme="majorBidi"/>
          <w:b w:val="0"/>
          <w:szCs w:val="24"/>
        </w:rPr>
      </w:pPr>
    </w:p>
    <w:p w14:paraId="72857AC1" w14:textId="77777777" w:rsidR="00CB5F95" w:rsidRPr="000E2377" w:rsidRDefault="00CB5F95" w:rsidP="00CB5F95">
      <w:pPr>
        <w:spacing w:after="0" w:line="360" w:lineRule="auto"/>
        <w:jc w:val="both"/>
        <w:rPr>
          <w:rFonts w:asciiTheme="majorBidi" w:hAnsiTheme="majorBidi" w:cstheme="majorBidi"/>
          <w:b w:val="0"/>
          <w:szCs w:val="24"/>
        </w:rPr>
      </w:pPr>
    </w:p>
    <w:p w14:paraId="05C32598" w14:textId="77777777" w:rsidR="00CB5F95" w:rsidRPr="000E2377" w:rsidRDefault="00CB5F95" w:rsidP="00CB5F95">
      <w:pPr>
        <w:spacing w:line="240" w:lineRule="auto"/>
        <w:jc w:val="center"/>
        <w:rPr>
          <w:rFonts w:eastAsia="Calibri" w:cs="Times New Roman"/>
          <w:b w:val="0"/>
          <w:bCs/>
          <w:szCs w:val="24"/>
          <w:vertAlign w:val="superscript"/>
          <w:lang w:val="en-GB"/>
        </w:rPr>
      </w:pPr>
      <w:r w:rsidRPr="000E2377">
        <w:rPr>
          <w:rFonts w:eastAsia="Calibri" w:cs="Times New Roman"/>
          <w:b w:val="0"/>
          <w:bCs/>
          <w:szCs w:val="24"/>
          <w:lang w:val="en-GB"/>
        </w:rPr>
        <w:lastRenderedPageBreak/>
        <w:t>DECONVOLUTION OF RAMAN AT 850-1300 cm</w:t>
      </w:r>
      <w:r w:rsidRPr="000E2377">
        <w:rPr>
          <w:rFonts w:eastAsia="Calibri" w:cs="Times New Roman"/>
          <w:b w:val="0"/>
          <w:bCs/>
          <w:szCs w:val="24"/>
          <w:vertAlign w:val="superscript"/>
          <w:lang w:val="en-GB"/>
        </w:rPr>
        <w:t>-1</w:t>
      </w:r>
    </w:p>
    <w:p w14:paraId="2A85E5DA" w14:textId="77777777" w:rsidR="00CB5F95" w:rsidRPr="000E2377" w:rsidRDefault="00CB5F95" w:rsidP="00CB5F95">
      <w:pPr>
        <w:spacing w:after="0" w:line="360" w:lineRule="auto"/>
        <w:jc w:val="both"/>
        <w:rPr>
          <w:rFonts w:asciiTheme="majorBidi" w:hAnsiTheme="majorBidi" w:cstheme="majorBidi"/>
          <w:b w:val="0"/>
          <w:szCs w:val="24"/>
        </w:rPr>
      </w:pPr>
    </w:p>
    <w:p w14:paraId="6DCFA76C" w14:textId="77777777" w:rsidR="00CB5F95" w:rsidRPr="000E2377" w:rsidRDefault="00CB5F95" w:rsidP="00CB5F95">
      <w:pPr>
        <w:spacing w:after="0" w:line="360" w:lineRule="auto"/>
        <w:jc w:val="center"/>
        <w:rPr>
          <w:rFonts w:asciiTheme="majorBidi" w:hAnsiTheme="majorBidi" w:cstheme="majorBidi"/>
          <w:b w:val="0"/>
          <w:szCs w:val="24"/>
        </w:rPr>
      </w:pP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2</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 xml:space="preserve">78-x </w:t>
      </w:r>
      <w:r w:rsidRPr="000E2377">
        <w:rPr>
          <w:rFonts w:eastAsia="Times New Roman" w:cs="Times New Roman"/>
          <w:color w:val="000000"/>
          <w:szCs w:val="24"/>
          <w:lang w:eastAsia="en-MY"/>
        </w:rPr>
        <w:t>and N</w:t>
      </w:r>
      <w:r w:rsidRPr="000E2377">
        <w:rPr>
          <w:rFonts w:eastAsia="Times New Roman" w:cs="Times New Roman"/>
          <w:color w:val="000000"/>
          <w:szCs w:val="24"/>
          <w:vertAlign w:val="subscript"/>
          <w:lang w:eastAsia="en-MY"/>
        </w:rPr>
        <w:t>15</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2</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73-x</w:t>
      </w:r>
      <w:r w:rsidRPr="000E2377">
        <w:rPr>
          <w:rFonts w:cs="Times New Roman"/>
          <w:szCs w:val="24"/>
        </w:rPr>
        <w:t>glass</w:t>
      </w:r>
      <w:r w:rsidRPr="000E2377">
        <w:rPr>
          <w:rFonts w:cs="Times New Roman"/>
          <w:szCs w:val="24"/>
          <w:lang w:val="en-GB"/>
        </w:rPr>
        <w:t xml:space="preserve"> series</w:t>
      </w:r>
    </w:p>
    <w:p w14:paraId="5256C229" w14:textId="77777777" w:rsidR="00CB5F95" w:rsidRPr="000E2377" w:rsidRDefault="00CB5F95" w:rsidP="00CB5F95">
      <w:pPr>
        <w:spacing w:after="0" w:line="360" w:lineRule="auto"/>
        <w:jc w:val="both"/>
        <w:rPr>
          <w:rFonts w:asciiTheme="majorBidi" w:hAnsiTheme="majorBidi" w:cstheme="majorBidi"/>
          <w:b w:val="0"/>
          <w:szCs w:val="24"/>
        </w:rPr>
      </w:pPr>
    </w:p>
    <w:p w14:paraId="65637655" w14:textId="77777777" w:rsidR="00CB5F95" w:rsidRPr="000E2377" w:rsidRDefault="00CB5F95" w:rsidP="00CB5F95">
      <w:pPr>
        <w:spacing w:after="0" w:line="360" w:lineRule="auto"/>
        <w:jc w:val="both"/>
        <w:rPr>
          <w:rFonts w:asciiTheme="majorBidi" w:hAnsiTheme="majorBidi" w:cstheme="majorBidi"/>
          <w:b w:val="0"/>
          <w:szCs w:val="24"/>
        </w:rPr>
      </w:pPr>
    </w:p>
    <w:p w14:paraId="33BF9A1C" w14:textId="77777777" w:rsidR="00CB5F95" w:rsidRPr="000E2377" w:rsidRDefault="00CB5F95" w:rsidP="00CB5F95">
      <w:pPr>
        <w:spacing w:line="360" w:lineRule="auto"/>
        <w:jc w:val="both"/>
        <w:rPr>
          <w:rFonts w:eastAsia="Times New Roman" w:cs="Times New Roman"/>
          <w:b w:val="0"/>
          <w:i/>
          <w:color w:val="000000"/>
          <w:szCs w:val="24"/>
          <w:lang w:eastAsia="en-MY"/>
        </w:rPr>
      </w:pPr>
      <w:r w:rsidRPr="000E2377">
        <w:rPr>
          <w:rFonts w:cs="Times New Roman"/>
          <w:noProof/>
          <w:szCs w:val="24"/>
          <w:lang w:eastAsia="en-MY"/>
        </w:rPr>
        <mc:AlternateContent>
          <mc:Choice Requires="wps">
            <w:drawing>
              <wp:anchor distT="0" distB="0" distL="114300" distR="114300" simplePos="0" relativeHeight="252564480" behindDoc="0" locked="0" layoutInCell="1" allowOverlap="1" wp14:anchorId="77096ABE" wp14:editId="3F51021F">
                <wp:simplePos x="0" y="0"/>
                <wp:positionH relativeFrom="column">
                  <wp:posOffset>3103123</wp:posOffset>
                </wp:positionH>
                <wp:positionV relativeFrom="paragraph">
                  <wp:posOffset>348521</wp:posOffset>
                </wp:positionV>
                <wp:extent cx="1283970" cy="371016"/>
                <wp:effectExtent l="0" t="0" r="0" b="0"/>
                <wp:wrapNone/>
                <wp:docPr id="2311" name="Text Box 2311"/>
                <wp:cNvGraphicFramePr/>
                <a:graphic xmlns:a="http://schemas.openxmlformats.org/drawingml/2006/main">
                  <a:graphicData uri="http://schemas.microsoft.com/office/word/2010/wordprocessingShape">
                    <wps:wsp>
                      <wps:cNvSpPr txBox="1"/>
                      <wps:spPr>
                        <a:xfrm>
                          <a:off x="0" y="0"/>
                          <a:ext cx="1283970" cy="371016"/>
                        </a:xfrm>
                        <a:prstGeom prst="rect">
                          <a:avLst/>
                        </a:prstGeom>
                        <a:noFill/>
                        <a:ln w="6350">
                          <a:noFill/>
                        </a:ln>
                      </wps:spPr>
                      <wps:txbx>
                        <w:txbxContent>
                          <w:p w14:paraId="5BA03DFF"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96ABE" id="Text Box 2311" o:spid="_x0000_s1421" type="#_x0000_t202" style="position:absolute;left:0;text-align:left;margin-left:244.35pt;margin-top:27.45pt;width:101.1pt;height:29.2pt;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" filled="f" stroked="f" strokeweight=".5pt">
                <v:textbox>
                  <w:txbxContent>
                    <w:p w14:paraId="5BA03DFF"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73</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563456" behindDoc="0" locked="0" layoutInCell="1" allowOverlap="1" wp14:anchorId="21CB25EC" wp14:editId="097A8D3A">
                <wp:simplePos x="0" y="0"/>
                <wp:positionH relativeFrom="column">
                  <wp:posOffset>232990</wp:posOffset>
                </wp:positionH>
                <wp:positionV relativeFrom="paragraph">
                  <wp:posOffset>348439</wp:posOffset>
                </wp:positionV>
                <wp:extent cx="1429966" cy="332105"/>
                <wp:effectExtent l="0" t="0" r="0" b="0"/>
                <wp:wrapNone/>
                <wp:docPr id="2310" name="Text Box 2310"/>
                <wp:cNvGraphicFramePr/>
                <a:graphic xmlns:a="http://schemas.openxmlformats.org/drawingml/2006/main">
                  <a:graphicData uri="http://schemas.microsoft.com/office/word/2010/wordprocessingShape">
                    <wps:wsp>
                      <wps:cNvSpPr txBox="1"/>
                      <wps:spPr>
                        <a:xfrm>
                          <a:off x="0" y="0"/>
                          <a:ext cx="1429966" cy="332105"/>
                        </a:xfrm>
                        <a:prstGeom prst="rect">
                          <a:avLst/>
                        </a:prstGeom>
                        <a:noFill/>
                        <a:ln w="6350">
                          <a:noFill/>
                        </a:ln>
                      </wps:spPr>
                      <wps:txbx>
                        <w:txbxContent>
                          <w:p w14:paraId="56377D33"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2.5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75.5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CB25EC" id="Text Box 2310" o:spid="_x0000_s1422" type="#_x0000_t202" style="position:absolute;left:0;text-align:left;margin-left:18.35pt;margin-top:27.45pt;width:112.6pt;height:26.15pt;z-index:25256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" filled="f" stroked="f" strokeweight=".5pt">
                <v:textbox>
                  <w:txbxContent>
                    <w:p w14:paraId="56377D33"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2.5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75.5</w:t>
                      </w:r>
                    </w:p>
                  </w:txbxContent>
                </v:textbox>
              </v:shape>
            </w:pict>
          </mc:Fallback>
        </mc:AlternateContent>
      </w:r>
    </w:p>
    <w:p w14:paraId="5887E7FB" w14:textId="77777777" w:rsidR="00CB5F95" w:rsidRPr="000E2377" w:rsidRDefault="00CB5F95" w:rsidP="00CB5F95">
      <w:pPr>
        <w:spacing w:line="360" w:lineRule="auto"/>
        <w:jc w:val="center"/>
        <w:rPr>
          <w:rFonts w:eastAsia="Times New Roman" w:cs="Times New Roman"/>
          <w:b w:val="0"/>
          <w:i/>
          <w:color w:val="000000"/>
          <w:szCs w:val="24"/>
          <w:lang w:eastAsia="en-MY"/>
        </w:rPr>
      </w:pPr>
      <w:r w:rsidRPr="000E2377">
        <w:rPr>
          <w:rFonts w:eastAsia="Times New Roman" w:cs="Times New Roman"/>
          <w:b w:val="0"/>
          <w:i/>
          <w:noProof/>
          <w:color w:val="000000"/>
          <w:szCs w:val="24"/>
          <w:lang w:eastAsia="en-MY"/>
        </w:rPr>
        <w:drawing>
          <wp:inline distT="0" distB="0" distL="0" distR="0" wp14:anchorId="3D88B047" wp14:editId="3FDF7533">
            <wp:extent cx="2776010" cy="1548000"/>
            <wp:effectExtent l="0" t="0" r="5715" b="0"/>
            <wp:docPr id="2316" name="Picture 2316" descr="C:\Users\Asus A450L\Google Drive\0. Master data\PART 4  Results\picture\Dec S5\N10C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us A450L\Google Drive\0. Master data\PART 4  Results\picture\Dec S5\N10C2.5.PN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776010" cy="1548000"/>
                    </a:xfrm>
                    <a:prstGeom prst="rect">
                      <a:avLst/>
                    </a:prstGeom>
                    <a:noFill/>
                    <a:ln>
                      <a:noFill/>
                    </a:ln>
                  </pic:spPr>
                </pic:pic>
              </a:graphicData>
            </a:graphic>
          </wp:inline>
        </w:drawing>
      </w:r>
      <w:r w:rsidRPr="000E2377">
        <w:rPr>
          <w:rFonts w:eastAsia="Times New Roman" w:cs="Times New Roman"/>
          <w:b w:val="0"/>
          <w:i/>
          <w:noProof/>
          <w:color w:val="000000"/>
          <w:szCs w:val="24"/>
          <w:lang w:eastAsia="en-MY"/>
        </w:rPr>
        <w:drawing>
          <wp:inline distT="0" distB="0" distL="0" distR="0" wp14:anchorId="7AA00475" wp14:editId="67D80206">
            <wp:extent cx="2635087" cy="1548000"/>
            <wp:effectExtent l="0" t="0" r="0" b="0"/>
            <wp:docPr id="2317" name="Picture 2317" descr="C:\Users\Asus A450L\Google Drive\0. Master data\PART 4  Results\picture\Dec S5\N10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 A450L\Google Drive\0. Master data\PART 4  Results\picture\Dec S5\N10C5.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635087" cy="1548000"/>
                    </a:xfrm>
                    <a:prstGeom prst="rect">
                      <a:avLst/>
                    </a:prstGeom>
                    <a:noFill/>
                    <a:ln>
                      <a:noFill/>
                    </a:ln>
                  </pic:spPr>
                </pic:pic>
              </a:graphicData>
            </a:graphic>
          </wp:inline>
        </w:drawing>
      </w:r>
    </w:p>
    <w:p w14:paraId="70DB70C8" w14:textId="77777777" w:rsidR="00CB5F95" w:rsidRPr="000E2377" w:rsidRDefault="00CB5F95" w:rsidP="00CB5F95">
      <w:pPr>
        <w:spacing w:line="360" w:lineRule="auto"/>
        <w:jc w:val="both"/>
        <w:rPr>
          <w:rFonts w:eastAsia="Times New Roman" w:cs="Times New Roman"/>
          <w:b w:val="0"/>
          <w:i/>
          <w:color w:val="000000"/>
          <w:szCs w:val="24"/>
          <w:lang w:eastAsia="en-MY"/>
        </w:rPr>
      </w:pPr>
      <w:r w:rsidRPr="000E2377">
        <w:rPr>
          <w:rFonts w:cs="Times New Roman"/>
          <w:noProof/>
          <w:szCs w:val="24"/>
          <w:lang w:eastAsia="en-MY"/>
        </w:rPr>
        <mc:AlternateContent>
          <mc:Choice Requires="wps">
            <w:drawing>
              <wp:anchor distT="0" distB="0" distL="114300" distR="114300" simplePos="0" relativeHeight="252565504" behindDoc="0" locked="0" layoutInCell="1" allowOverlap="1" wp14:anchorId="64D29464" wp14:editId="7D93B5F6">
                <wp:simplePos x="0" y="0"/>
                <wp:positionH relativeFrom="margin">
                  <wp:posOffset>194202</wp:posOffset>
                </wp:positionH>
                <wp:positionV relativeFrom="paragraph">
                  <wp:posOffset>385040</wp:posOffset>
                </wp:positionV>
                <wp:extent cx="1400783" cy="332105"/>
                <wp:effectExtent l="0" t="0" r="0" b="0"/>
                <wp:wrapNone/>
                <wp:docPr id="2314" name="Text Box 2314"/>
                <wp:cNvGraphicFramePr/>
                <a:graphic xmlns:a="http://schemas.openxmlformats.org/drawingml/2006/main">
                  <a:graphicData uri="http://schemas.microsoft.com/office/word/2010/wordprocessingShape">
                    <wps:wsp>
                      <wps:cNvSpPr txBox="1"/>
                      <wps:spPr>
                        <a:xfrm>
                          <a:off x="0" y="0"/>
                          <a:ext cx="1400783" cy="332105"/>
                        </a:xfrm>
                        <a:prstGeom prst="rect">
                          <a:avLst/>
                        </a:prstGeom>
                        <a:noFill/>
                        <a:ln w="6350">
                          <a:noFill/>
                        </a:ln>
                      </wps:spPr>
                      <wps:txbx>
                        <w:txbxContent>
                          <w:p w14:paraId="6BBB490C"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7.5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70.5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D29464" id="Text Box 2314" o:spid="_x0000_s1423" type="#_x0000_t202" style="position:absolute;left:0;text-align:left;margin-left:15.3pt;margin-top:30.3pt;width:110.3pt;height:26.15pt;z-index:252565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" filled="f" stroked="f" strokeweight=".5pt">
                <v:textbox>
                  <w:txbxContent>
                    <w:p w14:paraId="6BBB490C"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7.5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70.5</w:t>
                      </w:r>
                    </w:p>
                  </w:txbxContent>
                </v:textbox>
                <w10:wrap anchorx="margin"/>
              </v:shape>
            </w:pict>
          </mc:Fallback>
        </mc:AlternateContent>
      </w:r>
    </w:p>
    <w:p w14:paraId="2D829860" w14:textId="77777777" w:rsidR="00CB5F95" w:rsidRPr="000E2377" w:rsidRDefault="00CB5F95" w:rsidP="00CB5F95">
      <w:pPr>
        <w:spacing w:line="360" w:lineRule="auto"/>
        <w:jc w:val="center"/>
        <w:rPr>
          <w:rFonts w:eastAsia="Times New Roman" w:cs="Times New Roman"/>
          <w:b w:val="0"/>
          <w:i/>
          <w:color w:val="000000"/>
          <w:szCs w:val="24"/>
          <w:lang w:eastAsia="en-MY"/>
        </w:rPr>
      </w:pPr>
      <w:r w:rsidRPr="000E2377">
        <w:rPr>
          <w:rFonts w:cs="Times New Roman"/>
          <w:noProof/>
          <w:szCs w:val="24"/>
          <w:lang w:eastAsia="en-MY"/>
        </w:rPr>
        <mc:AlternateContent>
          <mc:Choice Requires="wps">
            <w:drawing>
              <wp:anchor distT="0" distB="0" distL="114300" distR="114300" simplePos="0" relativeHeight="252566528" behindDoc="0" locked="0" layoutInCell="1" allowOverlap="1" wp14:anchorId="26B8A551" wp14:editId="14AACD26">
                <wp:simplePos x="0" y="0"/>
                <wp:positionH relativeFrom="column">
                  <wp:posOffset>2840045</wp:posOffset>
                </wp:positionH>
                <wp:positionV relativeFrom="paragraph">
                  <wp:posOffset>34141</wp:posOffset>
                </wp:positionV>
                <wp:extent cx="1332690" cy="332509"/>
                <wp:effectExtent l="0" t="0" r="0" b="0"/>
                <wp:wrapNone/>
                <wp:docPr id="2313" name="Text Box 2313"/>
                <wp:cNvGraphicFramePr/>
                <a:graphic xmlns:a="http://schemas.openxmlformats.org/drawingml/2006/main">
                  <a:graphicData uri="http://schemas.microsoft.com/office/word/2010/wordprocessingShape">
                    <wps:wsp>
                      <wps:cNvSpPr txBox="1"/>
                      <wps:spPr>
                        <a:xfrm>
                          <a:off x="0" y="0"/>
                          <a:ext cx="1332690" cy="332509"/>
                        </a:xfrm>
                        <a:prstGeom prst="rect">
                          <a:avLst/>
                        </a:prstGeom>
                        <a:noFill/>
                        <a:ln w="6350">
                          <a:noFill/>
                        </a:ln>
                      </wps:spPr>
                      <wps:txbx>
                        <w:txbxContent>
                          <w:p w14:paraId="6FA861ED"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7.5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B8A551" id="Text Box 2313" o:spid="_x0000_s1424" type="#_x0000_t202" style="position:absolute;left:0;text-align:left;margin-left:223.65pt;margin-top:2.7pt;width:104.95pt;height:26.2pt;z-index:25256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" filled="f" stroked="f" strokeweight=".5pt">
                <v:textbox>
                  <w:txbxContent>
                    <w:p w14:paraId="6FA861ED"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7.5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65.5</w:t>
                      </w:r>
                    </w:p>
                  </w:txbxContent>
                </v:textbox>
              </v:shape>
            </w:pict>
          </mc:Fallback>
        </mc:AlternateContent>
      </w:r>
      <w:r w:rsidRPr="000E2377">
        <w:rPr>
          <w:rFonts w:eastAsia="Times New Roman" w:cs="Times New Roman"/>
          <w:b w:val="0"/>
          <w:i/>
          <w:noProof/>
          <w:color w:val="000000"/>
          <w:szCs w:val="24"/>
          <w:lang w:eastAsia="en-MY"/>
        </w:rPr>
        <w:drawing>
          <wp:inline distT="0" distB="0" distL="0" distR="0" wp14:anchorId="778CF189" wp14:editId="751B0097">
            <wp:extent cx="2624619" cy="1620000"/>
            <wp:effectExtent l="0" t="0" r="4445" b="0"/>
            <wp:docPr id="2318" name="Picture 2318" descr="C:\Users\Asus A450L\Google Drive\0. Master data\PART 4  Results\picture\Dec S5\N10C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 A450L\Google Drive\0. Master data\PART 4  Results\picture\Dec S5\N10C7.5.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624619" cy="1620000"/>
                    </a:xfrm>
                    <a:prstGeom prst="rect">
                      <a:avLst/>
                    </a:prstGeom>
                    <a:noFill/>
                    <a:ln>
                      <a:noFill/>
                    </a:ln>
                  </pic:spPr>
                </pic:pic>
              </a:graphicData>
            </a:graphic>
          </wp:inline>
        </w:drawing>
      </w:r>
      <w:r w:rsidRPr="000E2377">
        <w:rPr>
          <w:rFonts w:eastAsia="Times New Roman" w:cs="Times New Roman"/>
          <w:b w:val="0"/>
          <w:i/>
          <w:noProof/>
          <w:color w:val="000000"/>
          <w:szCs w:val="24"/>
          <w:lang w:eastAsia="en-MY"/>
        </w:rPr>
        <w:drawing>
          <wp:inline distT="0" distB="0" distL="0" distR="0" wp14:anchorId="27F28962" wp14:editId="1E8D3711">
            <wp:extent cx="2856103" cy="1512000"/>
            <wp:effectExtent l="0" t="0" r="1905" b="0"/>
            <wp:docPr id="2319" name="Picture 2319" descr="C:\Users\Asus A450L\Google Drive\0. Master data\PART 4  Results\picture\Dec S5\N15C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sus A450L\Google Drive\0. Master data\PART 4  Results\picture\Dec S5\N15C7.5.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856103" cy="1512000"/>
                    </a:xfrm>
                    <a:prstGeom prst="rect">
                      <a:avLst/>
                    </a:prstGeom>
                    <a:noFill/>
                    <a:ln>
                      <a:noFill/>
                    </a:ln>
                  </pic:spPr>
                </pic:pic>
              </a:graphicData>
            </a:graphic>
          </wp:inline>
        </w:drawing>
      </w:r>
    </w:p>
    <w:p w14:paraId="061C6E20" w14:textId="77777777" w:rsidR="00CB5F95" w:rsidRPr="000E2377" w:rsidRDefault="00CB5F95" w:rsidP="00CB5F95">
      <w:pPr>
        <w:spacing w:line="360" w:lineRule="auto"/>
        <w:jc w:val="both"/>
        <w:rPr>
          <w:rFonts w:eastAsia="Times New Roman" w:cs="Times New Roman"/>
          <w:b w:val="0"/>
          <w:i/>
          <w:color w:val="000000"/>
          <w:szCs w:val="24"/>
          <w:lang w:eastAsia="en-MY"/>
        </w:rPr>
      </w:pPr>
      <w:r w:rsidRPr="000E2377">
        <w:rPr>
          <w:rFonts w:cs="Times New Roman"/>
          <w:noProof/>
          <w:szCs w:val="24"/>
          <w:lang w:eastAsia="en-MY"/>
        </w:rPr>
        <mc:AlternateContent>
          <mc:Choice Requires="wps">
            <w:drawing>
              <wp:anchor distT="0" distB="0" distL="114300" distR="114300" simplePos="0" relativeHeight="252567552" behindDoc="0" locked="0" layoutInCell="1" allowOverlap="1" wp14:anchorId="2A863F13" wp14:editId="7B2E82B5">
                <wp:simplePos x="0" y="0"/>
                <wp:positionH relativeFrom="margin">
                  <wp:posOffset>223209</wp:posOffset>
                </wp:positionH>
                <wp:positionV relativeFrom="paragraph">
                  <wp:posOffset>388215</wp:posOffset>
                </wp:positionV>
                <wp:extent cx="1332689" cy="332509"/>
                <wp:effectExtent l="0" t="0" r="0" b="0"/>
                <wp:wrapNone/>
                <wp:docPr id="2315" name="Text Box 2315"/>
                <wp:cNvGraphicFramePr/>
                <a:graphic xmlns:a="http://schemas.openxmlformats.org/drawingml/2006/main">
                  <a:graphicData uri="http://schemas.microsoft.com/office/word/2010/wordprocessingShape">
                    <wps:wsp>
                      <wps:cNvSpPr txBox="1"/>
                      <wps:spPr>
                        <a:xfrm>
                          <a:off x="0" y="0"/>
                          <a:ext cx="1332689" cy="332509"/>
                        </a:xfrm>
                        <a:prstGeom prst="rect">
                          <a:avLst/>
                        </a:prstGeom>
                        <a:noFill/>
                        <a:ln w="6350">
                          <a:noFill/>
                        </a:ln>
                      </wps:spPr>
                      <wps:txbx>
                        <w:txbxContent>
                          <w:p w14:paraId="090799F6"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863F13" id="Text Box 2315" o:spid="_x0000_s1425" type="#_x0000_t202" style="position:absolute;left:0;text-align:left;margin-left:17.6pt;margin-top:30.55pt;width:104.95pt;height:26.2pt;z-index:252567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" filled="f" stroked="f" strokeweight=".5pt">
                <v:textbox>
                  <w:txbxContent>
                    <w:p w14:paraId="090799F6"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63</w:t>
                      </w:r>
                    </w:p>
                  </w:txbxContent>
                </v:textbox>
                <w10:wrap anchorx="margin"/>
              </v:shape>
            </w:pict>
          </mc:Fallback>
        </mc:AlternateContent>
      </w:r>
    </w:p>
    <w:p w14:paraId="0BB96D89" w14:textId="77777777" w:rsidR="00CB5F95" w:rsidRPr="000E2377" w:rsidRDefault="00CB5F95" w:rsidP="00CB5F95">
      <w:pPr>
        <w:spacing w:line="360" w:lineRule="auto"/>
        <w:jc w:val="center"/>
        <w:rPr>
          <w:rFonts w:eastAsia="Times New Roman" w:cs="Times New Roman"/>
          <w:b w:val="0"/>
          <w:i/>
          <w:color w:val="000000"/>
          <w:szCs w:val="24"/>
          <w:lang w:eastAsia="en-MY"/>
        </w:rPr>
      </w:pPr>
      <w:r w:rsidRPr="000E2377">
        <w:rPr>
          <w:rFonts w:cs="Times New Roman"/>
          <w:noProof/>
          <w:szCs w:val="24"/>
          <w:lang w:eastAsia="en-MY"/>
        </w:rPr>
        <mc:AlternateContent>
          <mc:Choice Requires="wps">
            <w:drawing>
              <wp:anchor distT="0" distB="0" distL="114300" distR="114300" simplePos="0" relativeHeight="252568576" behindDoc="0" locked="0" layoutInCell="1" allowOverlap="1" wp14:anchorId="42594C8B" wp14:editId="76DA54D2">
                <wp:simplePos x="0" y="0"/>
                <wp:positionH relativeFrom="column">
                  <wp:posOffset>2947480</wp:posOffset>
                </wp:positionH>
                <wp:positionV relativeFrom="paragraph">
                  <wp:posOffset>8296</wp:posOffset>
                </wp:positionV>
                <wp:extent cx="2266545" cy="332105"/>
                <wp:effectExtent l="0" t="0" r="0" b="0"/>
                <wp:wrapNone/>
                <wp:docPr id="2312" name="Text Box 2312"/>
                <wp:cNvGraphicFramePr/>
                <a:graphic xmlns:a="http://schemas.openxmlformats.org/drawingml/2006/main">
                  <a:graphicData uri="http://schemas.microsoft.com/office/word/2010/wordprocessingShape">
                    <wps:wsp>
                      <wps:cNvSpPr txBox="1"/>
                      <wps:spPr>
                        <a:xfrm>
                          <a:off x="0" y="0"/>
                          <a:ext cx="2266545" cy="332105"/>
                        </a:xfrm>
                        <a:prstGeom prst="rect">
                          <a:avLst/>
                        </a:prstGeom>
                        <a:noFill/>
                        <a:ln w="6350">
                          <a:noFill/>
                        </a:ln>
                      </wps:spPr>
                      <wps:txbx>
                        <w:txbxContent>
                          <w:p w14:paraId="334F2C10"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12.5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594C8B" id="Text Box 2312" o:spid="_x0000_s1426" type="#_x0000_t202" style="position:absolute;left:0;text-align:left;margin-left:232.1pt;margin-top:.65pt;width:178.45pt;height:26.15pt;z-index:25256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" filled="f" stroked="f" strokeweight=".5pt">
                <v:textbox>
                  <w:txbxContent>
                    <w:p w14:paraId="334F2C10"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15</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12.5</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60.5</w:t>
                      </w:r>
                    </w:p>
                  </w:txbxContent>
                </v:textbox>
              </v:shape>
            </w:pict>
          </mc:Fallback>
        </mc:AlternateContent>
      </w:r>
      <w:r w:rsidRPr="000E2377">
        <w:rPr>
          <w:rFonts w:eastAsia="Times New Roman" w:cs="Times New Roman"/>
          <w:b w:val="0"/>
          <w:i/>
          <w:noProof/>
          <w:color w:val="000000"/>
          <w:szCs w:val="24"/>
          <w:lang w:eastAsia="en-MY"/>
        </w:rPr>
        <w:drawing>
          <wp:inline distT="0" distB="0" distL="0" distR="0" wp14:anchorId="30F504CF" wp14:editId="42C6513D">
            <wp:extent cx="2733944" cy="1584000"/>
            <wp:effectExtent l="0" t="0" r="0" b="0"/>
            <wp:docPr id="2320" name="Picture 2320" descr="C:\Users\Asus A450L\Google Drive\0. Master data\PART 4  Results\picture\Dec S5\N15C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us A450L\Google Drive\0. Master data\PART 4  Results\picture\Dec S5\N15C10.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733944" cy="1584000"/>
                    </a:xfrm>
                    <a:prstGeom prst="rect">
                      <a:avLst/>
                    </a:prstGeom>
                    <a:noFill/>
                    <a:ln>
                      <a:noFill/>
                    </a:ln>
                  </pic:spPr>
                </pic:pic>
              </a:graphicData>
            </a:graphic>
          </wp:inline>
        </w:drawing>
      </w:r>
      <w:r w:rsidRPr="000E2377">
        <w:rPr>
          <w:rFonts w:eastAsia="Times New Roman" w:cs="Times New Roman"/>
          <w:b w:val="0"/>
          <w:i/>
          <w:noProof/>
          <w:color w:val="000000"/>
          <w:szCs w:val="24"/>
          <w:lang w:eastAsia="en-MY"/>
        </w:rPr>
        <w:drawing>
          <wp:inline distT="0" distB="0" distL="0" distR="0" wp14:anchorId="4D277B68" wp14:editId="7EB63459">
            <wp:extent cx="2786008" cy="1584000"/>
            <wp:effectExtent l="0" t="0" r="0" b="0"/>
            <wp:docPr id="2321" name="Picture 2321" descr="C:\Users\Asus A450L\Google Drive\0. Master data\PART 4  Results\picture\Dec S5\N15C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sus A450L\Google Drive\0. Master data\PART 4  Results\picture\Dec S5\N15C12.5.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786008" cy="1584000"/>
                    </a:xfrm>
                    <a:prstGeom prst="rect">
                      <a:avLst/>
                    </a:prstGeom>
                    <a:noFill/>
                    <a:ln>
                      <a:noFill/>
                    </a:ln>
                  </pic:spPr>
                </pic:pic>
              </a:graphicData>
            </a:graphic>
          </wp:inline>
        </w:drawing>
      </w:r>
    </w:p>
    <w:p w14:paraId="63ABE52D" w14:textId="77777777" w:rsidR="00CB5F95" w:rsidRPr="000E2377" w:rsidRDefault="00CB5F95" w:rsidP="00CB5F95">
      <w:pPr>
        <w:spacing w:line="360" w:lineRule="auto"/>
        <w:jc w:val="center"/>
        <w:rPr>
          <w:rFonts w:eastAsia="Times New Roman" w:cs="Times New Roman"/>
          <w:b w:val="0"/>
          <w:i/>
          <w:color w:val="000000"/>
          <w:szCs w:val="24"/>
          <w:lang w:eastAsia="en-MY"/>
        </w:rPr>
      </w:pPr>
    </w:p>
    <w:p w14:paraId="5483E954" w14:textId="77777777" w:rsidR="00CB5F95" w:rsidRPr="000E2377" w:rsidRDefault="00CB5F95" w:rsidP="00CB5F95">
      <w:pPr>
        <w:spacing w:line="360" w:lineRule="auto"/>
        <w:jc w:val="center"/>
        <w:rPr>
          <w:rFonts w:eastAsia="Times New Roman" w:cs="Times New Roman"/>
          <w:b w:val="0"/>
          <w:i/>
          <w:color w:val="000000"/>
          <w:szCs w:val="24"/>
          <w:lang w:eastAsia="en-MY"/>
        </w:rPr>
      </w:pPr>
    </w:p>
    <w:p w14:paraId="639B30A0" w14:textId="77777777" w:rsidR="00CB5F95" w:rsidRPr="000E2377" w:rsidRDefault="00CB5F95" w:rsidP="00CB5F95">
      <w:pPr>
        <w:spacing w:line="240" w:lineRule="auto"/>
        <w:jc w:val="center"/>
        <w:rPr>
          <w:rFonts w:eastAsia="Calibri" w:cs="Times New Roman"/>
          <w:b w:val="0"/>
          <w:bCs/>
          <w:szCs w:val="24"/>
          <w:vertAlign w:val="superscript"/>
          <w:lang w:val="en-GB"/>
        </w:rPr>
      </w:pPr>
      <w:r w:rsidRPr="000E2377">
        <w:rPr>
          <w:rFonts w:eastAsia="Calibri" w:cs="Times New Roman"/>
          <w:b w:val="0"/>
          <w:bCs/>
          <w:szCs w:val="24"/>
          <w:lang w:val="en-GB"/>
        </w:rPr>
        <w:lastRenderedPageBreak/>
        <w:t>DECONVOLUTION OF RAMAN AT 850-1300 cm</w:t>
      </w:r>
      <w:r w:rsidRPr="000E2377">
        <w:rPr>
          <w:rFonts w:eastAsia="Calibri" w:cs="Times New Roman"/>
          <w:b w:val="0"/>
          <w:bCs/>
          <w:szCs w:val="24"/>
          <w:vertAlign w:val="superscript"/>
          <w:lang w:val="en-GB"/>
        </w:rPr>
        <w:t>-1</w:t>
      </w:r>
    </w:p>
    <w:p w14:paraId="53A566A8" w14:textId="77777777" w:rsidR="00CB5F95" w:rsidRPr="000E2377" w:rsidRDefault="00CB5F95" w:rsidP="00CB5F95">
      <w:pPr>
        <w:spacing w:line="360" w:lineRule="auto"/>
        <w:jc w:val="center"/>
        <w:rPr>
          <w:rFonts w:eastAsia="Times New Roman" w:cs="Times New Roman"/>
          <w:color w:val="000000"/>
          <w:szCs w:val="24"/>
          <w:lang w:eastAsia="en-MY"/>
        </w:rPr>
      </w:pPr>
    </w:p>
    <w:p w14:paraId="0B601087" w14:textId="77777777" w:rsidR="00CB5F95" w:rsidRPr="000E2377" w:rsidRDefault="00CB5F95" w:rsidP="00CB5F95">
      <w:pPr>
        <w:spacing w:line="360" w:lineRule="auto"/>
        <w:jc w:val="center"/>
        <w:rPr>
          <w:rFonts w:eastAsia="Times New Roman" w:cs="Times New Roman"/>
          <w:b w:val="0"/>
          <w:i/>
          <w:color w:val="000000"/>
          <w:szCs w:val="24"/>
          <w:lang w:eastAsia="en-MY"/>
        </w:rPr>
      </w:pPr>
      <w:r w:rsidRPr="000E2377">
        <w:rPr>
          <w:rFonts w:eastAsia="Times New Roman" w:cs="Times New Roman"/>
          <w:color w:val="000000"/>
          <w:szCs w:val="24"/>
          <w:lang w:eastAsia="en-MY"/>
        </w:rPr>
        <w:t>N</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C</w:t>
      </w:r>
      <w:r w:rsidRPr="000E2377">
        <w:rPr>
          <w:rFonts w:eastAsia="Times New Roman" w:cs="Times New Roman"/>
          <w:color w:val="000000"/>
          <w:szCs w:val="24"/>
          <w:vertAlign w:val="subscript"/>
          <w:lang w:eastAsia="en-MY"/>
        </w:rPr>
        <w:t>x</w:t>
      </w:r>
      <w:r w:rsidRPr="000E2377">
        <w:rPr>
          <w:rFonts w:eastAsia="Times New Roman" w:cs="Times New Roman"/>
          <w:color w:val="000000"/>
          <w:szCs w:val="24"/>
          <w:lang w:eastAsia="en-MY"/>
        </w:rPr>
        <w:t>Ba</w:t>
      </w:r>
      <w:r w:rsidRPr="000E2377">
        <w:rPr>
          <w:rFonts w:eastAsia="Times New Roman" w:cs="Times New Roman"/>
          <w:color w:val="000000"/>
          <w:szCs w:val="24"/>
          <w:vertAlign w:val="subscript"/>
          <w:lang w:eastAsia="en-MY"/>
        </w:rPr>
        <w:t>2</w:t>
      </w:r>
      <w:r w:rsidRPr="000E2377">
        <w:rPr>
          <w:rFonts w:eastAsia="Times New Roman" w:cs="Times New Roman"/>
          <w:color w:val="000000"/>
          <w:szCs w:val="24"/>
          <w:lang w:eastAsia="en-MY"/>
        </w:rPr>
        <w:t>A</w:t>
      </w:r>
      <w:r w:rsidRPr="000E2377">
        <w:rPr>
          <w:rFonts w:eastAsia="Times New Roman" w:cs="Times New Roman"/>
          <w:color w:val="000000"/>
          <w:szCs w:val="24"/>
          <w:vertAlign w:val="subscript"/>
          <w:lang w:eastAsia="en-MY"/>
        </w:rPr>
        <w:t>y</w:t>
      </w:r>
      <w:r w:rsidRPr="000E2377">
        <w:rPr>
          <w:rFonts w:eastAsia="Times New Roman" w:cs="Times New Roman"/>
          <w:color w:val="000000"/>
          <w:szCs w:val="24"/>
          <w:lang w:eastAsia="en-MY"/>
        </w:rPr>
        <w:t>B</w:t>
      </w:r>
      <w:r w:rsidRPr="000E2377">
        <w:rPr>
          <w:rFonts w:eastAsia="Times New Roman" w:cs="Times New Roman"/>
          <w:color w:val="000000"/>
          <w:szCs w:val="24"/>
          <w:vertAlign w:val="subscript"/>
          <w:lang w:eastAsia="en-MY"/>
        </w:rPr>
        <w:t>10</w:t>
      </w:r>
      <w:r w:rsidRPr="000E2377">
        <w:rPr>
          <w:rFonts w:eastAsia="Times New Roman" w:cs="Times New Roman"/>
          <w:color w:val="000000"/>
          <w:szCs w:val="24"/>
          <w:lang w:eastAsia="en-MY"/>
        </w:rPr>
        <w:t>S</w:t>
      </w:r>
      <w:r w:rsidRPr="000E2377">
        <w:rPr>
          <w:rFonts w:eastAsia="Times New Roman" w:cs="Times New Roman"/>
          <w:color w:val="000000"/>
          <w:szCs w:val="24"/>
          <w:vertAlign w:val="subscript"/>
          <w:lang w:eastAsia="en-MY"/>
        </w:rPr>
        <w:t>78-x-y</w:t>
      </w:r>
      <w:r w:rsidRPr="000E2377">
        <w:rPr>
          <w:rFonts w:eastAsia="Times New Roman" w:cs="Times New Roman"/>
          <w:color w:val="000000"/>
          <w:sz w:val="16"/>
          <w:szCs w:val="16"/>
          <w:vertAlign w:val="subscript"/>
          <w:lang w:eastAsia="en-MY"/>
        </w:rPr>
        <w:t xml:space="preserve"> </w:t>
      </w:r>
      <w:r w:rsidRPr="000E2377">
        <w:rPr>
          <w:rFonts w:cs="Times New Roman"/>
          <w:szCs w:val="24"/>
        </w:rPr>
        <w:t>glass</w:t>
      </w:r>
      <w:r w:rsidRPr="000E2377">
        <w:rPr>
          <w:rFonts w:cs="Times New Roman"/>
          <w:szCs w:val="24"/>
          <w:lang w:val="en-GB"/>
        </w:rPr>
        <w:t xml:space="preserve"> series</w:t>
      </w:r>
    </w:p>
    <w:p w14:paraId="7F66C82E" w14:textId="77777777" w:rsidR="00CB5F95" w:rsidRPr="000E2377" w:rsidRDefault="00CB5F95" w:rsidP="00CB5F95">
      <w:pPr>
        <w:spacing w:line="360" w:lineRule="auto"/>
        <w:jc w:val="center"/>
        <w:rPr>
          <w:rFonts w:eastAsia="Times New Roman" w:cs="Times New Roman"/>
          <w:b w:val="0"/>
          <w:i/>
          <w:color w:val="000000"/>
          <w:szCs w:val="24"/>
          <w:lang w:eastAsia="en-MY"/>
        </w:rPr>
      </w:pPr>
      <w:r w:rsidRPr="000E2377">
        <w:rPr>
          <w:rFonts w:cs="Times New Roman"/>
          <w:noProof/>
          <w:szCs w:val="24"/>
          <w:lang w:eastAsia="en-MY"/>
        </w:rPr>
        <mc:AlternateContent>
          <mc:Choice Requires="wps">
            <w:drawing>
              <wp:anchor distT="0" distB="0" distL="114300" distR="114300" simplePos="0" relativeHeight="252570624" behindDoc="0" locked="0" layoutInCell="1" allowOverlap="1" wp14:anchorId="2F0325EE" wp14:editId="26D2EF02">
                <wp:simplePos x="0" y="0"/>
                <wp:positionH relativeFrom="column">
                  <wp:posOffset>2889115</wp:posOffset>
                </wp:positionH>
                <wp:positionV relativeFrom="paragraph">
                  <wp:posOffset>347926</wp:posOffset>
                </wp:positionV>
                <wp:extent cx="1673157" cy="380743"/>
                <wp:effectExtent l="0" t="0" r="0" b="635"/>
                <wp:wrapNone/>
                <wp:docPr id="2322" name="Text Box 2322"/>
                <wp:cNvGraphicFramePr/>
                <a:graphic xmlns:a="http://schemas.openxmlformats.org/drawingml/2006/main">
                  <a:graphicData uri="http://schemas.microsoft.com/office/word/2010/wordprocessingShape">
                    <wps:wsp>
                      <wps:cNvSpPr txBox="1"/>
                      <wps:spPr>
                        <a:xfrm>
                          <a:off x="0" y="0"/>
                          <a:ext cx="1673157" cy="380743"/>
                        </a:xfrm>
                        <a:prstGeom prst="rect">
                          <a:avLst/>
                        </a:prstGeom>
                        <a:noFill/>
                        <a:ln w="6350">
                          <a:noFill/>
                        </a:ln>
                      </wps:spPr>
                      <wps:txbx>
                        <w:txbxContent>
                          <w:p w14:paraId="40AFC9DF"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4.9</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7.1</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325EE" id="Text Box 2322" o:spid="_x0000_s1427" type="#_x0000_t202" style="position:absolute;left:0;text-align:left;margin-left:227.5pt;margin-top:27.4pt;width:131.75pt;height:30pt;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" filled="f" stroked="f" strokeweight=".5pt">
                <v:textbox>
                  <w:txbxContent>
                    <w:p w14:paraId="40AFC9DF"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4.9</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7.1</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66</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569600" behindDoc="0" locked="0" layoutInCell="1" allowOverlap="1" wp14:anchorId="0527E783" wp14:editId="66E94083">
                <wp:simplePos x="0" y="0"/>
                <wp:positionH relativeFrom="column">
                  <wp:posOffset>398375</wp:posOffset>
                </wp:positionH>
                <wp:positionV relativeFrom="paragraph">
                  <wp:posOffset>328349</wp:posOffset>
                </wp:positionV>
                <wp:extent cx="1741251" cy="332105"/>
                <wp:effectExtent l="0" t="0" r="0" b="0"/>
                <wp:wrapNone/>
                <wp:docPr id="2323" name="Text Box 2323"/>
                <wp:cNvGraphicFramePr/>
                <a:graphic xmlns:a="http://schemas.openxmlformats.org/drawingml/2006/main">
                  <a:graphicData uri="http://schemas.microsoft.com/office/word/2010/wordprocessingShape">
                    <wps:wsp>
                      <wps:cNvSpPr txBox="1"/>
                      <wps:spPr>
                        <a:xfrm>
                          <a:off x="0" y="0"/>
                          <a:ext cx="1741251" cy="332105"/>
                        </a:xfrm>
                        <a:prstGeom prst="rect">
                          <a:avLst/>
                        </a:prstGeom>
                        <a:noFill/>
                        <a:ln w="6350">
                          <a:noFill/>
                        </a:ln>
                      </wps:spPr>
                      <wps:txbx>
                        <w:txbxContent>
                          <w:p w14:paraId="5F9B1798"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2.4</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5.7</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27E783" id="Text Box 2323" o:spid="_x0000_s1428" type="#_x0000_t202" style="position:absolute;left:0;text-align:left;margin-left:31.35pt;margin-top:25.85pt;width:137.1pt;height:26.15pt;z-index:25256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" filled="f" stroked="f" strokeweight=".5pt">
                <v:textbox>
                  <w:txbxContent>
                    <w:p w14:paraId="5F9B1798"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2.4</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5.7</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69.9</w:t>
                      </w:r>
                    </w:p>
                  </w:txbxContent>
                </v:textbox>
              </v:shape>
            </w:pict>
          </mc:Fallback>
        </mc:AlternateContent>
      </w:r>
    </w:p>
    <w:p w14:paraId="251A954F" w14:textId="77777777" w:rsidR="00CB5F95" w:rsidRPr="000E2377" w:rsidRDefault="00CB5F95" w:rsidP="00CB5F95">
      <w:pPr>
        <w:spacing w:line="360" w:lineRule="auto"/>
        <w:jc w:val="center"/>
        <w:rPr>
          <w:rFonts w:eastAsia="Times New Roman" w:cs="Times New Roman"/>
          <w:snapToGrid w:val="0"/>
          <w:color w:val="000000"/>
          <w:w w:val="0"/>
          <w:sz w:val="0"/>
          <w:szCs w:val="0"/>
          <w:u w:color="000000"/>
          <w:bdr w:val="none" w:sz="0" w:space="0" w:color="000000"/>
          <w:shd w:val="clear" w:color="000000" w:fill="000000"/>
          <w:lang w:val="x-none" w:eastAsia="x-none" w:bidi="x-none"/>
        </w:rPr>
      </w:pPr>
      <w:r w:rsidRPr="000E2377">
        <w:rPr>
          <w:rFonts w:cs="Times New Roman"/>
          <w:noProof/>
          <w:szCs w:val="24"/>
          <w:lang w:eastAsia="en-MY"/>
        </w:rPr>
        <mc:AlternateContent>
          <mc:Choice Requires="wps">
            <w:drawing>
              <wp:anchor distT="0" distB="0" distL="114300" distR="114300" simplePos="0" relativeHeight="252571648" behindDoc="0" locked="0" layoutInCell="1" allowOverlap="1" wp14:anchorId="1D5CDD13" wp14:editId="0E99E292">
                <wp:simplePos x="0" y="0"/>
                <wp:positionH relativeFrom="column">
                  <wp:posOffset>252919</wp:posOffset>
                </wp:positionH>
                <wp:positionV relativeFrom="paragraph">
                  <wp:posOffset>1767381</wp:posOffset>
                </wp:positionV>
                <wp:extent cx="2879387" cy="332105"/>
                <wp:effectExtent l="0" t="0" r="0" b="0"/>
                <wp:wrapNone/>
                <wp:docPr id="2325" name="Text Box 2325"/>
                <wp:cNvGraphicFramePr/>
                <a:graphic xmlns:a="http://schemas.openxmlformats.org/drawingml/2006/main">
                  <a:graphicData uri="http://schemas.microsoft.com/office/word/2010/wordprocessingShape">
                    <wps:wsp>
                      <wps:cNvSpPr txBox="1"/>
                      <wps:spPr>
                        <a:xfrm>
                          <a:off x="0" y="0"/>
                          <a:ext cx="2879387" cy="332105"/>
                        </a:xfrm>
                        <a:prstGeom prst="rect">
                          <a:avLst/>
                        </a:prstGeom>
                        <a:noFill/>
                        <a:ln w="6350">
                          <a:noFill/>
                        </a:ln>
                      </wps:spPr>
                      <wps:txbx>
                        <w:txbxContent>
                          <w:p w14:paraId="7ADA5ACA"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3.6</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10.1</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5CDD13" id="Text Box 2325" o:spid="_x0000_s1429" type="#_x0000_t202" style="position:absolute;left:0;text-align:left;margin-left:19.9pt;margin-top:139.15pt;width:226.7pt;height:26.15pt;z-index:25257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" filled="f" stroked="f" strokeweight=".5pt">
                <v:textbox>
                  <w:txbxContent>
                    <w:p w14:paraId="7ADA5ACA" w14:textId="77777777" w:rsidR="00230AB9" w:rsidRPr="0087618E"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3.6</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10.1</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64.3</w:t>
                      </w:r>
                    </w:p>
                  </w:txbxContent>
                </v:textbox>
              </v:shape>
            </w:pict>
          </mc:Fallback>
        </mc:AlternateContent>
      </w:r>
      <w:r w:rsidRPr="000E2377">
        <w:rPr>
          <w:rFonts w:cs="Times New Roman"/>
          <w:noProof/>
          <w:szCs w:val="24"/>
          <w:lang w:eastAsia="en-MY"/>
        </w:rPr>
        <mc:AlternateContent>
          <mc:Choice Requires="wps">
            <w:drawing>
              <wp:anchor distT="0" distB="0" distL="114300" distR="114300" simplePos="0" relativeHeight="252572672" behindDoc="0" locked="0" layoutInCell="1" allowOverlap="1" wp14:anchorId="4095A526" wp14:editId="47ED7FCA">
                <wp:simplePos x="0" y="0"/>
                <wp:positionH relativeFrom="column">
                  <wp:posOffset>3073805</wp:posOffset>
                </wp:positionH>
                <wp:positionV relativeFrom="paragraph">
                  <wp:posOffset>1766962</wp:posOffset>
                </wp:positionV>
                <wp:extent cx="1712068" cy="332509"/>
                <wp:effectExtent l="0" t="0" r="0" b="0"/>
                <wp:wrapNone/>
                <wp:docPr id="2324" name="Text Box 2324"/>
                <wp:cNvGraphicFramePr/>
                <a:graphic xmlns:a="http://schemas.openxmlformats.org/drawingml/2006/main">
                  <a:graphicData uri="http://schemas.microsoft.com/office/word/2010/wordprocessingShape">
                    <wps:wsp>
                      <wps:cNvSpPr txBox="1"/>
                      <wps:spPr>
                        <a:xfrm>
                          <a:off x="0" y="0"/>
                          <a:ext cx="1712068" cy="332509"/>
                        </a:xfrm>
                        <a:prstGeom prst="rect">
                          <a:avLst/>
                        </a:prstGeom>
                        <a:noFill/>
                        <a:ln w="6350">
                          <a:noFill/>
                        </a:ln>
                      </wps:spPr>
                      <wps:txbx>
                        <w:txbxContent>
                          <w:p w14:paraId="364C839E" w14:textId="77777777" w:rsidR="00230AB9" w:rsidRPr="00F67C09"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2.5</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12.5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95A526" id="Text Box 2324" o:spid="_x0000_s1430" type="#_x0000_t202" style="position:absolute;left:0;text-align:left;margin-left:242.05pt;margin-top:139.15pt;width:134.8pt;height:26.2pt;z-index:252572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" filled="f" stroked="f" strokeweight=".5pt">
                <v:textbox>
                  <w:txbxContent>
                    <w:p w14:paraId="364C839E" w14:textId="77777777" w:rsidR="00230AB9" w:rsidRPr="00F67C09" w:rsidRDefault="00230AB9" w:rsidP="00CB5F95">
                      <w:pPr>
                        <w:rPr>
                          <w:szCs w:val="24"/>
                        </w:rPr>
                      </w:pPr>
                      <w:r w:rsidRPr="00C84119">
                        <w:rPr>
                          <w:rFonts w:eastAsia="Times New Roman" w:cs="Times New Roman"/>
                          <w:color w:val="000000"/>
                          <w:szCs w:val="24"/>
                          <w:lang w:eastAsia="en-MY"/>
                        </w:rPr>
                        <w:t>N</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C</w:t>
                      </w:r>
                      <w:r w:rsidRPr="00C84119">
                        <w:rPr>
                          <w:rFonts w:eastAsia="Times New Roman" w:cs="Times New Roman"/>
                          <w:color w:val="000000"/>
                          <w:szCs w:val="24"/>
                          <w:vertAlign w:val="subscript"/>
                          <w:lang w:eastAsia="en-MY"/>
                        </w:rPr>
                        <w:t>2.5</w:t>
                      </w:r>
                      <w:r w:rsidRPr="00C84119">
                        <w:rPr>
                          <w:rFonts w:eastAsia="Times New Roman" w:cs="Times New Roman"/>
                          <w:color w:val="000000"/>
                          <w:szCs w:val="24"/>
                          <w:lang w:eastAsia="en-MY"/>
                        </w:rPr>
                        <w:t>Ba</w:t>
                      </w:r>
                      <w:r w:rsidRPr="00C84119">
                        <w:rPr>
                          <w:rFonts w:eastAsia="Times New Roman" w:cs="Times New Roman"/>
                          <w:color w:val="000000"/>
                          <w:szCs w:val="24"/>
                          <w:vertAlign w:val="subscript"/>
                          <w:lang w:eastAsia="en-MY"/>
                        </w:rPr>
                        <w:t>2</w:t>
                      </w:r>
                      <w:r w:rsidRPr="00C84119">
                        <w:rPr>
                          <w:rFonts w:eastAsia="Times New Roman" w:cs="Times New Roman"/>
                          <w:color w:val="000000"/>
                          <w:szCs w:val="24"/>
                          <w:lang w:eastAsia="en-MY"/>
                        </w:rPr>
                        <w:t>A</w:t>
                      </w:r>
                      <w:r w:rsidRPr="00C84119">
                        <w:rPr>
                          <w:rFonts w:eastAsia="Times New Roman" w:cs="Times New Roman"/>
                          <w:color w:val="000000"/>
                          <w:szCs w:val="24"/>
                          <w:vertAlign w:val="subscript"/>
                          <w:lang w:eastAsia="en-MY"/>
                        </w:rPr>
                        <w:t>12.5</w:t>
                      </w:r>
                      <w:r w:rsidRPr="00C84119">
                        <w:rPr>
                          <w:rFonts w:eastAsia="Times New Roman" w:cs="Times New Roman"/>
                          <w:color w:val="000000"/>
                          <w:szCs w:val="24"/>
                          <w:lang w:eastAsia="en-MY"/>
                        </w:rPr>
                        <w:t>B</w:t>
                      </w:r>
                      <w:r w:rsidRPr="00C84119">
                        <w:rPr>
                          <w:rFonts w:eastAsia="Times New Roman" w:cs="Times New Roman"/>
                          <w:color w:val="000000"/>
                          <w:szCs w:val="24"/>
                          <w:vertAlign w:val="subscript"/>
                          <w:lang w:eastAsia="en-MY"/>
                        </w:rPr>
                        <w:t>10</w:t>
                      </w:r>
                      <w:r w:rsidRPr="00C84119">
                        <w:rPr>
                          <w:rFonts w:eastAsia="Times New Roman" w:cs="Times New Roman"/>
                          <w:color w:val="000000"/>
                          <w:szCs w:val="24"/>
                          <w:lang w:eastAsia="en-MY"/>
                        </w:rPr>
                        <w:t>S</w:t>
                      </w:r>
                      <w:r w:rsidRPr="00C84119">
                        <w:rPr>
                          <w:rFonts w:eastAsia="Times New Roman" w:cs="Times New Roman"/>
                          <w:color w:val="000000"/>
                          <w:szCs w:val="24"/>
                          <w:vertAlign w:val="subscript"/>
                          <w:lang w:eastAsia="en-MY"/>
                        </w:rPr>
                        <w:t>63</w:t>
                      </w:r>
                    </w:p>
                  </w:txbxContent>
                </v:textbox>
              </v:shape>
            </w:pict>
          </mc:Fallback>
        </mc:AlternateContent>
      </w:r>
      <w:r w:rsidRPr="000E2377">
        <w:rPr>
          <w:rFonts w:eastAsia="Times New Roman" w:cs="Times New Roman"/>
          <w:b w:val="0"/>
          <w:i/>
          <w:noProof/>
          <w:color w:val="000000"/>
          <w:szCs w:val="24"/>
          <w:lang w:eastAsia="en-MY"/>
        </w:rPr>
        <w:drawing>
          <wp:inline distT="0" distB="0" distL="0" distR="0" wp14:anchorId="7D4C522E" wp14:editId="73F99AD4">
            <wp:extent cx="2429401" cy="1728000"/>
            <wp:effectExtent l="0" t="0" r="9525" b="5715"/>
            <wp:docPr id="2326" name="Picture 2326" descr="C:\Users\Asus A450L\Google Drive\0. Master data\PART 4  Results\picture\Dec S6\C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sus A450L\Google Drive\0. Master data\PART 4  Results\picture\Dec S6\C2.4.PN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429401" cy="1728000"/>
                    </a:xfrm>
                    <a:prstGeom prst="rect">
                      <a:avLst/>
                    </a:prstGeom>
                    <a:noFill/>
                    <a:ln>
                      <a:noFill/>
                    </a:ln>
                  </pic:spPr>
                </pic:pic>
              </a:graphicData>
            </a:graphic>
          </wp:inline>
        </w:drawing>
      </w:r>
      <w:r w:rsidRPr="000E2377">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E2377">
        <w:rPr>
          <w:rFonts w:eastAsia="Times New Roman" w:cs="Times New Roman"/>
          <w:b w:val="0"/>
          <w:i/>
          <w:noProof/>
          <w:color w:val="000000"/>
          <w:szCs w:val="24"/>
          <w:lang w:eastAsia="en-MY"/>
        </w:rPr>
        <w:drawing>
          <wp:inline distT="0" distB="0" distL="0" distR="0" wp14:anchorId="49B5BB6A" wp14:editId="5BE3A9D9">
            <wp:extent cx="2786400" cy="1548000"/>
            <wp:effectExtent l="0" t="0" r="0" b="0"/>
            <wp:docPr id="2327" name="Picture 2327" descr="C:\Users\Asus A450L\Google Drive\0. Master data\PART 4  Results\picture\Dec S6\C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sus A450L\Google Drive\0. Master data\PART 4  Results\picture\Dec S6\C4.9.PN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786400" cy="1548000"/>
                    </a:xfrm>
                    <a:prstGeom prst="rect">
                      <a:avLst/>
                    </a:prstGeom>
                    <a:noFill/>
                    <a:ln>
                      <a:noFill/>
                    </a:ln>
                  </pic:spPr>
                </pic:pic>
              </a:graphicData>
            </a:graphic>
          </wp:inline>
        </w:drawing>
      </w:r>
    </w:p>
    <w:p w14:paraId="07DEB046" w14:textId="77777777" w:rsidR="00CB5F95" w:rsidRPr="000E2377" w:rsidRDefault="00CB5F95" w:rsidP="00CB5F95">
      <w:pPr>
        <w:spacing w:line="360" w:lineRule="auto"/>
        <w:jc w:val="center"/>
        <w:rPr>
          <w:rFonts w:eastAsia="Times New Roman" w:cs="Times New Roman"/>
          <w:b w:val="0"/>
          <w:i/>
          <w:color w:val="000000"/>
          <w:szCs w:val="24"/>
          <w:lang w:eastAsia="en-MY"/>
        </w:rPr>
      </w:pPr>
      <w:r w:rsidRPr="000E2377">
        <w:rPr>
          <w:rFonts w:eastAsia="Times New Roman" w:cs="Times New Roman"/>
          <w:b w:val="0"/>
          <w:i/>
          <w:noProof/>
          <w:color w:val="000000"/>
          <w:szCs w:val="24"/>
          <w:lang w:eastAsia="en-MY"/>
        </w:rPr>
        <w:drawing>
          <wp:inline distT="0" distB="0" distL="0" distR="0" wp14:anchorId="47F7C997" wp14:editId="07FD84F1">
            <wp:extent cx="2760025" cy="1548000"/>
            <wp:effectExtent l="0" t="0" r="2540" b="0"/>
            <wp:docPr id="2328" name="Picture 2328" descr="C:\Users\Asus A450L\Google Drive\0. Master data\PART 4  Results\picture\Dec S6\C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sus A450L\Google Drive\0. Master data\PART 4  Results\picture\Dec S6\C3.6.PN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760025" cy="1548000"/>
                    </a:xfrm>
                    <a:prstGeom prst="rect">
                      <a:avLst/>
                    </a:prstGeom>
                    <a:noFill/>
                    <a:ln>
                      <a:noFill/>
                    </a:ln>
                  </pic:spPr>
                </pic:pic>
              </a:graphicData>
            </a:graphic>
          </wp:inline>
        </w:drawing>
      </w:r>
      <w:r w:rsidRPr="000E2377">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E2377">
        <w:rPr>
          <w:rFonts w:eastAsia="Times New Roman" w:cs="Times New Roman"/>
          <w:b w:val="0"/>
          <w:i/>
          <w:noProof/>
          <w:color w:val="000000"/>
          <w:szCs w:val="24"/>
          <w:lang w:eastAsia="en-MY"/>
        </w:rPr>
        <w:drawing>
          <wp:inline distT="0" distB="0" distL="0" distR="0" wp14:anchorId="23E1D849" wp14:editId="2A332DFB">
            <wp:extent cx="2602056" cy="1548000"/>
            <wp:effectExtent l="0" t="0" r="8255" b="0"/>
            <wp:docPr id="2329" name="Picture 2329" descr="C:\Users\Asus A450L\Google Drive\0. Master data\PART 4  Results\picture\Dec S6\C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sus A450L\Google Drive\0. Master data\PART 4  Results\picture\Dec S6\C2.5.PN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602056" cy="1548000"/>
                    </a:xfrm>
                    <a:prstGeom prst="rect">
                      <a:avLst/>
                    </a:prstGeom>
                    <a:noFill/>
                    <a:ln>
                      <a:noFill/>
                    </a:ln>
                  </pic:spPr>
                </pic:pic>
              </a:graphicData>
            </a:graphic>
          </wp:inline>
        </w:drawing>
      </w:r>
    </w:p>
    <w:p w14:paraId="051D263B" w14:textId="77777777" w:rsidR="00CB5F95" w:rsidRPr="000E2377" w:rsidRDefault="00CB5F95" w:rsidP="00CB5F95">
      <w:pPr>
        <w:spacing w:line="360" w:lineRule="auto"/>
        <w:jc w:val="both"/>
        <w:rPr>
          <w:rFonts w:eastAsia="Times New Roman" w:cs="Times New Roman"/>
          <w:b w:val="0"/>
          <w:i/>
          <w:color w:val="000000"/>
          <w:szCs w:val="24"/>
          <w:lang w:eastAsia="en-MY"/>
        </w:rPr>
      </w:pPr>
    </w:p>
    <w:p w14:paraId="4A504CC5" w14:textId="77777777" w:rsidR="00CB5F95" w:rsidRPr="000E2377" w:rsidRDefault="00CB5F95" w:rsidP="00CB5F95">
      <w:pPr>
        <w:spacing w:line="360" w:lineRule="auto"/>
        <w:jc w:val="both"/>
        <w:rPr>
          <w:rFonts w:eastAsia="Times New Roman" w:cs="Times New Roman"/>
          <w:b w:val="0"/>
          <w:i/>
          <w:color w:val="000000"/>
          <w:szCs w:val="24"/>
          <w:lang w:eastAsia="en-MY"/>
        </w:rPr>
      </w:pPr>
    </w:p>
    <w:p w14:paraId="059E0945" w14:textId="77777777" w:rsidR="00CB5F95" w:rsidRPr="000E2377" w:rsidRDefault="00CB5F95" w:rsidP="00CB5F95">
      <w:pPr>
        <w:spacing w:line="360" w:lineRule="auto"/>
        <w:jc w:val="both"/>
        <w:rPr>
          <w:rFonts w:eastAsia="Times New Roman" w:cs="Times New Roman"/>
          <w:b w:val="0"/>
          <w:i/>
          <w:color w:val="000000"/>
          <w:szCs w:val="24"/>
          <w:lang w:eastAsia="en-MY"/>
        </w:rPr>
      </w:pPr>
    </w:p>
    <w:p w14:paraId="1AD65E88" w14:textId="77777777" w:rsidR="00CB5F95" w:rsidRPr="000E2377" w:rsidRDefault="00CB5F95" w:rsidP="00CB5F95">
      <w:pPr>
        <w:spacing w:line="360" w:lineRule="auto"/>
        <w:jc w:val="both"/>
        <w:rPr>
          <w:rFonts w:eastAsia="Times New Roman" w:cs="Times New Roman"/>
          <w:b w:val="0"/>
          <w:i/>
          <w:color w:val="000000"/>
          <w:szCs w:val="24"/>
          <w:lang w:eastAsia="en-MY"/>
        </w:rPr>
      </w:pPr>
    </w:p>
    <w:p w14:paraId="2CF53F4E" w14:textId="77777777" w:rsidR="00CB5F95" w:rsidRPr="000E2377" w:rsidRDefault="00CB5F95" w:rsidP="00CB5F95">
      <w:pPr>
        <w:spacing w:line="360" w:lineRule="auto"/>
        <w:jc w:val="both"/>
        <w:rPr>
          <w:rFonts w:eastAsia="Times New Roman" w:cs="Times New Roman"/>
          <w:b w:val="0"/>
          <w:i/>
          <w:color w:val="000000"/>
          <w:szCs w:val="24"/>
          <w:lang w:eastAsia="en-MY"/>
        </w:rPr>
      </w:pPr>
    </w:p>
    <w:p w14:paraId="578A5A24" w14:textId="77777777" w:rsidR="00CB5F95" w:rsidRPr="000E2377" w:rsidRDefault="00CB5F95" w:rsidP="00CB5F95">
      <w:pPr>
        <w:spacing w:line="360" w:lineRule="auto"/>
        <w:jc w:val="both"/>
        <w:rPr>
          <w:rFonts w:eastAsia="Times New Roman" w:cs="Times New Roman"/>
          <w:b w:val="0"/>
          <w:i/>
          <w:color w:val="000000"/>
          <w:szCs w:val="24"/>
          <w:lang w:eastAsia="en-MY"/>
        </w:rPr>
      </w:pPr>
    </w:p>
    <w:p w14:paraId="71B109DE" w14:textId="77777777" w:rsidR="00CB5F95" w:rsidRDefault="00CB5F95" w:rsidP="00CB5F95">
      <w:pPr>
        <w:spacing w:line="360" w:lineRule="auto"/>
        <w:jc w:val="both"/>
        <w:rPr>
          <w:rFonts w:eastAsia="Times New Roman" w:cs="Times New Roman"/>
          <w:b w:val="0"/>
          <w:i/>
          <w:color w:val="000000"/>
          <w:szCs w:val="24"/>
          <w:lang w:eastAsia="en-MY"/>
        </w:rPr>
      </w:pPr>
    </w:p>
    <w:p w14:paraId="2FD46DFB" w14:textId="77777777" w:rsidR="00CB5F95" w:rsidRPr="000E2377" w:rsidRDefault="00CB5F95" w:rsidP="00CB5F95">
      <w:pPr>
        <w:spacing w:line="360" w:lineRule="auto"/>
        <w:jc w:val="both"/>
        <w:rPr>
          <w:rFonts w:eastAsia="Times New Roman" w:cs="Times New Roman"/>
          <w:b w:val="0"/>
          <w:i/>
          <w:color w:val="000000"/>
          <w:szCs w:val="24"/>
          <w:lang w:eastAsia="en-MY"/>
        </w:rPr>
      </w:pPr>
    </w:p>
    <w:p w14:paraId="038BF20E" w14:textId="77777777" w:rsidR="00CB5F95" w:rsidRDefault="00CB5F95" w:rsidP="00CB5F95">
      <w:pPr>
        <w:spacing w:line="360" w:lineRule="auto"/>
        <w:jc w:val="both"/>
        <w:rPr>
          <w:rFonts w:eastAsia="Times New Roman" w:cs="Times New Roman"/>
          <w:b w:val="0"/>
          <w:i/>
          <w:color w:val="000000"/>
          <w:szCs w:val="24"/>
          <w:lang w:eastAsia="en-MY"/>
        </w:rPr>
      </w:pPr>
    </w:p>
    <w:p w14:paraId="2AD1BB95" w14:textId="77777777" w:rsidR="00CB5F95" w:rsidRDefault="00CB5F95" w:rsidP="00CB5F95">
      <w:pPr>
        <w:spacing w:line="240" w:lineRule="auto"/>
        <w:jc w:val="center"/>
        <w:rPr>
          <w:rFonts w:eastAsia="Calibri" w:cs="Times New Roman"/>
          <w:b w:val="0"/>
          <w:bCs/>
          <w:szCs w:val="24"/>
          <w:vertAlign w:val="superscript"/>
          <w:lang w:val="en-GB"/>
        </w:rPr>
      </w:pPr>
      <w:r w:rsidRPr="000E2377">
        <w:rPr>
          <w:rFonts w:eastAsia="Calibri" w:cs="Times New Roman"/>
          <w:b w:val="0"/>
          <w:bCs/>
          <w:szCs w:val="24"/>
          <w:lang w:val="en-GB"/>
        </w:rPr>
        <w:lastRenderedPageBreak/>
        <w:t xml:space="preserve">DECONVOLUTION OF RAMAN AT </w:t>
      </w:r>
      <w:r>
        <w:rPr>
          <w:rFonts w:eastAsia="Calibri" w:cs="Times New Roman"/>
          <w:b w:val="0"/>
          <w:bCs/>
          <w:szCs w:val="24"/>
          <w:lang w:val="en-GB"/>
        </w:rPr>
        <w:t>1250</w:t>
      </w:r>
      <w:r w:rsidRPr="000E2377">
        <w:rPr>
          <w:rFonts w:eastAsia="Calibri" w:cs="Times New Roman"/>
          <w:b w:val="0"/>
          <w:bCs/>
          <w:szCs w:val="24"/>
          <w:lang w:val="en-GB"/>
        </w:rPr>
        <w:t>-1</w:t>
      </w:r>
      <w:r>
        <w:rPr>
          <w:rFonts w:eastAsia="Calibri" w:cs="Times New Roman"/>
          <w:b w:val="0"/>
          <w:bCs/>
          <w:szCs w:val="24"/>
          <w:lang w:val="en-GB"/>
        </w:rPr>
        <w:t>500</w:t>
      </w:r>
      <w:r w:rsidRPr="000E2377">
        <w:rPr>
          <w:rFonts w:eastAsia="Calibri" w:cs="Times New Roman"/>
          <w:b w:val="0"/>
          <w:bCs/>
          <w:szCs w:val="24"/>
          <w:lang w:val="en-GB"/>
        </w:rPr>
        <w:t xml:space="preserve"> cm</w:t>
      </w:r>
      <w:r w:rsidRPr="000E2377">
        <w:rPr>
          <w:rFonts w:eastAsia="Calibri" w:cs="Times New Roman"/>
          <w:b w:val="0"/>
          <w:bCs/>
          <w:szCs w:val="24"/>
          <w:vertAlign w:val="superscript"/>
          <w:lang w:val="en-GB"/>
        </w:rPr>
        <w:t>-1</w:t>
      </w:r>
    </w:p>
    <w:p w14:paraId="4B161B52" w14:textId="77777777" w:rsidR="00CB5F95" w:rsidRDefault="00CB5F95" w:rsidP="00CB5F95">
      <w:pPr>
        <w:pStyle w:val="Default"/>
        <w:jc w:val="center"/>
        <w:rPr>
          <w:rFonts w:ascii="Times New Roman" w:eastAsia="Calibri" w:hAnsi="Times New Roman" w:cs="Times New Roman"/>
          <w:bCs/>
          <w:lang w:val="en-GB"/>
        </w:rPr>
      </w:pPr>
      <w:r w:rsidRPr="00CC7714">
        <w:rPr>
          <w:rFonts w:ascii="Times New Roman" w:eastAsia="Calibri" w:hAnsi="Times New Roman" w:cs="Times New Roman"/>
          <w:bCs/>
          <w:lang w:val="en-GB"/>
        </w:rPr>
        <w:t>(</w:t>
      </w:r>
      <w:r w:rsidRPr="00CC7714">
        <w:rPr>
          <w:rFonts w:ascii="Times New Roman" w:hAnsi="Times New Roman" w:cs="Times New Roman"/>
        </w:rPr>
        <w:t xml:space="preserve">Borate group &amp; </w:t>
      </w:r>
      <w:r w:rsidRPr="00CC7714">
        <w:rPr>
          <w:rFonts w:ascii="Times New Roman" w:eastAsia="Calibri" w:hAnsi="Times New Roman" w:cs="Times New Roman"/>
          <w:bCs/>
          <w:lang w:val="en-GB"/>
        </w:rPr>
        <w:t>using wire software)</w:t>
      </w:r>
    </w:p>
    <w:p w14:paraId="2A22EA9D" w14:textId="77777777" w:rsidR="00CB5F95" w:rsidRDefault="00CB5F95" w:rsidP="00CB5F95">
      <w:pPr>
        <w:pStyle w:val="Default"/>
        <w:jc w:val="center"/>
        <w:rPr>
          <w:rFonts w:eastAsia="Times New Roman" w:cs="Times New Roman"/>
          <w:b/>
          <w:sz w:val="20"/>
          <w:szCs w:val="20"/>
          <w:lang w:eastAsia="en-MY"/>
        </w:rPr>
      </w:pPr>
    </w:p>
    <w:p w14:paraId="188F4A00" w14:textId="77777777" w:rsidR="00CB5F95" w:rsidRDefault="00CB5F95" w:rsidP="00CB5F95">
      <w:pPr>
        <w:pStyle w:val="Default"/>
        <w:jc w:val="center"/>
        <w:rPr>
          <w:rFonts w:eastAsia="Times New Roman" w:cs="Times New Roman"/>
          <w:b/>
          <w:sz w:val="20"/>
          <w:szCs w:val="20"/>
          <w:lang w:eastAsia="en-MY"/>
        </w:rPr>
      </w:pPr>
    </w:p>
    <w:p w14:paraId="4C16A7FC" w14:textId="77777777" w:rsidR="00CB5F95" w:rsidRPr="00F0492A" w:rsidRDefault="00CB5F95" w:rsidP="00CB5F95">
      <w:pPr>
        <w:pStyle w:val="Default"/>
        <w:jc w:val="center"/>
        <w:rPr>
          <w:rFonts w:ascii="Times New Roman" w:eastAsia="Calibri" w:hAnsi="Times New Roman" w:cs="Times New Roman"/>
          <w:bCs/>
          <w:lang w:val="en-GB"/>
        </w:rPr>
      </w:pPr>
      <w:r w:rsidRPr="00F0492A">
        <w:rPr>
          <w:rFonts w:ascii="Times New Roman" w:eastAsia="Times New Roman" w:hAnsi="Times New Roman" w:cs="Times New Roman"/>
          <w:b/>
          <w:lang w:eastAsia="en-MY"/>
        </w:rPr>
        <w:t>N</w:t>
      </w:r>
      <w:r w:rsidRPr="00F0492A">
        <w:rPr>
          <w:rFonts w:ascii="Times New Roman" w:eastAsia="Times New Roman" w:hAnsi="Times New Roman" w:cs="Times New Roman"/>
          <w:b/>
          <w:vertAlign w:val="subscript"/>
          <w:lang w:eastAsia="en-MY"/>
        </w:rPr>
        <w:t>15</w:t>
      </w:r>
      <w:r w:rsidRPr="00F0492A">
        <w:rPr>
          <w:rFonts w:ascii="Times New Roman" w:eastAsia="Times New Roman" w:hAnsi="Times New Roman" w:cs="Times New Roman"/>
          <w:b/>
          <w:lang w:eastAsia="en-MY"/>
        </w:rPr>
        <w:t>C</w:t>
      </w:r>
      <w:r w:rsidRPr="00F0492A">
        <w:rPr>
          <w:rFonts w:ascii="Times New Roman" w:eastAsia="Times New Roman" w:hAnsi="Times New Roman" w:cs="Times New Roman"/>
          <w:b/>
          <w:vertAlign w:val="subscript"/>
          <w:lang w:eastAsia="en-MY"/>
        </w:rPr>
        <w:t>5</w:t>
      </w:r>
      <w:r w:rsidRPr="00F0492A">
        <w:rPr>
          <w:rFonts w:ascii="Times New Roman" w:eastAsia="Times New Roman" w:hAnsi="Times New Roman" w:cs="Times New Roman"/>
          <w:b/>
          <w:lang w:eastAsia="en-MY"/>
        </w:rPr>
        <w:t>A</w:t>
      </w:r>
      <w:r w:rsidRPr="00F0492A">
        <w:rPr>
          <w:rFonts w:ascii="Times New Roman" w:eastAsia="Times New Roman" w:hAnsi="Times New Roman" w:cs="Times New Roman"/>
          <w:b/>
          <w:vertAlign w:val="subscript"/>
          <w:lang w:eastAsia="en-MY"/>
        </w:rPr>
        <w:t>10</w:t>
      </w:r>
      <w:r w:rsidRPr="00F0492A">
        <w:rPr>
          <w:rFonts w:ascii="Times New Roman" w:eastAsia="Times New Roman" w:hAnsi="Times New Roman" w:cs="Times New Roman"/>
          <w:b/>
          <w:lang w:eastAsia="en-MY"/>
        </w:rPr>
        <w:t>B</w:t>
      </w:r>
      <w:r w:rsidRPr="00F0492A">
        <w:rPr>
          <w:rFonts w:ascii="Times New Roman" w:eastAsia="Times New Roman" w:hAnsi="Times New Roman" w:cs="Times New Roman"/>
          <w:b/>
          <w:vertAlign w:val="subscript"/>
          <w:lang w:eastAsia="en-MY"/>
        </w:rPr>
        <w:t>10</w:t>
      </w:r>
      <w:r w:rsidRPr="00F0492A">
        <w:rPr>
          <w:rFonts w:ascii="Times New Roman" w:eastAsia="Times New Roman" w:hAnsi="Times New Roman" w:cs="Times New Roman"/>
          <w:b/>
          <w:lang w:eastAsia="en-MY"/>
        </w:rPr>
        <w:t>S</w:t>
      </w:r>
      <w:r w:rsidRPr="00F0492A">
        <w:rPr>
          <w:rFonts w:ascii="Times New Roman" w:eastAsia="Times New Roman" w:hAnsi="Times New Roman" w:cs="Times New Roman"/>
          <w:b/>
          <w:vertAlign w:val="subscript"/>
          <w:lang w:eastAsia="en-MY"/>
        </w:rPr>
        <w:t>60</w:t>
      </w:r>
    </w:p>
    <w:p w14:paraId="1C373B0D" w14:textId="77777777" w:rsidR="00CB5F95" w:rsidRPr="00CC7714" w:rsidRDefault="00CB5F95" w:rsidP="00CB5F95">
      <w:pPr>
        <w:spacing w:line="240" w:lineRule="auto"/>
        <w:jc w:val="center"/>
        <w:rPr>
          <w:rFonts w:eastAsia="Calibri" w:cs="Times New Roman"/>
          <w:b w:val="0"/>
          <w:bCs/>
          <w:szCs w:val="24"/>
          <w:lang w:val="en-GB"/>
        </w:rPr>
      </w:pPr>
    </w:p>
    <w:p w14:paraId="0DE126A9" w14:textId="77777777" w:rsidR="00CB5F95" w:rsidRPr="000E2377" w:rsidRDefault="00CB5F95" w:rsidP="00CB5F95">
      <w:pPr>
        <w:spacing w:line="240" w:lineRule="auto"/>
        <w:jc w:val="center"/>
        <w:rPr>
          <w:rFonts w:eastAsia="Calibri" w:cs="Times New Roman"/>
          <w:b w:val="0"/>
          <w:bCs/>
          <w:szCs w:val="24"/>
          <w:vertAlign w:val="superscript"/>
          <w:lang w:val="en-GB"/>
        </w:rPr>
      </w:pPr>
      <w:r>
        <w:rPr>
          <w:rFonts w:eastAsia="Calibri" w:cs="Times New Roman"/>
          <w:b w:val="0"/>
          <w:bCs/>
          <w:noProof/>
          <w:szCs w:val="24"/>
          <w:vertAlign w:val="superscript"/>
          <w:lang w:eastAsia="en-MY"/>
        </w:rPr>
        <mc:AlternateContent>
          <mc:Choice Requires="wps">
            <w:drawing>
              <wp:anchor distT="0" distB="0" distL="114300" distR="114300" simplePos="0" relativeHeight="252583936" behindDoc="0" locked="0" layoutInCell="1" allowOverlap="1" wp14:anchorId="0877B846" wp14:editId="73E510D8">
                <wp:simplePos x="0" y="0"/>
                <wp:positionH relativeFrom="column">
                  <wp:posOffset>3384331</wp:posOffset>
                </wp:positionH>
                <wp:positionV relativeFrom="paragraph">
                  <wp:posOffset>725214</wp:posOffset>
                </wp:positionV>
                <wp:extent cx="609600" cy="641131"/>
                <wp:effectExtent l="0" t="0" r="0" b="6985"/>
                <wp:wrapNone/>
                <wp:docPr id="2188" name="Text Box 2188"/>
                <wp:cNvGraphicFramePr/>
                <a:graphic xmlns:a="http://schemas.openxmlformats.org/drawingml/2006/main">
                  <a:graphicData uri="http://schemas.microsoft.com/office/word/2010/wordprocessingShape">
                    <wps:wsp>
                      <wps:cNvSpPr txBox="1"/>
                      <wps:spPr>
                        <a:xfrm>
                          <a:off x="0" y="0"/>
                          <a:ext cx="609600" cy="641131"/>
                        </a:xfrm>
                        <a:prstGeom prst="rect">
                          <a:avLst/>
                        </a:prstGeom>
                        <a:noFill/>
                        <a:ln w="6350">
                          <a:noFill/>
                        </a:ln>
                      </wps:spPr>
                      <wps:txbx>
                        <w:txbxContent>
                          <w:p w14:paraId="401D7119" w14:textId="77777777" w:rsidR="00230AB9" w:rsidRPr="00CC7714" w:rsidRDefault="00230AB9" w:rsidP="00CB5F95">
                            <w:pPr>
                              <w:jc w:val="center"/>
                              <w:rPr>
                                <w:b w:val="0"/>
                                <w:sz w:val="20"/>
                                <w:szCs w:val="20"/>
                              </w:rPr>
                            </w:pPr>
                            <w:r w:rsidRPr="00CC7714">
                              <w:rPr>
                                <w:b w:val="0"/>
                                <w:sz w:val="20"/>
                                <w:szCs w:val="20"/>
                              </w:rPr>
                              <w:t>BO</w:t>
                            </w:r>
                            <w:r w:rsidRPr="00CC7714">
                              <w:rPr>
                                <w:b w:val="0"/>
                                <w:sz w:val="20"/>
                                <w:szCs w:val="20"/>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7B846" id="Text Box 2188" o:spid="_x0000_s1431" type="#_x0000_t202" style="position:absolute;left:0;text-align:left;margin-left:266.5pt;margin-top:57.1pt;width:48pt;height:50.5pt;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" filled="f" stroked="f" strokeweight=".5pt">
                <v:textbox>
                  <w:txbxContent>
                    <w:p w14:paraId="401D7119" w14:textId="77777777" w:rsidR="00230AB9" w:rsidRPr="00CC7714" w:rsidRDefault="00230AB9" w:rsidP="00CB5F95">
                      <w:pPr>
                        <w:jc w:val="center"/>
                        <w:rPr>
                          <w:b w:val="0"/>
                          <w:sz w:val="20"/>
                          <w:szCs w:val="20"/>
                        </w:rPr>
                      </w:pPr>
                      <w:r w:rsidRPr="00CC7714">
                        <w:rPr>
                          <w:b w:val="0"/>
                          <w:sz w:val="20"/>
                          <w:szCs w:val="20"/>
                        </w:rPr>
                        <w:t>BO</w:t>
                      </w:r>
                      <w:r w:rsidRPr="00CC7714">
                        <w:rPr>
                          <w:b w:val="0"/>
                          <w:sz w:val="20"/>
                          <w:szCs w:val="20"/>
                          <w:vertAlign w:val="superscript"/>
                        </w:rPr>
                        <w:t>3</w:t>
                      </w:r>
                    </w:p>
                  </w:txbxContent>
                </v:textbox>
              </v:shape>
            </w:pict>
          </mc:Fallback>
        </mc:AlternateContent>
      </w:r>
      <w:r>
        <w:rPr>
          <w:rFonts w:eastAsia="Calibri" w:cs="Times New Roman"/>
          <w:b w:val="0"/>
          <w:bCs/>
          <w:noProof/>
          <w:szCs w:val="24"/>
          <w:vertAlign w:val="superscript"/>
          <w:lang w:eastAsia="en-MY"/>
        </w:rPr>
        <mc:AlternateContent>
          <mc:Choice Requires="wps">
            <w:drawing>
              <wp:anchor distT="0" distB="0" distL="114300" distR="114300" simplePos="0" relativeHeight="252582912" behindDoc="0" locked="0" layoutInCell="1" allowOverlap="1" wp14:anchorId="35C4303F" wp14:editId="427BAB71">
                <wp:simplePos x="0" y="0"/>
                <wp:positionH relativeFrom="column">
                  <wp:posOffset>2028497</wp:posOffset>
                </wp:positionH>
                <wp:positionV relativeFrom="paragraph">
                  <wp:posOffset>651641</wp:posOffset>
                </wp:positionV>
                <wp:extent cx="609600" cy="641131"/>
                <wp:effectExtent l="0" t="0" r="0" b="6985"/>
                <wp:wrapNone/>
                <wp:docPr id="2187" name="Text Box 2187"/>
                <wp:cNvGraphicFramePr/>
                <a:graphic xmlns:a="http://schemas.openxmlformats.org/drawingml/2006/main">
                  <a:graphicData uri="http://schemas.microsoft.com/office/word/2010/wordprocessingShape">
                    <wps:wsp>
                      <wps:cNvSpPr txBox="1"/>
                      <wps:spPr>
                        <a:xfrm>
                          <a:off x="0" y="0"/>
                          <a:ext cx="609600" cy="641131"/>
                        </a:xfrm>
                        <a:prstGeom prst="rect">
                          <a:avLst/>
                        </a:prstGeom>
                        <a:noFill/>
                        <a:ln w="6350">
                          <a:noFill/>
                        </a:ln>
                      </wps:spPr>
                      <wps:txbx>
                        <w:txbxContent>
                          <w:p w14:paraId="49BC7B9F" w14:textId="77777777" w:rsidR="00230AB9" w:rsidRPr="00CC7714" w:rsidRDefault="00230AB9" w:rsidP="00CB5F95">
                            <w:pPr>
                              <w:jc w:val="center"/>
                              <w:rPr>
                                <w:b w:val="0"/>
                                <w:sz w:val="20"/>
                                <w:szCs w:val="20"/>
                              </w:rPr>
                            </w:pPr>
                            <w:r w:rsidRPr="00CC7714">
                              <w:rPr>
                                <w:b w:val="0"/>
                                <w:sz w:val="20"/>
                                <w:szCs w:val="20"/>
                              </w:rPr>
                              <w:t>BO</w:t>
                            </w:r>
                            <w:r>
                              <w:rPr>
                                <w:b w:val="0"/>
                                <w:sz w:val="20"/>
                                <w:szCs w:val="20"/>
                                <w:vertAlign w:val="super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4303F" id="Text Box 2187" o:spid="_x0000_s1432" type="#_x0000_t202" style="position:absolute;left:0;text-align:left;margin-left:159.7pt;margin-top:51.3pt;width:48pt;height:50.5pt;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" filled="f" stroked="f" strokeweight=".5pt">
                <v:textbox>
                  <w:txbxContent>
                    <w:p w14:paraId="49BC7B9F" w14:textId="77777777" w:rsidR="00230AB9" w:rsidRPr="00CC7714" w:rsidRDefault="00230AB9" w:rsidP="00CB5F95">
                      <w:pPr>
                        <w:jc w:val="center"/>
                        <w:rPr>
                          <w:b w:val="0"/>
                          <w:sz w:val="20"/>
                          <w:szCs w:val="20"/>
                        </w:rPr>
                      </w:pPr>
                      <w:r w:rsidRPr="00CC7714">
                        <w:rPr>
                          <w:b w:val="0"/>
                          <w:sz w:val="20"/>
                          <w:szCs w:val="20"/>
                        </w:rPr>
                        <w:t>BO</w:t>
                      </w:r>
                      <w:r>
                        <w:rPr>
                          <w:b w:val="0"/>
                          <w:sz w:val="20"/>
                          <w:szCs w:val="20"/>
                          <w:vertAlign w:val="superscript"/>
                        </w:rPr>
                        <w:t>4</w:t>
                      </w:r>
                    </w:p>
                  </w:txbxContent>
                </v:textbox>
              </v:shape>
            </w:pict>
          </mc:Fallback>
        </mc:AlternateContent>
      </w:r>
      <w:r>
        <w:rPr>
          <w:rFonts w:eastAsia="Calibri" w:cs="Times New Roman"/>
          <w:b w:val="0"/>
          <w:bCs/>
          <w:noProof/>
          <w:szCs w:val="24"/>
          <w:vertAlign w:val="superscript"/>
          <w:lang w:eastAsia="en-MY"/>
        </w:rPr>
        <mc:AlternateContent>
          <mc:Choice Requires="wps">
            <w:drawing>
              <wp:anchor distT="0" distB="0" distL="114300" distR="114300" simplePos="0" relativeHeight="252581888" behindDoc="0" locked="0" layoutInCell="1" allowOverlap="1" wp14:anchorId="1D6CDDA1" wp14:editId="747F1937">
                <wp:simplePos x="0" y="0"/>
                <wp:positionH relativeFrom="column">
                  <wp:posOffset>871942</wp:posOffset>
                </wp:positionH>
                <wp:positionV relativeFrom="paragraph">
                  <wp:posOffset>1197326</wp:posOffset>
                </wp:positionV>
                <wp:extent cx="609600" cy="641131"/>
                <wp:effectExtent l="0" t="0" r="0" b="6985"/>
                <wp:wrapNone/>
                <wp:docPr id="2146" name="Text Box 2146"/>
                <wp:cNvGraphicFramePr/>
                <a:graphic xmlns:a="http://schemas.openxmlformats.org/drawingml/2006/main">
                  <a:graphicData uri="http://schemas.microsoft.com/office/word/2010/wordprocessingShape">
                    <wps:wsp>
                      <wps:cNvSpPr txBox="1"/>
                      <wps:spPr>
                        <a:xfrm>
                          <a:off x="0" y="0"/>
                          <a:ext cx="609600" cy="641131"/>
                        </a:xfrm>
                        <a:prstGeom prst="rect">
                          <a:avLst/>
                        </a:prstGeom>
                        <a:noFill/>
                        <a:ln w="6350">
                          <a:noFill/>
                        </a:ln>
                      </wps:spPr>
                      <wps:txbx>
                        <w:txbxContent>
                          <w:p w14:paraId="3A0470B6" w14:textId="77777777" w:rsidR="00230AB9" w:rsidRPr="00CC7714" w:rsidRDefault="00230AB9" w:rsidP="00CB5F95">
                            <w:pPr>
                              <w:jc w:val="center"/>
                              <w:rPr>
                                <w:b w:val="0"/>
                                <w:sz w:val="20"/>
                                <w:szCs w:val="20"/>
                              </w:rPr>
                            </w:pPr>
                            <w:r w:rsidRPr="00CC7714">
                              <w:rPr>
                                <w:b w:val="0"/>
                                <w:sz w:val="20"/>
                                <w:szCs w:val="20"/>
                              </w:rPr>
                              <w:t>Loose BO</w:t>
                            </w:r>
                            <w:r w:rsidRPr="00CC7714">
                              <w:rPr>
                                <w:b w:val="0"/>
                                <w:sz w:val="20"/>
                                <w:szCs w:val="20"/>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CDDA1" id="Text Box 2146" o:spid="_x0000_s1433" type="#_x0000_t202" style="position:absolute;left:0;text-align:left;margin-left:68.65pt;margin-top:94.3pt;width:48pt;height:50.5pt;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" filled="f" stroked="f" strokeweight=".5pt">
                <v:textbox>
                  <w:txbxContent>
                    <w:p w14:paraId="3A0470B6" w14:textId="77777777" w:rsidR="00230AB9" w:rsidRPr="00CC7714" w:rsidRDefault="00230AB9" w:rsidP="00CB5F95">
                      <w:pPr>
                        <w:jc w:val="center"/>
                        <w:rPr>
                          <w:b w:val="0"/>
                          <w:sz w:val="20"/>
                          <w:szCs w:val="20"/>
                        </w:rPr>
                      </w:pPr>
                      <w:r w:rsidRPr="00CC7714">
                        <w:rPr>
                          <w:b w:val="0"/>
                          <w:sz w:val="20"/>
                          <w:szCs w:val="20"/>
                        </w:rPr>
                        <w:t>Loose BO</w:t>
                      </w:r>
                      <w:r w:rsidRPr="00CC7714">
                        <w:rPr>
                          <w:b w:val="0"/>
                          <w:sz w:val="20"/>
                          <w:szCs w:val="20"/>
                          <w:vertAlign w:val="superscript"/>
                        </w:rPr>
                        <w:t>3</w:t>
                      </w:r>
                    </w:p>
                  </w:txbxContent>
                </v:textbox>
              </v:shape>
            </w:pict>
          </mc:Fallback>
        </mc:AlternateContent>
      </w:r>
      <w:r w:rsidRPr="00CC7714">
        <w:rPr>
          <w:rFonts w:eastAsia="Calibri" w:cs="Times New Roman"/>
          <w:b w:val="0"/>
          <w:bCs/>
          <w:noProof/>
          <w:szCs w:val="24"/>
          <w:vertAlign w:val="superscript"/>
          <w:lang w:eastAsia="en-MY"/>
        </w:rPr>
        <w:drawing>
          <wp:inline distT="0" distB="0" distL="0" distR="0" wp14:anchorId="4AF747DE" wp14:editId="0B8CF747">
            <wp:extent cx="5731510" cy="2038121"/>
            <wp:effectExtent l="0" t="0" r="2540" b="635"/>
            <wp:docPr id="2144" name="Picture 2144" descr="C:\Users\Asus A450L\Desktop\PhD Thesis correction January 2019\60si10A1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 A450L\Desktop\PhD Thesis correction January 2019\60si10A10B.PN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42997" cy="2042206"/>
                    </a:xfrm>
                    <a:prstGeom prst="rect">
                      <a:avLst/>
                    </a:prstGeom>
                    <a:noFill/>
                    <a:ln>
                      <a:noFill/>
                    </a:ln>
                  </pic:spPr>
                </pic:pic>
              </a:graphicData>
            </a:graphic>
          </wp:inline>
        </w:drawing>
      </w:r>
    </w:p>
    <w:p w14:paraId="1194D912" w14:textId="77777777" w:rsidR="00CB5F95" w:rsidRDefault="00CB5F95" w:rsidP="00CB5F95">
      <w:pPr>
        <w:spacing w:line="360" w:lineRule="auto"/>
        <w:jc w:val="both"/>
        <w:rPr>
          <w:rFonts w:eastAsia="Times New Roman" w:cs="Times New Roman"/>
          <w:b w:val="0"/>
          <w:i/>
          <w:color w:val="000000"/>
          <w:szCs w:val="24"/>
          <w:lang w:eastAsia="en-MY"/>
        </w:rPr>
      </w:pPr>
    </w:p>
    <w:p w14:paraId="16583972" w14:textId="77777777" w:rsidR="00CB5F95" w:rsidRDefault="00CB5F95" w:rsidP="00CB5F95">
      <w:pPr>
        <w:spacing w:line="360" w:lineRule="auto"/>
        <w:jc w:val="both"/>
        <w:rPr>
          <w:rFonts w:eastAsia="Times New Roman" w:cs="Times New Roman"/>
          <w:b w:val="0"/>
          <w:i/>
          <w:color w:val="000000"/>
          <w:szCs w:val="24"/>
          <w:lang w:eastAsia="en-MY"/>
        </w:rPr>
      </w:pPr>
    </w:p>
    <w:p w14:paraId="51A07CD7" w14:textId="77777777" w:rsidR="00CB5F95" w:rsidRDefault="00CB5F95" w:rsidP="00CB5F95">
      <w:pPr>
        <w:spacing w:line="360" w:lineRule="auto"/>
        <w:jc w:val="both"/>
        <w:rPr>
          <w:rFonts w:eastAsia="Times New Roman" w:cs="Times New Roman"/>
          <w:b w:val="0"/>
          <w:i/>
          <w:color w:val="000000"/>
          <w:szCs w:val="24"/>
          <w:lang w:eastAsia="en-MY"/>
        </w:rPr>
      </w:pPr>
    </w:p>
    <w:p w14:paraId="14E22750" w14:textId="77777777" w:rsidR="00CB5F95" w:rsidRDefault="00CB5F95" w:rsidP="00CB5F95">
      <w:pPr>
        <w:spacing w:line="360" w:lineRule="auto"/>
        <w:jc w:val="both"/>
        <w:rPr>
          <w:rFonts w:eastAsia="Times New Roman" w:cs="Times New Roman"/>
          <w:b w:val="0"/>
          <w:i/>
          <w:color w:val="000000"/>
          <w:szCs w:val="24"/>
          <w:lang w:eastAsia="en-MY"/>
        </w:rPr>
      </w:pPr>
    </w:p>
    <w:p w14:paraId="430AEE6C" w14:textId="77777777" w:rsidR="00CB5F95" w:rsidRDefault="00CB5F95" w:rsidP="00CB5F95">
      <w:pPr>
        <w:spacing w:line="360" w:lineRule="auto"/>
        <w:jc w:val="both"/>
        <w:rPr>
          <w:rFonts w:eastAsia="Times New Roman" w:cs="Times New Roman"/>
          <w:b w:val="0"/>
          <w:i/>
          <w:color w:val="000000"/>
          <w:szCs w:val="24"/>
          <w:lang w:eastAsia="en-MY"/>
        </w:rPr>
      </w:pPr>
    </w:p>
    <w:p w14:paraId="15696E38" w14:textId="77777777" w:rsidR="00CB5F95" w:rsidRDefault="00CB5F95" w:rsidP="00CB5F95">
      <w:pPr>
        <w:spacing w:line="360" w:lineRule="auto"/>
        <w:jc w:val="both"/>
        <w:rPr>
          <w:rFonts w:eastAsia="Times New Roman" w:cs="Times New Roman"/>
          <w:b w:val="0"/>
          <w:i/>
          <w:color w:val="000000"/>
          <w:szCs w:val="24"/>
          <w:lang w:eastAsia="en-MY"/>
        </w:rPr>
      </w:pPr>
    </w:p>
    <w:p w14:paraId="08B60AAD" w14:textId="77777777" w:rsidR="00CB5F95" w:rsidRDefault="00CB5F95" w:rsidP="00CB5F95">
      <w:pPr>
        <w:spacing w:line="360" w:lineRule="auto"/>
        <w:jc w:val="both"/>
        <w:rPr>
          <w:rFonts w:eastAsia="Times New Roman" w:cs="Times New Roman"/>
          <w:b w:val="0"/>
          <w:i/>
          <w:color w:val="000000"/>
          <w:szCs w:val="24"/>
          <w:lang w:eastAsia="en-MY"/>
        </w:rPr>
      </w:pPr>
    </w:p>
    <w:p w14:paraId="4AC44864" w14:textId="77777777" w:rsidR="00CB5F95" w:rsidRDefault="00CB5F95" w:rsidP="00CB5F95">
      <w:pPr>
        <w:spacing w:line="360" w:lineRule="auto"/>
        <w:jc w:val="both"/>
        <w:rPr>
          <w:rFonts w:eastAsia="Times New Roman" w:cs="Times New Roman"/>
          <w:b w:val="0"/>
          <w:i/>
          <w:color w:val="000000"/>
          <w:szCs w:val="24"/>
          <w:lang w:eastAsia="en-MY"/>
        </w:rPr>
      </w:pPr>
    </w:p>
    <w:p w14:paraId="671A1159" w14:textId="77777777" w:rsidR="00CB5F95" w:rsidRDefault="00CB5F95" w:rsidP="00CB5F95">
      <w:pPr>
        <w:spacing w:line="360" w:lineRule="auto"/>
        <w:jc w:val="both"/>
        <w:rPr>
          <w:rFonts w:eastAsia="Times New Roman" w:cs="Times New Roman"/>
          <w:b w:val="0"/>
          <w:i/>
          <w:color w:val="000000"/>
          <w:szCs w:val="24"/>
          <w:lang w:eastAsia="en-MY"/>
        </w:rPr>
      </w:pPr>
    </w:p>
    <w:p w14:paraId="6E18682F" w14:textId="77777777" w:rsidR="00CB5F95" w:rsidRDefault="00CB5F95" w:rsidP="00CB5F95">
      <w:pPr>
        <w:spacing w:line="360" w:lineRule="auto"/>
        <w:jc w:val="both"/>
        <w:rPr>
          <w:rFonts w:eastAsia="Times New Roman" w:cs="Times New Roman"/>
          <w:b w:val="0"/>
          <w:i/>
          <w:color w:val="000000"/>
          <w:szCs w:val="24"/>
          <w:lang w:eastAsia="en-MY"/>
        </w:rPr>
      </w:pPr>
    </w:p>
    <w:p w14:paraId="3961BFA5" w14:textId="77777777" w:rsidR="00CB5F95" w:rsidRDefault="00CB5F95" w:rsidP="00CB5F95">
      <w:pPr>
        <w:spacing w:line="360" w:lineRule="auto"/>
        <w:jc w:val="both"/>
        <w:rPr>
          <w:rFonts w:eastAsia="Times New Roman" w:cs="Times New Roman"/>
          <w:b w:val="0"/>
          <w:i/>
          <w:color w:val="000000"/>
          <w:szCs w:val="24"/>
          <w:lang w:eastAsia="en-MY"/>
        </w:rPr>
      </w:pPr>
    </w:p>
    <w:p w14:paraId="7601FE6C" w14:textId="77777777" w:rsidR="00CB5F95" w:rsidRDefault="00CB5F95" w:rsidP="00CB5F95">
      <w:pPr>
        <w:spacing w:line="360" w:lineRule="auto"/>
        <w:jc w:val="both"/>
        <w:rPr>
          <w:rFonts w:eastAsia="Times New Roman" w:cs="Times New Roman"/>
          <w:b w:val="0"/>
          <w:i/>
          <w:color w:val="000000"/>
          <w:szCs w:val="24"/>
          <w:lang w:eastAsia="en-MY"/>
        </w:rPr>
      </w:pPr>
    </w:p>
    <w:p w14:paraId="458A5B23" w14:textId="77777777" w:rsidR="00CB5F95" w:rsidRDefault="00CB5F95" w:rsidP="00CB5F95">
      <w:pPr>
        <w:spacing w:line="360" w:lineRule="auto"/>
        <w:jc w:val="both"/>
        <w:rPr>
          <w:rFonts w:eastAsia="Times New Roman" w:cs="Times New Roman"/>
          <w:b w:val="0"/>
          <w:i/>
          <w:color w:val="000000"/>
          <w:szCs w:val="24"/>
          <w:lang w:eastAsia="en-MY"/>
        </w:rPr>
      </w:pPr>
    </w:p>
    <w:p w14:paraId="67D728C0" w14:textId="77777777" w:rsidR="00CB5F95" w:rsidRPr="000E2377" w:rsidRDefault="00CB5F95" w:rsidP="00CB5F95">
      <w:pPr>
        <w:spacing w:line="360" w:lineRule="auto"/>
        <w:jc w:val="both"/>
        <w:rPr>
          <w:rFonts w:eastAsia="Times New Roman" w:cs="Times New Roman"/>
          <w:b w:val="0"/>
          <w:i/>
          <w:color w:val="000000"/>
          <w:szCs w:val="24"/>
          <w:lang w:eastAsia="en-MY"/>
        </w:rPr>
      </w:pPr>
    </w:p>
    <w:p w14:paraId="44434230" w14:textId="77777777" w:rsidR="00CB5F95" w:rsidRPr="000E2377" w:rsidRDefault="00CB5F95" w:rsidP="00CB5F95">
      <w:pPr>
        <w:jc w:val="center"/>
      </w:pPr>
      <w:r w:rsidRPr="000E2377">
        <w:lastRenderedPageBreak/>
        <w:t>APPENDIX D</w:t>
      </w:r>
    </w:p>
    <w:p w14:paraId="634F0F9D" w14:textId="77777777" w:rsidR="00CB5F95" w:rsidRPr="000E2377" w:rsidRDefault="00CB5F95" w:rsidP="00CB5F95">
      <w:pPr>
        <w:jc w:val="center"/>
      </w:pPr>
      <w:r w:rsidRPr="000E2377">
        <w:t>Glass composition and charge balance</w:t>
      </w:r>
    </w:p>
    <w:tbl>
      <w:tblPr>
        <w:tblW w:w="10206" w:type="dxa"/>
        <w:tblLayout w:type="fixed"/>
        <w:tblLook w:val="04A0" w:firstRow="1" w:lastRow="0" w:firstColumn="1" w:lastColumn="0" w:noHBand="0" w:noVBand="1"/>
      </w:tblPr>
      <w:tblGrid>
        <w:gridCol w:w="2127"/>
        <w:gridCol w:w="2126"/>
        <w:gridCol w:w="709"/>
        <w:gridCol w:w="708"/>
        <w:gridCol w:w="567"/>
        <w:gridCol w:w="567"/>
        <w:gridCol w:w="709"/>
        <w:gridCol w:w="709"/>
        <w:gridCol w:w="709"/>
        <w:gridCol w:w="1275"/>
      </w:tblGrid>
      <w:tr w:rsidR="00CB5F95" w:rsidRPr="00E33297" w14:paraId="680C76DD" w14:textId="77777777" w:rsidTr="00CB5F95">
        <w:trPr>
          <w:trHeight w:val="930"/>
        </w:trPr>
        <w:tc>
          <w:tcPr>
            <w:tcW w:w="2127" w:type="dxa"/>
            <w:vMerge w:val="restart"/>
            <w:tcBorders>
              <w:top w:val="single" w:sz="8" w:space="0" w:color="auto"/>
              <w:left w:val="nil"/>
              <w:bottom w:val="single" w:sz="8" w:space="0" w:color="000000"/>
              <w:right w:val="nil"/>
            </w:tcBorders>
            <w:shd w:val="clear" w:color="auto" w:fill="auto"/>
            <w:noWrap/>
            <w:vAlign w:val="center"/>
            <w:hideMark/>
          </w:tcPr>
          <w:p w14:paraId="6B16F49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Glass Series</w:t>
            </w:r>
          </w:p>
        </w:tc>
        <w:tc>
          <w:tcPr>
            <w:tcW w:w="2126" w:type="dxa"/>
            <w:vMerge w:val="restart"/>
            <w:tcBorders>
              <w:top w:val="single" w:sz="8" w:space="0" w:color="auto"/>
              <w:left w:val="nil"/>
              <w:bottom w:val="single" w:sz="8" w:space="0" w:color="000000"/>
              <w:right w:val="nil"/>
            </w:tcBorders>
            <w:shd w:val="clear" w:color="auto" w:fill="auto"/>
            <w:noWrap/>
            <w:vAlign w:val="center"/>
            <w:hideMark/>
          </w:tcPr>
          <w:p w14:paraId="6AB3318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Glass Code</w:t>
            </w:r>
          </w:p>
        </w:tc>
        <w:tc>
          <w:tcPr>
            <w:tcW w:w="4678" w:type="dxa"/>
            <w:gridSpan w:val="7"/>
            <w:tcBorders>
              <w:top w:val="single" w:sz="8" w:space="0" w:color="auto"/>
              <w:left w:val="nil"/>
              <w:bottom w:val="single" w:sz="8" w:space="0" w:color="auto"/>
              <w:right w:val="nil"/>
            </w:tcBorders>
            <w:shd w:val="clear" w:color="auto" w:fill="auto"/>
            <w:vAlign w:val="center"/>
            <w:hideMark/>
          </w:tcPr>
          <w:p w14:paraId="77800A0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Batched Composition (mol%)</w:t>
            </w:r>
          </w:p>
        </w:tc>
        <w:tc>
          <w:tcPr>
            <w:tcW w:w="1275" w:type="dxa"/>
            <w:vMerge w:val="restart"/>
            <w:tcBorders>
              <w:top w:val="single" w:sz="8" w:space="0" w:color="auto"/>
              <w:left w:val="nil"/>
              <w:bottom w:val="single" w:sz="8" w:space="0" w:color="000000"/>
              <w:right w:val="nil"/>
            </w:tcBorders>
            <w:shd w:val="clear" w:color="auto" w:fill="auto"/>
            <w:vAlign w:val="center"/>
            <w:hideMark/>
          </w:tcPr>
          <w:p w14:paraId="060E2775" w14:textId="77777777" w:rsidR="00CB5F95" w:rsidRPr="00E33297" w:rsidRDefault="00CB5F95" w:rsidP="00CB5F95">
            <w:pPr>
              <w:spacing w:after="0" w:line="240" w:lineRule="auto"/>
              <w:jc w:val="center"/>
              <w:rPr>
                <w:rFonts w:eastAsia="Times New Roman" w:cs="Times New Roman"/>
                <w:b w:val="0"/>
                <w:color w:val="000000"/>
                <w:sz w:val="18"/>
                <w:szCs w:val="18"/>
                <w:lang w:eastAsia="en-MY"/>
              </w:rPr>
            </w:pPr>
            <w:r w:rsidRPr="00E33297">
              <w:rPr>
                <w:rFonts w:eastAsia="Times New Roman" w:cs="Times New Roman"/>
                <w:b w:val="0"/>
                <w:color w:val="000000"/>
                <w:sz w:val="18"/>
                <w:szCs w:val="18"/>
                <w:lang w:eastAsia="en-MY"/>
              </w:rPr>
              <w:t>Charge balance</w:t>
            </w:r>
            <w:r w:rsidRPr="00E33297">
              <w:rPr>
                <w:rFonts w:eastAsia="Times New Roman" w:cs="Times New Roman"/>
                <w:b w:val="0"/>
                <w:color w:val="000000"/>
                <w:sz w:val="16"/>
                <w:szCs w:val="16"/>
                <w:lang w:eastAsia="en-MY"/>
              </w:rPr>
              <w:t xml:space="preserve"> (M</w:t>
            </w:r>
            <w:r w:rsidRPr="00E33297">
              <w:rPr>
                <w:rFonts w:eastAsia="Times New Roman" w:cs="Times New Roman"/>
                <w:b w:val="0"/>
                <w:color w:val="000000"/>
                <w:sz w:val="16"/>
                <w:szCs w:val="16"/>
                <w:vertAlign w:val="subscript"/>
                <w:lang w:eastAsia="en-MY"/>
              </w:rPr>
              <w:t>2</w:t>
            </w:r>
            <w:r w:rsidRPr="00E33297">
              <w:rPr>
                <w:rFonts w:eastAsia="Times New Roman" w:cs="Times New Roman"/>
                <w:b w:val="0"/>
                <w:color w:val="000000"/>
                <w:sz w:val="16"/>
                <w:szCs w:val="16"/>
                <w:lang w:eastAsia="en-MY"/>
              </w:rPr>
              <w:t>O+MO')-[Al</w:t>
            </w:r>
            <w:r w:rsidRPr="00E33297">
              <w:rPr>
                <w:rFonts w:eastAsia="Times New Roman" w:cs="Times New Roman"/>
                <w:b w:val="0"/>
                <w:color w:val="000000"/>
                <w:sz w:val="16"/>
                <w:szCs w:val="16"/>
                <w:vertAlign w:val="subscript"/>
                <w:lang w:eastAsia="en-MY"/>
              </w:rPr>
              <w:t>2</w:t>
            </w:r>
            <w:r w:rsidRPr="00E33297">
              <w:rPr>
                <w:rFonts w:eastAsia="Times New Roman" w:cs="Times New Roman"/>
                <w:b w:val="0"/>
                <w:color w:val="000000"/>
                <w:sz w:val="16"/>
                <w:szCs w:val="16"/>
                <w:lang w:eastAsia="en-MY"/>
              </w:rPr>
              <w:t>O</w:t>
            </w:r>
            <w:r w:rsidRPr="00E33297">
              <w:rPr>
                <w:rFonts w:eastAsia="Times New Roman" w:cs="Times New Roman"/>
                <w:b w:val="0"/>
                <w:color w:val="000000"/>
                <w:sz w:val="16"/>
                <w:szCs w:val="16"/>
                <w:vertAlign w:val="subscript"/>
                <w:lang w:eastAsia="en-MY"/>
              </w:rPr>
              <w:t>3</w:t>
            </w:r>
            <w:r w:rsidRPr="00E33297">
              <w:rPr>
                <w:rFonts w:eastAsia="Times New Roman" w:cs="Times New Roman"/>
                <w:b w:val="0"/>
                <w:color w:val="000000"/>
                <w:sz w:val="16"/>
                <w:szCs w:val="16"/>
                <w:lang w:eastAsia="en-MY"/>
              </w:rPr>
              <w:t>]-[B</w:t>
            </w:r>
            <w:r w:rsidRPr="00E33297">
              <w:rPr>
                <w:rFonts w:eastAsia="Times New Roman" w:cs="Times New Roman"/>
                <w:b w:val="0"/>
                <w:color w:val="000000"/>
                <w:sz w:val="16"/>
                <w:szCs w:val="16"/>
                <w:vertAlign w:val="subscript"/>
                <w:lang w:eastAsia="en-MY"/>
              </w:rPr>
              <w:t>2</w:t>
            </w:r>
            <w:r w:rsidRPr="00E33297">
              <w:rPr>
                <w:rFonts w:eastAsia="Times New Roman" w:cs="Times New Roman"/>
                <w:b w:val="0"/>
                <w:color w:val="000000"/>
                <w:sz w:val="16"/>
                <w:szCs w:val="16"/>
                <w:lang w:eastAsia="en-MY"/>
              </w:rPr>
              <w:t>O</w:t>
            </w:r>
            <w:r w:rsidRPr="00E33297">
              <w:rPr>
                <w:rFonts w:eastAsia="Times New Roman" w:cs="Times New Roman"/>
                <w:b w:val="0"/>
                <w:color w:val="000000"/>
                <w:sz w:val="16"/>
                <w:szCs w:val="16"/>
                <w:vertAlign w:val="subscript"/>
                <w:lang w:eastAsia="en-MY"/>
              </w:rPr>
              <w:t>3</w:t>
            </w:r>
            <w:r w:rsidRPr="00E33297">
              <w:rPr>
                <w:rFonts w:eastAsia="Times New Roman" w:cs="Times New Roman"/>
                <w:b w:val="0"/>
                <w:color w:val="000000"/>
                <w:sz w:val="16"/>
                <w:szCs w:val="16"/>
                <w:lang w:eastAsia="en-MY"/>
              </w:rPr>
              <w:t>]</w:t>
            </w:r>
          </w:p>
        </w:tc>
      </w:tr>
      <w:tr w:rsidR="00CB5F95" w:rsidRPr="00E33297" w14:paraId="5925AC19" w14:textId="77777777" w:rsidTr="00CB5F95">
        <w:trPr>
          <w:trHeight w:val="315"/>
        </w:trPr>
        <w:tc>
          <w:tcPr>
            <w:tcW w:w="2127" w:type="dxa"/>
            <w:vMerge/>
            <w:tcBorders>
              <w:top w:val="single" w:sz="8" w:space="0" w:color="auto"/>
              <w:left w:val="nil"/>
              <w:bottom w:val="single" w:sz="8" w:space="0" w:color="000000"/>
              <w:right w:val="nil"/>
            </w:tcBorders>
            <w:vAlign w:val="center"/>
            <w:hideMark/>
          </w:tcPr>
          <w:p w14:paraId="4138E170" w14:textId="77777777" w:rsidR="00CB5F95" w:rsidRPr="00E33297" w:rsidRDefault="00CB5F95" w:rsidP="00CB5F95">
            <w:pPr>
              <w:spacing w:after="0" w:line="240" w:lineRule="auto"/>
              <w:rPr>
                <w:rFonts w:eastAsia="Times New Roman" w:cs="Times New Roman"/>
                <w:b w:val="0"/>
                <w:color w:val="000000"/>
                <w:sz w:val="20"/>
                <w:szCs w:val="20"/>
                <w:lang w:eastAsia="en-MY"/>
              </w:rPr>
            </w:pPr>
          </w:p>
        </w:tc>
        <w:tc>
          <w:tcPr>
            <w:tcW w:w="2126" w:type="dxa"/>
            <w:vMerge/>
            <w:tcBorders>
              <w:top w:val="single" w:sz="8" w:space="0" w:color="auto"/>
              <w:left w:val="nil"/>
              <w:bottom w:val="single" w:sz="8" w:space="0" w:color="000000"/>
              <w:right w:val="nil"/>
            </w:tcBorders>
            <w:vAlign w:val="center"/>
            <w:hideMark/>
          </w:tcPr>
          <w:p w14:paraId="3E2D67C5" w14:textId="77777777" w:rsidR="00CB5F95" w:rsidRPr="00E33297" w:rsidRDefault="00CB5F95" w:rsidP="00CB5F95">
            <w:pPr>
              <w:spacing w:after="0" w:line="240" w:lineRule="auto"/>
              <w:rPr>
                <w:rFonts w:eastAsia="Times New Roman" w:cs="Times New Roman"/>
                <w:b w:val="0"/>
                <w:color w:val="000000"/>
                <w:sz w:val="20"/>
                <w:szCs w:val="20"/>
                <w:lang w:eastAsia="en-MY"/>
              </w:rPr>
            </w:pPr>
          </w:p>
        </w:tc>
        <w:tc>
          <w:tcPr>
            <w:tcW w:w="709" w:type="dxa"/>
            <w:tcBorders>
              <w:top w:val="nil"/>
              <w:left w:val="nil"/>
              <w:bottom w:val="single" w:sz="8" w:space="0" w:color="auto"/>
              <w:right w:val="nil"/>
            </w:tcBorders>
            <w:shd w:val="clear" w:color="auto" w:fill="auto"/>
            <w:vAlign w:val="center"/>
            <w:hideMark/>
          </w:tcPr>
          <w:p w14:paraId="6EF2C17D" w14:textId="77777777" w:rsidR="00CB5F95" w:rsidRPr="00F47BF9" w:rsidRDefault="00CB5F95" w:rsidP="00CB5F95">
            <w:pPr>
              <w:spacing w:after="0" w:line="240" w:lineRule="auto"/>
              <w:jc w:val="center"/>
              <w:rPr>
                <w:rFonts w:eastAsia="Times New Roman" w:cs="Times New Roman"/>
                <w:b w:val="0"/>
                <w:color w:val="000000"/>
                <w:sz w:val="18"/>
                <w:szCs w:val="18"/>
                <w:lang w:eastAsia="en-MY"/>
              </w:rPr>
            </w:pPr>
            <w:r w:rsidRPr="00F47BF9">
              <w:rPr>
                <w:rFonts w:eastAsia="Times New Roman" w:cs="Times New Roman"/>
                <w:b w:val="0"/>
                <w:color w:val="000000"/>
                <w:sz w:val="18"/>
                <w:szCs w:val="18"/>
                <w:lang w:eastAsia="en-MY"/>
              </w:rPr>
              <w:t>Na</w:t>
            </w:r>
            <w:r w:rsidRPr="00F47BF9">
              <w:rPr>
                <w:rFonts w:eastAsia="Times New Roman" w:cs="Times New Roman"/>
                <w:b w:val="0"/>
                <w:color w:val="000000"/>
                <w:sz w:val="18"/>
                <w:szCs w:val="18"/>
                <w:vertAlign w:val="subscript"/>
                <w:lang w:eastAsia="en-MY"/>
              </w:rPr>
              <w:t>2</w:t>
            </w:r>
            <w:r w:rsidRPr="00F47BF9">
              <w:rPr>
                <w:rFonts w:eastAsia="Times New Roman" w:cs="Times New Roman"/>
                <w:b w:val="0"/>
                <w:color w:val="000000"/>
                <w:sz w:val="18"/>
                <w:szCs w:val="18"/>
                <w:lang w:eastAsia="en-MY"/>
              </w:rPr>
              <w:t>O</w:t>
            </w:r>
          </w:p>
        </w:tc>
        <w:tc>
          <w:tcPr>
            <w:tcW w:w="708" w:type="dxa"/>
            <w:tcBorders>
              <w:top w:val="nil"/>
              <w:left w:val="nil"/>
              <w:bottom w:val="single" w:sz="8" w:space="0" w:color="auto"/>
              <w:right w:val="nil"/>
            </w:tcBorders>
            <w:shd w:val="clear" w:color="auto" w:fill="auto"/>
            <w:vAlign w:val="center"/>
            <w:hideMark/>
          </w:tcPr>
          <w:p w14:paraId="71F5B8D7" w14:textId="77777777" w:rsidR="00CB5F95" w:rsidRPr="00F47BF9" w:rsidRDefault="00CB5F95" w:rsidP="00CB5F95">
            <w:pPr>
              <w:spacing w:after="0" w:line="240" w:lineRule="auto"/>
              <w:jc w:val="center"/>
              <w:rPr>
                <w:rFonts w:eastAsia="Times New Roman" w:cs="Times New Roman"/>
                <w:b w:val="0"/>
                <w:color w:val="000000"/>
                <w:sz w:val="18"/>
                <w:szCs w:val="18"/>
                <w:lang w:eastAsia="en-MY"/>
              </w:rPr>
            </w:pPr>
            <w:r w:rsidRPr="00F47BF9">
              <w:rPr>
                <w:rFonts w:eastAsia="Times New Roman" w:cs="Times New Roman"/>
                <w:b w:val="0"/>
                <w:color w:val="000000"/>
                <w:sz w:val="18"/>
                <w:szCs w:val="18"/>
                <w:lang w:eastAsia="en-MY"/>
              </w:rPr>
              <w:t>MgO</w:t>
            </w:r>
          </w:p>
        </w:tc>
        <w:tc>
          <w:tcPr>
            <w:tcW w:w="567" w:type="dxa"/>
            <w:tcBorders>
              <w:top w:val="nil"/>
              <w:left w:val="nil"/>
              <w:bottom w:val="single" w:sz="8" w:space="0" w:color="auto"/>
              <w:right w:val="nil"/>
            </w:tcBorders>
            <w:shd w:val="clear" w:color="auto" w:fill="auto"/>
            <w:vAlign w:val="center"/>
            <w:hideMark/>
          </w:tcPr>
          <w:p w14:paraId="7AC1079D" w14:textId="77777777" w:rsidR="00CB5F95" w:rsidRPr="00F47BF9" w:rsidRDefault="00CB5F95" w:rsidP="00CB5F95">
            <w:pPr>
              <w:spacing w:after="0" w:line="240" w:lineRule="auto"/>
              <w:jc w:val="center"/>
              <w:rPr>
                <w:rFonts w:eastAsia="Times New Roman" w:cs="Times New Roman"/>
                <w:b w:val="0"/>
                <w:color w:val="000000"/>
                <w:sz w:val="18"/>
                <w:szCs w:val="18"/>
                <w:lang w:eastAsia="en-MY"/>
              </w:rPr>
            </w:pPr>
            <w:proofErr w:type="spellStart"/>
            <w:r w:rsidRPr="00F47BF9">
              <w:rPr>
                <w:rFonts w:eastAsia="Times New Roman" w:cs="Times New Roman"/>
                <w:b w:val="0"/>
                <w:color w:val="000000"/>
                <w:sz w:val="18"/>
                <w:szCs w:val="18"/>
                <w:lang w:eastAsia="en-MY"/>
              </w:rPr>
              <w:t>CaO</w:t>
            </w:r>
            <w:proofErr w:type="spellEnd"/>
          </w:p>
        </w:tc>
        <w:tc>
          <w:tcPr>
            <w:tcW w:w="567" w:type="dxa"/>
            <w:tcBorders>
              <w:top w:val="nil"/>
              <w:left w:val="nil"/>
              <w:bottom w:val="single" w:sz="8" w:space="0" w:color="auto"/>
              <w:right w:val="nil"/>
            </w:tcBorders>
            <w:shd w:val="clear" w:color="auto" w:fill="auto"/>
            <w:vAlign w:val="center"/>
            <w:hideMark/>
          </w:tcPr>
          <w:p w14:paraId="5A4E0772" w14:textId="77777777" w:rsidR="00CB5F95" w:rsidRPr="00F47BF9" w:rsidRDefault="00CB5F95" w:rsidP="00CB5F95">
            <w:pPr>
              <w:spacing w:after="0" w:line="240" w:lineRule="auto"/>
              <w:jc w:val="center"/>
              <w:rPr>
                <w:rFonts w:eastAsia="Times New Roman" w:cs="Times New Roman"/>
                <w:b w:val="0"/>
                <w:color w:val="000000"/>
                <w:sz w:val="18"/>
                <w:szCs w:val="18"/>
                <w:lang w:eastAsia="en-MY"/>
              </w:rPr>
            </w:pPr>
            <w:proofErr w:type="spellStart"/>
            <w:r w:rsidRPr="00F47BF9">
              <w:rPr>
                <w:rFonts w:eastAsia="Times New Roman" w:cs="Times New Roman"/>
                <w:b w:val="0"/>
                <w:color w:val="000000"/>
                <w:sz w:val="18"/>
                <w:szCs w:val="18"/>
                <w:lang w:eastAsia="en-MY"/>
              </w:rPr>
              <w:t>BaO</w:t>
            </w:r>
            <w:proofErr w:type="spellEnd"/>
          </w:p>
        </w:tc>
        <w:tc>
          <w:tcPr>
            <w:tcW w:w="709" w:type="dxa"/>
            <w:tcBorders>
              <w:top w:val="nil"/>
              <w:left w:val="nil"/>
              <w:bottom w:val="single" w:sz="8" w:space="0" w:color="auto"/>
              <w:right w:val="nil"/>
            </w:tcBorders>
            <w:shd w:val="clear" w:color="auto" w:fill="auto"/>
            <w:vAlign w:val="center"/>
            <w:hideMark/>
          </w:tcPr>
          <w:p w14:paraId="7E809287" w14:textId="77777777" w:rsidR="00CB5F95" w:rsidRPr="00F47BF9" w:rsidRDefault="00CB5F95" w:rsidP="00CB5F95">
            <w:pPr>
              <w:spacing w:after="0" w:line="240" w:lineRule="auto"/>
              <w:jc w:val="center"/>
              <w:rPr>
                <w:rFonts w:eastAsia="Times New Roman" w:cs="Times New Roman"/>
                <w:b w:val="0"/>
                <w:color w:val="000000"/>
                <w:sz w:val="18"/>
                <w:szCs w:val="18"/>
                <w:lang w:eastAsia="en-MY"/>
              </w:rPr>
            </w:pPr>
            <w:r w:rsidRPr="00F47BF9">
              <w:rPr>
                <w:rFonts w:eastAsia="Times New Roman" w:cs="Times New Roman"/>
                <w:b w:val="0"/>
                <w:color w:val="000000"/>
                <w:sz w:val="18"/>
                <w:szCs w:val="18"/>
                <w:lang w:eastAsia="en-MY"/>
              </w:rPr>
              <w:t>Al</w:t>
            </w:r>
            <w:r w:rsidRPr="00F47BF9">
              <w:rPr>
                <w:rFonts w:eastAsia="Times New Roman" w:cs="Times New Roman"/>
                <w:b w:val="0"/>
                <w:color w:val="000000"/>
                <w:sz w:val="18"/>
                <w:szCs w:val="18"/>
                <w:vertAlign w:val="subscript"/>
                <w:lang w:eastAsia="en-MY"/>
              </w:rPr>
              <w:t>2</w:t>
            </w:r>
            <w:r w:rsidRPr="00F47BF9">
              <w:rPr>
                <w:rFonts w:eastAsia="Times New Roman" w:cs="Times New Roman"/>
                <w:b w:val="0"/>
                <w:color w:val="000000"/>
                <w:sz w:val="18"/>
                <w:szCs w:val="18"/>
                <w:lang w:eastAsia="en-MY"/>
              </w:rPr>
              <w:t>O</w:t>
            </w:r>
            <w:r w:rsidRPr="00F47BF9">
              <w:rPr>
                <w:rFonts w:eastAsia="Times New Roman" w:cs="Times New Roman"/>
                <w:b w:val="0"/>
                <w:color w:val="000000"/>
                <w:sz w:val="18"/>
                <w:szCs w:val="18"/>
                <w:vertAlign w:val="subscript"/>
                <w:lang w:eastAsia="en-MY"/>
              </w:rPr>
              <w:t>3</w:t>
            </w:r>
          </w:p>
        </w:tc>
        <w:tc>
          <w:tcPr>
            <w:tcW w:w="709" w:type="dxa"/>
            <w:tcBorders>
              <w:top w:val="nil"/>
              <w:left w:val="nil"/>
              <w:bottom w:val="single" w:sz="8" w:space="0" w:color="auto"/>
              <w:right w:val="nil"/>
            </w:tcBorders>
            <w:shd w:val="clear" w:color="auto" w:fill="auto"/>
            <w:vAlign w:val="center"/>
            <w:hideMark/>
          </w:tcPr>
          <w:p w14:paraId="25823763" w14:textId="77777777" w:rsidR="00CB5F95" w:rsidRPr="00F47BF9" w:rsidRDefault="00CB5F95" w:rsidP="00CB5F95">
            <w:pPr>
              <w:spacing w:after="0" w:line="240" w:lineRule="auto"/>
              <w:jc w:val="center"/>
              <w:rPr>
                <w:rFonts w:eastAsia="Times New Roman" w:cs="Times New Roman"/>
                <w:b w:val="0"/>
                <w:color w:val="000000"/>
                <w:sz w:val="18"/>
                <w:szCs w:val="18"/>
                <w:lang w:eastAsia="en-MY"/>
              </w:rPr>
            </w:pPr>
            <w:r w:rsidRPr="00F47BF9">
              <w:rPr>
                <w:rFonts w:eastAsia="Times New Roman" w:cs="Times New Roman"/>
                <w:b w:val="0"/>
                <w:color w:val="000000"/>
                <w:sz w:val="18"/>
                <w:szCs w:val="18"/>
                <w:lang w:eastAsia="en-MY"/>
              </w:rPr>
              <w:t>B</w:t>
            </w:r>
            <w:r w:rsidRPr="00F47BF9">
              <w:rPr>
                <w:rFonts w:eastAsia="Times New Roman" w:cs="Times New Roman"/>
                <w:b w:val="0"/>
                <w:color w:val="000000"/>
                <w:sz w:val="18"/>
                <w:szCs w:val="18"/>
                <w:vertAlign w:val="subscript"/>
                <w:lang w:eastAsia="en-MY"/>
              </w:rPr>
              <w:t>2</w:t>
            </w:r>
            <w:r w:rsidRPr="00F47BF9">
              <w:rPr>
                <w:rFonts w:eastAsia="Times New Roman" w:cs="Times New Roman"/>
                <w:b w:val="0"/>
                <w:color w:val="000000"/>
                <w:sz w:val="18"/>
                <w:szCs w:val="18"/>
                <w:lang w:eastAsia="en-MY"/>
              </w:rPr>
              <w:t>O</w:t>
            </w:r>
            <w:r w:rsidRPr="00F47BF9">
              <w:rPr>
                <w:rFonts w:eastAsia="Times New Roman" w:cs="Times New Roman"/>
                <w:b w:val="0"/>
                <w:color w:val="000000"/>
                <w:sz w:val="18"/>
                <w:szCs w:val="18"/>
                <w:vertAlign w:val="subscript"/>
                <w:lang w:eastAsia="en-MY"/>
              </w:rPr>
              <w:t>3</w:t>
            </w:r>
          </w:p>
        </w:tc>
        <w:tc>
          <w:tcPr>
            <w:tcW w:w="709" w:type="dxa"/>
            <w:tcBorders>
              <w:top w:val="nil"/>
              <w:left w:val="nil"/>
              <w:bottom w:val="single" w:sz="8" w:space="0" w:color="auto"/>
              <w:right w:val="nil"/>
            </w:tcBorders>
            <w:shd w:val="clear" w:color="auto" w:fill="auto"/>
            <w:vAlign w:val="center"/>
            <w:hideMark/>
          </w:tcPr>
          <w:p w14:paraId="0F938BA3" w14:textId="77777777" w:rsidR="00CB5F95" w:rsidRPr="00F47BF9" w:rsidRDefault="00CB5F95" w:rsidP="00CB5F95">
            <w:pPr>
              <w:spacing w:after="0" w:line="240" w:lineRule="auto"/>
              <w:jc w:val="center"/>
              <w:rPr>
                <w:rFonts w:eastAsia="Times New Roman" w:cs="Times New Roman"/>
                <w:b w:val="0"/>
                <w:color w:val="000000"/>
                <w:sz w:val="18"/>
                <w:szCs w:val="18"/>
                <w:lang w:eastAsia="en-MY"/>
              </w:rPr>
            </w:pPr>
            <w:r w:rsidRPr="00F47BF9">
              <w:rPr>
                <w:rFonts w:eastAsia="Times New Roman" w:cs="Times New Roman"/>
                <w:b w:val="0"/>
                <w:color w:val="000000"/>
                <w:sz w:val="18"/>
                <w:szCs w:val="18"/>
                <w:lang w:eastAsia="en-MY"/>
              </w:rPr>
              <w:t>SiO</w:t>
            </w:r>
            <w:r w:rsidRPr="00F47BF9">
              <w:rPr>
                <w:rFonts w:eastAsia="Times New Roman" w:cs="Times New Roman"/>
                <w:b w:val="0"/>
                <w:color w:val="000000"/>
                <w:sz w:val="18"/>
                <w:szCs w:val="18"/>
                <w:vertAlign w:val="subscript"/>
                <w:lang w:eastAsia="en-MY"/>
              </w:rPr>
              <w:t>2</w:t>
            </w:r>
          </w:p>
        </w:tc>
        <w:tc>
          <w:tcPr>
            <w:tcW w:w="1275" w:type="dxa"/>
            <w:vMerge/>
            <w:tcBorders>
              <w:top w:val="single" w:sz="8" w:space="0" w:color="auto"/>
              <w:left w:val="nil"/>
              <w:bottom w:val="single" w:sz="8" w:space="0" w:color="000000"/>
              <w:right w:val="nil"/>
            </w:tcBorders>
            <w:vAlign w:val="center"/>
            <w:hideMark/>
          </w:tcPr>
          <w:p w14:paraId="2A60A84F" w14:textId="77777777" w:rsidR="00CB5F95" w:rsidRPr="00E33297" w:rsidRDefault="00CB5F95" w:rsidP="00CB5F95">
            <w:pPr>
              <w:spacing w:after="0" w:line="240" w:lineRule="auto"/>
              <w:rPr>
                <w:rFonts w:eastAsia="Times New Roman" w:cs="Times New Roman"/>
                <w:b w:val="0"/>
                <w:color w:val="000000"/>
                <w:sz w:val="18"/>
                <w:szCs w:val="18"/>
                <w:lang w:eastAsia="en-MY"/>
              </w:rPr>
            </w:pPr>
          </w:p>
        </w:tc>
      </w:tr>
      <w:tr w:rsidR="00CB5F95" w:rsidRPr="00E33297" w14:paraId="3F0176B7" w14:textId="77777777" w:rsidTr="00CB5F95">
        <w:trPr>
          <w:trHeight w:val="330"/>
        </w:trPr>
        <w:tc>
          <w:tcPr>
            <w:tcW w:w="2127" w:type="dxa"/>
            <w:vMerge w:val="restart"/>
            <w:tcBorders>
              <w:top w:val="nil"/>
              <w:left w:val="nil"/>
              <w:bottom w:val="single" w:sz="8" w:space="0" w:color="000000"/>
              <w:right w:val="nil"/>
            </w:tcBorders>
            <w:shd w:val="clear" w:color="auto" w:fill="auto"/>
            <w:vAlign w:val="center"/>
            <w:hideMark/>
          </w:tcPr>
          <w:p w14:paraId="15482D4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M</w:t>
            </w:r>
            <w:r w:rsidRPr="00E33297">
              <w:rPr>
                <w:rFonts w:eastAsia="Times New Roman" w:cs="Times New Roman"/>
                <w:b w:val="0"/>
                <w:color w:val="000000"/>
                <w:sz w:val="20"/>
                <w:szCs w:val="20"/>
                <w:vertAlign w:val="subscript"/>
                <w:lang w:eastAsia="en-MY"/>
              </w:rPr>
              <w:t>1.1</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3.0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x</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80.7-x</w:t>
            </w:r>
            <w:r w:rsidRPr="00E33297">
              <w:rPr>
                <w:rFonts w:eastAsia="Times New Roman" w:cs="Times New Roman"/>
                <w:b w:val="0"/>
                <w:color w:val="000000"/>
                <w:sz w:val="20"/>
                <w:szCs w:val="20"/>
                <w:lang w:eastAsia="en-MY"/>
              </w:rPr>
              <w:t xml:space="preserve"> </w:t>
            </w:r>
          </w:p>
        </w:tc>
        <w:tc>
          <w:tcPr>
            <w:tcW w:w="2126" w:type="dxa"/>
            <w:tcBorders>
              <w:top w:val="nil"/>
              <w:left w:val="nil"/>
              <w:bottom w:val="nil"/>
              <w:right w:val="nil"/>
            </w:tcBorders>
            <w:shd w:val="clear" w:color="auto" w:fill="auto"/>
            <w:vAlign w:val="center"/>
            <w:hideMark/>
          </w:tcPr>
          <w:p w14:paraId="0CFDA961"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M</w:t>
            </w:r>
            <w:r w:rsidRPr="00E33297">
              <w:rPr>
                <w:rFonts w:eastAsia="Times New Roman" w:cs="Times New Roman"/>
                <w:b w:val="0"/>
                <w:color w:val="000000"/>
                <w:sz w:val="20"/>
                <w:szCs w:val="20"/>
                <w:vertAlign w:val="subscript"/>
                <w:lang w:eastAsia="en-MY"/>
              </w:rPr>
              <w:t>1.1</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3.0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79.7</w:t>
            </w:r>
          </w:p>
        </w:tc>
        <w:tc>
          <w:tcPr>
            <w:tcW w:w="709" w:type="dxa"/>
            <w:tcBorders>
              <w:top w:val="nil"/>
              <w:left w:val="nil"/>
              <w:bottom w:val="nil"/>
              <w:right w:val="nil"/>
            </w:tcBorders>
            <w:shd w:val="clear" w:color="auto" w:fill="auto"/>
            <w:noWrap/>
            <w:vAlign w:val="center"/>
            <w:hideMark/>
          </w:tcPr>
          <w:p w14:paraId="7A57A4A2"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7.6</w:t>
            </w:r>
          </w:p>
        </w:tc>
        <w:tc>
          <w:tcPr>
            <w:tcW w:w="708" w:type="dxa"/>
            <w:tcBorders>
              <w:top w:val="nil"/>
              <w:left w:val="nil"/>
              <w:bottom w:val="nil"/>
              <w:right w:val="nil"/>
            </w:tcBorders>
            <w:shd w:val="clear" w:color="auto" w:fill="auto"/>
            <w:noWrap/>
            <w:vAlign w:val="center"/>
            <w:hideMark/>
          </w:tcPr>
          <w:p w14:paraId="0F53D61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1.1</w:t>
            </w:r>
          </w:p>
        </w:tc>
        <w:tc>
          <w:tcPr>
            <w:tcW w:w="567" w:type="dxa"/>
            <w:tcBorders>
              <w:top w:val="nil"/>
              <w:left w:val="nil"/>
              <w:bottom w:val="nil"/>
              <w:right w:val="nil"/>
            </w:tcBorders>
            <w:shd w:val="clear" w:color="auto" w:fill="auto"/>
            <w:noWrap/>
            <w:vAlign w:val="center"/>
            <w:hideMark/>
          </w:tcPr>
          <w:p w14:paraId="1E49C25F"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3</w:t>
            </w:r>
          </w:p>
        </w:tc>
        <w:tc>
          <w:tcPr>
            <w:tcW w:w="567" w:type="dxa"/>
            <w:tcBorders>
              <w:top w:val="nil"/>
              <w:left w:val="nil"/>
              <w:bottom w:val="nil"/>
              <w:right w:val="nil"/>
            </w:tcBorders>
            <w:shd w:val="clear" w:color="auto" w:fill="auto"/>
            <w:noWrap/>
            <w:vAlign w:val="center"/>
            <w:hideMark/>
          </w:tcPr>
          <w:p w14:paraId="0EB273F5"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6F172F61"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w:t>
            </w:r>
          </w:p>
        </w:tc>
        <w:tc>
          <w:tcPr>
            <w:tcW w:w="709" w:type="dxa"/>
            <w:tcBorders>
              <w:top w:val="nil"/>
              <w:left w:val="nil"/>
              <w:bottom w:val="nil"/>
              <w:right w:val="nil"/>
            </w:tcBorders>
            <w:shd w:val="clear" w:color="auto" w:fill="auto"/>
            <w:noWrap/>
            <w:vAlign w:val="center"/>
            <w:hideMark/>
          </w:tcPr>
          <w:p w14:paraId="678190F9"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7.6</w:t>
            </w:r>
          </w:p>
        </w:tc>
        <w:tc>
          <w:tcPr>
            <w:tcW w:w="709" w:type="dxa"/>
            <w:tcBorders>
              <w:top w:val="nil"/>
              <w:left w:val="nil"/>
              <w:bottom w:val="nil"/>
              <w:right w:val="nil"/>
            </w:tcBorders>
            <w:shd w:val="clear" w:color="auto" w:fill="auto"/>
            <w:noWrap/>
            <w:vAlign w:val="center"/>
            <w:hideMark/>
          </w:tcPr>
          <w:p w14:paraId="70A3A0A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79.7</w:t>
            </w:r>
          </w:p>
        </w:tc>
        <w:tc>
          <w:tcPr>
            <w:tcW w:w="1275" w:type="dxa"/>
            <w:tcBorders>
              <w:top w:val="nil"/>
              <w:left w:val="nil"/>
              <w:bottom w:val="nil"/>
              <w:right w:val="nil"/>
            </w:tcBorders>
            <w:shd w:val="clear" w:color="auto" w:fill="auto"/>
            <w:noWrap/>
            <w:vAlign w:val="center"/>
            <w:hideMark/>
          </w:tcPr>
          <w:p w14:paraId="50574511"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-1.34</w:t>
            </w:r>
            <w:r>
              <w:rPr>
                <w:rFonts w:eastAsia="Times New Roman" w:cs="Times New Roman"/>
                <w:b w:val="0"/>
                <w:color w:val="000000"/>
                <w:sz w:val="20"/>
                <w:szCs w:val="20"/>
                <w:lang w:eastAsia="en-MY"/>
              </w:rPr>
              <w:t>±1.08</w:t>
            </w:r>
          </w:p>
        </w:tc>
      </w:tr>
      <w:tr w:rsidR="00CB5F95" w:rsidRPr="00E33297" w14:paraId="7F7C8DD0" w14:textId="77777777" w:rsidTr="00CB5F95">
        <w:trPr>
          <w:trHeight w:val="330"/>
        </w:trPr>
        <w:tc>
          <w:tcPr>
            <w:tcW w:w="2127" w:type="dxa"/>
            <w:vMerge/>
            <w:tcBorders>
              <w:top w:val="nil"/>
              <w:left w:val="nil"/>
              <w:bottom w:val="single" w:sz="8" w:space="0" w:color="000000"/>
              <w:right w:val="nil"/>
            </w:tcBorders>
            <w:vAlign w:val="center"/>
            <w:hideMark/>
          </w:tcPr>
          <w:p w14:paraId="363426A5" w14:textId="77777777" w:rsidR="00CB5F95" w:rsidRPr="00E33297" w:rsidRDefault="00CB5F95" w:rsidP="00CB5F95">
            <w:pPr>
              <w:spacing w:after="0" w:line="240" w:lineRule="auto"/>
              <w:rPr>
                <w:rFonts w:eastAsia="Times New Roman" w:cs="Times New Roman"/>
                <w:b w:val="0"/>
                <w:color w:val="000000"/>
                <w:sz w:val="20"/>
                <w:szCs w:val="20"/>
                <w:lang w:eastAsia="en-MY"/>
              </w:rPr>
            </w:pPr>
          </w:p>
        </w:tc>
        <w:tc>
          <w:tcPr>
            <w:tcW w:w="2126" w:type="dxa"/>
            <w:tcBorders>
              <w:top w:val="nil"/>
              <w:left w:val="nil"/>
              <w:bottom w:val="nil"/>
              <w:right w:val="nil"/>
            </w:tcBorders>
            <w:shd w:val="clear" w:color="auto" w:fill="auto"/>
            <w:vAlign w:val="center"/>
            <w:hideMark/>
          </w:tcPr>
          <w:p w14:paraId="09BB4B75"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M</w:t>
            </w:r>
            <w:r w:rsidRPr="00E33297">
              <w:rPr>
                <w:rFonts w:eastAsia="Times New Roman" w:cs="Times New Roman"/>
                <w:b w:val="0"/>
                <w:color w:val="000000"/>
                <w:sz w:val="20"/>
                <w:szCs w:val="20"/>
                <w:vertAlign w:val="subscript"/>
                <w:lang w:eastAsia="en-MY"/>
              </w:rPr>
              <w:t>1.1</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3.0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2.5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78.2</w:t>
            </w:r>
            <w:r w:rsidRPr="00E33297">
              <w:rPr>
                <w:rFonts w:eastAsia="Times New Roman" w:cs="Times New Roman"/>
                <w:b w:val="0"/>
                <w:color w:val="000000"/>
                <w:sz w:val="20"/>
                <w:szCs w:val="20"/>
                <w:lang w:eastAsia="en-MY"/>
              </w:rPr>
              <w:t xml:space="preserve"> </w:t>
            </w:r>
          </w:p>
        </w:tc>
        <w:tc>
          <w:tcPr>
            <w:tcW w:w="709" w:type="dxa"/>
            <w:tcBorders>
              <w:top w:val="nil"/>
              <w:left w:val="nil"/>
              <w:bottom w:val="nil"/>
              <w:right w:val="nil"/>
            </w:tcBorders>
            <w:shd w:val="clear" w:color="auto" w:fill="auto"/>
            <w:noWrap/>
            <w:vAlign w:val="center"/>
            <w:hideMark/>
          </w:tcPr>
          <w:p w14:paraId="714A6DD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7.6</w:t>
            </w:r>
          </w:p>
        </w:tc>
        <w:tc>
          <w:tcPr>
            <w:tcW w:w="708" w:type="dxa"/>
            <w:tcBorders>
              <w:top w:val="nil"/>
              <w:left w:val="nil"/>
              <w:bottom w:val="nil"/>
              <w:right w:val="nil"/>
            </w:tcBorders>
            <w:shd w:val="clear" w:color="auto" w:fill="auto"/>
            <w:noWrap/>
            <w:vAlign w:val="center"/>
            <w:hideMark/>
          </w:tcPr>
          <w:p w14:paraId="4F65B77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1.1</w:t>
            </w:r>
          </w:p>
        </w:tc>
        <w:tc>
          <w:tcPr>
            <w:tcW w:w="567" w:type="dxa"/>
            <w:tcBorders>
              <w:top w:val="nil"/>
              <w:left w:val="nil"/>
              <w:bottom w:val="nil"/>
              <w:right w:val="nil"/>
            </w:tcBorders>
            <w:shd w:val="clear" w:color="auto" w:fill="auto"/>
            <w:noWrap/>
            <w:vAlign w:val="center"/>
            <w:hideMark/>
          </w:tcPr>
          <w:p w14:paraId="0C3D0829"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3</w:t>
            </w:r>
          </w:p>
        </w:tc>
        <w:tc>
          <w:tcPr>
            <w:tcW w:w="567" w:type="dxa"/>
            <w:tcBorders>
              <w:top w:val="nil"/>
              <w:left w:val="nil"/>
              <w:bottom w:val="nil"/>
              <w:right w:val="nil"/>
            </w:tcBorders>
            <w:shd w:val="clear" w:color="auto" w:fill="auto"/>
            <w:noWrap/>
            <w:vAlign w:val="center"/>
            <w:hideMark/>
          </w:tcPr>
          <w:p w14:paraId="1C6EC6E4"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60D0E2E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2.5</w:t>
            </w:r>
          </w:p>
        </w:tc>
        <w:tc>
          <w:tcPr>
            <w:tcW w:w="709" w:type="dxa"/>
            <w:tcBorders>
              <w:top w:val="nil"/>
              <w:left w:val="nil"/>
              <w:bottom w:val="nil"/>
              <w:right w:val="nil"/>
            </w:tcBorders>
            <w:shd w:val="clear" w:color="auto" w:fill="auto"/>
            <w:noWrap/>
            <w:vAlign w:val="center"/>
            <w:hideMark/>
          </w:tcPr>
          <w:p w14:paraId="489EB6F3"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7.6</w:t>
            </w:r>
          </w:p>
        </w:tc>
        <w:tc>
          <w:tcPr>
            <w:tcW w:w="709" w:type="dxa"/>
            <w:tcBorders>
              <w:top w:val="nil"/>
              <w:left w:val="nil"/>
              <w:bottom w:val="nil"/>
              <w:right w:val="nil"/>
            </w:tcBorders>
            <w:shd w:val="clear" w:color="auto" w:fill="auto"/>
            <w:noWrap/>
            <w:vAlign w:val="center"/>
            <w:hideMark/>
          </w:tcPr>
          <w:p w14:paraId="0BDD771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78.2</w:t>
            </w:r>
          </w:p>
        </w:tc>
        <w:tc>
          <w:tcPr>
            <w:tcW w:w="1275" w:type="dxa"/>
            <w:tcBorders>
              <w:top w:val="nil"/>
              <w:left w:val="nil"/>
              <w:bottom w:val="nil"/>
              <w:right w:val="nil"/>
            </w:tcBorders>
            <w:shd w:val="clear" w:color="auto" w:fill="auto"/>
            <w:noWrap/>
            <w:vAlign w:val="center"/>
            <w:hideMark/>
          </w:tcPr>
          <w:p w14:paraId="4A2EC65C"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-2.45</w:t>
            </w:r>
            <w:r>
              <w:rPr>
                <w:rFonts w:eastAsia="Times New Roman" w:cs="Times New Roman"/>
                <w:b w:val="0"/>
                <w:color w:val="000000"/>
                <w:sz w:val="20"/>
                <w:szCs w:val="20"/>
                <w:lang w:eastAsia="en-MY"/>
              </w:rPr>
              <w:t>±1.05</w:t>
            </w:r>
          </w:p>
        </w:tc>
      </w:tr>
      <w:tr w:rsidR="00CB5F95" w:rsidRPr="00E33297" w14:paraId="600D1E77" w14:textId="77777777" w:rsidTr="00CB5F95">
        <w:trPr>
          <w:trHeight w:val="300"/>
        </w:trPr>
        <w:tc>
          <w:tcPr>
            <w:tcW w:w="2127" w:type="dxa"/>
            <w:vMerge/>
            <w:tcBorders>
              <w:top w:val="nil"/>
              <w:left w:val="nil"/>
              <w:bottom w:val="single" w:sz="8" w:space="0" w:color="000000"/>
              <w:right w:val="nil"/>
            </w:tcBorders>
            <w:vAlign w:val="center"/>
            <w:hideMark/>
          </w:tcPr>
          <w:p w14:paraId="68594EF5" w14:textId="77777777" w:rsidR="00CB5F95" w:rsidRPr="00E33297" w:rsidRDefault="00CB5F95" w:rsidP="00CB5F95">
            <w:pPr>
              <w:spacing w:after="0" w:line="240" w:lineRule="auto"/>
              <w:rPr>
                <w:rFonts w:eastAsia="Times New Roman" w:cs="Times New Roman"/>
                <w:b w:val="0"/>
                <w:color w:val="000000"/>
                <w:sz w:val="20"/>
                <w:szCs w:val="20"/>
                <w:lang w:eastAsia="en-MY"/>
              </w:rPr>
            </w:pPr>
          </w:p>
        </w:tc>
        <w:tc>
          <w:tcPr>
            <w:tcW w:w="2126" w:type="dxa"/>
            <w:tcBorders>
              <w:top w:val="nil"/>
              <w:left w:val="nil"/>
              <w:bottom w:val="nil"/>
              <w:right w:val="nil"/>
            </w:tcBorders>
            <w:shd w:val="clear" w:color="auto" w:fill="auto"/>
            <w:vAlign w:val="center"/>
            <w:hideMark/>
          </w:tcPr>
          <w:p w14:paraId="45370A82"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M</w:t>
            </w:r>
            <w:r w:rsidRPr="00E33297">
              <w:rPr>
                <w:rFonts w:eastAsia="Times New Roman" w:cs="Times New Roman"/>
                <w:b w:val="0"/>
                <w:color w:val="000000"/>
                <w:sz w:val="20"/>
                <w:szCs w:val="20"/>
                <w:vertAlign w:val="subscript"/>
                <w:lang w:eastAsia="en-MY"/>
              </w:rPr>
              <w:t>1.1</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3.0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75.7</w:t>
            </w:r>
            <w:r w:rsidRPr="00E33297">
              <w:rPr>
                <w:rFonts w:eastAsia="Times New Roman" w:cs="Times New Roman"/>
                <w:b w:val="0"/>
                <w:color w:val="000000"/>
                <w:sz w:val="20"/>
                <w:szCs w:val="20"/>
                <w:lang w:eastAsia="en-MY"/>
              </w:rPr>
              <w:t xml:space="preserve"> </w:t>
            </w:r>
          </w:p>
        </w:tc>
        <w:tc>
          <w:tcPr>
            <w:tcW w:w="709" w:type="dxa"/>
            <w:tcBorders>
              <w:top w:val="nil"/>
              <w:left w:val="nil"/>
              <w:bottom w:val="nil"/>
              <w:right w:val="nil"/>
            </w:tcBorders>
            <w:shd w:val="clear" w:color="auto" w:fill="auto"/>
            <w:noWrap/>
            <w:vAlign w:val="center"/>
            <w:hideMark/>
          </w:tcPr>
          <w:p w14:paraId="6B9B0094"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7.6</w:t>
            </w:r>
          </w:p>
        </w:tc>
        <w:tc>
          <w:tcPr>
            <w:tcW w:w="708" w:type="dxa"/>
            <w:tcBorders>
              <w:top w:val="nil"/>
              <w:left w:val="nil"/>
              <w:bottom w:val="nil"/>
              <w:right w:val="nil"/>
            </w:tcBorders>
            <w:shd w:val="clear" w:color="auto" w:fill="auto"/>
            <w:noWrap/>
            <w:vAlign w:val="center"/>
            <w:hideMark/>
          </w:tcPr>
          <w:p w14:paraId="3472286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1.1</w:t>
            </w:r>
          </w:p>
        </w:tc>
        <w:tc>
          <w:tcPr>
            <w:tcW w:w="567" w:type="dxa"/>
            <w:tcBorders>
              <w:top w:val="nil"/>
              <w:left w:val="nil"/>
              <w:bottom w:val="nil"/>
              <w:right w:val="nil"/>
            </w:tcBorders>
            <w:shd w:val="clear" w:color="auto" w:fill="auto"/>
            <w:noWrap/>
            <w:vAlign w:val="center"/>
            <w:hideMark/>
          </w:tcPr>
          <w:p w14:paraId="1A859E6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3</w:t>
            </w:r>
          </w:p>
        </w:tc>
        <w:tc>
          <w:tcPr>
            <w:tcW w:w="567" w:type="dxa"/>
            <w:tcBorders>
              <w:top w:val="nil"/>
              <w:left w:val="nil"/>
              <w:bottom w:val="nil"/>
              <w:right w:val="nil"/>
            </w:tcBorders>
            <w:shd w:val="clear" w:color="auto" w:fill="auto"/>
            <w:noWrap/>
            <w:vAlign w:val="center"/>
            <w:hideMark/>
          </w:tcPr>
          <w:p w14:paraId="131B008F"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0DF11C55"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5</w:t>
            </w:r>
          </w:p>
        </w:tc>
        <w:tc>
          <w:tcPr>
            <w:tcW w:w="709" w:type="dxa"/>
            <w:tcBorders>
              <w:top w:val="nil"/>
              <w:left w:val="nil"/>
              <w:bottom w:val="nil"/>
              <w:right w:val="nil"/>
            </w:tcBorders>
            <w:shd w:val="clear" w:color="auto" w:fill="auto"/>
            <w:noWrap/>
            <w:vAlign w:val="center"/>
            <w:hideMark/>
          </w:tcPr>
          <w:p w14:paraId="75D8AD10"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7.6</w:t>
            </w:r>
          </w:p>
        </w:tc>
        <w:tc>
          <w:tcPr>
            <w:tcW w:w="709" w:type="dxa"/>
            <w:tcBorders>
              <w:top w:val="nil"/>
              <w:left w:val="nil"/>
              <w:bottom w:val="nil"/>
              <w:right w:val="nil"/>
            </w:tcBorders>
            <w:shd w:val="clear" w:color="auto" w:fill="auto"/>
            <w:noWrap/>
            <w:vAlign w:val="center"/>
            <w:hideMark/>
          </w:tcPr>
          <w:p w14:paraId="147423E5"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75.7</w:t>
            </w:r>
          </w:p>
        </w:tc>
        <w:tc>
          <w:tcPr>
            <w:tcW w:w="1275" w:type="dxa"/>
            <w:tcBorders>
              <w:top w:val="nil"/>
              <w:left w:val="nil"/>
              <w:bottom w:val="nil"/>
              <w:right w:val="nil"/>
            </w:tcBorders>
            <w:shd w:val="clear" w:color="auto" w:fill="auto"/>
            <w:noWrap/>
            <w:vAlign w:val="center"/>
            <w:hideMark/>
          </w:tcPr>
          <w:p w14:paraId="4691BD04"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-7.7</w:t>
            </w:r>
            <w:r>
              <w:rPr>
                <w:rFonts w:eastAsia="Times New Roman" w:cs="Times New Roman"/>
                <w:b w:val="0"/>
                <w:color w:val="000000"/>
                <w:sz w:val="20"/>
                <w:szCs w:val="20"/>
                <w:lang w:eastAsia="en-MY"/>
              </w:rPr>
              <w:t>±1.14</w:t>
            </w:r>
          </w:p>
        </w:tc>
      </w:tr>
      <w:tr w:rsidR="00CB5F95" w:rsidRPr="00E33297" w14:paraId="1976F619" w14:textId="77777777" w:rsidTr="00CB5F95">
        <w:trPr>
          <w:trHeight w:val="315"/>
        </w:trPr>
        <w:tc>
          <w:tcPr>
            <w:tcW w:w="2127" w:type="dxa"/>
            <w:vMerge/>
            <w:tcBorders>
              <w:top w:val="nil"/>
              <w:left w:val="nil"/>
              <w:bottom w:val="single" w:sz="8" w:space="0" w:color="000000"/>
              <w:right w:val="nil"/>
            </w:tcBorders>
            <w:vAlign w:val="center"/>
            <w:hideMark/>
          </w:tcPr>
          <w:p w14:paraId="7256972A" w14:textId="77777777" w:rsidR="00CB5F95" w:rsidRPr="00E33297" w:rsidRDefault="00CB5F95" w:rsidP="00CB5F95">
            <w:pPr>
              <w:spacing w:after="0" w:line="240" w:lineRule="auto"/>
              <w:rPr>
                <w:rFonts w:eastAsia="Times New Roman" w:cs="Times New Roman"/>
                <w:b w:val="0"/>
                <w:color w:val="000000"/>
                <w:sz w:val="20"/>
                <w:szCs w:val="20"/>
                <w:lang w:eastAsia="en-MY"/>
              </w:rPr>
            </w:pPr>
          </w:p>
        </w:tc>
        <w:tc>
          <w:tcPr>
            <w:tcW w:w="2126" w:type="dxa"/>
            <w:tcBorders>
              <w:top w:val="nil"/>
              <w:left w:val="nil"/>
              <w:bottom w:val="nil"/>
              <w:right w:val="nil"/>
            </w:tcBorders>
            <w:shd w:val="clear" w:color="auto" w:fill="auto"/>
            <w:vAlign w:val="center"/>
            <w:hideMark/>
          </w:tcPr>
          <w:p w14:paraId="7EF22196"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M</w:t>
            </w:r>
            <w:r w:rsidRPr="00E33297">
              <w:rPr>
                <w:rFonts w:eastAsia="Times New Roman" w:cs="Times New Roman"/>
                <w:b w:val="0"/>
                <w:color w:val="000000"/>
                <w:sz w:val="20"/>
                <w:szCs w:val="20"/>
                <w:vertAlign w:val="subscript"/>
                <w:lang w:eastAsia="en-MY"/>
              </w:rPr>
              <w:t>1.1</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3.0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5.2</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75.5</w:t>
            </w:r>
          </w:p>
        </w:tc>
        <w:tc>
          <w:tcPr>
            <w:tcW w:w="709" w:type="dxa"/>
            <w:tcBorders>
              <w:top w:val="nil"/>
              <w:left w:val="nil"/>
              <w:bottom w:val="nil"/>
              <w:right w:val="nil"/>
            </w:tcBorders>
            <w:shd w:val="clear" w:color="auto" w:fill="auto"/>
            <w:noWrap/>
            <w:vAlign w:val="center"/>
            <w:hideMark/>
          </w:tcPr>
          <w:p w14:paraId="29FF7719"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7.6</w:t>
            </w:r>
          </w:p>
        </w:tc>
        <w:tc>
          <w:tcPr>
            <w:tcW w:w="708" w:type="dxa"/>
            <w:tcBorders>
              <w:top w:val="nil"/>
              <w:left w:val="nil"/>
              <w:bottom w:val="nil"/>
              <w:right w:val="nil"/>
            </w:tcBorders>
            <w:shd w:val="clear" w:color="auto" w:fill="auto"/>
            <w:noWrap/>
            <w:vAlign w:val="center"/>
            <w:hideMark/>
          </w:tcPr>
          <w:p w14:paraId="4888BA72"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1.1</w:t>
            </w:r>
          </w:p>
        </w:tc>
        <w:tc>
          <w:tcPr>
            <w:tcW w:w="567" w:type="dxa"/>
            <w:tcBorders>
              <w:top w:val="nil"/>
              <w:left w:val="nil"/>
              <w:bottom w:val="nil"/>
              <w:right w:val="nil"/>
            </w:tcBorders>
            <w:shd w:val="clear" w:color="auto" w:fill="auto"/>
            <w:noWrap/>
            <w:vAlign w:val="center"/>
            <w:hideMark/>
          </w:tcPr>
          <w:p w14:paraId="40658261"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3</w:t>
            </w:r>
          </w:p>
        </w:tc>
        <w:tc>
          <w:tcPr>
            <w:tcW w:w="567" w:type="dxa"/>
            <w:tcBorders>
              <w:top w:val="nil"/>
              <w:left w:val="nil"/>
              <w:bottom w:val="nil"/>
              <w:right w:val="nil"/>
            </w:tcBorders>
            <w:shd w:val="clear" w:color="auto" w:fill="auto"/>
            <w:noWrap/>
            <w:vAlign w:val="center"/>
            <w:hideMark/>
          </w:tcPr>
          <w:p w14:paraId="11478A59"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00933A4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5.2</w:t>
            </w:r>
          </w:p>
        </w:tc>
        <w:tc>
          <w:tcPr>
            <w:tcW w:w="709" w:type="dxa"/>
            <w:tcBorders>
              <w:top w:val="nil"/>
              <w:left w:val="nil"/>
              <w:bottom w:val="nil"/>
              <w:right w:val="nil"/>
            </w:tcBorders>
            <w:shd w:val="clear" w:color="auto" w:fill="auto"/>
            <w:noWrap/>
            <w:vAlign w:val="center"/>
            <w:hideMark/>
          </w:tcPr>
          <w:p w14:paraId="2B2F3CE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7.6</w:t>
            </w:r>
          </w:p>
        </w:tc>
        <w:tc>
          <w:tcPr>
            <w:tcW w:w="709" w:type="dxa"/>
            <w:tcBorders>
              <w:top w:val="nil"/>
              <w:left w:val="nil"/>
              <w:bottom w:val="nil"/>
              <w:right w:val="nil"/>
            </w:tcBorders>
            <w:shd w:val="clear" w:color="auto" w:fill="auto"/>
            <w:noWrap/>
            <w:vAlign w:val="center"/>
            <w:hideMark/>
          </w:tcPr>
          <w:p w14:paraId="4E409A4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75.5</w:t>
            </w:r>
          </w:p>
        </w:tc>
        <w:tc>
          <w:tcPr>
            <w:tcW w:w="1275" w:type="dxa"/>
            <w:tcBorders>
              <w:top w:val="nil"/>
              <w:left w:val="nil"/>
              <w:bottom w:val="nil"/>
              <w:right w:val="nil"/>
            </w:tcBorders>
            <w:shd w:val="clear" w:color="auto" w:fill="auto"/>
            <w:noWrap/>
            <w:vAlign w:val="center"/>
            <w:hideMark/>
          </w:tcPr>
          <w:p w14:paraId="1F6C5148"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-7.89</w:t>
            </w:r>
            <w:r>
              <w:rPr>
                <w:rFonts w:eastAsia="Times New Roman" w:cs="Times New Roman"/>
                <w:b w:val="0"/>
                <w:color w:val="000000"/>
                <w:sz w:val="20"/>
                <w:szCs w:val="20"/>
                <w:lang w:eastAsia="en-MY"/>
              </w:rPr>
              <w:t>±1.12</w:t>
            </w:r>
          </w:p>
        </w:tc>
      </w:tr>
      <w:tr w:rsidR="00CB5F95" w:rsidRPr="00E33297" w14:paraId="437A7C4F" w14:textId="77777777" w:rsidTr="00CB5F95">
        <w:trPr>
          <w:trHeight w:val="300"/>
        </w:trPr>
        <w:tc>
          <w:tcPr>
            <w:tcW w:w="2127" w:type="dxa"/>
            <w:vMerge/>
            <w:tcBorders>
              <w:top w:val="nil"/>
              <w:left w:val="nil"/>
              <w:bottom w:val="single" w:sz="8" w:space="0" w:color="000000"/>
              <w:right w:val="nil"/>
            </w:tcBorders>
            <w:vAlign w:val="center"/>
            <w:hideMark/>
          </w:tcPr>
          <w:p w14:paraId="03CBE6BE" w14:textId="77777777" w:rsidR="00CB5F95" w:rsidRPr="00E33297" w:rsidRDefault="00CB5F95" w:rsidP="00CB5F95">
            <w:pPr>
              <w:spacing w:after="0" w:line="240" w:lineRule="auto"/>
              <w:rPr>
                <w:rFonts w:eastAsia="Times New Roman" w:cs="Times New Roman"/>
                <w:b w:val="0"/>
                <w:color w:val="000000"/>
                <w:sz w:val="20"/>
                <w:szCs w:val="20"/>
                <w:lang w:eastAsia="en-MY"/>
              </w:rPr>
            </w:pPr>
          </w:p>
        </w:tc>
        <w:tc>
          <w:tcPr>
            <w:tcW w:w="2126" w:type="dxa"/>
            <w:tcBorders>
              <w:top w:val="nil"/>
              <w:left w:val="nil"/>
              <w:bottom w:val="single" w:sz="8" w:space="0" w:color="auto"/>
              <w:right w:val="nil"/>
            </w:tcBorders>
            <w:shd w:val="clear" w:color="auto" w:fill="auto"/>
            <w:vAlign w:val="center"/>
            <w:hideMark/>
          </w:tcPr>
          <w:p w14:paraId="405FA957"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M</w:t>
            </w:r>
            <w:r w:rsidRPr="00E33297">
              <w:rPr>
                <w:rFonts w:eastAsia="Times New Roman" w:cs="Times New Roman"/>
                <w:b w:val="0"/>
                <w:color w:val="000000"/>
                <w:sz w:val="20"/>
                <w:szCs w:val="20"/>
                <w:vertAlign w:val="subscript"/>
                <w:lang w:eastAsia="en-MY"/>
              </w:rPr>
              <w:t>1.1</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3.0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7.5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7.6</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73.2</w:t>
            </w:r>
          </w:p>
        </w:tc>
        <w:tc>
          <w:tcPr>
            <w:tcW w:w="709" w:type="dxa"/>
            <w:tcBorders>
              <w:top w:val="nil"/>
              <w:left w:val="nil"/>
              <w:bottom w:val="single" w:sz="8" w:space="0" w:color="auto"/>
              <w:right w:val="nil"/>
            </w:tcBorders>
            <w:shd w:val="clear" w:color="auto" w:fill="auto"/>
            <w:noWrap/>
            <w:vAlign w:val="center"/>
            <w:hideMark/>
          </w:tcPr>
          <w:p w14:paraId="30F04FC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7.6</w:t>
            </w:r>
          </w:p>
        </w:tc>
        <w:tc>
          <w:tcPr>
            <w:tcW w:w="708" w:type="dxa"/>
            <w:tcBorders>
              <w:top w:val="nil"/>
              <w:left w:val="nil"/>
              <w:bottom w:val="single" w:sz="8" w:space="0" w:color="auto"/>
              <w:right w:val="nil"/>
            </w:tcBorders>
            <w:shd w:val="clear" w:color="auto" w:fill="auto"/>
            <w:noWrap/>
            <w:vAlign w:val="center"/>
            <w:hideMark/>
          </w:tcPr>
          <w:p w14:paraId="0E31C26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1.1</w:t>
            </w:r>
          </w:p>
        </w:tc>
        <w:tc>
          <w:tcPr>
            <w:tcW w:w="567" w:type="dxa"/>
            <w:tcBorders>
              <w:top w:val="nil"/>
              <w:left w:val="nil"/>
              <w:bottom w:val="single" w:sz="8" w:space="0" w:color="auto"/>
              <w:right w:val="nil"/>
            </w:tcBorders>
            <w:shd w:val="clear" w:color="auto" w:fill="auto"/>
            <w:noWrap/>
            <w:vAlign w:val="center"/>
            <w:hideMark/>
          </w:tcPr>
          <w:p w14:paraId="25FC21AB"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3</w:t>
            </w:r>
          </w:p>
        </w:tc>
        <w:tc>
          <w:tcPr>
            <w:tcW w:w="567" w:type="dxa"/>
            <w:tcBorders>
              <w:top w:val="nil"/>
              <w:left w:val="nil"/>
              <w:bottom w:val="single" w:sz="8" w:space="0" w:color="auto"/>
              <w:right w:val="nil"/>
            </w:tcBorders>
            <w:shd w:val="clear" w:color="auto" w:fill="auto"/>
            <w:noWrap/>
            <w:vAlign w:val="center"/>
            <w:hideMark/>
          </w:tcPr>
          <w:p w14:paraId="54A469B2"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single" w:sz="8" w:space="0" w:color="auto"/>
              <w:right w:val="nil"/>
            </w:tcBorders>
            <w:shd w:val="clear" w:color="auto" w:fill="auto"/>
            <w:noWrap/>
            <w:vAlign w:val="center"/>
            <w:hideMark/>
          </w:tcPr>
          <w:p w14:paraId="4277C3E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7.5</w:t>
            </w:r>
          </w:p>
        </w:tc>
        <w:tc>
          <w:tcPr>
            <w:tcW w:w="709" w:type="dxa"/>
            <w:tcBorders>
              <w:top w:val="nil"/>
              <w:left w:val="nil"/>
              <w:bottom w:val="single" w:sz="8" w:space="0" w:color="auto"/>
              <w:right w:val="nil"/>
            </w:tcBorders>
            <w:shd w:val="clear" w:color="auto" w:fill="auto"/>
            <w:noWrap/>
            <w:vAlign w:val="center"/>
            <w:hideMark/>
          </w:tcPr>
          <w:p w14:paraId="07A45B61"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7.6</w:t>
            </w:r>
          </w:p>
        </w:tc>
        <w:tc>
          <w:tcPr>
            <w:tcW w:w="709" w:type="dxa"/>
            <w:tcBorders>
              <w:top w:val="nil"/>
              <w:left w:val="nil"/>
              <w:bottom w:val="single" w:sz="8" w:space="0" w:color="auto"/>
              <w:right w:val="nil"/>
            </w:tcBorders>
            <w:shd w:val="clear" w:color="auto" w:fill="auto"/>
            <w:noWrap/>
            <w:vAlign w:val="center"/>
            <w:hideMark/>
          </w:tcPr>
          <w:p w14:paraId="47524A84"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73.2</w:t>
            </w:r>
          </w:p>
        </w:tc>
        <w:tc>
          <w:tcPr>
            <w:tcW w:w="1275" w:type="dxa"/>
            <w:tcBorders>
              <w:top w:val="nil"/>
              <w:left w:val="nil"/>
              <w:bottom w:val="single" w:sz="8" w:space="0" w:color="auto"/>
              <w:right w:val="nil"/>
            </w:tcBorders>
            <w:shd w:val="clear" w:color="auto" w:fill="auto"/>
            <w:noWrap/>
            <w:vAlign w:val="center"/>
            <w:hideMark/>
          </w:tcPr>
          <w:p w14:paraId="3B017F39"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-8.46</w:t>
            </w:r>
            <w:r>
              <w:rPr>
                <w:rFonts w:eastAsia="Times New Roman" w:cs="Times New Roman"/>
                <w:b w:val="0"/>
                <w:color w:val="000000"/>
                <w:sz w:val="20"/>
                <w:szCs w:val="20"/>
                <w:lang w:eastAsia="en-MY"/>
              </w:rPr>
              <w:t>±1.14</w:t>
            </w:r>
          </w:p>
        </w:tc>
      </w:tr>
      <w:tr w:rsidR="00CB5F95" w:rsidRPr="00E33297" w14:paraId="4D4BE8FF" w14:textId="77777777" w:rsidTr="00CB5F95">
        <w:trPr>
          <w:trHeight w:val="300"/>
        </w:trPr>
        <w:tc>
          <w:tcPr>
            <w:tcW w:w="2127" w:type="dxa"/>
            <w:vMerge w:val="restart"/>
            <w:tcBorders>
              <w:top w:val="nil"/>
              <w:left w:val="nil"/>
              <w:bottom w:val="single" w:sz="8" w:space="0" w:color="000000"/>
              <w:right w:val="nil"/>
            </w:tcBorders>
            <w:shd w:val="clear" w:color="auto" w:fill="auto"/>
            <w:vAlign w:val="center"/>
            <w:hideMark/>
          </w:tcPr>
          <w:p w14:paraId="4CFFAAE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x</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10-x</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70</w:t>
            </w:r>
          </w:p>
        </w:tc>
        <w:tc>
          <w:tcPr>
            <w:tcW w:w="2126" w:type="dxa"/>
            <w:tcBorders>
              <w:top w:val="nil"/>
              <w:left w:val="nil"/>
              <w:bottom w:val="nil"/>
              <w:right w:val="nil"/>
            </w:tcBorders>
            <w:shd w:val="clear" w:color="auto" w:fill="auto"/>
            <w:vAlign w:val="center"/>
            <w:hideMark/>
          </w:tcPr>
          <w:p w14:paraId="074D4A33"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0</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70</w:t>
            </w:r>
          </w:p>
        </w:tc>
        <w:tc>
          <w:tcPr>
            <w:tcW w:w="709" w:type="dxa"/>
            <w:tcBorders>
              <w:top w:val="nil"/>
              <w:left w:val="nil"/>
              <w:bottom w:val="nil"/>
              <w:right w:val="nil"/>
            </w:tcBorders>
            <w:shd w:val="clear" w:color="auto" w:fill="auto"/>
            <w:noWrap/>
            <w:vAlign w:val="center"/>
            <w:hideMark/>
          </w:tcPr>
          <w:p w14:paraId="3B2442EC"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8" w:type="dxa"/>
            <w:tcBorders>
              <w:top w:val="nil"/>
              <w:left w:val="nil"/>
              <w:bottom w:val="nil"/>
              <w:right w:val="nil"/>
            </w:tcBorders>
            <w:shd w:val="clear" w:color="auto" w:fill="auto"/>
            <w:noWrap/>
            <w:vAlign w:val="center"/>
            <w:hideMark/>
          </w:tcPr>
          <w:p w14:paraId="79281AA4"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12930DA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5</w:t>
            </w:r>
          </w:p>
        </w:tc>
        <w:tc>
          <w:tcPr>
            <w:tcW w:w="567" w:type="dxa"/>
            <w:tcBorders>
              <w:top w:val="nil"/>
              <w:left w:val="nil"/>
              <w:bottom w:val="nil"/>
              <w:right w:val="nil"/>
            </w:tcBorders>
            <w:shd w:val="clear" w:color="auto" w:fill="auto"/>
            <w:noWrap/>
            <w:vAlign w:val="center"/>
            <w:hideMark/>
          </w:tcPr>
          <w:p w14:paraId="2E7F6DC0"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69A22D6C"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0DB57DC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06A7D4B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70</w:t>
            </w:r>
          </w:p>
        </w:tc>
        <w:tc>
          <w:tcPr>
            <w:tcW w:w="1275" w:type="dxa"/>
            <w:tcBorders>
              <w:top w:val="nil"/>
              <w:left w:val="nil"/>
              <w:bottom w:val="nil"/>
              <w:right w:val="nil"/>
            </w:tcBorders>
            <w:shd w:val="clear" w:color="auto" w:fill="auto"/>
            <w:noWrap/>
            <w:vAlign w:val="center"/>
            <w:hideMark/>
          </w:tcPr>
          <w:p w14:paraId="6F98A056"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-9.36</w:t>
            </w:r>
            <w:r>
              <w:rPr>
                <w:rFonts w:eastAsia="Times New Roman" w:cs="Times New Roman"/>
                <w:b w:val="0"/>
                <w:color w:val="000000"/>
                <w:sz w:val="20"/>
                <w:szCs w:val="20"/>
                <w:lang w:eastAsia="en-MY"/>
              </w:rPr>
              <w:t>±1.25</w:t>
            </w:r>
          </w:p>
        </w:tc>
      </w:tr>
      <w:tr w:rsidR="00CB5F95" w:rsidRPr="00E33297" w14:paraId="55AD15A4" w14:textId="77777777" w:rsidTr="00CB5F95">
        <w:trPr>
          <w:trHeight w:val="285"/>
        </w:trPr>
        <w:tc>
          <w:tcPr>
            <w:tcW w:w="2127" w:type="dxa"/>
            <w:vMerge/>
            <w:tcBorders>
              <w:top w:val="nil"/>
              <w:left w:val="nil"/>
              <w:bottom w:val="single" w:sz="8" w:space="0" w:color="000000"/>
              <w:right w:val="nil"/>
            </w:tcBorders>
            <w:vAlign w:val="center"/>
            <w:hideMark/>
          </w:tcPr>
          <w:p w14:paraId="74364BE3" w14:textId="77777777" w:rsidR="00CB5F95" w:rsidRPr="00E33297" w:rsidRDefault="00CB5F95" w:rsidP="00CB5F95">
            <w:pPr>
              <w:spacing w:after="0" w:line="240" w:lineRule="auto"/>
              <w:rPr>
                <w:rFonts w:eastAsia="Times New Roman" w:cs="Times New Roman"/>
                <w:b w:val="0"/>
                <w:color w:val="000000"/>
                <w:sz w:val="20"/>
                <w:szCs w:val="20"/>
                <w:lang w:eastAsia="en-MY"/>
              </w:rPr>
            </w:pPr>
          </w:p>
        </w:tc>
        <w:tc>
          <w:tcPr>
            <w:tcW w:w="2126" w:type="dxa"/>
            <w:tcBorders>
              <w:top w:val="nil"/>
              <w:left w:val="nil"/>
              <w:bottom w:val="single" w:sz="8" w:space="0" w:color="auto"/>
              <w:right w:val="nil"/>
            </w:tcBorders>
            <w:shd w:val="clear" w:color="auto" w:fill="auto"/>
            <w:vAlign w:val="center"/>
            <w:hideMark/>
          </w:tcPr>
          <w:p w14:paraId="620A27B8"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70</w:t>
            </w:r>
          </w:p>
        </w:tc>
        <w:tc>
          <w:tcPr>
            <w:tcW w:w="709" w:type="dxa"/>
            <w:tcBorders>
              <w:top w:val="nil"/>
              <w:left w:val="nil"/>
              <w:bottom w:val="single" w:sz="8" w:space="0" w:color="auto"/>
              <w:right w:val="nil"/>
            </w:tcBorders>
            <w:shd w:val="clear" w:color="auto" w:fill="auto"/>
            <w:noWrap/>
            <w:vAlign w:val="center"/>
            <w:hideMark/>
          </w:tcPr>
          <w:p w14:paraId="3AA2992F"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8" w:type="dxa"/>
            <w:tcBorders>
              <w:top w:val="nil"/>
              <w:left w:val="nil"/>
              <w:bottom w:val="single" w:sz="8" w:space="0" w:color="auto"/>
              <w:right w:val="nil"/>
            </w:tcBorders>
            <w:shd w:val="clear" w:color="auto" w:fill="auto"/>
            <w:noWrap/>
            <w:vAlign w:val="center"/>
            <w:hideMark/>
          </w:tcPr>
          <w:p w14:paraId="0ADB63A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single" w:sz="8" w:space="0" w:color="auto"/>
              <w:right w:val="nil"/>
            </w:tcBorders>
            <w:shd w:val="clear" w:color="auto" w:fill="auto"/>
            <w:noWrap/>
            <w:vAlign w:val="center"/>
            <w:hideMark/>
          </w:tcPr>
          <w:p w14:paraId="1D8B1E1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5</w:t>
            </w:r>
          </w:p>
        </w:tc>
        <w:tc>
          <w:tcPr>
            <w:tcW w:w="567" w:type="dxa"/>
            <w:tcBorders>
              <w:top w:val="nil"/>
              <w:left w:val="nil"/>
              <w:bottom w:val="single" w:sz="8" w:space="0" w:color="auto"/>
              <w:right w:val="nil"/>
            </w:tcBorders>
            <w:shd w:val="clear" w:color="auto" w:fill="auto"/>
            <w:noWrap/>
            <w:vAlign w:val="center"/>
            <w:hideMark/>
          </w:tcPr>
          <w:p w14:paraId="7D0E2E12"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single" w:sz="8" w:space="0" w:color="auto"/>
              <w:right w:val="nil"/>
            </w:tcBorders>
            <w:shd w:val="clear" w:color="auto" w:fill="auto"/>
            <w:noWrap/>
            <w:vAlign w:val="center"/>
            <w:hideMark/>
          </w:tcPr>
          <w:p w14:paraId="240A60F3"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single" w:sz="8" w:space="0" w:color="auto"/>
              <w:right w:val="nil"/>
            </w:tcBorders>
            <w:shd w:val="clear" w:color="auto" w:fill="auto"/>
            <w:noWrap/>
            <w:vAlign w:val="center"/>
            <w:hideMark/>
          </w:tcPr>
          <w:p w14:paraId="3D36203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single" w:sz="8" w:space="0" w:color="auto"/>
              <w:right w:val="nil"/>
            </w:tcBorders>
            <w:shd w:val="clear" w:color="auto" w:fill="auto"/>
            <w:noWrap/>
            <w:vAlign w:val="center"/>
            <w:hideMark/>
          </w:tcPr>
          <w:p w14:paraId="607EEB4B"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70</w:t>
            </w:r>
          </w:p>
        </w:tc>
        <w:tc>
          <w:tcPr>
            <w:tcW w:w="1275" w:type="dxa"/>
            <w:tcBorders>
              <w:top w:val="nil"/>
              <w:left w:val="nil"/>
              <w:bottom w:val="single" w:sz="8" w:space="0" w:color="auto"/>
              <w:right w:val="nil"/>
            </w:tcBorders>
            <w:shd w:val="clear" w:color="auto" w:fill="auto"/>
            <w:noWrap/>
            <w:vAlign w:val="center"/>
            <w:hideMark/>
          </w:tcPr>
          <w:p w14:paraId="00158C1E"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-15.32</w:t>
            </w:r>
            <w:r>
              <w:rPr>
                <w:rFonts w:eastAsia="Times New Roman" w:cs="Times New Roman"/>
                <w:b w:val="0"/>
                <w:color w:val="000000"/>
                <w:sz w:val="20"/>
                <w:szCs w:val="20"/>
                <w:lang w:eastAsia="en-MY"/>
              </w:rPr>
              <w:t>±1.59</w:t>
            </w:r>
          </w:p>
        </w:tc>
      </w:tr>
      <w:tr w:rsidR="00CB5F95" w:rsidRPr="00E33297" w14:paraId="58ECC5CD" w14:textId="77777777" w:rsidTr="00CB5F95">
        <w:trPr>
          <w:trHeight w:val="300"/>
        </w:trPr>
        <w:tc>
          <w:tcPr>
            <w:tcW w:w="2127" w:type="dxa"/>
            <w:vMerge w:val="restart"/>
            <w:tcBorders>
              <w:top w:val="nil"/>
              <w:left w:val="nil"/>
              <w:bottom w:val="single" w:sz="8" w:space="0" w:color="000000"/>
              <w:right w:val="nil"/>
            </w:tcBorders>
            <w:shd w:val="clear" w:color="auto" w:fill="auto"/>
            <w:vAlign w:val="center"/>
            <w:hideMark/>
          </w:tcPr>
          <w:p w14:paraId="6C241E00"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x</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20-x</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2126" w:type="dxa"/>
            <w:tcBorders>
              <w:top w:val="nil"/>
              <w:left w:val="nil"/>
              <w:bottom w:val="nil"/>
              <w:right w:val="nil"/>
            </w:tcBorders>
            <w:shd w:val="clear" w:color="auto" w:fill="auto"/>
            <w:vAlign w:val="center"/>
            <w:hideMark/>
          </w:tcPr>
          <w:p w14:paraId="409FE348"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709" w:type="dxa"/>
            <w:tcBorders>
              <w:top w:val="nil"/>
              <w:left w:val="nil"/>
              <w:bottom w:val="nil"/>
              <w:right w:val="nil"/>
            </w:tcBorders>
            <w:shd w:val="clear" w:color="auto" w:fill="auto"/>
            <w:noWrap/>
            <w:vAlign w:val="center"/>
            <w:hideMark/>
          </w:tcPr>
          <w:p w14:paraId="50DF0F9B"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8" w:type="dxa"/>
            <w:tcBorders>
              <w:top w:val="nil"/>
              <w:left w:val="nil"/>
              <w:bottom w:val="nil"/>
              <w:right w:val="nil"/>
            </w:tcBorders>
            <w:shd w:val="clear" w:color="auto" w:fill="auto"/>
            <w:noWrap/>
            <w:vAlign w:val="center"/>
            <w:hideMark/>
          </w:tcPr>
          <w:p w14:paraId="18668DF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316122B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5</w:t>
            </w:r>
          </w:p>
        </w:tc>
        <w:tc>
          <w:tcPr>
            <w:tcW w:w="567" w:type="dxa"/>
            <w:tcBorders>
              <w:top w:val="nil"/>
              <w:left w:val="nil"/>
              <w:bottom w:val="nil"/>
              <w:right w:val="nil"/>
            </w:tcBorders>
            <w:shd w:val="clear" w:color="auto" w:fill="auto"/>
            <w:noWrap/>
            <w:vAlign w:val="center"/>
            <w:hideMark/>
          </w:tcPr>
          <w:p w14:paraId="767D5BC2"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423611CB"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5</w:t>
            </w:r>
          </w:p>
        </w:tc>
        <w:tc>
          <w:tcPr>
            <w:tcW w:w="709" w:type="dxa"/>
            <w:tcBorders>
              <w:top w:val="nil"/>
              <w:left w:val="nil"/>
              <w:bottom w:val="nil"/>
              <w:right w:val="nil"/>
            </w:tcBorders>
            <w:shd w:val="clear" w:color="auto" w:fill="auto"/>
            <w:noWrap/>
            <w:vAlign w:val="center"/>
            <w:hideMark/>
          </w:tcPr>
          <w:p w14:paraId="2F557D60"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9" w:type="dxa"/>
            <w:tcBorders>
              <w:top w:val="nil"/>
              <w:left w:val="nil"/>
              <w:bottom w:val="nil"/>
              <w:right w:val="nil"/>
            </w:tcBorders>
            <w:shd w:val="clear" w:color="auto" w:fill="auto"/>
            <w:noWrap/>
            <w:vAlign w:val="center"/>
            <w:hideMark/>
          </w:tcPr>
          <w:p w14:paraId="7DB7A38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60</w:t>
            </w:r>
          </w:p>
        </w:tc>
        <w:tc>
          <w:tcPr>
            <w:tcW w:w="1275" w:type="dxa"/>
            <w:tcBorders>
              <w:top w:val="nil"/>
              <w:left w:val="nil"/>
              <w:bottom w:val="nil"/>
              <w:right w:val="nil"/>
            </w:tcBorders>
            <w:shd w:val="clear" w:color="auto" w:fill="auto"/>
            <w:noWrap/>
            <w:vAlign w:val="center"/>
            <w:hideMark/>
          </w:tcPr>
          <w:p w14:paraId="0909D2E8"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-3.19</w:t>
            </w:r>
            <w:r>
              <w:rPr>
                <w:rFonts w:eastAsia="Times New Roman" w:cs="Times New Roman"/>
                <w:b w:val="0"/>
                <w:color w:val="000000"/>
                <w:sz w:val="20"/>
                <w:szCs w:val="20"/>
                <w:lang w:eastAsia="en-MY"/>
              </w:rPr>
              <w:t>±1.08</w:t>
            </w:r>
          </w:p>
        </w:tc>
      </w:tr>
      <w:tr w:rsidR="00CB5F95" w:rsidRPr="00E33297" w14:paraId="3077CBD2" w14:textId="77777777" w:rsidTr="00CB5F95">
        <w:trPr>
          <w:trHeight w:val="285"/>
        </w:trPr>
        <w:tc>
          <w:tcPr>
            <w:tcW w:w="2127" w:type="dxa"/>
            <w:vMerge/>
            <w:tcBorders>
              <w:top w:val="nil"/>
              <w:left w:val="nil"/>
              <w:bottom w:val="single" w:sz="8" w:space="0" w:color="000000"/>
              <w:right w:val="nil"/>
            </w:tcBorders>
            <w:vAlign w:val="center"/>
            <w:hideMark/>
          </w:tcPr>
          <w:p w14:paraId="0E6D3A2B" w14:textId="77777777" w:rsidR="00CB5F95" w:rsidRPr="00E33297" w:rsidRDefault="00CB5F95" w:rsidP="00CB5F95">
            <w:pPr>
              <w:spacing w:after="0" w:line="240" w:lineRule="auto"/>
              <w:rPr>
                <w:rFonts w:eastAsia="Times New Roman" w:cs="Times New Roman"/>
                <w:b w:val="0"/>
                <w:color w:val="000000"/>
                <w:sz w:val="20"/>
                <w:szCs w:val="20"/>
                <w:lang w:eastAsia="en-MY"/>
              </w:rPr>
            </w:pPr>
          </w:p>
        </w:tc>
        <w:tc>
          <w:tcPr>
            <w:tcW w:w="2126" w:type="dxa"/>
            <w:tcBorders>
              <w:top w:val="nil"/>
              <w:left w:val="nil"/>
              <w:bottom w:val="nil"/>
              <w:right w:val="nil"/>
            </w:tcBorders>
            <w:shd w:val="clear" w:color="auto" w:fill="auto"/>
            <w:vAlign w:val="center"/>
            <w:hideMark/>
          </w:tcPr>
          <w:p w14:paraId="0F5D3E4B"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709" w:type="dxa"/>
            <w:tcBorders>
              <w:top w:val="nil"/>
              <w:left w:val="nil"/>
              <w:bottom w:val="nil"/>
              <w:right w:val="nil"/>
            </w:tcBorders>
            <w:shd w:val="clear" w:color="auto" w:fill="auto"/>
            <w:noWrap/>
            <w:vAlign w:val="center"/>
            <w:hideMark/>
          </w:tcPr>
          <w:p w14:paraId="072B7F5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8" w:type="dxa"/>
            <w:tcBorders>
              <w:top w:val="nil"/>
              <w:left w:val="nil"/>
              <w:bottom w:val="nil"/>
              <w:right w:val="nil"/>
            </w:tcBorders>
            <w:shd w:val="clear" w:color="auto" w:fill="auto"/>
            <w:noWrap/>
            <w:vAlign w:val="center"/>
            <w:hideMark/>
          </w:tcPr>
          <w:p w14:paraId="2AC0FA02"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4843EA8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5</w:t>
            </w:r>
          </w:p>
        </w:tc>
        <w:tc>
          <w:tcPr>
            <w:tcW w:w="567" w:type="dxa"/>
            <w:tcBorders>
              <w:top w:val="nil"/>
              <w:left w:val="nil"/>
              <w:bottom w:val="nil"/>
              <w:right w:val="nil"/>
            </w:tcBorders>
            <w:shd w:val="clear" w:color="auto" w:fill="auto"/>
            <w:noWrap/>
            <w:vAlign w:val="center"/>
            <w:hideMark/>
          </w:tcPr>
          <w:p w14:paraId="708A1C8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7D756A2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1C76C8AB"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13FD01E5"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60</w:t>
            </w:r>
          </w:p>
        </w:tc>
        <w:tc>
          <w:tcPr>
            <w:tcW w:w="1275" w:type="dxa"/>
            <w:tcBorders>
              <w:top w:val="nil"/>
              <w:left w:val="nil"/>
              <w:bottom w:val="nil"/>
              <w:right w:val="nil"/>
            </w:tcBorders>
            <w:shd w:val="clear" w:color="auto" w:fill="auto"/>
            <w:noWrap/>
            <w:vAlign w:val="center"/>
            <w:hideMark/>
          </w:tcPr>
          <w:p w14:paraId="6C3E6363"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-17.92</w:t>
            </w:r>
            <w:r>
              <w:rPr>
                <w:rFonts w:eastAsia="Times New Roman" w:cs="Times New Roman"/>
                <w:b w:val="0"/>
                <w:color w:val="000000"/>
                <w:sz w:val="20"/>
                <w:szCs w:val="20"/>
                <w:lang w:eastAsia="en-MY"/>
              </w:rPr>
              <w:t>±1.59</w:t>
            </w:r>
          </w:p>
        </w:tc>
      </w:tr>
      <w:tr w:rsidR="00CB5F95" w:rsidRPr="00E33297" w14:paraId="0B0E33AE" w14:textId="77777777" w:rsidTr="00CB5F95">
        <w:trPr>
          <w:trHeight w:val="285"/>
        </w:trPr>
        <w:tc>
          <w:tcPr>
            <w:tcW w:w="2127" w:type="dxa"/>
            <w:vMerge/>
            <w:tcBorders>
              <w:top w:val="nil"/>
              <w:left w:val="nil"/>
              <w:bottom w:val="single" w:sz="8" w:space="0" w:color="000000"/>
              <w:right w:val="nil"/>
            </w:tcBorders>
            <w:vAlign w:val="center"/>
            <w:hideMark/>
          </w:tcPr>
          <w:p w14:paraId="7ED2FEB1" w14:textId="77777777" w:rsidR="00CB5F95" w:rsidRPr="00E33297" w:rsidRDefault="00CB5F95" w:rsidP="00CB5F95">
            <w:pPr>
              <w:spacing w:after="0" w:line="240" w:lineRule="auto"/>
              <w:rPr>
                <w:rFonts w:eastAsia="Times New Roman" w:cs="Times New Roman"/>
                <w:b w:val="0"/>
                <w:color w:val="000000"/>
                <w:sz w:val="20"/>
                <w:szCs w:val="20"/>
                <w:lang w:eastAsia="en-MY"/>
              </w:rPr>
            </w:pPr>
          </w:p>
        </w:tc>
        <w:tc>
          <w:tcPr>
            <w:tcW w:w="2126" w:type="dxa"/>
            <w:tcBorders>
              <w:top w:val="nil"/>
              <w:left w:val="nil"/>
              <w:bottom w:val="single" w:sz="8" w:space="0" w:color="auto"/>
              <w:right w:val="nil"/>
            </w:tcBorders>
            <w:shd w:val="clear" w:color="auto" w:fill="auto"/>
            <w:vAlign w:val="center"/>
            <w:hideMark/>
          </w:tcPr>
          <w:p w14:paraId="7F81D079"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709" w:type="dxa"/>
            <w:tcBorders>
              <w:top w:val="nil"/>
              <w:left w:val="nil"/>
              <w:bottom w:val="single" w:sz="8" w:space="0" w:color="auto"/>
              <w:right w:val="nil"/>
            </w:tcBorders>
            <w:shd w:val="clear" w:color="auto" w:fill="auto"/>
            <w:noWrap/>
            <w:vAlign w:val="center"/>
            <w:hideMark/>
          </w:tcPr>
          <w:p w14:paraId="32279BAF"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8" w:type="dxa"/>
            <w:tcBorders>
              <w:top w:val="nil"/>
              <w:left w:val="nil"/>
              <w:bottom w:val="single" w:sz="8" w:space="0" w:color="auto"/>
              <w:right w:val="nil"/>
            </w:tcBorders>
            <w:shd w:val="clear" w:color="auto" w:fill="auto"/>
            <w:noWrap/>
            <w:vAlign w:val="center"/>
            <w:hideMark/>
          </w:tcPr>
          <w:p w14:paraId="348C4771"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single" w:sz="8" w:space="0" w:color="auto"/>
              <w:right w:val="nil"/>
            </w:tcBorders>
            <w:shd w:val="clear" w:color="auto" w:fill="auto"/>
            <w:noWrap/>
            <w:vAlign w:val="center"/>
            <w:hideMark/>
          </w:tcPr>
          <w:p w14:paraId="049D7CB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5</w:t>
            </w:r>
          </w:p>
        </w:tc>
        <w:tc>
          <w:tcPr>
            <w:tcW w:w="567" w:type="dxa"/>
            <w:tcBorders>
              <w:top w:val="nil"/>
              <w:left w:val="nil"/>
              <w:bottom w:val="single" w:sz="8" w:space="0" w:color="auto"/>
              <w:right w:val="nil"/>
            </w:tcBorders>
            <w:shd w:val="clear" w:color="auto" w:fill="auto"/>
            <w:noWrap/>
            <w:vAlign w:val="center"/>
            <w:hideMark/>
          </w:tcPr>
          <w:p w14:paraId="28C72B7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single" w:sz="8" w:space="0" w:color="auto"/>
              <w:right w:val="nil"/>
            </w:tcBorders>
            <w:shd w:val="clear" w:color="auto" w:fill="auto"/>
            <w:noWrap/>
            <w:vAlign w:val="center"/>
            <w:hideMark/>
          </w:tcPr>
          <w:p w14:paraId="7BDB2EAC"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5</w:t>
            </w:r>
          </w:p>
        </w:tc>
        <w:tc>
          <w:tcPr>
            <w:tcW w:w="709" w:type="dxa"/>
            <w:tcBorders>
              <w:top w:val="nil"/>
              <w:left w:val="nil"/>
              <w:bottom w:val="single" w:sz="8" w:space="0" w:color="auto"/>
              <w:right w:val="nil"/>
            </w:tcBorders>
            <w:shd w:val="clear" w:color="auto" w:fill="auto"/>
            <w:noWrap/>
            <w:vAlign w:val="center"/>
            <w:hideMark/>
          </w:tcPr>
          <w:p w14:paraId="229A706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9" w:type="dxa"/>
            <w:tcBorders>
              <w:top w:val="nil"/>
              <w:left w:val="nil"/>
              <w:bottom w:val="single" w:sz="8" w:space="0" w:color="auto"/>
              <w:right w:val="nil"/>
            </w:tcBorders>
            <w:shd w:val="clear" w:color="auto" w:fill="auto"/>
            <w:noWrap/>
            <w:vAlign w:val="center"/>
            <w:hideMark/>
          </w:tcPr>
          <w:p w14:paraId="19D6D2E5"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60</w:t>
            </w:r>
          </w:p>
        </w:tc>
        <w:tc>
          <w:tcPr>
            <w:tcW w:w="1275" w:type="dxa"/>
            <w:tcBorders>
              <w:top w:val="nil"/>
              <w:left w:val="nil"/>
              <w:bottom w:val="single" w:sz="8" w:space="0" w:color="auto"/>
              <w:right w:val="nil"/>
            </w:tcBorders>
            <w:shd w:val="clear" w:color="auto" w:fill="auto"/>
            <w:noWrap/>
            <w:vAlign w:val="center"/>
            <w:hideMark/>
          </w:tcPr>
          <w:p w14:paraId="61656CDD"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-21.1</w:t>
            </w:r>
            <w:r>
              <w:rPr>
                <w:rFonts w:eastAsia="Times New Roman" w:cs="Times New Roman"/>
                <w:b w:val="0"/>
                <w:color w:val="000000"/>
                <w:sz w:val="20"/>
                <w:szCs w:val="20"/>
                <w:lang w:eastAsia="en-MY"/>
              </w:rPr>
              <w:t>±1.57</w:t>
            </w:r>
          </w:p>
        </w:tc>
      </w:tr>
      <w:tr w:rsidR="00CB5F95" w:rsidRPr="00E33297" w14:paraId="2A52ADEC" w14:textId="77777777" w:rsidTr="00CB5F95">
        <w:trPr>
          <w:trHeight w:val="285"/>
        </w:trPr>
        <w:tc>
          <w:tcPr>
            <w:tcW w:w="2127" w:type="dxa"/>
            <w:vMerge w:val="restart"/>
            <w:tcBorders>
              <w:top w:val="nil"/>
              <w:left w:val="nil"/>
              <w:bottom w:val="nil"/>
              <w:right w:val="nil"/>
            </w:tcBorders>
            <w:shd w:val="clear" w:color="auto" w:fill="auto"/>
            <w:vAlign w:val="center"/>
            <w:hideMark/>
          </w:tcPr>
          <w:p w14:paraId="3AE14213"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x</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15-x</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2126" w:type="dxa"/>
            <w:tcBorders>
              <w:top w:val="nil"/>
              <w:left w:val="nil"/>
              <w:bottom w:val="nil"/>
              <w:right w:val="nil"/>
            </w:tcBorders>
            <w:shd w:val="clear" w:color="auto" w:fill="auto"/>
            <w:vAlign w:val="center"/>
            <w:hideMark/>
          </w:tcPr>
          <w:p w14:paraId="6EB09EA7"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7.5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7.5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709" w:type="dxa"/>
            <w:tcBorders>
              <w:top w:val="nil"/>
              <w:left w:val="nil"/>
              <w:bottom w:val="nil"/>
              <w:right w:val="nil"/>
            </w:tcBorders>
            <w:shd w:val="clear" w:color="auto" w:fill="auto"/>
            <w:noWrap/>
            <w:vAlign w:val="center"/>
            <w:hideMark/>
          </w:tcPr>
          <w:p w14:paraId="08C35F03"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8" w:type="dxa"/>
            <w:tcBorders>
              <w:top w:val="nil"/>
              <w:left w:val="nil"/>
              <w:bottom w:val="nil"/>
              <w:right w:val="nil"/>
            </w:tcBorders>
            <w:shd w:val="clear" w:color="auto" w:fill="auto"/>
            <w:noWrap/>
            <w:vAlign w:val="center"/>
            <w:hideMark/>
          </w:tcPr>
          <w:p w14:paraId="4A20B0C2"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6329E4E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7.5</w:t>
            </w:r>
          </w:p>
        </w:tc>
        <w:tc>
          <w:tcPr>
            <w:tcW w:w="567" w:type="dxa"/>
            <w:tcBorders>
              <w:top w:val="nil"/>
              <w:left w:val="nil"/>
              <w:bottom w:val="nil"/>
              <w:right w:val="nil"/>
            </w:tcBorders>
            <w:shd w:val="clear" w:color="auto" w:fill="auto"/>
            <w:noWrap/>
            <w:vAlign w:val="center"/>
            <w:hideMark/>
          </w:tcPr>
          <w:p w14:paraId="59407239"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186AE6E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7.5</w:t>
            </w:r>
          </w:p>
        </w:tc>
        <w:tc>
          <w:tcPr>
            <w:tcW w:w="709" w:type="dxa"/>
            <w:tcBorders>
              <w:top w:val="nil"/>
              <w:left w:val="nil"/>
              <w:bottom w:val="nil"/>
              <w:right w:val="nil"/>
            </w:tcBorders>
            <w:shd w:val="clear" w:color="auto" w:fill="auto"/>
            <w:noWrap/>
            <w:vAlign w:val="center"/>
            <w:hideMark/>
          </w:tcPr>
          <w:p w14:paraId="5828D880"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32068343"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60</w:t>
            </w:r>
          </w:p>
        </w:tc>
        <w:tc>
          <w:tcPr>
            <w:tcW w:w="1275" w:type="dxa"/>
            <w:tcBorders>
              <w:top w:val="nil"/>
              <w:left w:val="nil"/>
              <w:bottom w:val="nil"/>
              <w:right w:val="nil"/>
            </w:tcBorders>
            <w:shd w:val="clear" w:color="auto" w:fill="auto"/>
            <w:noWrap/>
            <w:vAlign w:val="center"/>
            <w:hideMark/>
          </w:tcPr>
          <w:p w14:paraId="3EE6763C"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-0.11</w:t>
            </w:r>
            <w:r>
              <w:rPr>
                <w:rFonts w:eastAsia="Times New Roman" w:cs="Times New Roman"/>
                <w:b w:val="0"/>
                <w:color w:val="000000"/>
                <w:sz w:val="20"/>
                <w:szCs w:val="20"/>
                <w:lang w:eastAsia="en-MY"/>
              </w:rPr>
              <w:t>±1.27</w:t>
            </w:r>
          </w:p>
        </w:tc>
      </w:tr>
      <w:tr w:rsidR="00CB5F95" w:rsidRPr="00E33297" w14:paraId="4773E965" w14:textId="77777777" w:rsidTr="00CB5F95">
        <w:trPr>
          <w:trHeight w:val="315"/>
        </w:trPr>
        <w:tc>
          <w:tcPr>
            <w:tcW w:w="2127" w:type="dxa"/>
            <w:vMerge/>
            <w:tcBorders>
              <w:top w:val="nil"/>
              <w:left w:val="nil"/>
              <w:bottom w:val="nil"/>
              <w:right w:val="nil"/>
            </w:tcBorders>
            <w:vAlign w:val="center"/>
            <w:hideMark/>
          </w:tcPr>
          <w:p w14:paraId="40E6ED35" w14:textId="77777777" w:rsidR="00CB5F95" w:rsidRPr="00E33297" w:rsidRDefault="00CB5F95" w:rsidP="00CB5F95">
            <w:pPr>
              <w:spacing w:after="0" w:line="240" w:lineRule="auto"/>
              <w:rPr>
                <w:rFonts w:eastAsia="Times New Roman" w:cs="Times New Roman"/>
                <w:b w:val="0"/>
                <w:color w:val="000000"/>
                <w:sz w:val="20"/>
                <w:szCs w:val="20"/>
                <w:lang w:eastAsia="en-MY"/>
              </w:rPr>
            </w:pPr>
          </w:p>
        </w:tc>
        <w:tc>
          <w:tcPr>
            <w:tcW w:w="2126" w:type="dxa"/>
            <w:tcBorders>
              <w:top w:val="nil"/>
              <w:left w:val="nil"/>
              <w:bottom w:val="nil"/>
              <w:right w:val="nil"/>
            </w:tcBorders>
            <w:shd w:val="clear" w:color="auto" w:fill="auto"/>
            <w:vAlign w:val="center"/>
            <w:hideMark/>
          </w:tcPr>
          <w:p w14:paraId="7626E61D"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709" w:type="dxa"/>
            <w:tcBorders>
              <w:top w:val="nil"/>
              <w:left w:val="nil"/>
              <w:bottom w:val="nil"/>
              <w:right w:val="nil"/>
            </w:tcBorders>
            <w:shd w:val="clear" w:color="auto" w:fill="auto"/>
            <w:noWrap/>
            <w:vAlign w:val="center"/>
            <w:hideMark/>
          </w:tcPr>
          <w:p w14:paraId="4D56DAE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8" w:type="dxa"/>
            <w:tcBorders>
              <w:top w:val="nil"/>
              <w:left w:val="nil"/>
              <w:bottom w:val="nil"/>
              <w:right w:val="nil"/>
            </w:tcBorders>
            <w:shd w:val="clear" w:color="auto" w:fill="auto"/>
            <w:noWrap/>
            <w:vAlign w:val="center"/>
            <w:hideMark/>
          </w:tcPr>
          <w:p w14:paraId="181886D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7FF9C569"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567" w:type="dxa"/>
            <w:tcBorders>
              <w:top w:val="nil"/>
              <w:left w:val="nil"/>
              <w:bottom w:val="nil"/>
              <w:right w:val="nil"/>
            </w:tcBorders>
            <w:shd w:val="clear" w:color="auto" w:fill="auto"/>
            <w:noWrap/>
            <w:vAlign w:val="center"/>
            <w:hideMark/>
          </w:tcPr>
          <w:p w14:paraId="2C174F2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15441DF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5</w:t>
            </w:r>
          </w:p>
        </w:tc>
        <w:tc>
          <w:tcPr>
            <w:tcW w:w="709" w:type="dxa"/>
            <w:tcBorders>
              <w:top w:val="nil"/>
              <w:left w:val="nil"/>
              <w:bottom w:val="nil"/>
              <w:right w:val="nil"/>
            </w:tcBorders>
            <w:shd w:val="clear" w:color="auto" w:fill="auto"/>
            <w:noWrap/>
            <w:vAlign w:val="center"/>
            <w:hideMark/>
          </w:tcPr>
          <w:p w14:paraId="713EC9FF"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10D83519"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60</w:t>
            </w:r>
          </w:p>
        </w:tc>
        <w:tc>
          <w:tcPr>
            <w:tcW w:w="1275" w:type="dxa"/>
            <w:tcBorders>
              <w:top w:val="nil"/>
              <w:left w:val="nil"/>
              <w:bottom w:val="nil"/>
              <w:right w:val="nil"/>
            </w:tcBorders>
            <w:shd w:val="clear" w:color="auto" w:fill="auto"/>
            <w:noWrap/>
            <w:vAlign w:val="center"/>
            <w:hideMark/>
          </w:tcPr>
          <w:p w14:paraId="5179C47E"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6.33</w:t>
            </w:r>
            <w:r>
              <w:rPr>
                <w:rFonts w:eastAsia="Times New Roman" w:cs="Times New Roman"/>
                <w:b w:val="0"/>
                <w:color w:val="000000"/>
                <w:sz w:val="20"/>
                <w:szCs w:val="20"/>
                <w:lang w:eastAsia="en-MY"/>
              </w:rPr>
              <w:t>±1.20</w:t>
            </w:r>
          </w:p>
        </w:tc>
      </w:tr>
      <w:tr w:rsidR="00CB5F95" w:rsidRPr="00E33297" w14:paraId="04C5719F" w14:textId="77777777" w:rsidTr="00CB5F95">
        <w:trPr>
          <w:trHeight w:val="315"/>
        </w:trPr>
        <w:tc>
          <w:tcPr>
            <w:tcW w:w="2127" w:type="dxa"/>
            <w:vMerge/>
            <w:tcBorders>
              <w:top w:val="nil"/>
              <w:left w:val="nil"/>
              <w:bottom w:val="nil"/>
              <w:right w:val="nil"/>
            </w:tcBorders>
            <w:vAlign w:val="center"/>
            <w:hideMark/>
          </w:tcPr>
          <w:p w14:paraId="44CD9671" w14:textId="77777777" w:rsidR="00CB5F95" w:rsidRPr="00E33297" w:rsidRDefault="00CB5F95" w:rsidP="00CB5F95">
            <w:pPr>
              <w:spacing w:after="0" w:line="240" w:lineRule="auto"/>
              <w:rPr>
                <w:rFonts w:eastAsia="Times New Roman" w:cs="Times New Roman"/>
                <w:b w:val="0"/>
                <w:color w:val="000000"/>
                <w:sz w:val="20"/>
                <w:szCs w:val="20"/>
                <w:lang w:eastAsia="en-MY"/>
              </w:rPr>
            </w:pPr>
          </w:p>
        </w:tc>
        <w:tc>
          <w:tcPr>
            <w:tcW w:w="2126" w:type="dxa"/>
            <w:tcBorders>
              <w:top w:val="nil"/>
              <w:left w:val="nil"/>
              <w:bottom w:val="nil"/>
              <w:right w:val="nil"/>
            </w:tcBorders>
            <w:shd w:val="clear" w:color="auto" w:fill="auto"/>
            <w:vAlign w:val="center"/>
            <w:hideMark/>
          </w:tcPr>
          <w:p w14:paraId="1E114339"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12.5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2.5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709" w:type="dxa"/>
            <w:tcBorders>
              <w:top w:val="nil"/>
              <w:left w:val="nil"/>
              <w:bottom w:val="nil"/>
              <w:right w:val="nil"/>
            </w:tcBorders>
            <w:shd w:val="clear" w:color="auto" w:fill="auto"/>
            <w:noWrap/>
            <w:vAlign w:val="center"/>
            <w:hideMark/>
          </w:tcPr>
          <w:p w14:paraId="174C90D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8" w:type="dxa"/>
            <w:tcBorders>
              <w:top w:val="nil"/>
              <w:left w:val="nil"/>
              <w:bottom w:val="nil"/>
              <w:right w:val="nil"/>
            </w:tcBorders>
            <w:shd w:val="clear" w:color="auto" w:fill="auto"/>
            <w:noWrap/>
            <w:vAlign w:val="center"/>
            <w:hideMark/>
          </w:tcPr>
          <w:p w14:paraId="6F5D453F"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6836641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12.5</w:t>
            </w:r>
          </w:p>
        </w:tc>
        <w:tc>
          <w:tcPr>
            <w:tcW w:w="567" w:type="dxa"/>
            <w:tcBorders>
              <w:top w:val="nil"/>
              <w:left w:val="nil"/>
              <w:bottom w:val="nil"/>
              <w:right w:val="nil"/>
            </w:tcBorders>
            <w:shd w:val="clear" w:color="auto" w:fill="auto"/>
            <w:noWrap/>
            <w:vAlign w:val="center"/>
            <w:hideMark/>
          </w:tcPr>
          <w:p w14:paraId="09ABB1D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1AD2178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2.5</w:t>
            </w:r>
          </w:p>
        </w:tc>
        <w:tc>
          <w:tcPr>
            <w:tcW w:w="709" w:type="dxa"/>
            <w:tcBorders>
              <w:top w:val="nil"/>
              <w:left w:val="nil"/>
              <w:bottom w:val="nil"/>
              <w:right w:val="nil"/>
            </w:tcBorders>
            <w:shd w:val="clear" w:color="auto" w:fill="auto"/>
            <w:noWrap/>
            <w:vAlign w:val="center"/>
            <w:hideMark/>
          </w:tcPr>
          <w:p w14:paraId="08DDD6D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41879114"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60</w:t>
            </w:r>
          </w:p>
        </w:tc>
        <w:tc>
          <w:tcPr>
            <w:tcW w:w="1275" w:type="dxa"/>
            <w:tcBorders>
              <w:top w:val="nil"/>
              <w:left w:val="nil"/>
              <w:bottom w:val="single" w:sz="8" w:space="0" w:color="auto"/>
              <w:right w:val="nil"/>
            </w:tcBorders>
            <w:shd w:val="clear" w:color="auto" w:fill="auto"/>
            <w:noWrap/>
            <w:vAlign w:val="center"/>
            <w:hideMark/>
          </w:tcPr>
          <w:p w14:paraId="08D59518"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11.48</w:t>
            </w:r>
            <w:r>
              <w:rPr>
                <w:rFonts w:eastAsia="Times New Roman" w:cs="Times New Roman"/>
                <w:b w:val="0"/>
                <w:color w:val="000000"/>
                <w:sz w:val="20"/>
                <w:szCs w:val="20"/>
                <w:lang w:eastAsia="en-MY"/>
              </w:rPr>
              <w:t>±1.28</w:t>
            </w:r>
          </w:p>
        </w:tc>
      </w:tr>
      <w:tr w:rsidR="00CB5F95" w:rsidRPr="00E33297" w14:paraId="436BFF80" w14:textId="77777777" w:rsidTr="00CB5F95">
        <w:trPr>
          <w:trHeight w:val="315"/>
        </w:trPr>
        <w:tc>
          <w:tcPr>
            <w:tcW w:w="2127" w:type="dxa"/>
            <w:tcBorders>
              <w:top w:val="single" w:sz="8" w:space="0" w:color="auto"/>
              <w:left w:val="nil"/>
              <w:bottom w:val="nil"/>
              <w:right w:val="nil"/>
            </w:tcBorders>
            <w:shd w:val="clear" w:color="auto" w:fill="auto"/>
            <w:vAlign w:val="center"/>
            <w:hideMark/>
          </w:tcPr>
          <w:p w14:paraId="25A48135" w14:textId="77777777" w:rsidR="00CB5F95" w:rsidRPr="00E33297" w:rsidRDefault="00CB5F95" w:rsidP="00CB5F95">
            <w:pPr>
              <w:spacing w:after="0" w:line="240" w:lineRule="auto"/>
              <w:rPr>
                <w:rFonts w:ascii="Calibri" w:eastAsia="Times New Roman" w:hAnsi="Calibri" w:cs="Times New Roman"/>
                <w:b w:val="0"/>
                <w:color w:val="000000"/>
                <w:sz w:val="22"/>
                <w:lang w:eastAsia="en-MY"/>
              </w:rPr>
            </w:pPr>
            <w:r w:rsidRPr="00E33297">
              <w:rPr>
                <w:rFonts w:ascii="Calibri" w:eastAsia="Times New Roman" w:hAnsi="Calibri" w:cs="Times New Roman"/>
                <w:b w:val="0"/>
                <w:color w:val="000000"/>
                <w:sz w:val="22"/>
                <w:lang w:eastAsia="en-MY"/>
              </w:rPr>
              <w:t> </w:t>
            </w:r>
          </w:p>
        </w:tc>
        <w:tc>
          <w:tcPr>
            <w:tcW w:w="2126" w:type="dxa"/>
            <w:tcBorders>
              <w:top w:val="single" w:sz="8" w:space="0" w:color="auto"/>
              <w:left w:val="nil"/>
              <w:bottom w:val="nil"/>
              <w:right w:val="nil"/>
            </w:tcBorders>
            <w:shd w:val="clear" w:color="auto" w:fill="auto"/>
            <w:vAlign w:val="center"/>
            <w:hideMark/>
          </w:tcPr>
          <w:p w14:paraId="32FD9AAF"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Ba</w:t>
            </w:r>
            <w:r w:rsidRPr="00E33297">
              <w:rPr>
                <w:rFonts w:eastAsia="Times New Roman" w:cs="Times New Roman"/>
                <w:b w:val="0"/>
                <w:color w:val="000000"/>
                <w:sz w:val="20"/>
                <w:szCs w:val="20"/>
                <w:vertAlign w:val="subscript"/>
                <w:lang w:eastAsia="en-MY"/>
              </w:rPr>
              <w:t>7.5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7.5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709" w:type="dxa"/>
            <w:tcBorders>
              <w:top w:val="single" w:sz="8" w:space="0" w:color="auto"/>
              <w:left w:val="nil"/>
              <w:bottom w:val="nil"/>
              <w:right w:val="nil"/>
            </w:tcBorders>
            <w:shd w:val="clear" w:color="auto" w:fill="auto"/>
            <w:noWrap/>
            <w:vAlign w:val="center"/>
            <w:hideMark/>
          </w:tcPr>
          <w:p w14:paraId="4623E98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8" w:type="dxa"/>
            <w:tcBorders>
              <w:top w:val="single" w:sz="8" w:space="0" w:color="auto"/>
              <w:left w:val="nil"/>
              <w:bottom w:val="nil"/>
              <w:right w:val="nil"/>
            </w:tcBorders>
            <w:shd w:val="clear" w:color="auto" w:fill="auto"/>
            <w:noWrap/>
            <w:vAlign w:val="center"/>
            <w:hideMark/>
          </w:tcPr>
          <w:p w14:paraId="6AC33549"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single" w:sz="8" w:space="0" w:color="auto"/>
              <w:left w:val="nil"/>
              <w:bottom w:val="nil"/>
              <w:right w:val="nil"/>
            </w:tcBorders>
            <w:shd w:val="clear" w:color="auto" w:fill="auto"/>
            <w:noWrap/>
            <w:vAlign w:val="center"/>
            <w:hideMark/>
          </w:tcPr>
          <w:p w14:paraId="5DE02FC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single" w:sz="8" w:space="0" w:color="auto"/>
              <w:left w:val="nil"/>
              <w:bottom w:val="nil"/>
              <w:right w:val="nil"/>
            </w:tcBorders>
            <w:shd w:val="clear" w:color="auto" w:fill="auto"/>
            <w:noWrap/>
            <w:vAlign w:val="center"/>
            <w:hideMark/>
          </w:tcPr>
          <w:p w14:paraId="7C959B3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7.5</w:t>
            </w:r>
          </w:p>
        </w:tc>
        <w:tc>
          <w:tcPr>
            <w:tcW w:w="709" w:type="dxa"/>
            <w:tcBorders>
              <w:top w:val="single" w:sz="8" w:space="0" w:color="auto"/>
              <w:left w:val="nil"/>
              <w:bottom w:val="nil"/>
              <w:right w:val="nil"/>
            </w:tcBorders>
            <w:shd w:val="clear" w:color="auto" w:fill="auto"/>
            <w:noWrap/>
            <w:vAlign w:val="center"/>
            <w:hideMark/>
          </w:tcPr>
          <w:p w14:paraId="12716AF9"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7.5</w:t>
            </w:r>
          </w:p>
        </w:tc>
        <w:tc>
          <w:tcPr>
            <w:tcW w:w="709" w:type="dxa"/>
            <w:tcBorders>
              <w:top w:val="single" w:sz="8" w:space="0" w:color="auto"/>
              <w:left w:val="nil"/>
              <w:bottom w:val="nil"/>
              <w:right w:val="nil"/>
            </w:tcBorders>
            <w:shd w:val="clear" w:color="auto" w:fill="auto"/>
            <w:noWrap/>
            <w:vAlign w:val="center"/>
            <w:hideMark/>
          </w:tcPr>
          <w:p w14:paraId="24219705"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single" w:sz="8" w:space="0" w:color="auto"/>
              <w:left w:val="nil"/>
              <w:bottom w:val="nil"/>
              <w:right w:val="nil"/>
            </w:tcBorders>
            <w:shd w:val="clear" w:color="auto" w:fill="auto"/>
            <w:noWrap/>
            <w:vAlign w:val="center"/>
            <w:hideMark/>
          </w:tcPr>
          <w:p w14:paraId="37AB5603"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60</w:t>
            </w:r>
          </w:p>
        </w:tc>
        <w:tc>
          <w:tcPr>
            <w:tcW w:w="1275" w:type="dxa"/>
            <w:tcBorders>
              <w:top w:val="nil"/>
              <w:left w:val="nil"/>
              <w:bottom w:val="nil"/>
              <w:right w:val="nil"/>
            </w:tcBorders>
            <w:shd w:val="clear" w:color="auto" w:fill="auto"/>
            <w:noWrap/>
            <w:vAlign w:val="center"/>
            <w:hideMark/>
          </w:tcPr>
          <w:p w14:paraId="430F7799"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8.92</w:t>
            </w:r>
            <w:r>
              <w:rPr>
                <w:rFonts w:eastAsia="Times New Roman" w:cs="Times New Roman"/>
                <w:b w:val="0"/>
                <w:color w:val="000000"/>
                <w:sz w:val="20"/>
                <w:szCs w:val="20"/>
                <w:lang w:eastAsia="en-MY"/>
              </w:rPr>
              <w:t>±1.11</w:t>
            </w:r>
          </w:p>
        </w:tc>
      </w:tr>
      <w:tr w:rsidR="00CB5F95" w:rsidRPr="00E33297" w14:paraId="13754D97" w14:textId="77777777" w:rsidTr="00CB5F95">
        <w:trPr>
          <w:trHeight w:val="300"/>
        </w:trPr>
        <w:tc>
          <w:tcPr>
            <w:tcW w:w="2127" w:type="dxa"/>
            <w:tcBorders>
              <w:top w:val="nil"/>
              <w:left w:val="nil"/>
              <w:bottom w:val="single" w:sz="8" w:space="0" w:color="auto"/>
              <w:right w:val="nil"/>
            </w:tcBorders>
            <w:shd w:val="clear" w:color="auto" w:fill="auto"/>
            <w:vAlign w:val="center"/>
            <w:hideMark/>
          </w:tcPr>
          <w:p w14:paraId="21359FF4"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Ba</w:t>
            </w:r>
            <w:r w:rsidRPr="00E33297">
              <w:rPr>
                <w:rFonts w:eastAsia="Times New Roman" w:cs="Times New Roman"/>
                <w:b w:val="0"/>
                <w:color w:val="000000"/>
                <w:sz w:val="20"/>
                <w:szCs w:val="20"/>
                <w:vertAlign w:val="subscript"/>
                <w:lang w:eastAsia="en-MY"/>
              </w:rPr>
              <w:t>x</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15-x</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2126" w:type="dxa"/>
            <w:tcBorders>
              <w:top w:val="nil"/>
              <w:left w:val="nil"/>
              <w:bottom w:val="single" w:sz="8" w:space="0" w:color="auto"/>
              <w:right w:val="nil"/>
            </w:tcBorders>
            <w:shd w:val="clear" w:color="auto" w:fill="auto"/>
            <w:vAlign w:val="center"/>
            <w:hideMark/>
          </w:tcPr>
          <w:p w14:paraId="21460DF0"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Ba</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709" w:type="dxa"/>
            <w:tcBorders>
              <w:top w:val="nil"/>
              <w:left w:val="nil"/>
              <w:bottom w:val="single" w:sz="8" w:space="0" w:color="auto"/>
              <w:right w:val="nil"/>
            </w:tcBorders>
            <w:shd w:val="clear" w:color="auto" w:fill="auto"/>
            <w:noWrap/>
            <w:vAlign w:val="center"/>
            <w:hideMark/>
          </w:tcPr>
          <w:p w14:paraId="17916FC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8" w:type="dxa"/>
            <w:tcBorders>
              <w:top w:val="nil"/>
              <w:left w:val="nil"/>
              <w:bottom w:val="single" w:sz="8" w:space="0" w:color="auto"/>
              <w:right w:val="nil"/>
            </w:tcBorders>
            <w:shd w:val="clear" w:color="auto" w:fill="auto"/>
            <w:noWrap/>
            <w:vAlign w:val="center"/>
            <w:hideMark/>
          </w:tcPr>
          <w:p w14:paraId="417AED7B"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single" w:sz="8" w:space="0" w:color="auto"/>
              <w:right w:val="nil"/>
            </w:tcBorders>
            <w:shd w:val="clear" w:color="auto" w:fill="auto"/>
            <w:noWrap/>
            <w:vAlign w:val="center"/>
            <w:hideMark/>
          </w:tcPr>
          <w:p w14:paraId="23F551A4"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single" w:sz="8" w:space="0" w:color="auto"/>
              <w:right w:val="nil"/>
            </w:tcBorders>
            <w:shd w:val="clear" w:color="auto" w:fill="auto"/>
            <w:noWrap/>
            <w:vAlign w:val="center"/>
            <w:hideMark/>
          </w:tcPr>
          <w:p w14:paraId="1549BEC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single" w:sz="8" w:space="0" w:color="auto"/>
              <w:right w:val="nil"/>
            </w:tcBorders>
            <w:shd w:val="clear" w:color="auto" w:fill="auto"/>
            <w:noWrap/>
            <w:vAlign w:val="center"/>
            <w:hideMark/>
          </w:tcPr>
          <w:p w14:paraId="49285C44"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5</w:t>
            </w:r>
          </w:p>
        </w:tc>
        <w:tc>
          <w:tcPr>
            <w:tcW w:w="709" w:type="dxa"/>
            <w:tcBorders>
              <w:top w:val="nil"/>
              <w:left w:val="nil"/>
              <w:bottom w:val="single" w:sz="8" w:space="0" w:color="auto"/>
              <w:right w:val="nil"/>
            </w:tcBorders>
            <w:shd w:val="clear" w:color="auto" w:fill="auto"/>
            <w:noWrap/>
            <w:vAlign w:val="center"/>
            <w:hideMark/>
          </w:tcPr>
          <w:p w14:paraId="2C68683B"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single" w:sz="8" w:space="0" w:color="auto"/>
              <w:right w:val="nil"/>
            </w:tcBorders>
            <w:shd w:val="clear" w:color="auto" w:fill="auto"/>
            <w:noWrap/>
            <w:vAlign w:val="center"/>
            <w:hideMark/>
          </w:tcPr>
          <w:p w14:paraId="3C737CDF"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60</w:t>
            </w:r>
          </w:p>
        </w:tc>
        <w:tc>
          <w:tcPr>
            <w:tcW w:w="1275" w:type="dxa"/>
            <w:tcBorders>
              <w:top w:val="nil"/>
              <w:left w:val="nil"/>
              <w:bottom w:val="single" w:sz="8" w:space="0" w:color="auto"/>
              <w:right w:val="nil"/>
            </w:tcBorders>
            <w:shd w:val="clear" w:color="auto" w:fill="auto"/>
            <w:noWrap/>
            <w:vAlign w:val="center"/>
            <w:hideMark/>
          </w:tcPr>
          <w:p w14:paraId="358A3DE5"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19.68</w:t>
            </w:r>
            <w:r>
              <w:rPr>
                <w:rFonts w:eastAsia="Times New Roman" w:cs="Times New Roman"/>
                <w:b w:val="0"/>
                <w:color w:val="000000"/>
                <w:sz w:val="20"/>
                <w:szCs w:val="20"/>
                <w:lang w:eastAsia="en-MY"/>
              </w:rPr>
              <w:t>±0.94</w:t>
            </w:r>
          </w:p>
        </w:tc>
      </w:tr>
      <w:tr w:rsidR="00CB5F95" w:rsidRPr="00E33297" w14:paraId="1A8D3F39" w14:textId="77777777" w:rsidTr="00CB5F95">
        <w:trPr>
          <w:trHeight w:val="330"/>
        </w:trPr>
        <w:tc>
          <w:tcPr>
            <w:tcW w:w="2127" w:type="dxa"/>
            <w:tcBorders>
              <w:top w:val="nil"/>
              <w:left w:val="nil"/>
              <w:bottom w:val="nil"/>
              <w:right w:val="nil"/>
            </w:tcBorders>
            <w:shd w:val="clear" w:color="auto" w:fill="auto"/>
            <w:vAlign w:val="center"/>
            <w:hideMark/>
          </w:tcPr>
          <w:p w14:paraId="162E53B4" w14:textId="77777777" w:rsidR="00CB5F95" w:rsidRPr="00E33297" w:rsidRDefault="00CB5F95" w:rsidP="00CB5F95">
            <w:pPr>
              <w:spacing w:after="0" w:line="240" w:lineRule="auto"/>
              <w:jc w:val="center"/>
              <w:rPr>
                <w:rFonts w:ascii="Calibri" w:eastAsia="Times New Roman" w:hAnsi="Calibri" w:cs="Times New Roman"/>
                <w:b w:val="0"/>
                <w:color w:val="000000"/>
                <w:sz w:val="22"/>
                <w:lang w:eastAsia="en-MY"/>
              </w:rPr>
            </w:pPr>
          </w:p>
        </w:tc>
        <w:tc>
          <w:tcPr>
            <w:tcW w:w="2126" w:type="dxa"/>
            <w:tcBorders>
              <w:top w:val="nil"/>
              <w:left w:val="nil"/>
              <w:bottom w:val="nil"/>
              <w:right w:val="nil"/>
            </w:tcBorders>
            <w:shd w:val="clear" w:color="auto" w:fill="auto"/>
            <w:vAlign w:val="center"/>
            <w:hideMark/>
          </w:tcPr>
          <w:p w14:paraId="0A4DDC90"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2.5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17.5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709" w:type="dxa"/>
            <w:tcBorders>
              <w:top w:val="nil"/>
              <w:left w:val="nil"/>
              <w:bottom w:val="nil"/>
              <w:right w:val="nil"/>
            </w:tcBorders>
            <w:shd w:val="clear" w:color="auto" w:fill="auto"/>
            <w:noWrap/>
            <w:vAlign w:val="center"/>
            <w:hideMark/>
          </w:tcPr>
          <w:p w14:paraId="68132E51"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8" w:type="dxa"/>
            <w:tcBorders>
              <w:top w:val="nil"/>
              <w:left w:val="nil"/>
              <w:bottom w:val="nil"/>
              <w:right w:val="nil"/>
            </w:tcBorders>
            <w:shd w:val="clear" w:color="auto" w:fill="auto"/>
            <w:noWrap/>
            <w:vAlign w:val="center"/>
            <w:hideMark/>
          </w:tcPr>
          <w:p w14:paraId="42E4C77F"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5DC62675"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2.5</w:t>
            </w:r>
          </w:p>
        </w:tc>
        <w:tc>
          <w:tcPr>
            <w:tcW w:w="567" w:type="dxa"/>
            <w:tcBorders>
              <w:top w:val="nil"/>
              <w:left w:val="nil"/>
              <w:bottom w:val="nil"/>
              <w:right w:val="nil"/>
            </w:tcBorders>
            <w:shd w:val="clear" w:color="auto" w:fill="auto"/>
            <w:noWrap/>
            <w:vAlign w:val="center"/>
            <w:hideMark/>
          </w:tcPr>
          <w:p w14:paraId="15BE2FBF"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3C3A72A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17.5</w:t>
            </w:r>
          </w:p>
        </w:tc>
        <w:tc>
          <w:tcPr>
            <w:tcW w:w="709" w:type="dxa"/>
            <w:tcBorders>
              <w:top w:val="nil"/>
              <w:left w:val="nil"/>
              <w:bottom w:val="nil"/>
              <w:right w:val="nil"/>
            </w:tcBorders>
            <w:shd w:val="clear" w:color="auto" w:fill="auto"/>
            <w:noWrap/>
            <w:vAlign w:val="center"/>
            <w:hideMark/>
          </w:tcPr>
          <w:p w14:paraId="294E2AD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36CE6BB3"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60</w:t>
            </w:r>
          </w:p>
        </w:tc>
        <w:tc>
          <w:tcPr>
            <w:tcW w:w="1275" w:type="dxa"/>
            <w:tcBorders>
              <w:top w:val="nil"/>
              <w:left w:val="nil"/>
              <w:bottom w:val="nil"/>
              <w:right w:val="nil"/>
            </w:tcBorders>
            <w:shd w:val="clear" w:color="auto" w:fill="auto"/>
            <w:noWrap/>
            <w:vAlign w:val="center"/>
            <w:hideMark/>
          </w:tcPr>
          <w:p w14:paraId="28067397"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-20.64</w:t>
            </w:r>
            <w:r>
              <w:rPr>
                <w:rFonts w:eastAsia="Times New Roman" w:cs="Times New Roman"/>
                <w:b w:val="0"/>
                <w:color w:val="000000"/>
                <w:sz w:val="20"/>
                <w:szCs w:val="20"/>
                <w:lang w:eastAsia="en-MY"/>
              </w:rPr>
              <w:t>±1.53</w:t>
            </w:r>
          </w:p>
        </w:tc>
      </w:tr>
      <w:tr w:rsidR="00CB5F95" w:rsidRPr="00E33297" w14:paraId="1EDEAC9C" w14:textId="77777777" w:rsidTr="00CB5F95">
        <w:trPr>
          <w:trHeight w:val="300"/>
        </w:trPr>
        <w:tc>
          <w:tcPr>
            <w:tcW w:w="2127" w:type="dxa"/>
            <w:tcBorders>
              <w:top w:val="nil"/>
              <w:left w:val="nil"/>
              <w:bottom w:val="nil"/>
              <w:right w:val="nil"/>
            </w:tcBorders>
            <w:shd w:val="clear" w:color="auto" w:fill="auto"/>
            <w:vAlign w:val="center"/>
            <w:hideMark/>
          </w:tcPr>
          <w:p w14:paraId="37BF3F9B"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x</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20-x</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2126" w:type="dxa"/>
            <w:tcBorders>
              <w:top w:val="nil"/>
              <w:left w:val="nil"/>
              <w:bottom w:val="nil"/>
              <w:right w:val="nil"/>
            </w:tcBorders>
            <w:shd w:val="clear" w:color="auto" w:fill="auto"/>
            <w:vAlign w:val="center"/>
            <w:hideMark/>
          </w:tcPr>
          <w:p w14:paraId="3EF7E53D"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709" w:type="dxa"/>
            <w:tcBorders>
              <w:top w:val="nil"/>
              <w:left w:val="nil"/>
              <w:bottom w:val="nil"/>
              <w:right w:val="nil"/>
            </w:tcBorders>
            <w:shd w:val="clear" w:color="auto" w:fill="auto"/>
            <w:noWrap/>
            <w:vAlign w:val="center"/>
            <w:hideMark/>
          </w:tcPr>
          <w:p w14:paraId="47223D63"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8" w:type="dxa"/>
            <w:tcBorders>
              <w:top w:val="nil"/>
              <w:left w:val="nil"/>
              <w:bottom w:val="nil"/>
              <w:right w:val="nil"/>
            </w:tcBorders>
            <w:shd w:val="clear" w:color="auto" w:fill="auto"/>
            <w:noWrap/>
            <w:vAlign w:val="center"/>
            <w:hideMark/>
          </w:tcPr>
          <w:p w14:paraId="0799CBD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322DDEE2"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5</w:t>
            </w:r>
          </w:p>
        </w:tc>
        <w:tc>
          <w:tcPr>
            <w:tcW w:w="567" w:type="dxa"/>
            <w:tcBorders>
              <w:top w:val="nil"/>
              <w:left w:val="nil"/>
              <w:bottom w:val="nil"/>
              <w:right w:val="nil"/>
            </w:tcBorders>
            <w:shd w:val="clear" w:color="auto" w:fill="auto"/>
            <w:noWrap/>
            <w:vAlign w:val="center"/>
            <w:hideMark/>
          </w:tcPr>
          <w:p w14:paraId="24CC4D89"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4CC7348B"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9" w:type="dxa"/>
            <w:tcBorders>
              <w:top w:val="nil"/>
              <w:left w:val="nil"/>
              <w:bottom w:val="nil"/>
              <w:right w:val="nil"/>
            </w:tcBorders>
            <w:shd w:val="clear" w:color="auto" w:fill="auto"/>
            <w:noWrap/>
            <w:vAlign w:val="center"/>
            <w:hideMark/>
          </w:tcPr>
          <w:p w14:paraId="1137A60B"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1EE9BCE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60</w:t>
            </w:r>
          </w:p>
        </w:tc>
        <w:tc>
          <w:tcPr>
            <w:tcW w:w="1275" w:type="dxa"/>
            <w:tcBorders>
              <w:top w:val="nil"/>
              <w:left w:val="nil"/>
              <w:bottom w:val="nil"/>
              <w:right w:val="nil"/>
            </w:tcBorders>
            <w:shd w:val="clear" w:color="auto" w:fill="auto"/>
            <w:noWrap/>
            <w:vAlign w:val="center"/>
            <w:hideMark/>
          </w:tcPr>
          <w:p w14:paraId="0800B9A5"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-17.91</w:t>
            </w:r>
            <w:r>
              <w:rPr>
                <w:rFonts w:eastAsia="Times New Roman" w:cs="Times New Roman"/>
                <w:b w:val="0"/>
                <w:color w:val="000000"/>
                <w:sz w:val="20"/>
                <w:szCs w:val="20"/>
                <w:lang w:eastAsia="en-MY"/>
              </w:rPr>
              <w:t>±1.50</w:t>
            </w:r>
          </w:p>
        </w:tc>
      </w:tr>
      <w:tr w:rsidR="00CB5F95" w:rsidRPr="00E33297" w14:paraId="19541786" w14:textId="77777777" w:rsidTr="00CB5F95">
        <w:trPr>
          <w:trHeight w:val="315"/>
        </w:trPr>
        <w:tc>
          <w:tcPr>
            <w:tcW w:w="2127" w:type="dxa"/>
            <w:tcBorders>
              <w:top w:val="nil"/>
              <w:left w:val="nil"/>
              <w:bottom w:val="single" w:sz="8" w:space="0" w:color="auto"/>
              <w:right w:val="nil"/>
            </w:tcBorders>
            <w:shd w:val="clear" w:color="auto" w:fill="auto"/>
            <w:vAlign w:val="center"/>
            <w:hideMark/>
          </w:tcPr>
          <w:p w14:paraId="5F90A2F4"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 </w:t>
            </w:r>
          </w:p>
        </w:tc>
        <w:tc>
          <w:tcPr>
            <w:tcW w:w="2126" w:type="dxa"/>
            <w:tcBorders>
              <w:top w:val="nil"/>
              <w:left w:val="nil"/>
              <w:bottom w:val="single" w:sz="8" w:space="0" w:color="auto"/>
              <w:right w:val="nil"/>
            </w:tcBorders>
            <w:shd w:val="clear" w:color="auto" w:fill="auto"/>
            <w:vAlign w:val="center"/>
            <w:hideMark/>
          </w:tcPr>
          <w:p w14:paraId="4AC85304"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7.5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12.5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709" w:type="dxa"/>
            <w:tcBorders>
              <w:top w:val="nil"/>
              <w:left w:val="nil"/>
              <w:bottom w:val="single" w:sz="8" w:space="0" w:color="auto"/>
              <w:right w:val="nil"/>
            </w:tcBorders>
            <w:shd w:val="clear" w:color="auto" w:fill="auto"/>
            <w:noWrap/>
            <w:vAlign w:val="center"/>
            <w:hideMark/>
          </w:tcPr>
          <w:p w14:paraId="02259B45"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8" w:type="dxa"/>
            <w:tcBorders>
              <w:top w:val="nil"/>
              <w:left w:val="nil"/>
              <w:bottom w:val="single" w:sz="8" w:space="0" w:color="auto"/>
              <w:right w:val="nil"/>
            </w:tcBorders>
            <w:shd w:val="clear" w:color="auto" w:fill="auto"/>
            <w:noWrap/>
            <w:vAlign w:val="center"/>
            <w:hideMark/>
          </w:tcPr>
          <w:p w14:paraId="77C25F3C"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single" w:sz="8" w:space="0" w:color="auto"/>
              <w:right w:val="nil"/>
            </w:tcBorders>
            <w:shd w:val="clear" w:color="auto" w:fill="auto"/>
            <w:noWrap/>
            <w:vAlign w:val="center"/>
            <w:hideMark/>
          </w:tcPr>
          <w:p w14:paraId="76CC715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7.5</w:t>
            </w:r>
          </w:p>
        </w:tc>
        <w:tc>
          <w:tcPr>
            <w:tcW w:w="567" w:type="dxa"/>
            <w:tcBorders>
              <w:top w:val="nil"/>
              <w:left w:val="nil"/>
              <w:bottom w:val="single" w:sz="8" w:space="0" w:color="auto"/>
              <w:right w:val="nil"/>
            </w:tcBorders>
            <w:shd w:val="clear" w:color="auto" w:fill="auto"/>
            <w:noWrap/>
            <w:vAlign w:val="center"/>
            <w:hideMark/>
          </w:tcPr>
          <w:p w14:paraId="1C2500C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single" w:sz="8" w:space="0" w:color="auto"/>
              <w:right w:val="nil"/>
            </w:tcBorders>
            <w:shd w:val="clear" w:color="auto" w:fill="auto"/>
            <w:noWrap/>
            <w:vAlign w:val="center"/>
            <w:hideMark/>
          </w:tcPr>
          <w:p w14:paraId="529BBAF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12.5</w:t>
            </w:r>
          </w:p>
        </w:tc>
        <w:tc>
          <w:tcPr>
            <w:tcW w:w="709" w:type="dxa"/>
            <w:tcBorders>
              <w:top w:val="nil"/>
              <w:left w:val="nil"/>
              <w:bottom w:val="single" w:sz="8" w:space="0" w:color="auto"/>
              <w:right w:val="nil"/>
            </w:tcBorders>
            <w:shd w:val="clear" w:color="auto" w:fill="auto"/>
            <w:noWrap/>
            <w:vAlign w:val="center"/>
            <w:hideMark/>
          </w:tcPr>
          <w:p w14:paraId="3B608C6B"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single" w:sz="8" w:space="0" w:color="auto"/>
              <w:right w:val="nil"/>
            </w:tcBorders>
            <w:shd w:val="clear" w:color="auto" w:fill="auto"/>
            <w:noWrap/>
            <w:vAlign w:val="center"/>
            <w:hideMark/>
          </w:tcPr>
          <w:p w14:paraId="01F7B3E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60</w:t>
            </w:r>
          </w:p>
        </w:tc>
        <w:tc>
          <w:tcPr>
            <w:tcW w:w="1275" w:type="dxa"/>
            <w:tcBorders>
              <w:top w:val="nil"/>
              <w:left w:val="nil"/>
              <w:bottom w:val="single" w:sz="8" w:space="0" w:color="auto"/>
              <w:right w:val="nil"/>
            </w:tcBorders>
            <w:shd w:val="clear" w:color="auto" w:fill="auto"/>
            <w:noWrap/>
            <w:vAlign w:val="center"/>
            <w:hideMark/>
          </w:tcPr>
          <w:p w14:paraId="16BE306A"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-18.26</w:t>
            </w:r>
            <w:r>
              <w:rPr>
                <w:rFonts w:eastAsia="Times New Roman" w:cs="Times New Roman"/>
                <w:b w:val="0"/>
                <w:color w:val="000000"/>
                <w:sz w:val="20"/>
                <w:szCs w:val="20"/>
                <w:lang w:eastAsia="en-MY"/>
              </w:rPr>
              <w:t>±1.57</w:t>
            </w:r>
          </w:p>
        </w:tc>
      </w:tr>
      <w:tr w:rsidR="00CB5F95" w:rsidRPr="00E33297" w14:paraId="298EE5E2" w14:textId="77777777" w:rsidTr="00CB5F95">
        <w:trPr>
          <w:trHeight w:val="315"/>
        </w:trPr>
        <w:tc>
          <w:tcPr>
            <w:tcW w:w="2127" w:type="dxa"/>
            <w:tcBorders>
              <w:top w:val="nil"/>
              <w:left w:val="nil"/>
              <w:bottom w:val="nil"/>
              <w:right w:val="nil"/>
            </w:tcBorders>
            <w:shd w:val="clear" w:color="auto" w:fill="auto"/>
            <w:vAlign w:val="center"/>
            <w:hideMark/>
          </w:tcPr>
          <w:p w14:paraId="4A171EF6" w14:textId="77777777" w:rsidR="00CB5F95" w:rsidRPr="00E33297" w:rsidRDefault="00CB5F95" w:rsidP="00CB5F95">
            <w:pPr>
              <w:spacing w:after="0" w:line="240" w:lineRule="auto"/>
              <w:jc w:val="center"/>
              <w:rPr>
                <w:rFonts w:ascii="Calibri" w:eastAsia="Times New Roman" w:hAnsi="Calibri" w:cs="Times New Roman"/>
                <w:b w:val="0"/>
                <w:color w:val="000000"/>
                <w:sz w:val="22"/>
                <w:lang w:eastAsia="en-MY"/>
              </w:rPr>
            </w:pPr>
          </w:p>
        </w:tc>
        <w:tc>
          <w:tcPr>
            <w:tcW w:w="2126" w:type="dxa"/>
            <w:tcBorders>
              <w:top w:val="nil"/>
              <w:left w:val="nil"/>
              <w:bottom w:val="nil"/>
              <w:right w:val="nil"/>
            </w:tcBorders>
            <w:shd w:val="clear" w:color="auto" w:fill="auto"/>
            <w:vAlign w:val="center"/>
            <w:hideMark/>
          </w:tcPr>
          <w:p w14:paraId="740B8E71"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Ba</w:t>
            </w:r>
            <w:r w:rsidRPr="00E33297">
              <w:rPr>
                <w:rFonts w:eastAsia="Times New Roman" w:cs="Times New Roman"/>
                <w:b w:val="0"/>
                <w:color w:val="000000"/>
                <w:sz w:val="20"/>
                <w:szCs w:val="20"/>
                <w:vertAlign w:val="subscript"/>
                <w:lang w:eastAsia="en-MY"/>
              </w:rPr>
              <w:t>2.5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17.5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709" w:type="dxa"/>
            <w:tcBorders>
              <w:top w:val="nil"/>
              <w:left w:val="nil"/>
              <w:bottom w:val="nil"/>
              <w:right w:val="nil"/>
            </w:tcBorders>
            <w:shd w:val="clear" w:color="auto" w:fill="auto"/>
            <w:noWrap/>
            <w:vAlign w:val="center"/>
            <w:hideMark/>
          </w:tcPr>
          <w:p w14:paraId="7A64856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8" w:type="dxa"/>
            <w:tcBorders>
              <w:top w:val="nil"/>
              <w:left w:val="nil"/>
              <w:bottom w:val="nil"/>
              <w:right w:val="nil"/>
            </w:tcBorders>
            <w:shd w:val="clear" w:color="auto" w:fill="auto"/>
            <w:noWrap/>
            <w:vAlign w:val="center"/>
            <w:hideMark/>
          </w:tcPr>
          <w:p w14:paraId="7D5EA019"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3230DDA3"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17B3881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2.5</w:t>
            </w:r>
          </w:p>
        </w:tc>
        <w:tc>
          <w:tcPr>
            <w:tcW w:w="709" w:type="dxa"/>
            <w:tcBorders>
              <w:top w:val="nil"/>
              <w:left w:val="nil"/>
              <w:bottom w:val="nil"/>
              <w:right w:val="nil"/>
            </w:tcBorders>
            <w:shd w:val="clear" w:color="auto" w:fill="auto"/>
            <w:noWrap/>
            <w:vAlign w:val="center"/>
            <w:hideMark/>
          </w:tcPr>
          <w:p w14:paraId="5D79887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17.5</w:t>
            </w:r>
          </w:p>
        </w:tc>
        <w:tc>
          <w:tcPr>
            <w:tcW w:w="709" w:type="dxa"/>
            <w:tcBorders>
              <w:top w:val="nil"/>
              <w:left w:val="nil"/>
              <w:bottom w:val="nil"/>
              <w:right w:val="nil"/>
            </w:tcBorders>
            <w:shd w:val="clear" w:color="auto" w:fill="auto"/>
            <w:noWrap/>
            <w:vAlign w:val="center"/>
            <w:hideMark/>
          </w:tcPr>
          <w:p w14:paraId="1A752575"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1B2AC662"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60</w:t>
            </w:r>
          </w:p>
        </w:tc>
        <w:tc>
          <w:tcPr>
            <w:tcW w:w="1275" w:type="dxa"/>
            <w:tcBorders>
              <w:top w:val="nil"/>
              <w:left w:val="nil"/>
              <w:bottom w:val="nil"/>
              <w:right w:val="nil"/>
            </w:tcBorders>
            <w:shd w:val="clear" w:color="auto" w:fill="auto"/>
            <w:noWrap/>
            <w:vAlign w:val="center"/>
            <w:hideMark/>
          </w:tcPr>
          <w:p w14:paraId="53095F03"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-10.93</w:t>
            </w:r>
            <w:r>
              <w:rPr>
                <w:rFonts w:eastAsia="Times New Roman" w:cs="Times New Roman"/>
                <w:b w:val="0"/>
                <w:color w:val="000000"/>
                <w:sz w:val="20"/>
                <w:szCs w:val="20"/>
                <w:lang w:eastAsia="en-MY"/>
              </w:rPr>
              <w:t>±1.43</w:t>
            </w:r>
          </w:p>
        </w:tc>
      </w:tr>
      <w:tr w:rsidR="00CB5F95" w:rsidRPr="00E33297" w14:paraId="5EA1FCB5" w14:textId="77777777" w:rsidTr="00CB5F95">
        <w:trPr>
          <w:trHeight w:val="330"/>
        </w:trPr>
        <w:tc>
          <w:tcPr>
            <w:tcW w:w="2127" w:type="dxa"/>
            <w:tcBorders>
              <w:top w:val="nil"/>
              <w:left w:val="nil"/>
              <w:bottom w:val="nil"/>
              <w:right w:val="nil"/>
            </w:tcBorders>
            <w:shd w:val="clear" w:color="auto" w:fill="auto"/>
            <w:vAlign w:val="center"/>
            <w:hideMark/>
          </w:tcPr>
          <w:p w14:paraId="6A15E93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Ba</w:t>
            </w:r>
            <w:r w:rsidRPr="00E33297">
              <w:rPr>
                <w:rFonts w:eastAsia="Times New Roman" w:cs="Times New Roman"/>
                <w:b w:val="0"/>
                <w:color w:val="000000"/>
                <w:sz w:val="20"/>
                <w:szCs w:val="20"/>
                <w:vertAlign w:val="subscript"/>
                <w:lang w:eastAsia="en-MY"/>
              </w:rPr>
              <w:t>x</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20-x</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2126" w:type="dxa"/>
            <w:tcBorders>
              <w:top w:val="nil"/>
              <w:left w:val="nil"/>
              <w:bottom w:val="nil"/>
              <w:right w:val="nil"/>
            </w:tcBorders>
            <w:shd w:val="clear" w:color="auto" w:fill="auto"/>
            <w:vAlign w:val="center"/>
            <w:hideMark/>
          </w:tcPr>
          <w:p w14:paraId="65A1B6B4"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Ba</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709" w:type="dxa"/>
            <w:tcBorders>
              <w:top w:val="nil"/>
              <w:left w:val="nil"/>
              <w:bottom w:val="nil"/>
              <w:right w:val="nil"/>
            </w:tcBorders>
            <w:shd w:val="clear" w:color="auto" w:fill="auto"/>
            <w:noWrap/>
            <w:vAlign w:val="center"/>
            <w:hideMark/>
          </w:tcPr>
          <w:p w14:paraId="07EB06A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8" w:type="dxa"/>
            <w:tcBorders>
              <w:top w:val="nil"/>
              <w:left w:val="nil"/>
              <w:bottom w:val="nil"/>
              <w:right w:val="nil"/>
            </w:tcBorders>
            <w:shd w:val="clear" w:color="auto" w:fill="auto"/>
            <w:noWrap/>
            <w:vAlign w:val="center"/>
            <w:hideMark/>
          </w:tcPr>
          <w:p w14:paraId="5E6B511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5613CFE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511CA3B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5</w:t>
            </w:r>
          </w:p>
        </w:tc>
        <w:tc>
          <w:tcPr>
            <w:tcW w:w="709" w:type="dxa"/>
            <w:tcBorders>
              <w:top w:val="nil"/>
              <w:left w:val="nil"/>
              <w:bottom w:val="nil"/>
              <w:right w:val="nil"/>
            </w:tcBorders>
            <w:shd w:val="clear" w:color="auto" w:fill="auto"/>
            <w:noWrap/>
            <w:vAlign w:val="center"/>
            <w:hideMark/>
          </w:tcPr>
          <w:p w14:paraId="52C2986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9" w:type="dxa"/>
            <w:tcBorders>
              <w:top w:val="nil"/>
              <w:left w:val="nil"/>
              <w:bottom w:val="nil"/>
              <w:right w:val="nil"/>
            </w:tcBorders>
            <w:shd w:val="clear" w:color="auto" w:fill="auto"/>
            <w:noWrap/>
            <w:vAlign w:val="center"/>
            <w:hideMark/>
          </w:tcPr>
          <w:p w14:paraId="0E5D5BDF"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2E9A332F"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60</w:t>
            </w:r>
          </w:p>
        </w:tc>
        <w:tc>
          <w:tcPr>
            <w:tcW w:w="1275" w:type="dxa"/>
            <w:tcBorders>
              <w:top w:val="nil"/>
              <w:left w:val="nil"/>
              <w:bottom w:val="nil"/>
              <w:right w:val="nil"/>
            </w:tcBorders>
            <w:shd w:val="clear" w:color="auto" w:fill="auto"/>
            <w:noWrap/>
            <w:vAlign w:val="center"/>
            <w:hideMark/>
          </w:tcPr>
          <w:p w14:paraId="6CAA5C40"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-10.06</w:t>
            </w:r>
            <w:r>
              <w:rPr>
                <w:rFonts w:eastAsia="Times New Roman" w:cs="Times New Roman"/>
                <w:b w:val="0"/>
                <w:color w:val="000000"/>
                <w:sz w:val="20"/>
                <w:szCs w:val="20"/>
                <w:lang w:eastAsia="en-MY"/>
              </w:rPr>
              <w:t>±1.37</w:t>
            </w:r>
          </w:p>
        </w:tc>
      </w:tr>
      <w:tr w:rsidR="00CB5F95" w:rsidRPr="00E33297" w14:paraId="365869DE" w14:textId="77777777" w:rsidTr="00CB5F95">
        <w:trPr>
          <w:trHeight w:val="300"/>
        </w:trPr>
        <w:tc>
          <w:tcPr>
            <w:tcW w:w="2127" w:type="dxa"/>
            <w:tcBorders>
              <w:top w:val="nil"/>
              <w:left w:val="nil"/>
              <w:bottom w:val="single" w:sz="8" w:space="0" w:color="auto"/>
              <w:right w:val="nil"/>
            </w:tcBorders>
            <w:shd w:val="clear" w:color="auto" w:fill="auto"/>
            <w:vAlign w:val="center"/>
            <w:hideMark/>
          </w:tcPr>
          <w:p w14:paraId="0768968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 </w:t>
            </w:r>
          </w:p>
        </w:tc>
        <w:tc>
          <w:tcPr>
            <w:tcW w:w="2126" w:type="dxa"/>
            <w:tcBorders>
              <w:top w:val="nil"/>
              <w:left w:val="nil"/>
              <w:bottom w:val="single" w:sz="8" w:space="0" w:color="auto"/>
              <w:right w:val="nil"/>
            </w:tcBorders>
            <w:shd w:val="clear" w:color="auto" w:fill="auto"/>
            <w:vAlign w:val="center"/>
            <w:hideMark/>
          </w:tcPr>
          <w:p w14:paraId="52638CAA"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Ba</w:t>
            </w:r>
            <w:r w:rsidRPr="00E33297">
              <w:rPr>
                <w:rFonts w:eastAsia="Times New Roman" w:cs="Times New Roman"/>
                <w:b w:val="0"/>
                <w:color w:val="000000"/>
                <w:sz w:val="20"/>
                <w:szCs w:val="20"/>
                <w:vertAlign w:val="subscript"/>
                <w:lang w:eastAsia="en-MY"/>
              </w:rPr>
              <w:t>7.5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12.5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w:t>
            </w:r>
          </w:p>
        </w:tc>
        <w:tc>
          <w:tcPr>
            <w:tcW w:w="709" w:type="dxa"/>
            <w:tcBorders>
              <w:top w:val="nil"/>
              <w:left w:val="nil"/>
              <w:bottom w:val="single" w:sz="8" w:space="0" w:color="auto"/>
              <w:right w:val="nil"/>
            </w:tcBorders>
            <w:shd w:val="clear" w:color="auto" w:fill="auto"/>
            <w:noWrap/>
            <w:vAlign w:val="center"/>
            <w:hideMark/>
          </w:tcPr>
          <w:p w14:paraId="50182482"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8" w:type="dxa"/>
            <w:tcBorders>
              <w:top w:val="nil"/>
              <w:left w:val="nil"/>
              <w:bottom w:val="single" w:sz="8" w:space="0" w:color="auto"/>
              <w:right w:val="nil"/>
            </w:tcBorders>
            <w:shd w:val="clear" w:color="auto" w:fill="auto"/>
            <w:noWrap/>
            <w:vAlign w:val="center"/>
            <w:hideMark/>
          </w:tcPr>
          <w:p w14:paraId="493D6565"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single" w:sz="8" w:space="0" w:color="auto"/>
              <w:right w:val="nil"/>
            </w:tcBorders>
            <w:shd w:val="clear" w:color="auto" w:fill="auto"/>
            <w:noWrap/>
            <w:vAlign w:val="center"/>
            <w:hideMark/>
          </w:tcPr>
          <w:p w14:paraId="5367A92F"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single" w:sz="8" w:space="0" w:color="auto"/>
              <w:right w:val="nil"/>
            </w:tcBorders>
            <w:shd w:val="clear" w:color="auto" w:fill="auto"/>
            <w:noWrap/>
            <w:vAlign w:val="center"/>
            <w:hideMark/>
          </w:tcPr>
          <w:p w14:paraId="4AD25394"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7.5</w:t>
            </w:r>
          </w:p>
        </w:tc>
        <w:tc>
          <w:tcPr>
            <w:tcW w:w="709" w:type="dxa"/>
            <w:tcBorders>
              <w:top w:val="nil"/>
              <w:left w:val="nil"/>
              <w:bottom w:val="single" w:sz="8" w:space="0" w:color="auto"/>
              <w:right w:val="nil"/>
            </w:tcBorders>
            <w:shd w:val="clear" w:color="auto" w:fill="auto"/>
            <w:noWrap/>
            <w:vAlign w:val="center"/>
            <w:hideMark/>
          </w:tcPr>
          <w:p w14:paraId="01DD3700"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12.5</w:t>
            </w:r>
          </w:p>
        </w:tc>
        <w:tc>
          <w:tcPr>
            <w:tcW w:w="709" w:type="dxa"/>
            <w:tcBorders>
              <w:top w:val="nil"/>
              <w:left w:val="nil"/>
              <w:bottom w:val="single" w:sz="8" w:space="0" w:color="auto"/>
              <w:right w:val="nil"/>
            </w:tcBorders>
            <w:shd w:val="clear" w:color="auto" w:fill="auto"/>
            <w:noWrap/>
            <w:vAlign w:val="center"/>
            <w:hideMark/>
          </w:tcPr>
          <w:p w14:paraId="1E93B380"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single" w:sz="8" w:space="0" w:color="auto"/>
              <w:right w:val="nil"/>
            </w:tcBorders>
            <w:shd w:val="clear" w:color="auto" w:fill="auto"/>
            <w:noWrap/>
            <w:vAlign w:val="center"/>
            <w:hideMark/>
          </w:tcPr>
          <w:p w14:paraId="2359E755"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60</w:t>
            </w:r>
          </w:p>
        </w:tc>
        <w:tc>
          <w:tcPr>
            <w:tcW w:w="1275" w:type="dxa"/>
            <w:tcBorders>
              <w:top w:val="nil"/>
              <w:left w:val="nil"/>
              <w:bottom w:val="single" w:sz="8" w:space="0" w:color="auto"/>
              <w:right w:val="nil"/>
            </w:tcBorders>
            <w:shd w:val="clear" w:color="auto" w:fill="auto"/>
            <w:noWrap/>
            <w:vAlign w:val="center"/>
            <w:hideMark/>
          </w:tcPr>
          <w:p w14:paraId="4B0C6A57"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-9.22</w:t>
            </w:r>
            <w:r>
              <w:rPr>
                <w:rFonts w:eastAsia="Times New Roman" w:cs="Times New Roman"/>
                <w:b w:val="0"/>
                <w:color w:val="000000"/>
                <w:sz w:val="20"/>
                <w:szCs w:val="20"/>
                <w:lang w:eastAsia="en-MY"/>
              </w:rPr>
              <w:t>±1.44</w:t>
            </w:r>
          </w:p>
        </w:tc>
      </w:tr>
      <w:tr w:rsidR="00CB5F95" w:rsidRPr="00E33297" w14:paraId="3FC6508C" w14:textId="77777777" w:rsidTr="00CB5F95">
        <w:trPr>
          <w:trHeight w:val="315"/>
        </w:trPr>
        <w:tc>
          <w:tcPr>
            <w:tcW w:w="2127" w:type="dxa"/>
            <w:tcBorders>
              <w:top w:val="nil"/>
              <w:left w:val="nil"/>
              <w:bottom w:val="nil"/>
              <w:right w:val="nil"/>
            </w:tcBorders>
            <w:shd w:val="clear" w:color="auto" w:fill="auto"/>
            <w:vAlign w:val="center"/>
            <w:hideMark/>
          </w:tcPr>
          <w:p w14:paraId="78E23074" w14:textId="77777777" w:rsidR="00CB5F95" w:rsidRPr="00E33297" w:rsidRDefault="00CB5F95" w:rsidP="00CB5F95">
            <w:pPr>
              <w:spacing w:after="0" w:line="240" w:lineRule="auto"/>
              <w:jc w:val="center"/>
              <w:rPr>
                <w:rFonts w:ascii="Calibri" w:eastAsia="Times New Roman" w:hAnsi="Calibri" w:cs="Times New Roman"/>
                <w:b w:val="0"/>
                <w:color w:val="000000"/>
                <w:sz w:val="22"/>
                <w:lang w:eastAsia="en-MY"/>
              </w:rPr>
            </w:pPr>
          </w:p>
        </w:tc>
        <w:tc>
          <w:tcPr>
            <w:tcW w:w="2126" w:type="dxa"/>
            <w:tcBorders>
              <w:top w:val="nil"/>
              <w:left w:val="nil"/>
              <w:bottom w:val="nil"/>
              <w:right w:val="nil"/>
            </w:tcBorders>
            <w:shd w:val="clear" w:color="auto" w:fill="auto"/>
            <w:vAlign w:val="center"/>
            <w:hideMark/>
          </w:tcPr>
          <w:p w14:paraId="1869C4EF"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2.5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2</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75.5</w:t>
            </w:r>
          </w:p>
        </w:tc>
        <w:tc>
          <w:tcPr>
            <w:tcW w:w="709" w:type="dxa"/>
            <w:tcBorders>
              <w:top w:val="nil"/>
              <w:left w:val="nil"/>
              <w:bottom w:val="nil"/>
              <w:right w:val="nil"/>
            </w:tcBorders>
            <w:shd w:val="clear" w:color="auto" w:fill="auto"/>
            <w:noWrap/>
            <w:vAlign w:val="center"/>
            <w:hideMark/>
          </w:tcPr>
          <w:p w14:paraId="2CB4C2CB"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8" w:type="dxa"/>
            <w:tcBorders>
              <w:top w:val="nil"/>
              <w:left w:val="nil"/>
              <w:bottom w:val="nil"/>
              <w:right w:val="nil"/>
            </w:tcBorders>
            <w:shd w:val="clear" w:color="auto" w:fill="auto"/>
            <w:noWrap/>
            <w:vAlign w:val="center"/>
            <w:hideMark/>
          </w:tcPr>
          <w:p w14:paraId="2DA1A18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2CBF030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2.5</w:t>
            </w:r>
          </w:p>
        </w:tc>
        <w:tc>
          <w:tcPr>
            <w:tcW w:w="567" w:type="dxa"/>
            <w:tcBorders>
              <w:top w:val="nil"/>
              <w:left w:val="nil"/>
              <w:bottom w:val="nil"/>
              <w:right w:val="nil"/>
            </w:tcBorders>
            <w:shd w:val="clear" w:color="auto" w:fill="auto"/>
            <w:noWrap/>
            <w:vAlign w:val="center"/>
            <w:hideMark/>
          </w:tcPr>
          <w:p w14:paraId="36E3D97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5E1B883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w:t>
            </w:r>
          </w:p>
        </w:tc>
        <w:tc>
          <w:tcPr>
            <w:tcW w:w="709" w:type="dxa"/>
            <w:tcBorders>
              <w:top w:val="nil"/>
              <w:left w:val="nil"/>
              <w:bottom w:val="nil"/>
              <w:right w:val="nil"/>
            </w:tcBorders>
            <w:shd w:val="clear" w:color="auto" w:fill="auto"/>
            <w:noWrap/>
            <w:vAlign w:val="center"/>
            <w:hideMark/>
          </w:tcPr>
          <w:p w14:paraId="6145B731"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4A91AD64"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75.5</w:t>
            </w:r>
          </w:p>
        </w:tc>
        <w:tc>
          <w:tcPr>
            <w:tcW w:w="1275" w:type="dxa"/>
            <w:tcBorders>
              <w:top w:val="nil"/>
              <w:left w:val="nil"/>
              <w:bottom w:val="nil"/>
              <w:right w:val="nil"/>
            </w:tcBorders>
            <w:shd w:val="clear" w:color="auto" w:fill="auto"/>
            <w:noWrap/>
            <w:vAlign w:val="center"/>
            <w:hideMark/>
          </w:tcPr>
          <w:p w14:paraId="51B59FF5"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-4.14</w:t>
            </w:r>
            <w:r>
              <w:rPr>
                <w:rFonts w:eastAsia="Times New Roman" w:cs="Times New Roman"/>
                <w:b w:val="0"/>
                <w:color w:val="000000"/>
                <w:sz w:val="20"/>
                <w:szCs w:val="20"/>
                <w:lang w:eastAsia="en-MY"/>
              </w:rPr>
              <w:t>±1.19</w:t>
            </w:r>
          </w:p>
        </w:tc>
      </w:tr>
      <w:tr w:rsidR="00CB5F95" w:rsidRPr="00E33297" w14:paraId="6F7DE953" w14:textId="77777777" w:rsidTr="00CB5F95">
        <w:trPr>
          <w:trHeight w:val="285"/>
        </w:trPr>
        <w:tc>
          <w:tcPr>
            <w:tcW w:w="2127" w:type="dxa"/>
            <w:tcBorders>
              <w:top w:val="nil"/>
              <w:left w:val="nil"/>
              <w:bottom w:val="nil"/>
              <w:right w:val="nil"/>
            </w:tcBorders>
            <w:shd w:val="clear" w:color="auto" w:fill="auto"/>
            <w:vAlign w:val="center"/>
            <w:hideMark/>
          </w:tcPr>
          <w:p w14:paraId="360CDCD5"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x</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2</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78-x</w:t>
            </w:r>
          </w:p>
        </w:tc>
        <w:tc>
          <w:tcPr>
            <w:tcW w:w="2126" w:type="dxa"/>
            <w:tcBorders>
              <w:top w:val="nil"/>
              <w:left w:val="nil"/>
              <w:bottom w:val="nil"/>
              <w:right w:val="nil"/>
            </w:tcBorders>
            <w:shd w:val="clear" w:color="auto" w:fill="auto"/>
            <w:vAlign w:val="center"/>
            <w:hideMark/>
          </w:tcPr>
          <w:p w14:paraId="2680A648"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2</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73</w:t>
            </w:r>
          </w:p>
        </w:tc>
        <w:tc>
          <w:tcPr>
            <w:tcW w:w="709" w:type="dxa"/>
            <w:tcBorders>
              <w:top w:val="nil"/>
              <w:left w:val="nil"/>
              <w:bottom w:val="nil"/>
              <w:right w:val="nil"/>
            </w:tcBorders>
            <w:shd w:val="clear" w:color="auto" w:fill="auto"/>
            <w:noWrap/>
            <w:vAlign w:val="center"/>
            <w:hideMark/>
          </w:tcPr>
          <w:p w14:paraId="3077D5E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8" w:type="dxa"/>
            <w:tcBorders>
              <w:top w:val="nil"/>
              <w:left w:val="nil"/>
              <w:bottom w:val="nil"/>
              <w:right w:val="nil"/>
            </w:tcBorders>
            <w:shd w:val="clear" w:color="auto" w:fill="auto"/>
            <w:noWrap/>
            <w:vAlign w:val="center"/>
            <w:hideMark/>
          </w:tcPr>
          <w:p w14:paraId="0055A5CF"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70C6B41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5</w:t>
            </w:r>
          </w:p>
        </w:tc>
        <w:tc>
          <w:tcPr>
            <w:tcW w:w="567" w:type="dxa"/>
            <w:tcBorders>
              <w:top w:val="nil"/>
              <w:left w:val="nil"/>
              <w:bottom w:val="nil"/>
              <w:right w:val="nil"/>
            </w:tcBorders>
            <w:shd w:val="clear" w:color="auto" w:fill="auto"/>
            <w:noWrap/>
            <w:vAlign w:val="center"/>
            <w:hideMark/>
          </w:tcPr>
          <w:p w14:paraId="11F7B18C"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66630BF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w:t>
            </w:r>
          </w:p>
        </w:tc>
        <w:tc>
          <w:tcPr>
            <w:tcW w:w="709" w:type="dxa"/>
            <w:tcBorders>
              <w:top w:val="nil"/>
              <w:left w:val="nil"/>
              <w:bottom w:val="nil"/>
              <w:right w:val="nil"/>
            </w:tcBorders>
            <w:shd w:val="clear" w:color="auto" w:fill="auto"/>
            <w:noWrap/>
            <w:vAlign w:val="center"/>
            <w:hideMark/>
          </w:tcPr>
          <w:p w14:paraId="00CF0735"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21543520"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73</w:t>
            </w:r>
          </w:p>
        </w:tc>
        <w:tc>
          <w:tcPr>
            <w:tcW w:w="1275" w:type="dxa"/>
            <w:tcBorders>
              <w:top w:val="nil"/>
              <w:left w:val="nil"/>
              <w:bottom w:val="nil"/>
              <w:right w:val="nil"/>
            </w:tcBorders>
            <w:shd w:val="clear" w:color="auto" w:fill="auto"/>
            <w:noWrap/>
            <w:vAlign w:val="center"/>
            <w:hideMark/>
          </w:tcPr>
          <w:p w14:paraId="3686E14C"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-0.1</w:t>
            </w:r>
            <w:r>
              <w:rPr>
                <w:rFonts w:eastAsia="Times New Roman" w:cs="Times New Roman"/>
                <w:b w:val="0"/>
                <w:color w:val="000000"/>
                <w:sz w:val="20"/>
                <w:szCs w:val="20"/>
                <w:lang w:eastAsia="en-MY"/>
              </w:rPr>
              <w:t>±1.30</w:t>
            </w:r>
          </w:p>
        </w:tc>
      </w:tr>
      <w:tr w:rsidR="00CB5F95" w:rsidRPr="00E33297" w14:paraId="0678CF0E" w14:textId="77777777" w:rsidTr="00CB5F95">
        <w:trPr>
          <w:trHeight w:val="300"/>
        </w:trPr>
        <w:tc>
          <w:tcPr>
            <w:tcW w:w="2127" w:type="dxa"/>
            <w:tcBorders>
              <w:top w:val="nil"/>
              <w:left w:val="nil"/>
              <w:bottom w:val="single" w:sz="8" w:space="0" w:color="auto"/>
              <w:right w:val="nil"/>
            </w:tcBorders>
            <w:shd w:val="clear" w:color="auto" w:fill="auto"/>
            <w:vAlign w:val="center"/>
            <w:hideMark/>
          </w:tcPr>
          <w:p w14:paraId="4C6D0D0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 </w:t>
            </w:r>
          </w:p>
        </w:tc>
        <w:tc>
          <w:tcPr>
            <w:tcW w:w="2126" w:type="dxa"/>
            <w:tcBorders>
              <w:top w:val="nil"/>
              <w:left w:val="nil"/>
              <w:bottom w:val="single" w:sz="8" w:space="0" w:color="auto"/>
              <w:right w:val="nil"/>
            </w:tcBorders>
            <w:shd w:val="clear" w:color="auto" w:fill="auto"/>
            <w:vAlign w:val="center"/>
            <w:hideMark/>
          </w:tcPr>
          <w:p w14:paraId="0E9A0417"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7.5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2</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70.5</w:t>
            </w:r>
          </w:p>
        </w:tc>
        <w:tc>
          <w:tcPr>
            <w:tcW w:w="709" w:type="dxa"/>
            <w:tcBorders>
              <w:top w:val="nil"/>
              <w:left w:val="nil"/>
              <w:bottom w:val="single" w:sz="8" w:space="0" w:color="auto"/>
              <w:right w:val="nil"/>
            </w:tcBorders>
            <w:shd w:val="clear" w:color="auto" w:fill="auto"/>
            <w:noWrap/>
            <w:vAlign w:val="center"/>
            <w:hideMark/>
          </w:tcPr>
          <w:p w14:paraId="459B967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8" w:type="dxa"/>
            <w:tcBorders>
              <w:top w:val="nil"/>
              <w:left w:val="nil"/>
              <w:bottom w:val="single" w:sz="8" w:space="0" w:color="auto"/>
              <w:right w:val="nil"/>
            </w:tcBorders>
            <w:shd w:val="clear" w:color="auto" w:fill="auto"/>
            <w:noWrap/>
            <w:vAlign w:val="center"/>
            <w:hideMark/>
          </w:tcPr>
          <w:p w14:paraId="7CE7F7D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single" w:sz="8" w:space="0" w:color="auto"/>
              <w:right w:val="nil"/>
            </w:tcBorders>
            <w:shd w:val="clear" w:color="auto" w:fill="auto"/>
            <w:noWrap/>
            <w:vAlign w:val="center"/>
            <w:hideMark/>
          </w:tcPr>
          <w:p w14:paraId="6A1CF90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7.5</w:t>
            </w:r>
          </w:p>
        </w:tc>
        <w:tc>
          <w:tcPr>
            <w:tcW w:w="567" w:type="dxa"/>
            <w:tcBorders>
              <w:top w:val="nil"/>
              <w:left w:val="nil"/>
              <w:bottom w:val="single" w:sz="8" w:space="0" w:color="auto"/>
              <w:right w:val="nil"/>
            </w:tcBorders>
            <w:shd w:val="clear" w:color="auto" w:fill="auto"/>
            <w:noWrap/>
            <w:vAlign w:val="center"/>
            <w:hideMark/>
          </w:tcPr>
          <w:p w14:paraId="748A8BA2"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single" w:sz="8" w:space="0" w:color="auto"/>
              <w:right w:val="nil"/>
            </w:tcBorders>
            <w:shd w:val="clear" w:color="auto" w:fill="auto"/>
            <w:noWrap/>
            <w:vAlign w:val="center"/>
            <w:hideMark/>
          </w:tcPr>
          <w:p w14:paraId="021BBCF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w:t>
            </w:r>
          </w:p>
        </w:tc>
        <w:tc>
          <w:tcPr>
            <w:tcW w:w="709" w:type="dxa"/>
            <w:tcBorders>
              <w:top w:val="nil"/>
              <w:left w:val="nil"/>
              <w:bottom w:val="single" w:sz="8" w:space="0" w:color="auto"/>
              <w:right w:val="nil"/>
            </w:tcBorders>
            <w:shd w:val="clear" w:color="auto" w:fill="auto"/>
            <w:noWrap/>
            <w:vAlign w:val="center"/>
            <w:hideMark/>
          </w:tcPr>
          <w:p w14:paraId="7D2E088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single" w:sz="8" w:space="0" w:color="auto"/>
              <w:right w:val="nil"/>
            </w:tcBorders>
            <w:shd w:val="clear" w:color="auto" w:fill="auto"/>
            <w:noWrap/>
            <w:vAlign w:val="center"/>
            <w:hideMark/>
          </w:tcPr>
          <w:p w14:paraId="6A0B16D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70.5</w:t>
            </w:r>
          </w:p>
        </w:tc>
        <w:tc>
          <w:tcPr>
            <w:tcW w:w="1275" w:type="dxa"/>
            <w:tcBorders>
              <w:top w:val="nil"/>
              <w:left w:val="nil"/>
              <w:bottom w:val="single" w:sz="8" w:space="0" w:color="auto"/>
              <w:right w:val="nil"/>
            </w:tcBorders>
            <w:shd w:val="clear" w:color="auto" w:fill="auto"/>
            <w:noWrap/>
            <w:vAlign w:val="center"/>
            <w:hideMark/>
          </w:tcPr>
          <w:p w14:paraId="46780C33"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3.47</w:t>
            </w:r>
            <w:r>
              <w:rPr>
                <w:rFonts w:eastAsia="Times New Roman" w:cs="Times New Roman"/>
                <w:b w:val="0"/>
                <w:color w:val="000000"/>
                <w:sz w:val="20"/>
                <w:szCs w:val="20"/>
                <w:lang w:eastAsia="en-MY"/>
              </w:rPr>
              <w:t>±1.21</w:t>
            </w:r>
          </w:p>
        </w:tc>
      </w:tr>
      <w:tr w:rsidR="00CB5F95" w:rsidRPr="00E33297" w14:paraId="5C2CC607" w14:textId="77777777" w:rsidTr="00CB5F95">
        <w:trPr>
          <w:trHeight w:val="270"/>
        </w:trPr>
        <w:tc>
          <w:tcPr>
            <w:tcW w:w="2127" w:type="dxa"/>
            <w:tcBorders>
              <w:top w:val="nil"/>
              <w:left w:val="nil"/>
              <w:bottom w:val="nil"/>
              <w:right w:val="nil"/>
            </w:tcBorders>
            <w:shd w:val="clear" w:color="auto" w:fill="auto"/>
            <w:vAlign w:val="center"/>
            <w:hideMark/>
          </w:tcPr>
          <w:p w14:paraId="63AC0D59" w14:textId="77777777" w:rsidR="00CB5F95" w:rsidRPr="00E33297" w:rsidRDefault="00CB5F95" w:rsidP="00CB5F95">
            <w:pPr>
              <w:spacing w:after="0" w:line="240" w:lineRule="auto"/>
              <w:jc w:val="center"/>
              <w:rPr>
                <w:rFonts w:ascii="Calibri" w:eastAsia="Times New Roman" w:hAnsi="Calibri" w:cs="Times New Roman"/>
                <w:b w:val="0"/>
                <w:color w:val="000000"/>
                <w:sz w:val="22"/>
                <w:lang w:eastAsia="en-MY"/>
              </w:rPr>
            </w:pPr>
          </w:p>
        </w:tc>
        <w:tc>
          <w:tcPr>
            <w:tcW w:w="2126" w:type="dxa"/>
            <w:tcBorders>
              <w:top w:val="nil"/>
              <w:left w:val="nil"/>
              <w:bottom w:val="nil"/>
              <w:right w:val="nil"/>
            </w:tcBorders>
            <w:shd w:val="clear" w:color="auto" w:fill="auto"/>
            <w:vAlign w:val="center"/>
            <w:hideMark/>
          </w:tcPr>
          <w:p w14:paraId="5A88F130"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7.5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2</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65.5</w:t>
            </w:r>
          </w:p>
        </w:tc>
        <w:tc>
          <w:tcPr>
            <w:tcW w:w="709" w:type="dxa"/>
            <w:tcBorders>
              <w:top w:val="nil"/>
              <w:left w:val="nil"/>
              <w:bottom w:val="nil"/>
              <w:right w:val="nil"/>
            </w:tcBorders>
            <w:shd w:val="clear" w:color="auto" w:fill="auto"/>
            <w:noWrap/>
            <w:vAlign w:val="center"/>
            <w:hideMark/>
          </w:tcPr>
          <w:p w14:paraId="5299A0D1"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8" w:type="dxa"/>
            <w:tcBorders>
              <w:top w:val="nil"/>
              <w:left w:val="nil"/>
              <w:bottom w:val="nil"/>
              <w:right w:val="nil"/>
            </w:tcBorders>
            <w:shd w:val="clear" w:color="auto" w:fill="auto"/>
            <w:noWrap/>
            <w:vAlign w:val="center"/>
            <w:hideMark/>
          </w:tcPr>
          <w:p w14:paraId="6ABB5EB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312DAF2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7.5</w:t>
            </w:r>
          </w:p>
        </w:tc>
        <w:tc>
          <w:tcPr>
            <w:tcW w:w="567" w:type="dxa"/>
            <w:tcBorders>
              <w:top w:val="nil"/>
              <w:left w:val="nil"/>
              <w:bottom w:val="nil"/>
              <w:right w:val="nil"/>
            </w:tcBorders>
            <w:shd w:val="clear" w:color="auto" w:fill="auto"/>
            <w:noWrap/>
            <w:vAlign w:val="center"/>
            <w:hideMark/>
          </w:tcPr>
          <w:p w14:paraId="40A5641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23FE19BB"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w:t>
            </w:r>
          </w:p>
        </w:tc>
        <w:tc>
          <w:tcPr>
            <w:tcW w:w="709" w:type="dxa"/>
            <w:tcBorders>
              <w:top w:val="nil"/>
              <w:left w:val="nil"/>
              <w:bottom w:val="nil"/>
              <w:right w:val="nil"/>
            </w:tcBorders>
            <w:shd w:val="clear" w:color="auto" w:fill="auto"/>
            <w:noWrap/>
            <w:vAlign w:val="center"/>
            <w:hideMark/>
          </w:tcPr>
          <w:p w14:paraId="662DDE11"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08AD28C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65.5</w:t>
            </w:r>
          </w:p>
        </w:tc>
        <w:tc>
          <w:tcPr>
            <w:tcW w:w="1275" w:type="dxa"/>
            <w:tcBorders>
              <w:top w:val="nil"/>
              <w:left w:val="nil"/>
              <w:bottom w:val="nil"/>
              <w:right w:val="nil"/>
            </w:tcBorders>
            <w:shd w:val="clear" w:color="auto" w:fill="auto"/>
            <w:noWrap/>
            <w:vAlign w:val="center"/>
            <w:hideMark/>
          </w:tcPr>
          <w:p w14:paraId="76029576"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9.18</w:t>
            </w:r>
            <w:r>
              <w:rPr>
                <w:rFonts w:eastAsia="Times New Roman" w:cs="Times New Roman"/>
                <w:b w:val="0"/>
                <w:color w:val="000000"/>
                <w:sz w:val="20"/>
                <w:szCs w:val="20"/>
                <w:lang w:eastAsia="en-MY"/>
              </w:rPr>
              <w:t>±1.16</w:t>
            </w:r>
          </w:p>
        </w:tc>
      </w:tr>
      <w:tr w:rsidR="00CB5F95" w:rsidRPr="00E33297" w14:paraId="3C226472" w14:textId="77777777" w:rsidTr="00CB5F95">
        <w:trPr>
          <w:trHeight w:val="315"/>
        </w:trPr>
        <w:tc>
          <w:tcPr>
            <w:tcW w:w="2127" w:type="dxa"/>
            <w:tcBorders>
              <w:top w:val="nil"/>
              <w:left w:val="nil"/>
              <w:bottom w:val="nil"/>
              <w:right w:val="nil"/>
            </w:tcBorders>
            <w:shd w:val="clear" w:color="auto" w:fill="auto"/>
            <w:vAlign w:val="center"/>
            <w:hideMark/>
          </w:tcPr>
          <w:p w14:paraId="3CB5E59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x</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2</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73-x</w:t>
            </w:r>
          </w:p>
        </w:tc>
        <w:tc>
          <w:tcPr>
            <w:tcW w:w="2126" w:type="dxa"/>
            <w:tcBorders>
              <w:top w:val="nil"/>
              <w:left w:val="nil"/>
              <w:bottom w:val="nil"/>
              <w:right w:val="nil"/>
            </w:tcBorders>
            <w:shd w:val="clear" w:color="auto" w:fill="auto"/>
            <w:vAlign w:val="center"/>
            <w:hideMark/>
          </w:tcPr>
          <w:p w14:paraId="2936A788"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2</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63</w:t>
            </w:r>
          </w:p>
        </w:tc>
        <w:tc>
          <w:tcPr>
            <w:tcW w:w="709" w:type="dxa"/>
            <w:tcBorders>
              <w:top w:val="nil"/>
              <w:left w:val="nil"/>
              <w:bottom w:val="nil"/>
              <w:right w:val="nil"/>
            </w:tcBorders>
            <w:shd w:val="clear" w:color="auto" w:fill="auto"/>
            <w:noWrap/>
            <w:vAlign w:val="center"/>
            <w:hideMark/>
          </w:tcPr>
          <w:p w14:paraId="30C5CAAC"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8" w:type="dxa"/>
            <w:tcBorders>
              <w:top w:val="nil"/>
              <w:left w:val="nil"/>
              <w:bottom w:val="nil"/>
              <w:right w:val="nil"/>
            </w:tcBorders>
            <w:shd w:val="clear" w:color="auto" w:fill="auto"/>
            <w:noWrap/>
            <w:vAlign w:val="center"/>
            <w:hideMark/>
          </w:tcPr>
          <w:p w14:paraId="2EFD002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3AFB9F93"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567" w:type="dxa"/>
            <w:tcBorders>
              <w:top w:val="nil"/>
              <w:left w:val="nil"/>
              <w:bottom w:val="nil"/>
              <w:right w:val="nil"/>
            </w:tcBorders>
            <w:shd w:val="clear" w:color="auto" w:fill="auto"/>
            <w:noWrap/>
            <w:vAlign w:val="center"/>
            <w:hideMark/>
          </w:tcPr>
          <w:p w14:paraId="6225A83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nil"/>
              <w:right w:val="nil"/>
            </w:tcBorders>
            <w:shd w:val="clear" w:color="auto" w:fill="auto"/>
            <w:noWrap/>
            <w:vAlign w:val="center"/>
            <w:hideMark/>
          </w:tcPr>
          <w:p w14:paraId="59B3095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w:t>
            </w:r>
          </w:p>
        </w:tc>
        <w:tc>
          <w:tcPr>
            <w:tcW w:w="709" w:type="dxa"/>
            <w:tcBorders>
              <w:top w:val="nil"/>
              <w:left w:val="nil"/>
              <w:bottom w:val="nil"/>
              <w:right w:val="nil"/>
            </w:tcBorders>
            <w:shd w:val="clear" w:color="auto" w:fill="auto"/>
            <w:noWrap/>
            <w:vAlign w:val="center"/>
            <w:hideMark/>
          </w:tcPr>
          <w:p w14:paraId="447A33C2"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1F207B8F"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63</w:t>
            </w:r>
          </w:p>
        </w:tc>
        <w:tc>
          <w:tcPr>
            <w:tcW w:w="1275" w:type="dxa"/>
            <w:tcBorders>
              <w:top w:val="nil"/>
              <w:left w:val="nil"/>
              <w:bottom w:val="nil"/>
              <w:right w:val="nil"/>
            </w:tcBorders>
            <w:shd w:val="clear" w:color="auto" w:fill="auto"/>
            <w:noWrap/>
            <w:vAlign w:val="center"/>
            <w:hideMark/>
          </w:tcPr>
          <w:p w14:paraId="3C30EDDF"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9.68</w:t>
            </w:r>
            <w:r>
              <w:rPr>
                <w:rFonts w:eastAsia="Times New Roman" w:cs="Times New Roman"/>
                <w:b w:val="0"/>
                <w:color w:val="000000"/>
                <w:sz w:val="20"/>
                <w:szCs w:val="20"/>
                <w:lang w:eastAsia="en-MY"/>
              </w:rPr>
              <w:t>±1.28</w:t>
            </w:r>
          </w:p>
        </w:tc>
      </w:tr>
      <w:tr w:rsidR="00CB5F95" w:rsidRPr="00E33297" w14:paraId="32168298" w14:textId="77777777" w:rsidTr="00CB5F95">
        <w:trPr>
          <w:trHeight w:val="300"/>
        </w:trPr>
        <w:tc>
          <w:tcPr>
            <w:tcW w:w="2127" w:type="dxa"/>
            <w:tcBorders>
              <w:top w:val="nil"/>
              <w:left w:val="nil"/>
              <w:bottom w:val="single" w:sz="8" w:space="0" w:color="auto"/>
              <w:right w:val="nil"/>
            </w:tcBorders>
            <w:shd w:val="clear" w:color="auto" w:fill="auto"/>
            <w:vAlign w:val="center"/>
            <w:hideMark/>
          </w:tcPr>
          <w:p w14:paraId="0E743A7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 </w:t>
            </w:r>
          </w:p>
        </w:tc>
        <w:tc>
          <w:tcPr>
            <w:tcW w:w="2126" w:type="dxa"/>
            <w:tcBorders>
              <w:top w:val="nil"/>
              <w:left w:val="nil"/>
              <w:bottom w:val="single" w:sz="8" w:space="0" w:color="auto"/>
              <w:right w:val="nil"/>
            </w:tcBorders>
            <w:shd w:val="clear" w:color="auto" w:fill="auto"/>
            <w:vAlign w:val="center"/>
            <w:hideMark/>
          </w:tcPr>
          <w:p w14:paraId="1BF4956B"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15</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12.5</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2</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60.5</w:t>
            </w:r>
          </w:p>
        </w:tc>
        <w:tc>
          <w:tcPr>
            <w:tcW w:w="709" w:type="dxa"/>
            <w:tcBorders>
              <w:top w:val="nil"/>
              <w:left w:val="nil"/>
              <w:bottom w:val="single" w:sz="8" w:space="0" w:color="auto"/>
              <w:right w:val="nil"/>
            </w:tcBorders>
            <w:shd w:val="clear" w:color="auto" w:fill="auto"/>
            <w:noWrap/>
            <w:vAlign w:val="center"/>
            <w:hideMark/>
          </w:tcPr>
          <w:p w14:paraId="1114F2B4"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15</w:t>
            </w:r>
          </w:p>
        </w:tc>
        <w:tc>
          <w:tcPr>
            <w:tcW w:w="708" w:type="dxa"/>
            <w:tcBorders>
              <w:top w:val="nil"/>
              <w:left w:val="nil"/>
              <w:bottom w:val="single" w:sz="8" w:space="0" w:color="auto"/>
              <w:right w:val="nil"/>
            </w:tcBorders>
            <w:shd w:val="clear" w:color="auto" w:fill="auto"/>
            <w:noWrap/>
            <w:vAlign w:val="center"/>
            <w:hideMark/>
          </w:tcPr>
          <w:p w14:paraId="6BAFAC25"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single" w:sz="8" w:space="0" w:color="auto"/>
              <w:right w:val="nil"/>
            </w:tcBorders>
            <w:shd w:val="clear" w:color="auto" w:fill="auto"/>
            <w:noWrap/>
            <w:vAlign w:val="center"/>
            <w:hideMark/>
          </w:tcPr>
          <w:p w14:paraId="4D6BEF9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12.5</w:t>
            </w:r>
          </w:p>
        </w:tc>
        <w:tc>
          <w:tcPr>
            <w:tcW w:w="567" w:type="dxa"/>
            <w:tcBorders>
              <w:top w:val="nil"/>
              <w:left w:val="nil"/>
              <w:bottom w:val="single" w:sz="8" w:space="0" w:color="auto"/>
              <w:right w:val="nil"/>
            </w:tcBorders>
            <w:shd w:val="clear" w:color="auto" w:fill="auto"/>
            <w:noWrap/>
            <w:vAlign w:val="center"/>
            <w:hideMark/>
          </w:tcPr>
          <w:p w14:paraId="40D3604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709" w:type="dxa"/>
            <w:tcBorders>
              <w:top w:val="nil"/>
              <w:left w:val="nil"/>
              <w:bottom w:val="single" w:sz="8" w:space="0" w:color="auto"/>
              <w:right w:val="nil"/>
            </w:tcBorders>
            <w:shd w:val="clear" w:color="auto" w:fill="auto"/>
            <w:noWrap/>
            <w:vAlign w:val="center"/>
            <w:hideMark/>
          </w:tcPr>
          <w:p w14:paraId="08215744"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w:t>
            </w:r>
          </w:p>
        </w:tc>
        <w:tc>
          <w:tcPr>
            <w:tcW w:w="709" w:type="dxa"/>
            <w:tcBorders>
              <w:top w:val="nil"/>
              <w:left w:val="nil"/>
              <w:bottom w:val="single" w:sz="8" w:space="0" w:color="auto"/>
              <w:right w:val="nil"/>
            </w:tcBorders>
            <w:shd w:val="clear" w:color="auto" w:fill="auto"/>
            <w:noWrap/>
            <w:vAlign w:val="center"/>
            <w:hideMark/>
          </w:tcPr>
          <w:p w14:paraId="021D8C85"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single" w:sz="8" w:space="0" w:color="auto"/>
              <w:right w:val="nil"/>
            </w:tcBorders>
            <w:shd w:val="clear" w:color="auto" w:fill="auto"/>
            <w:noWrap/>
            <w:vAlign w:val="center"/>
            <w:hideMark/>
          </w:tcPr>
          <w:p w14:paraId="42A4825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60.5</w:t>
            </w:r>
          </w:p>
        </w:tc>
        <w:tc>
          <w:tcPr>
            <w:tcW w:w="1275" w:type="dxa"/>
            <w:tcBorders>
              <w:top w:val="nil"/>
              <w:left w:val="nil"/>
              <w:bottom w:val="single" w:sz="8" w:space="0" w:color="auto"/>
              <w:right w:val="nil"/>
            </w:tcBorders>
            <w:shd w:val="clear" w:color="auto" w:fill="auto"/>
            <w:noWrap/>
            <w:vAlign w:val="center"/>
            <w:hideMark/>
          </w:tcPr>
          <w:p w14:paraId="3C29FE88"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20.7</w:t>
            </w:r>
            <w:r>
              <w:rPr>
                <w:rFonts w:eastAsia="Times New Roman" w:cs="Times New Roman"/>
                <w:b w:val="0"/>
                <w:color w:val="000000"/>
                <w:sz w:val="20"/>
                <w:szCs w:val="20"/>
                <w:lang w:eastAsia="en-MY"/>
              </w:rPr>
              <w:t>±0.98</w:t>
            </w:r>
          </w:p>
        </w:tc>
      </w:tr>
      <w:tr w:rsidR="00CB5F95" w:rsidRPr="00E33297" w14:paraId="7FA1762A" w14:textId="77777777" w:rsidTr="00CB5F95">
        <w:trPr>
          <w:trHeight w:val="300"/>
        </w:trPr>
        <w:tc>
          <w:tcPr>
            <w:tcW w:w="2127" w:type="dxa"/>
            <w:tcBorders>
              <w:top w:val="nil"/>
              <w:left w:val="nil"/>
              <w:bottom w:val="nil"/>
              <w:right w:val="nil"/>
            </w:tcBorders>
            <w:shd w:val="clear" w:color="auto" w:fill="auto"/>
            <w:vAlign w:val="center"/>
            <w:hideMark/>
          </w:tcPr>
          <w:p w14:paraId="249CDD3C" w14:textId="77777777" w:rsidR="00CB5F95" w:rsidRPr="00E33297" w:rsidRDefault="00CB5F95" w:rsidP="00CB5F95">
            <w:pPr>
              <w:spacing w:after="0" w:line="240" w:lineRule="auto"/>
              <w:jc w:val="center"/>
              <w:rPr>
                <w:rFonts w:ascii="Calibri" w:eastAsia="Times New Roman" w:hAnsi="Calibri" w:cs="Times New Roman"/>
                <w:b w:val="0"/>
                <w:color w:val="000000"/>
                <w:sz w:val="22"/>
                <w:lang w:eastAsia="en-MY"/>
              </w:rPr>
            </w:pPr>
          </w:p>
        </w:tc>
        <w:tc>
          <w:tcPr>
            <w:tcW w:w="2126" w:type="dxa"/>
            <w:tcBorders>
              <w:top w:val="nil"/>
              <w:left w:val="nil"/>
              <w:bottom w:val="nil"/>
              <w:right w:val="nil"/>
            </w:tcBorders>
            <w:shd w:val="clear" w:color="auto" w:fill="auto"/>
            <w:vAlign w:val="center"/>
            <w:hideMark/>
          </w:tcPr>
          <w:p w14:paraId="30DFFC5F"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2.4</w:t>
            </w:r>
            <w:r w:rsidRPr="00E33297">
              <w:rPr>
                <w:rFonts w:eastAsia="Times New Roman" w:cs="Times New Roman"/>
                <w:b w:val="0"/>
                <w:color w:val="000000"/>
                <w:sz w:val="20"/>
                <w:szCs w:val="20"/>
                <w:lang w:eastAsia="en-MY"/>
              </w:rPr>
              <w:t>Ba</w:t>
            </w:r>
            <w:r w:rsidRPr="00E33297">
              <w:rPr>
                <w:rFonts w:eastAsia="Times New Roman" w:cs="Times New Roman"/>
                <w:b w:val="0"/>
                <w:color w:val="000000"/>
                <w:sz w:val="20"/>
                <w:szCs w:val="20"/>
                <w:vertAlign w:val="subscript"/>
                <w:lang w:eastAsia="en-MY"/>
              </w:rPr>
              <w:t>2</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5.7</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69.9</w:t>
            </w:r>
          </w:p>
        </w:tc>
        <w:tc>
          <w:tcPr>
            <w:tcW w:w="709" w:type="dxa"/>
            <w:tcBorders>
              <w:top w:val="nil"/>
              <w:left w:val="nil"/>
              <w:bottom w:val="nil"/>
              <w:right w:val="nil"/>
            </w:tcBorders>
            <w:shd w:val="clear" w:color="auto" w:fill="auto"/>
            <w:noWrap/>
            <w:vAlign w:val="center"/>
            <w:hideMark/>
          </w:tcPr>
          <w:p w14:paraId="1BE19D7C"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8" w:type="dxa"/>
            <w:tcBorders>
              <w:top w:val="nil"/>
              <w:left w:val="nil"/>
              <w:bottom w:val="nil"/>
              <w:right w:val="nil"/>
            </w:tcBorders>
            <w:shd w:val="clear" w:color="auto" w:fill="auto"/>
            <w:noWrap/>
            <w:vAlign w:val="center"/>
            <w:hideMark/>
          </w:tcPr>
          <w:p w14:paraId="396350C6"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321E94A5"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2.4</w:t>
            </w:r>
          </w:p>
        </w:tc>
        <w:tc>
          <w:tcPr>
            <w:tcW w:w="567" w:type="dxa"/>
            <w:tcBorders>
              <w:top w:val="nil"/>
              <w:left w:val="nil"/>
              <w:bottom w:val="nil"/>
              <w:right w:val="nil"/>
            </w:tcBorders>
            <w:shd w:val="clear" w:color="auto" w:fill="auto"/>
            <w:noWrap/>
            <w:vAlign w:val="center"/>
            <w:hideMark/>
          </w:tcPr>
          <w:p w14:paraId="5A395A2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w:t>
            </w:r>
          </w:p>
        </w:tc>
        <w:tc>
          <w:tcPr>
            <w:tcW w:w="709" w:type="dxa"/>
            <w:tcBorders>
              <w:top w:val="nil"/>
              <w:left w:val="nil"/>
              <w:bottom w:val="nil"/>
              <w:right w:val="nil"/>
            </w:tcBorders>
            <w:shd w:val="clear" w:color="auto" w:fill="auto"/>
            <w:noWrap/>
            <w:vAlign w:val="center"/>
            <w:hideMark/>
          </w:tcPr>
          <w:p w14:paraId="65456130"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5.7</w:t>
            </w:r>
          </w:p>
        </w:tc>
        <w:tc>
          <w:tcPr>
            <w:tcW w:w="709" w:type="dxa"/>
            <w:tcBorders>
              <w:top w:val="nil"/>
              <w:left w:val="nil"/>
              <w:bottom w:val="nil"/>
              <w:right w:val="nil"/>
            </w:tcBorders>
            <w:shd w:val="clear" w:color="auto" w:fill="auto"/>
            <w:noWrap/>
            <w:vAlign w:val="center"/>
            <w:hideMark/>
          </w:tcPr>
          <w:p w14:paraId="31AE5D6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09423900"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69.9</w:t>
            </w:r>
          </w:p>
        </w:tc>
        <w:tc>
          <w:tcPr>
            <w:tcW w:w="1275" w:type="dxa"/>
            <w:tcBorders>
              <w:top w:val="nil"/>
              <w:left w:val="nil"/>
              <w:bottom w:val="nil"/>
              <w:right w:val="nil"/>
            </w:tcBorders>
            <w:shd w:val="clear" w:color="auto" w:fill="auto"/>
            <w:noWrap/>
            <w:vAlign w:val="center"/>
            <w:hideMark/>
          </w:tcPr>
          <w:p w14:paraId="4C915CC9"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-12.58</w:t>
            </w:r>
            <w:r>
              <w:rPr>
                <w:rFonts w:eastAsia="Times New Roman" w:cs="Times New Roman"/>
                <w:b w:val="0"/>
                <w:color w:val="000000"/>
                <w:sz w:val="20"/>
                <w:szCs w:val="20"/>
                <w:lang w:eastAsia="en-MY"/>
              </w:rPr>
              <w:t>±1.33</w:t>
            </w:r>
          </w:p>
        </w:tc>
      </w:tr>
      <w:tr w:rsidR="00CB5F95" w:rsidRPr="00E33297" w14:paraId="271BCDDD" w14:textId="77777777" w:rsidTr="00CB5F95">
        <w:trPr>
          <w:trHeight w:val="345"/>
        </w:trPr>
        <w:tc>
          <w:tcPr>
            <w:tcW w:w="2127" w:type="dxa"/>
            <w:tcBorders>
              <w:top w:val="nil"/>
              <w:left w:val="nil"/>
              <w:bottom w:val="nil"/>
              <w:right w:val="nil"/>
            </w:tcBorders>
            <w:shd w:val="clear" w:color="auto" w:fill="auto"/>
            <w:vAlign w:val="center"/>
            <w:hideMark/>
          </w:tcPr>
          <w:p w14:paraId="703F1FB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x</w:t>
            </w:r>
            <w:r w:rsidRPr="00E33297">
              <w:rPr>
                <w:rFonts w:eastAsia="Times New Roman" w:cs="Times New Roman"/>
                <w:b w:val="0"/>
                <w:color w:val="000000"/>
                <w:sz w:val="20"/>
                <w:szCs w:val="20"/>
                <w:lang w:eastAsia="en-MY"/>
              </w:rPr>
              <w:t>Ba</w:t>
            </w:r>
            <w:r w:rsidRPr="00E33297">
              <w:rPr>
                <w:rFonts w:eastAsia="Times New Roman" w:cs="Times New Roman"/>
                <w:b w:val="0"/>
                <w:color w:val="000000"/>
                <w:sz w:val="20"/>
                <w:szCs w:val="20"/>
                <w:vertAlign w:val="subscript"/>
                <w:lang w:eastAsia="en-MY"/>
              </w:rPr>
              <w:t>2</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y</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78-x-y</w:t>
            </w:r>
          </w:p>
        </w:tc>
        <w:tc>
          <w:tcPr>
            <w:tcW w:w="2126" w:type="dxa"/>
            <w:tcBorders>
              <w:top w:val="nil"/>
              <w:left w:val="nil"/>
              <w:bottom w:val="nil"/>
              <w:right w:val="nil"/>
            </w:tcBorders>
            <w:shd w:val="clear" w:color="auto" w:fill="auto"/>
            <w:vAlign w:val="center"/>
            <w:hideMark/>
          </w:tcPr>
          <w:p w14:paraId="40B0B66D"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3.6</w:t>
            </w:r>
            <w:r w:rsidRPr="00E33297">
              <w:rPr>
                <w:rFonts w:eastAsia="Times New Roman" w:cs="Times New Roman"/>
                <w:b w:val="0"/>
                <w:color w:val="000000"/>
                <w:sz w:val="20"/>
                <w:szCs w:val="20"/>
                <w:lang w:eastAsia="en-MY"/>
              </w:rPr>
              <w:t>Ba</w:t>
            </w:r>
            <w:r w:rsidRPr="00E33297">
              <w:rPr>
                <w:rFonts w:eastAsia="Times New Roman" w:cs="Times New Roman"/>
                <w:b w:val="0"/>
                <w:color w:val="000000"/>
                <w:sz w:val="20"/>
                <w:szCs w:val="20"/>
                <w:vertAlign w:val="subscript"/>
                <w:lang w:eastAsia="en-MY"/>
              </w:rPr>
              <w:t>2</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10.1</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64.3</w:t>
            </w:r>
          </w:p>
        </w:tc>
        <w:tc>
          <w:tcPr>
            <w:tcW w:w="709" w:type="dxa"/>
            <w:tcBorders>
              <w:top w:val="nil"/>
              <w:left w:val="nil"/>
              <w:bottom w:val="nil"/>
              <w:right w:val="nil"/>
            </w:tcBorders>
            <w:shd w:val="clear" w:color="auto" w:fill="auto"/>
            <w:noWrap/>
            <w:vAlign w:val="center"/>
            <w:hideMark/>
          </w:tcPr>
          <w:p w14:paraId="565352A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8" w:type="dxa"/>
            <w:tcBorders>
              <w:top w:val="nil"/>
              <w:left w:val="nil"/>
              <w:bottom w:val="nil"/>
              <w:right w:val="nil"/>
            </w:tcBorders>
            <w:shd w:val="clear" w:color="auto" w:fill="auto"/>
            <w:noWrap/>
            <w:vAlign w:val="center"/>
            <w:hideMark/>
          </w:tcPr>
          <w:p w14:paraId="5597CA4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3B38FE29"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3.6</w:t>
            </w:r>
          </w:p>
        </w:tc>
        <w:tc>
          <w:tcPr>
            <w:tcW w:w="567" w:type="dxa"/>
            <w:tcBorders>
              <w:top w:val="nil"/>
              <w:left w:val="nil"/>
              <w:bottom w:val="nil"/>
              <w:right w:val="nil"/>
            </w:tcBorders>
            <w:shd w:val="clear" w:color="auto" w:fill="auto"/>
            <w:noWrap/>
            <w:vAlign w:val="center"/>
            <w:hideMark/>
          </w:tcPr>
          <w:p w14:paraId="147B2CFC"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w:t>
            </w:r>
          </w:p>
        </w:tc>
        <w:tc>
          <w:tcPr>
            <w:tcW w:w="709" w:type="dxa"/>
            <w:tcBorders>
              <w:top w:val="nil"/>
              <w:left w:val="nil"/>
              <w:bottom w:val="nil"/>
              <w:right w:val="nil"/>
            </w:tcBorders>
            <w:shd w:val="clear" w:color="auto" w:fill="auto"/>
            <w:noWrap/>
            <w:vAlign w:val="center"/>
            <w:hideMark/>
          </w:tcPr>
          <w:p w14:paraId="54797AF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10.1</w:t>
            </w:r>
          </w:p>
        </w:tc>
        <w:tc>
          <w:tcPr>
            <w:tcW w:w="709" w:type="dxa"/>
            <w:tcBorders>
              <w:top w:val="nil"/>
              <w:left w:val="nil"/>
              <w:bottom w:val="nil"/>
              <w:right w:val="nil"/>
            </w:tcBorders>
            <w:shd w:val="clear" w:color="auto" w:fill="auto"/>
            <w:noWrap/>
            <w:vAlign w:val="center"/>
            <w:hideMark/>
          </w:tcPr>
          <w:p w14:paraId="536F3124"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6BBD22F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64.3</w:t>
            </w:r>
          </w:p>
        </w:tc>
        <w:tc>
          <w:tcPr>
            <w:tcW w:w="1275" w:type="dxa"/>
            <w:tcBorders>
              <w:top w:val="nil"/>
              <w:left w:val="nil"/>
              <w:bottom w:val="nil"/>
              <w:right w:val="nil"/>
            </w:tcBorders>
            <w:shd w:val="clear" w:color="auto" w:fill="auto"/>
            <w:noWrap/>
            <w:vAlign w:val="center"/>
            <w:hideMark/>
          </w:tcPr>
          <w:p w14:paraId="51F46036"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-15.59</w:t>
            </w:r>
            <w:r>
              <w:rPr>
                <w:rFonts w:eastAsia="Times New Roman" w:cs="Times New Roman"/>
                <w:b w:val="0"/>
                <w:color w:val="000000"/>
                <w:sz w:val="20"/>
                <w:szCs w:val="20"/>
                <w:lang w:eastAsia="en-MY"/>
              </w:rPr>
              <w:t>±1.47</w:t>
            </w:r>
          </w:p>
        </w:tc>
      </w:tr>
      <w:tr w:rsidR="00CB5F95" w:rsidRPr="00E33297" w14:paraId="7A419F8D" w14:textId="77777777" w:rsidTr="00CB5F95">
        <w:trPr>
          <w:trHeight w:val="300"/>
        </w:trPr>
        <w:tc>
          <w:tcPr>
            <w:tcW w:w="2127" w:type="dxa"/>
            <w:tcBorders>
              <w:top w:val="nil"/>
              <w:left w:val="nil"/>
              <w:bottom w:val="nil"/>
              <w:right w:val="nil"/>
            </w:tcBorders>
            <w:shd w:val="clear" w:color="auto" w:fill="auto"/>
            <w:vAlign w:val="center"/>
            <w:hideMark/>
          </w:tcPr>
          <w:p w14:paraId="70B54D61" w14:textId="77777777" w:rsidR="00CB5F95" w:rsidRPr="00E33297" w:rsidRDefault="00CB5F95" w:rsidP="00CB5F95">
            <w:pPr>
              <w:spacing w:after="0" w:line="240" w:lineRule="auto"/>
              <w:jc w:val="center"/>
              <w:rPr>
                <w:rFonts w:ascii="Calibri" w:eastAsia="Times New Roman" w:hAnsi="Calibri" w:cs="Times New Roman"/>
                <w:b w:val="0"/>
                <w:color w:val="000000"/>
                <w:sz w:val="22"/>
                <w:lang w:eastAsia="en-MY"/>
              </w:rPr>
            </w:pPr>
          </w:p>
        </w:tc>
        <w:tc>
          <w:tcPr>
            <w:tcW w:w="2126" w:type="dxa"/>
            <w:tcBorders>
              <w:top w:val="nil"/>
              <w:left w:val="nil"/>
              <w:bottom w:val="nil"/>
              <w:right w:val="nil"/>
            </w:tcBorders>
            <w:shd w:val="clear" w:color="auto" w:fill="auto"/>
            <w:vAlign w:val="center"/>
            <w:hideMark/>
          </w:tcPr>
          <w:p w14:paraId="766687FB"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4.9</w:t>
            </w:r>
            <w:r w:rsidRPr="00E33297">
              <w:rPr>
                <w:rFonts w:eastAsia="Times New Roman" w:cs="Times New Roman"/>
                <w:b w:val="0"/>
                <w:color w:val="000000"/>
                <w:sz w:val="20"/>
                <w:szCs w:val="20"/>
                <w:lang w:eastAsia="en-MY"/>
              </w:rPr>
              <w:t>Ba</w:t>
            </w:r>
            <w:r w:rsidRPr="00E33297">
              <w:rPr>
                <w:rFonts w:eastAsia="Times New Roman" w:cs="Times New Roman"/>
                <w:b w:val="0"/>
                <w:color w:val="000000"/>
                <w:sz w:val="20"/>
                <w:szCs w:val="20"/>
                <w:vertAlign w:val="subscript"/>
                <w:lang w:eastAsia="en-MY"/>
              </w:rPr>
              <w:t>2</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7.1</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66</w:t>
            </w:r>
          </w:p>
        </w:tc>
        <w:tc>
          <w:tcPr>
            <w:tcW w:w="709" w:type="dxa"/>
            <w:tcBorders>
              <w:top w:val="nil"/>
              <w:left w:val="nil"/>
              <w:bottom w:val="nil"/>
              <w:right w:val="nil"/>
            </w:tcBorders>
            <w:shd w:val="clear" w:color="auto" w:fill="auto"/>
            <w:noWrap/>
            <w:vAlign w:val="center"/>
            <w:hideMark/>
          </w:tcPr>
          <w:p w14:paraId="567BB13A"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8" w:type="dxa"/>
            <w:tcBorders>
              <w:top w:val="nil"/>
              <w:left w:val="nil"/>
              <w:bottom w:val="nil"/>
              <w:right w:val="nil"/>
            </w:tcBorders>
            <w:shd w:val="clear" w:color="auto" w:fill="auto"/>
            <w:noWrap/>
            <w:vAlign w:val="center"/>
            <w:hideMark/>
          </w:tcPr>
          <w:p w14:paraId="624AE073"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nil"/>
              <w:right w:val="nil"/>
            </w:tcBorders>
            <w:shd w:val="clear" w:color="auto" w:fill="auto"/>
            <w:noWrap/>
            <w:vAlign w:val="center"/>
            <w:hideMark/>
          </w:tcPr>
          <w:p w14:paraId="6D918892"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4.9</w:t>
            </w:r>
          </w:p>
        </w:tc>
        <w:tc>
          <w:tcPr>
            <w:tcW w:w="567" w:type="dxa"/>
            <w:tcBorders>
              <w:top w:val="nil"/>
              <w:left w:val="nil"/>
              <w:bottom w:val="nil"/>
              <w:right w:val="nil"/>
            </w:tcBorders>
            <w:shd w:val="clear" w:color="auto" w:fill="auto"/>
            <w:noWrap/>
            <w:vAlign w:val="center"/>
            <w:hideMark/>
          </w:tcPr>
          <w:p w14:paraId="03313F5B"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w:t>
            </w:r>
          </w:p>
        </w:tc>
        <w:tc>
          <w:tcPr>
            <w:tcW w:w="709" w:type="dxa"/>
            <w:tcBorders>
              <w:top w:val="nil"/>
              <w:left w:val="nil"/>
              <w:bottom w:val="nil"/>
              <w:right w:val="nil"/>
            </w:tcBorders>
            <w:shd w:val="clear" w:color="auto" w:fill="auto"/>
            <w:noWrap/>
            <w:vAlign w:val="center"/>
            <w:hideMark/>
          </w:tcPr>
          <w:p w14:paraId="13583258"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7.1</w:t>
            </w:r>
          </w:p>
        </w:tc>
        <w:tc>
          <w:tcPr>
            <w:tcW w:w="709" w:type="dxa"/>
            <w:tcBorders>
              <w:top w:val="nil"/>
              <w:left w:val="nil"/>
              <w:bottom w:val="nil"/>
              <w:right w:val="nil"/>
            </w:tcBorders>
            <w:shd w:val="clear" w:color="auto" w:fill="auto"/>
            <w:noWrap/>
            <w:vAlign w:val="center"/>
            <w:hideMark/>
          </w:tcPr>
          <w:p w14:paraId="39901ADC"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nil"/>
              <w:right w:val="nil"/>
            </w:tcBorders>
            <w:shd w:val="clear" w:color="auto" w:fill="auto"/>
            <w:noWrap/>
            <w:vAlign w:val="center"/>
            <w:hideMark/>
          </w:tcPr>
          <w:p w14:paraId="68633FF0"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66</w:t>
            </w:r>
          </w:p>
        </w:tc>
        <w:tc>
          <w:tcPr>
            <w:tcW w:w="1275" w:type="dxa"/>
            <w:tcBorders>
              <w:top w:val="nil"/>
              <w:left w:val="nil"/>
              <w:bottom w:val="nil"/>
              <w:right w:val="nil"/>
            </w:tcBorders>
            <w:shd w:val="clear" w:color="auto" w:fill="auto"/>
            <w:noWrap/>
            <w:vAlign w:val="center"/>
            <w:hideMark/>
          </w:tcPr>
          <w:p w14:paraId="4298C81C"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-15.1</w:t>
            </w:r>
            <w:r>
              <w:rPr>
                <w:rFonts w:eastAsia="Times New Roman" w:cs="Times New Roman"/>
                <w:b w:val="0"/>
                <w:color w:val="000000"/>
                <w:sz w:val="20"/>
                <w:szCs w:val="20"/>
                <w:lang w:eastAsia="en-MY"/>
              </w:rPr>
              <w:t>±1.47</w:t>
            </w:r>
          </w:p>
        </w:tc>
      </w:tr>
      <w:tr w:rsidR="00CB5F95" w:rsidRPr="00E33297" w14:paraId="67BFB5A5" w14:textId="77777777" w:rsidTr="00CB5F95">
        <w:trPr>
          <w:trHeight w:val="285"/>
        </w:trPr>
        <w:tc>
          <w:tcPr>
            <w:tcW w:w="2127" w:type="dxa"/>
            <w:tcBorders>
              <w:top w:val="nil"/>
              <w:left w:val="nil"/>
              <w:bottom w:val="single" w:sz="8" w:space="0" w:color="auto"/>
              <w:right w:val="nil"/>
            </w:tcBorders>
            <w:shd w:val="clear" w:color="auto" w:fill="auto"/>
            <w:vAlign w:val="center"/>
            <w:hideMark/>
          </w:tcPr>
          <w:p w14:paraId="4292EC11" w14:textId="77777777" w:rsidR="00CB5F95" w:rsidRPr="00E33297" w:rsidRDefault="00CB5F95" w:rsidP="00CB5F95">
            <w:pPr>
              <w:spacing w:after="0" w:line="240" w:lineRule="auto"/>
              <w:jc w:val="center"/>
              <w:rPr>
                <w:rFonts w:eastAsia="Times New Roman" w:cs="Times New Roman"/>
                <w:b w:val="0"/>
                <w:color w:val="000000"/>
                <w:sz w:val="16"/>
                <w:szCs w:val="16"/>
                <w:lang w:eastAsia="en-MY"/>
              </w:rPr>
            </w:pPr>
            <w:r w:rsidRPr="00E33297">
              <w:rPr>
                <w:rFonts w:eastAsia="Times New Roman" w:cs="Times New Roman"/>
                <w:b w:val="0"/>
                <w:color w:val="000000"/>
                <w:sz w:val="16"/>
                <w:szCs w:val="16"/>
                <w:lang w:eastAsia="en-MY"/>
              </w:rPr>
              <w:t> </w:t>
            </w:r>
          </w:p>
        </w:tc>
        <w:tc>
          <w:tcPr>
            <w:tcW w:w="2126" w:type="dxa"/>
            <w:tcBorders>
              <w:top w:val="nil"/>
              <w:left w:val="nil"/>
              <w:bottom w:val="single" w:sz="8" w:space="0" w:color="auto"/>
              <w:right w:val="nil"/>
            </w:tcBorders>
            <w:shd w:val="clear" w:color="auto" w:fill="auto"/>
            <w:vAlign w:val="center"/>
            <w:hideMark/>
          </w:tcPr>
          <w:p w14:paraId="19772E28" w14:textId="77777777" w:rsidR="00CB5F95" w:rsidRPr="00E33297" w:rsidRDefault="00CB5F95" w:rsidP="00CB5F95">
            <w:pPr>
              <w:spacing w:after="0" w:line="240" w:lineRule="auto"/>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N</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C</w:t>
            </w:r>
            <w:r w:rsidRPr="00E33297">
              <w:rPr>
                <w:rFonts w:eastAsia="Times New Roman" w:cs="Times New Roman"/>
                <w:b w:val="0"/>
                <w:color w:val="000000"/>
                <w:sz w:val="20"/>
                <w:szCs w:val="20"/>
                <w:vertAlign w:val="subscript"/>
                <w:lang w:eastAsia="en-MY"/>
              </w:rPr>
              <w:t>2.5</w:t>
            </w:r>
            <w:r w:rsidRPr="00E33297">
              <w:rPr>
                <w:rFonts w:eastAsia="Times New Roman" w:cs="Times New Roman"/>
                <w:b w:val="0"/>
                <w:color w:val="000000"/>
                <w:sz w:val="20"/>
                <w:szCs w:val="20"/>
                <w:lang w:eastAsia="en-MY"/>
              </w:rPr>
              <w:t>Ba</w:t>
            </w:r>
            <w:r w:rsidRPr="00E33297">
              <w:rPr>
                <w:rFonts w:eastAsia="Times New Roman" w:cs="Times New Roman"/>
                <w:b w:val="0"/>
                <w:color w:val="000000"/>
                <w:sz w:val="20"/>
                <w:szCs w:val="20"/>
                <w:vertAlign w:val="subscript"/>
                <w:lang w:eastAsia="en-MY"/>
              </w:rPr>
              <w:t>2</w:t>
            </w:r>
            <w:r w:rsidRPr="00E33297">
              <w:rPr>
                <w:rFonts w:eastAsia="Times New Roman" w:cs="Times New Roman"/>
                <w:b w:val="0"/>
                <w:color w:val="000000"/>
                <w:sz w:val="20"/>
                <w:szCs w:val="20"/>
                <w:lang w:eastAsia="en-MY"/>
              </w:rPr>
              <w:t>A</w:t>
            </w:r>
            <w:r w:rsidRPr="00E33297">
              <w:rPr>
                <w:rFonts w:eastAsia="Times New Roman" w:cs="Times New Roman"/>
                <w:b w:val="0"/>
                <w:color w:val="000000"/>
                <w:sz w:val="20"/>
                <w:szCs w:val="20"/>
                <w:vertAlign w:val="subscript"/>
                <w:lang w:eastAsia="en-MY"/>
              </w:rPr>
              <w:t>12.5</w:t>
            </w:r>
            <w:r w:rsidRPr="00E33297">
              <w:rPr>
                <w:rFonts w:eastAsia="Times New Roman" w:cs="Times New Roman"/>
                <w:b w:val="0"/>
                <w:color w:val="000000"/>
                <w:sz w:val="20"/>
                <w:szCs w:val="20"/>
                <w:lang w:eastAsia="en-MY"/>
              </w:rPr>
              <w:t>B</w:t>
            </w:r>
            <w:r w:rsidRPr="00E33297">
              <w:rPr>
                <w:rFonts w:eastAsia="Times New Roman" w:cs="Times New Roman"/>
                <w:b w:val="0"/>
                <w:color w:val="000000"/>
                <w:sz w:val="20"/>
                <w:szCs w:val="20"/>
                <w:vertAlign w:val="subscript"/>
                <w:lang w:eastAsia="en-MY"/>
              </w:rPr>
              <w:t>10</w:t>
            </w:r>
            <w:r w:rsidRPr="00E33297">
              <w:rPr>
                <w:rFonts w:eastAsia="Times New Roman" w:cs="Times New Roman"/>
                <w:b w:val="0"/>
                <w:color w:val="000000"/>
                <w:sz w:val="20"/>
                <w:szCs w:val="20"/>
                <w:lang w:eastAsia="en-MY"/>
              </w:rPr>
              <w:t>S</w:t>
            </w:r>
            <w:r w:rsidRPr="00E33297">
              <w:rPr>
                <w:rFonts w:eastAsia="Times New Roman" w:cs="Times New Roman"/>
                <w:b w:val="0"/>
                <w:color w:val="000000"/>
                <w:sz w:val="20"/>
                <w:szCs w:val="20"/>
                <w:vertAlign w:val="subscript"/>
                <w:lang w:eastAsia="en-MY"/>
              </w:rPr>
              <w:t>63</w:t>
            </w:r>
          </w:p>
        </w:tc>
        <w:tc>
          <w:tcPr>
            <w:tcW w:w="709" w:type="dxa"/>
            <w:tcBorders>
              <w:top w:val="nil"/>
              <w:left w:val="nil"/>
              <w:bottom w:val="single" w:sz="8" w:space="0" w:color="auto"/>
              <w:right w:val="nil"/>
            </w:tcBorders>
            <w:shd w:val="clear" w:color="auto" w:fill="auto"/>
            <w:noWrap/>
            <w:vAlign w:val="center"/>
            <w:hideMark/>
          </w:tcPr>
          <w:p w14:paraId="0C32702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8" w:type="dxa"/>
            <w:tcBorders>
              <w:top w:val="nil"/>
              <w:left w:val="nil"/>
              <w:bottom w:val="single" w:sz="8" w:space="0" w:color="auto"/>
              <w:right w:val="nil"/>
            </w:tcBorders>
            <w:shd w:val="clear" w:color="auto" w:fill="auto"/>
            <w:noWrap/>
            <w:vAlign w:val="center"/>
            <w:hideMark/>
          </w:tcPr>
          <w:p w14:paraId="0606384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0</w:t>
            </w:r>
          </w:p>
        </w:tc>
        <w:tc>
          <w:tcPr>
            <w:tcW w:w="567" w:type="dxa"/>
            <w:tcBorders>
              <w:top w:val="nil"/>
              <w:left w:val="nil"/>
              <w:bottom w:val="single" w:sz="8" w:space="0" w:color="auto"/>
              <w:right w:val="nil"/>
            </w:tcBorders>
            <w:shd w:val="clear" w:color="auto" w:fill="auto"/>
            <w:noWrap/>
            <w:vAlign w:val="center"/>
            <w:hideMark/>
          </w:tcPr>
          <w:p w14:paraId="37AAC68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2.5</w:t>
            </w:r>
          </w:p>
        </w:tc>
        <w:tc>
          <w:tcPr>
            <w:tcW w:w="567" w:type="dxa"/>
            <w:tcBorders>
              <w:top w:val="nil"/>
              <w:left w:val="nil"/>
              <w:bottom w:val="single" w:sz="8" w:space="0" w:color="auto"/>
              <w:right w:val="nil"/>
            </w:tcBorders>
            <w:shd w:val="clear" w:color="auto" w:fill="auto"/>
            <w:noWrap/>
            <w:vAlign w:val="center"/>
            <w:hideMark/>
          </w:tcPr>
          <w:p w14:paraId="2D8EF9BE"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2</w:t>
            </w:r>
          </w:p>
        </w:tc>
        <w:tc>
          <w:tcPr>
            <w:tcW w:w="709" w:type="dxa"/>
            <w:tcBorders>
              <w:top w:val="nil"/>
              <w:left w:val="nil"/>
              <w:bottom w:val="single" w:sz="8" w:space="0" w:color="auto"/>
              <w:right w:val="nil"/>
            </w:tcBorders>
            <w:shd w:val="clear" w:color="auto" w:fill="auto"/>
            <w:noWrap/>
            <w:vAlign w:val="center"/>
            <w:hideMark/>
          </w:tcPr>
          <w:p w14:paraId="610FB98D"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12.5</w:t>
            </w:r>
          </w:p>
        </w:tc>
        <w:tc>
          <w:tcPr>
            <w:tcW w:w="709" w:type="dxa"/>
            <w:tcBorders>
              <w:top w:val="nil"/>
              <w:left w:val="nil"/>
              <w:bottom w:val="single" w:sz="8" w:space="0" w:color="auto"/>
              <w:right w:val="nil"/>
            </w:tcBorders>
            <w:shd w:val="clear" w:color="auto" w:fill="auto"/>
            <w:noWrap/>
            <w:vAlign w:val="center"/>
            <w:hideMark/>
          </w:tcPr>
          <w:p w14:paraId="334E33A9"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10</w:t>
            </w:r>
          </w:p>
        </w:tc>
        <w:tc>
          <w:tcPr>
            <w:tcW w:w="709" w:type="dxa"/>
            <w:tcBorders>
              <w:top w:val="nil"/>
              <w:left w:val="nil"/>
              <w:bottom w:val="single" w:sz="8" w:space="0" w:color="auto"/>
              <w:right w:val="nil"/>
            </w:tcBorders>
            <w:shd w:val="clear" w:color="auto" w:fill="auto"/>
            <w:noWrap/>
            <w:vAlign w:val="center"/>
            <w:hideMark/>
          </w:tcPr>
          <w:p w14:paraId="5A20A147" w14:textId="77777777" w:rsidR="00CB5F95" w:rsidRPr="00E33297" w:rsidRDefault="00CB5F95" w:rsidP="00CB5F95">
            <w:pPr>
              <w:spacing w:after="0" w:line="240" w:lineRule="auto"/>
              <w:jc w:val="center"/>
              <w:rPr>
                <w:rFonts w:eastAsia="Times New Roman" w:cs="Times New Roman"/>
                <w:b w:val="0"/>
                <w:color w:val="000000"/>
                <w:sz w:val="20"/>
                <w:szCs w:val="20"/>
                <w:lang w:eastAsia="en-MY"/>
              </w:rPr>
            </w:pPr>
            <w:r w:rsidRPr="00E33297">
              <w:rPr>
                <w:rFonts w:eastAsia="Times New Roman" w:cs="Times New Roman"/>
                <w:b w:val="0"/>
                <w:color w:val="000000"/>
                <w:sz w:val="20"/>
                <w:szCs w:val="20"/>
                <w:lang w:eastAsia="en-MY"/>
              </w:rPr>
              <w:t>63</w:t>
            </w:r>
          </w:p>
        </w:tc>
        <w:tc>
          <w:tcPr>
            <w:tcW w:w="1275" w:type="dxa"/>
            <w:tcBorders>
              <w:top w:val="nil"/>
              <w:left w:val="nil"/>
              <w:bottom w:val="single" w:sz="8" w:space="0" w:color="auto"/>
              <w:right w:val="nil"/>
            </w:tcBorders>
            <w:shd w:val="clear" w:color="auto" w:fill="auto"/>
            <w:noWrap/>
            <w:vAlign w:val="center"/>
            <w:hideMark/>
          </w:tcPr>
          <w:p w14:paraId="30D7F430" w14:textId="77777777" w:rsidR="00CB5F95" w:rsidRPr="00072A60" w:rsidRDefault="00CB5F95" w:rsidP="00CB5F95">
            <w:pPr>
              <w:spacing w:after="0" w:line="240" w:lineRule="auto"/>
              <w:jc w:val="center"/>
              <w:rPr>
                <w:rFonts w:eastAsia="Times New Roman" w:cs="Times New Roman"/>
                <w:b w:val="0"/>
                <w:color w:val="000000"/>
                <w:sz w:val="20"/>
                <w:szCs w:val="20"/>
                <w:lang w:eastAsia="en-MY"/>
              </w:rPr>
            </w:pPr>
            <w:r w:rsidRPr="00072A60">
              <w:rPr>
                <w:rFonts w:eastAsia="Times New Roman" w:cs="Times New Roman"/>
                <w:b w:val="0"/>
                <w:color w:val="000000"/>
                <w:sz w:val="20"/>
                <w:szCs w:val="20"/>
                <w:lang w:eastAsia="en-MY"/>
              </w:rPr>
              <w:t>-11.64</w:t>
            </w:r>
            <w:r>
              <w:rPr>
                <w:rFonts w:eastAsia="Times New Roman" w:cs="Times New Roman"/>
                <w:b w:val="0"/>
                <w:color w:val="000000"/>
                <w:sz w:val="20"/>
                <w:szCs w:val="20"/>
                <w:lang w:eastAsia="en-MY"/>
              </w:rPr>
              <w:t>±1.27</w:t>
            </w:r>
          </w:p>
        </w:tc>
      </w:tr>
    </w:tbl>
    <w:p w14:paraId="40A85D79" w14:textId="77777777" w:rsidR="00CB5F95" w:rsidRPr="000E2377" w:rsidRDefault="00CB5F95" w:rsidP="00CB5F95"/>
    <w:p w14:paraId="1616BF54" w14:textId="77777777" w:rsidR="00CB5F95" w:rsidRDefault="00CB5F95" w:rsidP="00CB5F95"/>
    <w:p w14:paraId="01B6C13A" w14:textId="77777777" w:rsidR="00CB5F95" w:rsidRPr="000E2377" w:rsidRDefault="00CB5F95" w:rsidP="00CB5F95"/>
    <w:p w14:paraId="5B1F7B07" w14:textId="77777777" w:rsidR="00CB5F95" w:rsidRPr="000E2377" w:rsidRDefault="00CB5F95" w:rsidP="00CB5F95">
      <w:pPr>
        <w:spacing w:before="200" w:line="240" w:lineRule="auto"/>
        <w:jc w:val="center"/>
        <w:rPr>
          <w:rFonts w:eastAsia="Calibri" w:cs="Times New Roman"/>
          <w:bCs/>
          <w:szCs w:val="24"/>
          <w:lang w:val="en-GB"/>
        </w:rPr>
      </w:pPr>
      <w:r w:rsidRPr="000E2377">
        <w:rPr>
          <w:rFonts w:eastAsia="Calibri" w:cs="Times New Roman"/>
          <w:bCs/>
          <w:szCs w:val="24"/>
          <w:lang w:val="en-GB"/>
        </w:rPr>
        <w:lastRenderedPageBreak/>
        <w:t>APPENDIX E</w:t>
      </w:r>
    </w:p>
    <w:p w14:paraId="61BF94C8" w14:textId="77777777" w:rsidR="00CB5F95" w:rsidRPr="000E2377" w:rsidRDefault="00CB5F95" w:rsidP="00CB5F95">
      <w:pPr>
        <w:spacing w:before="200" w:line="240" w:lineRule="auto"/>
        <w:jc w:val="center"/>
        <w:rPr>
          <w:rFonts w:eastAsia="Calibri" w:cs="Times New Roman"/>
          <w:bCs/>
          <w:szCs w:val="24"/>
          <w:lang w:val="en-GB"/>
        </w:rPr>
      </w:pPr>
      <w:r w:rsidRPr="000E2377">
        <w:rPr>
          <w:rFonts w:eastAsia="Calibri" w:cs="Times New Roman"/>
          <w:bCs/>
          <w:szCs w:val="24"/>
          <w:lang w:val="en-GB"/>
        </w:rPr>
        <w:t>Table E1. Physical and thermal properties of glass series.</w:t>
      </w:r>
    </w:p>
    <w:tbl>
      <w:tblPr>
        <w:tblW w:w="7889" w:type="dxa"/>
        <w:jc w:val="center"/>
        <w:tblLook w:val="04A0" w:firstRow="1" w:lastRow="0" w:firstColumn="1" w:lastColumn="0" w:noHBand="0" w:noVBand="1"/>
      </w:tblPr>
      <w:tblGrid>
        <w:gridCol w:w="2510"/>
        <w:gridCol w:w="1885"/>
        <w:gridCol w:w="1062"/>
        <w:gridCol w:w="990"/>
        <w:gridCol w:w="1442"/>
      </w:tblGrid>
      <w:tr w:rsidR="00CB5F95" w:rsidRPr="000E2377" w14:paraId="257204AF" w14:textId="77777777" w:rsidTr="00CB5F95">
        <w:trPr>
          <w:trHeight w:val="517"/>
          <w:jc w:val="center"/>
        </w:trPr>
        <w:tc>
          <w:tcPr>
            <w:tcW w:w="2510" w:type="dxa"/>
            <w:vMerge w:val="restart"/>
            <w:tcBorders>
              <w:top w:val="single" w:sz="4" w:space="0" w:color="auto"/>
              <w:left w:val="nil"/>
              <w:bottom w:val="single" w:sz="4" w:space="0" w:color="000000"/>
              <w:right w:val="nil"/>
            </w:tcBorders>
            <w:shd w:val="clear" w:color="auto" w:fill="auto"/>
            <w:noWrap/>
            <w:vAlign w:val="center"/>
            <w:hideMark/>
          </w:tcPr>
          <w:p w14:paraId="0DBBBA50"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Glass Code</w:t>
            </w:r>
          </w:p>
        </w:tc>
        <w:tc>
          <w:tcPr>
            <w:tcW w:w="1885" w:type="dxa"/>
            <w:vMerge w:val="restart"/>
            <w:tcBorders>
              <w:top w:val="single" w:sz="4" w:space="0" w:color="auto"/>
              <w:left w:val="nil"/>
              <w:bottom w:val="single" w:sz="4" w:space="0" w:color="000000"/>
              <w:right w:val="nil"/>
            </w:tcBorders>
            <w:shd w:val="clear" w:color="auto" w:fill="auto"/>
            <w:vAlign w:val="center"/>
            <w:hideMark/>
          </w:tcPr>
          <w:p w14:paraId="75E759FD" w14:textId="77777777" w:rsidR="00CB5F95"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 xml:space="preserve">Density     </w:t>
            </w:r>
          </w:p>
          <w:p w14:paraId="4774315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(g cm</w:t>
            </w:r>
            <w:r w:rsidRPr="000E2377">
              <w:rPr>
                <w:rFonts w:eastAsia="Times New Roman" w:cs="Times New Roman"/>
                <w:b w:val="0"/>
                <w:color w:val="000000"/>
                <w:szCs w:val="24"/>
                <w:vertAlign w:val="superscript"/>
                <w:lang w:eastAsia="en-MY"/>
              </w:rPr>
              <w:t>-3</w:t>
            </w:r>
            <w:r w:rsidRPr="000E2377">
              <w:rPr>
                <w:rFonts w:eastAsia="Times New Roman" w:cs="Times New Roman"/>
                <w:b w:val="0"/>
                <w:color w:val="000000"/>
                <w:szCs w:val="24"/>
                <w:lang w:eastAsia="en-MY"/>
              </w:rPr>
              <w:t>)</w:t>
            </w:r>
          </w:p>
        </w:tc>
        <w:tc>
          <w:tcPr>
            <w:tcW w:w="1062" w:type="dxa"/>
            <w:vMerge w:val="restart"/>
            <w:tcBorders>
              <w:top w:val="single" w:sz="4" w:space="0" w:color="auto"/>
              <w:left w:val="nil"/>
              <w:bottom w:val="single" w:sz="4" w:space="0" w:color="000000"/>
              <w:right w:val="nil"/>
            </w:tcBorders>
            <w:shd w:val="clear" w:color="auto" w:fill="auto"/>
            <w:vAlign w:val="center"/>
            <w:hideMark/>
          </w:tcPr>
          <w:p w14:paraId="4F95251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Molar Volume (cm</w:t>
            </w:r>
            <w:r w:rsidRPr="000E2377">
              <w:rPr>
                <w:rFonts w:eastAsia="Times New Roman" w:cs="Times New Roman"/>
                <w:b w:val="0"/>
                <w:color w:val="000000"/>
                <w:szCs w:val="24"/>
                <w:vertAlign w:val="superscript"/>
                <w:lang w:eastAsia="en-MY"/>
              </w:rPr>
              <w:t xml:space="preserve">3 </w:t>
            </w:r>
            <w:r w:rsidRPr="000E2377">
              <w:rPr>
                <w:rFonts w:eastAsia="Times New Roman" w:cs="Times New Roman"/>
                <w:b w:val="0"/>
                <w:color w:val="000000"/>
                <w:szCs w:val="24"/>
                <w:lang w:eastAsia="en-MY"/>
              </w:rPr>
              <w:t>mol</w:t>
            </w:r>
            <w:r w:rsidRPr="000E2377">
              <w:rPr>
                <w:rFonts w:eastAsia="Times New Roman" w:cs="Times New Roman"/>
                <w:b w:val="0"/>
                <w:color w:val="000000"/>
                <w:szCs w:val="24"/>
                <w:vertAlign w:val="superscript"/>
                <w:lang w:eastAsia="en-MY"/>
              </w:rPr>
              <w:t>-1</w:t>
            </w:r>
            <w:r w:rsidRPr="000E2377">
              <w:rPr>
                <w:rFonts w:eastAsia="Times New Roman" w:cs="Times New Roman"/>
                <w:b w:val="0"/>
                <w:color w:val="000000"/>
                <w:szCs w:val="24"/>
                <w:lang w:eastAsia="en-MY"/>
              </w:rPr>
              <w:t>)</w:t>
            </w:r>
          </w:p>
        </w:tc>
        <w:tc>
          <w:tcPr>
            <w:tcW w:w="990" w:type="dxa"/>
            <w:vMerge w:val="restart"/>
            <w:tcBorders>
              <w:top w:val="single" w:sz="4" w:space="0" w:color="auto"/>
              <w:left w:val="nil"/>
              <w:bottom w:val="single" w:sz="4" w:space="0" w:color="auto"/>
              <w:right w:val="nil"/>
            </w:tcBorders>
            <w:shd w:val="clear" w:color="auto" w:fill="auto"/>
            <w:vAlign w:val="center"/>
            <w:hideMark/>
          </w:tcPr>
          <w:p w14:paraId="27BC47A2"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Packing density</w:t>
            </w:r>
          </w:p>
        </w:tc>
        <w:tc>
          <w:tcPr>
            <w:tcW w:w="1442" w:type="dxa"/>
            <w:vMerge w:val="restart"/>
            <w:tcBorders>
              <w:top w:val="single" w:sz="4" w:space="0" w:color="auto"/>
              <w:left w:val="nil"/>
              <w:bottom w:val="single" w:sz="4" w:space="0" w:color="000000"/>
              <w:right w:val="nil"/>
            </w:tcBorders>
            <w:shd w:val="clear" w:color="auto" w:fill="auto"/>
            <w:vAlign w:val="center"/>
            <w:hideMark/>
          </w:tcPr>
          <w:p w14:paraId="7D14E3BF"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Glass Transition Temperature (ºC)</w:t>
            </w:r>
          </w:p>
        </w:tc>
      </w:tr>
      <w:tr w:rsidR="00CB5F95" w:rsidRPr="000E2377" w14:paraId="2E658814" w14:textId="77777777" w:rsidTr="00CB5F95">
        <w:trPr>
          <w:trHeight w:val="517"/>
          <w:jc w:val="center"/>
        </w:trPr>
        <w:tc>
          <w:tcPr>
            <w:tcW w:w="2510" w:type="dxa"/>
            <w:vMerge/>
            <w:tcBorders>
              <w:top w:val="single" w:sz="4" w:space="0" w:color="auto"/>
              <w:left w:val="nil"/>
              <w:bottom w:val="single" w:sz="4" w:space="0" w:color="000000"/>
              <w:right w:val="nil"/>
            </w:tcBorders>
            <w:vAlign w:val="center"/>
            <w:hideMark/>
          </w:tcPr>
          <w:p w14:paraId="222A6F70" w14:textId="77777777" w:rsidR="00CB5F95" w:rsidRPr="000E2377" w:rsidRDefault="00CB5F95" w:rsidP="00CB5F95">
            <w:pPr>
              <w:spacing w:after="0" w:line="240" w:lineRule="auto"/>
              <w:rPr>
                <w:rFonts w:eastAsia="Times New Roman" w:cs="Times New Roman"/>
                <w:b w:val="0"/>
                <w:color w:val="000000"/>
                <w:szCs w:val="24"/>
                <w:lang w:eastAsia="en-MY"/>
              </w:rPr>
            </w:pPr>
          </w:p>
        </w:tc>
        <w:tc>
          <w:tcPr>
            <w:tcW w:w="1885" w:type="dxa"/>
            <w:vMerge/>
            <w:tcBorders>
              <w:top w:val="single" w:sz="4" w:space="0" w:color="auto"/>
              <w:left w:val="nil"/>
              <w:bottom w:val="single" w:sz="4" w:space="0" w:color="000000"/>
              <w:right w:val="nil"/>
            </w:tcBorders>
            <w:vAlign w:val="center"/>
            <w:hideMark/>
          </w:tcPr>
          <w:p w14:paraId="5101E890" w14:textId="77777777" w:rsidR="00CB5F95" w:rsidRPr="000E2377" w:rsidRDefault="00CB5F95" w:rsidP="00CB5F95">
            <w:pPr>
              <w:spacing w:after="0" w:line="240" w:lineRule="auto"/>
              <w:rPr>
                <w:rFonts w:eastAsia="Times New Roman" w:cs="Times New Roman"/>
                <w:b w:val="0"/>
                <w:color w:val="000000"/>
                <w:szCs w:val="24"/>
                <w:lang w:eastAsia="en-MY"/>
              </w:rPr>
            </w:pPr>
          </w:p>
        </w:tc>
        <w:tc>
          <w:tcPr>
            <w:tcW w:w="1062" w:type="dxa"/>
            <w:vMerge/>
            <w:tcBorders>
              <w:top w:val="single" w:sz="4" w:space="0" w:color="auto"/>
              <w:left w:val="nil"/>
              <w:bottom w:val="single" w:sz="4" w:space="0" w:color="000000"/>
              <w:right w:val="nil"/>
            </w:tcBorders>
            <w:vAlign w:val="center"/>
            <w:hideMark/>
          </w:tcPr>
          <w:p w14:paraId="5143C416" w14:textId="77777777" w:rsidR="00CB5F95" w:rsidRPr="000E2377" w:rsidRDefault="00CB5F95" w:rsidP="00CB5F95">
            <w:pPr>
              <w:spacing w:after="0" w:line="240" w:lineRule="auto"/>
              <w:rPr>
                <w:rFonts w:eastAsia="Times New Roman" w:cs="Times New Roman"/>
                <w:b w:val="0"/>
                <w:color w:val="000000"/>
                <w:szCs w:val="24"/>
                <w:lang w:eastAsia="en-MY"/>
              </w:rPr>
            </w:pPr>
          </w:p>
        </w:tc>
        <w:tc>
          <w:tcPr>
            <w:tcW w:w="990" w:type="dxa"/>
            <w:vMerge/>
            <w:tcBorders>
              <w:top w:val="single" w:sz="4" w:space="0" w:color="auto"/>
              <w:left w:val="nil"/>
              <w:bottom w:val="single" w:sz="4" w:space="0" w:color="auto"/>
              <w:right w:val="nil"/>
            </w:tcBorders>
            <w:vAlign w:val="center"/>
            <w:hideMark/>
          </w:tcPr>
          <w:p w14:paraId="2FC66FC9" w14:textId="77777777" w:rsidR="00CB5F95" w:rsidRPr="000E2377" w:rsidRDefault="00CB5F95" w:rsidP="00CB5F95">
            <w:pPr>
              <w:spacing w:after="0" w:line="240" w:lineRule="auto"/>
              <w:rPr>
                <w:rFonts w:eastAsia="Times New Roman" w:cs="Times New Roman"/>
                <w:b w:val="0"/>
                <w:color w:val="000000"/>
                <w:szCs w:val="24"/>
                <w:lang w:eastAsia="en-MY"/>
              </w:rPr>
            </w:pPr>
          </w:p>
        </w:tc>
        <w:tc>
          <w:tcPr>
            <w:tcW w:w="1442" w:type="dxa"/>
            <w:vMerge/>
            <w:tcBorders>
              <w:top w:val="single" w:sz="4" w:space="0" w:color="auto"/>
              <w:left w:val="nil"/>
              <w:bottom w:val="single" w:sz="4" w:space="0" w:color="000000"/>
              <w:right w:val="nil"/>
            </w:tcBorders>
            <w:vAlign w:val="center"/>
            <w:hideMark/>
          </w:tcPr>
          <w:p w14:paraId="6ABB4C28" w14:textId="77777777" w:rsidR="00CB5F95" w:rsidRPr="000E2377" w:rsidRDefault="00CB5F95" w:rsidP="00CB5F95">
            <w:pPr>
              <w:spacing w:after="0" w:line="240" w:lineRule="auto"/>
              <w:rPr>
                <w:rFonts w:eastAsia="Times New Roman" w:cs="Times New Roman"/>
                <w:b w:val="0"/>
                <w:color w:val="000000"/>
                <w:szCs w:val="24"/>
                <w:lang w:eastAsia="en-MY"/>
              </w:rPr>
            </w:pPr>
          </w:p>
        </w:tc>
      </w:tr>
      <w:tr w:rsidR="00CB5F95" w:rsidRPr="000E2377" w14:paraId="3DF4FE25" w14:textId="77777777" w:rsidTr="00CB5F95">
        <w:trPr>
          <w:trHeight w:val="315"/>
          <w:jc w:val="center"/>
        </w:trPr>
        <w:tc>
          <w:tcPr>
            <w:tcW w:w="2510" w:type="dxa"/>
            <w:tcBorders>
              <w:top w:val="nil"/>
              <w:left w:val="nil"/>
              <w:bottom w:val="nil"/>
              <w:right w:val="nil"/>
            </w:tcBorders>
            <w:shd w:val="clear" w:color="auto" w:fill="auto"/>
            <w:vAlign w:val="center"/>
            <w:hideMark/>
          </w:tcPr>
          <w:p w14:paraId="0822302D"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79.7</w:t>
            </w:r>
          </w:p>
        </w:tc>
        <w:tc>
          <w:tcPr>
            <w:tcW w:w="1885" w:type="dxa"/>
            <w:tcBorders>
              <w:top w:val="nil"/>
              <w:left w:val="nil"/>
              <w:bottom w:val="nil"/>
              <w:right w:val="nil"/>
            </w:tcBorders>
            <w:shd w:val="clear" w:color="auto" w:fill="auto"/>
            <w:noWrap/>
            <w:vAlign w:val="center"/>
            <w:hideMark/>
          </w:tcPr>
          <w:p w14:paraId="229ED7B6"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2.3988</w:t>
            </w:r>
            <w:r>
              <w:rPr>
                <w:rFonts w:eastAsia="Times New Roman" w:cs="Times New Roman"/>
                <w:b w:val="0"/>
                <w:color w:val="000000"/>
                <w:sz w:val="22"/>
                <w:lang w:eastAsia="en-MY"/>
              </w:rPr>
              <w:t xml:space="preserve"> </w:t>
            </w:r>
            <w:r w:rsidRPr="003C78FE">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3C78FE">
              <w:rPr>
                <w:rFonts w:eastAsia="Times New Roman" w:cs="Times New Roman"/>
                <w:b w:val="0"/>
                <w:color w:val="000000"/>
                <w:sz w:val="22"/>
                <w:lang w:eastAsia="en-MY"/>
              </w:rPr>
              <w:t>0.0043</w:t>
            </w:r>
          </w:p>
        </w:tc>
        <w:tc>
          <w:tcPr>
            <w:tcW w:w="1062" w:type="dxa"/>
            <w:tcBorders>
              <w:top w:val="nil"/>
              <w:left w:val="nil"/>
              <w:bottom w:val="nil"/>
              <w:right w:val="nil"/>
            </w:tcBorders>
            <w:shd w:val="clear" w:color="auto" w:fill="auto"/>
            <w:noWrap/>
            <w:vAlign w:val="center"/>
            <w:hideMark/>
          </w:tcPr>
          <w:p w14:paraId="42C61EC9"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25.44</w:t>
            </w:r>
          </w:p>
        </w:tc>
        <w:tc>
          <w:tcPr>
            <w:tcW w:w="990" w:type="dxa"/>
            <w:tcBorders>
              <w:top w:val="nil"/>
              <w:left w:val="nil"/>
              <w:bottom w:val="nil"/>
              <w:right w:val="nil"/>
            </w:tcBorders>
            <w:shd w:val="clear" w:color="auto" w:fill="auto"/>
            <w:noWrap/>
            <w:vAlign w:val="center"/>
            <w:hideMark/>
          </w:tcPr>
          <w:p w14:paraId="4597CB4D"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0.50</w:t>
            </w:r>
          </w:p>
        </w:tc>
        <w:tc>
          <w:tcPr>
            <w:tcW w:w="1442" w:type="dxa"/>
            <w:tcBorders>
              <w:top w:val="nil"/>
              <w:left w:val="nil"/>
              <w:bottom w:val="nil"/>
              <w:right w:val="nil"/>
            </w:tcBorders>
            <w:shd w:val="clear" w:color="auto" w:fill="auto"/>
            <w:noWrap/>
            <w:vAlign w:val="center"/>
            <w:hideMark/>
          </w:tcPr>
          <w:p w14:paraId="6B5F3158"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569</w:t>
            </w:r>
            <w:r>
              <w:rPr>
                <w:rFonts w:eastAsia="Times New Roman" w:cs="Times New Roman"/>
                <w:b w:val="0"/>
                <w:color w:val="000000"/>
                <w:sz w:val="22"/>
                <w:lang w:eastAsia="en-MY"/>
              </w:rPr>
              <w:t xml:space="preserve"> </w:t>
            </w:r>
            <w:r w:rsidRPr="003C78FE">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3C78FE">
              <w:rPr>
                <w:rFonts w:eastAsia="Times New Roman" w:cs="Times New Roman"/>
                <w:b w:val="0"/>
                <w:color w:val="000000"/>
                <w:sz w:val="22"/>
                <w:lang w:eastAsia="en-MY"/>
              </w:rPr>
              <w:t>10</w:t>
            </w:r>
          </w:p>
        </w:tc>
      </w:tr>
      <w:tr w:rsidR="00CB5F95" w:rsidRPr="000E2377" w14:paraId="24F5E408" w14:textId="77777777" w:rsidTr="00CB5F95">
        <w:trPr>
          <w:trHeight w:val="360"/>
          <w:jc w:val="center"/>
        </w:trPr>
        <w:tc>
          <w:tcPr>
            <w:tcW w:w="2510" w:type="dxa"/>
            <w:tcBorders>
              <w:top w:val="nil"/>
              <w:left w:val="nil"/>
              <w:bottom w:val="nil"/>
              <w:right w:val="nil"/>
            </w:tcBorders>
            <w:shd w:val="clear" w:color="auto" w:fill="auto"/>
            <w:vAlign w:val="center"/>
            <w:hideMark/>
          </w:tcPr>
          <w:p w14:paraId="7AC6B0F9"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78.2</w:t>
            </w:r>
            <w:r w:rsidRPr="000E2377">
              <w:rPr>
                <w:rFonts w:eastAsia="Times New Roman" w:cs="Times New Roman"/>
                <w:b w:val="0"/>
                <w:color w:val="000000"/>
                <w:szCs w:val="24"/>
                <w:lang w:eastAsia="en-MY"/>
              </w:rPr>
              <w:t xml:space="preserve"> </w:t>
            </w:r>
          </w:p>
        </w:tc>
        <w:tc>
          <w:tcPr>
            <w:tcW w:w="1885" w:type="dxa"/>
            <w:tcBorders>
              <w:top w:val="nil"/>
              <w:left w:val="nil"/>
              <w:bottom w:val="nil"/>
              <w:right w:val="nil"/>
            </w:tcBorders>
            <w:shd w:val="clear" w:color="auto" w:fill="auto"/>
            <w:noWrap/>
            <w:vAlign w:val="center"/>
            <w:hideMark/>
          </w:tcPr>
          <w:p w14:paraId="33803100"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2.4081</w:t>
            </w:r>
            <w:r>
              <w:rPr>
                <w:rFonts w:eastAsia="Times New Roman" w:cs="Times New Roman"/>
                <w:b w:val="0"/>
                <w:color w:val="000000"/>
                <w:sz w:val="22"/>
                <w:lang w:eastAsia="en-MY"/>
              </w:rPr>
              <w:t xml:space="preserve"> ± 0.0037</w:t>
            </w:r>
          </w:p>
        </w:tc>
        <w:tc>
          <w:tcPr>
            <w:tcW w:w="1062" w:type="dxa"/>
            <w:tcBorders>
              <w:top w:val="nil"/>
              <w:left w:val="nil"/>
              <w:bottom w:val="nil"/>
              <w:right w:val="nil"/>
            </w:tcBorders>
            <w:shd w:val="clear" w:color="auto" w:fill="auto"/>
            <w:noWrap/>
            <w:vAlign w:val="center"/>
            <w:hideMark/>
          </w:tcPr>
          <w:p w14:paraId="57E4A03F"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25.61</w:t>
            </w:r>
          </w:p>
        </w:tc>
        <w:tc>
          <w:tcPr>
            <w:tcW w:w="990" w:type="dxa"/>
            <w:tcBorders>
              <w:top w:val="nil"/>
              <w:left w:val="nil"/>
              <w:bottom w:val="nil"/>
              <w:right w:val="nil"/>
            </w:tcBorders>
            <w:shd w:val="clear" w:color="auto" w:fill="auto"/>
            <w:noWrap/>
            <w:vAlign w:val="center"/>
            <w:hideMark/>
          </w:tcPr>
          <w:p w14:paraId="78E46328"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0.45</w:t>
            </w:r>
          </w:p>
        </w:tc>
        <w:tc>
          <w:tcPr>
            <w:tcW w:w="1442" w:type="dxa"/>
            <w:tcBorders>
              <w:top w:val="nil"/>
              <w:left w:val="nil"/>
              <w:bottom w:val="nil"/>
              <w:right w:val="nil"/>
            </w:tcBorders>
            <w:shd w:val="clear" w:color="auto" w:fill="auto"/>
            <w:noWrap/>
            <w:vAlign w:val="center"/>
            <w:hideMark/>
          </w:tcPr>
          <w:p w14:paraId="6CBCE04D"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579</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773D2CE1" w14:textId="77777777" w:rsidTr="00CB5F95">
        <w:trPr>
          <w:trHeight w:val="330"/>
          <w:jc w:val="center"/>
        </w:trPr>
        <w:tc>
          <w:tcPr>
            <w:tcW w:w="2510" w:type="dxa"/>
            <w:tcBorders>
              <w:top w:val="nil"/>
              <w:left w:val="nil"/>
              <w:bottom w:val="nil"/>
              <w:right w:val="nil"/>
            </w:tcBorders>
            <w:shd w:val="clear" w:color="auto" w:fill="auto"/>
            <w:vAlign w:val="center"/>
            <w:hideMark/>
          </w:tcPr>
          <w:p w14:paraId="0839DCB4"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75.7</w:t>
            </w:r>
            <w:r w:rsidRPr="000E2377">
              <w:rPr>
                <w:rFonts w:eastAsia="Times New Roman" w:cs="Times New Roman"/>
                <w:b w:val="0"/>
                <w:color w:val="000000"/>
                <w:szCs w:val="24"/>
                <w:lang w:eastAsia="en-MY"/>
              </w:rPr>
              <w:t xml:space="preserve"> </w:t>
            </w:r>
          </w:p>
        </w:tc>
        <w:tc>
          <w:tcPr>
            <w:tcW w:w="1885" w:type="dxa"/>
            <w:tcBorders>
              <w:top w:val="nil"/>
              <w:left w:val="nil"/>
              <w:bottom w:val="nil"/>
              <w:right w:val="nil"/>
            </w:tcBorders>
            <w:shd w:val="clear" w:color="auto" w:fill="auto"/>
            <w:noWrap/>
            <w:vAlign w:val="center"/>
            <w:hideMark/>
          </w:tcPr>
          <w:p w14:paraId="2ED4980B"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2.3934</w:t>
            </w:r>
            <w:r>
              <w:rPr>
                <w:rFonts w:eastAsia="Times New Roman" w:cs="Times New Roman"/>
                <w:b w:val="0"/>
                <w:color w:val="000000"/>
                <w:sz w:val="22"/>
                <w:lang w:eastAsia="en-MY"/>
              </w:rPr>
              <w:t xml:space="preserve"> ± 0.0028</w:t>
            </w:r>
          </w:p>
        </w:tc>
        <w:tc>
          <w:tcPr>
            <w:tcW w:w="1062" w:type="dxa"/>
            <w:tcBorders>
              <w:top w:val="nil"/>
              <w:left w:val="nil"/>
              <w:bottom w:val="nil"/>
              <w:right w:val="nil"/>
            </w:tcBorders>
            <w:shd w:val="clear" w:color="auto" w:fill="auto"/>
            <w:noWrap/>
            <w:vAlign w:val="center"/>
            <w:hideMark/>
          </w:tcPr>
          <w:p w14:paraId="2CD9AFBF"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26.20</w:t>
            </w:r>
          </w:p>
        </w:tc>
        <w:tc>
          <w:tcPr>
            <w:tcW w:w="990" w:type="dxa"/>
            <w:tcBorders>
              <w:top w:val="nil"/>
              <w:left w:val="nil"/>
              <w:bottom w:val="nil"/>
              <w:right w:val="nil"/>
            </w:tcBorders>
            <w:shd w:val="clear" w:color="auto" w:fill="auto"/>
            <w:noWrap/>
            <w:vAlign w:val="center"/>
            <w:hideMark/>
          </w:tcPr>
          <w:p w14:paraId="3637EC62"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0.44</w:t>
            </w:r>
          </w:p>
        </w:tc>
        <w:tc>
          <w:tcPr>
            <w:tcW w:w="1442" w:type="dxa"/>
            <w:tcBorders>
              <w:top w:val="nil"/>
              <w:left w:val="nil"/>
              <w:bottom w:val="nil"/>
              <w:right w:val="nil"/>
            </w:tcBorders>
            <w:shd w:val="clear" w:color="auto" w:fill="auto"/>
            <w:noWrap/>
            <w:vAlign w:val="center"/>
            <w:hideMark/>
          </w:tcPr>
          <w:p w14:paraId="1A7435B5"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582</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448101CD" w14:textId="77777777" w:rsidTr="00CB5F95">
        <w:trPr>
          <w:trHeight w:val="360"/>
          <w:jc w:val="center"/>
        </w:trPr>
        <w:tc>
          <w:tcPr>
            <w:tcW w:w="2510" w:type="dxa"/>
            <w:tcBorders>
              <w:top w:val="nil"/>
              <w:left w:val="nil"/>
              <w:bottom w:val="nil"/>
              <w:right w:val="nil"/>
            </w:tcBorders>
            <w:shd w:val="clear" w:color="auto" w:fill="auto"/>
            <w:vAlign w:val="center"/>
            <w:hideMark/>
          </w:tcPr>
          <w:p w14:paraId="00EFA290"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75.5</w:t>
            </w:r>
          </w:p>
        </w:tc>
        <w:tc>
          <w:tcPr>
            <w:tcW w:w="1885" w:type="dxa"/>
            <w:tcBorders>
              <w:top w:val="nil"/>
              <w:left w:val="nil"/>
              <w:bottom w:val="nil"/>
              <w:right w:val="nil"/>
            </w:tcBorders>
            <w:shd w:val="clear" w:color="auto" w:fill="auto"/>
            <w:noWrap/>
            <w:vAlign w:val="center"/>
            <w:hideMark/>
          </w:tcPr>
          <w:p w14:paraId="043C144E"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2.3857</w:t>
            </w:r>
            <w:r>
              <w:rPr>
                <w:rFonts w:eastAsia="Times New Roman" w:cs="Times New Roman"/>
                <w:b w:val="0"/>
                <w:color w:val="000000"/>
                <w:sz w:val="22"/>
                <w:lang w:eastAsia="en-MY"/>
              </w:rPr>
              <w:t xml:space="preserve"> ± 0.0044</w:t>
            </w:r>
          </w:p>
        </w:tc>
        <w:tc>
          <w:tcPr>
            <w:tcW w:w="1062" w:type="dxa"/>
            <w:tcBorders>
              <w:top w:val="nil"/>
              <w:left w:val="nil"/>
              <w:bottom w:val="nil"/>
              <w:right w:val="nil"/>
            </w:tcBorders>
            <w:shd w:val="clear" w:color="auto" w:fill="auto"/>
            <w:noWrap/>
            <w:vAlign w:val="center"/>
            <w:hideMark/>
          </w:tcPr>
          <w:p w14:paraId="0FE3AB56"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26.32</w:t>
            </w:r>
          </w:p>
        </w:tc>
        <w:tc>
          <w:tcPr>
            <w:tcW w:w="990" w:type="dxa"/>
            <w:tcBorders>
              <w:top w:val="nil"/>
              <w:left w:val="nil"/>
              <w:bottom w:val="nil"/>
              <w:right w:val="nil"/>
            </w:tcBorders>
            <w:shd w:val="clear" w:color="auto" w:fill="auto"/>
            <w:noWrap/>
            <w:vAlign w:val="center"/>
            <w:hideMark/>
          </w:tcPr>
          <w:p w14:paraId="2C30CDA8"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0.44</w:t>
            </w:r>
          </w:p>
        </w:tc>
        <w:tc>
          <w:tcPr>
            <w:tcW w:w="1442" w:type="dxa"/>
            <w:tcBorders>
              <w:top w:val="nil"/>
              <w:left w:val="nil"/>
              <w:bottom w:val="nil"/>
              <w:right w:val="nil"/>
            </w:tcBorders>
            <w:shd w:val="clear" w:color="auto" w:fill="auto"/>
            <w:noWrap/>
            <w:vAlign w:val="center"/>
            <w:hideMark/>
          </w:tcPr>
          <w:p w14:paraId="674E5E35"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591</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38D97609" w14:textId="77777777" w:rsidTr="00CB5F95">
        <w:trPr>
          <w:trHeight w:val="330"/>
          <w:jc w:val="center"/>
        </w:trPr>
        <w:tc>
          <w:tcPr>
            <w:tcW w:w="2510" w:type="dxa"/>
            <w:tcBorders>
              <w:top w:val="nil"/>
              <w:left w:val="nil"/>
              <w:bottom w:val="single" w:sz="4" w:space="0" w:color="auto"/>
              <w:right w:val="nil"/>
            </w:tcBorders>
            <w:shd w:val="clear" w:color="auto" w:fill="auto"/>
            <w:vAlign w:val="center"/>
            <w:hideMark/>
          </w:tcPr>
          <w:p w14:paraId="242EFA8E"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73.2</w:t>
            </w:r>
          </w:p>
        </w:tc>
        <w:tc>
          <w:tcPr>
            <w:tcW w:w="1885" w:type="dxa"/>
            <w:tcBorders>
              <w:top w:val="nil"/>
              <w:left w:val="nil"/>
              <w:bottom w:val="single" w:sz="4" w:space="0" w:color="auto"/>
              <w:right w:val="nil"/>
            </w:tcBorders>
            <w:shd w:val="clear" w:color="auto" w:fill="auto"/>
            <w:noWrap/>
            <w:vAlign w:val="center"/>
            <w:hideMark/>
          </w:tcPr>
          <w:p w14:paraId="394ECE56"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2.3944</w:t>
            </w:r>
            <w:r>
              <w:rPr>
                <w:rFonts w:eastAsia="Times New Roman" w:cs="Times New Roman"/>
                <w:b w:val="0"/>
                <w:color w:val="000000"/>
                <w:sz w:val="22"/>
                <w:lang w:eastAsia="en-MY"/>
              </w:rPr>
              <w:t xml:space="preserve"> ± 0.0045</w:t>
            </w:r>
          </w:p>
        </w:tc>
        <w:tc>
          <w:tcPr>
            <w:tcW w:w="1062" w:type="dxa"/>
            <w:tcBorders>
              <w:top w:val="nil"/>
              <w:left w:val="nil"/>
              <w:bottom w:val="single" w:sz="4" w:space="0" w:color="auto"/>
              <w:right w:val="nil"/>
            </w:tcBorders>
            <w:shd w:val="clear" w:color="auto" w:fill="auto"/>
            <w:noWrap/>
            <w:vAlign w:val="center"/>
            <w:hideMark/>
          </w:tcPr>
          <w:p w14:paraId="1F4E8E4A"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26.63</w:t>
            </w:r>
          </w:p>
        </w:tc>
        <w:tc>
          <w:tcPr>
            <w:tcW w:w="990" w:type="dxa"/>
            <w:tcBorders>
              <w:top w:val="nil"/>
              <w:left w:val="nil"/>
              <w:bottom w:val="single" w:sz="4" w:space="0" w:color="auto"/>
              <w:right w:val="nil"/>
            </w:tcBorders>
            <w:shd w:val="clear" w:color="auto" w:fill="auto"/>
            <w:noWrap/>
            <w:vAlign w:val="center"/>
            <w:hideMark/>
          </w:tcPr>
          <w:p w14:paraId="23B56694"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0.44</w:t>
            </w:r>
          </w:p>
        </w:tc>
        <w:tc>
          <w:tcPr>
            <w:tcW w:w="1442" w:type="dxa"/>
            <w:tcBorders>
              <w:top w:val="nil"/>
              <w:left w:val="nil"/>
              <w:bottom w:val="single" w:sz="4" w:space="0" w:color="auto"/>
              <w:right w:val="nil"/>
            </w:tcBorders>
            <w:shd w:val="clear" w:color="auto" w:fill="auto"/>
            <w:noWrap/>
            <w:vAlign w:val="center"/>
            <w:hideMark/>
          </w:tcPr>
          <w:p w14:paraId="012D105D"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607</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6CA816D4" w14:textId="77777777" w:rsidTr="00CB5F95">
        <w:trPr>
          <w:trHeight w:val="315"/>
          <w:jc w:val="center"/>
        </w:trPr>
        <w:tc>
          <w:tcPr>
            <w:tcW w:w="2510" w:type="dxa"/>
            <w:tcBorders>
              <w:top w:val="nil"/>
              <w:left w:val="nil"/>
              <w:bottom w:val="nil"/>
              <w:right w:val="nil"/>
            </w:tcBorders>
            <w:shd w:val="clear" w:color="auto" w:fill="auto"/>
            <w:vAlign w:val="center"/>
            <w:hideMark/>
          </w:tcPr>
          <w:p w14:paraId="0991FE3B"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p>
        </w:tc>
        <w:tc>
          <w:tcPr>
            <w:tcW w:w="1885" w:type="dxa"/>
            <w:tcBorders>
              <w:top w:val="nil"/>
              <w:left w:val="nil"/>
              <w:bottom w:val="nil"/>
              <w:right w:val="nil"/>
            </w:tcBorders>
            <w:shd w:val="clear" w:color="auto" w:fill="auto"/>
            <w:noWrap/>
            <w:vAlign w:val="center"/>
            <w:hideMark/>
          </w:tcPr>
          <w:p w14:paraId="40D2DCE6"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2.4507</w:t>
            </w:r>
            <w:r>
              <w:rPr>
                <w:rFonts w:eastAsia="Times New Roman" w:cs="Times New Roman"/>
                <w:b w:val="0"/>
                <w:color w:val="000000"/>
                <w:sz w:val="22"/>
                <w:lang w:eastAsia="en-MY"/>
              </w:rPr>
              <w:t xml:space="preserve"> ± 0.0025</w:t>
            </w:r>
          </w:p>
        </w:tc>
        <w:tc>
          <w:tcPr>
            <w:tcW w:w="1062" w:type="dxa"/>
            <w:tcBorders>
              <w:top w:val="nil"/>
              <w:left w:val="nil"/>
              <w:bottom w:val="nil"/>
              <w:right w:val="nil"/>
            </w:tcBorders>
            <w:shd w:val="clear" w:color="auto" w:fill="auto"/>
            <w:noWrap/>
            <w:vAlign w:val="center"/>
            <w:hideMark/>
          </w:tcPr>
          <w:p w14:paraId="7471379F"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24.94</w:t>
            </w:r>
          </w:p>
        </w:tc>
        <w:tc>
          <w:tcPr>
            <w:tcW w:w="990" w:type="dxa"/>
            <w:tcBorders>
              <w:top w:val="nil"/>
              <w:left w:val="nil"/>
              <w:bottom w:val="nil"/>
              <w:right w:val="nil"/>
            </w:tcBorders>
            <w:shd w:val="clear" w:color="auto" w:fill="auto"/>
            <w:noWrap/>
            <w:vAlign w:val="center"/>
            <w:hideMark/>
          </w:tcPr>
          <w:p w14:paraId="366FC752"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0.50</w:t>
            </w:r>
          </w:p>
        </w:tc>
        <w:tc>
          <w:tcPr>
            <w:tcW w:w="1442" w:type="dxa"/>
            <w:tcBorders>
              <w:top w:val="nil"/>
              <w:left w:val="nil"/>
              <w:bottom w:val="nil"/>
              <w:right w:val="nil"/>
            </w:tcBorders>
            <w:shd w:val="clear" w:color="auto" w:fill="auto"/>
            <w:noWrap/>
            <w:vAlign w:val="center"/>
            <w:hideMark/>
          </w:tcPr>
          <w:p w14:paraId="793E78AA"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582</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5717FE54" w14:textId="77777777" w:rsidTr="00CB5F95">
        <w:trPr>
          <w:trHeight w:val="300"/>
          <w:jc w:val="center"/>
        </w:trPr>
        <w:tc>
          <w:tcPr>
            <w:tcW w:w="2510" w:type="dxa"/>
            <w:tcBorders>
              <w:top w:val="nil"/>
              <w:left w:val="nil"/>
              <w:bottom w:val="single" w:sz="4" w:space="0" w:color="auto"/>
              <w:right w:val="nil"/>
            </w:tcBorders>
            <w:shd w:val="clear" w:color="auto" w:fill="auto"/>
            <w:vAlign w:val="center"/>
            <w:hideMark/>
          </w:tcPr>
          <w:p w14:paraId="0780B3A3"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p>
        </w:tc>
        <w:tc>
          <w:tcPr>
            <w:tcW w:w="1885" w:type="dxa"/>
            <w:tcBorders>
              <w:top w:val="nil"/>
              <w:left w:val="nil"/>
              <w:bottom w:val="single" w:sz="4" w:space="0" w:color="auto"/>
              <w:right w:val="nil"/>
            </w:tcBorders>
            <w:shd w:val="clear" w:color="auto" w:fill="auto"/>
            <w:noWrap/>
            <w:vAlign w:val="center"/>
            <w:hideMark/>
          </w:tcPr>
          <w:p w14:paraId="6F7827FD"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2.4793</w:t>
            </w:r>
            <w:r>
              <w:rPr>
                <w:rFonts w:eastAsia="Times New Roman" w:cs="Times New Roman"/>
                <w:b w:val="0"/>
                <w:color w:val="000000"/>
                <w:sz w:val="22"/>
                <w:lang w:eastAsia="en-MY"/>
              </w:rPr>
              <w:t xml:space="preserve"> ± 0.0026</w:t>
            </w:r>
          </w:p>
        </w:tc>
        <w:tc>
          <w:tcPr>
            <w:tcW w:w="1062" w:type="dxa"/>
            <w:tcBorders>
              <w:top w:val="nil"/>
              <w:left w:val="nil"/>
              <w:bottom w:val="single" w:sz="4" w:space="0" w:color="auto"/>
              <w:right w:val="nil"/>
            </w:tcBorders>
            <w:shd w:val="clear" w:color="auto" w:fill="auto"/>
            <w:noWrap/>
            <w:vAlign w:val="center"/>
            <w:hideMark/>
          </w:tcPr>
          <w:p w14:paraId="6FA30274"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25.30</w:t>
            </w:r>
          </w:p>
        </w:tc>
        <w:tc>
          <w:tcPr>
            <w:tcW w:w="990" w:type="dxa"/>
            <w:tcBorders>
              <w:top w:val="nil"/>
              <w:left w:val="nil"/>
              <w:bottom w:val="single" w:sz="4" w:space="0" w:color="auto"/>
              <w:right w:val="nil"/>
            </w:tcBorders>
            <w:shd w:val="clear" w:color="auto" w:fill="auto"/>
            <w:noWrap/>
            <w:vAlign w:val="center"/>
            <w:hideMark/>
          </w:tcPr>
          <w:p w14:paraId="5BA20B8F"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0.49</w:t>
            </w:r>
          </w:p>
        </w:tc>
        <w:tc>
          <w:tcPr>
            <w:tcW w:w="1442" w:type="dxa"/>
            <w:tcBorders>
              <w:top w:val="nil"/>
              <w:left w:val="nil"/>
              <w:bottom w:val="single" w:sz="4" w:space="0" w:color="auto"/>
              <w:right w:val="nil"/>
            </w:tcBorders>
            <w:shd w:val="clear" w:color="auto" w:fill="auto"/>
            <w:noWrap/>
            <w:vAlign w:val="center"/>
            <w:hideMark/>
          </w:tcPr>
          <w:p w14:paraId="72A24AAF"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595</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6413F7CA" w14:textId="77777777" w:rsidTr="00CB5F95">
        <w:trPr>
          <w:trHeight w:val="315"/>
          <w:jc w:val="center"/>
        </w:trPr>
        <w:tc>
          <w:tcPr>
            <w:tcW w:w="2510" w:type="dxa"/>
            <w:tcBorders>
              <w:top w:val="nil"/>
              <w:left w:val="nil"/>
              <w:bottom w:val="nil"/>
              <w:right w:val="nil"/>
            </w:tcBorders>
            <w:shd w:val="clear" w:color="auto" w:fill="auto"/>
            <w:vAlign w:val="center"/>
            <w:hideMark/>
          </w:tcPr>
          <w:p w14:paraId="4E84C5F0"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885" w:type="dxa"/>
            <w:tcBorders>
              <w:top w:val="nil"/>
              <w:left w:val="nil"/>
              <w:bottom w:val="nil"/>
              <w:right w:val="nil"/>
            </w:tcBorders>
            <w:shd w:val="clear" w:color="auto" w:fill="auto"/>
            <w:noWrap/>
            <w:vAlign w:val="center"/>
            <w:hideMark/>
          </w:tcPr>
          <w:p w14:paraId="56AA77D4"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2.4655</w:t>
            </w:r>
            <w:r>
              <w:rPr>
                <w:rFonts w:eastAsia="Times New Roman" w:cs="Times New Roman"/>
                <w:b w:val="0"/>
                <w:color w:val="000000"/>
                <w:sz w:val="22"/>
                <w:lang w:eastAsia="en-MY"/>
              </w:rPr>
              <w:t xml:space="preserve"> ± 0.0031</w:t>
            </w:r>
          </w:p>
        </w:tc>
        <w:tc>
          <w:tcPr>
            <w:tcW w:w="1062" w:type="dxa"/>
            <w:tcBorders>
              <w:top w:val="nil"/>
              <w:left w:val="nil"/>
              <w:bottom w:val="nil"/>
              <w:right w:val="nil"/>
            </w:tcBorders>
            <w:shd w:val="clear" w:color="auto" w:fill="auto"/>
            <w:noWrap/>
            <w:vAlign w:val="center"/>
            <w:hideMark/>
          </w:tcPr>
          <w:p w14:paraId="64C3F294"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25.83</w:t>
            </w:r>
          </w:p>
        </w:tc>
        <w:tc>
          <w:tcPr>
            <w:tcW w:w="990" w:type="dxa"/>
            <w:tcBorders>
              <w:top w:val="nil"/>
              <w:left w:val="nil"/>
              <w:bottom w:val="nil"/>
              <w:right w:val="nil"/>
            </w:tcBorders>
            <w:shd w:val="clear" w:color="auto" w:fill="auto"/>
            <w:noWrap/>
            <w:vAlign w:val="center"/>
            <w:hideMark/>
          </w:tcPr>
          <w:p w14:paraId="4C3E0D8D"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0.50</w:t>
            </w:r>
          </w:p>
        </w:tc>
        <w:tc>
          <w:tcPr>
            <w:tcW w:w="1442" w:type="dxa"/>
            <w:tcBorders>
              <w:top w:val="nil"/>
              <w:left w:val="nil"/>
              <w:bottom w:val="nil"/>
              <w:right w:val="nil"/>
            </w:tcBorders>
            <w:shd w:val="clear" w:color="auto" w:fill="auto"/>
            <w:noWrap/>
            <w:vAlign w:val="center"/>
            <w:hideMark/>
          </w:tcPr>
          <w:p w14:paraId="039AC8BF"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670</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56619B41" w14:textId="77777777" w:rsidTr="00CB5F95">
        <w:trPr>
          <w:trHeight w:val="300"/>
          <w:jc w:val="center"/>
        </w:trPr>
        <w:tc>
          <w:tcPr>
            <w:tcW w:w="2510" w:type="dxa"/>
            <w:tcBorders>
              <w:top w:val="nil"/>
              <w:left w:val="nil"/>
              <w:bottom w:val="nil"/>
              <w:right w:val="nil"/>
            </w:tcBorders>
            <w:shd w:val="clear" w:color="auto" w:fill="auto"/>
            <w:vAlign w:val="center"/>
            <w:hideMark/>
          </w:tcPr>
          <w:p w14:paraId="6D15E742"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885" w:type="dxa"/>
            <w:tcBorders>
              <w:top w:val="nil"/>
              <w:left w:val="nil"/>
              <w:bottom w:val="nil"/>
              <w:right w:val="nil"/>
            </w:tcBorders>
            <w:shd w:val="clear" w:color="auto" w:fill="auto"/>
            <w:noWrap/>
            <w:vAlign w:val="center"/>
            <w:hideMark/>
          </w:tcPr>
          <w:p w14:paraId="7C55B7DF"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2.4705</w:t>
            </w:r>
            <w:r>
              <w:rPr>
                <w:rFonts w:eastAsia="Times New Roman" w:cs="Times New Roman"/>
                <w:b w:val="0"/>
                <w:color w:val="000000"/>
                <w:sz w:val="22"/>
                <w:lang w:eastAsia="en-MY"/>
              </w:rPr>
              <w:t xml:space="preserve"> ± 0.0036</w:t>
            </w:r>
          </w:p>
        </w:tc>
        <w:tc>
          <w:tcPr>
            <w:tcW w:w="1062" w:type="dxa"/>
            <w:tcBorders>
              <w:top w:val="nil"/>
              <w:left w:val="nil"/>
              <w:bottom w:val="nil"/>
              <w:right w:val="nil"/>
            </w:tcBorders>
            <w:shd w:val="clear" w:color="auto" w:fill="auto"/>
            <w:noWrap/>
            <w:vAlign w:val="center"/>
            <w:hideMark/>
          </w:tcPr>
          <w:p w14:paraId="7F7BF199"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26.44</w:t>
            </w:r>
          </w:p>
        </w:tc>
        <w:tc>
          <w:tcPr>
            <w:tcW w:w="990" w:type="dxa"/>
            <w:tcBorders>
              <w:top w:val="nil"/>
              <w:left w:val="nil"/>
              <w:bottom w:val="nil"/>
              <w:right w:val="nil"/>
            </w:tcBorders>
            <w:shd w:val="clear" w:color="auto" w:fill="auto"/>
            <w:noWrap/>
            <w:vAlign w:val="center"/>
            <w:hideMark/>
          </w:tcPr>
          <w:p w14:paraId="50F08A12"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0.49</w:t>
            </w:r>
          </w:p>
        </w:tc>
        <w:tc>
          <w:tcPr>
            <w:tcW w:w="1442" w:type="dxa"/>
            <w:tcBorders>
              <w:top w:val="nil"/>
              <w:left w:val="nil"/>
              <w:bottom w:val="nil"/>
              <w:right w:val="nil"/>
            </w:tcBorders>
            <w:shd w:val="clear" w:color="auto" w:fill="auto"/>
            <w:noWrap/>
            <w:vAlign w:val="center"/>
            <w:hideMark/>
          </w:tcPr>
          <w:p w14:paraId="36EDA862"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637</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78D96083" w14:textId="77777777" w:rsidTr="00CB5F95">
        <w:trPr>
          <w:trHeight w:val="300"/>
          <w:jc w:val="center"/>
        </w:trPr>
        <w:tc>
          <w:tcPr>
            <w:tcW w:w="2510" w:type="dxa"/>
            <w:tcBorders>
              <w:top w:val="nil"/>
              <w:left w:val="nil"/>
              <w:bottom w:val="single" w:sz="4" w:space="0" w:color="auto"/>
              <w:right w:val="nil"/>
            </w:tcBorders>
            <w:shd w:val="clear" w:color="auto" w:fill="auto"/>
            <w:vAlign w:val="center"/>
            <w:hideMark/>
          </w:tcPr>
          <w:p w14:paraId="798DFCC7"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885" w:type="dxa"/>
            <w:tcBorders>
              <w:top w:val="nil"/>
              <w:left w:val="nil"/>
              <w:bottom w:val="single" w:sz="4" w:space="0" w:color="auto"/>
              <w:right w:val="nil"/>
            </w:tcBorders>
            <w:shd w:val="clear" w:color="auto" w:fill="auto"/>
            <w:noWrap/>
            <w:vAlign w:val="center"/>
            <w:hideMark/>
          </w:tcPr>
          <w:p w14:paraId="57275B46"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2.4939</w:t>
            </w:r>
            <w:r>
              <w:rPr>
                <w:rFonts w:eastAsia="Times New Roman" w:cs="Times New Roman"/>
                <w:b w:val="0"/>
                <w:color w:val="000000"/>
                <w:sz w:val="22"/>
                <w:lang w:eastAsia="en-MY"/>
              </w:rPr>
              <w:t xml:space="preserve"> ± 0.0037</w:t>
            </w:r>
          </w:p>
        </w:tc>
        <w:tc>
          <w:tcPr>
            <w:tcW w:w="1062" w:type="dxa"/>
            <w:tcBorders>
              <w:top w:val="nil"/>
              <w:left w:val="nil"/>
              <w:bottom w:val="single" w:sz="4" w:space="0" w:color="auto"/>
              <w:right w:val="nil"/>
            </w:tcBorders>
            <w:shd w:val="clear" w:color="auto" w:fill="auto"/>
            <w:noWrap/>
            <w:vAlign w:val="center"/>
            <w:hideMark/>
          </w:tcPr>
          <w:p w14:paraId="1BE5655F"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26.84</w:t>
            </w:r>
          </w:p>
        </w:tc>
        <w:tc>
          <w:tcPr>
            <w:tcW w:w="990" w:type="dxa"/>
            <w:tcBorders>
              <w:top w:val="nil"/>
              <w:left w:val="nil"/>
              <w:bottom w:val="single" w:sz="4" w:space="0" w:color="auto"/>
              <w:right w:val="nil"/>
            </w:tcBorders>
            <w:shd w:val="clear" w:color="auto" w:fill="auto"/>
            <w:noWrap/>
            <w:vAlign w:val="center"/>
            <w:hideMark/>
          </w:tcPr>
          <w:p w14:paraId="4A6EB84A"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0.50</w:t>
            </w:r>
          </w:p>
        </w:tc>
        <w:tc>
          <w:tcPr>
            <w:tcW w:w="1442" w:type="dxa"/>
            <w:tcBorders>
              <w:top w:val="nil"/>
              <w:left w:val="nil"/>
              <w:bottom w:val="single" w:sz="4" w:space="0" w:color="auto"/>
              <w:right w:val="nil"/>
            </w:tcBorders>
            <w:shd w:val="clear" w:color="auto" w:fill="auto"/>
            <w:noWrap/>
            <w:vAlign w:val="center"/>
            <w:hideMark/>
          </w:tcPr>
          <w:p w14:paraId="14A0D35D"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680</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4FE47E08" w14:textId="77777777" w:rsidTr="00CB5F95">
        <w:trPr>
          <w:trHeight w:val="375"/>
          <w:jc w:val="center"/>
        </w:trPr>
        <w:tc>
          <w:tcPr>
            <w:tcW w:w="2510" w:type="dxa"/>
            <w:tcBorders>
              <w:top w:val="nil"/>
              <w:left w:val="nil"/>
              <w:bottom w:val="nil"/>
              <w:right w:val="nil"/>
            </w:tcBorders>
            <w:shd w:val="clear" w:color="auto" w:fill="auto"/>
            <w:vAlign w:val="center"/>
            <w:hideMark/>
          </w:tcPr>
          <w:p w14:paraId="4658779A"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885" w:type="dxa"/>
            <w:tcBorders>
              <w:top w:val="nil"/>
              <w:left w:val="nil"/>
              <w:bottom w:val="nil"/>
              <w:right w:val="nil"/>
            </w:tcBorders>
            <w:shd w:val="clear" w:color="auto" w:fill="auto"/>
            <w:noWrap/>
            <w:vAlign w:val="center"/>
            <w:hideMark/>
          </w:tcPr>
          <w:p w14:paraId="4AF12C15"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2.5576</w:t>
            </w:r>
            <w:r>
              <w:rPr>
                <w:rFonts w:eastAsia="Times New Roman" w:cs="Times New Roman"/>
                <w:b w:val="0"/>
                <w:color w:val="000000"/>
                <w:sz w:val="22"/>
                <w:lang w:eastAsia="en-MY"/>
              </w:rPr>
              <w:t xml:space="preserve"> ± 0.0036</w:t>
            </w:r>
          </w:p>
        </w:tc>
        <w:tc>
          <w:tcPr>
            <w:tcW w:w="1062" w:type="dxa"/>
            <w:tcBorders>
              <w:top w:val="nil"/>
              <w:left w:val="nil"/>
              <w:bottom w:val="nil"/>
              <w:right w:val="nil"/>
            </w:tcBorders>
            <w:shd w:val="clear" w:color="auto" w:fill="auto"/>
            <w:noWrap/>
            <w:vAlign w:val="center"/>
            <w:hideMark/>
          </w:tcPr>
          <w:p w14:paraId="2134F301"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25.09</w:t>
            </w:r>
          </w:p>
        </w:tc>
        <w:tc>
          <w:tcPr>
            <w:tcW w:w="990" w:type="dxa"/>
            <w:tcBorders>
              <w:top w:val="nil"/>
              <w:left w:val="nil"/>
              <w:bottom w:val="nil"/>
              <w:right w:val="nil"/>
            </w:tcBorders>
            <w:shd w:val="clear" w:color="auto" w:fill="auto"/>
            <w:noWrap/>
            <w:vAlign w:val="center"/>
            <w:hideMark/>
          </w:tcPr>
          <w:p w14:paraId="075B2AE2"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0.52</w:t>
            </w:r>
          </w:p>
        </w:tc>
        <w:tc>
          <w:tcPr>
            <w:tcW w:w="1442" w:type="dxa"/>
            <w:tcBorders>
              <w:top w:val="nil"/>
              <w:left w:val="nil"/>
              <w:bottom w:val="nil"/>
              <w:right w:val="nil"/>
            </w:tcBorders>
            <w:shd w:val="clear" w:color="auto" w:fill="auto"/>
            <w:noWrap/>
            <w:vAlign w:val="center"/>
            <w:hideMark/>
          </w:tcPr>
          <w:p w14:paraId="4F88D872"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572</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266F1C8D" w14:textId="77777777" w:rsidTr="00CB5F95">
        <w:trPr>
          <w:trHeight w:val="300"/>
          <w:jc w:val="center"/>
        </w:trPr>
        <w:tc>
          <w:tcPr>
            <w:tcW w:w="2510" w:type="dxa"/>
            <w:tcBorders>
              <w:top w:val="nil"/>
              <w:left w:val="nil"/>
              <w:bottom w:val="nil"/>
              <w:right w:val="nil"/>
            </w:tcBorders>
            <w:shd w:val="clear" w:color="auto" w:fill="auto"/>
            <w:vAlign w:val="center"/>
            <w:hideMark/>
          </w:tcPr>
          <w:p w14:paraId="0BC3D2F9"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885" w:type="dxa"/>
            <w:tcBorders>
              <w:top w:val="nil"/>
              <w:left w:val="nil"/>
              <w:bottom w:val="nil"/>
              <w:right w:val="nil"/>
            </w:tcBorders>
            <w:shd w:val="clear" w:color="auto" w:fill="auto"/>
            <w:noWrap/>
            <w:vAlign w:val="center"/>
            <w:hideMark/>
          </w:tcPr>
          <w:p w14:paraId="72815AAB"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2.5861</w:t>
            </w:r>
            <w:r>
              <w:rPr>
                <w:rFonts w:eastAsia="Times New Roman" w:cs="Times New Roman"/>
                <w:b w:val="0"/>
                <w:color w:val="000000"/>
                <w:sz w:val="22"/>
                <w:lang w:eastAsia="en-MY"/>
              </w:rPr>
              <w:t xml:space="preserve"> ± 0.0037</w:t>
            </w:r>
          </w:p>
        </w:tc>
        <w:tc>
          <w:tcPr>
            <w:tcW w:w="1062" w:type="dxa"/>
            <w:tcBorders>
              <w:top w:val="nil"/>
              <w:left w:val="nil"/>
              <w:bottom w:val="nil"/>
              <w:right w:val="nil"/>
            </w:tcBorders>
            <w:shd w:val="clear" w:color="auto" w:fill="auto"/>
            <w:noWrap/>
            <w:vAlign w:val="center"/>
            <w:hideMark/>
          </w:tcPr>
          <w:p w14:paraId="67804582"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24.37</w:t>
            </w:r>
          </w:p>
        </w:tc>
        <w:tc>
          <w:tcPr>
            <w:tcW w:w="990" w:type="dxa"/>
            <w:tcBorders>
              <w:top w:val="nil"/>
              <w:left w:val="nil"/>
              <w:bottom w:val="nil"/>
              <w:right w:val="nil"/>
            </w:tcBorders>
            <w:shd w:val="clear" w:color="auto" w:fill="auto"/>
            <w:noWrap/>
            <w:vAlign w:val="center"/>
            <w:hideMark/>
          </w:tcPr>
          <w:p w14:paraId="3EF781F0"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0.53</w:t>
            </w:r>
          </w:p>
        </w:tc>
        <w:tc>
          <w:tcPr>
            <w:tcW w:w="1442" w:type="dxa"/>
            <w:tcBorders>
              <w:top w:val="nil"/>
              <w:left w:val="nil"/>
              <w:bottom w:val="nil"/>
              <w:right w:val="nil"/>
            </w:tcBorders>
            <w:shd w:val="clear" w:color="auto" w:fill="auto"/>
            <w:noWrap/>
            <w:vAlign w:val="center"/>
            <w:hideMark/>
          </w:tcPr>
          <w:p w14:paraId="3840BBBD"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572</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37A739E9" w14:textId="77777777" w:rsidTr="00CB5F95">
        <w:trPr>
          <w:trHeight w:val="315"/>
          <w:jc w:val="center"/>
        </w:trPr>
        <w:tc>
          <w:tcPr>
            <w:tcW w:w="2510" w:type="dxa"/>
            <w:tcBorders>
              <w:top w:val="nil"/>
              <w:left w:val="nil"/>
              <w:bottom w:val="single" w:sz="4" w:space="0" w:color="auto"/>
              <w:right w:val="nil"/>
            </w:tcBorders>
            <w:shd w:val="clear" w:color="auto" w:fill="auto"/>
            <w:vAlign w:val="center"/>
            <w:hideMark/>
          </w:tcPr>
          <w:p w14:paraId="0FA70D5D"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12.5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885" w:type="dxa"/>
            <w:tcBorders>
              <w:top w:val="nil"/>
              <w:left w:val="nil"/>
              <w:bottom w:val="single" w:sz="4" w:space="0" w:color="auto"/>
              <w:right w:val="nil"/>
            </w:tcBorders>
            <w:shd w:val="clear" w:color="auto" w:fill="auto"/>
            <w:noWrap/>
            <w:vAlign w:val="center"/>
            <w:hideMark/>
          </w:tcPr>
          <w:p w14:paraId="16B86ED9"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2.6235</w:t>
            </w:r>
            <w:r>
              <w:rPr>
                <w:rFonts w:eastAsia="Times New Roman" w:cs="Times New Roman"/>
                <w:b w:val="0"/>
                <w:color w:val="000000"/>
                <w:sz w:val="22"/>
                <w:lang w:eastAsia="en-MY"/>
              </w:rPr>
              <w:t xml:space="preserve"> ± 0.0031</w:t>
            </w:r>
          </w:p>
        </w:tc>
        <w:tc>
          <w:tcPr>
            <w:tcW w:w="1062" w:type="dxa"/>
            <w:tcBorders>
              <w:top w:val="nil"/>
              <w:left w:val="nil"/>
              <w:bottom w:val="single" w:sz="4" w:space="0" w:color="auto"/>
              <w:right w:val="nil"/>
            </w:tcBorders>
            <w:shd w:val="clear" w:color="auto" w:fill="auto"/>
            <w:noWrap/>
            <w:vAlign w:val="center"/>
            <w:hideMark/>
          </w:tcPr>
          <w:p w14:paraId="3C8127F0"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23.58</w:t>
            </w:r>
          </w:p>
        </w:tc>
        <w:tc>
          <w:tcPr>
            <w:tcW w:w="990" w:type="dxa"/>
            <w:tcBorders>
              <w:top w:val="nil"/>
              <w:left w:val="nil"/>
              <w:bottom w:val="single" w:sz="4" w:space="0" w:color="auto"/>
              <w:right w:val="nil"/>
            </w:tcBorders>
            <w:shd w:val="clear" w:color="auto" w:fill="auto"/>
            <w:noWrap/>
            <w:vAlign w:val="center"/>
            <w:hideMark/>
          </w:tcPr>
          <w:p w14:paraId="41E6095D"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0.53</w:t>
            </w:r>
          </w:p>
        </w:tc>
        <w:tc>
          <w:tcPr>
            <w:tcW w:w="1442" w:type="dxa"/>
            <w:tcBorders>
              <w:top w:val="nil"/>
              <w:left w:val="nil"/>
              <w:bottom w:val="single" w:sz="4" w:space="0" w:color="auto"/>
              <w:right w:val="nil"/>
            </w:tcBorders>
            <w:shd w:val="clear" w:color="auto" w:fill="auto"/>
            <w:noWrap/>
            <w:vAlign w:val="center"/>
            <w:hideMark/>
          </w:tcPr>
          <w:p w14:paraId="31021332"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565</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545AF4D7" w14:textId="77777777" w:rsidTr="00CB5F95">
        <w:trPr>
          <w:trHeight w:val="375"/>
          <w:jc w:val="center"/>
        </w:trPr>
        <w:tc>
          <w:tcPr>
            <w:tcW w:w="2510" w:type="dxa"/>
            <w:tcBorders>
              <w:top w:val="nil"/>
              <w:left w:val="nil"/>
              <w:bottom w:val="nil"/>
              <w:right w:val="nil"/>
            </w:tcBorders>
            <w:shd w:val="clear" w:color="auto" w:fill="auto"/>
            <w:vAlign w:val="center"/>
            <w:hideMark/>
          </w:tcPr>
          <w:p w14:paraId="256563D5"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885" w:type="dxa"/>
            <w:tcBorders>
              <w:top w:val="nil"/>
              <w:left w:val="nil"/>
              <w:bottom w:val="nil"/>
              <w:right w:val="nil"/>
            </w:tcBorders>
            <w:shd w:val="clear" w:color="auto" w:fill="auto"/>
            <w:noWrap/>
            <w:vAlign w:val="center"/>
            <w:hideMark/>
          </w:tcPr>
          <w:p w14:paraId="3DB3A118"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2.8182</w:t>
            </w:r>
            <w:r>
              <w:rPr>
                <w:rFonts w:eastAsia="Times New Roman" w:cs="Times New Roman"/>
                <w:b w:val="0"/>
                <w:color w:val="000000"/>
                <w:sz w:val="22"/>
                <w:lang w:eastAsia="en-MY"/>
              </w:rPr>
              <w:t xml:space="preserve"> ± 0.0034</w:t>
            </w:r>
          </w:p>
        </w:tc>
        <w:tc>
          <w:tcPr>
            <w:tcW w:w="1062" w:type="dxa"/>
            <w:tcBorders>
              <w:top w:val="nil"/>
              <w:left w:val="nil"/>
              <w:bottom w:val="nil"/>
              <w:right w:val="nil"/>
            </w:tcBorders>
            <w:shd w:val="clear" w:color="auto" w:fill="auto"/>
            <w:noWrap/>
            <w:vAlign w:val="center"/>
            <w:hideMark/>
          </w:tcPr>
          <w:p w14:paraId="2F37F0D5"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25.40</w:t>
            </w:r>
          </w:p>
        </w:tc>
        <w:tc>
          <w:tcPr>
            <w:tcW w:w="990" w:type="dxa"/>
            <w:tcBorders>
              <w:top w:val="nil"/>
              <w:left w:val="nil"/>
              <w:bottom w:val="nil"/>
              <w:right w:val="nil"/>
            </w:tcBorders>
            <w:shd w:val="clear" w:color="auto" w:fill="auto"/>
            <w:noWrap/>
            <w:vAlign w:val="center"/>
            <w:hideMark/>
          </w:tcPr>
          <w:p w14:paraId="101EF06D"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0.53</w:t>
            </w:r>
          </w:p>
        </w:tc>
        <w:tc>
          <w:tcPr>
            <w:tcW w:w="1442" w:type="dxa"/>
            <w:tcBorders>
              <w:top w:val="nil"/>
              <w:left w:val="nil"/>
              <w:bottom w:val="nil"/>
              <w:right w:val="nil"/>
            </w:tcBorders>
            <w:shd w:val="clear" w:color="auto" w:fill="auto"/>
            <w:noWrap/>
            <w:vAlign w:val="center"/>
            <w:hideMark/>
          </w:tcPr>
          <w:p w14:paraId="0DFA3F4C"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562</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21A8C996" w14:textId="77777777" w:rsidTr="00CB5F95">
        <w:trPr>
          <w:trHeight w:val="300"/>
          <w:jc w:val="center"/>
        </w:trPr>
        <w:tc>
          <w:tcPr>
            <w:tcW w:w="2510" w:type="dxa"/>
            <w:tcBorders>
              <w:top w:val="nil"/>
              <w:left w:val="nil"/>
              <w:bottom w:val="nil"/>
              <w:right w:val="nil"/>
            </w:tcBorders>
            <w:shd w:val="clear" w:color="auto" w:fill="auto"/>
            <w:vAlign w:val="center"/>
            <w:hideMark/>
          </w:tcPr>
          <w:p w14:paraId="406FB8B8"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885" w:type="dxa"/>
            <w:tcBorders>
              <w:top w:val="nil"/>
              <w:left w:val="nil"/>
              <w:bottom w:val="nil"/>
              <w:right w:val="nil"/>
            </w:tcBorders>
            <w:shd w:val="clear" w:color="auto" w:fill="auto"/>
            <w:noWrap/>
            <w:vAlign w:val="center"/>
            <w:hideMark/>
          </w:tcPr>
          <w:p w14:paraId="190E31CE"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2.9335</w:t>
            </w:r>
            <w:r>
              <w:rPr>
                <w:rFonts w:eastAsia="Times New Roman" w:cs="Times New Roman"/>
                <w:b w:val="0"/>
                <w:color w:val="000000"/>
                <w:sz w:val="22"/>
                <w:lang w:eastAsia="en-MY"/>
              </w:rPr>
              <w:t xml:space="preserve"> ± 0.0051</w:t>
            </w:r>
          </w:p>
        </w:tc>
        <w:tc>
          <w:tcPr>
            <w:tcW w:w="1062" w:type="dxa"/>
            <w:tcBorders>
              <w:top w:val="nil"/>
              <w:left w:val="nil"/>
              <w:bottom w:val="nil"/>
              <w:right w:val="nil"/>
            </w:tcBorders>
            <w:shd w:val="clear" w:color="auto" w:fill="auto"/>
            <w:noWrap/>
            <w:vAlign w:val="center"/>
            <w:hideMark/>
          </w:tcPr>
          <w:p w14:paraId="50995FD6"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24.79</w:t>
            </w:r>
          </w:p>
        </w:tc>
        <w:tc>
          <w:tcPr>
            <w:tcW w:w="990" w:type="dxa"/>
            <w:tcBorders>
              <w:top w:val="nil"/>
              <w:left w:val="nil"/>
              <w:bottom w:val="nil"/>
              <w:right w:val="nil"/>
            </w:tcBorders>
            <w:shd w:val="clear" w:color="auto" w:fill="auto"/>
            <w:noWrap/>
            <w:vAlign w:val="center"/>
            <w:hideMark/>
          </w:tcPr>
          <w:p w14:paraId="26FE70D5"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0.51</w:t>
            </w:r>
          </w:p>
        </w:tc>
        <w:tc>
          <w:tcPr>
            <w:tcW w:w="1442" w:type="dxa"/>
            <w:tcBorders>
              <w:top w:val="nil"/>
              <w:left w:val="nil"/>
              <w:bottom w:val="nil"/>
              <w:right w:val="nil"/>
            </w:tcBorders>
            <w:shd w:val="clear" w:color="auto" w:fill="auto"/>
            <w:noWrap/>
            <w:vAlign w:val="center"/>
            <w:hideMark/>
          </w:tcPr>
          <w:p w14:paraId="0A3B57ED"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556</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790BF610" w14:textId="77777777" w:rsidTr="00CB5F95">
        <w:trPr>
          <w:trHeight w:val="315"/>
          <w:jc w:val="center"/>
        </w:trPr>
        <w:tc>
          <w:tcPr>
            <w:tcW w:w="2510" w:type="dxa"/>
            <w:tcBorders>
              <w:top w:val="nil"/>
              <w:left w:val="nil"/>
              <w:bottom w:val="single" w:sz="4" w:space="0" w:color="auto"/>
              <w:right w:val="nil"/>
            </w:tcBorders>
            <w:shd w:val="clear" w:color="auto" w:fill="auto"/>
            <w:vAlign w:val="center"/>
            <w:hideMark/>
          </w:tcPr>
          <w:p w14:paraId="634A3297"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12.5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885" w:type="dxa"/>
            <w:tcBorders>
              <w:top w:val="nil"/>
              <w:left w:val="nil"/>
              <w:bottom w:val="single" w:sz="4" w:space="0" w:color="auto"/>
              <w:right w:val="nil"/>
            </w:tcBorders>
            <w:shd w:val="clear" w:color="auto" w:fill="auto"/>
            <w:noWrap/>
            <w:vAlign w:val="center"/>
            <w:hideMark/>
          </w:tcPr>
          <w:p w14:paraId="3083C66A"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2.9989</w:t>
            </w:r>
            <w:r>
              <w:rPr>
                <w:rFonts w:eastAsia="Times New Roman" w:cs="Times New Roman"/>
                <w:b w:val="0"/>
                <w:color w:val="000000"/>
                <w:sz w:val="22"/>
                <w:lang w:eastAsia="en-MY"/>
              </w:rPr>
              <w:t xml:space="preserve"> ± 0.0052</w:t>
            </w:r>
          </w:p>
        </w:tc>
        <w:tc>
          <w:tcPr>
            <w:tcW w:w="1062" w:type="dxa"/>
            <w:tcBorders>
              <w:top w:val="nil"/>
              <w:left w:val="nil"/>
              <w:bottom w:val="single" w:sz="4" w:space="0" w:color="auto"/>
              <w:right w:val="nil"/>
            </w:tcBorders>
            <w:shd w:val="clear" w:color="auto" w:fill="auto"/>
            <w:noWrap/>
            <w:vAlign w:val="center"/>
            <w:hideMark/>
          </w:tcPr>
          <w:p w14:paraId="4A5F9824"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21.79</w:t>
            </w:r>
          </w:p>
        </w:tc>
        <w:tc>
          <w:tcPr>
            <w:tcW w:w="990" w:type="dxa"/>
            <w:tcBorders>
              <w:top w:val="nil"/>
              <w:left w:val="nil"/>
              <w:bottom w:val="single" w:sz="4" w:space="0" w:color="auto"/>
              <w:right w:val="nil"/>
            </w:tcBorders>
            <w:shd w:val="clear" w:color="auto" w:fill="auto"/>
            <w:noWrap/>
            <w:vAlign w:val="center"/>
            <w:hideMark/>
          </w:tcPr>
          <w:p w14:paraId="505C696E"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0.48</w:t>
            </w:r>
          </w:p>
        </w:tc>
        <w:tc>
          <w:tcPr>
            <w:tcW w:w="1442" w:type="dxa"/>
            <w:tcBorders>
              <w:top w:val="nil"/>
              <w:left w:val="nil"/>
              <w:bottom w:val="single" w:sz="4" w:space="0" w:color="auto"/>
              <w:right w:val="nil"/>
            </w:tcBorders>
            <w:shd w:val="clear" w:color="auto" w:fill="auto"/>
            <w:noWrap/>
            <w:vAlign w:val="center"/>
            <w:hideMark/>
          </w:tcPr>
          <w:p w14:paraId="04457E53"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553</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27E9429C" w14:textId="77777777" w:rsidTr="00CB5F95">
        <w:trPr>
          <w:trHeight w:val="375"/>
          <w:jc w:val="center"/>
        </w:trPr>
        <w:tc>
          <w:tcPr>
            <w:tcW w:w="2510" w:type="dxa"/>
            <w:tcBorders>
              <w:top w:val="nil"/>
              <w:left w:val="nil"/>
              <w:bottom w:val="nil"/>
              <w:right w:val="nil"/>
            </w:tcBorders>
            <w:shd w:val="clear" w:color="auto" w:fill="auto"/>
            <w:vAlign w:val="center"/>
            <w:hideMark/>
          </w:tcPr>
          <w:p w14:paraId="5AEBC1B1"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885" w:type="dxa"/>
            <w:tcBorders>
              <w:top w:val="nil"/>
              <w:left w:val="nil"/>
              <w:bottom w:val="nil"/>
              <w:right w:val="nil"/>
            </w:tcBorders>
            <w:shd w:val="clear" w:color="auto" w:fill="auto"/>
            <w:noWrap/>
            <w:vAlign w:val="center"/>
            <w:hideMark/>
          </w:tcPr>
          <w:p w14:paraId="21728323"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2.4653</w:t>
            </w:r>
            <w:r>
              <w:rPr>
                <w:rFonts w:eastAsia="Times New Roman" w:cs="Times New Roman"/>
                <w:b w:val="0"/>
                <w:color w:val="000000"/>
                <w:sz w:val="22"/>
                <w:lang w:eastAsia="en-MY"/>
              </w:rPr>
              <w:t xml:space="preserve"> ±0 .0022</w:t>
            </w:r>
          </w:p>
        </w:tc>
        <w:tc>
          <w:tcPr>
            <w:tcW w:w="1062" w:type="dxa"/>
            <w:tcBorders>
              <w:top w:val="nil"/>
              <w:left w:val="nil"/>
              <w:bottom w:val="nil"/>
              <w:right w:val="nil"/>
            </w:tcBorders>
            <w:shd w:val="clear" w:color="auto" w:fill="auto"/>
            <w:noWrap/>
            <w:vAlign w:val="center"/>
            <w:hideMark/>
          </w:tcPr>
          <w:p w14:paraId="411D9567"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28.75</w:t>
            </w:r>
          </w:p>
        </w:tc>
        <w:tc>
          <w:tcPr>
            <w:tcW w:w="990" w:type="dxa"/>
            <w:tcBorders>
              <w:top w:val="nil"/>
              <w:left w:val="nil"/>
              <w:bottom w:val="nil"/>
              <w:right w:val="nil"/>
            </w:tcBorders>
            <w:shd w:val="clear" w:color="auto" w:fill="auto"/>
            <w:noWrap/>
            <w:vAlign w:val="center"/>
            <w:hideMark/>
          </w:tcPr>
          <w:p w14:paraId="26F97965"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0.50</w:t>
            </w:r>
          </w:p>
        </w:tc>
        <w:tc>
          <w:tcPr>
            <w:tcW w:w="1442" w:type="dxa"/>
            <w:tcBorders>
              <w:top w:val="nil"/>
              <w:left w:val="nil"/>
              <w:bottom w:val="nil"/>
              <w:right w:val="nil"/>
            </w:tcBorders>
            <w:shd w:val="clear" w:color="auto" w:fill="auto"/>
            <w:noWrap/>
            <w:vAlign w:val="center"/>
            <w:hideMark/>
          </w:tcPr>
          <w:p w14:paraId="4BB2DD86"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647</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0ACD9B19" w14:textId="77777777" w:rsidTr="00CB5F95">
        <w:trPr>
          <w:trHeight w:val="315"/>
          <w:jc w:val="center"/>
        </w:trPr>
        <w:tc>
          <w:tcPr>
            <w:tcW w:w="2510" w:type="dxa"/>
            <w:tcBorders>
              <w:top w:val="nil"/>
              <w:left w:val="nil"/>
              <w:bottom w:val="nil"/>
              <w:right w:val="nil"/>
            </w:tcBorders>
            <w:shd w:val="clear" w:color="auto" w:fill="auto"/>
            <w:vAlign w:val="center"/>
            <w:hideMark/>
          </w:tcPr>
          <w:p w14:paraId="3AAD27D9"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885" w:type="dxa"/>
            <w:tcBorders>
              <w:top w:val="nil"/>
              <w:left w:val="nil"/>
              <w:bottom w:val="nil"/>
              <w:right w:val="nil"/>
            </w:tcBorders>
            <w:shd w:val="clear" w:color="auto" w:fill="auto"/>
            <w:noWrap/>
            <w:vAlign w:val="center"/>
            <w:hideMark/>
          </w:tcPr>
          <w:p w14:paraId="1FDE8D1F"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2.5643</w:t>
            </w:r>
            <w:r>
              <w:rPr>
                <w:rFonts w:eastAsia="Times New Roman" w:cs="Times New Roman"/>
                <w:b w:val="0"/>
                <w:color w:val="000000"/>
                <w:sz w:val="22"/>
                <w:lang w:eastAsia="en-MY"/>
              </w:rPr>
              <w:t xml:space="preserve"> ± 0.0013</w:t>
            </w:r>
          </w:p>
        </w:tc>
        <w:tc>
          <w:tcPr>
            <w:tcW w:w="1062" w:type="dxa"/>
            <w:tcBorders>
              <w:top w:val="nil"/>
              <w:left w:val="nil"/>
              <w:bottom w:val="nil"/>
              <w:right w:val="nil"/>
            </w:tcBorders>
            <w:shd w:val="clear" w:color="auto" w:fill="auto"/>
            <w:noWrap/>
            <w:vAlign w:val="center"/>
            <w:hideMark/>
          </w:tcPr>
          <w:p w14:paraId="37D89735"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28.14</w:t>
            </w:r>
          </w:p>
        </w:tc>
        <w:tc>
          <w:tcPr>
            <w:tcW w:w="990" w:type="dxa"/>
            <w:tcBorders>
              <w:top w:val="nil"/>
              <w:left w:val="nil"/>
              <w:bottom w:val="nil"/>
              <w:right w:val="nil"/>
            </w:tcBorders>
            <w:shd w:val="clear" w:color="auto" w:fill="auto"/>
            <w:noWrap/>
            <w:vAlign w:val="center"/>
            <w:hideMark/>
          </w:tcPr>
          <w:p w14:paraId="0B2DA7E5"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0.52</w:t>
            </w:r>
          </w:p>
        </w:tc>
        <w:tc>
          <w:tcPr>
            <w:tcW w:w="1442" w:type="dxa"/>
            <w:tcBorders>
              <w:top w:val="nil"/>
              <w:left w:val="nil"/>
              <w:bottom w:val="nil"/>
              <w:right w:val="nil"/>
            </w:tcBorders>
            <w:shd w:val="clear" w:color="auto" w:fill="auto"/>
            <w:noWrap/>
            <w:vAlign w:val="center"/>
            <w:hideMark/>
          </w:tcPr>
          <w:p w14:paraId="718EB549"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638</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315E0751" w14:textId="77777777" w:rsidTr="00CB5F95">
        <w:trPr>
          <w:trHeight w:val="300"/>
          <w:jc w:val="center"/>
        </w:trPr>
        <w:tc>
          <w:tcPr>
            <w:tcW w:w="2510" w:type="dxa"/>
            <w:tcBorders>
              <w:top w:val="nil"/>
              <w:left w:val="nil"/>
              <w:bottom w:val="single" w:sz="4" w:space="0" w:color="auto"/>
              <w:right w:val="nil"/>
            </w:tcBorders>
            <w:shd w:val="clear" w:color="auto" w:fill="auto"/>
            <w:vAlign w:val="center"/>
            <w:hideMark/>
          </w:tcPr>
          <w:p w14:paraId="0CC3BF03"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885" w:type="dxa"/>
            <w:tcBorders>
              <w:top w:val="nil"/>
              <w:left w:val="nil"/>
              <w:bottom w:val="single" w:sz="4" w:space="0" w:color="auto"/>
              <w:right w:val="nil"/>
            </w:tcBorders>
            <w:shd w:val="clear" w:color="auto" w:fill="auto"/>
            <w:noWrap/>
            <w:vAlign w:val="center"/>
            <w:hideMark/>
          </w:tcPr>
          <w:p w14:paraId="4C83A105"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2.6591</w:t>
            </w:r>
            <w:r>
              <w:rPr>
                <w:rFonts w:eastAsia="Times New Roman" w:cs="Times New Roman"/>
                <w:b w:val="0"/>
                <w:color w:val="000000"/>
                <w:sz w:val="22"/>
                <w:lang w:eastAsia="en-MY"/>
              </w:rPr>
              <w:t xml:space="preserve"> ± 0.0030</w:t>
            </w:r>
          </w:p>
        </w:tc>
        <w:tc>
          <w:tcPr>
            <w:tcW w:w="1062" w:type="dxa"/>
            <w:tcBorders>
              <w:top w:val="nil"/>
              <w:left w:val="nil"/>
              <w:bottom w:val="single" w:sz="4" w:space="0" w:color="auto"/>
              <w:right w:val="nil"/>
            </w:tcBorders>
            <w:shd w:val="clear" w:color="auto" w:fill="auto"/>
            <w:noWrap/>
            <w:vAlign w:val="center"/>
            <w:hideMark/>
          </w:tcPr>
          <w:p w14:paraId="70C508DE"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27.62</w:t>
            </w:r>
          </w:p>
        </w:tc>
        <w:tc>
          <w:tcPr>
            <w:tcW w:w="990" w:type="dxa"/>
            <w:tcBorders>
              <w:top w:val="nil"/>
              <w:left w:val="nil"/>
              <w:bottom w:val="single" w:sz="4" w:space="0" w:color="auto"/>
              <w:right w:val="nil"/>
            </w:tcBorders>
            <w:shd w:val="clear" w:color="auto" w:fill="auto"/>
            <w:noWrap/>
            <w:vAlign w:val="center"/>
            <w:hideMark/>
          </w:tcPr>
          <w:p w14:paraId="51F21480"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0.54</w:t>
            </w:r>
          </w:p>
        </w:tc>
        <w:tc>
          <w:tcPr>
            <w:tcW w:w="1442" w:type="dxa"/>
            <w:tcBorders>
              <w:top w:val="nil"/>
              <w:left w:val="nil"/>
              <w:bottom w:val="single" w:sz="4" w:space="0" w:color="auto"/>
              <w:right w:val="nil"/>
            </w:tcBorders>
            <w:shd w:val="clear" w:color="auto" w:fill="auto"/>
            <w:noWrap/>
            <w:vAlign w:val="center"/>
            <w:hideMark/>
          </w:tcPr>
          <w:p w14:paraId="4F09430C"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653</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732A8713" w14:textId="77777777" w:rsidTr="00CB5F95">
        <w:trPr>
          <w:trHeight w:val="375"/>
          <w:jc w:val="center"/>
        </w:trPr>
        <w:tc>
          <w:tcPr>
            <w:tcW w:w="2510" w:type="dxa"/>
            <w:tcBorders>
              <w:top w:val="nil"/>
              <w:left w:val="nil"/>
              <w:bottom w:val="nil"/>
              <w:right w:val="nil"/>
            </w:tcBorders>
            <w:shd w:val="clear" w:color="auto" w:fill="auto"/>
            <w:vAlign w:val="center"/>
            <w:hideMark/>
          </w:tcPr>
          <w:p w14:paraId="7F4B6DBD"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885" w:type="dxa"/>
            <w:tcBorders>
              <w:top w:val="nil"/>
              <w:left w:val="nil"/>
              <w:bottom w:val="nil"/>
              <w:right w:val="nil"/>
            </w:tcBorders>
            <w:shd w:val="clear" w:color="auto" w:fill="auto"/>
            <w:noWrap/>
            <w:vAlign w:val="center"/>
            <w:hideMark/>
          </w:tcPr>
          <w:p w14:paraId="0BBDD829"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2.4056</w:t>
            </w:r>
            <w:r>
              <w:rPr>
                <w:rFonts w:eastAsia="Times New Roman" w:cs="Times New Roman"/>
                <w:b w:val="0"/>
                <w:color w:val="000000"/>
                <w:sz w:val="22"/>
                <w:lang w:eastAsia="en-MY"/>
              </w:rPr>
              <w:t xml:space="preserve"> ± 0.0019</w:t>
            </w:r>
          </w:p>
        </w:tc>
        <w:tc>
          <w:tcPr>
            <w:tcW w:w="1062" w:type="dxa"/>
            <w:tcBorders>
              <w:top w:val="nil"/>
              <w:left w:val="nil"/>
              <w:bottom w:val="nil"/>
              <w:right w:val="nil"/>
            </w:tcBorders>
            <w:shd w:val="clear" w:color="auto" w:fill="auto"/>
            <w:noWrap/>
            <w:vAlign w:val="center"/>
            <w:hideMark/>
          </w:tcPr>
          <w:p w14:paraId="0D1A50F9"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28.46</w:t>
            </w:r>
          </w:p>
        </w:tc>
        <w:tc>
          <w:tcPr>
            <w:tcW w:w="990" w:type="dxa"/>
            <w:tcBorders>
              <w:top w:val="nil"/>
              <w:left w:val="nil"/>
              <w:bottom w:val="nil"/>
              <w:right w:val="nil"/>
            </w:tcBorders>
            <w:shd w:val="clear" w:color="auto" w:fill="auto"/>
            <w:noWrap/>
            <w:vAlign w:val="center"/>
            <w:hideMark/>
          </w:tcPr>
          <w:p w14:paraId="45A11D26"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0.48</w:t>
            </w:r>
          </w:p>
        </w:tc>
        <w:tc>
          <w:tcPr>
            <w:tcW w:w="1442" w:type="dxa"/>
            <w:tcBorders>
              <w:top w:val="nil"/>
              <w:left w:val="nil"/>
              <w:bottom w:val="nil"/>
              <w:right w:val="nil"/>
            </w:tcBorders>
            <w:shd w:val="clear" w:color="auto" w:fill="auto"/>
            <w:noWrap/>
            <w:vAlign w:val="center"/>
            <w:hideMark/>
          </w:tcPr>
          <w:p w14:paraId="50E81997"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651</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3B84363C" w14:textId="77777777" w:rsidTr="00CB5F95">
        <w:trPr>
          <w:trHeight w:val="315"/>
          <w:jc w:val="center"/>
        </w:trPr>
        <w:tc>
          <w:tcPr>
            <w:tcW w:w="2510" w:type="dxa"/>
            <w:tcBorders>
              <w:top w:val="nil"/>
              <w:left w:val="nil"/>
              <w:bottom w:val="nil"/>
              <w:right w:val="nil"/>
            </w:tcBorders>
            <w:shd w:val="clear" w:color="auto" w:fill="auto"/>
            <w:vAlign w:val="center"/>
            <w:hideMark/>
          </w:tcPr>
          <w:p w14:paraId="418CE035"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885" w:type="dxa"/>
            <w:tcBorders>
              <w:top w:val="nil"/>
              <w:left w:val="nil"/>
              <w:bottom w:val="nil"/>
              <w:right w:val="nil"/>
            </w:tcBorders>
            <w:shd w:val="clear" w:color="auto" w:fill="auto"/>
            <w:noWrap/>
            <w:vAlign w:val="center"/>
            <w:hideMark/>
          </w:tcPr>
          <w:p w14:paraId="54823848"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2.4227</w:t>
            </w:r>
            <w:r>
              <w:rPr>
                <w:rFonts w:eastAsia="Times New Roman" w:cs="Times New Roman"/>
                <w:b w:val="0"/>
                <w:color w:val="000000"/>
                <w:sz w:val="22"/>
                <w:lang w:eastAsia="en-MY"/>
              </w:rPr>
              <w:t xml:space="preserve"> ± 0.0019</w:t>
            </w:r>
          </w:p>
        </w:tc>
        <w:tc>
          <w:tcPr>
            <w:tcW w:w="1062" w:type="dxa"/>
            <w:tcBorders>
              <w:top w:val="nil"/>
              <w:left w:val="nil"/>
              <w:bottom w:val="nil"/>
              <w:right w:val="nil"/>
            </w:tcBorders>
            <w:shd w:val="clear" w:color="auto" w:fill="auto"/>
            <w:noWrap/>
            <w:vAlign w:val="center"/>
            <w:hideMark/>
          </w:tcPr>
          <w:p w14:paraId="22B5F2A2"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27.78</w:t>
            </w:r>
          </w:p>
        </w:tc>
        <w:tc>
          <w:tcPr>
            <w:tcW w:w="990" w:type="dxa"/>
            <w:tcBorders>
              <w:top w:val="nil"/>
              <w:left w:val="nil"/>
              <w:bottom w:val="nil"/>
              <w:right w:val="nil"/>
            </w:tcBorders>
            <w:shd w:val="clear" w:color="auto" w:fill="auto"/>
            <w:noWrap/>
            <w:vAlign w:val="center"/>
            <w:hideMark/>
          </w:tcPr>
          <w:p w14:paraId="3929E77A"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0.47</w:t>
            </w:r>
          </w:p>
        </w:tc>
        <w:tc>
          <w:tcPr>
            <w:tcW w:w="1442" w:type="dxa"/>
            <w:tcBorders>
              <w:top w:val="nil"/>
              <w:left w:val="nil"/>
              <w:bottom w:val="nil"/>
              <w:right w:val="nil"/>
            </w:tcBorders>
            <w:shd w:val="clear" w:color="auto" w:fill="auto"/>
            <w:noWrap/>
            <w:vAlign w:val="center"/>
            <w:hideMark/>
          </w:tcPr>
          <w:p w14:paraId="17A1F6C2"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618</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467ED0A2" w14:textId="77777777" w:rsidTr="00CB5F95">
        <w:trPr>
          <w:trHeight w:val="300"/>
          <w:jc w:val="center"/>
        </w:trPr>
        <w:tc>
          <w:tcPr>
            <w:tcW w:w="2510" w:type="dxa"/>
            <w:tcBorders>
              <w:top w:val="nil"/>
              <w:left w:val="nil"/>
              <w:bottom w:val="single" w:sz="4" w:space="0" w:color="auto"/>
              <w:right w:val="nil"/>
            </w:tcBorders>
            <w:shd w:val="clear" w:color="auto" w:fill="auto"/>
            <w:vAlign w:val="center"/>
            <w:hideMark/>
          </w:tcPr>
          <w:p w14:paraId="5A2179C1"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885" w:type="dxa"/>
            <w:tcBorders>
              <w:top w:val="nil"/>
              <w:left w:val="nil"/>
              <w:bottom w:val="single" w:sz="4" w:space="0" w:color="auto"/>
              <w:right w:val="nil"/>
            </w:tcBorders>
            <w:shd w:val="clear" w:color="auto" w:fill="auto"/>
            <w:noWrap/>
            <w:vAlign w:val="center"/>
            <w:hideMark/>
          </w:tcPr>
          <w:p w14:paraId="5148D8C6"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2.4619</w:t>
            </w:r>
            <w:r>
              <w:rPr>
                <w:rFonts w:eastAsia="Times New Roman" w:cs="Times New Roman"/>
                <w:b w:val="0"/>
                <w:color w:val="000000"/>
                <w:sz w:val="22"/>
                <w:lang w:eastAsia="en-MY"/>
              </w:rPr>
              <w:t xml:space="preserve"> ± 0.0020</w:t>
            </w:r>
          </w:p>
        </w:tc>
        <w:tc>
          <w:tcPr>
            <w:tcW w:w="1062" w:type="dxa"/>
            <w:tcBorders>
              <w:top w:val="nil"/>
              <w:left w:val="nil"/>
              <w:bottom w:val="single" w:sz="4" w:space="0" w:color="auto"/>
              <w:right w:val="nil"/>
            </w:tcBorders>
            <w:shd w:val="clear" w:color="auto" w:fill="auto"/>
            <w:noWrap/>
            <w:vAlign w:val="center"/>
            <w:hideMark/>
          </w:tcPr>
          <w:p w14:paraId="72B100D7"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26.87</w:t>
            </w:r>
          </w:p>
        </w:tc>
        <w:tc>
          <w:tcPr>
            <w:tcW w:w="990" w:type="dxa"/>
            <w:tcBorders>
              <w:top w:val="nil"/>
              <w:left w:val="nil"/>
              <w:bottom w:val="single" w:sz="4" w:space="0" w:color="auto"/>
              <w:right w:val="nil"/>
            </w:tcBorders>
            <w:shd w:val="clear" w:color="auto" w:fill="auto"/>
            <w:noWrap/>
            <w:vAlign w:val="center"/>
            <w:hideMark/>
          </w:tcPr>
          <w:p w14:paraId="0B7A1AF0"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0.46</w:t>
            </w:r>
          </w:p>
        </w:tc>
        <w:tc>
          <w:tcPr>
            <w:tcW w:w="1442" w:type="dxa"/>
            <w:tcBorders>
              <w:top w:val="nil"/>
              <w:left w:val="nil"/>
              <w:bottom w:val="single" w:sz="4" w:space="0" w:color="auto"/>
              <w:right w:val="nil"/>
            </w:tcBorders>
            <w:shd w:val="clear" w:color="auto" w:fill="auto"/>
            <w:noWrap/>
            <w:vAlign w:val="center"/>
            <w:hideMark/>
          </w:tcPr>
          <w:p w14:paraId="66683324"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650</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66B1A248" w14:textId="77777777" w:rsidTr="00CB5F95">
        <w:trPr>
          <w:trHeight w:val="315"/>
          <w:jc w:val="center"/>
        </w:trPr>
        <w:tc>
          <w:tcPr>
            <w:tcW w:w="2510" w:type="dxa"/>
            <w:tcBorders>
              <w:top w:val="nil"/>
              <w:left w:val="nil"/>
              <w:bottom w:val="nil"/>
              <w:right w:val="nil"/>
            </w:tcBorders>
            <w:shd w:val="clear" w:color="auto" w:fill="auto"/>
            <w:vAlign w:val="center"/>
            <w:hideMark/>
          </w:tcPr>
          <w:p w14:paraId="0A16A78E"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75.5</w:t>
            </w:r>
          </w:p>
        </w:tc>
        <w:tc>
          <w:tcPr>
            <w:tcW w:w="1885" w:type="dxa"/>
            <w:tcBorders>
              <w:top w:val="nil"/>
              <w:left w:val="nil"/>
              <w:bottom w:val="nil"/>
              <w:right w:val="nil"/>
            </w:tcBorders>
            <w:shd w:val="clear" w:color="auto" w:fill="auto"/>
            <w:noWrap/>
            <w:vAlign w:val="center"/>
            <w:hideMark/>
          </w:tcPr>
          <w:p w14:paraId="222697C1"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2.4161</w:t>
            </w:r>
            <w:r>
              <w:rPr>
                <w:rFonts w:eastAsia="Times New Roman" w:cs="Times New Roman"/>
                <w:b w:val="0"/>
                <w:color w:val="000000"/>
                <w:sz w:val="22"/>
                <w:lang w:eastAsia="en-MY"/>
              </w:rPr>
              <w:t xml:space="preserve"> ± 0.0027</w:t>
            </w:r>
          </w:p>
        </w:tc>
        <w:tc>
          <w:tcPr>
            <w:tcW w:w="1062" w:type="dxa"/>
            <w:tcBorders>
              <w:top w:val="nil"/>
              <w:left w:val="nil"/>
              <w:bottom w:val="nil"/>
              <w:right w:val="nil"/>
            </w:tcBorders>
            <w:shd w:val="clear" w:color="auto" w:fill="auto"/>
            <w:noWrap/>
            <w:vAlign w:val="center"/>
            <w:hideMark/>
          </w:tcPr>
          <w:p w14:paraId="3D987E30"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25.65</w:t>
            </w:r>
          </w:p>
        </w:tc>
        <w:tc>
          <w:tcPr>
            <w:tcW w:w="990" w:type="dxa"/>
            <w:tcBorders>
              <w:top w:val="nil"/>
              <w:left w:val="nil"/>
              <w:bottom w:val="nil"/>
              <w:right w:val="nil"/>
            </w:tcBorders>
            <w:shd w:val="clear" w:color="auto" w:fill="auto"/>
            <w:noWrap/>
            <w:vAlign w:val="center"/>
            <w:hideMark/>
          </w:tcPr>
          <w:p w14:paraId="1E2DBE52"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0.51</w:t>
            </w:r>
          </w:p>
        </w:tc>
        <w:tc>
          <w:tcPr>
            <w:tcW w:w="1442" w:type="dxa"/>
            <w:tcBorders>
              <w:top w:val="nil"/>
              <w:left w:val="nil"/>
              <w:bottom w:val="nil"/>
              <w:right w:val="nil"/>
            </w:tcBorders>
            <w:shd w:val="clear" w:color="auto" w:fill="auto"/>
            <w:noWrap/>
            <w:vAlign w:val="center"/>
            <w:hideMark/>
          </w:tcPr>
          <w:p w14:paraId="5BEB232F"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580</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584F2F3A" w14:textId="77777777" w:rsidTr="00CB5F95">
        <w:trPr>
          <w:trHeight w:val="300"/>
          <w:jc w:val="center"/>
        </w:trPr>
        <w:tc>
          <w:tcPr>
            <w:tcW w:w="2510" w:type="dxa"/>
            <w:tcBorders>
              <w:top w:val="nil"/>
              <w:left w:val="nil"/>
              <w:bottom w:val="nil"/>
              <w:right w:val="nil"/>
            </w:tcBorders>
            <w:shd w:val="clear" w:color="auto" w:fill="auto"/>
            <w:vAlign w:val="center"/>
            <w:hideMark/>
          </w:tcPr>
          <w:p w14:paraId="47AB86B0"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73</w:t>
            </w:r>
          </w:p>
        </w:tc>
        <w:tc>
          <w:tcPr>
            <w:tcW w:w="1885" w:type="dxa"/>
            <w:tcBorders>
              <w:top w:val="nil"/>
              <w:left w:val="nil"/>
              <w:bottom w:val="nil"/>
              <w:right w:val="nil"/>
            </w:tcBorders>
            <w:shd w:val="clear" w:color="auto" w:fill="auto"/>
            <w:noWrap/>
            <w:vAlign w:val="center"/>
            <w:hideMark/>
          </w:tcPr>
          <w:p w14:paraId="1A5AE24F"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2.446</w:t>
            </w:r>
            <w:r>
              <w:rPr>
                <w:rFonts w:eastAsia="Times New Roman" w:cs="Times New Roman"/>
                <w:b w:val="0"/>
                <w:color w:val="000000"/>
                <w:sz w:val="22"/>
                <w:lang w:eastAsia="en-MY"/>
              </w:rPr>
              <w:t>0 ± 0.0023</w:t>
            </w:r>
          </w:p>
        </w:tc>
        <w:tc>
          <w:tcPr>
            <w:tcW w:w="1062" w:type="dxa"/>
            <w:tcBorders>
              <w:top w:val="nil"/>
              <w:left w:val="nil"/>
              <w:bottom w:val="nil"/>
              <w:right w:val="nil"/>
            </w:tcBorders>
            <w:shd w:val="clear" w:color="auto" w:fill="auto"/>
            <w:noWrap/>
            <w:vAlign w:val="center"/>
            <w:hideMark/>
          </w:tcPr>
          <w:p w14:paraId="2BA8B868"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25.29</w:t>
            </w:r>
          </w:p>
        </w:tc>
        <w:tc>
          <w:tcPr>
            <w:tcW w:w="990" w:type="dxa"/>
            <w:tcBorders>
              <w:top w:val="nil"/>
              <w:left w:val="nil"/>
              <w:bottom w:val="nil"/>
              <w:right w:val="nil"/>
            </w:tcBorders>
            <w:shd w:val="clear" w:color="auto" w:fill="auto"/>
            <w:noWrap/>
            <w:vAlign w:val="center"/>
            <w:hideMark/>
          </w:tcPr>
          <w:p w14:paraId="02B7411B"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0.51</w:t>
            </w:r>
          </w:p>
        </w:tc>
        <w:tc>
          <w:tcPr>
            <w:tcW w:w="1442" w:type="dxa"/>
            <w:tcBorders>
              <w:top w:val="nil"/>
              <w:left w:val="nil"/>
              <w:bottom w:val="nil"/>
              <w:right w:val="nil"/>
            </w:tcBorders>
            <w:shd w:val="clear" w:color="auto" w:fill="auto"/>
            <w:noWrap/>
            <w:vAlign w:val="center"/>
            <w:hideMark/>
          </w:tcPr>
          <w:p w14:paraId="4B495BAF"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574</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7D606B7C" w14:textId="77777777" w:rsidTr="00CB5F95">
        <w:trPr>
          <w:trHeight w:val="300"/>
          <w:jc w:val="center"/>
        </w:trPr>
        <w:tc>
          <w:tcPr>
            <w:tcW w:w="2510" w:type="dxa"/>
            <w:tcBorders>
              <w:top w:val="nil"/>
              <w:left w:val="nil"/>
              <w:bottom w:val="single" w:sz="4" w:space="0" w:color="auto"/>
              <w:right w:val="nil"/>
            </w:tcBorders>
            <w:shd w:val="clear" w:color="auto" w:fill="auto"/>
            <w:vAlign w:val="center"/>
            <w:hideMark/>
          </w:tcPr>
          <w:p w14:paraId="70D3AF11"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70.5</w:t>
            </w:r>
          </w:p>
        </w:tc>
        <w:tc>
          <w:tcPr>
            <w:tcW w:w="1885" w:type="dxa"/>
            <w:tcBorders>
              <w:top w:val="nil"/>
              <w:left w:val="nil"/>
              <w:bottom w:val="single" w:sz="4" w:space="0" w:color="auto"/>
              <w:right w:val="nil"/>
            </w:tcBorders>
            <w:shd w:val="clear" w:color="auto" w:fill="auto"/>
            <w:noWrap/>
            <w:vAlign w:val="center"/>
            <w:hideMark/>
          </w:tcPr>
          <w:p w14:paraId="03F007B4"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2.4728</w:t>
            </w:r>
            <w:r>
              <w:rPr>
                <w:rFonts w:eastAsia="Times New Roman" w:cs="Times New Roman"/>
                <w:b w:val="0"/>
                <w:color w:val="000000"/>
                <w:sz w:val="22"/>
                <w:lang w:eastAsia="en-MY"/>
              </w:rPr>
              <w:t xml:space="preserve"> ± 0.0028</w:t>
            </w:r>
          </w:p>
        </w:tc>
        <w:tc>
          <w:tcPr>
            <w:tcW w:w="1062" w:type="dxa"/>
            <w:tcBorders>
              <w:top w:val="nil"/>
              <w:left w:val="nil"/>
              <w:bottom w:val="single" w:sz="4" w:space="0" w:color="auto"/>
              <w:right w:val="nil"/>
            </w:tcBorders>
            <w:shd w:val="clear" w:color="auto" w:fill="auto"/>
            <w:noWrap/>
            <w:vAlign w:val="center"/>
            <w:hideMark/>
          </w:tcPr>
          <w:p w14:paraId="2A6446DB"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24.98</w:t>
            </w:r>
          </w:p>
        </w:tc>
        <w:tc>
          <w:tcPr>
            <w:tcW w:w="990" w:type="dxa"/>
            <w:tcBorders>
              <w:top w:val="nil"/>
              <w:left w:val="nil"/>
              <w:bottom w:val="single" w:sz="4" w:space="0" w:color="auto"/>
              <w:right w:val="nil"/>
            </w:tcBorders>
            <w:shd w:val="clear" w:color="auto" w:fill="auto"/>
            <w:noWrap/>
            <w:vAlign w:val="center"/>
            <w:hideMark/>
          </w:tcPr>
          <w:p w14:paraId="63FEF774"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0.51</w:t>
            </w:r>
          </w:p>
        </w:tc>
        <w:tc>
          <w:tcPr>
            <w:tcW w:w="1442" w:type="dxa"/>
            <w:tcBorders>
              <w:top w:val="nil"/>
              <w:left w:val="nil"/>
              <w:bottom w:val="single" w:sz="4" w:space="0" w:color="auto"/>
              <w:right w:val="nil"/>
            </w:tcBorders>
            <w:shd w:val="clear" w:color="auto" w:fill="auto"/>
            <w:noWrap/>
            <w:vAlign w:val="center"/>
            <w:hideMark/>
          </w:tcPr>
          <w:p w14:paraId="47680A50"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572</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2AE852BB" w14:textId="77777777" w:rsidTr="00CB5F95">
        <w:trPr>
          <w:trHeight w:val="315"/>
          <w:jc w:val="center"/>
        </w:trPr>
        <w:tc>
          <w:tcPr>
            <w:tcW w:w="2510" w:type="dxa"/>
            <w:tcBorders>
              <w:top w:val="nil"/>
              <w:left w:val="nil"/>
              <w:bottom w:val="nil"/>
              <w:right w:val="nil"/>
            </w:tcBorders>
            <w:shd w:val="clear" w:color="auto" w:fill="auto"/>
            <w:vAlign w:val="center"/>
            <w:hideMark/>
          </w:tcPr>
          <w:p w14:paraId="77087EBC"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65.5</w:t>
            </w:r>
          </w:p>
        </w:tc>
        <w:tc>
          <w:tcPr>
            <w:tcW w:w="1885" w:type="dxa"/>
            <w:tcBorders>
              <w:top w:val="nil"/>
              <w:left w:val="nil"/>
              <w:bottom w:val="nil"/>
              <w:right w:val="nil"/>
            </w:tcBorders>
            <w:shd w:val="clear" w:color="auto" w:fill="auto"/>
            <w:noWrap/>
            <w:vAlign w:val="center"/>
            <w:hideMark/>
          </w:tcPr>
          <w:p w14:paraId="1BF2FAE5"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2.5453</w:t>
            </w:r>
            <w:r>
              <w:rPr>
                <w:rFonts w:eastAsia="Times New Roman" w:cs="Times New Roman"/>
                <w:b w:val="0"/>
                <w:color w:val="000000"/>
                <w:sz w:val="22"/>
                <w:lang w:eastAsia="en-MY"/>
              </w:rPr>
              <w:t xml:space="preserve"> ± 0.0034</w:t>
            </w:r>
          </w:p>
        </w:tc>
        <w:tc>
          <w:tcPr>
            <w:tcW w:w="1062" w:type="dxa"/>
            <w:tcBorders>
              <w:top w:val="nil"/>
              <w:left w:val="nil"/>
              <w:bottom w:val="nil"/>
              <w:right w:val="nil"/>
            </w:tcBorders>
            <w:shd w:val="clear" w:color="auto" w:fill="auto"/>
            <w:noWrap/>
            <w:vAlign w:val="center"/>
            <w:hideMark/>
          </w:tcPr>
          <w:p w14:paraId="538FDBC3"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24.30</w:t>
            </w:r>
          </w:p>
        </w:tc>
        <w:tc>
          <w:tcPr>
            <w:tcW w:w="990" w:type="dxa"/>
            <w:tcBorders>
              <w:top w:val="nil"/>
              <w:left w:val="nil"/>
              <w:bottom w:val="nil"/>
              <w:right w:val="nil"/>
            </w:tcBorders>
            <w:shd w:val="clear" w:color="auto" w:fill="auto"/>
            <w:noWrap/>
            <w:vAlign w:val="center"/>
            <w:hideMark/>
          </w:tcPr>
          <w:p w14:paraId="50EEA700"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0.50</w:t>
            </w:r>
          </w:p>
        </w:tc>
        <w:tc>
          <w:tcPr>
            <w:tcW w:w="1442" w:type="dxa"/>
            <w:tcBorders>
              <w:top w:val="nil"/>
              <w:left w:val="nil"/>
              <w:bottom w:val="nil"/>
              <w:right w:val="nil"/>
            </w:tcBorders>
            <w:shd w:val="clear" w:color="auto" w:fill="auto"/>
            <w:noWrap/>
            <w:vAlign w:val="center"/>
            <w:hideMark/>
          </w:tcPr>
          <w:p w14:paraId="6E8978B3"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572</w:t>
            </w:r>
            <w:r>
              <w:rPr>
                <w:rFonts w:eastAsia="Times New Roman" w:cs="Times New Roman"/>
                <w:b w:val="0"/>
                <w:color w:val="000000"/>
                <w:sz w:val="22"/>
                <w:lang w:eastAsia="en-MY"/>
              </w:rPr>
              <w:t xml:space="preserve"> </w:t>
            </w:r>
            <w:r w:rsidRPr="003C78FE">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3C78FE">
              <w:rPr>
                <w:rFonts w:eastAsia="Times New Roman" w:cs="Times New Roman"/>
                <w:b w:val="0"/>
                <w:color w:val="000000"/>
                <w:sz w:val="22"/>
                <w:lang w:eastAsia="en-MY"/>
              </w:rPr>
              <w:t>10</w:t>
            </w:r>
          </w:p>
        </w:tc>
      </w:tr>
      <w:tr w:rsidR="00CB5F95" w:rsidRPr="000E2377" w14:paraId="35CAFE80" w14:textId="77777777" w:rsidTr="00CB5F95">
        <w:trPr>
          <w:trHeight w:val="300"/>
          <w:jc w:val="center"/>
        </w:trPr>
        <w:tc>
          <w:tcPr>
            <w:tcW w:w="2510" w:type="dxa"/>
            <w:tcBorders>
              <w:top w:val="nil"/>
              <w:left w:val="nil"/>
              <w:bottom w:val="nil"/>
              <w:right w:val="nil"/>
            </w:tcBorders>
            <w:shd w:val="clear" w:color="auto" w:fill="auto"/>
            <w:vAlign w:val="center"/>
            <w:hideMark/>
          </w:tcPr>
          <w:p w14:paraId="2DBA9265"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63</w:t>
            </w:r>
          </w:p>
        </w:tc>
        <w:tc>
          <w:tcPr>
            <w:tcW w:w="1885" w:type="dxa"/>
            <w:tcBorders>
              <w:top w:val="nil"/>
              <w:left w:val="nil"/>
              <w:bottom w:val="nil"/>
              <w:right w:val="nil"/>
            </w:tcBorders>
            <w:shd w:val="clear" w:color="auto" w:fill="auto"/>
            <w:noWrap/>
            <w:vAlign w:val="center"/>
            <w:hideMark/>
          </w:tcPr>
          <w:p w14:paraId="698F0AF3"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2.564</w:t>
            </w:r>
            <w:r>
              <w:rPr>
                <w:rFonts w:eastAsia="Times New Roman" w:cs="Times New Roman"/>
                <w:b w:val="0"/>
                <w:color w:val="000000"/>
                <w:sz w:val="22"/>
                <w:lang w:eastAsia="en-MY"/>
              </w:rPr>
              <w:t>0 ± 0.0022</w:t>
            </w:r>
          </w:p>
        </w:tc>
        <w:tc>
          <w:tcPr>
            <w:tcW w:w="1062" w:type="dxa"/>
            <w:tcBorders>
              <w:top w:val="nil"/>
              <w:left w:val="nil"/>
              <w:bottom w:val="nil"/>
              <w:right w:val="nil"/>
            </w:tcBorders>
            <w:shd w:val="clear" w:color="auto" w:fill="auto"/>
            <w:noWrap/>
            <w:vAlign w:val="center"/>
            <w:hideMark/>
          </w:tcPr>
          <w:p w14:paraId="2FA3F973"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24.09</w:t>
            </w:r>
          </w:p>
        </w:tc>
        <w:tc>
          <w:tcPr>
            <w:tcW w:w="990" w:type="dxa"/>
            <w:tcBorders>
              <w:top w:val="nil"/>
              <w:left w:val="nil"/>
              <w:bottom w:val="nil"/>
              <w:right w:val="nil"/>
            </w:tcBorders>
            <w:shd w:val="clear" w:color="auto" w:fill="auto"/>
            <w:noWrap/>
            <w:vAlign w:val="center"/>
            <w:hideMark/>
          </w:tcPr>
          <w:p w14:paraId="40A57D34"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0.51</w:t>
            </w:r>
          </w:p>
        </w:tc>
        <w:tc>
          <w:tcPr>
            <w:tcW w:w="1442" w:type="dxa"/>
            <w:tcBorders>
              <w:top w:val="nil"/>
              <w:left w:val="nil"/>
              <w:bottom w:val="nil"/>
              <w:right w:val="nil"/>
            </w:tcBorders>
            <w:shd w:val="clear" w:color="auto" w:fill="auto"/>
            <w:noWrap/>
            <w:vAlign w:val="center"/>
            <w:hideMark/>
          </w:tcPr>
          <w:p w14:paraId="27C11839"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570</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0D1B53BA" w14:textId="77777777" w:rsidTr="00CB5F95">
        <w:trPr>
          <w:trHeight w:val="300"/>
          <w:jc w:val="center"/>
        </w:trPr>
        <w:tc>
          <w:tcPr>
            <w:tcW w:w="2510" w:type="dxa"/>
            <w:tcBorders>
              <w:top w:val="nil"/>
              <w:left w:val="nil"/>
              <w:bottom w:val="single" w:sz="4" w:space="0" w:color="auto"/>
              <w:right w:val="nil"/>
            </w:tcBorders>
            <w:shd w:val="clear" w:color="auto" w:fill="auto"/>
            <w:vAlign w:val="center"/>
            <w:hideMark/>
          </w:tcPr>
          <w:p w14:paraId="47924C64"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12.5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60.5</w:t>
            </w:r>
          </w:p>
        </w:tc>
        <w:tc>
          <w:tcPr>
            <w:tcW w:w="1885" w:type="dxa"/>
            <w:tcBorders>
              <w:top w:val="nil"/>
              <w:left w:val="nil"/>
              <w:bottom w:val="single" w:sz="4" w:space="0" w:color="auto"/>
              <w:right w:val="nil"/>
            </w:tcBorders>
            <w:shd w:val="clear" w:color="auto" w:fill="auto"/>
            <w:noWrap/>
            <w:vAlign w:val="center"/>
            <w:hideMark/>
          </w:tcPr>
          <w:p w14:paraId="528974A4"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2.5846</w:t>
            </w:r>
            <w:r>
              <w:rPr>
                <w:rFonts w:eastAsia="Times New Roman" w:cs="Times New Roman"/>
                <w:b w:val="0"/>
                <w:color w:val="000000"/>
                <w:sz w:val="22"/>
                <w:lang w:eastAsia="en-MY"/>
              </w:rPr>
              <w:t xml:space="preserve"> ± 0.0022</w:t>
            </w:r>
          </w:p>
        </w:tc>
        <w:tc>
          <w:tcPr>
            <w:tcW w:w="1062" w:type="dxa"/>
            <w:tcBorders>
              <w:top w:val="nil"/>
              <w:left w:val="nil"/>
              <w:bottom w:val="single" w:sz="4" w:space="0" w:color="auto"/>
              <w:right w:val="nil"/>
            </w:tcBorders>
            <w:shd w:val="clear" w:color="auto" w:fill="auto"/>
            <w:noWrap/>
            <w:vAlign w:val="center"/>
            <w:hideMark/>
          </w:tcPr>
          <w:p w14:paraId="7E4C8906"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23.86</w:t>
            </w:r>
          </w:p>
        </w:tc>
        <w:tc>
          <w:tcPr>
            <w:tcW w:w="990" w:type="dxa"/>
            <w:tcBorders>
              <w:top w:val="nil"/>
              <w:left w:val="nil"/>
              <w:bottom w:val="single" w:sz="4" w:space="0" w:color="auto"/>
              <w:right w:val="nil"/>
            </w:tcBorders>
            <w:shd w:val="clear" w:color="auto" w:fill="auto"/>
            <w:noWrap/>
            <w:vAlign w:val="center"/>
            <w:hideMark/>
          </w:tcPr>
          <w:p w14:paraId="59319607"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0.52</w:t>
            </w:r>
          </w:p>
        </w:tc>
        <w:tc>
          <w:tcPr>
            <w:tcW w:w="1442" w:type="dxa"/>
            <w:tcBorders>
              <w:top w:val="nil"/>
              <w:left w:val="nil"/>
              <w:bottom w:val="single" w:sz="4" w:space="0" w:color="auto"/>
              <w:right w:val="nil"/>
            </w:tcBorders>
            <w:shd w:val="clear" w:color="auto" w:fill="auto"/>
            <w:noWrap/>
            <w:vAlign w:val="center"/>
            <w:hideMark/>
          </w:tcPr>
          <w:p w14:paraId="5E556548" w14:textId="77777777" w:rsidR="00CB5F95" w:rsidRPr="007106DA" w:rsidRDefault="00CB5F95" w:rsidP="00CB5F95">
            <w:pPr>
              <w:spacing w:after="0" w:line="240" w:lineRule="auto"/>
              <w:jc w:val="center"/>
              <w:rPr>
                <w:rFonts w:eastAsia="Times New Roman" w:cs="Times New Roman"/>
                <w:b w:val="0"/>
                <w:color w:val="000000"/>
                <w:sz w:val="22"/>
                <w:lang w:eastAsia="en-MY"/>
              </w:rPr>
            </w:pPr>
            <w:r w:rsidRPr="007106DA">
              <w:rPr>
                <w:rFonts w:eastAsia="Times New Roman" w:cs="Times New Roman"/>
                <w:b w:val="0"/>
                <w:color w:val="000000"/>
                <w:sz w:val="22"/>
                <w:lang w:eastAsia="en-MY"/>
              </w:rPr>
              <w:t>569</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7106DA">
              <w:rPr>
                <w:rFonts w:eastAsia="Times New Roman" w:cs="Times New Roman"/>
                <w:b w:val="0"/>
                <w:color w:val="000000"/>
                <w:sz w:val="22"/>
                <w:lang w:eastAsia="en-MY"/>
              </w:rPr>
              <w:t>10</w:t>
            </w:r>
          </w:p>
        </w:tc>
      </w:tr>
      <w:tr w:rsidR="00CB5F95" w:rsidRPr="000E2377" w14:paraId="58A7C285" w14:textId="77777777" w:rsidTr="00CB5F95">
        <w:trPr>
          <w:trHeight w:val="305"/>
          <w:jc w:val="center"/>
        </w:trPr>
        <w:tc>
          <w:tcPr>
            <w:tcW w:w="2510" w:type="dxa"/>
            <w:tcBorders>
              <w:top w:val="nil"/>
              <w:left w:val="nil"/>
              <w:bottom w:val="nil"/>
              <w:right w:val="nil"/>
            </w:tcBorders>
            <w:shd w:val="clear" w:color="auto" w:fill="auto"/>
            <w:vAlign w:val="center"/>
            <w:hideMark/>
          </w:tcPr>
          <w:p w14:paraId="6C67AE81"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2.4</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5.7</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69.9</w:t>
            </w:r>
          </w:p>
        </w:tc>
        <w:tc>
          <w:tcPr>
            <w:tcW w:w="1885" w:type="dxa"/>
            <w:tcBorders>
              <w:top w:val="nil"/>
              <w:left w:val="nil"/>
              <w:bottom w:val="nil"/>
              <w:right w:val="nil"/>
            </w:tcBorders>
            <w:shd w:val="clear" w:color="auto" w:fill="auto"/>
            <w:noWrap/>
            <w:vAlign w:val="center"/>
            <w:hideMark/>
          </w:tcPr>
          <w:p w14:paraId="609E83F2"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2.4507</w:t>
            </w:r>
            <w:r>
              <w:rPr>
                <w:rFonts w:eastAsia="Times New Roman" w:cs="Times New Roman"/>
                <w:b w:val="0"/>
                <w:color w:val="000000"/>
                <w:sz w:val="22"/>
                <w:lang w:eastAsia="en-MY"/>
              </w:rPr>
              <w:t xml:space="preserve"> ± 0.0039</w:t>
            </w:r>
          </w:p>
        </w:tc>
        <w:tc>
          <w:tcPr>
            <w:tcW w:w="1062" w:type="dxa"/>
            <w:tcBorders>
              <w:top w:val="nil"/>
              <w:left w:val="nil"/>
              <w:bottom w:val="nil"/>
              <w:right w:val="nil"/>
            </w:tcBorders>
            <w:shd w:val="clear" w:color="auto" w:fill="auto"/>
            <w:noWrap/>
            <w:vAlign w:val="center"/>
            <w:hideMark/>
          </w:tcPr>
          <w:p w14:paraId="3C38C922"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26.68</w:t>
            </w:r>
          </w:p>
        </w:tc>
        <w:tc>
          <w:tcPr>
            <w:tcW w:w="990" w:type="dxa"/>
            <w:tcBorders>
              <w:top w:val="nil"/>
              <w:left w:val="nil"/>
              <w:bottom w:val="nil"/>
              <w:right w:val="nil"/>
            </w:tcBorders>
            <w:shd w:val="clear" w:color="auto" w:fill="auto"/>
            <w:noWrap/>
            <w:vAlign w:val="center"/>
            <w:hideMark/>
          </w:tcPr>
          <w:p w14:paraId="6988FE9B"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0.50</w:t>
            </w:r>
          </w:p>
        </w:tc>
        <w:tc>
          <w:tcPr>
            <w:tcW w:w="1442" w:type="dxa"/>
            <w:tcBorders>
              <w:top w:val="nil"/>
              <w:left w:val="nil"/>
              <w:bottom w:val="nil"/>
              <w:right w:val="nil"/>
            </w:tcBorders>
            <w:shd w:val="clear" w:color="auto" w:fill="auto"/>
            <w:noWrap/>
            <w:vAlign w:val="center"/>
            <w:hideMark/>
          </w:tcPr>
          <w:p w14:paraId="479C77AB"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626</w:t>
            </w:r>
            <w:r>
              <w:rPr>
                <w:rFonts w:eastAsia="Times New Roman" w:cs="Times New Roman"/>
                <w:b w:val="0"/>
                <w:color w:val="000000"/>
                <w:sz w:val="22"/>
                <w:lang w:eastAsia="en-MY"/>
              </w:rPr>
              <w:t xml:space="preserve"> </w:t>
            </w:r>
            <w:r w:rsidRPr="003C78FE">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3C78FE">
              <w:rPr>
                <w:rFonts w:eastAsia="Times New Roman" w:cs="Times New Roman"/>
                <w:b w:val="0"/>
                <w:color w:val="000000"/>
                <w:sz w:val="22"/>
                <w:lang w:eastAsia="en-MY"/>
              </w:rPr>
              <w:t>10</w:t>
            </w:r>
          </w:p>
        </w:tc>
      </w:tr>
      <w:tr w:rsidR="00CB5F95" w:rsidRPr="000E2377" w14:paraId="28B5703A" w14:textId="77777777" w:rsidTr="00CB5F95">
        <w:trPr>
          <w:trHeight w:val="300"/>
          <w:jc w:val="center"/>
        </w:trPr>
        <w:tc>
          <w:tcPr>
            <w:tcW w:w="2510" w:type="dxa"/>
            <w:tcBorders>
              <w:top w:val="nil"/>
              <w:left w:val="nil"/>
              <w:bottom w:val="nil"/>
              <w:right w:val="nil"/>
            </w:tcBorders>
            <w:shd w:val="clear" w:color="auto" w:fill="auto"/>
            <w:vAlign w:val="center"/>
            <w:hideMark/>
          </w:tcPr>
          <w:p w14:paraId="36DE5BA2"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3.6</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10.1</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64.3</w:t>
            </w:r>
          </w:p>
        </w:tc>
        <w:tc>
          <w:tcPr>
            <w:tcW w:w="1885" w:type="dxa"/>
            <w:tcBorders>
              <w:top w:val="nil"/>
              <w:left w:val="nil"/>
              <w:bottom w:val="nil"/>
              <w:right w:val="nil"/>
            </w:tcBorders>
            <w:shd w:val="clear" w:color="auto" w:fill="auto"/>
            <w:noWrap/>
            <w:vAlign w:val="center"/>
            <w:hideMark/>
          </w:tcPr>
          <w:p w14:paraId="0B6E1E3C"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2.4891</w:t>
            </w:r>
            <w:r>
              <w:rPr>
                <w:rFonts w:eastAsia="Times New Roman" w:cs="Times New Roman"/>
                <w:b w:val="0"/>
                <w:color w:val="000000"/>
                <w:sz w:val="22"/>
                <w:lang w:eastAsia="en-MY"/>
              </w:rPr>
              <w:t xml:space="preserve"> ± 0.0031</w:t>
            </w:r>
          </w:p>
        </w:tc>
        <w:tc>
          <w:tcPr>
            <w:tcW w:w="1062" w:type="dxa"/>
            <w:tcBorders>
              <w:top w:val="nil"/>
              <w:left w:val="nil"/>
              <w:bottom w:val="nil"/>
              <w:right w:val="nil"/>
            </w:tcBorders>
            <w:shd w:val="clear" w:color="auto" w:fill="auto"/>
            <w:noWrap/>
            <w:vAlign w:val="center"/>
            <w:hideMark/>
          </w:tcPr>
          <w:p w14:paraId="1A8AA91C"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26.99</w:t>
            </w:r>
          </w:p>
        </w:tc>
        <w:tc>
          <w:tcPr>
            <w:tcW w:w="990" w:type="dxa"/>
            <w:tcBorders>
              <w:top w:val="nil"/>
              <w:left w:val="nil"/>
              <w:bottom w:val="nil"/>
              <w:right w:val="nil"/>
            </w:tcBorders>
            <w:shd w:val="clear" w:color="auto" w:fill="auto"/>
            <w:noWrap/>
            <w:vAlign w:val="center"/>
            <w:hideMark/>
          </w:tcPr>
          <w:p w14:paraId="54864B52"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0.50</w:t>
            </w:r>
          </w:p>
        </w:tc>
        <w:tc>
          <w:tcPr>
            <w:tcW w:w="1442" w:type="dxa"/>
            <w:tcBorders>
              <w:top w:val="nil"/>
              <w:left w:val="nil"/>
              <w:bottom w:val="nil"/>
              <w:right w:val="nil"/>
            </w:tcBorders>
            <w:shd w:val="clear" w:color="auto" w:fill="auto"/>
            <w:noWrap/>
            <w:vAlign w:val="center"/>
            <w:hideMark/>
          </w:tcPr>
          <w:p w14:paraId="3F0472D0"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655</w:t>
            </w:r>
            <w:r>
              <w:rPr>
                <w:rFonts w:eastAsia="Times New Roman" w:cs="Times New Roman"/>
                <w:b w:val="0"/>
                <w:color w:val="000000"/>
                <w:sz w:val="22"/>
                <w:lang w:eastAsia="en-MY"/>
              </w:rPr>
              <w:t xml:space="preserve"> </w:t>
            </w:r>
            <w:r w:rsidRPr="003C78FE">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3C78FE">
              <w:rPr>
                <w:rFonts w:eastAsia="Times New Roman" w:cs="Times New Roman"/>
                <w:b w:val="0"/>
                <w:color w:val="000000"/>
                <w:sz w:val="22"/>
                <w:lang w:eastAsia="en-MY"/>
              </w:rPr>
              <w:t>10</w:t>
            </w:r>
          </w:p>
        </w:tc>
      </w:tr>
      <w:tr w:rsidR="00CB5F95" w:rsidRPr="000E2377" w14:paraId="4E75DB14" w14:textId="77777777" w:rsidTr="00CB5F95">
        <w:trPr>
          <w:trHeight w:val="300"/>
          <w:jc w:val="center"/>
        </w:trPr>
        <w:tc>
          <w:tcPr>
            <w:tcW w:w="2510" w:type="dxa"/>
            <w:tcBorders>
              <w:top w:val="nil"/>
              <w:left w:val="nil"/>
              <w:bottom w:val="nil"/>
              <w:right w:val="nil"/>
            </w:tcBorders>
            <w:shd w:val="clear" w:color="auto" w:fill="auto"/>
            <w:vAlign w:val="center"/>
            <w:hideMark/>
          </w:tcPr>
          <w:p w14:paraId="539F32AB"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4.9</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7.1</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66</w:t>
            </w:r>
          </w:p>
        </w:tc>
        <w:tc>
          <w:tcPr>
            <w:tcW w:w="1885" w:type="dxa"/>
            <w:tcBorders>
              <w:top w:val="nil"/>
              <w:left w:val="nil"/>
              <w:bottom w:val="nil"/>
              <w:right w:val="nil"/>
            </w:tcBorders>
            <w:shd w:val="clear" w:color="auto" w:fill="auto"/>
            <w:noWrap/>
            <w:vAlign w:val="center"/>
            <w:hideMark/>
          </w:tcPr>
          <w:p w14:paraId="1D679C8B"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2.4864</w:t>
            </w:r>
            <w:r>
              <w:rPr>
                <w:rFonts w:eastAsia="Times New Roman" w:cs="Times New Roman"/>
                <w:b w:val="0"/>
                <w:color w:val="000000"/>
                <w:sz w:val="22"/>
                <w:lang w:eastAsia="en-MY"/>
              </w:rPr>
              <w:t xml:space="preserve"> ± 0.0053</w:t>
            </w:r>
          </w:p>
        </w:tc>
        <w:tc>
          <w:tcPr>
            <w:tcW w:w="1062" w:type="dxa"/>
            <w:tcBorders>
              <w:top w:val="nil"/>
              <w:left w:val="nil"/>
              <w:bottom w:val="nil"/>
              <w:right w:val="nil"/>
            </w:tcBorders>
            <w:shd w:val="clear" w:color="auto" w:fill="auto"/>
            <w:noWrap/>
            <w:vAlign w:val="center"/>
            <w:hideMark/>
          </w:tcPr>
          <w:p w14:paraId="2AED52D8"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26.49</w:t>
            </w:r>
          </w:p>
        </w:tc>
        <w:tc>
          <w:tcPr>
            <w:tcW w:w="990" w:type="dxa"/>
            <w:tcBorders>
              <w:top w:val="nil"/>
              <w:left w:val="nil"/>
              <w:bottom w:val="nil"/>
              <w:right w:val="nil"/>
            </w:tcBorders>
            <w:shd w:val="clear" w:color="auto" w:fill="auto"/>
            <w:noWrap/>
            <w:vAlign w:val="center"/>
            <w:hideMark/>
          </w:tcPr>
          <w:p w14:paraId="6D8FF3D8"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0.50</w:t>
            </w:r>
          </w:p>
        </w:tc>
        <w:tc>
          <w:tcPr>
            <w:tcW w:w="1442" w:type="dxa"/>
            <w:tcBorders>
              <w:top w:val="nil"/>
              <w:left w:val="nil"/>
              <w:bottom w:val="nil"/>
              <w:right w:val="nil"/>
            </w:tcBorders>
            <w:shd w:val="clear" w:color="auto" w:fill="auto"/>
            <w:noWrap/>
            <w:vAlign w:val="center"/>
            <w:hideMark/>
          </w:tcPr>
          <w:p w14:paraId="468A9B55"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660</w:t>
            </w:r>
            <w:r>
              <w:rPr>
                <w:rFonts w:eastAsia="Times New Roman" w:cs="Times New Roman"/>
                <w:b w:val="0"/>
                <w:color w:val="000000"/>
                <w:sz w:val="22"/>
                <w:lang w:eastAsia="en-MY"/>
              </w:rPr>
              <w:t xml:space="preserve"> </w:t>
            </w:r>
            <w:r w:rsidRPr="003C78FE">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3C78FE">
              <w:rPr>
                <w:rFonts w:eastAsia="Times New Roman" w:cs="Times New Roman"/>
                <w:b w:val="0"/>
                <w:color w:val="000000"/>
                <w:sz w:val="22"/>
                <w:lang w:eastAsia="en-MY"/>
              </w:rPr>
              <w:t>10</w:t>
            </w:r>
          </w:p>
        </w:tc>
      </w:tr>
      <w:tr w:rsidR="00CB5F95" w:rsidRPr="000E2377" w14:paraId="53116148" w14:textId="77777777" w:rsidTr="00CB5F95">
        <w:trPr>
          <w:trHeight w:val="300"/>
          <w:jc w:val="center"/>
        </w:trPr>
        <w:tc>
          <w:tcPr>
            <w:tcW w:w="2510" w:type="dxa"/>
            <w:tcBorders>
              <w:top w:val="nil"/>
              <w:left w:val="nil"/>
              <w:bottom w:val="single" w:sz="4" w:space="0" w:color="auto"/>
              <w:right w:val="nil"/>
            </w:tcBorders>
            <w:shd w:val="clear" w:color="auto" w:fill="auto"/>
            <w:vAlign w:val="center"/>
            <w:hideMark/>
          </w:tcPr>
          <w:p w14:paraId="1A6267E2"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63</w:t>
            </w:r>
          </w:p>
        </w:tc>
        <w:tc>
          <w:tcPr>
            <w:tcW w:w="1885" w:type="dxa"/>
            <w:tcBorders>
              <w:top w:val="nil"/>
              <w:left w:val="nil"/>
              <w:bottom w:val="single" w:sz="4" w:space="0" w:color="auto"/>
              <w:right w:val="nil"/>
            </w:tcBorders>
            <w:shd w:val="clear" w:color="auto" w:fill="auto"/>
            <w:noWrap/>
            <w:vAlign w:val="center"/>
            <w:hideMark/>
          </w:tcPr>
          <w:p w14:paraId="4C3805DE"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2.4877</w:t>
            </w:r>
            <w:r>
              <w:rPr>
                <w:rFonts w:eastAsia="Times New Roman" w:cs="Times New Roman"/>
                <w:b w:val="0"/>
                <w:color w:val="000000"/>
                <w:sz w:val="22"/>
                <w:lang w:eastAsia="en-MY"/>
              </w:rPr>
              <w:t xml:space="preserve"> ± 0.0091</w:t>
            </w:r>
          </w:p>
        </w:tc>
        <w:tc>
          <w:tcPr>
            <w:tcW w:w="1062" w:type="dxa"/>
            <w:tcBorders>
              <w:top w:val="nil"/>
              <w:left w:val="nil"/>
              <w:bottom w:val="single" w:sz="4" w:space="0" w:color="auto"/>
              <w:right w:val="nil"/>
            </w:tcBorders>
            <w:shd w:val="clear" w:color="auto" w:fill="auto"/>
            <w:noWrap/>
            <w:vAlign w:val="center"/>
            <w:hideMark/>
          </w:tcPr>
          <w:p w14:paraId="1C45FB67"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27.43</w:t>
            </w:r>
          </w:p>
        </w:tc>
        <w:tc>
          <w:tcPr>
            <w:tcW w:w="990" w:type="dxa"/>
            <w:tcBorders>
              <w:top w:val="nil"/>
              <w:left w:val="nil"/>
              <w:bottom w:val="single" w:sz="4" w:space="0" w:color="auto"/>
              <w:right w:val="nil"/>
            </w:tcBorders>
            <w:shd w:val="clear" w:color="auto" w:fill="auto"/>
            <w:noWrap/>
            <w:vAlign w:val="center"/>
            <w:hideMark/>
          </w:tcPr>
          <w:p w14:paraId="43CA6B85"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0.50</w:t>
            </w:r>
          </w:p>
        </w:tc>
        <w:tc>
          <w:tcPr>
            <w:tcW w:w="1442" w:type="dxa"/>
            <w:tcBorders>
              <w:top w:val="nil"/>
              <w:left w:val="nil"/>
              <w:bottom w:val="single" w:sz="4" w:space="0" w:color="auto"/>
              <w:right w:val="nil"/>
            </w:tcBorders>
            <w:shd w:val="clear" w:color="auto" w:fill="auto"/>
            <w:noWrap/>
            <w:vAlign w:val="center"/>
            <w:hideMark/>
          </w:tcPr>
          <w:p w14:paraId="478BA3A2" w14:textId="77777777" w:rsidR="00CB5F95" w:rsidRPr="003C78FE" w:rsidRDefault="00CB5F95" w:rsidP="00CB5F95">
            <w:pPr>
              <w:spacing w:after="0" w:line="240" w:lineRule="auto"/>
              <w:jc w:val="center"/>
              <w:rPr>
                <w:rFonts w:eastAsia="Times New Roman" w:cs="Times New Roman"/>
                <w:b w:val="0"/>
                <w:color w:val="000000"/>
                <w:sz w:val="22"/>
                <w:lang w:eastAsia="en-MY"/>
              </w:rPr>
            </w:pPr>
            <w:r w:rsidRPr="003C78FE">
              <w:rPr>
                <w:rFonts w:eastAsia="Times New Roman" w:cs="Times New Roman"/>
                <w:b w:val="0"/>
                <w:color w:val="000000"/>
                <w:sz w:val="22"/>
                <w:lang w:eastAsia="en-MY"/>
              </w:rPr>
              <w:t>601</w:t>
            </w:r>
            <w:r>
              <w:rPr>
                <w:rFonts w:eastAsia="Times New Roman" w:cs="Times New Roman"/>
                <w:b w:val="0"/>
                <w:color w:val="000000"/>
                <w:sz w:val="22"/>
                <w:lang w:eastAsia="en-MY"/>
              </w:rPr>
              <w:t xml:space="preserve"> </w:t>
            </w:r>
            <w:r w:rsidRPr="003C78FE">
              <w:rPr>
                <w:rFonts w:eastAsia="Times New Roman" w:cs="Times New Roman"/>
                <w:b w:val="0"/>
                <w:color w:val="000000"/>
                <w:sz w:val="22"/>
                <w:lang w:eastAsia="en-MY"/>
              </w:rPr>
              <w:t>±</w:t>
            </w:r>
            <w:r>
              <w:rPr>
                <w:rFonts w:eastAsia="Times New Roman" w:cs="Times New Roman"/>
                <w:b w:val="0"/>
                <w:color w:val="000000"/>
                <w:sz w:val="22"/>
                <w:lang w:eastAsia="en-MY"/>
              </w:rPr>
              <w:t xml:space="preserve"> </w:t>
            </w:r>
            <w:r w:rsidRPr="003C78FE">
              <w:rPr>
                <w:rFonts w:eastAsia="Times New Roman" w:cs="Times New Roman"/>
                <w:b w:val="0"/>
                <w:color w:val="000000"/>
                <w:sz w:val="22"/>
                <w:lang w:eastAsia="en-MY"/>
              </w:rPr>
              <w:t>10</w:t>
            </w:r>
          </w:p>
        </w:tc>
      </w:tr>
    </w:tbl>
    <w:p w14:paraId="5CCDE26B" w14:textId="77777777" w:rsidR="00CB5F95" w:rsidRPr="000E2377" w:rsidRDefault="00CB5F95" w:rsidP="00CB5F95">
      <w:pPr>
        <w:spacing w:before="200" w:line="240" w:lineRule="auto"/>
        <w:rPr>
          <w:rFonts w:eastAsia="Calibri" w:cs="Times New Roman"/>
          <w:bCs/>
          <w:szCs w:val="24"/>
          <w:lang w:val="en-GB" w:eastAsia="tr-TR"/>
        </w:rPr>
      </w:pPr>
    </w:p>
    <w:p w14:paraId="617405DA" w14:textId="77777777" w:rsidR="00CB5F95" w:rsidRPr="000E2377" w:rsidRDefault="00CB5F95" w:rsidP="00CB5F95">
      <w:pPr>
        <w:spacing w:line="240" w:lineRule="auto"/>
        <w:jc w:val="center"/>
        <w:rPr>
          <w:rFonts w:eastAsia="Calibri" w:cs="Times New Roman"/>
          <w:bCs/>
          <w:szCs w:val="24"/>
          <w:lang w:val="en-GB"/>
        </w:rPr>
      </w:pPr>
    </w:p>
    <w:p w14:paraId="3B115403" w14:textId="77777777" w:rsidR="00CB5F95" w:rsidRPr="000E2377" w:rsidRDefault="00CB5F95" w:rsidP="00CB5F95">
      <w:pPr>
        <w:spacing w:line="240" w:lineRule="auto"/>
        <w:jc w:val="center"/>
        <w:rPr>
          <w:rFonts w:eastAsia="Calibri" w:cs="Times New Roman"/>
          <w:bCs/>
          <w:szCs w:val="24"/>
          <w:lang w:val="en-GB"/>
        </w:rPr>
      </w:pPr>
    </w:p>
    <w:p w14:paraId="22D0CC6F" w14:textId="77777777" w:rsidR="00CB5F95" w:rsidRPr="000E2377" w:rsidRDefault="00CB5F95" w:rsidP="00CB5F95">
      <w:pPr>
        <w:spacing w:line="240" w:lineRule="auto"/>
        <w:jc w:val="center"/>
        <w:rPr>
          <w:rFonts w:eastAsia="Calibri" w:cs="Times New Roman"/>
          <w:bCs/>
          <w:szCs w:val="24"/>
          <w:lang w:val="en-GB"/>
        </w:rPr>
      </w:pPr>
      <w:r w:rsidRPr="000E2377">
        <w:rPr>
          <w:rFonts w:eastAsia="Calibri" w:cs="Times New Roman"/>
          <w:bCs/>
          <w:szCs w:val="24"/>
          <w:lang w:val="en-GB"/>
        </w:rPr>
        <w:lastRenderedPageBreak/>
        <w:t>Table E2. Structural properties of glass series.</w:t>
      </w:r>
    </w:p>
    <w:tbl>
      <w:tblPr>
        <w:tblW w:w="10206" w:type="dxa"/>
        <w:tblLook w:val="04A0" w:firstRow="1" w:lastRow="0" w:firstColumn="1" w:lastColumn="0" w:noHBand="0" w:noVBand="1"/>
      </w:tblPr>
      <w:tblGrid>
        <w:gridCol w:w="2140"/>
        <w:gridCol w:w="695"/>
        <w:gridCol w:w="768"/>
        <w:gridCol w:w="650"/>
        <w:gridCol w:w="992"/>
        <w:gridCol w:w="992"/>
        <w:gridCol w:w="1276"/>
        <w:gridCol w:w="1418"/>
        <w:gridCol w:w="1275"/>
      </w:tblGrid>
      <w:tr w:rsidR="00CB5F95" w:rsidRPr="000E2377" w14:paraId="69E87AF4" w14:textId="77777777" w:rsidTr="00CB5F95">
        <w:trPr>
          <w:trHeight w:val="517"/>
        </w:trPr>
        <w:tc>
          <w:tcPr>
            <w:tcW w:w="2140" w:type="dxa"/>
            <w:vMerge w:val="restart"/>
            <w:tcBorders>
              <w:top w:val="single" w:sz="4" w:space="0" w:color="auto"/>
              <w:left w:val="nil"/>
              <w:bottom w:val="single" w:sz="4" w:space="0" w:color="000000"/>
              <w:right w:val="nil"/>
            </w:tcBorders>
            <w:shd w:val="clear" w:color="auto" w:fill="auto"/>
            <w:noWrap/>
            <w:vAlign w:val="center"/>
            <w:hideMark/>
          </w:tcPr>
          <w:p w14:paraId="3F3F93E5"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Glass Code</w:t>
            </w:r>
          </w:p>
        </w:tc>
        <w:tc>
          <w:tcPr>
            <w:tcW w:w="5373" w:type="dxa"/>
            <w:gridSpan w:val="6"/>
            <w:vMerge w:val="restart"/>
            <w:tcBorders>
              <w:top w:val="single" w:sz="4" w:space="0" w:color="auto"/>
              <w:left w:val="nil"/>
              <w:bottom w:val="single" w:sz="4" w:space="0" w:color="000000"/>
              <w:right w:val="nil"/>
            </w:tcBorders>
            <w:shd w:val="clear" w:color="auto" w:fill="auto"/>
            <w:vAlign w:val="center"/>
            <w:hideMark/>
          </w:tcPr>
          <w:p w14:paraId="05197C4E"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Raman bands - centre line and shoulder position (cm</w:t>
            </w:r>
            <w:r w:rsidRPr="000E2377">
              <w:rPr>
                <w:rFonts w:eastAsia="Times New Roman" w:cs="Times New Roman"/>
                <w:b w:val="0"/>
                <w:color w:val="000000"/>
                <w:sz w:val="20"/>
                <w:szCs w:val="20"/>
                <w:vertAlign w:val="superscript"/>
                <w:lang w:eastAsia="en-MY"/>
              </w:rPr>
              <w:t>-1</w:t>
            </w:r>
            <w:r w:rsidRPr="000E2377">
              <w:rPr>
                <w:rFonts w:eastAsia="Times New Roman" w:cs="Times New Roman"/>
                <w:b w:val="0"/>
                <w:color w:val="000000"/>
                <w:sz w:val="20"/>
                <w:szCs w:val="20"/>
                <w:lang w:eastAsia="en-MY"/>
              </w:rPr>
              <w:t>)</w:t>
            </w:r>
          </w:p>
        </w:tc>
        <w:tc>
          <w:tcPr>
            <w:tcW w:w="1418" w:type="dxa"/>
            <w:vMerge w:val="restart"/>
            <w:tcBorders>
              <w:top w:val="single" w:sz="4" w:space="0" w:color="auto"/>
              <w:left w:val="nil"/>
              <w:bottom w:val="single" w:sz="4" w:space="0" w:color="000000"/>
              <w:right w:val="nil"/>
            </w:tcBorders>
            <w:shd w:val="clear" w:color="auto" w:fill="auto"/>
            <w:vAlign w:val="center"/>
            <w:hideMark/>
          </w:tcPr>
          <w:p w14:paraId="3DC27415" w14:textId="77777777" w:rsidR="00CB5F95" w:rsidRPr="000E2377" w:rsidRDefault="00CB5F95" w:rsidP="00CB5F95">
            <w:pPr>
              <w:spacing w:after="0" w:line="24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Raman polymerisation index</w:t>
            </w:r>
          </w:p>
        </w:tc>
        <w:tc>
          <w:tcPr>
            <w:tcW w:w="1275" w:type="dxa"/>
            <w:vMerge w:val="restart"/>
            <w:tcBorders>
              <w:top w:val="single" w:sz="4" w:space="0" w:color="auto"/>
              <w:left w:val="nil"/>
              <w:bottom w:val="single" w:sz="4" w:space="0" w:color="000000"/>
              <w:right w:val="nil"/>
            </w:tcBorders>
            <w:shd w:val="clear" w:color="auto" w:fill="auto"/>
            <w:vAlign w:val="center"/>
            <w:hideMark/>
          </w:tcPr>
          <w:p w14:paraId="67EC28DC" w14:textId="77777777" w:rsidR="00CB5F95" w:rsidRPr="000E2377" w:rsidRDefault="00CB5F95" w:rsidP="00CB5F95">
            <w:pPr>
              <w:spacing w:after="0" w:line="24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FTIR central line position in cm</w:t>
            </w:r>
            <w:r w:rsidRPr="000E2377">
              <w:rPr>
                <w:rFonts w:eastAsia="Times New Roman" w:cs="Times New Roman"/>
                <w:b w:val="0"/>
                <w:color w:val="000000"/>
                <w:sz w:val="16"/>
                <w:szCs w:val="16"/>
                <w:vertAlign w:val="superscript"/>
                <w:lang w:eastAsia="en-MY"/>
              </w:rPr>
              <w:t>-1</w:t>
            </w:r>
          </w:p>
        </w:tc>
      </w:tr>
      <w:tr w:rsidR="00CB5F95" w:rsidRPr="000E2377" w14:paraId="59E20A15" w14:textId="77777777" w:rsidTr="00CB5F95">
        <w:trPr>
          <w:trHeight w:val="517"/>
        </w:trPr>
        <w:tc>
          <w:tcPr>
            <w:tcW w:w="2140" w:type="dxa"/>
            <w:vMerge/>
            <w:tcBorders>
              <w:top w:val="single" w:sz="4" w:space="0" w:color="auto"/>
              <w:left w:val="nil"/>
              <w:bottom w:val="single" w:sz="4" w:space="0" w:color="000000"/>
              <w:right w:val="nil"/>
            </w:tcBorders>
            <w:vAlign w:val="center"/>
            <w:hideMark/>
          </w:tcPr>
          <w:p w14:paraId="16C1C639" w14:textId="77777777" w:rsidR="00CB5F95" w:rsidRPr="000E2377" w:rsidRDefault="00CB5F95" w:rsidP="00CB5F95">
            <w:pPr>
              <w:spacing w:after="0" w:line="240" w:lineRule="auto"/>
              <w:rPr>
                <w:rFonts w:eastAsia="Times New Roman" w:cs="Times New Roman"/>
                <w:b w:val="0"/>
                <w:color w:val="000000"/>
                <w:sz w:val="16"/>
                <w:szCs w:val="16"/>
                <w:lang w:eastAsia="en-MY"/>
              </w:rPr>
            </w:pPr>
          </w:p>
        </w:tc>
        <w:tc>
          <w:tcPr>
            <w:tcW w:w="5373" w:type="dxa"/>
            <w:gridSpan w:val="6"/>
            <w:vMerge/>
            <w:tcBorders>
              <w:top w:val="single" w:sz="4" w:space="0" w:color="auto"/>
              <w:left w:val="nil"/>
              <w:bottom w:val="single" w:sz="4" w:space="0" w:color="000000"/>
              <w:right w:val="nil"/>
            </w:tcBorders>
            <w:vAlign w:val="center"/>
            <w:hideMark/>
          </w:tcPr>
          <w:p w14:paraId="22DE3B8C" w14:textId="77777777" w:rsidR="00CB5F95" w:rsidRPr="000E2377" w:rsidRDefault="00CB5F95" w:rsidP="00CB5F95">
            <w:pPr>
              <w:spacing w:after="0" w:line="240" w:lineRule="auto"/>
              <w:rPr>
                <w:rFonts w:eastAsia="Times New Roman" w:cs="Times New Roman"/>
                <w:b w:val="0"/>
                <w:color w:val="000000"/>
                <w:sz w:val="16"/>
                <w:szCs w:val="16"/>
                <w:lang w:eastAsia="en-MY"/>
              </w:rPr>
            </w:pPr>
          </w:p>
        </w:tc>
        <w:tc>
          <w:tcPr>
            <w:tcW w:w="1418" w:type="dxa"/>
            <w:vMerge/>
            <w:tcBorders>
              <w:top w:val="single" w:sz="4" w:space="0" w:color="auto"/>
              <w:left w:val="nil"/>
              <w:bottom w:val="single" w:sz="4" w:space="0" w:color="000000"/>
              <w:right w:val="nil"/>
            </w:tcBorders>
            <w:vAlign w:val="center"/>
            <w:hideMark/>
          </w:tcPr>
          <w:p w14:paraId="429F1E3C" w14:textId="77777777" w:rsidR="00CB5F95" w:rsidRPr="000E2377" w:rsidRDefault="00CB5F95" w:rsidP="00CB5F95">
            <w:pPr>
              <w:spacing w:after="0" w:line="240" w:lineRule="auto"/>
              <w:rPr>
                <w:rFonts w:eastAsia="Times New Roman" w:cs="Times New Roman"/>
                <w:b w:val="0"/>
                <w:color w:val="000000"/>
                <w:sz w:val="16"/>
                <w:szCs w:val="16"/>
                <w:lang w:eastAsia="en-MY"/>
              </w:rPr>
            </w:pPr>
          </w:p>
        </w:tc>
        <w:tc>
          <w:tcPr>
            <w:tcW w:w="1275" w:type="dxa"/>
            <w:vMerge/>
            <w:tcBorders>
              <w:top w:val="single" w:sz="4" w:space="0" w:color="auto"/>
              <w:left w:val="nil"/>
              <w:bottom w:val="single" w:sz="4" w:space="0" w:color="000000"/>
              <w:right w:val="nil"/>
            </w:tcBorders>
            <w:vAlign w:val="center"/>
            <w:hideMark/>
          </w:tcPr>
          <w:p w14:paraId="6D57BC5C" w14:textId="77777777" w:rsidR="00CB5F95" w:rsidRPr="000E2377" w:rsidRDefault="00CB5F95" w:rsidP="00CB5F95">
            <w:pPr>
              <w:spacing w:after="0" w:line="240" w:lineRule="auto"/>
              <w:rPr>
                <w:rFonts w:eastAsia="Times New Roman" w:cs="Times New Roman"/>
                <w:b w:val="0"/>
                <w:color w:val="000000"/>
                <w:sz w:val="16"/>
                <w:szCs w:val="16"/>
                <w:lang w:eastAsia="en-MY"/>
              </w:rPr>
            </w:pPr>
          </w:p>
        </w:tc>
      </w:tr>
      <w:tr w:rsidR="00CB5F95" w:rsidRPr="000E2377" w14:paraId="202DFF0E" w14:textId="77777777" w:rsidTr="00CB5F95">
        <w:trPr>
          <w:trHeight w:val="517"/>
        </w:trPr>
        <w:tc>
          <w:tcPr>
            <w:tcW w:w="2140" w:type="dxa"/>
            <w:vMerge/>
            <w:tcBorders>
              <w:top w:val="single" w:sz="4" w:space="0" w:color="auto"/>
              <w:left w:val="nil"/>
              <w:bottom w:val="single" w:sz="4" w:space="0" w:color="000000"/>
              <w:right w:val="nil"/>
            </w:tcBorders>
            <w:vAlign w:val="center"/>
            <w:hideMark/>
          </w:tcPr>
          <w:p w14:paraId="4FA9C0CA" w14:textId="77777777" w:rsidR="00CB5F95" w:rsidRPr="000E2377" w:rsidRDefault="00CB5F95" w:rsidP="00CB5F95">
            <w:pPr>
              <w:spacing w:after="0" w:line="240" w:lineRule="auto"/>
              <w:rPr>
                <w:rFonts w:eastAsia="Times New Roman" w:cs="Times New Roman"/>
                <w:b w:val="0"/>
                <w:color w:val="000000"/>
                <w:sz w:val="16"/>
                <w:szCs w:val="16"/>
                <w:lang w:eastAsia="en-MY"/>
              </w:rPr>
            </w:pPr>
          </w:p>
        </w:tc>
        <w:tc>
          <w:tcPr>
            <w:tcW w:w="695" w:type="dxa"/>
            <w:vMerge w:val="restart"/>
            <w:tcBorders>
              <w:top w:val="nil"/>
              <w:left w:val="nil"/>
              <w:bottom w:val="single" w:sz="4" w:space="0" w:color="000000"/>
              <w:right w:val="nil"/>
            </w:tcBorders>
            <w:shd w:val="clear" w:color="auto" w:fill="auto"/>
            <w:vAlign w:val="center"/>
            <w:hideMark/>
          </w:tcPr>
          <w:p w14:paraId="3E55D435" w14:textId="77777777" w:rsidR="00CB5F95" w:rsidRPr="000E2377" w:rsidRDefault="00CB5F95" w:rsidP="00CB5F95">
            <w:pPr>
              <w:spacing w:after="0" w:line="24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LFB</w:t>
            </w:r>
          </w:p>
        </w:tc>
        <w:tc>
          <w:tcPr>
            <w:tcW w:w="768" w:type="dxa"/>
            <w:vMerge w:val="restart"/>
            <w:tcBorders>
              <w:top w:val="nil"/>
              <w:left w:val="nil"/>
              <w:bottom w:val="single" w:sz="4" w:space="0" w:color="000000"/>
              <w:right w:val="nil"/>
            </w:tcBorders>
            <w:shd w:val="clear" w:color="auto" w:fill="auto"/>
            <w:vAlign w:val="center"/>
            <w:hideMark/>
          </w:tcPr>
          <w:p w14:paraId="7DBAD263" w14:textId="77777777" w:rsidR="00CB5F95" w:rsidRPr="000E2377" w:rsidRDefault="00CB5F95" w:rsidP="00CB5F95">
            <w:pPr>
              <w:spacing w:after="0" w:line="24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LFB shoulder</w:t>
            </w:r>
          </w:p>
        </w:tc>
        <w:tc>
          <w:tcPr>
            <w:tcW w:w="650" w:type="dxa"/>
            <w:vMerge w:val="restart"/>
            <w:tcBorders>
              <w:top w:val="nil"/>
              <w:left w:val="nil"/>
              <w:bottom w:val="single" w:sz="4" w:space="0" w:color="000000"/>
              <w:right w:val="nil"/>
            </w:tcBorders>
            <w:shd w:val="clear" w:color="auto" w:fill="auto"/>
            <w:noWrap/>
            <w:vAlign w:val="center"/>
            <w:hideMark/>
          </w:tcPr>
          <w:p w14:paraId="032617B4" w14:textId="77777777" w:rsidR="00CB5F95" w:rsidRPr="000E2377" w:rsidRDefault="00CB5F95" w:rsidP="00CB5F95">
            <w:pPr>
              <w:spacing w:after="0" w:line="24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MFB</w:t>
            </w:r>
          </w:p>
        </w:tc>
        <w:tc>
          <w:tcPr>
            <w:tcW w:w="992" w:type="dxa"/>
            <w:vMerge w:val="restart"/>
            <w:tcBorders>
              <w:top w:val="nil"/>
              <w:left w:val="nil"/>
              <w:bottom w:val="single" w:sz="4" w:space="0" w:color="000000"/>
              <w:right w:val="nil"/>
            </w:tcBorders>
            <w:shd w:val="clear" w:color="auto" w:fill="auto"/>
            <w:vAlign w:val="center"/>
            <w:hideMark/>
          </w:tcPr>
          <w:p w14:paraId="6768120E" w14:textId="77777777" w:rsidR="00CB5F95" w:rsidRPr="000E2377" w:rsidRDefault="00CB5F95" w:rsidP="00CB5F95">
            <w:pPr>
              <w:spacing w:after="0" w:line="24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HFB               (850 -1300)</w:t>
            </w:r>
          </w:p>
        </w:tc>
        <w:tc>
          <w:tcPr>
            <w:tcW w:w="992" w:type="dxa"/>
            <w:vMerge w:val="restart"/>
            <w:tcBorders>
              <w:top w:val="nil"/>
              <w:left w:val="nil"/>
              <w:bottom w:val="single" w:sz="4" w:space="0" w:color="000000"/>
              <w:right w:val="nil"/>
            </w:tcBorders>
            <w:shd w:val="clear" w:color="auto" w:fill="auto"/>
            <w:vAlign w:val="center"/>
            <w:hideMark/>
          </w:tcPr>
          <w:p w14:paraId="1E898FBD" w14:textId="77777777" w:rsidR="00CB5F95" w:rsidRPr="000E2377" w:rsidRDefault="00CB5F95" w:rsidP="00CB5F95">
            <w:pPr>
              <w:spacing w:after="0" w:line="24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HFB shoulder</w:t>
            </w:r>
          </w:p>
        </w:tc>
        <w:tc>
          <w:tcPr>
            <w:tcW w:w="1276" w:type="dxa"/>
            <w:vMerge w:val="restart"/>
            <w:tcBorders>
              <w:top w:val="nil"/>
              <w:left w:val="nil"/>
              <w:bottom w:val="single" w:sz="4" w:space="0" w:color="000000"/>
              <w:right w:val="nil"/>
            </w:tcBorders>
            <w:shd w:val="clear" w:color="auto" w:fill="auto"/>
            <w:vAlign w:val="center"/>
            <w:hideMark/>
          </w:tcPr>
          <w:p w14:paraId="1E5BF850" w14:textId="77777777" w:rsidR="00CB5F95" w:rsidRPr="000E2377" w:rsidRDefault="00CB5F95" w:rsidP="00CB5F95">
            <w:pPr>
              <w:spacing w:after="0" w:line="240" w:lineRule="auto"/>
              <w:jc w:val="center"/>
              <w:rPr>
                <w:rFonts w:eastAsia="Times New Roman" w:cs="Times New Roman"/>
                <w:b w:val="0"/>
                <w:color w:val="000000"/>
                <w:sz w:val="16"/>
                <w:szCs w:val="16"/>
                <w:lang w:eastAsia="en-MY"/>
              </w:rPr>
            </w:pPr>
            <w:r w:rsidRPr="000E2377">
              <w:rPr>
                <w:rFonts w:eastAsia="Times New Roman" w:cs="Times New Roman"/>
                <w:b w:val="0"/>
                <w:color w:val="000000"/>
                <w:sz w:val="16"/>
                <w:szCs w:val="16"/>
                <w:lang w:eastAsia="en-MY"/>
              </w:rPr>
              <w:t>HFB              (1300 -1450)</w:t>
            </w:r>
          </w:p>
        </w:tc>
        <w:tc>
          <w:tcPr>
            <w:tcW w:w="1418" w:type="dxa"/>
            <w:vMerge/>
            <w:tcBorders>
              <w:top w:val="single" w:sz="4" w:space="0" w:color="auto"/>
              <w:left w:val="nil"/>
              <w:bottom w:val="single" w:sz="4" w:space="0" w:color="000000"/>
              <w:right w:val="nil"/>
            </w:tcBorders>
            <w:vAlign w:val="center"/>
            <w:hideMark/>
          </w:tcPr>
          <w:p w14:paraId="4951E6CF" w14:textId="77777777" w:rsidR="00CB5F95" w:rsidRPr="000E2377" w:rsidRDefault="00CB5F95" w:rsidP="00CB5F95">
            <w:pPr>
              <w:spacing w:after="0" w:line="240" w:lineRule="auto"/>
              <w:rPr>
                <w:rFonts w:eastAsia="Times New Roman" w:cs="Times New Roman"/>
                <w:b w:val="0"/>
                <w:color w:val="000000"/>
                <w:sz w:val="16"/>
                <w:szCs w:val="16"/>
                <w:lang w:eastAsia="en-MY"/>
              </w:rPr>
            </w:pPr>
          </w:p>
        </w:tc>
        <w:tc>
          <w:tcPr>
            <w:tcW w:w="1275" w:type="dxa"/>
            <w:vMerge/>
            <w:tcBorders>
              <w:top w:val="single" w:sz="4" w:space="0" w:color="auto"/>
              <w:left w:val="nil"/>
              <w:bottom w:val="single" w:sz="4" w:space="0" w:color="000000"/>
              <w:right w:val="nil"/>
            </w:tcBorders>
            <w:vAlign w:val="center"/>
            <w:hideMark/>
          </w:tcPr>
          <w:p w14:paraId="6610738E" w14:textId="77777777" w:rsidR="00CB5F95" w:rsidRPr="000E2377" w:rsidRDefault="00CB5F95" w:rsidP="00CB5F95">
            <w:pPr>
              <w:spacing w:after="0" w:line="240" w:lineRule="auto"/>
              <w:rPr>
                <w:rFonts w:eastAsia="Times New Roman" w:cs="Times New Roman"/>
                <w:b w:val="0"/>
                <w:color w:val="000000"/>
                <w:sz w:val="16"/>
                <w:szCs w:val="16"/>
                <w:lang w:eastAsia="en-MY"/>
              </w:rPr>
            </w:pPr>
          </w:p>
        </w:tc>
      </w:tr>
      <w:tr w:rsidR="00CB5F95" w:rsidRPr="000E2377" w14:paraId="3EF4D07E" w14:textId="77777777" w:rsidTr="00CB5F95">
        <w:trPr>
          <w:trHeight w:val="517"/>
        </w:trPr>
        <w:tc>
          <w:tcPr>
            <w:tcW w:w="2140" w:type="dxa"/>
            <w:vMerge/>
            <w:tcBorders>
              <w:top w:val="single" w:sz="4" w:space="0" w:color="auto"/>
              <w:left w:val="nil"/>
              <w:bottom w:val="single" w:sz="4" w:space="0" w:color="000000"/>
              <w:right w:val="nil"/>
            </w:tcBorders>
            <w:vAlign w:val="center"/>
            <w:hideMark/>
          </w:tcPr>
          <w:p w14:paraId="1F9E8837" w14:textId="77777777" w:rsidR="00CB5F95" w:rsidRPr="000E2377" w:rsidRDefault="00CB5F95" w:rsidP="00CB5F95">
            <w:pPr>
              <w:spacing w:after="0" w:line="240" w:lineRule="auto"/>
              <w:rPr>
                <w:rFonts w:eastAsia="Times New Roman" w:cs="Times New Roman"/>
                <w:b w:val="0"/>
                <w:color w:val="000000"/>
                <w:sz w:val="16"/>
                <w:szCs w:val="16"/>
                <w:lang w:eastAsia="en-MY"/>
              </w:rPr>
            </w:pPr>
          </w:p>
        </w:tc>
        <w:tc>
          <w:tcPr>
            <w:tcW w:w="695" w:type="dxa"/>
            <w:vMerge/>
            <w:tcBorders>
              <w:top w:val="nil"/>
              <w:left w:val="nil"/>
              <w:bottom w:val="single" w:sz="4" w:space="0" w:color="000000"/>
              <w:right w:val="nil"/>
            </w:tcBorders>
            <w:vAlign w:val="center"/>
            <w:hideMark/>
          </w:tcPr>
          <w:p w14:paraId="1FDC6E70" w14:textId="77777777" w:rsidR="00CB5F95" w:rsidRPr="000E2377" w:rsidRDefault="00CB5F95" w:rsidP="00CB5F95">
            <w:pPr>
              <w:spacing w:after="0" w:line="240" w:lineRule="auto"/>
              <w:rPr>
                <w:rFonts w:eastAsia="Times New Roman" w:cs="Times New Roman"/>
                <w:b w:val="0"/>
                <w:color w:val="000000"/>
                <w:sz w:val="16"/>
                <w:szCs w:val="16"/>
                <w:lang w:eastAsia="en-MY"/>
              </w:rPr>
            </w:pPr>
          </w:p>
        </w:tc>
        <w:tc>
          <w:tcPr>
            <w:tcW w:w="768" w:type="dxa"/>
            <w:vMerge/>
            <w:tcBorders>
              <w:top w:val="nil"/>
              <w:left w:val="nil"/>
              <w:bottom w:val="single" w:sz="4" w:space="0" w:color="000000"/>
              <w:right w:val="nil"/>
            </w:tcBorders>
            <w:vAlign w:val="center"/>
            <w:hideMark/>
          </w:tcPr>
          <w:p w14:paraId="66858AF6" w14:textId="77777777" w:rsidR="00CB5F95" w:rsidRPr="000E2377" w:rsidRDefault="00CB5F95" w:rsidP="00CB5F95">
            <w:pPr>
              <w:spacing w:after="0" w:line="240" w:lineRule="auto"/>
              <w:rPr>
                <w:rFonts w:eastAsia="Times New Roman" w:cs="Times New Roman"/>
                <w:b w:val="0"/>
                <w:color w:val="000000"/>
                <w:sz w:val="16"/>
                <w:szCs w:val="16"/>
                <w:lang w:eastAsia="en-MY"/>
              </w:rPr>
            </w:pPr>
          </w:p>
        </w:tc>
        <w:tc>
          <w:tcPr>
            <w:tcW w:w="650" w:type="dxa"/>
            <w:vMerge/>
            <w:tcBorders>
              <w:top w:val="nil"/>
              <w:left w:val="nil"/>
              <w:bottom w:val="single" w:sz="4" w:space="0" w:color="000000"/>
              <w:right w:val="nil"/>
            </w:tcBorders>
            <w:vAlign w:val="center"/>
            <w:hideMark/>
          </w:tcPr>
          <w:p w14:paraId="2C30FC20" w14:textId="77777777" w:rsidR="00CB5F95" w:rsidRPr="000E2377" w:rsidRDefault="00CB5F95" w:rsidP="00CB5F95">
            <w:pPr>
              <w:spacing w:after="0" w:line="240" w:lineRule="auto"/>
              <w:rPr>
                <w:rFonts w:eastAsia="Times New Roman" w:cs="Times New Roman"/>
                <w:b w:val="0"/>
                <w:color w:val="000000"/>
                <w:sz w:val="16"/>
                <w:szCs w:val="16"/>
                <w:lang w:eastAsia="en-MY"/>
              </w:rPr>
            </w:pPr>
          </w:p>
        </w:tc>
        <w:tc>
          <w:tcPr>
            <w:tcW w:w="992" w:type="dxa"/>
            <w:vMerge/>
            <w:tcBorders>
              <w:top w:val="nil"/>
              <w:left w:val="nil"/>
              <w:bottom w:val="single" w:sz="4" w:space="0" w:color="000000"/>
              <w:right w:val="nil"/>
            </w:tcBorders>
            <w:vAlign w:val="center"/>
            <w:hideMark/>
          </w:tcPr>
          <w:p w14:paraId="6E451BA8" w14:textId="77777777" w:rsidR="00CB5F95" w:rsidRPr="000E2377" w:rsidRDefault="00CB5F95" w:rsidP="00CB5F95">
            <w:pPr>
              <w:spacing w:after="0" w:line="240" w:lineRule="auto"/>
              <w:rPr>
                <w:rFonts w:eastAsia="Times New Roman" w:cs="Times New Roman"/>
                <w:b w:val="0"/>
                <w:color w:val="000000"/>
                <w:sz w:val="16"/>
                <w:szCs w:val="16"/>
                <w:lang w:eastAsia="en-MY"/>
              </w:rPr>
            </w:pPr>
          </w:p>
        </w:tc>
        <w:tc>
          <w:tcPr>
            <w:tcW w:w="992" w:type="dxa"/>
            <w:vMerge/>
            <w:tcBorders>
              <w:top w:val="nil"/>
              <w:left w:val="nil"/>
              <w:bottom w:val="single" w:sz="4" w:space="0" w:color="000000"/>
              <w:right w:val="nil"/>
            </w:tcBorders>
            <w:vAlign w:val="center"/>
            <w:hideMark/>
          </w:tcPr>
          <w:p w14:paraId="6C42F989" w14:textId="77777777" w:rsidR="00CB5F95" w:rsidRPr="000E2377" w:rsidRDefault="00CB5F95" w:rsidP="00CB5F95">
            <w:pPr>
              <w:spacing w:after="0" w:line="240" w:lineRule="auto"/>
              <w:rPr>
                <w:rFonts w:eastAsia="Times New Roman" w:cs="Times New Roman"/>
                <w:b w:val="0"/>
                <w:color w:val="000000"/>
                <w:sz w:val="16"/>
                <w:szCs w:val="16"/>
                <w:lang w:eastAsia="en-MY"/>
              </w:rPr>
            </w:pPr>
          </w:p>
        </w:tc>
        <w:tc>
          <w:tcPr>
            <w:tcW w:w="1276" w:type="dxa"/>
            <w:vMerge/>
            <w:tcBorders>
              <w:top w:val="nil"/>
              <w:left w:val="nil"/>
              <w:bottom w:val="single" w:sz="4" w:space="0" w:color="000000"/>
              <w:right w:val="nil"/>
            </w:tcBorders>
            <w:vAlign w:val="center"/>
            <w:hideMark/>
          </w:tcPr>
          <w:p w14:paraId="606BE033" w14:textId="77777777" w:rsidR="00CB5F95" w:rsidRPr="000E2377" w:rsidRDefault="00CB5F95" w:rsidP="00CB5F95">
            <w:pPr>
              <w:spacing w:after="0" w:line="240" w:lineRule="auto"/>
              <w:rPr>
                <w:rFonts w:eastAsia="Times New Roman" w:cs="Times New Roman"/>
                <w:b w:val="0"/>
                <w:color w:val="000000"/>
                <w:sz w:val="16"/>
                <w:szCs w:val="16"/>
                <w:lang w:eastAsia="en-MY"/>
              </w:rPr>
            </w:pPr>
          </w:p>
        </w:tc>
        <w:tc>
          <w:tcPr>
            <w:tcW w:w="1418" w:type="dxa"/>
            <w:vMerge/>
            <w:tcBorders>
              <w:top w:val="single" w:sz="4" w:space="0" w:color="auto"/>
              <w:left w:val="nil"/>
              <w:bottom w:val="single" w:sz="4" w:space="0" w:color="000000"/>
              <w:right w:val="nil"/>
            </w:tcBorders>
            <w:vAlign w:val="center"/>
            <w:hideMark/>
          </w:tcPr>
          <w:p w14:paraId="2584DFDE" w14:textId="77777777" w:rsidR="00CB5F95" w:rsidRPr="000E2377" w:rsidRDefault="00CB5F95" w:rsidP="00CB5F95">
            <w:pPr>
              <w:spacing w:after="0" w:line="240" w:lineRule="auto"/>
              <w:rPr>
                <w:rFonts w:eastAsia="Times New Roman" w:cs="Times New Roman"/>
                <w:b w:val="0"/>
                <w:color w:val="000000"/>
                <w:sz w:val="16"/>
                <w:szCs w:val="16"/>
                <w:lang w:eastAsia="en-MY"/>
              </w:rPr>
            </w:pPr>
          </w:p>
        </w:tc>
        <w:tc>
          <w:tcPr>
            <w:tcW w:w="1275" w:type="dxa"/>
            <w:vMerge/>
            <w:tcBorders>
              <w:top w:val="single" w:sz="4" w:space="0" w:color="auto"/>
              <w:left w:val="nil"/>
              <w:bottom w:val="single" w:sz="4" w:space="0" w:color="000000"/>
              <w:right w:val="nil"/>
            </w:tcBorders>
            <w:vAlign w:val="center"/>
            <w:hideMark/>
          </w:tcPr>
          <w:p w14:paraId="758D0B3B" w14:textId="77777777" w:rsidR="00CB5F95" w:rsidRPr="000E2377" w:rsidRDefault="00CB5F95" w:rsidP="00CB5F95">
            <w:pPr>
              <w:spacing w:after="0" w:line="240" w:lineRule="auto"/>
              <w:rPr>
                <w:rFonts w:eastAsia="Times New Roman" w:cs="Times New Roman"/>
                <w:b w:val="0"/>
                <w:color w:val="000000"/>
                <w:sz w:val="16"/>
                <w:szCs w:val="16"/>
                <w:lang w:eastAsia="en-MY"/>
              </w:rPr>
            </w:pPr>
          </w:p>
        </w:tc>
      </w:tr>
      <w:tr w:rsidR="00CB5F95" w:rsidRPr="000E2377" w14:paraId="2572AEE9" w14:textId="77777777" w:rsidTr="00CB5F95">
        <w:trPr>
          <w:trHeight w:val="330"/>
        </w:trPr>
        <w:tc>
          <w:tcPr>
            <w:tcW w:w="2140" w:type="dxa"/>
            <w:tcBorders>
              <w:top w:val="nil"/>
              <w:left w:val="nil"/>
              <w:bottom w:val="nil"/>
              <w:right w:val="nil"/>
            </w:tcBorders>
            <w:shd w:val="clear" w:color="auto" w:fill="auto"/>
            <w:vAlign w:val="center"/>
            <w:hideMark/>
          </w:tcPr>
          <w:p w14:paraId="50EF4791"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7.6</w:t>
            </w:r>
            <w:r w:rsidRPr="000E2377">
              <w:rPr>
                <w:rFonts w:eastAsia="Times New Roman" w:cs="Times New Roman"/>
                <w:b w:val="0"/>
                <w:color w:val="000000"/>
                <w:sz w:val="20"/>
                <w:szCs w:val="20"/>
                <w:lang w:eastAsia="en-MY"/>
              </w:rPr>
              <w:t>M</w:t>
            </w:r>
            <w:r w:rsidRPr="000E2377">
              <w:rPr>
                <w:rFonts w:eastAsia="Times New Roman" w:cs="Times New Roman"/>
                <w:b w:val="0"/>
                <w:color w:val="000000"/>
                <w:sz w:val="20"/>
                <w:szCs w:val="20"/>
                <w:vertAlign w:val="subscript"/>
                <w:lang w:eastAsia="en-MY"/>
              </w:rPr>
              <w:t>1.1</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3.0</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7.6</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79.7</w:t>
            </w:r>
          </w:p>
        </w:tc>
        <w:tc>
          <w:tcPr>
            <w:tcW w:w="695" w:type="dxa"/>
            <w:tcBorders>
              <w:top w:val="nil"/>
              <w:left w:val="nil"/>
              <w:bottom w:val="nil"/>
              <w:right w:val="nil"/>
            </w:tcBorders>
            <w:shd w:val="clear" w:color="auto" w:fill="auto"/>
            <w:noWrap/>
            <w:vAlign w:val="center"/>
            <w:hideMark/>
          </w:tcPr>
          <w:p w14:paraId="06995EB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454</w:t>
            </w:r>
          </w:p>
        </w:tc>
        <w:tc>
          <w:tcPr>
            <w:tcW w:w="768" w:type="dxa"/>
            <w:tcBorders>
              <w:top w:val="nil"/>
              <w:left w:val="nil"/>
              <w:bottom w:val="nil"/>
              <w:right w:val="nil"/>
            </w:tcBorders>
            <w:shd w:val="clear" w:color="auto" w:fill="auto"/>
            <w:noWrap/>
            <w:vAlign w:val="center"/>
            <w:hideMark/>
          </w:tcPr>
          <w:p w14:paraId="44D27E0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630</w:t>
            </w:r>
          </w:p>
        </w:tc>
        <w:tc>
          <w:tcPr>
            <w:tcW w:w="650" w:type="dxa"/>
            <w:tcBorders>
              <w:top w:val="nil"/>
              <w:left w:val="nil"/>
              <w:bottom w:val="nil"/>
              <w:right w:val="nil"/>
            </w:tcBorders>
            <w:shd w:val="clear" w:color="auto" w:fill="auto"/>
            <w:noWrap/>
            <w:vAlign w:val="center"/>
            <w:hideMark/>
          </w:tcPr>
          <w:p w14:paraId="5A3A72B7"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791</w:t>
            </w:r>
          </w:p>
        </w:tc>
        <w:tc>
          <w:tcPr>
            <w:tcW w:w="992" w:type="dxa"/>
            <w:tcBorders>
              <w:top w:val="nil"/>
              <w:left w:val="nil"/>
              <w:bottom w:val="nil"/>
              <w:right w:val="nil"/>
            </w:tcBorders>
            <w:shd w:val="clear" w:color="auto" w:fill="auto"/>
            <w:noWrap/>
            <w:vAlign w:val="center"/>
            <w:hideMark/>
          </w:tcPr>
          <w:p w14:paraId="0F4FC6F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1078</w:t>
            </w:r>
          </w:p>
        </w:tc>
        <w:tc>
          <w:tcPr>
            <w:tcW w:w="992" w:type="dxa"/>
            <w:tcBorders>
              <w:top w:val="nil"/>
              <w:left w:val="nil"/>
              <w:bottom w:val="nil"/>
              <w:right w:val="nil"/>
            </w:tcBorders>
            <w:shd w:val="clear" w:color="auto" w:fill="auto"/>
            <w:noWrap/>
            <w:vAlign w:val="center"/>
            <w:hideMark/>
          </w:tcPr>
          <w:p w14:paraId="02902469"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1172</w:t>
            </w:r>
          </w:p>
        </w:tc>
        <w:tc>
          <w:tcPr>
            <w:tcW w:w="1276" w:type="dxa"/>
            <w:tcBorders>
              <w:top w:val="nil"/>
              <w:left w:val="nil"/>
              <w:bottom w:val="nil"/>
              <w:right w:val="nil"/>
            </w:tcBorders>
            <w:shd w:val="clear" w:color="auto" w:fill="auto"/>
            <w:noWrap/>
            <w:vAlign w:val="center"/>
            <w:hideMark/>
          </w:tcPr>
          <w:p w14:paraId="6ED1723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1421</w:t>
            </w:r>
          </w:p>
        </w:tc>
        <w:tc>
          <w:tcPr>
            <w:tcW w:w="1418" w:type="dxa"/>
            <w:tcBorders>
              <w:top w:val="nil"/>
              <w:left w:val="nil"/>
              <w:bottom w:val="nil"/>
              <w:right w:val="nil"/>
            </w:tcBorders>
            <w:shd w:val="clear" w:color="auto" w:fill="auto"/>
            <w:noWrap/>
            <w:vAlign w:val="center"/>
            <w:hideMark/>
          </w:tcPr>
          <w:p w14:paraId="74185A70"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2.39</w:t>
            </w:r>
          </w:p>
        </w:tc>
        <w:tc>
          <w:tcPr>
            <w:tcW w:w="1275" w:type="dxa"/>
            <w:tcBorders>
              <w:top w:val="nil"/>
              <w:left w:val="nil"/>
              <w:bottom w:val="nil"/>
              <w:right w:val="nil"/>
            </w:tcBorders>
            <w:shd w:val="clear" w:color="auto" w:fill="auto"/>
            <w:noWrap/>
            <w:vAlign w:val="center"/>
            <w:hideMark/>
          </w:tcPr>
          <w:p w14:paraId="6552682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1047</w:t>
            </w:r>
          </w:p>
        </w:tc>
      </w:tr>
      <w:tr w:rsidR="00CB5F95" w:rsidRPr="000E2377" w14:paraId="609DE10A" w14:textId="77777777" w:rsidTr="00CB5F95">
        <w:trPr>
          <w:trHeight w:val="360"/>
        </w:trPr>
        <w:tc>
          <w:tcPr>
            <w:tcW w:w="2140" w:type="dxa"/>
            <w:tcBorders>
              <w:top w:val="nil"/>
              <w:left w:val="nil"/>
              <w:bottom w:val="nil"/>
              <w:right w:val="nil"/>
            </w:tcBorders>
            <w:shd w:val="clear" w:color="auto" w:fill="auto"/>
            <w:vAlign w:val="center"/>
            <w:hideMark/>
          </w:tcPr>
          <w:p w14:paraId="3BACD518"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7.6</w:t>
            </w:r>
            <w:r w:rsidRPr="000E2377">
              <w:rPr>
                <w:rFonts w:eastAsia="Times New Roman" w:cs="Times New Roman"/>
                <w:b w:val="0"/>
                <w:color w:val="000000"/>
                <w:sz w:val="20"/>
                <w:szCs w:val="20"/>
                <w:lang w:eastAsia="en-MY"/>
              </w:rPr>
              <w:t>M</w:t>
            </w:r>
            <w:r w:rsidRPr="000E2377">
              <w:rPr>
                <w:rFonts w:eastAsia="Times New Roman" w:cs="Times New Roman"/>
                <w:b w:val="0"/>
                <w:color w:val="000000"/>
                <w:sz w:val="20"/>
                <w:szCs w:val="20"/>
                <w:vertAlign w:val="subscript"/>
                <w:lang w:eastAsia="en-MY"/>
              </w:rPr>
              <w:t>1.1</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3.0</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7.6</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78.2</w:t>
            </w:r>
            <w:r w:rsidRPr="000E2377">
              <w:rPr>
                <w:rFonts w:eastAsia="Times New Roman" w:cs="Times New Roman"/>
                <w:b w:val="0"/>
                <w:color w:val="000000"/>
                <w:sz w:val="20"/>
                <w:szCs w:val="20"/>
                <w:lang w:eastAsia="en-MY"/>
              </w:rPr>
              <w:t xml:space="preserve"> </w:t>
            </w:r>
          </w:p>
        </w:tc>
        <w:tc>
          <w:tcPr>
            <w:tcW w:w="695" w:type="dxa"/>
            <w:tcBorders>
              <w:top w:val="nil"/>
              <w:left w:val="nil"/>
              <w:bottom w:val="nil"/>
              <w:right w:val="nil"/>
            </w:tcBorders>
            <w:shd w:val="clear" w:color="auto" w:fill="auto"/>
            <w:noWrap/>
            <w:vAlign w:val="center"/>
            <w:hideMark/>
          </w:tcPr>
          <w:p w14:paraId="7077D940"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448</w:t>
            </w:r>
          </w:p>
        </w:tc>
        <w:tc>
          <w:tcPr>
            <w:tcW w:w="768" w:type="dxa"/>
            <w:tcBorders>
              <w:top w:val="nil"/>
              <w:left w:val="nil"/>
              <w:bottom w:val="nil"/>
              <w:right w:val="nil"/>
            </w:tcBorders>
            <w:shd w:val="clear" w:color="auto" w:fill="auto"/>
            <w:noWrap/>
            <w:vAlign w:val="center"/>
            <w:hideMark/>
          </w:tcPr>
          <w:p w14:paraId="40D65CC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633</w:t>
            </w:r>
          </w:p>
        </w:tc>
        <w:tc>
          <w:tcPr>
            <w:tcW w:w="650" w:type="dxa"/>
            <w:tcBorders>
              <w:top w:val="nil"/>
              <w:left w:val="nil"/>
              <w:bottom w:val="nil"/>
              <w:right w:val="nil"/>
            </w:tcBorders>
            <w:shd w:val="clear" w:color="auto" w:fill="auto"/>
            <w:noWrap/>
            <w:vAlign w:val="center"/>
            <w:hideMark/>
          </w:tcPr>
          <w:p w14:paraId="7AB2AAFD"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796</w:t>
            </w:r>
          </w:p>
        </w:tc>
        <w:tc>
          <w:tcPr>
            <w:tcW w:w="992" w:type="dxa"/>
            <w:tcBorders>
              <w:top w:val="nil"/>
              <w:left w:val="nil"/>
              <w:bottom w:val="nil"/>
              <w:right w:val="nil"/>
            </w:tcBorders>
            <w:shd w:val="clear" w:color="auto" w:fill="auto"/>
            <w:noWrap/>
            <w:vAlign w:val="center"/>
            <w:hideMark/>
          </w:tcPr>
          <w:p w14:paraId="3356A48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1063</w:t>
            </w:r>
          </w:p>
        </w:tc>
        <w:tc>
          <w:tcPr>
            <w:tcW w:w="992" w:type="dxa"/>
            <w:tcBorders>
              <w:top w:val="nil"/>
              <w:left w:val="nil"/>
              <w:bottom w:val="nil"/>
              <w:right w:val="nil"/>
            </w:tcBorders>
            <w:shd w:val="clear" w:color="auto" w:fill="auto"/>
            <w:noWrap/>
            <w:vAlign w:val="center"/>
            <w:hideMark/>
          </w:tcPr>
          <w:p w14:paraId="1DF3536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1172</w:t>
            </w:r>
          </w:p>
        </w:tc>
        <w:tc>
          <w:tcPr>
            <w:tcW w:w="1276" w:type="dxa"/>
            <w:tcBorders>
              <w:top w:val="nil"/>
              <w:left w:val="nil"/>
              <w:bottom w:val="nil"/>
              <w:right w:val="nil"/>
            </w:tcBorders>
            <w:shd w:val="clear" w:color="auto" w:fill="auto"/>
            <w:noWrap/>
            <w:vAlign w:val="center"/>
            <w:hideMark/>
          </w:tcPr>
          <w:p w14:paraId="1AD4116E"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1423</w:t>
            </w:r>
          </w:p>
        </w:tc>
        <w:tc>
          <w:tcPr>
            <w:tcW w:w="1418" w:type="dxa"/>
            <w:tcBorders>
              <w:top w:val="nil"/>
              <w:left w:val="nil"/>
              <w:bottom w:val="nil"/>
              <w:right w:val="nil"/>
            </w:tcBorders>
            <w:shd w:val="clear" w:color="auto" w:fill="auto"/>
            <w:noWrap/>
            <w:vAlign w:val="center"/>
            <w:hideMark/>
          </w:tcPr>
          <w:p w14:paraId="54AD6F7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2.82</w:t>
            </w:r>
          </w:p>
        </w:tc>
        <w:tc>
          <w:tcPr>
            <w:tcW w:w="1275" w:type="dxa"/>
            <w:tcBorders>
              <w:top w:val="nil"/>
              <w:left w:val="nil"/>
              <w:bottom w:val="nil"/>
              <w:right w:val="nil"/>
            </w:tcBorders>
            <w:shd w:val="clear" w:color="auto" w:fill="auto"/>
            <w:noWrap/>
            <w:vAlign w:val="center"/>
            <w:hideMark/>
          </w:tcPr>
          <w:p w14:paraId="1C9A258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1051</w:t>
            </w:r>
          </w:p>
        </w:tc>
      </w:tr>
      <w:tr w:rsidR="00CB5F95" w:rsidRPr="000E2377" w14:paraId="24F5254D" w14:textId="77777777" w:rsidTr="00CB5F95">
        <w:trPr>
          <w:trHeight w:val="330"/>
        </w:trPr>
        <w:tc>
          <w:tcPr>
            <w:tcW w:w="2140" w:type="dxa"/>
            <w:tcBorders>
              <w:top w:val="nil"/>
              <w:left w:val="nil"/>
              <w:bottom w:val="nil"/>
              <w:right w:val="nil"/>
            </w:tcBorders>
            <w:shd w:val="clear" w:color="auto" w:fill="auto"/>
            <w:vAlign w:val="center"/>
            <w:hideMark/>
          </w:tcPr>
          <w:p w14:paraId="23CF1D4B"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7.6</w:t>
            </w:r>
            <w:r w:rsidRPr="000E2377">
              <w:rPr>
                <w:rFonts w:eastAsia="Times New Roman" w:cs="Times New Roman"/>
                <w:b w:val="0"/>
                <w:color w:val="000000"/>
                <w:sz w:val="20"/>
                <w:szCs w:val="20"/>
                <w:lang w:eastAsia="en-MY"/>
              </w:rPr>
              <w:t>M</w:t>
            </w:r>
            <w:r w:rsidRPr="000E2377">
              <w:rPr>
                <w:rFonts w:eastAsia="Times New Roman" w:cs="Times New Roman"/>
                <w:b w:val="0"/>
                <w:color w:val="000000"/>
                <w:sz w:val="20"/>
                <w:szCs w:val="20"/>
                <w:vertAlign w:val="subscript"/>
                <w:lang w:eastAsia="en-MY"/>
              </w:rPr>
              <w:t>1.1</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3.0</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7.6</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75.7</w:t>
            </w:r>
            <w:r w:rsidRPr="000E2377">
              <w:rPr>
                <w:rFonts w:eastAsia="Times New Roman" w:cs="Times New Roman"/>
                <w:b w:val="0"/>
                <w:color w:val="000000"/>
                <w:sz w:val="20"/>
                <w:szCs w:val="20"/>
                <w:lang w:eastAsia="en-MY"/>
              </w:rPr>
              <w:t xml:space="preserve"> </w:t>
            </w:r>
          </w:p>
        </w:tc>
        <w:tc>
          <w:tcPr>
            <w:tcW w:w="695" w:type="dxa"/>
            <w:tcBorders>
              <w:top w:val="nil"/>
              <w:left w:val="nil"/>
              <w:bottom w:val="nil"/>
              <w:right w:val="nil"/>
            </w:tcBorders>
            <w:shd w:val="clear" w:color="auto" w:fill="auto"/>
            <w:noWrap/>
            <w:vAlign w:val="center"/>
            <w:hideMark/>
          </w:tcPr>
          <w:p w14:paraId="5BA385D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463</w:t>
            </w:r>
          </w:p>
        </w:tc>
        <w:tc>
          <w:tcPr>
            <w:tcW w:w="768" w:type="dxa"/>
            <w:tcBorders>
              <w:top w:val="nil"/>
              <w:left w:val="nil"/>
              <w:bottom w:val="nil"/>
              <w:right w:val="nil"/>
            </w:tcBorders>
            <w:shd w:val="clear" w:color="auto" w:fill="auto"/>
            <w:noWrap/>
            <w:vAlign w:val="center"/>
            <w:hideMark/>
          </w:tcPr>
          <w:p w14:paraId="2B532AEE"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593</w:t>
            </w:r>
          </w:p>
        </w:tc>
        <w:tc>
          <w:tcPr>
            <w:tcW w:w="650" w:type="dxa"/>
            <w:tcBorders>
              <w:top w:val="nil"/>
              <w:left w:val="nil"/>
              <w:bottom w:val="nil"/>
              <w:right w:val="nil"/>
            </w:tcBorders>
            <w:shd w:val="clear" w:color="auto" w:fill="auto"/>
            <w:noWrap/>
            <w:vAlign w:val="center"/>
            <w:hideMark/>
          </w:tcPr>
          <w:p w14:paraId="30A2B66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794</w:t>
            </w:r>
          </w:p>
        </w:tc>
        <w:tc>
          <w:tcPr>
            <w:tcW w:w="992" w:type="dxa"/>
            <w:tcBorders>
              <w:top w:val="nil"/>
              <w:left w:val="nil"/>
              <w:bottom w:val="nil"/>
              <w:right w:val="nil"/>
            </w:tcBorders>
            <w:shd w:val="clear" w:color="auto" w:fill="auto"/>
            <w:noWrap/>
            <w:vAlign w:val="center"/>
            <w:hideMark/>
          </w:tcPr>
          <w:p w14:paraId="6D3CE50F"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1068</w:t>
            </w:r>
          </w:p>
        </w:tc>
        <w:tc>
          <w:tcPr>
            <w:tcW w:w="992" w:type="dxa"/>
            <w:tcBorders>
              <w:top w:val="nil"/>
              <w:left w:val="nil"/>
              <w:bottom w:val="nil"/>
              <w:right w:val="nil"/>
            </w:tcBorders>
            <w:shd w:val="clear" w:color="auto" w:fill="auto"/>
            <w:noWrap/>
            <w:vAlign w:val="center"/>
            <w:hideMark/>
          </w:tcPr>
          <w:p w14:paraId="542C678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nil"/>
              <w:right w:val="nil"/>
            </w:tcBorders>
            <w:shd w:val="clear" w:color="auto" w:fill="auto"/>
            <w:noWrap/>
            <w:vAlign w:val="center"/>
            <w:hideMark/>
          </w:tcPr>
          <w:p w14:paraId="468BD83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1436</w:t>
            </w:r>
          </w:p>
        </w:tc>
        <w:tc>
          <w:tcPr>
            <w:tcW w:w="1418" w:type="dxa"/>
            <w:tcBorders>
              <w:top w:val="nil"/>
              <w:left w:val="nil"/>
              <w:bottom w:val="nil"/>
              <w:right w:val="nil"/>
            </w:tcBorders>
            <w:shd w:val="clear" w:color="auto" w:fill="auto"/>
            <w:noWrap/>
            <w:vAlign w:val="center"/>
            <w:hideMark/>
          </w:tcPr>
          <w:p w14:paraId="7DF1B43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2.84</w:t>
            </w:r>
          </w:p>
        </w:tc>
        <w:tc>
          <w:tcPr>
            <w:tcW w:w="1275" w:type="dxa"/>
            <w:tcBorders>
              <w:top w:val="nil"/>
              <w:left w:val="nil"/>
              <w:bottom w:val="nil"/>
              <w:right w:val="nil"/>
            </w:tcBorders>
            <w:shd w:val="clear" w:color="auto" w:fill="auto"/>
            <w:noWrap/>
            <w:vAlign w:val="center"/>
            <w:hideMark/>
          </w:tcPr>
          <w:p w14:paraId="3C9B180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1045</w:t>
            </w:r>
          </w:p>
        </w:tc>
      </w:tr>
      <w:tr w:rsidR="00CB5F95" w:rsidRPr="000E2377" w14:paraId="2076F167" w14:textId="77777777" w:rsidTr="00CB5F95">
        <w:trPr>
          <w:trHeight w:val="360"/>
        </w:trPr>
        <w:tc>
          <w:tcPr>
            <w:tcW w:w="2140" w:type="dxa"/>
            <w:tcBorders>
              <w:top w:val="nil"/>
              <w:left w:val="nil"/>
              <w:bottom w:val="nil"/>
              <w:right w:val="nil"/>
            </w:tcBorders>
            <w:shd w:val="clear" w:color="auto" w:fill="auto"/>
            <w:vAlign w:val="center"/>
            <w:hideMark/>
          </w:tcPr>
          <w:p w14:paraId="6BA4B843"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7.6</w:t>
            </w:r>
            <w:r w:rsidRPr="000E2377">
              <w:rPr>
                <w:rFonts w:eastAsia="Times New Roman" w:cs="Times New Roman"/>
                <w:b w:val="0"/>
                <w:color w:val="000000"/>
                <w:sz w:val="20"/>
                <w:szCs w:val="20"/>
                <w:lang w:eastAsia="en-MY"/>
              </w:rPr>
              <w:t>M</w:t>
            </w:r>
            <w:r w:rsidRPr="000E2377">
              <w:rPr>
                <w:rFonts w:eastAsia="Times New Roman" w:cs="Times New Roman"/>
                <w:b w:val="0"/>
                <w:color w:val="000000"/>
                <w:sz w:val="20"/>
                <w:szCs w:val="20"/>
                <w:vertAlign w:val="subscript"/>
                <w:lang w:eastAsia="en-MY"/>
              </w:rPr>
              <w:t>1.1</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3.0</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5.2</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7.6</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75.5</w:t>
            </w:r>
          </w:p>
        </w:tc>
        <w:tc>
          <w:tcPr>
            <w:tcW w:w="695" w:type="dxa"/>
            <w:tcBorders>
              <w:top w:val="nil"/>
              <w:left w:val="nil"/>
              <w:bottom w:val="nil"/>
              <w:right w:val="nil"/>
            </w:tcBorders>
            <w:shd w:val="clear" w:color="auto" w:fill="auto"/>
            <w:noWrap/>
            <w:vAlign w:val="center"/>
            <w:hideMark/>
          </w:tcPr>
          <w:p w14:paraId="293DD28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469</w:t>
            </w:r>
          </w:p>
        </w:tc>
        <w:tc>
          <w:tcPr>
            <w:tcW w:w="768" w:type="dxa"/>
            <w:tcBorders>
              <w:top w:val="nil"/>
              <w:left w:val="nil"/>
              <w:bottom w:val="nil"/>
              <w:right w:val="nil"/>
            </w:tcBorders>
            <w:shd w:val="clear" w:color="auto" w:fill="auto"/>
            <w:noWrap/>
            <w:vAlign w:val="center"/>
            <w:hideMark/>
          </w:tcPr>
          <w:p w14:paraId="43C19BE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588</w:t>
            </w:r>
          </w:p>
        </w:tc>
        <w:tc>
          <w:tcPr>
            <w:tcW w:w="650" w:type="dxa"/>
            <w:tcBorders>
              <w:top w:val="nil"/>
              <w:left w:val="nil"/>
              <w:bottom w:val="nil"/>
              <w:right w:val="nil"/>
            </w:tcBorders>
            <w:shd w:val="clear" w:color="auto" w:fill="auto"/>
            <w:noWrap/>
            <w:vAlign w:val="center"/>
            <w:hideMark/>
          </w:tcPr>
          <w:p w14:paraId="75876647"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798</w:t>
            </w:r>
          </w:p>
        </w:tc>
        <w:tc>
          <w:tcPr>
            <w:tcW w:w="992" w:type="dxa"/>
            <w:tcBorders>
              <w:top w:val="nil"/>
              <w:left w:val="nil"/>
              <w:bottom w:val="nil"/>
              <w:right w:val="nil"/>
            </w:tcBorders>
            <w:shd w:val="clear" w:color="auto" w:fill="auto"/>
            <w:noWrap/>
            <w:vAlign w:val="center"/>
            <w:hideMark/>
          </w:tcPr>
          <w:p w14:paraId="666B9ED0"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1089</w:t>
            </w:r>
          </w:p>
        </w:tc>
        <w:tc>
          <w:tcPr>
            <w:tcW w:w="992" w:type="dxa"/>
            <w:tcBorders>
              <w:top w:val="nil"/>
              <w:left w:val="nil"/>
              <w:bottom w:val="nil"/>
              <w:right w:val="nil"/>
            </w:tcBorders>
            <w:shd w:val="clear" w:color="auto" w:fill="auto"/>
            <w:noWrap/>
            <w:vAlign w:val="center"/>
            <w:hideMark/>
          </w:tcPr>
          <w:p w14:paraId="49B8767E"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nil"/>
              <w:right w:val="nil"/>
            </w:tcBorders>
            <w:shd w:val="clear" w:color="auto" w:fill="auto"/>
            <w:noWrap/>
            <w:vAlign w:val="center"/>
            <w:hideMark/>
          </w:tcPr>
          <w:p w14:paraId="44A68CF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1437</w:t>
            </w:r>
          </w:p>
        </w:tc>
        <w:tc>
          <w:tcPr>
            <w:tcW w:w="1418" w:type="dxa"/>
            <w:tcBorders>
              <w:top w:val="nil"/>
              <w:left w:val="nil"/>
              <w:bottom w:val="nil"/>
              <w:right w:val="nil"/>
            </w:tcBorders>
            <w:shd w:val="clear" w:color="auto" w:fill="auto"/>
            <w:noWrap/>
            <w:vAlign w:val="center"/>
            <w:hideMark/>
          </w:tcPr>
          <w:p w14:paraId="447A2390"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2.90</w:t>
            </w:r>
          </w:p>
        </w:tc>
        <w:tc>
          <w:tcPr>
            <w:tcW w:w="1275" w:type="dxa"/>
            <w:tcBorders>
              <w:top w:val="nil"/>
              <w:left w:val="nil"/>
              <w:bottom w:val="nil"/>
              <w:right w:val="nil"/>
            </w:tcBorders>
            <w:shd w:val="clear" w:color="auto" w:fill="auto"/>
            <w:noWrap/>
            <w:vAlign w:val="center"/>
            <w:hideMark/>
          </w:tcPr>
          <w:p w14:paraId="1CB32AA0"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1038</w:t>
            </w:r>
          </w:p>
        </w:tc>
      </w:tr>
      <w:tr w:rsidR="00CB5F95" w:rsidRPr="000E2377" w14:paraId="578C13A8" w14:textId="77777777" w:rsidTr="00CB5F95">
        <w:trPr>
          <w:trHeight w:val="330"/>
        </w:trPr>
        <w:tc>
          <w:tcPr>
            <w:tcW w:w="2140" w:type="dxa"/>
            <w:tcBorders>
              <w:top w:val="nil"/>
              <w:left w:val="nil"/>
              <w:bottom w:val="single" w:sz="4" w:space="0" w:color="auto"/>
              <w:right w:val="nil"/>
            </w:tcBorders>
            <w:shd w:val="clear" w:color="auto" w:fill="auto"/>
            <w:vAlign w:val="center"/>
            <w:hideMark/>
          </w:tcPr>
          <w:p w14:paraId="0E17B584"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7.6</w:t>
            </w:r>
            <w:r w:rsidRPr="000E2377">
              <w:rPr>
                <w:rFonts w:eastAsia="Times New Roman" w:cs="Times New Roman"/>
                <w:b w:val="0"/>
                <w:color w:val="000000"/>
                <w:sz w:val="20"/>
                <w:szCs w:val="20"/>
                <w:lang w:eastAsia="en-MY"/>
              </w:rPr>
              <w:t>M</w:t>
            </w:r>
            <w:r w:rsidRPr="000E2377">
              <w:rPr>
                <w:rFonts w:eastAsia="Times New Roman" w:cs="Times New Roman"/>
                <w:b w:val="0"/>
                <w:color w:val="000000"/>
                <w:sz w:val="20"/>
                <w:szCs w:val="20"/>
                <w:vertAlign w:val="subscript"/>
                <w:lang w:eastAsia="en-MY"/>
              </w:rPr>
              <w:t>1.1</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3.0</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7.5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7.6</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73.2</w:t>
            </w:r>
          </w:p>
        </w:tc>
        <w:tc>
          <w:tcPr>
            <w:tcW w:w="695" w:type="dxa"/>
            <w:tcBorders>
              <w:top w:val="nil"/>
              <w:left w:val="nil"/>
              <w:bottom w:val="single" w:sz="4" w:space="0" w:color="auto"/>
              <w:right w:val="nil"/>
            </w:tcBorders>
            <w:shd w:val="clear" w:color="auto" w:fill="auto"/>
            <w:noWrap/>
            <w:vAlign w:val="center"/>
            <w:hideMark/>
          </w:tcPr>
          <w:p w14:paraId="3E9B4C2A"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474</w:t>
            </w:r>
          </w:p>
        </w:tc>
        <w:tc>
          <w:tcPr>
            <w:tcW w:w="768" w:type="dxa"/>
            <w:tcBorders>
              <w:top w:val="nil"/>
              <w:left w:val="nil"/>
              <w:bottom w:val="single" w:sz="4" w:space="0" w:color="auto"/>
              <w:right w:val="nil"/>
            </w:tcBorders>
            <w:shd w:val="clear" w:color="auto" w:fill="auto"/>
            <w:noWrap/>
            <w:vAlign w:val="center"/>
            <w:hideMark/>
          </w:tcPr>
          <w:p w14:paraId="66C5BE79"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588</w:t>
            </w:r>
          </w:p>
        </w:tc>
        <w:tc>
          <w:tcPr>
            <w:tcW w:w="650" w:type="dxa"/>
            <w:tcBorders>
              <w:top w:val="nil"/>
              <w:left w:val="nil"/>
              <w:bottom w:val="single" w:sz="4" w:space="0" w:color="auto"/>
              <w:right w:val="nil"/>
            </w:tcBorders>
            <w:shd w:val="clear" w:color="auto" w:fill="auto"/>
            <w:noWrap/>
            <w:vAlign w:val="center"/>
            <w:hideMark/>
          </w:tcPr>
          <w:p w14:paraId="4B29124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804</w:t>
            </w:r>
          </w:p>
        </w:tc>
        <w:tc>
          <w:tcPr>
            <w:tcW w:w="992" w:type="dxa"/>
            <w:tcBorders>
              <w:top w:val="nil"/>
              <w:left w:val="nil"/>
              <w:bottom w:val="single" w:sz="4" w:space="0" w:color="auto"/>
              <w:right w:val="nil"/>
            </w:tcBorders>
            <w:shd w:val="clear" w:color="auto" w:fill="auto"/>
            <w:noWrap/>
            <w:vAlign w:val="center"/>
            <w:hideMark/>
          </w:tcPr>
          <w:p w14:paraId="01AF2455"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1061</w:t>
            </w:r>
          </w:p>
        </w:tc>
        <w:tc>
          <w:tcPr>
            <w:tcW w:w="992" w:type="dxa"/>
            <w:tcBorders>
              <w:top w:val="nil"/>
              <w:left w:val="nil"/>
              <w:bottom w:val="single" w:sz="4" w:space="0" w:color="auto"/>
              <w:right w:val="nil"/>
            </w:tcBorders>
            <w:shd w:val="clear" w:color="auto" w:fill="auto"/>
            <w:noWrap/>
            <w:vAlign w:val="center"/>
            <w:hideMark/>
          </w:tcPr>
          <w:p w14:paraId="371191FE"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single" w:sz="4" w:space="0" w:color="auto"/>
              <w:right w:val="nil"/>
            </w:tcBorders>
            <w:shd w:val="clear" w:color="auto" w:fill="auto"/>
            <w:noWrap/>
            <w:vAlign w:val="center"/>
            <w:hideMark/>
          </w:tcPr>
          <w:p w14:paraId="381A913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1419</w:t>
            </w:r>
          </w:p>
        </w:tc>
        <w:tc>
          <w:tcPr>
            <w:tcW w:w="1418" w:type="dxa"/>
            <w:tcBorders>
              <w:top w:val="nil"/>
              <w:left w:val="nil"/>
              <w:bottom w:val="single" w:sz="4" w:space="0" w:color="auto"/>
              <w:right w:val="nil"/>
            </w:tcBorders>
            <w:shd w:val="clear" w:color="auto" w:fill="auto"/>
            <w:noWrap/>
            <w:vAlign w:val="center"/>
            <w:hideMark/>
          </w:tcPr>
          <w:p w14:paraId="6E41066D"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2.68</w:t>
            </w:r>
          </w:p>
        </w:tc>
        <w:tc>
          <w:tcPr>
            <w:tcW w:w="1275" w:type="dxa"/>
            <w:tcBorders>
              <w:top w:val="nil"/>
              <w:left w:val="nil"/>
              <w:bottom w:val="single" w:sz="4" w:space="0" w:color="auto"/>
              <w:right w:val="nil"/>
            </w:tcBorders>
            <w:shd w:val="clear" w:color="auto" w:fill="auto"/>
            <w:noWrap/>
            <w:vAlign w:val="center"/>
            <w:hideMark/>
          </w:tcPr>
          <w:p w14:paraId="4FA0669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1018</w:t>
            </w:r>
          </w:p>
        </w:tc>
      </w:tr>
      <w:tr w:rsidR="00CB5F95" w:rsidRPr="000E2377" w14:paraId="5CE10EC3" w14:textId="77777777" w:rsidTr="00CB5F95">
        <w:trPr>
          <w:trHeight w:val="300"/>
        </w:trPr>
        <w:tc>
          <w:tcPr>
            <w:tcW w:w="2140" w:type="dxa"/>
            <w:tcBorders>
              <w:top w:val="nil"/>
              <w:left w:val="nil"/>
              <w:bottom w:val="nil"/>
              <w:right w:val="nil"/>
            </w:tcBorders>
            <w:shd w:val="clear" w:color="auto" w:fill="auto"/>
            <w:vAlign w:val="center"/>
            <w:hideMark/>
          </w:tcPr>
          <w:p w14:paraId="33DAF058"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0</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70</w:t>
            </w:r>
          </w:p>
        </w:tc>
        <w:tc>
          <w:tcPr>
            <w:tcW w:w="695" w:type="dxa"/>
            <w:tcBorders>
              <w:top w:val="nil"/>
              <w:left w:val="nil"/>
              <w:bottom w:val="nil"/>
              <w:right w:val="nil"/>
            </w:tcBorders>
            <w:shd w:val="clear" w:color="auto" w:fill="auto"/>
            <w:noWrap/>
            <w:vAlign w:val="center"/>
            <w:hideMark/>
          </w:tcPr>
          <w:p w14:paraId="7143316A"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481</w:t>
            </w:r>
          </w:p>
        </w:tc>
        <w:tc>
          <w:tcPr>
            <w:tcW w:w="768" w:type="dxa"/>
            <w:tcBorders>
              <w:top w:val="nil"/>
              <w:left w:val="nil"/>
              <w:bottom w:val="nil"/>
              <w:right w:val="nil"/>
            </w:tcBorders>
            <w:shd w:val="clear" w:color="auto" w:fill="auto"/>
            <w:noWrap/>
            <w:vAlign w:val="center"/>
            <w:hideMark/>
          </w:tcPr>
          <w:p w14:paraId="39CB9A5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580</w:t>
            </w:r>
          </w:p>
        </w:tc>
        <w:tc>
          <w:tcPr>
            <w:tcW w:w="650" w:type="dxa"/>
            <w:tcBorders>
              <w:top w:val="nil"/>
              <w:left w:val="nil"/>
              <w:bottom w:val="nil"/>
              <w:right w:val="nil"/>
            </w:tcBorders>
            <w:shd w:val="clear" w:color="auto" w:fill="auto"/>
            <w:noWrap/>
            <w:vAlign w:val="center"/>
            <w:hideMark/>
          </w:tcPr>
          <w:p w14:paraId="52ED6FC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796</w:t>
            </w:r>
          </w:p>
        </w:tc>
        <w:tc>
          <w:tcPr>
            <w:tcW w:w="992" w:type="dxa"/>
            <w:tcBorders>
              <w:top w:val="nil"/>
              <w:left w:val="nil"/>
              <w:bottom w:val="nil"/>
              <w:right w:val="nil"/>
            </w:tcBorders>
            <w:shd w:val="clear" w:color="auto" w:fill="auto"/>
            <w:noWrap/>
            <w:vAlign w:val="center"/>
            <w:hideMark/>
          </w:tcPr>
          <w:p w14:paraId="79E6BDA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1079</w:t>
            </w:r>
          </w:p>
        </w:tc>
        <w:tc>
          <w:tcPr>
            <w:tcW w:w="992" w:type="dxa"/>
            <w:tcBorders>
              <w:top w:val="nil"/>
              <w:left w:val="nil"/>
              <w:bottom w:val="nil"/>
              <w:right w:val="nil"/>
            </w:tcBorders>
            <w:shd w:val="clear" w:color="auto" w:fill="auto"/>
            <w:noWrap/>
            <w:vAlign w:val="center"/>
            <w:hideMark/>
          </w:tcPr>
          <w:p w14:paraId="2407642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nil"/>
              <w:right w:val="nil"/>
            </w:tcBorders>
            <w:shd w:val="clear" w:color="auto" w:fill="auto"/>
            <w:noWrap/>
            <w:vAlign w:val="center"/>
            <w:hideMark/>
          </w:tcPr>
          <w:p w14:paraId="4A99D89A"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1434</w:t>
            </w:r>
          </w:p>
        </w:tc>
        <w:tc>
          <w:tcPr>
            <w:tcW w:w="1418" w:type="dxa"/>
            <w:tcBorders>
              <w:top w:val="nil"/>
              <w:left w:val="nil"/>
              <w:bottom w:val="nil"/>
              <w:right w:val="nil"/>
            </w:tcBorders>
            <w:shd w:val="clear" w:color="auto" w:fill="auto"/>
            <w:noWrap/>
            <w:vAlign w:val="center"/>
            <w:hideMark/>
          </w:tcPr>
          <w:p w14:paraId="0B175AC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2.01</w:t>
            </w:r>
          </w:p>
        </w:tc>
        <w:tc>
          <w:tcPr>
            <w:tcW w:w="1275" w:type="dxa"/>
            <w:tcBorders>
              <w:top w:val="nil"/>
              <w:left w:val="nil"/>
              <w:bottom w:val="nil"/>
              <w:right w:val="nil"/>
            </w:tcBorders>
            <w:shd w:val="clear" w:color="auto" w:fill="auto"/>
            <w:noWrap/>
            <w:vAlign w:val="center"/>
            <w:hideMark/>
          </w:tcPr>
          <w:p w14:paraId="1A0214B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982</w:t>
            </w:r>
          </w:p>
        </w:tc>
      </w:tr>
      <w:tr w:rsidR="00CB5F95" w:rsidRPr="000E2377" w14:paraId="5FC5AF8F" w14:textId="77777777" w:rsidTr="00CB5F95">
        <w:trPr>
          <w:trHeight w:val="300"/>
        </w:trPr>
        <w:tc>
          <w:tcPr>
            <w:tcW w:w="2140" w:type="dxa"/>
            <w:tcBorders>
              <w:top w:val="nil"/>
              <w:left w:val="nil"/>
              <w:bottom w:val="single" w:sz="4" w:space="0" w:color="auto"/>
              <w:right w:val="nil"/>
            </w:tcBorders>
            <w:shd w:val="clear" w:color="auto" w:fill="auto"/>
            <w:vAlign w:val="center"/>
            <w:hideMark/>
          </w:tcPr>
          <w:p w14:paraId="410032B8"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70</w:t>
            </w:r>
          </w:p>
        </w:tc>
        <w:tc>
          <w:tcPr>
            <w:tcW w:w="695" w:type="dxa"/>
            <w:tcBorders>
              <w:top w:val="nil"/>
              <w:left w:val="nil"/>
              <w:bottom w:val="single" w:sz="4" w:space="0" w:color="auto"/>
              <w:right w:val="nil"/>
            </w:tcBorders>
            <w:shd w:val="clear" w:color="auto" w:fill="auto"/>
            <w:noWrap/>
            <w:vAlign w:val="center"/>
            <w:hideMark/>
          </w:tcPr>
          <w:p w14:paraId="3FA69B8E"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482</w:t>
            </w:r>
          </w:p>
        </w:tc>
        <w:tc>
          <w:tcPr>
            <w:tcW w:w="768" w:type="dxa"/>
            <w:tcBorders>
              <w:top w:val="nil"/>
              <w:left w:val="nil"/>
              <w:bottom w:val="single" w:sz="4" w:space="0" w:color="auto"/>
              <w:right w:val="nil"/>
            </w:tcBorders>
            <w:shd w:val="clear" w:color="auto" w:fill="auto"/>
            <w:noWrap/>
            <w:vAlign w:val="center"/>
            <w:hideMark/>
          </w:tcPr>
          <w:p w14:paraId="75AA60D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582</w:t>
            </w:r>
          </w:p>
        </w:tc>
        <w:tc>
          <w:tcPr>
            <w:tcW w:w="650" w:type="dxa"/>
            <w:tcBorders>
              <w:top w:val="nil"/>
              <w:left w:val="nil"/>
              <w:bottom w:val="single" w:sz="4" w:space="0" w:color="auto"/>
              <w:right w:val="nil"/>
            </w:tcBorders>
            <w:shd w:val="clear" w:color="auto" w:fill="auto"/>
            <w:noWrap/>
            <w:vAlign w:val="center"/>
            <w:hideMark/>
          </w:tcPr>
          <w:p w14:paraId="2451F22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796</w:t>
            </w:r>
          </w:p>
        </w:tc>
        <w:tc>
          <w:tcPr>
            <w:tcW w:w="992" w:type="dxa"/>
            <w:tcBorders>
              <w:top w:val="nil"/>
              <w:left w:val="nil"/>
              <w:bottom w:val="single" w:sz="4" w:space="0" w:color="auto"/>
              <w:right w:val="nil"/>
            </w:tcBorders>
            <w:shd w:val="clear" w:color="auto" w:fill="auto"/>
            <w:noWrap/>
            <w:vAlign w:val="center"/>
            <w:hideMark/>
          </w:tcPr>
          <w:p w14:paraId="76C4425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1080</w:t>
            </w:r>
          </w:p>
        </w:tc>
        <w:tc>
          <w:tcPr>
            <w:tcW w:w="992" w:type="dxa"/>
            <w:tcBorders>
              <w:top w:val="nil"/>
              <w:left w:val="nil"/>
              <w:bottom w:val="single" w:sz="4" w:space="0" w:color="auto"/>
              <w:right w:val="nil"/>
            </w:tcBorders>
            <w:shd w:val="clear" w:color="auto" w:fill="auto"/>
            <w:noWrap/>
            <w:vAlign w:val="center"/>
            <w:hideMark/>
          </w:tcPr>
          <w:p w14:paraId="62322B4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1000</w:t>
            </w:r>
          </w:p>
        </w:tc>
        <w:tc>
          <w:tcPr>
            <w:tcW w:w="1276" w:type="dxa"/>
            <w:tcBorders>
              <w:top w:val="nil"/>
              <w:left w:val="nil"/>
              <w:bottom w:val="single" w:sz="4" w:space="0" w:color="auto"/>
              <w:right w:val="nil"/>
            </w:tcBorders>
            <w:shd w:val="clear" w:color="auto" w:fill="auto"/>
            <w:noWrap/>
            <w:vAlign w:val="center"/>
            <w:hideMark/>
          </w:tcPr>
          <w:p w14:paraId="39B3C9DE"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1425</w:t>
            </w:r>
          </w:p>
        </w:tc>
        <w:tc>
          <w:tcPr>
            <w:tcW w:w="1418" w:type="dxa"/>
            <w:tcBorders>
              <w:top w:val="nil"/>
              <w:left w:val="nil"/>
              <w:bottom w:val="single" w:sz="4" w:space="0" w:color="auto"/>
              <w:right w:val="nil"/>
            </w:tcBorders>
            <w:shd w:val="clear" w:color="auto" w:fill="auto"/>
            <w:noWrap/>
            <w:vAlign w:val="center"/>
            <w:hideMark/>
          </w:tcPr>
          <w:p w14:paraId="4154198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1.19</w:t>
            </w:r>
          </w:p>
        </w:tc>
        <w:tc>
          <w:tcPr>
            <w:tcW w:w="1275" w:type="dxa"/>
            <w:tcBorders>
              <w:top w:val="nil"/>
              <w:left w:val="nil"/>
              <w:bottom w:val="single" w:sz="4" w:space="0" w:color="auto"/>
              <w:right w:val="nil"/>
            </w:tcBorders>
            <w:shd w:val="clear" w:color="auto" w:fill="auto"/>
            <w:noWrap/>
            <w:vAlign w:val="center"/>
            <w:hideMark/>
          </w:tcPr>
          <w:p w14:paraId="5263F54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976</w:t>
            </w:r>
          </w:p>
        </w:tc>
      </w:tr>
      <w:tr w:rsidR="00CB5F95" w:rsidRPr="000E2377" w14:paraId="1E9AAAB3" w14:textId="77777777" w:rsidTr="00CB5F95">
        <w:trPr>
          <w:trHeight w:val="300"/>
        </w:trPr>
        <w:tc>
          <w:tcPr>
            <w:tcW w:w="2140" w:type="dxa"/>
            <w:tcBorders>
              <w:top w:val="nil"/>
              <w:left w:val="nil"/>
              <w:bottom w:val="nil"/>
              <w:right w:val="nil"/>
            </w:tcBorders>
            <w:shd w:val="clear" w:color="auto" w:fill="auto"/>
            <w:vAlign w:val="center"/>
            <w:hideMark/>
          </w:tcPr>
          <w:p w14:paraId="3DECEA13"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695" w:type="dxa"/>
            <w:tcBorders>
              <w:top w:val="nil"/>
              <w:left w:val="nil"/>
              <w:bottom w:val="nil"/>
              <w:right w:val="nil"/>
            </w:tcBorders>
            <w:shd w:val="clear" w:color="auto" w:fill="auto"/>
            <w:noWrap/>
            <w:vAlign w:val="center"/>
            <w:hideMark/>
          </w:tcPr>
          <w:p w14:paraId="44DCAEA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491</w:t>
            </w:r>
          </w:p>
        </w:tc>
        <w:tc>
          <w:tcPr>
            <w:tcW w:w="768" w:type="dxa"/>
            <w:tcBorders>
              <w:top w:val="nil"/>
              <w:left w:val="nil"/>
              <w:bottom w:val="nil"/>
              <w:right w:val="nil"/>
            </w:tcBorders>
            <w:shd w:val="clear" w:color="auto" w:fill="auto"/>
            <w:noWrap/>
            <w:vAlign w:val="center"/>
            <w:hideMark/>
          </w:tcPr>
          <w:p w14:paraId="6125D92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753</w:t>
            </w:r>
          </w:p>
        </w:tc>
        <w:tc>
          <w:tcPr>
            <w:tcW w:w="650" w:type="dxa"/>
            <w:tcBorders>
              <w:top w:val="nil"/>
              <w:left w:val="nil"/>
              <w:bottom w:val="nil"/>
              <w:right w:val="nil"/>
            </w:tcBorders>
            <w:shd w:val="clear" w:color="auto" w:fill="auto"/>
            <w:noWrap/>
            <w:vAlign w:val="center"/>
            <w:hideMark/>
          </w:tcPr>
          <w:p w14:paraId="04093AEA"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790</w:t>
            </w:r>
          </w:p>
        </w:tc>
        <w:tc>
          <w:tcPr>
            <w:tcW w:w="992" w:type="dxa"/>
            <w:tcBorders>
              <w:top w:val="nil"/>
              <w:left w:val="nil"/>
              <w:bottom w:val="nil"/>
              <w:right w:val="nil"/>
            </w:tcBorders>
            <w:shd w:val="clear" w:color="auto" w:fill="auto"/>
            <w:noWrap/>
            <w:vAlign w:val="center"/>
            <w:hideMark/>
          </w:tcPr>
          <w:p w14:paraId="7125D2E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1059</w:t>
            </w:r>
          </w:p>
        </w:tc>
        <w:tc>
          <w:tcPr>
            <w:tcW w:w="992" w:type="dxa"/>
            <w:tcBorders>
              <w:top w:val="nil"/>
              <w:left w:val="nil"/>
              <w:bottom w:val="nil"/>
              <w:right w:val="nil"/>
            </w:tcBorders>
            <w:shd w:val="clear" w:color="auto" w:fill="auto"/>
            <w:noWrap/>
            <w:vAlign w:val="center"/>
            <w:hideMark/>
          </w:tcPr>
          <w:p w14:paraId="53182AED"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nil"/>
              <w:right w:val="nil"/>
            </w:tcBorders>
            <w:shd w:val="clear" w:color="auto" w:fill="auto"/>
            <w:noWrap/>
            <w:vAlign w:val="center"/>
            <w:hideMark/>
          </w:tcPr>
          <w:p w14:paraId="6133A5A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1414</w:t>
            </w:r>
          </w:p>
        </w:tc>
        <w:tc>
          <w:tcPr>
            <w:tcW w:w="1418" w:type="dxa"/>
            <w:tcBorders>
              <w:top w:val="nil"/>
              <w:left w:val="nil"/>
              <w:bottom w:val="nil"/>
              <w:right w:val="nil"/>
            </w:tcBorders>
            <w:shd w:val="clear" w:color="auto" w:fill="auto"/>
            <w:noWrap/>
            <w:vAlign w:val="center"/>
            <w:hideMark/>
          </w:tcPr>
          <w:p w14:paraId="15660209"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2.08</w:t>
            </w:r>
          </w:p>
        </w:tc>
        <w:tc>
          <w:tcPr>
            <w:tcW w:w="1275" w:type="dxa"/>
            <w:tcBorders>
              <w:top w:val="nil"/>
              <w:left w:val="nil"/>
              <w:bottom w:val="nil"/>
              <w:right w:val="nil"/>
            </w:tcBorders>
            <w:shd w:val="clear" w:color="auto" w:fill="auto"/>
            <w:noWrap/>
            <w:vAlign w:val="center"/>
            <w:hideMark/>
          </w:tcPr>
          <w:p w14:paraId="0568C00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972</w:t>
            </w:r>
          </w:p>
        </w:tc>
      </w:tr>
      <w:tr w:rsidR="00CB5F95" w:rsidRPr="000E2377" w14:paraId="2D7D8AC6" w14:textId="77777777" w:rsidTr="00CB5F95">
        <w:trPr>
          <w:trHeight w:val="300"/>
        </w:trPr>
        <w:tc>
          <w:tcPr>
            <w:tcW w:w="2140" w:type="dxa"/>
            <w:tcBorders>
              <w:top w:val="nil"/>
              <w:left w:val="nil"/>
              <w:bottom w:val="nil"/>
              <w:right w:val="nil"/>
            </w:tcBorders>
            <w:shd w:val="clear" w:color="auto" w:fill="auto"/>
            <w:vAlign w:val="center"/>
            <w:hideMark/>
          </w:tcPr>
          <w:p w14:paraId="2E9361AE"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695" w:type="dxa"/>
            <w:tcBorders>
              <w:top w:val="nil"/>
              <w:left w:val="nil"/>
              <w:bottom w:val="nil"/>
              <w:right w:val="nil"/>
            </w:tcBorders>
            <w:shd w:val="clear" w:color="auto" w:fill="auto"/>
            <w:noWrap/>
            <w:vAlign w:val="center"/>
            <w:hideMark/>
          </w:tcPr>
          <w:p w14:paraId="6717231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487</w:t>
            </w:r>
          </w:p>
        </w:tc>
        <w:tc>
          <w:tcPr>
            <w:tcW w:w="768" w:type="dxa"/>
            <w:tcBorders>
              <w:top w:val="nil"/>
              <w:left w:val="nil"/>
              <w:bottom w:val="nil"/>
              <w:right w:val="nil"/>
            </w:tcBorders>
            <w:shd w:val="clear" w:color="auto" w:fill="auto"/>
            <w:noWrap/>
            <w:vAlign w:val="center"/>
            <w:hideMark/>
          </w:tcPr>
          <w:p w14:paraId="7DA9B26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575</w:t>
            </w:r>
          </w:p>
        </w:tc>
        <w:tc>
          <w:tcPr>
            <w:tcW w:w="650" w:type="dxa"/>
            <w:tcBorders>
              <w:top w:val="nil"/>
              <w:left w:val="nil"/>
              <w:bottom w:val="nil"/>
              <w:right w:val="nil"/>
            </w:tcBorders>
            <w:shd w:val="clear" w:color="auto" w:fill="auto"/>
            <w:noWrap/>
            <w:vAlign w:val="center"/>
            <w:hideMark/>
          </w:tcPr>
          <w:p w14:paraId="722EB23F"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774</w:t>
            </w:r>
          </w:p>
        </w:tc>
        <w:tc>
          <w:tcPr>
            <w:tcW w:w="992" w:type="dxa"/>
            <w:tcBorders>
              <w:top w:val="nil"/>
              <w:left w:val="nil"/>
              <w:bottom w:val="nil"/>
              <w:right w:val="nil"/>
            </w:tcBorders>
            <w:shd w:val="clear" w:color="auto" w:fill="auto"/>
            <w:noWrap/>
            <w:vAlign w:val="center"/>
            <w:hideMark/>
          </w:tcPr>
          <w:p w14:paraId="04791300"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1046</w:t>
            </w:r>
          </w:p>
        </w:tc>
        <w:tc>
          <w:tcPr>
            <w:tcW w:w="992" w:type="dxa"/>
            <w:tcBorders>
              <w:top w:val="nil"/>
              <w:left w:val="nil"/>
              <w:bottom w:val="nil"/>
              <w:right w:val="nil"/>
            </w:tcBorders>
            <w:shd w:val="clear" w:color="auto" w:fill="auto"/>
            <w:noWrap/>
            <w:vAlign w:val="center"/>
            <w:hideMark/>
          </w:tcPr>
          <w:p w14:paraId="33DAA11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nil"/>
              <w:right w:val="nil"/>
            </w:tcBorders>
            <w:shd w:val="clear" w:color="auto" w:fill="auto"/>
            <w:noWrap/>
            <w:vAlign w:val="center"/>
            <w:hideMark/>
          </w:tcPr>
          <w:p w14:paraId="6562009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1415</w:t>
            </w:r>
          </w:p>
        </w:tc>
        <w:tc>
          <w:tcPr>
            <w:tcW w:w="1418" w:type="dxa"/>
            <w:tcBorders>
              <w:top w:val="nil"/>
              <w:left w:val="nil"/>
              <w:bottom w:val="nil"/>
              <w:right w:val="nil"/>
            </w:tcBorders>
            <w:shd w:val="clear" w:color="auto" w:fill="auto"/>
            <w:noWrap/>
            <w:vAlign w:val="center"/>
            <w:hideMark/>
          </w:tcPr>
          <w:p w14:paraId="7BBE4F0A"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2.14</w:t>
            </w:r>
          </w:p>
        </w:tc>
        <w:tc>
          <w:tcPr>
            <w:tcW w:w="1275" w:type="dxa"/>
            <w:tcBorders>
              <w:top w:val="nil"/>
              <w:left w:val="nil"/>
              <w:bottom w:val="nil"/>
              <w:right w:val="nil"/>
            </w:tcBorders>
            <w:shd w:val="clear" w:color="auto" w:fill="auto"/>
            <w:noWrap/>
            <w:vAlign w:val="center"/>
            <w:hideMark/>
          </w:tcPr>
          <w:p w14:paraId="4EEB21D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973</w:t>
            </w:r>
          </w:p>
        </w:tc>
      </w:tr>
      <w:tr w:rsidR="00CB5F95" w:rsidRPr="000E2377" w14:paraId="6D68B321" w14:textId="77777777" w:rsidTr="00CB5F95">
        <w:trPr>
          <w:trHeight w:val="300"/>
        </w:trPr>
        <w:tc>
          <w:tcPr>
            <w:tcW w:w="2140" w:type="dxa"/>
            <w:tcBorders>
              <w:top w:val="nil"/>
              <w:left w:val="nil"/>
              <w:bottom w:val="single" w:sz="4" w:space="0" w:color="auto"/>
              <w:right w:val="nil"/>
            </w:tcBorders>
            <w:shd w:val="clear" w:color="auto" w:fill="auto"/>
            <w:vAlign w:val="center"/>
            <w:hideMark/>
          </w:tcPr>
          <w:p w14:paraId="44418FB7"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695" w:type="dxa"/>
            <w:tcBorders>
              <w:top w:val="nil"/>
              <w:left w:val="nil"/>
              <w:bottom w:val="single" w:sz="4" w:space="0" w:color="auto"/>
              <w:right w:val="nil"/>
            </w:tcBorders>
            <w:shd w:val="clear" w:color="auto" w:fill="auto"/>
            <w:noWrap/>
            <w:vAlign w:val="center"/>
            <w:hideMark/>
          </w:tcPr>
          <w:p w14:paraId="22334BC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488</w:t>
            </w:r>
          </w:p>
        </w:tc>
        <w:tc>
          <w:tcPr>
            <w:tcW w:w="768" w:type="dxa"/>
            <w:tcBorders>
              <w:top w:val="nil"/>
              <w:left w:val="nil"/>
              <w:bottom w:val="single" w:sz="4" w:space="0" w:color="auto"/>
              <w:right w:val="nil"/>
            </w:tcBorders>
            <w:shd w:val="clear" w:color="auto" w:fill="auto"/>
            <w:noWrap/>
            <w:vAlign w:val="center"/>
            <w:hideMark/>
          </w:tcPr>
          <w:p w14:paraId="24EDF0A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573</w:t>
            </w:r>
          </w:p>
        </w:tc>
        <w:tc>
          <w:tcPr>
            <w:tcW w:w="650" w:type="dxa"/>
            <w:tcBorders>
              <w:top w:val="nil"/>
              <w:left w:val="nil"/>
              <w:bottom w:val="single" w:sz="4" w:space="0" w:color="auto"/>
              <w:right w:val="nil"/>
            </w:tcBorders>
            <w:shd w:val="clear" w:color="auto" w:fill="auto"/>
            <w:noWrap/>
            <w:vAlign w:val="center"/>
            <w:hideMark/>
          </w:tcPr>
          <w:p w14:paraId="5735D95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776</w:t>
            </w:r>
          </w:p>
        </w:tc>
        <w:tc>
          <w:tcPr>
            <w:tcW w:w="992" w:type="dxa"/>
            <w:tcBorders>
              <w:top w:val="nil"/>
              <w:left w:val="nil"/>
              <w:bottom w:val="single" w:sz="4" w:space="0" w:color="auto"/>
              <w:right w:val="nil"/>
            </w:tcBorders>
            <w:shd w:val="clear" w:color="auto" w:fill="auto"/>
            <w:noWrap/>
            <w:vAlign w:val="center"/>
            <w:hideMark/>
          </w:tcPr>
          <w:p w14:paraId="47E07C15"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1027</w:t>
            </w:r>
          </w:p>
        </w:tc>
        <w:tc>
          <w:tcPr>
            <w:tcW w:w="992" w:type="dxa"/>
            <w:tcBorders>
              <w:top w:val="nil"/>
              <w:left w:val="nil"/>
              <w:bottom w:val="single" w:sz="4" w:space="0" w:color="auto"/>
              <w:right w:val="nil"/>
            </w:tcBorders>
            <w:shd w:val="clear" w:color="auto" w:fill="auto"/>
            <w:noWrap/>
            <w:vAlign w:val="center"/>
            <w:hideMark/>
          </w:tcPr>
          <w:p w14:paraId="0A050D6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single" w:sz="4" w:space="0" w:color="auto"/>
              <w:right w:val="nil"/>
            </w:tcBorders>
            <w:shd w:val="clear" w:color="auto" w:fill="auto"/>
            <w:noWrap/>
            <w:vAlign w:val="center"/>
            <w:hideMark/>
          </w:tcPr>
          <w:p w14:paraId="7EE088E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1419</w:t>
            </w:r>
          </w:p>
        </w:tc>
        <w:tc>
          <w:tcPr>
            <w:tcW w:w="1418" w:type="dxa"/>
            <w:tcBorders>
              <w:top w:val="nil"/>
              <w:left w:val="nil"/>
              <w:bottom w:val="single" w:sz="4" w:space="0" w:color="auto"/>
              <w:right w:val="nil"/>
            </w:tcBorders>
            <w:shd w:val="clear" w:color="auto" w:fill="auto"/>
            <w:noWrap/>
            <w:vAlign w:val="center"/>
            <w:hideMark/>
          </w:tcPr>
          <w:p w14:paraId="06F0E74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1.74</w:t>
            </w:r>
          </w:p>
        </w:tc>
        <w:tc>
          <w:tcPr>
            <w:tcW w:w="1275" w:type="dxa"/>
            <w:tcBorders>
              <w:top w:val="nil"/>
              <w:left w:val="nil"/>
              <w:bottom w:val="single" w:sz="4" w:space="0" w:color="auto"/>
              <w:right w:val="nil"/>
            </w:tcBorders>
            <w:shd w:val="clear" w:color="auto" w:fill="auto"/>
            <w:noWrap/>
            <w:vAlign w:val="center"/>
            <w:hideMark/>
          </w:tcPr>
          <w:p w14:paraId="62E45A4A"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1030</w:t>
            </w:r>
          </w:p>
        </w:tc>
      </w:tr>
      <w:tr w:rsidR="00CB5F95" w:rsidRPr="000E2377" w14:paraId="0D25ADDD" w14:textId="77777777" w:rsidTr="00CB5F95">
        <w:trPr>
          <w:trHeight w:val="300"/>
        </w:trPr>
        <w:tc>
          <w:tcPr>
            <w:tcW w:w="2140" w:type="dxa"/>
            <w:tcBorders>
              <w:top w:val="nil"/>
              <w:left w:val="nil"/>
              <w:bottom w:val="nil"/>
              <w:right w:val="nil"/>
            </w:tcBorders>
            <w:shd w:val="clear" w:color="auto" w:fill="auto"/>
            <w:vAlign w:val="center"/>
            <w:hideMark/>
          </w:tcPr>
          <w:p w14:paraId="64ACE88E"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7.5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7.5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695" w:type="dxa"/>
            <w:tcBorders>
              <w:top w:val="nil"/>
              <w:left w:val="nil"/>
              <w:bottom w:val="nil"/>
              <w:right w:val="nil"/>
            </w:tcBorders>
            <w:shd w:val="clear" w:color="auto" w:fill="auto"/>
            <w:noWrap/>
            <w:vAlign w:val="center"/>
            <w:hideMark/>
          </w:tcPr>
          <w:p w14:paraId="58627B4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494</w:t>
            </w:r>
          </w:p>
        </w:tc>
        <w:tc>
          <w:tcPr>
            <w:tcW w:w="768" w:type="dxa"/>
            <w:tcBorders>
              <w:top w:val="nil"/>
              <w:left w:val="nil"/>
              <w:bottom w:val="nil"/>
              <w:right w:val="nil"/>
            </w:tcBorders>
            <w:shd w:val="clear" w:color="auto" w:fill="auto"/>
            <w:noWrap/>
            <w:vAlign w:val="center"/>
            <w:hideMark/>
          </w:tcPr>
          <w:p w14:paraId="551F6D7D"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630</w:t>
            </w:r>
          </w:p>
        </w:tc>
        <w:tc>
          <w:tcPr>
            <w:tcW w:w="650" w:type="dxa"/>
            <w:tcBorders>
              <w:top w:val="nil"/>
              <w:left w:val="nil"/>
              <w:bottom w:val="nil"/>
              <w:right w:val="nil"/>
            </w:tcBorders>
            <w:shd w:val="clear" w:color="auto" w:fill="auto"/>
            <w:noWrap/>
            <w:vAlign w:val="center"/>
            <w:hideMark/>
          </w:tcPr>
          <w:p w14:paraId="31B83E6F"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783</w:t>
            </w:r>
          </w:p>
        </w:tc>
        <w:tc>
          <w:tcPr>
            <w:tcW w:w="992" w:type="dxa"/>
            <w:tcBorders>
              <w:top w:val="nil"/>
              <w:left w:val="nil"/>
              <w:bottom w:val="nil"/>
              <w:right w:val="nil"/>
            </w:tcBorders>
            <w:shd w:val="clear" w:color="auto" w:fill="auto"/>
            <w:noWrap/>
            <w:vAlign w:val="center"/>
            <w:hideMark/>
          </w:tcPr>
          <w:p w14:paraId="044002FE"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1060</w:t>
            </w:r>
          </w:p>
        </w:tc>
        <w:tc>
          <w:tcPr>
            <w:tcW w:w="992" w:type="dxa"/>
            <w:tcBorders>
              <w:top w:val="nil"/>
              <w:left w:val="nil"/>
              <w:bottom w:val="nil"/>
              <w:right w:val="nil"/>
            </w:tcBorders>
            <w:shd w:val="clear" w:color="auto" w:fill="auto"/>
            <w:noWrap/>
            <w:vAlign w:val="center"/>
            <w:hideMark/>
          </w:tcPr>
          <w:p w14:paraId="26BF758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992</w:t>
            </w:r>
          </w:p>
        </w:tc>
        <w:tc>
          <w:tcPr>
            <w:tcW w:w="1276" w:type="dxa"/>
            <w:tcBorders>
              <w:top w:val="nil"/>
              <w:left w:val="nil"/>
              <w:bottom w:val="nil"/>
              <w:right w:val="nil"/>
            </w:tcBorders>
            <w:shd w:val="clear" w:color="auto" w:fill="auto"/>
            <w:noWrap/>
            <w:vAlign w:val="center"/>
            <w:hideMark/>
          </w:tcPr>
          <w:p w14:paraId="1A0BCEA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1419</w:t>
            </w:r>
          </w:p>
        </w:tc>
        <w:tc>
          <w:tcPr>
            <w:tcW w:w="1418" w:type="dxa"/>
            <w:tcBorders>
              <w:top w:val="nil"/>
              <w:left w:val="nil"/>
              <w:bottom w:val="nil"/>
              <w:right w:val="nil"/>
            </w:tcBorders>
            <w:shd w:val="clear" w:color="auto" w:fill="auto"/>
            <w:noWrap/>
            <w:vAlign w:val="center"/>
            <w:hideMark/>
          </w:tcPr>
          <w:p w14:paraId="520388A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0.65</w:t>
            </w:r>
          </w:p>
        </w:tc>
        <w:tc>
          <w:tcPr>
            <w:tcW w:w="1275" w:type="dxa"/>
            <w:tcBorders>
              <w:top w:val="nil"/>
              <w:left w:val="nil"/>
              <w:bottom w:val="nil"/>
              <w:right w:val="nil"/>
            </w:tcBorders>
            <w:shd w:val="clear" w:color="auto" w:fill="auto"/>
            <w:noWrap/>
            <w:vAlign w:val="center"/>
            <w:hideMark/>
          </w:tcPr>
          <w:p w14:paraId="6C9E3A0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975</w:t>
            </w:r>
          </w:p>
        </w:tc>
      </w:tr>
      <w:tr w:rsidR="00CB5F95" w:rsidRPr="000E2377" w14:paraId="27E51585" w14:textId="77777777" w:rsidTr="00CB5F95">
        <w:trPr>
          <w:trHeight w:val="300"/>
        </w:trPr>
        <w:tc>
          <w:tcPr>
            <w:tcW w:w="2140" w:type="dxa"/>
            <w:tcBorders>
              <w:top w:val="nil"/>
              <w:left w:val="nil"/>
              <w:bottom w:val="nil"/>
              <w:right w:val="nil"/>
            </w:tcBorders>
            <w:shd w:val="clear" w:color="auto" w:fill="auto"/>
            <w:vAlign w:val="center"/>
            <w:hideMark/>
          </w:tcPr>
          <w:p w14:paraId="798BA01E"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695" w:type="dxa"/>
            <w:tcBorders>
              <w:top w:val="nil"/>
              <w:left w:val="nil"/>
              <w:bottom w:val="nil"/>
              <w:right w:val="nil"/>
            </w:tcBorders>
            <w:shd w:val="clear" w:color="auto" w:fill="auto"/>
            <w:noWrap/>
            <w:vAlign w:val="center"/>
            <w:hideMark/>
          </w:tcPr>
          <w:p w14:paraId="7C8A9EDF"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512</w:t>
            </w:r>
          </w:p>
        </w:tc>
        <w:tc>
          <w:tcPr>
            <w:tcW w:w="768" w:type="dxa"/>
            <w:tcBorders>
              <w:top w:val="nil"/>
              <w:left w:val="nil"/>
              <w:bottom w:val="nil"/>
              <w:right w:val="nil"/>
            </w:tcBorders>
            <w:shd w:val="clear" w:color="auto" w:fill="auto"/>
            <w:noWrap/>
            <w:vAlign w:val="center"/>
            <w:hideMark/>
          </w:tcPr>
          <w:p w14:paraId="6CFDDA8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626</w:t>
            </w:r>
          </w:p>
        </w:tc>
        <w:tc>
          <w:tcPr>
            <w:tcW w:w="650" w:type="dxa"/>
            <w:tcBorders>
              <w:top w:val="nil"/>
              <w:left w:val="nil"/>
              <w:bottom w:val="nil"/>
              <w:right w:val="nil"/>
            </w:tcBorders>
            <w:shd w:val="clear" w:color="auto" w:fill="auto"/>
            <w:noWrap/>
            <w:vAlign w:val="center"/>
            <w:hideMark/>
          </w:tcPr>
          <w:p w14:paraId="61B46CB0"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777</w:t>
            </w:r>
          </w:p>
        </w:tc>
        <w:tc>
          <w:tcPr>
            <w:tcW w:w="992" w:type="dxa"/>
            <w:tcBorders>
              <w:top w:val="nil"/>
              <w:left w:val="nil"/>
              <w:bottom w:val="nil"/>
              <w:right w:val="nil"/>
            </w:tcBorders>
            <w:shd w:val="clear" w:color="auto" w:fill="auto"/>
            <w:noWrap/>
            <w:vAlign w:val="center"/>
            <w:hideMark/>
          </w:tcPr>
          <w:p w14:paraId="61BA967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1077</w:t>
            </w:r>
          </w:p>
        </w:tc>
        <w:tc>
          <w:tcPr>
            <w:tcW w:w="992" w:type="dxa"/>
            <w:tcBorders>
              <w:top w:val="nil"/>
              <w:left w:val="nil"/>
              <w:bottom w:val="nil"/>
              <w:right w:val="nil"/>
            </w:tcBorders>
            <w:shd w:val="clear" w:color="auto" w:fill="auto"/>
            <w:noWrap/>
            <w:vAlign w:val="center"/>
            <w:hideMark/>
          </w:tcPr>
          <w:p w14:paraId="4E2A6C9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992</w:t>
            </w:r>
          </w:p>
        </w:tc>
        <w:tc>
          <w:tcPr>
            <w:tcW w:w="1276" w:type="dxa"/>
            <w:tcBorders>
              <w:top w:val="nil"/>
              <w:left w:val="nil"/>
              <w:bottom w:val="nil"/>
              <w:right w:val="nil"/>
            </w:tcBorders>
            <w:shd w:val="clear" w:color="auto" w:fill="auto"/>
            <w:noWrap/>
            <w:vAlign w:val="center"/>
            <w:hideMark/>
          </w:tcPr>
          <w:p w14:paraId="4C94497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1434</w:t>
            </w:r>
          </w:p>
        </w:tc>
        <w:tc>
          <w:tcPr>
            <w:tcW w:w="1418" w:type="dxa"/>
            <w:tcBorders>
              <w:top w:val="nil"/>
              <w:left w:val="nil"/>
              <w:bottom w:val="nil"/>
              <w:right w:val="nil"/>
            </w:tcBorders>
            <w:shd w:val="clear" w:color="auto" w:fill="auto"/>
            <w:noWrap/>
            <w:vAlign w:val="center"/>
            <w:hideMark/>
          </w:tcPr>
          <w:p w14:paraId="6FD298E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0.57</w:t>
            </w:r>
          </w:p>
        </w:tc>
        <w:tc>
          <w:tcPr>
            <w:tcW w:w="1275" w:type="dxa"/>
            <w:tcBorders>
              <w:top w:val="nil"/>
              <w:left w:val="nil"/>
              <w:bottom w:val="nil"/>
              <w:right w:val="nil"/>
            </w:tcBorders>
            <w:shd w:val="clear" w:color="auto" w:fill="auto"/>
            <w:noWrap/>
            <w:vAlign w:val="center"/>
            <w:hideMark/>
          </w:tcPr>
          <w:p w14:paraId="7D40540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974</w:t>
            </w:r>
          </w:p>
        </w:tc>
      </w:tr>
      <w:tr w:rsidR="00CB5F95" w:rsidRPr="000E2377" w14:paraId="1F8C99B1" w14:textId="77777777" w:rsidTr="00CB5F95">
        <w:trPr>
          <w:trHeight w:val="360"/>
        </w:trPr>
        <w:tc>
          <w:tcPr>
            <w:tcW w:w="2140" w:type="dxa"/>
            <w:tcBorders>
              <w:top w:val="nil"/>
              <w:left w:val="nil"/>
              <w:bottom w:val="single" w:sz="4" w:space="0" w:color="auto"/>
              <w:right w:val="nil"/>
            </w:tcBorders>
            <w:shd w:val="clear" w:color="auto" w:fill="auto"/>
            <w:vAlign w:val="center"/>
            <w:hideMark/>
          </w:tcPr>
          <w:p w14:paraId="1A775BF8"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12.5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695" w:type="dxa"/>
            <w:tcBorders>
              <w:top w:val="nil"/>
              <w:left w:val="nil"/>
              <w:bottom w:val="single" w:sz="4" w:space="0" w:color="auto"/>
              <w:right w:val="nil"/>
            </w:tcBorders>
            <w:shd w:val="clear" w:color="auto" w:fill="auto"/>
            <w:noWrap/>
            <w:vAlign w:val="center"/>
            <w:hideMark/>
          </w:tcPr>
          <w:p w14:paraId="70100BF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547</w:t>
            </w:r>
          </w:p>
        </w:tc>
        <w:tc>
          <w:tcPr>
            <w:tcW w:w="768" w:type="dxa"/>
            <w:tcBorders>
              <w:top w:val="nil"/>
              <w:left w:val="nil"/>
              <w:bottom w:val="single" w:sz="4" w:space="0" w:color="auto"/>
              <w:right w:val="nil"/>
            </w:tcBorders>
            <w:shd w:val="clear" w:color="auto" w:fill="auto"/>
            <w:noWrap/>
            <w:vAlign w:val="center"/>
            <w:hideMark/>
          </w:tcPr>
          <w:p w14:paraId="32A7D88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630</w:t>
            </w:r>
          </w:p>
        </w:tc>
        <w:tc>
          <w:tcPr>
            <w:tcW w:w="650" w:type="dxa"/>
            <w:tcBorders>
              <w:top w:val="nil"/>
              <w:left w:val="nil"/>
              <w:bottom w:val="single" w:sz="4" w:space="0" w:color="auto"/>
              <w:right w:val="nil"/>
            </w:tcBorders>
            <w:shd w:val="clear" w:color="auto" w:fill="auto"/>
            <w:noWrap/>
            <w:vAlign w:val="center"/>
            <w:hideMark/>
          </w:tcPr>
          <w:p w14:paraId="6C2A65C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794</w:t>
            </w:r>
          </w:p>
        </w:tc>
        <w:tc>
          <w:tcPr>
            <w:tcW w:w="992" w:type="dxa"/>
            <w:tcBorders>
              <w:top w:val="nil"/>
              <w:left w:val="nil"/>
              <w:bottom w:val="single" w:sz="4" w:space="0" w:color="auto"/>
              <w:right w:val="nil"/>
            </w:tcBorders>
            <w:shd w:val="clear" w:color="auto" w:fill="auto"/>
            <w:noWrap/>
            <w:vAlign w:val="center"/>
            <w:hideMark/>
          </w:tcPr>
          <w:p w14:paraId="318F0F4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1080</w:t>
            </w:r>
          </w:p>
        </w:tc>
        <w:tc>
          <w:tcPr>
            <w:tcW w:w="992" w:type="dxa"/>
            <w:tcBorders>
              <w:top w:val="nil"/>
              <w:left w:val="nil"/>
              <w:bottom w:val="single" w:sz="4" w:space="0" w:color="auto"/>
              <w:right w:val="nil"/>
            </w:tcBorders>
            <w:shd w:val="clear" w:color="auto" w:fill="auto"/>
            <w:noWrap/>
            <w:vAlign w:val="center"/>
            <w:hideMark/>
          </w:tcPr>
          <w:p w14:paraId="584A196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993</w:t>
            </w:r>
          </w:p>
        </w:tc>
        <w:tc>
          <w:tcPr>
            <w:tcW w:w="1276" w:type="dxa"/>
            <w:tcBorders>
              <w:top w:val="nil"/>
              <w:left w:val="nil"/>
              <w:bottom w:val="single" w:sz="4" w:space="0" w:color="auto"/>
              <w:right w:val="nil"/>
            </w:tcBorders>
            <w:shd w:val="clear" w:color="auto" w:fill="auto"/>
            <w:noWrap/>
            <w:vAlign w:val="center"/>
            <w:hideMark/>
          </w:tcPr>
          <w:p w14:paraId="2DBD022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1426</w:t>
            </w:r>
          </w:p>
        </w:tc>
        <w:tc>
          <w:tcPr>
            <w:tcW w:w="1418" w:type="dxa"/>
            <w:tcBorders>
              <w:top w:val="nil"/>
              <w:left w:val="nil"/>
              <w:bottom w:val="single" w:sz="4" w:space="0" w:color="auto"/>
              <w:right w:val="nil"/>
            </w:tcBorders>
            <w:shd w:val="clear" w:color="auto" w:fill="auto"/>
            <w:noWrap/>
            <w:vAlign w:val="center"/>
            <w:hideMark/>
          </w:tcPr>
          <w:p w14:paraId="47091A97"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0.50</w:t>
            </w:r>
          </w:p>
        </w:tc>
        <w:tc>
          <w:tcPr>
            <w:tcW w:w="1275" w:type="dxa"/>
            <w:tcBorders>
              <w:top w:val="nil"/>
              <w:left w:val="nil"/>
              <w:bottom w:val="single" w:sz="4" w:space="0" w:color="auto"/>
              <w:right w:val="nil"/>
            </w:tcBorders>
            <w:shd w:val="clear" w:color="auto" w:fill="auto"/>
            <w:noWrap/>
            <w:vAlign w:val="center"/>
            <w:hideMark/>
          </w:tcPr>
          <w:p w14:paraId="434DED1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971</w:t>
            </w:r>
          </w:p>
        </w:tc>
      </w:tr>
      <w:tr w:rsidR="00CB5F95" w:rsidRPr="000E2377" w14:paraId="3EABA296" w14:textId="77777777" w:rsidTr="00CB5F95">
        <w:trPr>
          <w:trHeight w:val="345"/>
        </w:trPr>
        <w:tc>
          <w:tcPr>
            <w:tcW w:w="2140" w:type="dxa"/>
            <w:tcBorders>
              <w:top w:val="nil"/>
              <w:left w:val="nil"/>
              <w:bottom w:val="nil"/>
              <w:right w:val="nil"/>
            </w:tcBorders>
            <w:shd w:val="clear" w:color="auto" w:fill="auto"/>
            <w:vAlign w:val="center"/>
            <w:hideMark/>
          </w:tcPr>
          <w:p w14:paraId="6FF0E015"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7.5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7.5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695" w:type="dxa"/>
            <w:tcBorders>
              <w:top w:val="nil"/>
              <w:left w:val="nil"/>
              <w:bottom w:val="nil"/>
              <w:right w:val="nil"/>
            </w:tcBorders>
            <w:shd w:val="clear" w:color="auto" w:fill="auto"/>
            <w:noWrap/>
            <w:vAlign w:val="center"/>
            <w:hideMark/>
          </w:tcPr>
          <w:p w14:paraId="06D17C1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495</w:t>
            </w:r>
          </w:p>
        </w:tc>
        <w:tc>
          <w:tcPr>
            <w:tcW w:w="768" w:type="dxa"/>
            <w:tcBorders>
              <w:top w:val="nil"/>
              <w:left w:val="nil"/>
              <w:bottom w:val="nil"/>
              <w:right w:val="nil"/>
            </w:tcBorders>
            <w:shd w:val="clear" w:color="auto" w:fill="auto"/>
            <w:noWrap/>
            <w:vAlign w:val="center"/>
            <w:hideMark/>
          </w:tcPr>
          <w:p w14:paraId="2D925EF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630</w:t>
            </w:r>
          </w:p>
        </w:tc>
        <w:tc>
          <w:tcPr>
            <w:tcW w:w="650" w:type="dxa"/>
            <w:tcBorders>
              <w:top w:val="nil"/>
              <w:left w:val="nil"/>
              <w:bottom w:val="nil"/>
              <w:right w:val="nil"/>
            </w:tcBorders>
            <w:shd w:val="clear" w:color="auto" w:fill="auto"/>
            <w:noWrap/>
            <w:vAlign w:val="center"/>
            <w:hideMark/>
          </w:tcPr>
          <w:p w14:paraId="6350FC3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787</w:t>
            </w:r>
          </w:p>
        </w:tc>
        <w:tc>
          <w:tcPr>
            <w:tcW w:w="992" w:type="dxa"/>
            <w:tcBorders>
              <w:top w:val="nil"/>
              <w:left w:val="nil"/>
              <w:bottom w:val="nil"/>
              <w:right w:val="nil"/>
            </w:tcBorders>
            <w:shd w:val="clear" w:color="auto" w:fill="auto"/>
            <w:noWrap/>
            <w:vAlign w:val="center"/>
            <w:hideMark/>
          </w:tcPr>
          <w:p w14:paraId="34E7F04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1050</w:t>
            </w:r>
          </w:p>
        </w:tc>
        <w:tc>
          <w:tcPr>
            <w:tcW w:w="992" w:type="dxa"/>
            <w:tcBorders>
              <w:top w:val="nil"/>
              <w:left w:val="nil"/>
              <w:bottom w:val="nil"/>
              <w:right w:val="nil"/>
            </w:tcBorders>
            <w:shd w:val="clear" w:color="auto" w:fill="auto"/>
            <w:noWrap/>
            <w:vAlign w:val="center"/>
            <w:hideMark/>
          </w:tcPr>
          <w:p w14:paraId="40FA36D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986</w:t>
            </w:r>
          </w:p>
        </w:tc>
        <w:tc>
          <w:tcPr>
            <w:tcW w:w="1276" w:type="dxa"/>
            <w:tcBorders>
              <w:top w:val="nil"/>
              <w:left w:val="nil"/>
              <w:bottom w:val="nil"/>
              <w:right w:val="nil"/>
            </w:tcBorders>
            <w:shd w:val="clear" w:color="auto" w:fill="auto"/>
            <w:noWrap/>
            <w:vAlign w:val="center"/>
            <w:hideMark/>
          </w:tcPr>
          <w:p w14:paraId="5A1624BA"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1446</w:t>
            </w:r>
          </w:p>
        </w:tc>
        <w:tc>
          <w:tcPr>
            <w:tcW w:w="1418" w:type="dxa"/>
            <w:tcBorders>
              <w:top w:val="nil"/>
              <w:left w:val="nil"/>
              <w:bottom w:val="nil"/>
              <w:right w:val="nil"/>
            </w:tcBorders>
            <w:shd w:val="clear" w:color="auto" w:fill="auto"/>
            <w:noWrap/>
            <w:vAlign w:val="center"/>
            <w:hideMark/>
          </w:tcPr>
          <w:p w14:paraId="1E8BD8E0"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0.45</w:t>
            </w:r>
          </w:p>
        </w:tc>
        <w:tc>
          <w:tcPr>
            <w:tcW w:w="1275" w:type="dxa"/>
            <w:tcBorders>
              <w:top w:val="nil"/>
              <w:left w:val="nil"/>
              <w:bottom w:val="nil"/>
              <w:right w:val="nil"/>
            </w:tcBorders>
            <w:shd w:val="clear" w:color="auto" w:fill="auto"/>
            <w:noWrap/>
            <w:vAlign w:val="center"/>
            <w:hideMark/>
          </w:tcPr>
          <w:p w14:paraId="760BD307"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970</w:t>
            </w:r>
          </w:p>
        </w:tc>
      </w:tr>
      <w:tr w:rsidR="00CB5F95" w:rsidRPr="000E2377" w14:paraId="04405C15" w14:textId="77777777" w:rsidTr="00CB5F95">
        <w:trPr>
          <w:trHeight w:val="300"/>
        </w:trPr>
        <w:tc>
          <w:tcPr>
            <w:tcW w:w="2140" w:type="dxa"/>
            <w:tcBorders>
              <w:top w:val="nil"/>
              <w:left w:val="nil"/>
              <w:bottom w:val="nil"/>
              <w:right w:val="nil"/>
            </w:tcBorders>
            <w:shd w:val="clear" w:color="auto" w:fill="auto"/>
            <w:vAlign w:val="center"/>
            <w:hideMark/>
          </w:tcPr>
          <w:p w14:paraId="598935D3"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695" w:type="dxa"/>
            <w:tcBorders>
              <w:top w:val="nil"/>
              <w:left w:val="nil"/>
              <w:bottom w:val="nil"/>
              <w:right w:val="nil"/>
            </w:tcBorders>
            <w:shd w:val="clear" w:color="auto" w:fill="auto"/>
            <w:noWrap/>
            <w:vAlign w:val="center"/>
            <w:hideMark/>
          </w:tcPr>
          <w:p w14:paraId="7FE2B79D"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500</w:t>
            </w:r>
          </w:p>
        </w:tc>
        <w:tc>
          <w:tcPr>
            <w:tcW w:w="768" w:type="dxa"/>
            <w:tcBorders>
              <w:top w:val="nil"/>
              <w:left w:val="nil"/>
              <w:bottom w:val="nil"/>
              <w:right w:val="nil"/>
            </w:tcBorders>
            <w:shd w:val="clear" w:color="auto" w:fill="auto"/>
            <w:noWrap/>
            <w:vAlign w:val="center"/>
            <w:hideMark/>
          </w:tcPr>
          <w:p w14:paraId="37AB0BAE"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630</w:t>
            </w:r>
          </w:p>
        </w:tc>
        <w:tc>
          <w:tcPr>
            <w:tcW w:w="650" w:type="dxa"/>
            <w:tcBorders>
              <w:top w:val="nil"/>
              <w:left w:val="nil"/>
              <w:bottom w:val="nil"/>
              <w:right w:val="nil"/>
            </w:tcBorders>
            <w:shd w:val="clear" w:color="auto" w:fill="auto"/>
            <w:noWrap/>
            <w:vAlign w:val="center"/>
            <w:hideMark/>
          </w:tcPr>
          <w:p w14:paraId="37EBDF9D"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769</w:t>
            </w:r>
          </w:p>
        </w:tc>
        <w:tc>
          <w:tcPr>
            <w:tcW w:w="992" w:type="dxa"/>
            <w:tcBorders>
              <w:top w:val="nil"/>
              <w:left w:val="nil"/>
              <w:bottom w:val="nil"/>
              <w:right w:val="nil"/>
            </w:tcBorders>
            <w:shd w:val="clear" w:color="auto" w:fill="auto"/>
            <w:noWrap/>
            <w:vAlign w:val="center"/>
            <w:hideMark/>
          </w:tcPr>
          <w:p w14:paraId="6EEE55D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1050</w:t>
            </w:r>
          </w:p>
        </w:tc>
        <w:tc>
          <w:tcPr>
            <w:tcW w:w="992" w:type="dxa"/>
            <w:tcBorders>
              <w:top w:val="nil"/>
              <w:left w:val="nil"/>
              <w:bottom w:val="nil"/>
              <w:right w:val="nil"/>
            </w:tcBorders>
            <w:shd w:val="clear" w:color="auto" w:fill="auto"/>
            <w:noWrap/>
            <w:vAlign w:val="center"/>
            <w:hideMark/>
          </w:tcPr>
          <w:p w14:paraId="4860D23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986</w:t>
            </w:r>
          </w:p>
        </w:tc>
        <w:tc>
          <w:tcPr>
            <w:tcW w:w="1276" w:type="dxa"/>
            <w:tcBorders>
              <w:top w:val="nil"/>
              <w:left w:val="nil"/>
              <w:bottom w:val="nil"/>
              <w:right w:val="nil"/>
            </w:tcBorders>
            <w:shd w:val="clear" w:color="auto" w:fill="auto"/>
            <w:noWrap/>
            <w:vAlign w:val="center"/>
            <w:hideMark/>
          </w:tcPr>
          <w:p w14:paraId="456DFE45"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1432</w:t>
            </w:r>
          </w:p>
        </w:tc>
        <w:tc>
          <w:tcPr>
            <w:tcW w:w="1418" w:type="dxa"/>
            <w:tcBorders>
              <w:top w:val="nil"/>
              <w:left w:val="nil"/>
              <w:bottom w:val="nil"/>
              <w:right w:val="nil"/>
            </w:tcBorders>
            <w:shd w:val="clear" w:color="auto" w:fill="auto"/>
            <w:noWrap/>
            <w:vAlign w:val="center"/>
            <w:hideMark/>
          </w:tcPr>
          <w:p w14:paraId="27C078EE"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0.27</w:t>
            </w:r>
          </w:p>
        </w:tc>
        <w:tc>
          <w:tcPr>
            <w:tcW w:w="1275" w:type="dxa"/>
            <w:tcBorders>
              <w:top w:val="nil"/>
              <w:left w:val="nil"/>
              <w:bottom w:val="nil"/>
              <w:right w:val="nil"/>
            </w:tcBorders>
            <w:shd w:val="clear" w:color="auto" w:fill="auto"/>
            <w:noWrap/>
            <w:vAlign w:val="center"/>
            <w:hideMark/>
          </w:tcPr>
          <w:p w14:paraId="1DEC1077"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971</w:t>
            </w:r>
          </w:p>
        </w:tc>
      </w:tr>
      <w:tr w:rsidR="00CB5F95" w:rsidRPr="000E2377" w14:paraId="21BA216E" w14:textId="77777777" w:rsidTr="00CB5F95">
        <w:trPr>
          <w:trHeight w:val="345"/>
        </w:trPr>
        <w:tc>
          <w:tcPr>
            <w:tcW w:w="2140" w:type="dxa"/>
            <w:tcBorders>
              <w:top w:val="nil"/>
              <w:left w:val="nil"/>
              <w:bottom w:val="single" w:sz="4" w:space="0" w:color="auto"/>
              <w:right w:val="nil"/>
            </w:tcBorders>
            <w:shd w:val="clear" w:color="auto" w:fill="auto"/>
            <w:vAlign w:val="center"/>
            <w:hideMark/>
          </w:tcPr>
          <w:p w14:paraId="3419439B"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12.5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695" w:type="dxa"/>
            <w:tcBorders>
              <w:top w:val="nil"/>
              <w:left w:val="nil"/>
              <w:bottom w:val="single" w:sz="4" w:space="0" w:color="auto"/>
              <w:right w:val="nil"/>
            </w:tcBorders>
            <w:shd w:val="clear" w:color="auto" w:fill="auto"/>
            <w:noWrap/>
            <w:vAlign w:val="center"/>
            <w:hideMark/>
          </w:tcPr>
          <w:p w14:paraId="4843711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540</w:t>
            </w:r>
          </w:p>
        </w:tc>
        <w:tc>
          <w:tcPr>
            <w:tcW w:w="768" w:type="dxa"/>
            <w:tcBorders>
              <w:top w:val="nil"/>
              <w:left w:val="nil"/>
              <w:bottom w:val="single" w:sz="4" w:space="0" w:color="auto"/>
              <w:right w:val="nil"/>
            </w:tcBorders>
            <w:shd w:val="clear" w:color="auto" w:fill="auto"/>
            <w:noWrap/>
            <w:vAlign w:val="center"/>
            <w:hideMark/>
          </w:tcPr>
          <w:p w14:paraId="5E55784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630</w:t>
            </w:r>
          </w:p>
        </w:tc>
        <w:tc>
          <w:tcPr>
            <w:tcW w:w="650" w:type="dxa"/>
            <w:tcBorders>
              <w:top w:val="nil"/>
              <w:left w:val="nil"/>
              <w:bottom w:val="single" w:sz="4" w:space="0" w:color="auto"/>
              <w:right w:val="nil"/>
            </w:tcBorders>
            <w:shd w:val="clear" w:color="auto" w:fill="auto"/>
            <w:noWrap/>
            <w:vAlign w:val="center"/>
            <w:hideMark/>
          </w:tcPr>
          <w:p w14:paraId="0FF3691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783</w:t>
            </w:r>
          </w:p>
        </w:tc>
        <w:tc>
          <w:tcPr>
            <w:tcW w:w="992" w:type="dxa"/>
            <w:tcBorders>
              <w:top w:val="nil"/>
              <w:left w:val="nil"/>
              <w:bottom w:val="single" w:sz="4" w:space="0" w:color="auto"/>
              <w:right w:val="nil"/>
            </w:tcBorders>
            <w:shd w:val="clear" w:color="auto" w:fill="auto"/>
            <w:noWrap/>
            <w:vAlign w:val="center"/>
            <w:hideMark/>
          </w:tcPr>
          <w:p w14:paraId="0812C35D"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1064</w:t>
            </w:r>
          </w:p>
        </w:tc>
        <w:tc>
          <w:tcPr>
            <w:tcW w:w="992" w:type="dxa"/>
            <w:tcBorders>
              <w:top w:val="nil"/>
              <w:left w:val="nil"/>
              <w:bottom w:val="single" w:sz="4" w:space="0" w:color="auto"/>
              <w:right w:val="nil"/>
            </w:tcBorders>
            <w:shd w:val="clear" w:color="auto" w:fill="auto"/>
            <w:noWrap/>
            <w:vAlign w:val="center"/>
            <w:hideMark/>
          </w:tcPr>
          <w:p w14:paraId="52DD88DF"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986</w:t>
            </w:r>
          </w:p>
        </w:tc>
        <w:tc>
          <w:tcPr>
            <w:tcW w:w="1276" w:type="dxa"/>
            <w:tcBorders>
              <w:top w:val="nil"/>
              <w:left w:val="nil"/>
              <w:bottom w:val="single" w:sz="4" w:space="0" w:color="auto"/>
              <w:right w:val="nil"/>
            </w:tcBorders>
            <w:shd w:val="clear" w:color="auto" w:fill="auto"/>
            <w:noWrap/>
            <w:vAlign w:val="center"/>
            <w:hideMark/>
          </w:tcPr>
          <w:p w14:paraId="17D8B4C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1451</w:t>
            </w:r>
          </w:p>
        </w:tc>
        <w:tc>
          <w:tcPr>
            <w:tcW w:w="1418" w:type="dxa"/>
            <w:tcBorders>
              <w:top w:val="nil"/>
              <w:left w:val="nil"/>
              <w:bottom w:val="single" w:sz="4" w:space="0" w:color="auto"/>
              <w:right w:val="nil"/>
            </w:tcBorders>
            <w:shd w:val="clear" w:color="auto" w:fill="auto"/>
            <w:noWrap/>
            <w:vAlign w:val="center"/>
            <w:hideMark/>
          </w:tcPr>
          <w:p w14:paraId="6F9CAB2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0.41</w:t>
            </w:r>
          </w:p>
        </w:tc>
        <w:tc>
          <w:tcPr>
            <w:tcW w:w="1275" w:type="dxa"/>
            <w:tcBorders>
              <w:top w:val="nil"/>
              <w:left w:val="nil"/>
              <w:bottom w:val="single" w:sz="4" w:space="0" w:color="auto"/>
              <w:right w:val="nil"/>
            </w:tcBorders>
            <w:shd w:val="clear" w:color="auto" w:fill="auto"/>
            <w:noWrap/>
            <w:vAlign w:val="center"/>
            <w:hideMark/>
          </w:tcPr>
          <w:p w14:paraId="685F0E7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961</w:t>
            </w:r>
          </w:p>
        </w:tc>
      </w:tr>
      <w:tr w:rsidR="00CB5F95" w:rsidRPr="000E2377" w14:paraId="2744F69F" w14:textId="77777777" w:rsidTr="00CB5F95">
        <w:trPr>
          <w:trHeight w:val="300"/>
        </w:trPr>
        <w:tc>
          <w:tcPr>
            <w:tcW w:w="2140" w:type="dxa"/>
            <w:tcBorders>
              <w:top w:val="nil"/>
              <w:left w:val="nil"/>
              <w:bottom w:val="nil"/>
              <w:right w:val="nil"/>
            </w:tcBorders>
            <w:shd w:val="clear" w:color="auto" w:fill="auto"/>
            <w:vAlign w:val="center"/>
            <w:hideMark/>
          </w:tcPr>
          <w:p w14:paraId="7CA12FA8"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w:t>
            </w:r>
            <w:r>
              <w:rPr>
                <w:rFonts w:eastAsia="Times New Roman" w:cs="Times New Roman"/>
                <w:b w:val="0"/>
                <w:color w:val="000000"/>
                <w:sz w:val="20"/>
                <w:szCs w:val="20"/>
                <w:vertAlign w:val="subscript"/>
                <w:lang w:eastAsia="en-MY"/>
              </w:rPr>
              <w:t>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2.5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17.5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695" w:type="dxa"/>
            <w:tcBorders>
              <w:top w:val="nil"/>
              <w:left w:val="nil"/>
              <w:bottom w:val="nil"/>
              <w:right w:val="nil"/>
            </w:tcBorders>
            <w:shd w:val="clear" w:color="auto" w:fill="auto"/>
            <w:noWrap/>
            <w:vAlign w:val="center"/>
            <w:hideMark/>
          </w:tcPr>
          <w:p w14:paraId="4EAE30C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482</w:t>
            </w:r>
          </w:p>
        </w:tc>
        <w:tc>
          <w:tcPr>
            <w:tcW w:w="768" w:type="dxa"/>
            <w:tcBorders>
              <w:top w:val="nil"/>
              <w:left w:val="nil"/>
              <w:bottom w:val="nil"/>
              <w:right w:val="nil"/>
            </w:tcBorders>
            <w:shd w:val="clear" w:color="auto" w:fill="auto"/>
            <w:noWrap/>
            <w:vAlign w:val="center"/>
            <w:hideMark/>
          </w:tcPr>
          <w:p w14:paraId="0B92EA30"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591</w:t>
            </w:r>
          </w:p>
        </w:tc>
        <w:tc>
          <w:tcPr>
            <w:tcW w:w="650" w:type="dxa"/>
            <w:tcBorders>
              <w:top w:val="nil"/>
              <w:left w:val="nil"/>
              <w:bottom w:val="nil"/>
              <w:right w:val="nil"/>
            </w:tcBorders>
            <w:shd w:val="clear" w:color="auto" w:fill="auto"/>
            <w:noWrap/>
            <w:vAlign w:val="center"/>
            <w:hideMark/>
          </w:tcPr>
          <w:p w14:paraId="1E2EF26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800</w:t>
            </w:r>
          </w:p>
        </w:tc>
        <w:tc>
          <w:tcPr>
            <w:tcW w:w="992" w:type="dxa"/>
            <w:tcBorders>
              <w:top w:val="nil"/>
              <w:left w:val="nil"/>
              <w:bottom w:val="nil"/>
              <w:right w:val="nil"/>
            </w:tcBorders>
            <w:shd w:val="clear" w:color="auto" w:fill="auto"/>
            <w:noWrap/>
            <w:vAlign w:val="center"/>
            <w:hideMark/>
          </w:tcPr>
          <w:p w14:paraId="0A153CE5"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1102</w:t>
            </w:r>
          </w:p>
        </w:tc>
        <w:tc>
          <w:tcPr>
            <w:tcW w:w="992" w:type="dxa"/>
            <w:tcBorders>
              <w:top w:val="nil"/>
              <w:left w:val="nil"/>
              <w:bottom w:val="nil"/>
              <w:right w:val="nil"/>
            </w:tcBorders>
            <w:shd w:val="clear" w:color="auto" w:fill="auto"/>
            <w:noWrap/>
            <w:vAlign w:val="center"/>
            <w:hideMark/>
          </w:tcPr>
          <w:p w14:paraId="6BCDE5DF"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nil"/>
              <w:right w:val="nil"/>
            </w:tcBorders>
            <w:shd w:val="clear" w:color="auto" w:fill="auto"/>
            <w:noWrap/>
            <w:vAlign w:val="center"/>
            <w:hideMark/>
          </w:tcPr>
          <w:p w14:paraId="54F87D3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1442</w:t>
            </w:r>
          </w:p>
        </w:tc>
        <w:tc>
          <w:tcPr>
            <w:tcW w:w="1418" w:type="dxa"/>
            <w:tcBorders>
              <w:top w:val="nil"/>
              <w:left w:val="nil"/>
              <w:bottom w:val="nil"/>
              <w:right w:val="nil"/>
            </w:tcBorders>
            <w:shd w:val="clear" w:color="auto" w:fill="auto"/>
            <w:noWrap/>
            <w:vAlign w:val="center"/>
            <w:hideMark/>
          </w:tcPr>
          <w:p w14:paraId="5BE7B14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2.38</w:t>
            </w:r>
          </w:p>
        </w:tc>
        <w:tc>
          <w:tcPr>
            <w:tcW w:w="1275" w:type="dxa"/>
            <w:tcBorders>
              <w:top w:val="nil"/>
              <w:left w:val="nil"/>
              <w:bottom w:val="nil"/>
              <w:right w:val="nil"/>
            </w:tcBorders>
            <w:shd w:val="clear" w:color="auto" w:fill="auto"/>
            <w:noWrap/>
            <w:vAlign w:val="center"/>
            <w:hideMark/>
          </w:tcPr>
          <w:p w14:paraId="6288703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1002</w:t>
            </w:r>
          </w:p>
        </w:tc>
      </w:tr>
      <w:tr w:rsidR="00CB5F95" w:rsidRPr="000E2377" w14:paraId="765A4958" w14:textId="77777777" w:rsidTr="00CB5F95">
        <w:trPr>
          <w:trHeight w:val="300"/>
        </w:trPr>
        <w:tc>
          <w:tcPr>
            <w:tcW w:w="2140" w:type="dxa"/>
            <w:tcBorders>
              <w:top w:val="nil"/>
              <w:left w:val="nil"/>
              <w:bottom w:val="nil"/>
              <w:right w:val="nil"/>
            </w:tcBorders>
            <w:shd w:val="clear" w:color="auto" w:fill="auto"/>
            <w:vAlign w:val="center"/>
            <w:hideMark/>
          </w:tcPr>
          <w:p w14:paraId="1BB5FE0B"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w:t>
            </w:r>
            <w:r>
              <w:rPr>
                <w:rFonts w:eastAsia="Times New Roman" w:cs="Times New Roman"/>
                <w:b w:val="0"/>
                <w:color w:val="000000"/>
                <w:sz w:val="20"/>
                <w:szCs w:val="20"/>
                <w:vertAlign w:val="subscript"/>
                <w:lang w:eastAsia="en-MY"/>
              </w:rPr>
              <w:t>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695" w:type="dxa"/>
            <w:tcBorders>
              <w:top w:val="nil"/>
              <w:left w:val="nil"/>
              <w:bottom w:val="nil"/>
              <w:right w:val="nil"/>
            </w:tcBorders>
            <w:shd w:val="clear" w:color="auto" w:fill="auto"/>
            <w:noWrap/>
            <w:vAlign w:val="center"/>
            <w:hideMark/>
          </w:tcPr>
          <w:p w14:paraId="2FDF9C07"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493</w:t>
            </w:r>
          </w:p>
        </w:tc>
        <w:tc>
          <w:tcPr>
            <w:tcW w:w="768" w:type="dxa"/>
            <w:tcBorders>
              <w:top w:val="nil"/>
              <w:left w:val="nil"/>
              <w:bottom w:val="nil"/>
              <w:right w:val="nil"/>
            </w:tcBorders>
            <w:shd w:val="clear" w:color="auto" w:fill="auto"/>
            <w:noWrap/>
            <w:vAlign w:val="center"/>
            <w:hideMark/>
          </w:tcPr>
          <w:p w14:paraId="30717C9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585</w:t>
            </w:r>
          </w:p>
        </w:tc>
        <w:tc>
          <w:tcPr>
            <w:tcW w:w="650" w:type="dxa"/>
            <w:tcBorders>
              <w:top w:val="nil"/>
              <w:left w:val="nil"/>
              <w:bottom w:val="nil"/>
              <w:right w:val="nil"/>
            </w:tcBorders>
            <w:shd w:val="clear" w:color="auto" w:fill="auto"/>
            <w:noWrap/>
            <w:vAlign w:val="center"/>
            <w:hideMark/>
          </w:tcPr>
          <w:p w14:paraId="0CC510E9"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789</w:t>
            </w:r>
          </w:p>
        </w:tc>
        <w:tc>
          <w:tcPr>
            <w:tcW w:w="992" w:type="dxa"/>
            <w:tcBorders>
              <w:top w:val="nil"/>
              <w:left w:val="nil"/>
              <w:bottom w:val="nil"/>
              <w:right w:val="nil"/>
            </w:tcBorders>
            <w:shd w:val="clear" w:color="auto" w:fill="auto"/>
            <w:noWrap/>
            <w:vAlign w:val="center"/>
            <w:hideMark/>
          </w:tcPr>
          <w:p w14:paraId="7F2677A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1090</w:t>
            </w:r>
          </w:p>
        </w:tc>
        <w:tc>
          <w:tcPr>
            <w:tcW w:w="992" w:type="dxa"/>
            <w:tcBorders>
              <w:top w:val="nil"/>
              <w:left w:val="nil"/>
              <w:bottom w:val="nil"/>
              <w:right w:val="nil"/>
            </w:tcBorders>
            <w:shd w:val="clear" w:color="auto" w:fill="auto"/>
            <w:noWrap/>
            <w:vAlign w:val="center"/>
            <w:hideMark/>
          </w:tcPr>
          <w:p w14:paraId="01C87C8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nil"/>
              <w:right w:val="nil"/>
            </w:tcBorders>
            <w:shd w:val="clear" w:color="auto" w:fill="auto"/>
            <w:noWrap/>
            <w:vAlign w:val="center"/>
            <w:hideMark/>
          </w:tcPr>
          <w:p w14:paraId="035D6E6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1417</w:t>
            </w:r>
          </w:p>
        </w:tc>
        <w:tc>
          <w:tcPr>
            <w:tcW w:w="1418" w:type="dxa"/>
            <w:tcBorders>
              <w:top w:val="nil"/>
              <w:left w:val="nil"/>
              <w:bottom w:val="nil"/>
              <w:right w:val="nil"/>
            </w:tcBorders>
            <w:shd w:val="clear" w:color="auto" w:fill="auto"/>
            <w:noWrap/>
            <w:vAlign w:val="center"/>
            <w:hideMark/>
          </w:tcPr>
          <w:p w14:paraId="326143D5"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2.52</w:t>
            </w:r>
          </w:p>
        </w:tc>
        <w:tc>
          <w:tcPr>
            <w:tcW w:w="1275" w:type="dxa"/>
            <w:tcBorders>
              <w:top w:val="nil"/>
              <w:left w:val="nil"/>
              <w:bottom w:val="nil"/>
              <w:right w:val="nil"/>
            </w:tcBorders>
            <w:shd w:val="clear" w:color="auto" w:fill="auto"/>
            <w:noWrap/>
            <w:vAlign w:val="center"/>
            <w:hideMark/>
          </w:tcPr>
          <w:p w14:paraId="587407C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998</w:t>
            </w:r>
          </w:p>
        </w:tc>
      </w:tr>
      <w:tr w:rsidR="00CB5F95" w:rsidRPr="000E2377" w14:paraId="02BD0DC9" w14:textId="77777777" w:rsidTr="00CB5F95">
        <w:trPr>
          <w:trHeight w:val="300"/>
        </w:trPr>
        <w:tc>
          <w:tcPr>
            <w:tcW w:w="2140" w:type="dxa"/>
            <w:tcBorders>
              <w:top w:val="nil"/>
              <w:left w:val="nil"/>
              <w:bottom w:val="single" w:sz="4" w:space="0" w:color="auto"/>
              <w:right w:val="nil"/>
            </w:tcBorders>
            <w:shd w:val="clear" w:color="auto" w:fill="auto"/>
            <w:vAlign w:val="center"/>
            <w:hideMark/>
          </w:tcPr>
          <w:p w14:paraId="00BCAF68"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w:t>
            </w:r>
            <w:r>
              <w:rPr>
                <w:rFonts w:eastAsia="Times New Roman" w:cs="Times New Roman"/>
                <w:b w:val="0"/>
                <w:color w:val="000000"/>
                <w:sz w:val="20"/>
                <w:szCs w:val="20"/>
                <w:vertAlign w:val="subscript"/>
                <w:lang w:eastAsia="en-MY"/>
              </w:rPr>
              <w:t>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7.5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12.5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695" w:type="dxa"/>
            <w:tcBorders>
              <w:top w:val="nil"/>
              <w:left w:val="nil"/>
              <w:bottom w:val="single" w:sz="4" w:space="0" w:color="auto"/>
              <w:right w:val="nil"/>
            </w:tcBorders>
            <w:shd w:val="clear" w:color="auto" w:fill="auto"/>
            <w:noWrap/>
            <w:vAlign w:val="center"/>
            <w:hideMark/>
          </w:tcPr>
          <w:p w14:paraId="61A1D4C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484</w:t>
            </w:r>
          </w:p>
        </w:tc>
        <w:tc>
          <w:tcPr>
            <w:tcW w:w="768" w:type="dxa"/>
            <w:tcBorders>
              <w:top w:val="nil"/>
              <w:left w:val="nil"/>
              <w:bottom w:val="single" w:sz="4" w:space="0" w:color="auto"/>
              <w:right w:val="nil"/>
            </w:tcBorders>
            <w:shd w:val="clear" w:color="auto" w:fill="auto"/>
            <w:noWrap/>
            <w:vAlign w:val="center"/>
            <w:hideMark/>
          </w:tcPr>
          <w:p w14:paraId="186C2E9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576</w:t>
            </w:r>
          </w:p>
        </w:tc>
        <w:tc>
          <w:tcPr>
            <w:tcW w:w="650" w:type="dxa"/>
            <w:tcBorders>
              <w:top w:val="nil"/>
              <w:left w:val="nil"/>
              <w:bottom w:val="single" w:sz="4" w:space="0" w:color="auto"/>
              <w:right w:val="nil"/>
            </w:tcBorders>
            <w:shd w:val="clear" w:color="auto" w:fill="auto"/>
            <w:noWrap/>
            <w:vAlign w:val="center"/>
            <w:hideMark/>
          </w:tcPr>
          <w:p w14:paraId="0943E51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777</w:t>
            </w:r>
          </w:p>
        </w:tc>
        <w:tc>
          <w:tcPr>
            <w:tcW w:w="992" w:type="dxa"/>
            <w:tcBorders>
              <w:top w:val="nil"/>
              <w:left w:val="nil"/>
              <w:bottom w:val="single" w:sz="4" w:space="0" w:color="auto"/>
              <w:right w:val="nil"/>
            </w:tcBorders>
            <w:shd w:val="clear" w:color="auto" w:fill="auto"/>
            <w:noWrap/>
            <w:vAlign w:val="center"/>
            <w:hideMark/>
          </w:tcPr>
          <w:p w14:paraId="0CB890D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1025</w:t>
            </w:r>
          </w:p>
        </w:tc>
        <w:tc>
          <w:tcPr>
            <w:tcW w:w="992" w:type="dxa"/>
            <w:tcBorders>
              <w:top w:val="nil"/>
              <w:left w:val="nil"/>
              <w:bottom w:val="single" w:sz="4" w:space="0" w:color="auto"/>
              <w:right w:val="nil"/>
            </w:tcBorders>
            <w:shd w:val="clear" w:color="auto" w:fill="auto"/>
            <w:noWrap/>
            <w:vAlign w:val="center"/>
            <w:hideMark/>
          </w:tcPr>
          <w:p w14:paraId="1F98D6F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single" w:sz="4" w:space="0" w:color="auto"/>
              <w:right w:val="nil"/>
            </w:tcBorders>
            <w:shd w:val="clear" w:color="auto" w:fill="auto"/>
            <w:noWrap/>
            <w:vAlign w:val="center"/>
            <w:hideMark/>
          </w:tcPr>
          <w:p w14:paraId="457B227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1431</w:t>
            </w:r>
          </w:p>
        </w:tc>
        <w:tc>
          <w:tcPr>
            <w:tcW w:w="1418" w:type="dxa"/>
            <w:tcBorders>
              <w:top w:val="nil"/>
              <w:left w:val="nil"/>
              <w:bottom w:val="single" w:sz="4" w:space="0" w:color="auto"/>
              <w:right w:val="nil"/>
            </w:tcBorders>
            <w:shd w:val="clear" w:color="auto" w:fill="auto"/>
            <w:noWrap/>
            <w:vAlign w:val="center"/>
            <w:hideMark/>
          </w:tcPr>
          <w:p w14:paraId="1FE6D2B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2.26</w:t>
            </w:r>
          </w:p>
        </w:tc>
        <w:tc>
          <w:tcPr>
            <w:tcW w:w="1275" w:type="dxa"/>
            <w:tcBorders>
              <w:top w:val="nil"/>
              <w:left w:val="nil"/>
              <w:bottom w:val="single" w:sz="4" w:space="0" w:color="auto"/>
              <w:right w:val="nil"/>
            </w:tcBorders>
            <w:shd w:val="clear" w:color="auto" w:fill="auto"/>
            <w:noWrap/>
            <w:vAlign w:val="center"/>
            <w:hideMark/>
          </w:tcPr>
          <w:p w14:paraId="752E0D3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977</w:t>
            </w:r>
          </w:p>
        </w:tc>
      </w:tr>
      <w:tr w:rsidR="00CB5F95" w:rsidRPr="000E2377" w14:paraId="311A8352" w14:textId="77777777" w:rsidTr="00CB5F95">
        <w:trPr>
          <w:trHeight w:val="300"/>
        </w:trPr>
        <w:tc>
          <w:tcPr>
            <w:tcW w:w="2140" w:type="dxa"/>
            <w:tcBorders>
              <w:top w:val="nil"/>
              <w:left w:val="nil"/>
              <w:bottom w:val="nil"/>
              <w:right w:val="nil"/>
            </w:tcBorders>
            <w:shd w:val="clear" w:color="auto" w:fill="auto"/>
            <w:vAlign w:val="center"/>
            <w:hideMark/>
          </w:tcPr>
          <w:p w14:paraId="29C68A99"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w:t>
            </w:r>
            <w:r>
              <w:rPr>
                <w:rFonts w:eastAsia="Times New Roman" w:cs="Times New Roman"/>
                <w:b w:val="0"/>
                <w:color w:val="000000"/>
                <w:sz w:val="20"/>
                <w:szCs w:val="20"/>
                <w:vertAlign w:val="subscript"/>
                <w:lang w:eastAsia="en-MY"/>
              </w:rPr>
              <w:t>0</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2.5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17.5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695" w:type="dxa"/>
            <w:tcBorders>
              <w:top w:val="nil"/>
              <w:left w:val="nil"/>
              <w:bottom w:val="nil"/>
              <w:right w:val="nil"/>
            </w:tcBorders>
            <w:shd w:val="clear" w:color="auto" w:fill="auto"/>
            <w:noWrap/>
            <w:vAlign w:val="center"/>
            <w:hideMark/>
          </w:tcPr>
          <w:p w14:paraId="40BFDA5D"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468</w:t>
            </w:r>
          </w:p>
        </w:tc>
        <w:tc>
          <w:tcPr>
            <w:tcW w:w="768" w:type="dxa"/>
            <w:tcBorders>
              <w:top w:val="nil"/>
              <w:left w:val="nil"/>
              <w:bottom w:val="nil"/>
              <w:right w:val="nil"/>
            </w:tcBorders>
            <w:shd w:val="clear" w:color="auto" w:fill="auto"/>
            <w:noWrap/>
            <w:vAlign w:val="center"/>
            <w:hideMark/>
          </w:tcPr>
          <w:p w14:paraId="1B28F6E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595</w:t>
            </w:r>
          </w:p>
        </w:tc>
        <w:tc>
          <w:tcPr>
            <w:tcW w:w="650" w:type="dxa"/>
            <w:tcBorders>
              <w:top w:val="nil"/>
              <w:left w:val="nil"/>
              <w:bottom w:val="nil"/>
              <w:right w:val="nil"/>
            </w:tcBorders>
            <w:shd w:val="clear" w:color="auto" w:fill="auto"/>
            <w:noWrap/>
            <w:vAlign w:val="center"/>
            <w:hideMark/>
          </w:tcPr>
          <w:p w14:paraId="0D94E2F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798</w:t>
            </w:r>
          </w:p>
        </w:tc>
        <w:tc>
          <w:tcPr>
            <w:tcW w:w="992" w:type="dxa"/>
            <w:tcBorders>
              <w:top w:val="nil"/>
              <w:left w:val="nil"/>
              <w:bottom w:val="nil"/>
              <w:right w:val="nil"/>
            </w:tcBorders>
            <w:shd w:val="clear" w:color="auto" w:fill="auto"/>
            <w:noWrap/>
            <w:vAlign w:val="center"/>
            <w:hideMark/>
          </w:tcPr>
          <w:p w14:paraId="23D32E6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1103</w:t>
            </w:r>
          </w:p>
        </w:tc>
        <w:tc>
          <w:tcPr>
            <w:tcW w:w="992" w:type="dxa"/>
            <w:tcBorders>
              <w:top w:val="nil"/>
              <w:left w:val="nil"/>
              <w:bottom w:val="nil"/>
              <w:right w:val="nil"/>
            </w:tcBorders>
            <w:shd w:val="clear" w:color="auto" w:fill="auto"/>
            <w:noWrap/>
            <w:vAlign w:val="center"/>
            <w:hideMark/>
          </w:tcPr>
          <w:p w14:paraId="77A768F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nil"/>
              <w:right w:val="nil"/>
            </w:tcBorders>
            <w:shd w:val="clear" w:color="auto" w:fill="auto"/>
            <w:noWrap/>
            <w:vAlign w:val="center"/>
            <w:hideMark/>
          </w:tcPr>
          <w:p w14:paraId="6C721C1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1416</w:t>
            </w:r>
          </w:p>
        </w:tc>
        <w:tc>
          <w:tcPr>
            <w:tcW w:w="1418" w:type="dxa"/>
            <w:tcBorders>
              <w:top w:val="nil"/>
              <w:left w:val="nil"/>
              <w:bottom w:val="nil"/>
              <w:right w:val="nil"/>
            </w:tcBorders>
            <w:shd w:val="clear" w:color="auto" w:fill="auto"/>
            <w:noWrap/>
            <w:vAlign w:val="center"/>
            <w:hideMark/>
          </w:tcPr>
          <w:p w14:paraId="70ABF105"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2.32</w:t>
            </w:r>
          </w:p>
        </w:tc>
        <w:tc>
          <w:tcPr>
            <w:tcW w:w="1275" w:type="dxa"/>
            <w:tcBorders>
              <w:top w:val="nil"/>
              <w:left w:val="nil"/>
              <w:bottom w:val="nil"/>
              <w:right w:val="nil"/>
            </w:tcBorders>
            <w:shd w:val="clear" w:color="auto" w:fill="auto"/>
            <w:noWrap/>
            <w:vAlign w:val="center"/>
            <w:hideMark/>
          </w:tcPr>
          <w:p w14:paraId="0F4A513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969</w:t>
            </w:r>
          </w:p>
        </w:tc>
      </w:tr>
      <w:tr w:rsidR="00CB5F95" w:rsidRPr="000E2377" w14:paraId="174426D9" w14:textId="77777777" w:rsidTr="00CB5F95">
        <w:trPr>
          <w:trHeight w:val="300"/>
        </w:trPr>
        <w:tc>
          <w:tcPr>
            <w:tcW w:w="2140" w:type="dxa"/>
            <w:tcBorders>
              <w:top w:val="nil"/>
              <w:left w:val="nil"/>
              <w:bottom w:val="nil"/>
              <w:right w:val="nil"/>
            </w:tcBorders>
            <w:shd w:val="clear" w:color="auto" w:fill="auto"/>
            <w:vAlign w:val="center"/>
            <w:hideMark/>
          </w:tcPr>
          <w:p w14:paraId="612CC08C"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w:t>
            </w:r>
            <w:r>
              <w:rPr>
                <w:rFonts w:eastAsia="Times New Roman" w:cs="Times New Roman"/>
                <w:b w:val="0"/>
                <w:color w:val="000000"/>
                <w:sz w:val="20"/>
                <w:szCs w:val="20"/>
                <w:vertAlign w:val="subscript"/>
                <w:lang w:eastAsia="en-MY"/>
              </w:rPr>
              <w:t>0</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695" w:type="dxa"/>
            <w:tcBorders>
              <w:top w:val="nil"/>
              <w:left w:val="nil"/>
              <w:bottom w:val="nil"/>
              <w:right w:val="nil"/>
            </w:tcBorders>
            <w:shd w:val="clear" w:color="auto" w:fill="auto"/>
            <w:noWrap/>
            <w:vAlign w:val="center"/>
            <w:hideMark/>
          </w:tcPr>
          <w:p w14:paraId="0CE399F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478</w:t>
            </w:r>
          </w:p>
        </w:tc>
        <w:tc>
          <w:tcPr>
            <w:tcW w:w="768" w:type="dxa"/>
            <w:tcBorders>
              <w:top w:val="nil"/>
              <w:left w:val="nil"/>
              <w:bottom w:val="nil"/>
              <w:right w:val="nil"/>
            </w:tcBorders>
            <w:shd w:val="clear" w:color="auto" w:fill="auto"/>
            <w:noWrap/>
            <w:vAlign w:val="center"/>
            <w:hideMark/>
          </w:tcPr>
          <w:p w14:paraId="12959FA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582</w:t>
            </w:r>
          </w:p>
        </w:tc>
        <w:tc>
          <w:tcPr>
            <w:tcW w:w="650" w:type="dxa"/>
            <w:tcBorders>
              <w:top w:val="nil"/>
              <w:left w:val="nil"/>
              <w:bottom w:val="nil"/>
              <w:right w:val="nil"/>
            </w:tcBorders>
            <w:shd w:val="clear" w:color="auto" w:fill="auto"/>
            <w:noWrap/>
            <w:vAlign w:val="center"/>
            <w:hideMark/>
          </w:tcPr>
          <w:p w14:paraId="111A68C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795</w:t>
            </w:r>
          </w:p>
        </w:tc>
        <w:tc>
          <w:tcPr>
            <w:tcW w:w="992" w:type="dxa"/>
            <w:tcBorders>
              <w:top w:val="nil"/>
              <w:left w:val="nil"/>
              <w:bottom w:val="nil"/>
              <w:right w:val="nil"/>
            </w:tcBorders>
            <w:shd w:val="clear" w:color="auto" w:fill="auto"/>
            <w:noWrap/>
            <w:vAlign w:val="center"/>
            <w:hideMark/>
          </w:tcPr>
          <w:p w14:paraId="3D31E94A"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1085</w:t>
            </w:r>
          </w:p>
        </w:tc>
        <w:tc>
          <w:tcPr>
            <w:tcW w:w="992" w:type="dxa"/>
            <w:tcBorders>
              <w:top w:val="nil"/>
              <w:left w:val="nil"/>
              <w:bottom w:val="nil"/>
              <w:right w:val="nil"/>
            </w:tcBorders>
            <w:shd w:val="clear" w:color="auto" w:fill="auto"/>
            <w:noWrap/>
            <w:vAlign w:val="center"/>
            <w:hideMark/>
          </w:tcPr>
          <w:p w14:paraId="3ECF9DAA"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nil"/>
              <w:right w:val="nil"/>
            </w:tcBorders>
            <w:shd w:val="clear" w:color="auto" w:fill="auto"/>
            <w:noWrap/>
            <w:vAlign w:val="center"/>
            <w:hideMark/>
          </w:tcPr>
          <w:p w14:paraId="3DE05E2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1422</w:t>
            </w:r>
          </w:p>
        </w:tc>
        <w:tc>
          <w:tcPr>
            <w:tcW w:w="1418" w:type="dxa"/>
            <w:tcBorders>
              <w:top w:val="nil"/>
              <w:left w:val="nil"/>
              <w:bottom w:val="nil"/>
              <w:right w:val="nil"/>
            </w:tcBorders>
            <w:shd w:val="clear" w:color="auto" w:fill="auto"/>
            <w:noWrap/>
            <w:vAlign w:val="center"/>
            <w:hideMark/>
          </w:tcPr>
          <w:p w14:paraId="63898889"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2.37</w:t>
            </w:r>
          </w:p>
        </w:tc>
        <w:tc>
          <w:tcPr>
            <w:tcW w:w="1275" w:type="dxa"/>
            <w:tcBorders>
              <w:top w:val="nil"/>
              <w:left w:val="nil"/>
              <w:bottom w:val="nil"/>
              <w:right w:val="nil"/>
            </w:tcBorders>
            <w:shd w:val="clear" w:color="auto" w:fill="auto"/>
            <w:noWrap/>
            <w:vAlign w:val="center"/>
            <w:hideMark/>
          </w:tcPr>
          <w:p w14:paraId="2E47E5B5"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954</w:t>
            </w:r>
          </w:p>
        </w:tc>
      </w:tr>
      <w:tr w:rsidR="00CB5F95" w:rsidRPr="000E2377" w14:paraId="663FA8DF" w14:textId="77777777" w:rsidTr="00CB5F95">
        <w:trPr>
          <w:trHeight w:val="300"/>
        </w:trPr>
        <w:tc>
          <w:tcPr>
            <w:tcW w:w="2140" w:type="dxa"/>
            <w:tcBorders>
              <w:top w:val="nil"/>
              <w:left w:val="nil"/>
              <w:bottom w:val="single" w:sz="4" w:space="0" w:color="auto"/>
              <w:right w:val="nil"/>
            </w:tcBorders>
            <w:shd w:val="clear" w:color="auto" w:fill="auto"/>
            <w:vAlign w:val="center"/>
            <w:hideMark/>
          </w:tcPr>
          <w:p w14:paraId="2C93215C"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w:t>
            </w:r>
            <w:r>
              <w:rPr>
                <w:rFonts w:eastAsia="Times New Roman" w:cs="Times New Roman"/>
                <w:b w:val="0"/>
                <w:color w:val="000000"/>
                <w:sz w:val="20"/>
                <w:szCs w:val="20"/>
                <w:vertAlign w:val="subscript"/>
                <w:lang w:eastAsia="en-MY"/>
              </w:rPr>
              <w:t>0</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7.5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12.5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w:t>
            </w:r>
          </w:p>
        </w:tc>
        <w:tc>
          <w:tcPr>
            <w:tcW w:w="695" w:type="dxa"/>
            <w:tcBorders>
              <w:top w:val="nil"/>
              <w:left w:val="nil"/>
              <w:bottom w:val="single" w:sz="4" w:space="0" w:color="auto"/>
              <w:right w:val="nil"/>
            </w:tcBorders>
            <w:shd w:val="clear" w:color="auto" w:fill="auto"/>
            <w:noWrap/>
            <w:vAlign w:val="center"/>
            <w:hideMark/>
          </w:tcPr>
          <w:p w14:paraId="237387B0"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489</w:t>
            </w:r>
          </w:p>
        </w:tc>
        <w:tc>
          <w:tcPr>
            <w:tcW w:w="768" w:type="dxa"/>
            <w:tcBorders>
              <w:top w:val="nil"/>
              <w:left w:val="nil"/>
              <w:bottom w:val="single" w:sz="4" w:space="0" w:color="auto"/>
              <w:right w:val="nil"/>
            </w:tcBorders>
            <w:shd w:val="clear" w:color="auto" w:fill="auto"/>
            <w:noWrap/>
            <w:vAlign w:val="center"/>
            <w:hideMark/>
          </w:tcPr>
          <w:p w14:paraId="2229266F"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584</w:t>
            </w:r>
          </w:p>
        </w:tc>
        <w:tc>
          <w:tcPr>
            <w:tcW w:w="650" w:type="dxa"/>
            <w:tcBorders>
              <w:top w:val="nil"/>
              <w:left w:val="nil"/>
              <w:bottom w:val="single" w:sz="4" w:space="0" w:color="auto"/>
              <w:right w:val="nil"/>
            </w:tcBorders>
            <w:shd w:val="clear" w:color="auto" w:fill="auto"/>
            <w:noWrap/>
            <w:vAlign w:val="center"/>
            <w:hideMark/>
          </w:tcPr>
          <w:p w14:paraId="1FB42C5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789</w:t>
            </w:r>
          </w:p>
        </w:tc>
        <w:tc>
          <w:tcPr>
            <w:tcW w:w="992" w:type="dxa"/>
            <w:tcBorders>
              <w:top w:val="nil"/>
              <w:left w:val="nil"/>
              <w:bottom w:val="single" w:sz="4" w:space="0" w:color="auto"/>
              <w:right w:val="nil"/>
            </w:tcBorders>
            <w:shd w:val="clear" w:color="auto" w:fill="auto"/>
            <w:noWrap/>
            <w:vAlign w:val="center"/>
            <w:hideMark/>
          </w:tcPr>
          <w:p w14:paraId="5E15F26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1031</w:t>
            </w:r>
          </w:p>
        </w:tc>
        <w:tc>
          <w:tcPr>
            <w:tcW w:w="992" w:type="dxa"/>
            <w:tcBorders>
              <w:top w:val="nil"/>
              <w:left w:val="nil"/>
              <w:bottom w:val="single" w:sz="4" w:space="0" w:color="auto"/>
              <w:right w:val="nil"/>
            </w:tcBorders>
            <w:shd w:val="clear" w:color="auto" w:fill="auto"/>
            <w:noWrap/>
            <w:vAlign w:val="center"/>
            <w:hideMark/>
          </w:tcPr>
          <w:p w14:paraId="0B01295F"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single" w:sz="4" w:space="0" w:color="auto"/>
              <w:right w:val="nil"/>
            </w:tcBorders>
            <w:shd w:val="clear" w:color="auto" w:fill="auto"/>
            <w:noWrap/>
            <w:vAlign w:val="center"/>
            <w:hideMark/>
          </w:tcPr>
          <w:p w14:paraId="469CCDB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1429</w:t>
            </w:r>
          </w:p>
        </w:tc>
        <w:tc>
          <w:tcPr>
            <w:tcW w:w="1418" w:type="dxa"/>
            <w:tcBorders>
              <w:top w:val="nil"/>
              <w:left w:val="nil"/>
              <w:bottom w:val="single" w:sz="4" w:space="0" w:color="auto"/>
              <w:right w:val="nil"/>
            </w:tcBorders>
            <w:shd w:val="clear" w:color="auto" w:fill="auto"/>
            <w:noWrap/>
            <w:vAlign w:val="center"/>
            <w:hideMark/>
          </w:tcPr>
          <w:p w14:paraId="088CEC2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1.72</w:t>
            </w:r>
          </w:p>
        </w:tc>
        <w:tc>
          <w:tcPr>
            <w:tcW w:w="1275" w:type="dxa"/>
            <w:tcBorders>
              <w:top w:val="nil"/>
              <w:left w:val="nil"/>
              <w:bottom w:val="single" w:sz="4" w:space="0" w:color="auto"/>
              <w:right w:val="nil"/>
            </w:tcBorders>
            <w:shd w:val="clear" w:color="auto" w:fill="auto"/>
            <w:noWrap/>
            <w:vAlign w:val="center"/>
            <w:hideMark/>
          </w:tcPr>
          <w:p w14:paraId="214B7120"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951</w:t>
            </w:r>
          </w:p>
        </w:tc>
      </w:tr>
      <w:tr w:rsidR="00CB5F95" w:rsidRPr="000E2377" w14:paraId="3125F1DC" w14:textId="77777777" w:rsidTr="00CB5F95">
        <w:trPr>
          <w:trHeight w:val="300"/>
        </w:trPr>
        <w:tc>
          <w:tcPr>
            <w:tcW w:w="2140" w:type="dxa"/>
            <w:tcBorders>
              <w:top w:val="nil"/>
              <w:left w:val="nil"/>
              <w:bottom w:val="nil"/>
              <w:right w:val="nil"/>
            </w:tcBorders>
            <w:shd w:val="clear" w:color="auto" w:fill="auto"/>
            <w:vAlign w:val="center"/>
            <w:hideMark/>
          </w:tcPr>
          <w:p w14:paraId="333E6175"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w:t>
            </w:r>
            <w:r>
              <w:rPr>
                <w:rFonts w:eastAsia="Times New Roman" w:cs="Times New Roman"/>
                <w:b w:val="0"/>
                <w:color w:val="000000"/>
                <w:sz w:val="20"/>
                <w:szCs w:val="20"/>
                <w:vertAlign w:val="subscript"/>
                <w:lang w:eastAsia="en-MY"/>
              </w:rPr>
              <w:t>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2.5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75.5</w:t>
            </w:r>
          </w:p>
        </w:tc>
        <w:tc>
          <w:tcPr>
            <w:tcW w:w="695" w:type="dxa"/>
            <w:tcBorders>
              <w:top w:val="nil"/>
              <w:left w:val="nil"/>
              <w:bottom w:val="nil"/>
              <w:right w:val="nil"/>
            </w:tcBorders>
            <w:shd w:val="clear" w:color="auto" w:fill="auto"/>
            <w:noWrap/>
            <w:vAlign w:val="center"/>
            <w:hideMark/>
          </w:tcPr>
          <w:p w14:paraId="7B2D954D"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483</w:t>
            </w:r>
          </w:p>
        </w:tc>
        <w:tc>
          <w:tcPr>
            <w:tcW w:w="768" w:type="dxa"/>
            <w:tcBorders>
              <w:top w:val="nil"/>
              <w:left w:val="nil"/>
              <w:bottom w:val="nil"/>
              <w:right w:val="nil"/>
            </w:tcBorders>
            <w:shd w:val="clear" w:color="auto" w:fill="auto"/>
            <w:noWrap/>
            <w:vAlign w:val="center"/>
            <w:hideMark/>
          </w:tcPr>
          <w:p w14:paraId="1EC595F9"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630</w:t>
            </w:r>
          </w:p>
        </w:tc>
        <w:tc>
          <w:tcPr>
            <w:tcW w:w="650" w:type="dxa"/>
            <w:tcBorders>
              <w:top w:val="nil"/>
              <w:left w:val="nil"/>
              <w:bottom w:val="nil"/>
              <w:right w:val="nil"/>
            </w:tcBorders>
            <w:shd w:val="clear" w:color="auto" w:fill="auto"/>
            <w:noWrap/>
            <w:vAlign w:val="center"/>
            <w:hideMark/>
          </w:tcPr>
          <w:p w14:paraId="1D17339F"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794</w:t>
            </w:r>
          </w:p>
        </w:tc>
        <w:tc>
          <w:tcPr>
            <w:tcW w:w="992" w:type="dxa"/>
            <w:tcBorders>
              <w:top w:val="nil"/>
              <w:left w:val="nil"/>
              <w:bottom w:val="nil"/>
              <w:right w:val="nil"/>
            </w:tcBorders>
            <w:shd w:val="clear" w:color="auto" w:fill="auto"/>
            <w:noWrap/>
            <w:vAlign w:val="center"/>
            <w:hideMark/>
          </w:tcPr>
          <w:p w14:paraId="1E241D27"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1063</w:t>
            </w:r>
          </w:p>
        </w:tc>
        <w:tc>
          <w:tcPr>
            <w:tcW w:w="992" w:type="dxa"/>
            <w:tcBorders>
              <w:top w:val="nil"/>
              <w:left w:val="nil"/>
              <w:bottom w:val="nil"/>
              <w:right w:val="nil"/>
            </w:tcBorders>
            <w:shd w:val="clear" w:color="auto" w:fill="auto"/>
            <w:noWrap/>
            <w:vAlign w:val="center"/>
            <w:hideMark/>
          </w:tcPr>
          <w:p w14:paraId="6A7F121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nil"/>
              <w:right w:val="nil"/>
            </w:tcBorders>
            <w:shd w:val="clear" w:color="auto" w:fill="auto"/>
            <w:noWrap/>
            <w:vAlign w:val="center"/>
            <w:hideMark/>
          </w:tcPr>
          <w:p w14:paraId="27E6140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1428</w:t>
            </w:r>
          </w:p>
        </w:tc>
        <w:tc>
          <w:tcPr>
            <w:tcW w:w="1418" w:type="dxa"/>
            <w:tcBorders>
              <w:top w:val="nil"/>
              <w:left w:val="nil"/>
              <w:bottom w:val="nil"/>
              <w:right w:val="nil"/>
            </w:tcBorders>
            <w:shd w:val="clear" w:color="auto" w:fill="auto"/>
            <w:noWrap/>
            <w:vAlign w:val="center"/>
            <w:hideMark/>
          </w:tcPr>
          <w:p w14:paraId="409A832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2.13</w:t>
            </w:r>
          </w:p>
        </w:tc>
        <w:tc>
          <w:tcPr>
            <w:tcW w:w="1275" w:type="dxa"/>
            <w:tcBorders>
              <w:top w:val="nil"/>
              <w:left w:val="nil"/>
              <w:bottom w:val="nil"/>
              <w:right w:val="nil"/>
            </w:tcBorders>
            <w:shd w:val="clear" w:color="auto" w:fill="auto"/>
            <w:noWrap/>
            <w:vAlign w:val="center"/>
            <w:hideMark/>
          </w:tcPr>
          <w:p w14:paraId="02A5E3EF"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1013</w:t>
            </w:r>
          </w:p>
        </w:tc>
      </w:tr>
      <w:tr w:rsidR="00CB5F95" w:rsidRPr="000E2377" w14:paraId="463999BA" w14:textId="77777777" w:rsidTr="00CB5F95">
        <w:trPr>
          <w:trHeight w:val="300"/>
        </w:trPr>
        <w:tc>
          <w:tcPr>
            <w:tcW w:w="2140" w:type="dxa"/>
            <w:tcBorders>
              <w:top w:val="nil"/>
              <w:left w:val="nil"/>
              <w:bottom w:val="nil"/>
              <w:right w:val="nil"/>
            </w:tcBorders>
            <w:shd w:val="clear" w:color="auto" w:fill="auto"/>
            <w:vAlign w:val="center"/>
            <w:hideMark/>
          </w:tcPr>
          <w:p w14:paraId="17BC5AF2"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w:t>
            </w:r>
            <w:r>
              <w:rPr>
                <w:rFonts w:eastAsia="Times New Roman" w:cs="Times New Roman"/>
                <w:b w:val="0"/>
                <w:color w:val="000000"/>
                <w:sz w:val="20"/>
                <w:szCs w:val="20"/>
                <w:vertAlign w:val="subscript"/>
                <w:lang w:eastAsia="en-MY"/>
              </w:rPr>
              <w:t>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73</w:t>
            </w:r>
          </w:p>
        </w:tc>
        <w:tc>
          <w:tcPr>
            <w:tcW w:w="695" w:type="dxa"/>
            <w:tcBorders>
              <w:top w:val="nil"/>
              <w:left w:val="nil"/>
              <w:bottom w:val="nil"/>
              <w:right w:val="nil"/>
            </w:tcBorders>
            <w:shd w:val="clear" w:color="auto" w:fill="auto"/>
            <w:noWrap/>
            <w:vAlign w:val="center"/>
            <w:hideMark/>
          </w:tcPr>
          <w:p w14:paraId="2FF9AE1D"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451</w:t>
            </w:r>
          </w:p>
        </w:tc>
        <w:tc>
          <w:tcPr>
            <w:tcW w:w="768" w:type="dxa"/>
            <w:tcBorders>
              <w:top w:val="nil"/>
              <w:left w:val="nil"/>
              <w:bottom w:val="nil"/>
              <w:right w:val="nil"/>
            </w:tcBorders>
            <w:shd w:val="clear" w:color="auto" w:fill="auto"/>
            <w:noWrap/>
            <w:vAlign w:val="center"/>
            <w:hideMark/>
          </w:tcPr>
          <w:p w14:paraId="18994AD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630</w:t>
            </w:r>
          </w:p>
        </w:tc>
        <w:tc>
          <w:tcPr>
            <w:tcW w:w="650" w:type="dxa"/>
            <w:tcBorders>
              <w:top w:val="nil"/>
              <w:left w:val="nil"/>
              <w:bottom w:val="nil"/>
              <w:right w:val="nil"/>
            </w:tcBorders>
            <w:shd w:val="clear" w:color="auto" w:fill="auto"/>
            <w:noWrap/>
            <w:vAlign w:val="center"/>
            <w:hideMark/>
          </w:tcPr>
          <w:p w14:paraId="4BD96F80"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797</w:t>
            </w:r>
          </w:p>
        </w:tc>
        <w:tc>
          <w:tcPr>
            <w:tcW w:w="992" w:type="dxa"/>
            <w:tcBorders>
              <w:top w:val="nil"/>
              <w:left w:val="nil"/>
              <w:bottom w:val="nil"/>
              <w:right w:val="nil"/>
            </w:tcBorders>
            <w:shd w:val="clear" w:color="auto" w:fill="auto"/>
            <w:noWrap/>
            <w:vAlign w:val="center"/>
            <w:hideMark/>
          </w:tcPr>
          <w:p w14:paraId="6F97675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1069</w:t>
            </w:r>
          </w:p>
        </w:tc>
        <w:tc>
          <w:tcPr>
            <w:tcW w:w="992" w:type="dxa"/>
            <w:tcBorders>
              <w:top w:val="nil"/>
              <w:left w:val="nil"/>
              <w:bottom w:val="nil"/>
              <w:right w:val="nil"/>
            </w:tcBorders>
            <w:shd w:val="clear" w:color="auto" w:fill="auto"/>
            <w:noWrap/>
            <w:vAlign w:val="center"/>
            <w:hideMark/>
          </w:tcPr>
          <w:p w14:paraId="1E63D59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nil"/>
              <w:right w:val="nil"/>
            </w:tcBorders>
            <w:shd w:val="clear" w:color="auto" w:fill="auto"/>
            <w:noWrap/>
            <w:vAlign w:val="center"/>
            <w:hideMark/>
          </w:tcPr>
          <w:p w14:paraId="7705ADD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1465</w:t>
            </w:r>
          </w:p>
        </w:tc>
        <w:tc>
          <w:tcPr>
            <w:tcW w:w="1418" w:type="dxa"/>
            <w:tcBorders>
              <w:top w:val="nil"/>
              <w:left w:val="nil"/>
              <w:bottom w:val="nil"/>
              <w:right w:val="nil"/>
            </w:tcBorders>
            <w:shd w:val="clear" w:color="auto" w:fill="auto"/>
            <w:noWrap/>
            <w:vAlign w:val="center"/>
            <w:hideMark/>
          </w:tcPr>
          <w:p w14:paraId="2FEADC7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2.00</w:t>
            </w:r>
          </w:p>
        </w:tc>
        <w:tc>
          <w:tcPr>
            <w:tcW w:w="1275" w:type="dxa"/>
            <w:tcBorders>
              <w:top w:val="nil"/>
              <w:left w:val="nil"/>
              <w:bottom w:val="nil"/>
              <w:right w:val="nil"/>
            </w:tcBorders>
            <w:shd w:val="clear" w:color="auto" w:fill="auto"/>
            <w:noWrap/>
            <w:vAlign w:val="center"/>
            <w:hideMark/>
          </w:tcPr>
          <w:p w14:paraId="601950B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1008</w:t>
            </w:r>
          </w:p>
        </w:tc>
      </w:tr>
      <w:tr w:rsidR="00CB5F95" w:rsidRPr="000E2377" w14:paraId="6B9CD5E6" w14:textId="77777777" w:rsidTr="00CB5F95">
        <w:trPr>
          <w:trHeight w:val="300"/>
        </w:trPr>
        <w:tc>
          <w:tcPr>
            <w:tcW w:w="2140" w:type="dxa"/>
            <w:tcBorders>
              <w:top w:val="nil"/>
              <w:left w:val="nil"/>
              <w:bottom w:val="single" w:sz="4" w:space="0" w:color="auto"/>
              <w:right w:val="nil"/>
            </w:tcBorders>
            <w:shd w:val="clear" w:color="auto" w:fill="auto"/>
            <w:vAlign w:val="center"/>
            <w:hideMark/>
          </w:tcPr>
          <w:p w14:paraId="2ACB3EFA"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w:t>
            </w:r>
            <w:r>
              <w:rPr>
                <w:rFonts w:eastAsia="Times New Roman" w:cs="Times New Roman"/>
                <w:b w:val="0"/>
                <w:color w:val="000000"/>
                <w:sz w:val="20"/>
                <w:szCs w:val="20"/>
                <w:vertAlign w:val="subscript"/>
                <w:lang w:eastAsia="en-MY"/>
              </w:rPr>
              <w:t>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7.5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70.5</w:t>
            </w:r>
          </w:p>
        </w:tc>
        <w:tc>
          <w:tcPr>
            <w:tcW w:w="695" w:type="dxa"/>
            <w:tcBorders>
              <w:top w:val="nil"/>
              <w:left w:val="nil"/>
              <w:bottom w:val="single" w:sz="4" w:space="0" w:color="auto"/>
              <w:right w:val="nil"/>
            </w:tcBorders>
            <w:shd w:val="clear" w:color="auto" w:fill="auto"/>
            <w:noWrap/>
            <w:vAlign w:val="center"/>
            <w:hideMark/>
          </w:tcPr>
          <w:p w14:paraId="523BBE75"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496</w:t>
            </w:r>
          </w:p>
        </w:tc>
        <w:tc>
          <w:tcPr>
            <w:tcW w:w="768" w:type="dxa"/>
            <w:tcBorders>
              <w:top w:val="nil"/>
              <w:left w:val="nil"/>
              <w:bottom w:val="single" w:sz="4" w:space="0" w:color="auto"/>
              <w:right w:val="nil"/>
            </w:tcBorders>
            <w:shd w:val="clear" w:color="auto" w:fill="auto"/>
            <w:noWrap/>
            <w:vAlign w:val="center"/>
            <w:hideMark/>
          </w:tcPr>
          <w:p w14:paraId="59066CD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630</w:t>
            </w:r>
          </w:p>
        </w:tc>
        <w:tc>
          <w:tcPr>
            <w:tcW w:w="650" w:type="dxa"/>
            <w:tcBorders>
              <w:top w:val="nil"/>
              <w:left w:val="nil"/>
              <w:bottom w:val="single" w:sz="4" w:space="0" w:color="auto"/>
              <w:right w:val="nil"/>
            </w:tcBorders>
            <w:shd w:val="clear" w:color="auto" w:fill="auto"/>
            <w:noWrap/>
            <w:vAlign w:val="center"/>
            <w:hideMark/>
          </w:tcPr>
          <w:p w14:paraId="668A41E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810</w:t>
            </w:r>
          </w:p>
        </w:tc>
        <w:tc>
          <w:tcPr>
            <w:tcW w:w="992" w:type="dxa"/>
            <w:tcBorders>
              <w:top w:val="nil"/>
              <w:left w:val="nil"/>
              <w:bottom w:val="single" w:sz="4" w:space="0" w:color="auto"/>
              <w:right w:val="nil"/>
            </w:tcBorders>
            <w:shd w:val="clear" w:color="auto" w:fill="auto"/>
            <w:noWrap/>
            <w:vAlign w:val="center"/>
            <w:hideMark/>
          </w:tcPr>
          <w:p w14:paraId="610E436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1072</w:t>
            </w:r>
          </w:p>
        </w:tc>
        <w:tc>
          <w:tcPr>
            <w:tcW w:w="992" w:type="dxa"/>
            <w:tcBorders>
              <w:top w:val="nil"/>
              <w:left w:val="nil"/>
              <w:bottom w:val="single" w:sz="4" w:space="0" w:color="auto"/>
              <w:right w:val="nil"/>
            </w:tcBorders>
            <w:shd w:val="clear" w:color="auto" w:fill="auto"/>
            <w:noWrap/>
            <w:vAlign w:val="center"/>
            <w:hideMark/>
          </w:tcPr>
          <w:p w14:paraId="7B3CD17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997</w:t>
            </w:r>
          </w:p>
        </w:tc>
        <w:tc>
          <w:tcPr>
            <w:tcW w:w="1276" w:type="dxa"/>
            <w:tcBorders>
              <w:top w:val="nil"/>
              <w:left w:val="nil"/>
              <w:bottom w:val="single" w:sz="4" w:space="0" w:color="auto"/>
              <w:right w:val="nil"/>
            </w:tcBorders>
            <w:shd w:val="clear" w:color="auto" w:fill="auto"/>
            <w:noWrap/>
            <w:vAlign w:val="center"/>
            <w:hideMark/>
          </w:tcPr>
          <w:p w14:paraId="673D60AE"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1435</w:t>
            </w:r>
          </w:p>
        </w:tc>
        <w:tc>
          <w:tcPr>
            <w:tcW w:w="1418" w:type="dxa"/>
            <w:tcBorders>
              <w:top w:val="nil"/>
              <w:left w:val="nil"/>
              <w:bottom w:val="single" w:sz="4" w:space="0" w:color="auto"/>
              <w:right w:val="nil"/>
            </w:tcBorders>
            <w:shd w:val="clear" w:color="auto" w:fill="auto"/>
            <w:noWrap/>
            <w:vAlign w:val="center"/>
            <w:hideMark/>
          </w:tcPr>
          <w:p w14:paraId="38B2DCEF"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1.47</w:t>
            </w:r>
          </w:p>
        </w:tc>
        <w:tc>
          <w:tcPr>
            <w:tcW w:w="1275" w:type="dxa"/>
            <w:tcBorders>
              <w:top w:val="nil"/>
              <w:left w:val="nil"/>
              <w:bottom w:val="single" w:sz="4" w:space="0" w:color="auto"/>
              <w:right w:val="nil"/>
            </w:tcBorders>
            <w:shd w:val="clear" w:color="auto" w:fill="auto"/>
            <w:noWrap/>
            <w:vAlign w:val="center"/>
            <w:hideMark/>
          </w:tcPr>
          <w:p w14:paraId="40D2A1FA"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999</w:t>
            </w:r>
          </w:p>
        </w:tc>
      </w:tr>
      <w:tr w:rsidR="00CB5F95" w:rsidRPr="000E2377" w14:paraId="67CAE2EB" w14:textId="77777777" w:rsidTr="00CB5F95">
        <w:trPr>
          <w:trHeight w:val="300"/>
        </w:trPr>
        <w:tc>
          <w:tcPr>
            <w:tcW w:w="2140" w:type="dxa"/>
            <w:tcBorders>
              <w:top w:val="nil"/>
              <w:left w:val="nil"/>
              <w:bottom w:val="nil"/>
              <w:right w:val="nil"/>
            </w:tcBorders>
            <w:shd w:val="clear" w:color="auto" w:fill="auto"/>
            <w:vAlign w:val="center"/>
            <w:hideMark/>
          </w:tcPr>
          <w:p w14:paraId="7AC6CFD6"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7.5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65.5</w:t>
            </w:r>
          </w:p>
        </w:tc>
        <w:tc>
          <w:tcPr>
            <w:tcW w:w="695" w:type="dxa"/>
            <w:tcBorders>
              <w:top w:val="nil"/>
              <w:left w:val="nil"/>
              <w:bottom w:val="nil"/>
              <w:right w:val="nil"/>
            </w:tcBorders>
            <w:shd w:val="clear" w:color="auto" w:fill="auto"/>
            <w:noWrap/>
            <w:vAlign w:val="center"/>
            <w:hideMark/>
          </w:tcPr>
          <w:p w14:paraId="38204B8A"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531</w:t>
            </w:r>
          </w:p>
        </w:tc>
        <w:tc>
          <w:tcPr>
            <w:tcW w:w="768" w:type="dxa"/>
            <w:tcBorders>
              <w:top w:val="nil"/>
              <w:left w:val="nil"/>
              <w:bottom w:val="nil"/>
              <w:right w:val="nil"/>
            </w:tcBorders>
            <w:shd w:val="clear" w:color="auto" w:fill="auto"/>
            <w:noWrap/>
            <w:vAlign w:val="center"/>
            <w:hideMark/>
          </w:tcPr>
          <w:p w14:paraId="49FEBE4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630</w:t>
            </w:r>
          </w:p>
        </w:tc>
        <w:tc>
          <w:tcPr>
            <w:tcW w:w="650" w:type="dxa"/>
            <w:tcBorders>
              <w:top w:val="nil"/>
              <w:left w:val="nil"/>
              <w:bottom w:val="nil"/>
              <w:right w:val="nil"/>
            </w:tcBorders>
            <w:shd w:val="clear" w:color="auto" w:fill="auto"/>
            <w:noWrap/>
            <w:vAlign w:val="center"/>
            <w:hideMark/>
          </w:tcPr>
          <w:p w14:paraId="4CD69F2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794</w:t>
            </w:r>
          </w:p>
        </w:tc>
        <w:tc>
          <w:tcPr>
            <w:tcW w:w="992" w:type="dxa"/>
            <w:tcBorders>
              <w:top w:val="nil"/>
              <w:left w:val="nil"/>
              <w:bottom w:val="nil"/>
              <w:right w:val="nil"/>
            </w:tcBorders>
            <w:shd w:val="clear" w:color="auto" w:fill="auto"/>
            <w:noWrap/>
            <w:vAlign w:val="center"/>
            <w:hideMark/>
          </w:tcPr>
          <w:p w14:paraId="60A3A00F"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1079</w:t>
            </w:r>
          </w:p>
        </w:tc>
        <w:tc>
          <w:tcPr>
            <w:tcW w:w="992" w:type="dxa"/>
            <w:tcBorders>
              <w:top w:val="nil"/>
              <w:left w:val="nil"/>
              <w:bottom w:val="nil"/>
              <w:right w:val="nil"/>
            </w:tcBorders>
            <w:shd w:val="clear" w:color="auto" w:fill="auto"/>
            <w:noWrap/>
            <w:vAlign w:val="center"/>
            <w:hideMark/>
          </w:tcPr>
          <w:p w14:paraId="00404EF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991</w:t>
            </w:r>
          </w:p>
        </w:tc>
        <w:tc>
          <w:tcPr>
            <w:tcW w:w="1276" w:type="dxa"/>
            <w:tcBorders>
              <w:top w:val="nil"/>
              <w:left w:val="nil"/>
              <w:bottom w:val="nil"/>
              <w:right w:val="nil"/>
            </w:tcBorders>
            <w:shd w:val="clear" w:color="auto" w:fill="auto"/>
            <w:noWrap/>
            <w:vAlign w:val="center"/>
            <w:hideMark/>
          </w:tcPr>
          <w:p w14:paraId="3E21582E"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1442</w:t>
            </w:r>
          </w:p>
        </w:tc>
        <w:tc>
          <w:tcPr>
            <w:tcW w:w="1418" w:type="dxa"/>
            <w:tcBorders>
              <w:top w:val="nil"/>
              <w:left w:val="nil"/>
              <w:bottom w:val="nil"/>
              <w:right w:val="nil"/>
            </w:tcBorders>
            <w:shd w:val="clear" w:color="auto" w:fill="auto"/>
            <w:noWrap/>
            <w:vAlign w:val="center"/>
            <w:hideMark/>
          </w:tcPr>
          <w:p w14:paraId="2040B46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0.87</w:t>
            </w:r>
          </w:p>
        </w:tc>
        <w:tc>
          <w:tcPr>
            <w:tcW w:w="1275" w:type="dxa"/>
            <w:tcBorders>
              <w:top w:val="nil"/>
              <w:left w:val="nil"/>
              <w:bottom w:val="nil"/>
              <w:right w:val="nil"/>
            </w:tcBorders>
            <w:shd w:val="clear" w:color="auto" w:fill="auto"/>
            <w:noWrap/>
            <w:vAlign w:val="center"/>
            <w:hideMark/>
          </w:tcPr>
          <w:p w14:paraId="6D54C307"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973</w:t>
            </w:r>
          </w:p>
        </w:tc>
      </w:tr>
      <w:tr w:rsidR="00CB5F95" w:rsidRPr="000E2377" w14:paraId="3848AF87" w14:textId="77777777" w:rsidTr="00CB5F95">
        <w:trPr>
          <w:trHeight w:val="300"/>
        </w:trPr>
        <w:tc>
          <w:tcPr>
            <w:tcW w:w="2140" w:type="dxa"/>
            <w:tcBorders>
              <w:top w:val="nil"/>
              <w:left w:val="nil"/>
              <w:bottom w:val="nil"/>
              <w:right w:val="nil"/>
            </w:tcBorders>
            <w:shd w:val="clear" w:color="auto" w:fill="auto"/>
            <w:vAlign w:val="center"/>
            <w:hideMark/>
          </w:tcPr>
          <w:p w14:paraId="6D70497B"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63</w:t>
            </w:r>
          </w:p>
        </w:tc>
        <w:tc>
          <w:tcPr>
            <w:tcW w:w="695" w:type="dxa"/>
            <w:tcBorders>
              <w:top w:val="nil"/>
              <w:left w:val="nil"/>
              <w:bottom w:val="nil"/>
              <w:right w:val="nil"/>
            </w:tcBorders>
            <w:shd w:val="clear" w:color="auto" w:fill="auto"/>
            <w:noWrap/>
            <w:vAlign w:val="center"/>
            <w:hideMark/>
          </w:tcPr>
          <w:p w14:paraId="07BFD40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519</w:t>
            </w:r>
          </w:p>
        </w:tc>
        <w:tc>
          <w:tcPr>
            <w:tcW w:w="768" w:type="dxa"/>
            <w:tcBorders>
              <w:top w:val="nil"/>
              <w:left w:val="nil"/>
              <w:bottom w:val="nil"/>
              <w:right w:val="nil"/>
            </w:tcBorders>
            <w:shd w:val="clear" w:color="auto" w:fill="auto"/>
            <w:noWrap/>
            <w:vAlign w:val="center"/>
            <w:hideMark/>
          </w:tcPr>
          <w:p w14:paraId="65367440"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630</w:t>
            </w:r>
          </w:p>
        </w:tc>
        <w:tc>
          <w:tcPr>
            <w:tcW w:w="650" w:type="dxa"/>
            <w:tcBorders>
              <w:top w:val="nil"/>
              <w:left w:val="nil"/>
              <w:bottom w:val="nil"/>
              <w:right w:val="nil"/>
            </w:tcBorders>
            <w:shd w:val="clear" w:color="auto" w:fill="auto"/>
            <w:noWrap/>
            <w:vAlign w:val="center"/>
            <w:hideMark/>
          </w:tcPr>
          <w:p w14:paraId="75169550"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784</w:t>
            </w:r>
          </w:p>
        </w:tc>
        <w:tc>
          <w:tcPr>
            <w:tcW w:w="992" w:type="dxa"/>
            <w:tcBorders>
              <w:top w:val="nil"/>
              <w:left w:val="nil"/>
              <w:bottom w:val="nil"/>
              <w:right w:val="nil"/>
            </w:tcBorders>
            <w:shd w:val="clear" w:color="auto" w:fill="auto"/>
            <w:noWrap/>
            <w:vAlign w:val="center"/>
            <w:hideMark/>
          </w:tcPr>
          <w:p w14:paraId="7E6B04A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1079</w:t>
            </w:r>
          </w:p>
        </w:tc>
        <w:tc>
          <w:tcPr>
            <w:tcW w:w="992" w:type="dxa"/>
            <w:tcBorders>
              <w:top w:val="nil"/>
              <w:left w:val="nil"/>
              <w:bottom w:val="nil"/>
              <w:right w:val="nil"/>
            </w:tcBorders>
            <w:shd w:val="clear" w:color="auto" w:fill="auto"/>
            <w:noWrap/>
            <w:vAlign w:val="center"/>
            <w:hideMark/>
          </w:tcPr>
          <w:p w14:paraId="6A9DD4AD"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990</w:t>
            </w:r>
          </w:p>
        </w:tc>
        <w:tc>
          <w:tcPr>
            <w:tcW w:w="1276" w:type="dxa"/>
            <w:tcBorders>
              <w:top w:val="nil"/>
              <w:left w:val="nil"/>
              <w:bottom w:val="nil"/>
              <w:right w:val="nil"/>
            </w:tcBorders>
            <w:shd w:val="clear" w:color="auto" w:fill="auto"/>
            <w:noWrap/>
            <w:vAlign w:val="center"/>
            <w:hideMark/>
          </w:tcPr>
          <w:p w14:paraId="43F4ED9A"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1433</w:t>
            </w:r>
          </w:p>
        </w:tc>
        <w:tc>
          <w:tcPr>
            <w:tcW w:w="1418" w:type="dxa"/>
            <w:tcBorders>
              <w:top w:val="nil"/>
              <w:left w:val="nil"/>
              <w:bottom w:val="nil"/>
              <w:right w:val="nil"/>
            </w:tcBorders>
            <w:shd w:val="clear" w:color="auto" w:fill="auto"/>
            <w:noWrap/>
            <w:vAlign w:val="center"/>
            <w:hideMark/>
          </w:tcPr>
          <w:p w14:paraId="264C175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0.57</w:t>
            </w:r>
          </w:p>
        </w:tc>
        <w:tc>
          <w:tcPr>
            <w:tcW w:w="1275" w:type="dxa"/>
            <w:tcBorders>
              <w:top w:val="nil"/>
              <w:left w:val="nil"/>
              <w:bottom w:val="nil"/>
              <w:right w:val="nil"/>
            </w:tcBorders>
            <w:shd w:val="clear" w:color="auto" w:fill="auto"/>
            <w:noWrap/>
            <w:vAlign w:val="center"/>
            <w:hideMark/>
          </w:tcPr>
          <w:p w14:paraId="5028621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961</w:t>
            </w:r>
          </w:p>
        </w:tc>
      </w:tr>
      <w:tr w:rsidR="00CB5F95" w:rsidRPr="000E2377" w14:paraId="2DEDF214" w14:textId="77777777" w:rsidTr="00CB5F95">
        <w:trPr>
          <w:trHeight w:val="300"/>
        </w:trPr>
        <w:tc>
          <w:tcPr>
            <w:tcW w:w="2140" w:type="dxa"/>
            <w:tcBorders>
              <w:top w:val="nil"/>
              <w:left w:val="nil"/>
              <w:bottom w:val="single" w:sz="4" w:space="0" w:color="auto"/>
              <w:right w:val="nil"/>
            </w:tcBorders>
            <w:shd w:val="clear" w:color="auto" w:fill="auto"/>
            <w:vAlign w:val="center"/>
            <w:hideMark/>
          </w:tcPr>
          <w:p w14:paraId="499AA458"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15</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12.5</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60.5</w:t>
            </w:r>
          </w:p>
        </w:tc>
        <w:tc>
          <w:tcPr>
            <w:tcW w:w="695" w:type="dxa"/>
            <w:tcBorders>
              <w:top w:val="nil"/>
              <w:left w:val="nil"/>
              <w:bottom w:val="single" w:sz="4" w:space="0" w:color="auto"/>
              <w:right w:val="nil"/>
            </w:tcBorders>
            <w:shd w:val="clear" w:color="auto" w:fill="auto"/>
            <w:noWrap/>
            <w:vAlign w:val="center"/>
            <w:hideMark/>
          </w:tcPr>
          <w:p w14:paraId="4C9F9B69"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548</w:t>
            </w:r>
          </w:p>
        </w:tc>
        <w:tc>
          <w:tcPr>
            <w:tcW w:w="768" w:type="dxa"/>
            <w:tcBorders>
              <w:top w:val="nil"/>
              <w:left w:val="nil"/>
              <w:bottom w:val="single" w:sz="4" w:space="0" w:color="auto"/>
              <w:right w:val="nil"/>
            </w:tcBorders>
            <w:shd w:val="clear" w:color="auto" w:fill="auto"/>
            <w:noWrap/>
            <w:vAlign w:val="center"/>
            <w:hideMark/>
          </w:tcPr>
          <w:p w14:paraId="2219E40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630</w:t>
            </w:r>
          </w:p>
        </w:tc>
        <w:tc>
          <w:tcPr>
            <w:tcW w:w="650" w:type="dxa"/>
            <w:tcBorders>
              <w:top w:val="nil"/>
              <w:left w:val="nil"/>
              <w:bottom w:val="single" w:sz="4" w:space="0" w:color="auto"/>
              <w:right w:val="nil"/>
            </w:tcBorders>
            <w:shd w:val="clear" w:color="auto" w:fill="auto"/>
            <w:noWrap/>
            <w:vAlign w:val="center"/>
            <w:hideMark/>
          </w:tcPr>
          <w:p w14:paraId="564D0AE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787</w:t>
            </w:r>
          </w:p>
        </w:tc>
        <w:tc>
          <w:tcPr>
            <w:tcW w:w="992" w:type="dxa"/>
            <w:tcBorders>
              <w:top w:val="nil"/>
              <w:left w:val="nil"/>
              <w:bottom w:val="single" w:sz="4" w:space="0" w:color="auto"/>
              <w:right w:val="nil"/>
            </w:tcBorders>
            <w:shd w:val="clear" w:color="auto" w:fill="auto"/>
            <w:noWrap/>
            <w:vAlign w:val="center"/>
            <w:hideMark/>
          </w:tcPr>
          <w:p w14:paraId="64A80227"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1079</w:t>
            </w:r>
          </w:p>
        </w:tc>
        <w:tc>
          <w:tcPr>
            <w:tcW w:w="992" w:type="dxa"/>
            <w:tcBorders>
              <w:top w:val="nil"/>
              <w:left w:val="nil"/>
              <w:bottom w:val="single" w:sz="4" w:space="0" w:color="auto"/>
              <w:right w:val="nil"/>
            </w:tcBorders>
            <w:shd w:val="clear" w:color="auto" w:fill="auto"/>
            <w:noWrap/>
            <w:vAlign w:val="center"/>
            <w:hideMark/>
          </w:tcPr>
          <w:p w14:paraId="1C6781E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995</w:t>
            </w:r>
          </w:p>
        </w:tc>
        <w:tc>
          <w:tcPr>
            <w:tcW w:w="1276" w:type="dxa"/>
            <w:tcBorders>
              <w:top w:val="nil"/>
              <w:left w:val="nil"/>
              <w:bottom w:val="single" w:sz="4" w:space="0" w:color="auto"/>
              <w:right w:val="nil"/>
            </w:tcBorders>
            <w:shd w:val="clear" w:color="auto" w:fill="auto"/>
            <w:noWrap/>
            <w:vAlign w:val="center"/>
            <w:hideMark/>
          </w:tcPr>
          <w:p w14:paraId="49EEB4A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1455</w:t>
            </w:r>
          </w:p>
        </w:tc>
        <w:tc>
          <w:tcPr>
            <w:tcW w:w="1418" w:type="dxa"/>
            <w:tcBorders>
              <w:top w:val="nil"/>
              <w:left w:val="nil"/>
              <w:bottom w:val="single" w:sz="4" w:space="0" w:color="auto"/>
              <w:right w:val="nil"/>
            </w:tcBorders>
            <w:shd w:val="clear" w:color="auto" w:fill="auto"/>
            <w:noWrap/>
            <w:vAlign w:val="center"/>
            <w:hideMark/>
          </w:tcPr>
          <w:p w14:paraId="65949C8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0.36</w:t>
            </w:r>
          </w:p>
        </w:tc>
        <w:tc>
          <w:tcPr>
            <w:tcW w:w="1275" w:type="dxa"/>
            <w:tcBorders>
              <w:top w:val="nil"/>
              <w:left w:val="nil"/>
              <w:bottom w:val="single" w:sz="4" w:space="0" w:color="auto"/>
              <w:right w:val="nil"/>
            </w:tcBorders>
            <w:shd w:val="clear" w:color="auto" w:fill="auto"/>
            <w:noWrap/>
            <w:vAlign w:val="center"/>
            <w:hideMark/>
          </w:tcPr>
          <w:p w14:paraId="114562DA"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958</w:t>
            </w:r>
          </w:p>
        </w:tc>
      </w:tr>
      <w:tr w:rsidR="00CB5F95" w:rsidRPr="000E2377" w14:paraId="2855AEF1" w14:textId="77777777" w:rsidTr="00CB5F95">
        <w:trPr>
          <w:trHeight w:val="300"/>
        </w:trPr>
        <w:tc>
          <w:tcPr>
            <w:tcW w:w="2140" w:type="dxa"/>
            <w:tcBorders>
              <w:top w:val="nil"/>
              <w:left w:val="nil"/>
              <w:bottom w:val="nil"/>
              <w:right w:val="nil"/>
            </w:tcBorders>
            <w:shd w:val="clear" w:color="auto" w:fill="auto"/>
            <w:vAlign w:val="center"/>
            <w:hideMark/>
          </w:tcPr>
          <w:p w14:paraId="1C6CBB8A"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w:t>
            </w:r>
            <w:r>
              <w:rPr>
                <w:rFonts w:eastAsia="Times New Roman" w:cs="Times New Roman"/>
                <w:b w:val="0"/>
                <w:color w:val="000000"/>
                <w:sz w:val="20"/>
                <w:szCs w:val="20"/>
                <w:vertAlign w:val="subscript"/>
                <w:lang w:eastAsia="en-MY"/>
              </w:rPr>
              <w:t>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2.4</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5.7</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69.9</w:t>
            </w:r>
          </w:p>
        </w:tc>
        <w:tc>
          <w:tcPr>
            <w:tcW w:w="695" w:type="dxa"/>
            <w:tcBorders>
              <w:top w:val="nil"/>
              <w:left w:val="nil"/>
              <w:bottom w:val="nil"/>
              <w:right w:val="nil"/>
            </w:tcBorders>
            <w:shd w:val="clear" w:color="auto" w:fill="auto"/>
            <w:noWrap/>
            <w:vAlign w:val="center"/>
            <w:hideMark/>
          </w:tcPr>
          <w:p w14:paraId="1263618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483</w:t>
            </w:r>
          </w:p>
        </w:tc>
        <w:tc>
          <w:tcPr>
            <w:tcW w:w="768" w:type="dxa"/>
            <w:tcBorders>
              <w:top w:val="nil"/>
              <w:left w:val="nil"/>
              <w:bottom w:val="nil"/>
              <w:right w:val="nil"/>
            </w:tcBorders>
            <w:shd w:val="clear" w:color="auto" w:fill="auto"/>
            <w:noWrap/>
            <w:vAlign w:val="center"/>
            <w:hideMark/>
          </w:tcPr>
          <w:p w14:paraId="09A1E51F"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570</w:t>
            </w:r>
          </w:p>
        </w:tc>
        <w:tc>
          <w:tcPr>
            <w:tcW w:w="650" w:type="dxa"/>
            <w:tcBorders>
              <w:top w:val="nil"/>
              <w:left w:val="nil"/>
              <w:bottom w:val="nil"/>
              <w:right w:val="nil"/>
            </w:tcBorders>
            <w:shd w:val="clear" w:color="auto" w:fill="auto"/>
            <w:noWrap/>
            <w:vAlign w:val="center"/>
            <w:hideMark/>
          </w:tcPr>
          <w:p w14:paraId="22DF7EA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780</w:t>
            </w:r>
          </w:p>
        </w:tc>
        <w:tc>
          <w:tcPr>
            <w:tcW w:w="992" w:type="dxa"/>
            <w:tcBorders>
              <w:top w:val="nil"/>
              <w:left w:val="nil"/>
              <w:bottom w:val="nil"/>
              <w:right w:val="nil"/>
            </w:tcBorders>
            <w:shd w:val="clear" w:color="auto" w:fill="auto"/>
            <w:noWrap/>
            <w:vAlign w:val="center"/>
            <w:hideMark/>
          </w:tcPr>
          <w:p w14:paraId="730A7C7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1061</w:t>
            </w:r>
          </w:p>
        </w:tc>
        <w:tc>
          <w:tcPr>
            <w:tcW w:w="992" w:type="dxa"/>
            <w:tcBorders>
              <w:top w:val="nil"/>
              <w:left w:val="nil"/>
              <w:bottom w:val="nil"/>
              <w:right w:val="nil"/>
            </w:tcBorders>
            <w:shd w:val="clear" w:color="auto" w:fill="auto"/>
            <w:noWrap/>
            <w:vAlign w:val="center"/>
            <w:hideMark/>
          </w:tcPr>
          <w:p w14:paraId="7456037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nil"/>
              <w:right w:val="nil"/>
            </w:tcBorders>
            <w:shd w:val="clear" w:color="auto" w:fill="auto"/>
            <w:noWrap/>
            <w:vAlign w:val="center"/>
            <w:hideMark/>
          </w:tcPr>
          <w:p w14:paraId="22CF365C"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1423</w:t>
            </w:r>
          </w:p>
        </w:tc>
        <w:tc>
          <w:tcPr>
            <w:tcW w:w="1418" w:type="dxa"/>
            <w:tcBorders>
              <w:top w:val="nil"/>
              <w:left w:val="nil"/>
              <w:bottom w:val="nil"/>
              <w:right w:val="nil"/>
            </w:tcBorders>
            <w:shd w:val="clear" w:color="auto" w:fill="auto"/>
            <w:noWrap/>
            <w:vAlign w:val="center"/>
            <w:hideMark/>
          </w:tcPr>
          <w:p w14:paraId="02652A5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2.06</w:t>
            </w:r>
          </w:p>
        </w:tc>
        <w:tc>
          <w:tcPr>
            <w:tcW w:w="1275" w:type="dxa"/>
            <w:tcBorders>
              <w:top w:val="nil"/>
              <w:left w:val="nil"/>
              <w:bottom w:val="nil"/>
              <w:right w:val="nil"/>
            </w:tcBorders>
            <w:shd w:val="clear" w:color="auto" w:fill="auto"/>
            <w:noWrap/>
            <w:vAlign w:val="center"/>
            <w:hideMark/>
          </w:tcPr>
          <w:p w14:paraId="7E15E095"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998</w:t>
            </w:r>
          </w:p>
        </w:tc>
      </w:tr>
      <w:tr w:rsidR="00CB5F95" w:rsidRPr="000E2377" w14:paraId="0CA8DE5E" w14:textId="77777777" w:rsidTr="00CB5F95">
        <w:trPr>
          <w:trHeight w:val="300"/>
        </w:trPr>
        <w:tc>
          <w:tcPr>
            <w:tcW w:w="2140" w:type="dxa"/>
            <w:tcBorders>
              <w:top w:val="nil"/>
              <w:left w:val="nil"/>
              <w:bottom w:val="nil"/>
              <w:right w:val="nil"/>
            </w:tcBorders>
            <w:shd w:val="clear" w:color="auto" w:fill="auto"/>
            <w:vAlign w:val="center"/>
            <w:hideMark/>
          </w:tcPr>
          <w:p w14:paraId="7A2512DD"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w:t>
            </w:r>
            <w:r>
              <w:rPr>
                <w:rFonts w:eastAsia="Times New Roman" w:cs="Times New Roman"/>
                <w:b w:val="0"/>
                <w:color w:val="000000"/>
                <w:sz w:val="20"/>
                <w:szCs w:val="20"/>
                <w:vertAlign w:val="subscript"/>
                <w:lang w:eastAsia="en-MY"/>
              </w:rPr>
              <w:t>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3.6</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10.1</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64.3</w:t>
            </w:r>
          </w:p>
        </w:tc>
        <w:tc>
          <w:tcPr>
            <w:tcW w:w="695" w:type="dxa"/>
            <w:tcBorders>
              <w:top w:val="nil"/>
              <w:left w:val="nil"/>
              <w:bottom w:val="nil"/>
              <w:right w:val="nil"/>
            </w:tcBorders>
            <w:shd w:val="clear" w:color="auto" w:fill="auto"/>
            <w:noWrap/>
            <w:vAlign w:val="center"/>
            <w:hideMark/>
          </w:tcPr>
          <w:p w14:paraId="7B5194C7"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482</w:t>
            </w:r>
          </w:p>
        </w:tc>
        <w:tc>
          <w:tcPr>
            <w:tcW w:w="768" w:type="dxa"/>
            <w:tcBorders>
              <w:top w:val="nil"/>
              <w:left w:val="nil"/>
              <w:bottom w:val="nil"/>
              <w:right w:val="nil"/>
            </w:tcBorders>
            <w:shd w:val="clear" w:color="auto" w:fill="auto"/>
            <w:noWrap/>
            <w:vAlign w:val="center"/>
            <w:hideMark/>
          </w:tcPr>
          <w:p w14:paraId="03C59719"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582</w:t>
            </w:r>
          </w:p>
        </w:tc>
        <w:tc>
          <w:tcPr>
            <w:tcW w:w="650" w:type="dxa"/>
            <w:tcBorders>
              <w:top w:val="nil"/>
              <w:left w:val="nil"/>
              <w:bottom w:val="nil"/>
              <w:right w:val="nil"/>
            </w:tcBorders>
            <w:shd w:val="clear" w:color="auto" w:fill="auto"/>
            <w:noWrap/>
            <w:vAlign w:val="center"/>
            <w:hideMark/>
          </w:tcPr>
          <w:p w14:paraId="4E4256D9"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790</w:t>
            </w:r>
          </w:p>
        </w:tc>
        <w:tc>
          <w:tcPr>
            <w:tcW w:w="992" w:type="dxa"/>
            <w:tcBorders>
              <w:top w:val="nil"/>
              <w:left w:val="nil"/>
              <w:bottom w:val="nil"/>
              <w:right w:val="nil"/>
            </w:tcBorders>
            <w:shd w:val="clear" w:color="auto" w:fill="auto"/>
            <w:noWrap/>
            <w:vAlign w:val="center"/>
            <w:hideMark/>
          </w:tcPr>
          <w:p w14:paraId="620AA895"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1085</w:t>
            </w:r>
          </w:p>
        </w:tc>
        <w:tc>
          <w:tcPr>
            <w:tcW w:w="992" w:type="dxa"/>
            <w:tcBorders>
              <w:top w:val="nil"/>
              <w:left w:val="nil"/>
              <w:bottom w:val="nil"/>
              <w:right w:val="nil"/>
            </w:tcBorders>
            <w:shd w:val="clear" w:color="auto" w:fill="auto"/>
            <w:noWrap/>
            <w:vAlign w:val="center"/>
            <w:hideMark/>
          </w:tcPr>
          <w:p w14:paraId="4DF24F98"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nil"/>
              <w:right w:val="nil"/>
            </w:tcBorders>
            <w:shd w:val="clear" w:color="auto" w:fill="auto"/>
            <w:noWrap/>
            <w:vAlign w:val="center"/>
            <w:hideMark/>
          </w:tcPr>
          <w:p w14:paraId="63E45089"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1433</w:t>
            </w:r>
          </w:p>
        </w:tc>
        <w:tc>
          <w:tcPr>
            <w:tcW w:w="1418" w:type="dxa"/>
            <w:tcBorders>
              <w:top w:val="nil"/>
              <w:left w:val="nil"/>
              <w:bottom w:val="nil"/>
              <w:right w:val="nil"/>
            </w:tcBorders>
            <w:shd w:val="clear" w:color="auto" w:fill="auto"/>
            <w:noWrap/>
            <w:vAlign w:val="center"/>
            <w:hideMark/>
          </w:tcPr>
          <w:p w14:paraId="48F27B3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2.26</w:t>
            </w:r>
          </w:p>
        </w:tc>
        <w:tc>
          <w:tcPr>
            <w:tcW w:w="1275" w:type="dxa"/>
            <w:tcBorders>
              <w:top w:val="nil"/>
              <w:left w:val="nil"/>
              <w:bottom w:val="nil"/>
              <w:right w:val="nil"/>
            </w:tcBorders>
            <w:shd w:val="clear" w:color="auto" w:fill="auto"/>
            <w:noWrap/>
            <w:vAlign w:val="center"/>
            <w:hideMark/>
          </w:tcPr>
          <w:p w14:paraId="196D2EC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973</w:t>
            </w:r>
          </w:p>
        </w:tc>
      </w:tr>
      <w:tr w:rsidR="00CB5F95" w:rsidRPr="000E2377" w14:paraId="0E47D1B6" w14:textId="77777777" w:rsidTr="00CB5F95">
        <w:trPr>
          <w:trHeight w:val="300"/>
        </w:trPr>
        <w:tc>
          <w:tcPr>
            <w:tcW w:w="2140" w:type="dxa"/>
            <w:tcBorders>
              <w:top w:val="nil"/>
              <w:left w:val="nil"/>
              <w:bottom w:val="nil"/>
              <w:right w:val="nil"/>
            </w:tcBorders>
            <w:shd w:val="clear" w:color="auto" w:fill="auto"/>
            <w:vAlign w:val="center"/>
            <w:hideMark/>
          </w:tcPr>
          <w:p w14:paraId="45676D9A"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w:t>
            </w:r>
            <w:r>
              <w:rPr>
                <w:rFonts w:eastAsia="Times New Roman" w:cs="Times New Roman"/>
                <w:b w:val="0"/>
                <w:color w:val="000000"/>
                <w:sz w:val="20"/>
                <w:szCs w:val="20"/>
                <w:vertAlign w:val="subscript"/>
                <w:lang w:eastAsia="en-MY"/>
              </w:rPr>
              <w:t>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4.9</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7.1</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66</w:t>
            </w:r>
          </w:p>
        </w:tc>
        <w:tc>
          <w:tcPr>
            <w:tcW w:w="695" w:type="dxa"/>
            <w:tcBorders>
              <w:top w:val="nil"/>
              <w:left w:val="nil"/>
              <w:bottom w:val="nil"/>
              <w:right w:val="nil"/>
            </w:tcBorders>
            <w:shd w:val="clear" w:color="auto" w:fill="auto"/>
            <w:noWrap/>
            <w:vAlign w:val="center"/>
            <w:hideMark/>
          </w:tcPr>
          <w:p w14:paraId="2BE4824A"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485</w:t>
            </w:r>
          </w:p>
        </w:tc>
        <w:tc>
          <w:tcPr>
            <w:tcW w:w="768" w:type="dxa"/>
            <w:tcBorders>
              <w:top w:val="nil"/>
              <w:left w:val="nil"/>
              <w:bottom w:val="nil"/>
              <w:right w:val="nil"/>
            </w:tcBorders>
            <w:shd w:val="clear" w:color="auto" w:fill="auto"/>
            <w:noWrap/>
            <w:vAlign w:val="center"/>
            <w:hideMark/>
          </w:tcPr>
          <w:p w14:paraId="78672673"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580</w:t>
            </w:r>
          </w:p>
        </w:tc>
        <w:tc>
          <w:tcPr>
            <w:tcW w:w="650" w:type="dxa"/>
            <w:tcBorders>
              <w:top w:val="nil"/>
              <w:left w:val="nil"/>
              <w:bottom w:val="nil"/>
              <w:right w:val="nil"/>
            </w:tcBorders>
            <w:shd w:val="clear" w:color="auto" w:fill="auto"/>
            <w:noWrap/>
            <w:vAlign w:val="center"/>
            <w:hideMark/>
          </w:tcPr>
          <w:p w14:paraId="283AF44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789</w:t>
            </w:r>
          </w:p>
        </w:tc>
        <w:tc>
          <w:tcPr>
            <w:tcW w:w="992" w:type="dxa"/>
            <w:tcBorders>
              <w:top w:val="nil"/>
              <w:left w:val="nil"/>
              <w:bottom w:val="nil"/>
              <w:right w:val="nil"/>
            </w:tcBorders>
            <w:shd w:val="clear" w:color="auto" w:fill="auto"/>
            <w:noWrap/>
            <w:vAlign w:val="center"/>
            <w:hideMark/>
          </w:tcPr>
          <w:p w14:paraId="78B9196F"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1060</w:t>
            </w:r>
          </w:p>
        </w:tc>
        <w:tc>
          <w:tcPr>
            <w:tcW w:w="992" w:type="dxa"/>
            <w:tcBorders>
              <w:top w:val="nil"/>
              <w:left w:val="nil"/>
              <w:bottom w:val="nil"/>
              <w:right w:val="nil"/>
            </w:tcBorders>
            <w:shd w:val="clear" w:color="auto" w:fill="auto"/>
            <w:noWrap/>
            <w:vAlign w:val="center"/>
            <w:hideMark/>
          </w:tcPr>
          <w:p w14:paraId="70119D86"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nil"/>
              <w:right w:val="nil"/>
            </w:tcBorders>
            <w:shd w:val="clear" w:color="auto" w:fill="auto"/>
            <w:noWrap/>
            <w:vAlign w:val="center"/>
            <w:hideMark/>
          </w:tcPr>
          <w:p w14:paraId="6ED51497"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1436</w:t>
            </w:r>
          </w:p>
        </w:tc>
        <w:tc>
          <w:tcPr>
            <w:tcW w:w="1418" w:type="dxa"/>
            <w:tcBorders>
              <w:top w:val="nil"/>
              <w:left w:val="nil"/>
              <w:bottom w:val="nil"/>
              <w:right w:val="nil"/>
            </w:tcBorders>
            <w:shd w:val="clear" w:color="auto" w:fill="auto"/>
            <w:noWrap/>
            <w:vAlign w:val="center"/>
            <w:hideMark/>
          </w:tcPr>
          <w:p w14:paraId="7F83C8E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2.24</w:t>
            </w:r>
          </w:p>
        </w:tc>
        <w:tc>
          <w:tcPr>
            <w:tcW w:w="1275" w:type="dxa"/>
            <w:tcBorders>
              <w:top w:val="nil"/>
              <w:left w:val="nil"/>
              <w:bottom w:val="nil"/>
              <w:right w:val="nil"/>
            </w:tcBorders>
            <w:shd w:val="clear" w:color="auto" w:fill="auto"/>
            <w:noWrap/>
            <w:vAlign w:val="center"/>
            <w:hideMark/>
          </w:tcPr>
          <w:p w14:paraId="7DBE72D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982</w:t>
            </w:r>
          </w:p>
        </w:tc>
      </w:tr>
      <w:tr w:rsidR="00CB5F95" w:rsidRPr="000E2377" w14:paraId="6DFFCF33" w14:textId="77777777" w:rsidTr="00CB5F95">
        <w:trPr>
          <w:trHeight w:val="300"/>
        </w:trPr>
        <w:tc>
          <w:tcPr>
            <w:tcW w:w="2140" w:type="dxa"/>
            <w:tcBorders>
              <w:top w:val="nil"/>
              <w:left w:val="nil"/>
              <w:bottom w:val="single" w:sz="4" w:space="0" w:color="auto"/>
              <w:right w:val="nil"/>
            </w:tcBorders>
            <w:shd w:val="clear" w:color="auto" w:fill="auto"/>
            <w:vAlign w:val="center"/>
            <w:hideMark/>
          </w:tcPr>
          <w:p w14:paraId="7444EA7D" w14:textId="77777777" w:rsidR="00CB5F95" w:rsidRPr="000E2377" w:rsidRDefault="00CB5F95" w:rsidP="00CB5F95">
            <w:pPr>
              <w:spacing w:after="0" w:line="240" w:lineRule="auto"/>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N</w:t>
            </w:r>
            <w:r w:rsidRPr="000E2377">
              <w:rPr>
                <w:rFonts w:eastAsia="Times New Roman" w:cs="Times New Roman"/>
                <w:b w:val="0"/>
                <w:color w:val="000000"/>
                <w:sz w:val="20"/>
                <w:szCs w:val="20"/>
                <w:vertAlign w:val="subscript"/>
                <w:lang w:eastAsia="en-MY"/>
              </w:rPr>
              <w:t>1</w:t>
            </w:r>
            <w:r>
              <w:rPr>
                <w:rFonts w:eastAsia="Times New Roman" w:cs="Times New Roman"/>
                <w:b w:val="0"/>
                <w:color w:val="000000"/>
                <w:sz w:val="20"/>
                <w:szCs w:val="20"/>
                <w:vertAlign w:val="subscript"/>
                <w:lang w:eastAsia="en-MY"/>
              </w:rPr>
              <w:t>0</w:t>
            </w:r>
            <w:r w:rsidRPr="000E2377">
              <w:rPr>
                <w:rFonts w:eastAsia="Times New Roman" w:cs="Times New Roman"/>
                <w:b w:val="0"/>
                <w:color w:val="000000"/>
                <w:sz w:val="20"/>
                <w:szCs w:val="20"/>
                <w:lang w:eastAsia="en-MY"/>
              </w:rPr>
              <w:t>C</w:t>
            </w:r>
            <w:r w:rsidRPr="000E2377">
              <w:rPr>
                <w:rFonts w:eastAsia="Times New Roman" w:cs="Times New Roman"/>
                <w:b w:val="0"/>
                <w:color w:val="000000"/>
                <w:sz w:val="20"/>
                <w:szCs w:val="20"/>
                <w:vertAlign w:val="subscript"/>
                <w:lang w:eastAsia="en-MY"/>
              </w:rPr>
              <w:t>2.5</w:t>
            </w:r>
            <w:r w:rsidRPr="000E2377">
              <w:rPr>
                <w:rFonts w:eastAsia="Times New Roman" w:cs="Times New Roman"/>
                <w:b w:val="0"/>
                <w:color w:val="000000"/>
                <w:sz w:val="20"/>
                <w:szCs w:val="20"/>
                <w:lang w:eastAsia="en-MY"/>
              </w:rPr>
              <w:t>Ba</w:t>
            </w:r>
            <w:r w:rsidRPr="000E2377">
              <w:rPr>
                <w:rFonts w:eastAsia="Times New Roman" w:cs="Times New Roman"/>
                <w:b w:val="0"/>
                <w:color w:val="000000"/>
                <w:sz w:val="20"/>
                <w:szCs w:val="20"/>
                <w:vertAlign w:val="subscript"/>
                <w:lang w:eastAsia="en-MY"/>
              </w:rPr>
              <w:t>2</w:t>
            </w:r>
            <w:r w:rsidRPr="000E2377">
              <w:rPr>
                <w:rFonts w:eastAsia="Times New Roman" w:cs="Times New Roman"/>
                <w:b w:val="0"/>
                <w:color w:val="000000"/>
                <w:sz w:val="20"/>
                <w:szCs w:val="20"/>
                <w:lang w:eastAsia="en-MY"/>
              </w:rPr>
              <w:t>A</w:t>
            </w:r>
            <w:r w:rsidRPr="000E2377">
              <w:rPr>
                <w:rFonts w:eastAsia="Times New Roman" w:cs="Times New Roman"/>
                <w:b w:val="0"/>
                <w:color w:val="000000"/>
                <w:sz w:val="20"/>
                <w:szCs w:val="20"/>
                <w:vertAlign w:val="subscript"/>
                <w:lang w:eastAsia="en-MY"/>
              </w:rPr>
              <w:t>12.5</w:t>
            </w:r>
            <w:r w:rsidRPr="000E2377">
              <w:rPr>
                <w:rFonts w:eastAsia="Times New Roman" w:cs="Times New Roman"/>
                <w:b w:val="0"/>
                <w:color w:val="000000"/>
                <w:sz w:val="20"/>
                <w:szCs w:val="20"/>
                <w:lang w:eastAsia="en-MY"/>
              </w:rPr>
              <w:t>B</w:t>
            </w:r>
            <w:r w:rsidRPr="000E2377">
              <w:rPr>
                <w:rFonts w:eastAsia="Times New Roman" w:cs="Times New Roman"/>
                <w:b w:val="0"/>
                <w:color w:val="000000"/>
                <w:sz w:val="20"/>
                <w:szCs w:val="20"/>
                <w:vertAlign w:val="subscript"/>
                <w:lang w:eastAsia="en-MY"/>
              </w:rPr>
              <w:t>10</w:t>
            </w:r>
            <w:r w:rsidRPr="000E2377">
              <w:rPr>
                <w:rFonts w:eastAsia="Times New Roman" w:cs="Times New Roman"/>
                <w:b w:val="0"/>
                <w:color w:val="000000"/>
                <w:sz w:val="20"/>
                <w:szCs w:val="20"/>
                <w:lang w:eastAsia="en-MY"/>
              </w:rPr>
              <w:t>S</w:t>
            </w:r>
            <w:r w:rsidRPr="000E2377">
              <w:rPr>
                <w:rFonts w:eastAsia="Times New Roman" w:cs="Times New Roman"/>
                <w:b w:val="0"/>
                <w:color w:val="000000"/>
                <w:sz w:val="20"/>
                <w:szCs w:val="20"/>
                <w:vertAlign w:val="subscript"/>
                <w:lang w:eastAsia="en-MY"/>
              </w:rPr>
              <w:t>63</w:t>
            </w:r>
          </w:p>
        </w:tc>
        <w:tc>
          <w:tcPr>
            <w:tcW w:w="695" w:type="dxa"/>
            <w:tcBorders>
              <w:top w:val="nil"/>
              <w:left w:val="nil"/>
              <w:bottom w:val="single" w:sz="4" w:space="0" w:color="auto"/>
              <w:right w:val="nil"/>
            </w:tcBorders>
            <w:shd w:val="clear" w:color="auto" w:fill="auto"/>
            <w:noWrap/>
            <w:vAlign w:val="center"/>
            <w:hideMark/>
          </w:tcPr>
          <w:p w14:paraId="12E4A02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483</w:t>
            </w:r>
          </w:p>
        </w:tc>
        <w:tc>
          <w:tcPr>
            <w:tcW w:w="768" w:type="dxa"/>
            <w:tcBorders>
              <w:top w:val="nil"/>
              <w:left w:val="nil"/>
              <w:bottom w:val="single" w:sz="4" w:space="0" w:color="auto"/>
              <w:right w:val="nil"/>
            </w:tcBorders>
            <w:shd w:val="clear" w:color="auto" w:fill="auto"/>
            <w:noWrap/>
            <w:vAlign w:val="center"/>
            <w:hideMark/>
          </w:tcPr>
          <w:p w14:paraId="67E154AE"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580</w:t>
            </w:r>
          </w:p>
        </w:tc>
        <w:tc>
          <w:tcPr>
            <w:tcW w:w="650" w:type="dxa"/>
            <w:tcBorders>
              <w:top w:val="nil"/>
              <w:left w:val="nil"/>
              <w:bottom w:val="single" w:sz="4" w:space="0" w:color="auto"/>
              <w:right w:val="nil"/>
            </w:tcBorders>
            <w:shd w:val="clear" w:color="auto" w:fill="auto"/>
            <w:noWrap/>
            <w:vAlign w:val="center"/>
            <w:hideMark/>
          </w:tcPr>
          <w:p w14:paraId="4A7A86D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792</w:t>
            </w:r>
          </w:p>
        </w:tc>
        <w:tc>
          <w:tcPr>
            <w:tcW w:w="992" w:type="dxa"/>
            <w:tcBorders>
              <w:top w:val="nil"/>
              <w:left w:val="nil"/>
              <w:bottom w:val="single" w:sz="4" w:space="0" w:color="auto"/>
              <w:right w:val="nil"/>
            </w:tcBorders>
            <w:shd w:val="clear" w:color="auto" w:fill="auto"/>
            <w:noWrap/>
            <w:vAlign w:val="center"/>
            <w:hideMark/>
          </w:tcPr>
          <w:p w14:paraId="59944BC2"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1081</w:t>
            </w:r>
          </w:p>
        </w:tc>
        <w:tc>
          <w:tcPr>
            <w:tcW w:w="992" w:type="dxa"/>
            <w:tcBorders>
              <w:top w:val="nil"/>
              <w:left w:val="nil"/>
              <w:bottom w:val="single" w:sz="4" w:space="0" w:color="auto"/>
              <w:right w:val="nil"/>
            </w:tcBorders>
            <w:shd w:val="clear" w:color="auto" w:fill="auto"/>
            <w:noWrap/>
            <w:vAlign w:val="center"/>
            <w:hideMark/>
          </w:tcPr>
          <w:p w14:paraId="292B4744"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proofErr w:type="spellStart"/>
            <w:r w:rsidRPr="000E2377">
              <w:rPr>
                <w:rFonts w:eastAsia="Times New Roman" w:cs="Times New Roman"/>
                <w:b w:val="0"/>
                <w:color w:val="000000"/>
                <w:sz w:val="20"/>
                <w:szCs w:val="20"/>
                <w:lang w:eastAsia="en-MY"/>
              </w:rPr>
              <w:t>nd</w:t>
            </w:r>
            <w:proofErr w:type="spellEnd"/>
          </w:p>
        </w:tc>
        <w:tc>
          <w:tcPr>
            <w:tcW w:w="1276" w:type="dxa"/>
            <w:tcBorders>
              <w:top w:val="nil"/>
              <w:left w:val="nil"/>
              <w:bottom w:val="single" w:sz="4" w:space="0" w:color="auto"/>
              <w:right w:val="nil"/>
            </w:tcBorders>
            <w:shd w:val="clear" w:color="auto" w:fill="auto"/>
            <w:noWrap/>
            <w:vAlign w:val="center"/>
            <w:hideMark/>
          </w:tcPr>
          <w:p w14:paraId="7C59C3DB"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1433</w:t>
            </w:r>
          </w:p>
        </w:tc>
        <w:tc>
          <w:tcPr>
            <w:tcW w:w="1418" w:type="dxa"/>
            <w:tcBorders>
              <w:top w:val="nil"/>
              <w:left w:val="nil"/>
              <w:bottom w:val="single" w:sz="4" w:space="0" w:color="auto"/>
              <w:right w:val="nil"/>
            </w:tcBorders>
            <w:shd w:val="clear" w:color="auto" w:fill="auto"/>
            <w:noWrap/>
            <w:vAlign w:val="center"/>
            <w:hideMark/>
          </w:tcPr>
          <w:p w14:paraId="1ABBA5B1"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2.39</w:t>
            </w:r>
          </w:p>
        </w:tc>
        <w:tc>
          <w:tcPr>
            <w:tcW w:w="1275" w:type="dxa"/>
            <w:tcBorders>
              <w:top w:val="nil"/>
              <w:left w:val="nil"/>
              <w:bottom w:val="single" w:sz="4" w:space="0" w:color="auto"/>
              <w:right w:val="nil"/>
            </w:tcBorders>
            <w:shd w:val="clear" w:color="auto" w:fill="auto"/>
            <w:noWrap/>
            <w:vAlign w:val="center"/>
            <w:hideMark/>
          </w:tcPr>
          <w:p w14:paraId="2BD037F7" w14:textId="77777777" w:rsidR="00CB5F95" w:rsidRPr="000E2377" w:rsidRDefault="00CB5F95" w:rsidP="00CB5F95">
            <w:pPr>
              <w:spacing w:after="0" w:line="240" w:lineRule="auto"/>
              <w:jc w:val="center"/>
              <w:rPr>
                <w:rFonts w:eastAsia="Times New Roman" w:cs="Times New Roman"/>
                <w:b w:val="0"/>
                <w:color w:val="000000"/>
                <w:sz w:val="20"/>
                <w:szCs w:val="20"/>
                <w:lang w:eastAsia="en-MY"/>
              </w:rPr>
            </w:pPr>
            <w:r w:rsidRPr="000E2377">
              <w:rPr>
                <w:rFonts w:eastAsia="Times New Roman" w:cs="Times New Roman"/>
                <w:b w:val="0"/>
                <w:color w:val="000000"/>
                <w:sz w:val="20"/>
                <w:szCs w:val="20"/>
                <w:lang w:eastAsia="en-MY"/>
              </w:rPr>
              <w:t>984</w:t>
            </w:r>
          </w:p>
        </w:tc>
      </w:tr>
    </w:tbl>
    <w:p w14:paraId="09BCDAE1" w14:textId="77777777" w:rsidR="00CB5F95" w:rsidRPr="000E2377" w:rsidRDefault="00CB5F95" w:rsidP="00CB5F95">
      <w:pPr>
        <w:spacing w:line="240" w:lineRule="auto"/>
        <w:jc w:val="center"/>
        <w:rPr>
          <w:rFonts w:eastAsia="Calibri" w:cs="Times New Roman"/>
          <w:bCs/>
          <w:szCs w:val="24"/>
          <w:lang w:val="en-GB" w:eastAsia="tr-TR"/>
        </w:rPr>
      </w:pPr>
    </w:p>
    <w:p w14:paraId="2D25AD40" w14:textId="77777777" w:rsidR="00CB5F95" w:rsidRPr="000E2377" w:rsidRDefault="00CB5F95" w:rsidP="00CB5F95">
      <w:pPr>
        <w:spacing w:line="240" w:lineRule="auto"/>
        <w:jc w:val="center"/>
        <w:rPr>
          <w:rFonts w:eastAsia="Calibri" w:cs="Times New Roman"/>
          <w:bCs/>
          <w:szCs w:val="24"/>
          <w:lang w:val="en-GB"/>
        </w:rPr>
      </w:pPr>
    </w:p>
    <w:p w14:paraId="19743CFB" w14:textId="77777777" w:rsidR="00CB5F95" w:rsidRPr="000E2377" w:rsidRDefault="00CB5F95" w:rsidP="00CB5F95">
      <w:pPr>
        <w:spacing w:line="240" w:lineRule="auto"/>
        <w:jc w:val="center"/>
        <w:rPr>
          <w:rFonts w:eastAsia="Calibri" w:cs="Times New Roman"/>
          <w:bCs/>
          <w:szCs w:val="24"/>
          <w:lang w:val="en-GB"/>
        </w:rPr>
      </w:pPr>
    </w:p>
    <w:p w14:paraId="1B541CA9" w14:textId="77777777" w:rsidR="00CB5F95" w:rsidRPr="000E2377" w:rsidRDefault="00CB5F95" w:rsidP="00CB5F95">
      <w:pPr>
        <w:spacing w:line="240" w:lineRule="auto"/>
        <w:jc w:val="center"/>
        <w:rPr>
          <w:rFonts w:eastAsia="Calibri" w:cs="Times New Roman"/>
          <w:bCs/>
          <w:szCs w:val="24"/>
          <w:lang w:val="en-GB"/>
        </w:rPr>
      </w:pPr>
      <w:r w:rsidRPr="000E2377">
        <w:rPr>
          <w:rFonts w:eastAsia="Calibri" w:cs="Times New Roman"/>
          <w:bCs/>
          <w:szCs w:val="24"/>
          <w:lang w:val="en-GB"/>
        </w:rPr>
        <w:lastRenderedPageBreak/>
        <w:t>Table E3. Elastic properties of glass series.</w:t>
      </w:r>
    </w:p>
    <w:tbl>
      <w:tblPr>
        <w:tblW w:w="9072" w:type="dxa"/>
        <w:jc w:val="center"/>
        <w:tblLayout w:type="fixed"/>
        <w:tblLook w:val="04A0" w:firstRow="1" w:lastRow="0" w:firstColumn="1" w:lastColumn="0" w:noHBand="0" w:noVBand="1"/>
      </w:tblPr>
      <w:tblGrid>
        <w:gridCol w:w="2510"/>
        <w:gridCol w:w="1459"/>
        <w:gridCol w:w="1560"/>
        <w:gridCol w:w="1701"/>
        <w:gridCol w:w="1842"/>
      </w:tblGrid>
      <w:tr w:rsidR="00CB5F95" w:rsidRPr="000E2377" w14:paraId="3E2024C0" w14:textId="77777777" w:rsidTr="00CB5F95">
        <w:trPr>
          <w:trHeight w:val="517"/>
          <w:jc w:val="center"/>
        </w:trPr>
        <w:tc>
          <w:tcPr>
            <w:tcW w:w="2510" w:type="dxa"/>
            <w:vMerge w:val="restart"/>
            <w:tcBorders>
              <w:top w:val="single" w:sz="4" w:space="0" w:color="auto"/>
              <w:left w:val="nil"/>
              <w:bottom w:val="single" w:sz="4" w:space="0" w:color="000000"/>
              <w:right w:val="nil"/>
            </w:tcBorders>
            <w:shd w:val="clear" w:color="auto" w:fill="auto"/>
            <w:noWrap/>
            <w:vAlign w:val="center"/>
            <w:hideMark/>
          </w:tcPr>
          <w:p w14:paraId="04DC5112"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Glass Code</w:t>
            </w:r>
          </w:p>
        </w:tc>
        <w:tc>
          <w:tcPr>
            <w:tcW w:w="1459" w:type="dxa"/>
            <w:vMerge w:val="restart"/>
            <w:tcBorders>
              <w:top w:val="single" w:sz="4" w:space="0" w:color="auto"/>
              <w:left w:val="nil"/>
              <w:bottom w:val="single" w:sz="4" w:space="0" w:color="000000"/>
              <w:right w:val="nil"/>
            </w:tcBorders>
            <w:shd w:val="clear" w:color="auto" w:fill="auto"/>
            <w:vAlign w:val="center"/>
            <w:hideMark/>
          </w:tcPr>
          <w:p w14:paraId="131ED291"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Shear modulus, G (</w:t>
            </w:r>
            <w:proofErr w:type="spellStart"/>
            <w:r w:rsidRPr="000E2377">
              <w:rPr>
                <w:rFonts w:eastAsia="Times New Roman" w:cs="Times New Roman"/>
                <w:b w:val="0"/>
                <w:color w:val="000000"/>
                <w:szCs w:val="24"/>
                <w:lang w:eastAsia="en-MY"/>
              </w:rPr>
              <w:t>GPa</w:t>
            </w:r>
            <w:proofErr w:type="spellEnd"/>
            <w:r w:rsidRPr="000E2377">
              <w:rPr>
                <w:rFonts w:eastAsia="Times New Roman" w:cs="Times New Roman"/>
                <w:b w:val="0"/>
                <w:color w:val="000000"/>
                <w:szCs w:val="24"/>
                <w:lang w:eastAsia="en-MY"/>
              </w:rPr>
              <w:t>)</w:t>
            </w:r>
          </w:p>
        </w:tc>
        <w:tc>
          <w:tcPr>
            <w:tcW w:w="1560" w:type="dxa"/>
            <w:vMerge w:val="restart"/>
            <w:tcBorders>
              <w:top w:val="single" w:sz="4" w:space="0" w:color="auto"/>
              <w:left w:val="nil"/>
              <w:bottom w:val="single" w:sz="4" w:space="0" w:color="000000"/>
              <w:right w:val="nil"/>
            </w:tcBorders>
            <w:shd w:val="clear" w:color="auto" w:fill="auto"/>
            <w:vAlign w:val="center"/>
            <w:hideMark/>
          </w:tcPr>
          <w:p w14:paraId="2080D2E7"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Young's modulus, E (</w:t>
            </w:r>
            <w:proofErr w:type="spellStart"/>
            <w:r w:rsidRPr="000E2377">
              <w:rPr>
                <w:rFonts w:eastAsia="Times New Roman" w:cs="Times New Roman"/>
                <w:b w:val="0"/>
                <w:color w:val="000000"/>
                <w:szCs w:val="24"/>
                <w:lang w:eastAsia="en-MY"/>
              </w:rPr>
              <w:t>GPa</w:t>
            </w:r>
            <w:proofErr w:type="spellEnd"/>
            <w:r w:rsidRPr="000E2377">
              <w:rPr>
                <w:rFonts w:eastAsia="Times New Roman" w:cs="Times New Roman"/>
                <w:b w:val="0"/>
                <w:color w:val="000000"/>
                <w:szCs w:val="24"/>
                <w:lang w:eastAsia="en-MY"/>
              </w:rPr>
              <w:t>)</w:t>
            </w:r>
          </w:p>
        </w:tc>
        <w:tc>
          <w:tcPr>
            <w:tcW w:w="1701" w:type="dxa"/>
            <w:vMerge w:val="restart"/>
            <w:tcBorders>
              <w:top w:val="single" w:sz="4" w:space="0" w:color="auto"/>
              <w:left w:val="nil"/>
              <w:bottom w:val="single" w:sz="4" w:space="0" w:color="000000"/>
              <w:right w:val="nil"/>
            </w:tcBorders>
            <w:shd w:val="clear" w:color="auto" w:fill="auto"/>
            <w:vAlign w:val="center"/>
            <w:hideMark/>
          </w:tcPr>
          <w:p w14:paraId="0927B3AD"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Bulk modulus, K (</w:t>
            </w:r>
            <w:proofErr w:type="spellStart"/>
            <w:r w:rsidRPr="000E2377">
              <w:rPr>
                <w:rFonts w:eastAsia="Times New Roman" w:cs="Times New Roman"/>
                <w:b w:val="0"/>
                <w:color w:val="000000"/>
                <w:szCs w:val="24"/>
                <w:lang w:eastAsia="en-MY"/>
              </w:rPr>
              <w:t>GPa</w:t>
            </w:r>
            <w:proofErr w:type="spellEnd"/>
            <w:r w:rsidRPr="000E2377">
              <w:rPr>
                <w:rFonts w:eastAsia="Times New Roman" w:cs="Times New Roman"/>
                <w:b w:val="0"/>
                <w:color w:val="000000"/>
                <w:szCs w:val="24"/>
                <w:lang w:eastAsia="en-MY"/>
              </w:rPr>
              <w:t>)</w:t>
            </w:r>
          </w:p>
        </w:tc>
        <w:tc>
          <w:tcPr>
            <w:tcW w:w="1842" w:type="dxa"/>
            <w:vMerge w:val="restart"/>
            <w:tcBorders>
              <w:top w:val="single" w:sz="4" w:space="0" w:color="auto"/>
              <w:left w:val="nil"/>
              <w:bottom w:val="single" w:sz="4" w:space="0" w:color="000000"/>
              <w:right w:val="nil"/>
            </w:tcBorders>
            <w:shd w:val="clear" w:color="auto" w:fill="auto"/>
            <w:vAlign w:val="center"/>
            <w:hideMark/>
          </w:tcPr>
          <w:p w14:paraId="5324997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Poisson's ratio, ʋ</w:t>
            </w:r>
          </w:p>
        </w:tc>
      </w:tr>
      <w:tr w:rsidR="00CB5F95" w:rsidRPr="000E2377" w14:paraId="350CDDA5" w14:textId="77777777" w:rsidTr="00CB5F95">
        <w:trPr>
          <w:trHeight w:val="517"/>
          <w:jc w:val="center"/>
        </w:trPr>
        <w:tc>
          <w:tcPr>
            <w:tcW w:w="2510" w:type="dxa"/>
            <w:vMerge/>
            <w:tcBorders>
              <w:top w:val="single" w:sz="4" w:space="0" w:color="auto"/>
              <w:left w:val="nil"/>
              <w:bottom w:val="single" w:sz="4" w:space="0" w:color="000000"/>
              <w:right w:val="nil"/>
            </w:tcBorders>
            <w:vAlign w:val="center"/>
            <w:hideMark/>
          </w:tcPr>
          <w:p w14:paraId="722EAE44" w14:textId="77777777" w:rsidR="00CB5F95" w:rsidRPr="000E2377" w:rsidRDefault="00CB5F95" w:rsidP="00CB5F95">
            <w:pPr>
              <w:spacing w:after="0" w:line="240" w:lineRule="auto"/>
              <w:rPr>
                <w:rFonts w:eastAsia="Times New Roman" w:cs="Times New Roman"/>
                <w:b w:val="0"/>
                <w:color w:val="000000"/>
                <w:szCs w:val="24"/>
                <w:lang w:eastAsia="en-MY"/>
              </w:rPr>
            </w:pPr>
          </w:p>
        </w:tc>
        <w:tc>
          <w:tcPr>
            <w:tcW w:w="1459" w:type="dxa"/>
            <w:vMerge/>
            <w:tcBorders>
              <w:top w:val="single" w:sz="4" w:space="0" w:color="auto"/>
              <w:left w:val="nil"/>
              <w:bottom w:val="single" w:sz="4" w:space="0" w:color="000000"/>
              <w:right w:val="nil"/>
            </w:tcBorders>
            <w:vAlign w:val="center"/>
            <w:hideMark/>
          </w:tcPr>
          <w:p w14:paraId="03E062B7" w14:textId="77777777" w:rsidR="00CB5F95" w:rsidRPr="000E2377" w:rsidRDefault="00CB5F95" w:rsidP="00CB5F95">
            <w:pPr>
              <w:spacing w:after="0" w:line="240" w:lineRule="auto"/>
              <w:rPr>
                <w:rFonts w:eastAsia="Times New Roman" w:cs="Times New Roman"/>
                <w:b w:val="0"/>
                <w:color w:val="000000"/>
                <w:szCs w:val="24"/>
                <w:lang w:eastAsia="en-MY"/>
              </w:rPr>
            </w:pPr>
          </w:p>
        </w:tc>
        <w:tc>
          <w:tcPr>
            <w:tcW w:w="1560" w:type="dxa"/>
            <w:vMerge/>
            <w:tcBorders>
              <w:top w:val="single" w:sz="4" w:space="0" w:color="auto"/>
              <w:left w:val="nil"/>
              <w:bottom w:val="single" w:sz="4" w:space="0" w:color="000000"/>
              <w:right w:val="nil"/>
            </w:tcBorders>
            <w:vAlign w:val="center"/>
            <w:hideMark/>
          </w:tcPr>
          <w:p w14:paraId="5237AB45" w14:textId="77777777" w:rsidR="00CB5F95" w:rsidRPr="000E2377" w:rsidRDefault="00CB5F95" w:rsidP="00CB5F95">
            <w:pPr>
              <w:spacing w:after="0" w:line="240" w:lineRule="auto"/>
              <w:rPr>
                <w:rFonts w:eastAsia="Times New Roman" w:cs="Times New Roman"/>
                <w:b w:val="0"/>
                <w:color w:val="000000"/>
                <w:szCs w:val="24"/>
                <w:lang w:eastAsia="en-MY"/>
              </w:rPr>
            </w:pPr>
          </w:p>
        </w:tc>
        <w:tc>
          <w:tcPr>
            <w:tcW w:w="1701" w:type="dxa"/>
            <w:vMerge/>
            <w:tcBorders>
              <w:top w:val="single" w:sz="4" w:space="0" w:color="auto"/>
              <w:left w:val="nil"/>
              <w:bottom w:val="single" w:sz="4" w:space="0" w:color="000000"/>
              <w:right w:val="nil"/>
            </w:tcBorders>
            <w:vAlign w:val="center"/>
            <w:hideMark/>
          </w:tcPr>
          <w:p w14:paraId="3CB25706" w14:textId="77777777" w:rsidR="00CB5F95" w:rsidRPr="000E2377" w:rsidRDefault="00CB5F95" w:rsidP="00CB5F95">
            <w:pPr>
              <w:spacing w:after="0" w:line="240" w:lineRule="auto"/>
              <w:rPr>
                <w:rFonts w:eastAsia="Times New Roman" w:cs="Times New Roman"/>
                <w:b w:val="0"/>
                <w:color w:val="000000"/>
                <w:szCs w:val="24"/>
                <w:lang w:eastAsia="en-MY"/>
              </w:rPr>
            </w:pPr>
          </w:p>
        </w:tc>
        <w:tc>
          <w:tcPr>
            <w:tcW w:w="1842" w:type="dxa"/>
            <w:vMerge/>
            <w:tcBorders>
              <w:top w:val="single" w:sz="4" w:space="0" w:color="auto"/>
              <w:left w:val="nil"/>
              <w:bottom w:val="single" w:sz="4" w:space="0" w:color="000000"/>
              <w:right w:val="nil"/>
            </w:tcBorders>
            <w:vAlign w:val="center"/>
            <w:hideMark/>
          </w:tcPr>
          <w:p w14:paraId="20C15CAB" w14:textId="77777777" w:rsidR="00CB5F95" w:rsidRPr="000E2377" w:rsidRDefault="00CB5F95" w:rsidP="00CB5F95">
            <w:pPr>
              <w:spacing w:after="0" w:line="240" w:lineRule="auto"/>
              <w:rPr>
                <w:rFonts w:eastAsia="Times New Roman" w:cs="Times New Roman"/>
                <w:b w:val="0"/>
                <w:color w:val="000000"/>
                <w:szCs w:val="24"/>
                <w:lang w:eastAsia="en-MY"/>
              </w:rPr>
            </w:pPr>
          </w:p>
        </w:tc>
      </w:tr>
      <w:tr w:rsidR="00CB5F95" w:rsidRPr="000E2377" w14:paraId="77BC0C1F" w14:textId="77777777" w:rsidTr="00CB5F95">
        <w:trPr>
          <w:trHeight w:val="517"/>
          <w:jc w:val="center"/>
        </w:trPr>
        <w:tc>
          <w:tcPr>
            <w:tcW w:w="2510" w:type="dxa"/>
            <w:vMerge/>
            <w:tcBorders>
              <w:top w:val="single" w:sz="4" w:space="0" w:color="auto"/>
              <w:left w:val="nil"/>
              <w:bottom w:val="single" w:sz="4" w:space="0" w:color="000000"/>
              <w:right w:val="nil"/>
            </w:tcBorders>
            <w:vAlign w:val="center"/>
            <w:hideMark/>
          </w:tcPr>
          <w:p w14:paraId="499FCE65" w14:textId="77777777" w:rsidR="00CB5F95" w:rsidRPr="000E2377" w:rsidRDefault="00CB5F95" w:rsidP="00CB5F95">
            <w:pPr>
              <w:spacing w:after="0" w:line="240" w:lineRule="auto"/>
              <w:rPr>
                <w:rFonts w:eastAsia="Times New Roman" w:cs="Times New Roman"/>
                <w:b w:val="0"/>
                <w:color w:val="000000"/>
                <w:szCs w:val="24"/>
                <w:lang w:eastAsia="en-MY"/>
              </w:rPr>
            </w:pPr>
          </w:p>
        </w:tc>
        <w:tc>
          <w:tcPr>
            <w:tcW w:w="1459" w:type="dxa"/>
            <w:vMerge/>
            <w:tcBorders>
              <w:top w:val="single" w:sz="4" w:space="0" w:color="auto"/>
              <w:left w:val="nil"/>
              <w:bottom w:val="single" w:sz="4" w:space="0" w:color="000000"/>
              <w:right w:val="nil"/>
            </w:tcBorders>
            <w:vAlign w:val="center"/>
            <w:hideMark/>
          </w:tcPr>
          <w:p w14:paraId="12BDCF29" w14:textId="77777777" w:rsidR="00CB5F95" w:rsidRPr="000E2377" w:rsidRDefault="00CB5F95" w:rsidP="00CB5F95">
            <w:pPr>
              <w:spacing w:after="0" w:line="240" w:lineRule="auto"/>
              <w:rPr>
                <w:rFonts w:eastAsia="Times New Roman" w:cs="Times New Roman"/>
                <w:b w:val="0"/>
                <w:color w:val="000000"/>
                <w:szCs w:val="24"/>
                <w:lang w:eastAsia="en-MY"/>
              </w:rPr>
            </w:pPr>
          </w:p>
        </w:tc>
        <w:tc>
          <w:tcPr>
            <w:tcW w:w="1560" w:type="dxa"/>
            <w:vMerge/>
            <w:tcBorders>
              <w:top w:val="single" w:sz="4" w:space="0" w:color="auto"/>
              <w:left w:val="nil"/>
              <w:bottom w:val="single" w:sz="4" w:space="0" w:color="000000"/>
              <w:right w:val="nil"/>
            </w:tcBorders>
            <w:vAlign w:val="center"/>
            <w:hideMark/>
          </w:tcPr>
          <w:p w14:paraId="16C122E7" w14:textId="77777777" w:rsidR="00CB5F95" w:rsidRPr="000E2377" w:rsidRDefault="00CB5F95" w:rsidP="00CB5F95">
            <w:pPr>
              <w:spacing w:after="0" w:line="240" w:lineRule="auto"/>
              <w:rPr>
                <w:rFonts w:eastAsia="Times New Roman" w:cs="Times New Roman"/>
                <w:b w:val="0"/>
                <w:color w:val="000000"/>
                <w:szCs w:val="24"/>
                <w:lang w:eastAsia="en-MY"/>
              </w:rPr>
            </w:pPr>
          </w:p>
        </w:tc>
        <w:tc>
          <w:tcPr>
            <w:tcW w:w="1701" w:type="dxa"/>
            <w:vMerge/>
            <w:tcBorders>
              <w:top w:val="single" w:sz="4" w:space="0" w:color="auto"/>
              <w:left w:val="nil"/>
              <w:bottom w:val="single" w:sz="4" w:space="0" w:color="000000"/>
              <w:right w:val="nil"/>
            </w:tcBorders>
            <w:vAlign w:val="center"/>
            <w:hideMark/>
          </w:tcPr>
          <w:p w14:paraId="0A64A494" w14:textId="77777777" w:rsidR="00CB5F95" w:rsidRPr="000E2377" w:rsidRDefault="00CB5F95" w:rsidP="00CB5F95">
            <w:pPr>
              <w:spacing w:after="0" w:line="240" w:lineRule="auto"/>
              <w:rPr>
                <w:rFonts w:eastAsia="Times New Roman" w:cs="Times New Roman"/>
                <w:b w:val="0"/>
                <w:color w:val="000000"/>
                <w:szCs w:val="24"/>
                <w:lang w:eastAsia="en-MY"/>
              </w:rPr>
            </w:pPr>
          </w:p>
        </w:tc>
        <w:tc>
          <w:tcPr>
            <w:tcW w:w="1842" w:type="dxa"/>
            <w:vMerge/>
            <w:tcBorders>
              <w:top w:val="single" w:sz="4" w:space="0" w:color="auto"/>
              <w:left w:val="nil"/>
              <w:bottom w:val="single" w:sz="4" w:space="0" w:color="000000"/>
              <w:right w:val="nil"/>
            </w:tcBorders>
            <w:vAlign w:val="center"/>
            <w:hideMark/>
          </w:tcPr>
          <w:p w14:paraId="520A7F22" w14:textId="77777777" w:rsidR="00CB5F95" w:rsidRPr="000E2377" w:rsidRDefault="00CB5F95" w:rsidP="00CB5F95">
            <w:pPr>
              <w:spacing w:after="0" w:line="240" w:lineRule="auto"/>
              <w:rPr>
                <w:rFonts w:eastAsia="Times New Roman" w:cs="Times New Roman"/>
                <w:b w:val="0"/>
                <w:color w:val="000000"/>
                <w:szCs w:val="24"/>
                <w:lang w:eastAsia="en-MY"/>
              </w:rPr>
            </w:pPr>
          </w:p>
        </w:tc>
      </w:tr>
      <w:tr w:rsidR="00CB5F95" w:rsidRPr="000E2377" w14:paraId="16AFEEB7" w14:textId="77777777" w:rsidTr="00CB5F95">
        <w:trPr>
          <w:trHeight w:val="300"/>
          <w:jc w:val="center"/>
        </w:trPr>
        <w:tc>
          <w:tcPr>
            <w:tcW w:w="2510" w:type="dxa"/>
            <w:tcBorders>
              <w:top w:val="nil"/>
              <w:left w:val="nil"/>
              <w:bottom w:val="nil"/>
              <w:right w:val="nil"/>
            </w:tcBorders>
            <w:shd w:val="clear" w:color="auto" w:fill="auto"/>
            <w:vAlign w:val="center"/>
            <w:hideMark/>
          </w:tcPr>
          <w:p w14:paraId="0429FA20"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79.7</w:t>
            </w:r>
          </w:p>
        </w:tc>
        <w:tc>
          <w:tcPr>
            <w:tcW w:w="1459" w:type="dxa"/>
            <w:tcBorders>
              <w:top w:val="nil"/>
              <w:left w:val="nil"/>
              <w:bottom w:val="nil"/>
              <w:right w:val="nil"/>
            </w:tcBorders>
            <w:shd w:val="clear" w:color="auto" w:fill="auto"/>
            <w:vAlign w:val="center"/>
            <w:hideMark/>
          </w:tcPr>
          <w:p w14:paraId="596D50A6" w14:textId="77777777" w:rsidR="00CB5F95" w:rsidRPr="000E2377" w:rsidRDefault="00CB5F95" w:rsidP="00CB5F95">
            <w:pPr>
              <w:spacing w:after="0" w:line="240" w:lineRule="auto"/>
              <w:jc w:val="center"/>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nd</w:t>
            </w:r>
            <w:proofErr w:type="spellEnd"/>
          </w:p>
        </w:tc>
        <w:tc>
          <w:tcPr>
            <w:tcW w:w="1560" w:type="dxa"/>
            <w:tcBorders>
              <w:top w:val="nil"/>
              <w:left w:val="nil"/>
              <w:bottom w:val="nil"/>
              <w:right w:val="nil"/>
            </w:tcBorders>
            <w:shd w:val="clear" w:color="auto" w:fill="auto"/>
            <w:vAlign w:val="center"/>
            <w:hideMark/>
          </w:tcPr>
          <w:p w14:paraId="51BBE4E4" w14:textId="77777777" w:rsidR="00CB5F95" w:rsidRPr="000E2377" w:rsidRDefault="00CB5F95" w:rsidP="00CB5F95">
            <w:pPr>
              <w:spacing w:after="0" w:line="240" w:lineRule="auto"/>
              <w:jc w:val="center"/>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nd</w:t>
            </w:r>
            <w:proofErr w:type="spellEnd"/>
          </w:p>
        </w:tc>
        <w:tc>
          <w:tcPr>
            <w:tcW w:w="1701" w:type="dxa"/>
            <w:tcBorders>
              <w:top w:val="nil"/>
              <w:left w:val="nil"/>
              <w:bottom w:val="nil"/>
              <w:right w:val="nil"/>
            </w:tcBorders>
            <w:shd w:val="clear" w:color="auto" w:fill="auto"/>
            <w:vAlign w:val="center"/>
            <w:hideMark/>
          </w:tcPr>
          <w:p w14:paraId="3048F0F2" w14:textId="77777777" w:rsidR="00CB5F95" w:rsidRPr="000E2377" w:rsidRDefault="00CB5F95" w:rsidP="00CB5F95">
            <w:pPr>
              <w:spacing w:after="0" w:line="240" w:lineRule="auto"/>
              <w:jc w:val="center"/>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nd</w:t>
            </w:r>
            <w:proofErr w:type="spellEnd"/>
          </w:p>
        </w:tc>
        <w:tc>
          <w:tcPr>
            <w:tcW w:w="1842" w:type="dxa"/>
            <w:tcBorders>
              <w:top w:val="nil"/>
              <w:left w:val="nil"/>
              <w:bottom w:val="nil"/>
              <w:right w:val="nil"/>
            </w:tcBorders>
            <w:shd w:val="clear" w:color="auto" w:fill="auto"/>
            <w:vAlign w:val="center"/>
            <w:hideMark/>
          </w:tcPr>
          <w:p w14:paraId="79503FE3" w14:textId="77777777" w:rsidR="00CB5F95" w:rsidRPr="000E2377" w:rsidRDefault="00CB5F95" w:rsidP="00CB5F95">
            <w:pPr>
              <w:spacing w:after="0" w:line="240" w:lineRule="auto"/>
              <w:jc w:val="center"/>
              <w:rPr>
                <w:rFonts w:eastAsia="Times New Roman" w:cs="Times New Roman"/>
                <w:b w:val="0"/>
                <w:color w:val="000000"/>
                <w:szCs w:val="24"/>
                <w:lang w:eastAsia="en-MY"/>
              </w:rPr>
            </w:pPr>
            <w:proofErr w:type="spellStart"/>
            <w:r w:rsidRPr="000E2377">
              <w:rPr>
                <w:rFonts w:eastAsia="Times New Roman" w:cs="Times New Roman"/>
                <w:b w:val="0"/>
                <w:color w:val="000000"/>
                <w:szCs w:val="24"/>
                <w:lang w:eastAsia="en-MY"/>
              </w:rPr>
              <w:t>nd</w:t>
            </w:r>
            <w:proofErr w:type="spellEnd"/>
          </w:p>
        </w:tc>
      </w:tr>
      <w:tr w:rsidR="00CB5F95" w:rsidRPr="000E2377" w14:paraId="6917695E" w14:textId="77777777" w:rsidTr="00CB5F95">
        <w:trPr>
          <w:trHeight w:val="345"/>
          <w:jc w:val="center"/>
        </w:trPr>
        <w:tc>
          <w:tcPr>
            <w:tcW w:w="2510" w:type="dxa"/>
            <w:tcBorders>
              <w:top w:val="nil"/>
              <w:left w:val="nil"/>
              <w:bottom w:val="nil"/>
              <w:right w:val="nil"/>
            </w:tcBorders>
            <w:shd w:val="clear" w:color="auto" w:fill="auto"/>
            <w:vAlign w:val="center"/>
            <w:hideMark/>
          </w:tcPr>
          <w:p w14:paraId="766590B5"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78.2</w:t>
            </w:r>
            <w:r w:rsidRPr="000E2377">
              <w:rPr>
                <w:rFonts w:eastAsia="Times New Roman" w:cs="Times New Roman"/>
                <w:b w:val="0"/>
                <w:color w:val="000000"/>
                <w:szCs w:val="24"/>
                <w:lang w:eastAsia="en-MY"/>
              </w:rPr>
              <w:t xml:space="preserve"> </w:t>
            </w:r>
          </w:p>
        </w:tc>
        <w:tc>
          <w:tcPr>
            <w:tcW w:w="1459" w:type="dxa"/>
            <w:tcBorders>
              <w:top w:val="nil"/>
              <w:left w:val="nil"/>
              <w:bottom w:val="nil"/>
              <w:right w:val="nil"/>
            </w:tcBorders>
            <w:shd w:val="clear" w:color="auto" w:fill="auto"/>
            <w:noWrap/>
            <w:vAlign w:val="center"/>
            <w:hideMark/>
          </w:tcPr>
          <w:p w14:paraId="316D72BB"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29.81 ± 0.28</w:t>
            </w:r>
          </w:p>
        </w:tc>
        <w:tc>
          <w:tcPr>
            <w:tcW w:w="1560" w:type="dxa"/>
            <w:tcBorders>
              <w:top w:val="nil"/>
              <w:left w:val="nil"/>
              <w:bottom w:val="nil"/>
              <w:right w:val="nil"/>
            </w:tcBorders>
            <w:shd w:val="clear" w:color="auto" w:fill="auto"/>
            <w:noWrap/>
            <w:vAlign w:val="center"/>
            <w:hideMark/>
          </w:tcPr>
          <w:p w14:paraId="4ED736E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71.70 ± 0.03</w:t>
            </w:r>
          </w:p>
        </w:tc>
        <w:tc>
          <w:tcPr>
            <w:tcW w:w="1701" w:type="dxa"/>
            <w:tcBorders>
              <w:top w:val="nil"/>
              <w:left w:val="nil"/>
              <w:bottom w:val="nil"/>
              <w:right w:val="nil"/>
            </w:tcBorders>
            <w:shd w:val="clear" w:color="auto" w:fill="auto"/>
            <w:noWrap/>
            <w:vAlign w:val="center"/>
            <w:hideMark/>
          </w:tcPr>
          <w:p w14:paraId="3161A331"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40.17 ± 0.32</w:t>
            </w:r>
          </w:p>
        </w:tc>
        <w:tc>
          <w:tcPr>
            <w:tcW w:w="1842" w:type="dxa"/>
            <w:tcBorders>
              <w:top w:val="nil"/>
              <w:left w:val="nil"/>
              <w:bottom w:val="nil"/>
              <w:right w:val="nil"/>
            </w:tcBorders>
            <w:shd w:val="clear" w:color="auto" w:fill="auto"/>
            <w:noWrap/>
            <w:vAlign w:val="center"/>
            <w:hideMark/>
          </w:tcPr>
          <w:p w14:paraId="09BE6AE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0.203 ± 0.003</w:t>
            </w:r>
          </w:p>
        </w:tc>
      </w:tr>
      <w:tr w:rsidR="00CB5F95" w:rsidRPr="000E2377" w14:paraId="4AAFA2A0" w14:textId="77777777" w:rsidTr="00CB5F95">
        <w:trPr>
          <w:trHeight w:val="315"/>
          <w:jc w:val="center"/>
        </w:trPr>
        <w:tc>
          <w:tcPr>
            <w:tcW w:w="2510" w:type="dxa"/>
            <w:tcBorders>
              <w:top w:val="nil"/>
              <w:left w:val="nil"/>
              <w:bottom w:val="nil"/>
              <w:right w:val="nil"/>
            </w:tcBorders>
            <w:shd w:val="clear" w:color="auto" w:fill="auto"/>
            <w:vAlign w:val="center"/>
            <w:hideMark/>
          </w:tcPr>
          <w:p w14:paraId="4232325C"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75.7</w:t>
            </w:r>
            <w:r w:rsidRPr="000E2377">
              <w:rPr>
                <w:rFonts w:eastAsia="Times New Roman" w:cs="Times New Roman"/>
                <w:b w:val="0"/>
                <w:color w:val="000000"/>
                <w:szCs w:val="24"/>
                <w:lang w:eastAsia="en-MY"/>
              </w:rPr>
              <w:t xml:space="preserve"> </w:t>
            </w:r>
          </w:p>
        </w:tc>
        <w:tc>
          <w:tcPr>
            <w:tcW w:w="1459" w:type="dxa"/>
            <w:tcBorders>
              <w:top w:val="nil"/>
              <w:left w:val="nil"/>
              <w:bottom w:val="nil"/>
              <w:right w:val="nil"/>
            </w:tcBorders>
            <w:shd w:val="clear" w:color="auto" w:fill="auto"/>
            <w:noWrap/>
            <w:vAlign w:val="center"/>
            <w:hideMark/>
          </w:tcPr>
          <w:p w14:paraId="1AC2CCE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27.25 ± 0.33</w:t>
            </w:r>
          </w:p>
        </w:tc>
        <w:tc>
          <w:tcPr>
            <w:tcW w:w="1560" w:type="dxa"/>
            <w:tcBorders>
              <w:top w:val="nil"/>
              <w:left w:val="nil"/>
              <w:bottom w:val="nil"/>
              <w:right w:val="nil"/>
            </w:tcBorders>
            <w:shd w:val="clear" w:color="auto" w:fill="auto"/>
            <w:noWrap/>
            <w:vAlign w:val="center"/>
            <w:hideMark/>
          </w:tcPr>
          <w:p w14:paraId="3E3AF5A9"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66.27 ± 0.04</w:t>
            </w:r>
          </w:p>
        </w:tc>
        <w:tc>
          <w:tcPr>
            <w:tcW w:w="1701" w:type="dxa"/>
            <w:tcBorders>
              <w:top w:val="nil"/>
              <w:left w:val="nil"/>
              <w:bottom w:val="nil"/>
              <w:right w:val="nil"/>
            </w:tcBorders>
            <w:shd w:val="clear" w:color="auto" w:fill="auto"/>
            <w:noWrap/>
            <w:vAlign w:val="center"/>
            <w:hideMark/>
          </w:tcPr>
          <w:p w14:paraId="76EF1C0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38.93 ± 0.29</w:t>
            </w:r>
          </w:p>
        </w:tc>
        <w:tc>
          <w:tcPr>
            <w:tcW w:w="1842" w:type="dxa"/>
            <w:tcBorders>
              <w:top w:val="nil"/>
              <w:left w:val="nil"/>
              <w:bottom w:val="nil"/>
              <w:right w:val="nil"/>
            </w:tcBorders>
            <w:shd w:val="clear" w:color="auto" w:fill="auto"/>
            <w:noWrap/>
            <w:vAlign w:val="center"/>
            <w:hideMark/>
          </w:tcPr>
          <w:p w14:paraId="4E1304E5"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0.216 ± 0.003</w:t>
            </w:r>
          </w:p>
        </w:tc>
      </w:tr>
      <w:tr w:rsidR="00CB5F95" w:rsidRPr="000E2377" w14:paraId="3B3C1771" w14:textId="77777777" w:rsidTr="00CB5F95">
        <w:trPr>
          <w:trHeight w:val="330"/>
          <w:jc w:val="center"/>
        </w:trPr>
        <w:tc>
          <w:tcPr>
            <w:tcW w:w="2510" w:type="dxa"/>
            <w:tcBorders>
              <w:top w:val="nil"/>
              <w:left w:val="nil"/>
              <w:bottom w:val="nil"/>
              <w:right w:val="nil"/>
            </w:tcBorders>
            <w:shd w:val="clear" w:color="auto" w:fill="auto"/>
            <w:vAlign w:val="center"/>
            <w:hideMark/>
          </w:tcPr>
          <w:p w14:paraId="4EFEC15F"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75.5</w:t>
            </w:r>
          </w:p>
        </w:tc>
        <w:tc>
          <w:tcPr>
            <w:tcW w:w="1459" w:type="dxa"/>
            <w:tcBorders>
              <w:top w:val="nil"/>
              <w:left w:val="nil"/>
              <w:bottom w:val="nil"/>
              <w:right w:val="nil"/>
            </w:tcBorders>
            <w:shd w:val="clear" w:color="auto" w:fill="auto"/>
            <w:noWrap/>
            <w:vAlign w:val="center"/>
            <w:hideMark/>
          </w:tcPr>
          <w:p w14:paraId="1E4D2CE9"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27.36 ± 0.34</w:t>
            </w:r>
          </w:p>
        </w:tc>
        <w:tc>
          <w:tcPr>
            <w:tcW w:w="1560" w:type="dxa"/>
            <w:tcBorders>
              <w:top w:val="nil"/>
              <w:left w:val="nil"/>
              <w:bottom w:val="nil"/>
              <w:right w:val="nil"/>
            </w:tcBorders>
            <w:shd w:val="clear" w:color="auto" w:fill="auto"/>
            <w:noWrap/>
            <w:vAlign w:val="center"/>
            <w:hideMark/>
          </w:tcPr>
          <w:p w14:paraId="11C0A07E"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66.65 ± 0.04</w:t>
            </w:r>
          </w:p>
        </w:tc>
        <w:tc>
          <w:tcPr>
            <w:tcW w:w="1701" w:type="dxa"/>
            <w:tcBorders>
              <w:top w:val="nil"/>
              <w:left w:val="nil"/>
              <w:bottom w:val="nil"/>
              <w:right w:val="nil"/>
            </w:tcBorders>
            <w:shd w:val="clear" w:color="auto" w:fill="auto"/>
            <w:noWrap/>
            <w:vAlign w:val="center"/>
            <w:hideMark/>
          </w:tcPr>
          <w:p w14:paraId="25D9BDF1"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39.35 ± 0.31</w:t>
            </w:r>
          </w:p>
        </w:tc>
        <w:tc>
          <w:tcPr>
            <w:tcW w:w="1842" w:type="dxa"/>
            <w:tcBorders>
              <w:top w:val="nil"/>
              <w:left w:val="nil"/>
              <w:bottom w:val="nil"/>
              <w:right w:val="nil"/>
            </w:tcBorders>
            <w:shd w:val="clear" w:color="auto" w:fill="auto"/>
            <w:noWrap/>
            <w:vAlign w:val="center"/>
            <w:hideMark/>
          </w:tcPr>
          <w:p w14:paraId="2D589AEC"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0.218 ± 0.003</w:t>
            </w:r>
          </w:p>
        </w:tc>
      </w:tr>
      <w:tr w:rsidR="00CB5F95" w:rsidRPr="000E2377" w14:paraId="3A3BE239" w14:textId="77777777" w:rsidTr="00CB5F95">
        <w:trPr>
          <w:trHeight w:val="375"/>
          <w:jc w:val="center"/>
        </w:trPr>
        <w:tc>
          <w:tcPr>
            <w:tcW w:w="2510" w:type="dxa"/>
            <w:tcBorders>
              <w:top w:val="nil"/>
              <w:left w:val="nil"/>
              <w:bottom w:val="single" w:sz="4" w:space="0" w:color="auto"/>
              <w:right w:val="nil"/>
            </w:tcBorders>
            <w:shd w:val="clear" w:color="auto" w:fill="auto"/>
            <w:vAlign w:val="center"/>
            <w:hideMark/>
          </w:tcPr>
          <w:p w14:paraId="0B5C1D60"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73.2</w:t>
            </w:r>
          </w:p>
        </w:tc>
        <w:tc>
          <w:tcPr>
            <w:tcW w:w="1459" w:type="dxa"/>
            <w:tcBorders>
              <w:top w:val="nil"/>
              <w:left w:val="nil"/>
              <w:bottom w:val="single" w:sz="4" w:space="0" w:color="auto"/>
              <w:right w:val="nil"/>
            </w:tcBorders>
            <w:shd w:val="clear" w:color="auto" w:fill="auto"/>
            <w:noWrap/>
            <w:vAlign w:val="center"/>
            <w:hideMark/>
          </w:tcPr>
          <w:p w14:paraId="67DF9EC0"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27.87 ± 0.27</w:t>
            </w:r>
          </w:p>
        </w:tc>
        <w:tc>
          <w:tcPr>
            <w:tcW w:w="1560" w:type="dxa"/>
            <w:tcBorders>
              <w:top w:val="nil"/>
              <w:left w:val="nil"/>
              <w:bottom w:val="single" w:sz="4" w:space="0" w:color="auto"/>
              <w:right w:val="nil"/>
            </w:tcBorders>
            <w:shd w:val="clear" w:color="auto" w:fill="auto"/>
            <w:noWrap/>
            <w:vAlign w:val="center"/>
            <w:hideMark/>
          </w:tcPr>
          <w:p w14:paraId="08DA126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67.55 ± 0.03</w:t>
            </w:r>
          </w:p>
        </w:tc>
        <w:tc>
          <w:tcPr>
            <w:tcW w:w="1701" w:type="dxa"/>
            <w:tcBorders>
              <w:top w:val="nil"/>
              <w:left w:val="nil"/>
              <w:bottom w:val="single" w:sz="4" w:space="0" w:color="auto"/>
              <w:right w:val="nil"/>
            </w:tcBorders>
            <w:shd w:val="clear" w:color="auto" w:fill="auto"/>
            <w:noWrap/>
            <w:vAlign w:val="center"/>
            <w:hideMark/>
          </w:tcPr>
          <w:p w14:paraId="3100CD6A"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39.06 ± 0.31</w:t>
            </w:r>
          </w:p>
        </w:tc>
        <w:tc>
          <w:tcPr>
            <w:tcW w:w="1842" w:type="dxa"/>
            <w:tcBorders>
              <w:top w:val="nil"/>
              <w:left w:val="nil"/>
              <w:bottom w:val="single" w:sz="4" w:space="0" w:color="auto"/>
              <w:right w:val="nil"/>
            </w:tcBorders>
            <w:shd w:val="clear" w:color="auto" w:fill="auto"/>
            <w:noWrap/>
            <w:vAlign w:val="center"/>
            <w:hideMark/>
          </w:tcPr>
          <w:p w14:paraId="06D526BD"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0.212 ± 0.003</w:t>
            </w:r>
          </w:p>
        </w:tc>
      </w:tr>
      <w:tr w:rsidR="00CB5F95" w:rsidRPr="000E2377" w14:paraId="75734CD9" w14:textId="77777777" w:rsidTr="00CB5F95">
        <w:trPr>
          <w:trHeight w:val="315"/>
          <w:jc w:val="center"/>
        </w:trPr>
        <w:tc>
          <w:tcPr>
            <w:tcW w:w="2510" w:type="dxa"/>
            <w:tcBorders>
              <w:top w:val="nil"/>
              <w:left w:val="nil"/>
              <w:bottom w:val="nil"/>
              <w:right w:val="nil"/>
            </w:tcBorders>
            <w:shd w:val="clear" w:color="auto" w:fill="auto"/>
            <w:vAlign w:val="center"/>
            <w:hideMark/>
          </w:tcPr>
          <w:p w14:paraId="26627C13"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p>
        </w:tc>
        <w:tc>
          <w:tcPr>
            <w:tcW w:w="1459" w:type="dxa"/>
            <w:tcBorders>
              <w:top w:val="nil"/>
              <w:left w:val="nil"/>
              <w:bottom w:val="nil"/>
              <w:right w:val="nil"/>
            </w:tcBorders>
            <w:shd w:val="clear" w:color="auto" w:fill="auto"/>
            <w:noWrap/>
            <w:vAlign w:val="center"/>
            <w:hideMark/>
          </w:tcPr>
          <w:p w14:paraId="2B3EB6CD"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27.36 ± 0.27</w:t>
            </w:r>
          </w:p>
        </w:tc>
        <w:tc>
          <w:tcPr>
            <w:tcW w:w="1560" w:type="dxa"/>
            <w:tcBorders>
              <w:top w:val="nil"/>
              <w:left w:val="nil"/>
              <w:bottom w:val="nil"/>
              <w:right w:val="nil"/>
            </w:tcBorders>
            <w:shd w:val="clear" w:color="auto" w:fill="auto"/>
            <w:noWrap/>
            <w:vAlign w:val="center"/>
            <w:hideMark/>
          </w:tcPr>
          <w:p w14:paraId="1FF79E6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67.90 ± 0.03</w:t>
            </w:r>
          </w:p>
        </w:tc>
        <w:tc>
          <w:tcPr>
            <w:tcW w:w="1701" w:type="dxa"/>
            <w:tcBorders>
              <w:top w:val="nil"/>
              <w:left w:val="nil"/>
              <w:bottom w:val="nil"/>
              <w:right w:val="nil"/>
            </w:tcBorders>
            <w:shd w:val="clear" w:color="auto" w:fill="auto"/>
            <w:noWrap/>
            <w:vAlign w:val="center"/>
            <w:hideMark/>
          </w:tcPr>
          <w:p w14:paraId="7984BDA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43.67 ± 0.34</w:t>
            </w:r>
          </w:p>
        </w:tc>
        <w:tc>
          <w:tcPr>
            <w:tcW w:w="1842" w:type="dxa"/>
            <w:tcBorders>
              <w:top w:val="nil"/>
              <w:left w:val="nil"/>
              <w:bottom w:val="nil"/>
              <w:right w:val="nil"/>
            </w:tcBorders>
            <w:shd w:val="clear" w:color="auto" w:fill="auto"/>
            <w:noWrap/>
            <w:vAlign w:val="center"/>
            <w:hideMark/>
          </w:tcPr>
          <w:p w14:paraId="746C2FD1"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0.241 ± 0.003</w:t>
            </w:r>
          </w:p>
        </w:tc>
      </w:tr>
      <w:tr w:rsidR="00CB5F95" w:rsidRPr="000E2377" w14:paraId="452E8092" w14:textId="77777777" w:rsidTr="00CB5F95">
        <w:trPr>
          <w:trHeight w:val="300"/>
          <w:jc w:val="center"/>
        </w:trPr>
        <w:tc>
          <w:tcPr>
            <w:tcW w:w="2510" w:type="dxa"/>
            <w:tcBorders>
              <w:top w:val="nil"/>
              <w:left w:val="nil"/>
              <w:bottom w:val="single" w:sz="4" w:space="0" w:color="auto"/>
              <w:right w:val="nil"/>
            </w:tcBorders>
            <w:shd w:val="clear" w:color="auto" w:fill="auto"/>
            <w:vAlign w:val="center"/>
            <w:hideMark/>
          </w:tcPr>
          <w:p w14:paraId="63581EA3"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p>
        </w:tc>
        <w:tc>
          <w:tcPr>
            <w:tcW w:w="1459" w:type="dxa"/>
            <w:tcBorders>
              <w:top w:val="nil"/>
              <w:left w:val="nil"/>
              <w:bottom w:val="single" w:sz="4" w:space="0" w:color="auto"/>
              <w:right w:val="nil"/>
            </w:tcBorders>
            <w:shd w:val="clear" w:color="auto" w:fill="auto"/>
            <w:noWrap/>
            <w:vAlign w:val="center"/>
            <w:hideMark/>
          </w:tcPr>
          <w:p w14:paraId="469C2C2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28.50 ± 0.44</w:t>
            </w:r>
          </w:p>
        </w:tc>
        <w:tc>
          <w:tcPr>
            <w:tcW w:w="1560" w:type="dxa"/>
            <w:tcBorders>
              <w:top w:val="nil"/>
              <w:left w:val="nil"/>
              <w:bottom w:val="single" w:sz="4" w:space="0" w:color="auto"/>
              <w:right w:val="nil"/>
            </w:tcBorders>
            <w:shd w:val="clear" w:color="auto" w:fill="auto"/>
            <w:noWrap/>
            <w:vAlign w:val="center"/>
            <w:hideMark/>
          </w:tcPr>
          <w:p w14:paraId="7056C54F"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69.49 ± 0.05</w:t>
            </w:r>
          </w:p>
        </w:tc>
        <w:tc>
          <w:tcPr>
            <w:tcW w:w="1701" w:type="dxa"/>
            <w:tcBorders>
              <w:top w:val="nil"/>
              <w:left w:val="nil"/>
              <w:bottom w:val="single" w:sz="4" w:space="0" w:color="auto"/>
              <w:right w:val="nil"/>
            </w:tcBorders>
            <w:shd w:val="clear" w:color="auto" w:fill="auto"/>
            <w:noWrap/>
            <w:vAlign w:val="center"/>
            <w:hideMark/>
          </w:tcPr>
          <w:p w14:paraId="4BDC4C2D"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41.24 ± 0.32</w:t>
            </w:r>
          </w:p>
        </w:tc>
        <w:tc>
          <w:tcPr>
            <w:tcW w:w="1842" w:type="dxa"/>
            <w:tcBorders>
              <w:top w:val="nil"/>
              <w:left w:val="nil"/>
              <w:bottom w:val="single" w:sz="4" w:space="0" w:color="auto"/>
              <w:right w:val="nil"/>
            </w:tcBorders>
            <w:shd w:val="clear" w:color="auto" w:fill="auto"/>
            <w:noWrap/>
            <w:vAlign w:val="center"/>
            <w:hideMark/>
          </w:tcPr>
          <w:p w14:paraId="5D634A8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0.219 ± 0.003</w:t>
            </w:r>
          </w:p>
        </w:tc>
      </w:tr>
      <w:tr w:rsidR="00CB5F95" w:rsidRPr="000E2377" w14:paraId="486D906E" w14:textId="77777777" w:rsidTr="00CB5F95">
        <w:trPr>
          <w:trHeight w:val="315"/>
          <w:jc w:val="center"/>
        </w:trPr>
        <w:tc>
          <w:tcPr>
            <w:tcW w:w="2510" w:type="dxa"/>
            <w:tcBorders>
              <w:top w:val="nil"/>
              <w:left w:val="nil"/>
              <w:bottom w:val="nil"/>
              <w:right w:val="nil"/>
            </w:tcBorders>
            <w:shd w:val="clear" w:color="auto" w:fill="auto"/>
            <w:vAlign w:val="center"/>
            <w:hideMark/>
          </w:tcPr>
          <w:p w14:paraId="240739FB"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459" w:type="dxa"/>
            <w:tcBorders>
              <w:top w:val="nil"/>
              <w:left w:val="nil"/>
              <w:bottom w:val="nil"/>
              <w:right w:val="nil"/>
            </w:tcBorders>
            <w:shd w:val="clear" w:color="auto" w:fill="auto"/>
            <w:noWrap/>
            <w:vAlign w:val="center"/>
            <w:hideMark/>
          </w:tcPr>
          <w:p w14:paraId="44481CF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26.69 ± 0.27</w:t>
            </w:r>
          </w:p>
        </w:tc>
        <w:tc>
          <w:tcPr>
            <w:tcW w:w="1560" w:type="dxa"/>
            <w:tcBorders>
              <w:top w:val="nil"/>
              <w:left w:val="nil"/>
              <w:bottom w:val="nil"/>
              <w:right w:val="nil"/>
            </w:tcBorders>
            <w:shd w:val="clear" w:color="auto" w:fill="auto"/>
            <w:noWrap/>
            <w:vAlign w:val="center"/>
            <w:hideMark/>
          </w:tcPr>
          <w:p w14:paraId="1D8BEDD9"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66.83 ± 0.03</w:t>
            </w:r>
          </w:p>
        </w:tc>
        <w:tc>
          <w:tcPr>
            <w:tcW w:w="1701" w:type="dxa"/>
            <w:tcBorders>
              <w:top w:val="nil"/>
              <w:left w:val="nil"/>
              <w:bottom w:val="nil"/>
              <w:right w:val="nil"/>
            </w:tcBorders>
            <w:shd w:val="clear" w:color="auto" w:fill="auto"/>
            <w:noWrap/>
            <w:vAlign w:val="center"/>
            <w:hideMark/>
          </w:tcPr>
          <w:p w14:paraId="1C306790"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44.86 ± 0.35</w:t>
            </w:r>
          </w:p>
        </w:tc>
        <w:tc>
          <w:tcPr>
            <w:tcW w:w="1842" w:type="dxa"/>
            <w:tcBorders>
              <w:top w:val="nil"/>
              <w:left w:val="nil"/>
              <w:bottom w:val="nil"/>
              <w:right w:val="nil"/>
            </w:tcBorders>
            <w:shd w:val="clear" w:color="auto" w:fill="auto"/>
            <w:noWrap/>
            <w:vAlign w:val="center"/>
            <w:hideMark/>
          </w:tcPr>
          <w:p w14:paraId="0801CEF7"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0.252 ± 0.003</w:t>
            </w:r>
          </w:p>
        </w:tc>
      </w:tr>
      <w:tr w:rsidR="00CB5F95" w:rsidRPr="000E2377" w14:paraId="748C92F3" w14:textId="77777777" w:rsidTr="00CB5F95">
        <w:trPr>
          <w:trHeight w:val="360"/>
          <w:jc w:val="center"/>
        </w:trPr>
        <w:tc>
          <w:tcPr>
            <w:tcW w:w="2510" w:type="dxa"/>
            <w:tcBorders>
              <w:top w:val="nil"/>
              <w:left w:val="nil"/>
              <w:bottom w:val="nil"/>
              <w:right w:val="nil"/>
            </w:tcBorders>
            <w:shd w:val="clear" w:color="auto" w:fill="auto"/>
            <w:vAlign w:val="center"/>
            <w:hideMark/>
          </w:tcPr>
          <w:p w14:paraId="2E4A965E"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459" w:type="dxa"/>
            <w:tcBorders>
              <w:top w:val="nil"/>
              <w:left w:val="nil"/>
              <w:bottom w:val="nil"/>
              <w:right w:val="nil"/>
            </w:tcBorders>
            <w:shd w:val="clear" w:color="auto" w:fill="auto"/>
            <w:noWrap/>
            <w:vAlign w:val="center"/>
            <w:hideMark/>
          </w:tcPr>
          <w:p w14:paraId="7E7755C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28.25 ± 0.28</w:t>
            </w:r>
          </w:p>
        </w:tc>
        <w:tc>
          <w:tcPr>
            <w:tcW w:w="1560" w:type="dxa"/>
            <w:tcBorders>
              <w:top w:val="nil"/>
              <w:left w:val="nil"/>
              <w:bottom w:val="nil"/>
              <w:right w:val="nil"/>
            </w:tcBorders>
            <w:shd w:val="clear" w:color="auto" w:fill="auto"/>
            <w:noWrap/>
            <w:vAlign w:val="center"/>
            <w:hideMark/>
          </w:tcPr>
          <w:p w14:paraId="4322DE5B"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69.71 ± 0.03</w:t>
            </w:r>
          </w:p>
        </w:tc>
        <w:tc>
          <w:tcPr>
            <w:tcW w:w="1701" w:type="dxa"/>
            <w:tcBorders>
              <w:top w:val="nil"/>
              <w:left w:val="nil"/>
              <w:bottom w:val="nil"/>
              <w:right w:val="nil"/>
            </w:tcBorders>
            <w:shd w:val="clear" w:color="auto" w:fill="auto"/>
            <w:noWrap/>
            <w:vAlign w:val="center"/>
            <w:hideMark/>
          </w:tcPr>
          <w:p w14:paraId="2BB916E9"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43.63 ± 0.34</w:t>
            </w:r>
          </w:p>
        </w:tc>
        <w:tc>
          <w:tcPr>
            <w:tcW w:w="1842" w:type="dxa"/>
            <w:tcBorders>
              <w:top w:val="nil"/>
              <w:left w:val="nil"/>
              <w:bottom w:val="nil"/>
              <w:right w:val="nil"/>
            </w:tcBorders>
            <w:shd w:val="clear" w:color="auto" w:fill="auto"/>
            <w:noWrap/>
            <w:vAlign w:val="center"/>
            <w:hideMark/>
          </w:tcPr>
          <w:p w14:paraId="76B0B7EA"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0.234 ± 0.003</w:t>
            </w:r>
          </w:p>
        </w:tc>
      </w:tr>
      <w:tr w:rsidR="00CB5F95" w:rsidRPr="000E2377" w14:paraId="33D941B2" w14:textId="77777777" w:rsidTr="00CB5F95">
        <w:trPr>
          <w:trHeight w:val="300"/>
          <w:jc w:val="center"/>
        </w:trPr>
        <w:tc>
          <w:tcPr>
            <w:tcW w:w="2510" w:type="dxa"/>
            <w:tcBorders>
              <w:top w:val="nil"/>
              <w:left w:val="nil"/>
              <w:bottom w:val="single" w:sz="4" w:space="0" w:color="auto"/>
              <w:right w:val="nil"/>
            </w:tcBorders>
            <w:shd w:val="clear" w:color="auto" w:fill="auto"/>
            <w:vAlign w:val="center"/>
            <w:hideMark/>
          </w:tcPr>
          <w:p w14:paraId="4FEE79B9"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459" w:type="dxa"/>
            <w:tcBorders>
              <w:top w:val="nil"/>
              <w:left w:val="nil"/>
              <w:bottom w:val="single" w:sz="4" w:space="0" w:color="auto"/>
              <w:right w:val="nil"/>
            </w:tcBorders>
            <w:shd w:val="clear" w:color="auto" w:fill="auto"/>
            <w:noWrap/>
            <w:vAlign w:val="center"/>
            <w:hideMark/>
          </w:tcPr>
          <w:p w14:paraId="0AC09B62"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28.38 ± 0.36</w:t>
            </w:r>
          </w:p>
        </w:tc>
        <w:tc>
          <w:tcPr>
            <w:tcW w:w="1560" w:type="dxa"/>
            <w:tcBorders>
              <w:top w:val="nil"/>
              <w:left w:val="nil"/>
              <w:bottom w:val="single" w:sz="4" w:space="0" w:color="auto"/>
              <w:right w:val="nil"/>
            </w:tcBorders>
            <w:shd w:val="clear" w:color="auto" w:fill="auto"/>
            <w:noWrap/>
            <w:vAlign w:val="center"/>
            <w:hideMark/>
          </w:tcPr>
          <w:p w14:paraId="1A15A4AB"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69.95 ± 0.04</w:t>
            </w:r>
          </w:p>
        </w:tc>
        <w:tc>
          <w:tcPr>
            <w:tcW w:w="1701" w:type="dxa"/>
            <w:tcBorders>
              <w:top w:val="nil"/>
              <w:left w:val="nil"/>
              <w:bottom w:val="single" w:sz="4" w:space="0" w:color="auto"/>
              <w:right w:val="nil"/>
            </w:tcBorders>
            <w:shd w:val="clear" w:color="auto" w:fill="auto"/>
            <w:noWrap/>
            <w:vAlign w:val="center"/>
            <w:hideMark/>
          </w:tcPr>
          <w:p w14:paraId="4B5AF21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43.56 ± 0.34</w:t>
            </w:r>
          </w:p>
        </w:tc>
        <w:tc>
          <w:tcPr>
            <w:tcW w:w="1842" w:type="dxa"/>
            <w:tcBorders>
              <w:top w:val="nil"/>
              <w:left w:val="nil"/>
              <w:bottom w:val="single" w:sz="4" w:space="0" w:color="auto"/>
              <w:right w:val="nil"/>
            </w:tcBorders>
            <w:shd w:val="clear" w:color="auto" w:fill="auto"/>
            <w:noWrap/>
            <w:vAlign w:val="center"/>
            <w:hideMark/>
          </w:tcPr>
          <w:p w14:paraId="7B061825"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0.232 ± 0.003</w:t>
            </w:r>
          </w:p>
        </w:tc>
      </w:tr>
      <w:tr w:rsidR="00CB5F95" w:rsidRPr="000E2377" w14:paraId="1A4ADC4B" w14:textId="77777777" w:rsidTr="00CB5F95">
        <w:trPr>
          <w:trHeight w:val="315"/>
          <w:jc w:val="center"/>
        </w:trPr>
        <w:tc>
          <w:tcPr>
            <w:tcW w:w="2510" w:type="dxa"/>
            <w:tcBorders>
              <w:top w:val="nil"/>
              <w:left w:val="nil"/>
              <w:bottom w:val="nil"/>
              <w:right w:val="nil"/>
            </w:tcBorders>
            <w:shd w:val="clear" w:color="auto" w:fill="auto"/>
            <w:vAlign w:val="center"/>
            <w:hideMark/>
          </w:tcPr>
          <w:p w14:paraId="30BA260D"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459" w:type="dxa"/>
            <w:tcBorders>
              <w:top w:val="nil"/>
              <w:left w:val="nil"/>
              <w:bottom w:val="nil"/>
              <w:right w:val="nil"/>
            </w:tcBorders>
            <w:shd w:val="clear" w:color="auto" w:fill="auto"/>
            <w:noWrap/>
            <w:vAlign w:val="center"/>
            <w:hideMark/>
          </w:tcPr>
          <w:p w14:paraId="7052992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28.48 ± 0.36</w:t>
            </w:r>
          </w:p>
        </w:tc>
        <w:tc>
          <w:tcPr>
            <w:tcW w:w="1560" w:type="dxa"/>
            <w:tcBorders>
              <w:top w:val="nil"/>
              <w:left w:val="nil"/>
              <w:bottom w:val="nil"/>
              <w:right w:val="nil"/>
            </w:tcBorders>
            <w:shd w:val="clear" w:color="auto" w:fill="auto"/>
            <w:noWrap/>
            <w:vAlign w:val="center"/>
            <w:hideMark/>
          </w:tcPr>
          <w:p w14:paraId="2BC9BA71"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71.08 ± 0.04</w:t>
            </w:r>
          </w:p>
        </w:tc>
        <w:tc>
          <w:tcPr>
            <w:tcW w:w="1701" w:type="dxa"/>
            <w:tcBorders>
              <w:top w:val="nil"/>
              <w:left w:val="nil"/>
              <w:bottom w:val="nil"/>
              <w:right w:val="nil"/>
            </w:tcBorders>
            <w:shd w:val="clear" w:color="auto" w:fill="auto"/>
            <w:noWrap/>
            <w:vAlign w:val="center"/>
            <w:hideMark/>
          </w:tcPr>
          <w:p w14:paraId="75025C1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47.00 ± 0.36</w:t>
            </w:r>
          </w:p>
        </w:tc>
        <w:tc>
          <w:tcPr>
            <w:tcW w:w="1842" w:type="dxa"/>
            <w:tcBorders>
              <w:top w:val="nil"/>
              <w:left w:val="nil"/>
              <w:bottom w:val="nil"/>
              <w:right w:val="nil"/>
            </w:tcBorders>
            <w:shd w:val="clear" w:color="auto" w:fill="auto"/>
            <w:noWrap/>
            <w:vAlign w:val="center"/>
            <w:hideMark/>
          </w:tcPr>
          <w:p w14:paraId="7693AC6E"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0.248 ± 0.003</w:t>
            </w:r>
          </w:p>
        </w:tc>
      </w:tr>
      <w:tr w:rsidR="00CB5F95" w:rsidRPr="000E2377" w14:paraId="7AD86DCB" w14:textId="77777777" w:rsidTr="00CB5F95">
        <w:trPr>
          <w:trHeight w:val="330"/>
          <w:jc w:val="center"/>
        </w:trPr>
        <w:tc>
          <w:tcPr>
            <w:tcW w:w="2510" w:type="dxa"/>
            <w:tcBorders>
              <w:top w:val="nil"/>
              <w:left w:val="nil"/>
              <w:bottom w:val="nil"/>
              <w:right w:val="nil"/>
            </w:tcBorders>
            <w:shd w:val="clear" w:color="auto" w:fill="auto"/>
            <w:vAlign w:val="center"/>
            <w:hideMark/>
          </w:tcPr>
          <w:p w14:paraId="44F1E51D"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459" w:type="dxa"/>
            <w:tcBorders>
              <w:top w:val="nil"/>
              <w:left w:val="nil"/>
              <w:bottom w:val="nil"/>
              <w:right w:val="nil"/>
            </w:tcBorders>
            <w:shd w:val="clear" w:color="auto" w:fill="auto"/>
            <w:noWrap/>
            <w:vAlign w:val="center"/>
            <w:hideMark/>
          </w:tcPr>
          <w:p w14:paraId="0EEF686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30.01 ± 0.29</w:t>
            </w:r>
          </w:p>
        </w:tc>
        <w:tc>
          <w:tcPr>
            <w:tcW w:w="1560" w:type="dxa"/>
            <w:tcBorders>
              <w:top w:val="nil"/>
              <w:left w:val="nil"/>
              <w:bottom w:val="nil"/>
              <w:right w:val="nil"/>
            </w:tcBorders>
            <w:shd w:val="clear" w:color="auto" w:fill="auto"/>
            <w:noWrap/>
            <w:vAlign w:val="center"/>
            <w:hideMark/>
          </w:tcPr>
          <w:p w14:paraId="1184C2E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74.70 ± 0.03</w:t>
            </w:r>
          </w:p>
        </w:tc>
        <w:tc>
          <w:tcPr>
            <w:tcW w:w="1701" w:type="dxa"/>
            <w:tcBorders>
              <w:top w:val="nil"/>
              <w:left w:val="nil"/>
              <w:bottom w:val="nil"/>
              <w:right w:val="nil"/>
            </w:tcBorders>
            <w:shd w:val="clear" w:color="auto" w:fill="auto"/>
            <w:noWrap/>
            <w:vAlign w:val="center"/>
            <w:hideMark/>
          </w:tcPr>
          <w:p w14:paraId="2D3529ED"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48.73 ± 0.37</w:t>
            </w:r>
          </w:p>
        </w:tc>
        <w:tc>
          <w:tcPr>
            <w:tcW w:w="1842" w:type="dxa"/>
            <w:tcBorders>
              <w:top w:val="nil"/>
              <w:left w:val="nil"/>
              <w:bottom w:val="nil"/>
              <w:right w:val="nil"/>
            </w:tcBorders>
            <w:shd w:val="clear" w:color="auto" w:fill="auto"/>
            <w:noWrap/>
            <w:vAlign w:val="center"/>
            <w:hideMark/>
          </w:tcPr>
          <w:p w14:paraId="6B962A0F"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0.245 ± 0.003</w:t>
            </w:r>
          </w:p>
        </w:tc>
      </w:tr>
      <w:tr w:rsidR="00CB5F95" w:rsidRPr="000E2377" w14:paraId="0F91A997" w14:textId="77777777" w:rsidTr="00CB5F95">
        <w:trPr>
          <w:trHeight w:val="285"/>
          <w:jc w:val="center"/>
        </w:trPr>
        <w:tc>
          <w:tcPr>
            <w:tcW w:w="2510" w:type="dxa"/>
            <w:tcBorders>
              <w:top w:val="nil"/>
              <w:left w:val="nil"/>
              <w:bottom w:val="single" w:sz="4" w:space="0" w:color="auto"/>
              <w:right w:val="nil"/>
            </w:tcBorders>
            <w:shd w:val="clear" w:color="auto" w:fill="auto"/>
            <w:vAlign w:val="center"/>
            <w:hideMark/>
          </w:tcPr>
          <w:p w14:paraId="5BF8F7C2"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12.5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459" w:type="dxa"/>
            <w:tcBorders>
              <w:top w:val="nil"/>
              <w:left w:val="nil"/>
              <w:bottom w:val="single" w:sz="4" w:space="0" w:color="auto"/>
              <w:right w:val="nil"/>
            </w:tcBorders>
            <w:shd w:val="clear" w:color="auto" w:fill="auto"/>
            <w:noWrap/>
            <w:vAlign w:val="center"/>
            <w:hideMark/>
          </w:tcPr>
          <w:p w14:paraId="7945C6C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30.81 + 0.38</w:t>
            </w:r>
          </w:p>
        </w:tc>
        <w:tc>
          <w:tcPr>
            <w:tcW w:w="1560" w:type="dxa"/>
            <w:tcBorders>
              <w:top w:val="nil"/>
              <w:left w:val="nil"/>
              <w:bottom w:val="single" w:sz="4" w:space="0" w:color="auto"/>
              <w:right w:val="nil"/>
            </w:tcBorders>
            <w:shd w:val="clear" w:color="auto" w:fill="auto"/>
            <w:noWrap/>
            <w:vAlign w:val="center"/>
            <w:hideMark/>
          </w:tcPr>
          <w:p w14:paraId="04E7E9C9"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76.96 ± 0.04</w:t>
            </w:r>
          </w:p>
        </w:tc>
        <w:tc>
          <w:tcPr>
            <w:tcW w:w="1701" w:type="dxa"/>
            <w:tcBorders>
              <w:top w:val="nil"/>
              <w:left w:val="nil"/>
              <w:bottom w:val="single" w:sz="4" w:space="0" w:color="auto"/>
              <w:right w:val="nil"/>
            </w:tcBorders>
            <w:shd w:val="clear" w:color="auto" w:fill="auto"/>
            <w:noWrap/>
            <w:vAlign w:val="center"/>
            <w:hideMark/>
          </w:tcPr>
          <w:p w14:paraId="500072B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51.13 ± 0.39</w:t>
            </w:r>
          </w:p>
        </w:tc>
        <w:tc>
          <w:tcPr>
            <w:tcW w:w="1842" w:type="dxa"/>
            <w:tcBorders>
              <w:top w:val="nil"/>
              <w:left w:val="nil"/>
              <w:bottom w:val="single" w:sz="4" w:space="0" w:color="auto"/>
              <w:right w:val="nil"/>
            </w:tcBorders>
            <w:shd w:val="clear" w:color="auto" w:fill="auto"/>
            <w:noWrap/>
            <w:vAlign w:val="center"/>
            <w:hideMark/>
          </w:tcPr>
          <w:p w14:paraId="3C3D1D1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0.249 ± 0.003</w:t>
            </w:r>
          </w:p>
        </w:tc>
      </w:tr>
      <w:tr w:rsidR="00CB5F95" w:rsidRPr="000E2377" w14:paraId="7816A03B" w14:textId="77777777" w:rsidTr="00CB5F95">
        <w:trPr>
          <w:trHeight w:val="315"/>
          <w:jc w:val="center"/>
        </w:trPr>
        <w:tc>
          <w:tcPr>
            <w:tcW w:w="2510" w:type="dxa"/>
            <w:tcBorders>
              <w:top w:val="nil"/>
              <w:left w:val="nil"/>
              <w:bottom w:val="nil"/>
              <w:right w:val="nil"/>
            </w:tcBorders>
            <w:shd w:val="clear" w:color="auto" w:fill="auto"/>
            <w:vAlign w:val="center"/>
            <w:hideMark/>
          </w:tcPr>
          <w:p w14:paraId="6223BC1A"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459" w:type="dxa"/>
            <w:tcBorders>
              <w:top w:val="nil"/>
              <w:left w:val="nil"/>
              <w:bottom w:val="nil"/>
              <w:right w:val="nil"/>
            </w:tcBorders>
            <w:shd w:val="clear" w:color="auto" w:fill="auto"/>
            <w:noWrap/>
            <w:vAlign w:val="center"/>
            <w:hideMark/>
          </w:tcPr>
          <w:p w14:paraId="0FF41EC5"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28.87 ± 0.38</w:t>
            </w:r>
          </w:p>
        </w:tc>
        <w:tc>
          <w:tcPr>
            <w:tcW w:w="1560" w:type="dxa"/>
            <w:tcBorders>
              <w:top w:val="nil"/>
              <w:left w:val="nil"/>
              <w:bottom w:val="nil"/>
              <w:right w:val="nil"/>
            </w:tcBorders>
            <w:shd w:val="clear" w:color="auto" w:fill="auto"/>
            <w:noWrap/>
            <w:vAlign w:val="center"/>
            <w:hideMark/>
          </w:tcPr>
          <w:p w14:paraId="234D1F92"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71.89 ± 0.04</w:t>
            </w:r>
          </w:p>
        </w:tc>
        <w:tc>
          <w:tcPr>
            <w:tcW w:w="1701" w:type="dxa"/>
            <w:tcBorders>
              <w:top w:val="nil"/>
              <w:left w:val="nil"/>
              <w:bottom w:val="nil"/>
              <w:right w:val="nil"/>
            </w:tcBorders>
            <w:shd w:val="clear" w:color="auto" w:fill="auto"/>
            <w:noWrap/>
            <w:vAlign w:val="center"/>
            <w:hideMark/>
          </w:tcPr>
          <w:p w14:paraId="60C0D9C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47.00 ± 0.35</w:t>
            </w:r>
          </w:p>
        </w:tc>
        <w:tc>
          <w:tcPr>
            <w:tcW w:w="1842" w:type="dxa"/>
            <w:tcBorders>
              <w:top w:val="nil"/>
              <w:left w:val="nil"/>
              <w:bottom w:val="nil"/>
              <w:right w:val="nil"/>
            </w:tcBorders>
            <w:shd w:val="clear" w:color="auto" w:fill="auto"/>
            <w:noWrap/>
            <w:vAlign w:val="center"/>
            <w:hideMark/>
          </w:tcPr>
          <w:p w14:paraId="616EF0BE"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0.245 ± 0.003</w:t>
            </w:r>
          </w:p>
        </w:tc>
      </w:tr>
      <w:tr w:rsidR="00CB5F95" w:rsidRPr="000E2377" w14:paraId="4E324B1D" w14:textId="77777777" w:rsidTr="00CB5F95">
        <w:trPr>
          <w:trHeight w:val="330"/>
          <w:jc w:val="center"/>
        </w:trPr>
        <w:tc>
          <w:tcPr>
            <w:tcW w:w="2510" w:type="dxa"/>
            <w:tcBorders>
              <w:top w:val="nil"/>
              <w:left w:val="nil"/>
              <w:bottom w:val="single" w:sz="4" w:space="0" w:color="auto"/>
              <w:right w:val="nil"/>
            </w:tcBorders>
            <w:shd w:val="clear" w:color="auto" w:fill="auto"/>
            <w:vAlign w:val="center"/>
            <w:hideMark/>
          </w:tcPr>
          <w:p w14:paraId="170DF744"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459" w:type="dxa"/>
            <w:tcBorders>
              <w:top w:val="nil"/>
              <w:left w:val="nil"/>
              <w:bottom w:val="single" w:sz="4" w:space="0" w:color="auto"/>
              <w:right w:val="nil"/>
            </w:tcBorders>
            <w:shd w:val="clear" w:color="auto" w:fill="auto"/>
            <w:noWrap/>
            <w:vAlign w:val="center"/>
            <w:hideMark/>
          </w:tcPr>
          <w:p w14:paraId="0DD39AB0"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30.08 ± 0.39</w:t>
            </w:r>
          </w:p>
        </w:tc>
        <w:tc>
          <w:tcPr>
            <w:tcW w:w="1560" w:type="dxa"/>
            <w:tcBorders>
              <w:top w:val="nil"/>
              <w:left w:val="nil"/>
              <w:bottom w:val="single" w:sz="4" w:space="0" w:color="auto"/>
              <w:right w:val="nil"/>
            </w:tcBorders>
            <w:shd w:val="clear" w:color="auto" w:fill="auto"/>
            <w:noWrap/>
            <w:vAlign w:val="center"/>
            <w:hideMark/>
          </w:tcPr>
          <w:p w14:paraId="09E20125"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 xml:space="preserve">74.36 ± 0.04  </w:t>
            </w:r>
          </w:p>
        </w:tc>
        <w:tc>
          <w:tcPr>
            <w:tcW w:w="1701" w:type="dxa"/>
            <w:tcBorders>
              <w:top w:val="nil"/>
              <w:left w:val="nil"/>
              <w:bottom w:val="single" w:sz="4" w:space="0" w:color="auto"/>
              <w:right w:val="nil"/>
            </w:tcBorders>
            <w:shd w:val="clear" w:color="auto" w:fill="auto"/>
            <w:noWrap/>
            <w:vAlign w:val="center"/>
            <w:hideMark/>
          </w:tcPr>
          <w:p w14:paraId="3E52AC8D"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46.95 ± 0.35</w:t>
            </w:r>
          </w:p>
        </w:tc>
        <w:tc>
          <w:tcPr>
            <w:tcW w:w="1842" w:type="dxa"/>
            <w:tcBorders>
              <w:top w:val="nil"/>
              <w:left w:val="nil"/>
              <w:bottom w:val="single" w:sz="4" w:space="0" w:color="auto"/>
              <w:right w:val="nil"/>
            </w:tcBorders>
            <w:shd w:val="clear" w:color="auto" w:fill="auto"/>
            <w:noWrap/>
            <w:vAlign w:val="center"/>
            <w:hideMark/>
          </w:tcPr>
          <w:p w14:paraId="04B27B5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0.236 ± 0.003</w:t>
            </w:r>
          </w:p>
        </w:tc>
      </w:tr>
      <w:tr w:rsidR="00CB5F95" w:rsidRPr="000E2377" w14:paraId="0F621C6F" w14:textId="77777777" w:rsidTr="00CB5F95">
        <w:trPr>
          <w:trHeight w:val="315"/>
          <w:jc w:val="center"/>
        </w:trPr>
        <w:tc>
          <w:tcPr>
            <w:tcW w:w="2510" w:type="dxa"/>
            <w:tcBorders>
              <w:top w:val="nil"/>
              <w:left w:val="nil"/>
              <w:bottom w:val="nil"/>
              <w:right w:val="nil"/>
            </w:tcBorders>
            <w:shd w:val="clear" w:color="auto" w:fill="auto"/>
            <w:vAlign w:val="center"/>
            <w:hideMark/>
          </w:tcPr>
          <w:p w14:paraId="7A786C33"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459" w:type="dxa"/>
            <w:tcBorders>
              <w:top w:val="nil"/>
              <w:left w:val="nil"/>
              <w:bottom w:val="nil"/>
              <w:right w:val="nil"/>
            </w:tcBorders>
            <w:shd w:val="clear" w:color="auto" w:fill="auto"/>
            <w:noWrap/>
            <w:vAlign w:val="center"/>
            <w:hideMark/>
          </w:tcPr>
          <w:p w14:paraId="78DBEA7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25.72 ± 0.26</w:t>
            </w:r>
          </w:p>
        </w:tc>
        <w:tc>
          <w:tcPr>
            <w:tcW w:w="1560" w:type="dxa"/>
            <w:tcBorders>
              <w:top w:val="nil"/>
              <w:left w:val="nil"/>
              <w:bottom w:val="nil"/>
              <w:right w:val="nil"/>
            </w:tcBorders>
            <w:shd w:val="clear" w:color="auto" w:fill="auto"/>
            <w:noWrap/>
            <w:vAlign w:val="center"/>
            <w:hideMark/>
          </w:tcPr>
          <w:p w14:paraId="27BEE6DF"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63.83 ± 0.03</w:t>
            </w:r>
          </w:p>
        </w:tc>
        <w:tc>
          <w:tcPr>
            <w:tcW w:w="1701" w:type="dxa"/>
            <w:tcBorders>
              <w:top w:val="nil"/>
              <w:left w:val="nil"/>
              <w:bottom w:val="nil"/>
              <w:right w:val="nil"/>
            </w:tcBorders>
            <w:shd w:val="clear" w:color="auto" w:fill="auto"/>
            <w:noWrap/>
            <w:vAlign w:val="center"/>
            <w:hideMark/>
          </w:tcPr>
          <w:p w14:paraId="61ABB46E"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41.05 ± 0.32</w:t>
            </w:r>
          </w:p>
        </w:tc>
        <w:tc>
          <w:tcPr>
            <w:tcW w:w="1842" w:type="dxa"/>
            <w:tcBorders>
              <w:top w:val="nil"/>
              <w:left w:val="nil"/>
              <w:bottom w:val="nil"/>
              <w:right w:val="nil"/>
            </w:tcBorders>
            <w:shd w:val="clear" w:color="auto" w:fill="auto"/>
            <w:noWrap/>
            <w:vAlign w:val="center"/>
            <w:hideMark/>
          </w:tcPr>
          <w:p w14:paraId="1335BB60"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0.241 ± 0.003</w:t>
            </w:r>
          </w:p>
        </w:tc>
      </w:tr>
      <w:tr w:rsidR="00CB5F95" w:rsidRPr="000E2377" w14:paraId="6577DD9B" w14:textId="77777777" w:rsidTr="00CB5F95">
        <w:trPr>
          <w:trHeight w:val="300"/>
          <w:jc w:val="center"/>
        </w:trPr>
        <w:tc>
          <w:tcPr>
            <w:tcW w:w="2510" w:type="dxa"/>
            <w:tcBorders>
              <w:top w:val="nil"/>
              <w:left w:val="nil"/>
              <w:bottom w:val="nil"/>
              <w:right w:val="nil"/>
            </w:tcBorders>
            <w:shd w:val="clear" w:color="auto" w:fill="auto"/>
            <w:vAlign w:val="center"/>
            <w:hideMark/>
          </w:tcPr>
          <w:p w14:paraId="41E97789"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459" w:type="dxa"/>
            <w:tcBorders>
              <w:top w:val="nil"/>
              <w:left w:val="nil"/>
              <w:bottom w:val="nil"/>
              <w:right w:val="nil"/>
            </w:tcBorders>
            <w:shd w:val="clear" w:color="auto" w:fill="auto"/>
            <w:noWrap/>
            <w:vAlign w:val="center"/>
            <w:hideMark/>
          </w:tcPr>
          <w:p w14:paraId="349B98DD"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25.27 ± 0.41</w:t>
            </w:r>
          </w:p>
        </w:tc>
        <w:tc>
          <w:tcPr>
            <w:tcW w:w="1560" w:type="dxa"/>
            <w:tcBorders>
              <w:top w:val="nil"/>
              <w:left w:val="nil"/>
              <w:bottom w:val="nil"/>
              <w:right w:val="nil"/>
            </w:tcBorders>
            <w:shd w:val="clear" w:color="auto" w:fill="auto"/>
            <w:noWrap/>
            <w:vAlign w:val="center"/>
            <w:hideMark/>
          </w:tcPr>
          <w:p w14:paraId="504424CF"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62.14 ± 0.05</w:t>
            </w:r>
          </w:p>
        </w:tc>
        <w:tc>
          <w:tcPr>
            <w:tcW w:w="1701" w:type="dxa"/>
            <w:tcBorders>
              <w:top w:val="nil"/>
              <w:left w:val="nil"/>
              <w:bottom w:val="nil"/>
              <w:right w:val="nil"/>
            </w:tcBorders>
            <w:shd w:val="clear" w:color="auto" w:fill="auto"/>
            <w:noWrap/>
            <w:vAlign w:val="center"/>
            <w:hideMark/>
          </w:tcPr>
          <w:p w14:paraId="614500D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38.27 ± 0.30</w:t>
            </w:r>
          </w:p>
        </w:tc>
        <w:tc>
          <w:tcPr>
            <w:tcW w:w="1842" w:type="dxa"/>
            <w:tcBorders>
              <w:top w:val="nil"/>
              <w:left w:val="nil"/>
              <w:bottom w:val="nil"/>
              <w:right w:val="nil"/>
            </w:tcBorders>
            <w:shd w:val="clear" w:color="auto" w:fill="auto"/>
            <w:noWrap/>
            <w:vAlign w:val="center"/>
            <w:hideMark/>
          </w:tcPr>
          <w:p w14:paraId="2F3D808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0.229 ± 0.003</w:t>
            </w:r>
          </w:p>
        </w:tc>
      </w:tr>
      <w:tr w:rsidR="00CB5F95" w:rsidRPr="000E2377" w14:paraId="7EB73883" w14:textId="77777777" w:rsidTr="00CB5F95">
        <w:trPr>
          <w:trHeight w:val="300"/>
          <w:jc w:val="center"/>
        </w:trPr>
        <w:tc>
          <w:tcPr>
            <w:tcW w:w="2510" w:type="dxa"/>
            <w:tcBorders>
              <w:top w:val="nil"/>
              <w:left w:val="nil"/>
              <w:bottom w:val="single" w:sz="4" w:space="0" w:color="auto"/>
              <w:right w:val="nil"/>
            </w:tcBorders>
            <w:shd w:val="clear" w:color="auto" w:fill="auto"/>
            <w:vAlign w:val="center"/>
            <w:hideMark/>
          </w:tcPr>
          <w:p w14:paraId="427D701B"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459" w:type="dxa"/>
            <w:tcBorders>
              <w:top w:val="nil"/>
              <w:left w:val="nil"/>
              <w:bottom w:val="single" w:sz="4" w:space="0" w:color="auto"/>
              <w:right w:val="nil"/>
            </w:tcBorders>
            <w:shd w:val="clear" w:color="auto" w:fill="auto"/>
            <w:noWrap/>
            <w:vAlign w:val="center"/>
            <w:hideMark/>
          </w:tcPr>
          <w:p w14:paraId="61428BC1"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25.70 ± 0.34</w:t>
            </w:r>
          </w:p>
        </w:tc>
        <w:tc>
          <w:tcPr>
            <w:tcW w:w="1560" w:type="dxa"/>
            <w:tcBorders>
              <w:top w:val="nil"/>
              <w:left w:val="nil"/>
              <w:bottom w:val="single" w:sz="4" w:space="0" w:color="auto"/>
              <w:right w:val="nil"/>
            </w:tcBorders>
            <w:shd w:val="clear" w:color="auto" w:fill="auto"/>
            <w:noWrap/>
            <w:vAlign w:val="center"/>
            <w:hideMark/>
          </w:tcPr>
          <w:p w14:paraId="50F8640C"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63.93 ± 0.04</w:t>
            </w:r>
          </w:p>
        </w:tc>
        <w:tc>
          <w:tcPr>
            <w:tcW w:w="1701" w:type="dxa"/>
            <w:tcBorders>
              <w:top w:val="nil"/>
              <w:left w:val="nil"/>
              <w:bottom w:val="single" w:sz="4" w:space="0" w:color="auto"/>
              <w:right w:val="nil"/>
            </w:tcBorders>
            <w:shd w:val="clear" w:color="auto" w:fill="auto"/>
            <w:noWrap/>
            <w:vAlign w:val="center"/>
            <w:hideMark/>
          </w:tcPr>
          <w:p w14:paraId="642300A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41.57 ± 0.32</w:t>
            </w:r>
          </w:p>
        </w:tc>
        <w:tc>
          <w:tcPr>
            <w:tcW w:w="1842" w:type="dxa"/>
            <w:tcBorders>
              <w:top w:val="nil"/>
              <w:left w:val="nil"/>
              <w:bottom w:val="single" w:sz="4" w:space="0" w:color="auto"/>
              <w:right w:val="nil"/>
            </w:tcBorders>
            <w:shd w:val="clear" w:color="auto" w:fill="auto"/>
            <w:noWrap/>
            <w:vAlign w:val="center"/>
            <w:hideMark/>
          </w:tcPr>
          <w:p w14:paraId="2DDC7D1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0.245 ± 0.003</w:t>
            </w:r>
          </w:p>
        </w:tc>
      </w:tr>
      <w:tr w:rsidR="00CB5F95" w:rsidRPr="000E2377" w14:paraId="505707D9" w14:textId="77777777" w:rsidTr="00CB5F95">
        <w:trPr>
          <w:trHeight w:val="315"/>
          <w:jc w:val="center"/>
        </w:trPr>
        <w:tc>
          <w:tcPr>
            <w:tcW w:w="2510" w:type="dxa"/>
            <w:tcBorders>
              <w:top w:val="nil"/>
              <w:left w:val="nil"/>
              <w:bottom w:val="nil"/>
              <w:right w:val="nil"/>
            </w:tcBorders>
            <w:shd w:val="clear" w:color="auto" w:fill="auto"/>
            <w:vAlign w:val="center"/>
            <w:hideMark/>
          </w:tcPr>
          <w:p w14:paraId="55FFE808"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459" w:type="dxa"/>
            <w:tcBorders>
              <w:top w:val="nil"/>
              <w:left w:val="nil"/>
              <w:bottom w:val="nil"/>
              <w:right w:val="nil"/>
            </w:tcBorders>
            <w:shd w:val="clear" w:color="auto" w:fill="auto"/>
            <w:noWrap/>
            <w:vAlign w:val="center"/>
            <w:hideMark/>
          </w:tcPr>
          <w:p w14:paraId="5575713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26.35 ± 0.26</w:t>
            </w:r>
          </w:p>
        </w:tc>
        <w:tc>
          <w:tcPr>
            <w:tcW w:w="1560" w:type="dxa"/>
            <w:tcBorders>
              <w:top w:val="nil"/>
              <w:left w:val="nil"/>
              <w:bottom w:val="nil"/>
              <w:right w:val="nil"/>
            </w:tcBorders>
            <w:shd w:val="clear" w:color="auto" w:fill="auto"/>
            <w:noWrap/>
            <w:vAlign w:val="center"/>
            <w:hideMark/>
          </w:tcPr>
          <w:p w14:paraId="158543EB"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65.28 ± 0.03</w:t>
            </w:r>
          </w:p>
        </w:tc>
        <w:tc>
          <w:tcPr>
            <w:tcW w:w="1701" w:type="dxa"/>
            <w:tcBorders>
              <w:top w:val="nil"/>
              <w:left w:val="nil"/>
              <w:bottom w:val="nil"/>
              <w:right w:val="nil"/>
            </w:tcBorders>
            <w:shd w:val="clear" w:color="auto" w:fill="auto"/>
            <w:noWrap/>
            <w:vAlign w:val="center"/>
            <w:hideMark/>
          </w:tcPr>
          <w:p w14:paraId="348B484B"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41.68 ± 0.33</w:t>
            </w:r>
          </w:p>
        </w:tc>
        <w:tc>
          <w:tcPr>
            <w:tcW w:w="1842" w:type="dxa"/>
            <w:tcBorders>
              <w:top w:val="nil"/>
              <w:left w:val="nil"/>
              <w:bottom w:val="nil"/>
              <w:right w:val="nil"/>
            </w:tcBorders>
            <w:shd w:val="clear" w:color="auto" w:fill="auto"/>
            <w:noWrap/>
            <w:vAlign w:val="center"/>
            <w:hideMark/>
          </w:tcPr>
          <w:p w14:paraId="5E612861"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0.239 ± 0.003</w:t>
            </w:r>
          </w:p>
        </w:tc>
      </w:tr>
      <w:tr w:rsidR="00CB5F95" w:rsidRPr="000E2377" w14:paraId="53D75874" w14:textId="77777777" w:rsidTr="00CB5F95">
        <w:trPr>
          <w:trHeight w:val="300"/>
          <w:jc w:val="center"/>
        </w:trPr>
        <w:tc>
          <w:tcPr>
            <w:tcW w:w="2510" w:type="dxa"/>
            <w:tcBorders>
              <w:top w:val="nil"/>
              <w:left w:val="nil"/>
              <w:bottom w:val="nil"/>
              <w:right w:val="nil"/>
            </w:tcBorders>
            <w:shd w:val="clear" w:color="auto" w:fill="auto"/>
            <w:vAlign w:val="center"/>
            <w:hideMark/>
          </w:tcPr>
          <w:p w14:paraId="35D4FE47"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459" w:type="dxa"/>
            <w:tcBorders>
              <w:top w:val="nil"/>
              <w:left w:val="nil"/>
              <w:bottom w:val="nil"/>
              <w:right w:val="nil"/>
            </w:tcBorders>
            <w:shd w:val="clear" w:color="auto" w:fill="auto"/>
            <w:noWrap/>
            <w:vAlign w:val="center"/>
            <w:hideMark/>
          </w:tcPr>
          <w:p w14:paraId="472BB997"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25.00 ± 0.4</w:t>
            </w:r>
          </w:p>
        </w:tc>
        <w:tc>
          <w:tcPr>
            <w:tcW w:w="1560" w:type="dxa"/>
            <w:tcBorders>
              <w:top w:val="nil"/>
              <w:left w:val="nil"/>
              <w:bottom w:val="nil"/>
              <w:right w:val="nil"/>
            </w:tcBorders>
            <w:shd w:val="clear" w:color="auto" w:fill="auto"/>
            <w:noWrap/>
            <w:vAlign w:val="center"/>
            <w:hideMark/>
          </w:tcPr>
          <w:p w14:paraId="737BC0DA"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62.35 ± 0.05</w:t>
            </w:r>
          </w:p>
        </w:tc>
        <w:tc>
          <w:tcPr>
            <w:tcW w:w="1701" w:type="dxa"/>
            <w:tcBorders>
              <w:top w:val="nil"/>
              <w:left w:val="nil"/>
              <w:bottom w:val="nil"/>
              <w:right w:val="nil"/>
            </w:tcBorders>
            <w:shd w:val="clear" w:color="auto" w:fill="auto"/>
            <w:noWrap/>
            <w:vAlign w:val="center"/>
            <w:hideMark/>
          </w:tcPr>
          <w:p w14:paraId="6DA253B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41.04 ± 0.32</w:t>
            </w:r>
          </w:p>
        </w:tc>
        <w:tc>
          <w:tcPr>
            <w:tcW w:w="1842" w:type="dxa"/>
            <w:tcBorders>
              <w:top w:val="nil"/>
              <w:left w:val="nil"/>
              <w:bottom w:val="nil"/>
              <w:right w:val="nil"/>
            </w:tcBorders>
            <w:shd w:val="clear" w:color="auto" w:fill="auto"/>
            <w:noWrap/>
            <w:vAlign w:val="center"/>
            <w:hideMark/>
          </w:tcPr>
          <w:p w14:paraId="0772A2AC"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0.247 ± 0.003</w:t>
            </w:r>
          </w:p>
        </w:tc>
      </w:tr>
      <w:tr w:rsidR="00CB5F95" w:rsidRPr="000E2377" w14:paraId="4FBD2489" w14:textId="77777777" w:rsidTr="00CB5F95">
        <w:trPr>
          <w:trHeight w:val="300"/>
          <w:jc w:val="center"/>
        </w:trPr>
        <w:tc>
          <w:tcPr>
            <w:tcW w:w="2510" w:type="dxa"/>
            <w:tcBorders>
              <w:top w:val="nil"/>
              <w:left w:val="nil"/>
              <w:bottom w:val="single" w:sz="4" w:space="0" w:color="auto"/>
              <w:right w:val="nil"/>
            </w:tcBorders>
            <w:shd w:val="clear" w:color="auto" w:fill="auto"/>
            <w:vAlign w:val="center"/>
            <w:hideMark/>
          </w:tcPr>
          <w:p w14:paraId="07694E49"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459" w:type="dxa"/>
            <w:tcBorders>
              <w:top w:val="nil"/>
              <w:left w:val="nil"/>
              <w:bottom w:val="single" w:sz="4" w:space="0" w:color="auto"/>
              <w:right w:val="nil"/>
            </w:tcBorders>
            <w:shd w:val="clear" w:color="auto" w:fill="auto"/>
            <w:noWrap/>
            <w:vAlign w:val="center"/>
            <w:hideMark/>
          </w:tcPr>
          <w:p w14:paraId="6DECE87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27.24 ± 0.35</w:t>
            </w:r>
          </w:p>
        </w:tc>
        <w:tc>
          <w:tcPr>
            <w:tcW w:w="1560" w:type="dxa"/>
            <w:tcBorders>
              <w:top w:val="nil"/>
              <w:left w:val="nil"/>
              <w:bottom w:val="single" w:sz="4" w:space="0" w:color="auto"/>
              <w:right w:val="nil"/>
            </w:tcBorders>
            <w:shd w:val="clear" w:color="auto" w:fill="auto"/>
            <w:noWrap/>
            <w:vAlign w:val="center"/>
            <w:hideMark/>
          </w:tcPr>
          <w:p w14:paraId="349EDB92"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67.71 ± 0.04</w:t>
            </w:r>
          </w:p>
        </w:tc>
        <w:tc>
          <w:tcPr>
            <w:tcW w:w="1701" w:type="dxa"/>
            <w:tcBorders>
              <w:top w:val="nil"/>
              <w:left w:val="nil"/>
              <w:bottom w:val="single" w:sz="4" w:space="0" w:color="auto"/>
              <w:right w:val="nil"/>
            </w:tcBorders>
            <w:shd w:val="clear" w:color="auto" w:fill="auto"/>
            <w:noWrap/>
            <w:vAlign w:val="center"/>
            <w:hideMark/>
          </w:tcPr>
          <w:p w14:paraId="4D5A4EAC"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43.88 ± 0.34</w:t>
            </w:r>
          </w:p>
        </w:tc>
        <w:tc>
          <w:tcPr>
            <w:tcW w:w="1842" w:type="dxa"/>
            <w:tcBorders>
              <w:top w:val="nil"/>
              <w:left w:val="nil"/>
              <w:bottom w:val="single" w:sz="4" w:space="0" w:color="auto"/>
              <w:right w:val="nil"/>
            </w:tcBorders>
            <w:shd w:val="clear" w:color="auto" w:fill="auto"/>
            <w:noWrap/>
            <w:vAlign w:val="center"/>
            <w:hideMark/>
          </w:tcPr>
          <w:p w14:paraId="1C89062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0.243 ± 0.003</w:t>
            </w:r>
          </w:p>
        </w:tc>
      </w:tr>
      <w:tr w:rsidR="00CB5F95" w:rsidRPr="000E2377" w14:paraId="479B85FD" w14:textId="77777777" w:rsidTr="00CB5F95">
        <w:trPr>
          <w:trHeight w:val="315"/>
          <w:jc w:val="center"/>
        </w:trPr>
        <w:tc>
          <w:tcPr>
            <w:tcW w:w="2510" w:type="dxa"/>
            <w:tcBorders>
              <w:top w:val="nil"/>
              <w:left w:val="nil"/>
              <w:bottom w:val="nil"/>
              <w:right w:val="nil"/>
            </w:tcBorders>
            <w:shd w:val="clear" w:color="auto" w:fill="auto"/>
            <w:vAlign w:val="center"/>
            <w:hideMark/>
          </w:tcPr>
          <w:p w14:paraId="262F81F9"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75.5</w:t>
            </w:r>
          </w:p>
        </w:tc>
        <w:tc>
          <w:tcPr>
            <w:tcW w:w="1459" w:type="dxa"/>
            <w:tcBorders>
              <w:top w:val="nil"/>
              <w:left w:val="nil"/>
              <w:bottom w:val="nil"/>
              <w:right w:val="nil"/>
            </w:tcBorders>
            <w:shd w:val="clear" w:color="auto" w:fill="auto"/>
            <w:noWrap/>
            <w:vAlign w:val="center"/>
            <w:hideMark/>
          </w:tcPr>
          <w:p w14:paraId="0799FE02"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29.61 ± 0.36</w:t>
            </w:r>
          </w:p>
        </w:tc>
        <w:tc>
          <w:tcPr>
            <w:tcW w:w="1560" w:type="dxa"/>
            <w:tcBorders>
              <w:top w:val="nil"/>
              <w:left w:val="nil"/>
              <w:bottom w:val="nil"/>
              <w:right w:val="nil"/>
            </w:tcBorders>
            <w:shd w:val="clear" w:color="auto" w:fill="auto"/>
            <w:noWrap/>
            <w:vAlign w:val="center"/>
            <w:hideMark/>
          </w:tcPr>
          <w:p w14:paraId="39B25051"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73.20 ± 0.04</w:t>
            </w:r>
          </w:p>
        </w:tc>
        <w:tc>
          <w:tcPr>
            <w:tcW w:w="1701" w:type="dxa"/>
            <w:tcBorders>
              <w:top w:val="nil"/>
              <w:left w:val="nil"/>
              <w:bottom w:val="nil"/>
              <w:right w:val="nil"/>
            </w:tcBorders>
            <w:shd w:val="clear" w:color="auto" w:fill="auto"/>
            <w:noWrap/>
            <w:vAlign w:val="center"/>
            <w:hideMark/>
          </w:tcPr>
          <w:p w14:paraId="08C0191B"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46.23 ± 0.36</w:t>
            </w:r>
          </w:p>
        </w:tc>
        <w:tc>
          <w:tcPr>
            <w:tcW w:w="1842" w:type="dxa"/>
            <w:tcBorders>
              <w:top w:val="nil"/>
              <w:left w:val="nil"/>
              <w:bottom w:val="nil"/>
              <w:right w:val="nil"/>
            </w:tcBorders>
            <w:shd w:val="clear" w:color="auto" w:fill="auto"/>
            <w:noWrap/>
            <w:vAlign w:val="center"/>
            <w:hideMark/>
          </w:tcPr>
          <w:p w14:paraId="4C8FE6F1"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0.236 ± 0.003</w:t>
            </w:r>
          </w:p>
        </w:tc>
      </w:tr>
      <w:tr w:rsidR="00CB5F95" w:rsidRPr="000E2377" w14:paraId="5C01301E" w14:textId="77777777" w:rsidTr="00CB5F95">
        <w:trPr>
          <w:trHeight w:val="300"/>
          <w:jc w:val="center"/>
        </w:trPr>
        <w:tc>
          <w:tcPr>
            <w:tcW w:w="2510" w:type="dxa"/>
            <w:tcBorders>
              <w:top w:val="nil"/>
              <w:left w:val="nil"/>
              <w:bottom w:val="nil"/>
              <w:right w:val="nil"/>
            </w:tcBorders>
            <w:shd w:val="clear" w:color="auto" w:fill="auto"/>
            <w:vAlign w:val="center"/>
            <w:hideMark/>
          </w:tcPr>
          <w:p w14:paraId="34701DF7"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73</w:t>
            </w:r>
          </w:p>
        </w:tc>
        <w:tc>
          <w:tcPr>
            <w:tcW w:w="1459" w:type="dxa"/>
            <w:tcBorders>
              <w:top w:val="nil"/>
              <w:left w:val="nil"/>
              <w:bottom w:val="nil"/>
              <w:right w:val="nil"/>
            </w:tcBorders>
            <w:shd w:val="clear" w:color="auto" w:fill="auto"/>
            <w:noWrap/>
            <w:vAlign w:val="center"/>
            <w:hideMark/>
          </w:tcPr>
          <w:p w14:paraId="4C3A6B8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29.33 ± 0.44</w:t>
            </w:r>
          </w:p>
        </w:tc>
        <w:tc>
          <w:tcPr>
            <w:tcW w:w="1560" w:type="dxa"/>
            <w:tcBorders>
              <w:top w:val="nil"/>
              <w:left w:val="nil"/>
              <w:bottom w:val="nil"/>
              <w:right w:val="nil"/>
            </w:tcBorders>
            <w:shd w:val="clear" w:color="auto" w:fill="auto"/>
            <w:noWrap/>
            <w:vAlign w:val="center"/>
            <w:hideMark/>
          </w:tcPr>
          <w:p w14:paraId="783B782C"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72.81 ± 0.05</w:t>
            </w:r>
          </w:p>
        </w:tc>
        <w:tc>
          <w:tcPr>
            <w:tcW w:w="1701" w:type="dxa"/>
            <w:tcBorders>
              <w:top w:val="nil"/>
              <w:left w:val="nil"/>
              <w:bottom w:val="nil"/>
              <w:right w:val="nil"/>
            </w:tcBorders>
            <w:shd w:val="clear" w:color="auto" w:fill="auto"/>
            <w:noWrap/>
            <w:vAlign w:val="center"/>
            <w:hideMark/>
          </w:tcPr>
          <w:p w14:paraId="1C7E2C4B"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46.88 ± 0.37</w:t>
            </w:r>
          </w:p>
        </w:tc>
        <w:tc>
          <w:tcPr>
            <w:tcW w:w="1842" w:type="dxa"/>
            <w:tcBorders>
              <w:top w:val="nil"/>
              <w:left w:val="nil"/>
              <w:bottom w:val="nil"/>
              <w:right w:val="nil"/>
            </w:tcBorders>
            <w:shd w:val="clear" w:color="auto" w:fill="auto"/>
            <w:noWrap/>
            <w:vAlign w:val="center"/>
            <w:hideMark/>
          </w:tcPr>
          <w:p w14:paraId="2F75F9E9"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0.241 ± 0.003</w:t>
            </w:r>
          </w:p>
        </w:tc>
      </w:tr>
      <w:tr w:rsidR="00CB5F95" w:rsidRPr="000E2377" w14:paraId="2936FBF1" w14:textId="77777777" w:rsidTr="00CB5F95">
        <w:trPr>
          <w:trHeight w:val="300"/>
          <w:jc w:val="center"/>
        </w:trPr>
        <w:tc>
          <w:tcPr>
            <w:tcW w:w="2510" w:type="dxa"/>
            <w:tcBorders>
              <w:top w:val="nil"/>
              <w:left w:val="nil"/>
              <w:bottom w:val="single" w:sz="4" w:space="0" w:color="auto"/>
              <w:right w:val="nil"/>
            </w:tcBorders>
            <w:shd w:val="clear" w:color="auto" w:fill="auto"/>
            <w:vAlign w:val="center"/>
            <w:hideMark/>
          </w:tcPr>
          <w:p w14:paraId="349FCBE3"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70.5</w:t>
            </w:r>
          </w:p>
        </w:tc>
        <w:tc>
          <w:tcPr>
            <w:tcW w:w="1459" w:type="dxa"/>
            <w:tcBorders>
              <w:top w:val="nil"/>
              <w:left w:val="nil"/>
              <w:bottom w:val="single" w:sz="4" w:space="0" w:color="auto"/>
              <w:right w:val="nil"/>
            </w:tcBorders>
            <w:shd w:val="clear" w:color="auto" w:fill="auto"/>
            <w:noWrap/>
            <w:vAlign w:val="center"/>
            <w:hideMark/>
          </w:tcPr>
          <w:p w14:paraId="715D86E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29.72 ± 0.36</w:t>
            </w:r>
          </w:p>
        </w:tc>
        <w:tc>
          <w:tcPr>
            <w:tcW w:w="1560" w:type="dxa"/>
            <w:tcBorders>
              <w:top w:val="nil"/>
              <w:left w:val="nil"/>
              <w:bottom w:val="single" w:sz="4" w:space="0" w:color="auto"/>
              <w:right w:val="nil"/>
            </w:tcBorders>
            <w:shd w:val="clear" w:color="auto" w:fill="auto"/>
            <w:noWrap/>
            <w:vAlign w:val="center"/>
            <w:hideMark/>
          </w:tcPr>
          <w:p w14:paraId="2C0D11AE"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74.05 ± 0.04</w:t>
            </w:r>
          </w:p>
        </w:tc>
        <w:tc>
          <w:tcPr>
            <w:tcW w:w="1701" w:type="dxa"/>
            <w:tcBorders>
              <w:top w:val="nil"/>
              <w:left w:val="nil"/>
              <w:bottom w:val="single" w:sz="4" w:space="0" w:color="auto"/>
              <w:right w:val="nil"/>
            </w:tcBorders>
            <w:shd w:val="clear" w:color="auto" w:fill="auto"/>
            <w:noWrap/>
            <w:vAlign w:val="center"/>
            <w:hideMark/>
          </w:tcPr>
          <w:p w14:paraId="0C6BF7E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48.59 ± 0.38</w:t>
            </w:r>
          </w:p>
        </w:tc>
        <w:tc>
          <w:tcPr>
            <w:tcW w:w="1842" w:type="dxa"/>
            <w:tcBorders>
              <w:top w:val="nil"/>
              <w:left w:val="nil"/>
              <w:bottom w:val="single" w:sz="4" w:space="0" w:color="auto"/>
              <w:right w:val="nil"/>
            </w:tcBorders>
            <w:shd w:val="clear" w:color="auto" w:fill="auto"/>
            <w:noWrap/>
            <w:vAlign w:val="center"/>
            <w:hideMark/>
          </w:tcPr>
          <w:p w14:paraId="2511715E"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0.246 ± 0.003</w:t>
            </w:r>
          </w:p>
        </w:tc>
      </w:tr>
      <w:tr w:rsidR="00CB5F95" w:rsidRPr="000E2377" w14:paraId="0C9A9E93" w14:textId="77777777" w:rsidTr="00CB5F95">
        <w:trPr>
          <w:trHeight w:val="315"/>
          <w:jc w:val="center"/>
        </w:trPr>
        <w:tc>
          <w:tcPr>
            <w:tcW w:w="2510" w:type="dxa"/>
            <w:tcBorders>
              <w:top w:val="nil"/>
              <w:left w:val="nil"/>
              <w:bottom w:val="nil"/>
              <w:right w:val="nil"/>
            </w:tcBorders>
            <w:shd w:val="clear" w:color="auto" w:fill="auto"/>
            <w:vAlign w:val="center"/>
            <w:hideMark/>
          </w:tcPr>
          <w:p w14:paraId="3D6C0965"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65.5</w:t>
            </w:r>
          </w:p>
        </w:tc>
        <w:tc>
          <w:tcPr>
            <w:tcW w:w="1459" w:type="dxa"/>
            <w:tcBorders>
              <w:top w:val="nil"/>
              <w:left w:val="nil"/>
              <w:bottom w:val="nil"/>
              <w:right w:val="nil"/>
            </w:tcBorders>
            <w:shd w:val="clear" w:color="auto" w:fill="auto"/>
            <w:noWrap/>
            <w:vAlign w:val="center"/>
            <w:hideMark/>
          </w:tcPr>
          <w:p w14:paraId="74B12E0C"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29.74 ± 0.37</w:t>
            </w:r>
          </w:p>
        </w:tc>
        <w:tc>
          <w:tcPr>
            <w:tcW w:w="1560" w:type="dxa"/>
            <w:tcBorders>
              <w:top w:val="nil"/>
              <w:left w:val="nil"/>
              <w:bottom w:val="nil"/>
              <w:right w:val="nil"/>
            </w:tcBorders>
            <w:shd w:val="clear" w:color="auto" w:fill="auto"/>
            <w:noWrap/>
            <w:vAlign w:val="center"/>
            <w:hideMark/>
          </w:tcPr>
          <w:p w14:paraId="4C4071B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74.71 ± 0.04</w:t>
            </w:r>
          </w:p>
        </w:tc>
        <w:tc>
          <w:tcPr>
            <w:tcW w:w="1701" w:type="dxa"/>
            <w:tcBorders>
              <w:top w:val="nil"/>
              <w:left w:val="nil"/>
              <w:bottom w:val="nil"/>
              <w:right w:val="nil"/>
            </w:tcBorders>
            <w:shd w:val="clear" w:color="auto" w:fill="auto"/>
            <w:noWrap/>
            <w:vAlign w:val="center"/>
            <w:hideMark/>
          </w:tcPr>
          <w:p w14:paraId="5F56DD3B"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51.03 ± 0.39</w:t>
            </w:r>
          </w:p>
        </w:tc>
        <w:tc>
          <w:tcPr>
            <w:tcW w:w="1842" w:type="dxa"/>
            <w:tcBorders>
              <w:top w:val="nil"/>
              <w:left w:val="nil"/>
              <w:bottom w:val="nil"/>
              <w:right w:val="nil"/>
            </w:tcBorders>
            <w:shd w:val="clear" w:color="auto" w:fill="auto"/>
            <w:noWrap/>
            <w:vAlign w:val="center"/>
            <w:hideMark/>
          </w:tcPr>
          <w:p w14:paraId="22720E4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0.256 ± 0.003</w:t>
            </w:r>
          </w:p>
        </w:tc>
      </w:tr>
      <w:tr w:rsidR="00CB5F95" w:rsidRPr="000E2377" w14:paraId="7BDEB514" w14:textId="77777777" w:rsidTr="00CB5F95">
        <w:trPr>
          <w:trHeight w:val="300"/>
          <w:jc w:val="center"/>
        </w:trPr>
        <w:tc>
          <w:tcPr>
            <w:tcW w:w="2510" w:type="dxa"/>
            <w:tcBorders>
              <w:top w:val="nil"/>
              <w:left w:val="nil"/>
              <w:bottom w:val="nil"/>
              <w:right w:val="nil"/>
            </w:tcBorders>
            <w:shd w:val="clear" w:color="auto" w:fill="auto"/>
            <w:vAlign w:val="center"/>
            <w:hideMark/>
          </w:tcPr>
          <w:p w14:paraId="22C22CA5"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63</w:t>
            </w:r>
          </w:p>
        </w:tc>
        <w:tc>
          <w:tcPr>
            <w:tcW w:w="1459" w:type="dxa"/>
            <w:tcBorders>
              <w:top w:val="nil"/>
              <w:left w:val="nil"/>
              <w:bottom w:val="nil"/>
              <w:right w:val="nil"/>
            </w:tcBorders>
            <w:shd w:val="clear" w:color="auto" w:fill="auto"/>
            <w:noWrap/>
            <w:vAlign w:val="center"/>
            <w:hideMark/>
          </w:tcPr>
          <w:p w14:paraId="0E37751C"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31.00 ± 0.38</w:t>
            </w:r>
          </w:p>
        </w:tc>
        <w:tc>
          <w:tcPr>
            <w:tcW w:w="1560" w:type="dxa"/>
            <w:tcBorders>
              <w:top w:val="nil"/>
              <w:left w:val="nil"/>
              <w:bottom w:val="nil"/>
              <w:right w:val="nil"/>
            </w:tcBorders>
            <w:shd w:val="clear" w:color="auto" w:fill="auto"/>
            <w:noWrap/>
            <w:vAlign w:val="center"/>
            <w:hideMark/>
          </w:tcPr>
          <w:p w14:paraId="00946B5F"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77.29 ± 0.04</w:t>
            </w:r>
          </w:p>
        </w:tc>
        <w:tc>
          <w:tcPr>
            <w:tcW w:w="1701" w:type="dxa"/>
            <w:tcBorders>
              <w:top w:val="nil"/>
              <w:left w:val="nil"/>
              <w:bottom w:val="nil"/>
              <w:right w:val="nil"/>
            </w:tcBorders>
            <w:shd w:val="clear" w:color="auto" w:fill="auto"/>
            <w:noWrap/>
            <w:vAlign w:val="center"/>
            <w:hideMark/>
          </w:tcPr>
          <w:p w14:paraId="58E7D7D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50.85 ± 0.39</w:t>
            </w:r>
          </w:p>
        </w:tc>
        <w:tc>
          <w:tcPr>
            <w:tcW w:w="1842" w:type="dxa"/>
            <w:tcBorders>
              <w:top w:val="nil"/>
              <w:left w:val="nil"/>
              <w:bottom w:val="nil"/>
              <w:right w:val="nil"/>
            </w:tcBorders>
            <w:shd w:val="clear" w:color="auto" w:fill="auto"/>
            <w:noWrap/>
            <w:vAlign w:val="center"/>
            <w:hideMark/>
          </w:tcPr>
          <w:p w14:paraId="514FC252"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0.247 ± 0.003</w:t>
            </w:r>
          </w:p>
        </w:tc>
      </w:tr>
      <w:tr w:rsidR="00CB5F95" w:rsidRPr="000E2377" w14:paraId="584804AE" w14:textId="77777777" w:rsidTr="00CB5F95">
        <w:trPr>
          <w:trHeight w:val="300"/>
          <w:jc w:val="center"/>
        </w:trPr>
        <w:tc>
          <w:tcPr>
            <w:tcW w:w="2510" w:type="dxa"/>
            <w:tcBorders>
              <w:top w:val="nil"/>
              <w:left w:val="nil"/>
              <w:bottom w:val="single" w:sz="4" w:space="0" w:color="auto"/>
              <w:right w:val="nil"/>
            </w:tcBorders>
            <w:shd w:val="clear" w:color="auto" w:fill="auto"/>
            <w:vAlign w:val="center"/>
            <w:hideMark/>
          </w:tcPr>
          <w:p w14:paraId="29D5B2AF"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12.5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60.5</w:t>
            </w:r>
          </w:p>
        </w:tc>
        <w:tc>
          <w:tcPr>
            <w:tcW w:w="1459" w:type="dxa"/>
            <w:tcBorders>
              <w:top w:val="nil"/>
              <w:left w:val="nil"/>
              <w:bottom w:val="single" w:sz="4" w:space="0" w:color="auto"/>
              <w:right w:val="nil"/>
            </w:tcBorders>
            <w:shd w:val="clear" w:color="auto" w:fill="auto"/>
            <w:noWrap/>
            <w:vAlign w:val="center"/>
            <w:hideMark/>
          </w:tcPr>
          <w:p w14:paraId="0634A52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30.45 ± 0.37</w:t>
            </w:r>
          </w:p>
        </w:tc>
        <w:tc>
          <w:tcPr>
            <w:tcW w:w="1560" w:type="dxa"/>
            <w:tcBorders>
              <w:top w:val="nil"/>
              <w:left w:val="nil"/>
              <w:bottom w:val="single" w:sz="4" w:space="0" w:color="auto"/>
              <w:right w:val="nil"/>
            </w:tcBorders>
            <w:shd w:val="clear" w:color="auto" w:fill="auto"/>
            <w:noWrap/>
            <w:vAlign w:val="center"/>
            <w:hideMark/>
          </w:tcPr>
          <w:p w14:paraId="2CB00715"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76.63 ± 0.04</w:t>
            </w:r>
          </w:p>
        </w:tc>
        <w:tc>
          <w:tcPr>
            <w:tcW w:w="1701" w:type="dxa"/>
            <w:tcBorders>
              <w:top w:val="nil"/>
              <w:left w:val="nil"/>
              <w:bottom w:val="single" w:sz="4" w:space="0" w:color="auto"/>
              <w:right w:val="nil"/>
            </w:tcBorders>
            <w:shd w:val="clear" w:color="auto" w:fill="auto"/>
            <w:noWrap/>
            <w:vAlign w:val="center"/>
            <w:hideMark/>
          </w:tcPr>
          <w:p w14:paraId="780C828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52.88 ± 0.41</w:t>
            </w:r>
          </w:p>
        </w:tc>
        <w:tc>
          <w:tcPr>
            <w:tcW w:w="1842" w:type="dxa"/>
            <w:tcBorders>
              <w:top w:val="nil"/>
              <w:left w:val="nil"/>
              <w:bottom w:val="single" w:sz="4" w:space="0" w:color="auto"/>
              <w:right w:val="nil"/>
            </w:tcBorders>
            <w:shd w:val="clear" w:color="auto" w:fill="auto"/>
            <w:noWrap/>
            <w:vAlign w:val="center"/>
            <w:hideMark/>
          </w:tcPr>
          <w:p w14:paraId="12F83CFA"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0.258 ± 0.003</w:t>
            </w:r>
          </w:p>
        </w:tc>
      </w:tr>
      <w:tr w:rsidR="00CB5F95" w:rsidRPr="000E2377" w14:paraId="1803F353" w14:textId="77777777" w:rsidTr="00CB5F95">
        <w:trPr>
          <w:trHeight w:val="315"/>
          <w:jc w:val="center"/>
        </w:trPr>
        <w:tc>
          <w:tcPr>
            <w:tcW w:w="2510" w:type="dxa"/>
            <w:tcBorders>
              <w:top w:val="nil"/>
              <w:left w:val="nil"/>
              <w:bottom w:val="nil"/>
              <w:right w:val="nil"/>
            </w:tcBorders>
            <w:shd w:val="clear" w:color="auto" w:fill="auto"/>
            <w:vAlign w:val="center"/>
            <w:hideMark/>
          </w:tcPr>
          <w:p w14:paraId="5DE87A73"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2.4</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5.7</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69.9</w:t>
            </w:r>
          </w:p>
        </w:tc>
        <w:tc>
          <w:tcPr>
            <w:tcW w:w="1459" w:type="dxa"/>
            <w:tcBorders>
              <w:top w:val="nil"/>
              <w:left w:val="nil"/>
              <w:bottom w:val="nil"/>
              <w:right w:val="nil"/>
            </w:tcBorders>
            <w:shd w:val="clear" w:color="auto" w:fill="auto"/>
            <w:noWrap/>
            <w:vAlign w:val="center"/>
            <w:hideMark/>
          </w:tcPr>
          <w:p w14:paraId="3AAE758E"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26.41 ± 0.34</w:t>
            </w:r>
          </w:p>
        </w:tc>
        <w:tc>
          <w:tcPr>
            <w:tcW w:w="1560" w:type="dxa"/>
            <w:tcBorders>
              <w:top w:val="nil"/>
              <w:left w:val="nil"/>
              <w:bottom w:val="nil"/>
              <w:right w:val="nil"/>
            </w:tcBorders>
            <w:shd w:val="clear" w:color="auto" w:fill="auto"/>
            <w:noWrap/>
            <w:vAlign w:val="center"/>
            <w:hideMark/>
          </w:tcPr>
          <w:p w14:paraId="51E0920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65.51 ± 0.04</w:t>
            </w:r>
          </w:p>
        </w:tc>
        <w:tc>
          <w:tcPr>
            <w:tcW w:w="1701" w:type="dxa"/>
            <w:tcBorders>
              <w:top w:val="nil"/>
              <w:left w:val="nil"/>
              <w:bottom w:val="nil"/>
              <w:right w:val="nil"/>
            </w:tcBorders>
            <w:shd w:val="clear" w:color="auto" w:fill="auto"/>
            <w:noWrap/>
            <w:vAlign w:val="center"/>
            <w:hideMark/>
          </w:tcPr>
          <w:p w14:paraId="2F4E7D9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42.04 ± 0.33</w:t>
            </w:r>
          </w:p>
        </w:tc>
        <w:tc>
          <w:tcPr>
            <w:tcW w:w="1842" w:type="dxa"/>
            <w:tcBorders>
              <w:top w:val="nil"/>
              <w:left w:val="nil"/>
              <w:bottom w:val="nil"/>
              <w:right w:val="nil"/>
            </w:tcBorders>
            <w:shd w:val="clear" w:color="auto" w:fill="auto"/>
            <w:noWrap/>
            <w:vAlign w:val="center"/>
            <w:hideMark/>
          </w:tcPr>
          <w:p w14:paraId="7134F76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0.240 ± 0.003</w:t>
            </w:r>
          </w:p>
        </w:tc>
      </w:tr>
      <w:tr w:rsidR="00CB5F95" w:rsidRPr="000E2377" w14:paraId="360BB2B1" w14:textId="77777777" w:rsidTr="00CB5F95">
        <w:trPr>
          <w:trHeight w:val="300"/>
          <w:jc w:val="center"/>
        </w:trPr>
        <w:tc>
          <w:tcPr>
            <w:tcW w:w="2510" w:type="dxa"/>
            <w:tcBorders>
              <w:top w:val="nil"/>
              <w:left w:val="nil"/>
              <w:bottom w:val="nil"/>
              <w:right w:val="nil"/>
            </w:tcBorders>
            <w:shd w:val="clear" w:color="auto" w:fill="auto"/>
            <w:vAlign w:val="center"/>
            <w:hideMark/>
          </w:tcPr>
          <w:p w14:paraId="6A9A86F3"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3.6</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10.1</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64.3</w:t>
            </w:r>
          </w:p>
        </w:tc>
        <w:tc>
          <w:tcPr>
            <w:tcW w:w="1459" w:type="dxa"/>
            <w:tcBorders>
              <w:top w:val="nil"/>
              <w:left w:val="nil"/>
              <w:bottom w:val="nil"/>
              <w:right w:val="nil"/>
            </w:tcBorders>
            <w:shd w:val="clear" w:color="auto" w:fill="auto"/>
            <w:noWrap/>
            <w:vAlign w:val="center"/>
            <w:hideMark/>
          </w:tcPr>
          <w:p w14:paraId="4538034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27.39 ± 0.27</w:t>
            </w:r>
          </w:p>
        </w:tc>
        <w:tc>
          <w:tcPr>
            <w:tcW w:w="1560" w:type="dxa"/>
            <w:tcBorders>
              <w:top w:val="nil"/>
              <w:left w:val="nil"/>
              <w:bottom w:val="nil"/>
              <w:right w:val="nil"/>
            </w:tcBorders>
            <w:shd w:val="clear" w:color="auto" w:fill="auto"/>
            <w:noWrap/>
            <w:vAlign w:val="center"/>
            <w:hideMark/>
          </w:tcPr>
          <w:p w14:paraId="10E27CF5"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68.71 ± 0.03</w:t>
            </w:r>
          </w:p>
        </w:tc>
        <w:tc>
          <w:tcPr>
            <w:tcW w:w="1701" w:type="dxa"/>
            <w:tcBorders>
              <w:top w:val="nil"/>
              <w:left w:val="nil"/>
              <w:bottom w:val="nil"/>
              <w:right w:val="nil"/>
            </w:tcBorders>
            <w:shd w:val="clear" w:color="auto" w:fill="auto"/>
            <w:noWrap/>
            <w:vAlign w:val="center"/>
            <w:hideMark/>
          </w:tcPr>
          <w:p w14:paraId="5BE0856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46.61 ± 0.36</w:t>
            </w:r>
          </w:p>
        </w:tc>
        <w:tc>
          <w:tcPr>
            <w:tcW w:w="1842" w:type="dxa"/>
            <w:tcBorders>
              <w:top w:val="nil"/>
              <w:left w:val="nil"/>
              <w:bottom w:val="nil"/>
              <w:right w:val="nil"/>
            </w:tcBorders>
            <w:shd w:val="clear" w:color="auto" w:fill="auto"/>
            <w:noWrap/>
            <w:vAlign w:val="center"/>
            <w:hideMark/>
          </w:tcPr>
          <w:p w14:paraId="4F6A249E"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0.254 ± 0.003</w:t>
            </w:r>
          </w:p>
        </w:tc>
      </w:tr>
      <w:tr w:rsidR="00CB5F95" w:rsidRPr="000E2377" w14:paraId="26BF51F4" w14:textId="77777777" w:rsidTr="00CB5F95">
        <w:trPr>
          <w:trHeight w:val="300"/>
          <w:jc w:val="center"/>
        </w:trPr>
        <w:tc>
          <w:tcPr>
            <w:tcW w:w="2510" w:type="dxa"/>
            <w:tcBorders>
              <w:top w:val="nil"/>
              <w:left w:val="nil"/>
              <w:bottom w:val="nil"/>
              <w:right w:val="nil"/>
            </w:tcBorders>
            <w:shd w:val="clear" w:color="auto" w:fill="auto"/>
            <w:vAlign w:val="center"/>
            <w:hideMark/>
          </w:tcPr>
          <w:p w14:paraId="79D2FC5A"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4.9</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7.1</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66</w:t>
            </w:r>
          </w:p>
        </w:tc>
        <w:tc>
          <w:tcPr>
            <w:tcW w:w="1459" w:type="dxa"/>
            <w:tcBorders>
              <w:top w:val="nil"/>
              <w:left w:val="nil"/>
              <w:bottom w:val="nil"/>
              <w:right w:val="nil"/>
            </w:tcBorders>
            <w:shd w:val="clear" w:color="auto" w:fill="auto"/>
            <w:noWrap/>
            <w:vAlign w:val="center"/>
            <w:hideMark/>
          </w:tcPr>
          <w:p w14:paraId="2E27F08C"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26.44 ± 0.27</w:t>
            </w:r>
          </w:p>
        </w:tc>
        <w:tc>
          <w:tcPr>
            <w:tcW w:w="1560" w:type="dxa"/>
            <w:tcBorders>
              <w:top w:val="nil"/>
              <w:left w:val="nil"/>
              <w:bottom w:val="nil"/>
              <w:right w:val="nil"/>
            </w:tcBorders>
            <w:shd w:val="clear" w:color="auto" w:fill="auto"/>
            <w:noWrap/>
            <w:vAlign w:val="center"/>
            <w:hideMark/>
          </w:tcPr>
          <w:p w14:paraId="4D43FB6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66.50 ± 0.03</w:t>
            </w:r>
          </w:p>
        </w:tc>
        <w:tc>
          <w:tcPr>
            <w:tcW w:w="1701" w:type="dxa"/>
            <w:tcBorders>
              <w:top w:val="nil"/>
              <w:left w:val="nil"/>
              <w:bottom w:val="nil"/>
              <w:right w:val="nil"/>
            </w:tcBorders>
            <w:shd w:val="clear" w:color="auto" w:fill="auto"/>
            <w:noWrap/>
            <w:vAlign w:val="center"/>
            <w:hideMark/>
          </w:tcPr>
          <w:p w14:paraId="4410A8BC"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45.72 ± 0.36</w:t>
            </w:r>
          </w:p>
        </w:tc>
        <w:tc>
          <w:tcPr>
            <w:tcW w:w="1842" w:type="dxa"/>
            <w:tcBorders>
              <w:top w:val="nil"/>
              <w:left w:val="nil"/>
              <w:bottom w:val="nil"/>
              <w:right w:val="nil"/>
            </w:tcBorders>
            <w:shd w:val="clear" w:color="auto" w:fill="auto"/>
            <w:noWrap/>
            <w:vAlign w:val="center"/>
            <w:hideMark/>
          </w:tcPr>
          <w:p w14:paraId="4E2619F9"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0.258 ± 0.003</w:t>
            </w:r>
          </w:p>
        </w:tc>
      </w:tr>
      <w:tr w:rsidR="00CB5F95" w:rsidRPr="000E2377" w14:paraId="6FE226E3" w14:textId="77777777" w:rsidTr="00CB5F95">
        <w:trPr>
          <w:trHeight w:val="300"/>
          <w:jc w:val="center"/>
        </w:trPr>
        <w:tc>
          <w:tcPr>
            <w:tcW w:w="2510" w:type="dxa"/>
            <w:tcBorders>
              <w:top w:val="nil"/>
              <w:left w:val="nil"/>
              <w:bottom w:val="single" w:sz="4" w:space="0" w:color="auto"/>
              <w:right w:val="nil"/>
            </w:tcBorders>
            <w:shd w:val="clear" w:color="auto" w:fill="auto"/>
            <w:vAlign w:val="center"/>
            <w:hideMark/>
          </w:tcPr>
          <w:p w14:paraId="14B7D815"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63</w:t>
            </w:r>
          </w:p>
        </w:tc>
        <w:tc>
          <w:tcPr>
            <w:tcW w:w="1459" w:type="dxa"/>
            <w:tcBorders>
              <w:top w:val="nil"/>
              <w:left w:val="nil"/>
              <w:bottom w:val="single" w:sz="4" w:space="0" w:color="auto"/>
              <w:right w:val="nil"/>
            </w:tcBorders>
            <w:shd w:val="clear" w:color="auto" w:fill="auto"/>
            <w:noWrap/>
            <w:vAlign w:val="center"/>
            <w:hideMark/>
          </w:tcPr>
          <w:p w14:paraId="6BE95A52"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26.92 ± 0.27</w:t>
            </w:r>
          </w:p>
        </w:tc>
        <w:tc>
          <w:tcPr>
            <w:tcW w:w="1560" w:type="dxa"/>
            <w:tcBorders>
              <w:top w:val="nil"/>
              <w:left w:val="nil"/>
              <w:bottom w:val="single" w:sz="4" w:space="0" w:color="auto"/>
              <w:right w:val="nil"/>
            </w:tcBorders>
            <w:shd w:val="clear" w:color="auto" w:fill="auto"/>
            <w:noWrap/>
            <w:vAlign w:val="center"/>
            <w:hideMark/>
          </w:tcPr>
          <w:p w14:paraId="723ADA92"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67.17 ± 0.03</w:t>
            </w:r>
          </w:p>
        </w:tc>
        <w:tc>
          <w:tcPr>
            <w:tcW w:w="1701" w:type="dxa"/>
            <w:tcBorders>
              <w:top w:val="nil"/>
              <w:left w:val="nil"/>
              <w:bottom w:val="single" w:sz="4" w:space="0" w:color="auto"/>
              <w:right w:val="nil"/>
            </w:tcBorders>
            <w:shd w:val="clear" w:color="auto" w:fill="auto"/>
            <w:noWrap/>
            <w:vAlign w:val="center"/>
            <w:hideMark/>
          </w:tcPr>
          <w:p w14:paraId="56E00AB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44.36 ± 0.34</w:t>
            </w:r>
          </w:p>
        </w:tc>
        <w:tc>
          <w:tcPr>
            <w:tcW w:w="1842" w:type="dxa"/>
            <w:tcBorders>
              <w:top w:val="nil"/>
              <w:left w:val="nil"/>
              <w:bottom w:val="single" w:sz="4" w:space="0" w:color="auto"/>
              <w:right w:val="nil"/>
            </w:tcBorders>
            <w:shd w:val="clear" w:color="auto" w:fill="auto"/>
            <w:noWrap/>
            <w:vAlign w:val="center"/>
            <w:hideMark/>
          </w:tcPr>
          <w:p w14:paraId="6C07520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0.248 ± 0.003</w:t>
            </w:r>
          </w:p>
        </w:tc>
      </w:tr>
    </w:tbl>
    <w:p w14:paraId="51FABE96" w14:textId="77777777" w:rsidR="00CB5F95" w:rsidRPr="000E2377" w:rsidRDefault="00CB5F95" w:rsidP="00CB5F95">
      <w:pPr>
        <w:spacing w:line="240" w:lineRule="auto"/>
        <w:jc w:val="center"/>
        <w:rPr>
          <w:rFonts w:eastAsia="Calibri" w:cs="Times New Roman"/>
          <w:bCs/>
          <w:szCs w:val="24"/>
          <w:lang w:val="en-GB" w:eastAsia="tr-TR"/>
        </w:rPr>
      </w:pPr>
    </w:p>
    <w:p w14:paraId="1B6E5E88" w14:textId="77777777" w:rsidR="00CB5F95" w:rsidRPr="000E2377" w:rsidRDefault="00CB5F95" w:rsidP="00CB5F95">
      <w:pPr>
        <w:spacing w:line="240" w:lineRule="auto"/>
        <w:jc w:val="center"/>
        <w:rPr>
          <w:rFonts w:eastAsia="Calibri" w:cs="Times New Roman"/>
          <w:bCs/>
          <w:szCs w:val="24"/>
          <w:lang w:val="en-GB" w:eastAsia="tr-TR"/>
        </w:rPr>
      </w:pPr>
    </w:p>
    <w:p w14:paraId="742D394E" w14:textId="77777777" w:rsidR="00CB5F95" w:rsidRPr="000E2377" w:rsidRDefault="00CB5F95" w:rsidP="00CB5F95">
      <w:pPr>
        <w:spacing w:line="240" w:lineRule="auto"/>
        <w:jc w:val="center"/>
        <w:rPr>
          <w:rFonts w:eastAsia="Calibri" w:cs="Times New Roman"/>
          <w:bCs/>
          <w:szCs w:val="24"/>
          <w:lang w:val="en-GB" w:eastAsia="tr-TR"/>
        </w:rPr>
      </w:pPr>
    </w:p>
    <w:p w14:paraId="05FC647E" w14:textId="77777777" w:rsidR="00CB5F95" w:rsidRPr="000E2377" w:rsidRDefault="00CB5F95" w:rsidP="00CB5F95">
      <w:pPr>
        <w:spacing w:line="240" w:lineRule="auto"/>
        <w:jc w:val="center"/>
        <w:rPr>
          <w:rFonts w:eastAsia="Calibri" w:cs="Times New Roman"/>
          <w:bCs/>
          <w:szCs w:val="24"/>
          <w:lang w:val="en-GB" w:eastAsia="tr-TR"/>
        </w:rPr>
      </w:pPr>
    </w:p>
    <w:p w14:paraId="3EA7F2B1" w14:textId="77777777" w:rsidR="00CB5F95" w:rsidRPr="000E2377" w:rsidRDefault="00CB5F95" w:rsidP="00CB5F95">
      <w:pPr>
        <w:spacing w:line="240" w:lineRule="auto"/>
        <w:jc w:val="center"/>
        <w:rPr>
          <w:rFonts w:eastAsia="Calibri" w:cs="Times New Roman"/>
          <w:bCs/>
          <w:szCs w:val="24"/>
          <w:lang w:val="en-GB" w:eastAsia="tr-TR"/>
        </w:rPr>
      </w:pPr>
    </w:p>
    <w:p w14:paraId="4C163DA0" w14:textId="77777777" w:rsidR="00CB5F95" w:rsidRPr="000E2377" w:rsidRDefault="00CB5F95" w:rsidP="00CB5F95">
      <w:pPr>
        <w:spacing w:line="240" w:lineRule="auto"/>
        <w:jc w:val="center"/>
        <w:rPr>
          <w:rFonts w:eastAsia="Calibri" w:cs="Times New Roman"/>
          <w:bCs/>
          <w:szCs w:val="24"/>
          <w:lang w:val="en-GB"/>
        </w:rPr>
      </w:pPr>
      <w:r w:rsidRPr="000E2377">
        <w:rPr>
          <w:rFonts w:eastAsia="Calibri" w:cs="Times New Roman"/>
          <w:bCs/>
          <w:szCs w:val="24"/>
          <w:lang w:val="en-GB"/>
        </w:rPr>
        <w:t>Table E4. Other measured mechanical properties of glass series.</w:t>
      </w:r>
    </w:p>
    <w:tbl>
      <w:tblPr>
        <w:tblW w:w="6620" w:type="dxa"/>
        <w:jc w:val="center"/>
        <w:tblLook w:val="04A0" w:firstRow="1" w:lastRow="0" w:firstColumn="1" w:lastColumn="0" w:noHBand="0" w:noVBand="1"/>
      </w:tblPr>
      <w:tblGrid>
        <w:gridCol w:w="2510"/>
        <w:gridCol w:w="1680"/>
        <w:gridCol w:w="1900"/>
        <w:gridCol w:w="1243"/>
      </w:tblGrid>
      <w:tr w:rsidR="00CB5F95" w:rsidRPr="000E2377" w14:paraId="7A3362F4" w14:textId="77777777" w:rsidTr="00CB5F95">
        <w:trPr>
          <w:trHeight w:val="517"/>
          <w:jc w:val="center"/>
        </w:trPr>
        <w:tc>
          <w:tcPr>
            <w:tcW w:w="2080" w:type="dxa"/>
            <w:vMerge w:val="restart"/>
            <w:tcBorders>
              <w:top w:val="single" w:sz="4" w:space="0" w:color="auto"/>
              <w:left w:val="nil"/>
              <w:bottom w:val="single" w:sz="4" w:space="0" w:color="000000"/>
              <w:right w:val="nil"/>
            </w:tcBorders>
            <w:shd w:val="clear" w:color="auto" w:fill="auto"/>
            <w:noWrap/>
            <w:vAlign w:val="center"/>
            <w:hideMark/>
          </w:tcPr>
          <w:p w14:paraId="0C470E5A"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Glass Code</w:t>
            </w:r>
          </w:p>
        </w:tc>
        <w:tc>
          <w:tcPr>
            <w:tcW w:w="1680" w:type="dxa"/>
            <w:vMerge w:val="restart"/>
            <w:tcBorders>
              <w:top w:val="single" w:sz="4" w:space="0" w:color="auto"/>
              <w:left w:val="nil"/>
              <w:bottom w:val="single" w:sz="4" w:space="0" w:color="000000"/>
              <w:right w:val="nil"/>
            </w:tcBorders>
            <w:shd w:val="clear" w:color="auto" w:fill="auto"/>
            <w:vAlign w:val="center"/>
            <w:hideMark/>
          </w:tcPr>
          <w:p w14:paraId="1CFE4367"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Vickers hardness, (</w:t>
            </w:r>
            <w:proofErr w:type="spellStart"/>
            <w:r w:rsidRPr="000E2377">
              <w:rPr>
                <w:rFonts w:eastAsia="Times New Roman" w:cs="Times New Roman"/>
                <w:b w:val="0"/>
                <w:color w:val="000000"/>
                <w:szCs w:val="24"/>
                <w:lang w:eastAsia="en-MY"/>
              </w:rPr>
              <w:t>GPa</w:t>
            </w:r>
            <w:proofErr w:type="spellEnd"/>
            <w:r w:rsidRPr="000E2377">
              <w:rPr>
                <w:rFonts w:eastAsia="Times New Roman" w:cs="Times New Roman"/>
                <w:b w:val="0"/>
                <w:color w:val="000000"/>
                <w:szCs w:val="24"/>
                <w:lang w:eastAsia="en-MY"/>
              </w:rPr>
              <w:t>)</w:t>
            </w:r>
          </w:p>
        </w:tc>
        <w:tc>
          <w:tcPr>
            <w:tcW w:w="1900" w:type="dxa"/>
            <w:vMerge w:val="restart"/>
            <w:tcBorders>
              <w:top w:val="single" w:sz="4" w:space="0" w:color="auto"/>
              <w:left w:val="nil"/>
              <w:bottom w:val="single" w:sz="4" w:space="0" w:color="000000"/>
              <w:right w:val="nil"/>
            </w:tcBorders>
            <w:shd w:val="clear" w:color="auto" w:fill="auto"/>
            <w:vAlign w:val="center"/>
            <w:hideMark/>
          </w:tcPr>
          <w:p w14:paraId="616C7C71"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Indentation toughness,       MN m</w:t>
            </w:r>
            <w:r w:rsidRPr="000E2377">
              <w:rPr>
                <w:rFonts w:eastAsia="Times New Roman" w:cs="Times New Roman"/>
                <w:b w:val="0"/>
                <w:color w:val="000000"/>
                <w:szCs w:val="24"/>
                <w:vertAlign w:val="superscript"/>
                <w:lang w:eastAsia="en-MY"/>
              </w:rPr>
              <w:t>-3/2</w:t>
            </w:r>
          </w:p>
        </w:tc>
        <w:tc>
          <w:tcPr>
            <w:tcW w:w="960" w:type="dxa"/>
            <w:vMerge w:val="restart"/>
            <w:tcBorders>
              <w:top w:val="single" w:sz="4" w:space="0" w:color="auto"/>
              <w:left w:val="nil"/>
              <w:bottom w:val="single" w:sz="4" w:space="0" w:color="000000"/>
              <w:right w:val="nil"/>
            </w:tcBorders>
            <w:shd w:val="clear" w:color="auto" w:fill="auto"/>
            <w:vAlign w:val="center"/>
            <w:hideMark/>
          </w:tcPr>
          <w:p w14:paraId="19EED37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Brittleness           (mm</w:t>
            </w:r>
            <w:r w:rsidRPr="000E2377">
              <w:rPr>
                <w:rFonts w:eastAsia="Times New Roman" w:cs="Times New Roman"/>
                <w:b w:val="0"/>
                <w:color w:val="000000"/>
                <w:szCs w:val="24"/>
                <w:vertAlign w:val="superscript"/>
                <w:lang w:eastAsia="en-MY"/>
              </w:rPr>
              <w:t>-1/2</w:t>
            </w:r>
            <w:r w:rsidRPr="000E2377">
              <w:rPr>
                <w:rFonts w:eastAsia="Times New Roman" w:cs="Times New Roman"/>
                <w:b w:val="0"/>
                <w:color w:val="000000"/>
                <w:szCs w:val="24"/>
                <w:lang w:eastAsia="en-MY"/>
              </w:rPr>
              <w:t>)</w:t>
            </w:r>
          </w:p>
        </w:tc>
      </w:tr>
      <w:tr w:rsidR="00CB5F95" w:rsidRPr="000E2377" w14:paraId="6FA16FFB" w14:textId="77777777" w:rsidTr="00CB5F95">
        <w:trPr>
          <w:trHeight w:val="517"/>
          <w:jc w:val="center"/>
        </w:trPr>
        <w:tc>
          <w:tcPr>
            <w:tcW w:w="2080" w:type="dxa"/>
            <w:vMerge/>
            <w:tcBorders>
              <w:top w:val="single" w:sz="4" w:space="0" w:color="auto"/>
              <w:left w:val="nil"/>
              <w:bottom w:val="single" w:sz="4" w:space="0" w:color="000000"/>
              <w:right w:val="nil"/>
            </w:tcBorders>
            <w:vAlign w:val="center"/>
            <w:hideMark/>
          </w:tcPr>
          <w:p w14:paraId="20682BF8" w14:textId="77777777" w:rsidR="00CB5F95" w:rsidRPr="000E2377" w:rsidRDefault="00CB5F95" w:rsidP="00CB5F95">
            <w:pPr>
              <w:spacing w:after="0" w:line="240" w:lineRule="auto"/>
              <w:rPr>
                <w:rFonts w:eastAsia="Times New Roman" w:cs="Times New Roman"/>
                <w:b w:val="0"/>
                <w:color w:val="000000"/>
                <w:szCs w:val="24"/>
                <w:lang w:eastAsia="en-MY"/>
              </w:rPr>
            </w:pPr>
          </w:p>
        </w:tc>
        <w:tc>
          <w:tcPr>
            <w:tcW w:w="1680" w:type="dxa"/>
            <w:vMerge/>
            <w:tcBorders>
              <w:top w:val="single" w:sz="4" w:space="0" w:color="auto"/>
              <w:left w:val="nil"/>
              <w:bottom w:val="single" w:sz="4" w:space="0" w:color="000000"/>
              <w:right w:val="nil"/>
            </w:tcBorders>
            <w:vAlign w:val="center"/>
            <w:hideMark/>
          </w:tcPr>
          <w:p w14:paraId="576B9059" w14:textId="77777777" w:rsidR="00CB5F95" w:rsidRPr="000E2377" w:rsidRDefault="00CB5F95" w:rsidP="00CB5F95">
            <w:pPr>
              <w:spacing w:after="0" w:line="240" w:lineRule="auto"/>
              <w:rPr>
                <w:rFonts w:eastAsia="Times New Roman" w:cs="Times New Roman"/>
                <w:b w:val="0"/>
                <w:color w:val="000000"/>
                <w:szCs w:val="24"/>
                <w:lang w:eastAsia="en-MY"/>
              </w:rPr>
            </w:pPr>
          </w:p>
        </w:tc>
        <w:tc>
          <w:tcPr>
            <w:tcW w:w="1900" w:type="dxa"/>
            <w:vMerge/>
            <w:tcBorders>
              <w:top w:val="single" w:sz="4" w:space="0" w:color="auto"/>
              <w:left w:val="nil"/>
              <w:bottom w:val="single" w:sz="4" w:space="0" w:color="000000"/>
              <w:right w:val="nil"/>
            </w:tcBorders>
            <w:vAlign w:val="center"/>
            <w:hideMark/>
          </w:tcPr>
          <w:p w14:paraId="548D9C91" w14:textId="77777777" w:rsidR="00CB5F95" w:rsidRPr="000E2377" w:rsidRDefault="00CB5F95" w:rsidP="00CB5F95">
            <w:pPr>
              <w:spacing w:after="0" w:line="240" w:lineRule="auto"/>
              <w:rPr>
                <w:rFonts w:eastAsia="Times New Roman" w:cs="Times New Roman"/>
                <w:b w:val="0"/>
                <w:color w:val="000000"/>
                <w:szCs w:val="24"/>
                <w:lang w:eastAsia="en-MY"/>
              </w:rPr>
            </w:pPr>
          </w:p>
        </w:tc>
        <w:tc>
          <w:tcPr>
            <w:tcW w:w="960" w:type="dxa"/>
            <w:vMerge/>
            <w:tcBorders>
              <w:top w:val="single" w:sz="4" w:space="0" w:color="auto"/>
              <w:left w:val="nil"/>
              <w:bottom w:val="single" w:sz="4" w:space="0" w:color="000000"/>
              <w:right w:val="nil"/>
            </w:tcBorders>
            <w:vAlign w:val="center"/>
            <w:hideMark/>
          </w:tcPr>
          <w:p w14:paraId="57BC58A4" w14:textId="77777777" w:rsidR="00CB5F95" w:rsidRPr="000E2377" w:rsidRDefault="00CB5F95" w:rsidP="00CB5F95">
            <w:pPr>
              <w:spacing w:after="0" w:line="240" w:lineRule="auto"/>
              <w:rPr>
                <w:rFonts w:eastAsia="Times New Roman" w:cs="Times New Roman"/>
                <w:b w:val="0"/>
                <w:color w:val="000000"/>
                <w:szCs w:val="24"/>
                <w:lang w:eastAsia="en-MY"/>
              </w:rPr>
            </w:pPr>
          </w:p>
        </w:tc>
      </w:tr>
      <w:tr w:rsidR="00CB5F95" w:rsidRPr="000E2377" w14:paraId="399A9713" w14:textId="77777777" w:rsidTr="00CB5F95">
        <w:trPr>
          <w:trHeight w:val="405"/>
          <w:jc w:val="center"/>
        </w:trPr>
        <w:tc>
          <w:tcPr>
            <w:tcW w:w="2080" w:type="dxa"/>
            <w:tcBorders>
              <w:top w:val="nil"/>
              <w:left w:val="nil"/>
              <w:bottom w:val="nil"/>
              <w:right w:val="nil"/>
            </w:tcBorders>
            <w:shd w:val="clear" w:color="auto" w:fill="auto"/>
            <w:vAlign w:val="center"/>
            <w:hideMark/>
          </w:tcPr>
          <w:p w14:paraId="1F51D94F"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79.7</w:t>
            </w:r>
          </w:p>
        </w:tc>
        <w:tc>
          <w:tcPr>
            <w:tcW w:w="1680" w:type="dxa"/>
            <w:tcBorders>
              <w:top w:val="nil"/>
              <w:left w:val="nil"/>
              <w:bottom w:val="nil"/>
              <w:right w:val="nil"/>
            </w:tcBorders>
            <w:shd w:val="clear" w:color="auto" w:fill="auto"/>
            <w:noWrap/>
            <w:vAlign w:val="center"/>
            <w:hideMark/>
          </w:tcPr>
          <w:p w14:paraId="220A7F8C"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5.69 ± 0.11</w:t>
            </w:r>
          </w:p>
        </w:tc>
        <w:tc>
          <w:tcPr>
            <w:tcW w:w="1900" w:type="dxa"/>
            <w:tcBorders>
              <w:top w:val="nil"/>
              <w:left w:val="nil"/>
              <w:bottom w:val="nil"/>
              <w:right w:val="nil"/>
            </w:tcBorders>
            <w:shd w:val="clear" w:color="auto" w:fill="auto"/>
            <w:noWrap/>
            <w:vAlign w:val="center"/>
            <w:hideMark/>
          </w:tcPr>
          <w:p w14:paraId="07CBDB2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1.02 ± 0.03</w:t>
            </w:r>
          </w:p>
        </w:tc>
        <w:tc>
          <w:tcPr>
            <w:tcW w:w="960" w:type="dxa"/>
            <w:tcBorders>
              <w:top w:val="nil"/>
              <w:left w:val="nil"/>
              <w:bottom w:val="nil"/>
              <w:right w:val="nil"/>
            </w:tcBorders>
            <w:shd w:val="clear" w:color="auto" w:fill="auto"/>
            <w:noWrap/>
            <w:vAlign w:val="center"/>
            <w:hideMark/>
          </w:tcPr>
          <w:p w14:paraId="32A330F9"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5.60</w:t>
            </w:r>
          </w:p>
        </w:tc>
      </w:tr>
      <w:tr w:rsidR="00CB5F95" w:rsidRPr="000E2377" w14:paraId="19D43452" w14:textId="77777777" w:rsidTr="00CB5F95">
        <w:trPr>
          <w:trHeight w:val="300"/>
          <w:jc w:val="center"/>
        </w:trPr>
        <w:tc>
          <w:tcPr>
            <w:tcW w:w="2080" w:type="dxa"/>
            <w:tcBorders>
              <w:top w:val="nil"/>
              <w:left w:val="nil"/>
              <w:bottom w:val="nil"/>
              <w:right w:val="nil"/>
            </w:tcBorders>
            <w:shd w:val="clear" w:color="auto" w:fill="auto"/>
            <w:vAlign w:val="center"/>
            <w:hideMark/>
          </w:tcPr>
          <w:p w14:paraId="7AA28CD7"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78.2</w:t>
            </w:r>
            <w:r w:rsidRPr="000E2377">
              <w:rPr>
                <w:rFonts w:eastAsia="Times New Roman" w:cs="Times New Roman"/>
                <w:b w:val="0"/>
                <w:color w:val="000000"/>
                <w:szCs w:val="24"/>
                <w:lang w:eastAsia="en-MY"/>
              </w:rPr>
              <w:t xml:space="preserve"> </w:t>
            </w:r>
          </w:p>
        </w:tc>
        <w:tc>
          <w:tcPr>
            <w:tcW w:w="1680" w:type="dxa"/>
            <w:tcBorders>
              <w:top w:val="nil"/>
              <w:left w:val="nil"/>
              <w:bottom w:val="nil"/>
              <w:right w:val="nil"/>
            </w:tcBorders>
            <w:shd w:val="clear" w:color="auto" w:fill="auto"/>
            <w:noWrap/>
            <w:vAlign w:val="center"/>
            <w:hideMark/>
          </w:tcPr>
          <w:p w14:paraId="4902053F"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5.68 ± 0.09</w:t>
            </w:r>
          </w:p>
        </w:tc>
        <w:tc>
          <w:tcPr>
            <w:tcW w:w="1900" w:type="dxa"/>
            <w:tcBorders>
              <w:top w:val="nil"/>
              <w:left w:val="nil"/>
              <w:bottom w:val="nil"/>
              <w:right w:val="nil"/>
            </w:tcBorders>
            <w:shd w:val="clear" w:color="auto" w:fill="auto"/>
            <w:noWrap/>
            <w:vAlign w:val="center"/>
            <w:hideMark/>
          </w:tcPr>
          <w:p w14:paraId="6D90268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1.05 ± 0.04</w:t>
            </w:r>
          </w:p>
        </w:tc>
        <w:tc>
          <w:tcPr>
            <w:tcW w:w="960" w:type="dxa"/>
            <w:tcBorders>
              <w:top w:val="nil"/>
              <w:left w:val="nil"/>
              <w:bottom w:val="nil"/>
              <w:right w:val="nil"/>
            </w:tcBorders>
            <w:shd w:val="clear" w:color="auto" w:fill="auto"/>
            <w:noWrap/>
            <w:vAlign w:val="center"/>
            <w:hideMark/>
          </w:tcPr>
          <w:p w14:paraId="4E226D9E"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5.41</w:t>
            </w:r>
          </w:p>
        </w:tc>
      </w:tr>
      <w:tr w:rsidR="00CB5F95" w:rsidRPr="000E2377" w14:paraId="2E350E4C" w14:textId="77777777" w:rsidTr="00CB5F95">
        <w:trPr>
          <w:trHeight w:val="405"/>
          <w:jc w:val="center"/>
        </w:trPr>
        <w:tc>
          <w:tcPr>
            <w:tcW w:w="2080" w:type="dxa"/>
            <w:tcBorders>
              <w:top w:val="nil"/>
              <w:left w:val="nil"/>
              <w:bottom w:val="nil"/>
              <w:right w:val="nil"/>
            </w:tcBorders>
            <w:shd w:val="clear" w:color="auto" w:fill="auto"/>
            <w:vAlign w:val="center"/>
            <w:hideMark/>
          </w:tcPr>
          <w:p w14:paraId="7CE7F32B"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75.7</w:t>
            </w:r>
            <w:r w:rsidRPr="000E2377">
              <w:rPr>
                <w:rFonts w:eastAsia="Times New Roman" w:cs="Times New Roman"/>
                <w:b w:val="0"/>
                <w:color w:val="000000"/>
                <w:szCs w:val="24"/>
                <w:lang w:eastAsia="en-MY"/>
              </w:rPr>
              <w:t xml:space="preserve"> </w:t>
            </w:r>
          </w:p>
        </w:tc>
        <w:tc>
          <w:tcPr>
            <w:tcW w:w="1680" w:type="dxa"/>
            <w:tcBorders>
              <w:top w:val="nil"/>
              <w:left w:val="nil"/>
              <w:bottom w:val="nil"/>
              <w:right w:val="nil"/>
            </w:tcBorders>
            <w:shd w:val="clear" w:color="auto" w:fill="auto"/>
            <w:noWrap/>
            <w:vAlign w:val="center"/>
            <w:hideMark/>
          </w:tcPr>
          <w:p w14:paraId="6968C077"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5.52 ± 0.18</w:t>
            </w:r>
          </w:p>
        </w:tc>
        <w:tc>
          <w:tcPr>
            <w:tcW w:w="1900" w:type="dxa"/>
            <w:tcBorders>
              <w:top w:val="nil"/>
              <w:left w:val="nil"/>
              <w:bottom w:val="nil"/>
              <w:right w:val="nil"/>
            </w:tcBorders>
            <w:shd w:val="clear" w:color="auto" w:fill="auto"/>
            <w:noWrap/>
            <w:vAlign w:val="center"/>
            <w:hideMark/>
          </w:tcPr>
          <w:p w14:paraId="72AC7B35"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1.02 ± 0.04</w:t>
            </w:r>
          </w:p>
        </w:tc>
        <w:tc>
          <w:tcPr>
            <w:tcW w:w="960" w:type="dxa"/>
            <w:tcBorders>
              <w:top w:val="nil"/>
              <w:left w:val="nil"/>
              <w:bottom w:val="nil"/>
              <w:right w:val="nil"/>
            </w:tcBorders>
            <w:shd w:val="clear" w:color="auto" w:fill="auto"/>
            <w:noWrap/>
            <w:vAlign w:val="center"/>
            <w:hideMark/>
          </w:tcPr>
          <w:p w14:paraId="5DFF8242"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5.40</w:t>
            </w:r>
          </w:p>
        </w:tc>
      </w:tr>
      <w:tr w:rsidR="00CB5F95" w:rsidRPr="000E2377" w14:paraId="6347456C" w14:textId="77777777" w:rsidTr="00CB5F95">
        <w:trPr>
          <w:trHeight w:val="375"/>
          <w:jc w:val="center"/>
        </w:trPr>
        <w:tc>
          <w:tcPr>
            <w:tcW w:w="2080" w:type="dxa"/>
            <w:tcBorders>
              <w:top w:val="nil"/>
              <w:left w:val="nil"/>
              <w:bottom w:val="nil"/>
              <w:right w:val="nil"/>
            </w:tcBorders>
            <w:shd w:val="clear" w:color="auto" w:fill="auto"/>
            <w:vAlign w:val="center"/>
            <w:hideMark/>
          </w:tcPr>
          <w:p w14:paraId="447237CD"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75.5</w:t>
            </w:r>
          </w:p>
        </w:tc>
        <w:tc>
          <w:tcPr>
            <w:tcW w:w="1680" w:type="dxa"/>
            <w:tcBorders>
              <w:top w:val="nil"/>
              <w:left w:val="nil"/>
              <w:bottom w:val="nil"/>
              <w:right w:val="nil"/>
            </w:tcBorders>
            <w:shd w:val="clear" w:color="auto" w:fill="auto"/>
            <w:noWrap/>
            <w:vAlign w:val="center"/>
            <w:hideMark/>
          </w:tcPr>
          <w:p w14:paraId="6CD3842B"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5.42 ± 0.25</w:t>
            </w:r>
          </w:p>
        </w:tc>
        <w:tc>
          <w:tcPr>
            <w:tcW w:w="1900" w:type="dxa"/>
            <w:tcBorders>
              <w:top w:val="nil"/>
              <w:left w:val="nil"/>
              <w:bottom w:val="nil"/>
              <w:right w:val="nil"/>
            </w:tcBorders>
            <w:shd w:val="clear" w:color="auto" w:fill="auto"/>
            <w:noWrap/>
            <w:vAlign w:val="center"/>
            <w:hideMark/>
          </w:tcPr>
          <w:p w14:paraId="0982578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1.12 ± 0.02</w:t>
            </w:r>
          </w:p>
        </w:tc>
        <w:tc>
          <w:tcPr>
            <w:tcW w:w="960" w:type="dxa"/>
            <w:tcBorders>
              <w:top w:val="nil"/>
              <w:left w:val="nil"/>
              <w:bottom w:val="nil"/>
              <w:right w:val="nil"/>
            </w:tcBorders>
            <w:shd w:val="clear" w:color="auto" w:fill="auto"/>
            <w:noWrap/>
            <w:vAlign w:val="center"/>
            <w:hideMark/>
          </w:tcPr>
          <w:p w14:paraId="68641A0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4.85</w:t>
            </w:r>
          </w:p>
        </w:tc>
      </w:tr>
      <w:tr w:rsidR="00CB5F95" w:rsidRPr="000E2377" w14:paraId="12DCA068" w14:textId="77777777" w:rsidTr="00CB5F95">
        <w:trPr>
          <w:trHeight w:val="375"/>
          <w:jc w:val="center"/>
        </w:trPr>
        <w:tc>
          <w:tcPr>
            <w:tcW w:w="2080" w:type="dxa"/>
            <w:tcBorders>
              <w:top w:val="nil"/>
              <w:left w:val="nil"/>
              <w:bottom w:val="nil"/>
              <w:right w:val="nil"/>
            </w:tcBorders>
            <w:shd w:val="clear" w:color="auto" w:fill="auto"/>
            <w:vAlign w:val="center"/>
            <w:hideMark/>
          </w:tcPr>
          <w:p w14:paraId="403F39FE"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M</w:t>
            </w:r>
            <w:r w:rsidRPr="000E2377">
              <w:rPr>
                <w:rFonts w:eastAsia="Times New Roman" w:cs="Times New Roman"/>
                <w:b w:val="0"/>
                <w:color w:val="000000"/>
                <w:szCs w:val="24"/>
                <w:vertAlign w:val="subscript"/>
                <w:lang w:eastAsia="en-MY"/>
              </w:rPr>
              <w:t>1.1</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7.6</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73.2</w:t>
            </w:r>
          </w:p>
        </w:tc>
        <w:tc>
          <w:tcPr>
            <w:tcW w:w="1680" w:type="dxa"/>
            <w:tcBorders>
              <w:top w:val="nil"/>
              <w:left w:val="nil"/>
              <w:bottom w:val="nil"/>
              <w:right w:val="nil"/>
            </w:tcBorders>
            <w:shd w:val="clear" w:color="auto" w:fill="auto"/>
            <w:noWrap/>
            <w:vAlign w:val="center"/>
            <w:hideMark/>
          </w:tcPr>
          <w:p w14:paraId="54A0A57B"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5.45 ± 0.16</w:t>
            </w:r>
          </w:p>
        </w:tc>
        <w:tc>
          <w:tcPr>
            <w:tcW w:w="1900" w:type="dxa"/>
            <w:tcBorders>
              <w:top w:val="nil"/>
              <w:left w:val="nil"/>
              <w:bottom w:val="nil"/>
              <w:right w:val="nil"/>
            </w:tcBorders>
            <w:shd w:val="clear" w:color="auto" w:fill="auto"/>
            <w:noWrap/>
            <w:vAlign w:val="center"/>
            <w:hideMark/>
          </w:tcPr>
          <w:p w14:paraId="31F94237"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1.25 ± 0.04</w:t>
            </w:r>
          </w:p>
        </w:tc>
        <w:tc>
          <w:tcPr>
            <w:tcW w:w="960" w:type="dxa"/>
            <w:tcBorders>
              <w:top w:val="nil"/>
              <w:left w:val="nil"/>
              <w:bottom w:val="nil"/>
              <w:right w:val="nil"/>
            </w:tcBorders>
            <w:shd w:val="clear" w:color="auto" w:fill="auto"/>
            <w:noWrap/>
            <w:vAlign w:val="center"/>
            <w:hideMark/>
          </w:tcPr>
          <w:p w14:paraId="426E0C5A"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4.38</w:t>
            </w:r>
          </w:p>
        </w:tc>
      </w:tr>
      <w:tr w:rsidR="00CB5F95" w:rsidRPr="000E2377" w14:paraId="183C9A7B" w14:textId="77777777" w:rsidTr="00CB5F95">
        <w:trPr>
          <w:trHeight w:val="345"/>
          <w:jc w:val="center"/>
        </w:trPr>
        <w:tc>
          <w:tcPr>
            <w:tcW w:w="2080" w:type="dxa"/>
            <w:tcBorders>
              <w:top w:val="nil"/>
              <w:left w:val="nil"/>
              <w:bottom w:val="nil"/>
              <w:right w:val="nil"/>
            </w:tcBorders>
            <w:shd w:val="clear" w:color="auto" w:fill="auto"/>
            <w:vAlign w:val="center"/>
            <w:hideMark/>
          </w:tcPr>
          <w:p w14:paraId="350262BD"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p>
        </w:tc>
        <w:tc>
          <w:tcPr>
            <w:tcW w:w="1680" w:type="dxa"/>
            <w:tcBorders>
              <w:top w:val="nil"/>
              <w:left w:val="nil"/>
              <w:bottom w:val="nil"/>
              <w:right w:val="nil"/>
            </w:tcBorders>
            <w:shd w:val="clear" w:color="auto" w:fill="auto"/>
            <w:noWrap/>
            <w:vAlign w:val="center"/>
            <w:hideMark/>
          </w:tcPr>
          <w:p w14:paraId="3792C5E7"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5.42 ± 0.17</w:t>
            </w:r>
          </w:p>
        </w:tc>
        <w:tc>
          <w:tcPr>
            <w:tcW w:w="1900" w:type="dxa"/>
            <w:tcBorders>
              <w:top w:val="nil"/>
              <w:left w:val="nil"/>
              <w:bottom w:val="nil"/>
              <w:right w:val="nil"/>
            </w:tcBorders>
            <w:shd w:val="clear" w:color="auto" w:fill="auto"/>
            <w:noWrap/>
            <w:vAlign w:val="center"/>
            <w:hideMark/>
          </w:tcPr>
          <w:p w14:paraId="14BEEF3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0.81 ± 0.02</w:t>
            </w:r>
          </w:p>
        </w:tc>
        <w:tc>
          <w:tcPr>
            <w:tcW w:w="960" w:type="dxa"/>
            <w:tcBorders>
              <w:top w:val="nil"/>
              <w:left w:val="nil"/>
              <w:bottom w:val="nil"/>
              <w:right w:val="nil"/>
            </w:tcBorders>
            <w:shd w:val="clear" w:color="auto" w:fill="auto"/>
            <w:noWrap/>
            <w:vAlign w:val="center"/>
            <w:hideMark/>
          </w:tcPr>
          <w:p w14:paraId="7BEB983F"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6.71</w:t>
            </w:r>
          </w:p>
        </w:tc>
      </w:tr>
      <w:tr w:rsidR="00CB5F95" w:rsidRPr="000E2377" w14:paraId="786E6C8A" w14:textId="77777777" w:rsidTr="00CB5F95">
        <w:trPr>
          <w:trHeight w:val="390"/>
          <w:jc w:val="center"/>
        </w:trPr>
        <w:tc>
          <w:tcPr>
            <w:tcW w:w="2080" w:type="dxa"/>
            <w:tcBorders>
              <w:top w:val="nil"/>
              <w:left w:val="nil"/>
              <w:bottom w:val="single" w:sz="4" w:space="0" w:color="auto"/>
              <w:right w:val="nil"/>
            </w:tcBorders>
            <w:shd w:val="clear" w:color="auto" w:fill="auto"/>
            <w:vAlign w:val="center"/>
            <w:hideMark/>
          </w:tcPr>
          <w:p w14:paraId="67FF223E"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w:t>
            </w:r>
          </w:p>
        </w:tc>
        <w:tc>
          <w:tcPr>
            <w:tcW w:w="1680" w:type="dxa"/>
            <w:tcBorders>
              <w:top w:val="nil"/>
              <w:left w:val="nil"/>
              <w:bottom w:val="single" w:sz="4" w:space="0" w:color="auto"/>
              <w:right w:val="nil"/>
            </w:tcBorders>
            <w:shd w:val="clear" w:color="auto" w:fill="auto"/>
            <w:noWrap/>
            <w:vAlign w:val="center"/>
            <w:hideMark/>
          </w:tcPr>
          <w:p w14:paraId="41D1A241"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5.53 ± 0.25</w:t>
            </w:r>
          </w:p>
        </w:tc>
        <w:tc>
          <w:tcPr>
            <w:tcW w:w="1900" w:type="dxa"/>
            <w:tcBorders>
              <w:top w:val="nil"/>
              <w:left w:val="nil"/>
              <w:bottom w:val="single" w:sz="4" w:space="0" w:color="auto"/>
              <w:right w:val="nil"/>
            </w:tcBorders>
            <w:shd w:val="clear" w:color="auto" w:fill="auto"/>
            <w:noWrap/>
            <w:vAlign w:val="center"/>
            <w:hideMark/>
          </w:tcPr>
          <w:p w14:paraId="224A698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0.76 ± 0.04</w:t>
            </w:r>
          </w:p>
        </w:tc>
        <w:tc>
          <w:tcPr>
            <w:tcW w:w="960" w:type="dxa"/>
            <w:tcBorders>
              <w:top w:val="nil"/>
              <w:left w:val="nil"/>
              <w:bottom w:val="single" w:sz="4" w:space="0" w:color="auto"/>
              <w:right w:val="nil"/>
            </w:tcBorders>
            <w:shd w:val="clear" w:color="auto" w:fill="auto"/>
            <w:noWrap/>
            <w:vAlign w:val="center"/>
            <w:hideMark/>
          </w:tcPr>
          <w:p w14:paraId="1BBE8E8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7.26</w:t>
            </w:r>
          </w:p>
        </w:tc>
      </w:tr>
      <w:tr w:rsidR="00CB5F95" w:rsidRPr="000E2377" w14:paraId="63294E7A" w14:textId="77777777" w:rsidTr="00CB5F95">
        <w:trPr>
          <w:trHeight w:val="390"/>
          <w:jc w:val="center"/>
        </w:trPr>
        <w:tc>
          <w:tcPr>
            <w:tcW w:w="2080" w:type="dxa"/>
            <w:tcBorders>
              <w:top w:val="nil"/>
              <w:left w:val="nil"/>
              <w:bottom w:val="nil"/>
              <w:right w:val="nil"/>
            </w:tcBorders>
            <w:shd w:val="clear" w:color="auto" w:fill="auto"/>
            <w:vAlign w:val="center"/>
            <w:hideMark/>
          </w:tcPr>
          <w:p w14:paraId="3F46DD5F"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680" w:type="dxa"/>
            <w:tcBorders>
              <w:top w:val="nil"/>
              <w:left w:val="nil"/>
              <w:bottom w:val="nil"/>
              <w:right w:val="nil"/>
            </w:tcBorders>
            <w:shd w:val="clear" w:color="auto" w:fill="auto"/>
            <w:noWrap/>
            <w:vAlign w:val="center"/>
            <w:hideMark/>
          </w:tcPr>
          <w:p w14:paraId="1CA76D71"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4.97 ± 0.04</w:t>
            </w:r>
          </w:p>
        </w:tc>
        <w:tc>
          <w:tcPr>
            <w:tcW w:w="1900" w:type="dxa"/>
            <w:tcBorders>
              <w:top w:val="nil"/>
              <w:left w:val="nil"/>
              <w:bottom w:val="nil"/>
              <w:right w:val="nil"/>
            </w:tcBorders>
            <w:shd w:val="clear" w:color="auto" w:fill="auto"/>
            <w:noWrap/>
            <w:vAlign w:val="center"/>
            <w:hideMark/>
          </w:tcPr>
          <w:p w14:paraId="5E1E390D"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0.85 ± 0.02</w:t>
            </w:r>
          </w:p>
        </w:tc>
        <w:tc>
          <w:tcPr>
            <w:tcW w:w="960" w:type="dxa"/>
            <w:tcBorders>
              <w:top w:val="nil"/>
              <w:left w:val="nil"/>
              <w:bottom w:val="nil"/>
              <w:right w:val="nil"/>
            </w:tcBorders>
            <w:shd w:val="clear" w:color="auto" w:fill="auto"/>
            <w:noWrap/>
            <w:vAlign w:val="center"/>
            <w:hideMark/>
          </w:tcPr>
          <w:p w14:paraId="487F9FFB"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5.87</w:t>
            </w:r>
          </w:p>
        </w:tc>
      </w:tr>
      <w:tr w:rsidR="00CB5F95" w:rsidRPr="000E2377" w14:paraId="1C446E05" w14:textId="77777777" w:rsidTr="00CB5F95">
        <w:trPr>
          <w:trHeight w:val="450"/>
          <w:jc w:val="center"/>
        </w:trPr>
        <w:tc>
          <w:tcPr>
            <w:tcW w:w="2080" w:type="dxa"/>
            <w:tcBorders>
              <w:top w:val="nil"/>
              <w:left w:val="nil"/>
              <w:bottom w:val="nil"/>
              <w:right w:val="nil"/>
            </w:tcBorders>
            <w:shd w:val="clear" w:color="auto" w:fill="auto"/>
            <w:vAlign w:val="center"/>
            <w:hideMark/>
          </w:tcPr>
          <w:p w14:paraId="42B4868C"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680" w:type="dxa"/>
            <w:tcBorders>
              <w:top w:val="nil"/>
              <w:left w:val="nil"/>
              <w:bottom w:val="nil"/>
              <w:right w:val="nil"/>
            </w:tcBorders>
            <w:shd w:val="clear" w:color="auto" w:fill="auto"/>
            <w:noWrap/>
            <w:vAlign w:val="center"/>
            <w:hideMark/>
          </w:tcPr>
          <w:p w14:paraId="229A75BD"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5.19 ± 0.1</w:t>
            </w:r>
          </w:p>
        </w:tc>
        <w:tc>
          <w:tcPr>
            <w:tcW w:w="1900" w:type="dxa"/>
            <w:tcBorders>
              <w:top w:val="nil"/>
              <w:left w:val="nil"/>
              <w:bottom w:val="nil"/>
              <w:right w:val="nil"/>
            </w:tcBorders>
            <w:shd w:val="clear" w:color="auto" w:fill="auto"/>
            <w:noWrap/>
            <w:vAlign w:val="center"/>
            <w:hideMark/>
          </w:tcPr>
          <w:p w14:paraId="1AA3951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0.81 ± 0.02</w:t>
            </w:r>
          </w:p>
        </w:tc>
        <w:tc>
          <w:tcPr>
            <w:tcW w:w="960" w:type="dxa"/>
            <w:tcBorders>
              <w:top w:val="nil"/>
              <w:left w:val="nil"/>
              <w:bottom w:val="nil"/>
              <w:right w:val="nil"/>
            </w:tcBorders>
            <w:shd w:val="clear" w:color="auto" w:fill="auto"/>
            <w:noWrap/>
            <w:vAlign w:val="center"/>
            <w:hideMark/>
          </w:tcPr>
          <w:p w14:paraId="109AC35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6.44</w:t>
            </w:r>
          </w:p>
        </w:tc>
      </w:tr>
      <w:tr w:rsidR="00CB5F95" w:rsidRPr="000E2377" w14:paraId="35F1B40D" w14:textId="77777777" w:rsidTr="00CB5F95">
        <w:trPr>
          <w:trHeight w:val="390"/>
          <w:jc w:val="center"/>
        </w:trPr>
        <w:tc>
          <w:tcPr>
            <w:tcW w:w="2080" w:type="dxa"/>
            <w:tcBorders>
              <w:top w:val="nil"/>
              <w:left w:val="nil"/>
              <w:bottom w:val="single" w:sz="4" w:space="0" w:color="auto"/>
              <w:right w:val="nil"/>
            </w:tcBorders>
            <w:shd w:val="clear" w:color="auto" w:fill="auto"/>
            <w:vAlign w:val="center"/>
            <w:hideMark/>
          </w:tcPr>
          <w:p w14:paraId="083D7D01"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680" w:type="dxa"/>
            <w:tcBorders>
              <w:top w:val="nil"/>
              <w:left w:val="nil"/>
              <w:bottom w:val="single" w:sz="4" w:space="0" w:color="auto"/>
              <w:right w:val="nil"/>
            </w:tcBorders>
            <w:shd w:val="clear" w:color="auto" w:fill="auto"/>
            <w:noWrap/>
            <w:vAlign w:val="center"/>
            <w:hideMark/>
          </w:tcPr>
          <w:p w14:paraId="39F131E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5.32 ± 0.13</w:t>
            </w:r>
          </w:p>
        </w:tc>
        <w:tc>
          <w:tcPr>
            <w:tcW w:w="1900" w:type="dxa"/>
            <w:tcBorders>
              <w:top w:val="nil"/>
              <w:left w:val="nil"/>
              <w:bottom w:val="single" w:sz="4" w:space="0" w:color="auto"/>
              <w:right w:val="nil"/>
            </w:tcBorders>
            <w:shd w:val="clear" w:color="auto" w:fill="auto"/>
            <w:noWrap/>
            <w:vAlign w:val="center"/>
            <w:hideMark/>
          </w:tcPr>
          <w:p w14:paraId="75146101"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0.75 ± 0.03</w:t>
            </w:r>
          </w:p>
        </w:tc>
        <w:tc>
          <w:tcPr>
            <w:tcW w:w="960" w:type="dxa"/>
            <w:tcBorders>
              <w:top w:val="nil"/>
              <w:left w:val="nil"/>
              <w:bottom w:val="single" w:sz="4" w:space="0" w:color="auto"/>
              <w:right w:val="nil"/>
            </w:tcBorders>
            <w:shd w:val="clear" w:color="auto" w:fill="auto"/>
            <w:noWrap/>
            <w:vAlign w:val="center"/>
            <w:hideMark/>
          </w:tcPr>
          <w:p w14:paraId="29DA4765"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7.12</w:t>
            </w:r>
          </w:p>
        </w:tc>
      </w:tr>
      <w:tr w:rsidR="00CB5F95" w:rsidRPr="000E2377" w14:paraId="7B4D9A3C" w14:textId="77777777" w:rsidTr="00CB5F95">
        <w:trPr>
          <w:trHeight w:val="405"/>
          <w:jc w:val="center"/>
        </w:trPr>
        <w:tc>
          <w:tcPr>
            <w:tcW w:w="2080" w:type="dxa"/>
            <w:tcBorders>
              <w:top w:val="nil"/>
              <w:left w:val="nil"/>
              <w:bottom w:val="nil"/>
              <w:right w:val="nil"/>
            </w:tcBorders>
            <w:shd w:val="clear" w:color="auto" w:fill="auto"/>
            <w:vAlign w:val="center"/>
            <w:hideMark/>
          </w:tcPr>
          <w:p w14:paraId="14951FB5"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680" w:type="dxa"/>
            <w:tcBorders>
              <w:top w:val="nil"/>
              <w:left w:val="nil"/>
              <w:bottom w:val="nil"/>
              <w:right w:val="nil"/>
            </w:tcBorders>
            <w:shd w:val="clear" w:color="auto" w:fill="auto"/>
            <w:noWrap/>
            <w:vAlign w:val="center"/>
            <w:hideMark/>
          </w:tcPr>
          <w:p w14:paraId="37EE1315"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5.63 ± 0.12</w:t>
            </w:r>
          </w:p>
        </w:tc>
        <w:tc>
          <w:tcPr>
            <w:tcW w:w="1900" w:type="dxa"/>
            <w:tcBorders>
              <w:top w:val="nil"/>
              <w:left w:val="nil"/>
              <w:bottom w:val="nil"/>
              <w:right w:val="nil"/>
            </w:tcBorders>
            <w:shd w:val="clear" w:color="auto" w:fill="auto"/>
            <w:noWrap/>
            <w:vAlign w:val="center"/>
            <w:hideMark/>
          </w:tcPr>
          <w:p w14:paraId="435EEC8A"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0.63 ± 0.02</w:t>
            </w:r>
          </w:p>
        </w:tc>
        <w:tc>
          <w:tcPr>
            <w:tcW w:w="960" w:type="dxa"/>
            <w:tcBorders>
              <w:top w:val="nil"/>
              <w:left w:val="nil"/>
              <w:bottom w:val="nil"/>
              <w:right w:val="nil"/>
            </w:tcBorders>
            <w:shd w:val="clear" w:color="auto" w:fill="auto"/>
            <w:noWrap/>
            <w:vAlign w:val="center"/>
            <w:hideMark/>
          </w:tcPr>
          <w:p w14:paraId="2BA530CB"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8.87</w:t>
            </w:r>
          </w:p>
        </w:tc>
      </w:tr>
      <w:tr w:rsidR="00CB5F95" w:rsidRPr="000E2377" w14:paraId="4F608E1D" w14:textId="77777777" w:rsidTr="00CB5F95">
        <w:trPr>
          <w:trHeight w:val="405"/>
          <w:jc w:val="center"/>
        </w:trPr>
        <w:tc>
          <w:tcPr>
            <w:tcW w:w="2080" w:type="dxa"/>
            <w:tcBorders>
              <w:top w:val="nil"/>
              <w:left w:val="nil"/>
              <w:bottom w:val="nil"/>
              <w:right w:val="nil"/>
            </w:tcBorders>
            <w:shd w:val="clear" w:color="auto" w:fill="auto"/>
            <w:vAlign w:val="center"/>
            <w:hideMark/>
          </w:tcPr>
          <w:p w14:paraId="6B22DC5E"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680" w:type="dxa"/>
            <w:tcBorders>
              <w:top w:val="nil"/>
              <w:left w:val="nil"/>
              <w:bottom w:val="nil"/>
              <w:right w:val="nil"/>
            </w:tcBorders>
            <w:shd w:val="clear" w:color="auto" w:fill="auto"/>
            <w:noWrap/>
            <w:vAlign w:val="center"/>
            <w:hideMark/>
          </w:tcPr>
          <w:p w14:paraId="336CE3A2"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5.73 ± 0.12</w:t>
            </w:r>
          </w:p>
        </w:tc>
        <w:tc>
          <w:tcPr>
            <w:tcW w:w="1900" w:type="dxa"/>
            <w:tcBorders>
              <w:top w:val="nil"/>
              <w:left w:val="nil"/>
              <w:bottom w:val="nil"/>
              <w:right w:val="nil"/>
            </w:tcBorders>
            <w:shd w:val="clear" w:color="auto" w:fill="auto"/>
            <w:noWrap/>
            <w:vAlign w:val="center"/>
            <w:hideMark/>
          </w:tcPr>
          <w:p w14:paraId="73657D7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0.61 ± 0.04</w:t>
            </w:r>
          </w:p>
        </w:tc>
        <w:tc>
          <w:tcPr>
            <w:tcW w:w="960" w:type="dxa"/>
            <w:tcBorders>
              <w:top w:val="nil"/>
              <w:left w:val="nil"/>
              <w:bottom w:val="nil"/>
              <w:right w:val="nil"/>
            </w:tcBorders>
            <w:shd w:val="clear" w:color="auto" w:fill="auto"/>
            <w:noWrap/>
            <w:vAlign w:val="center"/>
            <w:hideMark/>
          </w:tcPr>
          <w:p w14:paraId="178B203D"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9.32</w:t>
            </w:r>
          </w:p>
        </w:tc>
      </w:tr>
      <w:tr w:rsidR="00CB5F95" w:rsidRPr="000E2377" w14:paraId="3D26D2D7" w14:textId="77777777" w:rsidTr="00CB5F95">
        <w:trPr>
          <w:trHeight w:val="390"/>
          <w:jc w:val="center"/>
        </w:trPr>
        <w:tc>
          <w:tcPr>
            <w:tcW w:w="2080" w:type="dxa"/>
            <w:tcBorders>
              <w:top w:val="nil"/>
              <w:left w:val="nil"/>
              <w:bottom w:val="single" w:sz="4" w:space="0" w:color="auto"/>
              <w:right w:val="nil"/>
            </w:tcBorders>
            <w:shd w:val="clear" w:color="auto" w:fill="auto"/>
            <w:vAlign w:val="center"/>
            <w:hideMark/>
          </w:tcPr>
          <w:p w14:paraId="4638D317"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12.5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680" w:type="dxa"/>
            <w:tcBorders>
              <w:top w:val="nil"/>
              <w:left w:val="nil"/>
              <w:bottom w:val="single" w:sz="4" w:space="0" w:color="auto"/>
              <w:right w:val="nil"/>
            </w:tcBorders>
            <w:shd w:val="clear" w:color="auto" w:fill="auto"/>
            <w:noWrap/>
            <w:vAlign w:val="center"/>
            <w:hideMark/>
          </w:tcPr>
          <w:p w14:paraId="0D06EA0F"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5.66 ± 0.18</w:t>
            </w:r>
          </w:p>
        </w:tc>
        <w:tc>
          <w:tcPr>
            <w:tcW w:w="1900" w:type="dxa"/>
            <w:tcBorders>
              <w:top w:val="nil"/>
              <w:left w:val="nil"/>
              <w:bottom w:val="single" w:sz="4" w:space="0" w:color="auto"/>
              <w:right w:val="nil"/>
            </w:tcBorders>
            <w:shd w:val="clear" w:color="auto" w:fill="auto"/>
            <w:noWrap/>
            <w:vAlign w:val="center"/>
            <w:hideMark/>
          </w:tcPr>
          <w:p w14:paraId="5D4DE69D"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0.55 ± 0.05</w:t>
            </w:r>
          </w:p>
        </w:tc>
        <w:tc>
          <w:tcPr>
            <w:tcW w:w="960" w:type="dxa"/>
            <w:tcBorders>
              <w:top w:val="nil"/>
              <w:left w:val="nil"/>
              <w:bottom w:val="single" w:sz="4" w:space="0" w:color="auto"/>
              <w:right w:val="nil"/>
            </w:tcBorders>
            <w:shd w:val="clear" w:color="auto" w:fill="auto"/>
            <w:noWrap/>
            <w:vAlign w:val="center"/>
            <w:hideMark/>
          </w:tcPr>
          <w:p w14:paraId="1094F279"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10.26</w:t>
            </w:r>
          </w:p>
        </w:tc>
      </w:tr>
      <w:tr w:rsidR="00CB5F95" w:rsidRPr="000E2377" w14:paraId="7AB86388" w14:textId="77777777" w:rsidTr="00CB5F95">
        <w:trPr>
          <w:trHeight w:val="435"/>
          <w:jc w:val="center"/>
        </w:trPr>
        <w:tc>
          <w:tcPr>
            <w:tcW w:w="2080" w:type="dxa"/>
            <w:tcBorders>
              <w:top w:val="nil"/>
              <w:left w:val="nil"/>
              <w:bottom w:val="nil"/>
              <w:right w:val="nil"/>
            </w:tcBorders>
            <w:shd w:val="clear" w:color="auto" w:fill="auto"/>
            <w:vAlign w:val="center"/>
            <w:hideMark/>
          </w:tcPr>
          <w:p w14:paraId="15735581"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680" w:type="dxa"/>
            <w:tcBorders>
              <w:top w:val="nil"/>
              <w:left w:val="nil"/>
              <w:bottom w:val="nil"/>
              <w:right w:val="nil"/>
            </w:tcBorders>
            <w:shd w:val="clear" w:color="auto" w:fill="auto"/>
            <w:noWrap/>
            <w:vAlign w:val="center"/>
            <w:hideMark/>
          </w:tcPr>
          <w:p w14:paraId="04A3EFB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5.52 ± 0.2</w:t>
            </w:r>
          </w:p>
        </w:tc>
        <w:tc>
          <w:tcPr>
            <w:tcW w:w="1900" w:type="dxa"/>
            <w:tcBorders>
              <w:top w:val="nil"/>
              <w:left w:val="nil"/>
              <w:bottom w:val="nil"/>
              <w:right w:val="nil"/>
            </w:tcBorders>
            <w:shd w:val="clear" w:color="auto" w:fill="auto"/>
            <w:noWrap/>
            <w:vAlign w:val="center"/>
            <w:hideMark/>
          </w:tcPr>
          <w:p w14:paraId="202FD549"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0.60 ± 0.03</w:t>
            </w:r>
          </w:p>
        </w:tc>
        <w:tc>
          <w:tcPr>
            <w:tcW w:w="960" w:type="dxa"/>
            <w:tcBorders>
              <w:top w:val="nil"/>
              <w:left w:val="nil"/>
              <w:bottom w:val="nil"/>
              <w:right w:val="nil"/>
            </w:tcBorders>
            <w:shd w:val="clear" w:color="auto" w:fill="auto"/>
            <w:noWrap/>
            <w:vAlign w:val="center"/>
            <w:hideMark/>
          </w:tcPr>
          <w:p w14:paraId="661625E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9.22</w:t>
            </w:r>
          </w:p>
        </w:tc>
      </w:tr>
      <w:tr w:rsidR="00CB5F95" w:rsidRPr="000E2377" w14:paraId="651938F4" w14:textId="77777777" w:rsidTr="00CB5F95">
        <w:trPr>
          <w:trHeight w:val="360"/>
          <w:jc w:val="center"/>
        </w:trPr>
        <w:tc>
          <w:tcPr>
            <w:tcW w:w="2080" w:type="dxa"/>
            <w:tcBorders>
              <w:top w:val="nil"/>
              <w:left w:val="nil"/>
              <w:bottom w:val="single" w:sz="4" w:space="0" w:color="auto"/>
              <w:right w:val="nil"/>
            </w:tcBorders>
            <w:shd w:val="clear" w:color="auto" w:fill="auto"/>
            <w:vAlign w:val="center"/>
            <w:hideMark/>
          </w:tcPr>
          <w:p w14:paraId="0ECF5218"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680" w:type="dxa"/>
            <w:tcBorders>
              <w:top w:val="nil"/>
              <w:left w:val="nil"/>
              <w:bottom w:val="single" w:sz="4" w:space="0" w:color="auto"/>
              <w:right w:val="nil"/>
            </w:tcBorders>
            <w:shd w:val="clear" w:color="auto" w:fill="auto"/>
            <w:noWrap/>
            <w:vAlign w:val="center"/>
            <w:hideMark/>
          </w:tcPr>
          <w:p w14:paraId="428D159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5.61 ± 0.12</w:t>
            </w:r>
          </w:p>
        </w:tc>
        <w:tc>
          <w:tcPr>
            <w:tcW w:w="1900" w:type="dxa"/>
            <w:tcBorders>
              <w:top w:val="nil"/>
              <w:left w:val="nil"/>
              <w:bottom w:val="single" w:sz="4" w:space="0" w:color="auto"/>
              <w:right w:val="nil"/>
            </w:tcBorders>
            <w:shd w:val="clear" w:color="auto" w:fill="auto"/>
            <w:noWrap/>
            <w:vAlign w:val="center"/>
            <w:hideMark/>
          </w:tcPr>
          <w:p w14:paraId="39824EDF"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0.53 ± 0.03</w:t>
            </w:r>
          </w:p>
        </w:tc>
        <w:tc>
          <w:tcPr>
            <w:tcW w:w="960" w:type="dxa"/>
            <w:tcBorders>
              <w:top w:val="nil"/>
              <w:left w:val="nil"/>
              <w:bottom w:val="single" w:sz="4" w:space="0" w:color="auto"/>
              <w:right w:val="nil"/>
            </w:tcBorders>
            <w:shd w:val="clear" w:color="auto" w:fill="auto"/>
            <w:noWrap/>
            <w:vAlign w:val="center"/>
            <w:hideMark/>
          </w:tcPr>
          <w:p w14:paraId="57189501"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10.67</w:t>
            </w:r>
          </w:p>
        </w:tc>
      </w:tr>
      <w:tr w:rsidR="00CB5F95" w:rsidRPr="000E2377" w14:paraId="55FABB7C" w14:textId="77777777" w:rsidTr="00CB5F95">
        <w:trPr>
          <w:trHeight w:val="420"/>
          <w:jc w:val="center"/>
        </w:trPr>
        <w:tc>
          <w:tcPr>
            <w:tcW w:w="2080" w:type="dxa"/>
            <w:tcBorders>
              <w:top w:val="nil"/>
              <w:left w:val="nil"/>
              <w:bottom w:val="nil"/>
              <w:right w:val="nil"/>
            </w:tcBorders>
            <w:shd w:val="clear" w:color="auto" w:fill="auto"/>
            <w:vAlign w:val="center"/>
            <w:hideMark/>
          </w:tcPr>
          <w:p w14:paraId="13AAD092"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680" w:type="dxa"/>
            <w:tcBorders>
              <w:top w:val="nil"/>
              <w:left w:val="nil"/>
              <w:bottom w:val="nil"/>
              <w:right w:val="nil"/>
            </w:tcBorders>
            <w:shd w:val="clear" w:color="auto" w:fill="auto"/>
            <w:noWrap/>
            <w:vAlign w:val="center"/>
            <w:hideMark/>
          </w:tcPr>
          <w:p w14:paraId="1B10220B"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5.06 ± 0.06</w:t>
            </w:r>
          </w:p>
        </w:tc>
        <w:tc>
          <w:tcPr>
            <w:tcW w:w="1900" w:type="dxa"/>
            <w:tcBorders>
              <w:top w:val="nil"/>
              <w:left w:val="nil"/>
              <w:bottom w:val="nil"/>
              <w:right w:val="nil"/>
            </w:tcBorders>
            <w:shd w:val="clear" w:color="auto" w:fill="auto"/>
            <w:noWrap/>
            <w:vAlign w:val="center"/>
            <w:hideMark/>
          </w:tcPr>
          <w:p w14:paraId="54F6D1E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1.00 ± 0.07</w:t>
            </w:r>
          </w:p>
        </w:tc>
        <w:tc>
          <w:tcPr>
            <w:tcW w:w="960" w:type="dxa"/>
            <w:tcBorders>
              <w:top w:val="nil"/>
              <w:left w:val="nil"/>
              <w:bottom w:val="nil"/>
              <w:right w:val="nil"/>
            </w:tcBorders>
            <w:shd w:val="clear" w:color="auto" w:fill="auto"/>
            <w:noWrap/>
            <w:vAlign w:val="center"/>
            <w:hideMark/>
          </w:tcPr>
          <w:p w14:paraId="1BDF0620"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5.06</w:t>
            </w:r>
          </w:p>
        </w:tc>
      </w:tr>
      <w:tr w:rsidR="00CB5F95" w:rsidRPr="000E2377" w14:paraId="1BEB7C1D" w14:textId="77777777" w:rsidTr="00CB5F95">
        <w:trPr>
          <w:trHeight w:val="375"/>
          <w:jc w:val="center"/>
        </w:trPr>
        <w:tc>
          <w:tcPr>
            <w:tcW w:w="2080" w:type="dxa"/>
            <w:tcBorders>
              <w:top w:val="nil"/>
              <w:left w:val="nil"/>
              <w:bottom w:val="nil"/>
              <w:right w:val="nil"/>
            </w:tcBorders>
            <w:shd w:val="clear" w:color="auto" w:fill="auto"/>
            <w:vAlign w:val="center"/>
            <w:hideMark/>
          </w:tcPr>
          <w:p w14:paraId="0EF7774A"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680" w:type="dxa"/>
            <w:tcBorders>
              <w:top w:val="nil"/>
              <w:left w:val="nil"/>
              <w:bottom w:val="nil"/>
              <w:right w:val="nil"/>
            </w:tcBorders>
            <w:shd w:val="clear" w:color="auto" w:fill="auto"/>
            <w:noWrap/>
            <w:vAlign w:val="center"/>
            <w:hideMark/>
          </w:tcPr>
          <w:p w14:paraId="46A8134C"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5.15 ± 0.08</w:t>
            </w:r>
          </w:p>
        </w:tc>
        <w:tc>
          <w:tcPr>
            <w:tcW w:w="1900" w:type="dxa"/>
            <w:tcBorders>
              <w:top w:val="nil"/>
              <w:left w:val="nil"/>
              <w:bottom w:val="nil"/>
              <w:right w:val="nil"/>
            </w:tcBorders>
            <w:shd w:val="clear" w:color="auto" w:fill="auto"/>
            <w:noWrap/>
            <w:vAlign w:val="center"/>
            <w:hideMark/>
          </w:tcPr>
          <w:p w14:paraId="38F9140A"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0.88 ± 0.07</w:t>
            </w:r>
          </w:p>
        </w:tc>
        <w:tc>
          <w:tcPr>
            <w:tcW w:w="960" w:type="dxa"/>
            <w:tcBorders>
              <w:top w:val="nil"/>
              <w:left w:val="nil"/>
              <w:bottom w:val="nil"/>
              <w:right w:val="nil"/>
            </w:tcBorders>
            <w:shd w:val="clear" w:color="auto" w:fill="auto"/>
            <w:noWrap/>
            <w:vAlign w:val="center"/>
            <w:hideMark/>
          </w:tcPr>
          <w:p w14:paraId="46829DC5"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5.84</w:t>
            </w:r>
          </w:p>
        </w:tc>
      </w:tr>
      <w:tr w:rsidR="00CB5F95" w:rsidRPr="000E2377" w14:paraId="56B6B9AE" w14:textId="77777777" w:rsidTr="00CB5F95">
        <w:trPr>
          <w:trHeight w:val="375"/>
          <w:jc w:val="center"/>
        </w:trPr>
        <w:tc>
          <w:tcPr>
            <w:tcW w:w="2080" w:type="dxa"/>
            <w:tcBorders>
              <w:top w:val="nil"/>
              <w:left w:val="nil"/>
              <w:bottom w:val="single" w:sz="4" w:space="0" w:color="auto"/>
              <w:right w:val="nil"/>
            </w:tcBorders>
            <w:shd w:val="clear" w:color="auto" w:fill="auto"/>
            <w:vAlign w:val="center"/>
            <w:hideMark/>
          </w:tcPr>
          <w:p w14:paraId="34052D71"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680" w:type="dxa"/>
            <w:tcBorders>
              <w:top w:val="nil"/>
              <w:left w:val="nil"/>
              <w:bottom w:val="single" w:sz="4" w:space="0" w:color="auto"/>
              <w:right w:val="nil"/>
            </w:tcBorders>
            <w:shd w:val="clear" w:color="auto" w:fill="auto"/>
            <w:noWrap/>
            <w:vAlign w:val="center"/>
            <w:hideMark/>
          </w:tcPr>
          <w:p w14:paraId="45AD17C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5.42 ± 0.08</w:t>
            </w:r>
          </w:p>
        </w:tc>
        <w:tc>
          <w:tcPr>
            <w:tcW w:w="1900" w:type="dxa"/>
            <w:tcBorders>
              <w:top w:val="nil"/>
              <w:left w:val="nil"/>
              <w:bottom w:val="single" w:sz="4" w:space="0" w:color="auto"/>
              <w:right w:val="nil"/>
            </w:tcBorders>
            <w:shd w:val="clear" w:color="auto" w:fill="auto"/>
            <w:noWrap/>
            <w:vAlign w:val="center"/>
            <w:hideMark/>
          </w:tcPr>
          <w:p w14:paraId="1C75EAF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0.85 ± 0.05</w:t>
            </w:r>
          </w:p>
        </w:tc>
        <w:tc>
          <w:tcPr>
            <w:tcW w:w="960" w:type="dxa"/>
            <w:tcBorders>
              <w:top w:val="nil"/>
              <w:left w:val="nil"/>
              <w:bottom w:val="single" w:sz="4" w:space="0" w:color="auto"/>
              <w:right w:val="nil"/>
            </w:tcBorders>
            <w:shd w:val="clear" w:color="auto" w:fill="auto"/>
            <w:noWrap/>
            <w:vAlign w:val="center"/>
            <w:hideMark/>
          </w:tcPr>
          <w:p w14:paraId="72C3A5A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6.34</w:t>
            </w:r>
          </w:p>
        </w:tc>
      </w:tr>
      <w:tr w:rsidR="00CB5F95" w:rsidRPr="000E2377" w14:paraId="666D1DA0" w14:textId="77777777" w:rsidTr="00CB5F95">
        <w:trPr>
          <w:trHeight w:val="390"/>
          <w:jc w:val="center"/>
        </w:trPr>
        <w:tc>
          <w:tcPr>
            <w:tcW w:w="2080" w:type="dxa"/>
            <w:tcBorders>
              <w:top w:val="nil"/>
              <w:left w:val="nil"/>
              <w:bottom w:val="nil"/>
              <w:right w:val="nil"/>
            </w:tcBorders>
            <w:shd w:val="clear" w:color="auto" w:fill="auto"/>
            <w:vAlign w:val="center"/>
            <w:hideMark/>
          </w:tcPr>
          <w:p w14:paraId="3AFE2319"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17.5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680" w:type="dxa"/>
            <w:tcBorders>
              <w:top w:val="nil"/>
              <w:left w:val="nil"/>
              <w:bottom w:val="nil"/>
              <w:right w:val="nil"/>
            </w:tcBorders>
            <w:shd w:val="clear" w:color="auto" w:fill="auto"/>
            <w:noWrap/>
            <w:vAlign w:val="center"/>
            <w:hideMark/>
          </w:tcPr>
          <w:p w14:paraId="42955C9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5.05 ± 0.15</w:t>
            </w:r>
          </w:p>
        </w:tc>
        <w:tc>
          <w:tcPr>
            <w:tcW w:w="1900" w:type="dxa"/>
            <w:tcBorders>
              <w:top w:val="nil"/>
              <w:left w:val="nil"/>
              <w:bottom w:val="nil"/>
              <w:right w:val="nil"/>
            </w:tcBorders>
            <w:shd w:val="clear" w:color="auto" w:fill="auto"/>
            <w:noWrap/>
            <w:vAlign w:val="center"/>
            <w:hideMark/>
          </w:tcPr>
          <w:p w14:paraId="770DAC8C"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0.93 ± 0.002</w:t>
            </w:r>
          </w:p>
        </w:tc>
        <w:tc>
          <w:tcPr>
            <w:tcW w:w="960" w:type="dxa"/>
            <w:tcBorders>
              <w:top w:val="nil"/>
              <w:left w:val="nil"/>
              <w:bottom w:val="nil"/>
              <w:right w:val="nil"/>
            </w:tcBorders>
            <w:shd w:val="clear" w:color="auto" w:fill="auto"/>
            <w:noWrap/>
            <w:vAlign w:val="center"/>
            <w:hideMark/>
          </w:tcPr>
          <w:p w14:paraId="62A170B1"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5.42</w:t>
            </w:r>
          </w:p>
        </w:tc>
      </w:tr>
      <w:tr w:rsidR="00CB5F95" w:rsidRPr="000E2377" w14:paraId="4FFFD9CA" w14:textId="77777777" w:rsidTr="00CB5F95">
        <w:trPr>
          <w:trHeight w:val="345"/>
          <w:jc w:val="center"/>
        </w:trPr>
        <w:tc>
          <w:tcPr>
            <w:tcW w:w="2080" w:type="dxa"/>
            <w:tcBorders>
              <w:top w:val="nil"/>
              <w:left w:val="nil"/>
              <w:bottom w:val="nil"/>
              <w:right w:val="nil"/>
            </w:tcBorders>
            <w:shd w:val="clear" w:color="auto" w:fill="auto"/>
            <w:vAlign w:val="center"/>
            <w:hideMark/>
          </w:tcPr>
          <w:p w14:paraId="03166F7A"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680" w:type="dxa"/>
            <w:tcBorders>
              <w:top w:val="nil"/>
              <w:left w:val="nil"/>
              <w:bottom w:val="nil"/>
              <w:right w:val="nil"/>
            </w:tcBorders>
            <w:shd w:val="clear" w:color="auto" w:fill="auto"/>
            <w:noWrap/>
            <w:vAlign w:val="center"/>
            <w:hideMark/>
          </w:tcPr>
          <w:p w14:paraId="0EBF417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5.3 ± 0.16</w:t>
            </w:r>
          </w:p>
        </w:tc>
        <w:tc>
          <w:tcPr>
            <w:tcW w:w="1900" w:type="dxa"/>
            <w:tcBorders>
              <w:top w:val="nil"/>
              <w:left w:val="nil"/>
              <w:bottom w:val="nil"/>
              <w:right w:val="nil"/>
            </w:tcBorders>
            <w:shd w:val="clear" w:color="auto" w:fill="auto"/>
            <w:noWrap/>
            <w:vAlign w:val="center"/>
            <w:hideMark/>
          </w:tcPr>
          <w:p w14:paraId="5A3F10CD"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0.76 ± 0.06</w:t>
            </w:r>
          </w:p>
        </w:tc>
        <w:tc>
          <w:tcPr>
            <w:tcW w:w="960" w:type="dxa"/>
            <w:tcBorders>
              <w:top w:val="nil"/>
              <w:left w:val="nil"/>
              <w:bottom w:val="nil"/>
              <w:right w:val="nil"/>
            </w:tcBorders>
            <w:shd w:val="clear" w:color="auto" w:fill="auto"/>
            <w:noWrap/>
            <w:vAlign w:val="center"/>
            <w:hideMark/>
          </w:tcPr>
          <w:p w14:paraId="40747D8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7.00</w:t>
            </w:r>
          </w:p>
        </w:tc>
      </w:tr>
      <w:tr w:rsidR="00CB5F95" w:rsidRPr="000E2377" w14:paraId="6113D9F1" w14:textId="77777777" w:rsidTr="00CB5F95">
        <w:trPr>
          <w:trHeight w:val="375"/>
          <w:jc w:val="center"/>
        </w:trPr>
        <w:tc>
          <w:tcPr>
            <w:tcW w:w="2080" w:type="dxa"/>
            <w:tcBorders>
              <w:top w:val="nil"/>
              <w:left w:val="nil"/>
              <w:bottom w:val="single" w:sz="4" w:space="0" w:color="auto"/>
              <w:right w:val="nil"/>
            </w:tcBorders>
            <w:shd w:val="clear" w:color="auto" w:fill="auto"/>
            <w:vAlign w:val="center"/>
            <w:hideMark/>
          </w:tcPr>
          <w:p w14:paraId="2552F400"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w:t>
            </w:r>
          </w:p>
        </w:tc>
        <w:tc>
          <w:tcPr>
            <w:tcW w:w="1680" w:type="dxa"/>
            <w:tcBorders>
              <w:top w:val="nil"/>
              <w:left w:val="nil"/>
              <w:bottom w:val="single" w:sz="4" w:space="0" w:color="auto"/>
              <w:right w:val="nil"/>
            </w:tcBorders>
            <w:shd w:val="clear" w:color="auto" w:fill="auto"/>
            <w:noWrap/>
            <w:vAlign w:val="center"/>
            <w:hideMark/>
          </w:tcPr>
          <w:p w14:paraId="7A6760C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5.39 ± 0.11</w:t>
            </w:r>
          </w:p>
        </w:tc>
        <w:tc>
          <w:tcPr>
            <w:tcW w:w="1900" w:type="dxa"/>
            <w:tcBorders>
              <w:top w:val="nil"/>
              <w:left w:val="nil"/>
              <w:bottom w:val="single" w:sz="4" w:space="0" w:color="auto"/>
              <w:right w:val="nil"/>
            </w:tcBorders>
            <w:shd w:val="clear" w:color="auto" w:fill="auto"/>
            <w:noWrap/>
            <w:vAlign w:val="center"/>
            <w:hideMark/>
          </w:tcPr>
          <w:p w14:paraId="6AF824F4"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0.78 ± 0.06</w:t>
            </w:r>
          </w:p>
        </w:tc>
        <w:tc>
          <w:tcPr>
            <w:tcW w:w="960" w:type="dxa"/>
            <w:tcBorders>
              <w:top w:val="nil"/>
              <w:left w:val="nil"/>
              <w:bottom w:val="single" w:sz="4" w:space="0" w:color="auto"/>
              <w:right w:val="nil"/>
            </w:tcBorders>
            <w:shd w:val="clear" w:color="auto" w:fill="auto"/>
            <w:noWrap/>
            <w:vAlign w:val="center"/>
            <w:hideMark/>
          </w:tcPr>
          <w:p w14:paraId="4CAE9841"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6.87</w:t>
            </w:r>
          </w:p>
        </w:tc>
      </w:tr>
      <w:tr w:rsidR="00CB5F95" w:rsidRPr="000E2377" w14:paraId="55D0CA5F" w14:textId="77777777" w:rsidTr="00CB5F95">
        <w:trPr>
          <w:trHeight w:val="360"/>
          <w:jc w:val="center"/>
        </w:trPr>
        <w:tc>
          <w:tcPr>
            <w:tcW w:w="2080" w:type="dxa"/>
            <w:tcBorders>
              <w:top w:val="nil"/>
              <w:left w:val="nil"/>
              <w:bottom w:val="nil"/>
              <w:right w:val="nil"/>
            </w:tcBorders>
            <w:shd w:val="clear" w:color="auto" w:fill="auto"/>
            <w:vAlign w:val="center"/>
            <w:hideMark/>
          </w:tcPr>
          <w:p w14:paraId="519CD4B5"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75.5</w:t>
            </w:r>
          </w:p>
        </w:tc>
        <w:tc>
          <w:tcPr>
            <w:tcW w:w="1680" w:type="dxa"/>
            <w:tcBorders>
              <w:top w:val="nil"/>
              <w:left w:val="nil"/>
              <w:bottom w:val="nil"/>
              <w:right w:val="nil"/>
            </w:tcBorders>
            <w:shd w:val="clear" w:color="auto" w:fill="auto"/>
            <w:noWrap/>
            <w:vAlign w:val="center"/>
            <w:hideMark/>
          </w:tcPr>
          <w:p w14:paraId="0898FBA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5.81 ± 0.11</w:t>
            </w:r>
          </w:p>
        </w:tc>
        <w:tc>
          <w:tcPr>
            <w:tcW w:w="1900" w:type="dxa"/>
            <w:tcBorders>
              <w:top w:val="nil"/>
              <w:left w:val="nil"/>
              <w:bottom w:val="nil"/>
              <w:right w:val="nil"/>
            </w:tcBorders>
            <w:shd w:val="clear" w:color="auto" w:fill="auto"/>
            <w:noWrap/>
            <w:vAlign w:val="center"/>
            <w:hideMark/>
          </w:tcPr>
          <w:p w14:paraId="6FFAC540"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0.79 ± 0.03</w:t>
            </w:r>
          </w:p>
        </w:tc>
        <w:tc>
          <w:tcPr>
            <w:tcW w:w="960" w:type="dxa"/>
            <w:tcBorders>
              <w:top w:val="nil"/>
              <w:left w:val="nil"/>
              <w:bottom w:val="nil"/>
              <w:right w:val="nil"/>
            </w:tcBorders>
            <w:shd w:val="clear" w:color="auto" w:fill="auto"/>
            <w:noWrap/>
            <w:vAlign w:val="center"/>
            <w:hideMark/>
          </w:tcPr>
          <w:p w14:paraId="026E2010"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7.38</w:t>
            </w:r>
          </w:p>
        </w:tc>
      </w:tr>
      <w:tr w:rsidR="00CB5F95" w:rsidRPr="000E2377" w14:paraId="418D9B6E" w14:textId="77777777" w:rsidTr="00CB5F95">
        <w:trPr>
          <w:trHeight w:val="345"/>
          <w:jc w:val="center"/>
        </w:trPr>
        <w:tc>
          <w:tcPr>
            <w:tcW w:w="2080" w:type="dxa"/>
            <w:tcBorders>
              <w:top w:val="nil"/>
              <w:left w:val="nil"/>
              <w:bottom w:val="nil"/>
              <w:right w:val="nil"/>
            </w:tcBorders>
            <w:shd w:val="clear" w:color="auto" w:fill="auto"/>
            <w:vAlign w:val="center"/>
            <w:hideMark/>
          </w:tcPr>
          <w:p w14:paraId="45F08012"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73</w:t>
            </w:r>
          </w:p>
        </w:tc>
        <w:tc>
          <w:tcPr>
            <w:tcW w:w="1680" w:type="dxa"/>
            <w:tcBorders>
              <w:top w:val="nil"/>
              <w:left w:val="nil"/>
              <w:bottom w:val="nil"/>
              <w:right w:val="nil"/>
            </w:tcBorders>
            <w:shd w:val="clear" w:color="auto" w:fill="auto"/>
            <w:noWrap/>
            <w:vAlign w:val="center"/>
            <w:hideMark/>
          </w:tcPr>
          <w:p w14:paraId="366E100D"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5.84 ± 0.08</w:t>
            </w:r>
          </w:p>
        </w:tc>
        <w:tc>
          <w:tcPr>
            <w:tcW w:w="1900" w:type="dxa"/>
            <w:tcBorders>
              <w:top w:val="nil"/>
              <w:left w:val="nil"/>
              <w:bottom w:val="nil"/>
              <w:right w:val="nil"/>
            </w:tcBorders>
            <w:shd w:val="clear" w:color="auto" w:fill="auto"/>
            <w:noWrap/>
            <w:vAlign w:val="center"/>
            <w:hideMark/>
          </w:tcPr>
          <w:p w14:paraId="376A909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0.75 ± 0.02</w:t>
            </w:r>
          </w:p>
        </w:tc>
        <w:tc>
          <w:tcPr>
            <w:tcW w:w="960" w:type="dxa"/>
            <w:tcBorders>
              <w:top w:val="nil"/>
              <w:left w:val="nil"/>
              <w:bottom w:val="nil"/>
              <w:right w:val="nil"/>
            </w:tcBorders>
            <w:shd w:val="clear" w:color="auto" w:fill="auto"/>
            <w:noWrap/>
            <w:vAlign w:val="center"/>
            <w:hideMark/>
          </w:tcPr>
          <w:p w14:paraId="0E3926AE"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7.80</w:t>
            </w:r>
          </w:p>
        </w:tc>
      </w:tr>
      <w:tr w:rsidR="00CB5F95" w:rsidRPr="000E2377" w14:paraId="287CAB49" w14:textId="77777777" w:rsidTr="00CB5F95">
        <w:trPr>
          <w:trHeight w:val="330"/>
          <w:jc w:val="center"/>
        </w:trPr>
        <w:tc>
          <w:tcPr>
            <w:tcW w:w="2080" w:type="dxa"/>
            <w:tcBorders>
              <w:top w:val="nil"/>
              <w:left w:val="nil"/>
              <w:bottom w:val="single" w:sz="4" w:space="0" w:color="auto"/>
              <w:right w:val="nil"/>
            </w:tcBorders>
            <w:shd w:val="clear" w:color="auto" w:fill="auto"/>
            <w:vAlign w:val="center"/>
            <w:hideMark/>
          </w:tcPr>
          <w:p w14:paraId="7090A9F8"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70.5</w:t>
            </w:r>
          </w:p>
        </w:tc>
        <w:tc>
          <w:tcPr>
            <w:tcW w:w="1680" w:type="dxa"/>
            <w:tcBorders>
              <w:top w:val="nil"/>
              <w:left w:val="nil"/>
              <w:bottom w:val="single" w:sz="4" w:space="0" w:color="auto"/>
              <w:right w:val="nil"/>
            </w:tcBorders>
            <w:shd w:val="clear" w:color="auto" w:fill="auto"/>
            <w:noWrap/>
            <w:vAlign w:val="center"/>
            <w:hideMark/>
          </w:tcPr>
          <w:p w14:paraId="78D5753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5.93 ± 0.08</w:t>
            </w:r>
          </w:p>
        </w:tc>
        <w:tc>
          <w:tcPr>
            <w:tcW w:w="1900" w:type="dxa"/>
            <w:tcBorders>
              <w:top w:val="nil"/>
              <w:left w:val="nil"/>
              <w:bottom w:val="single" w:sz="4" w:space="0" w:color="auto"/>
              <w:right w:val="nil"/>
            </w:tcBorders>
            <w:shd w:val="clear" w:color="auto" w:fill="auto"/>
            <w:noWrap/>
            <w:vAlign w:val="center"/>
            <w:hideMark/>
          </w:tcPr>
          <w:p w14:paraId="2FFED55D"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0.76 ± 0.03</w:t>
            </w:r>
          </w:p>
        </w:tc>
        <w:tc>
          <w:tcPr>
            <w:tcW w:w="960" w:type="dxa"/>
            <w:tcBorders>
              <w:top w:val="nil"/>
              <w:left w:val="nil"/>
              <w:bottom w:val="single" w:sz="4" w:space="0" w:color="auto"/>
              <w:right w:val="nil"/>
            </w:tcBorders>
            <w:shd w:val="clear" w:color="auto" w:fill="auto"/>
            <w:noWrap/>
            <w:vAlign w:val="center"/>
            <w:hideMark/>
          </w:tcPr>
          <w:p w14:paraId="5E4C198A"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7.76</w:t>
            </w:r>
          </w:p>
        </w:tc>
      </w:tr>
      <w:tr w:rsidR="00CB5F95" w:rsidRPr="000E2377" w14:paraId="4A8A0ECE" w14:textId="77777777" w:rsidTr="00CB5F95">
        <w:trPr>
          <w:trHeight w:val="285"/>
          <w:jc w:val="center"/>
        </w:trPr>
        <w:tc>
          <w:tcPr>
            <w:tcW w:w="2080" w:type="dxa"/>
            <w:tcBorders>
              <w:top w:val="nil"/>
              <w:left w:val="nil"/>
              <w:bottom w:val="nil"/>
              <w:right w:val="nil"/>
            </w:tcBorders>
            <w:shd w:val="clear" w:color="auto" w:fill="auto"/>
            <w:vAlign w:val="center"/>
            <w:hideMark/>
          </w:tcPr>
          <w:p w14:paraId="51C3D56D"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7.5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65.5</w:t>
            </w:r>
          </w:p>
        </w:tc>
        <w:tc>
          <w:tcPr>
            <w:tcW w:w="1680" w:type="dxa"/>
            <w:tcBorders>
              <w:top w:val="nil"/>
              <w:left w:val="nil"/>
              <w:bottom w:val="nil"/>
              <w:right w:val="nil"/>
            </w:tcBorders>
            <w:shd w:val="clear" w:color="auto" w:fill="auto"/>
            <w:noWrap/>
            <w:vAlign w:val="center"/>
            <w:hideMark/>
          </w:tcPr>
          <w:p w14:paraId="60DFA27E"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5.84 ± 0.17</w:t>
            </w:r>
          </w:p>
        </w:tc>
        <w:tc>
          <w:tcPr>
            <w:tcW w:w="1900" w:type="dxa"/>
            <w:tcBorders>
              <w:top w:val="nil"/>
              <w:left w:val="nil"/>
              <w:bottom w:val="nil"/>
              <w:right w:val="nil"/>
            </w:tcBorders>
            <w:shd w:val="clear" w:color="auto" w:fill="auto"/>
            <w:noWrap/>
            <w:vAlign w:val="center"/>
            <w:hideMark/>
          </w:tcPr>
          <w:p w14:paraId="7E69AB30"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0.59 ± 0.02</w:t>
            </w:r>
          </w:p>
        </w:tc>
        <w:tc>
          <w:tcPr>
            <w:tcW w:w="960" w:type="dxa"/>
            <w:tcBorders>
              <w:top w:val="nil"/>
              <w:left w:val="nil"/>
              <w:bottom w:val="nil"/>
              <w:right w:val="nil"/>
            </w:tcBorders>
            <w:shd w:val="clear" w:color="auto" w:fill="auto"/>
            <w:noWrap/>
            <w:vAlign w:val="center"/>
            <w:hideMark/>
          </w:tcPr>
          <w:p w14:paraId="36D95476"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9.93</w:t>
            </w:r>
          </w:p>
        </w:tc>
      </w:tr>
      <w:tr w:rsidR="00CB5F95" w:rsidRPr="000E2377" w14:paraId="43B3F607" w14:textId="77777777" w:rsidTr="00CB5F95">
        <w:trPr>
          <w:trHeight w:val="330"/>
          <w:jc w:val="center"/>
        </w:trPr>
        <w:tc>
          <w:tcPr>
            <w:tcW w:w="2080" w:type="dxa"/>
            <w:tcBorders>
              <w:top w:val="nil"/>
              <w:left w:val="nil"/>
              <w:bottom w:val="nil"/>
              <w:right w:val="nil"/>
            </w:tcBorders>
            <w:shd w:val="clear" w:color="auto" w:fill="auto"/>
            <w:vAlign w:val="center"/>
            <w:hideMark/>
          </w:tcPr>
          <w:p w14:paraId="2D66C9CE"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63</w:t>
            </w:r>
          </w:p>
        </w:tc>
        <w:tc>
          <w:tcPr>
            <w:tcW w:w="1680" w:type="dxa"/>
            <w:tcBorders>
              <w:top w:val="nil"/>
              <w:left w:val="nil"/>
              <w:bottom w:val="nil"/>
              <w:right w:val="nil"/>
            </w:tcBorders>
            <w:shd w:val="clear" w:color="auto" w:fill="auto"/>
            <w:noWrap/>
            <w:vAlign w:val="center"/>
            <w:hideMark/>
          </w:tcPr>
          <w:p w14:paraId="5B58BCED"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5.97 ± 0.08</w:t>
            </w:r>
          </w:p>
        </w:tc>
        <w:tc>
          <w:tcPr>
            <w:tcW w:w="1900" w:type="dxa"/>
            <w:tcBorders>
              <w:top w:val="nil"/>
              <w:left w:val="nil"/>
              <w:bottom w:val="nil"/>
              <w:right w:val="nil"/>
            </w:tcBorders>
            <w:shd w:val="clear" w:color="auto" w:fill="auto"/>
            <w:noWrap/>
            <w:vAlign w:val="center"/>
            <w:hideMark/>
          </w:tcPr>
          <w:p w14:paraId="7654A8CF"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0.64 ± 0.03</w:t>
            </w:r>
          </w:p>
        </w:tc>
        <w:tc>
          <w:tcPr>
            <w:tcW w:w="960" w:type="dxa"/>
            <w:tcBorders>
              <w:top w:val="nil"/>
              <w:left w:val="nil"/>
              <w:bottom w:val="nil"/>
              <w:right w:val="nil"/>
            </w:tcBorders>
            <w:shd w:val="clear" w:color="auto" w:fill="auto"/>
            <w:noWrap/>
            <w:vAlign w:val="center"/>
            <w:hideMark/>
          </w:tcPr>
          <w:p w14:paraId="28DD0FCD"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9.27</w:t>
            </w:r>
          </w:p>
        </w:tc>
      </w:tr>
      <w:tr w:rsidR="00CB5F95" w:rsidRPr="000E2377" w14:paraId="79CE4F26" w14:textId="77777777" w:rsidTr="00CB5F95">
        <w:trPr>
          <w:trHeight w:val="300"/>
          <w:jc w:val="center"/>
        </w:trPr>
        <w:tc>
          <w:tcPr>
            <w:tcW w:w="2080" w:type="dxa"/>
            <w:tcBorders>
              <w:top w:val="nil"/>
              <w:left w:val="nil"/>
              <w:bottom w:val="single" w:sz="4" w:space="0" w:color="auto"/>
              <w:right w:val="nil"/>
            </w:tcBorders>
            <w:shd w:val="clear" w:color="auto" w:fill="auto"/>
            <w:vAlign w:val="center"/>
            <w:hideMark/>
          </w:tcPr>
          <w:p w14:paraId="69F23A1D"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15</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12.5</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60.5</w:t>
            </w:r>
          </w:p>
        </w:tc>
        <w:tc>
          <w:tcPr>
            <w:tcW w:w="1680" w:type="dxa"/>
            <w:tcBorders>
              <w:top w:val="nil"/>
              <w:left w:val="nil"/>
              <w:bottom w:val="single" w:sz="4" w:space="0" w:color="auto"/>
              <w:right w:val="nil"/>
            </w:tcBorders>
            <w:shd w:val="clear" w:color="auto" w:fill="auto"/>
            <w:noWrap/>
            <w:vAlign w:val="center"/>
            <w:hideMark/>
          </w:tcPr>
          <w:p w14:paraId="0CAC66FF"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5.97 ± 0.08</w:t>
            </w:r>
          </w:p>
        </w:tc>
        <w:tc>
          <w:tcPr>
            <w:tcW w:w="1900" w:type="dxa"/>
            <w:tcBorders>
              <w:top w:val="nil"/>
              <w:left w:val="nil"/>
              <w:bottom w:val="single" w:sz="4" w:space="0" w:color="auto"/>
              <w:right w:val="nil"/>
            </w:tcBorders>
            <w:shd w:val="clear" w:color="auto" w:fill="auto"/>
            <w:noWrap/>
            <w:vAlign w:val="center"/>
            <w:hideMark/>
          </w:tcPr>
          <w:p w14:paraId="4CF7ECCC"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0.56 ± 0.04</w:t>
            </w:r>
          </w:p>
        </w:tc>
        <w:tc>
          <w:tcPr>
            <w:tcW w:w="960" w:type="dxa"/>
            <w:tcBorders>
              <w:top w:val="nil"/>
              <w:left w:val="nil"/>
              <w:bottom w:val="single" w:sz="4" w:space="0" w:color="auto"/>
              <w:right w:val="nil"/>
            </w:tcBorders>
            <w:shd w:val="clear" w:color="auto" w:fill="auto"/>
            <w:noWrap/>
            <w:vAlign w:val="center"/>
            <w:hideMark/>
          </w:tcPr>
          <w:p w14:paraId="5E4435BC"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10.61</w:t>
            </w:r>
          </w:p>
        </w:tc>
      </w:tr>
      <w:tr w:rsidR="00CB5F95" w:rsidRPr="000E2377" w14:paraId="0EAC357E" w14:textId="77777777" w:rsidTr="00CB5F95">
        <w:trPr>
          <w:trHeight w:val="300"/>
          <w:jc w:val="center"/>
        </w:trPr>
        <w:tc>
          <w:tcPr>
            <w:tcW w:w="2080" w:type="dxa"/>
            <w:tcBorders>
              <w:top w:val="nil"/>
              <w:left w:val="nil"/>
              <w:bottom w:val="nil"/>
              <w:right w:val="nil"/>
            </w:tcBorders>
            <w:shd w:val="clear" w:color="auto" w:fill="auto"/>
            <w:vAlign w:val="center"/>
            <w:hideMark/>
          </w:tcPr>
          <w:p w14:paraId="7ABF6D8C"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2.4</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5.7</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69.9</w:t>
            </w:r>
          </w:p>
        </w:tc>
        <w:tc>
          <w:tcPr>
            <w:tcW w:w="1680" w:type="dxa"/>
            <w:tcBorders>
              <w:top w:val="nil"/>
              <w:left w:val="nil"/>
              <w:bottom w:val="nil"/>
              <w:right w:val="nil"/>
            </w:tcBorders>
            <w:shd w:val="clear" w:color="auto" w:fill="auto"/>
            <w:noWrap/>
            <w:vAlign w:val="center"/>
            <w:hideMark/>
          </w:tcPr>
          <w:p w14:paraId="1CDA80BC"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5.43 ± 0.11</w:t>
            </w:r>
          </w:p>
        </w:tc>
        <w:tc>
          <w:tcPr>
            <w:tcW w:w="1900" w:type="dxa"/>
            <w:tcBorders>
              <w:top w:val="nil"/>
              <w:left w:val="nil"/>
              <w:bottom w:val="nil"/>
              <w:right w:val="nil"/>
            </w:tcBorders>
            <w:shd w:val="clear" w:color="auto" w:fill="auto"/>
            <w:noWrap/>
            <w:vAlign w:val="center"/>
            <w:hideMark/>
          </w:tcPr>
          <w:p w14:paraId="05895CEE"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0.91 ± 0.04</w:t>
            </w:r>
          </w:p>
        </w:tc>
        <w:tc>
          <w:tcPr>
            <w:tcW w:w="960" w:type="dxa"/>
            <w:tcBorders>
              <w:top w:val="nil"/>
              <w:left w:val="nil"/>
              <w:bottom w:val="nil"/>
              <w:right w:val="nil"/>
            </w:tcBorders>
            <w:shd w:val="clear" w:color="auto" w:fill="auto"/>
            <w:noWrap/>
            <w:vAlign w:val="center"/>
            <w:hideMark/>
          </w:tcPr>
          <w:p w14:paraId="01BEC585"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5.93</w:t>
            </w:r>
          </w:p>
        </w:tc>
      </w:tr>
      <w:tr w:rsidR="00CB5F95" w:rsidRPr="000E2377" w14:paraId="1BF3A5D3" w14:textId="77777777" w:rsidTr="00CB5F95">
        <w:trPr>
          <w:trHeight w:val="300"/>
          <w:jc w:val="center"/>
        </w:trPr>
        <w:tc>
          <w:tcPr>
            <w:tcW w:w="2080" w:type="dxa"/>
            <w:tcBorders>
              <w:top w:val="nil"/>
              <w:left w:val="nil"/>
              <w:bottom w:val="nil"/>
              <w:right w:val="nil"/>
            </w:tcBorders>
            <w:shd w:val="clear" w:color="auto" w:fill="auto"/>
            <w:vAlign w:val="center"/>
            <w:hideMark/>
          </w:tcPr>
          <w:p w14:paraId="7F8CE2C3"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3.6</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10.1</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64.3</w:t>
            </w:r>
          </w:p>
        </w:tc>
        <w:tc>
          <w:tcPr>
            <w:tcW w:w="1680" w:type="dxa"/>
            <w:tcBorders>
              <w:top w:val="nil"/>
              <w:left w:val="nil"/>
              <w:bottom w:val="nil"/>
              <w:right w:val="nil"/>
            </w:tcBorders>
            <w:shd w:val="clear" w:color="auto" w:fill="auto"/>
            <w:noWrap/>
            <w:vAlign w:val="center"/>
            <w:hideMark/>
          </w:tcPr>
          <w:p w14:paraId="5AE44853"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5.5 ± 0.09</w:t>
            </w:r>
          </w:p>
        </w:tc>
        <w:tc>
          <w:tcPr>
            <w:tcW w:w="1900" w:type="dxa"/>
            <w:tcBorders>
              <w:top w:val="nil"/>
              <w:left w:val="nil"/>
              <w:bottom w:val="nil"/>
              <w:right w:val="nil"/>
            </w:tcBorders>
            <w:shd w:val="clear" w:color="auto" w:fill="auto"/>
            <w:noWrap/>
            <w:vAlign w:val="center"/>
            <w:hideMark/>
          </w:tcPr>
          <w:p w14:paraId="02B7912A"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1.00 ± 0.05</w:t>
            </w:r>
          </w:p>
        </w:tc>
        <w:tc>
          <w:tcPr>
            <w:tcW w:w="960" w:type="dxa"/>
            <w:tcBorders>
              <w:top w:val="nil"/>
              <w:left w:val="nil"/>
              <w:bottom w:val="nil"/>
              <w:right w:val="nil"/>
            </w:tcBorders>
            <w:shd w:val="clear" w:color="auto" w:fill="auto"/>
            <w:noWrap/>
            <w:vAlign w:val="center"/>
            <w:hideMark/>
          </w:tcPr>
          <w:p w14:paraId="5748B925"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5.52</w:t>
            </w:r>
          </w:p>
        </w:tc>
      </w:tr>
      <w:tr w:rsidR="00CB5F95" w:rsidRPr="000E2377" w14:paraId="2514E343" w14:textId="77777777" w:rsidTr="00CB5F95">
        <w:trPr>
          <w:trHeight w:val="300"/>
          <w:jc w:val="center"/>
        </w:trPr>
        <w:tc>
          <w:tcPr>
            <w:tcW w:w="2080" w:type="dxa"/>
            <w:tcBorders>
              <w:top w:val="nil"/>
              <w:left w:val="nil"/>
              <w:bottom w:val="nil"/>
              <w:right w:val="nil"/>
            </w:tcBorders>
            <w:shd w:val="clear" w:color="auto" w:fill="auto"/>
            <w:vAlign w:val="center"/>
            <w:hideMark/>
          </w:tcPr>
          <w:p w14:paraId="6D2D50EA"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4.9</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7.1</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66</w:t>
            </w:r>
          </w:p>
        </w:tc>
        <w:tc>
          <w:tcPr>
            <w:tcW w:w="1680" w:type="dxa"/>
            <w:tcBorders>
              <w:top w:val="nil"/>
              <w:left w:val="nil"/>
              <w:bottom w:val="nil"/>
              <w:right w:val="nil"/>
            </w:tcBorders>
            <w:shd w:val="clear" w:color="auto" w:fill="auto"/>
            <w:noWrap/>
            <w:vAlign w:val="center"/>
            <w:hideMark/>
          </w:tcPr>
          <w:p w14:paraId="7E8602DC"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5.56 ± 0.08</w:t>
            </w:r>
          </w:p>
        </w:tc>
        <w:tc>
          <w:tcPr>
            <w:tcW w:w="1900" w:type="dxa"/>
            <w:tcBorders>
              <w:top w:val="nil"/>
              <w:left w:val="nil"/>
              <w:bottom w:val="nil"/>
              <w:right w:val="nil"/>
            </w:tcBorders>
            <w:shd w:val="clear" w:color="auto" w:fill="auto"/>
            <w:noWrap/>
            <w:vAlign w:val="center"/>
            <w:hideMark/>
          </w:tcPr>
          <w:p w14:paraId="7628BAD0"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0.89 ± 0.04</w:t>
            </w:r>
          </w:p>
        </w:tc>
        <w:tc>
          <w:tcPr>
            <w:tcW w:w="960" w:type="dxa"/>
            <w:tcBorders>
              <w:top w:val="nil"/>
              <w:left w:val="nil"/>
              <w:bottom w:val="nil"/>
              <w:right w:val="nil"/>
            </w:tcBorders>
            <w:shd w:val="clear" w:color="auto" w:fill="auto"/>
            <w:noWrap/>
            <w:vAlign w:val="center"/>
            <w:hideMark/>
          </w:tcPr>
          <w:p w14:paraId="1393B85F"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6.23</w:t>
            </w:r>
          </w:p>
        </w:tc>
      </w:tr>
      <w:tr w:rsidR="00CB5F95" w:rsidRPr="000E2377" w14:paraId="10D4082D" w14:textId="77777777" w:rsidTr="00CB5F95">
        <w:trPr>
          <w:trHeight w:val="300"/>
          <w:jc w:val="center"/>
        </w:trPr>
        <w:tc>
          <w:tcPr>
            <w:tcW w:w="2080" w:type="dxa"/>
            <w:tcBorders>
              <w:top w:val="nil"/>
              <w:left w:val="nil"/>
              <w:bottom w:val="single" w:sz="4" w:space="0" w:color="auto"/>
              <w:right w:val="nil"/>
            </w:tcBorders>
            <w:shd w:val="clear" w:color="auto" w:fill="auto"/>
            <w:vAlign w:val="center"/>
            <w:hideMark/>
          </w:tcPr>
          <w:p w14:paraId="2D5F5782" w14:textId="77777777" w:rsidR="00CB5F95" w:rsidRPr="000E2377" w:rsidRDefault="00CB5F95" w:rsidP="00CB5F95">
            <w:pPr>
              <w:spacing w:after="0" w:line="240" w:lineRule="auto"/>
              <w:rPr>
                <w:rFonts w:eastAsia="Times New Roman" w:cs="Times New Roman"/>
                <w:b w:val="0"/>
                <w:color w:val="000000"/>
                <w:szCs w:val="24"/>
                <w:lang w:eastAsia="en-MY"/>
              </w:rPr>
            </w:pPr>
            <w:r w:rsidRPr="000E2377">
              <w:rPr>
                <w:rFonts w:eastAsia="Times New Roman" w:cs="Times New Roman"/>
                <w:b w:val="0"/>
                <w:color w:val="000000"/>
                <w:szCs w:val="24"/>
                <w:lang w:eastAsia="en-MY"/>
              </w:rPr>
              <w:t>N</w:t>
            </w:r>
            <w:r w:rsidRPr="000E2377">
              <w:rPr>
                <w:rFonts w:eastAsia="Times New Roman" w:cs="Times New Roman"/>
                <w:b w:val="0"/>
                <w:color w:val="000000"/>
                <w:szCs w:val="24"/>
                <w:vertAlign w:val="subscript"/>
                <w:lang w:eastAsia="en-MY"/>
              </w:rPr>
              <w:t>1</w:t>
            </w:r>
            <w:r>
              <w:rPr>
                <w:rFonts w:eastAsia="Times New Roman" w:cs="Times New Roman"/>
                <w:b w:val="0"/>
                <w:color w:val="000000"/>
                <w:szCs w:val="24"/>
                <w:vertAlign w:val="subscript"/>
                <w:lang w:eastAsia="en-MY"/>
              </w:rPr>
              <w:t>0</w:t>
            </w:r>
            <w:r w:rsidRPr="000E2377">
              <w:rPr>
                <w:rFonts w:eastAsia="Times New Roman" w:cs="Times New Roman"/>
                <w:b w:val="0"/>
                <w:color w:val="000000"/>
                <w:szCs w:val="24"/>
                <w:lang w:eastAsia="en-MY"/>
              </w:rPr>
              <w:t>C</w:t>
            </w:r>
            <w:r w:rsidRPr="000E2377">
              <w:rPr>
                <w:rFonts w:eastAsia="Times New Roman" w:cs="Times New Roman"/>
                <w:b w:val="0"/>
                <w:color w:val="000000"/>
                <w:szCs w:val="24"/>
                <w:vertAlign w:val="subscript"/>
                <w:lang w:eastAsia="en-MY"/>
              </w:rPr>
              <w:t>2.5</w:t>
            </w:r>
            <w:r w:rsidRPr="000E2377">
              <w:rPr>
                <w:rFonts w:eastAsia="Times New Roman" w:cs="Times New Roman"/>
                <w:b w:val="0"/>
                <w:color w:val="000000"/>
                <w:szCs w:val="24"/>
                <w:lang w:eastAsia="en-MY"/>
              </w:rPr>
              <w:t>Ba</w:t>
            </w:r>
            <w:r w:rsidRPr="000E2377">
              <w:rPr>
                <w:rFonts w:eastAsia="Times New Roman" w:cs="Times New Roman"/>
                <w:b w:val="0"/>
                <w:color w:val="000000"/>
                <w:szCs w:val="24"/>
                <w:vertAlign w:val="subscript"/>
                <w:lang w:eastAsia="en-MY"/>
              </w:rPr>
              <w:t>2</w:t>
            </w:r>
            <w:r w:rsidRPr="000E2377">
              <w:rPr>
                <w:rFonts w:eastAsia="Times New Roman" w:cs="Times New Roman"/>
                <w:b w:val="0"/>
                <w:color w:val="000000"/>
                <w:szCs w:val="24"/>
                <w:lang w:eastAsia="en-MY"/>
              </w:rPr>
              <w:t>A</w:t>
            </w:r>
            <w:r w:rsidRPr="000E2377">
              <w:rPr>
                <w:rFonts w:eastAsia="Times New Roman" w:cs="Times New Roman"/>
                <w:b w:val="0"/>
                <w:color w:val="000000"/>
                <w:szCs w:val="24"/>
                <w:vertAlign w:val="subscript"/>
                <w:lang w:eastAsia="en-MY"/>
              </w:rPr>
              <w:t>12.5</w:t>
            </w:r>
            <w:r w:rsidRPr="000E2377">
              <w:rPr>
                <w:rFonts w:eastAsia="Times New Roman" w:cs="Times New Roman"/>
                <w:b w:val="0"/>
                <w:color w:val="000000"/>
                <w:szCs w:val="24"/>
                <w:lang w:eastAsia="en-MY"/>
              </w:rPr>
              <w:t>B</w:t>
            </w:r>
            <w:r w:rsidRPr="000E2377">
              <w:rPr>
                <w:rFonts w:eastAsia="Times New Roman" w:cs="Times New Roman"/>
                <w:b w:val="0"/>
                <w:color w:val="000000"/>
                <w:szCs w:val="24"/>
                <w:vertAlign w:val="subscript"/>
                <w:lang w:eastAsia="en-MY"/>
              </w:rPr>
              <w:t>10</w:t>
            </w:r>
            <w:r w:rsidRPr="000E2377">
              <w:rPr>
                <w:rFonts w:eastAsia="Times New Roman" w:cs="Times New Roman"/>
                <w:b w:val="0"/>
                <w:color w:val="000000"/>
                <w:szCs w:val="24"/>
                <w:lang w:eastAsia="en-MY"/>
              </w:rPr>
              <w:t>S</w:t>
            </w:r>
            <w:r w:rsidRPr="000E2377">
              <w:rPr>
                <w:rFonts w:eastAsia="Times New Roman" w:cs="Times New Roman"/>
                <w:b w:val="0"/>
                <w:color w:val="000000"/>
                <w:szCs w:val="24"/>
                <w:vertAlign w:val="subscript"/>
                <w:lang w:eastAsia="en-MY"/>
              </w:rPr>
              <w:t>63</w:t>
            </w:r>
          </w:p>
        </w:tc>
        <w:tc>
          <w:tcPr>
            <w:tcW w:w="1680" w:type="dxa"/>
            <w:tcBorders>
              <w:top w:val="nil"/>
              <w:left w:val="nil"/>
              <w:bottom w:val="single" w:sz="4" w:space="0" w:color="auto"/>
              <w:right w:val="nil"/>
            </w:tcBorders>
            <w:shd w:val="clear" w:color="auto" w:fill="auto"/>
            <w:noWrap/>
            <w:vAlign w:val="center"/>
            <w:hideMark/>
          </w:tcPr>
          <w:p w14:paraId="3DACEBB8"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5.7 ± 0.07</w:t>
            </w:r>
          </w:p>
        </w:tc>
        <w:tc>
          <w:tcPr>
            <w:tcW w:w="1900" w:type="dxa"/>
            <w:tcBorders>
              <w:top w:val="nil"/>
              <w:left w:val="nil"/>
              <w:bottom w:val="single" w:sz="4" w:space="0" w:color="auto"/>
              <w:right w:val="nil"/>
            </w:tcBorders>
            <w:shd w:val="clear" w:color="auto" w:fill="auto"/>
            <w:noWrap/>
            <w:vAlign w:val="center"/>
            <w:hideMark/>
          </w:tcPr>
          <w:p w14:paraId="2DDBD55A"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0.76 ± 0.05</w:t>
            </w:r>
          </w:p>
        </w:tc>
        <w:tc>
          <w:tcPr>
            <w:tcW w:w="960" w:type="dxa"/>
            <w:tcBorders>
              <w:top w:val="nil"/>
              <w:left w:val="nil"/>
              <w:bottom w:val="single" w:sz="4" w:space="0" w:color="auto"/>
              <w:right w:val="nil"/>
            </w:tcBorders>
            <w:shd w:val="clear" w:color="auto" w:fill="auto"/>
            <w:noWrap/>
            <w:vAlign w:val="center"/>
            <w:hideMark/>
          </w:tcPr>
          <w:p w14:paraId="65949990" w14:textId="77777777" w:rsidR="00CB5F95" w:rsidRPr="000E2377" w:rsidRDefault="00CB5F95" w:rsidP="00CB5F95">
            <w:pPr>
              <w:spacing w:after="0" w:line="240" w:lineRule="auto"/>
              <w:jc w:val="center"/>
              <w:rPr>
                <w:rFonts w:eastAsia="Times New Roman" w:cs="Times New Roman"/>
                <w:b w:val="0"/>
                <w:color w:val="000000"/>
                <w:szCs w:val="24"/>
                <w:lang w:eastAsia="en-MY"/>
              </w:rPr>
            </w:pPr>
            <w:r w:rsidRPr="000E2377">
              <w:rPr>
                <w:rFonts w:eastAsia="Times New Roman" w:cs="Times New Roman"/>
                <w:b w:val="0"/>
                <w:color w:val="000000"/>
                <w:szCs w:val="24"/>
                <w:lang w:eastAsia="en-MY"/>
              </w:rPr>
              <w:t>7.45</w:t>
            </w:r>
          </w:p>
        </w:tc>
      </w:tr>
    </w:tbl>
    <w:p w14:paraId="314A582D" w14:textId="77777777" w:rsidR="00CB5F95" w:rsidRPr="000E2377" w:rsidRDefault="00CB5F95" w:rsidP="00CB5F95">
      <w:pPr>
        <w:spacing w:line="240" w:lineRule="auto"/>
        <w:jc w:val="center"/>
        <w:rPr>
          <w:rFonts w:eastAsia="Calibri" w:cs="Times New Roman"/>
          <w:bCs/>
          <w:szCs w:val="24"/>
          <w:lang w:val="en-GB"/>
        </w:rPr>
      </w:pPr>
    </w:p>
    <w:p w14:paraId="0C25882C" w14:textId="77777777" w:rsidR="00CB5F95" w:rsidRPr="000E2377" w:rsidRDefault="00CB5F95" w:rsidP="00CB5F95">
      <w:pPr>
        <w:spacing w:line="240" w:lineRule="auto"/>
        <w:jc w:val="center"/>
        <w:rPr>
          <w:rFonts w:eastAsia="Calibri" w:cs="Times New Roman"/>
          <w:bCs/>
          <w:szCs w:val="24"/>
          <w:lang w:val="en-GB"/>
        </w:rPr>
      </w:pPr>
    </w:p>
    <w:p w14:paraId="16E5C0F3" w14:textId="77777777" w:rsidR="00CB5F95" w:rsidRDefault="00CB5F95" w:rsidP="00CB5F95">
      <w:pPr>
        <w:spacing w:line="240" w:lineRule="auto"/>
        <w:jc w:val="center"/>
        <w:rPr>
          <w:rFonts w:eastAsia="Calibri" w:cs="Times New Roman"/>
          <w:bCs/>
          <w:szCs w:val="24"/>
          <w:lang w:val="en-GB"/>
        </w:rPr>
      </w:pPr>
      <w:r w:rsidRPr="000E2377">
        <w:rPr>
          <w:rFonts w:eastAsia="Calibri" w:cs="Times New Roman"/>
          <w:bCs/>
          <w:szCs w:val="24"/>
          <w:lang w:val="en-GB"/>
        </w:rPr>
        <w:t xml:space="preserve">APPENDIX F: TERNARY DIAGRAM OF COMPOSITION AND PHYSICAL PROPERTIES </w:t>
      </w:r>
    </w:p>
    <w:p w14:paraId="0727F044" w14:textId="77777777" w:rsidR="00CB5F95" w:rsidRDefault="00CB5F95" w:rsidP="00CB5F95">
      <w:pPr>
        <w:spacing w:line="240" w:lineRule="auto"/>
        <w:jc w:val="center"/>
        <w:rPr>
          <w:rFonts w:eastAsia="Calibri" w:cs="Times New Roman"/>
          <w:bCs/>
          <w:szCs w:val="24"/>
          <w:lang w:val="en-GB"/>
        </w:rPr>
      </w:pPr>
      <w:r w:rsidRPr="00E440C6">
        <w:rPr>
          <w:noProof/>
          <w:lang w:eastAsia="en-MY"/>
        </w:rPr>
        <w:drawing>
          <wp:inline distT="0" distB="0" distL="0" distR="0" wp14:anchorId="39F71A49" wp14:editId="57B844E6">
            <wp:extent cx="4316095" cy="3462655"/>
            <wp:effectExtent l="0" t="0" r="0" b="0"/>
            <wp:docPr id="1783" name="Picture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316095" cy="3462655"/>
                    </a:xfrm>
                    <a:prstGeom prst="rect">
                      <a:avLst/>
                    </a:prstGeom>
                    <a:noFill/>
                    <a:ln>
                      <a:noFill/>
                    </a:ln>
                  </pic:spPr>
                </pic:pic>
              </a:graphicData>
            </a:graphic>
          </wp:inline>
        </w:drawing>
      </w:r>
    </w:p>
    <w:p w14:paraId="223906D8" w14:textId="77777777" w:rsidR="00CB5F95" w:rsidRPr="000E2377" w:rsidRDefault="00CB5F95" w:rsidP="00CB5F95">
      <w:pPr>
        <w:spacing w:line="240" w:lineRule="auto"/>
        <w:jc w:val="center"/>
        <w:rPr>
          <w:rFonts w:eastAsia="Calibri" w:cs="Times New Roman"/>
          <w:bCs/>
          <w:szCs w:val="24"/>
          <w:lang w:val="en-GB"/>
        </w:rPr>
      </w:pPr>
      <w:r w:rsidRPr="00E440C6">
        <w:rPr>
          <w:noProof/>
          <w:lang w:eastAsia="en-MY"/>
        </w:rPr>
        <w:drawing>
          <wp:inline distT="0" distB="0" distL="0" distR="0" wp14:anchorId="5338185A" wp14:editId="2A0B04A5">
            <wp:extent cx="4316095" cy="3450590"/>
            <wp:effectExtent l="0" t="0" r="0" b="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316095" cy="3450590"/>
                    </a:xfrm>
                    <a:prstGeom prst="rect">
                      <a:avLst/>
                    </a:prstGeom>
                    <a:noFill/>
                    <a:ln>
                      <a:noFill/>
                    </a:ln>
                  </pic:spPr>
                </pic:pic>
              </a:graphicData>
            </a:graphic>
          </wp:inline>
        </w:drawing>
      </w:r>
    </w:p>
    <w:p w14:paraId="00C85168" w14:textId="77777777" w:rsidR="00CB5F95" w:rsidRPr="000E2377" w:rsidRDefault="00CB5F95" w:rsidP="00CB5F95">
      <w:pPr>
        <w:spacing w:line="240" w:lineRule="auto"/>
        <w:jc w:val="center"/>
        <w:rPr>
          <w:rFonts w:eastAsia="Times New Roman" w:cs="Times New Roman"/>
          <w:snapToGrid w:val="0"/>
          <w:color w:val="000000"/>
          <w:w w:val="0"/>
          <w:sz w:val="0"/>
          <w:szCs w:val="0"/>
          <w:u w:color="000000"/>
          <w:bdr w:val="none" w:sz="0" w:space="0" w:color="000000"/>
          <w:shd w:val="clear" w:color="000000" w:fill="000000"/>
          <w:lang w:eastAsia="x-none" w:bidi="x-none"/>
        </w:rPr>
      </w:pPr>
    </w:p>
    <w:p w14:paraId="1FE7BA75" w14:textId="77777777" w:rsidR="00CB5F95" w:rsidRDefault="00CB5F95" w:rsidP="00CB5F95">
      <w:pPr>
        <w:spacing w:line="240" w:lineRule="auto"/>
        <w:jc w:val="center"/>
        <w:rPr>
          <w:rFonts w:eastAsia="Calibri" w:cs="Times New Roman"/>
          <w:b w:val="0"/>
          <w:bCs/>
          <w:szCs w:val="24"/>
          <w:lang w:val="en-GB"/>
        </w:rPr>
      </w:pPr>
    </w:p>
    <w:p w14:paraId="17E8CC69" w14:textId="77777777" w:rsidR="00CB5F95" w:rsidRPr="000E2377" w:rsidRDefault="00CB5F95" w:rsidP="00CB5F95">
      <w:pPr>
        <w:spacing w:line="240" w:lineRule="auto"/>
        <w:jc w:val="center"/>
        <w:rPr>
          <w:rFonts w:eastAsia="Calibri" w:cs="Times New Roman"/>
          <w:b w:val="0"/>
          <w:bCs/>
          <w:szCs w:val="24"/>
          <w:lang w:val="en-GB"/>
        </w:rPr>
      </w:pPr>
    </w:p>
    <w:p w14:paraId="58F69612" w14:textId="77777777" w:rsidR="00CB5F95" w:rsidRPr="000E2377" w:rsidRDefault="00CB5F95" w:rsidP="00CB5F95">
      <w:pPr>
        <w:spacing w:line="240" w:lineRule="auto"/>
        <w:jc w:val="center"/>
        <w:rPr>
          <w:rFonts w:eastAsia="Calibri" w:cs="Times New Roman"/>
          <w:b w:val="0"/>
          <w:bCs/>
          <w:szCs w:val="24"/>
          <w:lang w:val="en-GB"/>
        </w:rPr>
      </w:pPr>
    </w:p>
    <w:p w14:paraId="06E82265" w14:textId="77777777" w:rsidR="00CB5F95" w:rsidRPr="00005B88" w:rsidRDefault="00CB5F95" w:rsidP="00CB5F95">
      <w:pPr>
        <w:spacing w:line="240" w:lineRule="auto"/>
        <w:jc w:val="center"/>
        <w:rPr>
          <w:rFonts w:eastAsia="Calibri" w:cs="Times New Roman"/>
          <w:bCs/>
          <w:szCs w:val="24"/>
          <w:lang w:val="en-GB"/>
        </w:rPr>
      </w:pPr>
      <w:r w:rsidRPr="00005B88">
        <w:rPr>
          <w:rFonts w:eastAsia="Calibri" w:cs="Times New Roman"/>
          <w:bCs/>
          <w:szCs w:val="24"/>
          <w:lang w:val="en-GB"/>
        </w:rPr>
        <w:lastRenderedPageBreak/>
        <w:t>APPENDIX G: X-</w:t>
      </w:r>
      <w:r>
        <w:rPr>
          <w:rFonts w:eastAsia="Calibri" w:cs="Times New Roman"/>
          <w:bCs/>
          <w:szCs w:val="24"/>
          <w:lang w:val="en-GB"/>
        </w:rPr>
        <w:t>R</w:t>
      </w:r>
      <w:r w:rsidRPr="00005B88">
        <w:rPr>
          <w:rFonts w:eastAsia="Calibri" w:cs="Times New Roman"/>
          <w:bCs/>
          <w:szCs w:val="24"/>
          <w:lang w:val="en-GB"/>
        </w:rPr>
        <w:t xml:space="preserve">ay Diffraction </w:t>
      </w:r>
    </w:p>
    <w:p w14:paraId="127C436D" w14:textId="77777777" w:rsidR="00CB5F95" w:rsidRPr="00005B88" w:rsidRDefault="00CB5F95" w:rsidP="00CB5F95">
      <w:pPr>
        <w:spacing w:line="240" w:lineRule="auto"/>
        <w:jc w:val="center"/>
        <w:rPr>
          <w:rFonts w:eastAsia="Times New Roman" w:cs="Times New Roman"/>
          <w:b w:val="0"/>
          <w:color w:val="000000"/>
          <w:szCs w:val="24"/>
          <w:vertAlign w:val="subscript"/>
          <w:lang w:eastAsia="en-MY"/>
        </w:rPr>
      </w:pPr>
      <w:r w:rsidRPr="00005B88">
        <w:rPr>
          <w:rFonts w:eastAsia="Calibri" w:cs="Times New Roman"/>
          <w:bCs/>
          <w:szCs w:val="24"/>
          <w:lang w:val="en-GB"/>
        </w:rPr>
        <w:t xml:space="preserve">Series </w:t>
      </w:r>
      <w:r w:rsidRPr="00005B88">
        <w:rPr>
          <w:rFonts w:eastAsia="Times New Roman" w:cs="Times New Roman"/>
          <w:color w:val="000000"/>
          <w:szCs w:val="24"/>
          <w:lang w:eastAsia="en-MY"/>
        </w:rPr>
        <w:t>N</w:t>
      </w:r>
      <w:r w:rsidRPr="00005B88">
        <w:rPr>
          <w:rFonts w:eastAsia="Times New Roman" w:cs="Times New Roman"/>
          <w:color w:val="000000"/>
          <w:szCs w:val="24"/>
          <w:vertAlign w:val="subscript"/>
          <w:lang w:eastAsia="en-MY"/>
        </w:rPr>
        <w:t>7.6</w:t>
      </w:r>
      <w:r w:rsidRPr="00005B88">
        <w:rPr>
          <w:rFonts w:eastAsia="Times New Roman" w:cs="Times New Roman"/>
          <w:color w:val="000000"/>
          <w:szCs w:val="24"/>
          <w:lang w:eastAsia="en-MY"/>
        </w:rPr>
        <w:t>M</w:t>
      </w:r>
      <w:r w:rsidRPr="00005B88">
        <w:rPr>
          <w:rFonts w:eastAsia="Times New Roman" w:cs="Times New Roman"/>
          <w:color w:val="000000"/>
          <w:szCs w:val="24"/>
          <w:vertAlign w:val="subscript"/>
          <w:lang w:eastAsia="en-MY"/>
        </w:rPr>
        <w:t>1.1</w:t>
      </w:r>
      <w:r w:rsidRPr="00005B88">
        <w:rPr>
          <w:rFonts w:eastAsia="Times New Roman" w:cs="Times New Roman"/>
          <w:color w:val="000000"/>
          <w:szCs w:val="24"/>
          <w:lang w:eastAsia="en-MY"/>
        </w:rPr>
        <w:t>C</w:t>
      </w:r>
      <w:r w:rsidRPr="00005B88">
        <w:rPr>
          <w:rFonts w:eastAsia="Times New Roman" w:cs="Times New Roman"/>
          <w:color w:val="000000"/>
          <w:szCs w:val="24"/>
          <w:vertAlign w:val="subscript"/>
          <w:lang w:eastAsia="en-MY"/>
        </w:rPr>
        <w:t>3.0</w:t>
      </w:r>
      <w:r w:rsidRPr="00005B88">
        <w:rPr>
          <w:rFonts w:eastAsia="Times New Roman" w:cs="Times New Roman"/>
          <w:color w:val="000000"/>
          <w:szCs w:val="24"/>
          <w:lang w:eastAsia="en-MY"/>
        </w:rPr>
        <w:t>A</w:t>
      </w:r>
      <w:r w:rsidRPr="00005B88">
        <w:rPr>
          <w:rFonts w:eastAsia="Times New Roman" w:cs="Times New Roman"/>
          <w:color w:val="000000"/>
          <w:szCs w:val="24"/>
          <w:vertAlign w:val="subscript"/>
          <w:lang w:eastAsia="en-MY"/>
        </w:rPr>
        <w:t>x</w:t>
      </w:r>
      <w:r w:rsidRPr="00005B88">
        <w:rPr>
          <w:rFonts w:eastAsia="Times New Roman" w:cs="Times New Roman"/>
          <w:color w:val="000000"/>
          <w:szCs w:val="24"/>
          <w:lang w:eastAsia="en-MY"/>
        </w:rPr>
        <w:t>B</w:t>
      </w:r>
      <w:r w:rsidRPr="00005B88">
        <w:rPr>
          <w:rFonts w:eastAsia="Times New Roman" w:cs="Times New Roman"/>
          <w:color w:val="000000"/>
          <w:szCs w:val="24"/>
          <w:vertAlign w:val="subscript"/>
          <w:lang w:eastAsia="en-MY"/>
        </w:rPr>
        <w:t>7.6</w:t>
      </w:r>
      <w:r w:rsidRPr="00005B88">
        <w:rPr>
          <w:rFonts w:eastAsia="Times New Roman" w:cs="Times New Roman"/>
          <w:color w:val="000000"/>
          <w:szCs w:val="24"/>
          <w:lang w:eastAsia="en-MY"/>
        </w:rPr>
        <w:t>S</w:t>
      </w:r>
      <w:r w:rsidRPr="00005B88">
        <w:rPr>
          <w:rFonts w:eastAsia="Times New Roman" w:cs="Times New Roman"/>
          <w:color w:val="000000"/>
          <w:szCs w:val="24"/>
          <w:vertAlign w:val="subscript"/>
          <w:lang w:eastAsia="en-MY"/>
        </w:rPr>
        <w:t>80.7-x</w:t>
      </w:r>
    </w:p>
    <w:tbl>
      <w:tblPr>
        <w:tblStyle w:val="TableGrid"/>
        <w:tblW w:w="0" w:type="auto"/>
        <w:tblLook w:val="04A0" w:firstRow="1" w:lastRow="0" w:firstColumn="1" w:lastColumn="0" w:noHBand="0" w:noVBand="1"/>
      </w:tblPr>
      <w:tblGrid>
        <w:gridCol w:w="4508"/>
        <w:gridCol w:w="4508"/>
      </w:tblGrid>
      <w:tr w:rsidR="00CB5F95" w14:paraId="797124A2" w14:textId="77777777" w:rsidTr="00CB5F95">
        <w:tc>
          <w:tcPr>
            <w:tcW w:w="4508" w:type="dxa"/>
          </w:tcPr>
          <w:p w14:paraId="4433720E" w14:textId="77777777" w:rsidR="00CB5F95" w:rsidRDefault="00CB5F95" w:rsidP="00CB5F95">
            <w:pPr>
              <w:jc w:val="center"/>
              <w:rPr>
                <w:rFonts w:eastAsia="Calibri" w:cs="Times New Roman"/>
                <w:b w:val="0"/>
                <w:bCs/>
                <w:szCs w:val="24"/>
                <w:lang w:val="en-GB"/>
              </w:rPr>
            </w:pPr>
            <w:r w:rsidRPr="00ED00E1">
              <w:rPr>
                <w:rFonts w:eastAsia="Calibri" w:cs="Times New Roman"/>
                <w:b w:val="0"/>
                <w:bCs/>
                <w:noProof/>
                <w:szCs w:val="24"/>
                <w:lang w:eastAsia="en-MY"/>
              </w:rPr>
              <w:drawing>
                <wp:inline distT="0" distB="0" distL="0" distR="0" wp14:anchorId="03BE0084" wp14:editId="2B2681E0">
                  <wp:extent cx="2586774" cy="1980000"/>
                  <wp:effectExtent l="0" t="0" r="4445" b="1270"/>
                  <wp:docPr id="1957"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586774" cy="1980000"/>
                          </a:xfrm>
                          <a:prstGeom prst="rect">
                            <a:avLst/>
                          </a:prstGeom>
                          <a:noFill/>
                          <a:ln>
                            <a:noFill/>
                          </a:ln>
                        </pic:spPr>
                      </pic:pic>
                    </a:graphicData>
                  </a:graphic>
                </wp:inline>
              </w:drawing>
            </w:r>
          </w:p>
          <w:p w14:paraId="04AB6B8A" w14:textId="77777777" w:rsidR="00CB5F95" w:rsidRDefault="00CB5F95" w:rsidP="00CB5F95">
            <w:pPr>
              <w:jc w:val="center"/>
              <w:rPr>
                <w:rFonts w:eastAsia="Calibri" w:cs="Times New Roman"/>
                <w:b w:val="0"/>
                <w:bCs/>
                <w:szCs w:val="24"/>
                <w:lang w:val="en-GB"/>
              </w:rPr>
            </w:pPr>
          </w:p>
        </w:tc>
        <w:tc>
          <w:tcPr>
            <w:tcW w:w="4508" w:type="dxa"/>
          </w:tcPr>
          <w:p w14:paraId="3F49488D" w14:textId="77777777" w:rsidR="00CB5F95" w:rsidRDefault="00CB5F95" w:rsidP="00CB5F95">
            <w:pPr>
              <w:jc w:val="center"/>
              <w:rPr>
                <w:rFonts w:eastAsia="Calibri" w:cs="Times New Roman"/>
                <w:b w:val="0"/>
                <w:bCs/>
                <w:szCs w:val="24"/>
                <w:lang w:val="en-GB"/>
              </w:rPr>
            </w:pPr>
            <w:r w:rsidRPr="00ED00E1">
              <w:rPr>
                <w:rFonts w:eastAsia="Calibri" w:cs="Times New Roman"/>
                <w:b w:val="0"/>
                <w:bCs/>
                <w:noProof/>
                <w:szCs w:val="24"/>
                <w:lang w:eastAsia="en-MY"/>
              </w:rPr>
              <w:drawing>
                <wp:inline distT="0" distB="0" distL="0" distR="0" wp14:anchorId="7F513182" wp14:editId="68E53ED6">
                  <wp:extent cx="2657032" cy="1980000"/>
                  <wp:effectExtent l="0" t="0" r="0" b="1270"/>
                  <wp:docPr id="1958"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657032" cy="1980000"/>
                          </a:xfrm>
                          <a:prstGeom prst="rect">
                            <a:avLst/>
                          </a:prstGeom>
                          <a:noFill/>
                          <a:ln>
                            <a:noFill/>
                          </a:ln>
                        </pic:spPr>
                      </pic:pic>
                    </a:graphicData>
                  </a:graphic>
                </wp:inline>
              </w:drawing>
            </w:r>
          </w:p>
        </w:tc>
      </w:tr>
      <w:tr w:rsidR="00CB5F95" w14:paraId="043CDF0C" w14:textId="77777777" w:rsidTr="00CB5F95">
        <w:tc>
          <w:tcPr>
            <w:tcW w:w="4508" w:type="dxa"/>
          </w:tcPr>
          <w:p w14:paraId="04974BC6" w14:textId="77777777" w:rsidR="00CB5F95" w:rsidRPr="00005B88" w:rsidRDefault="00CB5F95" w:rsidP="00CB5F95">
            <w:pPr>
              <w:jc w:val="center"/>
              <w:rPr>
                <w:rFonts w:eastAsia="Calibri" w:cs="Times New Roman"/>
                <w:b w:val="0"/>
                <w:bCs/>
                <w:szCs w:val="24"/>
                <w:lang w:val="en-GB"/>
              </w:rPr>
            </w:pPr>
            <w:r w:rsidRPr="00005B88">
              <w:rPr>
                <w:rFonts w:eastAsia="Times New Roman" w:cs="Times New Roman"/>
                <w:b w:val="0"/>
                <w:color w:val="000000"/>
                <w:szCs w:val="24"/>
                <w:lang w:eastAsia="en-MY"/>
              </w:rPr>
              <w:t>N</w:t>
            </w:r>
            <w:r w:rsidRPr="00005B88">
              <w:rPr>
                <w:rFonts w:eastAsia="Times New Roman" w:cs="Times New Roman"/>
                <w:b w:val="0"/>
                <w:color w:val="000000"/>
                <w:szCs w:val="24"/>
                <w:vertAlign w:val="subscript"/>
                <w:lang w:eastAsia="en-MY"/>
              </w:rPr>
              <w:t>7.6</w:t>
            </w:r>
            <w:r w:rsidRPr="00005B88">
              <w:rPr>
                <w:rFonts w:eastAsia="Times New Roman" w:cs="Times New Roman"/>
                <w:b w:val="0"/>
                <w:color w:val="000000"/>
                <w:szCs w:val="24"/>
                <w:lang w:eastAsia="en-MY"/>
              </w:rPr>
              <w:t>M</w:t>
            </w:r>
            <w:r w:rsidRPr="00005B88">
              <w:rPr>
                <w:rFonts w:eastAsia="Times New Roman" w:cs="Times New Roman"/>
                <w:b w:val="0"/>
                <w:color w:val="000000"/>
                <w:szCs w:val="24"/>
                <w:vertAlign w:val="subscript"/>
                <w:lang w:eastAsia="en-MY"/>
              </w:rPr>
              <w:t>1.1</w:t>
            </w:r>
            <w:r w:rsidRPr="00005B88">
              <w:rPr>
                <w:rFonts w:eastAsia="Times New Roman" w:cs="Times New Roman"/>
                <w:b w:val="0"/>
                <w:color w:val="000000"/>
                <w:szCs w:val="24"/>
                <w:lang w:eastAsia="en-MY"/>
              </w:rPr>
              <w:t>C</w:t>
            </w:r>
            <w:r w:rsidRPr="00005B88">
              <w:rPr>
                <w:rFonts w:eastAsia="Times New Roman" w:cs="Times New Roman"/>
                <w:b w:val="0"/>
                <w:color w:val="000000"/>
                <w:szCs w:val="24"/>
                <w:vertAlign w:val="subscript"/>
                <w:lang w:eastAsia="en-MY"/>
              </w:rPr>
              <w:t>3</w:t>
            </w:r>
            <w:r w:rsidRPr="00005B88">
              <w:rPr>
                <w:rFonts w:eastAsia="Times New Roman" w:cs="Times New Roman"/>
                <w:b w:val="0"/>
                <w:color w:val="000000"/>
                <w:szCs w:val="24"/>
                <w:lang w:eastAsia="en-MY"/>
              </w:rPr>
              <w:t>A</w:t>
            </w:r>
            <w:r w:rsidRPr="00005B88">
              <w:rPr>
                <w:rFonts w:eastAsia="Times New Roman" w:cs="Times New Roman"/>
                <w:b w:val="0"/>
                <w:color w:val="000000"/>
                <w:szCs w:val="24"/>
                <w:vertAlign w:val="subscript"/>
                <w:lang w:eastAsia="en-MY"/>
              </w:rPr>
              <w:t>1</w:t>
            </w:r>
            <w:r w:rsidRPr="00005B88">
              <w:rPr>
                <w:rFonts w:eastAsia="Times New Roman" w:cs="Times New Roman"/>
                <w:b w:val="0"/>
                <w:color w:val="000000"/>
                <w:szCs w:val="24"/>
                <w:lang w:eastAsia="en-MY"/>
              </w:rPr>
              <w:t>B</w:t>
            </w:r>
            <w:r w:rsidRPr="00005B88">
              <w:rPr>
                <w:rFonts w:eastAsia="Times New Roman" w:cs="Times New Roman"/>
                <w:b w:val="0"/>
                <w:color w:val="000000"/>
                <w:szCs w:val="24"/>
                <w:vertAlign w:val="subscript"/>
                <w:lang w:eastAsia="en-MY"/>
              </w:rPr>
              <w:t>7.6</w:t>
            </w:r>
            <w:r w:rsidRPr="00005B88">
              <w:rPr>
                <w:rFonts w:eastAsia="Times New Roman" w:cs="Times New Roman"/>
                <w:b w:val="0"/>
                <w:color w:val="000000"/>
                <w:szCs w:val="24"/>
                <w:lang w:eastAsia="en-MY"/>
              </w:rPr>
              <w:t>S</w:t>
            </w:r>
            <w:r w:rsidRPr="00005B88">
              <w:rPr>
                <w:rFonts w:eastAsia="Times New Roman" w:cs="Times New Roman"/>
                <w:b w:val="0"/>
                <w:color w:val="000000"/>
                <w:szCs w:val="24"/>
                <w:vertAlign w:val="subscript"/>
                <w:lang w:eastAsia="en-MY"/>
              </w:rPr>
              <w:t>79.7</w:t>
            </w:r>
          </w:p>
        </w:tc>
        <w:tc>
          <w:tcPr>
            <w:tcW w:w="4508" w:type="dxa"/>
          </w:tcPr>
          <w:p w14:paraId="3B429437" w14:textId="77777777" w:rsidR="00CB5F95" w:rsidRPr="00005B88" w:rsidRDefault="00CB5F95" w:rsidP="00CB5F95">
            <w:pPr>
              <w:jc w:val="center"/>
              <w:rPr>
                <w:rFonts w:eastAsia="Calibri" w:cs="Times New Roman"/>
                <w:b w:val="0"/>
                <w:bCs/>
                <w:szCs w:val="24"/>
                <w:lang w:val="en-GB"/>
              </w:rPr>
            </w:pPr>
            <w:r w:rsidRPr="00005B88">
              <w:rPr>
                <w:rFonts w:eastAsia="Times New Roman" w:cs="Times New Roman"/>
                <w:b w:val="0"/>
                <w:color w:val="000000"/>
                <w:szCs w:val="24"/>
                <w:lang w:eastAsia="en-MY"/>
              </w:rPr>
              <w:t>N</w:t>
            </w:r>
            <w:r w:rsidRPr="00005B88">
              <w:rPr>
                <w:rFonts w:eastAsia="Times New Roman" w:cs="Times New Roman"/>
                <w:b w:val="0"/>
                <w:color w:val="000000"/>
                <w:szCs w:val="24"/>
                <w:vertAlign w:val="subscript"/>
                <w:lang w:eastAsia="en-MY"/>
              </w:rPr>
              <w:t>7.6</w:t>
            </w:r>
            <w:r w:rsidRPr="00005B88">
              <w:rPr>
                <w:rFonts w:eastAsia="Times New Roman" w:cs="Times New Roman"/>
                <w:b w:val="0"/>
                <w:color w:val="000000"/>
                <w:szCs w:val="24"/>
                <w:lang w:eastAsia="en-MY"/>
              </w:rPr>
              <w:t>M</w:t>
            </w:r>
            <w:r w:rsidRPr="00005B88">
              <w:rPr>
                <w:rFonts w:eastAsia="Times New Roman" w:cs="Times New Roman"/>
                <w:b w:val="0"/>
                <w:color w:val="000000"/>
                <w:szCs w:val="24"/>
                <w:vertAlign w:val="subscript"/>
                <w:lang w:eastAsia="en-MY"/>
              </w:rPr>
              <w:t>1.1</w:t>
            </w:r>
            <w:r w:rsidRPr="00005B88">
              <w:rPr>
                <w:rFonts w:eastAsia="Times New Roman" w:cs="Times New Roman"/>
                <w:b w:val="0"/>
                <w:color w:val="000000"/>
                <w:szCs w:val="24"/>
                <w:lang w:eastAsia="en-MY"/>
              </w:rPr>
              <w:t>C</w:t>
            </w:r>
            <w:r w:rsidRPr="00005B88">
              <w:rPr>
                <w:rFonts w:eastAsia="Times New Roman" w:cs="Times New Roman"/>
                <w:b w:val="0"/>
                <w:color w:val="000000"/>
                <w:szCs w:val="24"/>
                <w:vertAlign w:val="subscript"/>
                <w:lang w:eastAsia="en-MY"/>
              </w:rPr>
              <w:t>3</w:t>
            </w:r>
            <w:r w:rsidRPr="00005B88">
              <w:rPr>
                <w:rFonts w:eastAsia="Times New Roman" w:cs="Times New Roman"/>
                <w:b w:val="0"/>
                <w:color w:val="000000"/>
                <w:szCs w:val="24"/>
                <w:lang w:eastAsia="en-MY"/>
              </w:rPr>
              <w:t>A</w:t>
            </w:r>
            <w:r w:rsidRPr="00005B88">
              <w:rPr>
                <w:rFonts w:eastAsia="Times New Roman" w:cs="Times New Roman"/>
                <w:b w:val="0"/>
                <w:color w:val="000000"/>
                <w:szCs w:val="24"/>
                <w:vertAlign w:val="subscript"/>
                <w:lang w:eastAsia="en-MY"/>
              </w:rPr>
              <w:t>2.5</w:t>
            </w:r>
            <w:r w:rsidRPr="00005B88">
              <w:rPr>
                <w:rFonts w:eastAsia="Times New Roman" w:cs="Times New Roman"/>
                <w:b w:val="0"/>
                <w:color w:val="000000"/>
                <w:szCs w:val="24"/>
                <w:lang w:eastAsia="en-MY"/>
              </w:rPr>
              <w:t>B</w:t>
            </w:r>
            <w:r w:rsidRPr="00005B88">
              <w:rPr>
                <w:rFonts w:eastAsia="Times New Roman" w:cs="Times New Roman"/>
                <w:b w:val="0"/>
                <w:color w:val="000000"/>
                <w:szCs w:val="24"/>
                <w:vertAlign w:val="subscript"/>
                <w:lang w:eastAsia="en-MY"/>
              </w:rPr>
              <w:t>7.6</w:t>
            </w:r>
            <w:r w:rsidRPr="00005B88">
              <w:rPr>
                <w:rFonts w:eastAsia="Times New Roman" w:cs="Times New Roman"/>
                <w:b w:val="0"/>
                <w:color w:val="000000"/>
                <w:szCs w:val="24"/>
                <w:lang w:eastAsia="en-MY"/>
              </w:rPr>
              <w:t>S</w:t>
            </w:r>
            <w:r w:rsidRPr="00005B88">
              <w:rPr>
                <w:rFonts w:eastAsia="Times New Roman" w:cs="Times New Roman"/>
                <w:b w:val="0"/>
                <w:color w:val="000000"/>
                <w:szCs w:val="24"/>
                <w:vertAlign w:val="subscript"/>
                <w:lang w:eastAsia="en-MY"/>
              </w:rPr>
              <w:t>78.2</w:t>
            </w:r>
          </w:p>
        </w:tc>
      </w:tr>
      <w:tr w:rsidR="00CB5F95" w14:paraId="42B97003" w14:textId="77777777" w:rsidTr="00CB5F95">
        <w:tc>
          <w:tcPr>
            <w:tcW w:w="4508" w:type="dxa"/>
          </w:tcPr>
          <w:p w14:paraId="2E457367" w14:textId="77777777" w:rsidR="00CB5F95" w:rsidRDefault="00CB5F95" w:rsidP="00CB5F95">
            <w:pPr>
              <w:jc w:val="center"/>
              <w:rPr>
                <w:rFonts w:eastAsia="Calibri" w:cs="Times New Roman"/>
                <w:b w:val="0"/>
                <w:bCs/>
                <w:szCs w:val="24"/>
                <w:lang w:val="en-GB"/>
              </w:rPr>
            </w:pPr>
            <w:r w:rsidRPr="00ED00E1">
              <w:rPr>
                <w:rFonts w:eastAsia="Calibri" w:cs="Times New Roman"/>
                <w:b w:val="0"/>
                <w:bCs/>
                <w:noProof/>
                <w:szCs w:val="24"/>
                <w:lang w:eastAsia="en-MY"/>
              </w:rPr>
              <w:drawing>
                <wp:inline distT="0" distB="0" distL="0" distR="0" wp14:anchorId="3DA88643" wp14:editId="05338F1C">
                  <wp:extent cx="2546624" cy="1980000"/>
                  <wp:effectExtent l="0" t="0" r="6350" b="1270"/>
                  <wp:docPr id="1959"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546624" cy="1980000"/>
                          </a:xfrm>
                          <a:prstGeom prst="rect">
                            <a:avLst/>
                          </a:prstGeom>
                          <a:noFill/>
                          <a:ln>
                            <a:noFill/>
                          </a:ln>
                        </pic:spPr>
                      </pic:pic>
                    </a:graphicData>
                  </a:graphic>
                </wp:inline>
              </w:drawing>
            </w:r>
          </w:p>
          <w:p w14:paraId="3968F80E" w14:textId="77777777" w:rsidR="00CB5F95" w:rsidRDefault="00CB5F95" w:rsidP="00CB5F95">
            <w:pPr>
              <w:jc w:val="center"/>
              <w:rPr>
                <w:rFonts w:eastAsia="Calibri" w:cs="Times New Roman"/>
                <w:b w:val="0"/>
                <w:bCs/>
                <w:szCs w:val="24"/>
                <w:lang w:val="en-GB"/>
              </w:rPr>
            </w:pPr>
          </w:p>
        </w:tc>
        <w:tc>
          <w:tcPr>
            <w:tcW w:w="4508" w:type="dxa"/>
          </w:tcPr>
          <w:p w14:paraId="0B010F6D" w14:textId="77777777" w:rsidR="00CB5F95" w:rsidRDefault="00CB5F95" w:rsidP="00CB5F95">
            <w:pPr>
              <w:jc w:val="center"/>
              <w:rPr>
                <w:rFonts w:eastAsia="Calibri" w:cs="Times New Roman"/>
                <w:b w:val="0"/>
                <w:bCs/>
                <w:szCs w:val="24"/>
                <w:lang w:val="en-GB"/>
              </w:rPr>
            </w:pPr>
            <w:r w:rsidRPr="00ED00E1">
              <w:rPr>
                <w:rFonts w:eastAsia="Calibri" w:cs="Times New Roman"/>
                <w:b w:val="0"/>
                <w:bCs/>
                <w:noProof/>
                <w:szCs w:val="24"/>
                <w:lang w:eastAsia="en-MY"/>
              </w:rPr>
              <w:drawing>
                <wp:inline distT="0" distB="0" distL="0" distR="0" wp14:anchorId="2605E5B0" wp14:editId="4B495379">
                  <wp:extent cx="2635875" cy="1980000"/>
                  <wp:effectExtent l="0" t="0" r="0" b="1270"/>
                  <wp:docPr id="1960"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635875" cy="1980000"/>
                          </a:xfrm>
                          <a:prstGeom prst="rect">
                            <a:avLst/>
                          </a:prstGeom>
                          <a:noFill/>
                          <a:ln>
                            <a:noFill/>
                          </a:ln>
                        </pic:spPr>
                      </pic:pic>
                    </a:graphicData>
                  </a:graphic>
                </wp:inline>
              </w:drawing>
            </w:r>
          </w:p>
        </w:tc>
      </w:tr>
      <w:tr w:rsidR="00CB5F95" w14:paraId="21660F54" w14:textId="77777777" w:rsidTr="00CB5F95">
        <w:tc>
          <w:tcPr>
            <w:tcW w:w="4508" w:type="dxa"/>
          </w:tcPr>
          <w:p w14:paraId="5F0AEB65" w14:textId="77777777" w:rsidR="00CB5F95" w:rsidRPr="00005B88" w:rsidRDefault="00CB5F95" w:rsidP="00CB5F95">
            <w:pPr>
              <w:jc w:val="center"/>
              <w:rPr>
                <w:rFonts w:eastAsia="Calibri" w:cs="Times New Roman"/>
                <w:b w:val="0"/>
                <w:bCs/>
                <w:szCs w:val="24"/>
                <w:lang w:val="en-GB"/>
              </w:rPr>
            </w:pPr>
            <w:r w:rsidRPr="00005B88">
              <w:rPr>
                <w:rFonts w:eastAsia="Times New Roman" w:cs="Times New Roman"/>
                <w:b w:val="0"/>
                <w:color w:val="000000"/>
                <w:szCs w:val="24"/>
                <w:lang w:eastAsia="en-MY"/>
              </w:rPr>
              <w:t>N</w:t>
            </w:r>
            <w:r w:rsidRPr="00005B88">
              <w:rPr>
                <w:rFonts w:eastAsia="Times New Roman" w:cs="Times New Roman"/>
                <w:b w:val="0"/>
                <w:color w:val="000000"/>
                <w:szCs w:val="24"/>
                <w:vertAlign w:val="subscript"/>
                <w:lang w:eastAsia="en-MY"/>
              </w:rPr>
              <w:t>7.6</w:t>
            </w:r>
            <w:r w:rsidRPr="00005B88">
              <w:rPr>
                <w:rFonts w:eastAsia="Times New Roman" w:cs="Times New Roman"/>
                <w:b w:val="0"/>
                <w:color w:val="000000"/>
                <w:szCs w:val="24"/>
                <w:lang w:eastAsia="en-MY"/>
              </w:rPr>
              <w:t>M</w:t>
            </w:r>
            <w:r w:rsidRPr="00005B88">
              <w:rPr>
                <w:rFonts w:eastAsia="Times New Roman" w:cs="Times New Roman"/>
                <w:b w:val="0"/>
                <w:color w:val="000000"/>
                <w:szCs w:val="24"/>
                <w:vertAlign w:val="subscript"/>
                <w:lang w:eastAsia="en-MY"/>
              </w:rPr>
              <w:t>1.1</w:t>
            </w:r>
            <w:r w:rsidRPr="00005B88">
              <w:rPr>
                <w:rFonts w:eastAsia="Times New Roman" w:cs="Times New Roman"/>
                <w:b w:val="0"/>
                <w:color w:val="000000"/>
                <w:szCs w:val="24"/>
                <w:lang w:eastAsia="en-MY"/>
              </w:rPr>
              <w:t>C</w:t>
            </w:r>
            <w:r w:rsidRPr="00005B88">
              <w:rPr>
                <w:rFonts w:eastAsia="Times New Roman" w:cs="Times New Roman"/>
                <w:b w:val="0"/>
                <w:color w:val="000000"/>
                <w:szCs w:val="24"/>
                <w:vertAlign w:val="subscript"/>
                <w:lang w:eastAsia="en-MY"/>
              </w:rPr>
              <w:t>3</w:t>
            </w:r>
            <w:r w:rsidRPr="00005B88">
              <w:rPr>
                <w:rFonts w:eastAsia="Times New Roman" w:cs="Times New Roman"/>
                <w:b w:val="0"/>
                <w:color w:val="000000"/>
                <w:szCs w:val="24"/>
                <w:lang w:eastAsia="en-MY"/>
              </w:rPr>
              <w:t>A</w:t>
            </w:r>
            <w:r w:rsidRPr="00005B88">
              <w:rPr>
                <w:rFonts w:eastAsia="Times New Roman" w:cs="Times New Roman"/>
                <w:b w:val="0"/>
                <w:color w:val="000000"/>
                <w:szCs w:val="24"/>
                <w:vertAlign w:val="subscript"/>
                <w:lang w:eastAsia="en-MY"/>
              </w:rPr>
              <w:t>5</w:t>
            </w:r>
            <w:r w:rsidRPr="00005B88">
              <w:rPr>
                <w:rFonts w:eastAsia="Times New Roman" w:cs="Times New Roman"/>
                <w:b w:val="0"/>
                <w:color w:val="000000"/>
                <w:szCs w:val="24"/>
                <w:lang w:eastAsia="en-MY"/>
              </w:rPr>
              <w:t>B</w:t>
            </w:r>
            <w:r w:rsidRPr="00005B88">
              <w:rPr>
                <w:rFonts w:eastAsia="Times New Roman" w:cs="Times New Roman"/>
                <w:b w:val="0"/>
                <w:color w:val="000000"/>
                <w:szCs w:val="24"/>
                <w:vertAlign w:val="subscript"/>
                <w:lang w:eastAsia="en-MY"/>
              </w:rPr>
              <w:t>7.6</w:t>
            </w:r>
            <w:r w:rsidRPr="00005B88">
              <w:rPr>
                <w:rFonts w:eastAsia="Times New Roman" w:cs="Times New Roman"/>
                <w:b w:val="0"/>
                <w:color w:val="000000"/>
                <w:szCs w:val="24"/>
                <w:lang w:eastAsia="en-MY"/>
              </w:rPr>
              <w:t>S</w:t>
            </w:r>
            <w:r w:rsidRPr="00005B88">
              <w:rPr>
                <w:rFonts w:eastAsia="Times New Roman" w:cs="Times New Roman"/>
                <w:b w:val="0"/>
                <w:color w:val="000000"/>
                <w:szCs w:val="24"/>
                <w:vertAlign w:val="subscript"/>
                <w:lang w:eastAsia="en-MY"/>
              </w:rPr>
              <w:t>75.7</w:t>
            </w:r>
          </w:p>
        </w:tc>
        <w:tc>
          <w:tcPr>
            <w:tcW w:w="4508" w:type="dxa"/>
          </w:tcPr>
          <w:p w14:paraId="40F56665" w14:textId="77777777" w:rsidR="00CB5F95" w:rsidRPr="00005B88" w:rsidRDefault="00CB5F95" w:rsidP="00CB5F95">
            <w:pPr>
              <w:jc w:val="center"/>
              <w:rPr>
                <w:rFonts w:eastAsia="Calibri" w:cs="Times New Roman"/>
                <w:b w:val="0"/>
                <w:bCs/>
                <w:szCs w:val="24"/>
                <w:lang w:val="en-GB"/>
              </w:rPr>
            </w:pPr>
            <w:r w:rsidRPr="00005B88">
              <w:rPr>
                <w:rFonts w:eastAsia="Times New Roman" w:cs="Times New Roman"/>
                <w:b w:val="0"/>
                <w:color w:val="000000"/>
                <w:szCs w:val="24"/>
                <w:lang w:eastAsia="en-MY"/>
              </w:rPr>
              <w:t>N</w:t>
            </w:r>
            <w:r w:rsidRPr="00005B88">
              <w:rPr>
                <w:rFonts w:eastAsia="Times New Roman" w:cs="Times New Roman"/>
                <w:b w:val="0"/>
                <w:color w:val="000000"/>
                <w:szCs w:val="24"/>
                <w:vertAlign w:val="subscript"/>
                <w:lang w:eastAsia="en-MY"/>
              </w:rPr>
              <w:t>7.6</w:t>
            </w:r>
            <w:r w:rsidRPr="00005B88">
              <w:rPr>
                <w:rFonts w:eastAsia="Times New Roman" w:cs="Times New Roman"/>
                <w:b w:val="0"/>
                <w:color w:val="000000"/>
                <w:szCs w:val="24"/>
                <w:lang w:eastAsia="en-MY"/>
              </w:rPr>
              <w:t>M</w:t>
            </w:r>
            <w:r w:rsidRPr="00005B88">
              <w:rPr>
                <w:rFonts w:eastAsia="Times New Roman" w:cs="Times New Roman"/>
                <w:b w:val="0"/>
                <w:color w:val="000000"/>
                <w:szCs w:val="24"/>
                <w:vertAlign w:val="subscript"/>
                <w:lang w:eastAsia="en-MY"/>
              </w:rPr>
              <w:t>1.1</w:t>
            </w:r>
            <w:r w:rsidRPr="00005B88">
              <w:rPr>
                <w:rFonts w:eastAsia="Times New Roman" w:cs="Times New Roman"/>
                <w:b w:val="0"/>
                <w:color w:val="000000"/>
                <w:szCs w:val="24"/>
                <w:lang w:eastAsia="en-MY"/>
              </w:rPr>
              <w:t>C</w:t>
            </w:r>
            <w:r w:rsidRPr="00005B88">
              <w:rPr>
                <w:rFonts w:eastAsia="Times New Roman" w:cs="Times New Roman"/>
                <w:b w:val="0"/>
                <w:color w:val="000000"/>
                <w:szCs w:val="24"/>
                <w:vertAlign w:val="subscript"/>
                <w:lang w:eastAsia="en-MY"/>
              </w:rPr>
              <w:t>3</w:t>
            </w:r>
            <w:r w:rsidRPr="00005B88">
              <w:rPr>
                <w:rFonts w:eastAsia="Times New Roman" w:cs="Times New Roman"/>
                <w:b w:val="0"/>
                <w:color w:val="000000"/>
                <w:szCs w:val="24"/>
                <w:lang w:eastAsia="en-MY"/>
              </w:rPr>
              <w:t>A</w:t>
            </w:r>
            <w:r w:rsidRPr="00005B88">
              <w:rPr>
                <w:rFonts w:eastAsia="Times New Roman" w:cs="Times New Roman"/>
                <w:b w:val="0"/>
                <w:color w:val="000000"/>
                <w:szCs w:val="24"/>
                <w:vertAlign w:val="subscript"/>
                <w:lang w:eastAsia="en-MY"/>
              </w:rPr>
              <w:t>5.2</w:t>
            </w:r>
            <w:r w:rsidRPr="00005B88">
              <w:rPr>
                <w:rFonts w:eastAsia="Times New Roman" w:cs="Times New Roman"/>
                <w:b w:val="0"/>
                <w:color w:val="000000"/>
                <w:szCs w:val="24"/>
                <w:lang w:eastAsia="en-MY"/>
              </w:rPr>
              <w:t>B</w:t>
            </w:r>
            <w:r w:rsidRPr="00005B88">
              <w:rPr>
                <w:rFonts w:eastAsia="Times New Roman" w:cs="Times New Roman"/>
                <w:b w:val="0"/>
                <w:color w:val="000000"/>
                <w:szCs w:val="24"/>
                <w:vertAlign w:val="subscript"/>
                <w:lang w:eastAsia="en-MY"/>
              </w:rPr>
              <w:t>7.6</w:t>
            </w:r>
            <w:r w:rsidRPr="00005B88">
              <w:rPr>
                <w:rFonts w:eastAsia="Times New Roman" w:cs="Times New Roman"/>
                <w:b w:val="0"/>
                <w:color w:val="000000"/>
                <w:szCs w:val="24"/>
                <w:lang w:eastAsia="en-MY"/>
              </w:rPr>
              <w:t>S</w:t>
            </w:r>
            <w:r w:rsidRPr="00005B88">
              <w:rPr>
                <w:rFonts w:eastAsia="Times New Roman" w:cs="Times New Roman"/>
                <w:b w:val="0"/>
                <w:color w:val="000000"/>
                <w:szCs w:val="24"/>
                <w:vertAlign w:val="subscript"/>
                <w:lang w:eastAsia="en-MY"/>
              </w:rPr>
              <w:t>75.5</w:t>
            </w:r>
          </w:p>
        </w:tc>
      </w:tr>
      <w:tr w:rsidR="00CB5F95" w14:paraId="70157758" w14:textId="77777777" w:rsidTr="00CB5F95">
        <w:tc>
          <w:tcPr>
            <w:tcW w:w="4508" w:type="dxa"/>
          </w:tcPr>
          <w:p w14:paraId="6366CCCD" w14:textId="77777777" w:rsidR="00CB5F95" w:rsidRDefault="00CB5F95" w:rsidP="00CB5F95">
            <w:pPr>
              <w:jc w:val="center"/>
              <w:rPr>
                <w:rFonts w:eastAsia="Calibri" w:cs="Times New Roman"/>
                <w:b w:val="0"/>
                <w:bCs/>
                <w:szCs w:val="24"/>
                <w:lang w:val="en-GB"/>
              </w:rPr>
            </w:pPr>
            <w:r w:rsidRPr="00ED00E1">
              <w:rPr>
                <w:rFonts w:eastAsia="Calibri" w:cs="Times New Roman"/>
                <w:b w:val="0"/>
                <w:bCs/>
                <w:noProof/>
                <w:szCs w:val="24"/>
                <w:lang w:eastAsia="en-MY"/>
              </w:rPr>
              <w:drawing>
                <wp:inline distT="0" distB="0" distL="0" distR="0" wp14:anchorId="57142E2F" wp14:editId="3C3CAA20">
                  <wp:extent cx="2582105" cy="1980000"/>
                  <wp:effectExtent l="0" t="0" r="8890" b="1270"/>
                  <wp:docPr id="1961" name="Picture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582105" cy="1980000"/>
                          </a:xfrm>
                          <a:prstGeom prst="rect">
                            <a:avLst/>
                          </a:prstGeom>
                          <a:noFill/>
                          <a:ln>
                            <a:noFill/>
                          </a:ln>
                        </pic:spPr>
                      </pic:pic>
                    </a:graphicData>
                  </a:graphic>
                </wp:inline>
              </w:drawing>
            </w:r>
          </w:p>
          <w:p w14:paraId="79CBB2A8" w14:textId="77777777" w:rsidR="00CB5F95" w:rsidRDefault="00CB5F95" w:rsidP="00CB5F95">
            <w:pPr>
              <w:jc w:val="center"/>
              <w:rPr>
                <w:rFonts w:eastAsia="Calibri" w:cs="Times New Roman"/>
                <w:b w:val="0"/>
                <w:bCs/>
                <w:szCs w:val="24"/>
                <w:lang w:val="en-GB"/>
              </w:rPr>
            </w:pPr>
          </w:p>
        </w:tc>
        <w:tc>
          <w:tcPr>
            <w:tcW w:w="4508" w:type="dxa"/>
          </w:tcPr>
          <w:p w14:paraId="1691BD3C" w14:textId="77777777" w:rsidR="00CB5F95" w:rsidRDefault="00CB5F95" w:rsidP="00CB5F95">
            <w:pPr>
              <w:jc w:val="center"/>
              <w:rPr>
                <w:rFonts w:eastAsia="Calibri" w:cs="Times New Roman"/>
                <w:b w:val="0"/>
                <w:bCs/>
                <w:szCs w:val="24"/>
                <w:lang w:val="en-GB"/>
              </w:rPr>
            </w:pPr>
          </w:p>
        </w:tc>
      </w:tr>
      <w:tr w:rsidR="00CB5F95" w14:paraId="647FFD62" w14:textId="77777777" w:rsidTr="00CB5F95">
        <w:tc>
          <w:tcPr>
            <w:tcW w:w="4508" w:type="dxa"/>
          </w:tcPr>
          <w:p w14:paraId="02904EED" w14:textId="77777777" w:rsidR="00CB5F95" w:rsidRPr="00005B88" w:rsidRDefault="00CB5F95" w:rsidP="00CB5F95">
            <w:pPr>
              <w:jc w:val="center"/>
              <w:rPr>
                <w:rFonts w:eastAsia="Calibri" w:cs="Times New Roman"/>
                <w:b w:val="0"/>
                <w:bCs/>
                <w:szCs w:val="24"/>
                <w:lang w:val="en-GB"/>
              </w:rPr>
            </w:pPr>
            <w:r w:rsidRPr="00005B88">
              <w:rPr>
                <w:rFonts w:eastAsia="Times New Roman" w:cs="Times New Roman"/>
                <w:b w:val="0"/>
                <w:color w:val="000000"/>
                <w:szCs w:val="24"/>
                <w:lang w:eastAsia="en-MY"/>
              </w:rPr>
              <w:t>N</w:t>
            </w:r>
            <w:r w:rsidRPr="00005B88">
              <w:rPr>
                <w:rFonts w:eastAsia="Times New Roman" w:cs="Times New Roman"/>
                <w:b w:val="0"/>
                <w:color w:val="000000"/>
                <w:szCs w:val="24"/>
                <w:vertAlign w:val="subscript"/>
                <w:lang w:eastAsia="en-MY"/>
              </w:rPr>
              <w:t>7.6</w:t>
            </w:r>
            <w:r w:rsidRPr="00005B88">
              <w:rPr>
                <w:rFonts w:eastAsia="Times New Roman" w:cs="Times New Roman"/>
                <w:b w:val="0"/>
                <w:color w:val="000000"/>
                <w:szCs w:val="24"/>
                <w:lang w:eastAsia="en-MY"/>
              </w:rPr>
              <w:t>M</w:t>
            </w:r>
            <w:r w:rsidRPr="00005B88">
              <w:rPr>
                <w:rFonts w:eastAsia="Times New Roman" w:cs="Times New Roman"/>
                <w:b w:val="0"/>
                <w:color w:val="000000"/>
                <w:szCs w:val="24"/>
                <w:vertAlign w:val="subscript"/>
                <w:lang w:eastAsia="en-MY"/>
              </w:rPr>
              <w:t>1.1</w:t>
            </w:r>
            <w:r w:rsidRPr="00005B88">
              <w:rPr>
                <w:rFonts w:eastAsia="Times New Roman" w:cs="Times New Roman"/>
                <w:b w:val="0"/>
                <w:color w:val="000000"/>
                <w:szCs w:val="24"/>
                <w:lang w:eastAsia="en-MY"/>
              </w:rPr>
              <w:t>C</w:t>
            </w:r>
            <w:r w:rsidRPr="00005B88">
              <w:rPr>
                <w:rFonts w:eastAsia="Times New Roman" w:cs="Times New Roman"/>
                <w:b w:val="0"/>
                <w:color w:val="000000"/>
                <w:szCs w:val="24"/>
                <w:vertAlign w:val="subscript"/>
                <w:lang w:eastAsia="en-MY"/>
              </w:rPr>
              <w:t>3</w:t>
            </w:r>
            <w:r w:rsidRPr="00005B88">
              <w:rPr>
                <w:rFonts w:eastAsia="Times New Roman" w:cs="Times New Roman"/>
                <w:b w:val="0"/>
                <w:color w:val="000000"/>
                <w:szCs w:val="24"/>
                <w:lang w:eastAsia="en-MY"/>
              </w:rPr>
              <w:t>A</w:t>
            </w:r>
            <w:r w:rsidRPr="00005B88">
              <w:rPr>
                <w:rFonts w:eastAsia="Times New Roman" w:cs="Times New Roman"/>
                <w:b w:val="0"/>
                <w:color w:val="000000"/>
                <w:szCs w:val="24"/>
                <w:vertAlign w:val="subscript"/>
                <w:lang w:eastAsia="en-MY"/>
              </w:rPr>
              <w:t>7.5</w:t>
            </w:r>
            <w:r w:rsidRPr="00005B88">
              <w:rPr>
                <w:rFonts w:eastAsia="Times New Roman" w:cs="Times New Roman"/>
                <w:b w:val="0"/>
                <w:color w:val="000000"/>
                <w:szCs w:val="24"/>
                <w:lang w:eastAsia="en-MY"/>
              </w:rPr>
              <w:t>B</w:t>
            </w:r>
            <w:r w:rsidRPr="00005B88">
              <w:rPr>
                <w:rFonts w:eastAsia="Times New Roman" w:cs="Times New Roman"/>
                <w:b w:val="0"/>
                <w:color w:val="000000"/>
                <w:szCs w:val="24"/>
                <w:vertAlign w:val="subscript"/>
                <w:lang w:eastAsia="en-MY"/>
              </w:rPr>
              <w:t>7.6</w:t>
            </w:r>
            <w:r w:rsidRPr="00005B88">
              <w:rPr>
                <w:rFonts w:eastAsia="Times New Roman" w:cs="Times New Roman"/>
                <w:b w:val="0"/>
                <w:color w:val="000000"/>
                <w:szCs w:val="24"/>
                <w:lang w:eastAsia="en-MY"/>
              </w:rPr>
              <w:t>S</w:t>
            </w:r>
            <w:r w:rsidRPr="00005B88">
              <w:rPr>
                <w:rFonts w:eastAsia="Times New Roman" w:cs="Times New Roman"/>
                <w:b w:val="0"/>
                <w:color w:val="000000"/>
                <w:szCs w:val="24"/>
                <w:vertAlign w:val="subscript"/>
                <w:lang w:eastAsia="en-MY"/>
              </w:rPr>
              <w:t>73.2</w:t>
            </w:r>
          </w:p>
        </w:tc>
        <w:tc>
          <w:tcPr>
            <w:tcW w:w="4508" w:type="dxa"/>
          </w:tcPr>
          <w:p w14:paraId="7530998F" w14:textId="77777777" w:rsidR="00CB5F95" w:rsidRDefault="00CB5F95" w:rsidP="00CB5F95">
            <w:pPr>
              <w:jc w:val="center"/>
              <w:rPr>
                <w:rFonts w:eastAsia="Calibri" w:cs="Times New Roman"/>
                <w:b w:val="0"/>
                <w:bCs/>
                <w:szCs w:val="24"/>
                <w:lang w:val="en-GB"/>
              </w:rPr>
            </w:pPr>
          </w:p>
        </w:tc>
      </w:tr>
    </w:tbl>
    <w:p w14:paraId="1D2881E1" w14:textId="77777777" w:rsidR="00CB5F95" w:rsidRDefault="00CB5F95" w:rsidP="00CB5F95">
      <w:pPr>
        <w:spacing w:line="240" w:lineRule="auto"/>
        <w:jc w:val="center"/>
        <w:rPr>
          <w:rFonts w:eastAsia="Calibri" w:cs="Times New Roman"/>
          <w:b w:val="0"/>
          <w:bCs/>
          <w:szCs w:val="24"/>
          <w:lang w:val="en-GB"/>
        </w:rPr>
      </w:pPr>
    </w:p>
    <w:p w14:paraId="360B5015" w14:textId="77777777" w:rsidR="00CB5F95" w:rsidRDefault="00CB5F95" w:rsidP="00CB5F95">
      <w:pPr>
        <w:spacing w:line="240" w:lineRule="auto"/>
        <w:jc w:val="center"/>
        <w:rPr>
          <w:rFonts w:eastAsia="Calibri" w:cs="Times New Roman"/>
          <w:b w:val="0"/>
          <w:bCs/>
          <w:szCs w:val="24"/>
          <w:lang w:val="en-GB"/>
        </w:rPr>
      </w:pPr>
    </w:p>
    <w:p w14:paraId="6B0C0A12" w14:textId="77777777" w:rsidR="00CB5F95" w:rsidRDefault="00CB5F95" w:rsidP="00CB5F95">
      <w:pPr>
        <w:spacing w:line="240" w:lineRule="auto"/>
        <w:jc w:val="center"/>
        <w:rPr>
          <w:rFonts w:eastAsia="Calibri" w:cs="Times New Roman"/>
          <w:b w:val="0"/>
          <w:bCs/>
          <w:szCs w:val="24"/>
          <w:lang w:val="en-GB"/>
        </w:rPr>
      </w:pPr>
    </w:p>
    <w:p w14:paraId="47EB4994" w14:textId="77777777" w:rsidR="00CB5F95" w:rsidRDefault="00CB5F95" w:rsidP="00CB5F95">
      <w:pPr>
        <w:spacing w:line="240" w:lineRule="auto"/>
        <w:jc w:val="center"/>
        <w:rPr>
          <w:rFonts w:eastAsia="Calibri" w:cs="Times New Roman"/>
          <w:b w:val="0"/>
          <w:bCs/>
          <w:szCs w:val="24"/>
          <w:lang w:val="en-GB"/>
        </w:rPr>
      </w:pPr>
    </w:p>
    <w:p w14:paraId="2872821E" w14:textId="77777777" w:rsidR="00CB5F95" w:rsidRDefault="00CB5F95" w:rsidP="00CB5F95">
      <w:pPr>
        <w:spacing w:line="240" w:lineRule="auto"/>
        <w:jc w:val="center"/>
        <w:rPr>
          <w:rFonts w:eastAsia="Times New Roman" w:cs="Times New Roman"/>
          <w:b w:val="0"/>
          <w:color w:val="000000"/>
          <w:sz w:val="20"/>
          <w:szCs w:val="20"/>
          <w:vertAlign w:val="subscript"/>
          <w:lang w:eastAsia="en-MY"/>
        </w:rPr>
      </w:pPr>
      <w:r>
        <w:rPr>
          <w:rFonts w:eastAsia="Calibri" w:cs="Times New Roman"/>
          <w:b w:val="0"/>
          <w:bCs/>
          <w:noProof/>
          <w:szCs w:val="24"/>
          <w:lang w:eastAsia="en-MY"/>
        </w:rPr>
        <w:lastRenderedPageBreak/>
        <mc:AlternateContent>
          <mc:Choice Requires="wps">
            <w:drawing>
              <wp:anchor distT="0" distB="0" distL="114300" distR="114300" simplePos="0" relativeHeight="252574720" behindDoc="0" locked="0" layoutInCell="1" allowOverlap="1" wp14:anchorId="7E575A6C" wp14:editId="7834E867">
                <wp:simplePos x="0" y="0"/>
                <wp:positionH relativeFrom="column">
                  <wp:posOffset>3437890</wp:posOffset>
                </wp:positionH>
                <wp:positionV relativeFrom="paragraph">
                  <wp:posOffset>-60960</wp:posOffset>
                </wp:positionV>
                <wp:extent cx="1755648" cy="276225"/>
                <wp:effectExtent l="0" t="0" r="0" b="9525"/>
                <wp:wrapNone/>
                <wp:docPr id="1812" name="Text Box 1812"/>
                <wp:cNvGraphicFramePr/>
                <a:graphic xmlns:a="http://schemas.openxmlformats.org/drawingml/2006/main">
                  <a:graphicData uri="http://schemas.microsoft.com/office/word/2010/wordprocessingShape">
                    <wps:wsp>
                      <wps:cNvSpPr txBox="1"/>
                      <wps:spPr>
                        <a:xfrm>
                          <a:off x="0" y="0"/>
                          <a:ext cx="1755648" cy="276225"/>
                        </a:xfrm>
                        <a:prstGeom prst="rect">
                          <a:avLst/>
                        </a:prstGeom>
                        <a:solidFill>
                          <a:schemeClr val="lt1"/>
                        </a:solidFill>
                        <a:ln w="6350">
                          <a:noFill/>
                        </a:ln>
                      </wps:spPr>
                      <wps:txbx>
                        <w:txbxContent>
                          <w:p w14:paraId="52E68C07" w14:textId="77777777" w:rsidR="00230AB9" w:rsidRPr="00005B88" w:rsidRDefault="00230AB9" w:rsidP="00CB5F95">
                            <w:pPr>
                              <w:spacing w:line="240" w:lineRule="auto"/>
                              <w:jc w:val="center"/>
                              <w:rPr>
                                <w:rFonts w:eastAsia="Times New Roman" w:cs="Times New Roman"/>
                                <w:color w:val="000000"/>
                                <w:szCs w:val="24"/>
                                <w:vertAlign w:val="subscript"/>
                                <w:lang w:eastAsia="en-MY"/>
                              </w:rPr>
                            </w:pPr>
                            <w:r w:rsidRPr="00005B88">
                              <w:rPr>
                                <w:rFonts w:eastAsia="Calibri" w:cs="Times New Roman"/>
                                <w:bCs/>
                                <w:szCs w:val="24"/>
                                <w:lang w:val="en-GB"/>
                              </w:rPr>
                              <w:t xml:space="preserve">Series </w:t>
                            </w:r>
                            <w:r w:rsidRPr="00005B88">
                              <w:rPr>
                                <w:rFonts w:eastAsia="Times New Roman" w:cs="Times New Roman"/>
                                <w:color w:val="000000"/>
                                <w:szCs w:val="24"/>
                                <w:lang w:eastAsia="en-MY"/>
                              </w:rPr>
                              <w:t>N</w:t>
                            </w:r>
                            <w:r w:rsidRPr="00005B88">
                              <w:rPr>
                                <w:rFonts w:eastAsia="Times New Roman" w:cs="Times New Roman"/>
                                <w:color w:val="000000"/>
                                <w:szCs w:val="24"/>
                                <w:vertAlign w:val="subscript"/>
                                <w:lang w:eastAsia="en-MY"/>
                              </w:rPr>
                              <w:t>15</w:t>
                            </w:r>
                            <w:r w:rsidRPr="00005B88">
                              <w:rPr>
                                <w:rFonts w:eastAsia="Times New Roman" w:cs="Times New Roman"/>
                                <w:color w:val="000000"/>
                                <w:szCs w:val="24"/>
                                <w:lang w:eastAsia="en-MY"/>
                              </w:rPr>
                              <w:t>C</w:t>
                            </w:r>
                            <w:r w:rsidRPr="00005B88">
                              <w:rPr>
                                <w:rFonts w:eastAsia="Times New Roman" w:cs="Times New Roman"/>
                                <w:color w:val="000000"/>
                                <w:szCs w:val="24"/>
                                <w:vertAlign w:val="subscript"/>
                                <w:lang w:eastAsia="en-MY"/>
                              </w:rPr>
                              <w:t>5</w:t>
                            </w:r>
                            <w:r w:rsidRPr="00005B88">
                              <w:rPr>
                                <w:rFonts w:eastAsia="Times New Roman" w:cs="Times New Roman"/>
                                <w:color w:val="000000"/>
                                <w:szCs w:val="24"/>
                                <w:lang w:eastAsia="en-MY"/>
                              </w:rPr>
                              <w:t>A</w:t>
                            </w:r>
                            <w:r w:rsidRPr="00005B88">
                              <w:rPr>
                                <w:rFonts w:eastAsia="Times New Roman" w:cs="Times New Roman"/>
                                <w:color w:val="000000"/>
                                <w:szCs w:val="24"/>
                                <w:vertAlign w:val="subscript"/>
                                <w:lang w:eastAsia="en-MY"/>
                              </w:rPr>
                              <w:t>x</w:t>
                            </w:r>
                            <w:r w:rsidRPr="00005B88">
                              <w:rPr>
                                <w:rFonts w:eastAsia="Times New Roman" w:cs="Times New Roman"/>
                                <w:color w:val="000000"/>
                                <w:szCs w:val="24"/>
                                <w:lang w:eastAsia="en-MY"/>
                              </w:rPr>
                              <w:t>B</w:t>
                            </w:r>
                            <w:r w:rsidRPr="00005B88">
                              <w:rPr>
                                <w:rFonts w:eastAsia="Times New Roman" w:cs="Times New Roman"/>
                                <w:color w:val="000000"/>
                                <w:szCs w:val="24"/>
                                <w:vertAlign w:val="subscript"/>
                                <w:lang w:eastAsia="en-MY"/>
                              </w:rPr>
                              <w:t>20-x</w:t>
                            </w:r>
                            <w:r w:rsidRPr="00005B88">
                              <w:rPr>
                                <w:rFonts w:eastAsia="Times New Roman" w:cs="Times New Roman"/>
                                <w:color w:val="000000"/>
                                <w:szCs w:val="24"/>
                                <w:lang w:eastAsia="en-MY"/>
                              </w:rPr>
                              <w:t>S</w:t>
                            </w:r>
                            <w:r w:rsidRPr="00005B88">
                              <w:rPr>
                                <w:rFonts w:eastAsia="Times New Roman" w:cs="Times New Roman"/>
                                <w:color w:val="000000"/>
                                <w:szCs w:val="24"/>
                                <w:vertAlign w:val="subscript"/>
                                <w:lang w:eastAsia="en-MY"/>
                              </w:rPr>
                              <w:t>60</w:t>
                            </w:r>
                          </w:p>
                          <w:p w14:paraId="7196C201" w14:textId="77777777" w:rsidR="00230AB9" w:rsidRDefault="00230AB9" w:rsidP="00CB5F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75A6C" id="Text Box 1812" o:spid="_x0000_s1434" type="#_x0000_t202" style="position:absolute;left:0;text-align:left;margin-left:270.7pt;margin-top:-4.8pt;width:138.25pt;height:21.75pt;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" fillcolor="white [3201]" stroked="f" strokeweight=".5pt">
                <v:textbox>
                  <w:txbxContent>
                    <w:p w14:paraId="52E68C07" w14:textId="77777777" w:rsidR="00230AB9" w:rsidRPr="00005B88" w:rsidRDefault="00230AB9" w:rsidP="00CB5F95">
                      <w:pPr>
                        <w:spacing w:line="240" w:lineRule="auto"/>
                        <w:jc w:val="center"/>
                        <w:rPr>
                          <w:rFonts w:eastAsia="Times New Roman" w:cs="Times New Roman"/>
                          <w:color w:val="000000"/>
                          <w:szCs w:val="24"/>
                          <w:vertAlign w:val="subscript"/>
                          <w:lang w:eastAsia="en-MY"/>
                        </w:rPr>
                      </w:pPr>
                      <w:r w:rsidRPr="00005B88">
                        <w:rPr>
                          <w:rFonts w:eastAsia="Calibri" w:cs="Times New Roman"/>
                          <w:bCs/>
                          <w:szCs w:val="24"/>
                          <w:lang w:val="en-GB"/>
                        </w:rPr>
                        <w:t xml:space="preserve">Series </w:t>
                      </w:r>
                      <w:r w:rsidRPr="00005B88">
                        <w:rPr>
                          <w:rFonts w:eastAsia="Times New Roman" w:cs="Times New Roman"/>
                          <w:color w:val="000000"/>
                          <w:szCs w:val="24"/>
                          <w:lang w:eastAsia="en-MY"/>
                        </w:rPr>
                        <w:t>N</w:t>
                      </w:r>
                      <w:r w:rsidRPr="00005B88">
                        <w:rPr>
                          <w:rFonts w:eastAsia="Times New Roman" w:cs="Times New Roman"/>
                          <w:color w:val="000000"/>
                          <w:szCs w:val="24"/>
                          <w:vertAlign w:val="subscript"/>
                          <w:lang w:eastAsia="en-MY"/>
                        </w:rPr>
                        <w:t>15</w:t>
                      </w:r>
                      <w:r w:rsidRPr="00005B88">
                        <w:rPr>
                          <w:rFonts w:eastAsia="Times New Roman" w:cs="Times New Roman"/>
                          <w:color w:val="000000"/>
                          <w:szCs w:val="24"/>
                          <w:lang w:eastAsia="en-MY"/>
                        </w:rPr>
                        <w:t>C</w:t>
                      </w:r>
                      <w:r w:rsidRPr="00005B88">
                        <w:rPr>
                          <w:rFonts w:eastAsia="Times New Roman" w:cs="Times New Roman"/>
                          <w:color w:val="000000"/>
                          <w:szCs w:val="24"/>
                          <w:vertAlign w:val="subscript"/>
                          <w:lang w:eastAsia="en-MY"/>
                        </w:rPr>
                        <w:t>5</w:t>
                      </w:r>
                      <w:r w:rsidRPr="00005B88">
                        <w:rPr>
                          <w:rFonts w:eastAsia="Times New Roman" w:cs="Times New Roman"/>
                          <w:color w:val="000000"/>
                          <w:szCs w:val="24"/>
                          <w:lang w:eastAsia="en-MY"/>
                        </w:rPr>
                        <w:t>A</w:t>
                      </w:r>
                      <w:r w:rsidRPr="00005B88">
                        <w:rPr>
                          <w:rFonts w:eastAsia="Times New Roman" w:cs="Times New Roman"/>
                          <w:color w:val="000000"/>
                          <w:szCs w:val="24"/>
                          <w:vertAlign w:val="subscript"/>
                          <w:lang w:eastAsia="en-MY"/>
                        </w:rPr>
                        <w:t>x</w:t>
                      </w:r>
                      <w:r w:rsidRPr="00005B88">
                        <w:rPr>
                          <w:rFonts w:eastAsia="Times New Roman" w:cs="Times New Roman"/>
                          <w:color w:val="000000"/>
                          <w:szCs w:val="24"/>
                          <w:lang w:eastAsia="en-MY"/>
                        </w:rPr>
                        <w:t>B</w:t>
                      </w:r>
                      <w:r w:rsidRPr="00005B88">
                        <w:rPr>
                          <w:rFonts w:eastAsia="Times New Roman" w:cs="Times New Roman"/>
                          <w:color w:val="000000"/>
                          <w:szCs w:val="24"/>
                          <w:vertAlign w:val="subscript"/>
                          <w:lang w:eastAsia="en-MY"/>
                        </w:rPr>
                        <w:t>20-x</w:t>
                      </w:r>
                      <w:r w:rsidRPr="00005B88">
                        <w:rPr>
                          <w:rFonts w:eastAsia="Times New Roman" w:cs="Times New Roman"/>
                          <w:color w:val="000000"/>
                          <w:szCs w:val="24"/>
                          <w:lang w:eastAsia="en-MY"/>
                        </w:rPr>
                        <w:t>S</w:t>
                      </w:r>
                      <w:r w:rsidRPr="00005B88">
                        <w:rPr>
                          <w:rFonts w:eastAsia="Times New Roman" w:cs="Times New Roman"/>
                          <w:color w:val="000000"/>
                          <w:szCs w:val="24"/>
                          <w:vertAlign w:val="subscript"/>
                          <w:lang w:eastAsia="en-MY"/>
                        </w:rPr>
                        <w:t>60</w:t>
                      </w:r>
                    </w:p>
                    <w:p w14:paraId="7196C201" w14:textId="77777777" w:rsidR="00230AB9" w:rsidRDefault="00230AB9" w:rsidP="00CB5F95"/>
                  </w:txbxContent>
                </v:textbox>
              </v:shape>
            </w:pict>
          </mc:Fallback>
        </mc:AlternateContent>
      </w:r>
      <w:r>
        <w:rPr>
          <w:rFonts w:eastAsia="Calibri" w:cs="Times New Roman"/>
          <w:b w:val="0"/>
          <w:bCs/>
          <w:noProof/>
          <w:szCs w:val="24"/>
          <w:lang w:eastAsia="en-MY"/>
        </w:rPr>
        <mc:AlternateContent>
          <mc:Choice Requires="wps">
            <w:drawing>
              <wp:anchor distT="0" distB="0" distL="114300" distR="114300" simplePos="0" relativeHeight="252573696" behindDoc="0" locked="0" layoutInCell="1" allowOverlap="1" wp14:anchorId="20C4AB56" wp14:editId="33EDB5B8">
                <wp:simplePos x="0" y="0"/>
                <wp:positionH relativeFrom="column">
                  <wp:posOffset>400051</wp:posOffset>
                </wp:positionH>
                <wp:positionV relativeFrom="paragraph">
                  <wp:posOffset>-57150</wp:posOffset>
                </wp:positionV>
                <wp:extent cx="1676400" cy="276225"/>
                <wp:effectExtent l="0" t="0" r="0" b="9525"/>
                <wp:wrapNone/>
                <wp:docPr id="332" name="Text Box 332"/>
                <wp:cNvGraphicFramePr/>
                <a:graphic xmlns:a="http://schemas.openxmlformats.org/drawingml/2006/main">
                  <a:graphicData uri="http://schemas.microsoft.com/office/word/2010/wordprocessingShape">
                    <wps:wsp>
                      <wps:cNvSpPr txBox="1"/>
                      <wps:spPr>
                        <a:xfrm>
                          <a:off x="0" y="0"/>
                          <a:ext cx="1676400" cy="276225"/>
                        </a:xfrm>
                        <a:prstGeom prst="rect">
                          <a:avLst/>
                        </a:prstGeom>
                        <a:solidFill>
                          <a:schemeClr val="lt1"/>
                        </a:solidFill>
                        <a:ln w="6350">
                          <a:noFill/>
                        </a:ln>
                      </wps:spPr>
                      <wps:txbx>
                        <w:txbxContent>
                          <w:p w14:paraId="1C737471" w14:textId="77777777" w:rsidR="00230AB9" w:rsidRPr="00005B88" w:rsidRDefault="00230AB9" w:rsidP="00CB5F95">
                            <w:pPr>
                              <w:spacing w:line="240" w:lineRule="auto"/>
                              <w:jc w:val="center"/>
                              <w:rPr>
                                <w:rFonts w:eastAsia="Calibri" w:cs="Times New Roman"/>
                                <w:bCs/>
                                <w:szCs w:val="24"/>
                                <w:lang w:val="en-GB"/>
                              </w:rPr>
                            </w:pPr>
                            <w:r w:rsidRPr="00005B88">
                              <w:rPr>
                                <w:rFonts w:eastAsia="Calibri" w:cs="Times New Roman"/>
                                <w:bCs/>
                                <w:szCs w:val="24"/>
                                <w:lang w:val="en-GB"/>
                              </w:rPr>
                              <w:t xml:space="preserve">Series </w:t>
                            </w:r>
                            <w:r w:rsidRPr="00005B88">
                              <w:rPr>
                                <w:rFonts w:eastAsia="Times New Roman" w:cs="Times New Roman"/>
                                <w:color w:val="000000"/>
                                <w:szCs w:val="24"/>
                                <w:lang w:eastAsia="en-MY"/>
                              </w:rPr>
                              <w:t>N</w:t>
                            </w:r>
                            <w:r w:rsidRPr="00005B88">
                              <w:rPr>
                                <w:rFonts w:eastAsia="Times New Roman" w:cs="Times New Roman"/>
                                <w:color w:val="000000"/>
                                <w:szCs w:val="24"/>
                                <w:vertAlign w:val="subscript"/>
                                <w:lang w:eastAsia="en-MY"/>
                              </w:rPr>
                              <w:t>15</w:t>
                            </w:r>
                            <w:r w:rsidRPr="00005B88">
                              <w:rPr>
                                <w:rFonts w:eastAsia="Times New Roman" w:cs="Times New Roman"/>
                                <w:color w:val="000000"/>
                                <w:szCs w:val="24"/>
                                <w:lang w:eastAsia="en-MY"/>
                              </w:rPr>
                              <w:t>C</w:t>
                            </w:r>
                            <w:r w:rsidRPr="00005B88">
                              <w:rPr>
                                <w:rFonts w:eastAsia="Times New Roman" w:cs="Times New Roman"/>
                                <w:color w:val="000000"/>
                                <w:szCs w:val="24"/>
                                <w:vertAlign w:val="subscript"/>
                                <w:lang w:eastAsia="en-MY"/>
                              </w:rPr>
                              <w:t>5</w:t>
                            </w:r>
                            <w:r w:rsidRPr="00005B88">
                              <w:rPr>
                                <w:rFonts w:eastAsia="Times New Roman" w:cs="Times New Roman"/>
                                <w:color w:val="000000"/>
                                <w:szCs w:val="24"/>
                                <w:lang w:eastAsia="en-MY"/>
                              </w:rPr>
                              <w:t>A</w:t>
                            </w:r>
                            <w:r w:rsidRPr="00005B88">
                              <w:rPr>
                                <w:rFonts w:eastAsia="Times New Roman" w:cs="Times New Roman"/>
                                <w:color w:val="000000"/>
                                <w:szCs w:val="24"/>
                                <w:vertAlign w:val="subscript"/>
                                <w:lang w:eastAsia="en-MY"/>
                              </w:rPr>
                              <w:t>x</w:t>
                            </w:r>
                            <w:r w:rsidRPr="00005B88">
                              <w:rPr>
                                <w:rFonts w:eastAsia="Times New Roman" w:cs="Times New Roman"/>
                                <w:color w:val="000000"/>
                                <w:szCs w:val="24"/>
                                <w:lang w:eastAsia="en-MY"/>
                              </w:rPr>
                              <w:t>B</w:t>
                            </w:r>
                            <w:r w:rsidRPr="00005B88">
                              <w:rPr>
                                <w:rFonts w:eastAsia="Times New Roman" w:cs="Times New Roman"/>
                                <w:color w:val="000000"/>
                                <w:szCs w:val="24"/>
                                <w:vertAlign w:val="subscript"/>
                                <w:lang w:eastAsia="en-MY"/>
                              </w:rPr>
                              <w:t>10-x</w:t>
                            </w:r>
                            <w:r w:rsidRPr="00005B88">
                              <w:rPr>
                                <w:rFonts w:eastAsia="Times New Roman" w:cs="Times New Roman"/>
                                <w:color w:val="000000"/>
                                <w:szCs w:val="24"/>
                                <w:lang w:eastAsia="en-MY"/>
                              </w:rPr>
                              <w:t>S</w:t>
                            </w:r>
                            <w:r w:rsidRPr="00005B88">
                              <w:rPr>
                                <w:rFonts w:eastAsia="Times New Roman" w:cs="Times New Roman"/>
                                <w:color w:val="000000"/>
                                <w:szCs w:val="24"/>
                                <w:vertAlign w:val="subscript"/>
                                <w:lang w:eastAsia="en-MY"/>
                              </w:rPr>
                              <w:t>70</w:t>
                            </w:r>
                          </w:p>
                          <w:p w14:paraId="1446E660" w14:textId="77777777" w:rsidR="00230AB9" w:rsidRDefault="00230AB9" w:rsidP="00CB5F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4AB56" id="Text Box 332" o:spid="_x0000_s1435" type="#_x0000_t202" style="position:absolute;left:0;text-align:left;margin-left:31.5pt;margin-top:-4.5pt;width:132pt;height:21.75pt;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" fillcolor="white [3201]" stroked="f" strokeweight=".5pt">
                <v:textbox>
                  <w:txbxContent>
                    <w:p w14:paraId="1C737471" w14:textId="77777777" w:rsidR="00230AB9" w:rsidRPr="00005B88" w:rsidRDefault="00230AB9" w:rsidP="00CB5F95">
                      <w:pPr>
                        <w:spacing w:line="240" w:lineRule="auto"/>
                        <w:jc w:val="center"/>
                        <w:rPr>
                          <w:rFonts w:eastAsia="Calibri" w:cs="Times New Roman"/>
                          <w:bCs/>
                          <w:szCs w:val="24"/>
                          <w:lang w:val="en-GB"/>
                        </w:rPr>
                      </w:pPr>
                      <w:r w:rsidRPr="00005B88">
                        <w:rPr>
                          <w:rFonts w:eastAsia="Calibri" w:cs="Times New Roman"/>
                          <w:bCs/>
                          <w:szCs w:val="24"/>
                          <w:lang w:val="en-GB"/>
                        </w:rPr>
                        <w:t xml:space="preserve">Series </w:t>
                      </w:r>
                      <w:r w:rsidRPr="00005B88">
                        <w:rPr>
                          <w:rFonts w:eastAsia="Times New Roman" w:cs="Times New Roman"/>
                          <w:color w:val="000000"/>
                          <w:szCs w:val="24"/>
                          <w:lang w:eastAsia="en-MY"/>
                        </w:rPr>
                        <w:t>N</w:t>
                      </w:r>
                      <w:r w:rsidRPr="00005B88">
                        <w:rPr>
                          <w:rFonts w:eastAsia="Times New Roman" w:cs="Times New Roman"/>
                          <w:color w:val="000000"/>
                          <w:szCs w:val="24"/>
                          <w:vertAlign w:val="subscript"/>
                          <w:lang w:eastAsia="en-MY"/>
                        </w:rPr>
                        <w:t>15</w:t>
                      </w:r>
                      <w:r w:rsidRPr="00005B88">
                        <w:rPr>
                          <w:rFonts w:eastAsia="Times New Roman" w:cs="Times New Roman"/>
                          <w:color w:val="000000"/>
                          <w:szCs w:val="24"/>
                          <w:lang w:eastAsia="en-MY"/>
                        </w:rPr>
                        <w:t>C</w:t>
                      </w:r>
                      <w:r w:rsidRPr="00005B88">
                        <w:rPr>
                          <w:rFonts w:eastAsia="Times New Roman" w:cs="Times New Roman"/>
                          <w:color w:val="000000"/>
                          <w:szCs w:val="24"/>
                          <w:vertAlign w:val="subscript"/>
                          <w:lang w:eastAsia="en-MY"/>
                        </w:rPr>
                        <w:t>5</w:t>
                      </w:r>
                      <w:r w:rsidRPr="00005B88">
                        <w:rPr>
                          <w:rFonts w:eastAsia="Times New Roman" w:cs="Times New Roman"/>
                          <w:color w:val="000000"/>
                          <w:szCs w:val="24"/>
                          <w:lang w:eastAsia="en-MY"/>
                        </w:rPr>
                        <w:t>A</w:t>
                      </w:r>
                      <w:r w:rsidRPr="00005B88">
                        <w:rPr>
                          <w:rFonts w:eastAsia="Times New Roman" w:cs="Times New Roman"/>
                          <w:color w:val="000000"/>
                          <w:szCs w:val="24"/>
                          <w:vertAlign w:val="subscript"/>
                          <w:lang w:eastAsia="en-MY"/>
                        </w:rPr>
                        <w:t>x</w:t>
                      </w:r>
                      <w:r w:rsidRPr="00005B88">
                        <w:rPr>
                          <w:rFonts w:eastAsia="Times New Roman" w:cs="Times New Roman"/>
                          <w:color w:val="000000"/>
                          <w:szCs w:val="24"/>
                          <w:lang w:eastAsia="en-MY"/>
                        </w:rPr>
                        <w:t>B</w:t>
                      </w:r>
                      <w:r w:rsidRPr="00005B88">
                        <w:rPr>
                          <w:rFonts w:eastAsia="Times New Roman" w:cs="Times New Roman"/>
                          <w:color w:val="000000"/>
                          <w:szCs w:val="24"/>
                          <w:vertAlign w:val="subscript"/>
                          <w:lang w:eastAsia="en-MY"/>
                        </w:rPr>
                        <w:t>10-x</w:t>
                      </w:r>
                      <w:r w:rsidRPr="00005B88">
                        <w:rPr>
                          <w:rFonts w:eastAsia="Times New Roman" w:cs="Times New Roman"/>
                          <w:color w:val="000000"/>
                          <w:szCs w:val="24"/>
                          <w:lang w:eastAsia="en-MY"/>
                        </w:rPr>
                        <w:t>S</w:t>
                      </w:r>
                      <w:r w:rsidRPr="00005B88">
                        <w:rPr>
                          <w:rFonts w:eastAsia="Times New Roman" w:cs="Times New Roman"/>
                          <w:color w:val="000000"/>
                          <w:szCs w:val="24"/>
                          <w:vertAlign w:val="subscript"/>
                          <w:lang w:eastAsia="en-MY"/>
                        </w:rPr>
                        <w:t>70</w:t>
                      </w:r>
                    </w:p>
                    <w:p w14:paraId="1446E660" w14:textId="77777777" w:rsidR="00230AB9" w:rsidRDefault="00230AB9" w:rsidP="00CB5F95"/>
                  </w:txbxContent>
                </v:textbox>
              </v:shape>
            </w:pict>
          </mc:Fallback>
        </mc:AlternateContent>
      </w:r>
    </w:p>
    <w:tbl>
      <w:tblPr>
        <w:tblStyle w:val="TableGrid"/>
        <w:tblW w:w="0" w:type="auto"/>
        <w:tblLook w:val="04A0" w:firstRow="1" w:lastRow="0" w:firstColumn="1" w:lastColumn="0" w:noHBand="0" w:noVBand="1"/>
      </w:tblPr>
      <w:tblGrid>
        <w:gridCol w:w="4508"/>
        <w:gridCol w:w="4508"/>
      </w:tblGrid>
      <w:tr w:rsidR="00CB5F95" w14:paraId="0555AE96" w14:textId="77777777" w:rsidTr="00CB5F95">
        <w:tc>
          <w:tcPr>
            <w:tcW w:w="4508" w:type="dxa"/>
          </w:tcPr>
          <w:p w14:paraId="4BF67A16" w14:textId="77777777" w:rsidR="00CB5F95" w:rsidRDefault="00CB5F95" w:rsidP="00CB5F95">
            <w:pPr>
              <w:jc w:val="center"/>
              <w:rPr>
                <w:rFonts w:eastAsia="Calibri" w:cs="Times New Roman"/>
                <w:b w:val="0"/>
                <w:bCs/>
                <w:szCs w:val="24"/>
                <w:lang w:val="en-GB"/>
              </w:rPr>
            </w:pPr>
            <w:r w:rsidRPr="00F63475">
              <w:rPr>
                <w:rFonts w:eastAsia="Calibri" w:cs="Times New Roman"/>
                <w:b w:val="0"/>
                <w:bCs/>
                <w:noProof/>
                <w:szCs w:val="24"/>
                <w:lang w:eastAsia="en-MY"/>
              </w:rPr>
              <w:drawing>
                <wp:inline distT="0" distB="0" distL="0" distR="0" wp14:anchorId="41612584" wp14:editId="46E91258">
                  <wp:extent cx="2663677" cy="1980000"/>
                  <wp:effectExtent l="0" t="0" r="3810" b="1270"/>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663677" cy="1980000"/>
                          </a:xfrm>
                          <a:prstGeom prst="rect">
                            <a:avLst/>
                          </a:prstGeom>
                          <a:noFill/>
                          <a:ln>
                            <a:noFill/>
                          </a:ln>
                        </pic:spPr>
                      </pic:pic>
                    </a:graphicData>
                  </a:graphic>
                </wp:inline>
              </w:drawing>
            </w:r>
          </w:p>
          <w:p w14:paraId="49B678E1" w14:textId="77777777" w:rsidR="00CB5F95" w:rsidRDefault="00CB5F95" w:rsidP="00CB5F95">
            <w:pPr>
              <w:jc w:val="center"/>
              <w:rPr>
                <w:rFonts w:eastAsia="Calibri" w:cs="Times New Roman"/>
                <w:b w:val="0"/>
                <w:bCs/>
                <w:szCs w:val="24"/>
                <w:lang w:val="en-GB"/>
              </w:rPr>
            </w:pPr>
          </w:p>
        </w:tc>
        <w:tc>
          <w:tcPr>
            <w:tcW w:w="4508" w:type="dxa"/>
          </w:tcPr>
          <w:p w14:paraId="7848363D" w14:textId="77777777" w:rsidR="00CB5F95" w:rsidRDefault="00CB5F95" w:rsidP="00CB5F95">
            <w:pPr>
              <w:jc w:val="center"/>
              <w:rPr>
                <w:rFonts w:eastAsia="Calibri" w:cs="Times New Roman"/>
                <w:b w:val="0"/>
                <w:bCs/>
                <w:szCs w:val="24"/>
                <w:lang w:val="en-GB"/>
              </w:rPr>
            </w:pPr>
            <w:r w:rsidRPr="000F4A76">
              <w:rPr>
                <w:rFonts w:eastAsia="Calibri" w:cs="Times New Roman"/>
                <w:b w:val="0"/>
                <w:bCs/>
                <w:noProof/>
                <w:szCs w:val="24"/>
                <w:lang w:eastAsia="en-MY"/>
              </w:rPr>
              <w:drawing>
                <wp:inline distT="0" distB="0" distL="0" distR="0" wp14:anchorId="76718831" wp14:editId="7C82B1EA">
                  <wp:extent cx="2616429" cy="1980000"/>
                  <wp:effectExtent l="0" t="0" r="0" b="1270"/>
                  <wp:docPr id="1974" name="Picture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616429" cy="1980000"/>
                          </a:xfrm>
                          <a:prstGeom prst="rect">
                            <a:avLst/>
                          </a:prstGeom>
                          <a:noFill/>
                          <a:ln>
                            <a:noFill/>
                          </a:ln>
                        </pic:spPr>
                      </pic:pic>
                    </a:graphicData>
                  </a:graphic>
                </wp:inline>
              </w:drawing>
            </w:r>
          </w:p>
        </w:tc>
      </w:tr>
      <w:tr w:rsidR="00CB5F95" w14:paraId="06ED63C8" w14:textId="77777777" w:rsidTr="00CB5F95">
        <w:tc>
          <w:tcPr>
            <w:tcW w:w="4508" w:type="dxa"/>
          </w:tcPr>
          <w:p w14:paraId="22ABB71B" w14:textId="77777777" w:rsidR="00CB5F95" w:rsidRDefault="00CB5F95" w:rsidP="00CB5F95">
            <w:pPr>
              <w:jc w:val="center"/>
              <w:rPr>
                <w:rFonts w:eastAsia="Times New Roman" w:cs="Times New Roman"/>
                <w:b w:val="0"/>
                <w:color w:val="000000"/>
                <w:szCs w:val="24"/>
                <w:vertAlign w:val="subscript"/>
                <w:lang w:eastAsia="en-MY"/>
              </w:rPr>
            </w:pPr>
            <w:r w:rsidRPr="00005B88">
              <w:rPr>
                <w:rFonts w:eastAsia="Times New Roman" w:cs="Times New Roman"/>
                <w:b w:val="0"/>
                <w:color w:val="000000"/>
                <w:szCs w:val="24"/>
                <w:lang w:eastAsia="en-MY"/>
              </w:rPr>
              <w:t>N</w:t>
            </w:r>
            <w:r w:rsidRPr="00005B88">
              <w:rPr>
                <w:rFonts w:eastAsia="Times New Roman" w:cs="Times New Roman"/>
                <w:b w:val="0"/>
                <w:color w:val="000000"/>
                <w:szCs w:val="24"/>
                <w:vertAlign w:val="subscript"/>
                <w:lang w:eastAsia="en-MY"/>
              </w:rPr>
              <w:t>15</w:t>
            </w:r>
            <w:r w:rsidRPr="00005B88">
              <w:rPr>
                <w:rFonts w:eastAsia="Times New Roman" w:cs="Times New Roman"/>
                <w:b w:val="0"/>
                <w:color w:val="000000"/>
                <w:szCs w:val="24"/>
                <w:lang w:eastAsia="en-MY"/>
              </w:rPr>
              <w:t>C</w:t>
            </w:r>
            <w:r w:rsidRPr="00005B88">
              <w:rPr>
                <w:rFonts w:eastAsia="Times New Roman" w:cs="Times New Roman"/>
                <w:b w:val="0"/>
                <w:color w:val="000000"/>
                <w:szCs w:val="24"/>
                <w:vertAlign w:val="subscript"/>
                <w:lang w:eastAsia="en-MY"/>
              </w:rPr>
              <w:t>5</w:t>
            </w:r>
            <w:r w:rsidRPr="00005B88">
              <w:rPr>
                <w:rFonts w:eastAsia="Times New Roman" w:cs="Times New Roman"/>
                <w:b w:val="0"/>
                <w:color w:val="000000"/>
                <w:szCs w:val="24"/>
                <w:lang w:eastAsia="en-MY"/>
              </w:rPr>
              <w:t>A</w:t>
            </w:r>
            <w:r w:rsidRPr="00005B88">
              <w:rPr>
                <w:rFonts w:eastAsia="Times New Roman" w:cs="Times New Roman"/>
                <w:b w:val="0"/>
                <w:color w:val="000000"/>
                <w:szCs w:val="24"/>
                <w:vertAlign w:val="subscript"/>
                <w:lang w:eastAsia="en-MY"/>
              </w:rPr>
              <w:t>0</w:t>
            </w:r>
            <w:r w:rsidRPr="00005B88">
              <w:rPr>
                <w:rFonts w:eastAsia="Times New Roman" w:cs="Times New Roman"/>
                <w:b w:val="0"/>
                <w:color w:val="000000"/>
                <w:szCs w:val="24"/>
                <w:lang w:eastAsia="en-MY"/>
              </w:rPr>
              <w:t>B</w:t>
            </w:r>
            <w:r w:rsidRPr="00005B88">
              <w:rPr>
                <w:rFonts w:eastAsia="Times New Roman" w:cs="Times New Roman"/>
                <w:b w:val="0"/>
                <w:color w:val="000000"/>
                <w:szCs w:val="24"/>
                <w:vertAlign w:val="subscript"/>
                <w:lang w:eastAsia="en-MY"/>
              </w:rPr>
              <w:t>10</w:t>
            </w:r>
            <w:r w:rsidRPr="00005B88">
              <w:rPr>
                <w:rFonts w:eastAsia="Times New Roman" w:cs="Times New Roman"/>
                <w:b w:val="0"/>
                <w:color w:val="000000"/>
                <w:szCs w:val="24"/>
                <w:lang w:eastAsia="en-MY"/>
              </w:rPr>
              <w:t>S</w:t>
            </w:r>
            <w:r w:rsidRPr="00005B88">
              <w:rPr>
                <w:rFonts w:eastAsia="Times New Roman" w:cs="Times New Roman"/>
                <w:b w:val="0"/>
                <w:color w:val="000000"/>
                <w:szCs w:val="24"/>
                <w:vertAlign w:val="subscript"/>
                <w:lang w:eastAsia="en-MY"/>
              </w:rPr>
              <w:t>70</w:t>
            </w:r>
          </w:p>
          <w:p w14:paraId="43175DAD" w14:textId="1B262D7C" w:rsidR="00A850BE" w:rsidRPr="00005B88" w:rsidRDefault="00A850BE" w:rsidP="00CB5F95">
            <w:pPr>
              <w:jc w:val="center"/>
              <w:rPr>
                <w:rFonts w:eastAsia="Calibri" w:cs="Times New Roman"/>
                <w:b w:val="0"/>
                <w:bCs/>
                <w:szCs w:val="24"/>
                <w:lang w:val="en-GB"/>
              </w:rPr>
            </w:pPr>
          </w:p>
        </w:tc>
        <w:tc>
          <w:tcPr>
            <w:tcW w:w="4508" w:type="dxa"/>
          </w:tcPr>
          <w:p w14:paraId="72717DA0" w14:textId="77777777" w:rsidR="00CB5F95" w:rsidRPr="00005B88" w:rsidRDefault="00CB5F95" w:rsidP="00CB5F95">
            <w:pPr>
              <w:jc w:val="center"/>
              <w:rPr>
                <w:rFonts w:eastAsia="Calibri" w:cs="Times New Roman"/>
                <w:b w:val="0"/>
                <w:bCs/>
                <w:szCs w:val="24"/>
                <w:lang w:val="en-GB"/>
              </w:rPr>
            </w:pPr>
            <w:r w:rsidRPr="00005B88">
              <w:rPr>
                <w:rFonts w:eastAsia="Times New Roman" w:cs="Times New Roman"/>
                <w:b w:val="0"/>
                <w:color w:val="000000"/>
                <w:szCs w:val="24"/>
                <w:lang w:eastAsia="en-MY"/>
              </w:rPr>
              <w:t>N</w:t>
            </w:r>
            <w:r w:rsidRPr="00005B88">
              <w:rPr>
                <w:rFonts w:eastAsia="Times New Roman" w:cs="Times New Roman"/>
                <w:b w:val="0"/>
                <w:color w:val="000000"/>
                <w:szCs w:val="24"/>
                <w:vertAlign w:val="subscript"/>
                <w:lang w:eastAsia="en-MY"/>
              </w:rPr>
              <w:t>15</w:t>
            </w:r>
            <w:r w:rsidRPr="00005B88">
              <w:rPr>
                <w:rFonts w:eastAsia="Times New Roman" w:cs="Times New Roman"/>
                <w:b w:val="0"/>
                <w:color w:val="000000"/>
                <w:szCs w:val="24"/>
                <w:lang w:eastAsia="en-MY"/>
              </w:rPr>
              <w:t>C</w:t>
            </w:r>
            <w:r w:rsidRPr="00005B88">
              <w:rPr>
                <w:rFonts w:eastAsia="Times New Roman" w:cs="Times New Roman"/>
                <w:b w:val="0"/>
                <w:color w:val="000000"/>
                <w:szCs w:val="24"/>
                <w:vertAlign w:val="subscript"/>
                <w:lang w:eastAsia="en-MY"/>
              </w:rPr>
              <w:t>5</w:t>
            </w:r>
            <w:r w:rsidRPr="00005B88">
              <w:rPr>
                <w:rFonts w:eastAsia="Times New Roman" w:cs="Times New Roman"/>
                <w:b w:val="0"/>
                <w:color w:val="000000"/>
                <w:szCs w:val="24"/>
                <w:lang w:eastAsia="en-MY"/>
              </w:rPr>
              <w:t>A</w:t>
            </w:r>
            <w:r w:rsidRPr="00005B88">
              <w:rPr>
                <w:rFonts w:eastAsia="Times New Roman" w:cs="Times New Roman"/>
                <w:b w:val="0"/>
                <w:color w:val="000000"/>
                <w:szCs w:val="24"/>
                <w:vertAlign w:val="subscript"/>
                <w:lang w:eastAsia="en-MY"/>
              </w:rPr>
              <w:t>15</w:t>
            </w:r>
            <w:r w:rsidRPr="00005B88">
              <w:rPr>
                <w:rFonts w:eastAsia="Times New Roman" w:cs="Times New Roman"/>
                <w:b w:val="0"/>
                <w:color w:val="000000"/>
                <w:szCs w:val="24"/>
                <w:lang w:eastAsia="en-MY"/>
              </w:rPr>
              <w:t>B</w:t>
            </w:r>
            <w:r w:rsidRPr="00005B88">
              <w:rPr>
                <w:rFonts w:eastAsia="Times New Roman" w:cs="Times New Roman"/>
                <w:b w:val="0"/>
                <w:color w:val="000000"/>
                <w:szCs w:val="24"/>
                <w:vertAlign w:val="subscript"/>
                <w:lang w:eastAsia="en-MY"/>
              </w:rPr>
              <w:t>5</w:t>
            </w:r>
            <w:r w:rsidRPr="00005B88">
              <w:rPr>
                <w:rFonts w:eastAsia="Times New Roman" w:cs="Times New Roman"/>
                <w:b w:val="0"/>
                <w:color w:val="000000"/>
                <w:szCs w:val="24"/>
                <w:lang w:eastAsia="en-MY"/>
              </w:rPr>
              <w:t>S</w:t>
            </w:r>
            <w:r w:rsidRPr="00005B88">
              <w:rPr>
                <w:rFonts w:eastAsia="Times New Roman" w:cs="Times New Roman"/>
                <w:b w:val="0"/>
                <w:color w:val="000000"/>
                <w:szCs w:val="24"/>
                <w:vertAlign w:val="subscript"/>
                <w:lang w:eastAsia="en-MY"/>
              </w:rPr>
              <w:t>60</w:t>
            </w:r>
          </w:p>
        </w:tc>
      </w:tr>
      <w:tr w:rsidR="00CB5F95" w14:paraId="6AAA8EB1" w14:textId="77777777" w:rsidTr="00CB5F95">
        <w:tc>
          <w:tcPr>
            <w:tcW w:w="4508" w:type="dxa"/>
          </w:tcPr>
          <w:p w14:paraId="5C199E7C" w14:textId="77777777" w:rsidR="00CB5F95" w:rsidRDefault="00CB5F95" w:rsidP="00CB5F95">
            <w:pPr>
              <w:jc w:val="center"/>
              <w:rPr>
                <w:rFonts w:eastAsia="Calibri" w:cs="Times New Roman"/>
                <w:b w:val="0"/>
                <w:bCs/>
                <w:szCs w:val="24"/>
                <w:lang w:val="en-GB"/>
              </w:rPr>
            </w:pPr>
            <w:r w:rsidRPr="00F63475">
              <w:rPr>
                <w:rFonts w:eastAsia="Calibri" w:cs="Times New Roman"/>
                <w:b w:val="0"/>
                <w:bCs/>
                <w:noProof/>
                <w:szCs w:val="24"/>
                <w:lang w:eastAsia="en-MY"/>
              </w:rPr>
              <w:drawing>
                <wp:inline distT="0" distB="0" distL="0" distR="0" wp14:anchorId="3CF0506D" wp14:editId="6A4A2728">
                  <wp:extent cx="2663677" cy="1980000"/>
                  <wp:effectExtent l="0" t="0" r="3810" b="1270"/>
                  <wp:docPr id="1971" name="Pictur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663677" cy="1980000"/>
                          </a:xfrm>
                          <a:prstGeom prst="rect">
                            <a:avLst/>
                          </a:prstGeom>
                          <a:noFill/>
                          <a:ln>
                            <a:noFill/>
                          </a:ln>
                        </pic:spPr>
                      </pic:pic>
                    </a:graphicData>
                  </a:graphic>
                </wp:inline>
              </w:drawing>
            </w:r>
          </w:p>
          <w:p w14:paraId="5DE1E90A" w14:textId="77777777" w:rsidR="00CB5F95" w:rsidRDefault="00CB5F95" w:rsidP="00CB5F95">
            <w:pPr>
              <w:jc w:val="center"/>
              <w:rPr>
                <w:rFonts w:eastAsia="Calibri" w:cs="Times New Roman"/>
                <w:b w:val="0"/>
                <w:bCs/>
                <w:szCs w:val="24"/>
                <w:lang w:val="en-GB"/>
              </w:rPr>
            </w:pPr>
          </w:p>
        </w:tc>
        <w:tc>
          <w:tcPr>
            <w:tcW w:w="4508" w:type="dxa"/>
          </w:tcPr>
          <w:p w14:paraId="3EB61759" w14:textId="77777777" w:rsidR="00CB5F95" w:rsidRDefault="00CB5F95" w:rsidP="00CB5F95">
            <w:pPr>
              <w:jc w:val="center"/>
              <w:rPr>
                <w:rFonts w:eastAsia="Calibri" w:cs="Times New Roman"/>
                <w:b w:val="0"/>
                <w:bCs/>
                <w:szCs w:val="24"/>
                <w:lang w:val="en-GB"/>
              </w:rPr>
            </w:pPr>
            <w:r w:rsidRPr="000F4A76">
              <w:rPr>
                <w:rFonts w:eastAsia="Calibri" w:cs="Times New Roman"/>
                <w:b w:val="0"/>
                <w:bCs/>
                <w:noProof/>
                <w:szCs w:val="24"/>
                <w:lang w:eastAsia="en-MY"/>
              </w:rPr>
              <w:drawing>
                <wp:inline distT="0" distB="0" distL="0" distR="0" wp14:anchorId="39CD2743" wp14:editId="0E68073D">
                  <wp:extent cx="2588348" cy="1980000"/>
                  <wp:effectExtent l="0" t="0" r="2540" b="1270"/>
                  <wp:docPr id="1973" name="Picture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588348" cy="1980000"/>
                          </a:xfrm>
                          <a:prstGeom prst="rect">
                            <a:avLst/>
                          </a:prstGeom>
                          <a:noFill/>
                          <a:ln>
                            <a:noFill/>
                          </a:ln>
                        </pic:spPr>
                      </pic:pic>
                    </a:graphicData>
                  </a:graphic>
                </wp:inline>
              </w:drawing>
            </w:r>
          </w:p>
        </w:tc>
      </w:tr>
      <w:tr w:rsidR="00CB5F95" w14:paraId="08830CFE" w14:textId="77777777" w:rsidTr="00CB5F95">
        <w:tc>
          <w:tcPr>
            <w:tcW w:w="4508" w:type="dxa"/>
          </w:tcPr>
          <w:p w14:paraId="75076D98" w14:textId="77777777" w:rsidR="00CB5F95" w:rsidRDefault="00CB5F95" w:rsidP="00CB5F95">
            <w:pPr>
              <w:jc w:val="center"/>
              <w:rPr>
                <w:rFonts w:eastAsia="Times New Roman" w:cs="Times New Roman"/>
                <w:b w:val="0"/>
                <w:color w:val="000000"/>
                <w:szCs w:val="24"/>
                <w:vertAlign w:val="subscript"/>
                <w:lang w:eastAsia="en-MY"/>
              </w:rPr>
            </w:pPr>
            <w:r w:rsidRPr="00005B88">
              <w:rPr>
                <w:rFonts w:eastAsia="Times New Roman" w:cs="Times New Roman"/>
                <w:b w:val="0"/>
                <w:color w:val="000000"/>
                <w:szCs w:val="24"/>
                <w:lang w:eastAsia="en-MY"/>
              </w:rPr>
              <w:t>N</w:t>
            </w:r>
            <w:r w:rsidRPr="00005B88">
              <w:rPr>
                <w:rFonts w:eastAsia="Times New Roman" w:cs="Times New Roman"/>
                <w:b w:val="0"/>
                <w:color w:val="000000"/>
                <w:szCs w:val="24"/>
                <w:vertAlign w:val="subscript"/>
                <w:lang w:eastAsia="en-MY"/>
              </w:rPr>
              <w:t>15</w:t>
            </w:r>
            <w:r w:rsidRPr="00005B88">
              <w:rPr>
                <w:rFonts w:eastAsia="Times New Roman" w:cs="Times New Roman"/>
                <w:b w:val="0"/>
                <w:color w:val="000000"/>
                <w:szCs w:val="24"/>
                <w:lang w:eastAsia="en-MY"/>
              </w:rPr>
              <w:t>C</w:t>
            </w:r>
            <w:r w:rsidRPr="00005B88">
              <w:rPr>
                <w:rFonts w:eastAsia="Times New Roman" w:cs="Times New Roman"/>
                <w:b w:val="0"/>
                <w:color w:val="000000"/>
                <w:szCs w:val="24"/>
                <w:vertAlign w:val="subscript"/>
                <w:lang w:eastAsia="en-MY"/>
              </w:rPr>
              <w:t>5</w:t>
            </w:r>
            <w:r w:rsidRPr="00005B88">
              <w:rPr>
                <w:rFonts w:eastAsia="Times New Roman" w:cs="Times New Roman"/>
                <w:b w:val="0"/>
                <w:color w:val="000000"/>
                <w:szCs w:val="24"/>
                <w:lang w:eastAsia="en-MY"/>
              </w:rPr>
              <w:t>A</w:t>
            </w:r>
            <w:r w:rsidRPr="00005B88">
              <w:rPr>
                <w:rFonts w:eastAsia="Times New Roman" w:cs="Times New Roman"/>
                <w:b w:val="0"/>
                <w:color w:val="000000"/>
                <w:szCs w:val="24"/>
                <w:vertAlign w:val="subscript"/>
                <w:lang w:eastAsia="en-MY"/>
              </w:rPr>
              <w:t>5</w:t>
            </w:r>
            <w:r w:rsidRPr="00005B88">
              <w:rPr>
                <w:rFonts w:eastAsia="Times New Roman" w:cs="Times New Roman"/>
                <w:b w:val="0"/>
                <w:color w:val="000000"/>
                <w:szCs w:val="24"/>
                <w:lang w:eastAsia="en-MY"/>
              </w:rPr>
              <w:t>B</w:t>
            </w:r>
            <w:r w:rsidRPr="00005B88">
              <w:rPr>
                <w:rFonts w:eastAsia="Times New Roman" w:cs="Times New Roman"/>
                <w:b w:val="0"/>
                <w:color w:val="000000"/>
                <w:szCs w:val="24"/>
                <w:vertAlign w:val="subscript"/>
                <w:lang w:eastAsia="en-MY"/>
              </w:rPr>
              <w:t>5</w:t>
            </w:r>
            <w:r w:rsidRPr="00005B88">
              <w:rPr>
                <w:rFonts w:eastAsia="Times New Roman" w:cs="Times New Roman"/>
                <w:b w:val="0"/>
                <w:color w:val="000000"/>
                <w:szCs w:val="24"/>
                <w:lang w:eastAsia="en-MY"/>
              </w:rPr>
              <w:t>S</w:t>
            </w:r>
            <w:r w:rsidRPr="00005B88">
              <w:rPr>
                <w:rFonts w:eastAsia="Times New Roman" w:cs="Times New Roman"/>
                <w:b w:val="0"/>
                <w:color w:val="000000"/>
                <w:szCs w:val="24"/>
                <w:vertAlign w:val="subscript"/>
                <w:lang w:eastAsia="en-MY"/>
              </w:rPr>
              <w:t>70</w:t>
            </w:r>
          </w:p>
          <w:p w14:paraId="2C310294" w14:textId="309C3E1B" w:rsidR="00A850BE" w:rsidRPr="00005B88" w:rsidRDefault="00A850BE" w:rsidP="00CB5F95">
            <w:pPr>
              <w:jc w:val="center"/>
              <w:rPr>
                <w:rFonts w:eastAsia="Calibri" w:cs="Times New Roman"/>
                <w:b w:val="0"/>
                <w:bCs/>
                <w:szCs w:val="24"/>
                <w:lang w:val="en-GB"/>
              </w:rPr>
            </w:pPr>
          </w:p>
        </w:tc>
        <w:tc>
          <w:tcPr>
            <w:tcW w:w="4508" w:type="dxa"/>
          </w:tcPr>
          <w:p w14:paraId="6F3CBF48" w14:textId="77777777" w:rsidR="00CB5F95" w:rsidRPr="00005B88" w:rsidRDefault="00CB5F95" w:rsidP="00CB5F95">
            <w:pPr>
              <w:jc w:val="center"/>
              <w:rPr>
                <w:rFonts w:eastAsia="Calibri" w:cs="Times New Roman"/>
                <w:b w:val="0"/>
                <w:bCs/>
                <w:szCs w:val="24"/>
                <w:lang w:val="en-GB"/>
              </w:rPr>
            </w:pPr>
            <w:r w:rsidRPr="00005B88">
              <w:rPr>
                <w:rFonts w:eastAsia="Times New Roman" w:cs="Times New Roman"/>
                <w:b w:val="0"/>
                <w:color w:val="000000"/>
                <w:szCs w:val="24"/>
                <w:lang w:eastAsia="en-MY"/>
              </w:rPr>
              <w:t>N</w:t>
            </w:r>
            <w:r w:rsidRPr="00005B88">
              <w:rPr>
                <w:rFonts w:eastAsia="Times New Roman" w:cs="Times New Roman"/>
                <w:b w:val="0"/>
                <w:color w:val="000000"/>
                <w:szCs w:val="24"/>
                <w:vertAlign w:val="subscript"/>
                <w:lang w:eastAsia="en-MY"/>
              </w:rPr>
              <w:t>15</w:t>
            </w:r>
            <w:r w:rsidRPr="00005B88">
              <w:rPr>
                <w:rFonts w:eastAsia="Times New Roman" w:cs="Times New Roman"/>
                <w:b w:val="0"/>
                <w:color w:val="000000"/>
                <w:szCs w:val="24"/>
                <w:lang w:eastAsia="en-MY"/>
              </w:rPr>
              <w:t>C</w:t>
            </w:r>
            <w:r w:rsidRPr="00005B88">
              <w:rPr>
                <w:rFonts w:eastAsia="Times New Roman" w:cs="Times New Roman"/>
                <w:b w:val="0"/>
                <w:color w:val="000000"/>
                <w:szCs w:val="24"/>
                <w:vertAlign w:val="subscript"/>
                <w:lang w:eastAsia="en-MY"/>
              </w:rPr>
              <w:t>5</w:t>
            </w:r>
            <w:r w:rsidRPr="00005B88">
              <w:rPr>
                <w:rFonts w:eastAsia="Times New Roman" w:cs="Times New Roman"/>
                <w:b w:val="0"/>
                <w:color w:val="000000"/>
                <w:szCs w:val="24"/>
                <w:lang w:eastAsia="en-MY"/>
              </w:rPr>
              <w:t>A</w:t>
            </w:r>
            <w:r w:rsidRPr="00005B88">
              <w:rPr>
                <w:rFonts w:eastAsia="Times New Roman" w:cs="Times New Roman"/>
                <w:b w:val="0"/>
                <w:color w:val="000000"/>
                <w:szCs w:val="24"/>
                <w:vertAlign w:val="subscript"/>
                <w:lang w:eastAsia="en-MY"/>
              </w:rPr>
              <w:t>10</w:t>
            </w:r>
            <w:r w:rsidRPr="00005B88">
              <w:rPr>
                <w:rFonts w:eastAsia="Times New Roman" w:cs="Times New Roman"/>
                <w:b w:val="0"/>
                <w:color w:val="000000"/>
                <w:szCs w:val="24"/>
                <w:lang w:eastAsia="en-MY"/>
              </w:rPr>
              <w:t>B</w:t>
            </w:r>
            <w:r w:rsidRPr="00005B88">
              <w:rPr>
                <w:rFonts w:eastAsia="Times New Roman" w:cs="Times New Roman"/>
                <w:b w:val="0"/>
                <w:color w:val="000000"/>
                <w:szCs w:val="24"/>
                <w:vertAlign w:val="subscript"/>
                <w:lang w:eastAsia="en-MY"/>
              </w:rPr>
              <w:t>10</w:t>
            </w:r>
            <w:r w:rsidRPr="00005B88">
              <w:rPr>
                <w:rFonts w:eastAsia="Times New Roman" w:cs="Times New Roman"/>
                <w:b w:val="0"/>
                <w:color w:val="000000"/>
                <w:szCs w:val="24"/>
                <w:lang w:eastAsia="en-MY"/>
              </w:rPr>
              <w:t>S</w:t>
            </w:r>
            <w:r w:rsidRPr="00005B88">
              <w:rPr>
                <w:rFonts w:eastAsia="Times New Roman" w:cs="Times New Roman"/>
                <w:b w:val="0"/>
                <w:color w:val="000000"/>
                <w:szCs w:val="24"/>
                <w:vertAlign w:val="subscript"/>
                <w:lang w:eastAsia="en-MY"/>
              </w:rPr>
              <w:t>60</w:t>
            </w:r>
          </w:p>
        </w:tc>
      </w:tr>
      <w:tr w:rsidR="00CB5F95" w14:paraId="66FDC221" w14:textId="77777777" w:rsidTr="00CB5F95">
        <w:tc>
          <w:tcPr>
            <w:tcW w:w="4508" w:type="dxa"/>
          </w:tcPr>
          <w:p w14:paraId="26962C0A" w14:textId="77777777" w:rsidR="00CB5F95" w:rsidRDefault="00CB5F95" w:rsidP="00CB5F95">
            <w:pPr>
              <w:jc w:val="center"/>
              <w:rPr>
                <w:rFonts w:eastAsia="Calibri" w:cs="Times New Roman"/>
                <w:b w:val="0"/>
                <w:bCs/>
                <w:szCs w:val="24"/>
                <w:lang w:val="en-GB"/>
              </w:rPr>
            </w:pPr>
          </w:p>
          <w:p w14:paraId="6A244536" w14:textId="77777777" w:rsidR="00CB5F95" w:rsidRDefault="00CB5F95" w:rsidP="00CB5F95">
            <w:pPr>
              <w:jc w:val="center"/>
              <w:rPr>
                <w:rFonts w:eastAsia="Calibri" w:cs="Times New Roman"/>
                <w:b w:val="0"/>
                <w:bCs/>
                <w:szCs w:val="24"/>
                <w:lang w:val="en-GB"/>
              </w:rPr>
            </w:pPr>
          </w:p>
          <w:p w14:paraId="0C8010B2" w14:textId="77777777" w:rsidR="00CB5F95" w:rsidRDefault="00CB5F95" w:rsidP="00CB5F95">
            <w:pPr>
              <w:jc w:val="center"/>
              <w:rPr>
                <w:rFonts w:eastAsia="Calibri" w:cs="Times New Roman"/>
                <w:b w:val="0"/>
                <w:bCs/>
                <w:szCs w:val="24"/>
                <w:lang w:val="en-GB"/>
              </w:rPr>
            </w:pPr>
          </w:p>
          <w:p w14:paraId="280D3B9B" w14:textId="77777777" w:rsidR="00CB5F95" w:rsidRDefault="00CB5F95" w:rsidP="00CB5F95">
            <w:pPr>
              <w:jc w:val="center"/>
              <w:rPr>
                <w:rFonts w:eastAsia="Calibri" w:cs="Times New Roman"/>
                <w:b w:val="0"/>
                <w:bCs/>
                <w:szCs w:val="24"/>
                <w:lang w:val="en-GB"/>
              </w:rPr>
            </w:pPr>
          </w:p>
          <w:p w14:paraId="1EB472F7" w14:textId="77777777" w:rsidR="00CB5F95" w:rsidRDefault="00CB5F95" w:rsidP="00CB5F95">
            <w:pPr>
              <w:jc w:val="center"/>
              <w:rPr>
                <w:rFonts w:eastAsia="Calibri" w:cs="Times New Roman"/>
                <w:b w:val="0"/>
                <w:bCs/>
                <w:szCs w:val="24"/>
                <w:lang w:val="en-GB"/>
              </w:rPr>
            </w:pPr>
          </w:p>
          <w:p w14:paraId="0BAB366A" w14:textId="77777777" w:rsidR="00CB5F95" w:rsidRDefault="00CB5F95" w:rsidP="00CB5F95">
            <w:pPr>
              <w:jc w:val="center"/>
              <w:rPr>
                <w:rFonts w:eastAsia="Calibri" w:cs="Times New Roman"/>
                <w:b w:val="0"/>
                <w:bCs/>
                <w:szCs w:val="24"/>
                <w:lang w:val="en-GB"/>
              </w:rPr>
            </w:pPr>
          </w:p>
          <w:p w14:paraId="42533B54" w14:textId="77777777" w:rsidR="00CB5F95" w:rsidRDefault="00CB5F95" w:rsidP="00CB5F95">
            <w:pPr>
              <w:jc w:val="center"/>
              <w:rPr>
                <w:rFonts w:eastAsia="Calibri" w:cs="Times New Roman"/>
                <w:b w:val="0"/>
                <w:bCs/>
                <w:szCs w:val="24"/>
                <w:lang w:val="en-GB"/>
              </w:rPr>
            </w:pPr>
          </w:p>
          <w:p w14:paraId="0E17CF8C" w14:textId="77777777" w:rsidR="00CB5F95" w:rsidRDefault="00CB5F95" w:rsidP="00CB5F95">
            <w:pPr>
              <w:jc w:val="center"/>
              <w:rPr>
                <w:rFonts w:eastAsia="Calibri" w:cs="Times New Roman"/>
                <w:b w:val="0"/>
                <w:bCs/>
                <w:szCs w:val="24"/>
                <w:lang w:val="en-GB"/>
              </w:rPr>
            </w:pPr>
          </w:p>
          <w:p w14:paraId="4281F305" w14:textId="77777777" w:rsidR="00CB5F95" w:rsidRDefault="00CB5F95" w:rsidP="00CB5F95">
            <w:pPr>
              <w:jc w:val="center"/>
              <w:rPr>
                <w:rFonts w:eastAsia="Calibri" w:cs="Times New Roman"/>
                <w:b w:val="0"/>
                <w:bCs/>
                <w:szCs w:val="24"/>
                <w:lang w:val="en-GB"/>
              </w:rPr>
            </w:pPr>
          </w:p>
        </w:tc>
        <w:tc>
          <w:tcPr>
            <w:tcW w:w="4508" w:type="dxa"/>
          </w:tcPr>
          <w:p w14:paraId="0E54D365" w14:textId="77777777" w:rsidR="00CB5F95" w:rsidRDefault="00CB5F95" w:rsidP="00CB5F95">
            <w:pPr>
              <w:jc w:val="center"/>
              <w:rPr>
                <w:rFonts w:eastAsia="Calibri" w:cs="Times New Roman"/>
                <w:b w:val="0"/>
                <w:bCs/>
                <w:szCs w:val="24"/>
                <w:lang w:val="en-GB"/>
              </w:rPr>
            </w:pPr>
            <w:r w:rsidRPr="000F4A76">
              <w:rPr>
                <w:rFonts w:eastAsia="Calibri" w:cs="Times New Roman"/>
                <w:b w:val="0"/>
                <w:bCs/>
                <w:noProof/>
                <w:szCs w:val="24"/>
                <w:lang w:eastAsia="en-MY"/>
              </w:rPr>
              <w:drawing>
                <wp:inline distT="0" distB="0" distL="0" distR="0" wp14:anchorId="47EA7717" wp14:editId="08E79596">
                  <wp:extent cx="2592722" cy="1980000"/>
                  <wp:effectExtent l="0" t="0" r="0" b="1270"/>
                  <wp:docPr id="1972"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592722" cy="1980000"/>
                          </a:xfrm>
                          <a:prstGeom prst="rect">
                            <a:avLst/>
                          </a:prstGeom>
                          <a:noFill/>
                          <a:ln>
                            <a:noFill/>
                          </a:ln>
                        </pic:spPr>
                      </pic:pic>
                    </a:graphicData>
                  </a:graphic>
                </wp:inline>
              </w:drawing>
            </w:r>
          </w:p>
          <w:p w14:paraId="673E9597" w14:textId="77777777" w:rsidR="00CB5F95" w:rsidRDefault="00CB5F95" w:rsidP="00CB5F95">
            <w:pPr>
              <w:jc w:val="center"/>
              <w:rPr>
                <w:rFonts w:eastAsia="Calibri" w:cs="Times New Roman"/>
                <w:b w:val="0"/>
                <w:bCs/>
                <w:szCs w:val="24"/>
                <w:lang w:val="en-GB"/>
              </w:rPr>
            </w:pPr>
          </w:p>
        </w:tc>
      </w:tr>
      <w:tr w:rsidR="00CB5F95" w14:paraId="42670E19" w14:textId="77777777" w:rsidTr="00CB5F95">
        <w:tc>
          <w:tcPr>
            <w:tcW w:w="4508" w:type="dxa"/>
          </w:tcPr>
          <w:p w14:paraId="300D6AFE" w14:textId="77777777" w:rsidR="00CB5F95" w:rsidRDefault="00CB5F95" w:rsidP="00CB5F95">
            <w:pPr>
              <w:jc w:val="center"/>
              <w:rPr>
                <w:rFonts w:eastAsia="Calibri" w:cs="Times New Roman"/>
                <w:b w:val="0"/>
                <w:bCs/>
                <w:szCs w:val="24"/>
                <w:lang w:val="en-GB"/>
              </w:rPr>
            </w:pPr>
          </w:p>
        </w:tc>
        <w:tc>
          <w:tcPr>
            <w:tcW w:w="4508" w:type="dxa"/>
          </w:tcPr>
          <w:p w14:paraId="7522615D" w14:textId="77777777" w:rsidR="00CB5F95" w:rsidRDefault="00CB5F95" w:rsidP="00CB5F95">
            <w:pPr>
              <w:jc w:val="center"/>
              <w:rPr>
                <w:rFonts w:eastAsia="Times New Roman" w:cs="Times New Roman"/>
                <w:b w:val="0"/>
                <w:color w:val="000000"/>
                <w:szCs w:val="24"/>
                <w:vertAlign w:val="subscript"/>
                <w:lang w:eastAsia="en-MY"/>
              </w:rPr>
            </w:pPr>
            <w:r w:rsidRPr="00005B88">
              <w:rPr>
                <w:rFonts w:eastAsia="Times New Roman" w:cs="Times New Roman"/>
                <w:b w:val="0"/>
                <w:color w:val="000000"/>
                <w:szCs w:val="24"/>
                <w:lang w:eastAsia="en-MY"/>
              </w:rPr>
              <w:t>N</w:t>
            </w:r>
            <w:r w:rsidRPr="00005B88">
              <w:rPr>
                <w:rFonts w:eastAsia="Times New Roman" w:cs="Times New Roman"/>
                <w:b w:val="0"/>
                <w:color w:val="000000"/>
                <w:szCs w:val="24"/>
                <w:vertAlign w:val="subscript"/>
                <w:lang w:eastAsia="en-MY"/>
              </w:rPr>
              <w:t>15</w:t>
            </w:r>
            <w:r w:rsidRPr="00005B88">
              <w:rPr>
                <w:rFonts w:eastAsia="Times New Roman" w:cs="Times New Roman"/>
                <w:b w:val="0"/>
                <w:color w:val="000000"/>
                <w:szCs w:val="24"/>
                <w:lang w:eastAsia="en-MY"/>
              </w:rPr>
              <w:t>C</w:t>
            </w:r>
            <w:r w:rsidRPr="00005B88">
              <w:rPr>
                <w:rFonts w:eastAsia="Times New Roman" w:cs="Times New Roman"/>
                <w:b w:val="0"/>
                <w:color w:val="000000"/>
                <w:szCs w:val="24"/>
                <w:vertAlign w:val="subscript"/>
                <w:lang w:eastAsia="en-MY"/>
              </w:rPr>
              <w:t>5</w:t>
            </w:r>
            <w:r w:rsidRPr="00005B88">
              <w:rPr>
                <w:rFonts w:eastAsia="Times New Roman" w:cs="Times New Roman"/>
                <w:b w:val="0"/>
                <w:color w:val="000000"/>
                <w:szCs w:val="24"/>
                <w:lang w:eastAsia="en-MY"/>
              </w:rPr>
              <w:t>A</w:t>
            </w:r>
            <w:r w:rsidRPr="00005B88">
              <w:rPr>
                <w:rFonts w:eastAsia="Times New Roman" w:cs="Times New Roman"/>
                <w:b w:val="0"/>
                <w:color w:val="000000"/>
                <w:szCs w:val="24"/>
                <w:vertAlign w:val="subscript"/>
                <w:lang w:eastAsia="en-MY"/>
              </w:rPr>
              <w:t>5</w:t>
            </w:r>
            <w:r w:rsidRPr="00005B88">
              <w:rPr>
                <w:rFonts w:eastAsia="Times New Roman" w:cs="Times New Roman"/>
                <w:b w:val="0"/>
                <w:color w:val="000000"/>
                <w:szCs w:val="24"/>
                <w:lang w:eastAsia="en-MY"/>
              </w:rPr>
              <w:t>B</w:t>
            </w:r>
            <w:r w:rsidRPr="00005B88">
              <w:rPr>
                <w:rFonts w:eastAsia="Times New Roman" w:cs="Times New Roman"/>
                <w:b w:val="0"/>
                <w:color w:val="000000"/>
                <w:szCs w:val="24"/>
                <w:vertAlign w:val="subscript"/>
                <w:lang w:eastAsia="en-MY"/>
              </w:rPr>
              <w:t>15</w:t>
            </w:r>
            <w:r w:rsidRPr="00005B88">
              <w:rPr>
                <w:rFonts w:eastAsia="Times New Roman" w:cs="Times New Roman"/>
                <w:b w:val="0"/>
                <w:color w:val="000000"/>
                <w:szCs w:val="24"/>
                <w:lang w:eastAsia="en-MY"/>
              </w:rPr>
              <w:t>S</w:t>
            </w:r>
            <w:r w:rsidRPr="00005B88">
              <w:rPr>
                <w:rFonts w:eastAsia="Times New Roman" w:cs="Times New Roman"/>
                <w:b w:val="0"/>
                <w:color w:val="000000"/>
                <w:szCs w:val="24"/>
                <w:vertAlign w:val="subscript"/>
                <w:lang w:eastAsia="en-MY"/>
              </w:rPr>
              <w:t>60</w:t>
            </w:r>
          </w:p>
          <w:p w14:paraId="0DCE678C" w14:textId="39044D9D" w:rsidR="00A850BE" w:rsidRPr="00005B88" w:rsidRDefault="00A850BE" w:rsidP="00CB5F95">
            <w:pPr>
              <w:jc w:val="center"/>
              <w:rPr>
                <w:rFonts w:eastAsia="Calibri" w:cs="Times New Roman"/>
                <w:b w:val="0"/>
                <w:bCs/>
                <w:szCs w:val="24"/>
                <w:lang w:val="en-GB"/>
              </w:rPr>
            </w:pPr>
          </w:p>
        </w:tc>
      </w:tr>
    </w:tbl>
    <w:p w14:paraId="06949D51" w14:textId="77777777" w:rsidR="00CB5F95" w:rsidRDefault="00CB5F95" w:rsidP="00CB5F95">
      <w:pPr>
        <w:spacing w:line="240" w:lineRule="auto"/>
        <w:jc w:val="center"/>
        <w:rPr>
          <w:rFonts w:eastAsia="Calibri" w:cs="Times New Roman"/>
          <w:b w:val="0"/>
          <w:bCs/>
          <w:szCs w:val="24"/>
          <w:lang w:val="en-GB"/>
        </w:rPr>
      </w:pPr>
    </w:p>
    <w:p w14:paraId="0E63E3CD" w14:textId="77777777" w:rsidR="00CB5F95" w:rsidRDefault="00CB5F95" w:rsidP="00CB5F95">
      <w:pPr>
        <w:spacing w:line="240" w:lineRule="auto"/>
        <w:jc w:val="center"/>
        <w:rPr>
          <w:rFonts w:eastAsia="Calibri" w:cs="Times New Roman"/>
          <w:b w:val="0"/>
          <w:bCs/>
          <w:szCs w:val="24"/>
          <w:lang w:val="en-GB"/>
        </w:rPr>
      </w:pPr>
    </w:p>
    <w:p w14:paraId="2926EBDE" w14:textId="77777777" w:rsidR="00CB5F95" w:rsidRDefault="00CB5F95" w:rsidP="00CB5F95">
      <w:pPr>
        <w:spacing w:line="240" w:lineRule="auto"/>
        <w:jc w:val="center"/>
        <w:rPr>
          <w:rFonts w:eastAsia="Calibri" w:cs="Times New Roman"/>
          <w:b w:val="0"/>
          <w:bCs/>
          <w:szCs w:val="24"/>
          <w:lang w:val="en-GB"/>
        </w:rPr>
      </w:pPr>
    </w:p>
    <w:p w14:paraId="7FFFCA79" w14:textId="77777777" w:rsidR="00CB5F95" w:rsidRDefault="00CB5F95" w:rsidP="00CB5F95">
      <w:pPr>
        <w:spacing w:line="240" w:lineRule="auto"/>
        <w:jc w:val="center"/>
        <w:rPr>
          <w:rFonts w:eastAsia="Calibri" w:cs="Times New Roman"/>
          <w:b w:val="0"/>
          <w:bCs/>
          <w:szCs w:val="24"/>
          <w:lang w:val="en-GB"/>
        </w:rPr>
      </w:pPr>
      <w:r>
        <w:rPr>
          <w:rFonts w:eastAsia="Calibri" w:cs="Times New Roman"/>
          <w:b w:val="0"/>
          <w:bCs/>
          <w:noProof/>
          <w:szCs w:val="24"/>
          <w:lang w:eastAsia="en-MY"/>
        </w:rPr>
        <w:lastRenderedPageBreak/>
        <mc:AlternateContent>
          <mc:Choice Requires="wps">
            <w:drawing>
              <wp:anchor distT="0" distB="0" distL="114300" distR="114300" simplePos="0" relativeHeight="252575744" behindDoc="0" locked="0" layoutInCell="1" allowOverlap="1" wp14:anchorId="37624202" wp14:editId="4F8B0823">
                <wp:simplePos x="0" y="0"/>
                <wp:positionH relativeFrom="column">
                  <wp:posOffset>658368</wp:posOffset>
                </wp:positionH>
                <wp:positionV relativeFrom="paragraph">
                  <wp:posOffset>97536</wp:posOffset>
                </wp:positionV>
                <wp:extent cx="1853184" cy="352425"/>
                <wp:effectExtent l="0" t="0" r="0" b="9525"/>
                <wp:wrapNone/>
                <wp:docPr id="1904" name="Text Box 1904"/>
                <wp:cNvGraphicFramePr/>
                <a:graphic xmlns:a="http://schemas.openxmlformats.org/drawingml/2006/main">
                  <a:graphicData uri="http://schemas.microsoft.com/office/word/2010/wordprocessingShape">
                    <wps:wsp>
                      <wps:cNvSpPr txBox="1"/>
                      <wps:spPr>
                        <a:xfrm>
                          <a:off x="0" y="0"/>
                          <a:ext cx="1853184" cy="352425"/>
                        </a:xfrm>
                        <a:prstGeom prst="rect">
                          <a:avLst/>
                        </a:prstGeom>
                        <a:solidFill>
                          <a:schemeClr val="lt1"/>
                        </a:solidFill>
                        <a:ln w="6350">
                          <a:noFill/>
                        </a:ln>
                      </wps:spPr>
                      <wps:txbx>
                        <w:txbxContent>
                          <w:p w14:paraId="5696E367" w14:textId="77777777" w:rsidR="00230AB9" w:rsidRPr="00005B88" w:rsidRDefault="00230AB9" w:rsidP="00CB5F95">
                            <w:pPr>
                              <w:rPr>
                                <w:szCs w:val="24"/>
                              </w:rPr>
                            </w:pPr>
                            <w:r w:rsidRPr="00005B88">
                              <w:rPr>
                                <w:rFonts w:eastAsia="Calibri" w:cs="Times New Roman"/>
                                <w:bCs/>
                                <w:szCs w:val="24"/>
                                <w:lang w:val="en-GB"/>
                              </w:rPr>
                              <w:t xml:space="preserve">Series </w:t>
                            </w:r>
                            <w:r w:rsidRPr="00005B88">
                              <w:rPr>
                                <w:rFonts w:eastAsia="Times New Roman" w:cs="Times New Roman"/>
                                <w:color w:val="000000"/>
                                <w:szCs w:val="24"/>
                                <w:lang w:eastAsia="en-MY"/>
                              </w:rPr>
                              <w:t>N</w:t>
                            </w:r>
                            <w:r w:rsidRPr="00005B88">
                              <w:rPr>
                                <w:rFonts w:eastAsia="Times New Roman" w:cs="Times New Roman"/>
                                <w:color w:val="000000"/>
                                <w:szCs w:val="24"/>
                                <w:vertAlign w:val="subscript"/>
                                <w:lang w:eastAsia="en-MY"/>
                              </w:rPr>
                              <w:t>15</w:t>
                            </w:r>
                            <w:r w:rsidRPr="00005B88">
                              <w:rPr>
                                <w:rFonts w:eastAsia="Times New Roman" w:cs="Times New Roman"/>
                                <w:color w:val="000000"/>
                                <w:szCs w:val="24"/>
                                <w:lang w:eastAsia="en-MY"/>
                              </w:rPr>
                              <w:t>C</w:t>
                            </w:r>
                            <w:r w:rsidRPr="00005B88">
                              <w:rPr>
                                <w:rFonts w:eastAsia="Times New Roman" w:cs="Times New Roman"/>
                                <w:color w:val="000000"/>
                                <w:szCs w:val="24"/>
                                <w:vertAlign w:val="subscript"/>
                                <w:lang w:eastAsia="en-MY"/>
                              </w:rPr>
                              <w:t>x</w:t>
                            </w:r>
                            <w:r w:rsidRPr="00005B88">
                              <w:rPr>
                                <w:rFonts w:eastAsia="Times New Roman" w:cs="Times New Roman"/>
                                <w:color w:val="000000"/>
                                <w:szCs w:val="24"/>
                                <w:lang w:eastAsia="en-MY"/>
                              </w:rPr>
                              <w:t>A</w:t>
                            </w:r>
                            <w:r w:rsidRPr="00005B88">
                              <w:rPr>
                                <w:rFonts w:eastAsia="Times New Roman" w:cs="Times New Roman"/>
                                <w:color w:val="000000"/>
                                <w:szCs w:val="24"/>
                                <w:vertAlign w:val="subscript"/>
                                <w:lang w:eastAsia="en-MY"/>
                              </w:rPr>
                              <w:t>15-x</w:t>
                            </w:r>
                            <w:r w:rsidRPr="00005B88">
                              <w:rPr>
                                <w:rFonts w:eastAsia="Times New Roman" w:cs="Times New Roman"/>
                                <w:color w:val="000000"/>
                                <w:szCs w:val="24"/>
                                <w:lang w:eastAsia="en-MY"/>
                              </w:rPr>
                              <w:t>B</w:t>
                            </w:r>
                            <w:r w:rsidRPr="00005B88">
                              <w:rPr>
                                <w:rFonts w:eastAsia="Times New Roman" w:cs="Times New Roman"/>
                                <w:color w:val="000000"/>
                                <w:szCs w:val="24"/>
                                <w:vertAlign w:val="subscript"/>
                                <w:lang w:eastAsia="en-MY"/>
                              </w:rPr>
                              <w:t>10</w:t>
                            </w:r>
                            <w:r w:rsidRPr="00005B88">
                              <w:rPr>
                                <w:rFonts w:eastAsia="Times New Roman" w:cs="Times New Roman"/>
                                <w:color w:val="000000"/>
                                <w:szCs w:val="24"/>
                                <w:lang w:eastAsia="en-MY"/>
                              </w:rPr>
                              <w:t>S</w:t>
                            </w:r>
                            <w:r w:rsidRPr="00005B88">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24202" id="Text Box 1904" o:spid="_x0000_s1436" type="#_x0000_t202" style="position:absolute;left:0;text-align:left;margin-left:51.85pt;margin-top:7.7pt;width:145.9pt;height:27.75pt;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" fillcolor="white [3201]" stroked="f" strokeweight=".5pt">
                <v:textbox>
                  <w:txbxContent>
                    <w:p w14:paraId="5696E367" w14:textId="77777777" w:rsidR="00230AB9" w:rsidRPr="00005B88" w:rsidRDefault="00230AB9" w:rsidP="00CB5F95">
                      <w:pPr>
                        <w:rPr>
                          <w:szCs w:val="24"/>
                        </w:rPr>
                      </w:pPr>
                      <w:r w:rsidRPr="00005B88">
                        <w:rPr>
                          <w:rFonts w:eastAsia="Calibri" w:cs="Times New Roman"/>
                          <w:bCs/>
                          <w:szCs w:val="24"/>
                          <w:lang w:val="en-GB"/>
                        </w:rPr>
                        <w:t xml:space="preserve">Series </w:t>
                      </w:r>
                      <w:r w:rsidRPr="00005B88">
                        <w:rPr>
                          <w:rFonts w:eastAsia="Times New Roman" w:cs="Times New Roman"/>
                          <w:color w:val="000000"/>
                          <w:szCs w:val="24"/>
                          <w:lang w:eastAsia="en-MY"/>
                        </w:rPr>
                        <w:t>N</w:t>
                      </w:r>
                      <w:r w:rsidRPr="00005B88">
                        <w:rPr>
                          <w:rFonts w:eastAsia="Times New Roman" w:cs="Times New Roman"/>
                          <w:color w:val="000000"/>
                          <w:szCs w:val="24"/>
                          <w:vertAlign w:val="subscript"/>
                          <w:lang w:eastAsia="en-MY"/>
                        </w:rPr>
                        <w:t>15</w:t>
                      </w:r>
                      <w:r w:rsidRPr="00005B88">
                        <w:rPr>
                          <w:rFonts w:eastAsia="Times New Roman" w:cs="Times New Roman"/>
                          <w:color w:val="000000"/>
                          <w:szCs w:val="24"/>
                          <w:lang w:eastAsia="en-MY"/>
                        </w:rPr>
                        <w:t>C</w:t>
                      </w:r>
                      <w:r w:rsidRPr="00005B88">
                        <w:rPr>
                          <w:rFonts w:eastAsia="Times New Roman" w:cs="Times New Roman"/>
                          <w:color w:val="000000"/>
                          <w:szCs w:val="24"/>
                          <w:vertAlign w:val="subscript"/>
                          <w:lang w:eastAsia="en-MY"/>
                        </w:rPr>
                        <w:t>x</w:t>
                      </w:r>
                      <w:r w:rsidRPr="00005B88">
                        <w:rPr>
                          <w:rFonts w:eastAsia="Times New Roman" w:cs="Times New Roman"/>
                          <w:color w:val="000000"/>
                          <w:szCs w:val="24"/>
                          <w:lang w:eastAsia="en-MY"/>
                        </w:rPr>
                        <w:t>A</w:t>
                      </w:r>
                      <w:r w:rsidRPr="00005B88">
                        <w:rPr>
                          <w:rFonts w:eastAsia="Times New Roman" w:cs="Times New Roman"/>
                          <w:color w:val="000000"/>
                          <w:szCs w:val="24"/>
                          <w:vertAlign w:val="subscript"/>
                          <w:lang w:eastAsia="en-MY"/>
                        </w:rPr>
                        <w:t>15-x</w:t>
                      </w:r>
                      <w:r w:rsidRPr="00005B88">
                        <w:rPr>
                          <w:rFonts w:eastAsia="Times New Roman" w:cs="Times New Roman"/>
                          <w:color w:val="000000"/>
                          <w:szCs w:val="24"/>
                          <w:lang w:eastAsia="en-MY"/>
                        </w:rPr>
                        <w:t>B</w:t>
                      </w:r>
                      <w:r w:rsidRPr="00005B88">
                        <w:rPr>
                          <w:rFonts w:eastAsia="Times New Roman" w:cs="Times New Roman"/>
                          <w:color w:val="000000"/>
                          <w:szCs w:val="24"/>
                          <w:vertAlign w:val="subscript"/>
                          <w:lang w:eastAsia="en-MY"/>
                        </w:rPr>
                        <w:t>10</w:t>
                      </w:r>
                      <w:r w:rsidRPr="00005B88">
                        <w:rPr>
                          <w:rFonts w:eastAsia="Times New Roman" w:cs="Times New Roman"/>
                          <w:color w:val="000000"/>
                          <w:szCs w:val="24"/>
                          <w:lang w:eastAsia="en-MY"/>
                        </w:rPr>
                        <w:t>S</w:t>
                      </w:r>
                      <w:r w:rsidRPr="00005B88">
                        <w:rPr>
                          <w:rFonts w:eastAsia="Times New Roman" w:cs="Times New Roman"/>
                          <w:color w:val="000000"/>
                          <w:szCs w:val="24"/>
                          <w:vertAlign w:val="subscript"/>
                          <w:lang w:eastAsia="en-MY"/>
                        </w:rPr>
                        <w:t>60</w:t>
                      </w:r>
                    </w:p>
                  </w:txbxContent>
                </v:textbox>
              </v:shape>
            </w:pict>
          </mc:Fallback>
        </mc:AlternateContent>
      </w:r>
      <w:r>
        <w:rPr>
          <w:rFonts w:eastAsia="Calibri" w:cs="Times New Roman"/>
          <w:b w:val="0"/>
          <w:bCs/>
          <w:noProof/>
          <w:szCs w:val="24"/>
          <w:lang w:eastAsia="en-MY"/>
        </w:rPr>
        <mc:AlternateContent>
          <mc:Choice Requires="wps">
            <w:drawing>
              <wp:anchor distT="0" distB="0" distL="114300" distR="114300" simplePos="0" relativeHeight="252576768" behindDoc="0" locked="0" layoutInCell="1" allowOverlap="1" wp14:anchorId="23C41683" wp14:editId="34A0535E">
                <wp:simplePos x="0" y="0"/>
                <wp:positionH relativeFrom="column">
                  <wp:posOffset>3486150</wp:posOffset>
                </wp:positionH>
                <wp:positionV relativeFrom="paragraph">
                  <wp:posOffset>104775</wp:posOffset>
                </wp:positionV>
                <wp:extent cx="1790700" cy="314325"/>
                <wp:effectExtent l="0" t="0" r="0" b="9525"/>
                <wp:wrapNone/>
                <wp:docPr id="1905" name="Text Box 1905"/>
                <wp:cNvGraphicFramePr/>
                <a:graphic xmlns:a="http://schemas.openxmlformats.org/drawingml/2006/main">
                  <a:graphicData uri="http://schemas.microsoft.com/office/word/2010/wordprocessingShape">
                    <wps:wsp>
                      <wps:cNvSpPr txBox="1"/>
                      <wps:spPr>
                        <a:xfrm>
                          <a:off x="0" y="0"/>
                          <a:ext cx="1790700" cy="314325"/>
                        </a:xfrm>
                        <a:prstGeom prst="rect">
                          <a:avLst/>
                        </a:prstGeom>
                        <a:solidFill>
                          <a:schemeClr val="lt1"/>
                        </a:solidFill>
                        <a:ln w="6350">
                          <a:noFill/>
                        </a:ln>
                      </wps:spPr>
                      <wps:txbx>
                        <w:txbxContent>
                          <w:p w14:paraId="6567FF7A" w14:textId="77777777" w:rsidR="00230AB9" w:rsidRPr="00005B88" w:rsidRDefault="00230AB9" w:rsidP="00CB5F95">
                            <w:pPr>
                              <w:rPr>
                                <w:szCs w:val="24"/>
                              </w:rPr>
                            </w:pPr>
                            <w:r w:rsidRPr="00005B88">
                              <w:rPr>
                                <w:rFonts w:eastAsia="Calibri" w:cs="Times New Roman"/>
                                <w:bCs/>
                                <w:szCs w:val="24"/>
                                <w:lang w:val="en-GB"/>
                              </w:rPr>
                              <w:t xml:space="preserve">Series </w:t>
                            </w:r>
                            <w:r w:rsidRPr="00005B88">
                              <w:rPr>
                                <w:rFonts w:eastAsia="Times New Roman" w:cs="Times New Roman"/>
                                <w:color w:val="000000"/>
                                <w:szCs w:val="24"/>
                                <w:lang w:eastAsia="en-MY"/>
                              </w:rPr>
                              <w:t>N</w:t>
                            </w:r>
                            <w:r w:rsidRPr="00005B88">
                              <w:rPr>
                                <w:rFonts w:eastAsia="Times New Roman" w:cs="Times New Roman"/>
                                <w:color w:val="000000"/>
                                <w:szCs w:val="24"/>
                                <w:vertAlign w:val="subscript"/>
                                <w:lang w:eastAsia="en-MY"/>
                              </w:rPr>
                              <w:t>15</w:t>
                            </w:r>
                            <w:r w:rsidRPr="00005B88">
                              <w:rPr>
                                <w:rFonts w:eastAsia="Times New Roman" w:cs="Times New Roman"/>
                                <w:color w:val="000000"/>
                                <w:szCs w:val="24"/>
                                <w:lang w:eastAsia="en-MY"/>
                              </w:rPr>
                              <w:t>Ba</w:t>
                            </w:r>
                            <w:r w:rsidRPr="00005B88">
                              <w:rPr>
                                <w:rFonts w:eastAsia="Times New Roman" w:cs="Times New Roman"/>
                                <w:color w:val="000000"/>
                                <w:szCs w:val="24"/>
                                <w:vertAlign w:val="subscript"/>
                                <w:lang w:eastAsia="en-MY"/>
                              </w:rPr>
                              <w:t>x</w:t>
                            </w:r>
                            <w:r w:rsidRPr="00005B88">
                              <w:rPr>
                                <w:rFonts w:eastAsia="Times New Roman" w:cs="Times New Roman"/>
                                <w:color w:val="000000"/>
                                <w:szCs w:val="24"/>
                                <w:lang w:eastAsia="en-MY"/>
                              </w:rPr>
                              <w:t>A</w:t>
                            </w:r>
                            <w:r w:rsidRPr="00005B88">
                              <w:rPr>
                                <w:rFonts w:eastAsia="Times New Roman" w:cs="Times New Roman"/>
                                <w:color w:val="000000"/>
                                <w:szCs w:val="24"/>
                                <w:vertAlign w:val="subscript"/>
                                <w:lang w:eastAsia="en-MY"/>
                              </w:rPr>
                              <w:t>15-x</w:t>
                            </w:r>
                            <w:r w:rsidRPr="00005B88">
                              <w:rPr>
                                <w:rFonts w:eastAsia="Times New Roman" w:cs="Times New Roman"/>
                                <w:color w:val="000000"/>
                                <w:szCs w:val="24"/>
                                <w:lang w:eastAsia="en-MY"/>
                              </w:rPr>
                              <w:t>B</w:t>
                            </w:r>
                            <w:r w:rsidRPr="00005B88">
                              <w:rPr>
                                <w:rFonts w:eastAsia="Times New Roman" w:cs="Times New Roman"/>
                                <w:color w:val="000000"/>
                                <w:szCs w:val="24"/>
                                <w:vertAlign w:val="subscript"/>
                                <w:lang w:eastAsia="en-MY"/>
                              </w:rPr>
                              <w:t>10</w:t>
                            </w:r>
                            <w:r w:rsidRPr="00005B88">
                              <w:rPr>
                                <w:rFonts w:eastAsia="Times New Roman" w:cs="Times New Roman"/>
                                <w:color w:val="000000"/>
                                <w:szCs w:val="24"/>
                                <w:lang w:eastAsia="en-MY"/>
                              </w:rPr>
                              <w:t>S</w:t>
                            </w:r>
                            <w:r w:rsidRPr="00005B88">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41683" id="Text Box 1905" o:spid="_x0000_s1437" type="#_x0000_t202" style="position:absolute;left:0;text-align:left;margin-left:274.5pt;margin-top:8.25pt;width:141pt;height:24.75pt;z-index:25257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" fillcolor="white [3201]" stroked="f" strokeweight=".5pt">
                <v:textbox>
                  <w:txbxContent>
                    <w:p w14:paraId="6567FF7A" w14:textId="77777777" w:rsidR="00230AB9" w:rsidRPr="00005B88" w:rsidRDefault="00230AB9" w:rsidP="00CB5F95">
                      <w:pPr>
                        <w:rPr>
                          <w:szCs w:val="24"/>
                        </w:rPr>
                      </w:pPr>
                      <w:r w:rsidRPr="00005B88">
                        <w:rPr>
                          <w:rFonts w:eastAsia="Calibri" w:cs="Times New Roman"/>
                          <w:bCs/>
                          <w:szCs w:val="24"/>
                          <w:lang w:val="en-GB"/>
                        </w:rPr>
                        <w:t xml:space="preserve">Series </w:t>
                      </w:r>
                      <w:r w:rsidRPr="00005B88">
                        <w:rPr>
                          <w:rFonts w:eastAsia="Times New Roman" w:cs="Times New Roman"/>
                          <w:color w:val="000000"/>
                          <w:szCs w:val="24"/>
                          <w:lang w:eastAsia="en-MY"/>
                        </w:rPr>
                        <w:t>N</w:t>
                      </w:r>
                      <w:r w:rsidRPr="00005B88">
                        <w:rPr>
                          <w:rFonts w:eastAsia="Times New Roman" w:cs="Times New Roman"/>
                          <w:color w:val="000000"/>
                          <w:szCs w:val="24"/>
                          <w:vertAlign w:val="subscript"/>
                          <w:lang w:eastAsia="en-MY"/>
                        </w:rPr>
                        <w:t>15</w:t>
                      </w:r>
                      <w:r w:rsidRPr="00005B88">
                        <w:rPr>
                          <w:rFonts w:eastAsia="Times New Roman" w:cs="Times New Roman"/>
                          <w:color w:val="000000"/>
                          <w:szCs w:val="24"/>
                          <w:lang w:eastAsia="en-MY"/>
                        </w:rPr>
                        <w:t>Ba</w:t>
                      </w:r>
                      <w:r w:rsidRPr="00005B88">
                        <w:rPr>
                          <w:rFonts w:eastAsia="Times New Roman" w:cs="Times New Roman"/>
                          <w:color w:val="000000"/>
                          <w:szCs w:val="24"/>
                          <w:vertAlign w:val="subscript"/>
                          <w:lang w:eastAsia="en-MY"/>
                        </w:rPr>
                        <w:t>x</w:t>
                      </w:r>
                      <w:r w:rsidRPr="00005B88">
                        <w:rPr>
                          <w:rFonts w:eastAsia="Times New Roman" w:cs="Times New Roman"/>
                          <w:color w:val="000000"/>
                          <w:szCs w:val="24"/>
                          <w:lang w:eastAsia="en-MY"/>
                        </w:rPr>
                        <w:t>A</w:t>
                      </w:r>
                      <w:r w:rsidRPr="00005B88">
                        <w:rPr>
                          <w:rFonts w:eastAsia="Times New Roman" w:cs="Times New Roman"/>
                          <w:color w:val="000000"/>
                          <w:szCs w:val="24"/>
                          <w:vertAlign w:val="subscript"/>
                          <w:lang w:eastAsia="en-MY"/>
                        </w:rPr>
                        <w:t>15-x</w:t>
                      </w:r>
                      <w:r w:rsidRPr="00005B88">
                        <w:rPr>
                          <w:rFonts w:eastAsia="Times New Roman" w:cs="Times New Roman"/>
                          <w:color w:val="000000"/>
                          <w:szCs w:val="24"/>
                          <w:lang w:eastAsia="en-MY"/>
                        </w:rPr>
                        <w:t>B</w:t>
                      </w:r>
                      <w:r w:rsidRPr="00005B88">
                        <w:rPr>
                          <w:rFonts w:eastAsia="Times New Roman" w:cs="Times New Roman"/>
                          <w:color w:val="000000"/>
                          <w:szCs w:val="24"/>
                          <w:vertAlign w:val="subscript"/>
                          <w:lang w:eastAsia="en-MY"/>
                        </w:rPr>
                        <w:t>10</w:t>
                      </w:r>
                      <w:r w:rsidRPr="00005B88">
                        <w:rPr>
                          <w:rFonts w:eastAsia="Times New Roman" w:cs="Times New Roman"/>
                          <w:color w:val="000000"/>
                          <w:szCs w:val="24"/>
                          <w:lang w:eastAsia="en-MY"/>
                        </w:rPr>
                        <w:t>S</w:t>
                      </w:r>
                      <w:r w:rsidRPr="00005B88">
                        <w:rPr>
                          <w:rFonts w:eastAsia="Times New Roman" w:cs="Times New Roman"/>
                          <w:color w:val="000000"/>
                          <w:szCs w:val="24"/>
                          <w:vertAlign w:val="subscript"/>
                          <w:lang w:eastAsia="en-MY"/>
                        </w:rPr>
                        <w:t>60</w:t>
                      </w:r>
                    </w:p>
                  </w:txbxContent>
                </v:textbox>
              </v:shape>
            </w:pict>
          </mc:Fallback>
        </mc:AlternateContent>
      </w:r>
    </w:p>
    <w:p w14:paraId="13077900" w14:textId="77777777" w:rsidR="00CB5F95" w:rsidRDefault="00CB5F95" w:rsidP="00CB5F95">
      <w:pPr>
        <w:spacing w:line="240" w:lineRule="auto"/>
        <w:jc w:val="center"/>
        <w:rPr>
          <w:rFonts w:eastAsia="Times New Roman" w:cs="Times New Roman"/>
          <w:b w:val="0"/>
          <w:color w:val="000000"/>
          <w:sz w:val="20"/>
          <w:szCs w:val="20"/>
          <w:vertAlign w:val="subscript"/>
          <w:lang w:eastAsia="en-MY"/>
        </w:rPr>
      </w:pPr>
    </w:p>
    <w:tbl>
      <w:tblPr>
        <w:tblStyle w:val="TableGrid"/>
        <w:tblW w:w="0" w:type="auto"/>
        <w:tblLook w:val="04A0" w:firstRow="1" w:lastRow="0" w:firstColumn="1" w:lastColumn="0" w:noHBand="0" w:noVBand="1"/>
      </w:tblPr>
      <w:tblGrid>
        <w:gridCol w:w="4508"/>
        <w:gridCol w:w="4508"/>
      </w:tblGrid>
      <w:tr w:rsidR="00CB5F95" w14:paraId="26FA28A4" w14:textId="77777777" w:rsidTr="00CB5F95">
        <w:tc>
          <w:tcPr>
            <w:tcW w:w="4508" w:type="dxa"/>
          </w:tcPr>
          <w:p w14:paraId="20B99DFD" w14:textId="77777777" w:rsidR="00CB5F95" w:rsidRDefault="00CB5F95" w:rsidP="00CB5F95">
            <w:pPr>
              <w:jc w:val="center"/>
              <w:rPr>
                <w:rFonts w:eastAsia="Calibri" w:cs="Times New Roman"/>
                <w:b w:val="0"/>
                <w:bCs/>
                <w:szCs w:val="24"/>
                <w:lang w:val="en-GB"/>
              </w:rPr>
            </w:pPr>
            <w:r w:rsidRPr="00F04842">
              <w:rPr>
                <w:rFonts w:eastAsia="Calibri" w:cs="Times New Roman"/>
                <w:b w:val="0"/>
                <w:bCs/>
                <w:noProof/>
                <w:szCs w:val="24"/>
                <w:lang w:eastAsia="en-MY"/>
              </w:rPr>
              <w:drawing>
                <wp:inline distT="0" distB="0" distL="0" distR="0" wp14:anchorId="05AB0456" wp14:editId="0CD1F9CA">
                  <wp:extent cx="2618895" cy="1980000"/>
                  <wp:effectExtent l="0" t="0" r="0" b="1270"/>
                  <wp:docPr id="1981" name="Picture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618895" cy="1980000"/>
                          </a:xfrm>
                          <a:prstGeom prst="rect">
                            <a:avLst/>
                          </a:prstGeom>
                          <a:noFill/>
                          <a:ln>
                            <a:noFill/>
                          </a:ln>
                        </pic:spPr>
                      </pic:pic>
                    </a:graphicData>
                  </a:graphic>
                </wp:inline>
              </w:drawing>
            </w:r>
          </w:p>
          <w:p w14:paraId="0BEEB41A" w14:textId="77777777" w:rsidR="00CB5F95" w:rsidRDefault="00CB5F95" w:rsidP="00CB5F95">
            <w:pPr>
              <w:jc w:val="center"/>
              <w:rPr>
                <w:rFonts w:eastAsia="Calibri" w:cs="Times New Roman"/>
                <w:b w:val="0"/>
                <w:bCs/>
                <w:szCs w:val="24"/>
                <w:lang w:val="en-GB"/>
              </w:rPr>
            </w:pPr>
          </w:p>
          <w:p w14:paraId="5F7FFDF8" w14:textId="77777777" w:rsidR="00CB5F95" w:rsidRDefault="00CB5F95" w:rsidP="00CB5F95">
            <w:pPr>
              <w:jc w:val="center"/>
              <w:rPr>
                <w:rFonts w:eastAsia="Calibri" w:cs="Times New Roman"/>
                <w:b w:val="0"/>
                <w:bCs/>
                <w:szCs w:val="24"/>
                <w:lang w:val="en-GB"/>
              </w:rPr>
            </w:pPr>
          </w:p>
        </w:tc>
        <w:tc>
          <w:tcPr>
            <w:tcW w:w="4508" w:type="dxa"/>
          </w:tcPr>
          <w:p w14:paraId="4C3EF998" w14:textId="77777777" w:rsidR="00CB5F95" w:rsidRDefault="00CB5F95" w:rsidP="00CB5F95">
            <w:pPr>
              <w:jc w:val="center"/>
              <w:rPr>
                <w:rFonts w:eastAsia="Calibri" w:cs="Times New Roman"/>
                <w:b w:val="0"/>
                <w:bCs/>
                <w:szCs w:val="24"/>
                <w:lang w:val="en-GB"/>
              </w:rPr>
            </w:pPr>
            <w:r w:rsidRPr="00F04842">
              <w:rPr>
                <w:rFonts w:eastAsia="Calibri" w:cs="Times New Roman"/>
                <w:b w:val="0"/>
                <w:bCs/>
                <w:noProof/>
                <w:szCs w:val="24"/>
                <w:lang w:eastAsia="en-MY"/>
              </w:rPr>
              <w:drawing>
                <wp:inline distT="0" distB="0" distL="0" distR="0" wp14:anchorId="6E6863BE" wp14:editId="35C7540E">
                  <wp:extent cx="2604676" cy="1980000"/>
                  <wp:effectExtent l="0" t="0" r="5715" b="1270"/>
                  <wp:docPr id="1984" name="Pictur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604676" cy="1980000"/>
                          </a:xfrm>
                          <a:prstGeom prst="rect">
                            <a:avLst/>
                          </a:prstGeom>
                          <a:noFill/>
                          <a:ln>
                            <a:noFill/>
                          </a:ln>
                        </pic:spPr>
                      </pic:pic>
                    </a:graphicData>
                  </a:graphic>
                </wp:inline>
              </w:drawing>
            </w:r>
          </w:p>
        </w:tc>
      </w:tr>
      <w:tr w:rsidR="00CB5F95" w14:paraId="0E96142F" w14:textId="77777777" w:rsidTr="00CB5F95">
        <w:tc>
          <w:tcPr>
            <w:tcW w:w="4508" w:type="dxa"/>
          </w:tcPr>
          <w:p w14:paraId="65F5EF0C" w14:textId="77777777" w:rsidR="00CB5F95" w:rsidRPr="00005B88" w:rsidRDefault="00CB5F95" w:rsidP="00CB5F95">
            <w:pPr>
              <w:jc w:val="center"/>
              <w:rPr>
                <w:rFonts w:eastAsia="Calibri" w:cs="Times New Roman"/>
                <w:b w:val="0"/>
                <w:bCs/>
                <w:szCs w:val="24"/>
                <w:lang w:val="en-GB"/>
              </w:rPr>
            </w:pPr>
            <w:r w:rsidRPr="00005B88">
              <w:rPr>
                <w:rFonts w:eastAsia="Times New Roman" w:cs="Times New Roman"/>
                <w:b w:val="0"/>
                <w:color w:val="000000"/>
                <w:szCs w:val="24"/>
                <w:lang w:eastAsia="en-MY"/>
              </w:rPr>
              <w:t>N</w:t>
            </w:r>
            <w:r w:rsidRPr="00005B88">
              <w:rPr>
                <w:rFonts w:eastAsia="Times New Roman" w:cs="Times New Roman"/>
                <w:b w:val="0"/>
                <w:color w:val="000000"/>
                <w:szCs w:val="24"/>
                <w:vertAlign w:val="subscript"/>
                <w:lang w:eastAsia="en-MY"/>
              </w:rPr>
              <w:t>15</w:t>
            </w:r>
            <w:r w:rsidRPr="00005B88">
              <w:rPr>
                <w:rFonts w:eastAsia="Times New Roman" w:cs="Times New Roman"/>
                <w:b w:val="0"/>
                <w:color w:val="000000"/>
                <w:szCs w:val="24"/>
                <w:lang w:eastAsia="en-MY"/>
              </w:rPr>
              <w:t>C</w:t>
            </w:r>
            <w:r w:rsidRPr="00005B88">
              <w:rPr>
                <w:rFonts w:eastAsia="Times New Roman" w:cs="Times New Roman"/>
                <w:b w:val="0"/>
                <w:color w:val="000000"/>
                <w:szCs w:val="24"/>
                <w:vertAlign w:val="subscript"/>
                <w:lang w:eastAsia="en-MY"/>
              </w:rPr>
              <w:t>7.5</w:t>
            </w:r>
            <w:r w:rsidRPr="00005B88">
              <w:rPr>
                <w:rFonts w:eastAsia="Times New Roman" w:cs="Times New Roman"/>
                <w:b w:val="0"/>
                <w:color w:val="000000"/>
                <w:szCs w:val="24"/>
                <w:lang w:eastAsia="en-MY"/>
              </w:rPr>
              <w:t>A</w:t>
            </w:r>
            <w:r w:rsidRPr="00005B88">
              <w:rPr>
                <w:rFonts w:eastAsia="Times New Roman" w:cs="Times New Roman"/>
                <w:b w:val="0"/>
                <w:color w:val="000000"/>
                <w:szCs w:val="24"/>
                <w:vertAlign w:val="subscript"/>
                <w:lang w:eastAsia="en-MY"/>
              </w:rPr>
              <w:t>7.5</w:t>
            </w:r>
            <w:r w:rsidRPr="00005B88">
              <w:rPr>
                <w:rFonts w:eastAsia="Times New Roman" w:cs="Times New Roman"/>
                <w:b w:val="0"/>
                <w:color w:val="000000"/>
                <w:szCs w:val="24"/>
                <w:lang w:eastAsia="en-MY"/>
              </w:rPr>
              <w:t>B</w:t>
            </w:r>
            <w:r w:rsidRPr="00005B88">
              <w:rPr>
                <w:rFonts w:eastAsia="Times New Roman" w:cs="Times New Roman"/>
                <w:b w:val="0"/>
                <w:color w:val="000000"/>
                <w:szCs w:val="24"/>
                <w:vertAlign w:val="subscript"/>
                <w:lang w:eastAsia="en-MY"/>
              </w:rPr>
              <w:t>10</w:t>
            </w:r>
            <w:r w:rsidRPr="00005B88">
              <w:rPr>
                <w:rFonts w:eastAsia="Times New Roman" w:cs="Times New Roman"/>
                <w:b w:val="0"/>
                <w:color w:val="000000"/>
                <w:szCs w:val="24"/>
                <w:lang w:eastAsia="en-MY"/>
              </w:rPr>
              <w:t>S</w:t>
            </w:r>
            <w:r w:rsidRPr="00005B88">
              <w:rPr>
                <w:rFonts w:eastAsia="Times New Roman" w:cs="Times New Roman"/>
                <w:b w:val="0"/>
                <w:color w:val="000000"/>
                <w:szCs w:val="24"/>
                <w:vertAlign w:val="subscript"/>
                <w:lang w:eastAsia="en-MY"/>
              </w:rPr>
              <w:t>60</w:t>
            </w:r>
          </w:p>
        </w:tc>
        <w:tc>
          <w:tcPr>
            <w:tcW w:w="4508" w:type="dxa"/>
          </w:tcPr>
          <w:p w14:paraId="2CA0428F" w14:textId="77777777" w:rsidR="00CB5F95" w:rsidRDefault="00CB5F95" w:rsidP="00CB5F95">
            <w:pPr>
              <w:jc w:val="center"/>
              <w:rPr>
                <w:rFonts w:eastAsia="Times New Roman" w:cs="Times New Roman"/>
                <w:b w:val="0"/>
                <w:color w:val="000000"/>
                <w:szCs w:val="24"/>
                <w:vertAlign w:val="subscript"/>
                <w:lang w:eastAsia="en-MY"/>
              </w:rPr>
            </w:pPr>
            <w:r w:rsidRPr="00005B88">
              <w:rPr>
                <w:rFonts w:eastAsia="Times New Roman" w:cs="Times New Roman"/>
                <w:b w:val="0"/>
                <w:color w:val="000000"/>
                <w:szCs w:val="24"/>
                <w:lang w:eastAsia="en-MY"/>
              </w:rPr>
              <w:t>N</w:t>
            </w:r>
            <w:r w:rsidRPr="00005B88">
              <w:rPr>
                <w:rFonts w:eastAsia="Times New Roman" w:cs="Times New Roman"/>
                <w:b w:val="0"/>
                <w:color w:val="000000"/>
                <w:szCs w:val="24"/>
                <w:vertAlign w:val="subscript"/>
                <w:lang w:eastAsia="en-MY"/>
              </w:rPr>
              <w:t>15</w:t>
            </w:r>
            <w:r w:rsidRPr="00005B88">
              <w:rPr>
                <w:rFonts w:eastAsia="Times New Roman" w:cs="Times New Roman"/>
                <w:b w:val="0"/>
                <w:color w:val="000000"/>
                <w:szCs w:val="24"/>
                <w:lang w:eastAsia="en-MY"/>
              </w:rPr>
              <w:t>Ba</w:t>
            </w:r>
            <w:r w:rsidRPr="00005B88">
              <w:rPr>
                <w:rFonts w:eastAsia="Times New Roman" w:cs="Times New Roman"/>
                <w:b w:val="0"/>
                <w:color w:val="000000"/>
                <w:szCs w:val="24"/>
                <w:vertAlign w:val="subscript"/>
                <w:lang w:eastAsia="en-MY"/>
              </w:rPr>
              <w:t>7.5</w:t>
            </w:r>
            <w:r w:rsidRPr="00005B88">
              <w:rPr>
                <w:rFonts w:eastAsia="Times New Roman" w:cs="Times New Roman"/>
                <w:b w:val="0"/>
                <w:color w:val="000000"/>
                <w:szCs w:val="24"/>
                <w:lang w:eastAsia="en-MY"/>
              </w:rPr>
              <w:t>A</w:t>
            </w:r>
            <w:r w:rsidRPr="00005B88">
              <w:rPr>
                <w:rFonts w:eastAsia="Times New Roman" w:cs="Times New Roman"/>
                <w:b w:val="0"/>
                <w:color w:val="000000"/>
                <w:szCs w:val="24"/>
                <w:vertAlign w:val="subscript"/>
                <w:lang w:eastAsia="en-MY"/>
              </w:rPr>
              <w:t>7.5</w:t>
            </w:r>
            <w:r w:rsidRPr="00005B88">
              <w:rPr>
                <w:rFonts w:eastAsia="Times New Roman" w:cs="Times New Roman"/>
                <w:b w:val="0"/>
                <w:color w:val="000000"/>
                <w:szCs w:val="24"/>
                <w:lang w:eastAsia="en-MY"/>
              </w:rPr>
              <w:t>B</w:t>
            </w:r>
            <w:r w:rsidRPr="00005B88">
              <w:rPr>
                <w:rFonts w:eastAsia="Times New Roman" w:cs="Times New Roman"/>
                <w:b w:val="0"/>
                <w:color w:val="000000"/>
                <w:szCs w:val="24"/>
                <w:vertAlign w:val="subscript"/>
                <w:lang w:eastAsia="en-MY"/>
              </w:rPr>
              <w:t>10</w:t>
            </w:r>
            <w:r w:rsidRPr="00005B88">
              <w:rPr>
                <w:rFonts w:eastAsia="Times New Roman" w:cs="Times New Roman"/>
                <w:b w:val="0"/>
                <w:color w:val="000000"/>
                <w:szCs w:val="24"/>
                <w:lang w:eastAsia="en-MY"/>
              </w:rPr>
              <w:t>S</w:t>
            </w:r>
            <w:r w:rsidRPr="00005B88">
              <w:rPr>
                <w:rFonts w:eastAsia="Times New Roman" w:cs="Times New Roman"/>
                <w:b w:val="0"/>
                <w:color w:val="000000"/>
                <w:szCs w:val="24"/>
                <w:vertAlign w:val="subscript"/>
                <w:lang w:eastAsia="en-MY"/>
              </w:rPr>
              <w:t>60</w:t>
            </w:r>
          </w:p>
          <w:p w14:paraId="26E0868A" w14:textId="04A798DE" w:rsidR="00A850BE" w:rsidRPr="00005B88" w:rsidRDefault="00A850BE" w:rsidP="00CB5F95">
            <w:pPr>
              <w:jc w:val="center"/>
              <w:rPr>
                <w:rFonts w:eastAsia="Calibri" w:cs="Times New Roman"/>
                <w:b w:val="0"/>
                <w:bCs/>
                <w:szCs w:val="24"/>
                <w:lang w:val="en-GB"/>
              </w:rPr>
            </w:pPr>
          </w:p>
        </w:tc>
      </w:tr>
      <w:tr w:rsidR="00CB5F95" w14:paraId="5EF22290" w14:textId="77777777" w:rsidTr="00CB5F95">
        <w:tc>
          <w:tcPr>
            <w:tcW w:w="4508" w:type="dxa"/>
          </w:tcPr>
          <w:p w14:paraId="2E90FD75" w14:textId="77777777" w:rsidR="00CB5F95" w:rsidRDefault="00CB5F95" w:rsidP="00CB5F95">
            <w:pPr>
              <w:jc w:val="center"/>
              <w:rPr>
                <w:rFonts w:eastAsia="Calibri" w:cs="Times New Roman"/>
                <w:b w:val="0"/>
                <w:bCs/>
                <w:szCs w:val="24"/>
                <w:lang w:val="en-GB"/>
              </w:rPr>
            </w:pPr>
            <w:r w:rsidRPr="00F04842">
              <w:rPr>
                <w:rFonts w:eastAsia="Calibri" w:cs="Times New Roman"/>
                <w:b w:val="0"/>
                <w:bCs/>
                <w:noProof/>
                <w:szCs w:val="24"/>
                <w:lang w:eastAsia="en-MY"/>
              </w:rPr>
              <w:drawing>
                <wp:inline distT="0" distB="0" distL="0" distR="0" wp14:anchorId="3AF06372" wp14:editId="3323D565">
                  <wp:extent cx="2628814" cy="1980000"/>
                  <wp:effectExtent l="0" t="0" r="635" b="1270"/>
                  <wp:docPr id="1982" name="Picture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628814" cy="1980000"/>
                          </a:xfrm>
                          <a:prstGeom prst="rect">
                            <a:avLst/>
                          </a:prstGeom>
                          <a:noFill/>
                          <a:ln>
                            <a:noFill/>
                          </a:ln>
                        </pic:spPr>
                      </pic:pic>
                    </a:graphicData>
                  </a:graphic>
                </wp:inline>
              </w:drawing>
            </w:r>
          </w:p>
          <w:p w14:paraId="0B5835B1" w14:textId="77777777" w:rsidR="00CB5F95" w:rsidRDefault="00CB5F95" w:rsidP="00CB5F95">
            <w:pPr>
              <w:jc w:val="center"/>
              <w:rPr>
                <w:rFonts w:eastAsia="Calibri" w:cs="Times New Roman"/>
                <w:b w:val="0"/>
                <w:bCs/>
                <w:szCs w:val="24"/>
                <w:lang w:val="en-GB"/>
              </w:rPr>
            </w:pPr>
          </w:p>
        </w:tc>
        <w:tc>
          <w:tcPr>
            <w:tcW w:w="4508" w:type="dxa"/>
          </w:tcPr>
          <w:p w14:paraId="52108604" w14:textId="77777777" w:rsidR="00CB5F95" w:rsidRDefault="00CB5F95" w:rsidP="00CB5F95">
            <w:pPr>
              <w:jc w:val="center"/>
              <w:rPr>
                <w:rFonts w:eastAsia="Calibri" w:cs="Times New Roman"/>
                <w:b w:val="0"/>
                <w:bCs/>
                <w:szCs w:val="24"/>
                <w:lang w:val="en-GB"/>
              </w:rPr>
            </w:pPr>
            <w:r w:rsidRPr="00F04842">
              <w:rPr>
                <w:rFonts w:eastAsia="Calibri" w:cs="Times New Roman"/>
                <w:b w:val="0"/>
                <w:bCs/>
                <w:noProof/>
                <w:szCs w:val="24"/>
                <w:lang w:eastAsia="en-MY"/>
              </w:rPr>
              <w:drawing>
                <wp:inline distT="0" distB="0" distL="0" distR="0" wp14:anchorId="00BE5A63" wp14:editId="219E4183">
                  <wp:extent cx="2635038" cy="1980000"/>
                  <wp:effectExtent l="0" t="0" r="0" b="1270"/>
                  <wp:docPr id="1985" name="Pictur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635038" cy="1980000"/>
                          </a:xfrm>
                          <a:prstGeom prst="rect">
                            <a:avLst/>
                          </a:prstGeom>
                          <a:noFill/>
                          <a:ln>
                            <a:noFill/>
                          </a:ln>
                        </pic:spPr>
                      </pic:pic>
                    </a:graphicData>
                  </a:graphic>
                </wp:inline>
              </w:drawing>
            </w:r>
          </w:p>
        </w:tc>
      </w:tr>
      <w:tr w:rsidR="00CB5F95" w14:paraId="07CCCD84" w14:textId="77777777" w:rsidTr="00CB5F95">
        <w:tc>
          <w:tcPr>
            <w:tcW w:w="4508" w:type="dxa"/>
          </w:tcPr>
          <w:p w14:paraId="0A24E9B9" w14:textId="77777777" w:rsidR="00CB5F95" w:rsidRPr="00005B88" w:rsidRDefault="00CB5F95" w:rsidP="00CB5F95">
            <w:pPr>
              <w:jc w:val="center"/>
              <w:rPr>
                <w:rFonts w:eastAsia="Calibri" w:cs="Times New Roman"/>
                <w:b w:val="0"/>
                <w:bCs/>
                <w:szCs w:val="24"/>
                <w:lang w:val="en-GB"/>
              </w:rPr>
            </w:pPr>
            <w:r w:rsidRPr="00005B88">
              <w:rPr>
                <w:rFonts w:eastAsia="Times New Roman" w:cs="Times New Roman"/>
                <w:b w:val="0"/>
                <w:color w:val="000000"/>
                <w:szCs w:val="24"/>
                <w:lang w:eastAsia="en-MY"/>
              </w:rPr>
              <w:t>N</w:t>
            </w:r>
            <w:r w:rsidRPr="00005B88">
              <w:rPr>
                <w:rFonts w:eastAsia="Times New Roman" w:cs="Times New Roman"/>
                <w:b w:val="0"/>
                <w:color w:val="000000"/>
                <w:szCs w:val="24"/>
                <w:vertAlign w:val="subscript"/>
                <w:lang w:eastAsia="en-MY"/>
              </w:rPr>
              <w:t>15</w:t>
            </w:r>
            <w:r w:rsidRPr="00005B88">
              <w:rPr>
                <w:rFonts w:eastAsia="Times New Roman" w:cs="Times New Roman"/>
                <w:b w:val="0"/>
                <w:color w:val="000000"/>
                <w:szCs w:val="24"/>
                <w:lang w:eastAsia="en-MY"/>
              </w:rPr>
              <w:t>C</w:t>
            </w:r>
            <w:r w:rsidRPr="00005B88">
              <w:rPr>
                <w:rFonts w:eastAsia="Times New Roman" w:cs="Times New Roman"/>
                <w:b w:val="0"/>
                <w:color w:val="000000"/>
                <w:szCs w:val="24"/>
                <w:vertAlign w:val="subscript"/>
                <w:lang w:eastAsia="en-MY"/>
              </w:rPr>
              <w:t>10</w:t>
            </w:r>
            <w:r w:rsidRPr="00005B88">
              <w:rPr>
                <w:rFonts w:eastAsia="Times New Roman" w:cs="Times New Roman"/>
                <w:b w:val="0"/>
                <w:color w:val="000000"/>
                <w:szCs w:val="24"/>
                <w:lang w:eastAsia="en-MY"/>
              </w:rPr>
              <w:t>A</w:t>
            </w:r>
            <w:r w:rsidRPr="00005B88">
              <w:rPr>
                <w:rFonts w:eastAsia="Times New Roman" w:cs="Times New Roman"/>
                <w:b w:val="0"/>
                <w:color w:val="000000"/>
                <w:szCs w:val="24"/>
                <w:vertAlign w:val="subscript"/>
                <w:lang w:eastAsia="en-MY"/>
              </w:rPr>
              <w:t>5</w:t>
            </w:r>
            <w:r w:rsidRPr="00005B88">
              <w:rPr>
                <w:rFonts w:eastAsia="Times New Roman" w:cs="Times New Roman"/>
                <w:b w:val="0"/>
                <w:color w:val="000000"/>
                <w:szCs w:val="24"/>
                <w:lang w:eastAsia="en-MY"/>
              </w:rPr>
              <w:t>B</w:t>
            </w:r>
            <w:r w:rsidRPr="00005B88">
              <w:rPr>
                <w:rFonts w:eastAsia="Times New Roman" w:cs="Times New Roman"/>
                <w:b w:val="0"/>
                <w:color w:val="000000"/>
                <w:szCs w:val="24"/>
                <w:vertAlign w:val="subscript"/>
                <w:lang w:eastAsia="en-MY"/>
              </w:rPr>
              <w:t>10</w:t>
            </w:r>
            <w:r w:rsidRPr="00005B88">
              <w:rPr>
                <w:rFonts w:eastAsia="Times New Roman" w:cs="Times New Roman"/>
                <w:b w:val="0"/>
                <w:color w:val="000000"/>
                <w:szCs w:val="24"/>
                <w:lang w:eastAsia="en-MY"/>
              </w:rPr>
              <w:t>S</w:t>
            </w:r>
            <w:r w:rsidRPr="00005B88">
              <w:rPr>
                <w:rFonts w:eastAsia="Times New Roman" w:cs="Times New Roman"/>
                <w:b w:val="0"/>
                <w:color w:val="000000"/>
                <w:szCs w:val="24"/>
                <w:vertAlign w:val="subscript"/>
                <w:lang w:eastAsia="en-MY"/>
              </w:rPr>
              <w:t>60</w:t>
            </w:r>
          </w:p>
        </w:tc>
        <w:tc>
          <w:tcPr>
            <w:tcW w:w="4508" w:type="dxa"/>
          </w:tcPr>
          <w:p w14:paraId="41701A23" w14:textId="77777777" w:rsidR="00CB5F95" w:rsidRDefault="00CB5F95" w:rsidP="00CB5F95">
            <w:pPr>
              <w:jc w:val="center"/>
              <w:rPr>
                <w:rFonts w:eastAsia="Times New Roman" w:cs="Times New Roman"/>
                <w:b w:val="0"/>
                <w:color w:val="000000"/>
                <w:szCs w:val="24"/>
                <w:vertAlign w:val="subscript"/>
                <w:lang w:eastAsia="en-MY"/>
              </w:rPr>
            </w:pPr>
            <w:r w:rsidRPr="00005B88">
              <w:rPr>
                <w:rFonts w:eastAsia="Times New Roman" w:cs="Times New Roman"/>
                <w:b w:val="0"/>
                <w:color w:val="000000"/>
                <w:szCs w:val="24"/>
                <w:lang w:eastAsia="en-MY"/>
              </w:rPr>
              <w:t>N</w:t>
            </w:r>
            <w:r w:rsidRPr="00005B88">
              <w:rPr>
                <w:rFonts w:eastAsia="Times New Roman" w:cs="Times New Roman"/>
                <w:b w:val="0"/>
                <w:color w:val="000000"/>
                <w:szCs w:val="24"/>
                <w:vertAlign w:val="subscript"/>
                <w:lang w:eastAsia="en-MY"/>
              </w:rPr>
              <w:t>15</w:t>
            </w:r>
            <w:r w:rsidRPr="00005B88">
              <w:rPr>
                <w:rFonts w:eastAsia="Times New Roman" w:cs="Times New Roman"/>
                <w:b w:val="0"/>
                <w:color w:val="000000"/>
                <w:szCs w:val="24"/>
                <w:lang w:eastAsia="en-MY"/>
              </w:rPr>
              <w:t>Ba</w:t>
            </w:r>
            <w:r w:rsidRPr="00005B88">
              <w:rPr>
                <w:rFonts w:eastAsia="Times New Roman" w:cs="Times New Roman"/>
                <w:b w:val="0"/>
                <w:color w:val="000000"/>
                <w:szCs w:val="24"/>
                <w:vertAlign w:val="subscript"/>
                <w:lang w:eastAsia="en-MY"/>
              </w:rPr>
              <w:t>10</w:t>
            </w:r>
            <w:r w:rsidRPr="00005B88">
              <w:rPr>
                <w:rFonts w:eastAsia="Times New Roman" w:cs="Times New Roman"/>
                <w:b w:val="0"/>
                <w:color w:val="000000"/>
                <w:szCs w:val="24"/>
                <w:lang w:eastAsia="en-MY"/>
              </w:rPr>
              <w:t>A</w:t>
            </w:r>
            <w:r w:rsidRPr="00005B88">
              <w:rPr>
                <w:rFonts w:eastAsia="Times New Roman" w:cs="Times New Roman"/>
                <w:b w:val="0"/>
                <w:color w:val="000000"/>
                <w:szCs w:val="24"/>
                <w:vertAlign w:val="subscript"/>
                <w:lang w:eastAsia="en-MY"/>
              </w:rPr>
              <w:t>5</w:t>
            </w:r>
            <w:r w:rsidRPr="00005B88">
              <w:rPr>
                <w:rFonts w:eastAsia="Times New Roman" w:cs="Times New Roman"/>
                <w:b w:val="0"/>
                <w:color w:val="000000"/>
                <w:szCs w:val="24"/>
                <w:lang w:eastAsia="en-MY"/>
              </w:rPr>
              <w:t>B</w:t>
            </w:r>
            <w:r w:rsidRPr="00005B88">
              <w:rPr>
                <w:rFonts w:eastAsia="Times New Roman" w:cs="Times New Roman"/>
                <w:b w:val="0"/>
                <w:color w:val="000000"/>
                <w:szCs w:val="24"/>
                <w:vertAlign w:val="subscript"/>
                <w:lang w:eastAsia="en-MY"/>
              </w:rPr>
              <w:t>10</w:t>
            </w:r>
            <w:r w:rsidRPr="00005B88">
              <w:rPr>
                <w:rFonts w:eastAsia="Times New Roman" w:cs="Times New Roman"/>
                <w:b w:val="0"/>
                <w:color w:val="000000"/>
                <w:szCs w:val="24"/>
                <w:lang w:eastAsia="en-MY"/>
              </w:rPr>
              <w:t>S</w:t>
            </w:r>
            <w:r w:rsidRPr="00005B88">
              <w:rPr>
                <w:rFonts w:eastAsia="Times New Roman" w:cs="Times New Roman"/>
                <w:b w:val="0"/>
                <w:color w:val="000000"/>
                <w:szCs w:val="24"/>
                <w:vertAlign w:val="subscript"/>
                <w:lang w:eastAsia="en-MY"/>
              </w:rPr>
              <w:t>60</w:t>
            </w:r>
          </w:p>
          <w:p w14:paraId="452717E7" w14:textId="47707CCA" w:rsidR="00A850BE" w:rsidRPr="00005B88" w:rsidRDefault="00A850BE" w:rsidP="00CB5F95">
            <w:pPr>
              <w:jc w:val="center"/>
              <w:rPr>
                <w:rFonts w:eastAsia="Calibri" w:cs="Times New Roman"/>
                <w:b w:val="0"/>
                <w:bCs/>
                <w:szCs w:val="24"/>
                <w:lang w:val="en-GB"/>
              </w:rPr>
            </w:pPr>
          </w:p>
        </w:tc>
      </w:tr>
      <w:tr w:rsidR="00CB5F95" w14:paraId="009D8941" w14:textId="77777777" w:rsidTr="00CB5F95">
        <w:tc>
          <w:tcPr>
            <w:tcW w:w="4508" w:type="dxa"/>
          </w:tcPr>
          <w:p w14:paraId="56F4F733" w14:textId="77777777" w:rsidR="00CB5F95" w:rsidRDefault="00CB5F95" w:rsidP="00CB5F95">
            <w:pPr>
              <w:jc w:val="center"/>
              <w:rPr>
                <w:rFonts w:eastAsia="Calibri" w:cs="Times New Roman"/>
                <w:b w:val="0"/>
                <w:bCs/>
                <w:szCs w:val="24"/>
                <w:lang w:val="en-GB"/>
              </w:rPr>
            </w:pPr>
            <w:r w:rsidRPr="00F04842">
              <w:rPr>
                <w:rFonts w:eastAsia="Calibri" w:cs="Times New Roman"/>
                <w:b w:val="0"/>
                <w:bCs/>
                <w:noProof/>
                <w:szCs w:val="24"/>
                <w:lang w:eastAsia="en-MY"/>
              </w:rPr>
              <w:drawing>
                <wp:inline distT="0" distB="0" distL="0" distR="0" wp14:anchorId="4F44053F" wp14:editId="7F8A323D">
                  <wp:extent cx="2663677" cy="1980000"/>
                  <wp:effectExtent l="0" t="0" r="3810" b="1270"/>
                  <wp:docPr id="1983" name="Picture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663677" cy="1980000"/>
                          </a:xfrm>
                          <a:prstGeom prst="rect">
                            <a:avLst/>
                          </a:prstGeom>
                          <a:noFill/>
                          <a:ln>
                            <a:noFill/>
                          </a:ln>
                        </pic:spPr>
                      </pic:pic>
                    </a:graphicData>
                  </a:graphic>
                </wp:inline>
              </w:drawing>
            </w:r>
          </w:p>
          <w:p w14:paraId="0EBC4CDA" w14:textId="77777777" w:rsidR="00CB5F95" w:rsidRDefault="00CB5F95" w:rsidP="00CB5F95">
            <w:pPr>
              <w:jc w:val="center"/>
              <w:rPr>
                <w:rFonts w:eastAsia="Calibri" w:cs="Times New Roman"/>
                <w:b w:val="0"/>
                <w:bCs/>
                <w:szCs w:val="24"/>
                <w:lang w:val="en-GB"/>
              </w:rPr>
            </w:pPr>
          </w:p>
        </w:tc>
        <w:tc>
          <w:tcPr>
            <w:tcW w:w="4508" w:type="dxa"/>
          </w:tcPr>
          <w:p w14:paraId="68DCFB32" w14:textId="77777777" w:rsidR="00CB5F95" w:rsidRDefault="00CB5F95" w:rsidP="00CB5F95">
            <w:pPr>
              <w:jc w:val="center"/>
              <w:rPr>
                <w:rFonts w:eastAsia="Calibri" w:cs="Times New Roman"/>
                <w:b w:val="0"/>
                <w:bCs/>
                <w:szCs w:val="24"/>
                <w:lang w:val="en-GB"/>
              </w:rPr>
            </w:pPr>
            <w:r w:rsidRPr="00F04842">
              <w:rPr>
                <w:rFonts w:eastAsia="Calibri" w:cs="Times New Roman"/>
                <w:b w:val="0"/>
                <w:bCs/>
                <w:noProof/>
                <w:szCs w:val="24"/>
                <w:lang w:eastAsia="en-MY"/>
              </w:rPr>
              <w:drawing>
                <wp:inline distT="0" distB="0" distL="0" distR="0" wp14:anchorId="73B64957" wp14:editId="3328801F">
                  <wp:extent cx="2600301" cy="1980000"/>
                  <wp:effectExtent l="0" t="0" r="0" b="1270"/>
                  <wp:docPr id="1986" name="Pictur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600301" cy="1980000"/>
                          </a:xfrm>
                          <a:prstGeom prst="rect">
                            <a:avLst/>
                          </a:prstGeom>
                          <a:noFill/>
                          <a:ln>
                            <a:noFill/>
                          </a:ln>
                        </pic:spPr>
                      </pic:pic>
                    </a:graphicData>
                  </a:graphic>
                </wp:inline>
              </w:drawing>
            </w:r>
          </w:p>
        </w:tc>
      </w:tr>
      <w:tr w:rsidR="00CB5F95" w14:paraId="1F7E182B" w14:textId="77777777" w:rsidTr="00CB5F95">
        <w:tc>
          <w:tcPr>
            <w:tcW w:w="4508" w:type="dxa"/>
          </w:tcPr>
          <w:p w14:paraId="36A73F28" w14:textId="77777777" w:rsidR="00CB5F95" w:rsidRPr="00005B88" w:rsidRDefault="00CB5F95" w:rsidP="00CB5F95">
            <w:pPr>
              <w:jc w:val="center"/>
              <w:rPr>
                <w:rFonts w:eastAsia="Calibri" w:cs="Times New Roman"/>
                <w:b w:val="0"/>
                <w:bCs/>
                <w:szCs w:val="24"/>
                <w:lang w:val="en-GB"/>
              </w:rPr>
            </w:pPr>
            <w:r w:rsidRPr="00005B88">
              <w:rPr>
                <w:rFonts w:eastAsia="Times New Roman" w:cs="Times New Roman"/>
                <w:b w:val="0"/>
                <w:color w:val="000000"/>
                <w:szCs w:val="24"/>
                <w:lang w:eastAsia="en-MY"/>
              </w:rPr>
              <w:t>N</w:t>
            </w:r>
            <w:r w:rsidRPr="00005B88">
              <w:rPr>
                <w:rFonts w:eastAsia="Times New Roman" w:cs="Times New Roman"/>
                <w:b w:val="0"/>
                <w:color w:val="000000"/>
                <w:szCs w:val="24"/>
                <w:vertAlign w:val="subscript"/>
                <w:lang w:eastAsia="en-MY"/>
              </w:rPr>
              <w:t>15</w:t>
            </w:r>
            <w:r w:rsidRPr="00005B88">
              <w:rPr>
                <w:rFonts w:eastAsia="Times New Roman" w:cs="Times New Roman"/>
                <w:b w:val="0"/>
                <w:color w:val="000000"/>
                <w:szCs w:val="24"/>
                <w:lang w:eastAsia="en-MY"/>
              </w:rPr>
              <w:t>C</w:t>
            </w:r>
            <w:r w:rsidRPr="00005B88">
              <w:rPr>
                <w:rFonts w:eastAsia="Times New Roman" w:cs="Times New Roman"/>
                <w:b w:val="0"/>
                <w:color w:val="000000"/>
                <w:szCs w:val="24"/>
                <w:vertAlign w:val="subscript"/>
                <w:lang w:eastAsia="en-MY"/>
              </w:rPr>
              <w:t>12.5</w:t>
            </w:r>
            <w:r w:rsidRPr="00005B88">
              <w:rPr>
                <w:rFonts w:eastAsia="Times New Roman" w:cs="Times New Roman"/>
                <w:b w:val="0"/>
                <w:color w:val="000000"/>
                <w:szCs w:val="24"/>
                <w:lang w:eastAsia="en-MY"/>
              </w:rPr>
              <w:t>A</w:t>
            </w:r>
            <w:r w:rsidRPr="00005B88">
              <w:rPr>
                <w:rFonts w:eastAsia="Times New Roman" w:cs="Times New Roman"/>
                <w:b w:val="0"/>
                <w:color w:val="000000"/>
                <w:szCs w:val="24"/>
                <w:vertAlign w:val="subscript"/>
                <w:lang w:eastAsia="en-MY"/>
              </w:rPr>
              <w:t>2.5</w:t>
            </w:r>
            <w:r w:rsidRPr="00005B88">
              <w:rPr>
                <w:rFonts w:eastAsia="Times New Roman" w:cs="Times New Roman"/>
                <w:b w:val="0"/>
                <w:color w:val="000000"/>
                <w:szCs w:val="24"/>
                <w:lang w:eastAsia="en-MY"/>
              </w:rPr>
              <w:t>B</w:t>
            </w:r>
            <w:r w:rsidRPr="00005B88">
              <w:rPr>
                <w:rFonts w:eastAsia="Times New Roman" w:cs="Times New Roman"/>
                <w:b w:val="0"/>
                <w:color w:val="000000"/>
                <w:szCs w:val="24"/>
                <w:vertAlign w:val="subscript"/>
                <w:lang w:eastAsia="en-MY"/>
              </w:rPr>
              <w:t>10</w:t>
            </w:r>
            <w:r w:rsidRPr="00005B88">
              <w:rPr>
                <w:rFonts w:eastAsia="Times New Roman" w:cs="Times New Roman"/>
                <w:b w:val="0"/>
                <w:color w:val="000000"/>
                <w:szCs w:val="24"/>
                <w:lang w:eastAsia="en-MY"/>
              </w:rPr>
              <w:t>S</w:t>
            </w:r>
            <w:r w:rsidRPr="00005B88">
              <w:rPr>
                <w:rFonts w:eastAsia="Times New Roman" w:cs="Times New Roman"/>
                <w:b w:val="0"/>
                <w:color w:val="000000"/>
                <w:szCs w:val="24"/>
                <w:vertAlign w:val="subscript"/>
                <w:lang w:eastAsia="en-MY"/>
              </w:rPr>
              <w:t>60</w:t>
            </w:r>
          </w:p>
        </w:tc>
        <w:tc>
          <w:tcPr>
            <w:tcW w:w="4508" w:type="dxa"/>
          </w:tcPr>
          <w:p w14:paraId="271ABA79" w14:textId="77777777" w:rsidR="00CB5F95" w:rsidRDefault="00CB5F95" w:rsidP="00CB5F95">
            <w:pPr>
              <w:jc w:val="center"/>
              <w:rPr>
                <w:rFonts w:eastAsia="Times New Roman" w:cs="Times New Roman"/>
                <w:b w:val="0"/>
                <w:color w:val="000000"/>
                <w:szCs w:val="24"/>
                <w:vertAlign w:val="subscript"/>
                <w:lang w:eastAsia="en-MY"/>
              </w:rPr>
            </w:pPr>
            <w:r w:rsidRPr="00005B88">
              <w:rPr>
                <w:rFonts w:eastAsia="Times New Roman" w:cs="Times New Roman"/>
                <w:b w:val="0"/>
                <w:color w:val="000000"/>
                <w:szCs w:val="24"/>
                <w:lang w:eastAsia="en-MY"/>
              </w:rPr>
              <w:t>N</w:t>
            </w:r>
            <w:r w:rsidRPr="00005B88">
              <w:rPr>
                <w:rFonts w:eastAsia="Times New Roman" w:cs="Times New Roman"/>
                <w:b w:val="0"/>
                <w:color w:val="000000"/>
                <w:szCs w:val="24"/>
                <w:vertAlign w:val="subscript"/>
                <w:lang w:eastAsia="en-MY"/>
              </w:rPr>
              <w:t>15</w:t>
            </w:r>
            <w:r w:rsidRPr="00005B88">
              <w:rPr>
                <w:rFonts w:eastAsia="Times New Roman" w:cs="Times New Roman"/>
                <w:b w:val="0"/>
                <w:color w:val="000000"/>
                <w:szCs w:val="24"/>
                <w:lang w:eastAsia="en-MY"/>
              </w:rPr>
              <w:t>Ba</w:t>
            </w:r>
            <w:r w:rsidRPr="00005B88">
              <w:rPr>
                <w:rFonts w:eastAsia="Times New Roman" w:cs="Times New Roman"/>
                <w:b w:val="0"/>
                <w:color w:val="000000"/>
                <w:szCs w:val="24"/>
                <w:vertAlign w:val="subscript"/>
                <w:lang w:eastAsia="en-MY"/>
              </w:rPr>
              <w:t>12.5</w:t>
            </w:r>
            <w:r w:rsidRPr="00005B88">
              <w:rPr>
                <w:rFonts w:eastAsia="Times New Roman" w:cs="Times New Roman"/>
                <w:b w:val="0"/>
                <w:color w:val="000000"/>
                <w:szCs w:val="24"/>
                <w:lang w:eastAsia="en-MY"/>
              </w:rPr>
              <w:t>A</w:t>
            </w:r>
            <w:r w:rsidRPr="00005B88">
              <w:rPr>
                <w:rFonts w:eastAsia="Times New Roman" w:cs="Times New Roman"/>
                <w:b w:val="0"/>
                <w:color w:val="000000"/>
                <w:szCs w:val="24"/>
                <w:vertAlign w:val="subscript"/>
                <w:lang w:eastAsia="en-MY"/>
              </w:rPr>
              <w:t>2.5</w:t>
            </w:r>
            <w:r w:rsidRPr="00005B88">
              <w:rPr>
                <w:rFonts w:eastAsia="Times New Roman" w:cs="Times New Roman"/>
                <w:b w:val="0"/>
                <w:color w:val="000000"/>
                <w:szCs w:val="24"/>
                <w:lang w:eastAsia="en-MY"/>
              </w:rPr>
              <w:t>B</w:t>
            </w:r>
            <w:r w:rsidRPr="00005B88">
              <w:rPr>
                <w:rFonts w:eastAsia="Times New Roman" w:cs="Times New Roman"/>
                <w:b w:val="0"/>
                <w:color w:val="000000"/>
                <w:szCs w:val="24"/>
                <w:vertAlign w:val="subscript"/>
                <w:lang w:eastAsia="en-MY"/>
              </w:rPr>
              <w:t>10</w:t>
            </w:r>
            <w:r w:rsidRPr="00005B88">
              <w:rPr>
                <w:rFonts w:eastAsia="Times New Roman" w:cs="Times New Roman"/>
                <w:b w:val="0"/>
                <w:color w:val="000000"/>
                <w:szCs w:val="24"/>
                <w:lang w:eastAsia="en-MY"/>
              </w:rPr>
              <w:t>S</w:t>
            </w:r>
            <w:r w:rsidRPr="00005B88">
              <w:rPr>
                <w:rFonts w:eastAsia="Times New Roman" w:cs="Times New Roman"/>
                <w:b w:val="0"/>
                <w:color w:val="000000"/>
                <w:szCs w:val="24"/>
                <w:vertAlign w:val="subscript"/>
                <w:lang w:eastAsia="en-MY"/>
              </w:rPr>
              <w:t>60</w:t>
            </w:r>
          </w:p>
          <w:p w14:paraId="492EB261" w14:textId="4340C6E3" w:rsidR="00A850BE" w:rsidRPr="00005B88" w:rsidRDefault="00A850BE" w:rsidP="00CB5F95">
            <w:pPr>
              <w:jc w:val="center"/>
              <w:rPr>
                <w:rFonts w:eastAsia="Calibri" w:cs="Times New Roman"/>
                <w:b w:val="0"/>
                <w:bCs/>
                <w:szCs w:val="24"/>
                <w:lang w:val="en-GB"/>
              </w:rPr>
            </w:pPr>
          </w:p>
        </w:tc>
      </w:tr>
    </w:tbl>
    <w:p w14:paraId="4371F6CC" w14:textId="77777777" w:rsidR="00CB5F95" w:rsidRDefault="00CB5F95" w:rsidP="00CB5F95">
      <w:pPr>
        <w:spacing w:line="240" w:lineRule="auto"/>
        <w:jc w:val="center"/>
        <w:rPr>
          <w:rFonts w:eastAsia="Calibri" w:cs="Times New Roman"/>
          <w:b w:val="0"/>
          <w:bCs/>
          <w:szCs w:val="24"/>
          <w:lang w:val="en-GB"/>
        </w:rPr>
      </w:pPr>
    </w:p>
    <w:p w14:paraId="0615CD66" w14:textId="77777777" w:rsidR="00CB5F95" w:rsidRDefault="00CB5F95" w:rsidP="00CB5F95">
      <w:pPr>
        <w:spacing w:line="240" w:lineRule="auto"/>
        <w:jc w:val="center"/>
        <w:rPr>
          <w:rFonts w:eastAsia="Calibri" w:cs="Times New Roman"/>
          <w:b w:val="0"/>
          <w:bCs/>
          <w:szCs w:val="24"/>
          <w:lang w:val="en-GB"/>
        </w:rPr>
      </w:pPr>
    </w:p>
    <w:p w14:paraId="695F6EAC" w14:textId="77777777" w:rsidR="00CB5F95" w:rsidRDefault="00CB5F95" w:rsidP="00CB5F95">
      <w:pPr>
        <w:spacing w:line="240" w:lineRule="auto"/>
        <w:jc w:val="center"/>
        <w:rPr>
          <w:rFonts w:eastAsia="Calibri" w:cs="Times New Roman"/>
          <w:b w:val="0"/>
          <w:bCs/>
          <w:szCs w:val="24"/>
          <w:lang w:val="en-GB"/>
        </w:rPr>
      </w:pPr>
      <w:r>
        <w:rPr>
          <w:rFonts w:eastAsia="Calibri" w:cs="Times New Roman"/>
          <w:b w:val="0"/>
          <w:bCs/>
          <w:noProof/>
          <w:szCs w:val="24"/>
          <w:lang w:eastAsia="en-MY"/>
        </w:rPr>
        <w:lastRenderedPageBreak/>
        <mc:AlternateContent>
          <mc:Choice Requires="wps">
            <w:drawing>
              <wp:anchor distT="0" distB="0" distL="114300" distR="114300" simplePos="0" relativeHeight="252578816" behindDoc="0" locked="0" layoutInCell="1" allowOverlap="1" wp14:anchorId="33C8064C" wp14:editId="1BA64DB4">
                <wp:simplePos x="0" y="0"/>
                <wp:positionH relativeFrom="column">
                  <wp:posOffset>3438144</wp:posOffset>
                </wp:positionH>
                <wp:positionV relativeFrom="paragraph">
                  <wp:posOffset>158496</wp:posOffset>
                </wp:positionV>
                <wp:extent cx="1865376" cy="314325"/>
                <wp:effectExtent l="0" t="0" r="1905" b="9525"/>
                <wp:wrapNone/>
                <wp:docPr id="1907" name="Text Box 1907"/>
                <wp:cNvGraphicFramePr/>
                <a:graphic xmlns:a="http://schemas.openxmlformats.org/drawingml/2006/main">
                  <a:graphicData uri="http://schemas.microsoft.com/office/word/2010/wordprocessingShape">
                    <wps:wsp>
                      <wps:cNvSpPr txBox="1"/>
                      <wps:spPr>
                        <a:xfrm>
                          <a:off x="0" y="0"/>
                          <a:ext cx="1865376" cy="314325"/>
                        </a:xfrm>
                        <a:prstGeom prst="rect">
                          <a:avLst/>
                        </a:prstGeom>
                        <a:solidFill>
                          <a:schemeClr val="lt1"/>
                        </a:solidFill>
                        <a:ln w="6350">
                          <a:noFill/>
                        </a:ln>
                      </wps:spPr>
                      <wps:txbx>
                        <w:txbxContent>
                          <w:p w14:paraId="3C3E7D39" w14:textId="77777777" w:rsidR="00230AB9" w:rsidRPr="00005B88" w:rsidRDefault="00230AB9" w:rsidP="00CB5F95">
                            <w:pPr>
                              <w:rPr>
                                <w:szCs w:val="24"/>
                              </w:rPr>
                            </w:pPr>
                            <w:r w:rsidRPr="00005B88">
                              <w:rPr>
                                <w:rFonts w:eastAsia="Calibri" w:cs="Times New Roman"/>
                                <w:bCs/>
                                <w:szCs w:val="24"/>
                                <w:lang w:val="en-GB"/>
                              </w:rPr>
                              <w:t xml:space="preserve">Series </w:t>
                            </w:r>
                            <w:r w:rsidRPr="00005B88">
                              <w:rPr>
                                <w:rFonts w:eastAsia="Times New Roman" w:cs="Times New Roman"/>
                                <w:color w:val="000000"/>
                                <w:szCs w:val="24"/>
                                <w:lang w:eastAsia="en-MY"/>
                              </w:rPr>
                              <w:t>N</w:t>
                            </w:r>
                            <w:r w:rsidRPr="00005B88">
                              <w:rPr>
                                <w:rFonts w:eastAsia="Times New Roman" w:cs="Times New Roman"/>
                                <w:color w:val="000000"/>
                                <w:szCs w:val="24"/>
                                <w:vertAlign w:val="subscript"/>
                                <w:lang w:eastAsia="en-MY"/>
                              </w:rPr>
                              <w:t>10</w:t>
                            </w:r>
                            <w:r w:rsidRPr="00005B88">
                              <w:rPr>
                                <w:rFonts w:eastAsia="Times New Roman" w:cs="Times New Roman"/>
                                <w:color w:val="000000"/>
                                <w:szCs w:val="24"/>
                                <w:lang w:eastAsia="en-MY"/>
                              </w:rPr>
                              <w:t>Ba</w:t>
                            </w:r>
                            <w:r w:rsidRPr="00005B88">
                              <w:rPr>
                                <w:rFonts w:eastAsia="Times New Roman" w:cs="Times New Roman"/>
                                <w:color w:val="000000"/>
                                <w:szCs w:val="24"/>
                                <w:vertAlign w:val="subscript"/>
                                <w:lang w:eastAsia="en-MY"/>
                              </w:rPr>
                              <w:t>x</w:t>
                            </w:r>
                            <w:r w:rsidRPr="00005B88">
                              <w:rPr>
                                <w:rFonts w:eastAsia="Times New Roman" w:cs="Times New Roman"/>
                                <w:color w:val="000000"/>
                                <w:szCs w:val="24"/>
                                <w:lang w:eastAsia="en-MY"/>
                              </w:rPr>
                              <w:t>A</w:t>
                            </w:r>
                            <w:r w:rsidRPr="00005B88">
                              <w:rPr>
                                <w:rFonts w:eastAsia="Times New Roman" w:cs="Times New Roman"/>
                                <w:color w:val="000000"/>
                                <w:szCs w:val="24"/>
                                <w:vertAlign w:val="subscript"/>
                                <w:lang w:eastAsia="en-MY"/>
                              </w:rPr>
                              <w:t>20-x</w:t>
                            </w:r>
                            <w:r w:rsidRPr="00005B88">
                              <w:rPr>
                                <w:rFonts w:eastAsia="Times New Roman" w:cs="Times New Roman"/>
                                <w:color w:val="000000"/>
                                <w:szCs w:val="24"/>
                                <w:lang w:eastAsia="en-MY"/>
                              </w:rPr>
                              <w:t>B</w:t>
                            </w:r>
                            <w:r w:rsidRPr="00005B88">
                              <w:rPr>
                                <w:rFonts w:eastAsia="Times New Roman" w:cs="Times New Roman"/>
                                <w:color w:val="000000"/>
                                <w:szCs w:val="24"/>
                                <w:vertAlign w:val="subscript"/>
                                <w:lang w:eastAsia="en-MY"/>
                              </w:rPr>
                              <w:t>10</w:t>
                            </w:r>
                            <w:r w:rsidRPr="00005B88">
                              <w:rPr>
                                <w:rFonts w:eastAsia="Times New Roman" w:cs="Times New Roman"/>
                                <w:color w:val="000000"/>
                                <w:szCs w:val="24"/>
                                <w:lang w:eastAsia="en-MY"/>
                              </w:rPr>
                              <w:t>S</w:t>
                            </w:r>
                            <w:r w:rsidRPr="00005B88">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8064C" id="Text Box 1907" o:spid="_x0000_s1438" type="#_x0000_t202" style="position:absolute;left:0;text-align:left;margin-left:270.7pt;margin-top:12.5pt;width:146.9pt;height:24.75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" fillcolor="white [3201]" stroked="f" strokeweight=".5pt">
                <v:textbox>
                  <w:txbxContent>
                    <w:p w14:paraId="3C3E7D39" w14:textId="77777777" w:rsidR="00230AB9" w:rsidRPr="00005B88" w:rsidRDefault="00230AB9" w:rsidP="00CB5F95">
                      <w:pPr>
                        <w:rPr>
                          <w:szCs w:val="24"/>
                        </w:rPr>
                      </w:pPr>
                      <w:r w:rsidRPr="00005B88">
                        <w:rPr>
                          <w:rFonts w:eastAsia="Calibri" w:cs="Times New Roman"/>
                          <w:bCs/>
                          <w:szCs w:val="24"/>
                          <w:lang w:val="en-GB"/>
                        </w:rPr>
                        <w:t xml:space="preserve">Series </w:t>
                      </w:r>
                      <w:r w:rsidRPr="00005B88">
                        <w:rPr>
                          <w:rFonts w:eastAsia="Times New Roman" w:cs="Times New Roman"/>
                          <w:color w:val="000000"/>
                          <w:szCs w:val="24"/>
                          <w:lang w:eastAsia="en-MY"/>
                        </w:rPr>
                        <w:t>N</w:t>
                      </w:r>
                      <w:r w:rsidRPr="00005B88">
                        <w:rPr>
                          <w:rFonts w:eastAsia="Times New Roman" w:cs="Times New Roman"/>
                          <w:color w:val="000000"/>
                          <w:szCs w:val="24"/>
                          <w:vertAlign w:val="subscript"/>
                          <w:lang w:eastAsia="en-MY"/>
                        </w:rPr>
                        <w:t>10</w:t>
                      </w:r>
                      <w:r w:rsidRPr="00005B88">
                        <w:rPr>
                          <w:rFonts w:eastAsia="Times New Roman" w:cs="Times New Roman"/>
                          <w:color w:val="000000"/>
                          <w:szCs w:val="24"/>
                          <w:lang w:eastAsia="en-MY"/>
                        </w:rPr>
                        <w:t>Ba</w:t>
                      </w:r>
                      <w:r w:rsidRPr="00005B88">
                        <w:rPr>
                          <w:rFonts w:eastAsia="Times New Roman" w:cs="Times New Roman"/>
                          <w:color w:val="000000"/>
                          <w:szCs w:val="24"/>
                          <w:vertAlign w:val="subscript"/>
                          <w:lang w:eastAsia="en-MY"/>
                        </w:rPr>
                        <w:t>x</w:t>
                      </w:r>
                      <w:r w:rsidRPr="00005B88">
                        <w:rPr>
                          <w:rFonts w:eastAsia="Times New Roman" w:cs="Times New Roman"/>
                          <w:color w:val="000000"/>
                          <w:szCs w:val="24"/>
                          <w:lang w:eastAsia="en-MY"/>
                        </w:rPr>
                        <w:t>A</w:t>
                      </w:r>
                      <w:r w:rsidRPr="00005B88">
                        <w:rPr>
                          <w:rFonts w:eastAsia="Times New Roman" w:cs="Times New Roman"/>
                          <w:color w:val="000000"/>
                          <w:szCs w:val="24"/>
                          <w:vertAlign w:val="subscript"/>
                          <w:lang w:eastAsia="en-MY"/>
                        </w:rPr>
                        <w:t>20-x</w:t>
                      </w:r>
                      <w:r w:rsidRPr="00005B88">
                        <w:rPr>
                          <w:rFonts w:eastAsia="Times New Roman" w:cs="Times New Roman"/>
                          <w:color w:val="000000"/>
                          <w:szCs w:val="24"/>
                          <w:lang w:eastAsia="en-MY"/>
                        </w:rPr>
                        <w:t>B</w:t>
                      </w:r>
                      <w:r w:rsidRPr="00005B88">
                        <w:rPr>
                          <w:rFonts w:eastAsia="Times New Roman" w:cs="Times New Roman"/>
                          <w:color w:val="000000"/>
                          <w:szCs w:val="24"/>
                          <w:vertAlign w:val="subscript"/>
                          <w:lang w:eastAsia="en-MY"/>
                        </w:rPr>
                        <w:t>10</w:t>
                      </w:r>
                      <w:r w:rsidRPr="00005B88">
                        <w:rPr>
                          <w:rFonts w:eastAsia="Times New Roman" w:cs="Times New Roman"/>
                          <w:color w:val="000000"/>
                          <w:szCs w:val="24"/>
                          <w:lang w:eastAsia="en-MY"/>
                        </w:rPr>
                        <w:t>S</w:t>
                      </w:r>
                      <w:r w:rsidRPr="00005B88">
                        <w:rPr>
                          <w:rFonts w:eastAsia="Times New Roman" w:cs="Times New Roman"/>
                          <w:color w:val="000000"/>
                          <w:szCs w:val="24"/>
                          <w:vertAlign w:val="subscript"/>
                          <w:lang w:eastAsia="en-MY"/>
                        </w:rPr>
                        <w:t>60</w:t>
                      </w:r>
                    </w:p>
                  </w:txbxContent>
                </v:textbox>
              </v:shape>
            </w:pict>
          </mc:Fallback>
        </mc:AlternateContent>
      </w:r>
      <w:r>
        <w:rPr>
          <w:rFonts w:eastAsia="Calibri" w:cs="Times New Roman"/>
          <w:b w:val="0"/>
          <w:bCs/>
          <w:noProof/>
          <w:szCs w:val="24"/>
          <w:lang w:eastAsia="en-MY"/>
        </w:rPr>
        <mc:AlternateContent>
          <mc:Choice Requires="wps">
            <w:drawing>
              <wp:anchor distT="0" distB="0" distL="114300" distR="114300" simplePos="0" relativeHeight="252577792" behindDoc="0" locked="0" layoutInCell="1" allowOverlap="1" wp14:anchorId="55FFBFCA" wp14:editId="4F6D9A93">
                <wp:simplePos x="0" y="0"/>
                <wp:positionH relativeFrom="column">
                  <wp:posOffset>512064</wp:posOffset>
                </wp:positionH>
                <wp:positionV relativeFrom="paragraph">
                  <wp:posOffset>158496</wp:posOffset>
                </wp:positionV>
                <wp:extent cx="1767840" cy="295275"/>
                <wp:effectExtent l="0" t="0" r="3810" b="9525"/>
                <wp:wrapNone/>
                <wp:docPr id="1906" name="Text Box 1906"/>
                <wp:cNvGraphicFramePr/>
                <a:graphic xmlns:a="http://schemas.openxmlformats.org/drawingml/2006/main">
                  <a:graphicData uri="http://schemas.microsoft.com/office/word/2010/wordprocessingShape">
                    <wps:wsp>
                      <wps:cNvSpPr txBox="1"/>
                      <wps:spPr>
                        <a:xfrm>
                          <a:off x="0" y="0"/>
                          <a:ext cx="1767840" cy="295275"/>
                        </a:xfrm>
                        <a:prstGeom prst="rect">
                          <a:avLst/>
                        </a:prstGeom>
                        <a:solidFill>
                          <a:schemeClr val="lt1"/>
                        </a:solidFill>
                        <a:ln w="6350">
                          <a:noFill/>
                        </a:ln>
                      </wps:spPr>
                      <wps:txbx>
                        <w:txbxContent>
                          <w:p w14:paraId="4D9D2D9F" w14:textId="77777777" w:rsidR="00230AB9" w:rsidRPr="00005B88" w:rsidRDefault="00230AB9" w:rsidP="00CB5F95">
                            <w:pPr>
                              <w:rPr>
                                <w:szCs w:val="24"/>
                              </w:rPr>
                            </w:pPr>
                            <w:r w:rsidRPr="00005B88">
                              <w:rPr>
                                <w:rFonts w:eastAsia="Calibri" w:cs="Times New Roman"/>
                                <w:bCs/>
                                <w:szCs w:val="24"/>
                                <w:lang w:val="en-GB"/>
                              </w:rPr>
                              <w:t xml:space="preserve">Series </w:t>
                            </w:r>
                            <w:r w:rsidRPr="00005B88">
                              <w:rPr>
                                <w:rFonts w:eastAsia="Times New Roman" w:cs="Times New Roman"/>
                                <w:color w:val="000000"/>
                                <w:szCs w:val="24"/>
                                <w:lang w:eastAsia="en-MY"/>
                              </w:rPr>
                              <w:t>N</w:t>
                            </w:r>
                            <w:r w:rsidRPr="00005B88">
                              <w:rPr>
                                <w:rFonts w:eastAsia="Times New Roman" w:cs="Times New Roman"/>
                                <w:color w:val="000000"/>
                                <w:szCs w:val="24"/>
                                <w:vertAlign w:val="subscript"/>
                                <w:lang w:eastAsia="en-MY"/>
                              </w:rPr>
                              <w:t>10</w:t>
                            </w:r>
                            <w:r w:rsidRPr="00005B88">
                              <w:rPr>
                                <w:rFonts w:eastAsia="Times New Roman" w:cs="Times New Roman"/>
                                <w:color w:val="000000"/>
                                <w:szCs w:val="24"/>
                                <w:lang w:eastAsia="en-MY"/>
                              </w:rPr>
                              <w:t>C</w:t>
                            </w:r>
                            <w:r w:rsidRPr="00005B88">
                              <w:rPr>
                                <w:rFonts w:eastAsia="Times New Roman" w:cs="Times New Roman"/>
                                <w:color w:val="000000"/>
                                <w:szCs w:val="24"/>
                                <w:vertAlign w:val="subscript"/>
                                <w:lang w:eastAsia="en-MY"/>
                              </w:rPr>
                              <w:t>x</w:t>
                            </w:r>
                            <w:r w:rsidRPr="00005B88">
                              <w:rPr>
                                <w:rFonts w:eastAsia="Times New Roman" w:cs="Times New Roman"/>
                                <w:color w:val="000000"/>
                                <w:szCs w:val="24"/>
                                <w:lang w:eastAsia="en-MY"/>
                              </w:rPr>
                              <w:t>A</w:t>
                            </w:r>
                            <w:r w:rsidRPr="00005B88">
                              <w:rPr>
                                <w:rFonts w:eastAsia="Times New Roman" w:cs="Times New Roman"/>
                                <w:color w:val="000000"/>
                                <w:szCs w:val="24"/>
                                <w:vertAlign w:val="subscript"/>
                                <w:lang w:eastAsia="en-MY"/>
                              </w:rPr>
                              <w:t>20-x</w:t>
                            </w:r>
                            <w:r w:rsidRPr="00005B88">
                              <w:rPr>
                                <w:rFonts w:eastAsia="Times New Roman" w:cs="Times New Roman"/>
                                <w:color w:val="000000"/>
                                <w:szCs w:val="24"/>
                                <w:lang w:eastAsia="en-MY"/>
                              </w:rPr>
                              <w:t>B</w:t>
                            </w:r>
                            <w:r w:rsidRPr="00005B88">
                              <w:rPr>
                                <w:rFonts w:eastAsia="Times New Roman" w:cs="Times New Roman"/>
                                <w:color w:val="000000"/>
                                <w:szCs w:val="24"/>
                                <w:vertAlign w:val="subscript"/>
                                <w:lang w:eastAsia="en-MY"/>
                              </w:rPr>
                              <w:t>10</w:t>
                            </w:r>
                            <w:r w:rsidRPr="00005B88">
                              <w:rPr>
                                <w:rFonts w:eastAsia="Times New Roman" w:cs="Times New Roman"/>
                                <w:color w:val="000000"/>
                                <w:szCs w:val="24"/>
                                <w:lang w:eastAsia="en-MY"/>
                              </w:rPr>
                              <w:t>S</w:t>
                            </w:r>
                            <w:r w:rsidRPr="00005B88">
                              <w:rPr>
                                <w:rFonts w:eastAsia="Times New Roman" w:cs="Times New Roman"/>
                                <w:color w:val="000000"/>
                                <w:szCs w:val="24"/>
                                <w:vertAlign w:val="subscript"/>
                                <w:lang w:eastAsia="en-MY"/>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FBFCA" id="Text Box 1906" o:spid="_x0000_s1439" type="#_x0000_t202" style="position:absolute;left:0;text-align:left;margin-left:40.3pt;margin-top:12.5pt;width:139.2pt;height:23.25pt;z-index:2525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" fillcolor="white [3201]" stroked="f" strokeweight=".5pt">
                <v:textbox>
                  <w:txbxContent>
                    <w:p w14:paraId="4D9D2D9F" w14:textId="77777777" w:rsidR="00230AB9" w:rsidRPr="00005B88" w:rsidRDefault="00230AB9" w:rsidP="00CB5F95">
                      <w:pPr>
                        <w:rPr>
                          <w:szCs w:val="24"/>
                        </w:rPr>
                      </w:pPr>
                      <w:r w:rsidRPr="00005B88">
                        <w:rPr>
                          <w:rFonts w:eastAsia="Calibri" w:cs="Times New Roman"/>
                          <w:bCs/>
                          <w:szCs w:val="24"/>
                          <w:lang w:val="en-GB"/>
                        </w:rPr>
                        <w:t xml:space="preserve">Series </w:t>
                      </w:r>
                      <w:r w:rsidRPr="00005B88">
                        <w:rPr>
                          <w:rFonts w:eastAsia="Times New Roman" w:cs="Times New Roman"/>
                          <w:color w:val="000000"/>
                          <w:szCs w:val="24"/>
                          <w:lang w:eastAsia="en-MY"/>
                        </w:rPr>
                        <w:t>N</w:t>
                      </w:r>
                      <w:r w:rsidRPr="00005B88">
                        <w:rPr>
                          <w:rFonts w:eastAsia="Times New Roman" w:cs="Times New Roman"/>
                          <w:color w:val="000000"/>
                          <w:szCs w:val="24"/>
                          <w:vertAlign w:val="subscript"/>
                          <w:lang w:eastAsia="en-MY"/>
                        </w:rPr>
                        <w:t>10</w:t>
                      </w:r>
                      <w:r w:rsidRPr="00005B88">
                        <w:rPr>
                          <w:rFonts w:eastAsia="Times New Roman" w:cs="Times New Roman"/>
                          <w:color w:val="000000"/>
                          <w:szCs w:val="24"/>
                          <w:lang w:eastAsia="en-MY"/>
                        </w:rPr>
                        <w:t>C</w:t>
                      </w:r>
                      <w:r w:rsidRPr="00005B88">
                        <w:rPr>
                          <w:rFonts w:eastAsia="Times New Roman" w:cs="Times New Roman"/>
                          <w:color w:val="000000"/>
                          <w:szCs w:val="24"/>
                          <w:vertAlign w:val="subscript"/>
                          <w:lang w:eastAsia="en-MY"/>
                        </w:rPr>
                        <w:t>x</w:t>
                      </w:r>
                      <w:r w:rsidRPr="00005B88">
                        <w:rPr>
                          <w:rFonts w:eastAsia="Times New Roman" w:cs="Times New Roman"/>
                          <w:color w:val="000000"/>
                          <w:szCs w:val="24"/>
                          <w:lang w:eastAsia="en-MY"/>
                        </w:rPr>
                        <w:t>A</w:t>
                      </w:r>
                      <w:r w:rsidRPr="00005B88">
                        <w:rPr>
                          <w:rFonts w:eastAsia="Times New Roman" w:cs="Times New Roman"/>
                          <w:color w:val="000000"/>
                          <w:szCs w:val="24"/>
                          <w:vertAlign w:val="subscript"/>
                          <w:lang w:eastAsia="en-MY"/>
                        </w:rPr>
                        <w:t>20-x</w:t>
                      </w:r>
                      <w:r w:rsidRPr="00005B88">
                        <w:rPr>
                          <w:rFonts w:eastAsia="Times New Roman" w:cs="Times New Roman"/>
                          <w:color w:val="000000"/>
                          <w:szCs w:val="24"/>
                          <w:lang w:eastAsia="en-MY"/>
                        </w:rPr>
                        <w:t>B</w:t>
                      </w:r>
                      <w:r w:rsidRPr="00005B88">
                        <w:rPr>
                          <w:rFonts w:eastAsia="Times New Roman" w:cs="Times New Roman"/>
                          <w:color w:val="000000"/>
                          <w:szCs w:val="24"/>
                          <w:vertAlign w:val="subscript"/>
                          <w:lang w:eastAsia="en-MY"/>
                        </w:rPr>
                        <w:t>10</w:t>
                      </w:r>
                      <w:r w:rsidRPr="00005B88">
                        <w:rPr>
                          <w:rFonts w:eastAsia="Times New Roman" w:cs="Times New Roman"/>
                          <w:color w:val="000000"/>
                          <w:szCs w:val="24"/>
                          <w:lang w:eastAsia="en-MY"/>
                        </w:rPr>
                        <w:t>S</w:t>
                      </w:r>
                      <w:r w:rsidRPr="00005B88">
                        <w:rPr>
                          <w:rFonts w:eastAsia="Times New Roman" w:cs="Times New Roman"/>
                          <w:color w:val="000000"/>
                          <w:szCs w:val="24"/>
                          <w:vertAlign w:val="subscript"/>
                          <w:lang w:eastAsia="en-MY"/>
                        </w:rPr>
                        <w:t>60</w:t>
                      </w:r>
                    </w:p>
                  </w:txbxContent>
                </v:textbox>
              </v:shape>
            </w:pict>
          </mc:Fallback>
        </mc:AlternateContent>
      </w:r>
    </w:p>
    <w:p w14:paraId="0D25A636" w14:textId="77777777" w:rsidR="00CB5F95" w:rsidRDefault="00CB5F95" w:rsidP="00CB5F95">
      <w:pPr>
        <w:spacing w:line="240" w:lineRule="auto"/>
        <w:jc w:val="center"/>
        <w:rPr>
          <w:rFonts w:eastAsia="Times New Roman" w:cs="Times New Roman"/>
          <w:b w:val="0"/>
          <w:color w:val="000000"/>
          <w:sz w:val="20"/>
          <w:szCs w:val="20"/>
          <w:vertAlign w:val="subscript"/>
          <w:lang w:eastAsia="en-MY"/>
        </w:rPr>
      </w:pPr>
      <w:r>
        <w:rPr>
          <w:rFonts w:eastAsia="Calibri" w:cs="Times New Roman"/>
          <w:b w:val="0"/>
          <w:bCs/>
          <w:szCs w:val="24"/>
          <w:lang w:val="en-GB"/>
        </w:rPr>
        <w:t xml:space="preserve"> </w:t>
      </w:r>
    </w:p>
    <w:tbl>
      <w:tblPr>
        <w:tblStyle w:val="TableGrid"/>
        <w:tblW w:w="0" w:type="auto"/>
        <w:tblLook w:val="04A0" w:firstRow="1" w:lastRow="0" w:firstColumn="1" w:lastColumn="0" w:noHBand="0" w:noVBand="1"/>
      </w:tblPr>
      <w:tblGrid>
        <w:gridCol w:w="4508"/>
        <w:gridCol w:w="4508"/>
      </w:tblGrid>
      <w:tr w:rsidR="00CB5F95" w14:paraId="45ECF171" w14:textId="77777777" w:rsidTr="00CB5F95">
        <w:tc>
          <w:tcPr>
            <w:tcW w:w="4508" w:type="dxa"/>
          </w:tcPr>
          <w:p w14:paraId="78662467" w14:textId="77777777" w:rsidR="00CB5F95" w:rsidRDefault="00CB5F95" w:rsidP="00CB5F95">
            <w:pPr>
              <w:jc w:val="center"/>
              <w:rPr>
                <w:rFonts w:eastAsia="Calibri" w:cs="Times New Roman"/>
                <w:b w:val="0"/>
                <w:bCs/>
                <w:szCs w:val="24"/>
                <w:lang w:val="en-GB"/>
              </w:rPr>
            </w:pPr>
            <w:r w:rsidRPr="000D0A16">
              <w:rPr>
                <w:rFonts w:eastAsia="Calibri" w:cs="Times New Roman"/>
                <w:b w:val="0"/>
                <w:bCs/>
                <w:noProof/>
                <w:szCs w:val="24"/>
                <w:lang w:eastAsia="en-MY"/>
              </w:rPr>
              <w:drawing>
                <wp:inline distT="0" distB="0" distL="0" distR="0" wp14:anchorId="3ACFCC59" wp14:editId="50DF4F18">
                  <wp:extent cx="2620110" cy="1980000"/>
                  <wp:effectExtent l="0" t="0" r="8890" b="1270"/>
                  <wp:docPr id="1975" name="Picture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620110" cy="1980000"/>
                          </a:xfrm>
                          <a:prstGeom prst="rect">
                            <a:avLst/>
                          </a:prstGeom>
                          <a:noFill/>
                          <a:ln>
                            <a:noFill/>
                          </a:ln>
                        </pic:spPr>
                      </pic:pic>
                    </a:graphicData>
                  </a:graphic>
                </wp:inline>
              </w:drawing>
            </w:r>
          </w:p>
          <w:p w14:paraId="018F8BDE" w14:textId="77777777" w:rsidR="00CB5F95" w:rsidRDefault="00CB5F95" w:rsidP="00CB5F95">
            <w:pPr>
              <w:jc w:val="center"/>
              <w:rPr>
                <w:rFonts w:eastAsia="Calibri" w:cs="Times New Roman"/>
                <w:b w:val="0"/>
                <w:bCs/>
                <w:szCs w:val="24"/>
                <w:lang w:val="en-GB"/>
              </w:rPr>
            </w:pPr>
          </w:p>
          <w:p w14:paraId="7AF56E48" w14:textId="77777777" w:rsidR="00CB5F95" w:rsidRDefault="00CB5F95" w:rsidP="00CB5F95">
            <w:pPr>
              <w:jc w:val="center"/>
              <w:rPr>
                <w:rFonts w:eastAsia="Calibri" w:cs="Times New Roman"/>
                <w:b w:val="0"/>
                <w:bCs/>
                <w:szCs w:val="24"/>
                <w:lang w:val="en-GB"/>
              </w:rPr>
            </w:pPr>
          </w:p>
        </w:tc>
        <w:tc>
          <w:tcPr>
            <w:tcW w:w="4508" w:type="dxa"/>
          </w:tcPr>
          <w:p w14:paraId="3494A78F" w14:textId="77777777" w:rsidR="00CB5F95" w:rsidRDefault="00CB5F95" w:rsidP="00CB5F95">
            <w:pPr>
              <w:jc w:val="center"/>
              <w:rPr>
                <w:rFonts w:eastAsia="Calibri" w:cs="Times New Roman"/>
                <w:b w:val="0"/>
                <w:bCs/>
                <w:szCs w:val="24"/>
                <w:lang w:val="en-GB"/>
              </w:rPr>
            </w:pPr>
            <w:r w:rsidRPr="00E74B95">
              <w:rPr>
                <w:rFonts w:eastAsia="Calibri" w:cs="Times New Roman"/>
                <w:b w:val="0"/>
                <w:bCs/>
                <w:noProof/>
                <w:szCs w:val="24"/>
                <w:lang w:eastAsia="en-MY"/>
              </w:rPr>
              <w:drawing>
                <wp:inline distT="0" distB="0" distL="0" distR="0" wp14:anchorId="21EA209D" wp14:editId="2DF1F928">
                  <wp:extent cx="2645455" cy="1980000"/>
                  <wp:effectExtent l="0" t="0" r="2540" b="1270"/>
                  <wp:docPr id="1978" name="Picture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645455" cy="1980000"/>
                          </a:xfrm>
                          <a:prstGeom prst="rect">
                            <a:avLst/>
                          </a:prstGeom>
                          <a:noFill/>
                          <a:ln>
                            <a:noFill/>
                          </a:ln>
                        </pic:spPr>
                      </pic:pic>
                    </a:graphicData>
                  </a:graphic>
                </wp:inline>
              </w:drawing>
            </w:r>
          </w:p>
        </w:tc>
      </w:tr>
      <w:tr w:rsidR="00CB5F95" w14:paraId="2A9C25E6" w14:textId="77777777" w:rsidTr="00CB5F95">
        <w:tc>
          <w:tcPr>
            <w:tcW w:w="4508" w:type="dxa"/>
          </w:tcPr>
          <w:p w14:paraId="6DCD8E63" w14:textId="77777777" w:rsidR="00CB5F95" w:rsidRDefault="00CB5F95" w:rsidP="00CB5F95">
            <w:pPr>
              <w:jc w:val="center"/>
              <w:rPr>
                <w:rFonts w:eastAsia="Times New Roman" w:cs="Times New Roman"/>
                <w:b w:val="0"/>
                <w:color w:val="000000"/>
                <w:szCs w:val="24"/>
                <w:vertAlign w:val="subscript"/>
                <w:lang w:eastAsia="en-MY"/>
              </w:rPr>
            </w:pPr>
            <w:r w:rsidRPr="007C0A0D">
              <w:rPr>
                <w:rFonts w:eastAsia="Times New Roman" w:cs="Times New Roman"/>
                <w:b w:val="0"/>
                <w:color w:val="000000"/>
                <w:szCs w:val="24"/>
                <w:lang w:eastAsia="en-MY"/>
              </w:rPr>
              <w:t>N</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C</w:t>
            </w:r>
            <w:r w:rsidRPr="007C0A0D">
              <w:rPr>
                <w:rFonts w:eastAsia="Times New Roman" w:cs="Times New Roman"/>
                <w:b w:val="0"/>
                <w:color w:val="000000"/>
                <w:szCs w:val="24"/>
                <w:vertAlign w:val="subscript"/>
                <w:lang w:eastAsia="en-MY"/>
              </w:rPr>
              <w:t>2.5</w:t>
            </w:r>
            <w:r w:rsidRPr="007C0A0D">
              <w:rPr>
                <w:rFonts w:eastAsia="Times New Roman" w:cs="Times New Roman"/>
                <w:b w:val="0"/>
                <w:color w:val="000000"/>
                <w:szCs w:val="24"/>
                <w:lang w:eastAsia="en-MY"/>
              </w:rPr>
              <w:t>A</w:t>
            </w:r>
            <w:r w:rsidRPr="007C0A0D">
              <w:rPr>
                <w:rFonts w:eastAsia="Times New Roman" w:cs="Times New Roman"/>
                <w:b w:val="0"/>
                <w:color w:val="000000"/>
                <w:szCs w:val="24"/>
                <w:vertAlign w:val="subscript"/>
                <w:lang w:eastAsia="en-MY"/>
              </w:rPr>
              <w:t>17.5</w:t>
            </w:r>
            <w:r w:rsidRPr="007C0A0D">
              <w:rPr>
                <w:rFonts w:eastAsia="Times New Roman" w:cs="Times New Roman"/>
                <w:b w:val="0"/>
                <w:color w:val="000000"/>
                <w:szCs w:val="24"/>
                <w:lang w:eastAsia="en-MY"/>
              </w:rPr>
              <w:t>B</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S</w:t>
            </w:r>
            <w:r w:rsidRPr="007C0A0D">
              <w:rPr>
                <w:rFonts w:eastAsia="Times New Roman" w:cs="Times New Roman"/>
                <w:b w:val="0"/>
                <w:color w:val="000000"/>
                <w:szCs w:val="24"/>
                <w:vertAlign w:val="subscript"/>
                <w:lang w:eastAsia="en-MY"/>
              </w:rPr>
              <w:t>60</w:t>
            </w:r>
          </w:p>
          <w:p w14:paraId="2DF74362" w14:textId="4269BEE7" w:rsidR="00A850BE" w:rsidRPr="007C0A0D" w:rsidRDefault="00A850BE" w:rsidP="00CB5F95">
            <w:pPr>
              <w:jc w:val="center"/>
              <w:rPr>
                <w:rFonts w:eastAsia="Calibri" w:cs="Times New Roman"/>
                <w:b w:val="0"/>
                <w:bCs/>
                <w:szCs w:val="24"/>
                <w:lang w:val="en-GB"/>
              </w:rPr>
            </w:pPr>
          </w:p>
        </w:tc>
        <w:tc>
          <w:tcPr>
            <w:tcW w:w="4508" w:type="dxa"/>
          </w:tcPr>
          <w:p w14:paraId="01E0DD73" w14:textId="77777777" w:rsidR="00CB5F95" w:rsidRPr="007C0A0D" w:rsidRDefault="00CB5F95" w:rsidP="00CB5F95">
            <w:pPr>
              <w:jc w:val="center"/>
              <w:rPr>
                <w:rFonts w:eastAsia="Calibri" w:cs="Times New Roman"/>
                <w:b w:val="0"/>
                <w:bCs/>
                <w:szCs w:val="24"/>
                <w:lang w:val="en-GB"/>
              </w:rPr>
            </w:pPr>
            <w:r w:rsidRPr="007C0A0D">
              <w:rPr>
                <w:rFonts w:eastAsia="Times New Roman" w:cs="Times New Roman"/>
                <w:b w:val="0"/>
                <w:color w:val="000000"/>
                <w:szCs w:val="24"/>
                <w:lang w:eastAsia="en-MY"/>
              </w:rPr>
              <w:t>N</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Ba</w:t>
            </w:r>
            <w:r w:rsidRPr="007C0A0D">
              <w:rPr>
                <w:rFonts w:eastAsia="Times New Roman" w:cs="Times New Roman"/>
                <w:b w:val="0"/>
                <w:color w:val="000000"/>
                <w:szCs w:val="24"/>
                <w:vertAlign w:val="subscript"/>
                <w:lang w:eastAsia="en-MY"/>
              </w:rPr>
              <w:t>2.5</w:t>
            </w:r>
            <w:r w:rsidRPr="007C0A0D">
              <w:rPr>
                <w:rFonts w:eastAsia="Times New Roman" w:cs="Times New Roman"/>
                <w:b w:val="0"/>
                <w:color w:val="000000"/>
                <w:szCs w:val="24"/>
                <w:lang w:eastAsia="en-MY"/>
              </w:rPr>
              <w:t>A</w:t>
            </w:r>
            <w:r w:rsidRPr="007C0A0D">
              <w:rPr>
                <w:rFonts w:eastAsia="Times New Roman" w:cs="Times New Roman"/>
                <w:b w:val="0"/>
                <w:color w:val="000000"/>
                <w:szCs w:val="24"/>
                <w:vertAlign w:val="subscript"/>
                <w:lang w:eastAsia="en-MY"/>
              </w:rPr>
              <w:t>17.5</w:t>
            </w:r>
            <w:r w:rsidRPr="007C0A0D">
              <w:rPr>
                <w:rFonts w:eastAsia="Times New Roman" w:cs="Times New Roman"/>
                <w:b w:val="0"/>
                <w:color w:val="000000"/>
                <w:szCs w:val="24"/>
                <w:lang w:eastAsia="en-MY"/>
              </w:rPr>
              <w:t>B</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S</w:t>
            </w:r>
            <w:r w:rsidRPr="007C0A0D">
              <w:rPr>
                <w:rFonts w:eastAsia="Times New Roman" w:cs="Times New Roman"/>
                <w:b w:val="0"/>
                <w:color w:val="000000"/>
                <w:szCs w:val="24"/>
                <w:vertAlign w:val="subscript"/>
                <w:lang w:eastAsia="en-MY"/>
              </w:rPr>
              <w:t>60</w:t>
            </w:r>
          </w:p>
        </w:tc>
      </w:tr>
      <w:tr w:rsidR="00CB5F95" w14:paraId="711FEB6D" w14:textId="77777777" w:rsidTr="00CB5F95">
        <w:tc>
          <w:tcPr>
            <w:tcW w:w="4508" w:type="dxa"/>
          </w:tcPr>
          <w:p w14:paraId="4366A6F9" w14:textId="77777777" w:rsidR="00CB5F95" w:rsidRDefault="00CB5F95" w:rsidP="00CB5F95">
            <w:pPr>
              <w:jc w:val="center"/>
              <w:rPr>
                <w:rFonts w:eastAsia="Calibri" w:cs="Times New Roman"/>
                <w:b w:val="0"/>
                <w:bCs/>
                <w:szCs w:val="24"/>
                <w:lang w:val="en-GB"/>
              </w:rPr>
            </w:pPr>
            <w:r w:rsidRPr="000D0A16">
              <w:rPr>
                <w:rFonts w:eastAsia="Calibri" w:cs="Times New Roman"/>
                <w:b w:val="0"/>
                <w:bCs/>
                <w:noProof/>
                <w:szCs w:val="24"/>
                <w:lang w:eastAsia="en-MY"/>
              </w:rPr>
              <w:drawing>
                <wp:inline distT="0" distB="0" distL="0" distR="0" wp14:anchorId="36F0505E" wp14:editId="3C480203">
                  <wp:extent cx="2605831" cy="1980000"/>
                  <wp:effectExtent l="0" t="0" r="4445" b="1270"/>
                  <wp:docPr id="1976"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605831" cy="1980000"/>
                          </a:xfrm>
                          <a:prstGeom prst="rect">
                            <a:avLst/>
                          </a:prstGeom>
                          <a:noFill/>
                          <a:ln>
                            <a:noFill/>
                          </a:ln>
                        </pic:spPr>
                      </pic:pic>
                    </a:graphicData>
                  </a:graphic>
                </wp:inline>
              </w:drawing>
            </w:r>
          </w:p>
          <w:p w14:paraId="542074B3" w14:textId="77777777" w:rsidR="00CB5F95" w:rsidRDefault="00CB5F95" w:rsidP="00CB5F95">
            <w:pPr>
              <w:jc w:val="center"/>
              <w:rPr>
                <w:rFonts w:eastAsia="Calibri" w:cs="Times New Roman"/>
                <w:b w:val="0"/>
                <w:bCs/>
                <w:szCs w:val="24"/>
                <w:lang w:val="en-GB"/>
              </w:rPr>
            </w:pPr>
          </w:p>
          <w:p w14:paraId="7C29D37C" w14:textId="77777777" w:rsidR="00CB5F95" w:rsidRDefault="00CB5F95" w:rsidP="00CB5F95">
            <w:pPr>
              <w:jc w:val="center"/>
              <w:rPr>
                <w:rFonts w:eastAsia="Calibri" w:cs="Times New Roman"/>
                <w:b w:val="0"/>
                <w:bCs/>
                <w:szCs w:val="24"/>
                <w:lang w:val="en-GB"/>
              </w:rPr>
            </w:pPr>
          </w:p>
        </w:tc>
        <w:tc>
          <w:tcPr>
            <w:tcW w:w="4508" w:type="dxa"/>
          </w:tcPr>
          <w:p w14:paraId="6BA341CB" w14:textId="77777777" w:rsidR="00CB5F95" w:rsidRDefault="00CB5F95" w:rsidP="00CB5F95">
            <w:pPr>
              <w:jc w:val="center"/>
              <w:rPr>
                <w:rFonts w:eastAsia="Calibri" w:cs="Times New Roman"/>
                <w:b w:val="0"/>
                <w:bCs/>
                <w:szCs w:val="24"/>
                <w:lang w:val="en-GB"/>
              </w:rPr>
            </w:pPr>
            <w:r w:rsidRPr="00E74B95">
              <w:rPr>
                <w:rFonts w:eastAsia="Calibri" w:cs="Times New Roman"/>
                <w:b w:val="0"/>
                <w:bCs/>
                <w:noProof/>
                <w:szCs w:val="24"/>
                <w:lang w:eastAsia="en-MY"/>
              </w:rPr>
              <w:drawing>
                <wp:inline distT="0" distB="0" distL="0" distR="0" wp14:anchorId="3181FB17" wp14:editId="628A7E91">
                  <wp:extent cx="2588031" cy="1980000"/>
                  <wp:effectExtent l="0" t="0" r="3175" b="1270"/>
                  <wp:docPr id="1979" name="Picture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588031" cy="1980000"/>
                          </a:xfrm>
                          <a:prstGeom prst="rect">
                            <a:avLst/>
                          </a:prstGeom>
                          <a:noFill/>
                          <a:ln>
                            <a:noFill/>
                          </a:ln>
                        </pic:spPr>
                      </pic:pic>
                    </a:graphicData>
                  </a:graphic>
                </wp:inline>
              </w:drawing>
            </w:r>
          </w:p>
        </w:tc>
      </w:tr>
      <w:tr w:rsidR="00CB5F95" w14:paraId="31EA1A4B" w14:textId="77777777" w:rsidTr="00CB5F95">
        <w:tc>
          <w:tcPr>
            <w:tcW w:w="4508" w:type="dxa"/>
          </w:tcPr>
          <w:p w14:paraId="709796FA" w14:textId="77777777" w:rsidR="00CB5F95" w:rsidRPr="007C0A0D" w:rsidRDefault="00CB5F95" w:rsidP="00CB5F95">
            <w:pPr>
              <w:jc w:val="center"/>
              <w:rPr>
                <w:rFonts w:eastAsia="Calibri" w:cs="Times New Roman"/>
                <w:b w:val="0"/>
                <w:bCs/>
                <w:szCs w:val="24"/>
                <w:lang w:val="en-GB"/>
              </w:rPr>
            </w:pPr>
            <w:r w:rsidRPr="007C0A0D">
              <w:rPr>
                <w:rFonts w:eastAsia="Times New Roman" w:cs="Times New Roman"/>
                <w:b w:val="0"/>
                <w:color w:val="000000"/>
                <w:szCs w:val="24"/>
                <w:lang w:eastAsia="en-MY"/>
              </w:rPr>
              <w:t>N</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C</w:t>
            </w:r>
            <w:r w:rsidRPr="007C0A0D">
              <w:rPr>
                <w:rFonts w:eastAsia="Times New Roman" w:cs="Times New Roman"/>
                <w:b w:val="0"/>
                <w:color w:val="000000"/>
                <w:szCs w:val="24"/>
                <w:vertAlign w:val="subscript"/>
                <w:lang w:eastAsia="en-MY"/>
              </w:rPr>
              <w:t>5</w:t>
            </w:r>
            <w:r w:rsidRPr="007C0A0D">
              <w:rPr>
                <w:rFonts w:eastAsia="Times New Roman" w:cs="Times New Roman"/>
                <w:b w:val="0"/>
                <w:color w:val="000000"/>
                <w:szCs w:val="24"/>
                <w:lang w:eastAsia="en-MY"/>
              </w:rPr>
              <w:t>A</w:t>
            </w:r>
            <w:r w:rsidRPr="007C0A0D">
              <w:rPr>
                <w:rFonts w:eastAsia="Times New Roman" w:cs="Times New Roman"/>
                <w:b w:val="0"/>
                <w:color w:val="000000"/>
                <w:szCs w:val="24"/>
                <w:vertAlign w:val="subscript"/>
                <w:lang w:eastAsia="en-MY"/>
              </w:rPr>
              <w:t>15</w:t>
            </w:r>
            <w:r w:rsidRPr="007C0A0D">
              <w:rPr>
                <w:rFonts w:eastAsia="Times New Roman" w:cs="Times New Roman"/>
                <w:b w:val="0"/>
                <w:color w:val="000000"/>
                <w:szCs w:val="24"/>
                <w:lang w:eastAsia="en-MY"/>
              </w:rPr>
              <w:t>B</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S</w:t>
            </w:r>
            <w:r w:rsidRPr="007C0A0D">
              <w:rPr>
                <w:rFonts w:eastAsia="Times New Roman" w:cs="Times New Roman"/>
                <w:b w:val="0"/>
                <w:color w:val="000000"/>
                <w:szCs w:val="24"/>
                <w:vertAlign w:val="subscript"/>
                <w:lang w:eastAsia="en-MY"/>
              </w:rPr>
              <w:t>60</w:t>
            </w:r>
          </w:p>
        </w:tc>
        <w:tc>
          <w:tcPr>
            <w:tcW w:w="4508" w:type="dxa"/>
          </w:tcPr>
          <w:p w14:paraId="00D257ED" w14:textId="77777777" w:rsidR="00CB5F95" w:rsidRDefault="00CB5F95" w:rsidP="00CB5F95">
            <w:pPr>
              <w:jc w:val="center"/>
              <w:rPr>
                <w:rFonts w:eastAsia="Times New Roman" w:cs="Times New Roman"/>
                <w:b w:val="0"/>
                <w:color w:val="000000"/>
                <w:szCs w:val="24"/>
                <w:vertAlign w:val="subscript"/>
                <w:lang w:eastAsia="en-MY"/>
              </w:rPr>
            </w:pPr>
            <w:r w:rsidRPr="007C0A0D">
              <w:rPr>
                <w:rFonts w:eastAsia="Times New Roman" w:cs="Times New Roman"/>
                <w:b w:val="0"/>
                <w:color w:val="000000"/>
                <w:szCs w:val="24"/>
                <w:lang w:eastAsia="en-MY"/>
              </w:rPr>
              <w:t>N</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Ba</w:t>
            </w:r>
            <w:r w:rsidRPr="007C0A0D">
              <w:rPr>
                <w:rFonts w:eastAsia="Times New Roman" w:cs="Times New Roman"/>
                <w:b w:val="0"/>
                <w:color w:val="000000"/>
                <w:szCs w:val="24"/>
                <w:vertAlign w:val="subscript"/>
                <w:lang w:eastAsia="en-MY"/>
              </w:rPr>
              <w:t>5</w:t>
            </w:r>
            <w:r w:rsidRPr="007C0A0D">
              <w:rPr>
                <w:rFonts w:eastAsia="Times New Roman" w:cs="Times New Roman"/>
                <w:b w:val="0"/>
                <w:color w:val="000000"/>
                <w:szCs w:val="24"/>
                <w:lang w:eastAsia="en-MY"/>
              </w:rPr>
              <w:t>A</w:t>
            </w:r>
            <w:r w:rsidRPr="007C0A0D">
              <w:rPr>
                <w:rFonts w:eastAsia="Times New Roman" w:cs="Times New Roman"/>
                <w:b w:val="0"/>
                <w:color w:val="000000"/>
                <w:szCs w:val="24"/>
                <w:vertAlign w:val="subscript"/>
                <w:lang w:eastAsia="en-MY"/>
              </w:rPr>
              <w:t>15</w:t>
            </w:r>
            <w:r w:rsidRPr="007C0A0D">
              <w:rPr>
                <w:rFonts w:eastAsia="Times New Roman" w:cs="Times New Roman"/>
                <w:b w:val="0"/>
                <w:color w:val="000000"/>
                <w:szCs w:val="24"/>
                <w:lang w:eastAsia="en-MY"/>
              </w:rPr>
              <w:t>B</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S</w:t>
            </w:r>
            <w:r w:rsidRPr="007C0A0D">
              <w:rPr>
                <w:rFonts w:eastAsia="Times New Roman" w:cs="Times New Roman"/>
                <w:b w:val="0"/>
                <w:color w:val="000000"/>
                <w:szCs w:val="24"/>
                <w:vertAlign w:val="subscript"/>
                <w:lang w:eastAsia="en-MY"/>
              </w:rPr>
              <w:t>60</w:t>
            </w:r>
          </w:p>
          <w:p w14:paraId="0287E1B2" w14:textId="01DC7071" w:rsidR="00A850BE" w:rsidRPr="007C0A0D" w:rsidRDefault="00A850BE" w:rsidP="00CB5F95">
            <w:pPr>
              <w:jc w:val="center"/>
              <w:rPr>
                <w:rFonts w:eastAsia="Calibri" w:cs="Times New Roman"/>
                <w:b w:val="0"/>
                <w:bCs/>
                <w:szCs w:val="24"/>
                <w:lang w:val="en-GB"/>
              </w:rPr>
            </w:pPr>
          </w:p>
        </w:tc>
      </w:tr>
      <w:tr w:rsidR="00CB5F95" w14:paraId="04DD52DE" w14:textId="77777777" w:rsidTr="00CB5F95">
        <w:tc>
          <w:tcPr>
            <w:tcW w:w="4508" w:type="dxa"/>
          </w:tcPr>
          <w:p w14:paraId="7CFF84AA" w14:textId="77777777" w:rsidR="00CB5F95" w:rsidRDefault="00CB5F95" w:rsidP="00CB5F95">
            <w:pPr>
              <w:jc w:val="center"/>
              <w:rPr>
                <w:rFonts w:eastAsia="Calibri" w:cs="Times New Roman"/>
                <w:b w:val="0"/>
                <w:bCs/>
                <w:szCs w:val="24"/>
                <w:lang w:val="en-GB"/>
              </w:rPr>
            </w:pPr>
            <w:r w:rsidRPr="001650D5">
              <w:rPr>
                <w:rFonts w:eastAsia="Calibri" w:cs="Times New Roman"/>
                <w:b w:val="0"/>
                <w:bCs/>
                <w:noProof/>
                <w:szCs w:val="24"/>
                <w:lang w:eastAsia="en-MY"/>
              </w:rPr>
              <w:drawing>
                <wp:inline distT="0" distB="0" distL="0" distR="0" wp14:anchorId="76265903" wp14:editId="3831CE36">
                  <wp:extent cx="2609757" cy="1980000"/>
                  <wp:effectExtent l="0" t="0" r="635" b="1270"/>
                  <wp:docPr id="1977" name="Picture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609757" cy="1980000"/>
                          </a:xfrm>
                          <a:prstGeom prst="rect">
                            <a:avLst/>
                          </a:prstGeom>
                          <a:noFill/>
                          <a:ln>
                            <a:noFill/>
                          </a:ln>
                        </pic:spPr>
                      </pic:pic>
                    </a:graphicData>
                  </a:graphic>
                </wp:inline>
              </w:drawing>
            </w:r>
          </w:p>
          <w:p w14:paraId="7191614B" w14:textId="77777777" w:rsidR="00CB5F95" w:rsidRDefault="00CB5F95" w:rsidP="00CB5F95">
            <w:pPr>
              <w:jc w:val="center"/>
              <w:rPr>
                <w:rFonts w:eastAsia="Calibri" w:cs="Times New Roman"/>
                <w:b w:val="0"/>
                <w:bCs/>
                <w:szCs w:val="24"/>
                <w:lang w:val="en-GB"/>
              </w:rPr>
            </w:pPr>
          </w:p>
          <w:p w14:paraId="714E7E0B" w14:textId="77777777" w:rsidR="00CB5F95" w:rsidRDefault="00CB5F95" w:rsidP="00CB5F95">
            <w:pPr>
              <w:jc w:val="center"/>
              <w:rPr>
                <w:rFonts w:eastAsia="Calibri" w:cs="Times New Roman"/>
                <w:b w:val="0"/>
                <w:bCs/>
                <w:szCs w:val="24"/>
                <w:lang w:val="en-GB"/>
              </w:rPr>
            </w:pPr>
          </w:p>
        </w:tc>
        <w:tc>
          <w:tcPr>
            <w:tcW w:w="4508" w:type="dxa"/>
          </w:tcPr>
          <w:p w14:paraId="6B465950" w14:textId="77777777" w:rsidR="00CB5F95" w:rsidRDefault="00CB5F95" w:rsidP="00CB5F95">
            <w:pPr>
              <w:jc w:val="center"/>
              <w:rPr>
                <w:rFonts w:eastAsia="Calibri" w:cs="Times New Roman"/>
                <w:b w:val="0"/>
                <w:bCs/>
                <w:szCs w:val="24"/>
                <w:lang w:val="en-GB"/>
              </w:rPr>
            </w:pPr>
            <w:r w:rsidRPr="00E74B95">
              <w:rPr>
                <w:rFonts w:eastAsia="Calibri" w:cs="Times New Roman"/>
                <w:b w:val="0"/>
                <w:bCs/>
                <w:noProof/>
                <w:szCs w:val="24"/>
                <w:lang w:eastAsia="en-MY"/>
              </w:rPr>
              <w:drawing>
                <wp:inline distT="0" distB="0" distL="0" distR="0" wp14:anchorId="69C0CCD9" wp14:editId="247F9BDE">
                  <wp:extent cx="2589646" cy="1980000"/>
                  <wp:effectExtent l="0" t="0" r="1270" b="1270"/>
                  <wp:docPr id="1980" name="Picture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589646" cy="1980000"/>
                          </a:xfrm>
                          <a:prstGeom prst="rect">
                            <a:avLst/>
                          </a:prstGeom>
                          <a:noFill/>
                          <a:ln>
                            <a:noFill/>
                          </a:ln>
                        </pic:spPr>
                      </pic:pic>
                    </a:graphicData>
                  </a:graphic>
                </wp:inline>
              </w:drawing>
            </w:r>
          </w:p>
        </w:tc>
      </w:tr>
      <w:tr w:rsidR="00CB5F95" w14:paraId="5D79E271" w14:textId="77777777" w:rsidTr="00CB5F95">
        <w:tc>
          <w:tcPr>
            <w:tcW w:w="4508" w:type="dxa"/>
          </w:tcPr>
          <w:p w14:paraId="39C0CB6A" w14:textId="77777777" w:rsidR="00CB5F95" w:rsidRPr="007C0A0D" w:rsidRDefault="00CB5F95" w:rsidP="00CB5F95">
            <w:pPr>
              <w:jc w:val="center"/>
              <w:rPr>
                <w:rFonts w:eastAsia="Calibri" w:cs="Times New Roman"/>
                <w:b w:val="0"/>
                <w:bCs/>
                <w:szCs w:val="24"/>
                <w:lang w:val="en-GB"/>
              </w:rPr>
            </w:pPr>
            <w:r w:rsidRPr="007C0A0D">
              <w:rPr>
                <w:rFonts w:eastAsia="Times New Roman" w:cs="Times New Roman"/>
                <w:b w:val="0"/>
                <w:color w:val="000000"/>
                <w:szCs w:val="24"/>
                <w:lang w:eastAsia="en-MY"/>
              </w:rPr>
              <w:t>N</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C</w:t>
            </w:r>
            <w:r w:rsidRPr="007C0A0D">
              <w:rPr>
                <w:rFonts w:eastAsia="Times New Roman" w:cs="Times New Roman"/>
                <w:b w:val="0"/>
                <w:color w:val="000000"/>
                <w:szCs w:val="24"/>
                <w:vertAlign w:val="subscript"/>
                <w:lang w:eastAsia="en-MY"/>
              </w:rPr>
              <w:t>7.5</w:t>
            </w:r>
            <w:r w:rsidRPr="007C0A0D">
              <w:rPr>
                <w:rFonts w:eastAsia="Times New Roman" w:cs="Times New Roman"/>
                <w:b w:val="0"/>
                <w:color w:val="000000"/>
                <w:szCs w:val="24"/>
                <w:lang w:eastAsia="en-MY"/>
              </w:rPr>
              <w:t>A</w:t>
            </w:r>
            <w:r w:rsidRPr="007C0A0D">
              <w:rPr>
                <w:rFonts w:eastAsia="Times New Roman" w:cs="Times New Roman"/>
                <w:b w:val="0"/>
                <w:color w:val="000000"/>
                <w:szCs w:val="24"/>
                <w:vertAlign w:val="subscript"/>
                <w:lang w:eastAsia="en-MY"/>
              </w:rPr>
              <w:t>12.5</w:t>
            </w:r>
            <w:r w:rsidRPr="007C0A0D">
              <w:rPr>
                <w:rFonts w:eastAsia="Times New Roman" w:cs="Times New Roman"/>
                <w:b w:val="0"/>
                <w:color w:val="000000"/>
                <w:szCs w:val="24"/>
                <w:lang w:eastAsia="en-MY"/>
              </w:rPr>
              <w:t>B</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S</w:t>
            </w:r>
            <w:r w:rsidRPr="007C0A0D">
              <w:rPr>
                <w:rFonts w:eastAsia="Times New Roman" w:cs="Times New Roman"/>
                <w:b w:val="0"/>
                <w:color w:val="000000"/>
                <w:szCs w:val="24"/>
                <w:vertAlign w:val="subscript"/>
                <w:lang w:eastAsia="en-MY"/>
              </w:rPr>
              <w:t>60</w:t>
            </w:r>
          </w:p>
        </w:tc>
        <w:tc>
          <w:tcPr>
            <w:tcW w:w="4508" w:type="dxa"/>
          </w:tcPr>
          <w:p w14:paraId="7B6BE2FE" w14:textId="77777777" w:rsidR="00CB5F95" w:rsidRDefault="00CB5F95" w:rsidP="00CB5F95">
            <w:pPr>
              <w:jc w:val="center"/>
              <w:rPr>
                <w:rFonts w:eastAsia="Times New Roman" w:cs="Times New Roman"/>
                <w:b w:val="0"/>
                <w:color w:val="000000"/>
                <w:szCs w:val="24"/>
                <w:vertAlign w:val="subscript"/>
                <w:lang w:eastAsia="en-MY"/>
              </w:rPr>
            </w:pPr>
            <w:r w:rsidRPr="007C0A0D">
              <w:rPr>
                <w:rFonts w:eastAsia="Times New Roman" w:cs="Times New Roman"/>
                <w:b w:val="0"/>
                <w:color w:val="000000"/>
                <w:szCs w:val="24"/>
                <w:lang w:eastAsia="en-MY"/>
              </w:rPr>
              <w:t>N</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Ba</w:t>
            </w:r>
            <w:r w:rsidRPr="007C0A0D">
              <w:rPr>
                <w:rFonts w:eastAsia="Times New Roman" w:cs="Times New Roman"/>
                <w:b w:val="0"/>
                <w:color w:val="000000"/>
                <w:szCs w:val="24"/>
                <w:vertAlign w:val="subscript"/>
                <w:lang w:eastAsia="en-MY"/>
              </w:rPr>
              <w:t>7.5</w:t>
            </w:r>
            <w:r w:rsidRPr="007C0A0D">
              <w:rPr>
                <w:rFonts w:eastAsia="Times New Roman" w:cs="Times New Roman"/>
                <w:b w:val="0"/>
                <w:color w:val="000000"/>
                <w:szCs w:val="24"/>
                <w:lang w:eastAsia="en-MY"/>
              </w:rPr>
              <w:t>A</w:t>
            </w:r>
            <w:r w:rsidRPr="007C0A0D">
              <w:rPr>
                <w:rFonts w:eastAsia="Times New Roman" w:cs="Times New Roman"/>
                <w:b w:val="0"/>
                <w:color w:val="000000"/>
                <w:szCs w:val="24"/>
                <w:vertAlign w:val="subscript"/>
                <w:lang w:eastAsia="en-MY"/>
              </w:rPr>
              <w:t>12.5</w:t>
            </w:r>
            <w:r w:rsidRPr="007C0A0D">
              <w:rPr>
                <w:rFonts w:eastAsia="Times New Roman" w:cs="Times New Roman"/>
                <w:b w:val="0"/>
                <w:color w:val="000000"/>
                <w:szCs w:val="24"/>
                <w:lang w:eastAsia="en-MY"/>
              </w:rPr>
              <w:t>B</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S</w:t>
            </w:r>
            <w:r w:rsidRPr="007C0A0D">
              <w:rPr>
                <w:rFonts w:eastAsia="Times New Roman" w:cs="Times New Roman"/>
                <w:b w:val="0"/>
                <w:color w:val="000000"/>
                <w:szCs w:val="24"/>
                <w:vertAlign w:val="subscript"/>
                <w:lang w:eastAsia="en-MY"/>
              </w:rPr>
              <w:t>60</w:t>
            </w:r>
          </w:p>
          <w:p w14:paraId="34488743" w14:textId="2083CD68" w:rsidR="00A850BE" w:rsidRPr="007C0A0D" w:rsidRDefault="00A850BE" w:rsidP="00CB5F95">
            <w:pPr>
              <w:jc w:val="center"/>
              <w:rPr>
                <w:rFonts w:eastAsia="Calibri" w:cs="Times New Roman"/>
                <w:b w:val="0"/>
                <w:bCs/>
                <w:szCs w:val="24"/>
                <w:lang w:val="en-GB"/>
              </w:rPr>
            </w:pPr>
          </w:p>
        </w:tc>
      </w:tr>
    </w:tbl>
    <w:p w14:paraId="27F0DF5F" w14:textId="70E87555" w:rsidR="00CB5F95" w:rsidRDefault="00CB5F95" w:rsidP="00CB5F95">
      <w:pPr>
        <w:spacing w:line="240" w:lineRule="auto"/>
        <w:jc w:val="center"/>
        <w:rPr>
          <w:rFonts w:eastAsia="Calibri" w:cs="Times New Roman"/>
          <w:b w:val="0"/>
          <w:bCs/>
          <w:szCs w:val="24"/>
          <w:lang w:val="en-GB"/>
        </w:rPr>
      </w:pPr>
    </w:p>
    <w:p w14:paraId="5EB5FC94" w14:textId="77777777" w:rsidR="00CB5F95" w:rsidRDefault="00CB5F95" w:rsidP="00CB5F95">
      <w:pPr>
        <w:spacing w:line="240" w:lineRule="auto"/>
        <w:jc w:val="center"/>
        <w:rPr>
          <w:rFonts w:eastAsia="Times New Roman" w:cs="Times New Roman"/>
          <w:b w:val="0"/>
          <w:color w:val="000000"/>
          <w:sz w:val="20"/>
          <w:szCs w:val="20"/>
          <w:vertAlign w:val="subscript"/>
          <w:lang w:eastAsia="en-MY"/>
        </w:rPr>
      </w:pPr>
      <w:r>
        <w:rPr>
          <w:rFonts w:eastAsia="Calibri" w:cs="Times New Roman"/>
          <w:b w:val="0"/>
          <w:bCs/>
          <w:noProof/>
          <w:szCs w:val="24"/>
          <w:lang w:eastAsia="en-MY"/>
        </w:rPr>
        <w:lastRenderedPageBreak/>
        <mc:AlternateContent>
          <mc:Choice Requires="wps">
            <w:drawing>
              <wp:anchor distT="0" distB="0" distL="114300" distR="114300" simplePos="0" relativeHeight="252580864" behindDoc="0" locked="0" layoutInCell="1" allowOverlap="1" wp14:anchorId="4E8B50DD" wp14:editId="51AA177C">
                <wp:simplePos x="0" y="0"/>
                <wp:positionH relativeFrom="column">
                  <wp:posOffset>3305175</wp:posOffset>
                </wp:positionH>
                <wp:positionV relativeFrom="paragraph">
                  <wp:posOffset>-66675</wp:posOffset>
                </wp:positionV>
                <wp:extent cx="1809750" cy="304800"/>
                <wp:effectExtent l="0" t="0" r="0" b="0"/>
                <wp:wrapNone/>
                <wp:docPr id="1909" name="Text Box 1909"/>
                <wp:cNvGraphicFramePr/>
                <a:graphic xmlns:a="http://schemas.openxmlformats.org/drawingml/2006/main">
                  <a:graphicData uri="http://schemas.microsoft.com/office/word/2010/wordprocessingShape">
                    <wps:wsp>
                      <wps:cNvSpPr txBox="1"/>
                      <wps:spPr>
                        <a:xfrm>
                          <a:off x="0" y="0"/>
                          <a:ext cx="1809750" cy="304800"/>
                        </a:xfrm>
                        <a:prstGeom prst="rect">
                          <a:avLst/>
                        </a:prstGeom>
                        <a:solidFill>
                          <a:schemeClr val="lt1"/>
                        </a:solidFill>
                        <a:ln w="6350">
                          <a:noFill/>
                        </a:ln>
                      </wps:spPr>
                      <wps:txbx>
                        <w:txbxContent>
                          <w:p w14:paraId="786F8079" w14:textId="77777777" w:rsidR="00230AB9" w:rsidRPr="007C0A0D" w:rsidRDefault="00230AB9" w:rsidP="00CB5F95">
                            <w:pPr>
                              <w:jc w:val="center"/>
                              <w:rPr>
                                <w:szCs w:val="24"/>
                              </w:rPr>
                            </w:pPr>
                            <w:r w:rsidRPr="007C0A0D">
                              <w:rPr>
                                <w:rFonts w:eastAsia="Calibri" w:cs="Times New Roman"/>
                                <w:bCs/>
                                <w:szCs w:val="24"/>
                                <w:lang w:val="en-GB"/>
                              </w:rPr>
                              <w:t xml:space="preserve">Series </w:t>
                            </w:r>
                            <w:r w:rsidRPr="007C0A0D">
                              <w:rPr>
                                <w:rFonts w:eastAsia="Times New Roman" w:cs="Times New Roman"/>
                                <w:color w:val="000000"/>
                                <w:szCs w:val="24"/>
                                <w:lang w:eastAsia="en-MY"/>
                              </w:rPr>
                              <w:t>N</w:t>
                            </w:r>
                            <w:r w:rsidRPr="007C0A0D">
                              <w:rPr>
                                <w:rFonts w:eastAsia="Times New Roman" w:cs="Times New Roman"/>
                                <w:color w:val="000000"/>
                                <w:szCs w:val="24"/>
                                <w:vertAlign w:val="subscript"/>
                                <w:lang w:eastAsia="en-MY"/>
                              </w:rPr>
                              <w:t>15</w:t>
                            </w:r>
                            <w:r w:rsidRPr="007C0A0D">
                              <w:rPr>
                                <w:rFonts w:eastAsia="Times New Roman" w:cs="Times New Roman"/>
                                <w:color w:val="000000"/>
                                <w:szCs w:val="24"/>
                                <w:lang w:eastAsia="en-MY"/>
                              </w:rPr>
                              <w:t>C</w:t>
                            </w:r>
                            <w:r w:rsidRPr="007C0A0D">
                              <w:rPr>
                                <w:rFonts w:eastAsia="Times New Roman" w:cs="Times New Roman"/>
                                <w:color w:val="000000"/>
                                <w:szCs w:val="24"/>
                                <w:vertAlign w:val="subscript"/>
                                <w:lang w:eastAsia="en-MY"/>
                              </w:rPr>
                              <w:t>x</w:t>
                            </w:r>
                            <w:r w:rsidRPr="007C0A0D">
                              <w:rPr>
                                <w:rFonts w:eastAsia="Times New Roman" w:cs="Times New Roman"/>
                                <w:color w:val="000000"/>
                                <w:szCs w:val="24"/>
                                <w:lang w:eastAsia="en-MY"/>
                              </w:rPr>
                              <w:t>A</w:t>
                            </w:r>
                            <w:r w:rsidRPr="007C0A0D">
                              <w:rPr>
                                <w:rFonts w:eastAsia="Times New Roman" w:cs="Times New Roman"/>
                                <w:color w:val="000000"/>
                                <w:szCs w:val="24"/>
                                <w:vertAlign w:val="subscript"/>
                                <w:lang w:eastAsia="en-MY"/>
                              </w:rPr>
                              <w:t>2</w:t>
                            </w:r>
                            <w:r w:rsidRPr="007C0A0D">
                              <w:rPr>
                                <w:rFonts w:eastAsia="Times New Roman" w:cs="Times New Roman"/>
                                <w:color w:val="000000"/>
                                <w:szCs w:val="24"/>
                                <w:lang w:eastAsia="en-MY"/>
                              </w:rPr>
                              <w:t>B</w:t>
                            </w:r>
                            <w:r w:rsidRPr="007C0A0D">
                              <w:rPr>
                                <w:rFonts w:eastAsia="Times New Roman" w:cs="Times New Roman"/>
                                <w:color w:val="000000"/>
                                <w:szCs w:val="24"/>
                                <w:vertAlign w:val="subscript"/>
                                <w:lang w:eastAsia="en-MY"/>
                              </w:rPr>
                              <w:t>10</w:t>
                            </w:r>
                            <w:r w:rsidRPr="007C0A0D">
                              <w:rPr>
                                <w:rFonts w:eastAsia="Times New Roman" w:cs="Times New Roman"/>
                                <w:color w:val="000000"/>
                                <w:szCs w:val="24"/>
                                <w:lang w:eastAsia="en-MY"/>
                              </w:rPr>
                              <w:t>S</w:t>
                            </w:r>
                            <w:r w:rsidRPr="007C0A0D">
                              <w:rPr>
                                <w:rFonts w:eastAsia="Times New Roman" w:cs="Times New Roman"/>
                                <w:color w:val="000000"/>
                                <w:szCs w:val="24"/>
                                <w:vertAlign w:val="subscript"/>
                                <w:lang w:eastAsia="en-MY"/>
                              </w:rPr>
                              <w:t>73-x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8B50DD" id="Text Box 1909" o:spid="_x0000_s1440" type="#_x0000_t202" style="position:absolute;left:0;text-align:left;margin-left:260.25pt;margin-top:-5.25pt;width:142.5pt;height:24pt;z-index:25258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" fillcolor="white [3201]" stroked="f" strokeweight=".5pt">
                <v:textbox>
                  <w:txbxContent>
                    <w:p w14:paraId="786F8079" w14:textId="77777777" w:rsidR="00230AB9" w:rsidRPr="007C0A0D" w:rsidRDefault="00230AB9" w:rsidP="00CB5F95">
                      <w:pPr>
                        <w:jc w:val="center"/>
                        <w:rPr>
                          <w:szCs w:val="24"/>
                        </w:rPr>
                      </w:pPr>
                      <w:r w:rsidRPr="007C0A0D">
                        <w:rPr>
                          <w:rFonts w:eastAsia="Calibri" w:cs="Times New Roman"/>
                          <w:bCs/>
                          <w:szCs w:val="24"/>
                          <w:lang w:val="en-GB"/>
                        </w:rPr>
                        <w:t xml:space="preserve">Series </w:t>
                      </w:r>
                      <w:r w:rsidRPr="007C0A0D">
                        <w:rPr>
                          <w:rFonts w:eastAsia="Times New Roman" w:cs="Times New Roman"/>
                          <w:color w:val="000000"/>
                          <w:szCs w:val="24"/>
                          <w:lang w:eastAsia="en-MY"/>
                        </w:rPr>
                        <w:t>N</w:t>
                      </w:r>
                      <w:r w:rsidRPr="007C0A0D">
                        <w:rPr>
                          <w:rFonts w:eastAsia="Times New Roman" w:cs="Times New Roman"/>
                          <w:color w:val="000000"/>
                          <w:szCs w:val="24"/>
                          <w:vertAlign w:val="subscript"/>
                          <w:lang w:eastAsia="en-MY"/>
                        </w:rPr>
                        <w:t>15</w:t>
                      </w:r>
                      <w:r w:rsidRPr="007C0A0D">
                        <w:rPr>
                          <w:rFonts w:eastAsia="Times New Roman" w:cs="Times New Roman"/>
                          <w:color w:val="000000"/>
                          <w:szCs w:val="24"/>
                          <w:lang w:eastAsia="en-MY"/>
                        </w:rPr>
                        <w:t>C</w:t>
                      </w:r>
                      <w:r w:rsidRPr="007C0A0D">
                        <w:rPr>
                          <w:rFonts w:eastAsia="Times New Roman" w:cs="Times New Roman"/>
                          <w:color w:val="000000"/>
                          <w:szCs w:val="24"/>
                          <w:vertAlign w:val="subscript"/>
                          <w:lang w:eastAsia="en-MY"/>
                        </w:rPr>
                        <w:t>x</w:t>
                      </w:r>
                      <w:r w:rsidRPr="007C0A0D">
                        <w:rPr>
                          <w:rFonts w:eastAsia="Times New Roman" w:cs="Times New Roman"/>
                          <w:color w:val="000000"/>
                          <w:szCs w:val="24"/>
                          <w:lang w:eastAsia="en-MY"/>
                        </w:rPr>
                        <w:t>A</w:t>
                      </w:r>
                      <w:r w:rsidRPr="007C0A0D">
                        <w:rPr>
                          <w:rFonts w:eastAsia="Times New Roman" w:cs="Times New Roman"/>
                          <w:color w:val="000000"/>
                          <w:szCs w:val="24"/>
                          <w:vertAlign w:val="subscript"/>
                          <w:lang w:eastAsia="en-MY"/>
                        </w:rPr>
                        <w:t>2</w:t>
                      </w:r>
                      <w:r w:rsidRPr="007C0A0D">
                        <w:rPr>
                          <w:rFonts w:eastAsia="Times New Roman" w:cs="Times New Roman"/>
                          <w:color w:val="000000"/>
                          <w:szCs w:val="24"/>
                          <w:lang w:eastAsia="en-MY"/>
                        </w:rPr>
                        <w:t>B</w:t>
                      </w:r>
                      <w:r w:rsidRPr="007C0A0D">
                        <w:rPr>
                          <w:rFonts w:eastAsia="Times New Roman" w:cs="Times New Roman"/>
                          <w:color w:val="000000"/>
                          <w:szCs w:val="24"/>
                          <w:vertAlign w:val="subscript"/>
                          <w:lang w:eastAsia="en-MY"/>
                        </w:rPr>
                        <w:t>10</w:t>
                      </w:r>
                      <w:r w:rsidRPr="007C0A0D">
                        <w:rPr>
                          <w:rFonts w:eastAsia="Times New Roman" w:cs="Times New Roman"/>
                          <w:color w:val="000000"/>
                          <w:szCs w:val="24"/>
                          <w:lang w:eastAsia="en-MY"/>
                        </w:rPr>
                        <w:t>S</w:t>
                      </w:r>
                      <w:r w:rsidRPr="007C0A0D">
                        <w:rPr>
                          <w:rFonts w:eastAsia="Times New Roman" w:cs="Times New Roman"/>
                          <w:color w:val="000000"/>
                          <w:szCs w:val="24"/>
                          <w:vertAlign w:val="subscript"/>
                          <w:lang w:eastAsia="en-MY"/>
                        </w:rPr>
                        <w:t>73-x</w:t>
                      </w:r>
                    </w:p>
                  </w:txbxContent>
                </v:textbox>
              </v:shape>
            </w:pict>
          </mc:Fallback>
        </mc:AlternateContent>
      </w:r>
    </w:p>
    <w:tbl>
      <w:tblPr>
        <w:tblStyle w:val="TableGrid"/>
        <w:tblW w:w="0" w:type="auto"/>
        <w:tblLook w:val="04A0" w:firstRow="1" w:lastRow="0" w:firstColumn="1" w:lastColumn="0" w:noHBand="0" w:noVBand="1"/>
      </w:tblPr>
      <w:tblGrid>
        <w:gridCol w:w="4508"/>
        <w:gridCol w:w="4508"/>
      </w:tblGrid>
      <w:tr w:rsidR="00CB5F95" w14:paraId="42572940" w14:textId="77777777" w:rsidTr="00CB5F95">
        <w:tc>
          <w:tcPr>
            <w:tcW w:w="4508" w:type="dxa"/>
          </w:tcPr>
          <w:p w14:paraId="06A79508" w14:textId="77777777" w:rsidR="00CB5F95" w:rsidRDefault="00CB5F95" w:rsidP="00CB5F95">
            <w:pPr>
              <w:jc w:val="center"/>
              <w:rPr>
                <w:rFonts w:eastAsia="Calibri" w:cs="Times New Roman"/>
                <w:b w:val="0"/>
                <w:bCs/>
                <w:szCs w:val="24"/>
                <w:lang w:val="en-GB"/>
              </w:rPr>
            </w:pPr>
            <w:r>
              <w:rPr>
                <w:rFonts w:eastAsia="Calibri" w:cs="Times New Roman"/>
                <w:b w:val="0"/>
                <w:bCs/>
                <w:noProof/>
                <w:szCs w:val="24"/>
                <w:lang w:eastAsia="en-MY"/>
              </w:rPr>
              <mc:AlternateContent>
                <mc:Choice Requires="wps">
                  <w:drawing>
                    <wp:anchor distT="0" distB="0" distL="114300" distR="114300" simplePos="0" relativeHeight="252579840" behindDoc="0" locked="0" layoutInCell="1" allowOverlap="1" wp14:anchorId="0553CACA" wp14:editId="7A975995">
                      <wp:simplePos x="0" y="0"/>
                      <wp:positionH relativeFrom="column">
                        <wp:posOffset>415925</wp:posOffset>
                      </wp:positionH>
                      <wp:positionV relativeFrom="paragraph">
                        <wp:posOffset>-364744</wp:posOffset>
                      </wp:positionV>
                      <wp:extent cx="1731010" cy="304673"/>
                      <wp:effectExtent l="0" t="0" r="2540" b="635"/>
                      <wp:wrapNone/>
                      <wp:docPr id="1908" name="Text Box 1908"/>
                      <wp:cNvGraphicFramePr/>
                      <a:graphic xmlns:a="http://schemas.openxmlformats.org/drawingml/2006/main">
                        <a:graphicData uri="http://schemas.microsoft.com/office/word/2010/wordprocessingShape">
                          <wps:wsp>
                            <wps:cNvSpPr txBox="1"/>
                            <wps:spPr>
                              <a:xfrm>
                                <a:off x="0" y="0"/>
                                <a:ext cx="1731010" cy="304673"/>
                              </a:xfrm>
                              <a:prstGeom prst="rect">
                                <a:avLst/>
                              </a:prstGeom>
                              <a:solidFill>
                                <a:schemeClr val="lt1"/>
                              </a:solidFill>
                              <a:ln w="6350">
                                <a:noFill/>
                              </a:ln>
                            </wps:spPr>
                            <wps:txbx>
                              <w:txbxContent>
                                <w:p w14:paraId="75FE0AB0" w14:textId="77777777" w:rsidR="00230AB9" w:rsidRPr="007C0A0D" w:rsidRDefault="00230AB9" w:rsidP="00CB5F95">
                                  <w:pPr>
                                    <w:rPr>
                                      <w:szCs w:val="24"/>
                                    </w:rPr>
                                  </w:pPr>
                                  <w:r w:rsidRPr="007C0A0D">
                                    <w:rPr>
                                      <w:rFonts w:eastAsia="Calibri" w:cs="Times New Roman"/>
                                      <w:bCs/>
                                      <w:szCs w:val="24"/>
                                      <w:lang w:val="en-GB"/>
                                    </w:rPr>
                                    <w:t xml:space="preserve">Series </w:t>
                                  </w:r>
                                  <w:r w:rsidRPr="007C0A0D">
                                    <w:rPr>
                                      <w:rFonts w:eastAsia="Times New Roman" w:cs="Times New Roman"/>
                                      <w:color w:val="000000"/>
                                      <w:szCs w:val="24"/>
                                      <w:lang w:eastAsia="en-MY"/>
                                    </w:rPr>
                                    <w:t>N</w:t>
                                  </w:r>
                                  <w:r w:rsidRPr="007C0A0D">
                                    <w:rPr>
                                      <w:rFonts w:eastAsia="Times New Roman" w:cs="Times New Roman"/>
                                      <w:color w:val="000000"/>
                                      <w:szCs w:val="24"/>
                                      <w:vertAlign w:val="subscript"/>
                                      <w:lang w:eastAsia="en-MY"/>
                                    </w:rPr>
                                    <w:t>10</w:t>
                                  </w:r>
                                  <w:r w:rsidRPr="007C0A0D">
                                    <w:rPr>
                                      <w:rFonts w:eastAsia="Times New Roman" w:cs="Times New Roman"/>
                                      <w:color w:val="000000"/>
                                      <w:szCs w:val="24"/>
                                      <w:lang w:eastAsia="en-MY"/>
                                    </w:rPr>
                                    <w:t>C</w:t>
                                  </w:r>
                                  <w:r w:rsidRPr="007C0A0D">
                                    <w:rPr>
                                      <w:rFonts w:eastAsia="Times New Roman" w:cs="Times New Roman"/>
                                      <w:color w:val="000000"/>
                                      <w:szCs w:val="24"/>
                                      <w:vertAlign w:val="subscript"/>
                                      <w:lang w:eastAsia="en-MY"/>
                                    </w:rPr>
                                    <w:t>x</w:t>
                                  </w:r>
                                  <w:r w:rsidRPr="007C0A0D">
                                    <w:rPr>
                                      <w:rFonts w:eastAsia="Times New Roman" w:cs="Times New Roman"/>
                                      <w:color w:val="000000"/>
                                      <w:szCs w:val="24"/>
                                      <w:lang w:eastAsia="en-MY"/>
                                    </w:rPr>
                                    <w:t>A</w:t>
                                  </w:r>
                                  <w:r w:rsidRPr="007C0A0D">
                                    <w:rPr>
                                      <w:rFonts w:eastAsia="Times New Roman" w:cs="Times New Roman"/>
                                      <w:color w:val="000000"/>
                                      <w:szCs w:val="24"/>
                                      <w:vertAlign w:val="subscript"/>
                                      <w:lang w:eastAsia="en-MY"/>
                                    </w:rPr>
                                    <w:t>2</w:t>
                                  </w:r>
                                  <w:r w:rsidRPr="007C0A0D">
                                    <w:rPr>
                                      <w:rFonts w:eastAsia="Times New Roman" w:cs="Times New Roman"/>
                                      <w:color w:val="000000"/>
                                      <w:szCs w:val="24"/>
                                      <w:lang w:eastAsia="en-MY"/>
                                    </w:rPr>
                                    <w:t>B</w:t>
                                  </w:r>
                                  <w:r w:rsidRPr="007C0A0D">
                                    <w:rPr>
                                      <w:rFonts w:eastAsia="Times New Roman" w:cs="Times New Roman"/>
                                      <w:color w:val="000000"/>
                                      <w:szCs w:val="24"/>
                                      <w:vertAlign w:val="subscript"/>
                                      <w:lang w:eastAsia="en-MY"/>
                                    </w:rPr>
                                    <w:t>10</w:t>
                                  </w:r>
                                  <w:r w:rsidRPr="007C0A0D">
                                    <w:rPr>
                                      <w:rFonts w:eastAsia="Times New Roman" w:cs="Times New Roman"/>
                                      <w:color w:val="000000"/>
                                      <w:szCs w:val="24"/>
                                      <w:lang w:eastAsia="en-MY"/>
                                    </w:rPr>
                                    <w:t>S</w:t>
                                  </w:r>
                                  <w:r w:rsidRPr="007C0A0D">
                                    <w:rPr>
                                      <w:rFonts w:eastAsia="Times New Roman" w:cs="Times New Roman"/>
                                      <w:color w:val="000000"/>
                                      <w:szCs w:val="24"/>
                                      <w:vertAlign w:val="subscript"/>
                                      <w:lang w:eastAsia="en-MY"/>
                                    </w:rPr>
                                    <w:t>78-x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3CACA" id="Text Box 1908" o:spid="_x0000_s1441" type="#_x0000_t202" style="position:absolute;left:0;text-align:left;margin-left:32.75pt;margin-top:-28.7pt;width:136.3pt;height:24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" fillcolor="white [3201]" stroked="f" strokeweight=".5pt">
                      <v:textbox>
                        <w:txbxContent>
                          <w:p w14:paraId="75FE0AB0" w14:textId="77777777" w:rsidR="00230AB9" w:rsidRPr="007C0A0D" w:rsidRDefault="00230AB9" w:rsidP="00CB5F95">
                            <w:pPr>
                              <w:rPr>
                                <w:szCs w:val="24"/>
                              </w:rPr>
                            </w:pPr>
                            <w:r w:rsidRPr="007C0A0D">
                              <w:rPr>
                                <w:rFonts w:eastAsia="Calibri" w:cs="Times New Roman"/>
                                <w:bCs/>
                                <w:szCs w:val="24"/>
                                <w:lang w:val="en-GB"/>
                              </w:rPr>
                              <w:t xml:space="preserve">Series </w:t>
                            </w:r>
                            <w:r w:rsidRPr="007C0A0D">
                              <w:rPr>
                                <w:rFonts w:eastAsia="Times New Roman" w:cs="Times New Roman"/>
                                <w:color w:val="000000"/>
                                <w:szCs w:val="24"/>
                                <w:lang w:eastAsia="en-MY"/>
                              </w:rPr>
                              <w:t>N</w:t>
                            </w:r>
                            <w:r w:rsidRPr="007C0A0D">
                              <w:rPr>
                                <w:rFonts w:eastAsia="Times New Roman" w:cs="Times New Roman"/>
                                <w:color w:val="000000"/>
                                <w:szCs w:val="24"/>
                                <w:vertAlign w:val="subscript"/>
                                <w:lang w:eastAsia="en-MY"/>
                              </w:rPr>
                              <w:t>10</w:t>
                            </w:r>
                            <w:r w:rsidRPr="007C0A0D">
                              <w:rPr>
                                <w:rFonts w:eastAsia="Times New Roman" w:cs="Times New Roman"/>
                                <w:color w:val="000000"/>
                                <w:szCs w:val="24"/>
                                <w:lang w:eastAsia="en-MY"/>
                              </w:rPr>
                              <w:t>C</w:t>
                            </w:r>
                            <w:r w:rsidRPr="007C0A0D">
                              <w:rPr>
                                <w:rFonts w:eastAsia="Times New Roman" w:cs="Times New Roman"/>
                                <w:color w:val="000000"/>
                                <w:szCs w:val="24"/>
                                <w:vertAlign w:val="subscript"/>
                                <w:lang w:eastAsia="en-MY"/>
                              </w:rPr>
                              <w:t>x</w:t>
                            </w:r>
                            <w:r w:rsidRPr="007C0A0D">
                              <w:rPr>
                                <w:rFonts w:eastAsia="Times New Roman" w:cs="Times New Roman"/>
                                <w:color w:val="000000"/>
                                <w:szCs w:val="24"/>
                                <w:lang w:eastAsia="en-MY"/>
                              </w:rPr>
                              <w:t>A</w:t>
                            </w:r>
                            <w:r w:rsidRPr="007C0A0D">
                              <w:rPr>
                                <w:rFonts w:eastAsia="Times New Roman" w:cs="Times New Roman"/>
                                <w:color w:val="000000"/>
                                <w:szCs w:val="24"/>
                                <w:vertAlign w:val="subscript"/>
                                <w:lang w:eastAsia="en-MY"/>
                              </w:rPr>
                              <w:t>2</w:t>
                            </w:r>
                            <w:r w:rsidRPr="007C0A0D">
                              <w:rPr>
                                <w:rFonts w:eastAsia="Times New Roman" w:cs="Times New Roman"/>
                                <w:color w:val="000000"/>
                                <w:szCs w:val="24"/>
                                <w:lang w:eastAsia="en-MY"/>
                              </w:rPr>
                              <w:t>B</w:t>
                            </w:r>
                            <w:r w:rsidRPr="007C0A0D">
                              <w:rPr>
                                <w:rFonts w:eastAsia="Times New Roman" w:cs="Times New Roman"/>
                                <w:color w:val="000000"/>
                                <w:szCs w:val="24"/>
                                <w:vertAlign w:val="subscript"/>
                                <w:lang w:eastAsia="en-MY"/>
                              </w:rPr>
                              <w:t>10</w:t>
                            </w:r>
                            <w:r w:rsidRPr="007C0A0D">
                              <w:rPr>
                                <w:rFonts w:eastAsia="Times New Roman" w:cs="Times New Roman"/>
                                <w:color w:val="000000"/>
                                <w:szCs w:val="24"/>
                                <w:lang w:eastAsia="en-MY"/>
                              </w:rPr>
                              <w:t>S</w:t>
                            </w:r>
                            <w:r w:rsidRPr="007C0A0D">
                              <w:rPr>
                                <w:rFonts w:eastAsia="Times New Roman" w:cs="Times New Roman"/>
                                <w:color w:val="000000"/>
                                <w:szCs w:val="24"/>
                                <w:vertAlign w:val="subscript"/>
                                <w:lang w:eastAsia="en-MY"/>
                              </w:rPr>
                              <w:t>78-x</w:t>
                            </w:r>
                          </w:p>
                        </w:txbxContent>
                      </v:textbox>
                    </v:shape>
                  </w:pict>
                </mc:Fallback>
              </mc:AlternateContent>
            </w:r>
            <w:r w:rsidRPr="00901196">
              <w:rPr>
                <w:rFonts w:eastAsia="Calibri" w:cs="Times New Roman"/>
                <w:b w:val="0"/>
                <w:bCs/>
                <w:noProof/>
                <w:szCs w:val="24"/>
                <w:lang w:eastAsia="en-MY"/>
              </w:rPr>
              <w:drawing>
                <wp:inline distT="0" distB="0" distL="0" distR="0" wp14:anchorId="1B549DCB" wp14:editId="1836478B">
                  <wp:extent cx="2663677" cy="1980000"/>
                  <wp:effectExtent l="0" t="0" r="3810" b="1270"/>
                  <wp:docPr id="2004" name="Picture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663677" cy="1980000"/>
                          </a:xfrm>
                          <a:prstGeom prst="rect">
                            <a:avLst/>
                          </a:prstGeom>
                          <a:noFill/>
                          <a:ln>
                            <a:noFill/>
                          </a:ln>
                        </pic:spPr>
                      </pic:pic>
                    </a:graphicData>
                  </a:graphic>
                </wp:inline>
              </w:drawing>
            </w:r>
          </w:p>
          <w:p w14:paraId="660D1085" w14:textId="77777777" w:rsidR="00CB5F95" w:rsidRDefault="00CB5F95" w:rsidP="00CB5F95">
            <w:pPr>
              <w:rPr>
                <w:rFonts w:eastAsia="Calibri" w:cs="Times New Roman"/>
                <w:b w:val="0"/>
                <w:bCs/>
                <w:szCs w:val="24"/>
                <w:lang w:val="en-GB"/>
              </w:rPr>
            </w:pPr>
          </w:p>
        </w:tc>
        <w:tc>
          <w:tcPr>
            <w:tcW w:w="4508" w:type="dxa"/>
          </w:tcPr>
          <w:p w14:paraId="1E3FBC7F" w14:textId="77777777" w:rsidR="00CB5F95" w:rsidRDefault="00CB5F95" w:rsidP="00CB5F95">
            <w:pPr>
              <w:jc w:val="center"/>
              <w:rPr>
                <w:rFonts w:eastAsia="Calibri" w:cs="Times New Roman"/>
                <w:b w:val="0"/>
                <w:bCs/>
                <w:szCs w:val="24"/>
                <w:lang w:val="en-GB"/>
              </w:rPr>
            </w:pPr>
            <w:r w:rsidRPr="006A155B">
              <w:rPr>
                <w:rFonts w:eastAsia="Calibri" w:cs="Times New Roman"/>
                <w:b w:val="0"/>
                <w:bCs/>
                <w:noProof/>
                <w:szCs w:val="24"/>
                <w:lang w:eastAsia="en-MY"/>
              </w:rPr>
              <w:drawing>
                <wp:inline distT="0" distB="0" distL="0" distR="0" wp14:anchorId="75636E51" wp14:editId="028C1CEE">
                  <wp:extent cx="2628161" cy="1980000"/>
                  <wp:effectExtent l="0" t="0" r="1270" b="1270"/>
                  <wp:docPr id="1996" name="Picture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628161" cy="1980000"/>
                          </a:xfrm>
                          <a:prstGeom prst="rect">
                            <a:avLst/>
                          </a:prstGeom>
                          <a:noFill/>
                          <a:ln>
                            <a:noFill/>
                          </a:ln>
                        </pic:spPr>
                      </pic:pic>
                    </a:graphicData>
                  </a:graphic>
                </wp:inline>
              </w:drawing>
            </w:r>
          </w:p>
          <w:p w14:paraId="0E2F297C" w14:textId="77777777" w:rsidR="00CB5F95" w:rsidRDefault="00CB5F95" w:rsidP="00CB5F95">
            <w:pPr>
              <w:jc w:val="center"/>
              <w:rPr>
                <w:rFonts w:eastAsia="Calibri" w:cs="Times New Roman"/>
                <w:b w:val="0"/>
                <w:bCs/>
                <w:szCs w:val="24"/>
                <w:lang w:val="en-GB"/>
              </w:rPr>
            </w:pPr>
          </w:p>
        </w:tc>
      </w:tr>
      <w:tr w:rsidR="00CB5F95" w14:paraId="4EE5F3A9" w14:textId="77777777" w:rsidTr="00CB5F95">
        <w:tc>
          <w:tcPr>
            <w:tcW w:w="4508" w:type="dxa"/>
          </w:tcPr>
          <w:p w14:paraId="24D666BA" w14:textId="77777777" w:rsidR="00CB5F95" w:rsidRPr="007C0A0D" w:rsidRDefault="00CB5F95" w:rsidP="00CB5F95">
            <w:pPr>
              <w:jc w:val="center"/>
              <w:rPr>
                <w:rFonts w:eastAsia="Calibri" w:cs="Times New Roman"/>
                <w:b w:val="0"/>
                <w:bCs/>
                <w:szCs w:val="24"/>
                <w:lang w:val="en-GB"/>
              </w:rPr>
            </w:pPr>
            <w:r w:rsidRPr="007C0A0D">
              <w:rPr>
                <w:rFonts w:eastAsia="Times New Roman" w:cs="Times New Roman"/>
                <w:b w:val="0"/>
                <w:color w:val="000000"/>
                <w:szCs w:val="24"/>
                <w:lang w:eastAsia="en-MY"/>
              </w:rPr>
              <w:t>N</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C</w:t>
            </w:r>
            <w:r w:rsidRPr="007C0A0D">
              <w:rPr>
                <w:rFonts w:eastAsia="Times New Roman" w:cs="Times New Roman"/>
                <w:b w:val="0"/>
                <w:color w:val="000000"/>
                <w:szCs w:val="24"/>
                <w:vertAlign w:val="subscript"/>
                <w:lang w:eastAsia="en-MY"/>
              </w:rPr>
              <w:t>2.5</w:t>
            </w:r>
            <w:r w:rsidRPr="007C0A0D">
              <w:rPr>
                <w:rFonts w:eastAsia="Times New Roman" w:cs="Times New Roman"/>
                <w:b w:val="0"/>
                <w:color w:val="000000"/>
                <w:szCs w:val="24"/>
                <w:lang w:eastAsia="en-MY"/>
              </w:rPr>
              <w:t>A</w:t>
            </w:r>
            <w:r w:rsidRPr="007C0A0D">
              <w:rPr>
                <w:rFonts w:eastAsia="Times New Roman" w:cs="Times New Roman"/>
                <w:b w:val="0"/>
                <w:color w:val="000000"/>
                <w:szCs w:val="24"/>
                <w:vertAlign w:val="subscript"/>
                <w:lang w:eastAsia="en-MY"/>
              </w:rPr>
              <w:t>2</w:t>
            </w:r>
            <w:r w:rsidRPr="007C0A0D">
              <w:rPr>
                <w:rFonts w:eastAsia="Times New Roman" w:cs="Times New Roman"/>
                <w:b w:val="0"/>
                <w:color w:val="000000"/>
                <w:szCs w:val="24"/>
                <w:lang w:eastAsia="en-MY"/>
              </w:rPr>
              <w:t>B</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S</w:t>
            </w:r>
            <w:r w:rsidRPr="007C0A0D">
              <w:rPr>
                <w:rFonts w:eastAsia="Times New Roman" w:cs="Times New Roman"/>
                <w:b w:val="0"/>
                <w:color w:val="000000"/>
                <w:szCs w:val="24"/>
                <w:vertAlign w:val="subscript"/>
                <w:lang w:eastAsia="en-MY"/>
              </w:rPr>
              <w:t>75.5</w:t>
            </w:r>
          </w:p>
        </w:tc>
        <w:tc>
          <w:tcPr>
            <w:tcW w:w="4508" w:type="dxa"/>
          </w:tcPr>
          <w:p w14:paraId="3AAD6236" w14:textId="77777777" w:rsidR="00CB5F95" w:rsidRDefault="00CB5F95" w:rsidP="00CB5F95">
            <w:pPr>
              <w:jc w:val="center"/>
              <w:rPr>
                <w:rFonts w:eastAsia="Times New Roman" w:cs="Times New Roman"/>
                <w:b w:val="0"/>
                <w:color w:val="000000"/>
                <w:szCs w:val="24"/>
                <w:vertAlign w:val="subscript"/>
                <w:lang w:eastAsia="en-MY"/>
              </w:rPr>
            </w:pPr>
            <w:r w:rsidRPr="007C0A0D">
              <w:rPr>
                <w:rFonts w:eastAsia="Times New Roman" w:cs="Times New Roman"/>
                <w:b w:val="0"/>
                <w:color w:val="000000"/>
                <w:szCs w:val="24"/>
                <w:lang w:eastAsia="en-MY"/>
              </w:rPr>
              <w:t>N</w:t>
            </w:r>
            <w:r w:rsidRPr="007C0A0D">
              <w:rPr>
                <w:rFonts w:eastAsia="Times New Roman" w:cs="Times New Roman"/>
                <w:b w:val="0"/>
                <w:color w:val="000000"/>
                <w:szCs w:val="24"/>
                <w:vertAlign w:val="subscript"/>
                <w:lang w:eastAsia="en-MY"/>
              </w:rPr>
              <w:t>15</w:t>
            </w:r>
            <w:r w:rsidRPr="007C0A0D">
              <w:rPr>
                <w:rFonts w:eastAsia="Times New Roman" w:cs="Times New Roman"/>
                <w:b w:val="0"/>
                <w:color w:val="000000"/>
                <w:szCs w:val="24"/>
                <w:lang w:eastAsia="en-MY"/>
              </w:rPr>
              <w:t>C</w:t>
            </w:r>
            <w:r w:rsidRPr="007C0A0D">
              <w:rPr>
                <w:rFonts w:eastAsia="Times New Roman" w:cs="Times New Roman"/>
                <w:b w:val="0"/>
                <w:color w:val="000000"/>
                <w:szCs w:val="24"/>
                <w:vertAlign w:val="subscript"/>
                <w:lang w:eastAsia="en-MY"/>
              </w:rPr>
              <w:t>7.5</w:t>
            </w:r>
            <w:r w:rsidRPr="007C0A0D">
              <w:rPr>
                <w:rFonts w:eastAsia="Times New Roman" w:cs="Times New Roman"/>
                <w:b w:val="0"/>
                <w:color w:val="000000"/>
                <w:szCs w:val="24"/>
                <w:lang w:eastAsia="en-MY"/>
              </w:rPr>
              <w:t>A</w:t>
            </w:r>
            <w:r w:rsidRPr="007C0A0D">
              <w:rPr>
                <w:rFonts w:eastAsia="Times New Roman" w:cs="Times New Roman"/>
                <w:b w:val="0"/>
                <w:color w:val="000000"/>
                <w:szCs w:val="24"/>
                <w:vertAlign w:val="subscript"/>
                <w:lang w:eastAsia="en-MY"/>
              </w:rPr>
              <w:t>2</w:t>
            </w:r>
            <w:r w:rsidRPr="007C0A0D">
              <w:rPr>
                <w:rFonts w:eastAsia="Times New Roman" w:cs="Times New Roman"/>
                <w:b w:val="0"/>
                <w:color w:val="000000"/>
                <w:szCs w:val="24"/>
                <w:lang w:eastAsia="en-MY"/>
              </w:rPr>
              <w:t>B</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S</w:t>
            </w:r>
            <w:r w:rsidRPr="007C0A0D">
              <w:rPr>
                <w:rFonts w:eastAsia="Times New Roman" w:cs="Times New Roman"/>
                <w:b w:val="0"/>
                <w:color w:val="000000"/>
                <w:szCs w:val="24"/>
                <w:vertAlign w:val="subscript"/>
                <w:lang w:eastAsia="en-MY"/>
              </w:rPr>
              <w:t>65.5</w:t>
            </w:r>
          </w:p>
          <w:p w14:paraId="502FA551" w14:textId="74F01D9F" w:rsidR="00A850BE" w:rsidRPr="007C0A0D" w:rsidRDefault="00A850BE" w:rsidP="00CB5F95">
            <w:pPr>
              <w:jc w:val="center"/>
              <w:rPr>
                <w:rFonts w:eastAsia="Calibri" w:cs="Times New Roman"/>
                <w:b w:val="0"/>
                <w:bCs/>
                <w:szCs w:val="24"/>
                <w:lang w:val="en-GB"/>
              </w:rPr>
            </w:pPr>
          </w:p>
        </w:tc>
      </w:tr>
      <w:tr w:rsidR="00CB5F95" w14:paraId="34A5C2C8" w14:textId="77777777" w:rsidTr="00CB5F95">
        <w:tc>
          <w:tcPr>
            <w:tcW w:w="4508" w:type="dxa"/>
          </w:tcPr>
          <w:p w14:paraId="66C16F10" w14:textId="77777777" w:rsidR="00CB5F95" w:rsidRDefault="00CB5F95" w:rsidP="00CB5F95">
            <w:pPr>
              <w:jc w:val="center"/>
              <w:rPr>
                <w:rFonts w:eastAsia="Calibri" w:cs="Times New Roman"/>
                <w:b w:val="0"/>
                <w:bCs/>
                <w:szCs w:val="24"/>
                <w:lang w:val="en-GB"/>
              </w:rPr>
            </w:pPr>
            <w:r w:rsidRPr="0006285D">
              <w:rPr>
                <w:rFonts w:eastAsia="Calibri" w:cs="Times New Roman"/>
                <w:b w:val="0"/>
                <w:bCs/>
                <w:noProof/>
                <w:szCs w:val="24"/>
                <w:lang w:eastAsia="en-MY"/>
              </w:rPr>
              <w:drawing>
                <wp:inline distT="0" distB="0" distL="0" distR="0" wp14:anchorId="543E818B" wp14:editId="7CFC9C58">
                  <wp:extent cx="2596254" cy="1980000"/>
                  <wp:effectExtent l="0" t="0" r="0" b="1270"/>
                  <wp:docPr id="2005" name="Picture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596254" cy="1980000"/>
                          </a:xfrm>
                          <a:prstGeom prst="rect">
                            <a:avLst/>
                          </a:prstGeom>
                          <a:noFill/>
                          <a:ln>
                            <a:noFill/>
                          </a:ln>
                        </pic:spPr>
                      </pic:pic>
                    </a:graphicData>
                  </a:graphic>
                </wp:inline>
              </w:drawing>
            </w:r>
          </w:p>
          <w:p w14:paraId="25CE9C65" w14:textId="77777777" w:rsidR="00CB5F95" w:rsidRDefault="00CB5F95" w:rsidP="00CB5F95">
            <w:pPr>
              <w:jc w:val="center"/>
              <w:rPr>
                <w:rFonts w:eastAsia="Calibri" w:cs="Times New Roman"/>
                <w:b w:val="0"/>
                <w:bCs/>
                <w:szCs w:val="24"/>
                <w:lang w:val="en-GB"/>
              </w:rPr>
            </w:pPr>
          </w:p>
        </w:tc>
        <w:tc>
          <w:tcPr>
            <w:tcW w:w="4508" w:type="dxa"/>
          </w:tcPr>
          <w:p w14:paraId="02529188" w14:textId="77777777" w:rsidR="00CB5F95" w:rsidRDefault="00CB5F95" w:rsidP="00CB5F95">
            <w:pPr>
              <w:jc w:val="center"/>
              <w:rPr>
                <w:rFonts w:eastAsia="Calibri" w:cs="Times New Roman"/>
                <w:b w:val="0"/>
                <w:bCs/>
                <w:szCs w:val="24"/>
                <w:lang w:val="en-GB"/>
              </w:rPr>
            </w:pPr>
            <w:r w:rsidRPr="004D0295">
              <w:rPr>
                <w:rFonts w:eastAsia="Calibri" w:cs="Times New Roman"/>
                <w:b w:val="0"/>
                <w:bCs/>
                <w:noProof/>
                <w:szCs w:val="24"/>
                <w:lang w:eastAsia="en-MY"/>
              </w:rPr>
              <w:drawing>
                <wp:inline distT="0" distB="0" distL="0" distR="0" wp14:anchorId="0206CD90" wp14:editId="5A08CEE0">
                  <wp:extent cx="2591707" cy="1980000"/>
                  <wp:effectExtent l="0" t="0" r="0" b="1270"/>
                  <wp:docPr id="2001" name="Pictur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591707" cy="1980000"/>
                          </a:xfrm>
                          <a:prstGeom prst="rect">
                            <a:avLst/>
                          </a:prstGeom>
                          <a:noFill/>
                          <a:ln>
                            <a:noFill/>
                          </a:ln>
                        </pic:spPr>
                      </pic:pic>
                    </a:graphicData>
                  </a:graphic>
                </wp:inline>
              </w:drawing>
            </w:r>
          </w:p>
        </w:tc>
      </w:tr>
      <w:tr w:rsidR="00CB5F95" w14:paraId="6D2ECFBE" w14:textId="77777777" w:rsidTr="00CB5F95">
        <w:tc>
          <w:tcPr>
            <w:tcW w:w="4508" w:type="dxa"/>
          </w:tcPr>
          <w:p w14:paraId="562E4B39" w14:textId="77777777" w:rsidR="00CB5F95" w:rsidRPr="007C0A0D" w:rsidRDefault="00CB5F95" w:rsidP="00CB5F95">
            <w:pPr>
              <w:jc w:val="center"/>
              <w:rPr>
                <w:rFonts w:eastAsia="Calibri" w:cs="Times New Roman"/>
                <w:b w:val="0"/>
                <w:bCs/>
                <w:szCs w:val="24"/>
                <w:lang w:val="en-GB"/>
              </w:rPr>
            </w:pPr>
            <w:r w:rsidRPr="007C0A0D">
              <w:rPr>
                <w:rFonts w:eastAsia="Times New Roman" w:cs="Times New Roman"/>
                <w:b w:val="0"/>
                <w:color w:val="000000"/>
                <w:szCs w:val="24"/>
                <w:lang w:eastAsia="en-MY"/>
              </w:rPr>
              <w:t>N</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C</w:t>
            </w:r>
            <w:r w:rsidRPr="007C0A0D">
              <w:rPr>
                <w:rFonts w:eastAsia="Times New Roman" w:cs="Times New Roman"/>
                <w:b w:val="0"/>
                <w:color w:val="000000"/>
                <w:szCs w:val="24"/>
                <w:vertAlign w:val="subscript"/>
                <w:lang w:eastAsia="en-MY"/>
              </w:rPr>
              <w:t>5</w:t>
            </w:r>
            <w:r w:rsidRPr="007C0A0D">
              <w:rPr>
                <w:rFonts w:eastAsia="Times New Roman" w:cs="Times New Roman"/>
                <w:b w:val="0"/>
                <w:color w:val="000000"/>
                <w:szCs w:val="24"/>
                <w:lang w:eastAsia="en-MY"/>
              </w:rPr>
              <w:t>A</w:t>
            </w:r>
            <w:r w:rsidRPr="007C0A0D">
              <w:rPr>
                <w:rFonts w:eastAsia="Times New Roman" w:cs="Times New Roman"/>
                <w:b w:val="0"/>
                <w:color w:val="000000"/>
                <w:szCs w:val="24"/>
                <w:vertAlign w:val="subscript"/>
                <w:lang w:eastAsia="en-MY"/>
              </w:rPr>
              <w:t>2</w:t>
            </w:r>
            <w:r w:rsidRPr="007C0A0D">
              <w:rPr>
                <w:rFonts w:eastAsia="Times New Roman" w:cs="Times New Roman"/>
                <w:b w:val="0"/>
                <w:color w:val="000000"/>
                <w:szCs w:val="24"/>
                <w:lang w:eastAsia="en-MY"/>
              </w:rPr>
              <w:t>B</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S</w:t>
            </w:r>
            <w:r w:rsidRPr="007C0A0D">
              <w:rPr>
                <w:rFonts w:eastAsia="Times New Roman" w:cs="Times New Roman"/>
                <w:b w:val="0"/>
                <w:color w:val="000000"/>
                <w:szCs w:val="24"/>
                <w:vertAlign w:val="subscript"/>
                <w:lang w:eastAsia="en-MY"/>
              </w:rPr>
              <w:t>73</w:t>
            </w:r>
          </w:p>
        </w:tc>
        <w:tc>
          <w:tcPr>
            <w:tcW w:w="4508" w:type="dxa"/>
          </w:tcPr>
          <w:p w14:paraId="3C21BA06" w14:textId="77777777" w:rsidR="00CB5F95" w:rsidRDefault="00CB5F95" w:rsidP="00CB5F95">
            <w:pPr>
              <w:jc w:val="center"/>
              <w:rPr>
                <w:rFonts w:eastAsia="Times New Roman" w:cs="Times New Roman"/>
                <w:b w:val="0"/>
                <w:color w:val="000000"/>
                <w:szCs w:val="24"/>
                <w:vertAlign w:val="subscript"/>
                <w:lang w:eastAsia="en-MY"/>
              </w:rPr>
            </w:pPr>
            <w:r w:rsidRPr="007C0A0D">
              <w:rPr>
                <w:rFonts w:eastAsia="Times New Roman" w:cs="Times New Roman"/>
                <w:b w:val="0"/>
                <w:color w:val="000000"/>
                <w:szCs w:val="24"/>
                <w:lang w:eastAsia="en-MY"/>
              </w:rPr>
              <w:t>N</w:t>
            </w:r>
            <w:r w:rsidRPr="007C0A0D">
              <w:rPr>
                <w:rFonts w:eastAsia="Times New Roman" w:cs="Times New Roman"/>
                <w:b w:val="0"/>
                <w:color w:val="000000"/>
                <w:szCs w:val="24"/>
                <w:vertAlign w:val="subscript"/>
                <w:lang w:eastAsia="en-MY"/>
              </w:rPr>
              <w:t>15</w:t>
            </w:r>
            <w:r w:rsidRPr="007C0A0D">
              <w:rPr>
                <w:rFonts w:eastAsia="Times New Roman" w:cs="Times New Roman"/>
                <w:b w:val="0"/>
                <w:color w:val="000000"/>
                <w:szCs w:val="24"/>
                <w:lang w:eastAsia="en-MY"/>
              </w:rPr>
              <w:t>C</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A</w:t>
            </w:r>
            <w:r w:rsidRPr="007C0A0D">
              <w:rPr>
                <w:rFonts w:eastAsia="Times New Roman" w:cs="Times New Roman"/>
                <w:b w:val="0"/>
                <w:color w:val="000000"/>
                <w:szCs w:val="24"/>
                <w:vertAlign w:val="subscript"/>
                <w:lang w:eastAsia="en-MY"/>
              </w:rPr>
              <w:t>2</w:t>
            </w:r>
            <w:r w:rsidRPr="007C0A0D">
              <w:rPr>
                <w:rFonts w:eastAsia="Times New Roman" w:cs="Times New Roman"/>
                <w:b w:val="0"/>
                <w:color w:val="000000"/>
                <w:szCs w:val="24"/>
                <w:lang w:eastAsia="en-MY"/>
              </w:rPr>
              <w:t>B</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S</w:t>
            </w:r>
            <w:r w:rsidRPr="007C0A0D">
              <w:rPr>
                <w:rFonts w:eastAsia="Times New Roman" w:cs="Times New Roman"/>
                <w:b w:val="0"/>
                <w:color w:val="000000"/>
                <w:szCs w:val="24"/>
                <w:vertAlign w:val="subscript"/>
                <w:lang w:eastAsia="en-MY"/>
              </w:rPr>
              <w:t>63</w:t>
            </w:r>
          </w:p>
          <w:p w14:paraId="4908AF03" w14:textId="289D786D" w:rsidR="00A850BE" w:rsidRPr="007C0A0D" w:rsidRDefault="00A850BE" w:rsidP="00CB5F95">
            <w:pPr>
              <w:jc w:val="center"/>
              <w:rPr>
                <w:rFonts w:eastAsia="Calibri" w:cs="Times New Roman"/>
                <w:b w:val="0"/>
                <w:bCs/>
                <w:szCs w:val="24"/>
                <w:lang w:val="en-GB"/>
              </w:rPr>
            </w:pPr>
          </w:p>
        </w:tc>
      </w:tr>
      <w:tr w:rsidR="00CB5F95" w14:paraId="2948FE15" w14:textId="77777777" w:rsidTr="00CB5F95">
        <w:tc>
          <w:tcPr>
            <w:tcW w:w="4508" w:type="dxa"/>
          </w:tcPr>
          <w:p w14:paraId="37E49B11" w14:textId="77777777" w:rsidR="00CB5F95" w:rsidRDefault="00CB5F95" w:rsidP="00CB5F95">
            <w:pPr>
              <w:jc w:val="center"/>
              <w:rPr>
                <w:rFonts w:eastAsia="Calibri" w:cs="Times New Roman"/>
                <w:b w:val="0"/>
                <w:bCs/>
                <w:szCs w:val="24"/>
                <w:lang w:val="en-GB"/>
              </w:rPr>
            </w:pPr>
            <w:r w:rsidRPr="0006285D">
              <w:rPr>
                <w:rFonts w:eastAsia="Calibri" w:cs="Times New Roman"/>
                <w:b w:val="0"/>
                <w:bCs/>
                <w:noProof/>
                <w:szCs w:val="24"/>
                <w:lang w:eastAsia="en-MY"/>
              </w:rPr>
              <w:drawing>
                <wp:inline distT="0" distB="0" distL="0" distR="0" wp14:anchorId="1EF53EBF" wp14:editId="4174E7EC">
                  <wp:extent cx="2602606" cy="1980000"/>
                  <wp:effectExtent l="0" t="0" r="7620" b="1270"/>
                  <wp:docPr id="2006" name="Picture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602606" cy="1980000"/>
                          </a:xfrm>
                          <a:prstGeom prst="rect">
                            <a:avLst/>
                          </a:prstGeom>
                          <a:noFill/>
                          <a:ln>
                            <a:noFill/>
                          </a:ln>
                        </pic:spPr>
                      </pic:pic>
                    </a:graphicData>
                  </a:graphic>
                </wp:inline>
              </w:drawing>
            </w:r>
          </w:p>
          <w:p w14:paraId="581DBC82" w14:textId="77777777" w:rsidR="00CB5F95" w:rsidRDefault="00CB5F95" w:rsidP="00CB5F95">
            <w:pPr>
              <w:jc w:val="center"/>
              <w:rPr>
                <w:rFonts w:eastAsia="Calibri" w:cs="Times New Roman"/>
                <w:b w:val="0"/>
                <w:bCs/>
                <w:szCs w:val="24"/>
                <w:lang w:val="en-GB"/>
              </w:rPr>
            </w:pPr>
          </w:p>
        </w:tc>
        <w:tc>
          <w:tcPr>
            <w:tcW w:w="4508" w:type="dxa"/>
          </w:tcPr>
          <w:p w14:paraId="07D59F32" w14:textId="77777777" w:rsidR="00CB5F95" w:rsidRDefault="00CB5F95" w:rsidP="00CB5F95">
            <w:pPr>
              <w:jc w:val="center"/>
              <w:rPr>
                <w:rFonts w:eastAsia="Calibri" w:cs="Times New Roman"/>
                <w:b w:val="0"/>
                <w:bCs/>
                <w:szCs w:val="24"/>
                <w:lang w:val="en-GB"/>
              </w:rPr>
            </w:pPr>
            <w:r w:rsidRPr="004D0295">
              <w:rPr>
                <w:rFonts w:eastAsia="Calibri" w:cs="Times New Roman"/>
                <w:b w:val="0"/>
                <w:bCs/>
                <w:noProof/>
                <w:szCs w:val="24"/>
                <w:lang w:eastAsia="en-MY"/>
              </w:rPr>
              <w:drawing>
                <wp:inline distT="0" distB="0" distL="0" distR="0" wp14:anchorId="3CF22DF7" wp14:editId="31DA1F6B">
                  <wp:extent cx="2558947" cy="1980000"/>
                  <wp:effectExtent l="0" t="0" r="0" b="1270"/>
                  <wp:docPr id="2002" name="Picture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558947" cy="1980000"/>
                          </a:xfrm>
                          <a:prstGeom prst="rect">
                            <a:avLst/>
                          </a:prstGeom>
                          <a:noFill/>
                          <a:ln>
                            <a:noFill/>
                          </a:ln>
                        </pic:spPr>
                      </pic:pic>
                    </a:graphicData>
                  </a:graphic>
                </wp:inline>
              </w:drawing>
            </w:r>
          </w:p>
        </w:tc>
      </w:tr>
      <w:tr w:rsidR="00CB5F95" w14:paraId="16759C6E" w14:textId="77777777" w:rsidTr="00CB5F95">
        <w:tc>
          <w:tcPr>
            <w:tcW w:w="4508" w:type="dxa"/>
          </w:tcPr>
          <w:p w14:paraId="704838F4" w14:textId="77777777" w:rsidR="00CB5F95" w:rsidRPr="007C0A0D" w:rsidRDefault="00CB5F95" w:rsidP="00CB5F95">
            <w:pPr>
              <w:jc w:val="center"/>
              <w:rPr>
                <w:rFonts w:eastAsia="Calibri" w:cs="Times New Roman"/>
                <w:b w:val="0"/>
                <w:bCs/>
                <w:szCs w:val="24"/>
                <w:lang w:val="en-GB"/>
              </w:rPr>
            </w:pPr>
            <w:r w:rsidRPr="007C0A0D">
              <w:rPr>
                <w:rFonts w:eastAsia="Times New Roman" w:cs="Times New Roman"/>
                <w:b w:val="0"/>
                <w:color w:val="000000"/>
                <w:szCs w:val="24"/>
                <w:lang w:eastAsia="en-MY"/>
              </w:rPr>
              <w:t>N</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C</w:t>
            </w:r>
            <w:r w:rsidRPr="007C0A0D">
              <w:rPr>
                <w:rFonts w:eastAsia="Times New Roman" w:cs="Times New Roman"/>
                <w:b w:val="0"/>
                <w:color w:val="000000"/>
                <w:szCs w:val="24"/>
                <w:vertAlign w:val="subscript"/>
                <w:lang w:eastAsia="en-MY"/>
              </w:rPr>
              <w:t>7.5</w:t>
            </w:r>
            <w:r w:rsidRPr="007C0A0D">
              <w:rPr>
                <w:rFonts w:eastAsia="Times New Roman" w:cs="Times New Roman"/>
                <w:b w:val="0"/>
                <w:color w:val="000000"/>
                <w:szCs w:val="24"/>
                <w:lang w:eastAsia="en-MY"/>
              </w:rPr>
              <w:t>A</w:t>
            </w:r>
            <w:r w:rsidRPr="007C0A0D">
              <w:rPr>
                <w:rFonts w:eastAsia="Times New Roman" w:cs="Times New Roman"/>
                <w:b w:val="0"/>
                <w:color w:val="000000"/>
                <w:szCs w:val="24"/>
                <w:vertAlign w:val="subscript"/>
                <w:lang w:eastAsia="en-MY"/>
              </w:rPr>
              <w:t>2</w:t>
            </w:r>
            <w:r w:rsidRPr="007C0A0D">
              <w:rPr>
                <w:rFonts w:eastAsia="Times New Roman" w:cs="Times New Roman"/>
                <w:b w:val="0"/>
                <w:color w:val="000000"/>
                <w:szCs w:val="24"/>
                <w:lang w:eastAsia="en-MY"/>
              </w:rPr>
              <w:t>B</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S</w:t>
            </w:r>
            <w:r w:rsidRPr="007C0A0D">
              <w:rPr>
                <w:rFonts w:eastAsia="Times New Roman" w:cs="Times New Roman"/>
                <w:b w:val="0"/>
                <w:color w:val="000000"/>
                <w:szCs w:val="24"/>
                <w:vertAlign w:val="subscript"/>
                <w:lang w:eastAsia="en-MY"/>
              </w:rPr>
              <w:t>70.5</w:t>
            </w:r>
          </w:p>
        </w:tc>
        <w:tc>
          <w:tcPr>
            <w:tcW w:w="4508" w:type="dxa"/>
          </w:tcPr>
          <w:p w14:paraId="5DEBC962" w14:textId="77777777" w:rsidR="00CB5F95" w:rsidRDefault="00CB5F95" w:rsidP="00CB5F95">
            <w:pPr>
              <w:jc w:val="center"/>
              <w:rPr>
                <w:rFonts w:eastAsia="Times New Roman" w:cs="Times New Roman"/>
                <w:b w:val="0"/>
                <w:color w:val="000000"/>
                <w:szCs w:val="24"/>
                <w:vertAlign w:val="subscript"/>
                <w:lang w:eastAsia="en-MY"/>
              </w:rPr>
            </w:pPr>
            <w:r w:rsidRPr="007C0A0D">
              <w:rPr>
                <w:rFonts w:eastAsia="Times New Roman" w:cs="Times New Roman"/>
                <w:b w:val="0"/>
                <w:color w:val="000000"/>
                <w:szCs w:val="24"/>
                <w:lang w:eastAsia="en-MY"/>
              </w:rPr>
              <w:t>N</w:t>
            </w:r>
            <w:r w:rsidRPr="007C0A0D">
              <w:rPr>
                <w:rFonts w:eastAsia="Times New Roman" w:cs="Times New Roman"/>
                <w:b w:val="0"/>
                <w:color w:val="000000"/>
                <w:szCs w:val="24"/>
                <w:vertAlign w:val="subscript"/>
                <w:lang w:eastAsia="en-MY"/>
              </w:rPr>
              <w:t>15</w:t>
            </w:r>
            <w:r w:rsidRPr="007C0A0D">
              <w:rPr>
                <w:rFonts w:eastAsia="Times New Roman" w:cs="Times New Roman"/>
                <w:b w:val="0"/>
                <w:color w:val="000000"/>
                <w:szCs w:val="24"/>
                <w:lang w:eastAsia="en-MY"/>
              </w:rPr>
              <w:t>C</w:t>
            </w:r>
            <w:r w:rsidRPr="007C0A0D">
              <w:rPr>
                <w:rFonts w:eastAsia="Times New Roman" w:cs="Times New Roman"/>
                <w:b w:val="0"/>
                <w:color w:val="000000"/>
                <w:szCs w:val="24"/>
                <w:vertAlign w:val="subscript"/>
                <w:lang w:eastAsia="en-MY"/>
              </w:rPr>
              <w:t>12.5</w:t>
            </w:r>
            <w:r w:rsidRPr="007C0A0D">
              <w:rPr>
                <w:rFonts w:eastAsia="Times New Roman" w:cs="Times New Roman"/>
                <w:b w:val="0"/>
                <w:color w:val="000000"/>
                <w:szCs w:val="24"/>
                <w:lang w:eastAsia="en-MY"/>
              </w:rPr>
              <w:t>A</w:t>
            </w:r>
            <w:r w:rsidRPr="007C0A0D">
              <w:rPr>
                <w:rFonts w:eastAsia="Times New Roman" w:cs="Times New Roman"/>
                <w:b w:val="0"/>
                <w:color w:val="000000"/>
                <w:szCs w:val="24"/>
                <w:vertAlign w:val="subscript"/>
                <w:lang w:eastAsia="en-MY"/>
              </w:rPr>
              <w:t>2</w:t>
            </w:r>
            <w:r w:rsidRPr="007C0A0D">
              <w:rPr>
                <w:rFonts w:eastAsia="Times New Roman" w:cs="Times New Roman"/>
                <w:b w:val="0"/>
                <w:color w:val="000000"/>
                <w:szCs w:val="24"/>
                <w:lang w:eastAsia="en-MY"/>
              </w:rPr>
              <w:t>B</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S</w:t>
            </w:r>
            <w:r w:rsidRPr="007C0A0D">
              <w:rPr>
                <w:rFonts w:eastAsia="Times New Roman" w:cs="Times New Roman"/>
                <w:b w:val="0"/>
                <w:color w:val="000000"/>
                <w:szCs w:val="24"/>
                <w:vertAlign w:val="subscript"/>
                <w:lang w:eastAsia="en-MY"/>
              </w:rPr>
              <w:t>60.5</w:t>
            </w:r>
          </w:p>
          <w:p w14:paraId="1DBDD3DE" w14:textId="74EA5C81" w:rsidR="00A850BE" w:rsidRPr="007C0A0D" w:rsidRDefault="00A850BE" w:rsidP="00CB5F95">
            <w:pPr>
              <w:jc w:val="center"/>
              <w:rPr>
                <w:rFonts w:eastAsia="Calibri" w:cs="Times New Roman"/>
                <w:b w:val="0"/>
                <w:bCs/>
                <w:szCs w:val="24"/>
                <w:lang w:val="en-GB"/>
              </w:rPr>
            </w:pPr>
          </w:p>
        </w:tc>
      </w:tr>
    </w:tbl>
    <w:p w14:paraId="38FEE4F4" w14:textId="77777777" w:rsidR="00CB5F95" w:rsidRDefault="00CB5F95" w:rsidP="00CB5F95">
      <w:pPr>
        <w:spacing w:line="240" w:lineRule="auto"/>
        <w:jc w:val="center"/>
        <w:rPr>
          <w:rFonts w:eastAsia="Calibri" w:cs="Times New Roman"/>
          <w:b w:val="0"/>
          <w:bCs/>
          <w:szCs w:val="24"/>
          <w:lang w:val="en-GB"/>
        </w:rPr>
      </w:pPr>
    </w:p>
    <w:p w14:paraId="25A238F0" w14:textId="77777777" w:rsidR="00CB5F95" w:rsidRDefault="00CB5F95" w:rsidP="00CB5F95">
      <w:pPr>
        <w:spacing w:line="240" w:lineRule="auto"/>
        <w:jc w:val="center"/>
        <w:rPr>
          <w:rFonts w:eastAsia="Calibri" w:cs="Times New Roman"/>
          <w:b w:val="0"/>
          <w:bCs/>
          <w:szCs w:val="24"/>
          <w:lang w:val="en-GB"/>
        </w:rPr>
      </w:pPr>
    </w:p>
    <w:p w14:paraId="5B6F0FED" w14:textId="77777777" w:rsidR="00CB5F95" w:rsidRDefault="00CB5F95" w:rsidP="00CB5F95">
      <w:pPr>
        <w:spacing w:line="240" w:lineRule="auto"/>
        <w:jc w:val="center"/>
        <w:rPr>
          <w:rFonts w:eastAsia="Calibri" w:cs="Times New Roman"/>
          <w:b w:val="0"/>
          <w:bCs/>
          <w:szCs w:val="24"/>
          <w:lang w:val="en-GB"/>
        </w:rPr>
      </w:pPr>
    </w:p>
    <w:p w14:paraId="4B4E8CCF" w14:textId="77777777" w:rsidR="00CB5F95" w:rsidRPr="007C0A0D" w:rsidRDefault="00CB5F95" w:rsidP="00CB5F95">
      <w:pPr>
        <w:spacing w:line="240" w:lineRule="auto"/>
        <w:jc w:val="center"/>
        <w:rPr>
          <w:rFonts w:eastAsia="Times New Roman" w:cs="Times New Roman"/>
          <w:color w:val="000000"/>
          <w:szCs w:val="24"/>
          <w:vertAlign w:val="subscript"/>
          <w:lang w:eastAsia="en-MY"/>
        </w:rPr>
      </w:pPr>
      <w:r w:rsidRPr="007C0A0D">
        <w:rPr>
          <w:rFonts w:eastAsia="Times New Roman" w:cs="Times New Roman"/>
          <w:color w:val="000000"/>
          <w:szCs w:val="24"/>
          <w:lang w:eastAsia="en-MY"/>
        </w:rPr>
        <w:lastRenderedPageBreak/>
        <w:t>Series N</w:t>
      </w:r>
      <w:r w:rsidRPr="007C0A0D">
        <w:rPr>
          <w:rFonts w:eastAsia="Times New Roman" w:cs="Times New Roman"/>
          <w:color w:val="000000"/>
          <w:szCs w:val="24"/>
          <w:vertAlign w:val="subscript"/>
          <w:lang w:eastAsia="en-MY"/>
        </w:rPr>
        <w:t>10</w:t>
      </w:r>
      <w:r w:rsidRPr="007C0A0D">
        <w:rPr>
          <w:rFonts w:eastAsia="Times New Roman" w:cs="Times New Roman"/>
          <w:color w:val="000000"/>
          <w:szCs w:val="24"/>
          <w:lang w:eastAsia="en-MY"/>
        </w:rPr>
        <w:t>C</w:t>
      </w:r>
      <w:r w:rsidRPr="007C0A0D">
        <w:rPr>
          <w:rFonts w:eastAsia="Times New Roman" w:cs="Times New Roman"/>
          <w:color w:val="000000"/>
          <w:szCs w:val="24"/>
          <w:vertAlign w:val="subscript"/>
          <w:lang w:eastAsia="en-MY"/>
        </w:rPr>
        <w:t>x</w:t>
      </w:r>
      <w:r w:rsidRPr="007C0A0D">
        <w:rPr>
          <w:rFonts w:eastAsia="Times New Roman" w:cs="Times New Roman"/>
          <w:color w:val="000000"/>
          <w:szCs w:val="24"/>
          <w:lang w:eastAsia="en-MY"/>
        </w:rPr>
        <w:t>Ba</w:t>
      </w:r>
      <w:r w:rsidRPr="007C0A0D">
        <w:rPr>
          <w:rFonts w:eastAsia="Times New Roman" w:cs="Times New Roman"/>
          <w:color w:val="000000"/>
          <w:szCs w:val="24"/>
          <w:vertAlign w:val="subscript"/>
          <w:lang w:eastAsia="en-MY"/>
        </w:rPr>
        <w:t>2</w:t>
      </w:r>
      <w:r w:rsidRPr="007C0A0D">
        <w:rPr>
          <w:rFonts w:eastAsia="Times New Roman" w:cs="Times New Roman"/>
          <w:color w:val="000000"/>
          <w:szCs w:val="24"/>
          <w:lang w:eastAsia="en-MY"/>
        </w:rPr>
        <w:t>A</w:t>
      </w:r>
      <w:r w:rsidRPr="007C0A0D">
        <w:rPr>
          <w:rFonts w:eastAsia="Times New Roman" w:cs="Times New Roman"/>
          <w:color w:val="000000"/>
          <w:szCs w:val="24"/>
          <w:vertAlign w:val="subscript"/>
          <w:lang w:eastAsia="en-MY"/>
        </w:rPr>
        <w:t>y</w:t>
      </w:r>
      <w:r w:rsidRPr="007C0A0D">
        <w:rPr>
          <w:rFonts w:eastAsia="Times New Roman" w:cs="Times New Roman"/>
          <w:color w:val="000000"/>
          <w:szCs w:val="24"/>
          <w:lang w:eastAsia="en-MY"/>
        </w:rPr>
        <w:t>B</w:t>
      </w:r>
      <w:r w:rsidRPr="007C0A0D">
        <w:rPr>
          <w:rFonts w:eastAsia="Times New Roman" w:cs="Times New Roman"/>
          <w:color w:val="000000"/>
          <w:szCs w:val="24"/>
          <w:vertAlign w:val="subscript"/>
          <w:lang w:eastAsia="en-MY"/>
        </w:rPr>
        <w:t>10</w:t>
      </w:r>
      <w:r w:rsidRPr="007C0A0D">
        <w:rPr>
          <w:rFonts w:eastAsia="Times New Roman" w:cs="Times New Roman"/>
          <w:color w:val="000000"/>
          <w:szCs w:val="24"/>
          <w:lang w:eastAsia="en-MY"/>
        </w:rPr>
        <w:t>S</w:t>
      </w:r>
      <w:r w:rsidRPr="007C0A0D">
        <w:rPr>
          <w:rFonts w:eastAsia="Times New Roman" w:cs="Times New Roman"/>
          <w:color w:val="000000"/>
          <w:szCs w:val="24"/>
          <w:vertAlign w:val="subscript"/>
          <w:lang w:eastAsia="en-MY"/>
        </w:rPr>
        <w:t>78-x-y</w:t>
      </w:r>
    </w:p>
    <w:tbl>
      <w:tblPr>
        <w:tblStyle w:val="TableGrid"/>
        <w:tblW w:w="0" w:type="auto"/>
        <w:tblLook w:val="04A0" w:firstRow="1" w:lastRow="0" w:firstColumn="1" w:lastColumn="0" w:noHBand="0" w:noVBand="1"/>
      </w:tblPr>
      <w:tblGrid>
        <w:gridCol w:w="4508"/>
        <w:gridCol w:w="4508"/>
      </w:tblGrid>
      <w:tr w:rsidR="00CB5F95" w14:paraId="746FC38D" w14:textId="77777777" w:rsidTr="00CB5F95">
        <w:tc>
          <w:tcPr>
            <w:tcW w:w="4508" w:type="dxa"/>
          </w:tcPr>
          <w:p w14:paraId="1F7CC9CD" w14:textId="77777777" w:rsidR="00CB5F95" w:rsidRDefault="00CB5F95" w:rsidP="00CB5F95">
            <w:pPr>
              <w:jc w:val="center"/>
              <w:rPr>
                <w:rFonts w:eastAsia="Calibri" w:cs="Times New Roman"/>
                <w:b w:val="0"/>
                <w:bCs/>
                <w:szCs w:val="24"/>
                <w:lang w:val="en-GB"/>
              </w:rPr>
            </w:pPr>
            <w:r w:rsidRPr="00D757A6">
              <w:rPr>
                <w:rFonts w:eastAsia="Calibri" w:cs="Times New Roman"/>
                <w:b w:val="0"/>
                <w:bCs/>
                <w:noProof/>
                <w:szCs w:val="24"/>
                <w:lang w:eastAsia="en-MY"/>
              </w:rPr>
              <w:drawing>
                <wp:inline distT="0" distB="0" distL="0" distR="0" wp14:anchorId="17F418AD" wp14:editId="0A635F4C">
                  <wp:extent cx="2561226" cy="1980000"/>
                  <wp:effectExtent l="0" t="0" r="0" b="1270"/>
                  <wp:docPr id="2007" name="Pictur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561226" cy="1980000"/>
                          </a:xfrm>
                          <a:prstGeom prst="rect">
                            <a:avLst/>
                          </a:prstGeom>
                          <a:noFill/>
                          <a:ln>
                            <a:noFill/>
                          </a:ln>
                        </pic:spPr>
                      </pic:pic>
                    </a:graphicData>
                  </a:graphic>
                </wp:inline>
              </w:drawing>
            </w:r>
          </w:p>
          <w:p w14:paraId="115686D5" w14:textId="77777777" w:rsidR="00CB5F95" w:rsidRDefault="00CB5F95" w:rsidP="00CB5F95">
            <w:pPr>
              <w:jc w:val="center"/>
              <w:rPr>
                <w:rFonts w:eastAsia="Calibri" w:cs="Times New Roman"/>
                <w:b w:val="0"/>
                <w:bCs/>
                <w:szCs w:val="24"/>
                <w:lang w:val="en-GB"/>
              </w:rPr>
            </w:pPr>
          </w:p>
          <w:p w14:paraId="3F7F4630" w14:textId="77777777" w:rsidR="00CB5F95" w:rsidRDefault="00CB5F95" w:rsidP="00CB5F95">
            <w:pPr>
              <w:jc w:val="center"/>
              <w:rPr>
                <w:rFonts w:eastAsia="Calibri" w:cs="Times New Roman"/>
                <w:b w:val="0"/>
                <w:bCs/>
                <w:szCs w:val="24"/>
                <w:lang w:val="en-GB"/>
              </w:rPr>
            </w:pPr>
          </w:p>
        </w:tc>
        <w:tc>
          <w:tcPr>
            <w:tcW w:w="4508" w:type="dxa"/>
          </w:tcPr>
          <w:p w14:paraId="10B46ABE" w14:textId="77777777" w:rsidR="00CB5F95" w:rsidRDefault="00CB5F95" w:rsidP="00CB5F95">
            <w:pPr>
              <w:jc w:val="center"/>
              <w:rPr>
                <w:rFonts w:eastAsia="Calibri" w:cs="Times New Roman"/>
                <w:b w:val="0"/>
                <w:bCs/>
                <w:szCs w:val="24"/>
                <w:lang w:val="en-GB"/>
              </w:rPr>
            </w:pPr>
            <w:r w:rsidRPr="00D4555A">
              <w:rPr>
                <w:rFonts w:eastAsia="Calibri" w:cs="Times New Roman"/>
                <w:b w:val="0"/>
                <w:bCs/>
                <w:noProof/>
                <w:szCs w:val="24"/>
                <w:lang w:eastAsia="en-MY"/>
              </w:rPr>
              <w:drawing>
                <wp:inline distT="0" distB="0" distL="0" distR="0" wp14:anchorId="214B8DCD" wp14:editId="6A8BA4DF">
                  <wp:extent cx="2581288" cy="1980000"/>
                  <wp:effectExtent l="0" t="0" r="0" b="1270"/>
                  <wp:docPr id="2016" name="Pictur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581288" cy="1980000"/>
                          </a:xfrm>
                          <a:prstGeom prst="rect">
                            <a:avLst/>
                          </a:prstGeom>
                          <a:noFill/>
                          <a:ln>
                            <a:noFill/>
                          </a:ln>
                        </pic:spPr>
                      </pic:pic>
                    </a:graphicData>
                  </a:graphic>
                </wp:inline>
              </w:drawing>
            </w:r>
          </w:p>
        </w:tc>
      </w:tr>
      <w:tr w:rsidR="00CB5F95" w14:paraId="4EF68D06" w14:textId="77777777" w:rsidTr="00CB5F95">
        <w:tc>
          <w:tcPr>
            <w:tcW w:w="4508" w:type="dxa"/>
          </w:tcPr>
          <w:p w14:paraId="7EADF1D4" w14:textId="77777777" w:rsidR="00CB5F95" w:rsidRPr="007C0A0D" w:rsidRDefault="00CB5F95" w:rsidP="00CB5F95">
            <w:pPr>
              <w:jc w:val="center"/>
              <w:rPr>
                <w:rFonts w:eastAsia="Calibri" w:cs="Times New Roman"/>
                <w:b w:val="0"/>
                <w:bCs/>
                <w:szCs w:val="24"/>
                <w:lang w:val="en-GB"/>
              </w:rPr>
            </w:pPr>
            <w:r w:rsidRPr="007C0A0D">
              <w:rPr>
                <w:rFonts w:eastAsia="Times New Roman" w:cs="Times New Roman"/>
                <w:b w:val="0"/>
                <w:color w:val="000000"/>
                <w:szCs w:val="24"/>
                <w:lang w:eastAsia="en-MY"/>
              </w:rPr>
              <w:t>N</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C</w:t>
            </w:r>
            <w:r w:rsidRPr="007C0A0D">
              <w:rPr>
                <w:rFonts w:eastAsia="Times New Roman" w:cs="Times New Roman"/>
                <w:b w:val="0"/>
                <w:color w:val="000000"/>
                <w:szCs w:val="24"/>
                <w:vertAlign w:val="subscript"/>
                <w:lang w:eastAsia="en-MY"/>
              </w:rPr>
              <w:t>2.4</w:t>
            </w:r>
            <w:r w:rsidRPr="007C0A0D">
              <w:rPr>
                <w:rFonts w:eastAsia="Times New Roman" w:cs="Times New Roman"/>
                <w:b w:val="0"/>
                <w:color w:val="000000"/>
                <w:szCs w:val="24"/>
                <w:lang w:eastAsia="en-MY"/>
              </w:rPr>
              <w:t>Ba</w:t>
            </w:r>
            <w:r w:rsidRPr="007C0A0D">
              <w:rPr>
                <w:rFonts w:eastAsia="Times New Roman" w:cs="Times New Roman"/>
                <w:b w:val="0"/>
                <w:color w:val="000000"/>
                <w:szCs w:val="24"/>
                <w:vertAlign w:val="subscript"/>
                <w:lang w:eastAsia="en-MY"/>
              </w:rPr>
              <w:t>2</w:t>
            </w:r>
            <w:r w:rsidRPr="007C0A0D">
              <w:rPr>
                <w:rFonts w:eastAsia="Times New Roman" w:cs="Times New Roman"/>
                <w:b w:val="0"/>
                <w:color w:val="000000"/>
                <w:szCs w:val="24"/>
                <w:lang w:eastAsia="en-MY"/>
              </w:rPr>
              <w:t>A</w:t>
            </w:r>
            <w:r w:rsidRPr="007C0A0D">
              <w:rPr>
                <w:rFonts w:eastAsia="Times New Roman" w:cs="Times New Roman"/>
                <w:b w:val="0"/>
                <w:color w:val="000000"/>
                <w:szCs w:val="24"/>
                <w:vertAlign w:val="subscript"/>
                <w:lang w:eastAsia="en-MY"/>
              </w:rPr>
              <w:t>5.7</w:t>
            </w:r>
            <w:r w:rsidRPr="007C0A0D">
              <w:rPr>
                <w:rFonts w:eastAsia="Times New Roman" w:cs="Times New Roman"/>
                <w:b w:val="0"/>
                <w:color w:val="000000"/>
                <w:szCs w:val="24"/>
                <w:lang w:eastAsia="en-MY"/>
              </w:rPr>
              <w:t>B</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S</w:t>
            </w:r>
            <w:r w:rsidRPr="007C0A0D">
              <w:rPr>
                <w:rFonts w:eastAsia="Times New Roman" w:cs="Times New Roman"/>
                <w:b w:val="0"/>
                <w:color w:val="000000"/>
                <w:szCs w:val="24"/>
                <w:vertAlign w:val="subscript"/>
                <w:lang w:eastAsia="en-MY"/>
              </w:rPr>
              <w:t>69.9</w:t>
            </w:r>
          </w:p>
        </w:tc>
        <w:tc>
          <w:tcPr>
            <w:tcW w:w="4508" w:type="dxa"/>
          </w:tcPr>
          <w:p w14:paraId="52B559D3" w14:textId="77777777" w:rsidR="00CB5F95" w:rsidRDefault="00CB5F95" w:rsidP="00CB5F95">
            <w:pPr>
              <w:jc w:val="center"/>
              <w:rPr>
                <w:rFonts w:eastAsia="Times New Roman" w:cs="Times New Roman"/>
                <w:b w:val="0"/>
                <w:color w:val="000000"/>
                <w:szCs w:val="24"/>
                <w:vertAlign w:val="subscript"/>
                <w:lang w:eastAsia="en-MY"/>
              </w:rPr>
            </w:pPr>
            <w:r w:rsidRPr="007C0A0D">
              <w:rPr>
                <w:rFonts w:eastAsia="Times New Roman" w:cs="Times New Roman"/>
                <w:b w:val="0"/>
                <w:color w:val="000000"/>
                <w:szCs w:val="24"/>
                <w:lang w:eastAsia="en-MY"/>
              </w:rPr>
              <w:t>N</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C</w:t>
            </w:r>
            <w:r w:rsidRPr="007C0A0D">
              <w:rPr>
                <w:rFonts w:eastAsia="Times New Roman" w:cs="Times New Roman"/>
                <w:b w:val="0"/>
                <w:color w:val="000000"/>
                <w:szCs w:val="24"/>
                <w:vertAlign w:val="subscript"/>
                <w:lang w:eastAsia="en-MY"/>
              </w:rPr>
              <w:t>3.6</w:t>
            </w:r>
            <w:r w:rsidRPr="007C0A0D">
              <w:rPr>
                <w:rFonts w:eastAsia="Times New Roman" w:cs="Times New Roman"/>
                <w:b w:val="0"/>
                <w:color w:val="000000"/>
                <w:szCs w:val="24"/>
                <w:lang w:eastAsia="en-MY"/>
              </w:rPr>
              <w:t>Ba</w:t>
            </w:r>
            <w:r w:rsidRPr="007C0A0D">
              <w:rPr>
                <w:rFonts w:eastAsia="Times New Roman" w:cs="Times New Roman"/>
                <w:b w:val="0"/>
                <w:color w:val="000000"/>
                <w:szCs w:val="24"/>
                <w:vertAlign w:val="subscript"/>
                <w:lang w:eastAsia="en-MY"/>
              </w:rPr>
              <w:t>2</w:t>
            </w:r>
            <w:r w:rsidRPr="007C0A0D">
              <w:rPr>
                <w:rFonts w:eastAsia="Times New Roman" w:cs="Times New Roman"/>
                <w:b w:val="0"/>
                <w:color w:val="000000"/>
                <w:szCs w:val="24"/>
                <w:lang w:eastAsia="en-MY"/>
              </w:rPr>
              <w:t>A</w:t>
            </w:r>
            <w:r w:rsidRPr="007C0A0D">
              <w:rPr>
                <w:rFonts w:eastAsia="Times New Roman" w:cs="Times New Roman"/>
                <w:b w:val="0"/>
                <w:color w:val="000000"/>
                <w:szCs w:val="24"/>
                <w:vertAlign w:val="subscript"/>
                <w:lang w:eastAsia="en-MY"/>
              </w:rPr>
              <w:t>10.1</w:t>
            </w:r>
            <w:r w:rsidRPr="007C0A0D">
              <w:rPr>
                <w:rFonts w:eastAsia="Times New Roman" w:cs="Times New Roman"/>
                <w:b w:val="0"/>
                <w:color w:val="000000"/>
                <w:szCs w:val="24"/>
                <w:lang w:eastAsia="en-MY"/>
              </w:rPr>
              <w:t>B</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S</w:t>
            </w:r>
            <w:r w:rsidRPr="007C0A0D">
              <w:rPr>
                <w:rFonts w:eastAsia="Times New Roman" w:cs="Times New Roman"/>
                <w:b w:val="0"/>
                <w:color w:val="000000"/>
                <w:szCs w:val="24"/>
                <w:vertAlign w:val="subscript"/>
                <w:lang w:eastAsia="en-MY"/>
              </w:rPr>
              <w:t>64.3</w:t>
            </w:r>
          </w:p>
          <w:p w14:paraId="72234AB9" w14:textId="39998CA5" w:rsidR="00A850BE" w:rsidRPr="007C0A0D" w:rsidRDefault="00A850BE" w:rsidP="00CB5F95">
            <w:pPr>
              <w:jc w:val="center"/>
              <w:rPr>
                <w:rFonts w:eastAsia="Calibri" w:cs="Times New Roman"/>
                <w:b w:val="0"/>
                <w:bCs/>
                <w:szCs w:val="24"/>
                <w:lang w:val="en-GB"/>
              </w:rPr>
            </w:pPr>
          </w:p>
        </w:tc>
      </w:tr>
      <w:tr w:rsidR="00CB5F95" w14:paraId="16179A8D" w14:textId="77777777" w:rsidTr="00CB5F95">
        <w:tc>
          <w:tcPr>
            <w:tcW w:w="4508" w:type="dxa"/>
          </w:tcPr>
          <w:p w14:paraId="638CF5B8" w14:textId="77777777" w:rsidR="00CB5F95" w:rsidRDefault="00CB5F95" w:rsidP="00CB5F95">
            <w:pPr>
              <w:jc w:val="center"/>
              <w:rPr>
                <w:rFonts w:eastAsia="Calibri" w:cs="Times New Roman"/>
                <w:b w:val="0"/>
                <w:bCs/>
                <w:szCs w:val="24"/>
                <w:lang w:val="en-GB"/>
              </w:rPr>
            </w:pPr>
            <w:r w:rsidRPr="00D4555A">
              <w:rPr>
                <w:rFonts w:eastAsia="Calibri" w:cs="Times New Roman"/>
                <w:b w:val="0"/>
                <w:bCs/>
                <w:noProof/>
                <w:szCs w:val="24"/>
                <w:lang w:eastAsia="en-MY"/>
              </w:rPr>
              <w:drawing>
                <wp:inline distT="0" distB="0" distL="0" distR="0" wp14:anchorId="0A40F015" wp14:editId="78470CC6">
                  <wp:extent cx="2580000" cy="1980000"/>
                  <wp:effectExtent l="0" t="0" r="0" b="1270"/>
                  <wp:docPr id="2018" name="Pictur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580000" cy="1980000"/>
                          </a:xfrm>
                          <a:prstGeom prst="rect">
                            <a:avLst/>
                          </a:prstGeom>
                          <a:noFill/>
                          <a:ln>
                            <a:noFill/>
                          </a:ln>
                        </pic:spPr>
                      </pic:pic>
                    </a:graphicData>
                  </a:graphic>
                </wp:inline>
              </w:drawing>
            </w:r>
          </w:p>
          <w:p w14:paraId="31BB8C2E" w14:textId="77777777" w:rsidR="00CB5F95" w:rsidRDefault="00CB5F95" w:rsidP="00CB5F95">
            <w:pPr>
              <w:jc w:val="center"/>
              <w:rPr>
                <w:rFonts w:eastAsia="Calibri" w:cs="Times New Roman"/>
                <w:b w:val="0"/>
                <w:bCs/>
                <w:szCs w:val="24"/>
                <w:lang w:val="en-GB"/>
              </w:rPr>
            </w:pPr>
          </w:p>
          <w:p w14:paraId="02FD8F9D" w14:textId="77777777" w:rsidR="00CB5F95" w:rsidRDefault="00CB5F95" w:rsidP="00CB5F95">
            <w:pPr>
              <w:jc w:val="center"/>
              <w:rPr>
                <w:rFonts w:eastAsia="Calibri" w:cs="Times New Roman"/>
                <w:b w:val="0"/>
                <w:bCs/>
                <w:szCs w:val="24"/>
                <w:lang w:val="en-GB"/>
              </w:rPr>
            </w:pPr>
          </w:p>
        </w:tc>
        <w:tc>
          <w:tcPr>
            <w:tcW w:w="4508" w:type="dxa"/>
          </w:tcPr>
          <w:p w14:paraId="547B37C6" w14:textId="77777777" w:rsidR="00CB5F95" w:rsidRDefault="00CB5F95" w:rsidP="00CB5F95">
            <w:pPr>
              <w:jc w:val="center"/>
              <w:rPr>
                <w:rFonts w:eastAsia="Calibri" w:cs="Times New Roman"/>
                <w:b w:val="0"/>
                <w:bCs/>
                <w:szCs w:val="24"/>
                <w:lang w:val="en-GB"/>
              </w:rPr>
            </w:pPr>
            <w:r w:rsidRPr="00D4555A">
              <w:rPr>
                <w:rFonts w:eastAsia="Calibri" w:cs="Times New Roman"/>
                <w:b w:val="0"/>
                <w:bCs/>
                <w:noProof/>
                <w:szCs w:val="24"/>
                <w:lang w:eastAsia="en-MY"/>
              </w:rPr>
              <w:drawing>
                <wp:inline distT="0" distB="0" distL="0" distR="0" wp14:anchorId="58C1FC24" wp14:editId="24F2E6CB">
                  <wp:extent cx="2581288" cy="1980000"/>
                  <wp:effectExtent l="0" t="0" r="0" b="1270"/>
                  <wp:docPr id="2019" name="Pictur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581288" cy="1980000"/>
                          </a:xfrm>
                          <a:prstGeom prst="rect">
                            <a:avLst/>
                          </a:prstGeom>
                          <a:noFill/>
                          <a:ln>
                            <a:noFill/>
                          </a:ln>
                        </pic:spPr>
                      </pic:pic>
                    </a:graphicData>
                  </a:graphic>
                </wp:inline>
              </w:drawing>
            </w:r>
          </w:p>
        </w:tc>
      </w:tr>
      <w:tr w:rsidR="00CB5F95" w14:paraId="2C9869A2" w14:textId="77777777" w:rsidTr="00CB5F95">
        <w:tc>
          <w:tcPr>
            <w:tcW w:w="4508" w:type="dxa"/>
          </w:tcPr>
          <w:p w14:paraId="2290C1C1" w14:textId="77777777" w:rsidR="00CB5F95" w:rsidRPr="007C0A0D" w:rsidRDefault="00CB5F95" w:rsidP="00CB5F95">
            <w:pPr>
              <w:jc w:val="center"/>
              <w:rPr>
                <w:rFonts w:eastAsia="Calibri" w:cs="Times New Roman"/>
                <w:b w:val="0"/>
                <w:bCs/>
                <w:szCs w:val="24"/>
                <w:lang w:val="en-GB"/>
              </w:rPr>
            </w:pPr>
            <w:r w:rsidRPr="007C0A0D">
              <w:rPr>
                <w:rFonts w:eastAsia="Times New Roman" w:cs="Times New Roman"/>
                <w:b w:val="0"/>
                <w:color w:val="000000"/>
                <w:szCs w:val="24"/>
                <w:lang w:eastAsia="en-MY"/>
              </w:rPr>
              <w:t>N</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C</w:t>
            </w:r>
            <w:r w:rsidRPr="007C0A0D">
              <w:rPr>
                <w:rFonts w:eastAsia="Times New Roman" w:cs="Times New Roman"/>
                <w:b w:val="0"/>
                <w:color w:val="000000"/>
                <w:szCs w:val="24"/>
                <w:vertAlign w:val="subscript"/>
                <w:lang w:eastAsia="en-MY"/>
              </w:rPr>
              <w:t>4.9</w:t>
            </w:r>
            <w:r w:rsidRPr="007C0A0D">
              <w:rPr>
                <w:rFonts w:eastAsia="Times New Roman" w:cs="Times New Roman"/>
                <w:b w:val="0"/>
                <w:color w:val="000000"/>
                <w:szCs w:val="24"/>
                <w:lang w:eastAsia="en-MY"/>
              </w:rPr>
              <w:t>Ba</w:t>
            </w:r>
            <w:r w:rsidRPr="007C0A0D">
              <w:rPr>
                <w:rFonts w:eastAsia="Times New Roman" w:cs="Times New Roman"/>
                <w:b w:val="0"/>
                <w:color w:val="000000"/>
                <w:szCs w:val="24"/>
                <w:vertAlign w:val="subscript"/>
                <w:lang w:eastAsia="en-MY"/>
              </w:rPr>
              <w:t>2</w:t>
            </w:r>
            <w:r w:rsidRPr="007C0A0D">
              <w:rPr>
                <w:rFonts w:eastAsia="Times New Roman" w:cs="Times New Roman"/>
                <w:b w:val="0"/>
                <w:color w:val="000000"/>
                <w:szCs w:val="24"/>
                <w:lang w:eastAsia="en-MY"/>
              </w:rPr>
              <w:t>A</w:t>
            </w:r>
            <w:r w:rsidRPr="007C0A0D">
              <w:rPr>
                <w:rFonts w:eastAsia="Times New Roman" w:cs="Times New Roman"/>
                <w:b w:val="0"/>
                <w:color w:val="000000"/>
                <w:szCs w:val="24"/>
                <w:vertAlign w:val="subscript"/>
                <w:lang w:eastAsia="en-MY"/>
              </w:rPr>
              <w:t>7.1</w:t>
            </w:r>
            <w:r w:rsidRPr="007C0A0D">
              <w:rPr>
                <w:rFonts w:eastAsia="Times New Roman" w:cs="Times New Roman"/>
                <w:b w:val="0"/>
                <w:color w:val="000000"/>
                <w:szCs w:val="24"/>
                <w:lang w:eastAsia="en-MY"/>
              </w:rPr>
              <w:t>B</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S</w:t>
            </w:r>
            <w:r w:rsidRPr="007C0A0D">
              <w:rPr>
                <w:rFonts w:eastAsia="Times New Roman" w:cs="Times New Roman"/>
                <w:b w:val="0"/>
                <w:color w:val="000000"/>
                <w:szCs w:val="24"/>
                <w:vertAlign w:val="subscript"/>
                <w:lang w:eastAsia="en-MY"/>
              </w:rPr>
              <w:t>66</w:t>
            </w:r>
          </w:p>
        </w:tc>
        <w:tc>
          <w:tcPr>
            <w:tcW w:w="4508" w:type="dxa"/>
          </w:tcPr>
          <w:p w14:paraId="5170C6F1" w14:textId="77777777" w:rsidR="00CB5F95" w:rsidRDefault="00CB5F95" w:rsidP="00CB5F95">
            <w:pPr>
              <w:jc w:val="center"/>
              <w:rPr>
                <w:rFonts w:eastAsia="Times New Roman" w:cs="Times New Roman"/>
                <w:b w:val="0"/>
                <w:color w:val="000000"/>
                <w:szCs w:val="24"/>
                <w:vertAlign w:val="subscript"/>
                <w:lang w:eastAsia="en-MY"/>
              </w:rPr>
            </w:pPr>
            <w:r w:rsidRPr="007C0A0D">
              <w:rPr>
                <w:rFonts w:eastAsia="Times New Roman" w:cs="Times New Roman"/>
                <w:b w:val="0"/>
                <w:color w:val="000000"/>
                <w:szCs w:val="24"/>
                <w:lang w:eastAsia="en-MY"/>
              </w:rPr>
              <w:t>N</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C</w:t>
            </w:r>
            <w:r w:rsidRPr="007C0A0D">
              <w:rPr>
                <w:rFonts w:eastAsia="Times New Roman" w:cs="Times New Roman"/>
                <w:b w:val="0"/>
                <w:color w:val="000000"/>
                <w:szCs w:val="24"/>
                <w:vertAlign w:val="subscript"/>
                <w:lang w:eastAsia="en-MY"/>
              </w:rPr>
              <w:t>2.5</w:t>
            </w:r>
            <w:r w:rsidRPr="007C0A0D">
              <w:rPr>
                <w:rFonts w:eastAsia="Times New Roman" w:cs="Times New Roman"/>
                <w:b w:val="0"/>
                <w:color w:val="000000"/>
                <w:szCs w:val="24"/>
                <w:lang w:eastAsia="en-MY"/>
              </w:rPr>
              <w:t>Ba</w:t>
            </w:r>
            <w:r w:rsidRPr="007C0A0D">
              <w:rPr>
                <w:rFonts w:eastAsia="Times New Roman" w:cs="Times New Roman"/>
                <w:b w:val="0"/>
                <w:color w:val="000000"/>
                <w:szCs w:val="24"/>
                <w:vertAlign w:val="subscript"/>
                <w:lang w:eastAsia="en-MY"/>
              </w:rPr>
              <w:t>2</w:t>
            </w:r>
            <w:r w:rsidRPr="007C0A0D">
              <w:rPr>
                <w:rFonts w:eastAsia="Times New Roman" w:cs="Times New Roman"/>
                <w:b w:val="0"/>
                <w:color w:val="000000"/>
                <w:szCs w:val="24"/>
                <w:lang w:eastAsia="en-MY"/>
              </w:rPr>
              <w:t>A</w:t>
            </w:r>
            <w:r w:rsidRPr="007C0A0D">
              <w:rPr>
                <w:rFonts w:eastAsia="Times New Roman" w:cs="Times New Roman"/>
                <w:b w:val="0"/>
                <w:color w:val="000000"/>
                <w:szCs w:val="24"/>
                <w:vertAlign w:val="subscript"/>
                <w:lang w:eastAsia="en-MY"/>
              </w:rPr>
              <w:t>12.5</w:t>
            </w:r>
            <w:r w:rsidRPr="007C0A0D">
              <w:rPr>
                <w:rFonts w:eastAsia="Times New Roman" w:cs="Times New Roman"/>
                <w:b w:val="0"/>
                <w:color w:val="000000"/>
                <w:szCs w:val="24"/>
                <w:lang w:eastAsia="en-MY"/>
              </w:rPr>
              <w:t>B</w:t>
            </w:r>
            <w:r w:rsidRPr="007C0A0D">
              <w:rPr>
                <w:rFonts w:eastAsia="Times New Roman" w:cs="Times New Roman"/>
                <w:b w:val="0"/>
                <w:color w:val="000000"/>
                <w:szCs w:val="24"/>
                <w:vertAlign w:val="subscript"/>
                <w:lang w:eastAsia="en-MY"/>
              </w:rPr>
              <w:t>10</w:t>
            </w:r>
            <w:r w:rsidRPr="007C0A0D">
              <w:rPr>
                <w:rFonts w:eastAsia="Times New Roman" w:cs="Times New Roman"/>
                <w:b w:val="0"/>
                <w:color w:val="000000"/>
                <w:szCs w:val="24"/>
                <w:lang w:eastAsia="en-MY"/>
              </w:rPr>
              <w:t>S</w:t>
            </w:r>
            <w:r w:rsidRPr="007C0A0D">
              <w:rPr>
                <w:rFonts w:eastAsia="Times New Roman" w:cs="Times New Roman"/>
                <w:b w:val="0"/>
                <w:color w:val="000000"/>
                <w:szCs w:val="24"/>
                <w:vertAlign w:val="subscript"/>
                <w:lang w:eastAsia="en-MY"/>
              </w:rPr>
              <w:t>63</w:t>
            </w:r>
          </w:p>
          <w:p w14:paraId="2665DB3D" w14:textId="1243E339" w:rsidR="00A850BE" w:rsidRPr="007C0A0D" w:rsidRDefault="00A850BE" w:rsidP="00CB5F95">
            <w:pPr>
              <w:jc w:val="center"/>
              <w:rPr>
                <w:rFonts w:eastAsia="Calibri" w:cs="Times New Roman"/>
                <w:b w:val="0"/>
                <w:bCs/>
                <w:szCs w:val="24"/>
                <w:lang w:val="en-GB"/>
              </w:rPr>
            </w:pPr>
          </w:p>
        </w:tc>
      </w:tr>
    </w:tbl>
    <w:p w14:paraId="6E1947B6" w14:textId="77777777" w:rsidR="00CB5F95" w:rsidRDefault="00CB5F95" w:rsidP="00CB5F95">
      <w:pPr>
        <w:spacing w:line="240" w:lineRule="auto"/>
        <w:jc w:val="center"/>
        <w:rPr>
          <w:rFonts w:eastAsia="Calibri" w:cs="Times New Roman"/>
          <w:b w:val="0"/>
          <w:bCs/>
          <w:szCs w:val="24"/>
          <w:lang w:val="en-GB"/>
        </w:rPr>
      </w:pPr>
    </w:p>
    <w:p w14:paraId="5AE1057B" w14:textId="77777777" w:rsidR="00CB5F95" w:rsidRDefault="00CB5F95" w:rsidP="00CB5F95">
      <w:pPr>
        <w:spacing w:line="240" w:lineRule="auto"/>
        <w:jc w:val="center"/>
        <w:rPr>
          <w:rFonts w:eastAsia="Calibri" w:cs="Times New Roman"/>
          <w:b w:val="0"/>
          <w:bCs/>
          <w:szCs w:val="24"/>
          <w:lang w:val="en-GB"/>
        </w:rPr>
      </w:pPr>
    </w:p>
    <w:p w14:paraId="059C1CF9" w14:textId="77777777" w:rsidR="00CB5F95" w:rsidRDefault="00CB5F95" w:rsidP="00CB5F95">
      <w:pPr>
        <w:spacing w:line="240" w:lineRule="auto"/>
        <w:jc w:val="center"/>
        <w:rPr>
          <w:rFonts w:eastAsia="Calibri" w:cs="Times New Roman"/>
          <w:b w:val="0"/>
          <w:bCs/>
          <w:szCs w:val="24"/>
          <w:lang w:val="en-GB"/>
        </w:rPr>
      </w:pPr>
    </w:p>
    <w:p w14:paraId="51103567" w14:textId="77777777" w:rsidR="00CB5F95" w:rsidRDefault="00CB5F95" w:rsidP="00CB5F95">
      <w:pPr>
        <w:spacing w:line="240" w:lineRule="auto"/>
        <w:jc w:val="center"/>
        <w:rPr>
          <w:rFonts w:eastAsia="Calibri" w:cs="Times New Roman"/>
          <w:b w:val="0"/>
          <w:bCs/>
          <w:szCs w:val="24"/>
          <w:lang w:val="en-GB"/>
        </w:rPr>
      </w:pPr>
    </w:p>
    <w:p w14:paraId="75DD8C0D" w14:textId="77777777" w:rsidR="00CB5F95" w:rsidRDefault="00CB5F95" w:rsidP="00CB5F95">
      <w:pPr>
        <w:spacing w:line="240" w:lineRule="auto"/>
        <w:jc w:val="center"/>
        <w:rPr>
          <w:rFonts w:eastAsia="Calibri" w:cs="Times New Roman"/>
          <w:b w:val="0"/>
          <w:bCs/>
          <w:szCs w:val="24"/>
          <w:lang w:val="en-GB"/>
        </w:rPr>
      </w:pPr>
    </w:p>
    <w:p w14:paraId="4F52D48B" w14:textId="77777777" w:rsidR="00CB5F95" w:rsidRDefault="00CB5F95" w:rsidP="00CB5F95">
      <w:pPr>
        <w:spacing w:line="240" w:lineRule="auto"/>
        <w:jc w:val="center"/>
        <w:rPr>
          <w:rFonts w:eastAsia="Calibri" w:cs="Times New Roman"/>
          <w:b w:val="0"/>
          <w:bCs/>
          <w:szCs w:val="24"/>
          <w:lang w:val="en-GB"/>
        </w:rPr>
      </w:pPr>
    </w:p>
    <w:p w14:paraId="37B0C239" w14:textId="77777777" w:rsidR="00CB5F95" w:rsidRDefault="00CB5F95" w:rsidP="00CB5F95">
      <w:pPr>
        <w:spacing w:line="240" w:lineRule="auto"/>
        <w:jc w:val="center"/>
        <w:rPr>
          <w:rFonts w:eastAsia="Calibri" w:cs="Times New Roman"/>
          <w:b w:val="0"/>
          <w:bCs/>
          <w:szCs w:val="24"/>
          <w:lang w:val="en-GB"/>
        </w:rPr>
      </w:pPr>
    </w:p>
    <w:p w14:paraId="1317C380" w14:textId="77777777" w:rsidR="00CB5F95" w:rsidRDefault="00CB5F95" w:rsidP="00CB5F95">
      <w:pPr>
        <w:spacing w:line="240" w:lineRule="auto"/>
        <w:jc w:val="center"/>
        <w:rPr>
          <w:rFonts w:eastAsia="Calibri" w:cs="Times New Roman"/>
          <w:b w:val="0"/>
          <w:bCs/>
          <w:szCs w:val="24"/>
          <w:lang w:val="en-GB"/>
        </w:rPr>
      </w:pPr>
    </w:p>
    <w:p w14:paraId="11B3C139" w14:textId="77777777" w:rsidR="00CB5F95" w:rsidRDefault="00CB5F95" w:rsidP="00CB5F95">
      <w:pPr>
        <w:spacing w:line="240" w:lineRule="auto"/>
        <w:jc w:val="center"/>
        <w:rPr>
          <w:rFonts w:eastAsia="Calibri" w:cs="Times New Roman"/>
          <w:b w:val="0"/>
          <w:bCs/>
          <w:szCs w:val="24"/>
          <w:lang w:val="en-GB"/>
        </w:rPr>
      </w:pPr>
    </w:p>
    <w:p w14:paraId="38085244" w14:textId="77777777" w:rsidR="00CB5F95" w:rsidRDefault="00CB5F95" w:rsidP="00CB5F95">
      <w:pPr>
        <w:spacing w:line="240" w:lineRule="auto"/>
        <w:jc w:val="center"/>
        <w:rPr>
          <w:rFonts w:eastAsia="Calibri" w:cs="Times New Roman"/>
          <w:b w:val="0"/>
          <w:bCs/>
          <w:szCs w:val="24"/>
          <w:lang w:val="en-GB"/>
        </w:rPr>
      </w:pPr>
    </w:p>
    <w:p w14:paraId="0C728C29" w14:textId="77777777" w:rsidR="00CB5F95" w:rsidRDefault="00CB5F95" w:rsidP="00CB5F95">
      <w:pPr>
        <w:spacing w:line="240" w:lineRule="auto"/>
        <w:jc w:val="center"/>
        <w:rPr>
          <w:rFonts w:eastAsia="Calibri" w:cs="Times New Roman"/>
          <w:bCs/>
          <w:szCs w:val="24"/>
          <w:lang w:val="en-GB"/>
        </w:rPr>
      </w:pPr>
      <w:r w:rsidRPr="007C0A0D">
        <w:rPr>
          <w:rFonts w:eastAsia="Calibri" w:cs="Times New Roman"/>
          <w:bCs/>
          <w:szCs w:val="24"/>
          <w:lang w:val="en-GB"/>
        </w:rPr>
        <w:lastRenderedPageBreak/>
        <w:t>APPENDIX H: D</w:t>
      </w:r>
      <w:r>
        <w:rPr>
          <w:rFonts w:eastAsia="Calibri" w:cs="Times New Roman"/>
          <w:bCs/>
          <w:szCs w:val="24"/>
          <w:lang w:val="en-GB"/>
        </w:rPr>
        <w:t xml:space="preserve">ifferential </w:t>
      </w:r>
      <w:r w:rsidRPr="007C0A0D">
        <w:rPr>
          <w:rFonts w:eastAsia="Calibri" w:cs="Times New Roman"/>
          <w:bCs/>
          <w:szCs w:val="24"/>
          <w:lang w:val="en-GB"/>
        </w:rPr>
        <w:t>T</w:t>
      </w:r>
      <w:r>
        <w:rPr>
          <w:rFonts w:eastAsia="Calibri" w:cs="Times New Roman"/>
          <w:bCs/>
          <w:szCs w:val="24"/>
          <w:lang w:val="en-GB"/>
        </w:rPr>
        <w:t xml:space="preserve">hermal </w:t>
      </w:r>
      <w:r w:rsidRPr="007C0A0D">
        <w:rPr>
          <w:rFonts w:eastAsia="Calibri" w:cs="Times New Roman"/>
          <w:bCs/>
          <w:szCs w:val="24"/>
          <w:lang w:val="en-GB"/>
        </w:rPr>
        <w:t>A</w:t>
      </w:r>
      <w:r>
        <w:rPr>
          <w:rFonts w:eastAsia="Calibri" w:cs="Times New Roman"/>
          <w:bCs/>
          <w:szCs w:val="24"/>
          <w:lang w:val="en-GB"/>
        </w:rPr>
        <w:t>nalysis</w:t>
      </w:r>
      <w:r w:rsidRPr="007C0A0D">
        <w:rPr>
          <w:rFonts w:eastAsia="Calibri" w:cs="Times New Roman"/>
          <w:bCs/>
          <w:szCs w:val="24"/>
          <w:lang w:val="en-GB"/>
        </w:rPr>
        <w:t xml:space="preserve"> </w:t>
      </w:r>
    </w:p>
    <w:p w14:paraId="2177C9A7" w14:textId="77777777" w:rsidR="00CB5F95" w:rsidRPr="007C0A0D" w:rsidRDefault="00CB5F95" w:rsidP="00CB5F95">
      <w:pPr>
        <w:spacing w:line="240" w:lineRule="auto"/>
        <w:jc w:val="center"/>
        <w:rPr>
          <w:rFonts w:eastAsia="Times New Roman" w:cs="Times New Roman"/>
          <w:color w:val="000000"/>
          <w:szCs w:val="24"/>
          <w:vertAlign w:val="subscript"/>
          <w:lang w:eastAsia="en-MY"/>
        </w:rPr>
      </w:pPr>
      <w:r w:rsidRPr="007C0A0D">
        <w:rPr>
          <w:rFonts w:eastAsia="Calibri" w:cs="Times New Roman"/>
          <w:bCs/>
          <w:szCs w:val="24"/>
          <w:lang w:val="en-GB"/>
        </w:rPr>
        <w:t xml:space="preserve"> </w:t>
      </w:r>
      <w:r>
        <w:rPr>
          <w:rFonts w:eastAsia="Calibri" w:cs="Times New Roman"/>
          <w:bCs/>
          <w:szCs w:val="24"/>
          <w:lang w:val="en-GB"/>
        </w:rPr>
        <w:t>S</w:t>
      </w:r>
      <w:r w:rsidRPr="007C0A0D">
        <w:rPr>
          <w:rFonts w:eastAsia="Calibri" w:cs="Times New Roman"/>
          <w:bCs/>
          <w:szCs w:val="24"/>
          <w:lang w:val="en-GB"/>
        </w:rPr>
        <w:t xml:space="preserve">eries </w:t>
      </w:r>
      <w:r w:rsidRPr="007C0A0D">
        <w:rPr>
          <w:rFonts w:eastAsia="Times New Roman" w:cs="Times New Roman"/>
          <w:color w:val="000000"/>
          <w:szCs w:val="24"/>
          <w:lang w:eastAsia="en-MY"/>
        </w:rPr>
        <w:t>N</w:t>
      </w:r>
      <w:r w:rsidRPr="007C0A0D">
        <w:rPr>
          <w:rFonts w:eastAsia="Times New Roman" w:cs="Times New Roman"/>
          <w:color w:val="000000"/>
          <w:szCs w:val="24"/>
          <w:vertAlign w:val="subscript"/>
          <w:lang w:eastAsia="en-MY"/>
        </w:rPr>
        <w:t>7.6</w:t>
      </w:r>
      <w:r w:rsidRPr="007C0A0D">
        <w:rPr>
          <w:rFonts w:eastAsia="Times New Roman" w:cs="Times New Roman"/>
          <w:color w:val="000000"/>
          <w:szCs w:val="24"/>
          <w:lang w:eastAsia="en-MY"/>
        </w:rPr>
        <w:t>M</w:t>
      </w:r>
      <w:r w:rsidRPr="007C0A0D">
        <w:rPr>
          <w:rFonts w:eastAsia="Times New Roman" w:cs="Times New Roman"/>
          <w:color w:val="000000"/>
          <w:szCs w:val="24"/>
          <w:vertAlign w:val="subscript"/>
          <w:lang w:eastAsia="en-MY"/>
        </w:rPr>
        <w:t>1.1</w:t>
      </w:r>
      <w:r w:rsidRPr="007C0A0D">
        <w:rPr>
          <w:rFonts w:eastAsia="Times New Roman" w:cs="Times New Roman"/>
          <w:color w:val="000000"/>
          <w:szCs w:val="24"/>
          <w:lang w:eastAsia="en-MY"/>
        </w:rPr>
        <w:t>C</w:t>
      </w:r>
      <w:r w:rsidRPr="007C0A0D">
        <w:rPr>
          <w:rFonts w:eastAsia="Times New Roman" w:cs="Times New Roman"/>
          <w:color w:val="000000"/>
          <w:szCs w:val="24"/>
          <w:vertAlign w:val="subscript"/>
          <w:lang w:eastAsia="en-MY"/>
        </w:rPr>
        <w:t>3.0</w:t>
      </w:r>
      <w:r w:rsidRPr="007C0A0D">
        <w:rPr>
          <w:rFonts w:eastAsia="Times New Roman" w:cs="Times New Roman"/>
          <w:color w:val="000000"/>
          <w:szCs w:val="24"/>
          <w:lang w:eastAsia="en-MY"/>
        </w:rPr>
        <w:t>A</w:t>
      </w:r>
      <w:r w:rsidRPr="007C0A0D">
        <w:rPr>
          <w:rFonts w:eastAsia="Times New Roman" w:cs="Times New Roman"/>
          <w:color w:val="000000"/>
          <w:szCs w:val="24"/>
          <w:vertAlign w:val="subscript"/>
          <w:lang w:eastAsia="en-MY"/>
        </w:rPr>
        <w:t>x</w:t>
      </w:r>
      <w:r w:rsidRPr="007C0A0D">
        <w:rPr>
          <w:rFonts w:eastAsia="Times New Roman" w:cs="Times New Roman"/>
          <w:color w:val="000000"/>
          <w:szCs w:val="24"/>
          <w:lang w:eastAsia="en-MY"/>
        </w:rPr>
        <w:t>B</w:t>
      </w:r>
      <w:r w:rsidRPr="007C0A0D">
        <w:rPr>
          <w:rFonts w:eastAsia="Times New Roman" w:cs="Times New Roman"/>
          <w:color w:val="000000"/>
          <w:szCs w:val="24"/>
          <w:vertAlign w:val="subscript"/>
          <w:lang w:eastAsia="en-MY"/>
        </w:rPr>
        <w:t>7.6</w:t>
      </w:r>
      <w:r w:rsidRPr="007C0A0D">
        <w:rPr>
          <w:rFonts w:eastAsia="Times New Roman" w:cs="Times New Roman"/>
          <w:color w:val="000000"/>
          <w:szCs w:val="24"/>
          <w:lang w:eastAsia="en-MY"/>
        </w:rPr>
        <w:t>S</w:t>
      </w:r>
      <w:r w:rsidRPr="007C0A0D">
        <w:rPr>
          <w:rFonts w:eastAsia="Times New Roman" w:cs="Times New Roman"/>
          <w:color w:val="000000"/>
          <w:szCs w:val="24"/>
          <w:vertAlign w:val="subscript"/>
          <w:lang w:eastAsia="en-MY"/>
        </w:rPr>
        <w:t>80.7-x</w:t>
      </w:r>
    </w:p>
    <w:p w14:paraId="0B7FCD75" w14:textId="77777777" w:rsidR="00CB5F95" w:rsidRDefault="00CB5F95" w:rsidP="00CB5F95">
      <w:pPr>
        <w:spacing w:line="240" w:lineRule="auto"/>
        <w:jc w:val="center"/>
        <w:rPr>
          <w:rFonts w:eastAsia="Calibri" w:cs="Times New Roman"/>
          <w:b w:val="0"/>
          <w:bCs/>
          <w:szCs w:val="24"/>
          <w:lang w:val="en-GB"/>
        </w:rPr>
      </w:pPr>
      <w:r>
        <w:rPr>
          <w:rFonts w:eastAsia="Calibri" w:cs="Times New Roman"/>
          <w:b w:val="0"/>
          <w:bCs/>
          <w:szCs w:val="24"/>
          <w:lang w:val="en-GB"/>
        </w:rPr>
        <w:t xml:space="preserve">DTA first heating </w:t>
      </w:r>
    </w:p>
    <w:p w14:paraId="40F9C76A" w14:textId="77777777" w:rsidR="00CB5F95" w:rsidRDefault="00CB5F95" w:rsidP="00CB5F95">
      <w:pPr>
        <w:spacing w:line="240" w:lineRule="auto"/>
        <w:jc w:val="center"/>
        <w:rPr>
          <w:rFonts w:eastAsia="Times New Roman" w:cs="Times New Roman"/>
          <w:b w:val="0"/>
          <w:color w:val="000000"/>
          <w:sz w:val="20"/>
          <w:szCs w:val="20"/>
          <w:vertAlign w:val="subscript"/>
          <w:lang w:eastAsia="en-MY"/>
        </w:rPr>
      </w:pPr>
      <w:r w:rsidRPr="005A2709">
        <w:rPr>
          <w:noProof/>
          <w:lang w:eastAsia="en-MY"/>
        </w:rPr>
        <w:drawing>
          <wp:inline distT="0" distB="0" distL="0" distR="0" wp14:anchorId="158CBAF0" wp14:editId="52EC3DB6">
            <wp:extent cx="3864610" cy="3381375"/>
            <wp:effectExtent l="0" t="0" r="2540"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4"/>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3864610" cy="3381375"/>
                    </a:xfrm>
                    <a:prstGeom prst="rect">
                      <a:avLst/>
                    </a:prstGeom>
                    <a:noFill/>
                    <a:ln>
                      <a:noFill/>
                    </a:ln>
                  </pic:spPr>
                </pic:pic>
              </a:graphicData>
            </a:graphic>
          </wp:inline>
        </w:drawing>
      </w:r>
    </w:p>
    <w:p w14:paraId="4963F30B" w14:textId="77777777" w:rsidR="00CB5F95" w:rsidRDefault="00CB5F95" w:rsidP="00CB5F95">
      <w:pPr>
        <w:spacing w:line="240" w:lineRule="auto"/>
        <w:jc w:val="center"/>
        <w:rPr>
          <w:rFonts w:eastAsia="Calibri" w:cs="Times New Roman"/>
          <w:b w:val="0"/>
          <w:bCs/>
          <w:szCs w:val="24"/>
          <w:lang w:val="en-GB"/>
        </w:rPr>
      </w:pPr>
    </w:p>
    <w:p w14:paraId="1A6FB60E" w14:textId="77777777" w:rsidR="00CB5F95" w:rsidRDefault="00CB5F95" w:rsidP="00CB5F95">
      <w:pPr>
        <w:spacing w:line="240" w:lineRule="auto"/>
        <w:jc w:val="center"/>
        <w:rPr>
          <w:rFonts w:eastAsia="Calibri" w:cs="Times New Roman"/>
          <w:b w:val="0"/>
          <w:bCs/>
          <w:szCs w:val="24"/>
          <w:lang w:val="en-GB"/>
        </w:rPr>
      </w:pPr>
      <w:r>
        <w:rPr>
          <w:rFonts w:eastAsia="Calibri" w:cs="Times New Roman"/>
          <w:b w:val="0"/>
          <w:bCs/>
          <w:szCs w:val="24"/>
          <w:lang w:val="en-GB"/>
        </w:rPr>
        <w:t>DTA first cooling</w:t>
      </w:r>
    </w:p>
    <w:p w14:paraId="4AA7EE62" w14:textId="77777777" w:rsidR="00CB5F95" w:rsidRDefault="00CB5F95" w:rsidP="00CB5F95">
      <w:pPr>
        <w:spacing w:line="240" w:lineRule="auto"/>
        <w:jc w:val="center"/>
        <w:rPr>
          <w:rFonts w:eastAsia="Calibri" w:cs="Times New Roman"/>
          <w:b w:val="0"/>
          <w:bCs/>
          <w:szCs w:val="24"/>
          <w:lang w:val="en-GB"/>
        </w:rPr>
      </w:pPr>
      <w:r w:rsidRPr="005A2709">
        <w:rPr>
          <w:noProof/>
          <w:lang w:eastAsia="en-MY"/>
        </w:rPr>
        <w:drawing>
          <wp:inline distT="0" distB="0" distL="0" distR="0" wp14:anchorId="4C08559E" wp14:editId="76C97AD1">
            <wp:extent cx="3959225" cy="3441700"/>
            <wp:effectExtent l="0" t="0" r="3175" b="635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6"/>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959225" cy="3441700"/>
                    </a:xfrm>
                    <a:prstGeom prst="rect">
                      <a:avLst/>
                    </a:prstGeom>
                    <a:noFill/>
                    <a:ln>
                      <a:noFill/>
                    </a:ln>
                  </pic:spPr>
                </pic:pic>
              </a:graphicData>
            </a:graphic>
          </wp:inline>
        </w:drawing>
      </w:r>
    </w:p>
    <w:p w14:paraId="27710164" w14:textId="77777777" w:rsidR="00CB5F95" w:rsidRDefault="00CB5F95" w:rsidP="00CB5F95">
      <w:pPr>
        <w:spacing w:line="240" w:lineRule="auto"/>
        <w:jc w:val="center"/>
        <w:rPr>
          <w:rFonts w:eastAsia="Calibri" w:cs="Times New Roman"/>
          <w:b w:val="0"/>
          <w:bCs/>
          <w:szCs w:val="24"/>
          <w:lang w:val="en-GB"/>
        </w:rPr>
      </w:pPr>
    </w:p>
    <w:p w14:paraId="354F205C" w14:textId="77777777" w:rsidR="00CB5F95" w:rsidRDefault="00CB5F95" w:rsidP="00CB5F95">
      <w:pPr>
        <w:spacing w:line="240" w:lineRule="auto"/>
        <w:jc w:val="center"/>
        <w:rPr>
          <w:rFonts w:eastAsia="Calibri" w:cs="Times New Roman"/>
          <w:b w:val="0"/>
          <w:bCs/>
          <w:szCs w:val="24"/>
          <w:lang w:val="en-GB"/>
        </w:rPr>
      </w:pPr>
      <w:r>
        <w:rPr>
          <w:rFonts w:eastAsia="Calibri" w:cs="Times New Roman"/>
          <w:b w:val="0"/>
          <w:bCs/>
          <w:szCs w:val="24"/>
          <w:lang w:val="en-GB"/>
        </w:rPr>
        <w:lastRenderedPageBreak/>
        <w:t>DTA second heating</w:t>
      </w:r>
    </w:p>
    <w:p w14:paraId="37994AC1" w14:textId="77777777" w:rsidR="00CB5F95" w:rsidRDefault="00CB5F95" w:rsidP="00CB5F95">
      <w:pPr>
        <w:spacing w:line="240" w:lineRule="auto"/>
        <w:jc w:val="center"/>
        <w:rPr>
          <w:rFonts w:eastAsia="Calibri" w:cs="Times New Roman"/>
          <w:b w:val="0"/>
          <w:bCs/>
          <w:szCs w:val="24"/>
          <w:lang w:val="en-GB"/>
        </w:rPr>
      </w:pPr>
      <w:r w:rsidRPr="005A2709">
        <w:rPr>
          <w:noProof/>
          <w:lang w:eastAsia="en-MY"/>
        </w:rPr>
        <w:drawing>
          <wp:inline distT="0" distB="0" distL="0" distR="0" wp14:anchorId="2A799DC3" wp14:editId="16A602CE">
            <wp:extent cx="3890645" cy="3450590"/>
            <wp:effectExtent l="0" t="0" r="0" b="0"/>
            <wp:docPr id="1760" name="Picture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7"/>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3890645" cy="3450590"/>
                    </a:xfrm>
                    <a:prstGeom prst="rect">
                      <a:avLst/>
                    </a:prstGeom>
                    <a:noFill/>
                    <a:ln>
                      <a:noFill/>
                    </a:ln>
                  </pic:spPr>
                </pic:pic>
              </a:graphicData>
            </a:graphic>
          </wp:inline>
        </w:drawing>
      </w:r>
    </w:p>
    <w:p w14:paraId="0ED5A615" w14:textId="77777777" w:rsidR="00CB5F95" w:rsidRDefault="00CB5F95" w:rsidP="00CB5F95">
      <w:pPr>
        <w:spacing w:line="240" w:lineRule="auto"/>
        <w:jc w:val="center"/>
        <w:rPr>
          <w:rFonts w:eastAsia="Calibri" w:cs="Times New Roman"/>
          <w:b w:val="0"/>
          <w:bCs/>
          <w:szCs w:val="24"/>
          <w:lang w:val="en-GB"/>
        </w:rPr>
      </w:pPr>
    </w:p>
    <w:p w14:paraId="3551308C" w14:textId="77777777" w:rsidR="00CB5F95" w:rsidRDefault="00CB5F95" w:rsidP="00CB5F95">
      <w:pPr>
        <w:spacing w:line="240" w:lineRule="auto"/>
        <w:jc w:val="center"/>
        <w:rPr>
          <w:rFonts w:eastAsia="Calibri" w:cs="Times New Roman"/>
          <w:b w:val="0"/>
          <w:bCs/>
          <w:szCs w:val="24"/>
          <w:lang w:val="en-GB"/>
        </w:rPr>
      </w:pPr>
    </w:p>
    <w:p w14:paraId="06C03830" w14:textId="77777777" w:rsidR="00CB5F95" w:rsidRDefault="00CB5F95" w:rsidP="00CB5F95">
      <w:pPr>
        <w:spacing w:line="240" w:lineRule="auto"/>
        <w:jc w:val="center"/>
        <w:rPr>
          <w:rFonts w:eastAsia="Calibri" w:cs="Times New Roman"/>
          <w:b w:val="0"/>
          <w:bCs/>
          <w:szCs w:val="24"/>
          <w:lang w:val="en-GB"/>
        </w:rPr>
      </w:pPr>
    </w:p>
    <w:p w14:paraId="63E3EB36" w14:textId="77777777" w:rsidR="00CB5F95" w:rsidRDefault="00CB5F95" w:rsidP="008255F9">
      <w:pPr>
        <w:spacing w:line="240" w:lineRule="auto"/>
        <w:rPr>
          <w:rFonts w:eastAsia="Calibri" w:cs="Times New Roman"/>
          <w:b w:val="0"/>
          <w:bCs/>
          <w:szCs w:val="24"/>
          <w:lang w:val="en-GB"/>
        </w:rPr>
      </w:pPr>
    </w:p>
    <w:p w14:paraId="39C35D58" w14:textId="77777777" w:rsidR="00CB5F95" w:rsidRDefault="00CB5F95" w:rsidP="00CB5F95">
      <w:pPr>
        <w:spacing w:line="240" w:lineRule="auto"/>
        <w:jc w:val="center"/>
        <w:rPr>
          <w:rFonts w:eastAsia="Calibri" w:cs="Times New Roman"/>
          <w:b w:val="0"/>
          <w:bCs/>
          <w:szCs w:val="24"/>
          <w:lang w:val="en-GB"/>
        </w:rPr>
      </w:pPr>
    </w:p>
    <w:p w14:paraId="16E0D3EF" w14:textId="77777777" w:rsidR="00CB5F95" w:rsidRDefault="00CB5F95" w:rsidP="00CB5F95">
      <w:pPr>
        <w:spacing w:line="240" w:lineRule="auto"/>
        <w:jc w:val="center"/>
        <w:rPr>
          <w:rFonts w:eastAsia="Calibri" w:cs="Times New Roman"/>
          <w:b w:val="0"/>
          <w:bCs/>
          <w:szCs w:val="24"/>
          <w:lang w:val="en-GB"/>
        </w:rPr>
      </w:pPr>
    </w:p>
    <w:p w14:paraId="4A2F3EEE" w14:textId="77777777" w:rsidR="00CB5F95" w:rsidRDefault="00CB5F95" w:rsidP="00CB5F95">
      <w:pPr>
        <w:spacing w:line="240" w:lineRule="auto"/>
        <w:jc w:val="center"/>
        <w:rPr>
          <w:rFonts w:eastAsia="Calibri" w:cs="Times New Roman"/>
          <w:b w:val="0"/>
          <w:bCs/>
          <w:szCs w:val="24"/>
          <w:lang w:val="en-GB"/>
        </w:rPr>
      </w:pPr>
    </w:p>
    <w:p w14:paraId="118E18C4" w14:textId="77777777" w:rsidR="00CB5F95" w:rsidRDefault="00CB5F95" w:rsidP="00CB5F95">
      <w:pPr>
        <w:spacing w:line="240" w:lineRule="auto"/>
        <w:jc w:val="center"/>
        <w:rPr>
          <w:rFonts w:eastAsia="Calibri" w:cs="Times New Roman"/>
          <w:b w:val="0"/>
          <w:bCs/>
          <w:szCs w:val="24"/>
          <w:lang w:val="en-GB"/>
        </w:rPr>
      </w:pPr>
    </w:p>
    <w:p w14:paraId="1358C4B0" w14:textId="77777777" w:rsidR="00CB5F95" w:rsidRDefault="00CB5F95" w:rsidP="00CB5F95">
      <w:pPr>
        <w:spacing w:line="240" w:lineRule="auto"/>
        <w:jc w:val="center"/>
        <w:rPr>
          <w:rFonts w:eastAsia="Calibri" w:cs="Times New Roman"/>
          <w:b w:val="0"/>
          <w:bCs/>
          <w:szCs w:val="24"/>
          <w:lang w:val="en-GB"/>
        </w:rPr>
      </w:pPr>
    </w:p>
    <w:p w14:paraId="4F7E513A" w14:textId="77777777" w:rsidR="00CB5F95" w:rsidRDefault="00CB5F95" w:rsidP="00CB5F95">
      <w:pPr>
        <w:spacing w:line="240" w:lineRule="auto"/>
        <w:jc w:val="center"/>
        <w:rPr>
          <w:rFonts w:eastAsia="Calibri" w:cs="Times New Roman"/>
          <w:b w:val="0"/>
          <w:bCs/>
          <w:szCs w:val="24"/>
          <w:lang w:val="en-GB"/>
        </w:rPr>
      </w:pPr>
    </w:p>
    <w:p w14:paraId="3BFF0E3D" w14:textId="77777777" w:rsidR="00CB5F95" w:rsidRDefault="00CB5F95" w:rsidP="00CB5F95">
      <w:pPr>
        <w:spacing w:line="240" w:lineRule="auto"/>
        <w:jc w:val="center"/>
        <w:rPr>
          <w:rFonts w:eastAsia="Calibri" w:cs="Times New Roman"/>
          <w:b w:val="0"/>
          <w:bCs/>
          <w:szCs w:val="24"/>
          <w:lang w:val="en-GB"/>
        </w:rPr>
      </w:pPr>
    </w:p>
    <w:p w14:paraId="42D210C7" w14:textId="77777777" w:rsidR="00CB5F95" w:rsidRDefault="00CB5F95" w:rsidP="00CB5F95">
      <w:pPr>
        <w:spacing w:line="240" w:lineRule="auto"/>
        <w:jc w:val="center"/>
        <w:rPr>
          <w:rFonts w:eastAsia="Calibri" w:cs="Times New Roman"/>
          <w:b w:val="0"/>
          <w:bCs/>
          <w:szCs w:val="24"/>
          <w:lang w:val="en-GB"/>
        </w:rPr>
      </w:pPr>
    </w:p>
    <w:p w14:paraId="0FDA7B3C" w14:textId="77777777" w:rsidR="00CB5F95" w:rsidRDefault="00CB5F95" w:rsidP="00CB5F95">
      <w:pPr>
        <w:spacing w:line="240" w:lineRule="auto"/>
        <w:jc w:val="center"/>
        <w:rPr>
          <w:rFonts w:eastAsia="Calibri" w:cs="Times New Roman"/>
          <w:b w:val="0"/>
          <w:bCs/>
          <w:szCs w:val="24"/>
          <w:lang w:val="en-GB"/>
        </w:rPr>
      </w:pPr>
    </w:p>
    <w:p w14:paraId="71A8130F" w14:textId="77777777" w:rsidR="00CB5F95" w:rsidRDefault="00CB5F95" w:rsidP="00BF600D">
      <w:pPr>
        <w:spacing w:line="360" w:lineRule="auto"/>
        <w:jc w:val="both"/>
        <w:rPr>
          <w:rFonts w:eastAsia="Times New Roman" w:cs="Times New Roman"/>
          <w:b w:val="0"/>
          <w:color w:val="000000"/>
          <w:szCs w:val="24"/>
          <w:lang w:eastAsia="en-MY"/>
        </w:rPr>
      </w:pPr>
    </w:p>
    <w:sectPr w:rsidR="00CB5F95" w:rsidSect="00BF600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B8F94C" w14:textId="77777777" w:rsidR="0094684C" w:rsidRDefault="0094684C" w:rsidP="00663964">
      <w:pPr>
        <w:spacing w:after="0" w:line="240" w:lineRule="auto"/>
      </w:pPr>
      <w:r>
        <w:separator/>
      </w:r>
    </w:p>
  </w:endnote>
  <w:endnote w:type="continuationSeparator" w:id="0">
    <w:p w14:paraId="35EBC6EA" w14:textId="77777777" w:rsidR="0094684C" w:rsidRDefault="0094684C" w:rsidP="006639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haroni">
    <w:charset w:val="00"/>
    <w:family w:val="auto"/>
    <w:pitch w:val="variable"/>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4327459"/>
      <w:docPartObj>
        <w:docPartGallery w:val="Page Numbers (Bottom of Page)"/>
        <w:docPartUnique/>
      </w:docPartObj>
    </w:sdtPr>
    <w:sdtEndPr>
      <w:rPr>
        <w:noProof/>
      </w:rPr>
    </w:sdtEndPr>
    <w:sdtContent>
      <w:p w14:paraId="28E57159" w14:textId="0422BDD6" w:rsidR="00230AB9" w:rsidRDefault="00230AB9">
        <w:pPr>
          <w:pStyle w:val="Footer"/>
          <w:jc w:val="center"/>
        </w:pPr>
        <w:r>
          <w:fldChar w:fldCharType="begin"/>
        </w:r>
        <w:r>
          <w:instrText xml:space="preserve"> PAGE    \* MERGEFORMAT </w:instrText>
        </w:r>
        <w:r>
          <w:fldChar w:fldCharType="separate"/>
        </w:r>
        <w:r w:rsidR="008571D5">
          <w:rPr>
            <w:noProof/>
          </w:rPr>
          <w:t>ii</w:t>
        </w:r>
        <w:r>
          <w:fldChar w:fldCharType="end"/>
        </w:r>
      </w:p>
    </w:sdtContent>
  </w:sdt>
  <w:p w14:paraId="1721C231" w14:textId="77777777" w:rsidR="00230AB9" w:rsidRDefault="00230A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6037491"/>
      <w:docPartObj>
        <w:docPartGallery w:val="Page Numbers (Bottom of Page)"/>
        <w:docPartUnique/>
      </w:docPartObj>
    </w:sdtPr>
    <w:sdtEndPr>
      <w:rPr>
        <w:noProof/>
      </w:rPr>
    </w:sdtEndPr>
    <w:sdtContent>
      <w:p w14:paraId="448CD794" w14:textId="206BBF8F" w:rsidR="00230AB9" w:rsidRDefault="00230AB9">
        <w:pPr>
          <w:pStyle w:val="Footer"/>
          <w:jc w:val="center"/>
        </w:pPr>
        <w:r>
          <w:fldChar w:fldCharType="begin"/>
        </w:r>
        <w:r>
          <w:instrText xml:space="preserve"> PAGE    \* MERGEFORMAT </w:instrText>
        </w:r>
        <w:r>
          <w:fldChar w:fldCharType="separate"/>
        </w:r>
        <w:r w:rsidR="008571D5">
          <w:rPr>
            <w:noProof/>
          </w:rPr>
          <w:t>145</w:t>
        </w:r>
        <w:r>
          <w:fldChar w:fldCharType="end"/>
        </w:r>
      </w:p>
    </w:sdtContent>
  </w:sdt>
  <w:p w14:paraId="6A37205B" w14:textId="77777777" w:rsidR="00230AB9" w:rsidRDefault="00230A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ADE26C" w14:textId="77777777" w:rsidR="0094684C" w:rsidRDefault="0094684C" w:rsidP="00663964">
      <w:pPr>
        <w:spacing w:after="0" w:line="240" w:lineRule="auto"/>
      </w:pPr>
      <w:r>
        <w:separator/>
      </w:r>
    </w:p>
  </w:footnote>
  <w:footnote w:type="continuationSeparator" w:id="0">
    <w:p w14:paraId="0471A923" w14:textId="77777777" w:rsidR="0094684C" w:rsidRDefault="0094684C" w:rsidP="006639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F1F5B"/>
    <w:multiLevelType w:val="hybridMultilevel"/>
    <w:tmpl w:val="596AA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442ADE"/>
    <w:multiLevelType w:val="hybridMultilevel"/>
    <w:tmpl w:val="6C928632"/>
    <w:lvl w:ilvl="0" w:tplc="4409001B">
      <w:start w:val="1"/>
      <w:numFmt w:val="lowerRoman"/>
      <w:lvlText w:val="%1."/>
      <w:lvlJc w:val="right"/>
      <w:pPr>
        <w:ind w:left="1125" w:hanging="360"/>
      </w:pPr>
    </w:lvl>
    <w:lvl w:ilvl="1" w:tplc="44090019" w:tentative="1">
      <w:start w:val="1"/>
      <w:numFmt w:val="lowerLetter"/>
      <w:lvlText w:val="%2."/>
      <w:lvlJc w:val="left"/>
      <w:pPr>
        <w:ind w:left="1845" w:hanging="360"/>
      </w:pPr>
    </w:lvl>
    <w:lvl w:ilvl="2" w:tplc="4409001B" w:tentative="1">
      <w:start w:val="1"/>
      <w:numFmt w:val="lowerRoman"/>
      <w:lvlText w:val="%3."/>
      <w:lvlJc w:val="right"/>
      <w:pPr>
        <w:ind w:left="2565" w:hanging="180"/>
      </w:pPr>
    </w:lvl>
    <w:lvl w:ilvl="3" w:tplc="4409000F" w:tentative="1">
      <w:start w:val="1"/>
      <w:numFmt w:val="decimal"/>
      <w:lvlText w:val="%4."/>
      <w:lvlJc w:val="left"/>
      <w:pPr>
        <w:ind w:left="3285" w:hanging="360"/>
      </w:pPr>
    </w:lvl>
    <w:lvl w:ilvl="4" w:tplc="44090019" w:tentative="1">
      <w:start w:val="1"/>
      <w:numFmt w:val="lowerLetter"/>
      <w:lvlText w:val="%5."/>
      <w:lvlJc w:val="left"/>
      <w:pPr>
        <w:ind w:left="4005" w:hanging="360"/>
      </w:pPr>
    </w:lvl>
    <w:lvl w:ilvl="5" w:tplc="4409001B" w:tentative="1">
      <w:start w:val="1"/>
      <w:numFmt w:val="lowerRoman"/>
      <w:lvlText w:val="%6."/>
      <w:lvlJc w:val="right"/>
      <w:pPr>
        <w:ind w:left="4725" w:hanging="180"/>
      </w:pPr>
    </w:lvl>
    <w:lvl w:ilvl="6" w:tplc="4409000F" w:tentative="1">
      <w:start w:val="1"/>
      <w:numFmt w:val="decimal"/>
      <w:lvlText w:val="%7."/>
      <w:lvlJc w:val="left"/>
      <w:pPr>
        <w:ind w:left="5445" w:hanging="360"/>
      </w:pPr>
    </w:lvl>
    <w:lvl w:ilvl="7" w:tplc="44090019" w:tentative="1">
      <w:start w:val="1"/>
      <w:numFmt w:val="lowerLetter"/>
      <w:lvlText w:val="%8."/>
      <w:lvlJc w:val="left"/>
      <w:pPr>
        <w:ind w:left="6165" w:hanging="360"/>
      </w:pPr>
    </w:lvl>
    <w:lvl w:ilvl="8" w:tplc="4409001B" w:tentative="1">
      <w:start w:val="1"/>
      <w:numFmt w:val="lowerRoman"/>
      <w:lvlText w:val="%9."/>
      <w:lvlJc w:val="right"/>
      <w:pPr>
        <w:ind w:left="6885" w:hanging="180"/>
      </w:pPr>
    </w:lvl>
  </w:abstractNum>
  <w:abstractNum w:abstractNumId="2" w15:restartNumberingAfterBreak="0">
    <w:nsid w:val="0BAC09AF"/>
    <w:multiLevelType w:val="hybridMultilevel"/>
    <w:tmpl w:val="3BC67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2276DF"/>
    <w:multiLevelType w:val="multilevel"/>
    <w:tmpl w:val="F19CA4EA"/>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3.1.1"/>
      <w:lvlJc w:val="left"/>
      <w:pPr>
        <w:ind w:left="0" w:firstLine="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A7709FE"/>
    <w:multiLevelType w:val="hybridMultilevel"/>
    <w:tmpl w:val="F2C62AE8"/>
    <w:lvl w:ilvl="0" w:tplc="08090009">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 w15:restartNumberingAfterBreak="0">
    <w:nsid w:val="1A8063B8"/>
    <w:multiLevelType w:val="hybridMultilevel"/>
    <w:tmpl w:val="8AF6646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 w15:restartNumberingAfterBreak="0">
    <w:nsid w:val="1AD75302"/>
    <w:multiLevelType w:val="hybridMultilevel"/>
    <w:tmpl w:val="59B0084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 w15:restartNumberingAfterBreak="0">
    <w:nsid w:val="1CCB5944"/>
    <w:multiLevelType w:val="multilevel"/>
    <w:tmpl w:val="A7107EA4"/>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1EFC50B3"/>
    <w:multiLevelType w:val="hybridMultilevel"/>
    <w:tmpl w:val="3866EC72"/>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9" w15:restartNumberingAfterBreak="0">
    <w:nsid w:val="21AB66AD"/>
    <w:multiLevelType w:val="hybridMultilevel"/>
    <w:tmpl w:val="3956FAC2"/>
    <w:lvl w:ilvl="0" w:tplc="44090001">
      <w:start w:val="1"/>
      <w:numFmt w:val="bullet"/>
      <w:lvlText w:val=""/>
      <w:lvlJc w:val="left"/>
      <w:pPr>
        <w:ind w:left="771" w:hanging="360"/>
      </w:pPr>
      <w:rPr>
        <w:rFonts w:ascii="Symbol" w:hAnsi="Symbol" w:hint="default"/>
      </w:rPr>
    </w:lvl>
    <w:lvl w:ilvl="1" w:tplc="44090003" w:tentative="1">
      <w:start w:val="1"/>
      <w:numFmt w:val="bullet"/>
      <w:lvlText w:val="o"/>
      <w:lvlJc w:val="left"/>
      <w:pPr>
        <w:ind w:left="1491" w:hanging="360"/>
      </w:pPr>
      <w:rPr>
        <w:rFonts w:ascii="Courier New" w:hAnsi="Courier New" w:cs="Courier New" w:hint="default"/>
      </w:rPr>
    </w:lvl>
    <w:lvl w:ilvl="2" w:tplc="44090005" w:tentative="1">
      <w:start w:val="1"/>
      <w:numFmt w:val="bullet"/>
      <w:lvlText w:val=""/>
      <w:lvlJc w:val="left"/>
      <w:pPr>
        <w:ind w:left="2211" w:hanging="360"/>
      </w:pPr>
      <w:rPr>
        <w:rFonts w:ascii="Wingdings" w:hAnsi="Wingdings" w:hint="default"/>
      </w:rPr>
    </w:lvl>
    <w:lvl w:ilvl="3" w:tplc="44090001" w:tentative="1">
      <w:start w:val="1"/>
      <w:numFmt w:val="bullet"/>
      <w:lvlText w:val=""/>
      <w:lvlJc w:val="left"/>
      <w:pPr>
        <w:ind w:left="2931" w:hanging="360"/>
      </w:pPr>
      <w:rPr>
        <w:rFonts w:ascii="Symbol" w:hAnsi="Symbol" w:hint="default"/>
      </w:rPr>
    </w:lvl>
    <w:lvl w:ilvl="4" w:tplc="44090003" w:tentative="1">
      <w:start w:val="1"/>
      <w:numFmt w:val="bullet"/>
      <w:lvlText w:val="o"/>
      <w:lvlJc w:val="left"/>
      <w:pPr>
        <w:ind w:left="3651" w:hanging="360"/>
      </w:pPr>
      <w:rPr>
        <w:rFonts w:ascii="Courier New" w:hAnsi="Courier New" w:cs="Courier New" w:hint="default"/>
      </w:rPr>
    </w:lvl>
    <w:lvl w:ilvl="5" w:tplc="44090005" w:tentative="1">
      <w:start w:val="1"/>
      <w:numFmt w:val="bullet"/>
      <w:lvlText w:val=""/>
      <w:lvlJc w:val="left"/>
      <w:pPr>
        <w:ind w:left="4371" w:hanging="360"/>
      </w:pPr>
      <w:rPr>
        <w:rFonts w:ascii="Wingdings" w:hAnsi="Wingdings" w:hint="default"/>
      </w:rPr>
    </w:lvl>
    <w:lvl w:ilvl="6" w:tplc="44090001" w:tentative="1">
      <w:start w:val="1"/>
      <w:numFmt w:val="bullet"/>
      <w:lvlText w:val=""/>
      <w:lvlJc w:val="left"/>
      <w:pPr>
        <w:ind w:left="5091" w:hanging="360"/>
      </w:pPr>
      <w:rPr>
        <w:rFonts w:ascii="Symbol" w:hAnsi="Symbol" w:hint="default"/>
      </w:rPr>
    </w:lvl>
    <w:lvl w:ilvl="7" w:tplc="44090003" w:tentative="1">
      <w:start w:val="1"/>
      <w:numFmt w:val="bullet"/>
      <w:lvlText w:val="o"/>
      <w:lvlJc w:val="left"/>
      <w:pPr>
        <w:ind w:left="5811" w:hanging="360"/>
      </w:pPr>
      <w:rPr>
        <w:rFonts w:ascii="Courier New" w:hAnsi="Courier New" w:cs="Courier New" w:hint="default"/>
      </w:rPr>
    </w:lvl>
    <w:lvl w:ilvl="8" w:tplc="44090005" w:tentative="1">
      <w:start w:val="1"/>
      <w:numFmt w:val="bullet"/>
      <w:lvlText w:val=""/>
      <w:lvlJc w:val="left"/>
      <w:pPr>
        <w:ind w:left="6531" w:hanging="360"/>
      </w:pPr>
      <w:rPr>
        <w:rFonts w:ascii="Wingdings" w:hAnsi="Wingdings" w:hint="default"/>
      </w:rPr>
    </w:lvl>
  </w:abstractNum>
  <w:abstractNum w:abstractNumId="10" w15:restartNumberingAfterBreak="0">
    <w:nsid w:val="25835A31"/>
    <w:multiLevelType w:val="hybridMultilevel"/>
    <w:tmpl w:val="A954AD2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1" w15:restartNumberingAfterBreak="0">
    <w:nsid w:val="268205A4"/>
    <w:multiLevelType w:val="multilevel"/>
    <w:tmpl w:val="38E65B3E"/>
    <w:lvl w:ilvl="0">
      <w:start w:val="1"/>
      <w:numFmt w:val="decimal"/>
      <w:lvlText w:val="%1."/>
      <w:lvlJc w:val="left"/>
      <w:pPr>
        <w:ind w:left="720" w:hanging="360"/>
      </w:pPr>
      <w:rPr>
        <w:rFonts w:hint="default"/>
      </w:rPr>
    </w:lvl>
    <w:lvl w:ilvl="1">
      <w:start w:val="2"/>
      <w:numFmt w:val="decimal"/>
      <w:isLgl/>
      <w:lvlText w:val="%1.%2"/>
      <w:lvlJc w:val="left"/>
      <w:pPr>
        <w:ind w:left="40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15:restartNumberingAfterBreak="0">
    <w:nsid w:val="2BAA60DF"/>
    <w:multiLevelType w:val="hybridMultilevel"/>
    <w:tmpl w:val="C9D22B82"/>
    <w:lvl w:ilvl="0" w:tplc="5936D218">
      <w:start w:val="4"/>
      <w:numFmt w:val="bullet"/>
      <w:lvlText w:val="-"/>
      <w:lvlJc w:val="left"/>
      <w:pPr>
        <w:ind w:left="720" w:hanging="360"/>
      </w:pPr>
      <w:rPr>
        <w:rFonts w:ascii="Times New Roman" w:eastAsiaTheme="minorHAnsi"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3" w15:restartNumberingAfterBreak="0">
    <w:nsid w:val="2D891A7E"/>
    <w:multiLevelType w:val="multilevel"/>
    <w:tmpl w:val="F0349EB4"/>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FDC2AC8"/>
    <w:multiLevelType w:val="multilevel"/>
    <w:tmpl w:val="38E65B3E"/>
    <w:lvl w:ilvl="0">
      <w:start w:val="1"/>
      <w:numFmt w:val="decimal"/>
      <w:lvlText w:val="%1."/>
      <w:lvlJc w:val="left"/>
      <w:pPr>
        <w:ind w:left="720" w:hanging="360"/>
      </w:pPr>
      <w:rPr>
        <w:rFonts w:hint="default"/>
      </w:rPr>
    </w:lvl>
    <w:lvl w:ilvl="1">
      <w:start w:val="2"/>
      <w:numFmt w:val="decimal"/>
      <w:isLgl/>
      <w:lvlText w:val="%1.%2"/>
      <w:lvlJc w:val="left"/>
      <w:pPr>
        <w:ind w:left="40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15:restartNumberingAfterBreak="0">
    <w:nsid w:val="48227128"/>
    <w:multiLevelType w:val="multilevel"/>
    <w:tmpl w:val="9790051A"/>
    <w:lvl w:ilvl="0">
      <w:start w:val="1"/>
      <w:numFmt w:val="decimal"/>
      <w:suff w:val="space"/>
      <w:lvlText w:val="Chapter %1"/>
      <w:lvlJc w:val="left"/>
      <w:pPr>
        <w:ind w:left="0" w:firstLine="0"/>
      </w:pPr>
      <w:rPr>
        <w:rFonts w:ascii="Times New Roman" w:hAnsi="Times New Roman"/>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16" w15:restartNumberingAfterBreak="0">
    <w:nsid w:val="4970024D"/>
    <w:multiLevelType w:val="hybridMultilevel"/>
    <w:tmpl w:val="E92C015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7" w15:restartNumberingAfterBreak="0">
    <w:nsid w:val="4BD14D54"/>
    <w:multiLevelType w:val="hybridMultilevel"/>
    <w:tmpl w:val="C23E4E38"/>
    <w:lvl w:ilvl="0" w:tplc="D4F0832E">
      <w:start w:val="1"/>
      <w:numFmt w:val="lowerRoman"/>
      <w:lvlText w:val="%1."/>
      <w:lvlJc w:val="left"/>
      <w:pPr>
        <w:ind w:left="1080" w:hanging="720"/>
      </w:pPr>
      <w:rPr>
        <w:rFonts w:cs="Times New Roman"/>
        <w:b w:val="0"/>
      </w:rPr>
    </w:lvl>
    <w:lvl w:ilvl="1" w:tplc="44090019">
      <w:start w:val="1"/>
      <w:numFmt w:val="lowerLetter"/>
      <w:lvlText w:val="%2."/>
      <w:lvlJc w:val="left"/>
      <w:pPr>
        <w:ind w:left="1440" w:hanging="360"/>
      </w:pPr>
    </w:lvl>
    <w:lvl w:ilvl="2" w:tplc="4409001B">
      <w:start w:val="1"/>
      <w:numFmt w:val="lowerRoman"/>
      <w:lvlText w:val="%3."/>
      <w:lvlJc w:val="right"/>
      <w:pPr>
        <w:ind w:left="2160" w:hanging="180"/>
      </w:pPr>
    </w:lvl>
    <w:lvl w:ilvl="3" w:tplc="4409000F">
      <w:start w:val="1"/>
      <w:numFmt w:val="decimal"/>
      <w:lvlText w:val="%4."/>
      <w:lvlJc w:val="left"/>
      <w:pPr>
        <w:ind w:left="2880" w:hanging="360"/>
      </w:pPr>
    </w:lvl>
    <w:lvl w:ilvl="4" w:tplc="44090019">
      <w:start w:val="1"/>
      <w:numFmt w:val="lowerLetter"/>
      <w:lvlText w:val="%5."/>
      <w:lvlJc w:val="left"/>
      <w:pPr>
        <w:ind w:left="3600" w:hanging="360"/>
      </w:pPr>
    </w:lvl>
    <w:lvl w:ilvl="5" w:tplc="4409001B">
      <w:start w:val="1"/>
      <w:numFmt w:val="lowerRoman"/>
      <w:lvlText w:val="%6."/>
      <w:lvlJc w:val="right"/>
      <w:pPr>
        <w:ind w:left="4320" w:hanging="180"/>
      </w:pPr>
    </w:lvl>
    <w:lvl w:ilvl="6" w:tplc="4409000F">
      <w:start w:val="1"/>
      <w:numFmt w:val="decimal"/>
      <w:lvlText w:val="%7."/>
      <w:lvlJc w:val="left"/>
      <w:pPr>
        <w:ind w:left="5040" w:hanging="360"/>
      </w:pPr>
    </w:lvl>
    <w:lvl w:ilvl="7" w:tplc="44090019">
      <w:start w:val="1"/>
      <w:numFmt w:val="lowerLetter"/>
      <w:lvlText w:val="%8."/>
      <w:lvlJc w:val="left"/>
      <w:pPr>
        <w:ind w:left="5760" w:hanging="360"/>
      </w:pPr>
    </w:lvl>
    <w:lvl w:ilvl="8" w:tplc="4409001B">
      <w:start w:val="1"/>
      <w:numFmt w:val="lowerRoman"/>
      <w:lvlText w:val="%9."/>
      <w:lvlJc w:val="right"/>
      <w:pPr>
        <w:ind w:left="6480" w:hanging="180"/>
      </w:pPr>
    </w:lvl>
  </w:abstractNum>
  <w:abstractNum w:abstractNumId="18" w15:restartNumberingAfterBreak="0">
    <w:nsid w:val="4F6E6629"/>
    <w:multiLevelType w:val="multilevel"/>
    <w:tmpl w:val="E366417C"/>
    <w:lvl w:ilvl="0">
      <w:start w:val="6"/>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50B44888"/>
    <w:multiLevelType w:val="hybridMultilevel"/>
    <w:tmpl w:val="B382215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0" w15:restartNumberingAfterBreak="0">
    <w:nsid w:val="51A91473"/>
    <w:multiLevelType w:val="hybridMultilevel"/>
    <w:tmpl w:val="5DA6193E"/>
    <w:lvl w:ilvl="0" w:tplc="5936D218">
      <w:start w:val="4"/>
      <w:numFmt w:val="bullet"/>
      <w:lvlText w:val="-"/>
      <w:lvlJc w:val="left"/>
      <w:pPr>
        <w:ind w:left="720" w:hanging="360"/>
      </w:pPr>
      <w:rPr>
        <w:rFonts w:ascii="Times New Roman" w:eastAsiaTheme="minorHAnsi"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1" w15:restartNumberingAfterBreak="0">
    <w:nsid w:val="5637523D"/>
    <w:multiLevelType w:val="hybridMultilevel"/>
    <w:tmpl w:val="25D00A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AC311E2"/>
    <w:multiLevelType w:val="multilevel"/>
    <w:tmpl w:val="A262301E"/>
    <w:lvl w:ilvl="0">
      <w:start w:val="6"/>
      <w:numFmt w:val="decimal"/>
      <w:lvlText w:val="%1"/>
      <w:lvlJc w:val="left"/>
      <w:pPr>
        <w:ind w:left="480" w:hanging="480"/>
      </w:pPr>
      <w:rPr>
        <w:rFonts w:hint="default"/>
      </w:rPr>
    </w:lvl>
    <w:lvl w:ilvl="1">
      <w:start w:val="1"/>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3" w15:restartNumberingAfterBreak="0">
    <w:nsid w:val="6D72787D"/>
    <w:multiLevelType w:val="hybridMultilevel"/>
    <w:tmpl w:val="64C67184"/>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4" w15:restartNumberingAfterBreak="0">
    <w:nsid w:val="6D800E7E"/>
    <w:multiLevelType w:val="hybridMultilevel"/>
    <w:tmpl w:val="4B7E805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5" w15:restartNumberingAfterBreak="0">
    <w:nsid w:val="6EAB6730"/>
    <w:multiLevelType w:val="multilevel"/>
    <w:tmpl w:val="B8BECB6E"/>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0B35F89"/>
    <w:multiLevelType w:val="hybridMultilevel"/>
    <w:tmpl w:val="E0468B64"/>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7" w15:restartNumberingAfterBreak="0">
    <w:nsid w:val="723C34BC"/>
    <w:multiLevelType w:val="hybridMultilevel"/>
    <w:tmpl w:val="23D03C7C"/>
    <w:lvl w:ilvl="0" w:tplc="905EE64A">
      <w:start w:val="1"/>
      <w:numFmt w:val="lowerLetter"/>
      <w:lvlText w:val="%1)"/>
      <w:lvlJc w:val="left"/>
      <w:pPr>
        <w:ind w:left="1080" w:hanging="360"/>
      </w:pPr>
      <w:rPr>
        <w:rFonts w:hint="default"/>
      </w:rPr>
    </w:lvl>
    <w:lvl w:ilvl="1" w:tplc="44090019" w:tentative="1">
      <w:start w:val="1"/>
      <w:numFmt w:val="lowerLetter"/>
      <w:lvlText w:val="%2."/>
      <w:lvlJc w:val="left"/>
      <w:pPr>
        <w:ind w:left="1800" w:hanging="360"/>
      </w:pPr>
    </w:lvl>
    <w:lvl w:ilvl="2" w:tplc="4409001B" w:tentative="1">
      <w:start w:val="1"/>
      <w:numFmt w:val="lowerRoman"/>
      <w:lvlText w:val="%3."/>
      <w:lvlJc w:val="right"/>
      <w:pPr>
        <w:ind w:left="2520" w:hanging="180"/>
      </w:pPr>
    </w:lvl>
    <w:lvl w:ilvl="3" w:tplc="4409000F" w:tentative="1">
      <w:start w:val="1"/>
      <w:numFmt w:val="decimal"/>
      <w:lvlText w:val="%4."/>
      <w:lvlJc w:val="left"/>
      <w:pPr>
        <w:ind w:left="3240" w:hanging="360"/>
      </w:pPr>
    </w:lvl>
    <w:lvl w:ilvl="4" w:tplc="44090019" w:tentative="1">
      <w:start w:val="1"/>
      <w:numFmt w:val="lowerLetter"/>
      <w:lvlText w:val="%5."/>
      <w:lvlJc w:val="left"/>
      <w:pPr>
        <w:ind w:left="3960" w:hanging="360"/>
      </w:pPr>
    </w:lvl>
    <w:lvl w:ilvl="5" w:tplc="4409001B" w:tentative="1">
      <w:start w:val="1"/>
      <w:numFmt w:val="lowerRoman"/>
      <w:lvlText w:val="%6."/>
      <w:lvlJc w:val="right"/>
      <w:pPr>
        <w:ind w:left="4680" w:hanging="180"/>
      </w:pPr>
    </w:lvl>
    <w:lvl w:ilvl="6" w:tplc="4409000F" w:tentative="1">
      <w:start w:val="1"/>
      <w:numFmt w:val="decimal"/>
      <w:lvlText w:val="%7."/>
      <w:lvlJc w:val="left"/>
      <w:pPr>
        <w:ind w:left="5400" w:hanging="360"/>
      </w:pPr>
    </w:lvl>
    <w:lvl w:ilvl="7" w:tplc="44090019" w:tentative="1">
      <w:start w:val="1"/>
      <w:numFmt w:val="lowerLetter"/>
      <w:lvlText w:val="%8."/>
      <w:lvlJc w:val="left"/>
      <w:pPr>
        <w:ind w:left="6120" w:hanging="360"/>
      </w:pPr>
    </w:lvl>
    <w:lvl w:ilvl="8" w:tplc="4409001B" w:tentative="1">
      <w:start w:val="1"/>
      <w:numFmt w:val="lowerRoman"/>
      <w:lvlText w:val="%9."/>
      <w:lvlJc w:val="right"/>
      <w:pPr>
        <w:ind w:left="6840" w:hanging="180"/>
      </w:pPr>
    </w:lvl>
  </w:abstractNum>
  <w:abstractNum w:abstractNumId="28" w15:restartNumberingAfterBreak="0">
    <w:nsid w:val="76405110"/>
    <w:multiLevelType w:val="hybridMultilevel"/>
    <w:tmpl w:val="5C82540A"/>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9" w15:restartNumberingAfterBreak="0">
    <w:nsid w:val="7A8E6792"/>
    <w:multiLevelType w:val="hybridMultilevel"/>
    <w:tmpl w:val="557CE4D4"/>
    <w:lvl w:ilvl="0" w:tplc="08090009">
      <w:start w:val="1"/>
      <w:numFmt w:val="bullet"/>
      <w:lvlText w:val=""/>
      <w:lvlJc w:val="left"/>
      <w:pPr>
        <w:ind w:left="360" w:hanging="360"/>
      </w:pPr>
      <w:rPr>
        <w:rFonts w:ascii="Wingdings" w:hAnsi="Wingdings" w:hint="default"/>
      </w:rPr>
    </w:lvl>
    <w:lvl w:ilvl="1" w:tplc="44090003" w:tentative="1">
      <w:start w:val="1"/>
      <w:numFmt w:val="bullet"/>
      <w:lvlText w:val="o"/>
      <w:lvlJc w:val="left"/>
      <w:pPr>
        <w:ind w:left="873" w:hanging="360"/>
      </w:pPr>
      <w:rPr>
        <w:rFonts w:ascii="Courier New" w:hAnsi="Courier New" w:cs="Courier New" w:hint="default"/>
      </w:rPr>
    </w:lvl>
    <w:lvl w:ilvl="2" w:tplc="44090005" w:tentative="1">
      <w:start w:val="1"/>
      <w:numFmt w:val="bullet"/>
      <w:lvlText w:val=""/>
      <w:lvlJc w:val="left"/>
      <w:pPr>
        <w:ind w:left="1593" w:hanging="360"/>
      </w:pPr>
      <w:rPr>
        <w:rFonts w:ascii="Wingdings" w:hAnsi="Wingdings" w:hint="default"/>
      </w:rPr>
    </w:lvl>
    <w:lvl w:ilvl="3" w:tplc="44090001" w:tentative="1">
      <w:start w:val="1"/>
      <w:numFmt w:val="bullet"/>
      <w:lvlText w:val=""/>
      <w:lvlJc w:val="left"/>
      <w:pPr>
        <w:ind w:left="2313" w:hanging="360"/>
      </w:pPr>
      <w:rPr>
        <w:rFonts w:ascii="Symbol" w:hAnsi="Symbol" w:hint="default"/>
      </w:rPr>
    </w:lvl>
    <w:lvl w:ilvl="4" w:tplc="44090003" w:tentative="1">
      <w:start w:val="1"/>
      <w:numFmt w:val="bullet"/>
      <w:lvlText w:val="o"/>
      <w:lvlJc w:val="left"/>
      <w:pPr>
        <w:ind w:left="3033" w:hanging="360"/>
      </w:pPr>
      <w:rPr>
        <w:rFonts w:ascii="Courier New" w:hAnsi="Courier New" w:cs="Courier New" w:hint="default"/>
      </w:rPr>
    </w:lvl>
    <w:lvl w:ilvl="5" w:tplc="44090005" w:tentative="1">
      <w:start w:val="1"/>
      <w:numFmt w:val="bullet"/>
      <w:lvlText w:val=""/>
      <w:lvlJc w:val="left"/>
      <w:pPr>
        <w:ind w:left="3753" w:hanging="360"/>
      </w:pPr>
      <w:rPr>
        <w:rFonts w:ascii="Wingdings" w:hAnsi="Wingdings" w:hint="default"/>
      </w:rPr>
    </w:lvl>
    <w:lvl w:ilvl="6" w:tplc="44090001" w:tentative="1">
      <w:start w:val="1"/>
      <w:numFmt w:val="bullet"/>
      <w:lvlText w:val=""/>
      <w:lvlJc w:val="left"/>
      <w:pPr>
        <w:ind w:left="4473" w:hanging="360"/>
      </w:pPr>
      <w:rPr>
        <w:rFonts w:ascii="Symbol" w:hAnsi="Symbol" w:hint="default"/>
      </w:rPr>
    </w:lvl>
    <w:lvl w:ilvl="7" w:tplc="44090003" w:tentative="1">
      <w:start w:val="1"/>
      <w:numFmt w:val="bullet"/>
      <w:lvlText w:val="o"/>
      <w:lvlJc w:val="left"/>
      <w:pPr>
        <w:ind w:left="5193" w:hanging="360"/>
      </w:pPr>
      <w:rPr>
        <w:rFonts w:ascii="Courier New" w:hAnsi="Courier New" w:cs="Courier New" w:hint="default"/>
      </w:rPr>
    </w:lvl>
    <w:lvl w:ilvl="8" w:tplc="44090005" w:tentative="1">
      <w:start w:val="1"/>
      <w:numFmt w:val="bullet"/>
      <w:lvlText w:val=""/>
      <w:lvlJc w:val="left"/>
      <w:pPr>
        <w:ind w:left="5913" w:hanging="360"/>
      </w:pPr>
      <w:rPr>
        <w:rFonts w:ascii="Wingdings" w:hAnsi="Wingdings" w:hint="default"/>
      </w:rPr>
    </w:lvl>
  </w:abstractNum>
  <w:num w:numId="1">
    <w:abstractNumId w:val="3"/>
  </w:num>
  <w:num w:numId="2">
    <w:abstractNumId w:val="10"/>
  </w:num>
  <w:num w:numId="3">
    <w:abstractNumId w:val="23"/>
  </w:num>
  <w:num w:numId="4">
    <w:abstractNumId w:val="0"/>
  </w:num>
  <w:num w:numId="5">
    <w:abstractNumId w:val="21"/>
  </w:num>
  <w:num w:numId="6">
    <w:abstractNumId w:val="6"/>
  </w:num>
  <w:num w:numId="7">
    <w:abstractNumId w:val="17"/>
  </w:num>
  <w:num w:numId="8">
    <w:abstractNumId w:val="27"/>
  </w:num>
  <w:num w:numId="9">
    <w:abstractNumId w:val="20"/>
  </w:num>
  <w:num w:numId="10">
    <w:abstractNumId w:val="2"/>
  </w:num>
  <w:num w:numId="11">
    <w:abstractNumId w:val="15"/>
  </w:num>
  <w:num w:numId="12">
    <w:abstractNumId w:val="7"/>
  </w:num>
  <w:num w:numId="13">
    <w:abstractNumId w:val="11"/>
  </w:num>
  <w:num w:numId="14">
    <w:abstractNumId w:val="5"/>
  </w:num>
  <w:num w:numId="15">
    <w:abstractNumId w:val="4"/>
  </w:num>
  <w:num w:numId="16">
    <w:abstractNumId w:val="29"/>
  </w:num>
  <w:num w:numId="17">
    <w:abstractNumId w:val="9"/>
  </w:num>
  <w:num w:numId="18">
    <w:abstractNumId w:val="24"/>
  </w:num>
  <w:num w:numId="19">
    <w:abstractNumId w:val="19"/>
  </w:num>
  <w:num w:numId="20">
    <w:abstractNumId w:val="26"/>
  </w:num>
  <w:num w:numId="21">
    <w:abstractNumId w:val="1"/>
  </w:num>
  <w:num w:numId="22">
    <w:abstractNumId w:val="8"/>
  </w:num>
  <w:num w:numId="23">
    <w:abstractNumId w:val="28"/>
  </w:num>
  <w:num w:numId="24">
    <w:abstractNumId w:val="12"/>
  </w:num>
  <w:num w:numId="25">
    <w:abstractNumId w:val="13"/>
  </w:num>
  <w:num w:numId="26">
    <w:abstractNumId w:val="25"/>
  </w:num>
  <w:num w:numId="27">
    <w:abstractNumId w:val="22"/>
  </w:num>
  <w:num w:numId="28">
    <w:abstractNumId w:val="18"/>
  </w:num>
  <w:num w:numId="29">
    <w:abstractNumId w:val="16"/>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num>
  <w:num w:numId="33">
    <w:abstractNumId w:val="1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IxMTY0Mje0sDA2MLdQ0lEKTi0uzszPAykwNK4FAJMp/Y8tAAAA"/>
  </w:docVars>
  <w:rsids>
    <w:rsidRoot w:val="00F21256"/>
    <w:rsid w:val="000001C3"/>
    <w:rsid w:val="00000D83"/>
    <w:rsid w:val="00000F79"/>
    <w:rsid w:val="00000FDA"/>
    <w:rsid w:val="000018BF"/>
    <w:rsid w:val="00001E4C"/>
    <w:rsid w:val="000026DF"/>
    <w:rsid w:val="00002A32"/>
    <w:rsid w:val="00002C81"/>
    <w:rsid w:val="00003679"/>
    <w:rsid w:val="000038AD"/>
    <w:rsid w:val="00003D81"/>
    <w:rsid w:val="0000409A"/>
    <w:rsid w:val="000041DF"/>
    <w:rsid w:val="00004502"/>
    <w:rsid w:val="00005B88"/>
    <w:rsid w:val="00005E77"/>
    <w:rsid w:val="00006191"/>
    <w:rsid w:val="00006438"/>
    <w:rsid w:val="00006AE3"/>
    <w:rsid w:val="00006ED6"/>
    <w:rsid w:val="0000720C"/>
    <w:rsid w:val="00007D6D"/>
    <w:rsid w:val="00007E31"/>
    <w:rsid w:val="00007F88"/>
    <w:rsid w:val="0001014E"/>
    <w:rsid w:val="000101B0"/>
    <w:rsid w:val="00010557"/>
    <w:rsid w:val="00010B5A"/>
    <w:rsid w:val="000112FE"/>
    <w:rsid w:val="0001251E"/>
    <w:rsid w:val="00013593"/>
    <w:rsid w:val="00013A00"/>
    <w:rsid w:val="00013EF0"/>
    <w:rsid w:val="000148BC"/>
    <w:rsid w:val="000151A2"/>
    <w:rsid w:val="00015E43"/>
    <w:rsid w:val="0001631D"/>
    <w:rsid w:val="00016583"/>
    <w:rsid w:val="00016ABC"/>
    <w:rsid w:val="00016D6F"/>
    <w:rsid w:val="00016D9F"/>
    <w:rsid w:val="000176C8"/>
    <w:rsid w:val="000177E1"/>
    <w:rsid w:val="00017AED"/>
    <w:rsid w:val="00017E85"/>
    <w:rsid w:val="00017F4A"/>
    <w:rsid w:val="000216CA"/>
    <w:rsid w:val="00021863"/>
    <w:rsid w:val="0002269E"/>
    <w:rsid w:val="00022841"/>
    <w:rsid w:val="00023042"/>
    <w:rsid w:val="00023749"/>
    <w:rsid w:val="00025687"/>
    <w:rsid w:val="000256FF"/>
    <w:rsid w:val="00026390"/>
    <w:rsid w:val="0002674E"/>
    <w:rsid w:val="00026F0F"/>
    <w:rsid w:val="000271CC"/>
    <w:rsid w:val="0003001F"/>
    <w:rsid w:val="000300D7"/>
    <w:rsid w:val="000301F4"/>
    <w:rsid w:val="0003066A"/>
    <w:rsid w:val="000308F2"/>
    <w:rsid w:val="000311E1"/>
    <w:rsid w:val="0003186E"/>
    <w:rsid w:val="000318D5"/>
    <w:rsid w:val="00031D32"/>
    <w:rsid w:val="00031E55"/>
    <w:rsid w:val="0003236D"/>
    <w:rsid w:val="00032E07"/>
    <w:rsid w:val="0003369E"/>
    <w:rsid w:val="000348D5"/>
    <w:rsid w:val="00035799"/>
    <w:rsid w:val="00035AAB"/>
    <w:rsid w:val="00035E09"/>
    <w:rsid w:val="00037C5A"/>
    <w:rsid w:val="00040067"/>
    <w:rsid w:val="000410F7"/>
    <w:rsid w:val="0004197A"/>
    <w:rsid w:val="000426A8"/>
    <w:rsid w:val="00043734"/>
    <w:rsid w:val="000437EB"/>
    <w:rsid w:val="0004393A"/>
    <w:rsid w:val="00043F89"/>
    <w:rsid w:val="00044050"/>
    <w:rsid w:val="0004470F"/>
    <w:rsid w:val="0004479B"/>
    <w:rsid w:val="00044FB9"/>
    <w:rsid w:val="00045AA1"/>
    <w:rsid w:val="00046116"/>
    <w:rsid w:val="000462F0"/>
    <w:rsid w:val="0004698D"/>
    <w:rsid w:val="000478EB"/>
    <w:rsid w:val="00047A60"/>
    <w:rsid w:val="00047B4D"/>
    <w:rsid w:val="00047BCE"/>
    <w:rsid w:val="00047DB0"/>
    <w:rsid w:val="0005000E"/>
    <w:rsid w:val="00050736"/>
    <w:rsid w:val="000508DB"/>
    <w:rsid w:val="00050F9A"/>
    <w:rsid w:val="000511D6"/>
    <w:rsid w:val="000515F9"/>
    <w:rsid w:val="000521AD"/>
    <w:rsid w:val="00052348"/>
    <w:rsid w:val="00052607"/>
    <w:rsid w:val="000527B6"/>
    <w:rsid w:val="00052B95"/>
    <w:rsid w:val="00053097"/>
    <w:rsid w:val="0005338C"/>
    <w:rsid w:val="00053707"/>
    <w:rsid w:val="000538A8"/>
    <w:rsid w:val="00054140"/>
    <w:rsid w:val="00054479"/>
    <w:rsid w:val="000548FB"/>
    <w:rsid w:val="000554BC"/>
    <w:rsid w:val="0005578F"/>
    <w:rsid w:val="00055959"/>
    <w:rsid w:val="0005696A"/>
    <w:rsid w:val="000569D1"/>
    <w:rsid w:val="00056A06"/>
    <w:rsid w:val="00056AC6"/>
    <w:rsid w:val="00057B8E"/>
    <w:rsid w:val="000603BD"/>
    <w:rsid w:val="00060602"/>
    <w:rsid w:val="0006128E"/>
    <w:rsid w:val="000612D4"/>
    <w:rsid w:val="00062141"/>
    <w:rsid w:val="0006285D"/>
    <w:rsid w:val="00063017"/>
    <w:rsid w:val="00063751"/>
    <w:rsid w:val="000642A8"/>
    <w:rsid w:val="0006470A"/>
    <w:rsid w:val="000648E6"/>
    <w:rsid w:val="0006562C"/>
    <w:rsid w:val="0006575D"/>
    <w:rsid w:val="0006577E"/>
    <w:rsid w:val="00066142"/>
    <w:rsid w:val="0006657B"/>
    <w:rsid w:val="00066672"/>
    <w:rsid w:val="000667A6"/>
    <w:rsid w:val="00066857"/>
    <w:rsid w:val="000669EA"/>
    <w:rsid w:val="00066D86"/>
    <w:rsid w:val="00067B29"/>
    <w:rsid w:val="0007006E"/>
    <w:rsid w:val="000707B0"/>
    <w:rsid w:val="00070910"/>
    <w:rsid w:val="00070962"/>
    <w:rsid w:val="00070E18"/>
    <w:rsid w:val="00070EE2"/>
    <w:rsid w:val="000716AC"/>
    <w:rsid w:val="00071EEF"/>
    <w:rsid w:val="0007228B"/>
    <w:rsid w:val="000724E5"/>
    <w:rsid w:val="00072524"/>
    <w:rsid w:val="000726B0"/>
    <w:rsid w:val="00072A60"/>
    <w:rsid w:val="00072B77"/>
    <w:rsid w:val="00072CB2"/>
    <w:rsid w:val="00072EE0"/>
    <w:rsid w:val="0007387B"/>
    <w:rsid w:val="00073AF9"/>
    <w:rsid w:val="000746D7"/>
    <w:rsid w:val="0007513C"/>
    <w:rsid w:val="0007533B"/>
    <w:rsid w:val="00075562"/>
    <w:rsid w:val="00075BF8"/>
    <w:rsid w:val="0007730B"/>
    <w:rsid w:val="00077A56"/>
    <w:rsid w:val="00077BEE"/>
    <w:rsid w:val="00077D81"/>
    <w:rsid w:val="00080509"/>
    <w:rsid w:val="000811F2"/>
    <w:rsid w:val="00081B5C"/>
    <w:rsid w:val="000825EC"/>
    <w:rsid w:val="00082C57"/>
    <w:rsid w:val="000838E9"/>
    <w:rsid w:val="000838FB"/>
    <w:rsid w:val="00084E91"/>
    <w:rsid w:val="00084F80"/>
    <w:rsid w:val="000864B1"/>
    <w:rsid w:val="0008656C"/>
    <w:rsid w:val="00086A26"/>
    <w:rsid w:val="0008707D"/>
    <w:rsid w:val="00087134"/>
    <w:rsid w:val="00087AA2"/>
    <w:rsid w:val="00087D23"/>
    <w:rsid w:val="00087DA5"/>
    <w:rsid w:val="00087F0D"/>
    <w:rsid w:val="00087F3E"/>
    <w:rsid w:val="00090410"/>
    <w:rsid w:val="00090F7A"/>
    <w:rsid w:val="00091041"/>
    <w:rsid w:val="00091609"/>
    <w:rsid w:val="00091952"/>
    <w:rsid w:val="00091A25"/>
    <w:rsid w:val="000920B6"/>
    <w:rsid w:val="0009230E"/>
    <w:rsid w:val="0009266E"/>
    <w:rsid w:val="00092ED1"/>
    <w:rsid w:val="00093B0E"/>
    <w:rsid w:val="000942C4"/>
    <w:rsid w:val="00095FA1"/>
    <w:rsid w:val="000961BA"/>
    <w:rsid w:val="000961E1"/>
    <w:rsid w:val="00096557"/>
    <w:rsid w:val="000969DE"/>
    <w:rsid w:val="00096D53"/>
    <w:rsid w:val="00097709"/>
    <w:rsid w:val="000A27AB"/>
    <w:rsid w:val="000A3122"/>
    <w:rsid w:val="000A3B05"/>
    <w:rsid w:val="000A3C9E"/>
    <w:rsid w:val="000A3CCF"/>
    <w:rsid w:val="000A3D9A"/>
    <w:rsid w:val="000A4289"/>
    <w:rsid w:val="000A4640"/>
    <w:rsid w:val="000A6299"/>
    <w:rsid w:val="000A6336"/>
    <w:rsid w:val="000A699C"/>
    <w:rsid w:val="000A6E52"/>
    <w:rsid w:val="000A6FE3"/>
    <w:rsid w:val="000A7040"/>
    <w:rsid w:val="000A7701"/>
    <w:rsid w:val="000B016E"/>
    <w:rsid w:val="000B0A69"/>
    <w:rsid w:val="000B0AB8"/>
    <w:rsid w:val="000B1C7A"/>
    <w:rsid w:val="000B1F48"/>
    <w:rsid w:val="000B244F"/>
    <w:rsid w:val="000B2516"/>
    <w:rsid w:val="000B28B9"/>
    <w:rsid w:val="000B370D"/>
    <w:rsid w:val="000B3777"/>
    <w:rsid w:val="000B3888"/>
    <w:rsid w:val="000B3C0D"/>
    <w:rsid w:val="000B44BC"/>
    <w:rsid w:val="000B4FC4"/>
    <w:rsid w:val="000B5012"/>
    <w:rsid w:val="000B5141"/>
    <w:rsid w:val="000B5164"/>
    <w:rsid w:val="000B5B7F"/>
    <w:rsid w:val="000B5D28"/>
    <w:rsid w:val="000B5E67"/>
    <w:rsid w:val="000B628E"/>
    <w:rsid w:val="000B6770"/>
    <w:rsid w:val="000B71F9"/>
    <w:rsid w:val="000C0130"/>
    <w:rsid w:val="000C037C"/>
    <w:rsid w:val="000C0FBA"/>
    <w:rsid w:val="000C1405"/>
    <w:rsid w:val="000C168E"/>
    <w:rsid w:val="000C1B88"/>
    <w:rsid w:val="000C1E14"/>
    <w:rsid w:val="000C2558"/>
    <w:rsid w:val="000C3100"/>
    <w:rsid w:val="000C38F7"/>
    <w:rsid w:val="000C3E77"/>
    <w:rsid w:val="000C4C26"/>
    <w:rsid w:val="000C4F49"/>
    <w:rsid w:val="000C5C3C"/>
    <w:rsid w:val="000C5F93"/>
    <w:rsid w:val="000C61FA"/>
    <w:rsid w:val="000C69CD"/>
    <w:rsid w:val="000C6BB5"/>
    <w:rsid w:val="000C6EF5"/>
    <w:rsid w:val="000C765E"/>
    <w:rsid w:val="000C7719"/>
    <w:rsid w:val="000C7985"/>
    <w:rsid w:val="000C7A3E"/>
    <w:rsid w:val="000C7E81"/>
    <w:rsid w:val="000D0006"/>
    <w:rsid w:val="000D01F2"/>
    <w:rsid w:val="000D0414"/>
    <w:rsid w:val="000D097B"/>
    <w:rsid w:val="000D0A16"/>
    <w:rsid w:val="000D128C"/>
    <w:rsid w:val="000D1577"/>
    <w:rsid w:val="000D18B2"/>
    <w:rsid w:val="000D214D"/>
    <w:rsid w:val="000D35A1"/>
    <w:rsid w:val="000D42AB"/>
    <w:rsid w:val="000D4335"/>
    <w:rsid w:val="000D4986"/>
    <w:rsid w:val="000D4B04"/>
    <w:rsid w:val="000D5226"/>
    <w:rsid w:val="000D53F8"/>
    <w:rsid w:val="000D560B"/>
    <w:rsid w:val="000D6769"/>
    <w:rsid w:val="000D68CE"/>
    <w:rsid w:val="000D6DEA"/>
    <w:rsid w:val="000D70CD"/>
    <w:rsid w:val="000D715D"/>
    <w:rsid w:val="000D76A1"/>
    <w:rsid w:val="000D7712"/>
    <w:rsid w:val="000D7905"/>
    <w:rsid w:val="000D7B97"/>
    <w:rsid w:val="000E0C10"/>
    <w:rsid w:val="000E12C2"/>
    <w:rsid w:val="000E132A"/>
    <w:rsid w:val="000E1870"/>
    <w:rsid w:val="000E1B4D"/>
    <w:rsid w:val="000E1DFC"/>
    <w:rsid w:val="000E2240"/>
    <w:rsid w:val="000E2377"/>
    <w:rsid w:val="000E2742"/>
    <w:rsid w:val="000E2818"/>
    <w:rsid w:val="000E407D"/>
    <w:rsid w:val="000E45C8"/>
    <w:rsid w:val="000E4FCC"/>
    <w:rsid w:val="000E5280"/>
    <w:rsid w:val="000E5555"/>
    <w:rsid w:val="000E5812"/>
    <w:rsid w:val="000E5C14"/>
    <w:rsid w:val="000E5DFF"/>
    <w:rsid w:val="000E655E"/>
    <w:rsid w:val="000E6A8F"/>
    <w:rsid w:val="000E6FCC"/>
    <w:rsid w:val="000E761A"/>
    <w:rsid w:val="000F0A2C"/>
    <w:rsid w:val="000F0D0B"/>
    <w:rsid w:val="000F0E64"/>
    <w:rsid w:val="000F104C"/>
    <w:rsid w:val="000F1C3F"/>
    <w:rsid w:val="000F25E8"/>
    <w:rsid w:val="000F2804"/>
    <w:rsid w:val="000F2935"/>
    <w:rsid w:val="000F2B5F"/>
    <w:rsid w:val="000F2CC4"/>
    <w:rsid w:val="000F2E0E"/>
    <w:rsid w:val="000F371C"/>
    <w:rsid w:val="000F3F0F"/>
    <w:rsid w:val="000F4495"/>
    <w:rsid w:val="000F468C"/>
    <w:rsid w:val="000F4A76"/>
    <w:rsid w:val="000F4D1D"/>
    <w:rsid w:val="000F5074"/>
    <w:rsid w:val="000F6805"/>
    <w:rsid w:val="000F6FA5"/>
    <w:rsid w:val="000F73F9"/>
    <w:rsid w:val="000F784A"/>
    <w:rsid w:val="001002ED"/>
    <w:rsid w:val="00100A5B"/>
    <w:rsid w:val="00100D94"/>
    <w:rsid w:val="001015F8"/>
    <w:rsid w:val="00101903"/>
    <w:rsid w:val="0010196B"/>
    <w:rsid w:val="001020EE"/>
    <w:rsid w:val="001026F6"/>
    <w:rsid w:val="00102C6D"/>
    <w:rsid w:val="00103D22"/>
    <w:rsid w:val="001041BE"/>
    <w:rsid w:val="00104258"/>
    <w:rsid w:val="001042A3"/>
    <w:rsid w:val="00104CA8"/>
    <w:rsid w:val="00104F16"/>
    <w:rsid w:val="0010549C"/>
    <w:rsid w:val="001054D9"/>
    <w:rsid w:val="00105C34"/>
    <w:rsid w:val="00106914"/>
    <w:rsid w:val="00107074"/>
    <w:rsid w:val="00107278"/>
    <w:rsid w:val="001074B2"/>
    <w:rsid w:val="001075C6"/>
    <w:rsid w:val="0010793B"/>
    <w:rsid w:val="001103B6"/>
    <w:rsid w:val="00110ED7"/>
    <w:rsid w:val="001113B4"/>
    <w:rsid w:val="001117B9"/>
    <w:rsid w:val="00112935"/>
    <w:rsid w:val="00113E32"/>
    <w:rsid w:val="001149A8"/>
    <w:rsid w:val="00114D0F"/>
    <w:rsid w:val="00114FEA"/>
    <w:rsid w:val="001154D4"/>
    <w:rsid w:val="0011567B"/>
    <w:rsid w:val="001159CB"/>
    <w:rsid w:val="001166FF"/>
    <w:rsid w:val="00116FF3"/>
    <w:rsid w:val="00117014"/>
    <w:rsid w:val="001175BB"/>
    <w:rsid w:val="001176EA"/>
    <w:rsid w:val="00121647"/>
    <w:rsid w:val="0012183B"/>
    <w:rsid w:val="001218F3"/>
    <w:rsid w:val="00121D1E"/>
    <w:rsid w:val="00121D84"/>
    <w:rsid w:val="00122082"/>
    <w:rsid w:val="001227A7"/>
    <w:rsid w:val="00122FF2"/>
    <w:rsid w:val="0012394F"/>
    <w:rsid w:val="00124235"/>
    <w:rsid w:val="00124441"/>
    <w:rsid w:val="00124A89"/>
    <w:rsid w:val="00125114"/>
    <w:rsid w:val="00125260"/>
    <w:rsid w:val="0012526B"/>
    <w:rsid w:val="001263D6"/>
    <w:rsid w:val="0012655E"/>
    <w:rsid w:val="0012665E"/>
    <w:rsid w:val="001266F4"/>
    <w:rsid w:val="0012688C"/>
    <w:rsid w:val="00126A46"/>
    <w:rsid w:val="00127641"/>
    <w:rsid w:val="00127727"/>
    <w:rsid w:val="0012793C"/>
    <w:rsid w:val="00127EBE"/>
    <w:rsid w:val="00130BF5"/>
    <w:rsid w:val="001319CF"/>
    <w:rsid w:val="001319F4"/>
    <w:rsid w:val="00131B01"/>
    <w:rsid w:val="00131B1D"/>
    <w:rsid w:val="00132C7D"/>
    <w:rsid w:val="001333B2"/>
    <w:rsid w:val="00133530"/>
    <w:rsid w:val="00133881"/>
    <w:rsid w:val="00133C65"/>
    <w:rsid w:val="0013413F"/>
    <w:rsid w:val="0013492B"/>
    <w:rsid w:val="00134C03"/>
    <w:rsid w:val="00134E39"/>
    <w:rsid w:val="00135176"/>
    <w:rsid w:val="001351D4"/>
    <w:rsid w:val="001356CE"/>
    <w:rsid w:val="001368C5"/>
    <w:rsid w:val="00137A66"/>
    <w:rsid w:val="00137D1E"/>
    <w:rsid w:val="001404A7"/>
    <w:rsid w:val="001410C4"/>
    <w:rsid w:val="001413AF"/>
    <w:rsid w:val="00142EF4"/>
    <w:rsid w:val="001439C7"/>
    <w:rsid w:val="00143D5B"/>
    <w:rsid w:val="0014403D"/>
    <w:rsid w:val="00144984"/>
    <w:rsid w:val="00144D68"/>
    <w:rsid w:val="00145204"/>
    <w:rsid w:val="00145A14"/>
    <w:rsid w:val="00145ADE"/>
    <w:rsid w:val="00145CF4"/>
    <w:rsid w:val="0014602D"/>
    <w:rsid w:val="001461FF"/>
    <w:rsid w:val="00146CD4"/>
    <w:rsid w:val="00146D46"/>
    <w:rsid w:val="00147070"/>
    <w:rsid w:val="001472A2"/>
    <w:rsid w:val="00150841"/>
    <w:rsid w:val="001509B0"/>
    <w:rsid w:val="001509CC"/>
    <w:rsid w:val="00150E2A"/>
    <w:rsid w:val="00150ECA"/>
    <w:rsid w:val="00150F24"/>
    <w:rsid w:val="00151665"/>
    <w:rsid w:val="001521F2"/>
    <w:rsid w:val="0015240C"/>
    <w:rsid w:val="00153631"/>
    <w:rsid w:val="00153901"/>
    <w:rsid w:val="001541C8"/>
    <w:rsid w:val="001546D1"/>
    <w:rsid w:val="00154783"/>
    <w:rsid w:val="001549CF"/>
    <w:rsid w:val="00154C50"/>
    <w:rsid w:val="00154D24"/>
    <w:rsid w:val="00154F65"/>
    <w:rsid w:val="001560B0"/>
    <w:rsid w:val="00156C29"/>
    <w:rsid w:val="00156D8B"/>
    <w:rsid w:val="00157E2F"/>
    <w:rsid w:val="001600A0"/>
    <w:rsid w:val="00160A7A"/>
    <w:rsid w:val="00160D9C"/>
    <w:rsid w:val="001617A1"/>
    <w:rsid w:val="00161C06"/>
    <w:rsid w:val="001620EA"/>
    <w:rsid w:val="00162104"/>
    <w:rsid w:val="0016258E"/>
    <w:rsid w:val="001627F9"/>
    <w:rsid w:val="00162B24"/>
    <w:rsid w:val="001633D8"/>
    <w:rsid w:val="001634F1"/>
    <w:rsid w:val="001636E9"/>
    <w:rsid w:val="001641FB"/>
    <w:rsid w:val="00164DA3"/>
    <w:rsid w:val="001650D5"/>
    <w:rsid w:val="0016543A"/>
    <w:rsid w:val="0017024F"/>
    <w:rsid w:val="001718CF"/>
    <w:rsid w:val="00173B1F"/>
    <w:rsid w:val="00173EB9"/>
    <w:rsid w:val="00174BD2"/>
    <w:rsid w:val="00174CF2"/>
    <w:rsid w:val="00175F84"/>
    <w:rsid w:val="00176B55"/>
    <w:rsid w:val="00176B85"/>
    <w:rsid w:val="00176BF2"/>
    <w:rsid w:val="001770F1"/>
    <w:rsid w:val="001773B0"/>
    <w:rsid w:val="00177BE7"/>
    <w:rsid w:val="00180036"/>
    <w:rsid w:val="00180526"/>
    <w:rsid w:val="0018096D"/>
    <w:rsid w:val="001809D9"/>
    <w:rsid w:val="00180F58"/>
    <w:rsid w:val="001817A5"/>
    <w:rsid w:val="00181E32"/>
    <w:rsid w:val="00182020"/>
    <w:rsid w:val="00182E7F"/>
    <w:rsid w:val="00183104"/>
    <w:rsid w:val="001836C2"/>
    <w:rsid w:val="0018396E"/>
    <w:rsid w:val="0018425E"/>
    <w:rsid w:val="00184D13"/>
    <w:rsid w:val="00185124"/>
    <w:rsid w:val="001852C7"/>
    <w:rsid w:val="001852D2"/>
    <w:rsid w:val="001854A1"/>
    <w:rsid w:val="001864F0"/>
    <w:rsid w:val="00186A06"/>
    <w:rsid w:val="00187208"/>
    <w:rsid w:val="00187643"/>
    <w:rsid w:val="00187A9E"/>
    <w:rsid w:val="001901D7"/>
    <w:rsid w:val="001902EC"/>
    <w:rsid w:val="001908F3"/>
    <w:rsid w:val="00190F6C"/>
    <w:rsid w:val="00192276"/>
    <w:rsid w:val="001925E9"/>
    <w:rsid w:val="001929F3"/>
    <w:rsid w:val="00192C40"/>
    <w:rsid w:val="0019374C"/>
    <w:rsid w:val="00193AC5"/>
    <w:rsid w:val="00193B7E"/>
    <w:rsid w:val="0019468E"/>
    <w:rsid w:val="001952C4"/>
    <w:rsid w:val="00195760"/>
    <w:rsid w:val="001957F6"/>
    <w:rsid w:val="001961C3"/>
    <w:rsid w:val="001969B0"/>
    <w:rsid w:val="00196ABF"/>
    <w:rsid w:val="00196C78"/>
    <w:rsid w:val="00196FED"/>
    <w:rsid w:val="0019703A"/>
    <w:rsid w:val="001974E3"/>
    <w:rsid w:val="00197B40"/>
    <w:rsid w:val="001A0D41"/>
    <w:rsid w:val="001A18B5"/>
    <w:rsid w:val="001A1947"/>
    <w:rsid w:val="001A1CDC"/>
    <w:rsid w:val="001A288E"/>
    <w:rsid w:val="001A28EB"/>
    <w:rsid w:val="001A47D2"/>
    <w:rsid w:val="001A4A98"/>
    <w:rsid w:val="001A4B22"/>
    <w:rsid w:val="001A4CC4"/>
    <w:rsid w:val="001A5251"/>
    <w:rsid w:val="001A53E6"/>
    <w:rsid w:val="001A562D"/>
    <w:rsid w:val="001A5CF0"/>
    <w:rsid w:val="001A6056"/>
    <w:rsid w:val="001A69BD"/>
    <w:rsid w:val="001A71D1"/>
    <w:rsid w:val="001A721B"/>
    <w:rsid w:val="001A721C"/>
    <w:rsid w:val="001A76A4"/>
    <w:rsid w:val="001A7EFB"/>
    <w:rsid w:val="001B0B42"/>
    <w:rsid w:val="001B142B"/>
    <w:rsid w:val="001B1A36"/>
    <w:rsid w:val="001B1F9B"/>
    <w:rsid w:val="001B25F7"/>
    <w:rsid w:val="001B3170"/>
    <w:rsid w:val="001B3406"/>
    <w:rsid w:val="001B624B"/>
    <w:rsid w:val="001B6908"/>
    <w:rsid w:val="001B75C7"/>
    <w:rsid w:val="001B7761"/>
    <w:rsid w:val="001B7841"/>
    <w:rsid w:val="001C1926"/>
    <w:rsid w:val="001C1CFD"/>
    <w:rsid w:val="001C1D2E"/>
    <w:rsid w:val="001C1D8A"/>
    <w:rsid w:val="001C1FA2"/>
    <w:rsid w:val="001C2A36"/>
    <w:rsid w:val="001C2CCB"/>
    <w:rsid w:val="001C3496"/>
    <w:rsid w:val="001C40BE"/>
    <w:rsid w:val="001C44B7"/>
    <w:rsid w:val="001C4812"/>
    <w:rsid w:val="001C4DED"/>
    <w:rsid w:val="001C4F16"/>
    <w:rsid w:val="001C5974"/>
    <w:rsid w:val="001C5C78"/>
    <w:rsid w:val="001C5DA1"/>
    <w:rsid w:val="001C5F2F"/>
    <w:rsid w:val="001C634E"/>
    <w:rsid w:val="001C6C51"/>
    <w:rsid w:val="001C6F24"/>
    <w:rsid w:val="001C726D"/>
    <w:rsid w:val="001C7704"/>
    <w:rsid w:val="001C7AF1"/>
    <w:rsid w:val="001C7DBC"/>
    <w:rsid w:val="001D035F"/>
    <w:rsid w:val="001D05A8"/>
    <w:rsid w:val="001D0D73"/>
    <w:rsid w:val="001D0FCA"/>
    <w:rsid w:val="001D104E"/>
    <w:rsid w:val="001D1836"/>
    <w:rsid w:val="001D1D26"/>
    <w:rsid w:val="001D1F06"/>
    <w:rsid w:val="001D2149"/>
    <w:rsid w:val="001D2228"/>
    <w:rsid w:val="001D26D9"/>
    <w:rsid w:val="001D2748"/>
    <w:rsid w:val="001D40C5"/>
    <w:rsid w:val="001D4869"/>
    <w:rsid w:val="001D4DA2"/>
    <w:rsid w:val="001D51DB"/>
    <w:rsid w:val="001D6016"/>
    <w:rsid w:val="001D61C2"/>
    <w:rsid w:val="001D6DA8"/>
    <w:rsid w:val="001D7130"/>
    <w:rsid w:val="001D77BB"/>
    <w:rsid w:val="001D7EA7"/>
    <w:rsid w:val="001E0590"/>
    <w:rsid w:val="001E197F"/>
    <w:rsid w:val="001E246C"/>
    <w:rsid w:val="001E2A93"/>
    <w:rsid w:val="001E376A"/>
    <w:rsid w:val="001E44CE"/>
    <w:rsid w:val="001E606F"/>
    <w:rsid w:val="001E64F2"/>
    <w:rsid w:val="001E69D2"/>
    <w:rsid w:val="001E6A0B"/>
    <w:rsid w:val="001E6B27"/>
    <w:rsid w:val="001E70CF"/>
    <w:rsid w:val="001E76F7"/>
    <w:rsid w:val="001E7C61"/>
    <w:rsid w:val="001E7CF0"/>
    <w:rsid w:val="001F098E"/>
    <w:rsid w:val="001F0DB8"/>
    <w:rsid w:val="001F0DE6"/>
    <w:rsid w:val="001F1041"/>
    <w:rsid w:val="001F1588"/>
    <w:rsid w:val="001F18E8"/>
    <w:rsid w:val="001F1E1F"/>
    <w:rsid w:val="001F1EC3"/>
    <w:rsid w:val="001F27E0"/>
    <w:rsid w:val="001F2BA2"/>
    <w:rsid w:val="001F30E5"/>
    <w:rsid w:val="001F3217"/>
    <w:rsid w:val="001F3D08"/>
    <w:rsid w:val="001F3DC1"/>
    <w:rsid w:val="001F4A81"/>
    <w:rsid w:val="001F520B"/>
    <w:rsid w:val="001F54F0"/>
    <w:rsid w:val="001F5E3E"/>
    <w:rsid w:val="001F694F"/>
    <w:rsid w:val="001F6E57"/>
    <w:rsid w:val="001F7791"/>
    <w:rsid w:val="001F77DB"/>
    <w:rsid w:val="001F7BC2"/>
    <w:rsid w:val="00200C18"/>
    <w:rsid w:val="002012C5"/>
    <w:rsid w:val="00202044"/>
    <w:rsid w:val="002020B2"/>
    <w:rsid w:val="00202401"/>
    <w:rsid w:val="00202A16"/>
    <w:rsid w:val="002032FD"/>
    <w:rsid w:val="00203BE5"/>
    <w:rsid w:val="00204590"/>
    <w:rsid w:val="00204D45"/>
    <w:rsid w:val="00204DEC"/>
    <w:rsid w:val="00205317"/>
    <w:rsid w:val="00205458"/>
    <w:rsid w:val="00205A66"/>
    <w:rsid w:val="00206D5C"/>
    <w:rsid w:val="0020780C"/>
    <w:rsid w:val="00210251"/>
    <w:rsid w:val="0021029A"/>
    <w:rsid w:val="00210314"/>
    <w:rsid w:val="0021054F"/>
    <w:rsid w:val="0021058B"/>
    <w:rsid w:val="00210869"/>
    <w:rsid w:val="00210945"/>
    <w:rsid w:val="00210D90"/>
    <w:rsid w:val="00211AD0"/>
    <w:rsid w:val="00211B23"/>
    <w:rsid w:val="00211F13"/>
    <w:rsid w:val="002120A3"/>
    <w:rsid w:val="0021279D"/>
    <w:rsid w:val="00213567"/>
    <w:rsid w:val="002137B1"/>
    <w:rsid w:val="00213DCF"/>
    <w:rsid w:val="00214523"/>
    <w:rsid w:val="00214B9D"/>
    <w:rsid w:val="00214EE1"/>
    <w:rsid w:val="00215352"/>
    <w:rsid w:val="00215451"/>
    <w:rsid w:val="002164B5"/>
    <w:rsid w:val="002164BD"/>
    <w:rsid w:val="00216DF3"/>
    <w:rsid w:val="002171DB"/>
    <w:rsid w:val="002203DF"/>
    <w:rsid w:val="00220E92"/>
    <w:rsid w:val="002213ED"/>
    <w:rsid w:val="0022191D"/>
    <w:rsid w:val="00221C87"/>
    <w:rsid w:val="00222BBB"/>
    <w:rsid w:val="00222E45"/>
    <w:rsid w:val="00223F02"/>
    <w:rsid w:val="002240CF"/>
    <w:rsid w:val="002241C9"/>
    <w:rsid w:val="002242A4"/>
    <w:rsid w:val="0022516B"/>
    <w:rsid w:val="00226068"/>
    <w:rsid w:val="00226247"/>
    <w:rsid w:val="002262B8"/>
    <w:rsid w:val="00230AB9"/>
    <w:rsid w:val="00230B64"/>
    <w:rsid w:val="00230DBE"/>
    <w:rsid w:val="0023114B"/>
    <w:rsid w:val="00231E04"/>
    <w:rsid w:val="00231EE2"/>
    <w:rsid w:val="00232293"/>
    <w:rsid w:val="00233135"/>
    <w:rsid w:val="002337E8"/>
    <w:rsid w:val="0023381C"/>
    <w:rsid w:val="00233F1A"/>
    <w:rsid w:val="002344D0"/>
    <w:rsid w:val="00234605"/>
    <w:rsid w:val="00234816"/>
    <w:rsid w:val="00235837"/>
    <w:rsid w:val="00235A1E"/>
    <w:rsid w:val="002362B7"/>
    <w:rsid w:val="002364B3"/>
    <w:rsid w:val="00237B67"/>
    <w:rsid w:val="00237BBD"/>
    <w:rsid w:val="002403A0"/>
    <w:rsid w:val="002409BB"/>
    <w:rsid w:val="002414CC"/>
    <w:rsid w:val="00242CF3"/>
    <w:rsid w:val="00242F1A"/>
    <w:rsid w:val="00242FF3"/>
    <w:rsid w:val="002431ED"/>
    <w:rsid w:val="002434F1"/>
    <w:rsid w:val="002434FB"/>
    <w:rsid w:val="00243C38"/>
    <w:rsid w:val="00243D75"/>
    <w:rsid w:val="0024403B"/>
    <w:rsid w:val="00244F24"/>
    <w:rsid w:val="002456D4"/>
    <w:rsid w:val="00245B3D"/>
    <w:rsid w:val="002465C0"/>
    <w:rsid w:val="00246E16"/>
    <w:rsid w:val="00247A23"/>
    <w:rsid w:val="00250B2E"/>
    <w:rsid w:val="00250C22"/>
    <w:rsid w:val="002513FF"/>
    <w:rsid w:val="00251720"/>
    <w:rsid w:val="00251E52"/>
    <w:rsid w:val="00252318"/>
    <w:rsid w:val="00252C38"/>
    <w:rsid w:val="002538B0"/>
    <w:rsid w:val="00253F71"/>
    <w:rsid w:val="00254495"/>
    <w:rsid w:val="0025516B"/>
    <w:rsid w:val="0025525D"/>
    <w:rsid w:val="00255791"/>
    <w:rsid w:val="00255A68"/>
    <w:rsid w:val="002573F7"/>
    <w:rsid w:val="00257771"/>
    <w:rsid w:val="00257A20"/>
    <w:rsid w:val="00257D73"/>
    <w:rsid w:val="002604D9"/>
    <w:rsid w:val="00260B4F"/>
    <w:rsid w:val="0026188F"/>
    <w:rsid w:val="00261B84"/>
    <w:rsid w:val="00263A96"/>
    <w:rsid w:val="00263EA0"/>
    <w:rsid w:val="00264185"/>
    <w:rsid w:val="0026479B"/>
    <w:rsid w:val="00264B34"/>
    <w:rsid w:val="00265009"/>
    <w:rsid w:val="00265A4C"/>
    <w:rsid w:val="00265B57"/>
    <w:rsid w:val="002666DE"/>
    <w:rsid w:val="00266969"/>
    <w:rsid w:val="0026735D"/>
    <w:rsid w:val="00270084"/>
    <w:rsid w:val="002705DE"/>
    <w:rsid w:val="00270B64"/>
    <w:rsid w:val="0027187B"/>
    <w:rsid w:val="00273BDC"/>
    <w:rsid w:val="00273D87"/>
    <w:rsid w:val="00274E83"/>
    <w:rsid w:val="002752FA"/>
    <w:rsid w:val="002755D9"/>
    <w:rsid w:val="002769FD"/>
    <w:rsid w:val="00276B77"/>
    <w:rsid w:val="00277433"/>
    <w:rsid w:val="00277582"/>
    <w:rsid w:val="00277858"/>
    <w:rsid w:val="00277AA1"/>
    <w:rsid w:val="00277DD9"/>
    <w:rsid w:val="00277EA6"/>
    <w:rsid w:val="00280380"/>
    <w:rsid w:val="0028171F"/>
    <w:rsid w:val="002817E8"/>
    <w:rsid w:val="002821DD"/>
    <w:rsid w:val="002829CB"/>
    <w:rsid w:val="002829F6"/>
    <w:rsid w:val="00282A6D"/>
    <w:rsid w:val="002835FD"/>
    <w:rsid w:val="00283844"/>
    <w:rsid w:val="00284C8B"/>
    <w:rsid w:val="00284CC3"/>
    <w:rsid w:val="00285F1F"/>
    <w:rsid w:val="00286446"/>
    <w:rsid w:val="00286AEB"/>
    <w:rsid w:val="00286D45"/>
    <w:rsid w:val="00286EB8"/>
    <w:rsid w:val="00287054"/>
    <w:rsid w:val="00287577"/>
    <w:rsid w:val="00287AF6"/>
    <w:rsid w:val="002904C3"/>
    <w:rsid w:val="0029055F"/>
    <w:rsid w:val="0029129A"/>
    <w:rsid w:val="0029168B"/>
    <w:rsid w:val="00291D68"/>
    <w:rsid w:val="00292739"/>
    <w:rsid w:val="00292CA0"/>
    <w:rsid w:val="00292F15"/>
    <w:rsid w:val="0029335D"/>
    <w:rsid w:val="00293514"/>
    <w:rsid w:val="0029485C"/>
    <w:rsid w:val="0029498F"/>
    <w:rsid w:val="00294B43"/>
    <w:rsid w:val="00295BB0"/>
    <w:rsid w:val="00295DC7"/>
    <w:rsid w:val="00295F16"/>
    <w:rsid w:val="00296156"/>
    <w:rsid w:val="00296707"/>
    <w:rsid w:val="00296EAE"/>
    <w:rsid w:val="002A065E"/>
    <w:rsid w:val="002A0851"/>
    <w:rsid w:val="002A095D"/>
    <w:rsid w:val="002A0A8C"/>
    <w:rsid w:val="002A12F0"/>
    <w:rsid w:val="002A142A"/>
    <w:rsid w:val="002A2604"/>
    <w:rsid w:val="002A35B7"/>
    <w:rsid w:val="002A3C52"/>
    <w:rsid w:val="002A3DAA"/>
    <w:rsid w:val="002A4F81"/>
    <w:rsid w:val="002A5076"/>
    <w:rsid w:val="002A5205"/>
    <w:rsid w:val="002A546F"/>
    <w:rsid w:val="002A5473"/>
    <w:rsid w:val="002A5A0C"/>
    <w:rsid w:val="002A5C57"/>
    <w:rsid w:val="002A5DFF"/>
    <w:rsid w:val="002A61DC"/>
    <w:rsid w:val="002A625D"/>
    <w:rsid w:val="002A6594"/>
    <w:rsid w:val="002A6D63"/>
    <w:rsid w:val="002A7292"/>
    <w:rsid w:val="002A7316"/>
    <w:rsid w:val="002A7B96"/>
    <w:rsid w:val="002A7BC6"/>
    <w:rsid w:val="002A7D08"/>
    <w:rsid w:val="002B0B27"/>
    <w:rsid w:val="002B17CF"/>
    <w:rsid w:val="002B19CD"/>
    <w:rsid w:val="002B1BA8"/>
    <w:rsid w:val="002B1CDF"/>
    <w:rsid w:val="002B1EA9"/>
    <w:rsid w:val="002B2027"/>
    <w:rsid w:val="002B27E5"/>
    <w:rsid w:val="002B2A51"/>
    <w:rsid w:val="002B2CD5"/>
    <w:rsid w:val="002B312A"/>
    <w:rsid w:val="002B328F"/>
    <w:rsid w:val="002B336B"/>
    <w:rsid w:val="002B3A06"/>
    <w:rsid w:val="002B4099"/>
    <w:rsid w:val="002B4A5E"/>
    <w:rsid w:val="002B4E55"/>
    <w:rsid w:val="002B4FB1"/>
    <w:rsid w:val="002B535A"/>
    <w:rsid w:val="002B5521"/>
    <w:rsid w:val="002B5576"/>
    <w:rsid w:val="002B5B02"/>
    <w:rsid w:val="002B6CB9"/>
    <w:rsid w:val="002B734F"/>
    <w:rsid w:val="002B746A"/>
    <w:rsid w:val="002C11D0"/>
    <w:rsid w:val="002C197E"/>
    <w:rsid w:val="002C199C"/>
    <w:rsid w:val="002C1A37"/>
    <w:rsid w:val="002C1B02"/>
    <w:rsid w:val="002C21FC"/>
    <w:rsid w:val="002C2226"/>
    <w:rsid w:val="002C27F4"/>
    <w:rsid w:val="002C3CA3"/>
    <w:rsid w:val="002C3F44"/>
    <w:rsid w:val="002C3F62"/>
    <w:rsid w:val="002C45E8"/>
    <w:rsid w:val="002C5FB2"/>
    <w:rsid w:val="002C6118"/>
    <w:rsid w:val="002C6168"/>
    <w:rsid w:val="002C6175"/>
    <w:rsid w:val="002C6614"/>
    <w:rsid w:val="002D0590"/>
    <w:rsid w:val="002D0D62"/>
    <w:rsid w:val="002D0F0C"/>
    <w:rsid w:val="002D108C"/>
    <w:rsid w:val="002D139F"/>
    <w:rsid w:val="002D1709"/>
    <w:rsid w:val="002D1851"/>
    <w:rsid w:val="002D2008"/>
    <w:rsid w:val="002D2543"/>
    <w:rsid w:val="002D2FB4"/>
    <w:rsid w:val="002D395C"/>
    <w:rsid w:val="002D3C58"/>
    <w:rsid w:val="002D49BA"/>
    <w:rsid w:val="002D584B"/>
    <w:rsid w:val="002D5F60"/>
    <w:rsid w:val="002D62B2"/>
    <w:rsid w:val="002D634C"/>
    <w:rsid w:val="002D646B"/>
    <w:rsid w:val="002D65E2"/>
    <w:rsid w:val="002D6A47"/>
    <w:rsid w:val="002D72D9"/>
    <w:rsid w:val="002D7A34"/>
    <w:rsid w:val="002D7CF2"/>
    <w:rsid w:val="002D7F8C"/>
    <w:rsid w:val="002E0046"/>
    <w:rsid w:val="002E013F"/>
    <w:rsid w:val="002E05FA"/>
    <w:rsid w:val="002E0722"/>
    <w:rsid w:val="002E0B3C"/>
    <w:rsid w:val="002E0F5A"/>
    <w:rsid w:val="002E1AC0"/>
    <w:rsid w:val="002E2706"/>
    <w:rsid w:val="002E2F84"/>
    <w:rsid w:val="002E30FC"/>
    <w:rsid w:val="002E322B"/>
    <w:rsid w:val="002E33D4"/>
    <w:rsid w:val="002E3588"/>
    <w:rsid w:val="002E3A08"/>
    <w:rsid w:val="002E3C27"/>
    <w:rsid w:val="002E450A"/>
    <w:rsid w:val="002E4570"/>
    <w:rsid w:val="002E46C5"/>
    <w:rsid w:val="002E57CB"/>
    <w:rsid w:val="002E5AAD"/>
    <w:rsid w:val="002E66E4"/>
    <w:rsid w:val="002E67A1"/>
    <w:rsid w:val="002E6A23"/>
    <w:rsid w:val="002E6D4A"/>
    <w:rsid w:val="002E6E6D"/>
    <w:rsid w:val="002E6F95"/>
    <w:rsid w:val="002F08AD"/>
    <w:rsid w:val="002F0D5A"/>
    <w:rsid w:val="002F1B50"/>
    <w:rsid w:val="002F1D17"/>
    <w:rsid w:val="002F2A3C"/>
    <w:rsid w:val="002F2BFC"/>
    <w:rsid w:val="002F2FF5"/>
    <w:rsid w:val="002F4E6E"/>
    <w:rsid w:val="002F4FB9"/>
    <w:rsid w:val="002F5AD2"/>
    <w:rsid w:val="002F5C74"/>
    <w:rsid w:val="002F5FC4"/>
    <w:rsid w:val="002F605F"/>
    <w:rsid w:val="002F67EA"/>
    <w:rsid w:val="002F6FB5"/>
    <w:rsid w:val="002F7155"/>
    <w:rsid w:val="002F72AC"/>
    <w:rsid w:val="002F7727"/>
    <w:rsid w:val="002F7C04"/>
    <w:rsid w:val="002F7D15"/>
    <w:rsid w:val="002F7F82"/>
    <w:rsid w:val="00300057"/>
    <w:rsid w:val="00300641"/>
    <w:rsid w:val="00300946"/>
    <w:rsid w:val="00300C42"/>
    <w:rsid w:val="00301124"/>
    <w:rsid w:val="00301185"/>
    <w:rsid w:val="00301E35"/>
    <w:rsid w:val="00302CE4"/>
    <w:rsid w:val="0030313F"/>
    <w:rsid w:val="00303267"/>
    <w:rsid w:val="00303BFB"/>
    <w:rsid w:val="00303F87"/>
    <w:rsid w:val="003049F6"/>
    <w:rsid w:val="00304BF2"/>
    <w:rsid w:val="0030559D"/>
    <w:rsid w:val="00305D34"/>
    <w:rsid w:val="003061DA"/>
    <w:rsid w:val="003067DF"/>
    <w:rsid w:val="00306D59"/>
    <w:rsid w:val="00307248"/>
    <w:rsid w:val="00307344"/>
    <w:rsid w:val="00307AF7"/>
    <w:rsid w:val="00307CBD"/>
    <w:rsid w:val="00311853"/>
    <w:rsid w:val="003118E3"/>
    <w:rsid w:val="00311A33"/>
    <w:rsid w:val="00312544"/>
    <w:rsid w:val="003126FF"/>
    <w:rsid w:val="003127EF"/>
    <w:rsid w:val="003129A6"/>
    <w:rsid w:val="00312C68"/>
    <w:rsid w:val="00313359"/>
    <w:rsid w:val="00314701"/>
    <w:rsid w:val="00314A5F"/>
    <w:rsid w:val="00314B3C"/>
    <w:rsid w:val="00316295"/>
    <w:rsid w:val="003174FC"/>
    <w:rsid w:val="00317978"/>
    <w:rsid w:val="00317DF6"/>
    <w:rsid w:val="00320585"/>
    <w:rsid w:val="0032082E"/>
    <w:rsid w:val="00321272"/>
    <w:rsid w:val="003214C4"/>
    <w:rsid w:val="00321904"/>
    <w:rsid w:val="00321C54"/>
    <w:rsid w:val="00321FC4"/>
    <w:rsid w:val="00322FC2"/>
    <w:rsid w:val="00323170"/>
    <w:rsid w:val="0032370C"/>
    <w:rsid w:val="0032379E"/>
    <w:rsid w:val="00323BEE"/>
    <w:rsid w:val="00323D90"/>
    <w:rsid w:val="00323F42"/>
    <w:rsid w:val="00325843"/>
    <w:rsid w:val="0032599E"/>
    <w:rsid w:val="00325BEF"/>
    <w:rsid w:val="00325D70"/>
    <w:rsid w:val="00325E19"/>
    <w:rsid w:val="003261DA"/>
    <w:rsid w:val="003261E2"/>
    <w:rsid w:val="0032679D"/>
    <w:rsid w:val="003271DD"/>
    <w:rsid w:val="0033067B"/>
    <w:rsid w:val="00330FA8"/>
    <w:rsid w:val="00331070"/>
    <w:rsid w:val="00331EFD"/>
    <w:rsid w:val="0033342C"/>
    <w:rsid w:val="0033360C"/>
    <w:rsid w:val="0033424B"/>
    <w:rsid w:val="0033450B"/>
    <w:rsid w:val="00334724"/>
    <w:rsid w:val="0033481D"/>
    <w:rsid w:val="003348C3"/>
    <w:rsid w:val="00334BB2"/>
    <w:rsid w:val="00334F89"/>
    <w:rsid w:val="003350CD"/>
    <w:rsid w:val="00335147"/>
    <w:rsid w:val="00335493"/>
    <w:rsid w:val="003359B0"/>
    <w:rsid w:val="00335E25"/>
    <w:rsid w:val="003362BD"/>
    <w:rsid w:val="003363E1"/>
    <w:rsid w:val="003367E1"/>
    <w:rsid w:val="0033693A"/>
    <w:rsid w:val="003374AE"/>
    <w:rsid w:val="00337FCA"/>
    <w:rsid w:val="0034044A"/>
    <w:rsid w:val="00340744"/>
    <w:rsid w:val="00340D9E"/>
    <w:rsid w:val="00341289"/>
    <w:rsid w:val="003412F4"/>
    <w:rsid w:val="0034168E"/>
    <w:rsid w:val="00341FBB"/>
    <w:rsid w:val="0034205A"/>
    <w:rsid w:val="00342105"/>
    <w:rsid w:val="003424A4"/>
    <w:rsid w:val="00342F76"/>
    <w:rsid w:val="0034323F"/>
    <w:rsid w:val="0034486C"/>
    <w:rsid w:val="00344FC2"/>
    <w:rsid w:val="003455EE"/>
    <w:rsid w:val="0034590E"/>
    <w:rsid w:val="00345AC5"/>
    <w:rsid w:val="00345D0E"/>
    <w:rsid w:val="00345D81"/>
    <w:rsid w:val="00346AB4"/>
    <w:rsid w:val="00346CC3"/>
    <w:rsid w:val="00346EDC"/>
    <w:rsid w:val="003470CC"/>
    <w:rsid w:val="003479D9"/>
    <w:rsid w:val="00351AF9"/>
    <w:rsid w:val="0035236E"/>
    <w:rsid w:val="00352ADC"/>
    <w:rsid w:val="00352BE1"/>
    <w:rsid w:val="0035307C"/>
    <w:rsid w:val="00353932"/>
    <w:rsid w:val="003548F9"/>
    <w:rsid w:val="00354C5A"/>
    <w:rsid w:val="003550E4"/>
    <w:rsid w:val="00355282"/>
    <w:rsid w:val="003555B1"/>
    <w:rsid w:val="00355699"/>
    <w:rsid w:val="003556B7"/>
    <w:rsid w:val="003558F0"/>
    <w:rsid w:val="00355A9E"/>
    <w:rsid w:val="00355DCF"/>
    <w:rsid w:val="00355E65"/>
    <w:rsid w:val="00355F1A"/>
    <w:rsid w:val="003568AD"/>
    <w:rsid w:val="00357B0D"/>
    <w:rsid w:val="00357DCA"/>
    <w:rsid w:val="00360524"/>
    <w:rsid w:val="0036055C"/>
    <w:rsid w:val="0036103E"/>
    <w:rsid w:val="0036123A"/>
    <w:rsid w:val="0036137B"/>
    <w:rsid w:val="00361D71"/>
    <w:rsid w:val="0036247D"/>
    <w:rsid w:val="00362E7A"/>
    <w:rsid w:val="0036325F"/>
    <w:rsid w:val="00363A0F"/>
    <w:rsid w:val="00363FE6"/>
    <w:rsid w:val="00364284"/>
    <w:rsid w:val="00365600"/>
    <w:rsid w:val="00365C93"/>
    <w:rsid w:val="00367BF4"/>
    <w:rsid w:val="00367FDA"/>
    <w:rsid w:val="00370649"/>
    <w:rsid w:val="00370D03"/>
    <w:rsid w:val="00370F2D"/>
    <w:rsid w:val="00370F6C"/>
    <w:rsid w:val="003710EF"/>
    <w:rsid w:val="003714A1"/>
    <w:rsid w:val="00371619"/>
    <w:rsid w:val="003718B8"/>
    <w:rsid w:val="003727F5"/>
    <w:rsid w:val="00372885"/>
    <w:rsid w:val="00373356"/>
    <w:rsid w:val="003733FA"/>
    <w:rsid w:val="00373621"/>
    <w:rsid w:val="00373E83"/>
    <w:rsid w:val="003744AC"/>
    <w:rsid w:val="00374633"/>
    <w:rsid w:val="00374711"/>
    <w:rsid w:val="00374C0C"/>
    <w:rsid w:val="00374CFB"/>
    <w:rsid w:val="00374E50"/>
    <w:rsid w:val="00375AED"/>
    <w:rsid w:val="0037618E"/>
    <w:rsid w:val="00376F96"/>
    <w:rsid w:val="003776F5"/>
    <w:rsid w:val="003801C7"/>
    <w:rsid w:val="003803CE"/>
    <w:rsid w:val="00380E5F"/>
    <w:rsid w:val="003813CC"/>
    <w:rsid w:val="00382BA5"/>
    <w:rsid w:val="00382C27"/>
    <w:rsid w:val="00382F9D"/>
    <w:rsid w:val="00383E73"/>
    <w:rsid w:val="00384A3A"/>
    <w:rsid w:val="00385AA7"/>
    <w:rsid w:val="00385E6F"/>
    <w:rsid w:val="00386B38"/>
    <w:rsid w:val="00386CFC"/>
    <w:rsid w:val="003871DE"/>
    <w:rsid w:val="003872F8"/>
    <w:rsid w:val="00387510"/>
    <w:rsid w:val="00387C19"/>
    <w:rsid w:val="00390253"/>
    <w:rsid w:val="00390899"/>
    <w:rsid w:val="00390909"/>
    <w:rsid w:val="0039095B"/>
    <w:rsid w:val="0039148D"/>
    <w:rsid w:val="0039181E"/>
    <w:rsid w:val="00392F31"/>
    <w:rsid w:val="0039372C"/>
    <w:rsid w:val="00393C06"/>
    <w:rsid w:val="0039479A"/>
    <w:rsid w:val="00395B33"/>
    <w:rsid w:val="00396146"/>
    <w:rsid w:val="00396230"/>
    <w:rsid w:val="003962E3"/>
    <w:rsid w:val="003969B2"/>
    <w:rsid w:val="00396A76"/>
    <w:rsid w:val="00396CDF"/>
    <w:rsid w:val="003974CD"/>
    <w:rsid w:val="00397C04"/>
    <w:rsid w:val="003A00B5"/>
    <w:rsid w:val="003A01B7"/>
    <w:rsid w:val="003A0E4A"/>
    <w:rsid w:val="003A125A"/>
    <w:rsid w:val="003A13E8"/>
    <w:rsid w:val="003A1861"/>
    <w:rsid w:val="003A3448"/>
    <w:rsid w:val="003A3AD1"/>
    <w:rsid w:val="003A43C8"/>
    <w:rsid w:val="003A4568"/>
    <w:rsid w:val="003A4776"/>
    <w:rsid w:val="003A49CA"/>
    <w:rsid w:val="003A64F6"/>
    <w:rsid w:val="003A689C"/>
    <w:rsid w:val="003A7455"/>
    <w:rsid w:val="003A76A4"/>
    <w:rsid w:val="003A7AA3"/>
    <w:rsid w:val="003A7BF7"/>
    <w:rsid w:val="003B0831"/>
    <w:rsid w:val="003B0A96"/>
    <w:rsid w:val="003B0DB5"/>
    <w:rsid w:val="003B0E45"/>
    <w:rsid w:val="003B115C"/>
    <w:rsid w:val="003B17AD"/>
    <w:rsid w:val="003B21E5"/>
    <w:rsid w:val="003B228C"/>
    <w:rsid w:val="003B281B"/>
    <w:rsid w:val="003B2A1C"/>
    <w:rsid w:val="003B2FFA"/>
    <w:rsid w:val="003B3613"/>
    <w:rsid w:val="003B369A"/>
    <w:rsid w:val="003B4496"/>
    <w:rsid w:val="003B48F8"/>
    <w:rsid w:val="003B53F5"/>
    <w:rsid w:val="003B64C4"/>
    <w:rsid w:val="003B696D"/>
    <w:rsid w:val="003B69C4"/>
    <w:rsid w:val="003B6EA0"/>
    <w:rsid w:val="003C0967"/>
    <w:rsid w:val="003C138A"/>
    <w:rsid w:val="003C1752"/>
    <w:rsid w:val="003C187D"/>
    <w:rsid w:val="003C1911"/>
    <w:rsid w:val="003C2026"/>
    <w:rsid w:val="003C2134"/>
    <w:rsid w:val="003C2B61"/>
    <w:rsid w:val="003C377D"/>
    <w:rsid w:val="003C41EF"/>
    <w:rsid w:val="003C5131"/>
    <w:rsid w:val="003C563F"/>
    <w:rsid w:val="003C65EF"/>
    <w:rsid w:val="003C65FF"/>
    <w:rsid w:val="003C6CB7"/>
    <w:rsid w:val="003C715E"/>
    <w:rsid w:val="003C77F0"/>
    <w:rsid w:val="003C78FE"/>
    <w:rsid w:val="003D2439"/>
    <w:rsid w:val="003D243C"/>
    <w:rsid w:val="003D2BB5"/>
    <w:rsid w:val="003D2DD4"/>
    <w:rsid w:val="003D3192"/>
    <w:rsid w:val="003D3468"/>
    <w:rsid w:val="003D3837"/>
    <w:rsid w:val="003D3F0D"/>
    <w:rsid w:val="003D40EB"/>
    <w:rsid w:val="003D4893"/>
    <w:rsid w:val="003D4F84"/>
    <w:rsid w:val="003D5110"/>
    <w:rsid w:val="003D53A9"/>
    <w:rsid w:val="003D5E06"/>
    <w:rsid w:val="003D7CDC"/>
    <w:rsid w:val="003E00F5"/>
    <w:rsid w:val="003E0175"/>
    <w:rsid w:val="003E044C"/>
    <w:rsid w:val="003E0552"/>
    <w:rsid w:val="003E094C"/>
    <w:rsid w:val="003E0B1F"/>
    <w:rsid w:val="003E0CFC"/>
    <w:rsid w:val="003E0E34"/>
    <w:rsid w:val="003E1728"/>
    <w:rsid w:val="003E18ED"/>
    <w:rsid w:val="003E2165"/>
    <w:rsid w:val="003E2884"/>
    <w:rsid w:val="003E2ECC"/>
    <w:rsid w:val="003E3270"/>
    <w:rsid w:val="003E36CD"/>
    <w:rsid w:val="003E384E"/>
    <w:rsid w:val="003E45C3"/>
    <w:rsid w:val="003E4962"/>
    <w:rsid w:val="003E4E77"/>
    <w:rsid w:val="003E5DB5"/>
    <w:rsid w:val="003E5DF1"/>
    <w:rsid w:val="003E5F6C"/>
    <w:rsid w:val="003E6B1D"/>
    <w:rsid w:val="003E6F78"/>
    <w:rsid w:val="003E73AD"/>
    <w:rsid w:val="003E75EC"/>
    <w:rsid w:val="003E77CB"/>
    <w:rsid w:val="003E7A21"/>
    <w:rsid w:val="003E7EA0"/>
    <w:rsid w:val="003E7F14"/>
    <w:rsid w:val="003E7F56"/>
    <w:rsid w:val="003F10C2"/>
    <w:rsid w:val="003F131A"/>
    <w:rsid w:val="003F1B06"/>
    <w:rsid w:val="003F1C80"/>
    <w:rsid w:val="003F20E3"/>
    <w:rsid w:val="003F42EA"/>
    <w:rsid w:val="003F43E0"/>
    <w:rsid w:val="003F4851"/>
    <w:rsid w:val="003F4E7E"/>
    <w:rsid w:val="003F505A"/>
    <w:rsid w:val="003F540E"/>
    <w:rsid w:val="003F54EE"/>
    <w:rsid w:val="003F559C"/>
    <w:rsid w:val="003F68FC"/>
    <w:rsid w:val="003F7803"/>
    <w:rsid w:val="003F79AA"/>
    <w:rsid w:val="003F7B98"/>
    <w:rsid w:val="003F7BB7"/>
    <w:rsid w:val="00400D86"/>
    <w:rsid w:val="00400E91"/>
    <w:rsid w:val="004021E0"/>
    <w:rsid w:val="004022C3"/>
    <w:rsid w:val="00402B02"/>
    <w:rsid w:val="00402C89"/>
    <w:rsid w:val="0040326D"/>
    <w:rsid w:val="00403E24"/>
    <w:rsid w:val="0040421F"/>
    <w:rsid w:val="00404545"/>
    <w:rsid w:val="00404B74"/>
    <w:rsid w:val="0040577C"/>
    <w:rsid w:val="00405961"/>
    <w:rsid w:val="00406413"/>
    <w:rsid w:val="00407B4F"/>
    <w:rsid w:val="0041008E"/>
    <w:rsid w:val="004100C7"/>
    <w:rsid w:val="00411482"/>
    <w:rsid w:val="004114D0"/>
    <w:rsid w:val="00411BD4"/>
    <w:rsid w:val="00413435"/>
    <w:rsid w:val="00413616"/>
    <w:rsid w:val="00413970"/>
    <w:rsid w:val="004144C7"/>
    <w:rsid w:val="00414EC0"/>
    <w:rsid w:val="00414FBB"/>
    <w:rsid w:val="0041577D"/>
    <w:rsid w:val="00415F7A"/>
    <w:rsid w:val="00416447"/>
    <w:rsid w:val="004166B8"/>
    <w:rsid w:val="00416ACB"/>
    <w:rsid w:val="00416B74"/>
    <w:rsid w:val="00417662"/>
    <w:rsid w:val="00420365"/>
    <w:rsid w:val="00420986"/>
    <w:rsid w:val="00420F3B"/>
    <w:rsid w:val="00420F50"/>
    <w:rsid w:val="00421063"/>
    <w:rsid w:val="0042113D"/>
    <w:rsid w:val="004216E4"/>
    <w:rsid w:val="004220BD"/>
    <w:rsid w:val="00422399"/>
    <w:rsid w:val="004225DF"/>
    <w:rsid w:val="00422A77"/>
    <w:rsid w:val="00423477"/>
    <w:rsid w:val="00423736"/>
    <w:rsid w:val="00423936"/>
    <w:rsid w:val="00423C19"/>
    <w:rsid w:val="00423EB2"/>
    <w:rsid w:val="00424BD5"/>
    <w:rsid w:val="00425492"/>
    <w:rsid w:val="00425EB0"/>
    <w:rsid w:val="004262A9"/>
    <w:rsid w:val="00426549"/>
    <w:rsid w:val="004268A1"/>
    <w:rsid w:val="00427209"/>
    <w:rsid w:val="004273D1"/>
    <w:rsid w:val="00427A33"/>
    <w:rsid w:val="00427ADB"/>
    <w:rsid w:val="00430915"/>
    <w:rsid w:val="00430C79"/>
    <w:rsid w:val="00430EB8"/>
    <w:rsid w:val="00430F34"/>
    <w:rsid w:val="00431D7F"/>
    <w:rsid w:val="00433449"/>
    <w:rsid w:val="00433646"/>
    <w:rsid w:val="004336C6"/>
    <w:rsid w:val="00433945"/>
    <w:rsid w:val="004341DF"/>
    <w:rsid w:val="0043424F"/>
    <w:rsid w:val="004342AF"/>
    <w:rsid w:val="004346A7"/>
    <w:rsid w:val="00434CFD"/>
    <w:rsid w:val="00435DE4"/>
    <w:rsid w:val="00436736"/>
    <w:rsid w:val="00436A78"/>
    <w:rsid w:val="00436FA1"/>
    <w:rsid w:val="00437668"/>
    <w:rsid w:val="0043779A"/>
    <w:rsid w:val="0043797F"/>
    <w:rsid w:val="004400A7"/>
    <w:rsid w:val="00440396"/>
    <w:rsid w:val="00440419"/>
    <w:rsid w:val="00440E12"/>
    <w:rsid w:val="00440E66"/>
    <w:rsid w:val="00440F46"/>
    <w:rsid w:val="00441093"/>
    <w:rsid w:val="004418DA"/>
    <w:rsid w:val="00441B05"/>
    <w:rsid w:val="00441FEB"/>
    <w:rsid w:val="004420C2"/>
    <w:rsid w:val="0044224D"/>
    <w:rsid w:val="0044280E"/>
    <w:rsid w:val="004429AC"/>
    <w:rsid w:val="00443500"/>
    <w:rsid w:val="00443553"/>
    <w:rsid w:val="00443903"/>
    <w:rsid w:val="004439DF"/>
    <w:rsid w:val="004446FD"/>
    <w:rsid w:val="00444E21"/>
    <w:rsid w:val="0044520A"/>
    <w:rsid w:val="0044577D"/>
    <w:rsid w:val="004459C8"/>
    <w:rsid w:val="00446332"/>
    <w:rsid w:val="00446B5B"/>
    <w:rsid w:val="00447119"/>
    <w:rsid w:val="00447FB3"/>
    <w:rsid w:val="0045038A"/>
    <w:rsid w:val="004504CE"/>
    <w:rsid w:val="004508D7"/>
    <w:rsid w:val="00450A14"/>
    <w:rsid w:val="00450A96"/>
    <w:rsid w:val="00450AB4"/>
    <w:rsid w:val="00450B13"/>
    <w:rsid w:val="00451031"/>
    <w:rsid w:val="0045118B"/>
    <w:rsid w:val="00451887"/>
    <w:rsid w:val="00451BA9"/>
    <w:rsid w:val="00452362"/>
    <w:rsid w:val="00452DC5"/>
    <w:rsid w:val="004530F3"/>
    <w:rsid w:val="0045383B"/>
    <w:rsid w:val="0045392C"/>
    <w:rsid w:val="00453B23"/>
    <w:rsid w:val="00453B56"/>
    <w:rsid w:val="00453B98"/>
    <w:rsid w:val="00453F80"/>
    <w:rsid w:val="00454227"/>
    <w:rsid w:val="00454347"/>
    <w:rsid w:val="004545A9"/>
    <w:rsid w:val="004548D2"/>
    <w:rsid w:val="00454AB8"/>
    <w:rsid w:val="00455913"/>
    <w:rsid w:val="00455FD7"/>
    <w:rsid w:val="00456801"/>
    <w:rsid w:val="0045736F"/>
    <w:rsid w:val="0045771D"/>
    <w:rsid w:val="00457A4D"/>
    <w:rsid w:val="00457B6D"/>
    <w:rsid w:val="004600FC"/>
    <w:rsid w:val="004603B6"/>
    <w:rsid w:val="00460A09"/>
    <w:rsid w:val="00460C3B"/>
    <w:rsid w:val="00461143"/>
    <w:rsid w:val="004615D7"/>
    <w:rsid w:val="004615E9"/>
    <w:rsid w:val="004622D2"/>
    <w:rsid w:val="004629C9"/>
    <w:rsid w:val="00462E05"/>
    <w:rsid w:val="0046489B"/>
    <w:rsid w:val="00464AFF"/>
    <w:rsid w:val="0046533A"/>
    <w:rsid w:val="00465747"/>
    <w:rsid w:val="0046605B"/>
    <w:rsid w:val="004666B8"/>
    <w:rsid w:val="004667BA"/>
    <w:rsid w:val="0046738A"/>
    <w:rsid w:val="0046757B"/>
    <w:rsid w:val="00467D7A"/>
    <w:rsid w:val="00467FBB"/>
    <w:rsid w:val="004707F6"/>
    <w:rsid w:val="00470C33"/>
    <w:rsid w:val="00470DD9"/>
    <w:rsid w:val="00471299"/>
    <w:rsid w:val="004712FB"/>
    <w:rsid w:val="00472A41"/>
    <w:rsid w:val="0047322F"/>
    <w:rsid w:val="00473265"/>
    <w:rsid w:val="00473869"/>
    <w:rsid w:val="004738AE"/>
    <w:rsid w:val="004743F1"/>
    <w:rsid w:val="00475409"/>
    <w:rsid w:val="004759AC"/>
    <w:rsid w:val="00475A22"/>
    <w:rsid w:val="00475BE8"/>
    <w:rsid w:val="00476427"/>
    <w:rsid w:val="00476F19"/>
    <w:rsid w:val="004770B3"/>
    <w:rsid w:val="004770DD"/>
    <w:rsid w:val="00477A21"/>
    <w:rsid w:val="00477DC6"/>
    <w:rsid w:val="0048004F"/>
    <w:rsid w:val="00480436"/>
    <w:rsid w:val="00480A18"/>
    <w:rsid w:val="00480DCD"/>
    <w:rsid w:val="0048133E"/>
    <w:rsid w:val="00481BE0"/>
    <w:rsid w:val="00481D27"/>
    <w:rsid w:val="004820C4"/>
    <w:rsid w:val="00482DFB"/>
    <w:rsid w:val="0048340B"/>
    <w:rsid w:val="004837AF"/>
    <w:rsid w:val="00483A06"/>
    <w:rsid w:val="00483AC5"/>
    <w:rsid w:val="00484490"/>
    <w:rsid w:val="004849CD"/>
    <w:rsid w:val="00484AC0"/>
    <w:rsid w:val="00484CB5"/>
    <w:rsid w:val="0048539B"/>
    <w:rsid w:val="0048563C"/>
    <w:rsid w:val="00485C02"/>
    <w:rsid w:val="00486175"/>
    <w:rsid w:val="004863CD"/>
    <w:rsid w:val="004863D9"/>
    <w:rsid w:val="00486C02"/>
    <w:rsid w:val="004877C6"/>
    <w:rsid w:val="00490323"/>
    <w:rsid w:val="004906B1"/>
    <w:rsid w:val="00490972"/>
    <w:rsid w:val="00490C74"/>
    <w:rsid w:val="004910DC"/>
    <w:rsid w:val="00491799"/>
    <w:rsid w:val="00491B07"/>
    <w:rsid w:val="00491C41"/>
    <w:rsid w:val="004923A6"/>
    <w:rsid w:val="00493FD8"/>
    <w:rsid w:val="00494D61"/>
    <w:rsid w:val="00495088"/>
    <w:rsid w:val="0049531B"/>
    <w:rsid w:val="00495469"/>
    <w:rsid w:val="00495898"/>
    <w:rsid w:val="00497011"/>
    <w:rsid w:val="00497039"/>
    <w:rsid w:val="0049704E"/>
    <w:rsid w:val="0049789B"/>
    <w:rsid w:val="00497B3E"/>
    <w:rsid w:val="004A0051"/>
    <w:rsid w:val="004A02D4"/>
    <w:rsid w:val="004A0616"/>
    <w:rsid w:val="004A10B3"/>
    <w:rsid w:val="004A1904"/>
    <w:rsid w:val="004A1AD5"/>
    <w:rsid w:val="004A1BDA"/>
    <w:rsid w:val="004A1C15"/>
    <w:rsid w:val="004A1CF1"/>
    <w:rsid w:val="004A27AB"/>
    <w:rsid w:val="004A50DA"/>
    <w:rsid w:val="004A6D00"/>
    <w:rsid w:val="004A6EE1"/>
    <w:rsid w:val="004A74D0"/>
    <w:rsid w:val="004A75C3"/>
    <w:rsid w:val="004A798B"/>
    <w:rsid w:val="004B066D"/>
    <w:rsid w:val="004B1592"/>
    <w:rsid w:val="004B1A16"/>
    <w:rsid w:val="004B2806"/>
    <w:rsid w:val="004B28AE"/>
    <w:rsid w:val="004B2A8C"/>
    <w:rsid w:val="004B309A"/>
    <w:rsid w:val="004B3A51"/>
    <w:rsid w:val="004B3C39"/>
    <w:rsid w:val="004B3FDD"/>
    <w:rsid w:val="004B40E0"/>
    <w:rsid w:val="004B48DF"/>
    <w:rsid w:val="004B51B5"/>
    <w:rsid w:val="004B5560"/>
    <w:rsid w:val="004B5D78"/>
    <w:rsid w:val="004B697C"/>
    <w:rsid w:val="004B72FE"/>
    <w:rsid w:val="004B7372"/>
    <w:rsid w:val="004B7CAA"/>
    <w:rsid w:val="004B7F7B"/>
    <w:rsid w:val="004C1515"/>
    <w:rsid w:val="004C1587"/>
    <w:rsid w:val="004C1816"/>
    <w:rsid w:val="004C2F03"/>
    <w:rsid w:val="004C3A65"/>
    <w:rsid w:val="004C4BBF"/>
    <w:rsid w:val="004C4CEC"/>
    <w:rsid w:val="004C4D06"/>
    <w:rsid w:val="004C4D25"/>
    <w:rsid w:val="004C53A7"/>
    <w:rsid w:val="004C58EC"/>
    <w:rsid w:val="004C60AF"/>
    <w:rsid w:val="004C67E1"/>
    <w:rsid w:val="004C70F5"/>
    <w:rsid w:val="004D0295"/>
    <w:rsid w:val="004D05CA"/>
    <w:rsid w:val="004D0E34"/>
    <w:rsid w:val="004D1EF3"/>
    <w:rsid w:val="004D1FDD"/>
    <w:rsid w:val="004D23C6"/>
    <w:rsid w:val="004D259E"/>
    <w:rsid w:val="004D27CF"/>
    <w:rsid w:val="004D2C3F"/>
    <w:rsid w:val="004D3403"/>
    <w:rsid w:val="004D54CF"/>
    <w:rsid w:val="004D5C41"/>
    <w:rsid w:val="004D61C5"/>
    <w:rsid w:val="004D639D"/>
    <w:rsid w:val="004D6B78"/>
    <w:rsid w:val="004D755C"/>
    <w:rsid w:val="004D7A5C"/>
    <w:rsid w:val="004E1489"/>
    <w:rsid w:val="004E15FA"/>
    <w:rsid w:val="004E17E7"/>
    <w:rsid w:val="004E2005"/>
    <w:rsid w:val="004E25B2"/>
    <w:rsid w:val="004E28C9"/>
    <w:rsid w:val="004E2BED"/>
    <w:rsid w:val="004E2D30"/>
    <w:rsid w:val="004E30FE"/>
    <w:rsid w:val="004E45D3"/>
    <w:rsid w:val="004E49A9"/>
    <w:rsid w:val="004E4DCF"/>
    <w:rsid w:val="004E4EB8"/>
    <w:rsid w:val="004E5388"/>
    <w:rsid w:val="004E553A"/>
    <w:rsid w:val="004E581A"/>
    <w:rsid w:val="004E584E"/>
    <w:rsid w:val="004E5DB7"/>
    <w:rsid w:val="004E6337"/>
    <w:rsid w:val="004E6519"/>
    <w:rsid w:val="004E658B"/>
    <w:rsid w:val="004E73FB"/>
    <w:rsid w:val="004E7BDD"/>
    <w:rsid w:val="004F03D4"/>
    <w:rsid w:val="004F1090"/>
    <w:rsid w:val="004F1219"/>
    <w:rsid w:val="004F1744"/>
    <w:rsid w:val="004F33E4"/>
    <w:rsid w:val="004F3582"/>
    <w:rsid w:val="004F3ABC"/>
    <w:rsid w:val="004F3E02"/>
    <w:rsid w:val="004F4744"/>
    <w:rsid w:val="004F49D9"/>
    <w:rsid w:val="004F568D"/>
    <w:rsid w:val="004F5890"/>
    <w:rsid w:val="004F5A9A"/>
    <w:rsid w:val="004F5F6E"/>
    <w:rsid w:val="004F616D"/>
    <w:rsid w:val="004F6A7D"/>
    <w:rsid w:val="004F6B4E"/>
    <w:rsid w:val="004F7456"/>
    <w:rsid w:val="004F7B50"/>
    <w:rsid w:val="004F7CA0"/>
    <w:rsid w:val="00500679"/>
    <w:rsid w:val="00501F32"/>
    <w:rsid w:val="0050226F"/>
    <w:rsid w:val="0050250D"/>
    <w:rsid w:val="00502550"/>
    <w:rsid w:val="005029B6"/>
    <w:rsid w:val="00502B43"/>
    <w:rsid w:val="00503724"/>
    <w:rsid w:val="00503FBA"/>
    <w:rsid w:val="005043CC"/>
    <w:rsid w:val="00504F5F"/>
    <w:rsid w:val="005052CF"/>
    <w:rsid w:val="0050538C"/>
    <w:rsid w:val="00505A5A"/>
    <w:rsid w:val="00506C9F"/>
    <w:rsid w:val="00506EA7"/>
    <w:rsid w:val="00506FB4"/>
    <w:rsid w:val="0050731F"/>
    <w:rsid w:val="005073FD"/>
    <w:rsid w:val="005077EB"/>
    <w:rsid w:val="00510186"/>
    <w:rsid w:val="005101DF"/>
    <w:rsid w:val="005107ED"/>
    <w:rsid w:val="0051178D"/>
    <w:rsid w:val="00511D4C"/>
    <w:rsid w:val="00512AE3"/>
    <w:rsid w:val="00513C2F"/>
    <w:rsid w:val="00513F0A"/>
    <w:rsid w:val="00514B7D"/>
    <w:rsid w:val="00514DC1"/>
    <w:rsid w:val="0051534F"/>
    <w:rsid w:val="0051679B"/>
    <w:rsid w:val="00520407"/>
    <w:rsid w:val="00520596"/>
    <w:rsid w:val="00520FD5"/>
    <w:rsid w:val="005213A4"/>
    <w:rsid w:val="0052163B"/>
    <w:rsid w:val="0052177D"/>
    <w:rsid w:val="00521AA3"/>
    <w:rsid w:val="00523A98"/>
    <w:rsid w:val="0052428E"/>
    <w:rsid w:val="00524B23"/>
    <w:rsid w:val="00524FD7"/>
    <w:rsid w:val="0052527B"/>
    <w:rsid w:val="005252ED"/>
    <w:rsid w:val="00525762"/>
    <w:rsid w:val="005262B8"/>
    <w:rsid w:val="00526509"/>
    <w:rsid w:val="005269F2"/>
    <w:rsid w:val="00526BD2"/>
    <w:rsid w:val="005279DE"/>
    <w:rsid w:val="00527B93"/>
    <w:rsid w:val="0053055C"/>
    <w:rsid w:val="005306BE"/>
    <w:rsid w:val="00530B47"/>
    <w:rsid w:val="0053123D"/>
    <w:rsid w:val="00531AAE"/>
    <w:rsid w:val="00531AF5"/>
    <w:rsid w:val="00532309"/>
    <w:rsid w:val="00532383"/>
    <w:rsid w:val="005324E9"/>
    <w:rsid w:val="00532FE3"/>
    <w:rsid w:val="005332D0"/>
    <w:rsid w:val="00533FD8"/>
    <w:rsid w:val="005347ED"/>
    <w:rsid w:val="00534B7D"/>
    <w:rsid w:val="00535BFA"/>
    <w:rsid w:val="00535CA3"/>
    <w:rsid w:val="005368D4"/>
    <w:rsid w:val="00536D6C"/>
    <w:rsid w:val="00536E4E"/>
    <w:rsid w:val="00537D1E"/>
    <w:rsid w:val="00537F63"/>
    <w:rsid w:val="0054069C"/>
    <w:rsid w:val="00541101"/>
    <w:rsid w:val="00541B44"/>
    <w:rsid w:val="00541CA4"/>
    <w:rsid w:val="00543C39"/>
    <w:rsid w:val="00543D10"/>
    <w:rsid w:val="00544EDA"/>
    <w:rsid w:val="00545141"/>
    <w:rsid w:val="00545E5F"/>
    <w:rsid w:val="0054679B"/>
    <w:rsid w:val="00546C12"/>
    <w:rsid w:val="00546D7B"/>
    <w:rsid w:val="00547DC8"/>
    <w:rsid w:val="00550877"/>
    <w:rsid w:val="00550CC1"/>
    <w:rsid w:val="005515C3"/>
    <w:rsid w:val="005528C1"/>
    <w:rsid w:val="00552B63"/>
    <w:rsid w:val="00552BE2"/>
    <w:rsid w:val="00554D4B"/>
    <w:rsid w:val="00554E71"/>
    <w:rsid w:val="00555092"/>
    <w:rsid w:val="005552E2"/>
    <w:rsid w:val="00555C70"/>
    <w:rsid w:val="00555F4A"/>
    <w:rsid w:val="005564EE"/>
    <w:rsid w:val="00557526"/>
    <w:rsid w:val="00557AFA"/>
    <w:rsid w:val="00557C45"/>
    <w:rsid w:val="005611C0"/>
    <w:rsid w:val="005611DC"/>
    <w:rsid w:val="0056154D"/>
    <w:rsid w:val="00561BCE"/>
    <w:rsid w:val="0056248E"/>
    <w:rsid w:val="005631FE"/>
    <w:rsid w:val="00563FA9"/>
    <w:rsid w:val="00564121"/>
    <w:rsid w:val="00564380"/>
    <w:rsid w:val="00564627"/>
    <w:rsid w:val="005653D7"/>
    <w:rsid w:val="005659AF"/>
    <w:rsid w:val="00565B8D"/>
    <w:rsid w:val="00565BBE"/>
    <w:rsid w:val="00567587"/>
    <w:rsid w:val="00567A30"/>
    <w:rsid w:val="005702C6"/>
    <w:rsid w:val="00570704"/>
    <w:rsid w:val="00570C07"/>
    <w:rsid w:val="00571420"/>
    <w:rsid w:val="0057201A"/>
    <w:rsid w:val="00572377"/>
    <w:rsid w:val="00572BF1"/>
    <w:rsid w:val="00572C9F"/>
    <w:rsid w:val="00572EB3"/>
    <w:rsid w:val="00573525"/>
    <w:rsid w:val="005739DC"/>
    <w:rsid w:val="00574511"/>
    <w:rsid w:val="005745C7"/>
    <w:rsid w:val="005749AE"/>
    <w:rsid w:val="00574F23"/>
    <w:rsid w:val="00575546"/>
    <w:rsid w:val="005755E6"/>
    <w:rsid w:val="005768C9"/>
    <w:rsid w:val="00576AC0"/>
    <w:rsid w:val="00577CB7"/>
    <w:rsid w:val="005805E7"/>
    <w:rsid w:val="00580A0E"/>
    <w:rsid w:val="00580BDF"/>
    <w:rsid w:val="00580BEC"/>
    <w:rsid w:val="005819E9"/>
    <w:rsid w:val="005820FB"/>
    <w:rsid w:val="00582B04"/>
    <w:rsid w:val="00582B9D"/>
    <w:rsid w:val="00582C92"/>
    <w:rsid w:val="00582FA4"/>
    <w:rsid w:val="005844C5"/>
    <w:rsid w:val="00584517"/>
    <w:rsid w:val="005860DC"/>
    <w:rsid w:val="0058660E"/>
    <w:rsid w:val="00586B6E"/>
    <w:rsid w:val="0058747F"/>
    <w:rsid w:val="0058782B"/>
    <w:rsid w:val="00590359"/>
    <w:rsid w:val="00590378"/>
    <w:rsid w:val="005903CD"/>
    <w:rsid w:val="005908BF"/>
    <w:rsid w:val="00592477"/>
    <w:rsid w:val="00592616"/>
    <w:rsid w:val="00592E80"/>
    <w:rsid w:val="0059472E"/>
    <w:rsid w:val="005948E5"/>
    <w:rsid w:val="00594F22"/>
    <w:rsid w:val="00595BC7"/>
    <w:rsid w:val="00595FD4"/>
    <w:rsid w:val="0059610A"/>
    <w:rsid w:val="005968BE"/>
    <w:rsid w:val="005977B8"/>
    <w:rsid w:val="005A02C1"/>
    <w:rsid w:val="005A0EEE"/>
    <w:rsid w:val="005A1156"/>
    <w:rsid w:val="005A117D"/>
    <w:rsid w:val="005A13F6"/>
    <w:rsid w:val="005A1684"/>
    <w:rsid w:val="005A2709"/>
    <w:rsid w:val="005A29CA"/>
    <w:rsid w:val="005A2AE9"/>
    <w:rsid w:val="005A33C6"/>
    <w:rsid w:val="005A3402"/>
    <w:rsid w:val="005A377C"/>
    <w:rsid w:val="005A3C41"/>
    <w:rsid w:val="005A3D12"/>
    <w:rsid w:val="005A3EAB"/>
    <w:rsid w:val="005A42FB"/>
    <w:rsid w:val="005A43BC"/>
    <w:rsid w:val="005A459D"/>
    <w:rsid w:val="005A4CBC"/>
    <w:rsid w:val="005A5269"/>
    <w:rsid w:val="005A5786"/>
    <w:rsid w:val="005A5CF3"/>
    <w:rsid w:val="005A687C"/>
    <w:rsid w:val="005A69E5"/>
    <w:rsid w:val="005A6A20"/>
    <w:rsid w:val="005A6D68"/>
    <w:rsid w:val="005A78BC"/>
    <w:rsid w:val="005B06FE"/>
    <w:rsid w:val="005B0A1C"/>
    <w:rsid w:val="005B143D"/>
    <w:rsid w:val="005B1BC5"/>
    <w:rsid w:val="005B1E02"/>
    <w:rsid w:val="005B242F"/>
    <w:rsid w:val="005B27D0"/>
    <w:rsid w:val="005B29A0"/>
    <w:rsid w:val="005B335C"/>
    <w:rsid w:val="005B3416"/>
    <w:rsid w:val="005B3EE0"/>
    <w:rsid w:val="005B45E7"/>
    <w:rsid w:val="005B4777"/>
    <w:rsid w:val="005B4FF5"/>
    <w:rsid w:val="005B544C"/>
    <w:rsid w:val="005B549D"/>
    <w:rsid w:val="005B570F"/>
    <w:rsid w:val="005B6400"/>
    <w:rsid w:val="005B6485"/>
    <w:rsid w:val="005B6D20"/>
    <w:rsid w:val="005B7717"/>
    <w:rsid w:val="005B7C41"/>
    <w:rsid w:val="005C04A4"/>
    <w:rsid w:val="005C1537"/>
    <w:rsid w:val="005C15DA"/>
    <w:rsid w:val="005C1D98"/>
    <w:rsid w:val="005C1F08"/>
    <w:rsid w:val="005C20C9"/>
    <w:rsid w:val="005C2BC6"/>
    <w:rsid w:val="005C2CF0"/>
    <w:rsid w:val="005C3081"/>
    <w:rsid w:val="005C31AD"/>
    <w:rsid w:val="005C352E"/>
    <w:rsid w:val="005C3752"/>
    <w:rsid w:val="005C375C"/>
    <w:rsid w:val="005C466F"/>
    <w:rsid w:val="005C4DB2"/>
    <w:rsid w:val="005C50A1"/>
    <w:rsid w:val="005C6905"/>
    <w:rsid w:val="005C6996"/>
    <w:rsid w:val="005C6CA7"/>
    <w:rsid w:val="005C746E"/>
    <w:rsid w:val="005C793F"/>
    <w:rsid w:val="005C7D71"/>
    <w:rsid w:val="005C7EC8"/>
    <w:rsid w:val="005D0091"/>
    <w:rsid w:val="005D010C"/>
    <w:rsid w:val="005D0296"/>
    <w:rsid w:val="005D077B"/>
    <w:rsid w:val="005D07D2"/>
    <w:rsid w:val="005D085F"/>
    <w:rsid w:val="005D09FD"/>
    <w:rsid w:val="005D0A88"/>
    <w:rsid w:val="005D0A96"/>
    <w:rsid w:val="005D1A70"/>
    <w:rsid w:val="005D1AD3"/>
    <w:rsid w:val="005D1CE8"/>
    <w:rsid w:val="005D1D9A"/>
    <w:rsid w:val="005D1E13"/>
    <w:rsid w:val="005D2684"/>
    <w:rsid w:val="005D2943"/>
    <w:rsid w:val="005D2CC9"/>
    <w:rsid w:val="005D39D0"/>
    <w:rsid w:val="005D3A4E"/>
    <w:rsid w:val="005D3C53"/>
    <w:rsid w:val="005D42BC"/>
    <w:rsid w:val="005D4ADF"/>
    <w:rsid w:val="005D4D8E"/>
    <w:rsid w:val="005D4DD9"/>
    <w:rsid w:val="005D52D8"/>
    <w:rsid w:val="005D5837"/>
    <w:rsid w:val="005D65BC"/>
    <w:rsid w:val="005D677D"/>
    <w:rsid w:val="005D68CF"/>
    <w:rsid w:val="005D71B5"/>
    <w:rsid w:val="005D7318"/>
    <w:rsid w:val="005D7CAF"/>
    <w:rsid w:val="005D7F2E"/>
    <w:rsid w:val="005E01AE"/>
    <w:rsid w:val="005E0894"/>
    <w:rsid w:val="005E122B"/>
    <w:rsid w:val="005E2072"/>
    <w:rsid w:val="005E20E6"/>
    <w:rsid w:val="005E2D6E"/>
    <w:rsid w:val="005E320D"/>
    <w:rsid w:val="005E322E"/>
    <w:rsid w:val="005E3613"/>
    <w:rsid w:val="005E3943"/>
    <w:rsid w:val="005E3D3F"/>
    <w:rsid w:val="005E43A5"/>
    <w:rsid w:val="005E5BC0"/>
    <w:rsid w:val="005E6352"/>
    <w:rsid w:val="005E6D0C"/>
    <w:rsid w:val="005E6D6C"/>
    <w:rsid w:val="005E6E94"/>
    <w:rsid w:val="005E72AE"/>
    <w:rsid w:val="005F029D"/>
    <w:rsid w:val="005F10B3"/>
    <w:rsid w:val="005F2729"/>
    <w:rsid w:val="005F2B4B"/>
    <w:rsid w:val="005F3BB5"/>
    <w:rsid w:val="005F42B7"/>
    <w:rsid w:val="005F51B4"/>
    <w:rsid w:val="005F5309"/>
    <w:rsid w:val="005F5525"/>
    <w:rsid w:val="005F59DF"/>
    <w:rsid w:val="005F5C4E"/>
    <w:rsid w:val="005F5E0E"/>
    <w:rsid w:val="005F631C"/>
    <w:rsid w:val="005F6507"/>
    <w:rsid w:val="005F7A43"/>
    <w:rsid w:val="005F7D15"/>
    <w:rsid w:val="005F7E26"/>
    <w:rsid w:val="00600225"/>
    <w:rsid w:val="00600CED"/>
    <w:rsid w:val="00600EEE"/>
    <w:rsid w:val="00601A38"/>
    <w:rsid w:val="00601AF2"/>
    <w:rsid w:val="00601D38"/>
    <w:rsid w:val="00601DF4"/>
    <w:rsid w:val="00602096"/>
    <w:rsid w:val="00602CA3"/>
    <w:rsid w:val="00603D82"/>
    <w:rsid w:val="00605928"/>
    <w:rsid w:val="006066CA"/>
    <w:rsid w:val="006075A1"/>
    <w:rsid w:val="00607F94"/>
    <w:rsid w:val="00607FB2"/>
    <w:rsid w:val="00611341"/>
    <w:rsid w:val="00611986"/>
    <w:rsid w:val="00611BB5"/>
    <w:rsid w:val="00611F39"/>
    <w:rsid w:val="006123DA"/>
    <w:rsid w:val="00613197"/>
    <w:rsid w:val="006135BF"/>
    <w:rsid w:val="00614808"/>
    <w:rsid w:val="00615172"/>
    <w:rsid w:val="006155EF"/>
    <w:rsid w:val="00616C35"/>
    <w:rsid w:val="00616F4B"/>
    <w:rsid w:val="00617103"/>
    <w:rsid w:val="00617268"/>
    <w:rsid w:val="0061729F"/>
    <w:rsid w:val="0061788E"/>
    <w:rsid w:val="0062009F"/>
    <w:rsid w:val="0062031C"/>
    <w:rsid w:val="006208BB"/>
    <w:rsid w:val="00620988"/>
    <w:rsid w:val="00620FB4"/>
    <w:rsid w:val="0062178B"/>
    <w:rsid w:val="00621A0A"/>
    <w:rsid w:val="00622107"/>
    <w:rsid w:val="006222A6"/>
    <w:rsid w:val="00622487"/>
    <w:rsid w:val="00622F0B"/>
    <w:rsid w:val="00625842"/>
    <w:rsid w:val="0062612C"/>
    <w:rsid w:val="006265D4"/>
    <w:rsid w:val="00626604"/>
    <w:rsid w:val="00626932"/>
    <w:rsid w:val="00626FCA"/>
    <w:rsid w:val="00630A6E"/>
    <w:rsid w:val="0063224D"/>
    <w:rsid w:val="00632362"/>
    <w:rsid w:val="00633693"/>
    <w:rsid w:val="00633DF4"/>
    <w:rsid w:val="00633E2C"/>
    <w:rsid w:val="006348A7"/>
    <w:rsid w:val="00634A49"/>
    <w:rsid w:val="00634AC1"/>
    <w:rsid w:val="00634AE3"/>
    <w:rsid w:val="00634BED"/>
    <w:rsid w:val="00634BF2"/>
    <w:rsid w:val="00634D20"/>
    <w:rsid w:val="00634D4A"/>
    <w:rsid w:val="00634E04"/>
    <w:rsid w:val="00634F44"/>
    <w:rsid w:val="00634FA6"/>
    <w:rsid w:val="00635C20"/>
    <w:rsid w:val="00636AB9"/>
    <w:rsid w:val="006375E8"/>
    <w:rsid w:val="0063776D"/>
    <w:rsid w:val="0064061B"/>
    <w:rsid w:val="006413F4"/>
    <w:rsid w:val="00641F1B"/>
    <w:rsid w:val="00643446"/>
    <w:rsid w:val="0064349D"/>
    <w:rsid w:val="0064380D"/>
    <w:rsid w:val="006439A4"/>
    <w:rsid w:val="00643B86"/>
    <w:rsid w:val="00643D8F"/>
    <w:rsid w:val="00643F7A"/>
    <w:rsid w:val="006443E7"/>
    <w:rsid w:val="00644434"/>
    <w:rsid w:val="006446CD"/>
    <w:rsid w:val="00644B43"/>
    <w:rsid w:val="006450B5"/>
    <w:rsid w:val="0064576E"/>
    <w:rsid w:val="006457AB"/>
    <w:rsid w:val="00646DBB"/>
    <w:rsid w:val="00647231"/>
    <w:rsid w:val="00647655"/>
    <w:rsid w:val="0064783E"/>
    <w:rsid w:val="006478EE"/>
    <w:rsid w:val="00650020"/>
    <w:rsid w:val="0065003F"/>
    <w:rsid w:val="00651005"/>
    <w:rsid w:val="00651073"/>
    <w:rsid w:val="00651079"/>
    <w:rsid w:val="0065130D"/>
    <w:rsid w:val="00651D73"/>
    <w:rsid w:val="00651EFC"/>
    <w:rsid w:val="006521B1"/>
    <w:rsid w:val="0065281E"/>
    <w:rsid w:val="00652A31"/>
    <w:rsid w:val="00652E69"/>
    <w:rsid w:val="006532D4"/>
    <w:rsid w:val="006535EB"/>
    <w:rsid w:val="00653D5C"/>
    <w:rsid w:val="0065561C"/>
    <w:rsid w:val="006561E7"/>
    <w:rsid w:val="00656C34"/>
    <w:rsid w:val="00657501"/>
    <w:rsid w:val="0065798C"/>
    <w:rsid w:val="00660459"/>
    <w:rsid w:val="0066079B"/>
    <w:rsid w:val="00660F86"/>
    <w:rsid w:val="006610E4"/>
    <w:rsid w:val="006618DC"/>
    <w:rsid w:val="00662327"/>
    <w:rsid w:val="00662D2A"/>
    <w:rsid w:val="00663080"/>
    <w:rsid w:val="0066392C"/>
    <w:rsid w:val="00663964"/>
    <w:rsid w:val="00663E89"/>
    <w:rsid w:val="00663F10"/>
    <w:rsid w:val="00664AAD"/>
    <w:rsid w:val="00664EE5"/>
    <w:rsid w:val="00665084"/>
    <w:rsid w:val="00665383"/>
    <w:rsid w:val="006655DF"/>
    <w:rsid w:val="006659EE"/>
    <w:rsid w:val="00666029"/>
    <w:rsid w:val="006660D1"/>
    <w:rsid w:val="00666B15"/>
    <w:rsid w:val="00667551"/>
    <w:rsid w:val="006678F4"/>
    <w:rsid w:val="00670C2B"/>
    <w:rsid w:val="00670E27"/>
    <w:rsid w:val="0067180A"/>
    <w:rsid w:val="00671C8F"/>
    <w:rsid w:val="00671D2C"/>
    <w:rsid w:val="00673A9A"/>
    <w:rsid w:val="00673B67"/>
    <w:rsid w:val="006740B9"/>
    <w:rsid w:val="006747CD"/>
    <w:rsid w:val="006749DE"/>
    <w:rsid w:val="00674BE7"/>
    <w:rsid w:val="00674DD7"/>
    <w:rsid w:val="00674EE4"/>
    <w:rsid w:val="00674F0B"/>
    <w:rsid w:val="00674FA3"/>
    <w:rsid w:val="0067527B"/>
    <w:rsid w:val="00675926"/>
    <w:rsid w:val="006773D0"/>
    <w:rsid w:val="00677697"/>
    <w:rsid w:val="006777BA"/>
    <w:rsid w:val="00677941"/>
    <w:rsid w:val="0067795A"/>
    <w:rsid w:val="00677EAE"/>
    <w:rsid w:val="006800DB"/>
    <w:rsid w:val="006805F0"/>
    <w:rsid w:val="0068083A"/>
    <w:rsid w:val="00680AC6"/>
    <w:rsid w:val="00681406"/>
    <w:rsid w:val="00681716"/>
    <w:rsid w:val="00681772"/>
    <w:rsid w:val="006819B9"/>
    <w:rsid w:val="006819F4"/>
    <w:rsid w:val="00681DB1"/>
    <w:rsid w:val="00681EA5"/>
    <w:rsid w:val="00682069"/>
    <w:rsid w:val="0068230C"/>
    <w:rsid w:val="00682440"/>
    <w:rsid w:val="006829DB"/>
    <w:rsid w:val="00682F07"/>
    <w:rsid w:val="00683011"/>
    <w:rsid w:val="00683251"/>
    <w:rsid w:val="006834FC"/>
    <w:rsid w:val="00683740"/>
    <w:rsid w:val="0068387B"/>
    <w:rsid w:val="0068419F"/>
    <w:rsid w:val="00684B14"/>
    <w:rsid w:val="00684FA7"/>
    <w:rsid w:val="006852AD"/>
    <w:rsid w:val="0068537F"/>
    <w:rsid w:val="00687AD1"/>
    <w:rsid w:val="00687D7F"/>
    <w:rsid w:val="00690070"/>
    <w:rsid w:val="0069075D"/>
    <w:rsid w:val="00690CBF"/>
    <w:rsid w:val="00691A34"/>
    <w:rsid w:val="00691C88"/>
    <w:rsid w:val="0069241D"/>
    <w:rsid w:val="0069248D"/>
    <w:rsid w:val="006924FA"/>
    <w:rsid w:val="00692849"/>
    <w:rsid w:val="006932E9"/>
    <w:rsid w:val="00693B74"/>
    <w:rsid w:val="00694CF9"/>
    <w:rsid w:val="00694E59"/>
    <w:rsid w:val="0069548E"/>
    <w:rsid w:val="006958F4"/>
    <w:rsid w:val="0069673F"/>
    <w:rsid w:val="006975D3"/>
    <w:rsid w:val="006975E8"/>
    <w:rsid w:val="00697949"/>
    <w:rsid w:val="00697B5F"/>
    <w:rsid w:val="00697EE4"/>
    <w:rsid w:val="00697FEF"/>
    <w:rsid w:val="006A08A0"/>
    <w:rsid w:val="006A0AD5"/>
    <w:rsid w:val="006A0AFC"/>
    <w:rsid w:val="006A155B"/>
    <w:rsid w:val="006A16F8"/>
    <w:rsid w:val="006A1734"/>
    <w:rsid w:val="006A17CA"/>
    <w:rsid w:val="006A1AE5"/>
    <w:rsid w:val="006A1BDC"/>
    <w:rsid w:val="006A2317"/>
    <w:rsid w:val="006A25F6"/>
    <w:rsid w:val="006A3162"/>
    <w:rsid w:val="006A36D4"/>
    <w:rsid w:val="006A3C5E"/>
    <w:rsid w:val="006A4620"/>
    <w:rsid w:val="006A5533"/>
    <w:rsid w:val="006A557E"/>
    <w:rsid w:val="006A5AC9"/>
    <w:rsid w:val="006A5D8A"/>
    <w:rsid w:val="006A5DF0"/>
    <w:rsid w:val="006A5FC2"/>
    <w:rsid w:val="006A6A7C"/>
    <w:rsid w:val="006A6CDA"/>
    <w:rsid w:val="006A7418"/>
    <w:rsid w:val="006A787E"/>
    <w:rsid w:val="006A7910"/>
    <w:rsid w:val="006B0319"/>
    <w:rsid w:val="006B0473"/>
    <w:rsid w:val="006B0492"/>
    <w:rsid w:val="006B07E6"/>
    <w:rsid w:val="006B0A38"/>
    <w:rsid w:val="006B0ADB"/>
    <w:rsid w:val="006B0C41"/>
    <w:rsid w:val="006B0D87"/>
    <w:rsid w:val="006B17C0"/>
    <w:rsid w:val="006B2BB7"/>
    <w:rsid w:val="006B2E40"/>
    <w:rsid w:val="006B309E"/>
    <w:rsid w:val="006B35DE"/>
    <w:rsid w:val="006B3C25"/>
    <w:rsid w:val="006B4287"/>
    <w:rsid w:val="006B5263"/>
    <w:rsid w:val="006B5CB3"/>
    <w:rsid w:val="006B6278"/>
    <w:rsid w:val="006B6494"/>
    <w:rsid w:val="006B6B48"/>
    <w:rsid w:val="006B6C3C"/>
    <w:rsid w:val="006B747C"/>
    <w:rsid w:val="006B7A7E"/>
    <w:rsid w:val="006B7BAC"/>
    <w:rsid w:val="006C0681"/>
    <w:rsid w:val="006C0C23"/>
    <w:rsid w:val="006C0C28"/>
    <w:rsid w:val="006C1519"/>
    <w:rsid w:val="006C1CBA"/>
    <w:rsid w:val="006C1F82"/>
    <w:rsid w:val="006C24BC"/>
    <w:rsid w:val="006C3749"/>
    <w:rsid w:val="006C3C3F"/>
    <w:rsid w:val="006C4058"/>
    <w:rsid w:val="006C42AF"/>
    <w:rsid w:val="006C4A91"/>
    <w:rsid w:val="006C4EA0"/>
    <w:rsid w:val="006C4EF7"/>
    <w:rsid w:val="006C531D"/>
    <w:rsid w:val="006C5336"/>
    <w:rsid w:val="006C583B"/>
    <w:rsid w:val="006C5904"/>
    <w:rsid w:val="006D0B63"/>
    <w:rsid w:val="006D0D20"/>
    <w:rsid w:val="006D1C2C"/>
    <w:rsid w:val="006D29C2"/>
    <w:rsid w:val="006D2C16"/>
    <w:rsid w:val="006D3406"/>
    <w:rsid w:val="006D3638"/>
    <w:rsid w:val="006D39B2"/>
    <w:rsid w:val="006D3A91"/>
    <w:rsid w:val="006D4658"/>
    <w:rsid w:val="006D46AC"/>
    <w:rsid w:val="006D49DA"/>
    <w:rsid w:val="006D5274"/>
    <w:rsid w:val="006D55F6"/>
    <w:rsid w:val="006D5B03"/>
    <w:rsid w:val="006D64A7"/>
    <w:rsid w:val="006D64C7"/>
    <w:rsid w:val="006D67E2"/>
    <w:rsid w:val="006D6996"/>
    <w:rsid w:val="006D69B1"/>
    <w:rsid w:val="006D6F2A"/>
    <w:rsid w:val="006D73AB"/>
    <w:rsid w:val="006D75E6"/>
    <w:rsid w:val="006D75F7"/>
    <w:rsid w:val="006D7BE7"/>
    <w:rsid w:val="006E06F4"/>
    <w:rsid w:val="006E0D88"/>
    <w:rsid w:val="006E0DC7"/>
    <w:rsid w:val="006E13FF"/>
    <w:rsid w:val="006E1822"/>
    <w:rsid w:val="006E18BE"/>
    <w:rsid w:val="006E1B55"/>
    <w:rsid w:val="006E1C7D"/>
    <w:rsid w:val="006E1DD1"/>
    <w:rsid w:val="006E21E4"/>
    <w:rsid w:val="006E3879"/>
    <w:rsid w:val="006E42BF"/>
    <w:rsid w:val="006E4906"/>
    <w:rsid w:val="006E4B54"/>
    <w:rsid w:val="006E5DDF"/>
    <w:rsid w:val="006E5EA1"/>
    <w:rsid w:val="006E5F18"/>
    <w:rsid w:val="006E6319"/>
    <w:rsid w:val="006E679C"/>
    <w:rsid w:val="006E6E29"/>
    <w:rsid w:val="006E7280"/>
    <w:rsid w:val="006E73C3"/>
    <w:rsid w:val="006E73CC"/>
    <w:rsid w:val="006E7972"/>
    <w:rsid w:val="006E79E1"/>
    <w:rsid w:val="006E7AD0"/>
    <w:rsid w:val="006F05EF"/>
    <w:rsid w:val="006F0610"/>
    <w:rsid w:val="006F0DC7"/>
    <w:rsid w:val="006F1E25"/>
    <w:rsid w:val="006F1F7D"/>
    <w:rsid w:val="006F2A06"/>
    <w:rsid w:val="006F2B1A"/>
    <w:rsid w:val="006F2EDB"/>
    <w:rsid w:val="006F3355"/>
    <w:rsid w:val="006F3533"/>
    <w:rsid w:val="006F35D9"/>
    <w:rsid w:val="006F36BA"/>
    <w:rsid w:val="006F42ED"/>
    <w:rsid w:val="006F495D"/>
    <w:rsid w:val="006F49CD"/>
    <w:rsid w:val="006F5C9D"/>
    <w:rsid w:val="006F6405"/>
    <w:rsid w:val="006F6C57"/>
    <w:rsid w:val="006F6ED3"/>
    <w:rsid w:val="006F7585"/>
    <w:rsid w:val="006F76D9"/>
    <w:rsid w:val="006F79E6"/>
    <w:rsid w:val="006F7E74"/>
    <w:rsid w:val="00700666"/>
    <w:rsid w:val="007007AF"/>
    <w:rsid w:val="00700C29"/>
    <w:rsid w:val="007018EA"/>
    <w:rsid w:val="0070198F"/>
    <w:rsid w:val="00701CF9"/>
    <w:rsid w:val="00702B97"/>
    <w:rsid w:val="00703251"/>
    <w:rsid w:val="00703F1E"/>
    <w:rsid w:val="00703F78"/>
    <w:rsid w:val="00704161"/>
    <w:rsid w:val="00704187"/>
    <w:rsid w:val="0070485B"/>
    <w:rsid w:val="00705057"/>
    <w:rsid w:val="00705613"/>
    <w:rsid w:val="00705854"/>
    <w:rsid w:val="00705EE4"/>
    <w:rsid w:val="0070631F"/>
    <w:rsid w:val="0070679C"/>
    <w:rsid w:val="007067C6"/>
    <w:rsid w:val="007072DE"/>
    <w:rsid w:val="007077E9"/>
    <w:rsid w:val="00707999"/>
    <w:rsid w:val="00710335"/>
    <w:rsid w:val="007106DA"/>
    <w:rsid w:val="00710753"/>
    <w:rsid w:val="007111AB"/>
    <w:rsid w:val="00712823"/>
    <w:rsid w:val="007129B4"/>
    <w:rsid w:val="00712B60"/>
    <w:rsid w:val="00713160"/>
    <w:rsid w:val="007131FE"/>
    <w:rsid w:val="00713F3C"/>
    <w:rsid w:val="00713F4C"/>
    <w:rsid w:val="00714E14"/>
    <w:rsid w:val="007152CE"/>
    <w:rsid w:val="007152E5"/>
    <w:rsid w:val="00715426"/>
    <w:rsid w:val="0071574E"/>
    <w:rsid w:val="00715868"/>
    <w:rsid w:val="007159EC"/>
    <w:rsid w:val="0071692B"/>
    <w:rsid w:val="00716DE2"/>
    <w:rsid w:val="00717FEC"/>
    <w:rsid w:val="00720E5F"/>
    <w:rsid w:val="00721013"/>
    <w:rsid w:val="00721E86"/>
    <w:rsid w:val="00722407"/>
    <w:rsid w:val="00723447"/>
    <w:rsid w:val="0072368B"/>
    <w:rsid w:val="00723D45"/>
    <w:rsid w:val="00724187"/>
    <w:rsid w:val="00724644"/>
    <w:rsid w:val="007247A2"/>
    <w:rsid w:val="007250FC"/>
    <w:rsid w:val="00725E26"/>
    <w:rsid w:val="00725E84"/>
    <w:rsid w:val="00725F48"/>
    <w:rsid w:val="007260FD"/>
    <w:rsid w:val="007267FB"/>
    <w:rsid w:val="00726B02"/>
    <w:rsid w:val="00727008"/>
    <w:rsid w:val="007272C6"/>
    <w:rsid w:val="007272F9"/>
    <w:rsid w:val="00727618"/>
    <w:rsid w:val="00727AE5"/>
    <w:rsid w:val="007307F4"/>
    <w:rsid w:val="00730BA8"/>
    <w:rsid w:val="00731389"/>
    <w:rsid w:val="00731A54"/>
    <w:rsid w:val="00731B72"/>
    <w:rsid w:val="00732264"/>
    <w:rsid w:val="00732D9B"/>
    <w:rsid w:val="00732F95"/>
    <w:rsid w:val="00733289"/>
    <w:rsid w:val="007338DE"/>
    <w:rsid w:val="00734279"/>
    <w:rsid w:val="0073513C"/>
    <w:rsid w:val="00735178"/>
    <w:rsid w:val="007361CD"/>
    <w:rsid w:val="00736E0E"/>
    <w:rsid w:val="00740742"/>
    <w:rsid w:val="00741AE2"/>
    <w:rsid w:val="00741D3B"/>
    <w:rsid w:val="00742189"/>
    <w:rsid w:val="0074222D"/>
    <w:rsid w:val="0074237C"/>
    <w:rsid w:val="00742B5F"/>
    <w:rsid w:val="00743459"/>
    <w:rsid w:val="0074347F"/>
    <w:rsid w:val="007437B1"/>
    <w:rsid w:val="007439BD"/>
    <w:rsid w:val="00743CEF"/>
    <w:rsid w:val="00743FF0"/>
    <w:rsid w:val="0074488D"/>
    <w:rsid w:val="007449BE"/>
    <w:rsid w:val="00745FE2"/>
    <w:rsid w:val="007465F1"/>
    <w:rsid w:val="00746BF9"/>
    <w:rsid w:val="007471A3"/>
    <w:rsid w:val="00747A77"/>
    <w:rsid w:val="007503E8"/>
    <w:rsid w:val="00750941"/>
    <w:rsid w:val="00750E09"/>
    <w:rsid w:val="0075187F"/>
    <w:rsid w:val="0075274E"/>
    <w:rsid w:val="007529BC"/>
    <w:rsid w:val="0075332E"/>
    <w:rsid w:val="0075343E"/>
    <w:rsid w:val="00754406"/>
    <w:rsid w:val="00754BF1"/>
    <w:rsid w:val="00754C3B"/>
    <w:rsid w:val="007552CA"/>
    <w:rsid w:val="007559F3"/>
    <w:rsid w:val="00757C5D"/>
    <w:rsid w:val="00757CEA"/>
    <w:rsid w:val="007600D6"/>
    <w:rsid w:val="007604DF"/>
    <w:rsid w:val="0076096B"/>
    <w:rsid w:val="00760993"/>
    <w:rsid w:val="007615B3"/>
    <w:rsid w:val="00761767"/>
    <w:rsid w:val="007627FE"/>
    <w:rsid w:val="00762DE9"/>
    <w:rsid w:val="00762F08"/>
    <w:rsid w:val="007636F4"/>
    <w:rsid w:val="00763BF0"/>
    <w:rsid w:val="00764551"/>
    <w:rsid w:val="00764874"/>
    <w:rsid w:val="00765130"/>
    <w:rsid w:val="007653DF"/>
    <w:rsid w:val="00765A1D"/>
    <w:rsid w:val="00765B65"/>
    <w:rsid w:val="007676C3"/>
    <w:rsid w:val="00770835"/>
    <w:rsid w:val="00771552"/>
    <w:rsid w:val="00772147"/>
    <w:rsid w:val="00772D40"/>
    <w:rsid w:val="0077307D"/>
    <w:rsid w:val="007737F8"/>
    <w:rsid w:val="00773F8E"/>
    <w:rsid w:val="00774903"/>
    <w:rsid w:val="00774A34"/>
    <w:rsid w:val="00774FBE"/>
    <w:rsid w:val="007754F1"/>
    <w:rsid w:val="007754F8"/>
    <w:rsid w:val="00776072"/>
    <w:rsid w:val="007766BA"/>
    <w:rsid w:val="00776BB8"/>
    <w:rsid w:val="00776D7C"/>
    <w:rsid w:val="00777000"/>
    <w:rsid w:val="00777708"/>
    <w:rsid w:val="0078024D"/>
    <w:rsid w:val="007802A4"/>
    <w:rsid w:val="007804AA"/>
    <w:rsid w:val="00780AA7"/>
    <w:rsid w:val="00780F01"/>
    <w:rsid w:val="007812AA"/>
    <w:rsid w:val="00781309"/>
    <w:rsid w:val="007816C7"/>
    <w:rsid w:val="00782479"/>
    <w:rsid w:val="0078257D"/>
    <w:rsid w:val="00782C67"/>
    <w:rsid w:val="007832D4"/>
    <w:rsid w:val="007838DA"/>
    <w:rsid w:val="0078397C"/>
    <w:rsid w:val="00783AAE"/>
    <w:rsid w:val="007843F9"/>
    <w:rsid w:val="0078510A"/>
    <w:rsid w:val="00785490"/>
    <w:rsid w:val="0078568D"/>
    <w:rsid w:val="00785B40"/>
    <w:rsid w:val="00785DB3"/>
    <w:rsid w:val="00786C4A"/>
    <w:rsid w:val="00790558"/>
    <w:rsid w:val="00790C8E"/>
    <w:rsid w:val="00790FA4"/>
    <w:rsid w:val="007919D1"/>
    <w:rsid w:val="00791E5B"/>
    <w:rsid w:val="007920C1"/>
    <w:rsid w:val="00793120"/>
    <w:rsid w:val="007937EA"/>
    <w:rsid w:val="0079398C"/>
    <w:rsid w:val="00794DD2"/>
    <w:rsid w:val="0079566E"/>
    <w:rsid w:val="007961D2"/>
    <w:rsid w:val="00796586"/>
    <w:rsid w:val="00796F78"/>
    <w:rsid w:val="0079782A"/>
    <w:rsid w:val="00797E19"/>
    <w:rsid w:val="007A035A"/>
    <w:rsid w:val="007A0A14"/>
    <w:rsid w:val="007A0B8B"/>
    <w:rsid w:val="007A1674"/>
    <w:rsid w:val="007A1BB0"/>
    <w:rsid w:val="007A23F2"/>
    <w:rsid w:val="007A2498"/>
    <w:rsid w:val="007A2896"/>
    <w:rsid w:val="007A3027"/>
    <w:rsid w:val="007A32B4"/>
    <w:rsid w:val="007A3991"/>
    <w:rsid w:val="007A3B81"/>
    <w:rsid w:val="007A3DC4"/>
    <w:rsid w:val="007A4849"/>
    <w:rsid w:val="007A4D57"/>
    <w:rsid w:val="007A592D"/>
    <w:rsid w:val="007A6C4D"/>
    <w:rsid w:val="007A6D4C"/>
    <w:rsid w:val="007A79AB"/>
    <w:rsid w:val="007A7BD5"/>
    <w:rsid w:val="007B00E0"/>
    <w:rsid w:val="007B03E4"/>
    <w:rsid w:val="007B0FE1"/>
    <w:rsid w:val="007B16B8"/>
    <w:rsid w:val="007B1BD4"/>
    <w:rsid w:val="007B1D22"/>
    <w:rsid w:val="007B1F45"/>
    <w:rsid w:val="007B24E7"/>
    <w:rsid w:val="007B3B45"/>
    <w:rsid w:val="007B3E15"/>
    <w:rsid w:val="007B4564"/>
    <w:rsid w:val="007B504E"/>
    <w:rsid w:val="007B5B82"/>
    <w:rsid w:val="007B5BCE"/>
    <w:rsid w:val="007B5F4A"/>
    <w:rsid w:val="007B5F9B"/>
    <w:rsid w:val="007B7143"/>
    <w:rsid w:val="007B72D2"/>
    <w:rsid w:val="007B7438"/>
    <w:rsid w:val="007B7EA0"/>
    <w:rsid w:val="007C051D"/>
    <w:rsid w:val="007C0A0D"/>
    <w:rsid w:val="007C154E"/>
    <w:rsid w:val="007C18D1"/>
    <w:rsid w:val="007C23BB"/>
    <w:rsid w:val="007C2A54"/>
    <w:rsid w:val="007C2C6B"/>
    <w:rsid w:val="007C34E7"/>
    <w:rsid w:val="007C3531"/>
    <w:rsid w:val="007C363B"/>
    <w:rsid w:val="007C38D5"/>
    <w:rsid w:val="007C3904"/>
    <w:rsid w:val="007C3DD8"/>
    <w:rsid w:val="007C464E"/>
    <w:rsid w:val="007C4972"/>
    <w:rsid w:val="007C59CA"/>
    <w:rsid w:val="007C59EC"/>
    <w:rsid w:val="007C5D6C"/>
    <w:rsid w:val="007C5DBC"/>
    <w:rsid w:val="007C660F"/>
    <w:rsid w:val="007C6971"/>
    <w:rsid w:val="007C6AE4"/>
    <w:rsid w:val="007C7227"/>
    <w:rsid w:val="007C7588"/>
    <w:rsid w:val="007C7CC4"/>
    <w:rsid w:val="007C7F19"/>
    <w:rsid w:val="007D0551"/>
    <w:rsid w:val="007D1468"/>
    <w:rsid w:val="007D1885"/>
    <w:rsid w:val="007D1E1D"/>
    <w:rsid w:val="007D1E54"/>
    <w:rsid w:val="007D1EF2"/>
    <w:rsid w:val="007D23D7"/>
    <w:rsid w:val="007D260C"/>
    <w:rsid w:val="007D2666"/>
    <w:rsid w:val="007D33A9"/>
    <w:rsid w:val="007D3B1A"/>
    <w:rsid w:val="007D3CB6"/>
    <w:rsid w:val="007D4F6F"/>
    <w:rsid w:val="007D6043"/>
    <w:rsid w:val="007D624E"/>
    <w:rsid w:val="007D6F39"/>
    <w:rsid w:val="007D7850"/>
    <w:rsid w:val="007D7A64"/>
    <w:rsid w:val="007D7D71"/>
    <w:rsid w:val="007E046B"/>
    <w:rsid w:val="007E0819"/>
    <w:rsid w:val="007E104D"/>
    <w:rsid w:val="007E20E1"/>
    <w:rsid w:val="007E2493"/>
    <w:rsid w:val="007E249A"/>
    <w:rsid w:val="007E2C3E"/>
    <w:rsid w:val="007E3E40"/>
    <w:rsid w:val="007E3EB9"/>
    <w:rsid w:val="007E4213"/>
    <w:rsid w:val="007E52E5"/>
    <w:rsid w:val="007E576F"/>
    <w:rsid w:val="007E5E79"/>
    <w:rsid w:val="007E622A"/>
    <w:rsid w:val="007E75B7"/>
    <w:rsid w:val="007E7610"/>
    <w:rsid w:val="007E7AED"/>
    <w:rsid w:val="007F07BD"/>
    <w:rsid w:val="007F08E8"/>
    <w:rsid w:val="007F0A5B"/>
    <w:rsid w:val="007F0B20"/>
    <w:rsid w:val="007F0EED"/>
    <w:rsid w:val="007F11E7"/>
    <w:rsid w:val="007F1F01"/>
    <w:rsid w:val="007F1F24"/>
    <w:rsid w:val="007F31EA"/>
    <w:rsid w:val="007F3390"/>
    <w:rsid w:val="007F36B4"/>
    <w:rsid w:val="007F56F2"/>
    <w:rsid w:val="007F6895"/>
    <w:rsid w:val="007F68D1"/>
    <w:rsid w:val="007F7486"/>
    <w:rsid w:val="007F7726"/>
    <w:rsid w:val="007F7D7F"/>
    <w:rsid w:val="007F7E4D"/>
    <w:rsid w:val="007F7FBC"/>
    <w:rsid w:val="0080000A"/>
    <w:rsid w:val="00800312"/>
    <w:rsid w:val="008005B9"/>
    <w:rsid w:val="00800AE1"/>
    <w:rsid w:val="00800EED"/>
    <w:rsid w:val="00800F57"/>
    <w:rsid w:val="00800F73"/>
    <w:rsid w:val="0080147D"/>
    <w:rsid w:val="0080187C"/>
    <w:rsid w:val="00802069"/>
    <w:rsid w:val="008021C1"/>
    <w:rsid w:val="0080292B"/>
    <w:rsid w:val="00802D93"/>
    <w:rsid w:val="008031FA"/>
    <w:rsid w:val="0080369D"/>
    <w:rsid w:val="0080379F"/>
    <w:rsid w:val="0080406D"/>
    <w:rsid w:val="00804B85"/>
    <w:rsid w:val="00805E04"/>
    <w:rsid w:val="008061AD"/>
    <w:rsid w:val="00806961"/>
    <w:rsid w:val="00806AEF"/>
    <w:rsid w:val="00806B0D"/>
    <w:rsid w:val="00807D62"/>
    <w:rsid w:val="00810DE7"/>
    <w:rsid w:val="0081167C"/>
    <w:rsid w:val="00811D15"/>
    <w:rsid w:val="00811E0A"/>
    <w:rsid w:val="008127BB"/>
    <w:rsid w:val="00812D8A"/>
    <w:rsid w:val="00812DDF"/>
    <w:rsid w:val="00812FC0"/>
    <w:rsid w:val="008135A9"/>
    <w:rsid w:val="00813CE1"/>
    <w:rsid w:val="00813EB3"/>
    <w:rsid w:val="0081419D"/>
    <w:rsid w:val="008153DC"/>
    <w:rsid w:val="008158FC"/>
    <w:rsid w:val="008166FD"/>
    <w:rsid w:val="00816A20"/>
    <w:rsid w:val="00816CE3"/>
    <w:rsid w:val="00817F22"/>
    <w:rsid w:val="008203CA"/>
    <w:rsid w:val="00820AF7"/>
    <w:rsid w:val="00820FD1"/>
    <w:rsid w:val="008221D1"/>
    <w:rsid w:val="008225B6"/>
    <w:rsid w:val="00824072"/>
    <w:rsid w:val="008247A2"/>
    <w:rsid w:val="00824F66"/>
    <w:rsid w:val="008251D3"/>
    <w:rsid w:val="008255F9"/>
    <w:rsid w:val="0082632E"/>
    <w:rsid w:val="00827092"/>
    <w:rsid w:val="0082754A"/>
    <w:rsid w:val="00827556"/>
    <w:rsid w:val="0082797D"/>
    <w:rsid w:val="0083051B"/>
    <w:rsid w:val="0083064F"/>
    <w:rsid w:val="0083095A"/>
    <w:rsid w:val="00831A00"/>
    <w:rsid w:val="00832413"/>
    <w:rsid w:val="008325BA"/>
    <w:rsid w:val="00832BF8"/>
    <w:rsid w:val="00832F50"/>
    <w:rsid w:val="008331DD"/>
    <w:rsid w:val="008348E6"/>
    <w:rsid w:val="00834F25"/>
    <w:rsid w:val="00835037"/>
    <w:rsid w:val="0083537B"/>
    <w:rsid w:val="00835471"/>
    <w:rsid w:val="0083596E"/>
    <w:rsid w:val="00836A46"/>
    <w:rsid w:val="00836DBE"/>
    <w:rsid w:val="00836EDA"/>
    <w:rsid w:val="008379B6"/>
    <w:rsid w:val="008400FF"/>
    <w:rsid w:val="00840705"/>
    <w:rsid w:val="00840B48"/>
    <w:rsid w:val="008414F1"/>
    <w:rsid w:val="00841BC0"/>
    <w:rsid w:val="00841F02"/>
    <w:rsid w:val="0084200F"/>
    <w:rsid w:val="008423F7"/>
    <w:rsid w:val="00842896"/>
    <w:rsid w:val="00842A6A"/>
    <w:rsid w:val="008433F6"/>
    <w:rsid w:val="00844CC3"/>
    <w:rsid w:val="00844D2E"/>
    <w:rsid w:val="008453BB"/>
    <w:rsid w:val="008455C9"/>
    <w:rsid w:val="00845993"/>
    <w:rsid w:val="00845C52"/>
    <w:rsid w:val="00846AAC"/>
    <w:rsid w:val="00846F2D"/>
    <w:rsid w:val="00847307"/>
    <w:rsid w:val="00847E9B"/>
    <w:rsid w:val="00850407"/>
    <w:rsid w:val="00850B7E"/>
    <w:rsid w:val="00850EF5"/>
    <w:rsid w:val="00850FB9"/>
    <w:rsid w:val="008511BE"/>
    <w:rsid w:val="00851AA4"/>
    <w:rsid w:val="00851E8E"/>
    <w:rsid w:val="008525D8"/>
    <w:rsid w:val="0085263B"/>
    <w:rsid w:val="0085324F"/>
    <w:rsid w:val="00853DE8"/>
    <w:rsid w:val="00853DF0"/>
    <w:rsid w:val="00854D68"/>
    <w:rsid w:val="008555C7"/>
    <w:rsid w:val="00855A5E"/>
    <w:rsid w:val="00855E50"/>
    <w:rsid w:val="0085670C"/>
    <w:rsid w:val="00856B1A"/>
    <w:rsid w:val="00856C41"/>
    <w:rsid w:val="008571D5"/>
    <w:rsid w:val="00857423"/>
    <w:rsid w:val="00857448"/>
    <w:rsid w:val="00860155"/>
    <w:rsid w:val="008606D3"/>
    <w:rsid w:val="00861558"/>
    <w:rsid w:val="00861E96"/>
    <w:rsid w:val="00861EFD"/>
    <w:rsid w:val="00862265"/>
    <w:rsid w:val="008634CF"/>
    <w:rsid w:val="00863698"/>
    <w:rsid w:val="008637A5"/>
    <w:rsid w:val="008639D9"/>
    <w:rsid w:val="0086402D"/>
    <w:rsid w:val="008644A7"/>
    <w:rsid w:val="00864AB8"/>
    <w:rsid w:val="008652EE"/>
    <w:rsid w:val="00865679"/>
    <w:rsid w:val="008658B9"/>
    <w:rsid w:val="0086592E"/>
    <w:rsid w:val="00865A4B"/>
    <w:rsid w:val="00865CD9"/>
    <w:rsid w:val="00865FD8"/>
    <w:rsid w:val="00866212"/>
    <w:rsid w:val="008667B2"/>
    <w:rsid w:val="0086698D"/>
    <w:rsid w:val="00867077"/>
    <w:rsid w:val="00867FA3"/>
    <w:rsid w:val="00870296"/>
    <w:rsid w:val="008705A9"/>
    <w:rsid w:val="00870B81"/>
    <w:rsid w:val="00870E32"/>
    <w:rsid w:val="00871723"/>
    <w:rsid w:val="00872974"/>
    <w:rsid w:val="0087322E"/>
    <w:rsid w:val="00873560"/>
    <w:rsid w:val="008739D7"/>
    <w:rsid w:val="00873D11"/>
    <w:rsid w:val="00874645"/>
    <w:rsid w:val="00874ACC"/>
    <w:rsid w:val="00874EEE"/>
    <w:rsid w:val="008755D7"/>
    <w:rsid w:val="0087573C"/>
    <w:rsid w:val="00875ABC"/>
    <w:rsid w:val="00875EFA"/>
    <w:rsid w:val="00876074"/>
    <w:rsid w:val="0087618E"/>
    <w:rsid w:val="00876637"/>
    <w:rsid w:val="008768D9"/>
    <w:rsid w:val="00876E78"/>
    <w:rsid w:val="0087750A"/>
    <w:rsid w:val="008777EC"/>
    <w:rsid w:val="00877F77"/>
    <w:rsid w:val="00880290"/>
    <w:rsid w:val="00880308"/>
    <w:rsid w:val="00880362"/>
    <w:rsid w:val="00881F81"/>
    <w:rsid w:val="0088248F"/>
    <w:rsid w:val="00882680"/>
    <w:rsid w:val="008827C9"/>
    <w:rsid w:val="00882A7E"/>
    <w:rsid w:val="00882B3E"/>
    <w:rsid w:val="00883B24"/>
    <w:rsid w:val="00883B8D"/>
    <w:rsid w:val="00884011"/>
    <w:rsid w:val="008844B3"/>
    <w:rsid w:val="008846A4"/>
    <w:rsid w:val="008859A4"/>
    <w:rsid w:val="008859BB"/>
    <w:rsid w:val="00885F34"/>
    <w:rsid w:val="00885FA2"/>
    <w:rsid w:val="00886069"/>
    <w:rsid w:val="00886674"/>
    <w:rsid w:val="00886ABD"/>
    <w:rsid w:val="00886C2B"/>
    <w:rsid w:val="008872E5"/>
    <w:rsid w:val="008873E5"/>
    <w:rsid w:val="00887FAB"/>
    <w:rsid w:val="00890192"/>
    <w:rsid w:val="00890F5A"/>
    <w:rsid w:val="00891642"/>
    <w:rsid w:val="00891830"/>
    <w:rsid w:val="008923FF"/>
    <w:rsid w:val="00892676"/>
    <w:rsid w:val="00892E08"/>
    <w:rsid w:val="00893AC0"/>
    <w:rsid w:val="00893AF3"/>
    <w:rsid w:val="00893EDA"/>
    <w:rsid w:val="00893F96"/>
    <w:rsid w:val="00894A21"/>
    <w:rsid w:val="00895062"/>
    <w:rsid w:val="008956A9"/>
    <w:rsid w:val="00895EE4"/>
    <w:rsid w:val="00896B52"/>
    <w:rsid w:val="00896FEF"/>
    <w:rsid w:val="00897375"/>
    <w:rsid w:val="00897B46"/>
    <w:rsid w:val="00897BA9"/>
    <w:rsid w:val="00897BDB"/>
    <w:rsid w:val="008A01B6"/>
    <w:rsid w:val="008A03E7"/>
    <w:rsid w:val="008A042A"/>
    <w:rsid w:val="008A0B2B"/>
    <w:rsid w:val="008A1114"/>
    <w:rsid w:val="008A134B"/>
    <w:rsid w:val="008A15A9"/>
    <w:rsid w:val="008A2179"/>
    <w:rsid w:val="008A3327"/>
    <w:rsid w:val="008A3544"/>
    <w:rsid w:val="008A3F4E"/>
    <w:rsid w:val="008A45BE"/>
    <w:rsid w:val="008A4C13"/>
    <w:rsid w:val="008A5010"/>
    <w:rsid w:val="008A50F3"/>
    <w:rsid w:val="008A54EC"/>
    <w:rsid w:val="008A5849"/>
    <w:rsid w:val="008A5ACC"/>
    <w:rsid w:val="008A69AA"/>
    <w:rsid w:val="008A75C0"/>
    <w:rsid w:val="008A784C"/>
    <w:rsid w:val="008A7B23"/>
    <w:rsid w:val="008A7D54"/>
    <w:rsid w:val="008B015F"/>
    <w:rsid w:val="008B05C6"/>
    <w:rsid w:val="008B0A84"/>
    <w:rsid w:val="008B10F5"/>
    <w:rsid w:val="008B18A0"/>
    <w:rsid w:val="008B1B5B"/>
    <w:rsid w:val="008B1BBD"/>
    <w:rsid w:val="008B29A8"/>
    <w:rsid w:val="008B2CA1"/>
    <w:rsid w:val="008B2D44"/>
    <w:rsid w:val="008B3840"/>
    <w:rsid w:val="008B446D"/>
    <w:rsid w:val="008B4759"/>
    <w:rsid w:val="008B4816"/>
    <w:rsid w:val="008B4AE8"/>
    <w:rsid w:val="008B4B99"/>
    <w:rsid w:val="008B51EA"/>
    <w:rsid w:val="008B6187"/>
    <w:rsid w:val="008B6404"/>
    <w:rsid w:val="008B6723"/>
    <w:rsid w:val="008B6753"/>
    <w:rsid w:val="008B78AB"/>
    <w:rsid w:val="008B7BFE"/>
    <w:rsid w:val="008B7C42"/>
    <w:rsid w:val="008B7F47"/>
    <w:rsid w:val="008B7F87"/>
    <w:rsid w:val="008C000D"/>
    <w:rsid w:val="008C1040"/>
    <w:rsid w:val="008C1B84"/>
    <w:rsid w:val="008C29E4"/>
    <w:rsid w:val="008C2D80"/>
    <w:rsid w:val="008C32FD"/>
    <w:rsid w:val="008C3755"/>
    <w:rsid w:val="008C4537"/>
    <w:rsid w:val="008C460B"/>
    <w:rsid w:val="008C4D01"/>
    <w:rsid w:val="008C6259"/>
    <w:rsid w:val="008C660C"/>
    <w:rsid w:val="008C72F8"/>
    <w:rsid w:val="008D024D"/>
    <w:rsid w:val="008D032B"/>
    <w:rsid w:val="008D034D"/>
    <w:rsid w:val="008D0798"/>
    <w:rsid w:val="008D091E"/>
    <w:rsid w:val="008D096B"/>
    <w:rsid w:val="008D0BF6"/>
    <w:rsid w:val="008D10C3"/>
    <w:rsid w:val="008D1230"/>
    <w:rsid w:val="008D143F"/>
    <w:rsid w:val="008D1D6A"/>
    <w:rsid w:val="008D2429"/>
    <w:rsid w:val="008D30A4"/>
    <w:rsid w:val="008D3158"/>
    <w:rsid w:val="008D33EB"/>
    <w:rsid w:val="008D3B8C"/>
    <w:rsid w:val="008D41D7"/>
    <w:rsid w:val="008D45B7"/>
    <w:rsid w:val="008D4F40"/>
    <w:rsid w:val="008D5493"/>
    <w:rsid w:val="008D55C6"/>
    <w:rsid w:val="008D5821"/>
    <w:rsid w:val="008D6BF3"/>
    <w:rsid w:val="008D6F56"/>
    <w:rsid w:val="008D7C4E"/>
    <w:rsid w:val="008D7D5B"/>
    <w:rsid w:val="008E0BBB"/>
    <w:rsid w:val="008E0F92"/>
    <w:rsid w:val="008E1549"/>
    <w:rsid w:val="008E17AF"/>
    <w:rsid w:val="008E1D24"/>
    <w:rsid w:val="008E1D47"/>
    <w:rsid w:val="008E21BF"/>
    <w:rsid w:val="008E2931"/>
    <w:rsid w:val="008E2BDA"/>
    <w:rsid w:val="008E3147"/>
    <w:rsid w:val="008E352E"/>
    <w:rsid w:val="008E35D3"/>
    <w:rsid w:val="008E37C1"/>
    <w:rsid w:val="008E3AEA"/>
    <w:rsid w:val="008E48E6"/>
    <w:rsid w:val="008E4B1C"/>
    <w:rsid w:val="008E5575"/>
    <w:rsid w:val="008E655B"/>
    <w:rsid w:val="008E6A19"/>
    <w:rsid w:val="008E6D9D"/>
    <w:rsid w:val="008F0582"/>
    <w:rsid w:val="008F0596"/>
    <w:rsid w:val="008F0B12"/>
    <w:rsid w:val="008F0E67"/>
    <w:rsid w:val="008F1248"/>
    <w:rsid w:val="008F15DB"/>
    <w:rsid w:val="008F2DFF"/>
    <w:rsid w:val="008F3135"/>
    <w:rsid w:val="008F353F"/>
    <w:rsid w:val="008F383F"/>
    <w:rsid w:val="008F47D4"/>
    <w:rsid w:val="008F4E14"/>
    <w:rsid w:val="008F4E98"/>
    <w:rsid w:val="008F4F68"/>
    <w:rsid w:val="008F5046"/>
    <w:rsid w:val="008F543E"/>
    <w:rsid w:val="008F5B96"/>
    <w:rsid w:val="008F6082"/>
    <w:rsid w:val="008F639A"/>
    <w:rsid w:val="008F7038"/>
    <w:rsid w:val="008F7171"/>
    <w:rsid w:val="008F756A"/>
    <w:rsid w:val="008F7652"/>
    <w:rsid w:val="008F7831"/>
    <w:rsid w:val="009002C0"/>
    <w:rsid w:val="00900319"/>
    <w:rsid w:val="0090056E"/>
    <w:rsid w:val="009010AF"/>
    <w:rsid w:val="00901196"/>
    <w:rsid w:val="00901D22"/>
    <w:rsid w:val="009020C6"/>
    <w:rsid w:val="00902A70"/>
    <w:rsid w:val="00902D23"/>
    <w:rsid w:val="00903013"/>
    <w:rsid w:val="0090301E"/>
    <w:rsid w:val="0090303F"/>
    <w:rsid w:val="009031A3"/>
    <w:rsid w:val="00903F36"/>
    <w:rsid w:val="0090409B"/>
    <w:rsid w:val="009048D9"/>
    <w:rsid w:val="00904948"/>
    <w:rsid w:val="00904DC7"/>
    <w:rsid w:val="00905CE4"/>
    <w:rsid w:val="009069A1"/>
    <w:rsid w:val="00906CFB"/>
    <w:rsid w:val="00906ECA"/>
    <w:rsid w:val="009078C1"/>
    <w:rsid w:val="0090796E"/>
    <w:rsid w:val="0091008D"/>
    <w:rsid w:val="00910C2B"/>
    <w:rsid w:val="0091123E"/>
    <w:rsid w:val="00911722"/>
    <w:rsid w:val="00911AAE"/>
    <w:rsid w:val="00911D87"/>
    <w:rsid w:val="009124DF"/>
    <w:rsid w:val="00913519"/>
    <w:rsid w:val="00913638"/>
    <w:rsid w:val="00913D43"/>
    <w:rsid w:val="009142DC"/>
    <w:rsid w:val="009144F0"/>
    <w:rsid w:val="00914F9B"/>
    <w:rsid w:val="009150B8"/>
    <w:rsid w:val="00915468"/>
    <w:rsid w:val="009157C6"/>
    <w:rsid w:val="0091639C"/>
    <w:rsid w:val="00916CCA"/>
    <w:rsid w:val="00916D3F"/>
    <w:rsid w:val="0091779E"/>
    <w:rsid w:val="00917E44"/>
    <w:rsid w:val="00920092"/>
    <w:rsid w:val="00920494"/>
    <w:rsid w:val="00920752"/>
    <w:rsid w:val="00920D68"/>
    <w:rsid w:val="0092104D"/>
    <w:rsid w:val="0092226B"/>
    <w:rsid w:val="00922307"/>
    <w:rsid w:val="009227F2"/>
    <w:rsid w:val="0092285E"/>
    <w:rsid w:val="00922ACD"/>
    <w:rsid w:val="00923E3D"/>
    <w:rsid w:val="009240F6"/>
    <w:rsid w:val="009241B4"/>
    <w:rsid w:val="00924D61"/>
    <w:rsid w:val="009252E3"/>
    <w:rsid w:val="00925A80"/>
    <w:rsid w:val="009262E6"/>
    <w:rsid w:val="009267B8"/>
    <w:rsid w:val="00927812"/>
    <w:rsid w:val="0092781F"/>
    <w:rsid w:val="00927D4D"/>
    <w:rsid w:val="00930B5D"/>
    <w:rsid w:val="00930DD8"/>
    <w:rsid w:val="00931E34"/>
    <w:rsid w:val="0093292B"/>
    <w:rsid w:val="009329CA"/>
    <w:rsid w:val="00932AEC"/>
    <w:rsid w:val="009334DF"/>
    <w:rsid w:val="00933CB9"/>
    <w:rsid w:val="00933E76"/>
    <w:rsid w:val="00934567"/>
    <w:rsid w:val="0093458E"/>
    <w:rsid w:val="009352C9"/>
    <w:rsid w:val="009354B3"/>
    <w:rsid w:val="0093610A"/>
    <w:rsid w:val="00936ED8"/>
    <w:rsid w:val="00937183"/>
    <w:rsid w:val="0094047A"/>
    <w:rsid w:val="00940505"/>
    <w:rsid w:val="009407BA"/>
    <w:rsid w:val="00940837"/>
    <w:rsid w:val="0094086D"/>
    <w:rsid w:val="00940880"/>
    <w:rsid w:val="00940E5E"/>
    <w:rsid w:val="009413D6"/>
    <w:rsid w:val="009414EF"/>
    <w:rsid w:val="009414F6"/>
    <w:rsid w:val="00941A96"/>
    <w:rsid w:val="00941C4B"/>
    <w:rsid w:val="009425AF"/>
    <w:rsid w:val="00942A61"/>
    <w:rsid w:val="00942E3D"/>
    <w:rsid w:val="009432FA"/>
    <w:rsid w:val="009438F9"/>
    <w:rsid w:val="00943E4A"/>
    <w:rsid w:val="009448B2"/>
    <w:rsid w:val="009448E4"/>
    <w:rsid w:val="0094499D"/>
    <w:rsid w:val="00945260"/>
    <w:rsid w:val="0094580D"/>
    <w:rsid w:val="0094581B"/>
    <w:rsid w:val="00945939"/>
    <w:rsid w:val="00945949"/>
    <w:rsid w:val="0094604D"/>
    <w:rsid w:val="009465C7"/>
    <w:rsid w:val="0094684C"/>
    <w:rsid w:val="00946B8E"/>
    <w:rsid w:val="0094758E"/>
    <w:rsid w:val="0095186A"/>
    <w:rsid w:val="00952150"/>
    <w:rsid w:val="00952501"/>
    <w:rsid w:val="00952BB8"/>
    <w:rsid w:val="00953C9A"/>
    <w:rsid w:val="0095407F"/>
    <w:rsid w:val="0095448C"/>
    <w:rsid w:val="0095540D"/>
    <w:rsid w:val="0095543A"/>
    <w:rsid w:val="0095594B"/>
    <w:rsid w:val="009559BC"/>
    <w:rsid w:val="009564E9"/>
    <w:rsid w:val="00956CC1"/>
    <w:rsid w:val="00957366"/>
    <w:rsid w:val="0095761C"/>
    <w:rsid w:val="00957A3B"/>
    <w:rsid w:val="00957E50"/>
    <w:rsid w:val="009602AB"/>
    <w:rsid w:val="00962210"/>
    <w:rsid w:val="00962407"/>
    <w:rsid w:val="009629F9"/>
    <w:rsid w:val="009632D3"/>
    <w:rsid w:val="009640E2"/>
    <w:rsid w:val="00964536"/>
    <w:rsid w:val="00964E8D"/>
    <w:rsid w:val="00965FC2"/>
    <w:rsid w:val="0096619A"/>
    <w:rsid w:val="00966445"/>
    <w:rsid w:val="00966940"/>
    <w:rsid w:val="0096747A"/>
    <w:rsid w:val="00970298"/>
    <w:rsid w:val="009711ED"/>
    <w:rsid w:val="009713B7"/>
    <w:rsid w:val="0097187A"/>
    <w:rsid w:val="009718C8"/>
    <w:rsid w:val="0097195B"/>
    <w:rsid w:val="00971BFA"/>
    <w:rsid w:val="0097217A"/>
    <w:rsid w:val="009732E1"/>
    <w:rsid w:val="00973E27"/>
    <w:rsid w:val="009741B8"/>
    <w:rsid w:val="009762C1"/>
    <w:rsid w:val="00976B02"/>
    <w:rsid w:val="00976B5C"/>
    <w:rsid w:val="0097735F"/>
    <w:rsid w:val="00977B51"/>
    <w:rsid w:val="009806A5"/>
    <w:rsid w:val="00980834"/>
    <w:rsid w:val="00980AFF"/>
    <w:rsid w:val="00981215"/>
    <w:rsid w:val="00981218"/>
    <w:rsid w:val="00981B26"/>
    <w:rsid w:val="00981B30"/>
    <w:rsid w:val="00981B82"/>
    <w:rsid w:val="00982128"/>
    <w:rsid w:val="0098233F"/>
    <w:rsid w:val="00983334"/>
    <w:rsid w:val="009834C2"/>
    <w:rsid w:val="0098481B"/>
    <w:rsid w:val="00984A79"/>
    <w:rsid w:val="00985267"/>
    <w:rsid w:val="00985BCA"/>
    <w:rsid w:val="00985D00"/>
    <w:rsid w:val="00985EDF"/>
    <w:rsid w:val="00985FD6"/>
    <w:rsid w:val="0098612E"/>
    <w:rsid w:val="009868EB"/>
    <w:rsid w:val="00986EEC"/>
    <w:rsid w:val="00987C2A"/>
    <w:rsid w:val="00987DA0"/>
    <w:rsid w:val="009906A2"/>
    <w:rsid w:val="00991418"/>
    <w:rsid w:val="00991867"/>
    <w:rsid w:val="00991AEC"/>
    <w:rsid w:val="00991C7C"/>
    <w:rsid w:val="00991D83"/>
    <w:rsid w:val="0099201B"/>
    <w:rsid w:val="00992BFA"/>
    <w:rsid w:val="00992D62"/>
    <w:rsid w:val="00993B57"/>
    <w:rsid w:val="00993CAC"/>
    <w:rsid w:val="00994893"/>
    <w:rsid w:val="00994DBD"/>
    <w:rsid w:val="00994E26"/>
    <w:rsid w:val="00994F8A"/>
    <w:rsid w:val="00995380"/>
    <w:rsid w:val="00996425"/>
    <w:rsid w:val="0099695D"/>
    <w:rsid w:val="00996EFD"/>
    <w:rsid w:val="0099787C"/>
    <w:rsid w:val="009979FB"/>
    <w:rsid w:val="009A0168"/>
    <w:rsid w:val="009A01AB"/>
    <w:rsid w:val="009A09AD"/>
    <w:rsid w:val="009A2AA2"/>
    <w:rsid w:val="009A3960"/>
    <w:rsid w:val="009A396D"/>
    <w:rsid w:val="009A4C8C"/>
    <w:rsid w:val="009A4F2B"/>
    <w:rsid w:val="009A4FA6"/>
    <w:rsid w:val="009A531B"/>
    <w:rsid w:val="009A54F4"/>
    <w:rsid w:val="009A63A1"/>
    <w:rsid w:val="009A6C48"/>
    <w:rsid w:val="009A6E82"/>
    <w:rsid w:val="009A7A2A"/>
    <w:rsid w:val="009A7CBF"/>
    <w:rsid w:val="009A7E38"/>
    <w:rsid w:val="009B02AF"/>
    <w:rsid w:val="009B0566"/>
    <w:rsid w:val="009B0909"/>
    <w:rsid w:val="009B1228"/>
    <w:rsid w:val="009B1459"/>
    <w:rsid w:val="009B1938"/>
    <w:rsid w:val="009B1A00"/>
    <w:rsid w:val="009B1BE7"/>
    <w:rsid w:val="009B1DBB"/>
    <w:rsid w:val="009B2B87"/>
    <w:rsid w:val="009B3C4A"/>
    <w:rsid w:val="009B4843"/>
    <w:rsid w:val="009B4BF9"/>
    <w:rsid w:val="009B56B3"/>
    <w:rsid w:val="009B607D"/>
    <w:rsid w:val="009B6C31"/>
    <w:rsid w:val="009B6ECB"/>
    <w:rsid w:val="009B7066"/>
    <w:rsid w:val="009B73C5"/>
    <w:rsid w:val="009B73F6"/>
    <w:rsid w:val="009B7426"/>
    <w:rsid w:val="009B7EF4"/>
    <w:rsid w:val="009C149B"/>
    <w:rsid w:val="009C2414"/>
    <w:rsid w:val="009C3A2E"/>
    <w:rsid w:val="009C3F80"/>
    <w:rsid w:val="009C45BA"/>
    <w:rsid w:val="009C4974"/>
    <w:rsid w:val="009C4DEF"/>
    <w:rsid w:val="009C4DFB"/>
    <w:rsid w:val="009C5187"/>
    <w:rsid w:val="009C67AB"/>
    <w:rsid w:val="009C6C30"/>
    <w:rsid w:val="009C6D73"/>
    <w:rsid w:val="009C6DB5"/>
    <w:rsid w:val="009C6E27"/>
    <w:rsid w:val="009C7736"/>
    <w:rsid w:val="009C7877"/>
    <w:rsid w:val="009C7C2D"/>
    <w:rsid w:val="009D026F"/>
    <w:rsid w:val="009D0379"/>
    <w:rsid w:val="009D0D52"/>
    <w:rsid w:val="009D1183"/>
    <w:rsid w:val="009D11DA"/>
    <w:rsid w:val="009D198D"/>
    <w:rsid w:val="009D1BF8"/>
    <w:rsid w:val="009D1E30"/>
    <w:rsid w:val="009D214D"/>
    <w:rsid w:val="009D2296"/>
    <w:rsid w:val="009D263C"/>
    <w:rsid w:val="009D2B90"/>
    <w:rsid w:val="009D3174"/>
    <w:rsid w:val="009D3208"/>
    <w:rsid w:val="009D359D"/>
    <w:rsid w:val="009D36DA"/>
    <w:rsid w:val="009D4B3B"/>
    <w:rsid w:val="009D5247"/>
    <w:rsid w:val="009D5986"/>
    <w:rsid w:val="009D727B"/>
    <w:rsid w:val="009D7846"/>
    <w:rsid w:val="009D7B95"/>
    <w:rsid w:val="009E07D1"/>
    <w:rsid w:val="009E0AC6"/>
    <w:rsid w:val="009E0F62"/>
    <w:rsid w:val="009E109F"/>
    <w:rsid w:val="009E13EA"/>
    <w:rsid w:val="009E18E3"/>
    <w:rsid w:val="009E19E3"/>
    <w:rsid w:val="009E2A8E"/>
    <w:rsid w:val="009E2AE4"/>
    <w:rsid w:val="009E3531"/>
    <w:rsid w:val="009E3B2F"/>
    <w:rsid w:val="009E3F04"/>
    <w:rsid w:val="009E48F9"/>
    <w:rsid w:val="009E517F"/>
    <w:rsid w:val="009E5612"/>
    <w:rsid w:val="009E5AC3"/>
    <w:rsid w:val="009E5BB4"/>
    <w:rsid w:val="009E626E"/>
    <w:rsid w:val="009E62F0"/>
    <w:rsid w:val="009E6461"/>
    <w:rsid w:val="009E66BC"/>
    <w:rsid w:val="009E6E7A"/>
    <w:rsid w:val="009E71D2"/>
    <w:rsid w:val="009E7742"/>
    <w:rsid w:val="009E7CC9"/>
    <w:rsid w:val="009F0782"/>
    <w:rsid w:val="009F0D94"/>
    <w:rsid w:val="009F0ED3"/>
    <w:rsid w:val="009F12EE"/>
    <w:rsid w:val="009F1363"/>
    <w:rsid w:val="009F14C1"/>
    <w:rsid w:val="009F1A86"/>
    <w:rsid w:val="009F1DA8"/>
    <w:rsid w:val="009F2200"/>
    <w:rsid w:val="009F2B39"/>
    <w:rsid w:val="009F2E49"/>
    <w:rsid w:val="009F3339"/>
    <w:rsid w:val="009F3B67"/>
    <w:rsid w:val="009F3C79"/>
    <w:rsid w:val="009F4B87"/>
    <w:rsid w:val="009F4E44"/>
    <w:rsid w:val="009F54DA"/>
    <w:rsid w:val="009F5533"/>
    <w:rsid w:val="009F55F3"/>
    <w:rsid w:val="009F5E61"/>
    <w:rsid w:val="009F6A9F"/>
    <w:rsid w:val="009F74BA"/>
    <w:rsid w:val="009F7976"/>
    <w:rsid w:val="009F7C93"/>
    <w:rsid w:val="00A00590"/>
    <w:rsid w:val="00A00BEB"/>
    <w:rsid w:val="00A01664"/>
    <w:rsid w:val="00A018BB"/>
    <w:rsid w:val="00A02808"/>
    <w:rsid w:val="00A0297C"/>
    <w:rsid w:val="00A03417"/>
    <w:rsid w:val="00A03C9C"/>
    <w:rsid w:val="00A0439E"/>
    <w:rsid w:val="00A04B00"/>
    <w:rsid w:val="00A04F0A"/>
    <w:rsid w:val="00A05D4B"/>
    <w:rsid w:val="00A060A8"/>
    <w:rsid w:val="00A06A08"/>
    <w:rsid w:val="00A07540"/>
    <w:rsid w:val="00A07656"/>
    <w:rsid w:val="00A101D2"/>
    <w:rsid w:val="00A10E5A"/>
    <w:rsid w:val="00A116EE"/>
    <w:rsid w:val="00A127EE"/>
    <w:rsid w:val="00A1287C"/>
    <w:rsid w:val="00A1322B"/>
    <w:rsid w:val="00A13747"/>
    <w:rsid w:val="00A13E9E"/>
    <w:rsid w:val="00A13F4E"/>
    <w:rsid w:val="00A14670"/>
    <w:rsid w:val="00A150FE"/>
    <w:rsid w:val="00A15DB8"/>
    <w:rsid w:val="00A16E80"/>
    <w:rsid w:val="00A17EAF"/>
    <w:rsid w:val="00A20C50"/>
    <w:rsid w:val="00A20C84"/>
    <w:rsid w:val="00A20ECF"/>
    <w:rsid w:val="00A21A16"/>
    <w:rsid w:val="00A21DD4"/>
    <w:rsid w:val="00A2202E"/>
    <w:rsid w:val="00A22987"/>
    <w:rsid w:val="00A23306"/>
    <w:rsid w:val="00A23828"/>
    <w:rsid w:val="00A23A4A"/>
    <w:rsid w:val="00A241A1"/>
    <w:rsid w:val="00A24EEA"/>
    <w:rsid w:val="00A25F77"/>
    <w:rsid w:val="00A25FE4"/>
    <w:rsid w:val="00A26337"/>
    <w:rsid w:val="00A2673B"/>
    <w:rsid w:val="00A26FE4"/>
    <w:rsid w:val="00A30814"/>
    <w:rsid w:val="00A31138"/>
    <w:rsid w:val="00A313B1"/>
    <w:rsid w:val="00A31D3C"/>
    <w:rsid w:val="00A3313F"/>
    <w:rsid w:val="00A332F1"/>
    <w:rsid w:val="00A34585"/>
    <w:rsid w:val="00A34772"/>
    <w:rsid w:val="00A34DA0"/>
    <w:rsid w:val="00A3559B"/>
    <w:rsid w:val="00A35E6D"/>
    <w:rsid w:val="00A35E79"/>
    <w:rsid w:val="00A3668F"/>
    <w:rsid w:val="00A377A6"/>
    <w:rsid w:val="00A37A66"/>
    <w:rsid w:val="00A37A83"/>
    <w:rsid w:val="00A37DB6"/>
    <w:rsid w:val="00A40961"/>
    <w:rsid w:val="00A40A45"/>
    <w:rsid w:val="00A40A5E"/>
    <w:rsid w:val="00A40CA8"/>
    <w:rsid w:val="00A4120A"/>
    <w:rsid w:val="00A41786"/>
    <w:rsid w:val="00A417CD"/>
    <w:rsid w:val="00A41BFE"/>
    <w:rsid w:val="00A4265F"/>
    <w:rsid w:val="00A42B02"/>
    <w:rsid w:val="00A42D24"/>
    <w:rsid w:val="00A43D17"/>
    <w:rsid w:val="00A44FFB"/>
    <w:rsid w:val="00A453CE"/>
    <w:rsid w:val="00A4553B"/>
    <w:rsid w:val="00A455D7"/>
    <w:rsid w:val="00A45913"/>
    <w:rsid w:val="00A45914"/>
    <w:rsid w:val="00A45A45"/>
    <w:rsid w:val="00A46136"/>
    <w:rsid w:val="00A46A3D"/>
    <w:rsid w:val="00A46E92"/>
    <w:rsid w:val="00A47B14"/>
    <w:rsid w:val="00A51314"/>
    <w:rsid w:val="00A51564"/>
    <w:rsid w:val="00A51ADA"/>
    <w:rsid w:val="00A51D6F"/>
    <w:rsid w:val="00A52387"/>
    <w:rsid w:val="00A525B3"/>
    <w:rsid w:val="00A52915"/>
    <w:rsid w:val="00A531C0"/>
    <w:rsid w:val="00A533EA"/>
    <w:rsid w:val="00A5358C"/>
    <w:rsid w:val="00A53DE5"/>
    <w:rsid w:val="00A543CA"/>
    <w:rsid w:val="00A54FF7"/>
    <w:rsid w:val="00A55906"/>
    <w:rsid w:val="00A559AA"/>
    <w:rsid w:val="00A55F08"/>
    <w:rsid w:val="00A56295"/>
    <w:rsid w:val="00A56368"/>
    <w:rsid w:val="00A56CE7"/>
    <w:rsid w:val="00A574B0"/>
    <w:rsid w:val="00A57501"/>
    <w:rsid w:val="00A5774F"/>
    <w:rsid w:val="00A57AFA"/>
    <w:rsid w:val="00A57E0D"/>
    <w:rsid w:val="00A60053"/>
    <w:rsid w:val="00A60F7C"/>
    <w:rsid w:val="00A61016"/>
    <w:rsid w:val="00A61172"/>
    <w:rsid w:val="00A612F2"/>
    <w:rsid w:val="00A615D6"/>
    <w:rsid w:val="00A618F5"/>
    <w:rsid w:val="00A644AB"/>
    <w:rsid w:val="00A64976"/>
    <w:rsid w:val="00A656C3"/>
    <w:rsid w:val="00A65C27"/>
    <w:rsid w:val="00A65E0C"/>
    <w:rsid w:val="00A669D9"/>
    <w:rsid w:val="00A670D8"/>
    <w:rsid w:val="00A67AA0"/>
    <w:rsid w:val="00A67EFC"/>
    <w:rsid w:val="00A70BAF"/>
    <w:rsid w:val="00A71221"/>
    <w:rsid w:val="00A7256C"/>
    <w:rsid w:val="00A7256F"/>
    <w:rsid w:val="00A72A24"/>
    <w:rsid w:val="00A73197"/>
    <w:rsid w:val="00A732ED"/>
    <w:rsid w:val="00A741AF"/>
    <w:rsid w:val="00A7457A"/>
    <w:rsid w:val="00A74B0C"/>
    <w:rsid w:val="00A76029"/>
    <w:rsid w:val="00A763C5"/>
    <w:rsid w:val="00A76809"/>
    <w:rsid w:val="00A76CA7"/>
    <w:rsid w:val="00A77E48"/>
    <w:rsid w:val="00A77F4A"/>
    <w:rsid w:val="00A77F7C"/>
    <w:rsid w:val="00A81094"/>
    <w:rsid w:val="00A81D23"/>
    <w:rsid w:val="00A81E6E"/>
    <w:rsid w:val="00A824FA"/>
    <w:rsid w:val="00A82A8C"/>
    <w:rsid w:val="00A82FAF"/>
    <w:rsid w:val="00A832C7"/>
    <w:rsid w:val="00A833B9"/>
    <w:rsid w:val="00A839A3"/>
    <w:rsid w:val="00A8489C"/>
    <w:rsid w:val="00A850BE"/>
    <w:rsid w:val="00A851B1"/>
    <w:rsid w:val="00A85642"/>
    <w:rsid w:val="00A85D4C"/>
    <w:rsid w:val="00A85E16"/>
    <w:rsid w:val="00A85FC3"/>
    <w:rsid w:val="00A86FC8"/>
    <w:rsid w:val="00A87676"/>
    <w:rsid w:val="00A87B12"/>
    <w:rsid w:val="00A87E93"/>
    <w:rsid w:val="00A87FDD"/>
    <w:rsid w:val="00A9085F"/>
    <w:rsid w:val="00A912B9"/>
    <w:rsid w:val="00A922A5"/>
    <w:rsid w:val="00A925A9"/>
    <w:rsid w:val="00A92A62"/>
    <w:rsid w:val="00A92D68"/>
    <w:rsid w:val="00A92DEE"/>
    <w:rsid w:val="00A93128"/>
    <w:rsid w:val="00A931B9"/>
    <w:rsid w:val="00A939CA"/>
    <w:rsid w:val="00A93E13"/>
    <w:rsid w:val="00A94AEF"/>
    <w:rsid w:val="00A94DF0"/>
    <w:rsid w:val="00A95072"/>
    <w:rsid w:val="00A954F4"/>
    <w:rsid w:val="00A95ED9"/>
    <w:rsid w:val="00A968C2"/>
    <w:rsid w:val="00A970B3"/>
    <w:rsid w:val="00AA1431"/>
    <w:rsid w:val="00AA2282"/>
    <w:rsid w:val="00AA2A6A"/>
    <w:rsid w:val="00AA31C3"/>
    <w:rsid w:val="00AA3E12"/>
    <w:rsid w:val="00AA4CE7"/>
    <w:rsid w:val="00AA4E35"/>
    <w:rsid w:val="00AA58AF"/>
    <w:rsid w:val="00AA6728"/>
    <w:rsid w:val="00AA6AB6"/>
    <w:rsid w:val="00AA72FE"/>
    <w:rsid w:val="00AB00CA"/>
    <w:rsid w:val="00AB0D08"/>
    <w:rsid w:val="00AB0E61"/>
    <w:rsid w:val="00AB0F1D"/>
    <w:rsid w:val="00AB0F43"/>
    <w:rsid w:val="00AB174A"/>
    <w:rsid w:val="00AB1A37"/>
    <w:rsid w:val="00AB2047"/>
    <w:rsid w:val="00AB29BA"/>
    <w:rsid w:val="00AB39F2"/>
    <w:rsid w:val="00AB3F91"/>
    <w:rsid w:val="00AB47A3"/>
    <w:rsid w:val="00AB4848"/>
    <w:rsid w:val="00AB4B1A"/>
    <w:rsid w:val="00AB4F00"/>
    <w:rsid w:val="00AB5A38"/>
    <w:rsid w:val="00AB5D76"/>
    <w:rsid w:val="00AB64C3"/>
    <w:rsid w:val="00AB7129"/>
    <w:rsid w:val="00AC01EE"/>
    <w:rsid w:val="00AC099E"/>
    <w:rsid w:val="00AC1546"/>
    <w:rsid w:val="00AC181C"/>
    <w:rsid w:val="00AC1BB9"/>
    <w:rsid w:val="00AC1C65"/>
    <w:rsid w:val="00AC1D1D"/>
    <w:rsid w:val="00AC1E0D"/>
    <w:rsid w:val="00AC2076"/>
    <w:rsid w:val="00AC234B"/>
    <w:rsid w:val="00AC28A6"/>
    <w:rsid w:val="00AC2DD0"/>
    <w:rsid w:val="00AC3061"/>
    <w:rsid w:val="00AC3236"/>
    <w:rsid w:val="00AC3669"/>
    <w:rsid w:val="00AC4C93"/>
    <w:rsid w:val="00AC5191"/>
    <w:rsid w:val="00AC58E4"/>
    <w:rsid w:val="00AC5946"/>
    <w:rsid w:val="00AC5B69"/>
    <w:rsid w:val="00AC5EB4"/>
    <w:rsid w:val="00AC5ED2"/>
    <w:rsid w:val="00AC5ED4"/>
    <w:rsid w:val="00AC61F6"/>
    <w:rsid w:val="00AC6CEE"/>
    <w:rsid w:val="00AC6DB3"/>
    <w:rsid w:val="00AC7562"/>
    <w:rsid w:val="00AC7671"/>
    <w:rsid w:val="00AC7A53"/>
    <w:rsid w:val="00AD213C"/>
    <w:rsid w:val="00AD4307"/>
    <w:rsid w:val="00AD44C9"/>
    <w:rsid w:val="00AD52D8"/>
    <w:rsid w:val="00AD583A"/>
    <w:rsid w:val="00AD5D4B"/>
    <w:rsid w:val="00AD7DFC"/>
    <w:rsid w:val="00AD7E94"/>
    <w:rsid w:val="00AE01CE"/>
    <w:rsid w:val="00AE0203"/>
    <w:rsid w:val="00AE0277"/>
    <w:rsid w:val="00AE0C49"/>
    <w:rsid w:val="00AE0F28"/>
    <w:rsid w:val="00AE100B"/>
    <w:rsid w:val="00AE1934"/>
    <w:rsid w:val="00AE19A6"/>
    <w:rsid w:val="00AE1C27"/>
    <w:rsid w:val="00AE1D77"/>
    <w:rsid w:val="00AE1DAE"/>
    <w:rsid w:val="00AE2F96"/>
    <w:rsid w:val="00AE3BE2"/>
    <w:rsid w:val="00AE447D"/>
    <w:rsid w:val="00AE4889"/>
    <w:rsid w:val="00AE4D2F"/>
    <w:rsid w:val="00AE4DAA"/>
    <w:rsid w:val="00AE50EE"/>
    <w:rsid w:val="00AE5A70"/>
    <w:rsid w:val="00AE64BA"/>
    <w:rsid w:val="00AE6DCB"/>
    <w:rsid w:val="00AE7EC4"/>
    <w:rsid w:val="00AF07EF"/>
    <w:rsid w:val="00AF0826"/>
    <w:rsid w:val="00AF0952"/>
    <w:rsid w:val="00AF0CBA"/>
    <w:rsid w:val="00AF0DE2"/>
    <w:rsid w:val="00AF1456"/>
    <w:rsid w:val="00AF148D"/>
    <w:rsid w:val="00AF163C"/>
    <w:rsid w:val="00AF1F25"/>
    <w:rsid w:val="00AF2905"/>
    <w:rsid w:val="00AF3CDC"/>
    <w:rsid w:val="00AF43BB"/>
    <w:rsid w:val="00AF4515"/>
    <w:rsid w:val="00AF4520"/>
    <w:rsid w:val="00AF5B5B"/>
    <w:rsid w:val="00AF5DA5"/>
    <w:rsid w:val="00AF6A66"/>
    <w:rsid w:val="00AF6E9A"/>
    <w:rsid w:val="00AF75DB"/>
    <w:rsid w:val="00AF791D"/>
    <w:rsid w:val="00AF7D50"/>
    <w:rsid w:val="00B00151"/>
    <w:rsid w:val="00B00C20"/>
    <w:rsid w:val="00B00CF7"/>
    <w:rsid w:val="00B0105B"/>
    <w:rsid w:val="00B018AF"/>
    <w:rsid w:val="00B02451"/>
    <w:rsid w:val="00B02720"/>
    <w:rsid w:val="00B03970"/>
    <w:rsid w:val="00B03BE7"/>
    <w:rsid w:val="00B0430A"/>
    <w:rsid w:val="00B05A0E"/>
    <w:rsid w:val="00B06204"/>
    <w:rsid w:val="00B065CC"/>
    <w:rsid w:val="00B068D0"/>
    <w:rsid w:val="00B06EF8"/>
    <w:rsid w:val="00B07631"/>
    <w:rsid w:val="00B1043F"/>
    <w:rsid w:val="00B10520"/>
    <w:rsid w:val="00B109CD"/>
    <w:rsid w:val="00B10A57"/>
    <w:rsid w:val="00B10BB7"/>
    <w:rsid w:val="00B11164"/>
    <w:rsid w:val="00B11A27"/>
    <w:rsid w:val="00B11F5F"/>
    <w:rsid w:val="00B12185"/>
    <w:rsid w:val="00B123D6"/>
    <w:rsid w:val="00B12494"/>
    <w:rsid w:val="00B126EF"/>
    <w:rsid w:val="00B12858"/>
    <w:rsid w:val="00B13B01"/>
    <w:rsid w:val="00B13D74"/>
    <w:rsid w:val="00B14469"/>
    <w:rsid w:val="00B14723"/>
    <w:rsid w:val="00B14A8A"/>
    <w:rsid w:val="00B15053"/>
    <w:rsid w:val="00B1519D"/>
    <w:rsid w:val="00B15B3C"/>
    <w:rsid w:val="00B16CA3"/>
    <w:rsid w:val="00B17628"/>
    <w:rsid w:val="00B178E5"/>
    <w:rsid w:val="00B2142F"/>
    <w:rsid w:val="00B21600"/>
    <w:rsid w:val="00B21D6E"/>
    <w:rsid w:val="00B21E5F"/>
    <w:rsid w:val="00B21FA2"/>
    <w:rsid w:val="00B2283E"/>
    <w:rsid w:val="00B22AB9"/>
    <w:rsid w:val="00B22C71"/>
    <w:rsid w:val="00B22CDA"/>
    <w:rsid w:val="00B230A5"/>
    <w:rsid w:val="00B23434"/>
    <w:rsid w:val="00B23A75"/>
    <w:rsid w:val="00B24103"/>
    <w:rsid w:val="00B24369"/>
    <w:rsid w:val="00B24435"/>
    <w:rsid w:val="00B246F4"/>
    <w:rsid w:val="00B24E4C"/>
    <w:rsid w:val="00B25CCD"/>
    <w:rsid w:val="00B265EB"/>
    <w:rsid w:val="00B26723"/>
    <w:rsid w:val="00B269F2"/>
    <w:rsid w:val="00B26F03"/>
    <w:rsid w:val="00B26F81"/>
    <w:rsid w:val="00B26FF6"/>
    <w:rsid w:val="00B27104"/>
    <w:rsid w:val="00B278AE"/>
    <w:rsid w:val="00B27A29"/>
    <w:rsid w:val="00B27B92"/>
    <w:rsid w:val="00B30C8D"/>
    <w:rsid w:val="00B30D29"/>
    <w:rsid w:val="00B30D32"/>
    <w:rsid w:val="00B318FB"/>
    <w:rsid w:val="00B31AC8"/>
    <w:rsid w:val="00B32064"/>
    <w:rsid w:val="00B3269C"/>
    <w:rsid w:val="00B326E7"/>
    <w:rsid w:val="00B328AE"/>
    <w:rsid w:val="00B32E4A"/>
    <w:rsid w:val="00B330B9"/>
    <w:rsid w:val="00B331AF"/>
    <w:rsid w:val="00B333AC"/>
    <w:rsid w:val="00B334D8"/>
    <w:rsid w:val="00B33803"/>
    <w:rsid w:val="00B33D12"/>
    <w:rsid w:val="00B341BA"/>
    <w:rsid w:val="00B34792"/>
    <w:rsid w:val="00B34967"/>
    <w:rsid w:val="00B351C0"/>
    <w:rsid w:val="00B35373"/>
    <w:rsid w:val="00B361D9"/>
    <w:rsid w:val="00B364E9"/>
    <w:rsid w:val="00B3650A"/>
    <w:rsid w:val="00B36CFB"/>
    <w:rsid w:val="00B36D7A"/>
    <w:rsid w:val="00B371F1"/>
    <w:rsid w:val="00B37381"/>
    <w:rsid w:val="00B403FE"/>
    <w:rsid w:val="00B40699"/>
    <w:rsid w:val="00B40E85"/>
    <w:rsid w:val="00B412BF"/>
    <w:rsid w:val="00B4177A"/>
    <w:rsid w:val="00B41B27"/>
    <w:rsid w:val="00B41B7D"/>
    <w:rsid w:val="00B4243F"/>
    <w:rsid w:val="00B4268D"/>
    <w:rsid w:val="00B42BCB"/>
    <w:rsid w:val="00B42D80"/>
    <w:rsid w:val="00B42F50"/>
    <w:rsid w:val="00B430C4"/>
    <w:rsid w:val="00B4349C"/>
    <w:rsid w:val="00B435EC"/>
    <w:rsid w:val="00B44371"/>
    <w:rsid w:val="00B46448"/>
    <w:rsid w:val="00B4644B"/>
    <w:rsid w:val="00B46866"/>
    <w:rsid w:val="00B46F51"/>
    <w:rsid w:val="00B474AC"/>
    <w:rsid w:val="00B475C0"/>
    <w:rsid w:val="00B47CC2"/>
    <w:rsid w:val="00B47DF1"/>
    <w:rsid w:val="00B50B10"/>
    <w:rsid w:val="00B50B77"/>
    <w:rsid w:val="00B50D82"/>
    <w:rsid w:val="00B50F02"/>
    <w:rsid w:val="00B50FD5"/>
    <w:rsid w:val="00B513CD"/>
    <w:rsid w:val="00B51445"/>
    <w:rsid w:val="00B51499"/>
    <w:rsid w:val="00B51ABA"/>
    <w:rsid w:val="00B52219"/>
    <w:rsid w:val="00B53B65"/>
    <w:rsid w:val="00B53D79"/>
    <w:rsid w:val="00B540EC"/>
    <w:rsid w:val="00B544B2"/>
    <w:rsid w:val="00B54BB8"/>
    <w:rsid w:val="00B55380"/>
    <w:rsid w:val="00B55D9C"/>
    <w:rsid w:val="00B56261"/>
    <w:rsid w:val="00B56C30"/>
    <w:rsid w:val="00B56D36"/>
    <w:rsid w:val="00B56F74"/>
    <w:rsid w:val="00B573B1"/>
    <w:rsid w:val="00B577A6"/>
    <w:rsid w:val="00B577F9"/>
    <w:rsid w:val="00B57C8F"/>
    <w:rsid w:val="00B57F7D"/>
    <w:rsid w:val="00B60423"/>
    <w:rsid w:val="00B60765"/>
    <w:rsid w:val="00B61001"/>
    <w:rsid w:val="00B619C7"/>
    <w:rsid w:val="00B61A17"/>
    <w:rsid w:val="00B61E5D"/>
    <w:rsid w:val="00B6251D"/>
    <w:rsid w:val="00B62D82"/>
    <w:rsid w:val="00B62E95"/>
    <w:rsid w:val="00B63CC6"/>
    <w:rsid w:val="00B63FF7"/>
    <w:rsid w:val="00B64EE8"/>
    <w:rsid w:val="00B65247"/>
    <w:rsid w:val="00B656E4"/>
    <w:rsid w:val="00B65A4B"/>
    <w:rsid w:val="00B65C0A"/>
    <w:rsid w:val="00B65CB5"/>
    <w:rsid w:val="00B65CCC"/>
    <w:rsid w:val="00B65F5C"/>
    <w:rsid w:val="00B6601E"/>
    <w:rsid w:val="00B66097"/>
    <w:rsid w:val="00B668E7"/>
    <w:rsid w:val="00B669CC"/>
    <w:rsid w:val="00B67224"/>
    <w:rsid w:val="00B6798D"/>
    <w:rsid w:val="00B70062"/>
    <w:rsid w:val="00B70624"/>
    <w:rsid w:val="00B706FD"/>
    <w:rsid w:val="00B70A61"/>
    <w:rsid w:val="00B70B05"/>
    <w:rsid w:val="00B71505"/>
    <w:rsid w:val="00B7179F"/>
    <w:rsid w:val="00B71F07"/>
    <w:rsid w:val="00B72448"/>
    <w:rsid w:val="00B7305C"/>
    <w:rsid w:val="00B731B2"/>
    <w:rsid w:val="00B735F8"/>
    <w:rsid w:val="00B73F68"/>
    <w:rsid w:val="00B74260"/>
    <w:rsid w:val="00B748CE"/>
    <w:rsid w:val="00B7522D"/>
    <w:rsid w:val="00B755AE"/>
    <w:rsid w:val="00B75714"/>
    <w:rsid w:val="00B7575A"/>
    <w:rsid w:val="00B75E53"/>
    <w:rsid w:val="00B76CA5"/>
    <w:rsid w:val="00B76E7C"/>
    <w:rsid w:val="00B777DD"/>
    <w:rsid w:val="00B77A0B"/>
    <w:rsid w:val="00B77E99"/>
    <w:rsid w:val="00B800BA"/>
    <w:rsid w:val="00B8039F"/>
    <w:rsid w:val="00B803B0"/>
    <w:rsid w:val="00B813A5"/>
    <w:rsid w:val="00B818B2"/>
    <w:rsid w:val="00B819E4"/>
    <w:rsid w:val="00B82072"/>
    <w:rsid w:val="00B82F98"/>
    <w:rsid w:val="00B8357E"/>
    <w:rsid w:val="00B84482"/>
    <w:rsid w:val="00B84D99"/>
    <w:rsid w:val="00B864C3"/>
    <w:rsid w:val="00B9092F"/>
    <w:rsid w:val="00B91455"/>
    <w:rsid w:val="00B9180A"/>
    <w:rsid w:val="00B91C90"/>
    <w:rsid w:val="00B91DFD"/>
    <w:rsid w:val="00B92BB8"/>
    <w:rsid w:val="00B92FFE"/>
    <w:rsid w:val="00B931B6"/>
    <w:rsid w:val="00B9390D"/>
    <w:rsid w:val="00B94049"/>
    <w:rsid w:val="00B9418E"/>
    <w:rsid w:val="00B94A19"/>
    <w:rsid w:val="00B94EB4"/>
    <w:rsid w:val="00B95657"/>
    <w:rsid w:val="00B95793"/>
    <w:rsid w:val="00B95EC3"/>
    <w:rsid w:val="00B968E7"/>
    <w:rsid w:val="00B9694A"/>
    <w:rsid w:val="00B96AA0"/>
    <w:rsid w:val="00B97AE0"/>
    <w:rsid w:val="00B97BA8"/>
    <w:rsid w:val="00BA0191"/>
    <w:rsid w:val="00BA047C"/>
    <w:rsid w:val="00BA05DE"/>
    <w:rsid w:val="00BA125B"/>
    <w:rsid w:val="00BA2178"/>
    <w:rsid w:val="00BA2277"/>
    <w:rsid w:val="00BA2555"/>
    <w:rsid w:val="00BA2D62"/>
    <w:rsid w:val="00BA4219"/>
    <w:rsid w:val="00BA4816"/>
    <w:rsid w:val="00BA48C3"/>
    <w:rsid w:val="00BA4B0C"/>
    <w:rsid w:val="00BA5C31"/>
    <w:rsid w:val="00BA6BD6"/>
    <w:rsid w:val="00BA6CDF"/>
    <w:rsid w:val="00BA737E"/>
    <w:rsid w:val="00BA75E5"/>
    <w:rsid w:val="00BB0185"/>
    <w:rsid w:val="00BB0365"/>
    <w:rsid w:val="00BB0B15"/>
    <w:rsid w:val="00BB0FC7"/>
    <w:rsid w:val="00BB12A8"/>
    <w:rsid w:val="00BB22F0"/>
    <w:rsid w:val="00BB27A8"/>
    <w:rsid w:val="00BB29AB"/>
    <w:rsid w:val="00BB2B98"/>
    <w:rsid w:val="00BB2D73"/>
    <w:rsid w:val="00BB2F43"/>
    <w:rsid w:val="00BB31BC"/>
    <w:rsid w:val="00BB37DA"/>
    <w:rsid w:val="00BB3B78"/>
    <w:rsid w:val="00BB3C14"/>
    <w:rsid w:val="00BB3CC9"/>
    <w:rsid w:val="00BB3E45"/>
    <w:rsid w:val="00BB52BD"/>
    <w:rsid w:val="00BB5644"/>
    <w:rsid w:val="00BB58C3"/>
    <w:rsid w:val="00BB6027"/>
    <w:rsid w:val="00BB7128"/>
    <w:rsid w:val="00BB7624"/>
    <w:rsid w:val="00BB793B"/>
    <w:rsid w:val="00BB7EA8"/>
    <w:rsid w:val="00BC011E"/>
    <w:rsid w:val="00BC0E67"/>
    <w:rsid w:val="00BC11CC"/>
    <w:rsid w:val="00BC1A11"/>
    <w:rsid w:val="00BC1B44"/>
    <w:rsid w:val="00BC1E82"/>
    <w:rsid w:val="00BC3191"/>
    <w:rsid w:val="00BC4561"/>
    <w:rsid w:val="00BC48C0"/>
    <w:rsid w:val="00BC48D6"/>
    <w:rsid w:val="00BC4B0E"/>
    <w:rsid w:val="00BC4D82"/>
    <w:rsid w:val="00BC5234"/>
    <w:rsid w:val="00BC527F"/>
    <w:rsid w:val="00BC54BF"/>
    <w:rsid w:val="00BC5717"/>
    <w:rsid w:val="00BC595B"/>
    <w:rsid w:val="00BC632D"/>
    <w:rsid w:val="00BC743B"/>
    <w:rsid w:val="00BC7CB4"/>
    <w:rsid w:val="00BD0950"/>
    <w:rsid w:val="00BD0982"/>
    <w:rsid w:val="00BD139E"/>
    <w:rsid w:val="00BD1917"/>
    <w:rsid w:val="00BD26CF"/>
    <w:rsid w:val="00BD2AA1"/>
    <w:rsid w:val="00BD3034"/>
    <w:rsid w:val="00BD3235"/>
    <w:rsid w:val="00BD341A"/>
    <w:rsid w:val="00BD36A6"/>
    <w:rsid w:val="00BD37EF"/>
    <w:rsid w:val="00BD408C"/>
    <w:rsid w:val="00BD43C0"/>
    <w:rsid w:val="00BD4452"/>
    <w:rsid w:val="00BD4E90"/>
    <w:rsid w:val="00BD4EAE"/>
    <w:rsid w:val="00BD52C9"/>
    <w:rsid w:val="00BD5ED8"/>
    <w:rsid w:val="00BD68F2"/>
    <w:rsid w:val="00BD6BD6"/>
    <w:rsid w:val="00BD7057"/>
    <w:rsid w:val="00BD73B5"/>
    <w:rsid w:val="00BD74B0"/>
    <w:rsid w:val="00BD793F"/>
    <w:rsid w:val="00BE0A68"/>
    <w:rsid w:val="00BE158C"/>
    <w:rsid w:val="00BE18FE"/>
    <w:rsid w:val="00BE1B9A"/>
    <w:rsid w:val="00BE1C44"/>
    <w:rsid w:val="00BE2DD7"/>
    <w:rsid w:val="00BE30D9"/>
    <w:rsid w:val="00BE3166"/>
    <w:rsid w:val="00BE485C"/>
    <w:rsid w:val="00BE58EB"/>
    <w:rsid w:val="00BE5BCD"/>
    <w:rsid w:val="00BE5EC6"/>
    <w:rsid w:val="00BE6037"/>
    <w:rsid w:val="00BE6308"/>
    <w:rsid w:val="00BE64A6"/>
    <w:rsid w:val="00BE65B0"/>
    <w:rsid w:val="00BE7BA8"/>
    <w:rsid w:val="00BF053C"/>
    <w:rsid w:val="00BF08B8"/>
    <w:rsid w:val="00BF0C11"/>
    <w:rsid w:val="00BF0DEE"/>
    <w:rsid w:val="00BF1463"/>
    <w:rsid w:val="00BF1A13"/>
    <w:rsid w:val="00BF1B41"/>
    <w:rsid w:val="00BF1F5D"/>
    <w:rsid w:val="00BF2A54"/>
    <w:rsid w:val="00BF333B"/>
    <w:rsid w:val="00BF3578"/>
    <w:rsid w:val="00BF3D97"/>
    <w:rsid w:val="00BF47A4"/>
    <w:rsid w:val="00BF49CC"/>
    <w:rsid w:val="00BF4AEE"/>
    <w:rsid w:val="00BF4C1B"/>
    <w:rsid w:val="00BF4E3C"/>
    <w:rsid w:val="00BF5940"/>
    <w:rsid w:val="00BF600D"/>
    <w:rsid w:val="00BF6295"/>
    <w:rsid w:val="00BF64A2"/>
    <w:rsid w:val="00BF65A9"/>
    <w:rsid w:val="00BF6630"/>
    <w:rsid w:val="00BF6DC0"/>
    <w:rsid w:val="00BF754B"/>
    <w:rsid w:val="00BF786F"/>
    <w:rsid w:val="00BF7CED"/>
    <w:rsid w:val="00BF7DE5"/>
    <w:rsid w:val="00BF7FF7"/>
    <w:rsid w:val="00C0042A"/>
    <w:rsid w:val="00C00B54"/>
    <w:rsid w:val="00C00B75"/>
    <w:rsid w:val="00C00C2A"/>
    <w:rsid w:val="00C0141B"/>
    <w:rsid w:val="00C018E7"/>
    <w:rsid w:val="00C01C23"/>
    <w:rsid w:val="00C01D8E"/>
    <w:rsid w:val="00C02BC9"/>
    <w:rsid w:val="00C04367"/>
    <w:rsid w:val="00C04C97"/>
    <w:rsid w:val="00C05C59"/>
    <w:rsid w:val="00C06B25"/>
    <w:rsid w:val="00C07219"/>
    <w:rsid w:val="00C07290"/>
    <w:rsid w:val="00C07719"/>
    <w:rsid w:val="00C1091A"/>
    <w:rsid w:val="00C11948"/>
    <w:rsid w:val="00C119C8"/>
    <w:rsid w:val="00C12125"/>
    <w:rsid w:val="00C12A2B"/>
    <w:rsid w:val="00C12B0A"/>
    <w:rsid w:val="00C12F81"/>
    <w:rsid w:val="00C131A4"/>
    <w:rsid w:val="00C13875"/>
    <w:rsid w:val="00C14185"/>
    <w:rsid w:val="00C1445C"/>
    <w:rsid w:val="00C151C3"/>
    <w:rsid w:val="00C15A38"/>
    <w:rsid w:val="00C15F3E"/>
    <w:rsid w:val="00C167FE"/>
    <w:rsid w:val="00C16D52"/>
    <w:rsid w:val="00C17710"/>
    <w:rsid w:val="00C208C6"/>
    <w:rsid w:val="00C21942"/>
    <w:rsid w:val="00C22201"/>
    <w:rsid w:val="00C22DE2"/>
    <w:rsid w:val="00C23119"/>
    <w:rsid w:val="00C23E26"/>
    <w:rsid w:val="00C247EE"/>
    <w:rsid w:val="00C25708"/>
    <w:rsid w:val="00C26022"/>
    <w:rsid w:val="00C273ED"/>
    <w:rsid w:val="00C30058"/>
    <w:rsid w:val="00C300DE"/>
    <w:rsid w:val="00C3019F"/>
    <w:rsid w:val="00C30968"/>
    <w:rsid w:val="00C30A6A"/>
    <w:rsid w:val="00C31BC6"/>
    <w:rsid w:val="00C32894"/>
    <w:rsid w:val="00C32EC2"/>
    <w:rsid w:val="00C331C1"/>
    <w:rsid w:val="00C33938"/>
    <w:rsid w:val="00C33984"/>
    <w:rsid w:val="00C35B6A"/>
    <w:rsid w:val="00C35F30"/>
    <w:rsid w:val="00C360BA"/>
    <w:rsid w:val="00C37B41"/>
    <w:rsid w:val="00C40717"/>
    <w:rsid w:val="00C4098B"/>
    <w:rsid w:val="00C416CD"/>
    <w:rsid w:val="00C42601"/>
    <w:rsid w:val="00C43677"/>
    <w:rsid w:val="00C43BFF"/>
    <w:rsid w:val="00C44496"/>
    <w:rsid w:val="00C4451F"/>
    <w:rsid w:val="00C44646"/>
    <w:rsid w:val="00C45516"/>
    <w:rsid w:val="00C4574C"/>
    <w:rsid w:val="00C45915"/>
    <w:rsid w:val="00C459E3"/>
    <w:rsid w:val="00C45A51"/>
    <w:rsid w:val="00C45CC2"/>
    <w:rsid w:val="00C46A4E"/>
    <w:rsid w:val="00C46E94"/>
    <w:rsid w:val="00C47026"/>
    <w:rsid w:val="00C47379"/>
    <w:rsid w:val="00C47D8D"/>
    <w:rsid w:val="00C503D0"/>
    <w:rsid w:val="00C5054D"/>
    <w:rsid w:val="00C507C0"/>
    <w:rsid w:val="00C50E22"/>
    <w:rsid w:val="00C51371"/>
    <w:rsid w:val="00C5165E"/>
    <w:rsid w:val="00C52067"/>
    <w:rsid w:val="00C5217A"/>
    <w:rsid w:val="00C52673"/>
    <w:rsid w:val="00C52D96"/>
    <w:rsid w:val="00C531C5"/>
    <w:rsid w:val="00C5331E"/>
    <w:rsid w:val="00C533F9"/>
    <w:rsid w:val="00C53AA6"/>
    <w:rsid w:val="00C53CEF"/>
    <w:rsid w:val="00C543E9"/>
    <w:rsid w:val="00C5455A"/>
    <w:rsid w:val="00C54D82"/>
    <w:rsid w:val="00C551B3"/>
    <w:rsid w:val="00C553DA"/>
    <w:rsid w:val="00C55CCF"/>
    <w:rsid w:val="00C56291"/>
    <w:rsid w:val="00C57250"/>
    <w:rsid w:val="00C5745F"/>
    <w:rsid w:val="00C575C3"/>
    <w:rsid w:val="00C57D93"/>
    <w:rsid w:val="00C61CDC"/>
    <w:rsid w:val="00C61CF1"/>
    <w:rsid w:val="00C620C6"/>
    <w:rsid w:val="00C621CA"/>
    <w:rsid w:val="00C623A9"/>
    <w:rsid w:val="00C62CE0"/>
    <w:rsid w:val="00C634A8"/>
    <w:rsid w:val="00C643EC"/>
    <w:rsid w:val="00C6461B"/>
    <w:rsid w:val="00C64B50"/>
    <w:rsid w:val="00C64B54"/>
    <w:rsid w:val="00C64F0A"/>
    <w:rsid w:val="00C65F7F"/>
    <w:rsid w:val="00C70A05"/>
    <w:rsid w:val="00C70E63"/>
    <w:rsid w:val="00C71022"/>
    <w:rsid w:val="00C71410"/>
    <w:rsid w:val="00C718CC"/>
    <w:rsid w:val="00C721A7"/>
    <w:rsid w:val="00C731D8"/>
    <w:rsid w:val="00C74962"/>
    <w:rsid w:val="00C74B23"/>
    <w:rsid w:val="00C74C68"/>
    <w:rsid w:val="00C75BEA"/>
    <w:rsid w:val="00C75C44"/>
    <w:rsid w:val="00C75F5D"/>
    <w:rsid w:val="00C76D17"/>
    <w:rsid w:val="00C76EF0"/>
    <w:rsid w:val="00C77B2B"/>
    <w:rsid w:val="00C812A4"/>
    <w:rsid w:val="00C816D7"/>
    <w:rsid w:val="00C81CD9"/>
    <w:rsid w:val="00C81D1B"/>
    <w:rsid w:val="00C81F79"/>
    <w:rsid w:val="00C82317"/>
    <w:rsid w:val="00C825C5"/>
    <w:rsid w:val="00C827AE"/>
    <w:rsid w:val="00C82C68"/>
    <w:rsid w:val="00C82DF5"/>
    <w:rsid w:val="00C82F01"/>
    <w:rsid w:val="00C82FAC"/>
    <w:rsid w:val="00C830D9"/>
    <w:rsid w:val="00C83D79"/>
    <w:rsid w:val="00C84119"/>
    <w:rsid w:val="00C85A72"/>
    <w:rsid w:val="00C85F07"/>
    <w:rsid w:val="00C864C4"/>
    <w:rsid w:val="00C90057"/>
    <w:rsid w:val="00C904B2"/>
    <w:rsid w:val="00C913D4"/>
    <w:rsid w:val="00C91AD9"/>
    <w:rsid w:val="00C937CF"/>
    <w:rsid w:val="00C9418A"/>
    <w:rsid w:val="00C9470C"/>
    <w:rsid w:val="00C94A53"/>
    <w:rsid w:val="00C95C51"/>
    <w:rsid w:val="00C95C7A"/>
    <w:rsid w:val="00C96E3F"/>
    <w:rsid w:val="00C97303"/>
    <w:rsid w:val="00C979F4"/>
    <w:rsid w:val="00C97DCA"/>
    <w:rsid w:val="00CA0966"/>
    <w:rsid w:val="00CA0E23"/>
    <w:rsid w:val="00CA1585"/>
    <w:rsid w:val="00CA1C5B"/>
    <w:rsid w:val="00CA21DA"/>
    <w:rsid w:val="00CA2397"/>
    <w:rsid w:val="00CA247B"/>
    <w:rsid w:val="00CA2C70"/>
    <w:rsid w:val="00CA2FB3"/>
    <w:rsid w:val="00CA3FAD"/>
    <w:rsid w:val="00CA46D7"/>
    <w:rsid w:val="00CA48F3"/>
    <w:rsid w:val="00CA5207"/>
    <w:rsid w:val="00CA56BF"/>
    <w:rsid w:val="00CA59BC"/>
    <w:rsid w:val="00CA5EDE"/>
    <w:rsid w:val="00CA670A"/>
    <w:rsid w:val="00CA7128"/>
    <w:rsid w:val="00CA78B3"/>
    <w:rsid w:val="00CB0220"/>
    <w:rsid w:val="00CB028E"/>
    <w:rsid w:val="00CB0400"/>
    <w:rsid w:val="00CB0AE0"/>
    <w:rsid w:val="00CB0DA0"/>
    <w:rsid w:val="00CB1483"/>
    <w:rsid w:val="00CB148B"/>
    <w:rsid w:val="00CB227A"/>
    <w:rsid w:val="00CB28B3"/>
    <w:rsid w:val="00CB2EA9"/>
    <w:rsid w:val="00CB334C"/>
    <w:rsid w:val="00CB365C"/>
    <w:rsid w:val="00CB4813"/>
    <w:rsid w:val="00CB5744"/>
    <w:rsid w:val="00CB582D"/>
    <w:rsid w:val="00CB5F95"/>
    <w:rsid w:val="00CB689F"/>
    <w:rsid w:val="00CB6DB4"/>
    <w:rsid w:val="00CB799C"/>
    <w:rsid w:val="00CC0373"/>
    <w:rsid w:val="00CC0424"/>
    <w:rsid w:val="00CC0C0A"/>
    <w:rsid w:val="00CC0CD3"/>
    <w:rsid w:val="00CC1745"/>
    <w:rsid w:val="00CC205B"/>
    <w:rsid w:val="00CC23FB"/>
    <w:rsid w:val="00CC273E"/>
    <w:rsid w:val="00CC2788"/>
    <w:rsid w:val="00CC28D5"/>
    <w:rsid w:val="00CC2DD2"/>
    <w:rsid w:val="00CC31BA"/>
    <w:rsid w:val="00CC3827"/>
    <w:rsid w:val="00CC3837"/>
    <w:rsid w:val="00CC3943"/>
    <w:rsid w:val="00CC399B"/>
    <w:rsid w:val="00CC501F"/>
    <w:rsid w:val="00CC7180"/>
    <w:rsid w:val="00CC7B80"/>
    <w:rsid w:val="00CD06C4"/>
    <w:rsid w:val="00CD0E4F"/>
    <w:rsid w:val="00CD1F62"/>
    <w:rsid w:val="00CD2EB8"/>
    <w:rsid w:val="00CD3BA0"/>
    <w:rsid w:val="00CD42F2"/>
    <w:rsid w:val="00CD48DE"/>
    <w:rsid w:val="00CD4AE8"/>
    <w:rsid w:val="00CD5078"/>
    <w:rsid w:val="00CD5B12"/>
    <w:rsid w:val="00CD6336"/>
    <w:rsid w:val="00CD6DBD"/>
    <w:rsid w:val="00CE05A3"/>
    <w:rsid w:val="00CE0F94"/>
    <w:rsid w:val="00CE2E20"/>
    <w:rsid w:val="00CE38F0"/>
    <w:rsid w:val="00CE3CDC"/>
    <w:rsid w:val="00CE3CFA"/>
    <w:rsid w:val="00CE4468"/>
    <w:rsid w:val="00CE44EB"/>
    <w:rsid w:val="00CE4CCA"/>
    <w:rsid w:val="00CE54D1"/>
    <w:rsid w:val="00CE6004"/>
    <w:rsid w:val="00CE64AD"/>
    <w:rsid w:val="00CE653E"/>
    <w:rsid w:val="00CE7053"/>
    <w:rsid w:val="00CE720E"/>
    <w:rsid w:val="00CE7245"/>
    <w:rsid w:val="00CE746A"/>
    <w:rsid w:val="00CE7957"/>
    <w:rsid w:val="00CE7DAA"/>
    <w:rsid w:val="00CF04A2"/>
    <w:rsid w:val="00CF088E"/>
    <w:rsid w:val="00CF0A71"/>
    <w:rsid w:val="00CF11F5"/>
    <w:rsid w:val="00CF1D7E"/>
    <w:rsid w:val="00CF23ED"/>
    <w:rsid w:val="00CF2786"/>
    <w:rsid w:val="00CF2F2D"/>
    <w:rsid w:val="00CF31E4"/>
    <w:rsid w:val="00CF32C7"/>
    <w:rsid w:val="00CF3D01"/>
    <w:rsid w:val="00CF3E59"/>
    <w:rsid w:val="00CF4163"/>
    <w:rsid w:val="00CF4390"/>
    <w:rsid w:val="00CF4627"/>
    <w:rsid w:val="00CF4788"/>
    <w:rsid w:val="00CF47A0"/>
    <w:rsid w:val="00CF4F8A"/>
    <w:rsid w:val="00CF53A5"/>
    <w:rsid w:val="00CF56DC"/>
    <w:rsid w:val="00CF58E5"/>
    <w:rsid w:val="00CF5B6D"/>
    <w:rsid w:val="00CF5C17"/>
    <w:rsid w:val="00CF64BE"/>
    <w:rsid w:val="00CF74DE"/>
    <w:rsid w:val="00D0031F"/>
    <w:rsid w:val="00D006C4"/>
    <w:rsid w:val="00D01233"/>
    <w:rsid w:val="00D014BC"/>
    <w:rsid w:val="00D014DF"/>
    <w:rsid w:val="00D01630"/>
    <w:rsid w:val="00D01843"/>
    <w:rsid w:val="00D02523"/>
    <w:rsid w:val="00D02A46"/>
    <w:rsid w:val="00D02E6F"/>
    <w:rsid w:val="00D03BA3"/>
    <w:rsid w:val="00D040FD"/>
    <w:rsid w:val="00D044EA"/>
    <w:rsid w:val="00D04784"/>
    <w:rsid w:val="00D047C9"/>
    <w:rsid w:val="00D04DA7"/>
    <w:rsid w:val="00D04E82"/>
    <w:rsid w:val="00D057BE"/>
    <w:rsid w:val="00D05D68"/>
    <w:rsid w:val="00D06173"/>
    <w:rsid w:val="00D061AF"/>
    <w:rsid w:val="00D065AC"/>
    <w:rsid w:val="00D066CD"/>
    <w:rsid w:val="00D0685E"/>
    <w:rsid w:val="00D0717E"/>
    <w:rsid w:val="00D0729C"/>
    <w:rsid w:val="00D07E15"/>
    <w:rsid w:val="00D10747"/>
    <w:rsid w:val="00D10D73"/>
    <w:rsid w:val="00D1157C"/>
    <w:rsid w:val="00D11E13"/>
    <w:rsid w:val="00D129A8"/>
    <w:rsid w:val="00D12D6D"/>
    <w:rsid w:val="00D1349C"/>
    <w:rsid w:val="00D1368F"/>
    <w:rsid w:val="00D13D21"/>
    <w:rsid w:val="00D14E1E"/>
    <w:rsid w:val="00D152EA"/>
    <w:rsid w:val="00D15770"/>
    <w:rsid w:val="00D15CE5"/>
    <w:rsid w:val="00D162B2"/>
    <w:rsid w:val="00D168E3"/>
    <w:rsid w:val="00D1747A"/>
    <w:rsid w:val="00D17C6D"/>
    <w:rsid w:val="00D20397"/>
    <w:rsid w:val="00D20A79"/>
    <w:rsid w:val="00D20F17"/>
    <w:rsid w:val="00D21250"/>
    <w:rsid w:val="00D2141D"/>
    <w:rsid w:val="00D2190F"/>
    <w:rsid w:val="00D21A1A"/>
    <w:rsid w:val="00D23295"/>
    <w:rsid w:val="00D23816"/>
    <w:rsid w:val="00D24242"/>
    <w:rsid w:val="00D24F32"/>
    <w:rsid w:val="00D26246"/>
    <w:rsid w:val="00D26B2C"/>
    <w:rsid w:val="00D27204"/>
    <w:rsid w:val="00D2755D"/>
    <w:rsid w:val="00D275D8"/>
    <w:rsid w:val="00D27722"/>
    <w:rsid w:val="00D30080"/>
    <w:rsid w:val="00D30517"/>
    <w:rsid w:val="00D30770"/>
    <w:rsid w:val="00D31B44"/>
    <w:rsid w:val="00D33884"/>
    <w:rsid w:val="00D33AE4"/>
    <w:rsid w:val="00D33B2D"/>
    <w:rsid w:val="00D34057"/>
    <w:rsid w:val="00D3442D"/>
    <w:rsid w:val="00D34440"/>
    <w:rsid w:val="00D34E23"/>
    <w:rsid w:val="00D35195"/>
    <w:rsid w:val="00D3522F"/>
    <w:rsid w:val="00D356A2"/>
    <w:rsid w:val="00D359F9"/>
    <w:rsid w:val="00D37101"/>
    <w:rsid w:val="00D37BFC"/>
    <w:rsid w:val="00D4071F"/>
    <w:rsid w:val="00D412B3"/>
    <w:rsid w:val="00D41510"/>
    <w:rsid w:val="00D41899"/>
    <w:rsid w:val="00D41A20"/>
    <w:rsid w:val="00D41DC6"/>
    <w:rsid w:val="00D41E90"/>
    <w:rsid w:val="00D424A6"/>
    <w:rsid w:val="00D42F75"/>
    <w:rsid w:val="00D43458"/>
    <w:rsid w:val="00D44494"/>
    <w:rsid w:val="00D449AE"/>
    <w:rsid w:val="00D44D4B"/>
    <w:rsid w:val="00D4555A"/>
    <w:rsid w:val="00D45803"/>
    <w:rsid w:val="00D45B6C"/>
    <w:rsid w:val="00D45D14"/>
    <w:rsid w:val="00D462F1"/>
    <w:rsid w:val="00D46661"/>
    <w:rsid w:val="00D470F9"/>
    <w:rsid w:val="00D47623"/>
    <w:rsid w:val="00D50177"/>
    <w:rsid w:val="00D509FE"/>
    <w:rsid w:val="00D51D98"/>
    <w:rsid w:val="00D52025"/>
    <w:rsid w:val="00D52DA3"/>
    <w:rsid w:val="00D5326C"/>
    <w:rsid w:val="00D53296"/>
    <w:rsid w:val="00D5356F"/>
    <w:rsid w:val="00D53B76"/>
    <w:rsid w:val="00D53D1D"/>
    <w:rsid w:val="00D5470E"/>
    <w:rsid w:val="00D54A02"/>
    <w:rsid w:val="00D55BDC"/>
    <w:rsid w:val="00D55E62"/>
    <w:rsid w:val="00D560B2"/>
    <w:rsid w:val="00D5643C"/>
    <w:rsid w:val="00D5651F"/>
    <w:rsid w:val="00D575E3"/>
    <w:rsid w:val="00D57CEA"/>
    <w:rsid w:val="00D57CEB"/>
    <w:rsid w:val="00D608F0"/>
    <w:rsid w:val="00D60995"/>
    <w:rsid w:val="00D614DB"/>
    <w:rsid w:val="00D61F7D"/>
    <w:rsid w:val="00D6212B"/>
    <w:rsid w:val="00D6240D"/>
    <w:rsid w:val="00D62795"/>
    <w:rsid w:val="00D62E17"/>
    <w:rsid w:val="00D6355F"/>
    <w:rsid w:val="00D63D14"/>
    <w:rsid w:val="00D64A39"/>
    <w:rsid w:val="00D64B0A"/>
    <w:rsid w:val="00D6583E"/>
    <w:rsid w:val="00D66177"/>
    <w:rsid w:val="00D667EB"/>
    <w:rsid w:val="00D66838"/>
    <w:rsid w:val="00D67192"/>
    <w:rsid w:val="00D67533"/>
    <w:rsid w:val="00D67886"/>
    <w:rsid w:val="00D67E8B"/>
    <w:rsid w:val="00D705D8"/>
    <w:rsid w:val="00D70AFB"/>
    <w:rsid w:val="00D71D45"/>
    <w:rsid w:val="00D71DBB"/>
    <w:rsid w:val="00D73042"/>
    <w:rsid w:val="00D740DC"/>
    <w:rsid w:val="00D74152"/>
    <w:rsid w:val="00D74218"/>
    <w:rsid w:val="00D74449"/>
    <w:rsid w:val="00D74909"/>
    <w:rsid w:val="00D74EF0"/>
    <w:rsid w:val="00D75360"/>
    <w:rsid w:val="00D7549C"/>
    <w:rsid w:val="00D757A6"/>
    <w:rsid w:val="00D757E3"/>
    <w:rsid w:val="00D769E2"/>
    <w:rsid w:val="00D76A47"/>
    <w:rsid w:val="00D76CE2"/>
    <w:rsid w:val="00D76D4A"/>
    <w:rsid w:val="00D7710E"/>
    <w:rsid w:val="00D77688"/>
    <w:rsid w:val="00D7796D"/>
    <w:rsid w:val="00D801AD"/>
    <w:rsid w:val="00D80D09"/>
    <w:rsid w:val="00D81617"/>
    <w:rsid w:val="00D81823"/>
    <w:rsid w:val="00D81E82"/>
    <w:rsid w:val="00D83D04"/>
    <w:rsid w:val="00D84C88"/>
    <w:rsid w:val="00D8526F"/>
    <w:rsid w:val="00D865A8"/>
    <w:rsid w:val="00D8673D"/>
    <w:rsid w:val="00D86B6D"/>
    <w:rsid w:val="00D86CE1"/>
    <w:rsid w:val="00D86D3F"/>
    <w:rsid w:val="00D86D66"/>
    <w:rsid w:val="00D87054"/>
    <w:rsid w:val="00D871AB"/>
    <w:rsid w:val="00D8759A"/>
    <w:rsid w:val="00D87770"/>
    <w:rsid w:val="00D9110E"/>
    <w:rsid w:val="00D9133D"/>
    <w:rsid w:val="00D9151E"/>
    <w:rsid w:val="00D915CF"/>
    <w:rsid w:val="00D91846"/>
    <w:rsid w:val="00D91FB9"/>
    <w:rsid w:val="00D924E5"/>
    <w:rsid w:val="00D92E9B"/>
    <w:rsid w:val="00D93787"/>
    <w:rsid w:val="00D93C56"/>
    <w:rsid w:val="00D944EC"/>
    <w:rsid w:val="00D9498E"/>
    <w:rsid w:val="00D95C92"/>
    <w:rsid w:val="00D95CB5"/>
    <w:rsid w:val="00D96006"/>
    <w:rsid w:val="00D96E07"/>
    <w:rsid w:val="00D9747C"/>
    <w:rsid w:val="00DA078F"/>
    <w:rsid w:val="00DA27D3"/>
    <w:rsid w:val="00DA2955"/>
    <w:rsid w:val="00DA2970"/>
    <w:rsid w:val="00DA31DE"/>
    <w:rsid w:val="00DA3273"/>
    <w:rsid w:val="00DA3CEE"/>
    <w:rsid w:val="00DA3FA6"/>
    <w:rsid w:val="00DA411C"/>
    <w:rsid w:val="00DA4349"/>
    <w:rsid w:val="00DA476E"/>
    <w:rsid w:val="00DA4EBA"/>
    <w:rsid w:val="00DA530A"/>
    <w:rsid w:val="00DA64ED"/>
    <w:rsid w:val="00DA66AF"/>
    <w:rsid w:val="00DA6C63"/>
    <w:rsid w:val="00DA728D"/>
    <w:rsid w:val="00DB0886"/>
    <w:rsid w:val="00DB08A6"/>
    <w:rsid w:val="00DB0AF1"/>
    <w:rsid w:val="00DB0E90"/>
    <w:rsid w:val="00DB0F35"/>
    <w:rsid w:val="00DB12AD"/>
    <w:rsid w:val="00DB150F"/>
    <w:rsid w:val="00DB1BB7"/>
    <w:rsid w:val="00DB1CFA"/>
    <w:rsid w:val="00DB207D"/>
    <w:rsid w:val="00DB219C"/>
    <w:rsid w:val="00DB23F9"/>
    <w:rsid w:val="00DB23FF"/>
    <w:rsid w:val="00DB396F"/>
    <w:rsid w:val="00DB5CE9"/>
    <w:rsid w:val="00DB649A"/>
    <w:rsid w:val="00DB667C"/>
    <w:rsid w:val="00DB684E"/>
    <w:rsid w:val="00DC062F"/>
    <w:rsid w:val="00DC0A86"/>
    <w:rsid w:val="00DC0EF0"/>
    <w:rsid w:val="00DC17E8"/>
    <w:rsid w:val="00DC2B41"/>
    <w:rsid w:val="00DC3270"/>
    <w:rsid w:val="00DC357C"/>
    <w:rsid w:val="00DC3D66"/>
    <w:rsid w:val="00DC3ED5"/>
    <w:rsid w:val="00DC3F52"/>
    <w:rsid w:val="00DC42B4"/>
    <w:rsid w:val="00DC4C90"/>
    <w:rsid w:val="00DC4CA2"/>
    <w:rsid w:val="00DC4E08"/>
    <w:rsid w:val="00DC579F"/>
    <w:rsid w:val="00DC62B6"/>
    <w:rsid w:val="00DC64D5"/>
    <w:rsid w:val="00DC7744"/>
    <w:rsid w:val="00DC7988"/>
    <w:rsid w:val="00DD0416"/>
    <w:rsid w:val="00DD06A3"/>
    <w:rsid w:val="00DD12F3"/>
    <w:rsid w:val="00DD1482"/>
    <w:rsid w:val="00DD15E3"/>
    <w:rsid w:val="00DD1884"/>
    <w:rsid w:val="00DD1A60"/>
    <w:rsid w:val="00DD1EDD"/>
    <w:rsid w:val="00DD2086"/>
    <w:rsid w:val="00DD2640"/>
    <w:rsid w:val="00DD282F"/>
    <w:rsid w:val="00DD2E6A"/>
    <w:rsid w:val="00DD2EF1"/>
    <w:rsid w:val="00DD3949"/>
    <w:rsid w:val="00DD3B11"/>
    <w:rsid w:val="00DD41A0"/>
    <w:rsid w:val="00DD4378"/>
    <w:rsid w:val="00DD5A3C"/>
    <w:rsid w:val="00DD6875"/>
    <w:rsid w:val="00DD69D6"/>
    <w:rsid w:val="00DD6AE7"/>
    <w:rsid w:val="00DD6CEF"/>
    <w:rsid w:val="00DD7967"/>
    <w:rsid w:val="00DD7CE2"/>
    <w:rsid w:val="00DE0B93"/>
    <w:rsid w:val="00DE160D"/>
    <w:rsid w:val="00DE1A9F"/>
    <w:rsid w:val="00DE2573"/>
    <w:rsid w:val="00DE26F8"/>
    <w:rsid w:val="00DE279D"/>
    <w:rsid w:val="00DE2E84"/>
    <w:rsid w:val="00DE32A9"/>
    <w:rsid w:val="00DE33C0"/>
    <w:rsid w:val="00DE3E9B"/>
    <w:rsid w:val="00DE4131"/>
    <w:rsid w:val="00DE41E1"/>
    <w:rsid w:val="00DE4EC6"/>
    <w:rsid w:val="00DE6018"/>
    <w:rsid w:val="00DE6166"/>
    <w:rsid w:val="00DE61A9"/>
    <w:rsid w:val="00DE6E03"/>
    <w:rsid w:val="00DE71EB"/>
    <w:rsid w:val="00DE7FA8"/>
    <w:rsid w:val="00DF00FB"/>
    <w:rsid w:val="00DF1303"/>
    <w:rsid w:val="00DF2038"/>
    <w:rsid w:val="00DF2693"/>
    <w:rsid w:val="00DF293C"/>
    <w:rsid w:val="00DF29FA"/>
    <w:rsid w:val="00DF2B5F"/>
    <w:rsid w:val="00DF2B7E"/>
    <w:rsid w:val="00DF2F17"/>
    <w:rsid w:val="00DF305A"/>
    <w:rsid w:val="00DF33FE"/>
    <w:rsid w:val="00DF347A"/>
    <w:rsid w:val="00DF36CD"/>
    <w:rsid w:val="00DF41C8"/>
    <w:rsid w:val="00DF4FC6"/>
    <w:rsid w:val="00DF5BFA"/>
    <w:rsid w:val="00DF648A"/>
    <w:rsid w:val="00DF654A"/>
    <w:rsid w:val="00DF660B"/>
    <w:rsid w:val="00DF7455"/>
    <w:rsid w:val="00DF79C1"/>
    <w:rsid w:val="00E00C36"/>
    <w:rsid w:val="00E012FD"/>
    <w:rsid w:val="00E0130F"/>
    <w:rsid w:val="00E01E32"/>
    <w:rsid w:val="00E0205B"/>
    <w:rsid w:val="00E02D32"/>
    <w:rsid w:val="00E034C7"/>
    <w:rsid w:val="00E039EA"/>
    <w:rsid w:val="00E03C79"/>
    <w:rsid w:val="00E04716"/>
    <w:rsid w:val="00E04CB2"/>
    <w:rsid w:val="00E0519B"/>
    <w:rsid w:val="00E0533A"/>
    <w:rsid w:val="00E061F5"/>
    <w:rsid w:val="00E067BE"/>
    <w:rsid w:val="00E0728B"/>
    <w:rsid w:val="00E07F4C"/>
    <w:rsid w:val="00E10333"/>
    <w:rsid w:val="00E1068D"/>
    <w:rsid w:val="00E10D9C"/>
    <w:rsid w:val="00E1103E"/>
    <w:rsid w:val="00E12360"/>
    <w:rsid w:val="00E12498"/>
    <w:rsid w:val="00E14FE9"/>
    <w:rsid w:val="00E159F8"/>
    <w:rsid w:val="00E1630F"/>
    <w:rsid w:val="00E1746C"/>
    <w:rsid w:val="00E17669"/>
    <w:rsid w:val="00E177F3"/>
    <w:rsid w:val="00E17C68"/>
    <w:rsid w:val="00E17DAF"/>
    <w:rsid w:val="00E17DF0"/>
    <w:rsid w:val="00E17EB5"/>
    <w:rsid w:val="00E202B6"/>
    <w:rsid w:val="00E204F0"/>
    <w:rsid w:val="00E20848"/>
    <w:rsid w:val="00E21273"/>
    <w:rsid w:val="00E213C5"/>
    <w:rsid w:val="00E21EE6"/>
    <w:rsid w:val="00E22405"/>
    <w:rsid w:val="00E22C83"/>
    <w:rsid w:val="00E2475C"/>
    <w:rsid w:val="00E24762"/>
    <w:rsid w:val="00E25445"/>
    <w:rsid w:val="00E25C10"/>
    <w:rsid w:val="00E26202"/>
    <w:rsid w:val="00E26241"/>
    <w:rsid w:val="00E26E1A"/>
    <w:rsid w:val="00E26E93"/>
    <w:rsid w:val="00E26FCE"/>
    <w:rsid w:val="00E26FF9"/>
    <w:rsid w:val="00E27015"/>
    <w:rsid w:val="00E27119"/>
    <w:rsid w:val="00E27139"/>
    <w:rsid w:val="00E309DD"/>
    <w:rsid w:val="00E30ED6"/>
    <w:rsid w:val="00E31001"/>
    <w:rsid w:val="00E3175F"/>
    <w:rsid w:val="00E31A91"/>
    <w:rsid w:val="00E33297"/>
    <w:rsid w:val="00E347B7"/>
    <w:rsid w:val="00E34BFE"/>
    <w:rsid w:val="00E34D1D"/>
    <w:rsid w:val="00E34DE8"/>
    <w:rsid w:val="00E35108"/>
    <w:rsid w:val="00E352F0"/>
    <w:rsid w:val="00E35510"/>
    <w:rsid w:val="00E35867"/>
    <w:rsid w:val="00E35A97"/>
    <w:rsid w:val="00E36282"/>
    <w:rsid w:val="00E3680D"/>
    <w:rsid w:val="00E41555"/>
    <w:rsid w:val="00E41FF5"/>
    <w:rsid w:val="00E42208"/>
    <w:rsid w:val="00E422CD"/>
    <w:rsid w:val="00E42993"/>
    <w:rsid w:val="00E42C5B"/>
    <w:rsid w:val="00E4360F"/>
    <w:rsid w:val="00E439AE"/>
    <w:rsid w:val="00E43C17"/>
    <w:rsid w:val="00E43D8B"/>
    <w:rsid w:val="00E43FB3"/>
    <w:rsid w:val="00E440A1"/>
    <w:rsid w:val="00E440C6"/>
    <w:rsid w:val="00E44BC0"/>
    <w:rsid w:val="00E44D01"/>
    <w:rsid w:val="00E45095"/>
    <w:rsid w:val="00E459B4"/>
    <w:rsid w:val="00E45DD4"/>
    <w:rsid w:val="00E4612A"/>
    <w:rsid w:val="00E4662D"/>
    <w:rsid w:val="00E46661"/>
    <w:rsid w:val="00E46799"/>
    <w:rsid w:val="00E46D54"/>
    <w:rsid w:val="00E473E9"/>
    <w:rsid w:val="00E4774C"/>
    <w:rsid w:val="00E47870"/>
    <w:rsid w:val="00E50188"/>
    <w:rsid w:val="00E50DFD"/>
    <w:rsid w:val="00E512C3"/>
    <w:rsid w:val="00E51AA9"/>
    <w:rsid w:val="00E51D41"/>
    <w:rsid w:val="00E51DDF"/>
    <w:rsid w:val="00E53056"/>
    <w:rsid w:val="00E53283"/>
    <w:rsid w:val="00E53CAB"/>
    <w:rsid w:val="00E542CD"/>
    <w:rsid w:val="00E55CD4"/>
    <w:rsid w:val="00E55D3B"/>
    <w:rsid w:val="00E56087"/>
    <w:rsid w:val="00E563B2"/>
    <w:rsid w:val="00E5660B"/>
    <w:rsid w:val="00E56A87"/>
    <w:rsid w:val="00E56AD5"/>
    <w:rsid w:val="00E57090"/>
    <w:rsid w:val="00E5709B"/>
    <w:rsid w:val="00E57A76"/>
    <w:rsid w:val="00E57AA2"/>
    <w:rsid w:val="00E60D27"/>
    <w:rsid w:val="00E612AF"/>
    <w:rsid w:val="00E612FF"/>
    <w:rsid w:val="00E619BB"/>
    <w:rsid w:val="00E61E90"/>
    <w:rsid w:val="00E632D4"/>
    <w:rsid w:val="00E6394A"/>
    <w:rsid w:val="00E642DE"/>
    <w:rsid w:val="00E64469"/>
    <w:rsid w:val="00E65953"/>
    <w:rsid w:val="00E65F6C"/>
    <w:rsid w:val="00E66004"/>
    <w:rsid w:val="00E675F3"/>
    <w:rsid w:val="00E700A9"/>
    <w:rsid w:val="00E703BD"/>
    <w:rsid w:val="00E70632"/>
    <w:rsid w:val="00E707DF"/>
    <w:rsid w:val="00E70B34"/>
    <w:rsid w:val="00E70F9E"/>
    <w:rsid w:val="00E71160"/>
    <w:rsid w:val="00E71999"/>
    <w:rsid w:val="00E71B93"/>
    <w:rsid w:val="00E72AC2"/>
    <w:rsid w:val="00E72E09"/>
    <w:rsid w:val="00E74625"/>
    <w:rsid w:val="00E74B95"/>
    <w:rsid w:val="00E75005"/>
    <w:rsid w:val="00E752FF"/>
    <w:rsid w:val="00E75782"/>
    <w:rsid w:val="00E7601A"/>
    <w:rsid w:val="00E7707B"/>
    <w:rsid w:val="00E7709A"/>
    <w:rsid w:val="00E7714F"/>
    <w:rsid w:val="00E81744"/>
    <w:rsid w:val="00E82065"/>
    <w:rsid w:val="00E82B56"/>
    <w:rsid w:val="00E82ECE"/>
    <w:rsid w:val="00E84EC2"/>
    <w:rsid w:val="00E8501B"/>
    <w:rsid w:val="00E85270"/>
    <w:rsid w:val="00E85551"/>
    <w:rsid w:val="00E857EA"/>
    <w:rsid w:val="00E85A8B"/>
    <w:rsid w:val="00E8650D"/>
    <w:rsid w:val="00E8725D"/>
    <w:rsid w:val="00E8793A"/>
    <w:rsid w:val="00E87A02"/>
    <w:rsid w:val="00E901C9"/>
    <w:rsid w:val="00E9040B"/>
    <w:rsid w:val="00E90553"/>
    <w:rsid w:val="00E90A10"/>
    <w:rsid w:val="00E90DC0"/>
    <w:rsid w:val="00E90F21"/>
    <w:rsid w:val="00E91D55"/>
    <w:rsid w:val="00E91E53"/>
    <w:rsid w:val="00E91FC9"/>
    <w:rsid w:val="00E92401"/>
    <w:rsid w:val="00E92797"/>
    <w:rsid w:val="00E92994"/>
    <w:rsid w:val="00E92ABC"/>
    <w:rsid w:val="00E92C68"/>
    <w:rsid w:val="00E93022"/>
    <w:rsid w:val="00E9350B"/>
    <w:rsid w:val="00E93C2F"/>
    <w:rsid w:val="00E944A2"/>
    <w:rsid w:val="00E94A23"/>
    <w:rsid w:val="00E94BE7"/>
    <w:rsid w:val="00E95B03"/>
    <w:rsid w:val="00E95F27"/>
    <w:rsid w:val="00E9638F"/>
    <w:rsid w:val="00E965C0"/>
    <w:rsid w:val="00E966E9"/>
    <w:rsid w:val="00E96832"/>
    <w:rsid w:val="00E96CC4"/>
    <w:rsid w:val="00E9717D"/>
    <w:rsid w:val="00E972F7"/>
    <w:rsid w:val="00E97B4A"/>
    <w:rsid w:val="00EA00FF"/>
    <w:rsid w:val="00EA03F3"/>
    <w:rsid w:val="00EA0465"/>
    <w:rsid w:val="00EA05EB"/>
    <w:rsid w:val="00EA07AC"/>
    <w:rsid w:val="00EA07F9"/>
    <w:rsid w:val="00EA0BDE"/>
    <w:rsid w:val="00EA0DA2"/>
    <w:rsid w:val="00EA112C"/>
    <w:rsid w:val="00EA1F8F"/>
    <w:rsid w:val="00EA247F"/>
    <w:rsid w:val="00EA2B41"/>
    <w:rsid w:val="00EA2E81"/>
    <w:rsid w:val="00EA3D81"/>
    <w:rsid w:val="00EA436B"/>
    <w:rsid w:val="00EA56F8"/>
    <w:rsid w:val="00EA573B"/>
    <w:rsid w:val="00EA57CE"/>
    <w:rsid w:val="00EA5AA9"/>
    <w:rsid w:val="00EA6050"/>
    <w:rsid w:val="00EA646A"/>
    <w:rsid w:val="00EA6C1C"/>
    <w:rsid w:val="00EA6CBC"/>
    <w:rsid w:val="00EB07D1"/>
    <w:rsid w:val="00EB0CB8"/>
    <w:rsid w:val="00EB2441"/>
    <w:rsid w:val="00EB27D1"/>
    <w:rsid w:val="00EB2CD5"/>
    <w:rsid w:val="00EB2F3C"/>
    <w:rsid w:val="00EB30FF"/>
    <w:rsid w:val="00EB3580"/>
    <w:rsid w:val="00EB364A"/>
    <w:rsid w:val="00EB3A8E"/>
    <w:rsid w:val="00EB3B50"/>
    <w:rsid w:val="00EB3C35"/>
    <w:rsid w:val="00EB43C6"/>
    <w:rsid w:val="00EB5AAA"/>
    <w:rsid w:val="00EB617A"/>
    <w:rsid w:val="00EB6E9B"/>
    <w:rsid w:val="00EB7F3A"/>
    <w:rsid w:val="00EC0817"/>
    <w:rsid w:val="00EC09E9"/>
    <w:rsid w:val="00EC0BF6"/>
    <w:rsid w:val="00EC0C5D"/>
    <w:rsid w:val="00EC19DF"/>
    <w:rsid w:val="00EC1B1C"/>
    <w:rsid w:val="00EC1B3C"/>
    <w:rsid w:val="00EC271A"/>
    <w:rsid w:val="00EC311A"/>
    <w:rsid w:val="00EC3161"/>
    <w:rsid w:val="00EC38DE"/>
    <w:rsid w:val="00EC39A1"/>
    <w:rsid w:val="00EC49B9"/>
    <w:rsid w:val="00EC4FBC"/>
    <w:rsid w:val="00EC5455"/>
    <w:rsid w:val="00EC54E2"/>
    <w:rsid w:val="00EC5E43"/>
    <w:rsid w:val="00EC627C"/>
    <w:rsid w:val="00EC666D"/>
    <w:rsid w:val="00EC6720"/>
    <w:rsid w:val="00EC6E64"/>
    <w:rsid w:val="00EC704F"/>
    <w:rsid w:val="00EC74BB"/>
    <w:rsid w:val="00EC7B2E"/>
    <w:rsid w:val="00EC7E90"/>
    <w:rsid w:val="00ED00E1"/>
    <w:rsid w:val="00ED1042"/>
    <w:rsid w:val="00ED15B9"/>
    <w:rsid w:val="00ED1719"/>
    <w:rsid w:val="00ED1D59"/>
    <w:rsid w:val="00ED225C"/>
    <w:rsid w:val="00ED274C"/>
    <w:rsid w:val="00ED27FC"/>
    <w:rsid w:val="00ED2B0B"/>
    <w:rsid w:val="00ED2C32"/>
    <w:rsid w:val="00ED3117"/>
    <w:rsid w:val="00ED3434"/>
    <w:rsid w:val="00ED3A02"/>
    <w:rsid w:val="00ED405C"/>
    <w:rsid w:val="00ED4492"/>
    <w:rsid w:val="00ED48DE"/>
    <w:rsid w:val="00ED4BAD"/>
    <w:rsid w:val="00ED6080"/>
    <w:rsid w:val="00ED638D"/>
    <w:rsid w:val="00ED64C9"/>
    <w:rsid w:val="00ED69B7"/>
    <w:rsid w:val="00ED6DE0"/>
    <w:rsid w:val="00ED7342"/>
    <w:rsid w:val="00ED77F5"/>
    <w:rsid w:val="00EE05E2"/>
    <w:rsid w:val="00EE07DA"/>
    <w:rsid w:val="00EE0EA0"/>
    <w:rsid w:val="00EE1413"/>
    <w:rsid w:val="00EE14D5"/>
    <w:rsid w:val="00EE15BE"/>
    <w:rsid w:val="00EE1725"/>
    <w:rsid w:val="00EE18B0"/>
    <w:rsid w:val="00EE1E2B"/>
    <w:rsid w:val="00EE2E3D"/>
    <w:rsid w:val="00EE2FC2"/>
    <w:rsid w:val="00EE3A9E"/>
    <w:rsid w:val="00EE3BA9"/>
    <w:rsid w:val="00EE5100"/>
    <w:rsid w:val="00EE5319"/>
    <w:rsid w:val="00EE5D92"/>
    <w:rsid w:val="00EE6386"/>
    <w:rsid w:val="00EE691D"/>
    <w:rsid w:val="00EE6FD6"/>
    <w:rsid w:val="00EE71A5"/>
    <w:rsid w:val="00EE7BED"/>
    <w:rsid w:val="00EF0358"/>
    <w:rsid w:val="00EF035C"/>
    <w:rsid w:val="00EF03CA"/>
    <w:rsid w:val="00EF0980"/>
    <w:rsid w:val="00EF09D6"/>
    <w:rsid w:val="00EF10C6"/>
    <w:rsid w:val="00EF10E4"/>
    <w:rsid w:val="00EF12F8"/>
    <w:rsid w:val="00EF1BF3"/>
    <w:rsid w:val="00EF1C7D"/>
    <w:rsid w:val="00EF1FBC"/>
    <w:rsid w:val="00EF2C65"/>
    <w:rsid w:val="00EF3DAC"/>
    <w:rsid w:val="00EF3DEC"/>
    <w:rsid w:val="00EF3EF1"/>
    <w:rsid w:val="00EF491B"/>
    <w:rsid w:val="00EF4AC4"/>
    <w:rsid w:val="00EF4DE0"/>
    <w:rsid w:val="00EF53D4"/>
    <w:rsid w:val="00EF57F0"/>
    <w:rsid w:val="00EF5D29"/>
    <w:rsid w:val="00F0029C"/>
    <w:rsid w:val="00F00542"/>
    <w:rsid w:val="00F007C5"/>
    <w:rsid w:val="00F00AA8"/>
    <w:rsid w:val="00F00F5C"/>
    <w:rsid w:val="00F02065"/>
    <w:rsid w:val="00F02148"/>
    <w:rsid w:val="00F035FF"/>
    <w:rsid w:val="00F03998"/>
    <w:rsid w:val="00F03D0E"/>
    <w:rsid w:val="00F0404D"/>
    <w:rsid w:val="00F04842"/>
    <w:rsid w:val="00F04BBB"/>
    <w:rsid w:val="00F05CED"/>
    <w:rsid w:val="00F0605E"/>
    <w:rsid w:val="00F0624D"/>
    <w:rsid w:val="00F07505"/>
    <w:rsid w:val="00F07A95"/>
    <w:rsid w:val="00F07CFB"/>
    <w:rsid w:val="00F104E3"/>
    <w:rsid w:val="00F11367"/>
    <w:rsid w:val="00F115E1"/>
    <w:rsid w:val="00F115FB"/>
    <w:rsid w:val="00F1188A"/>
    <w:rsid w:val="00F11DEE"/>
    <w:rsid w:val="00F129B7"/>
    <w:rsid w:val="00F130D0"/>
    <w:rsid w:val="00F132F0"/>
    <w:rsid w:val="00F13F07"/>
    <w:rsid w:val="00F140BF"/>
    <w:rsid w:val="00F1465F"/>
    <w:rsid w:val="00F1469B"/>
    <w:rsid w:val="00F1530C"/>
    <w:rsid w:val="00F156A1"/>
    <w:rsid w:val="00F15F84"/>
    <w:rsid w:val="00F16FF4"/>
    <w:rsid w:val="00F20386"/>
    <w:rsid w:val="00F20CF3"/>
    <w:rsid w:val="00F20D6F"/>
    <w:rsid w:val="00F21256"/>
    <w:rsid w:val="00F219F3"/>
    <w:rsid w:val="00F21A98"/>
    <w:rsid w:val="00F21B41"/>
    <w:rsid w:val="00F21CBA"/>
    <w:rsid w:val="00F21E30"/>
    <w:rsid w:val="00F220AF"/>
    <w:rsid w:val="00F2222F"/>
    <w:rsid w:val="00F22525"/>
    <w:rsid w:val="00F227C2"/>
    <w:rsid w:val="00F22B4E"/>
    <w:rsid w:val="00F233CB"/>
    <w:rsid w:val="00F23C24"/>
    <w:rsid w:val="00F23E18"/>
    <w:rsid w:val="00F2435D"/>
    <w:rsid w:val="00F24860"/>
    <w:rsid w:val="00F24BE6"/>
    <w:rsid w:val="00F254A8"/>
    <w:rsid w:val="00F2602C"/>
    <w:rsid w:val="00F26286"/>
    <w:rsid w:val="00F26BAB"/>
    <w:rsid w:val="00F273D0"/>
    <w:rsid w:val="00F277E3"/>
    <w:rsid w:val="00F27945"/>
    <w:rsid w:val="00F30728"/>
    <w:rsid w:val="00F31E80"/>
    <w:rsid w:val="00F3284C"/>
    <w:rsid w:val="00F32A79"/>
    <w:rsid w:val="00F32B60"/>
    <w:rsid w:val="00F336D7"/>
    <w:rsid w:val="00F3379A"/>
    <w:rsid w:val="00F346AF"/>
    <w:rsid w:val="00F347CD"/>
    <w:rsid w:val="00F34EC9"/>
    <w:rsid w:val="00F3525A"/>
    <w:rsid w:val="00F355D0"/>
    <w:rsid w:val="00F35DAC"/>
    <w:rsid w:val="00F36630"/>
    <w:rsid w:val="00F36A18"/>
    <w:rsid w:val="00F36A19"/>
    <w:rsid w:val="00F36CFC"/>
    <w:rsid w:val="00F37450"/>
    <w:rsid w:val="00F37727"/>
    <w:rsid w:val="00F377D3"/>
    <w:rsid w:val="00F406CF"/>
    <w:rsid w:val="00F40A5B"/>
    <w:rsid w:val="00F40B6D"/>
    <w:rsid w:val="00F40CCE"/>
    <w:rsid w:val="00F40DD3"/>
    <w:rsid w:val="00F41136"/>
    <w:rsid w:val="00F41A5C"/>
    <w:rsid w:val="00F41EA1"/>
    <w:rsid w:val="00F420B7"/>
    <w:rsid w:val="00F43C86"/>
    <w:rsid w:val="00F43D93"/>
    <w:rsid w:val="00F44818"/>
    <w:rsid w:val="00F44D41"/>
    <w:rsid w:val="00F45197"/>
    <w:rsid w:val="00F458AF"/>
    <w:rsid w:val="00F45AC5"/>
    <w:rsid w:val="00F45CAB"/>
    <w:rsid w:val="00F461CD"/>
    <w:rsid w:val="00F46DB0"/>
    <w:rsid w:val="00F47BF9"/>
    <w:rsid w:val="00F47FDC"/>
    <w:rsid w:val="00F50061"/>
    <w:rsid w:val="00F500D0"/>
    <w:rsid w:val="00F504A0"/>
    <w:rsid w:val="00F508D0"/>
    <w:rsid w:val="00F50D98"/>
    <w:rsid w:val="00F5360E"/>
    <w:rsid w:val="00F53B3F"/>
    <w:rsid w:val="00F5434C"/>
    <w:rsid w:val="00F546EB"/>
    <w:rsid w:val="00F5499F"/>
    <w:rsid w:val="00F55AD3"/>
    <w:rsid w:val="00F55EAF"/>
    <w:rsid w:val="00F5642F"/>
    <w:rsid w:val="00F56AF3"/>
    <w:rsid w:val="00F56B08"/>
    <w:rsid w:val="00F56E73"/>
    <w:rsid w:val="00F6053B"/>
    <w:rsid w:val="00F60906"/>
    <w:rsid w:val="00F60D24"/>
    <w:rsid w:val="00F610BC"/>
    <w:rsid w:val="00F611DC"/>
    <w:rsid w:val="00F61285"/>
    <w:rsid w:val="00F61595"/>
    <w:rsid w:val="00F6173B"/>
    <w:rsid w:val="00F61AAA"/>
    <w:rsid w:val="00F61F0F"/>
    <w:rsid w:val="00F61FD7"/>
    <w:rsid w:val="00F62007"/>
    <w:rsid w:val="00F62718"/>
    <w:rsid w:val="00F62854"/>
    <w:rsid w:val="00F62D23"/>
    <w:rsid w:val="00F631E7"/>
    <w:rsid w:val="00F63475"/>
    <w:rsid w:val="00F63657"/>
    <w:rsid w:val="00F63838"/>
    <w:rsid w:val="00F63FC2"/>
    <w:rsid w:val="00F64533"/>
    <w:rsid w:val="00F65481"/>
    <w:rsid w:val="00F65D76"/>
    <w:rsid w:val="00F66058"/>
    <w:rsid w:val="00F66138"/>
    <w:rsid w:val="00F6619D"/>
    <w:rsid w:val="00F66D29"/>
    <w:rsid w:val="00F67450"/>
    <w:rsid w:val="00F6745A"/>
    <w:rsid w:val="00F675B1"/>
    <w:rsid w:val="00F67C09"/>
    <w:rsid w:val="00F67F67"/>
    <w:rsid w:val="00F70483"/>
    <w:rsid w:val="00F70A70"/>
    <w:rsid w:val="00F70D76"/>
    <w:rsid w:val="00F70F7E"/>
    <w:rsid w:val="00F714B2"/>
    <w:rsid w:val="00F7192E"/>
    <w:rsid w:val="00F71DCE"/>
    <w:rsid w:val="00F724F7"/>
    <w:rsid w:val="00F728D4"/>
    <w:rsid w:val="00F733F7"/>
    <w:rsid w:val="00F73C29"/>
    <w:rsid w:val="00F73F82"/>
    <w:rsid w:val="00F74503"/>
    <w:rsid w:val="00F74E3E"/>
    <w:rsid w:val="00F75676"/>
    <w:rsid w:val="00F75A9F"/>
    <w:rsid w:val="00F807DD"/>
    <w:rsid w:val="00F808C1"/>
    <w:rsid w:val="00F81609"/>
    <w:rsid w:val="00F81BD1"/>
    <w:rsid w:val="00F82B7C"/>
    <w:rsid w:val="00F82BA8"/>
    <w:rsid w:val="00F82E31"/>
    <w:rsid w:val="00F83383"/>
    <w:rsid w:val="00F83664"/>
    <w:rsid w:val="00F8457C"/>
    <w:rsid w:val="00F84EE9"/>
    <w:rsid w:val="00F853F7"/>
    <w:rsid w:val="00F85498"/>
    <w:rsid w:val="00F85779"/>
    <w:rsid w:val="00F85B2E"/>
    <w:rsid w:val="00F8622C"/>
    <w:rsid w:val="00F865DE"/>
    <w:rsid w:val="00F86704"/>
    <w:rsid w:val="00F86C35"/>
    <w:rsid w:val="00F86E38"/>
    <w:rsid w:val="00F8759B"/>
    <w:rsid w:val="00F90356"/>
    <w:rsid w:val="00F9096F"/>
    <w:rsid w:val="00F909C0"/>
    <w:rsid w:val="00F9110E"/>
    <w:rsid w:val="00F913BE"/>
    <w:rsid w:val="00F91B3D"/>
    <w:rsid w:val="00F9217D"/>
    <w:rsid w:val="00F93DF7"/>
    <w:rsid w:val="00F93E32"/>
    <w:rsid w:val="00F945BC"/>
    <w:rsid w:val="00F9462C"/>
    <w:rsid w:val="00F946EF"/>
    <w:rsid w:val="00F950AD"/>
    <w:rsid w:val="00F9578D"/>
    <w:rsid w:val="00F957B9"/>
    <w:rsid w:val="00F9669A"/>
    <w:rsid w:val="00F96BBB"/>
    <w:rsid w:val="00F96C53"/>
    <w:rsid w:val="00F970C5"/>
    <w:rsid w:val="00F97738"/>
    <w:rsid w:val="00FA022E"/>
    <w:rsid w:val="00FA13D4"/>
    <w:rsid w:val="00FA17AE"/>
    <w:rsid w:val="00FA2AA1"/>
    <w:rsid w:val="00FA3854"/>
    <w:rsid w:val="00FA43E0"/>
    <w:rsid w:val="00FA4560"/>
    <w:rsid w:val="00FA52DE"/>
    <w:rsid w:val="00FA53C5"/>
    <w:rsid w:val="00FA5655"/>
    <w:rsid w:val="00FA5E01"/>
    <w:rsid w:val="00FA605B"/>
    <w:rsid w:val="00FA6378"/>
    <w:rsid w:val="00FA698A"/>
    <w:rsid w:val="00FA7C9D"/>
    <w:rsid w:val="00FA7F2F"/>
    <w:rsid w:val="00FB0717"/>
    <w:rsid w:val="00FB09A9"/>
    <w:rsid w:val="00FB11B9"/>
    <w:rsid w:val="00FB1399"/>
    <w:rsid w:val="00FB15A6"/>
    <w:rsid w:val="00FB1724"/>
    <w:rsid w:val="00FB17FB"/>
    <w:rsid w:val="00FB1964"/>
    <w:rsid w:val="00FB1F39"/>
    <w:rsid w:val="00FB2732"/>
    <w:rsid w:val="00FB2A51"/>
    <w:rsid w:val="00FB2A99"/>
    <w:rsid w:val="00FB2B51"/>
    <w:rsid w:val="00FB2F0B"/>
    <w:rsid w:val="00FB5040"/>
    <w:rsid w:val="00FB55A8"/>
    <w:rsid w:val="00FB5973"/>
    <w:rsid w:val="00FB5D1E"/>
    <w:rsid w:val="00FB5D7B"/>
    <w:rsid w:val="00FB731B"/>
    <w:rsid w:val="00FC0B40"/>
    <w:rsid w:val="00FC14EF"/>
    <w:rsid w:val="00FC15A5"/>
    <w:rsid w:val="00FC1FFA"/>
    <w:rsid w:val="00FC2307"/>
    <w:rsid w:val="00FC3148"/>
    <w:rsid w:val="00FC32D2"/>
    <w:rsid w:val="00FC3945"/>
    <w:rsid w:val="00FC39C3"/>
    <w:rsid w:val="00FC572D"/>
    <w:rsid w:val="00FC58C0"/>
    <w:rsid w:val="00FC5B3D"/>
    <w:rsid w:val="00FC629D"/>
    <w:rsid w:val="00FC7A66"/>
    <w:rsid w:val="00FD0475"/>
    <w:rsid w:val="00FD14B4"/>
    <w:rsid w:val="00FD15ED"/>
    <w:rsid w:val="00FD167D"/>
    <w:rsid w:val="00FD17EA"/>
    <w:rsid w:val="00FD19A9"/>
    <w:rsid w:val="00FD1EC8"/>
    <w:rsid w:val="00FD2101"/>
    <w:rsid w:val="00FD251A"/>
    <w:rsid w:val="00FD287A"/>
    <w:rsid w:val="00FD3D0C"/>
    <w:rsid w:val="00FD49C2"/>
    <w:rsid w:val="00FD4C0B"/>
    <w:rsid w:val="00FD523E"/>
    <w:rsid w:val="00FD5331"/>
    <w:rsid w:val="00FD544B"/>
    <w:rsid w:val="00FD5C2C"/>
    <w:rsid w:val="00FD6413"/>
    <w:rsid w:val="00FD6BC1"/>
    <w:rsid w:val="00FD70E4"/>
    <w:rsid w:val="00FD70F8"/>
    <w:rsid w:val="00FD7127"/>
    <w:rsid w:val="00FD72E9"/>
    <w:rsid w:val="00FD773B"/>
    <w:rsid w:val="00FD7907"/>
    <w:rsid w:val="00FE0A20"/>
    <w:rsid w:val="00FE1370"/>
    <w:rsid w:val="00FE1543"/>
    <w:rsid w:val="00FE1A10"/>
    <w:rsid w:val="00FE1D6B"/>
    <w:rsid w:val="00FE21C8"/>
    <w:rsid w:val="00FE3E57"/>
    <w:rsid w:val="00FE3FE6"/>
    <w:rsid w:val="00FE417B"/>
    <w:rsid w:val="00FE58BD"/>
    <w:rsid w:val="00FE5BEA"/>
    <w:rsid w:val="00FE6310"/>
    <w:rsid w:val="00FE63A6"/>
    <w:rsid w:val="00FE67C7"/>
    <w:rsid w:val="00FE6A96"/>
    <w:rsid w:val="00FE6CC4"/>
    <w:rsid w:val="00FE7178"/>
    <w:rsid w:val="00FF03B2"/>
    <w:rsid w:val="00FF0BF9"/>
    <w:rsid w:val="00FF1926"/>
    <w:rsid w:val="00FF2139"/>
    <w:rsid w:val="00FF23C5"/>
    <w:rsid w:val="00FF2674"/>
    <w:rsid w:val="00FF29AB"/>
    <w:rsid w:val="00FF4F16"/>
    <w:rsid w:val="00FF4F4E"/>
    <w:rsid w:val="00FF50CE"/>
    <w:rsid w:val="00FF56F6"/>
    <w:rsid w:val="00FF6169"/>
    <w:rsid w:val="00FF6E16"/>
    <w:rsid w:val="00FF7BBF"/>
  </w:rsids>
  <m:mathPr>
    <m:mathFont m:val="Cambria Math"/>
    <m:brkBin m:val="before"/>
    <m:brkBinSub m:val="--"/>
    <m:smallFrac m:val="0"/>
    <m:dispDef/>
    <m:lMargin m:val="0"/>
    <m:rMargin m:val="0"/>
    <m:defJc m:val="centerGroup"/>
    <m:wrapIndent m:val="1440"/>
    <m:intLim m:val="subSup"/>
    <m:naryLim m:val="undOvr"/>
  </m:mathPr>
  <w:themeFontLang w:val="en-MY"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4:docId w14:val="186E9D8D"/>
  <w15:chartTrackingRefBased/>
  <w15:docId w15:val="{8E4BDCD9-EEFB-4109-A332-066828A2A6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MY"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5F07"/>
    <w:rPr>
      <w:rFonts w:ascii="Times New Roman" w:hAnsi="Times New Roman"/>
      <w:b/>
      <w:sz w:val="24"/>
    </w:rPr>
  </w:style>
  <w:style w:type="paragraph" w:styleId="Heading1">
    <w:name w:val="heading 1"/>
    <w:basedOn w:val="Normal"/>
    <w:next w:val="Normal"/>
    <w:link w:val="Heading1Char"/>
    <w:autoRedefine/>
    <w:uiPriority w:val="9"/>
    <w:qFormat/>
    <w:rsid w:val="008B7BFE"/>
    <w:pPr>
      <w:keepNext/>
      <w:keepLines/>
      <w:spacing w:before="480" w:after="480" w:line="360" w:lineRule="auto"/>
      <w:jc w:val="center"/>
      <w:outlineLvl w:val="0"/>
    </w:pPr>
    <w:rPr>
      <w:rFonts w:eastAsiaTheme="majorEastAsia" w:cstheme="majorBidi"/>
      <w:caps/>
      <w:color w:val="000000" w:themeColor="text1"/>
      <w:szCs w:val="32"/>
    </w:rPr>
  </w:style>
  <w:style w:type="paragraph" w:styleId="Heading2">
    <w:name w:val="heading 2"/>
    <w:basedOn w:val="Normal"/>
    <w:next w:val="Normal"/>
    <w:link w:val="Heading2Char"/>
    <w:autoRedefine/>
    <w:uiPriority w:val="9"/>
    <w:unhideWhenUsed/>
    <w:qFormat/>
    <w:rsid w:val="00F60D24"/>
    <w:pPr>
      <w:keepNext/>
      <w:keepLines/>
      <w:numPr>
        <w:ilvl w:val="1"/>
        <w:numId w:val="11"/>
      </w:numPr>
      <w:spacing w:before="480" w:after="480" w:line="360" w:lineRule="auto"/>
      <w:jc w:val="center"/>
      <w:outlineLvl w:val="1"/>
    </w:pPr>
    <w:rPr>
      <w:rFonts w:eastAsia="Calibri" w:cs="Times New Roman"/>
      <w:caps/>
      <w:color w:val="000000" w:themeColor="text1"/>
      <w:szCs w:val="24"/>
    </w:rPr>
  </w:style>
  <w:style w:type="paragraph" w:styleId="Heading3">
    <w:name w:val="heading 3"/>
    <w:basedOn w:val="Normal"/>
    <w:next w:val="Normal"/>
    <w:link w:val="Heading3Char"/>
    <w:autoRedefine/>
    <w:uiPriority w:val="9"/>
    <w:unhideWhenUsed/>
    <w:qFormat/>
    <w:rsid w:val="00DA27D3"/>
    <w:pPr>
      <w:keepNext/>
      <w:keepLines/>
      <w:numPr>
        <w:ilvl w:val="2"/>
        <w:numId w:val="11"/>
      </w:numPr>
      <w:spacing w:before="40" w:after="0" w:line="360" w:lineRule="auto"/>
      <w:jc w:val="both"/>
      <w:outlineLvl w:val="2"/>
    </w:pPr>
    <w:rPr>
      <w:rFonts w:eastAsiaTheme="majorEastAsia" w:cstheme="majorBidi"/>
      <w:color w:val="000000" w:themeColor="text1"/>
      <w:szCs w:val="24"/>
    </w:rPr>
  </w:style>
  <w:style w:type="paragraph" w:styleId="Heading4">
    <w:name w:val="heading 4"/>
    <w:basedOn w:val="Normal"/>
    <w:next w:val="Normal"/>
    <w:link w:val="Heading4Char"/>
    <w:autoRedefine/>
    <w:uiPriority w:val="9"/>
    <w:unhideWhenUsed/>
    <w:qFormat/>
    <w:rsid w:val="00A43D17"/>
    <w:pPr>
      <w:keepNext/>
      <w:keepLines/>
      <w:spacing w:before="40" w:after="0" w:line="360" w:lineRule="auto"/>
      <w:jc w:val="both"/>
      <w:outlineLvl w:val="3"/>
    </w:pPr>
    <w:rPr>
      <w:rFonts w:eastAsia="Calibri" w:cstheme="majorBidi"/>
      <w:iCs/>
      <w:color w:val="000000" w:themeColor="text1"/>
      <w:lang w:eastAsia="tr-TR"/>
    </w:rPr>
  </w:style>
  <w:style w:type="paragraph" w:styleId="Heading5">
    <w:name w:val="heading 5"/>
    <w:basedOn w:val="Normal"/>
    <w:next w:val="Normal"/>
    <w:link w:val="Heading5Char"/>
    <w:uiPriority w:val="9"/>
    <w:unhideWhenUsed/>
    <w:qFormat/>
    <w:rsid w:val="00F86704"/>
    <w:pPr>
      <w:keepNext/>
      <w:keepLines/>
      <w:numPr>
        <w:ilvl w:val="4"/>
        <w:numId w:val="11"/>
      </w:numPr>
      <w:spacing w:before="200" w:after="0"/>
      <w:outlineLvl w:val="4"/>
    </w:pPr>
    <w:rPr>
      <w:rFonts w:asciiTheme="majorHAnsi" w:eastAsiaTheme="majorEastAsia" w:hAnsiTheme="majorHAnsi" w:cstheme="majorBidi"/>
      <w:b w:val="0"/>
      <w:color w:val="243F60" w:themeColor="accent1" w:themeShade="7F"/>
      <w:sz w:val="22"/>
      <w:lang w:val="tr-TR"/>
    </w:rPr>
  </w:style>
  <w:style w:type="paragraph" w:styleId="Heading6">
    <w:name w:val="heading 6"/>
    <w:basedOn w:val="Normal"/>
    <w:next w:val="Normal"/>
    <w:link w:val="Heading6Char"/>
    <w:uiPriority w:val="9"/>
    <w:semiHidden/>
    <w:unhideWhenUsed/>
    <w:qFormat/>
    <w:rsid w:val="00F86704"/>
    <w:pPr>
      <w:keepNext/>
      <w:keepLines/>
      <w:numPr>
        <w:ilvl w:val="5"/>
        <w:numId w:val="11"/>
      </w:numPr>
      <w:spacing w:before="200" w:after="0"/>
      <w:outlineLvl w:val="5"/>
    </w:pPr>
    <w:rPr>
      <w:rFonts w:asciiTheme="majorHAnsi" w:eastAsiaTheme="majorEastAsia" w:hAnsiTheme="majorHAnsi" w:cstheme="majorBidi"/>
      <w:b w:val="0"/>
      <w:i/>
      <w:iCs/>
      <w:color w:val="243F60" w:themeColor="accent1" w:themeShade="7F"/>
      <w:sz w:val="22"/>
      <w:lang w:val="en-GB"/>
    </w:rPr>
  </w:style>
  <w:style w:type="paragraph" w:styleId="Heading7">
    <w:name w:val="heading 7"/>
    <w:basedOn w:val="Normal"/>
    <w:next w:val="Normal"/>
    <w:link w:val="Heading7Char"/>
    <w:uiPriority w:val="9"/>
    <w:semiHidden/>
    <w:unhideWhenUsed/>
    <w:qFormat/>
    <w:rsid w:val="00F86704"/>
    <w:pPr>
      <w:keepNext/>
      <w:keepLines/>
      <w:numPr>
        <w:ilvl w:val="6"/>
        <w:numId w:val="11"/>
      </w:numPr>
      <w:spacing w:before="200" w:after="0"/>
      <w:outlineLvl w:val="6"/>
    </w:pPr>
    <w:rPr>
      <w:rFonts w:asciiTheme="majorHAnsi" w:eastAsiaTheme="majorEastAsia" w:hAnsiTheme="majorHAnsi" w:cstheme="majorBidi"/>
      <w:b w:val="0"/>
      <w:i/>
      <w:iCs/>
      <w:color w:val="404040" w:themeColor="text1" w:themeTint="BF"/>
      <w:sz w:val="22"/>
      <w:lang w:val="en-GB"/>
    </w:rPr>
  </w:style>
  <w:style w:type="paragraph" w:styleId="Heading8">
    <w:name w:val="heading 8"/>
    <w:basedOn w:val="Normal"/>
    <w:next w:val="Normal"/>
    <w:link w:val="Heading8Char"/>
    <w:uiPriority w:val="9"/>
    <w:semiHidden/>
    <w:unhideWhenUsed/>
    <w:qFormat/>
    <w:rsid w:val="00F86704"/>
    <w:pPr>
      <w:keepNext/>
      <w:keepLines/>
      <w:numPr>
        <w:ilvl w:val="7"/>
        <w:numId w:val="11"/>
      </w:numPr>
      <w:spacing w:before="200" w:after="0"/>
      <w:outlineLvl w:val="7"/>
    </w:pPr>
    <w:rPr>
      <w:rFonts w:asciiTheme="majorHAnsi" w:eastAsiaTheme="majorEastAsia" w:hAnsiTheme="majorHAnsi" w:cstheme="majorBidi"/>
      <w:b w:val="0"/>
      <w:color w:val="404040" w:themeColor="text1" w:themeTint="BF"/>
      <w:sz w:val="20"/>
      <w:szCs w:val="20"/>
      <w:lang w:val="en-GB"/>
    </w:rPr>
  </w:style>
  <w:style w:type="paragraph" w:styleId="Heading9">
    <w:name w:val="heading 9"/>
    <w:basedOn w:val="Normal"/>
    <w:next w:val="Normal"/>
    <w:link w:val="Heading9Char"/>
    <w:uiPriority w:val="9"/>
    <w:semiHidden/>
    <w:unhideWhenUsed/>
    <w:qFormat/>
    <w:rsid w:val="00F86704"/>
    <w:pPr>
      <w:keepNext/>
      <w:keepLines/>
      <w:numPr>
        <w:ilvl w:val="8"/>
        <w:numId w:val="11"/>
      </w:numPr>
      <w:spacing w:before="200" w:after="0"/>
      <w:outlineLvl w:val="8"/>
    </w:pPr>
    <w:rPr>
      <w:rFonts w:asciiTheme="majorHAnsi" w:eastAsiaTheme="majorEastAsia" w:hAnsiTheme="majorHAnsi" w:cstheme="majorBidi"/>
      <w:b w:val="0"/>
      <w:i/>
      <w:iCs/>
      <w:color w:val="404040" w:themeColor="text1" w:themeTint="BF"/>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7BFE"/>
    <w:rPr>
      <w:rFonts w:ascii="Times New Roman" w:eastAsiaTheme="majorEastAsia" w:hAnsi="Times New Roman" w:cstheme="majorBidi"/>
      <w:b/>
      <w:caps/>
      <w:color w:val="000000" w:themeColor="text1"/>
      <w:sz w:val="24"/>
      <w:szCs w:val="32"/>
    </w:rPr>
  </w:style>
  <w:style w:type="character" w:customStyle="1" w:styleId="Heading2Char">
    <w:name w:val="Heading 2 Char"/>
    <w:basedOn w:val="DefaultParagraphFont"/>
    <w:link w:val="Heading2"/>
    <w:uiPriority w:val="9"/>
    <w:rsid w:val="00F60D24"/>
    <w:rPr>
      <w:rFonts w:ascii="Times New Roman" w:eastAsia="Calibri" w:hAnsi="Times New Roman" w:cs="Times New Roman"/>
      <w:b/>
      <w:caps/>
      <w:color w:val="000000" w:themeColor="text1"/>
      <w:sz w:val="24"/>
      <w:szCs w:val="24"/>
    </w:rPr>
  </w:style>
  <w:style w:type="character" w:customStyle="1" w:styleId="Heading3Char">
    <w:name w:val="Heading 3 Char"/>
    <w:basedOn w:val="DefaultParagraphFont"/>
    <w:link w:val="Heading3"/>
    <w:uiPriority w:val="9"/>
    <w:rsid w:val="00DA27D3"/>
    <w:rPr>
      <w:rFonts w:ascii="Times New Roman" w:eastAsiaTheme="majorEastAsia" w:hAnsi="Times New Roman" w:cstheme="majorBidi"/>
      <w:b/>
      <w:color w:val="000000" w:themeColor="text1"/>
      <w:sz w:val="24"/>
      <w:szCs w:val="24"/>
    </w:rPr>
  </w:style>
  <w:style w:type="character" w:customStyle="1" w:styleId="Heading4Char">
    <w:name w:val="Heading 4 Char"/>
    <w:basedOn w:val="DefaultParagraphFont"/>
    <w:link w:val="Heading4"/>
    <w:uiPriority w:val="9"/>
    <w:rsid w:val="00A43D17"/>
    <w:rPr>
      <w:rFonts w:ascii="Times New Roman" w:eastAsia="Calibri" w:hAnsi="Times New Roman" w:cstheme="majorBidi"/>
      <w:b/>
      <w:iCs/>
      <w:color w:val="000000" w:themeColor="text1"/>
      <w:sz w:val="24"/>
      <w:lang w:eastAsia="tr-TR"/>
    </w:rPr>
  </w:style>
  <w:style w:type="paragraph" w:styleId="ListParagraph">
    <w:name w:val="List Paragraph"/>
    <w:basedOn w:val="Normal"/>
    <w:uiPriority w:val="34"/>
    <w:qFormat/>
    <w:rsid w:val="007737F8"/>
    <w:pPr>
      <w:ind w:left="720"/>
      <w:contextualSpacing/>
    </w:pPr>
  </w:style>
  <w:style w:type="character" w:styleId="CommentReference">
    <w:name w:val="annotation reference"/>
    <w:basedOn w:val="DefaultParagraphFont"/>
    <w:uiPriority w:val="99"/>
    <w:semiHidden/>
    <w:unhideWhenUsed/>
    <w:rsid w:val="003E0B1F"/>
    <w:rPr>
      <w:sz w:val="16"/>
      <w:szCs w:val="16"/>
    </w:rPr>
  </w:style>
  <w:style w:type="paragraph" w:styleId="CommentText">
    <w:name w:val="annotation text"/>
    <w:basedOn w:val="Normal"/>
    <w:link w:val="CommentTextChar"/>
    <w:uiPriority w:val="99"/>
    <w:unhideWhenUsed/>
    <w:rsid w:val="003E0B1F"/>
    <w:pPr>
      <w:spacing w:line="240" w:lineRule="auto"/>
    </w:pPr>
    <w:rPr>
      <w:rFonts w:asciiTheme="minorHAnsi" w:hAnsiTheme="minorHAnsi"/>
      <w:b w:val="0"/>
      <w:sz w:val="20"/>
      <w:szCs w:val="20"/>
    </w:rPr>
  </w:style>
  <w:style w:type="character" w:customStyle="1" w:styleId="CommentTextChar">
    <w:name w:val="Comment Text Char"/>
    <w:basedOn w:val="DefaultParagraphFont"/>
    <w:link w:val="CommentText"/>
    <w:uiPriority w:val="99"/>
    <w:rsid w:val="003E0B1F"/>
    <w:rPr>
      <w:sz w:val="20"/>
      <w:szCs w:val="20"/>
    </w:rPr>
  </w:style>
  <w:style w:type="paragraph" w:styleId="BalloonText">
    <w:name w:val="Balloon Text"/>
    <w:basedOn w:val="Normal"/>
    <w:link w:val="BalloonTextChar"/>
    <w:uiPriority w:val="99"/>
    <w:semiHidden/>
    <w:unhideWhenUsed/>
    <w:rsid w:val="003E0B1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0B1F"/>
    <w:rPr>
      <w:rFonts w:ascii="Segoe UI" w:hAnsi="Segoe UI" w:cs="Segoe UI"/>
      <w:b/>
      <w:sz w:val="18"/>
      <w:szCs w:val="18"/>
    </w:rPr>
  </w:style>
  <w:style w:type="paragraph" w:styleId="Caption">
    <w:name w:val="caption"/>
    <w:basedOn w:val="Normal"/>
    <w:next w:val="Normal"/>
    <w:uiPriority w:val="35"/>
    <w:unhideWhenUsed/>
    <w:qFormat/>
    <w:rsid w:val="00100D94"/>
    <w:pPr>
      <w:spacing w:line="240" w:lineRule="auto"/>
      <w:jc w:val="center"/>
    </w:pPr>
    <w:rPr>
      <w:rFonts w:eastAsia="Calibri" w:cs="Times New Roman"/>
      <w:bCs/>
      <w:szCs w:val="18"/>
      <w:lang w:val="en-GB"/>
    </w:rPr>
  </w:style>
  <w:style w:type="table" w:styleId="TableGrid">
    <w:name w:val="Table Grid"/>
    <w:basedOn w:val="TableNormal"/>
    <w:uiPriority w:val="59"/>
    <w:rsid w:val="00B001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B001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F86704"/>
  </w:style>
  <w:style w:type="paragraph" w:styleId="CommentSubject">
    <w:name w:val="annotation subject"/>
    <w:basedOn w:val="CommentText"/>
    <w:next w:val="CommentText"/>
    <w:link w:val="CommentSubjectChar"/>
    <w:uiPriority w:val="99"/>
    <w:semiHidden/>
    <w:unhideWhenUsed/>
    <w:rsid w:val="00F86704"/>
    <w:rPr>
      <w:b/>
      <w:bCs/>
    </w:rPr>
  </w:style>
  <w:style w:type="character" w:customStyle="1" w:styleId="CommentSubjectChar">
    <w:name w:val="Comment Subject Char"/>
    <w:basedOn w:val="CommentTextChar"/>
    <w:link w:val="CommentSubject"/>
    <w:uiPriority w:val="99"/>
    <w:semiHidden/>
    <w:rsid w:val="00F86704"/>
    <w:rPr>
      <w:b/>
      <w:bCs/>
      <w:sz w:val="20"/>
      <w:szCs w:val="20"/>
    </w:rPr>
  </w:style>
  <w:style w:type="paragraph" w:styleId="Revision">
    <w:name w:val="Revision"/>
    <w:hidden/>
    <w:uiPriority w:val="99"/>
    <w:semiHidden/>
    <w:rsid w:val="00F86704"/>
    <w:pPr>
      <w:spacing w:after="0" w:line="240" w:lineRule="auto"/>
    </w:pPr>
  </w:style>
  <w:style w:type="character" w:customStyle="1" w:styleId="Heading5Char">
    <w:name w:val="Heading 5 Char"/>
    <w:basedOn w:val="DefaultParagraphFont"/>
    <w:link w:val="Heading5"/>
    <w:uiPriority w:val="9"/>
    <w:rsid w:val="00F86704"/>
    <w:rPr>
      <w:rFonts w:asciiTheme="majorHAnsi" w:eastAsiaTheme="majorEastAsia" w:hAnsiTheme="majorHAnsi" w:cstheme="majorBidi"/>
      <w:color w:val="243F60" w:themeColor="accent1" w:themeShade="7F"/>
      <w:lang w:val="tr-TR"/>
    </w:rPr>
  </w:style>
  <w:style w:type="character" w:customStyle="1" w:styleId="Heading6Char">
    <w:name w:val="Heading 6 Char"/>
    <w:basedOn w:val="DefaultParagraphFont"/>
    <w:link w:val="Heading6"/>
    <w:uiPriority w:val="9"/>
    <w:semiHidden/>
    <w:rsid w:val="00F86704"/>
    <w:rPr>
      <w:rFonts w:asciiTheme="majorHAnsi" w:eastAsiaTheme="majorEastAsia" w:hAnsiTheme="majorHAnsi" w:cstheme="majorBidi"/>
      <w:i/>
      <w:iCs/>
      <w:color w:val="243F60" w:themeColor="accent1" w:themeShade="7F"/>
      <w:lang w:val="en-GB"/>
    </w:rPr>
  </w:style>
  <w:style w:type="character" w:customStyle="1" w:styleId="Heading7Char">
    <w:name w:val="Heading 7 Char"/>
    <w:basedOn w:val="DefaultParagraphFont"/>
    <w:link w:val="Heading7"/>
    <w:uiPriority w:val="9"/>
    <w:semiHidden/>
    <w:rsid w:val="00F86704"/>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semiHidden/>
    <w:rsid w:val="00F86704"/>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F86704"/>
    <w:rPr>
      <w:rFonts w:asciiTheme="majorHAnsi" w:eastAsiaTheme="majorEastAsia" w:hAnsiTheme="majorHAnsi" w:cstheme="majorBidi"/>
      <w:i/>
      <w:iCs/>
      <w:color w:val="404040" w:themeColor="text1" w:themeTint="BF"/>
      <w:sz w:val="20"/>
      <w:szCs w:val="20"/>
      <w:lang w:val="en-GB"/>
    </w:rPr>
  </w:style>
  <w:style w:type="numbering" w:customStyle="1" w:styleId="NoList2">
    <w:name w:val="No List2"/>
    <w:next w:val="NoList"/>
    <w:uiPriority w:val="99"/>
    <w:semiHidden/>
    <w:unhideWhenUsed/>
    <w:rsid w:val="00F86704"/>
  </w:style>
  <w:style w:type="paragraph" w:styleId="TableofFigures">
    <w:name w:val="table of figures"/>
    <w:basedOn w:val="Normal"/>
    <w:next w:val="Normal"/>
    <w:autoRedefine/>
    <w:uiPriority w:val="99"/>
    <w:unhideWhenUsed/>
    <w:rsid w:val="00F86704"/>
    <w:pPr>
      <w:spacing w:after="0"/>
    </w:pPr>
    <w:rPr>
      <w:b w:val="0"/>
    </w:rPr>
  </w:style>
  <w:style w:type="paragraph" w:styleId="NoSpacing">
    <w:name w:val="No Spacing"/>
    <w:uiPriority w:val="1"/>
    <w:qFormat/>
    <w:rsid w:val="00BB7EA8"/>
    <w:pPr>
      <w:spacing w:after="0" w:line="240" w:lineRule="auto"/>
    </w:pPr>
    <w:rPr>
      <w:rFonts w:ascii="Times New Roman" w:hAnsi="Times New Roman"/>
      <w:b/>
      <w:sz w:val="24"/>
    </w:rPr>
  </w:style>
  <w:style w:type="numbering" w:customStyle="1" w:styleId="NoList3">
    <w:name w:val="No List3"/>
    <w:next w:val="NoList"/>
    <w:uiPriority w:val="99"/>
    <w:semiHidden/>
    <w:unhideWhenUsed/>
    <w:rsid w:val="007A6D4C"/>
  </w:style>
  <w:style w:type="numbering" w:customStyle="1" w:styleId="NoList11">
    <w:name w:val="No List11"/>
    <w:next w:val="NoList"/>
    <w:uiPriority w:val="99"/>
    <w:semiHidden/>
    <w:unhideWhenUsed/>
    <w:rsid w:val="007A6D4C"/>
  </w:style>
  <w:style w:type="numbering" w:customStyle="1" w:styleId="NoList111">
    <w:name w:val="No List111"/>
    <w:next w:val="NoList"/>
    <w:uiPriority w:val="99"/>
    <w:semiHidden/>
    <w:unhideWhenUsed/>
    <w:rsid w:val="007A6D4C"/>
  </w:style>
  <w:style w:type="numbering" w:customStyle="1" w:styleId="NoList21">
    <w:name w:val="No List21"/>
    <w:next w:val="NoList"/>
    <w:uiPriority w:val="99"/>
    <w:semiHidden/>
    <w:unhideWhenUsed/>
    <w:rsid w:val="007A6D4C"/>
  </w:style>
  <w:style w:type="numbering" w:customStyle="1" w:styleId="NoList4">
    <w:name w:val="No List4"/>
    <w:next w:val="NoList"/>
    <w:uiPriority w:val="99"/>
    <w:semiHidden/>
    <w:unhideWhenUsed/>
    <w:rsid w:val="00C5331E"/>
  </w:style>
  <w:style w:type="numbering" w:customStyle="1" w:styleId="NoList12">
    <w:name w:val="No List12"/>
    <w:next w:val="NoList"/>
    <w:uiPriority w:val="99"/>
    <w:semiHidden/>
    <w:unhideWhenUsed/>
    <w:rsid w:val="00C5331E"/>
  </w:style>
  <w:style w:type="table" w:customStyle="1" w:styleId="TableGrid2">
    <w:name w:val="Table Grid2"/>
    <w:basedOn w:val="TableNormal"/>
    <w:next w:val="TableGrid"/>
    <w:uiPriority w:val="59"/>
    <w:rsid w:val="00C533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C533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C5331E"/>
  </w:style>
  <w:style w:type="numbering" w:customStyle="1" w:styleId="NoList22">
    <w:name w:val="No List22"/>
    <w:next w:val="NoList"/>
    <w:uiPriority w:val="99"/>
    <w:semiHidden/>
    <w:unhideWhenUsed/>
    <w:rsid w:val="00C5331E"/>
  </w:style>
  <w:style w:type="numbering" w:customStyle="1" w:styleId="NoList31">
    <w:name w:val="No List31"/>
    <w:next w:val="NoList"/>
    <w:uiPriority w:val="99"/>
    <w:semiHidden/>
    <w:unhideWhenUsed/>
    <w:rsid w:val="00C5331E"/>
  </w:style>
  <w:style w:type="numbering" w:customStyle="1" w:styleId="NoList1111">
    <w:name w:val="No List1111"/>
    <w:next w:val="NoList"/>
    <w:uiPriority w:val="99"/>
    <w:semiHidden/>
    <w:unhideWhenUsed/>
    <w:rsid w:val="00C5331E"/>
  </w:style>
  <w:style w:type="numbering" w:customStyle="1" w:styleId="NoList11111">
    <w:name w:val="No List11111"/>
    <w:next w:val="NoList"/>
    <w:uiPriority w:val="99"/>
    <w:semiHidden/>
    <w:unhideWhenUsed/>
    <w:rsid w:val="00C5331E"/>
  </w:style>
  <w:style w:type="numbering" w:customStyle="1" w:styleId="NoList211">
    <w:name w:val="No List211"/>
    <w:next w:val="NoList"/>
    <w:uiPriority w:val="99"/>
    <w:semiHidden/>
    <w:unhideWhenUsed/>
    <w:rsid w:val="00C5331E"/>
  </w:style>
  <w:style w:type="paragraph" w:styleId="Header">
    <w:name w:val="header"/>
    <w:basedOn w:val="Normal"/>
    <w:link w:val="HeaderChar"/>
    <w:uiPriority w:val="99"/>
    <w:unhideWhenUsed/>
    <w:rsid w:val="00663964"/>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3964"/>
    <w:rPr>
      <w:rFonts w:ascii="Times New Roman" w:hAnsi="Times New Roman"/>
      <w:b/>
      <w:sz w:val="24"/>
    </w:rPr>
  </w:style>
  <w:style w:type="paragraph" w:styleId="Footer">
    <w:name w:val="footer"/>
    <w:basedOn w:val="Normal"/>
    <w:link w:val="FooterChar"/>
    <w:uiPriority w:val="99"/>
    <w:unhideWhenUsed/>
    <w:rsid w:val="00663964"/>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3964"/>
    <w:rPr>
      <w:rFonts w:ascii="Times New Roman" w:hAnsi="Times New Roman"/>
      <w:b/>
      <w:sz w:val="24"/>
    </w:rPr>
  </w:style>
  <w:style w:type="numbering" w:customStyle="1" w:styleId="NoList5">
    <w:name w:val="No List5"/>
    <w:next w:val="NoList"/>
    <w:uiPriority w:val="99"/>
    <w:semiHidden/>
    <w:unhideWhenUsed/>
    <w:rsid w:val="007471A3"/>
  </w:style>
  <w:style w:type="numbering" w:customStyle="1" w:styleId="NoList13">
    <w:name w:val="No List13"/>
    <w:next w:val="NoList"/>
    <w:uiPriority w:val="99"/>
    <w:semiHidden/>
    <w:unhideWhenUsed/>
    <w:rsid w:val="007471A3"/>
  </w:style>
  <w:style w:type="numbering" w:customStyle="1" w:styleId="NoList113">
    <w:name w:val="No List113"/>
    <w:next w:val="NoList"/>
    <w:uiPriority w:val="99"/>
    <w:semiHidden/>
    <w:unhideWhenUsed/>
    <w:rsid w:val="007471A3"/>
  </w:style>
  <w:style w:type="numbering" w:customStyle="1" w:styleId="NoList23">
    <w:name w:val="No List23"/>
    <w:next w:val="NoList"/>
    <w:uiPriority w:val="99"/>
    <w:semiHidden/>
    <w:unhideWhenUsed/>
    <w:rsid w:val="007471A3"/>
  </w:style>
  <w:style w:type="numbering" w:customStyle="1" w:styleId="NoList32">
    <w:name w:val="No List32"/>
    <w:next w:val="NoList"/>
    <w:uiPriority w:val="99"/>
    <w:semiHidden/>
    <w:unhideWhenUsed/>
    <w:rsid w:val="007471A3"/>
  </w:style>
  <w:style w:type="numbering" w:customStyle="1" w:styleId="NoList1112">
    <w:name w:val="No List1112"/>
    <w:next w:val="NoList"/>
    <w:uiPriority w:val="99"/>
    <w:semiHidden/>
    <w:unhideWhenUsed/>
    <w:rsid w:val="007471A3"/>
  </w:style>
  <w:style w:type="numbering" w:customStyle="1" w:styleId="NoList11112">
    <w:name w:val="No List11112"/>
    <w:next w:val="NoList"/>
    <w:uiPriority w:val="99"/>
    <w:semiHidden/>
    <w:unhideWhenUsed/>
    <w:rsid w:val="007471A3"/>
  </w:style>
  <w:style w:type="numbering" w:customStyle="1" w:styleId="NoList212">
    <w:name w:val="No List212"/>
    <w:next w:val="NoList"/>
    <w:uiPriority w:val="99"/>
    <w:semiHidden/>
    <w:unhideWhenUsed/>
    <w:rsid w:val="007471A3"/>
  </w:style>
  <w:style w:type="numbering" w:customStyle="1" w:styleId="NoList41">
    <w:name w:val="No List41"/>
    <w:next w:val="NoList"/>
    <w:uiPriority w:val="99"/>
    <w:semiHidden/>
    <w:unhideWhenUsed/>
    <w:rsid w:val="007471A3"/>
  </w:style>
  <w:style w:type="numbering" w:customStyle="1" w:styleId="NoList121">
    <w:name w:val="No List121"/>
    <w:next w:val="NoList"/>
    <w:uiPriority w:val="99"/>
    <w:semiHidden/>
    <w:unhideWhenUsed/>
    <w:rsid w:val="007471A3"/>
  </w:style>
  <w:style w:type="numbering" w:customStyle="1" w:styleId="NoList1121">
    <w:name w:val="No List1121"/>
    <w:next w:val="NoList"/>
    <w:uiPriority w:val="99"/>
    <w:semiHidden/>
    <w:unhideWhenUsed/>
    <w:rsid w:val="007471A3"/>
  </w:style>
  <w:style w:type="numbering" w:customStyle="1" w:styleId="NoList221">
    <w:name w:val="No List221"/>
    <w:next w:val="NoList"/>
    <w:uiPriority w:val="99"/>
    <w:semiHidden/>
    <w:unhideWhenUsed/>
    <w:rsid w:val="007471A3"/>
  </w:style>
  <w:style w:type="numbering" w:customStyle="1" w:styleId="NoList311">
    <w:name w:val="No List311"/>
    <w:next w:val="NoList"/>
    <w:uiPriority w:val="99"/>
    <w:semiHidden/>
    <w:unhideWhenUsed/>
    <w:rsid w:val="007471A3"/>
  </w:style>
  <w:style w:type="numbering" w:customStyle="1" w:styleId="NoList111111">
    <w:name w:val="No List111111"/>
    <w:next w:val="NoList"/>
    <w:uiPriority w:val="99"/>
    <w:semiHidden/>
    <w:unhideWhenUsed/>
    <w:rsid w:val="007471A3"/>
  </w:style>
  <w:style w:type="numbering" w:customStyle="1" w:styleId="NoList1111111">
    <w:name w:val="No List1111111"/>
    <w:next w:val="NoList"/>
    <w:uiPriority w:val="99"/>
    <w:semiHidden/>
    <w:unhideWhenUsed/>
    <w:rsid w:val="007471A3"/>
  </w:style>
  <w:style w:type="numbering" w:customStyle="1" w:styleId="NoList2111">
    <w:name w:val="No List2111"/>
    <w:next w:val="NoList"/>
    <w:uiPriority w:val="99"/>
    <w:semiHidden/>
    <w:unhideWhenUsed/>
    <w:rsid w:val="007471A3"/>
  </w:style>
  <w:style w:type="paragraph" w:styleId="TOCHeading">
    <w:name w:val="TOC Heading"/>
    <w:basedOn w:val="Heading1"/>
    <w:next w:val="Normal"/>
    <w:uiPriority w:val="39"/>
    <w:unhideWhenUsed/>
    <w:qFormat/>
    <w:rsid w:val="00741AE2"/>
    <w:pPr>
      <w:spacing w:after="0" w:line="276" w:lineRule="auto"/>
      <w:jc w:val="left"/>
      <w:outlineLvl w:val="9"/>
    </w:pPr>
    <w:rPr>
      <w:rFonts w:asciiTheme="majorHAnsi" w:hAnsiTheme="majorHAnsi"/>
      <w:bCs/>
      <w:caps w:val="0"/>
      <w:color w:val="365F91" w:themeColor="accent1" w:themeShade="BF"/>
      <w:sz w:val="28"/>
      <w:szCs w:val="28"/>
      <w:lang w:val="en-US" w:eastAsia="ja-JP"/>
    </w:rPr>
  </w:style>
  <w:style w:type="numbering" w:customStyle="1" w:styleId="NoList6">
    <w:name w:val="No List6"/>
    <w:next w:val="NoList"/>
    <w:uiPriority w:val="99"/>
    <w:semiHidden/>
    <w:unhideWhenUsed/>
    <w:rsid w:val="00A4265F"/>
  </w:style>
  <w:style w:type="numbering" w:customStyle="1" w:styleId="NoList14">
    <w:name w:val="No List14"/>
    <w:next w:val="NoList"/>
    <w:uiPriority w:val="99"/>
    <w:semiHidden/>
    <w:unhideWhenUsed/>
    <w:rsid w:val="00A4265F"/>
  </w:style>
  <w:style w:type="numbering" w:customStyle="1" w:styleId="NoList114">
    <w:name w:val="No List114"/>
    <w:next w:val="NoList"/>
    <w:uiPriority w:val="99"/>
    <w:semiHidden/>
    <w:unhideWhenUsed/>
    <w:rsid w:val="00A4265F"/>
  </w:style>
  <w:style w:type="numbering" w:customStyle="1" w:styleId="NoList24">
    <w:name w:val="No List24"/>
    <w:next w:val="NoList"/>
    <w:uiPriority w:val="99"/>
    <w:semiHidden/>
    <w:unhideWhenUsed/>
    <w:rsid w:val="00A4265F"/>
  </w:style>
  <w:style w:type="numbering" w:customStyle="1" w:styleId="NoList33">
    <w:name w:val="No List33"/>
    <w:next w:val="NoList"/>
    <w:uiPriority w:val="99"/>
    <w:semiHidden/>
    <w:unhideWhenUsed/>
    <w:rsid w:val="00A4265F"/>
  </w:style>
  <w:style w:type="numbering" w:customStyle="1" w:styleId="NoList1113">
    <w:name w:val="No List1113"/>
    <w:next w:val="NoList"/>
    <w:uiPriority w:val="99"/>
    <w:semiHidden/>
    <w:unhideWhenUsed/>
    <w:rsid w:val="00A4265F"/>
  </w:style>
  <w:style w:type="numbering" w:customStyle="1" w:styleId="NoList11113">
    <w:name w:val="No List11113"/>
    <w:next w:val="NoList"/>
    <w:uiPriority w:val="99"/>
    <w:semiHidden/>
    <w:unhideWhenUsed/>
    <w:rsid w:val="00A4265F"/>
  </w:style>
  <w:style w:type="numbering" w:customStyle="1" w:styleId="NoList213">
    <w:name w:val="No List213"/>
    <w:next w:val="NoList"/>
    <w:uiPriority w:val="99"/>
    <w:semiHidden/>
    <w:unhideWhenUsed/>
    <w:rsid w:val="00A4265F"/>
  </w:style>
  <w:style w:type="numbering" w:customStyle="1" w:styleId="NoList42">
    <w:name w:val="No List42"/>
    <w:next w:val="NoList"/>
    <w:uiPriority w:val="99"/>
    <w:semiHidden/>
    <w:unhideWhenUsed/>
    <w:rsid w:val="00A4265F"/>
  </w:style>
  <w:style w:type="numbering" w:customStyle="1" w:styleId="NoList122">
    <w:name w:val="No List122"/>
    <w:next w:val="NoList"/>
    <w:uiPriority w:val="99"/>
    <w:semiHidden/>
    <w:unhideWhenUsed/>
    <w:rsid w:val="00A4265F"/>
  </w:style>
  <w:style w:type="numbering" w:customStyle="1" w:styleId="NoList1122">
    <w:name w:val="No List1122"/>
    <w:next w:val="NoList"/>
    <w:uiPriority w:val="99"/>
    <w:semiHidden/>
    <w:unhideWhenUsed/>
    <w:rsid w:val="00A4265F"/>
  </w:style>
  <w:style w:type="numbering" w:customStyle="1" w:styleId="NoList222">
    <w:name w:val="No List222"/>
    <w:next w:val="NoList"/>
    <w:uiPriority w:val="99"/>
    <w:semiHidden/>
    <w:unhideWhenUsed/>
    <w:rsid w:val="00A4265F"/>
  </w:style>
  <w:style w:type="numbering" w:customStyle="1" w:styleId="NoList312">
    <w:name w:val="No List312"/>
    <w:next w:val="NoList"/>
    <w:uiPriority w:val="99"/>
    <w:semiHidden/>
    <w:unhideWhenUsed/>
    <w:rsid w:val="00A4265F"/>
  </w:style>
  <w:style w:type="numbering" w:customStyle="1" w:styleId="NoList111112">
    <w:name w:val="No List111112"/>
    <w:next w:val="NoList"/>
    <w:uiPriority w:val="99"/>
    <w:semiHidden/>
    <w:unhideWhenUsed/>
    <w:rsid w:val="00A4265F"/>
  </w:style>
  <w:style w:type="numbering" w:customStyle="1" w:styleId="NoList1111112">
    <w:name w:val="No List1111112"/>
    <w:next w:val="NoList"/>
    <w:uiPriority w:val="99"/>
    <w:semiHidden/>
    <w:unhideWhenUsed/>
    <w:rsid w:val="00A4265F"/>
  </w:style>
  <w:style w:type="numbering" w:customStyle="1" w:styleId="NoList2112">
    <w:name w:val="No List2112"/>
    <w:next w:val="NoList"/>
    <w:uiPriority w:val="99"/>
    <w:semiHidden/>
    <w:unhideWhenUsed/>
    <w:rsid w:val="00A4265F"/>
  </w:style>
  <w:style w:type="numbering" w:customStyle="1" w:styleId="NoList51">
    <w:name w:val="No List51"/>
    <w:next w:val="NoList"/>
    <w:uiPriority w:val="99"/>
    <w:semiHidden/>
    <w:unhideWhenUsed/>
    <w:rsid w:val="00A4265F"/>
  </w:style>
  <w:style w:type="numbering" w:customStyle="1" w:styleId="NoList131">
    <w:name w:val="No List131"/>
    <w:next w:val="NoList"/>
    <w:uiPriority w:val="99"/>
    <w:semiHidden/>
    <w:unhideWhenUsed/>
    <w:rsid w:val="00A4265F"/>
  </w:style>
  <w:style w:type="numbering" w:customStyle="1" w:styleId="NoList1131">
    <w:name w:val="No List1131"/>
    <w:next w:val="NoList"/>
    <w:uiPriority w:val="99"/>
    <w:semiHidden/>
    <w:unhideWhenUsed/>
    <w:rsid w:val="00A4265F"/>
  </w:style>
  <w:style w:type="numbering" w:customStyle="1" w:styleId="NoList231">
    <w:name w:val="No List231"/>
    <w:next w:val="NoList"/>
    <w:uiPriority w:val="99"/>
    <w:semiHidden/>
    <w:unhideWhenUsed/>
    <w:rsid w:val="00A4265F"/>
  </w:style>
  <w:style w:type="numbering" w:customStyle="1" w:styleId="NoList321">
    <w:name w:val="No List321"/>
    <w:next w:val="NoList"/>
    <w:uiPriority w:val="99"/>
    <w:semiHidden/>
    <w:unhideWhenUsed/>
    <w:rsid w:val="00A4265F"/>
  </w:style>
  <w:style w:type="numbering" w:customStyle="1" w:styleId="NoList11121">
    <w:name w:val="No List11121"/>
    <w:next w:val="NoList"/>
    <w:uiPriority w:val="99"/>
    <w:semiHidden/>
    <w:unhideWhenUsed/>
    <w:rsid w:val="00A4265F"/>
  </w:style>
  <w:style w:type="numbering" w:customStyle="1" w:styleId="NoList111121">
    <w:name w:val="No List111121"/>
    <w:next w:val="NoList"/>
    <w:uiPriority w:val="99"/>
    <w:semiHidden/>
    <w:unhideWhenUsed/>
    <w:rsid w:val="00A4265F"/>
  </w:style>
  <w:style w:type="numbering" w:customStyle="1" w:styleId="NoList2121">
    <w:name w:val="No List2121"/>
    <w:next w:val="NoList"/>
    <w:uiPriority w:val="99"/>
    <w:semiHidden/>
    <w:unhideWhenUsed/>
    <w:rsid w:val="00A4265F"/>
  </w:style>
  <w:style w:type="numbering" w:customStyle="1" w:styleId="NoList411">
    <w:name w:val="No List411"/>
    <w:next w:val="NoList"/>
    <w:uiPriority w:val="99"/>
    <w:semiHidden/>
    <w:unhideWhenUsed/>
    <w:rsid w:val="00A4265F"/>
  </w:style>
  <w:style w:type="numbering" w:customStyle="1" w:styleId="NoList1211">
    <w:name w:val="No List1211"/>
    <w:next w:val="NoList"/>
    <w:uiPriority w:val="99"/>
    <w:semiHidden/>
    <w:unhideWhenUsed/>
    <w:rsid w:val="00A4265F"/>
  </w:style>
  <w:style w:type="numbering" w:customStyle="1" w:styleId="NoList11211">
    <w:name w:val="No List11211"/>
    <w:next w:val="NoList"/>
    <w:uiPriority w:val="99"/>
    <w:semiHidden/>
    <w:unhideWhenUsed/>
    <w:rsid w:val="00A4265F"/>
  </w:style>
  <w:style w:type="numbering" w:customStyle="1" w:styleId="NoList2211">
    <w:name w:val="No List2211"/>
    <w:next w:val="NoList"/>
    <w:uiPriority w:val="99"/>
    <w:semiHidden/>
    <w:unhideWhenUsed/>
    <w:rsid w:val="00A4265F"/>
  </w:style>
  <w:style w:type="numbering" w:customStyle="1" w:styleId="NoList3111">
    <w:name w:val="No List3111"/>
    <w:next w:val="NoList"/>
    <w:uiPriority w:val="99"/>
    <w:semiHidden/>
    <w:unhideWhenUsed/>
    <w:rsid w:val="00A4265F"/>
  </w:style>
  <w:style w:type="numbering" w:customStyle="1" w:styleId="NoList11111111">
    <w:name w:val="No List11111111"/>
    <w:next w:val="NoList"/>
    <w:uiPriority w:val="99"/>
    <w:semiHidden/>
    <w:unhideWhenUsed/>
    <w:rsid w:val="00A4265F"/>
  </w:style>
  <w:style w:type="numbering" w:customStyle="1" w:styleId="NoList111111111">
    <w:name w:val="No List111111111"/>
    <w:next w:val="NoList"/>
    <w:uiPriority w:val="99"/>
    <w:semiHidden/>
    <w:unhideWhenUsed/>
    <w:rsid w:val="00A4265F"/>
  </w:style>
  <w:style w:type="numbering" w:customStyle="1" w:styleId="NoList21111">
    <w:name w:val="No List21111"/>
    <w:next w:val="NoList"/>
    <w:uiPriority w:val="99"/>
    <w:semiHidden/>
    <w:unhideWhenUsed/>
    <w:rsid w:val="00A4265F"/>
  </w:style>
  <w:style w:type="numbering" w:customStyle="1" w:styleId="NoList7">
    <w:name w:val="No List7"/>
    <w:next w:val="NoList"/>
    <w:uiPriority w:val="99"/>
    <w:semiHidden/>
    <w:unhideWhenUsed/>
    <w:rsid w:val="00A4265F"/>
  </w:style>
  <w:style w:type="numbering" w:customStyle="1" w:styleId="NoList15">
    <w:name w:val="No List15"/>
    <w:next w:val="NoList"/>
    <w:uiPriority w:val="99"/>
    <w:semiHidden/>
    <w:unhideWhenUsed/>
    <w:rsid w:val="00A4265F"/>
  </w:style>
  <w:style w:type="numbering" w:customStyle="1" w:styleId="NoList115">
    <w:name w:val="No List115"/>
    <w:next w:val="NoList"/>
    <w:uiPriority w:val="99"/>
    <w:semiHidden/>
    <w:unhideWhenUsed/>
    <w:rsid w:val="00A4265F"/>
  </w:style>
  <w:style w:type="numbering" w:customStyle="1" w:styleId="NoList25">
    <w:name w:val="No List25"/>
    <w:next w:val="NoList"/>
    <w:uiPriority w:val="99"/>
    <w:semiHidden/>
    <w:unhideWhenUsed/>
    <w:rsid w:val="00A4265F"/>
  </w:style>
  <w:style w:type="numbering" w:customStyle="1" w:styleId="NoList34">
    <w:name w:val="No List34"/>
    <w:next w:val="NoList"/>
    <w:uiPriority w:val="99"/>
    <w:semiHidden/>
    <w:unhideWhenUsed/>
    <w:rsid w:val="00A4265F"/>
  </w:style>
  <w:style w:type="numbering" w:customStyle="1" w:styleId="NoList1114">
    <w:name w:val="No List1114"/>
    <w:next w:val="NoList"/>
    <w:uiPriority w:val="99"/>
    <w:semiHidden/>
    <w:unhideWhenUsed/>
    <w:rsid w:val="00A4265F"/>
  </w:style>
  <w:style w:type="numbering" w:customStyle="1" w:styleId="NoList11114">
    <w:name w:val="No List11114"/>
    <w:next w:val="NoList"/>
    <w:uiPriority w:val="99"/>
    <w:semiHidden/>
    <w:unhideWhenUsed/>
    <w:rsid w:val="00A4265F"/>
  </w:style>
  <w:style w:type="numbering" w:customStyle="1" w:styleId="NoList214">
    <w:name w:val="No List214"/>
    <w:next w:val="NoList"/>
    <w:uiPriority w:val="99"/>
    <w:semiHidden/>
    <w:unhideWhenUsed/>
    <w:rsid w:val="00A4265F"/>
  </w:style>
  <w:style w:type="numbering" w:customStyle="1" w:styleId="NoList43">
    <w:name w:val="No List43"/>
    <w:next w:val="NoList"/>
    <w:uiPriority w:val="99"/>
    <w:semiHidden/>
    <w:unhideWhenUsed/>
    <w:rsid w:val="00A4265F"/>
  </w:style>
  <w:style w:type="numbering" w:customStyle="1" w:styleId="NoList123">
    <w:name w:val="No List123"/>
    <w:next w:val="NoList"/>
    <w:uiPriority w:val="99"/>
    <w:semiHidden/>
    <w:unhideWhenUsed/>
    <w:rsid w:val="00A4265F"/>
  </w:style>
  <w:style w:type="numbering" w:customStyle="1" w:styleId="NoList1123">
    <w:name w:val="No List1123"/>
    <w:next w:val="NoList"/>
    <w:uiPriority w:val="99"/>
    <w:semiHidden/>
    <w:unhideWhenUsed/>
    <w:rsid w:val="00A4265F"/>
  </w:style>
  <w:style w:type="numbering" w:customStyle="1" w:styleId="NoList223">
    <w:name w:val="No List223"/>
    <w:next w:val="NoList"/>
    <w:uiPriority w:val="99"/>
    <w:semiHidden/>
    <w:unhideWhenUsed/>
    <w:rsid w:val="00A4265F"/>
  </w:style>
  <w:style w:type="numbering" w:customStyle="1" w:styleId="NoList313">
    <w:name w:val="No List313"/>
    <w:next w:val="NoList"/>
    <w:uiPriority w:val="99"/>
    <w:semiHidden/>
    <w:unhideWhenUsed/>
    <w:rsid w:val="00A4265F"/>
  </w:style>
  <w:style w:type="numbering" w:customStyle="1" w:styleId="NoList111113">
    <w:name w:val="No List111113"/>
    <w:next w:val="NoList"/>
    <w:uiPriority w:val="99"/>
    <w:semiHidden/>
    <w:unhideWhenUsed/>
    <w:rsid w:val="00A4265F"/>
  </w:style>
  <w:style w:type="numbering" w:customStyle="1" w:styleId="NoList1111113">
    <w:name w:val="No List1111113"/>
    <w:next w:val="NoList"/>
    <w:uiPriority w:val="99"/>
    <w:semiHidden/>
    <w:unhideWhenUsed/>
    <w:rsid w:val="00A4265F"/>
  </w:style>
  <w:style w:type="numbering" w:customStyle="1" w:styleId="NoList2113">
    <w:name w:val="No List2113"/>
    <w:next w:val="NoList"/>
    <w:uiPriority w:val="99"/>
    <w:semiHidden/>
    <w:unhideWhenUsed/>
    <w:rsid w:val="00A4265F"/>
  </w:style>
  <w:style w:type="numbering" w:customStyle="1" w:styleId="NoList52">
    <w:name w:val="No List52"/>
    <w:next w:val="NoList"/>
    <w:uiPriority w:val="99"/>
    <w:semiHidden/>
    <w:unhideWhenUsed/>
    <w:rsid w:val="00A4265F"/>
  </w:style>
  <w:style w:type="numbering" w:customStyle="1" w:styleId="NoList132">
    <w:name w:val="No List132"/>
    <w:next w:val="NoList"/>
    <w:uiPriority w:val="99"/>
    <w:semiHidden/>
    <w:unhideWhenUsed/>
    <w:rsid w:val="00A4265F"/>
  </w:style>
  <w:style w:type="numbering" w:customStyle="1" w:styleId="NoList1132">
    <w:name w:val="No List1132"/>
    <w:next w:val="NoList"/>
    <w:uiPriority w:val="99"/>
    <w:semiHidden/>
    <w:unhideWhenUsed/>
    <w:rsid w:val="00A4265F"/>
  </w:style>
  <w:style w:type="numbering" w:customStyle="1" w:styleId="NoList232">
    <w:name w:val="No List232"/>
    <w:next w:val="NoList"/>
    <w:uiPriority w:val="99"/>
    <w:semiHidden/>
    <w:unhideWhenUsed/>
    <w:rsid w:val="00A4265F"/>
  </w:style>
  <w:style w:type="numbering" w:customStyle="1" w:styleId="NoList322">
    <w:name w:val="No List322"/>
    <w:next w:val="NoList"/>
    <w:uiPriority w:val="99"/>
    <w:semiHidden/>
    <w:unhideWhenUsed/>
    <w:rsid w:val="00A4265F"/>
  </w:style>
  <w:style w:type="numbering" w:customStyle="1" w:styleId="NoList11122">
    <w:name w:val="No List11122"/>
    <w:next w:val="NoList"/>
    <w:uiPriority w:val="99"/>
    <w:semiHidden/>
    <w:unhideWhenUsed/>
    <w:rsid w:val="00A4265F"/>
  </w:style>
  <w:style w:type="numbering" w:customStyle="1" w:styleId="NoList111122">
    <w:name w:val="No List111122"/>
    <w:next w:val="NoList"/>
    <w:uiPriority w:val="99"/>
    <w:semiHidden/>
    <w:unhideWhenUsed/>
    <w:rsid w:val="00A4265F"/>
  </w:style>
  <w:style w:type="numbering" w:customStyle="1" w:styleId="NoList2122">
    <w:name w:val="No List2122"/>
    <w:next w:val="NoList"/>
    <w:uiPriority w:val="99"/>
    <w:semiHidden/>
    <w:unhideWhenUsed/>
    <w:rsid w:val="00A4265F"/>
  </w:style>
  <w:style w:type="numbering" w:customStyle="1" w:styleId="NoList412">
    <w:name w:val="No List412"/>
    <w:next w:val="NoList"/>
    <w:uiPriority w:val="99"/>
    <w:semiHidden/>
    <w:unhideWhenUsed/>
    <w:rsid w:val="00A4265F"/>
  </w:style>
  <w:style w:type="numbering" w:customStyle="1" w:styleId="NoList1212">
    <w:name w:val="No List1212"/>
    <w:next w:val="NoList"/>
    <w:uiPriority w:val="99"/>
    <w:semiHidden/>
    <w:unhideWhenUsed/>
    <w:rsid w:val="00A4265F"/>
  </w:style>
  <w:style w:type="numbering" w:customStyle="1" w:styleId="NoList11212">
    <w:name w:val="No List11212"/>
    <w:next w:val="NoList"/>
    <w:uiPriority w:val="99"/>
    <w:semiHidden/>
    <w:unhideWhenUsed/>
    <w:rsid w:val="00A4265F"/>
  </w:style>
  <w:style w:type="numbering" w:customStyle="1" w:styleId="NoList2212">
    <w:name w:val="No List2212"/>
    <w:next w:val="NoList"/>
    <w:uiPriority w:val="99"/>
    <w:semiHidden/>
    <w:unhideWhenUsed/>
    <w:rsid w:val="00A4265F"/>
  </w:style>
  <w:style w:type="numbering" w:customStyle="1" w:styleId="NoList3112">
    <w:name w:val="No List3112"/>
    <w:next w:val="NoList"/>
    <w:uiPriority w:val="99"/>
    <w:semiHidden/>
    <w:unhideWhenUsed/>
    <w:rsid w:val="00A4265F"/>
  </w:style>
  <w:style w:type="numbering" w:customStyle="1" w:styleId="NoList11111112">
    <w:name w:val="No List11111112"/>
    <w:next w:val="NoList"/>
    <w:uiPriority w:val="99"/>
    <w:semiHidden/>
    <w:unhideWhenUsed/>
    <w:rsid w:val="00A4265F"/>
  </w:style>
  <w:style w:type="numbering" w:customStyle="1" w:styleId="NoList111111112">
    <w:name w:val="No List111111112"/>
    <w:next w:val="NoList"/>
    <w:uiPriority w:val="99"/>
    <w:semiHidden/>
    <w:unhideWhenUsed/>
    <w:rsid w:val="00A4265F"/>
  </w:style>
  <w:style w:type="numbering" w:customStyle="1" w:styleId="NoList21112">
    <w:name w:val="No List21112"/>
    <w:next w:val="NoList"/>
    <w:uiPriority w:val="99"/>
    <w:semiHidden/>
    <w:unhideWhenUsed/>
    <w:rsid w:val="00A4265F"/>
  </w:style>
  <w:style w:type="character" w:styleId="PlaceholderText">
    <w:name w:val="Placeholder Text"/>
    <w:basedOn w:val="DefaultParagraphFont"/>
    <w:uiPriority w:val="99"/>
    <w:semiHidden/>
    <w:rsid w:val="00A4265F"/>
    <w:rPr>
      <w:color w:val="808080"/>
    </w:rPr>
  </w:style>
  <w:style w:type="numbering" w:customStyle="1" w:styleId="NoList8">
    <w:name w:val="No List8"/>
    <w:next w:val="NoList"/>
    <w:uiPriority w:val="99"/>
    <w:semiHidden/>
    <w:unhideWhenUsed/>
    <w:rsid w:val="0064576E"/>
  </w:style>
  <w:style w:type="numbering" w:customStyle="1" w:styleId="NoList16">
    <w:name w:val="No List16"/>
    <w:next w:val="NoList"/>
    <w:uiPriority w:val="99"/>
    <w:semiHidden/>
    <w:unhideWhenUsed/>
    <w:rsid w:val="0064576E"/>
  </w:style>
  <w:style w:type="numbering" w:customStyle="1" w:styleId="NoList116">
    <w:name w:val="No List116"/>
    <w:next w:val="NoList"/>
    <w:uiPriority w:val="99"/>
    <w:semiHidden/>
    <w:unhideWhenUsed/>
    <w:rsid w:val="0064576E"/>
  </w:style>
  <w:style w:type="numbering" w:customStyle="1" w:styleId="NoList26">
    <w:name w:val="No List26"/>
    <w:next w:val="NoList"/>
    <w:uiPriority w:val="99"/>
    <w:semiHidden/>
    <w:unhideWhenUsed/>
    <w:rsid w:val="0064576E"/>
  </w:style>
  <w:style w:type="numbering" w:customStyle="1" w:styleId="NoList35">
    <w:name w:val="No List35"/>
    <w:next w:val="NoList"/>
    <w:uiPriority w:val="99"/>
    <w:semiHidden/>
    <w:unhideWhenUsed/>
    <w:rsid w:val="0064576E"/>
  </w:style>
  <w:style w:type="numbering" w:customStyle="1" w:styleId="NoList1115">
    <w:name w:val="No List1115"/>
    <w:next w:val="NoList"/>
    <w:uiPriority w:val="99"/>
    <w:semiHidden/>
    <w:unhideWhenUsed/>
    <w:rsid w:val="0064576E"/>
  </w:style>
  <w:style w:type="numbering" w:customStyle="1" w:styleId="NoList11115">
    <w:name w:val="No List11115"/>
    <w:next w:val="NoList"/>
    <w:uiPriority w:val="99"/>
    <w:semiHidden/>
    <w:unhideWhenUsed/>
    <w:rsid w:val="0064576E"/>
  </w:style>
  <w:style w:type="numbering" w:customStyle="1" w:styleId="NoList215">
    <w:name w:val="No List215"/>
    <w:next w:val="NoList"/>
    <w:uiPriority w:val="99"/>
    <w:semiHidden/>
    <w:unhideWhenUsed/>
    <w:rsid w:val="0064576E"/>
  </w:style>
  <w:style w:type="numbering" w:customStyle="1" w:styleId="NoList44">
    <w:name w:val="No List44"/>
    <w:next w:val="NoList"/>
    <w:uiPriority w:val="99"/>
    <w:semiHidden/>
    <w:unhideWhenUsed/>
    <w:rsid w:val="0064576E"/>
  </w:style>
  <w:style w:type="numbering" w:customStyle="1" w:styleId="NoList124">
    <w:name w:val="No List124"/>
    <w:next w:val="NoList"/>
    <w:uiPriority w:val="99"/>
    <w:semiHidden/>
    <w:unhideWhenUsed/>
    <w:rsid w:val="0064576E"/>
  </w:style>
  <w:style w:type="numbering" w:customStyle="1" w:styleId="NoList1124">
    <w:name w:val="No List1124"/>
    <w:next w:val="NoList"/>
    <w:uiPriority w:val="99"/>
    <w:semiHidden/>
    <w:unhideWhenUsed/>
    <w:rsid w:val="0064576E"/>
  </w:style>
  <w:style w:type="numbering" w:customStyle="1" w:styleId="NoList224">
    <w:name w:val="No List224"/>
    <w:next w:val="NoList"/>
    <w:uiPriority w:val="99"/>
    <w:semiHidden/>
    <w:unhideWhenUsed/>
    <w:rsid w:val="0064576E"/>
  </w:style>
  <w:style w:type="numbering" w:customStyle="1" w:styleId="NoList314">
    <w:name w:val="No List314"/>
    <w:next w:val="NoList"/>
    <w:uiPriority w:val="99"/>
    <w:semiHidden/>
    <w:unhideWhenUsed/>
    <w:rsid w:val="0064576E"/>
  </w:style>
  <w:style w:type="numbering" w:customStyle="1" w:styleId="NoList111114">
    <w:name w:val="No List111114"/>
    <w:next w:val="NoList"/>
    <w:uiPriority w:val="99"/>
    <w:semiHidden/>
    <w:unhideWhenUsed/>
    <w:rsid w:val="0064576E"/>
  </w:style>
  <w:style w:type="numbering" w:customStyle="1" w:styleId="NoList1111114">
    <w:name w:val="No List1111114"/>
    <w:next w:val="NoList"/>
    <w:uiPriority w:val="99"/>
    <w:semiHidden/>
    <w:unhideWhenUsed/>
    <w:rsid w:val="0064576E"/>
  </w:style>
  <w:style w:type="numbering" w:customStyle="1" w:styleId="NoList2114">
    <w:name w:val="No List2114"/>
    <w:next w:val="NoList"/>
    <w:uiPriority w:val="99"/>
    <w:semiHidden/>
    <w:unhideWhenUsed/>
    <w:rsid w:val="0064576E"/>
  </w:style>
  <w:style w:type="numbering" w:customStyle="1" w:styleId="NoList53">
    <w:name w:val="No List53"/>
    <w:next w:val="NoList"/>
    <w:uiPriority w:val="99"/>
    <w:semiHidden/>
    <w:unhideWhenUsed/>
    <w:rsid w:val="0064576E"/>
  </w:style>
  <w:style w:type="numbering" w:customStyle="1" w:styleId="NoList133">
    <w:name w:val="No List133"/>
    <w:next w:val="NoList"/>
    <w:uiPriority w:val="99"/>
    <w:semiHidden/>
    <w:unhideWhenUsed/>
    <w:rsid w:val="0064576E"/>
  </w:style>
  <w:style w:type="numbering" w:customStyle="1" w:styleId="NoList1133">
    <w:name w:val="No List1133"/>
    <w:next w:val="NoList"/>
    <w:uiPriority w:val="99"/>
    <w:semiHidden/>
    <w:unhideWhenUsed/>
    <w:rsid w:val="0064576E"/>
  </w:style>
  <w:style w:type="numbering" w:customStyle="1" w:styleId="NoList233">
    <w:name w:val="No List233"/>
    <w:next w:val="NoList"/>
    <w:uiPriority w:val="99"/>
    <w:semiHidden/>
    <w:unhideWhenUsed/>
    <w:rsid w:val="0064576E"/>
  </w:style>
  <w:style w:type="numbering" w:customStyle="1" w:styleId="NoList323">
    <w:name w:val="No List323"/>
    <w:next w:val="NoList"/>
    <w:uiPriority w:val="99"/>
    <w:semiHidden/>
    <w:unhideWhenUsed/>
    <w:rsid w:val="0064576E"/>
  </w:style>
  <w:style w:type="numbering" w:customStyle="1" w:styleId="NoList11123">
    <w:name w:val="No List11123"/>
    <w:next w:val="NoList"/>
    <w:uiPriority w:val="99"/>
    <w:semiHidden/>
    <w:unhideWhenUsed/>
    <w:rsid w:val="0064576E"/>
  </w:style>
  <w:style w:type="numbering" w:customStyle="1" w:styleId="NoList111123">
    <w:name w:val="No List111123"/>
    <w:next w:val="NoList"/>
    <w:uiPriority w:val="99"/>
    <w:semiHidden/>
    <w:unhideWhenUsed/>
    <w:rsid w:val="0064576E"/>
  </w:style>
  <w:style w:type="numbering" w:customStyle="1" w:styleId="NoList2123">
    <w:name w:val="No List2123"/>
    <w:next w:val="NoList"/>
    <w:uiPriority w:val="99"/>
    <w:semiHidden/>
    <w:unhideWhenUsed/>
    <w:rsid w:val="0064576E"/>
  </w:style>
  <w:style w:type="numbering" w:customStyle="1" w:styleId="NoList413">
    <w:name w:val="No List413"/>
    <w:next w:val="NoList"/>
    <w:uiPriority w:val="99"/>
    <w:semiHidden/>
    <w:unhideWhenUsed/>
    <w:rsid w:val="0064576E"/>
  </w:style>
  <w:style w:type="numbering" w:customStyle="1" w:styleId="NoList1213">
    <w:name w:val="No List1213"/>
    <w:next w:val="NoList"/>
    <w:uiPriority w:val="99"/>
    <w:semiHidden/>
    <w:unhideWhenUsed/>
    <w:rsid w:val="0064576E"/>
  </w:style>
  <w:style w:type="numbering" w:customStyle="1" w:styleId="NoList11213">
    <w:name w:val="No List11213"/>
    <w:next w:val="NoList"/>
    <w:uiPriority w:val="99"/>
    <w:semiHidden/>
    <w:unhideWhenUsed/>
    <w:rsid w:val="0064576E"/>
  </w:style>
  <w:style w:type="numbering" w:customStyle="1" w:styleId="NoList2213">
    <w:name w:val="No List2213"/>
    <w:next w:val="NoList"/>
    <w:uiPriority w:val="99"/>
    <w:semiHidden/>
    <w:unhideWhenUsed/>
    <w:rsid w:val="0064576E"/>
  </w:style>
  <w:style w:type="numbering" w:customStyle="1" w:styleId="NoList3113">
    <w:name w:val="No List3113"/>
    <w:next w:val="NoList"/>
    <w:uiPriority w:val="99"/>
    <w:semiHidden/>
    <w:unhideWhenUsed/>
    <w:rsid w:val="0064576E"/>
  </w:style>
  <w:style w:type="numbering" w:customStyle="1" w:styleId="NoList11111113">
    <w:name w:val="No List11111113"/>
    <w:next w:val="NoList"/>
    <w:uiPriority w:val="99"/>
    <w:semiHidden/>
    <w:unhideWhenUsed/>
    <w:rsid w:val="0064576E"/>
  </w:style>
  <w:style w:type="numbering" w:customStyle="1" w:styleId="NoList111111113">
    <w:name w:val="No List111111113"/>
    <w:next w:val="NoList"/>
    <w:uiPriority w:val="99"/>
    <w:semiHidden/>
    <w:unhideWhenUsed/>
    <w:rsid w:val="0064576E"/>
  </w:style>
  <w:style w:type="numbering" w:customStyle="1" w:styleId="NoList21113">
    <w:name w:val="No List21113"/>
    <w:next w:val="NoList"/>
    <w:uiPriority w:val="99"/>
    <w:semiHidden/>
    <w:unhideWhenUsed/>
    <w:rsid w:val="0064576E"/>
  </w:style>
  <w:style w:type="paragraph" w:styleId="TOC1">
    <w:name w:val="toc 1"/>
    <w:basedOn w:val="Normal"/>
    <w:next w:val="Normal"/>
    <w:autoRedefine/>
    <w:uiPriority w:val="39"/>
    <w:unhideWhenUsed/>
    <w:rsid w:val="00276B77"/>
    <w:pPr>
      <w:spacing w:after="100"/>
    </w:pPr>
  </w:style>
  <w:style w:type="paragraph" w:styleId="TOC2">
    <w:name w:val="toc 2"/>
    <w:basedOn w:val="Normal"/>
    <w:next w:val="Normal"/>
    <w:autoRedefine/>
    <w:uiPriority w:val="39"/>
    <w:unhideWhenUsed/>
    <w:rsid w:val="00276B77"/>
    <w:pPr>
      <w:spacing w:after="100"/>
      <w:ind w:left="240"/>
    </w:pPr>
  </w:style>
  <w:style w:type="paragraph" w:styleId="TOC3">
    <w:name w:val="toc 3"/>
    <w:basedOn w:val="Normal"/>
    <w:next w:val="Normal"/>
    <w:autoRedefine/>
    <w:uiPriority w:val="39"/>
    <w:unhideWhenUsed/>
    <w:rsid w:val="00276B77"/>
    <w:pPr>
      <w:spacing w:after="100"/>
      <w:ind w:left="480"/>
    </w:pPr>
  </w:style>
  <w:style w:type="character" w:styleId="Hyperlink">
    <w:name w:val="Hyperlink"/>
    <w:basedOn w:val="DefaultParagraphFont"/>
    <w:uiPriority w:val="99"/>
    <w:unhideWhenUsed/>
    <w:rsid w:val="00276B77"/>
    <w:rPr>
      <w:color w:val="0000FF" w:themeColor="hyperlink"/>
      <w:u w:val="single"/>
    </w:rPr>
  </w:style>
  <w:style w:type="character" w:customStyle="1" w:styleId="UnresolvedMention1">
    <w:name w:val="Unresolved Mention1"/>
    <w:basedOn w:val="DefaultParagraphFont"/>
    <w:uiPriority w:val="99"/>
    <w:semiHidden/>
    <w:unhideWhenUsed/>
    <w:rsid w:val="002513FF"/>
    <w:rPr>
      <w:color w:val="605E5C"/>
      <w:shd w:val="clear" w:color="auto" w:fill="E1DFDD"/>
    </w:rPr>
  </w:style>
  <w:style w:type="paragraph" w:styleId="TOC4">
    <w:name w:val="toc 4"/>
    <w:basedOn w:val="Normal"/>
    <w:next w:val="Normal"/>
    <w:autoRedefine/>
    <w:uiPriority w:val="39"/>
    <w:unhideWhenUsed/>
    <w:rsid w:val="000B3C0D"/>
    <w:pPr>
      <w:spacing w:after="100"/>
      <w:ind w:left="720"/>
    </w:pPr>
  </w:style>
  <w:style w:type="character" w:customStyle="1" w:styleId="UnresolvedMention2">
    <w:name w:val="Unresolved Mention2"/>
    <w:basedOn w:val="DefaultParagraphFont"/>
    <w:uiPriority w:val="99"/>
    <w:semiHidden/>
    <w:unhideWhenUsed/>
    <w:rsid w:val="006D4658"/>
    <w:rPr>
      <w:color w:val="605E5C"/>
      <w:shd w:val="clear" w:color="auto" w:fill="E1DFDD"/>
    </w:rPr>
  </w:style>
  <w:style w:type="character" w:customStyle="1" w:styleId="UnresolvedMention3">
    <w:name w:val="Unresolved Mention3"/>
    <w:basedOn w:val="DefaultParagraphFont"/>
    <w:uiPriority w:val="99"/>
    <w:semiHidden/>
    <w:unhideWhenUsed/>
    <w:rsid w:val="00651073"/>
    <w:rPr>
      <w:color w:val="605E5C"/>
      <w:shd w:val="clear" w:color="auto" w:fill="E1DFDD"/>
    </w:rPr>
  </w:style>
  <w:style w:type="paragraph" w:styleId="TOC5">
    <w:name w:val="toc 5"/>
    <w:basedOn w:val="Normal"/>
    <w:next w:val="Normal"/>
    <w:autoRedefine/>
    <w:uiPriority w:val="39"/>
    <w:unhideWhenUsed/>
    <w:rsid w:val="0032379E"/>
    <w:pPr>
      <w:spacing w:after="100" w:line="259" w:lineRule="auto"/>
      <w:ind w:left="880"/>
    </w:pPr>
    <w:rPr>
      <w:rFonts w:asciiTheme="minorHAnsi" w:eastAsiaTheme="minorEastAsia" w:hAnsiTheme="minorHAnsi"/>
      <w:b w:val="0"/>
      <w:sz w:val="22"/>
      <w:lang w:eastAsia="en-MY"/>
    </w:rPr>
  </w:style>
  <w:style w:type="paragraph" w:styleId="TOC6">
    <w:name w:val="toc 6"/>
    <w:basedOn w:val="Normal"/>
    <w:next w:val="Normal"/>
    <w:autoRedefine/>
    <w:uiPriority w:val="39"/>
    <w:unhideWhenUsed/>
    <w:rsid w:val="0032379E"/>
    <w:pPr>
      <w:spacing w:after="100" w:line="259" w:lineRule="auto"/>
      <w:ind w:left="1100"/>
    </w:pPr>
    <w:rPr>
      <w:rFonts w:asciiTheme="minorHAnsi" w:eastAsiaTheme="minorEastAsia" w:hAnsiTheme="minorHAnsi"/>
      <w:b w:val="0"/>
      <w:sz w:val="22"/>
      <w:lang w:eastAsia="en-MY"/>
    </w:rPr>
  </w:style>
  <w:style w:type="paragraph" w:styleId="TOC7">
    <w:name w:val="toc 7"/>
    <w:basedOn w:val="Normal"/>
    <w:next w:val="Normal"/>
    <w:autoRedefine/>
    <w:uiPriority w:val="39"/>
    <w:unhideWhenUsed/>
    <w:rsid w:val="0032379E"/>
    <w:pPr>
      <w:spacing w:after="100" w:line="259" w:lineRule="auto"/>
      <w:ind w:left="1320"/>
    </w:pPr>
    <w:rPr>
      <w:rFonts w:asciiTheme="minorHAnsi" w:eastAsiaTheme="minorEastAsia" w:hAnsiTheme="minorHAnsi"/>
      <w:b w:val="0"/>
      <w:sz w:val="22"/>
      <w:lang w:eastAsia="en-MY"/>
    </w:rPr>
  </w:style>
  <w:style w:type="paragraph" w:styleId="TOC8">
    <w:name w:val="toc 8"/>
    <w:basedOn w:val="Normal"/>
    <w:next w:val="Normal"/>
    <w:autoRedefine/>
    <w:uiPriority w:val="39"/>
    <w:unhideWhenUsed/>
    <w:rsid w:val="0032379E"/>
    <w:pPr>
      <w:spacing w:after="100" w:line="259" w:lineRule="auto"/>
      <w:ind w:left="1540"/>
    </w:pPr>
    <w:rPr>
      <w:rFonts w:asciiTheme="minorHAnsi" w:eastAsiaTheme="minorEastAsia" w:hAnsiTheme="minorHAnsi"/>
      <w:b w:val="0"/>
      <w:sz w:val="22"/>
      <w:lang w:eastAsia="en-MY"/>
    </w:rPr>
  </w:style>
  <w:style w:type="paragraph" w:styleId="TOC9">
    <w:name w:val="toc 9"/>
    <w:basedOn w:val="Normal"/>
    <w:next w:val="Normal"/>
    <w:autoRedefine/>
    <w:uiPriority w:val="39"/>
    <w:unhideWhenUsed/>
    <w:rsid w:val="0032379E"/>
    <w:pPr>
      <w:spacing w:after="100" w:line="259" w:lineRule="auto"/>
      <w:ind w:left="1760"/>
    </w:pPr>
    <w:rPr>
      <w:rFonts w:asciiTheme="minorHAnsi" w:eastAsiaTheme="minorEastAsia" w:hAnsiTheme="minorHAnsi"/>
      <w:b w:val="0"/>
      <w:sz w:val="22"/>
      <w:lang w:eastAsia="en-MY"/>
    </w:rPr>
  </w:style>
  <w:style w:type="paragraph" w:customStyle="1" w:styleId="Default">
    <w:name w:val="Default"/>
    <w:rsid w:val="00F36CFC"/>
    <w:pPr>
      <w:autoSpaceDE w:val="0"/>
      <w:autoSpaceDN w:val="0"/>
      <w:adjustRightInd w:val="0"/>
      <w:spacing w:after="0" w:line="240" w:lineRule="auto"/>
    </w:pPr>
    <w:rPr>
      <w:rFonts w:ascii="Calibri" w:hAnsi="Calibri" w:cs="Calibri"/>
      <w:color w:val="000000"/>
      <w:sz w:val="24"/>
      <w:szCs w:val="24"/>
    </w:rPr>
  </w:style>
  <w:style w:type="character" w:customStyle="1" w:styleId="apple-converted-space">
    <w:name w:val="apple-converted-space"/>
    <w:basedOn w:val="DefaultParagraphFont"/>
    <w:rsid w:val="00B70B05"/>
  </w:style>
  <w:style w:type="character" w:styleId="FollowedHyperlink">
    <w:name w:val="FollowedHyperlink"/>
    <w:basedOn w:val="DefaultParagraphFont"/>
    <w:uiPriority w:val="99"/>
    <w:semiHidden/>
    <w:unhideWhenUsed/>
    <w:rsid w:val="00BF600D"/>
    <w:rPr>
      <w:color w:val="800080" w:themeColor="followedHyperlink"/>
      <w:u w:val="single"/>
    </w:rPr>
  </w:style>
  <w:style w:type="paragraph" w:customStyle="1" w:styleId="msonormal0">
    <w:name w:val="msonormal"/>
    <w:basedOn w:val="Normal"/>
    <w:rsid w:val="00BF600D"/>
    <w:pPr>
      <w:spacing w:before="100" w:beforeAutospacing="1" w:after="100" w:afterAutospacing="1" w:line="240" w:lineRule="auto"/>
    </w:pPr>
    <w:rPr>
      <w:rFonts w:eastAsia="Times New Roman" w:cs="Times New Roman"/>
      <w:b w:val="0"/>
      <w:szCs w:val="24"/>
      <w:lang w:eastAsia="en-MY"/>
    </w:rPr>
  </w:style>
  <w:style w:type="character" w:customStyle="1" w:styleId="word">
    <w:name w:val="word"/>
    <w:basedOn w:val="DefaultParagraphFont"/>
    <w:rsid w:val="00D02A46"/>
  </w:style>
  <w:style w:type="character" w:customStyle="1" w:styleId="UnresolvedMention4">
    <w:name w:val="Unresolved Mention4"/>
    <w:basedOn w:val="DefaultParagraphFont"/>
    <w:uiPriority w:val="99"/>
    <w:semiHidden/>
    <w:unhideWhenUsed/>
    <w:rsid w:val="00A5238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893770">
      <w:bodyDiv w:val="1"/>
      <w:marLeft w:val="0"/>
      <w:marRight w:val="0"/>
      <w:marTop w:val="0"/>
      <w:marBottom w:val="0"/>
      <w:divBdr>
        <w:top w:val="none" w:sz="0" w:space="0" w:color="auto"/>
        <w:left w:val="none" w:sz="0" w:space="0" w:color="auto"/>
        <w:bottom w:val="none" w:sz="0" w:space="0" w:color="auto"/>
        <w:right w:val="none" w:sz="0" w:space="0" w:color="auto"/>
      </w:divBdr>
    </w:div>
    <w:div w:id="16547328">
      <w:bodyDiv w:val="1"/>
      <w:marLeft w:val="0"/>
      <w:marRight w:val="0"/>
      <w:marTop w:val="0"/>
      <w:marBottom w:val="0"/>
      <w:divBdr>
        <w:top w:val="none" w:sz="0" w:space="0" w:color="auto"/>
        <w:left w:val="none" w:sz="0" w:space="0" w:color="auto"/>
        <w:bottom w:val="none" w:sz="0" w:space="0" w:color="auto"/>
        <w:right w:val="none" w:sz="0" w:space="0" w:color="auto"/>
      </w:divBdr>
    </w:div>
    <w:div w:id="18431421">
      <w:bodyDiv w:val="1"/>
      <w:marLeft w:val="0"/>
      <w:marRight w:val="0"/>
      <w:marTop w:val="0"/>
      <w:marBottom w:val="0"/>
      <w:divBdr>
        <w:top w:val="none" w:sz="0" w:space="0" w:color="auto"/>
        <w:left w:val="none" w:sz="0" w:space="0" w:color="auto"/>
        <w:bottom w:val="none" w:sz="0" w:space="0" w:color="auto"/>
        <w:right w:val="none" w:sz="0" w:space="0" w:color="auto"/>
      </w:divBdr>
    </w:div>
    <w:div w:id="33045154">
      <w:bodyDiv w:val="1"/>
      <w:marLeft w:val="0"/>
      <w:marRight w:val="0"/>
      <w:marTop w:val="0"/>
      <w:marBottom w:val="0"/>
      <w:divBdr>
        <w:top w:val="none" w:sz="0" w:space="0" w:color="auto"/>
        <w:left w:val="none" w:sz="0" w:space="0" w:color="auto"/>
        <w:bottom w:val="none" w:sz="0" w:space="0" w:color="auto"/>
        <w:right w:val="none" w:sz="0" w:space="0" w:color="auto"/>
      </w:divBdr>
    </w:div>
    <w:div w:id="60755371">
      <w:bodyDiv w:val="1"/>
      <w:marLeft w:val="0"/>
      <w:marRight w:val="0"/>
      <w:marTop w:val="0"/>
      <w:marBottom w:val="0"/>
      <w:divBdr>
        <w:top w:val="none" w:sz="0" w:space="0" w:color="auto"/>
        <w:left w:val="none" w:sz="0" w:space="0" w:color="auto"/>
        <w:bottom w:val="none" w:sz="0" w:space="0" w:color="auto"/>
        <w:right w:val="none" w:sz="0" w:space="0" w:color="auto"/>
      </w:divBdr>
    </w:div>
    <w:div w:id="116460752">
      <w:bodyDiv w:val="1"/>
      <w:marLeft w:val="0"/>
      <w:marRight w:val="0"/>
      <w:marTop w:val="0"/>
      <w:marBottom w:val="0"/>
      <w:divBdr>
        <w:top w:val="none" w:sz="0" w:space="0" w:color="auto"/>
        <w:left w:val="none" w:sz="0" w:space="0" w:color="auto"/>
        <w:bottom w:val="none" w:sz="0" w:space="0" w:color="auto"/>
        <w:right w:val="none" w:sz="0" w:space="0" w:color="auto"/>
      </w:divBdr>
    </w:div>
    <w:div w:id="137766833">
      <w:bodyDiv w:val="1"/>
      <w:marLeft w:val="0"/>
      <w:marRight w:val="0"/>
      <w:marTop w:val="0"/>
      <w:marBottom w:val="0"/>
      <w:divBdr>
        <w:top w:val="none" w:sz="0" w:space="0" w:color="auto"/>
        <w:left w:val="none" w:sz="0" w:space="0" w:color="auto"/>
        <w:bottom w:val="none" w:sz="0" w:space="0" w:color="auto"/>
        <w:right w:val="none" w:sz="0" w:space="0" w:color="auto"/>
      </w:divBdr>
    </w:div>
    <w:div w:id="160314829">
      <w:bodyDiv w:val="1"/>
      <w:marLeft w:val="0"/>
      <w:marRight w:val="0"/>
      <w:marTop w:val="0"/>
      <w:marBottom w:val="0"/>
      <w:divBdr>
        <w:top w:val="none" w:sz="0" w:space="0" w:color="auto"/>
        <w:left w:val="none" w:sz="0" w:space="0" w:color="auto"/>
        <w:bottom w:val="none" w:sz="0" w:space="0" w:color="auto"/>
        <w:right w:val="none" w:sz="0" w:space="0" w:color="auto"/>
      </w:divBdr>
    </w:div>
    <w:div w:id="171146864">
      <w:bodyDiv w:val="1"/>
      <w:marLeft w:val="0"/>
      <w:marRight w:val="0"/>
      <w:marTop w:val="0"/>
      <w:marBottom w:val="0"/>
      <w:divBdr>
        <w:top w:val="none" w:sz="0" w:space="0" w:color="auto"/>
        <w:left w:val="none" w:sz="0" w:space="0" w:color="auto"/>
        <w:bottom w:val="none" w:sz="0" w:space="0" w:color="auto"/>
        <w:right w:val="none" w:sz="0" w:space="0" w:color="auto"/>
      </w:divBdr>
    </w:div>
    <w:div w:id="185297197">
      <w:bodyDiv w:val="1"/>
      <w:marLeft w:val="0"/>
      <w:marRight w:val="0"/>
      <w:marTop w:val="0"/>
      <w:marBottom w:val="0"/>
      <w:divBdr>
        <w:top w:val="none" w:sz="0" w:space="0" w:color="auto"/>
        <w:left w:val="none" w:sz="0" w:space="0" w:color="auto"/>
        <w:bottom w:val="none" w:sz="0" w:space="0" w:color="auto"/>
        <w:right w:val="none" w:sz="0" w:space="0" w:color="auto"/>
      </w:divBdr>
    </w:div>
    <w:div w:id="186452454">
      <w:bodyDiv w:val="1"/>
      <w:marLeft w:val="0"/>
      <w:marRight w:val="0"/>
      <w:marTop w:val="0"/>
      <w:marBottom w:val="0"/>
      <w:divBdr>
        <w:top w:val="none" w:sz="0" w:space="0" w:color="auto"/>
        <w:left w:val="none" w:sz="0" w:space="0" w:color="auto"/>
        <w:bottom w:val="none" w:sz="0" w:space="0" w:color="auto"/>
        <w:right w:val="none" w:sz="0" w:space="0" w:color="auto"/>
      </w:divBdr>
    </w:div>
    <w:div w:id="239369949">
      <w:bodyDiv w:val="1"/>
      <w:marLeft w:val="0"/>
      <w:marRight w:val="0"/>
      <w:marTop w:val="0"/>
      <w:marBottom w:val="0"/>
      <w:divBdr>
        <w:top w:val="none" w:sz="0" w:space="0" w:color="auto"/>
        <w:left w:val="none" w:sz="0" w:space="0" w:color="auto"/>
        <w:bottom w:val="none" w:sz="0" w:space="0" w:color="auto"/>
        <w:right w:val="none" w:sz="0" w:space="0" w:color="auto"/>
      </w:divBdr>
    </w:div>
    <w:div w:id="245582047">
      <w:bodyDiv w:val="1"/>
      <w:marLeft w:val="0"/>
      <w:marRight w:val="0"/>
      <w:marTop w:val="0"/>
      <w:marBottom w:val="0"/>
      <w:divBdr>
        <w:top w:val="none" w:sz="0" w:space="0" w:color="auto"/>
        <w:left w:val="none" w:sz="0" w:space="0" w:color="auto"/>
        <w:bottom w:val="none" w:sz="0" w:space="0" w:color="auto"/>
        <w:right w:val="none" w:sz="0" w:space="0" w:color="auto"/>
      </w:divBdr>
    </w:div>
    <w:div w:id="252518136">
      <w:bodyDiv w:val="1"/>
      <w:marLeft w:val="0"/>
      <w:marRight w:val="0"/>
      <w:marTop w:val="0"/>
      <w:marBottom w:val="0"/>
      <w:divBdr>
        <w:top w:val="none" w:sz="0" w:space="0" w:color="auto"/>
        <w:left w:val="none" w:sz="0" w:space="0" w:color="auto"/>
        <w:bottom w:val="none" w:sz="0" w:space="0" w:color="auto"/>
        <w:right w:val="none" w:sz="0" w:space="0" w:color="auto"/>
      </w:divBdr>
    </w:div>
    <w:div w:id="262035237">
      <w:bodyDiv w:val="1"/>
      <w:marLeft w:val="0"/>
      <w:marRight w:val="0"/>
      <w:marTop w:val="0"/>
      <w:marBottom w:val="0"/>
      <w:divBdr>
        <w:top w:val="none" w:sz="0" w:space="0" w:color="auto"/>
        <w:left w:val="none" w:sz="0" w:space="0" w:color="auto"/>
        <w:bottom w:val="none" w:sz="0" w:space="0" w:color="auto"/>
        <w:right w:val="none" w:sz="0" w:space="0" w:color="auto"/>
      </w:divBdr>
    </w:div>
    <w:div w:id="263463963">
      <w:bodyDiv w:val="1"/>
      <w:marLeft w:val="0"/>
      <w:marRight w:val="0"/>
      <w:marTop w:val="0"/>
      <w:marBottom w:val="0"/>
      <w:divBdr>
        <w:top w:val="none" w:sz="0" w:space="0" w:color="auto"/>
        <w:left w:val="none" w:sz="0" w:space="0" w:color="auto"/>
        <w:bottom w:val="none" w:sz="0" w:space="0" w:color="auto"/>
        <w:right w:val="none" w:sz="0" w:space="0" w:color="auto"/>
      </w:divBdr>
    </w:div>
    <w:div w:id="302271891">
      <w:bodyDiv w:val="1"/>
      <w:marLeft w:val="0"/>
      <w:marRight w:val="0"/>
      <w:marTop w:val="0"/>
      <w:marBottom w:val="0"/>
      <w:divBdr>
        <w:top w:val="none" w:sz="0" w:space="0" w:color="auto"/>
        <w:left w:val="none" w:sz="0" w:space="0" w:color="auto"/>
        <w:bottom w:val="none" w:sz="0" w:space="0" w:color="auto"/>
        <w:right w:val="none" w:sz="0" w:space="0" w:color="auto"/>
      </w:divBdr>
    </w:div>
    <w:div w:id="317808911">
      <w:bodyDiv w:val="1"/>
      <w:marLeft w:val="0"/>
      <w:marRight w:val="0"/>
      <w:marTop w:val="0"/>
      <w:marBottom w:val="0"/>
      <w:divBdr>
        <w:top w:val="none" w:sz="0" w:space="0" w:color="auto"/>
        <w:left w:val="none" w:sz="0" w:space="0" w:color="auto"/>
        <w:bottom w:val="none" w:sz="0" w:space="0" w:color="auto"/>
        <w:right w:val="none" w:sz="0" w:space="0" w:color="auto"/>
      </w:divBdr>
    </w:div>
    <w:div w:id="329453478">
      <w:bodyDiv w:val="1"/>
      <w:marLeft w:val="0"/>
      <w:marRight w:val="0"/>
      <w:marTop w:val="0"/>
      <w:marBottom w:val="0"/>
      <w:divBdr>
        <w:top w:val="none" w:sz="0" w:space="0" w:color="auto"/>
        <w:left w:val="none" w:sz="0" w:space="0" w:color="auto"/>
        <w:bottom w:val="none" w:sz="0" w:space="0" w:color="auto"/>
        <w:right w:val="none" w:sz="0" w:space="0" w:color="auto"/>
      </w:divBdr>
    </w:div>
    <w:div w:id="333845087">
      <w:bodyDiv w:val="1"/>
      <w:marLeft w:val="0"/>
      <w:marRight w:val="0"/>
      <w:marTop w:val="0"/>
      <w:marBottom w:val="0"/>
      <w:divBdr>
        <w:top w:val="none" w:sz="0" w:space="0" w:color="auto"/>
        <w:left w:val="none" w:sz="0" w:space="0" w:color="auto"/>
        <w:bottom w:val="none" w:sz="0" w:space="0" w:color="auto"/>
        <w:right w:val="none" w:sz="0" w:space="0" w:color="auto"/>
      </w:divBdr>
    </w:div>
    <w:div w:id="358164900">
      <w:bodyDiv w:val="1"/>
      <w:marLeft w:val="0"/>
      <w:marRight w:val="0"/>
      <w:marTop w:val="0"/>
      <w:marBottom w:val="0"/>
      <w:divBdr>
        <w:top w:val="none" w:sz="0" w:space="0" w:color="auto"/>
        <w:left w:val="none" w:sz="0" w:space="0" w:color="auto"/>
        <w:bottom w:val="none" w:sz="0" w:space="0" w:color="auto"/>
        <w:right w:val="none" w:sz="0" w:space="0" w:color="auto"/>
      </w:divBdr>
    </w:div>
    <w:div w:id="364600386">
      <w:bodyDiv w:val="1"/>
      <w:marLeft w:val="0"/>
      <w:marRight w:val="0"/>
      <w:marTop w:val="0"/>
      <w:marBottom w:val="0"/>
      <w:divBdr>
        <w:top w:val="none" w:sz="0" w:space="0" w:color="auto"/>
        <w:left w:val="none" w:sz="0" w:space="0" w:color="auto"/>
        <w:bottom w:val="none" w:sz="0" w:space="0" w:color="auto"/>
        <w:right w:val="none" w:sz="0" w:space="0" w:color="auto"/>
      </w:divBdr>
    </w:div>
    <w:div w:id="476342000">
      <w:bodyDiv w:val="1"/>
      <w:marLeft w:val="0"/>
      <w:marRight w:val="0"/>
      <w:marTop w:val="0"/>
      <w:marBottom w:val="0"/>
      <w:divBdr>
        <w:top w:val="none" w:sz="0" w:space="0" w:color="auto"/>
        <w:left w:val="none" w:sz="0" w:space="0" w:color="auto"/>
        <w:bottom w:val="none" w:sz="0" w:space="0" w:color="auto"/>
        <w:right w:val="none" w:sz="0" w:space="0" w:color="auto"/>
      </w:divBdr>
    </w:div>
    <w:div w:id="502822273">
      <w:bodyDiv w:val="1"/>
      <w:marLeft w:val="0"/>
      <w:marRight w:val="0"/>
      <w:marTop w:val="0"/>
      <w:marBottom w:val="0"/>
      <w:divBdr>
        <w:top w:val="none" w:sz="0" w:space="0" w:color="auto"/>
        <w:left w:val="none" w:sz="0" w:space="0" w:color="auto"/>
        <w:bottom w:val="none" w:sz="0" w:space="0" w:color="auto"/>
        <w:right w:val="none" w:sz="0" w:space="0" w:color="auto"/>
      </w:divBdr>
    </w:div>
    <w:div w:id="508258919">
      <w:bodyDiv w:val="1"/>
      <w:marLeft w:val="0"/>
      <w:marRight w:val="0"/>
      <w:marTop w:val="0"/>
      <w:marBottom w:val="0"/>
      <w:divBdr>
        <w:top w:val="none" w:sz="0" w:space="0" w:color="auto"/>
        <w:left w:val="none" w:sz="0" w:space="0" w:color="auto"/>
        <w:bottom w:val="none" w:sz="0" w:space="0" w:color="auto"/>
        <w:right w:val="none" w:sz="0" w:space="0" w:color="auto"/>
      </w:divBdr>
    </w:div>
    <w:div w:id="530920854">
      <w:bodyDiv w:val="1"/>
      <w:marLeft w:val="0"/>
      <w:marRight w:val="0"/>
      <w:marTop w:val="0"/>
      <w:marBottom w:val="0"/>
      <w:divBdr>
        <w:top w:val="none" w:sz="0" w:space="0" w:color="auto"/>
        <w:left w:val="none" w:sz="0" w:space="0" w:color="auto"/>
        <w:bottom w:val="none" w:sz="0" w:space="0" w:color="auto"/>
        <w:right w:val="none" w:sz="0" w:space="0" w:color="auto"/>
      </w:divBdr>
    </w:div>
    <w:div w:id="545483261">
      <w:bodyDiv w:val="1"/>
      <w:marLeft w:val="0"/>
      <w:marRight w:val="0"/>
      <w:marTop w:val="0"/>
      <w:marBottom w:val="0"/>
      <w:divBdr>
        <w:top w:val="none" w:sz="0" w:space="0" w:color="auto"/>
        <w:left w:val="none" w:sz="0" w:space="0" w:color="auto"/>
        <w:bottom w:val="none" w:sz="0" w:space="0" w:color="auto"/>
        <w:right w:val="none" w:sz="0" w:space="0" w:color="auto"/>
      </w:divBdr>
    </w:div>
    <w:div w:id="572353031">
      <w:bodyDiv w:val="1"/>
      <w:marLeft w:val="0"/>
      <w:marRight w:val="0"/>
      <w:marTop w:val="0"/>
      <w:marBottom w:val="0"/>
      <w:divBdr>
        <w:top w:val="none" w:sz="0" w:space="0" w:color="auto"/>
        <w:left w:val="none" w:sz="0" w:space="0" w:color="auto"/>
        <w:bottom w:val="none" w:sz="0" w:space="0" w:color="auto"/>
        <w:right w:val="none" w:sz="0" w:space="0" w:color="auto"/>
      </w:divBdr>
    </w:div>
    <w:div w:id="584455580">
      <w:bodyDiv w:val="1"/>
      <w:marLeft w:val="0"/>
      <w:marRight w:val="0"/>
      <w:marTop w:val="0"/>
      <w:marBottom w:val="0"/>
      <w:divBdr>
        <w:top w:val="none" w:sz="0" w:space="0" w:color="auto"/>
        <w:left w:val="none" w:sz="0" w:space="0" w:color="auto"/>
        <w:bottom w:val="none" w:sz="0" w:space="0" w:color="auto"/>
        <w:right w:val="none" w:sz="0" w:space="0" w:color="auto"/>
      </w:divBdr>
    </w:div>
    <w:div w:id="589462578">
      <w:bodyDiv w:val="1"/>
      <w:marLeft w:val="0"/>
      <w:marRight w:val="0"/>
      <w:marTop w:val="0"/>
      <w:marBottom w:val="0"/>
      <w:divBdr>
        <w:top w:val="none" w:sz="0" w:space="0" w:color="auto"/>
        <w:left w:val="none" w:sz="0" w:space="0" w:color="auto"/>
        <w:bottom w:val="none" w:sz="0" w:space="0" w:color="auto"/>
        <w:right w:val="none" w:sz="0" w:space="0" w:color="auto"/>
      </w:divBdr>
    </w:div>
    <w:div w:id="606238505">
      <w:bodyDiv w:val="1"/>
      <w:marLeft w:val="0"/>
      <w:marRight w:val="0"/>
      <w:marTop w:val="0"/>
      <w:marBottom w:val="0"/>
      <w:divBdr>
        <w:top w:val="none" w:sz="0" w:space="0" w:color="auto"/>
        <w:left w:val="none" w:sz="0" w:space="0" w:color="auto"/>
        <w:bottom w:val="none" w:sz="0" w:space="0" w:color="auto"/>
        <w:right w:val="none" w:sz="0" w:space="0" w:color="auto"/>
      </w:divBdr>
    </w:div>
    <w:div w:id="651834687">
      <w:bodyDiv w:val="1"/>
      <w:marLeft w:val="0"/>
      <w:marRight w:val="0"/>
      <w:marTop w:val="0"/>
      <w:marBottom w:val="0"/>
      <w:divBdr>
        <w:top w:val="none" w:sz="0" w:space="0" w:color="auto"/>
        <w:left w:val="none" w:sz="0" w:space="0" w:color="auto"/>
        <w:bottom w:val="none" w:sz="0" w:space="0" w:color="auto"/>
        <w:right w:val="none" w:sz="0" w:space="0" w:color="auto"/>
      </w:divBdr>
    </w:div>
    <w:div w:id="671765519">
      <w:bodyDiv w:val="1"/>
      <w:marLeft w:val="0"/>
      <w:marRight w:val="0"/>
      <w:marTop w:val="0"/>
      <w:marBottom w:val="0"/>
      <w:divBdr>
        <w:top w:val="none" w:sz="0" w:space="0" w:color="auto"/>
        <w:left w:val="none" w:sz="0" w:space="0" w:color="auto"/>
        <w:bottom w:val="none" w:sz="0" w:space="0" w:color="auto"/>
        <w:right w:val="none" w:sz="0" w:space="0" w:color="auto"/>
      </w:divBdr>
    </w:div>
    <w:div w:id="702093496">
      <w:bodyDiv w:val="1"/>
      <w:marLeft w:val="0"/>
      <w:marRight w:val="0"/>
      <w:marTop w:val="0"/>
      <w:marBottom w:val="0"/>
      <w:divBdr>
        <w:top w:val="none" w:sz="0" w:space="0" w:color="auto"/>
        <w:left w:val="none" w:sz="0" w:space="0" w:color="auto"/>
        <w:bottom w:val="none" w:sz="0" w:space="0" w:color="auto"/>
        <w:right w:val="none" w:sz="0" w:space="0" w:color="auto"/>
      </w:divBdr>
    </w:div>
    <w:div w:id="706567535">
      <w:bodyDiv w:val="1"/>
      <w:marLeft w:val="0"/>
      <w:marRight w:val="0"/>
      <w:marTop w:val="0"/>
      <w:marBottom w:val="0"/>
      <w:divBdr>
        <w:top w:val="none" w:sz="0" w:space="0" w:color="auto"/>
        <w:left w:val="none" w:sz="0" w:space="0" w:color="auto"/>
        <w:bottom w:val="none" w:sz="0" w:space="0" w:color="auto"/>
        <w:right w:val="none" w:sz="0" w:space="0" w:color="auto"/>
      </w:divBdr>
    </w:div>
    <w:div w:id="735207775">
      <w:bodyDiv w:val="1"/>
      <w:marLeft w:val="0"/>
      <w:marRight w:val="0"/>
      <w:marTop w:val="0"/>
      <w:marBottom w:val="0"/>
      <w:divBdr>
        <w:top w:val="none" w:sz="0" w:space="0" w:color="auto"/>
        <w:left w:val="none" w:sz="0" w:space="0" w:color="auto"/>
        <w:bottom w:val="none" w:sz="0" w:space="0" w:color="auto"/>
        <w:right w:val="none" w:sz="0" w:space="0" w:color="auto"/>
      </w:divBdr>
    </w:div>
    <w:div w:id="773206607">
      <w:bodyDiv w:val="1"/>
      <w:marLeft w:val="0"/>
      <w:marRight w:val="0"/>
      <w:marTop w:val="0"/>
      <w:marBottom w:val="0"/>
      <w:divBdr>
        <w:top w:val="none" w:sz="0" w:space="0" w:color="auto"/>
        <w:left w:val="none" w:sz="0" w:space="0" w:color="auto"/>
        <w:bottom w:val="none" w:sz="0" w:space="0" w:color="auto"/>
        <w:right w:val="none" w:sz="0" w:space="0" w:color="auto"/>
      </w:divBdr>
    </w:div>
    <w:div w:id="782771739">
      <w:bodyDiv w:val="1"/>
      <w:marLeft w:val="0"/>
      <w:marRight w:val="0"/>
      <w:marTop w:val="0"/>
      <w:marBottom w:val="0"/>
      <w:divBdr>
        <w:top w:val="none" w:sz="0" w:space="0" w:color="auto"/>
        <w:left w:val="none" w:sz="0" w:space="0" w:color="auto"/>
        <w:bottom w:val="none" w:sz="0" w:space="0" w:color="auto"/>
        <w:right w:val="none" w:sz="0" w:space="0" w:color="auto"/>
      </w:divBdr>
    </w:div>
    <w:div w:id="792986116">
      <w:bodyDiv w:val="1"/>
      <w:marLeft w:val="0"/>
      <w:marRight w:val="0"/>
      <w:marTop w:val="0"/>
      <w:marBottom w:val="0"/>
      <w:divBdr>
        <w:top w:val="none" w:sz="0" w:space="0" w:color="auto"/>
        <w:left w:val="none" w:sz="0" w:space="0" w:color="auto"/>
        <w:bottom w:val="none" w:sz="0" w:space="0" w:color="auto"/>
        <w:right w:val="none" w:sz="0" w:space="0" w:color="auto"/>
      </w:divBdr>
    </w:div>
    <w:div w:id="824737319">
      <w:bodyDiv w:val="1"/>
      <w:marLeft w:val="0"/>
      <w:marRight w:val="0"/>
      <w:marTop w:val="0"/>
      <w:marBottom w:val="0"/>
      <w:divBdr>
        <w:top w:val="none" w:sz="0" w:space="0" w:color="auto"/>
        <w:left w:val="none" w:sz="0" w:space="0" w:color="auto"/>
        <w:bottom w:val="none" w:sz="0" w:space="0" w:color="auto"/>
        <w:right w:val="none" w:sz="0" w:space="0" w:color="auto"/>
      </w:divBdr>
    </w:div>
    <w:div w:id="827674096">
      <w:bodyDiv w:val="1"/>
      <w:marLeft w:val="0"/>
      <w:marRight w:val="0"/>
      <w:marTop w:val="0"/>
      <w:marBottom w:val="0"/>
      <w:divBdr>
        <w:top w:val="none" w:sz="0" w:space="0" w:color="auto"/>
        <w:left w:val="none" w:sz="0" w:space="0" w:color="auto"/>
        <w:bottom w:val="none" w:sz="0" w:space="0" w:color="auto"/>
        <w:right w:val="none" w:sz="0" w:space="0" w:color="auto"/>
      </w:divBdr>
    </w:div>
    <w:div w:id="846599775">
      <w:bodyDiv w:val="1"/>
      <w:marLeft w:val="0"/>
      <w:marRight w:val="0"/>
      <w:marTop w:val="0"/>
      <w:marBottom w:val="0"/>
      <w:divBdr>
        <w:top w:val="none" w:sz="0" w:space="0" w:color="auto"/>
        <w:left w:val="none" w:sz="0" w:space="0" w:color="auto"/>
        <w:bottom w:val="none" w:sz="0" w:space="0" w:color="auto"/>
        <w:right w:val="none" w:sz="0" w:space="0" w:color="auto"/>
      </w:divBdr>
    </w:div>
    <w:div w:id="858397709">
      <w:bodyDiv w:val="1"/>
      <w:marLeft w:val="0"/>
      <w:marRight w:val="0"/>
      <w:marTop w:val="0"/>
      <w:marBottom w:val="0"/>
      <w:divBdr>
        <w:top w:val="none" w:sz="0" w:space="0" w:color="auto"/>
        <w:left w:val="none" w:sz="0" w:space="0" w:color="auto"/>
        <w:bottom w:val="none" w:sz="0" w:space="0" w:color="auto"/>
        <w:right w:val="none" w:sz="0" w:space="0" w:color="auto"/>
      </w:divBdr>
    </w:div>
    <w:div w:id="859011649">
      <w:bodyDiv w:val="1"/>
      <w:marLeft w:val="0"/>
      <w:marRight w:val="0"/>
      <w:marTop w:val="0"/>
      <w:marBottom w:val="0"/>
      <w:divBdr>
        <w:top w:val="none" w:sz="0" w:space="0" w:color="auto"/>
        <w:left w:val="none" w:sz="0" w:space="0" w:color="auto"/>
        <w:bottom w:val="none" w:sz="0" w:space="0" w:color="auto"/>
        <w:right w:val="none" w:sz="0" w:space="0" w:color="auto"/>
      </w:divBdr>
    </w:div>
    <w:div w:id="865293570">
      <w:bodyDiv w:val="1"/>
      <w:marLeft w:val="0"/>
      <w:marRight w:val="0"/>
      <w:marTop w:val="0"/>
      <w:marBottom w:val="0"/>
      <w:divBdr>
        <w:top w:val="none" w:sz="0" w:space="0" w:color="auto"/>
        <w:left w:val="none" w:sz="0" w:space="0" w:color="auto"/>
        <w:bottom w:val="none" w:sz="0" w:space="0" w:color="auto"/>
        <w:right w:val="none" w:sz="0" w:space="0" w:color="auto"/>
      </w:divBdr>
    </w:div>
    <w:div w:id="908274945">
      <w:bodyDiv w:val="1"/>
      <w:marLeft w:val="0"/>
      <w:marRight w:val="0"/>
      <w:marTop w:val="0"/>
      <w:marBottom w:val="0"/>
      <w:divBdr>
        <w:top w:val="none" w:sz="0" w:space="0" w:color="auto"/>
        <w:left w:val="none" w:sz="0" w:space="0" w:color="auto"/>
        <w:bottom w:val="none" w:sz="0" w:space="0" w:color="auto"/>
        <w:right w:val="none" w:sz="0" w:space="0" w:color="auto"/>
      </w:divBdr>
    </w:div>
    <w:div w:id="950160106">
      <w:bodyDiv w:val="1"/>
      <w:marLeft w:val="0"/>
      <w:marRight w:val="0"/>
      <w:marTop w:val="0"/>
      <w:marBottom w:val="0"/>
      <w:divBdr>
        <w:top w:val="none" w:sz="0" w:space="0" w:color="auto"/>
        <w:left w:val="none" w:sz="0" w:space="0" w:color="auto"/>
        <w:bottom w:val="none" w:sz="0" w:space="0" w:color="auto"/>
        <w:right w:val="none" w:sz="0" w:space="0" w:color="auto"/>
      </w:divBdr>
    </w:div>
    <w:div w:id="962424959">
      <w:bodyDiv w:val="1"/>
      <w:marLeft w:val="0"/>
      <w:marRight w:val="0"/>
      <w:marTop w:val="0"/>
      <w:marBottom w:val="0"/>
      <w:divBdr>
        <w:top w:val="none" w:sz="0" w:space="0" w:color="auto"/>
        <w:left w:val="none" w:sz="0" w:space="0" w:color="auto"/>
        <w:bottom w:val="none" w:sz="0" w:space="0" w:color="auto"/>
        <w:right w:val="none" w:sz="0" w:space="0" w:color="auto"/>
      </w:divBdr>
    </w:div>
    <w:div w:id="1007899740">
      <w:bodyDiv w:val="1"/>
      <w:marLeft w:val="0"/>
      <w:marRight w:val="0"/>
      <w:marTop w:val="0"/>
      <w:marBottom w:val="0"/>
      <w:divBdr>
        <w:top w:val="none" w:sz="0" w:space="0" w:color="auto"/>
        <w:left w:val="none" w:sz="0" w:space="0" w:color="auto"/>
        <w:bottom w:val="none" w:sz="0" w:space="0" w:color="auto"/>
        <w:right w:val="none" w:sz="0" w:space="0" w:color="auto"/>
      </w:divBdr>
    </w:div>
    <w:div w:id="1015618331">
      <w:bodyDiv w:val="1"/>
      <w:marLeft w:val="0"/>
      <w:marRight w:val="0"/>
      <w:marTop w:val="0"/>
      <w:marBottom w:val="0"/>
      <w:divBdr>
        <w:top w:val="none" w:sz="0" w:space="0" w:color="auto"/>
        <w:left w:val="none" w:sz="0" w:space="0" w:color="auto"/>
        <w:bottom w:val="none" w:sz="0" w:space="0" w:color="auto"/>
        <w:right w:val="none" w:sz="0" w:space="0" w:color="auto"/>
      </w:divBdr>
    </w:div>
    <w:div w:id="1028674883">
      <w:bodyDiv w:val="1"/>
      <w:marLeft w:val="0"/>
      <w:marRight w:val="0"/>
      <w:marTop w:val="0"/>
      <w:marBottom w:val="0"/>
      <w:divBdr>
        <w:top w:val="none" w:sz="0" w:space="0" w:color="auto"/>
        <w:left w:val="none" w:sz="0" w:space="0" w:color="auto"/>
        <w:bottom w:val="none" w:sz="0" w:space="0" w:color="auto"/>
        <w:right w:val="none" w:sz="0" w:space="0" w:color="auto"/>
      </w:divBdr>
    </w:div>
    <w:div w:id="1037045607">
      <w:bodyDiv w:val="1"/>
      <w:marLeft w:val="0"/>
      <w:marRight w:val="0"/>
      <w:marTop w:val="0"/>
      <w:marBottom w:val="0"/>
      <w:divBdr>
        <w:top w:val="none" w:sz="0" w:space="0" w:color="auto"/>
        <w:left w:val="none" w:sz="0" w:space="0" w:color="auto"/>
        <w:bottom w:val="none" w:sz="0" w:space="0" w:color="auto"/>
        <w:right w:val="none" w:sz="0" w:space="0" w:color="auto"/>
      </w:divBdr>
    </w:div>
    <w:div w:id="1057818793">
      <w:bodyDiv w:val="1"/>
      <w:marLeft w:val="0"/>
      <w:marRight w:val="0"/>
      <w:marTop w:val="0"/>
      <w:marBottom w:val="0"/>
      <w:divBdr>
        <w:top w:val="none" w:sz="0" w:space="0" w:color="auto"/>
        <w:left w:val="none" w:sz="0" w:space="0" w:color="auto"/>
        <w:bottom w:val="none" w:sz="0" w:space="0" w:color="auto"/>
        <w:right w:val="none" w:sz="0" w:space="0" w:color="auto"/>
      </w:divBdr>
    </w:div>
    <w:div w:id="1081561339">
      <w:bodyDiv w:val="1"/>
      <w:marLeft w:val="0"/>
      <w:marRight w:val="0"/>
      <w:marTop w:val="0"/>
      <w:marBottom w:val="0"/>
      <w:divBdr>
        <w:top w:val="none" w:sz="0" w:space="0" w:color="auto"/>
        <w:left w:val="none" w:sz="0" w:space="0" w:color="auto"/>
        <w:bottom w:val="none" w:sz="0" w:space="0" w:color="auto"/>
        <w:right w:val="none" w:sz="0" w:space="0" w:color="auto"/>
      </w:divBdr>
    </w:div>
    <w:div w:id="1093672132">
      <w:bodyDiv w:val="1"/>
      <w:marLeft w:val="0"/>
      <w:marRight w:val="0"/>
      <w:marTop w:val="0"/>
      <w:marBottom w:val="0"/>
      <w:divBdr>
        <w:top w:val="none" w:sz="0" w:space="0" w:color="auto"/>
        <w:left w:val="none" w:sz="0" w:space="0" w:color="auto"/>
        <w:bottom w:val="none" w:sz="0" w:space="0" w:color="auto"/>
        <w:right w:val="none" w:sz="0" w:space="0" w:color="auto"/>
      </w:divBdr>
    </w:div>
    <w:div w:id="1097940418">
      <w:bodyDiv w:val="1"/>
      <w:marLeft w:val="0"/>
      <w:marRight w:val="0"/>
      <w:marTop w:val="0"/>
      <w:marBottom w:val="0"/>
      <w:divBdr>
        <w:top w:val="none" w:sz="0" w:space="0" w:color="auto"/>
        <w:left w:val="none" w:sz="0" w:space="0" w:color="auto"/>
        <w:bottom w:val="none" w:sz="0" w:space="0" w:color="auto"/>
        <w:right w:val="none" w:sz="0" w:space="0" w:color="auto"/>
      </w:divBdr>
    </w:div>
    <w:div w:id="1150513241">
      <w:bodyDiv w:val="1"/>
      <w:marLeft w:val="0"/>
      <w:marRight w:val="0"/>
      <w:marTop w:val="0"/>
      <w:marBottom w:val="0"/>
      <w:divBdr>
        <w:top w:val="none" w:sz="0" w:space="0" w:color="auto"/>
        <w:left w:val="none" w:sz="0" w:space="0" w:color="auto"/>
        <w:bottom w:val="none" w:sz="0" w:space="0" w:color="auto"/>
        <w:right w:val="none" w:sz="0" w:space="0" w:color="auto"/>
      </w:divBdr>
    </w:div>
    <w:div w:id="1162503678">
      <w:bodyDiv w:val="1"/>
      <w:marLeft w:val="0"/>
      <w:marRight w:val="0"/>
      <w:marTop w:val="0"/>
      <w:marBottom w:val="0"/>
      <w:divBdr>
        <w:top w:val="none" w:sz="0" w:space="0" w:color="auto"/>
        <w:left w:val="none" w:sz="0" w:space="0" w:color="auto"/>
        <w:bottom w:val="none" w:sz="0" w:space="0" w:color="auto"/>
        <w:right w:val="none" w:sz="0" w:space="0" w:color="auto"/>
      </w:divBdr>
    </w:div>
    <w:div w:id="1217279698">
      <w:bodyDiv w:val="1"/>
      <w:marLeft w:val="0"/>
      <w:marRight w:val="0"/>
      <w:marTop w:val="0"/>
      <w:marBottom w:val="0"/>
      <w:divBdr>
        <w:top w:val="none" w:sz="0" w:space="0" w:color="auto"/>
        <w:left w:val="none" w:sz="0" w:space="0" w:color="auto"/>
        <w:bottom w:val="none" w:sz="0" w:space="0" w:color="auto"/>
        <w:right w:val="none" w:sz="0" w:space="0" w:color="auto"/>
      </w:divBdr>
    </w:div>
    <w:div w:id="1222134764">
      <w:bodyDiv w:val="1"/>
      <w:marLeft w:val="0"/>
      <w:marRight w:val="0"/>
      <w:marTop w:val="0"/>
      <w:marBottom w:val="0"/>
      <w:divBdr>
        <w:top w:val="none" w:sz="0" w:space="0" w:color="auto"/>
        <w:left w:val="none" w:sz="0" w:space="0" w:color="auto"/>
        <w:bottom w:val="none" w:sz="0" w:space="0" w:color="auto"/>
        <w:right w:val="none" w:sz="0" w:space="0" w:color="auto"/>
      </w:divBdr>
    </w:div>
    <w:div w:id="1233274569">
      <w:bodyDiv w:val="1"/>
      <w:marLeft w:val="0"/>
      <w:marRight w:val="0"/>
      <w:marTop w:val="0"/>
      <w:marBottom w:val="0"/>
      <w:divBdr>
        <w:top w:val="none" w:sz="0" w:space="0" w:color="auto"/>
        <w:left w:val="none" w:sz="0" w:space="0" w:color="auto"/>
        <w:bottom w:val="none" w:sz="0" w:space="0" w:color="auto"/>
        <w:right w:val="none" w:sz="0" w:space="0" w:color="auto"/>
      </w:divBdr>
    </w:div>
    <w:div w:id="1253971671">
      <w:bodyDiv w:val="1"/>
      <w:marLeft w:val="0"/>
      <w:marRight w:val="0"/>
      <w:marTop w:val="0"/>
      <w:marBottom w:val="0"/>
      <w:divBdr>
        <w:top w:val="none" w:sz="0" w:space="0" w:color="auto"/>
        <w:left w:val="none" w:sz="0" w:space="0" w:color="auto"/>
        <w:bottom w:val="none" w:sz="0" w:space="0" w:color="auto"/>
        <w:right w:val="none" w:sz="0" w:space="0" w:color="auto"/>
      </w:divBdr>
    </w:div>
    <w:div w:id="1267737806">
      <w:bodyDiv w:val="1"/>
      <w:marLeft w:val="0"/>
      <w:marRight w:val="0"/>
      <w:marTop w:val="0"/>
      <w:marBottom w:val="0"/>
      <w:divBdr>
        <w:top w:val="none" w:sz="0" w:space="0" w:color="auto"/>
        <w:left w:val="none" w:sz="0" w:space="0" w:color="auto"/>
        <w:bottom w:val="none" w:sz="0" w:space="0" w:color="auto"/>
        <w:right w:val="none" w:sz="0" w:space="0" w:color="auto"/>
      </w:divBdr>
    </w:div>
    <w:div w:id="1288972117">
      <w:bodyDiv w:val="1"/>
      <w:marLeft w:val="0"/>
      <w:marRight w:val="0"/>
      <w:marTop w:val="0"/>
      <w:marBottom w:val="0"/>
      <w:divBdr>
        <w:top w:val="none" w:sz="0" w:space="0" w:color="auto"/>
        <w:left w:val="none" w:sz="0" w:space="0" w:color="auto"/>
        <w:bottom w:val="none" w:sz="0" w:space="0" w:color="auto"/>
        <w:right w:val="none" w:sz="0" w:space="0" w:color="auto"/>
      </w:divBdr>
    </w:div>
    <w:div w:id="1290166474">
      <w:bodyDiv w:val="1"/>
      <w:marLeft w:val="0"/>
      <w:marRight w:val="0"/>
      <w:marTop w:val="0"/>
      <w:marBottom w:val="0"/>
      <w:divBdr>
        <w:top w:val="none" w:sz="0" w:space="0" w:color="auto"/>
        <w:left w:val="none" w:sz="0" w:space="0" w:color="auto"/>
        <w:bottom w:val="none" w:sz="0" w:space="0" w:color="auto"/>
        <w:right w:val="none" w:sz="0" w:space="0" w:color="auto"/>
      </w:divBdr>
    </w:div>
    <w:div w:id="1321159187">
      <w:bodyDiv w:val="1"/>
      <w:marLeft w:val="0"/>
      <w:marRight w:val="0"/>
      <w:marTop w:val="0"/>
      <w:marBottom w:val="0"/>
      <w:divBdr>
        <w:top w:val="none" w:sz="0" w:space="0" w:color="auto"/>
        <w:left w:val="none" w:sz="0" w:space="0" w:color="auto"/>
        <w:bottom w:val="none" w:sz="0" w:space="0" w:color="auto"/>
        <w:right w:val="none" w:sz="0" w:space="0" w:color="auto"/>
      </w:divBdr>
    </w:div>
    <w:div w:id="1326086791">
      <w:bodyDiv w:val="1"/>
      <w:marLeft w:val="0"/>
      <w:marRight w:val="0"/>
      <w:marTop w:val="0"/>
      <w:marBottom w:val="0"/>
      <w:divBdr>
        <w:top w:val="none" w:sz="0" w:space="0" w:color="auto"/>
        <w:left w:val="none" w:sz="0" w:space="0" w:color="auto"/>
        <w:bottom w:val="none" w:sz="0" w:space="0" w:color="auto"/>
        <w:right w:val="none" w:sz="0" w:space="0" w:color="auto"/>
      </w:divBdr>
    </w:div>
    <w:div w:id="1329559539">
      <w:bodyDiv w:val="1"/>
      <w:marLeft w:val="0"/>
      <w:marRight w:val="0"/>
      <w:marTop w:val="0"/>
      <w:marBottom w:val="0"/>
      <w:divBdr>
        <w:top w:val="none" w:sz="0" w:space="0" w:color="auto"/>
        <w:left w:val="none" w:sz="0" w:space="0" w:color="auto"/>
        <w:bottom w:val="none" w:sz="0" w:space="0" w:color="auto"/>
        <w:right w:val="none" w:sz="0" w:space="0" w:color="auto"/>
      </w:divBdr>
    </w:div>
    <w:div w:id="1390036211">
      <w:bodyDiv w:val="1"/>
      <w:marLeft w:val="0"/>
      <w:marRight w:val="0"/>
      <w:marTop w:val="0"/>
      <w:marBottom w:val="0"/>
      <w:divBdr>
        <w:top w:val="none" w:sz="0" w:space="0" w:color="auto"/>
        <w:left w:val="none" w:sz="0" w:space="0" w:color="auto"/>
        <w:bottom w:val="none" w:sz="0" w:space="0" w:color="auto"/>
        <w:right w:val="none" w:sz="0" w:space="0" w:color="auto"/>
      </w:divBdr>
    </w:div>
    <w:div w:id="1405102050">
      <w:bodyDiv w:val="1"/>
      <w:marLeft w:val="0"/>
      <w:marRight w:val="0"/>
      <w:marTop w:val="0"/>
      <w:marBottom w:val="0"/>
      <w:divBdr>
        <w:top w:val="none" w:sz="0" w:space="0" w:color="auto"/>
        <w:left w:val="none" w:sz="0" w:space="0" w:color="auto"/>
        <w:bottom w:val="none" w:sz="0" w:space="0" w:color="auto"/>
        <w:right w:val="none" w:sz="0" w:space="0" w:color="auto"/>
      </w:divBdr>
    </w:div>
    <w:div w:id="1411922412">
      <w:bodyDiv w:val="1"/>
      <w:marLeft w:val="0"/>
      <w:marRight w:val="0"/>
      <w:marTop w:val="0"/>
      <w:marBottom w:val="0"/>
      <w:divBdr>
        <w:top w:val="none" w:sz="0" w:space="0" w:color="auto"/>
        <w:left w:val="none" w:sz="0" w:space="0" w:color="auto"/>
        <w:bottom w:val="none" w:sz="0" w:space="0" w:color="auto"/>
        <w:right w:val="none" w:sz="0" w:space="0" w:color="auto"/>
      </w:divBdr>
    </w:div>
    <w:div w:id="1425877100">
      <w:bodyDiv w:val="1"/>
      <w:marLeft w:val="0"/>
      <w:marRight w:val="0"/>
      <w:marTop w:val="0"/>
      <w:marBottom w:val="0"/>
      <w:divBdr>
        <w:top w:val="none" w:sz="0" w:space="0" w:color="auto"/>
        <w:left w:val="none" w:sz="0" w:space="0" w:color="auto"/>
        <w:bottom w:val="none" w:sz="0" w:space="0" w:color="auto"/>
        <w:right w:val="none" w:sz="0" w:space="0" w:color="auto"/>
      </w:divBdr>
    </w:div>
    <w:div w:id="1438671373">
      <w:bodyDiv w:val="1"/>
      <w:marLeft w:val="0"/>
      <w:marRight w:val="0"/>
      <w:marTop w:val="0"/>
      <w:marBottom w:val="0"/>
      <w:divBdr>
        <w:top w:val="none" w:sz="0" w:space="0" w:color="auto"/>
        <w:left w:val="none" w:sz="0" w:space="0" w:color="auto"/>
        <w:bottom w:val="none" w:sz="0" w:space="0" w:color="auto"/>
        <w:right w:val="none" w:sz="0" w:space="0" w:color="auto"/>
      </w:divBdr>
    </w:div>
    <w:div w:id="1457406746">
      <w:bodyDiv w:val="1"/>
      <w:marLeft w:val="0"/>
      <w:marRight w:val="0"/>
      <w:marTop w:val="0"/>
      <w:marBottom w:val="0"/>
      <w:divBdr>
        <w:top w:val="none" w:sz="0" w:space="0" w:color="auto"/>
        <w:left w:val="none" w:sz="0" w:space="0" w:color="auto"/>
        <w:bottom w:val="none" w:sz="0" w:space="0" w:color="auto"/>
        <w:right w:val="none" w:sz="0" w:space="0" w:color="auto"/>
      </w:divBdr>
    </w:div>
    <w:div w:id="1505238772">
      <w:bodyDiv w:val="1"/>
      <w:marLeft w:val="0"/>
      <w:marRight w:val="0"/>
      <w:marTop w:val="0"/>
      <w:marBottom w:val="0"/>
      <w:divBdr>
        <w:top w:val="none" w:sz="0" w:space="0" w:color="auto"/>
        <w:left w:val="none" w:sz="0" w:space="0" w:color="auto"/>
        <w:bottom w:val="none" w:sz="0" w:space="0" w:color="auto"/>
        <w:right w:val="none" w:sz="0" w:space="0" w:color="auto"/>
      </w:divBdr>
    </w:div>
    <w:div w:id="1505242094">
      <w:bodyDiv w:val="1"/>
      <w:marLeft w:val="0"/>
      <w:marRight w:val="0"/>
      <w:marTop w:val="0"/>
      <w:marBottom w:val="0"/>
      <w:divBdr>
        <w:top w:val="none" w:sz="0" w:space="0" w:color="auto"/>
        <w:left w:val="none" w:sz="0" w:space="0" w:color="auto"/>
        <w:bottom w:val="none" w:sz="0" w:space="0" w:color="auto"/>
        <w:right w:val="none" w:sz="0" w:space="0" w:color="auto"/>
      </w:divBdr>
    </w:div>
    <w:div w:id="1539050470">
      <w:bodyDiv w:val="1"/>
      <w:marLeft w:val="0"/>
      <w:marRight w:val="0"/>
      <w:marTop w:val="0"/>
      <w:marBottom w:val="0"/>
      <w:divBdr>
        <w:top w:val="none" w:sz="0" w:space="0" w:color="auto"/>
        <w:left w:val="none" w:sz="0" w:space="0" w:color="auto"/>
        <w:bottom w:val="none" w:sz="0" w:space="0" w:color="auto"/>
        <w:right w:val="none" w:sz="0" w:space="0" w:color="auto"/>
      </w:divBdr>
    </w:div>
    <w:div w:id="1564946374">
      <w:bodyDiv w:val="1"/>
      <w:marLeft w:val="0"/>
      <w:marRight w:val="0"/>
      <w:marTop w:val="0"/>
      <w:marBottom w:val="0"/>
      <w:divBdr>
        <w:top w:val="none" w:sz="0" w:space="0" w:color="auto"/>
        <w:left w:val="none" w:sz="0" w:space="0" w:color="auto"/>
        <w:bottom w:val="none" w:sz="0" w:space="0" w:color="auto"/>
        <w:right w:val="none" w:sz="0" w:space="0" w:color="auto"/>
      </w:divBdr>
    </w:div>
    <w:div w:id="1615215262">
      <w:bodyDiv w:val="1"/>
      <w:marLeft w:val="0"/>
      <w:marRight w:val="0"/>
      <w:marTop w:val="0"/>
      <w:marBottom w:val="0"/>
      <w:divBdr>
        <w:top w:val="none" w:sz="0" w:space="0" w:color="auto"/>
        <w:left w:val="none" w:sz="0" w:space="0" w:color="auto"/>
        <w:bottom w:val="none" w:sz="0" w:space="0" w:color="auto"/>
        <w:right w:val="none" w:sz="0" w:space="0" w:color="auto"/>
      </w:divBdr>
      <w:divsChild>
        <w:div w:id="862090398">
          <w:marLeft w:val="0"/>
          <w:marRight w:val="0"/>
          <w:marTop w:val="0"/>
          <w:marBottom w:val="0"/>
          <w:divBdr>
            <w:top w:val="none" w:sz="0" w:space="0" w:color="auto"/>
            <w:left w:val="none" w:sz="0" w:space="0" w:color="auto"/>
            <w:bottom w:val="none" w:sz="0" w:space="0" w:color="auto"/>
            <w:right w:val="none" w:sz="0" w:space="0" w:color="auto"/>
          </w:divBdr>
        </w:div>
        <w:div w:id="1382048094">
          <w:marLeft w:val="0"/>
          <w:marRight w:val="0"/>
          <w:marTop w:val="0"/>
          <w:marBottom w:val="0"/>
          <w:divBdr>
            <w:top w:val="none" w:sz="0" w:space="0" w:color="auto"/>
            <w:left w:val="none" w:sz="0" w:space="0" w:color="auto"/>
            <w:bottom w:val="none" w:sz="0" w:space="0" w:color="auto"/>
            <w:right w:val="none" w:sz="0" w:space="0" w:color="auto"/>
          </w:divBdr>
        </w:div>
        <w:div w:id="1470398095">
          <w:marLeft w:val="0"/>
          <w:marRight w:val="0"/>
          <w:marTop w:val="0"/>
          <w:marBottom w:val="0"/>
          <w:divBdr>
            <w:top w:val="none" w:sz="0" w:space="0" w:color="auto"/>
            <w:left w:val="none" w:sz="0" w:space="0" w:color="auto"/>
            <w:bottom w:val="none" w:sz="0" w:space="0" w:color="auto"/>
            <w:right w:val="none" w:sz="0" w:space="0" w:color="auto"/>
          </w:divBdr>
        </w:div>
        <w:div w:id="1645161464">
          <w:marLeft w:val="0"/>
          <w:marRight w:val="0"/>
          <w:marTop w:val="0"/>
          <w:marBottom w:val="0"/>
          <w:divBdr>
            <w:top w:val="none" w:sz="0" w:space="0" w:color="auto"/>
            <w:left w:val="none" w:sz="0" w:space="0" w:color="auto"/>
            <w:bottom w:val="none" w:sz="0" w:space="0" w:color="auto"/>
            <w:right w:val="none" w:sz="0" w:space="0" w:color="auto"/>
          </w:divBdr>
        </w:div>
        <w:div w:id="1647977005">
          <w:marLeft w:val="0"/>
          <w:marRight w:val="0"/>
          <w:marTop w:val="0"/>
          <w:marBottom w:val="0"/>
          <w:divBdr>
            <w:top w:val="none" w:sz="0" w:space="0" w:color="auto"/>
            <w:left w:val="none" w:sz="0" w:space="0" w:color="auto"/>
            <w:bottom w:val="none" w:sz="0" w:space="0" w:color="auto"/>
            <w:right w:val="none" w:sz="0" w:space="0" w:color="auto"/>
          </w:divBdr>
        </w:div>
        <w:div w:id="1788616442">
          <w:marLeft w:val="0"/>
          <w:marRight w:val="0"/>
          <w:marTop w:val="0"/>
          <w:marBottom w:val="0"/>
          <w:divBdr>
            <w:top w:val="none" w:sz="0" w:space="0" w:color="auto"/>
            <w:left w:val="none" w:sz="0" w:space="0" w:color="auto"/>
            <w:bottom w:val="none" w:sz="0" w:space="0" w:color="auto"/>
            <w:right w:val="none" w:sz="0" w:space="0" w:color="auto"/>
          </w:divBdr>
        </w:div>
        <w:div w:id="2024548033">
          <w:marLeft w:val="0"/>
          <w:marRight w:val="0"/>
          <w:marTop w:val="0"/>
          <w:marBottom w:val="0"/>
          <w:divBdr>
            <w:top w:val="none" w:sz="0" w:space="0" w:color="auto"/>
            <w:left w:val="none" w:sz="0" w:space="0" w:color="auto"/>
            <w:bottom w:val="none" w:sz="0" w:space="0" w:color="auto"/>
            <w:right w:val="none" w:sz="0" w:space="0" w:color="auto"/>
          </w:divBdr>
        </w:div>
      </w:divsChild>
    </w:div>
    <w:div w:id="1625428890">
      <w:bodyDiv w:val="1"/>
      <w:marLeft w:val="0"/>
      <w:marRight w:val="0"/>
      <w:marTop w:val="0"/>
      <w:marBottom w:val="0"/>
      <w:divBdr>
        <w:top w:val="none" w:sz="0" w:space="0" w:color="auto"/>
        <w:left w:val="none" w:sz="0" w:space="0" w:color="auto"/>
        <w:bottom w:val="none" w:sz="0" w:space="0" w:color="auto"/>
        <w:right w:val="none" w:sz="0" w:space="0" w:color="auto"/>
      </w:divBdr>
    </w:div>
    <w:div w:id="1629236105">
      <w:bodyDiv w:val="1"/>
      <w:marLeft w:val="0"/>
      <w:marRight w:val="0"/>
      <w:marTop w:val="0"/>
      <w:marBottom w:val="0"/>
      <w:divBdr>
        <w:top w:val="none" w:sz="0" w:space="0" w:color="auto"/>
        <w:left w:val="none" w:sz="0" w:space="0" w:color="auto"/>
        <w:bottom w:val="none" w:sz="0" w:space="0" w:color="auto"/>
        <w:right w:val="none" w:sz="0" w:space="0" w:color="auto"/>
      </w:divBdr>
    </w:div>
    <w:div w:id="1631746995">
      <w:bodyDiv w:val="1"/>
      <w:marLeft w:val="0"/>
      <w:marRight w:val="0"/>
      <w:marTop w:val="0"/>
      <w:marBottom w:val="0"/>
      <w:divBdr>
        <w:top w:val="none" w:sz="0" w:space="0" w:color="auto"/>
        <w:left w:val="none" w:sz="0" w:space="0" w:color="auto"/>
        <w:bottom w:val="none" w:sz="0" w:space="0" w:color="auto"/>
        <w:right w:val="none" w:sz="0" w:space="0" w:color="auto"/>
      </w:divBdr>
    </w:div>
    <w:div w:id="1639333138">
      <w:bodyDiv w:val="1"/>
      <w:marLeft w:val="0"/>
      <w:marRight w:val="0"/>
      <w:marTop w:val="0"/>
      <w:marBottom w:val="0"/>
      <w:divBdr>
        <w:top w:val="none" w:sz="0" w:space="0" w:color="auto"/>
        <w:left w:val="none" w:sz="0" w:space="0" w:color="auto"/>
        <w:bottom w:val="none" w:sz="0" w:space="0" w:color="auto"/>
        <w:right w:val="none" w:sz="0" w:space="0" w:color="auto"/>
      </w:divBdr>
    </w:div>
    <w:div w:id="1639415130">
      <w:bodyDiv w:val="1"/>
      <w:marLeft w:val="0"/>
      <w:marRight w:val="0"/>
      <w:marTop w:val="0"/>
      <w:marBottom w:val="0"/>
      <w:divBdr>
        <w:top w:val="none" w:sz="0" w:space="0" w:color="auto"/>
        <w:left w:val="none" w:sz="0" w:space="0" w:color="auto"/>
        <w:bottom w:val="none" w:sz="0" w:space="0" w:color="auto"/>
        <w:right w:val="none" w:sz="0" w:space="0" w:color="auto"/>
      </w:divBdr>
    </w:div>
    <w:div w:id="1640528177">
      <w:bodyDiv w:val="1"/>
      <w:marLeft w:val="0"/>
      <w:marRight w:val="0"/>
      <w:marTop w:val="0"/>
      <w:marBottom w:val="0"/>
      <w:divBdr>
        <w:top w:val="none" w:sz="0" w:space="0" w:color="auto"/>
        <w:left w:val="none" w:sz="0" w:space="0" w:color="auto"/>
        <w:bottom w:val="none" w:sz="0" w:space="0" w:color="auto"/>
        <w:right w:val="none" w:sz="0" w:space="0" w:color="auto"/>
      </w:divBdr>
    </w:div>
    <w:div w:id="1670519894">
      <w:bodyDiv w:val="1"/>
      <w:marLeft w:val="0"/>
      <w:marRight w:val="0"/>
      <w:marTop w:val="0"/>
      <w:marBottom w:val="0"/>
      <w:divBdr>
        <w:top w:val="none" w:sz="0" w:space="0" w:color="auto"/>
        <w:left w:val="none" w:sz="0" w:space="0" w:color="auto"/>
        <w:bottom w:val="none" w:sz="0" w:space="0" w:color="auto"/>
        <w:right w:val="none" w:sz="0" w:space="0" w:color="auto"/>
      </w:divBdr>
    </w:div>
    <w:div w:id="1681085093">
      <w:bodyDiv w:val="1"/>
      <w:marLeft w:val="0"/>
      <w:marRight w:val="0"/>
      <w:marTop w:val="0"/>
      <w:marBottom w:val="0"/>
      <w:divBdr>
        <w:top w:val="none" w:sz="0" w:space="0" w:color="auto"/>
        <w:left w:val="none" w:sz="0" w:space="0" w:color="auto"/>
        <w:bottom w:val="none" w:sz="0" w:space="0" w:color="auto"/>
        <w:right w:val="none" w:sz="0" w:space="0" w:color="auto"/>
      </w:divBdr>
    </w:div>
    <w:div w:id="1684167516">
      <w:bodyDiv w:val="1"/>
      <w:marLeft w:val="0"/>
      <w:marRight w:val="0"/>
      <w:marTop w:val="0"/>
      <w:marBottom w:val="0"/>
      <w:divBdr>
        <w:top w:val="none" w:sz="0" w:space="0" w:color="auto"/>
        <w:left w:val="none" w:sz="0" w:space="0" w:color="auto"/>
        <w:bottom w:val="none" w:sz="0" w:space="0" w:color="auto"/>
        <w:right w:val="none" w:sz="0" w:space="0" w:color="auto"/>
      </w:divBdr>
    </w:div>
    <w:div w:id="1693607964">
      <w:bodyDiv w:val="1"/>
      <w:marLeft w:val="0"/>
      <w:marRight w:val="0"/>
      <w:marTop w:val="0"/>
      <w:marBottom w:val="0"/>
      <w:divBdr>
        <w:top w:val="none" w:sz="0" w:space="0" w:color="auto"/>
        <w:left w:val="none" w:sz="0" w:space="0" w:color="auto"/>
        <w:bottom w:val="none" w:sz="0" w:space="0" w:color="auto"/>
        <w:right w:val="none" w:sz="0" w:space="0" w:color="auto"/>
      </w:divBdr>
    </w:div>
    <w:div w:id="1727483779">
      <w:bodyDiv w:val="1"/>
      <w:marLeft w:val="0"/>
      <w:marRight w:val="0"/>
      <w:marTop w:val="0"/>
      <w:marBottom w:val="0"/>
      <w:divBdr>
        <w:top w:val="none" w:sz="0" w:space="0" w:color="auto"/>
        <w:left w:val="none" w:sz="0" w:space="0" w:color="auto"/>
        <w:bottom w:val="none" w:sz="0" w:space="0" w:color="auto"/>
        <w:right w:val="none" w:sz="0" w:space="0" w:color="auto"/>
      </w:divBdr>
    </w:div>
    <w:div w:id="1757554273">
      <w:bodyDiv w:val="1"/>
      <w:marLeft w:val="0"/>
      <w:marRight w:val="0"/>
      <w:marTop w:val="0"/>
      <w:marBottom w:val="0"/>
      <w:divBdr>
        <w:top w:val="none" w:sz="0" w:space="0" w:color="auto"/>
        <w:left w:val="none" w:sz="0" w:space="0" w:color="auto"/>
        <w:bottom w:val="none" w:sz="0" w:space="0" w:color="auto"/>
        <w:right w:val="none" w:sz="0" w:space="0" w:color="auto"/>
      </w:divBdr>
    </w:div>
    <w:div w:id="1835142215">
      <w:bodyDiv w:val="1"/>
      <w:marLeft w:val="0"/>
      <w:marRight w:val="0"/>
      <w:marTop w:val="0"/>
      <w:marBottom w:val="0"/>
      <w:divBdr>
        <w:top w:val="none" w:sz="0" w:space="0" w:color="auto"/>
        <w:left w:val="none" w:sz="0" w:space="0" w:color="auto"/>
        <w:bottom w:val="none" w:sz="0" w:space="0" w:color="auto"/>
        <w:right w:val="none" w:sz="0" w:space="0" w:color="auto"/>
      </w:divBdr>
    </w:div>
    <w:div w:id="1845590934">
      <w:bodyDiv w:val="1"/>
      <w:marLeft w:val="0"/>
      <w:marRight w:val="0"/>
      <w:marTop w:val="0"/>
      <w:marBottom w:val="0"/>
      <w:divBdr>
        <w:top w:val="none" w:sz="0" w:space="0" w:color="auto"/>
        <w:left w:val="none" w:sz="0" w:space="0" w:color="auto"/>
        <w:bottom w:val="none" w:sz="0" w:space="0" w:color="auto"/>
        <w:right w:val="none" w:sz="0" w:space="0" w:color="auto"/>
      </w:divBdr>
    </w:div>
    <w:div w:id="1953584659">
      <w:bodyDiv w:val="1"/>
      <w:marLeft w:val="0"/>
      <w:marRight w:val="0"/>
      <w:marTop w:val="0"/>
      <w:marBottom w:val="0"/>
      <w:divBdr>
        <w:top w:val="none" w:sz="0" w:space="0" w:color="auto"/>
        <w:left w:val="none" w:sz="0" w:space="0" w:color="auto"/>
        <w:bottom w:val="none" w:sz="0" w:space="0" w:color="auto"/>
        <w:right w:val="none" w:sz="0" w:space="0" w:color="auto"/>
      </w:divBdr>
    </w:div>
    <w:div w:id="1959219001">
      <w:bodyDiv w:val="1"/>
      <w:marLeft w:val="0"/>
      <w:marRight w:val="0"/>
      <w:marTop w:val="0"/>
      <w:marBottom w:val="0"/>
      <w:divBdr>
        <w:top w:val="none" w:sz="0" w:space="0" w:color="auto"/>
        <w:left w:val="none" w:sz="0" w:space="0" w:color="auto"/>
        <w:bottom w:val="none" w:sz="0" w:space="0" w:color="auto"/>
        <w:right w:val="none" w:sz="0" w:space="0" w:color="auto"/>
      </w:divBdr>
    </w:div>
    <w:div w:id="1987783811">
      <w:bodyDiv w:val="1"/>
      <w:marLeft w:val="0"/>
      <w:marRight w:val="0"/>
      <w:marTop w:val="0"/>
      <w:marBottom w:val="0"/>
      <w:divBdr>
        <w:top w:val="none" w:sz="0" w:space="0" w:color="auto"/>
        <w:left w:val="none" w:sz="0" w:space="0" w:color="auto"/>
        <w:bottom w:val="none" w:sz="0" w:space="0" w:color="auto"/>
        <w:right w:val="none" w:sz="0" w:space="0" w:color="auto"/>
      </w:divBdr>
    </w:div>
    <w:div w:id="1991400021">
      <w:bodyDiv w:val="1"/>
      <w:marLeft w:val="0"/>
      <w:marRight w:val="0"/>
      <w:marTop w:val="0"/>
      <w:marBottom w:val="0"/>
      <w:divBdr>
        <w:top w:val="none" w:sz="0" w:space="0" w:color="auto"/>
        <w:left w:val="none" w:sz="0" w:space="0" w:color="auto"/>
        <w:bottom w:val="none" w:sz="0" w:space="0" w:color="auto"/>
        <w:right w:val="none" w:sz="0" w:space="0" w:color="auto"/>
      </w:divBdr>
    </w:div>
    <w:div w:id="2001153519">
      <w:bodyDiv w:val="1"/>
      <w:marLeft w:val="0"/>
      <w:marRight w:val="0"/>
      <w:marTop w:val="0"/>
      <w:marBottom w:val="0"/>
      <w:divBdr>
        <w:top w:val="none" w:sz="0" w:space="0" w:color="auto"/>
        <w:left w:val="none" w:sz="0" w:space="0" w:color="auto"/>
        <w:bottom w:val="none" w:sz="0" w:space="0" w:color="auto"/>
        <w:right w:val="none" w:sz="0" w:space="0" w:color="auto"/>
      </w:divBdr>
    </w:div>
    <w:div w:id="2006274036">
      <w:bodyDiv w:val="1"/>
      <w:marLeft w:val="0"/>
      <w:marRight w:val="0"/>
      <w:marTop w:val="0"/>
      <w:marBottom w:val="0"/>
      <w:divBdr>
        <w:top w:val="none" w:sz="0" w:space="0" w:color="auto"/>
        <w:left w:val="none" w:sz="0" w:space="0" w:color="auto"/>
        <w:bottom w:val="none" w:sz="0" w:space="0" w:color="auto"/>
        <w:right w:val="none" w:sz="0" w:space="0" w:color="auto"/>
      </w:divBdr>
    </w:div>
    <w:div w:id="2045591886">
      <w:bodyDiv w:val="1"/>
      <w:marLeft w:val="0"/>
      <w:marRight w:val="0"/>
      <w:marTop w:val="0"/>
      <w:marBottom w:val="0"/>
      <w:divBdr>
        <w:top w:val="none" w:sz="0" w:space="0" w:color="auto"/>
        <w:left w:val="none" w:sz="0" w:space="0" w:color="auto"/>
        <w:bottom w:val="none" w:sz="0" w:space="0" w:color="auto"/>
        <w:right w:val="none" w:sz="0" w:space="0" w:color="auto"/>
      </w:divBdr>
    </w:div>
    <w:div w:id="2046176954">
      <w:bodyDiv w:val="1"/>
      <w:marLeft w:val="0"/>
      <w:marRight w:val="0"/>
      <w:marTop w:val="0"/>
      <w:marBottom w:val="0"/>
      <w:divBdr>
        <w:top w:val="none" w:sz="0" w:space="0" w:color="auto"/>
        <w:left w:val="none" w:sz="0" w:space="0" w:color="auto"/>
        <w:bottom w:val="none" w:sz="0" w:space="0" w:color="auto"/>
        <w:right w:val="none" w:sz="0" w:space="0" w:color="auto"/>
      </w:divBdr>
    </w:div>
    <w:div w:id="2047413471">
      <w:bodyDiv w:val="1"/>
      <w:marLeft w:val="0"/>
      <w:marRight w:val="0"/>
      <w:marTop w:val="0"/>
      <w:marBottom w:val="0"/>
      <w:divBdr>
        <w:top w:val="none" w:sz="0" w:space="0" w:color="auto"/>
        <w:left w:val="none" w:sz="0" w:space="0" w:color="auto"/>
        <w:bottom w:val="none" w:sz="0" w:space="0" w:color="auto"/>
        <w:right w:val="none" w:sz="0" w:space="0" w:color="auto"/>
      </w:divBdr>
    </w:div>
    <w:div w:id="2049066752">
      <w:bodyDiv w:val="1"/>
      <w:marLeft w:val="0"/>
      <w:marRight w:val="0"/>
      <w:marTop w:val="0"/>
      <w:marBottom w:val="0"/>
      <w:divBdr>
        <w:top w:val="none" w:sz="0" w:space="0" w:color="auto"/>
        <w:left w:val="none" w:sz="0" w:space="0" w:color="auto"/>
        <w:bottom w:val="none" w:sz="0" w:space="0" w:color="auto"/>
        <w:right w:val="none" w:sz="0" w:space="0" w:color="auto"/>
      </w:divBdr>
    </w:div>
    <w:div w:id="2101876591">
      <w:bodyDiv w:val="1"/>
      <w:marLeft w:val="0"/>
      <w:marRight w:val="0"/>
      <w:marTop w:val="0"/>
      <w:marBottom w:val="0"/>
      <w:divBdr>
        <w:top w:val="none" w:sz="0" w:space="0" w:color="auto"/>
        <w:left w:val="none" w:sz="0" w:space="0" w:color="auto"/>
        <w:bottom w:val="none" w:sz="0" w:space="0" w:color="auto"/>
        <w:right w:val="none" w:sz="0" w:space="0" w:color="auto"/>
      </w:divBdr>
    </w:div>
    <w:div w:id="2111001459">
      <w:bodyDiv w:val="1"/>
      <w:marLeft w:val="0"/>
      <w:marRight w:val="0"/>
      <w:marTop w:val="0"/>
      <w:marBottom w:val="0"/>
      <w:divBdr>
        <w:top w:val="none" w:sz="0" w:space="0" w:color="auto"/>
        <w:left w:val="none" w:sz="0" w:space="0" w:color="auto"/>
        <w:bottom w:val="none" w:sz="0" w:space="0" w:color="auto"/>
        <w:right w:val="none" w:sz="0" w:space="0" w:color="auto"/>
      </w:divBdr>
    </w:div>
    <w:div w:id="2117216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emf"/><Relationship Id="rId299" Type="http://schemas.openxmlformats.org/officeDocument/2006/relationships/image" Target="media/image260.emf"/><Relationship Id="rId303" Type="http://schemas.openxmlformats.org/officeDocument/2006/relationships/fontTable" Target="fontTable.xml"/><Relationship Id="rId21" Type="http://schemas.openxmlformats.org/officeDocument/2006/relationships/image" Target="media/image11.wmf"/><Relationship Id="rId42" Type="http://schemas.openxmlformats.org/officeDocument/2006/relationships/oleObject" Target="embeddings/oleObject11.bin"/><Relationship Id="rId63" Type="http://schemas.openxmlformats.org/officeDocument/2006/relationships/image" Target="media/image36.emf"/><Relationship Id="rId84" Type="http://schemas.openxmlformats.org/officeDocument/2006/relationships/oleObject" Target="embeddings/oleObject20.bin"/><Relationship Id="rId138" Type="http://schemas.openxmlformats.org/officeDocument/2006/relationships/image" Target="media/image99.emf"/><Relationship Id="rId159" Type="http://schemas.openxmlformats.org/officeDocument/2006/relationships/image" Target="media/image120.emf"/><Relationship Id="rId170" Type="http://schemas.openxmlformats.org/officeDocument/2006/relationships/image" Target="media/image131.emf"/><Relationship Id="rId191" Type="http://schemas.openxmlformats.org/officeDocument/2006/relationships/image" Target="media/image152.emf"/><Relationship Id="rId205" Type="http://schemas.openxmlformats.org/officeDocument/2006/relationships/image" Target="media/image166.emf"/><Relationship Id="rId226" Type="http://schemas.openxmlformats.org/officeDocument/2006/relationships/image" Target="media/image187.emf"/><Relationship Id="rId247" Type="http://schemas.openxmlformats.org/officeDocument/2006/relationships/image" Target="media/image208.png"/><Relationship Id="rId107" Type="http://schemas.openxmlformats.org/officeDocument/2006/relationships/image" Target="media/image68.emf"/><Relationship Id="rId268" Type="http://schemas.openxmlformats.org/officeDocument/2006/relationships/image" Target="media/image229.emf"/><Relationship Id="rId289" Type="http://schemas.openxmlformats.org/officeDocument/2006/relationships/image" Target="media/image250.emf"/><Relationship Id="rId11" Type="http://schemas.openxmlformats.org/officeDocument/2006/relationships/footer" Target="footer2.xml"/><Relationship Id="rId32" Type="http://schemas.openxmlformats.org/officeDocument/2006/relationships/oleObject" Target="embeddings/oleObject6.bin"/><Relationship Id="rId53" Type="http://schemas.openxmlformats.org/officeDocument/2006/relationships/image" Target="media/image29.wmf"/><Relationship Id="rId74" Type="http://schemas.openxmlformats.org/officeDocument/2006/relationships/oleObject" Target="embeddings/oleObject19.bin"/><Relationship Id="rId128" Type="http://schemas.openxmlformats.org/officeDocument/2006/relationships/image" Target="media/image89.emf"/><Relationship Id="rId149" Type="http://schemas.openxmlformats.org/officeDocument/2006/relationships/image" Target="media/image110.png"/><Relationship Id="rId5" Type="http://schemas.openxmlformats.org/officeDocument/2006/relationships/webSettings" Target="webSettings.xml"/><Relationship Id="rId95" Type="http://schemas.openxmlformats.org/officeDocument/2006/relationships/image" Target="media/image60.wmf"/><Relationship Id="rId160" Type="http://schemas.openxmlformats.org/officeDocument/2006/relationships/image" Target="media/image121.emf"/><Relationship Id="rId181" Type="http://schemas.openxmlformats.org/officeDocument/2006/relationships/image" Target="media/image142.emf"/><Relationship Id="rId216" Type="http://schemas.openxmlformats.org/officeDocument/2006/relationships/image" Target="media/image177.emf"/><Relationship Id="rId237" Type="http://schemas.openxmlformats.org/officeDocument/2006/relationships/image" Target="media/image198.emf"/><Relationship Id="rId258" Type="http://schemas.openxmlformats.org/officeDocument/2006/relationships/image" Target="media/image219.png"/><Relationship Id="rId279" Type="http://schemas.openxmlformats.org/officeDocument/2006/relationships/image" Target="media/image240.emf"/><Relationship Id="rId22" Type="http://schemas.openxmlformats.org/officeDocument/2006/relationships/oleObject" Target="embeddings/oleObject1.bin"/><Relationship Id="rId43" Type="http://schemas.openxmlformats.org/officeDocument/2006/relationships/image" Target="media/image22.emf"/><Relationship Id="rId64" Type="http://schemas.openxmlformats.org/officeDocument/2006/relationships/image" Target="media/image37.emf"/><Relationship Id="rId118" Type="http://schemas.openxmlformats.org/officeDocument/2006/relationships/image" Target="media/image79.emf"/><Relationship Id="rId139" Type="http://schemas.openxmlformats.org/officeDocument/2006/relationships/image" Target="media/image100.emf"/><Relationship Id="rId290" Type="http://schemas.openxmlformats.org/officeDocument/2006/relationships/image" Target="media/image251.emf"/><Relationship Id="rId304" Type="http://schemas.openxmlformats.org/officeDocument/2006/relationships/theme" Target="theme/theme1.xml"/><Relationship Id="rId85" Type="http://schemas.openxmlformats.org/officeDocument/2006/relationships/image" Target="media/image55.wmf"/><Relationship Id="rId150" Type="http://schemas.openxmlformats.org/officeDocument/2006/relationships/image" Target="media/image111.png"/><Relationship Id="rId171" Type="http://schemas.openxmlformats.org/officeDocument/2006/relationships/image" Target="media/image132.emf"/><Relationship Id="rId192" Type="http://schemas.openxmlformats.org/officeDocument/2006/relationships/image" Target="media/image153.emf"/><Relationship Id="rId206" Type="http://schemas.openxmlformats.org/officeDocument/2006/relationships/image" Target="media/image167.emf"/><Relationship Id="rId227" Type="http://schemas.openxmlformats.org/officeDocument/2006/relationships/image" Target="media/image188.emf"/><Relationship Id="rId248" Type="http://schemas.openxmlformats.org/officeDocument/2006/relationships/image" Target="media/image209.png"/><Relationship Id="rId269" Type="http://schemas.openxmlformats.org/officeDocument/2006/relationships/image" Target="media/image230.emf"/><Relationship Id="rId12" Type="http://schemas.openxmlformats.org/officeDocument/2006/relationships/image" Target="media/image2.tiff"/><Relationship Id="rId33" Type="http://schemas.openxmlformats.org/officeDocument/2006/relationships/image" Target="media/image17.wmf"/><Relationship Id="rId108" Type="http://schemas.openxmlformats.org/officeDocument/2006/relationships/image" Target="media/image69.emf"/><Relationship Id="rId129" Type="http://schemas.openxmlformats.org/officeDocument/2006/relationships/image" Target="media/image90.png"/><Relationship Id="rId280" Type="http://schemas.openxmlformats.org/officeDocument/2006/relationships/image" Target="media/image241.emf"/><Relationship Id="rId54" Type="http://schemas.openxmlformats.org/officeDocument/2006/relationships/oleObject" Target="embeddings/oleObject15.bin"/><Relationship Id="rId75" Type="http://schemas.openxmlformats.org/officeDocument/2006/relationships/image" Target="media/image46.tiff"/><Relationship Id="rId96" Type="http://schemas.openxmlformats.org/officeDocument/2006/relationships/oleObject" Target="embeddings/oleObject26.bin"/><Relationship Id="rId140" Type="http://schemas.openxmlformats.org/officeDocument/2006/relationships/image" Target="media/image101.emf"/><Relationship Id="rId161" Type="http://schemas.openxmlformats.org/officeDocument/2006/relationships/image" Target="media/image122.emf"/><Relationship Id="rId182" Type="http://schemas.openxmlformats.org/officeDocument/2006/relationships/image" Target="media/image143.emf"/><Relationship Id="rId217" Type="http://schemas.openxmlformats.org/officeDocument/2006/relationships/image" Target="media/image178.emf"/><Relationship Id="rId6" Type="http://schemas.openxmlformats.org/officeDocument/2006/relationships/footnotes" Target="footnotes.xml"/><Relationship Id="rId238" Type="http://schemas.openxmlformats.org/officeDocument/2006/relationships/image" Target="media/image199.emf"/><Relationship Id="rId259" Type="http://schemas.openxmlformats.org/officeDocument/2006/relationships/image" Target="media/image220.png"/><Relationship Id="rId23" Type="http://schemas.openxmlformats.org/officeDocument/2006/relationships/image" Target="media/image12.wmf"/><Relationship Id="rId119" Type="http://schemas.openxmlformats.org/officeDocument/2006/relationships/image" Target="media/image80.png"/><Relationship Id="rId270" Type="http://schemas.openxmlformats.org/officeDocument/2006/relationships/image" Target="media/image231.emf"/><Relationship Id="rId291" Type="http://schemas.openxmlformats.org/officeDocument/2006/relationships/image" Target="media/image252.emf"/><Relationship Id="rId44" Type="http://schemas.openxmlformats.org/officeDocument/2006/relationships/image" Target="media/image23.emf"/><Relationship Id="rId65" Type="http://schemas.openxmlformats.org/officeDocument/2006/relationships/image" Target="media/image38.emf"/><Relationship Id="rId86" Type="http://schemas.openxmlformats.org/officeDocument/2006/relationships/oleObject" Target="embeddings/oleObject21.bin"/><Relationship Id="rId130" Type="http://schemas.openxmlformats.org/officeDocument/2006/relationships/image" Target="media/image91.png"/><Relationship Id="rId151" Type="http://schemas.openxmlformats.org/officeDocument/2006/relationships/image" Target="media/image112.emf"/><Relationship Id="rId172" Type="http://schemas.openxmlformats.org/officeDocument/2006/relationships/image" Target="media/image133.emf"/><Relationship Id="rId193" Type="http://schemas.openxmlformats.org/officeDocument/2006/relationships/image" Target="media/image154.emf"/><Relationship Id="rId207" Type="http://schemas.openxmlformats.org/officeDocument/2006/relationships/image" Target="media/image168.emf"/><Relationship Id="rId228" Type="http://schemas.openxmlformats.org/officeDocument/2006/relationships/image" Target="media/image189.emf"/><Relationship Id="rId249" Type="http://schemas.openxmlformats.org/officeDocument/2006/relationships/image" Target="media/image210.png"/><Relationship Id="rId13" Type="http://schemas.openxmlformats.org/officeDocument/2006/relationships/image" Target="media/image3.tiff"/><Relationship Id="rId109" Type="http://schemas.openxmlformats.org/officeDocument/2006/relationships/image" Target="media/image70.emf"/><Relationship Id="rId260" Type="http://schemas.openxmlformats.org/officeDocument/2006/relationships/image" Target="media/image221.png"/><Relationship Id="rId281" Type="http://schemas.openxmlformats.org/officeDocument/2006/relationships/image" Target="media/image242.emf"/><Relationship Id="rId34" Type="http://schemas.openxmlformats.org/officeDocument/2006/relationships/oleObject" Target="embeddings/oleObject7.bin"/><Relationship Id="rId55" Type="http://schemas.openxmlformats.org/officeDocument/2006/relationships/image" Target="media/image30.wmf"/><Relationship Id="rId76" Type="http://schemas.openxmlformats.org/officeDocument/2006/relationships/image" Target="media/image47.tiff"/><Relationship Id="rId97" Type="http://schemas.openxmlformats.org/officeDocument/2006/relationships/image" Target="media/image61.wmf"/><Relationship Id="rId120" Type="http://schemas.openxmlformats.org/officeDocument/2006/relationships/image" Target="media/image81.png"/><Relationship Id="rId141" Type="http://schemas.openxmlformats.org/officeDocument/2006/relationships/image" Target="media/image102.png"/><Relationship Id="rId7" Type="http://schemas.openxmlformats.org/officeDocument/2006/relationships/endnotes" Target="endnotes.xml"/><Relationship Id="rId162" Type="http://schemas.openxmlformats.org/officeDocument/2006/relationships/image" Target="media/image123.emf"/><Relationship Id="rId183" Type="http://schemas.openxmlformats.org/officeDocument/2006/relationships/image" Target="media/image144.emf"/><Relationship Id="rId218" Type="http://schemas.openxmlformats.org/officeDocument/2006/relationships/image" Target="media/image179.emf"/><Relationship Id="rId239" Type="http://schemas.openxmlformats.org/officeDocument/2006/relationships/image" Target="media/image200.emf"/><Relationship Id="rId2" Type="http://schemas.openxmlformats.org/officeDocument/2006/relationships/numbering" Target="numbering.xml"/><Relationship Id="rId29" Type="http://schemas.openxmlformats.org/officeDocument/2006/relationships/image" Target="media/image15.wmf"/><Relationship Id="rId250" Type="http://schemas.openxmlformats.org/officeDocument/2006/relationships/image" Target="media/image211.png"/><Relationship Id="rId255" Type="http://schemas.openxmlformats.org/officeDocument/2006/relationships/image" Target="media/image216.png"/><Relationship Id="rId271" Type="http://schemas.openxmlformats.org/officeDocument/2006/relationships/image" Target="media/image232.emf"/><Relationship Id="rId276" Type="http://schemas.openxmlformats.org/officeDocument/2006/relationships/image" Target="media/image237.emf"/><Relationship Id="rId292" Type="http://schemas.openxmlformats.org/officeDocument/2006/relationships/image" Target="media/image253.emf"/><Relationship Id="rId297" Type="http://schemas.openxmlformats.org/officeDocument/2006/relationships/image" Target="media/image258.emf"/><Relationship Id="rId24" Type="http://schemas.openxmlformats.org/officeDocument/2006/relationships/oleObject" Target="embeddings/oleObject2.bin"/><Relationship Id="rId40" Type="http://schemas.openxmlformats.org/officeDocument/2006/relationships/oleObject" Target="embeddings/oleObject10.bin"/><Relationship Id="rId45" Type="http://schemas.openxmlformats.org/officeDocument/2006/relationships/image" Target="media/image24.emf"/><Relationship Id="rId66" Type="http://schemas.openxmlformats.org/officeDocument/2006/relationships/image" Target="media/image39.emf"/><Relationship Id="rId87" Type="http://schemas.openxmlformats.org/officeDocument/2006/relationships/image" Target="media/image56.wmf"/><Relationship Id="rId110" Type="http://schemas.openxmlformats.org/officeDocument/2006/relationships/image" Target="media/image71.emf"/><Relationship Id="rId115" Type="http://schemas.openxmlformats.org/officeDocument/2006/relationships/image" Target="media/image76.emf"/><Relationship Id="rId131" Type="http://schemas.openxmlformats.org/officeDocument/2006/relationships/image" Target="media/image92.png"/><Relationship Id="rId136" Type="http://schemas.openxmlformats.org/officeDocument/2006/relationships/image" Target="media/image97.png"/><Relationship Id="rId157" Type="http://schemas.openxmlformats.org/officeDocument/2006/relationships/image" Target="media/image118.emf"/><Relationship Id="rId178" Type="http://schemas.openxmlformats.org/officeDocument/2006/relationships/image" Target="media/image139.emf"/><Relationship Id="rId301" Type="http://schemas.openxmlformats.org/officeDocument/2006/relationships/image" Target="media/image262.emf"/><Relationship Id="rId61" Type="http://schemas.openxmlformats.org/officeDocument/2006/relationships/image" Target="media/image34.emf"/><Relationship Id="rId82" Type="http://schemas.openxmlformats.org/officeDocument/2006/relationships/image" Target="media/image53.png"/><Relationship Id="rId152" Type="http://schemas.openxmlformats.org/officeDocument/2006/relationships/image" Target="media/image113.emf"/><Relationship Id="rId173" Type="http://schemas.openxmlformats.org/officeDocument/2006/relationships/image" Target="media/image134.emf"/><Relationship Id="rId194" Type="http://schemas.openxmlformats.org/officeDocument/2006/relationships/image" Target="media/image155.emf"/><Relationship Id="rId199" Type="http://schemas.openxmlformats.org/officeDocument/2006/relationships/image" Target="media/image160.emf"/><Relationship Id="rId203" Type="http://schemas.openxmlformats.org/officeDocument/2006/relationships/image" Target="media/image164.emf"/><Relationship Id="rId208" Type="http://schemas.openxmlformats.org/officeDocument/2006/relationships/image" Target="media/image169.emf"/><Relationship Id="rId229" Type="http://schemas.openxmlformats.org/officeDocument/2006/relationships/image" Target="media/image190.emf"/><Relationship Id="rId19" Type="http://schemas.openxmlformats.org/officeDocument/2006/relationships/image" Target="media/image9.jpeg"/><Relationship Id="rId224" Type="http://schemas.openxmlformats.org/officeDocument/2006/relationships/image" Target="media/image185.emf"/><Relationship Id="rId240" Type="http://schemas.openxmlformats.org/officeDocument/2006/relationships/image" Target="media/image201.emf"/><Relationship Id="rId245" Type="http://schemas.openxmlformats.org/officeDocument/2006/relationships/image" Target="media/image206.png"/><Relationship Id="rId261" Type="http://schemas.openxmlformats.org/officeDocument/2006/relationships/image" Target="media/image222.png"/><Relationship Id="rId266" Type="http://schemas.openxmlformats.org/officeDocument/2006/relationships/image" Target="media/image227.emf"/><Relationship Id="rId287" Type="http://schemas.openxmlformats.org/officeDocument/2006/relationships/image" Target="media/image248.emf"/><Relationship Id="rId14" Type="http://schemas.openxmlformats.org/officeDocument/2006/relationships/image" Target="media/image4.tiff"/><Relationship Id="rId30" Type="http://schemas.openxmlformats.org/officeDocument/2006/relationships/oleObject" Target="embeddings/oleObject5.bin"/><Relationship Id="rId35" Type="http://schemas.openxmlformats.org/officeDocument/2006/relationships/image" Target="media/image18.wmf"/><Relationship Id="rId56" Type="http://schemas.openxmlformats.org/officeDocument/2006/relationships/oleObject" Target="embeddings/oleObject16.bin"/><Relationship Id="rId77" Type="http://schemas.openxmlformats.org/officeDocument/2006/relationships/image" Target="media/image48.emf"/><Relationship Id="rId100" Type="http://schemas.openxmlformats.org/officeDocument/2006/relationships/image" Target="media/image63.wmf"/><Relationship Id="rId105" Type="http://schemas.openxmlformats.org/officeDocument/2006/relationships/image" Target="media/image66.emf"/><Relationship Id="rId126" Type="http://schemas.openxmlformats.org/officeDocument/2006/relationships/image" Target="media/image87.png"/><Relationship Id="rId147" Type="http://schemas.openxmlformats.org/officeDocument/2006/relationships/image" Target="media/image108.png"/><Relationship Id="rId168" Type="http://schemas.openxmlformats.org/officeDocument/2006/relationships/image" Target="media/image129.emf"/><Relationship Id="rId282" Type="http://schemas.openxmlformats.org/officeDocument/2006/relationships/image" Target="media/image243.emf"/><Relationship Id="rId8" Type="http://schemas.openxmlformats.org/officeDocument/2006/relationships/image" Target="media/image1.jpeg"/><Relationship Id="rId51" Type="http://schemas.openxmlformats.org/officeDocument/2006/relationships/image" Target="media/image28.wmf"/><Relationship Id="rId72" Type="http://schemas.openxmlformats.org/officeDocument/2006/relationships/oleObject" Target="embeddings/oleObject18.bin"/><Relationship Id="rId93" Type="http://schemas.openxmlformats.org/officeDocument/2006/relationships/image" Target="media/image59.wmf"/><Relationship Id="rId98" Type="http://schemas.openxmlformats.org/officeDocument/2006/relationships/oleObject" Target="embeddings/oleObject27.bin"/><Relationship Id="rId121" Type="http://schemas.openxmlformats.org/officeDocument/2006/relationships/image" Target="media/image82.png"/><Relationship Id="rId142" Type="http://schemas.openxmlformats.org/officeDocument/2006/relationships/image" Target="media/image103.png"/><Relationship Id="rId163" Type="http://schemas.openxmlformats.org/officeDocument/2006/relationships/image" Target="media/image124.emf"/><Relationship Id="rId184" Type="http://schemas.openxmlformats.org/officeDocument/2006/relationships/image" Target="media/image145.emf"/><Relationship Id="rId189" Type="http://schemas.openxmlformats.org/officeDocument/2006/relationships/image" Target="media/image150.emf"/><Relationship Id="rId219" Type="http://schemas.openxmlformats.org/officeDocument/2006/relationships/image" Target="media/image180.emf"/><Relationship Id="rId3" Type="http://schemas.openxmlformats.org/officeDocument/2006/relationships/styles" Target="styles.xml"/><Relationship Id="rId214" Type="http://schemas.openxmlformats.org/officeDocument/2006/relationships/image" Target="media/image175.emf"/><Relationship Id="rId230" Type="http://schemas.openxmlformats.org/officeDocument/2006/relationships/image" Target="media/image191.emf"/><Relationship Id="rId235" Type="http://schemas.openxmlformats.org/officeDocument/2006/relationships/image" Target="media/image196.emf"/><Relationship Id="rId251" Type="http://schemas.openxmlformats.org/officeDocument/2006/relationships/image" Target="media/image212.png"/><Relationship Id="rId256" Type="http://schemas.openxmlformats.org/officeDocument/2006/relationships/image" Target="media/image217.png"/><Relationship Id="rId277" Type="http://schemas.openxmlformats.org/officeDocument/2006/relationships/image" Target="media/image238.emf"/><Relationship Id="rId298" Type="http://schemas.openxmlformats.org/officeDocument/2006/relationships/image" Target="media/image259.emf"/><Relationship Id="rId25" Type="http://schemas.openxmlformats.org/officeDocument/2006/relationships/image" Target="media/image13.wmf"/><Relationship Id="rId46" Type="http://schemas.openxmlformats.org/officeDocument/2006/relationships/image" Target="media/image25.emf"/><Relationship Id="rId67" Type="http://schemas.openxmlformats.org/officeDocument/2006/relationships/image" Target="media/image40.emf"/><Relationship Id="rId116" Type="http://schemas.openxmlformats.org/officeDocument/2006/relationships/image" Target="media/image77.emf"/><Relationship Id="rId137" Type="http://schemas.openxmlformats.org/officeDocument/2006/relationships/image" Target="media/image98.emf"/><Relationship Id="rId158" Type="http://schemas.openxmlformats.org/officeDocument/2006/relationships/image" Target="media/image119.emf"/><Relationship Id="rId272" Type="http://schemas.openxmlformats.org/officeDocument/2006/relationships/image" Target="media/image233.emf"/><Relationship Id="rId293" Type="http://schemas.openxmlformats.org/officeDocument/2006/relationships/image" Target="media/image254.emf"/><Relationship Id="rId302" Type="http://schemas.openxmlformats.org/officeDocument/2006/relationships/image" Target="media/image263.emf"/><Relationship Id="rId20" Type="http://schemas.openxmlformats.org/officeDocument/2006/relationships/image" Target="media/image10.jpeg"/><Relationship Id="rId41" Type="http://schemas.openxmlformats.org/officeDocument/2006/relationships/image" Target="media/image21.wmf"/><Relationship Id="rId62" Type="http://schemas.openxmlformats.org/officeDocument/2006/relationships/image" Target="media/image35.emf"/><Relationship Id="rId83" Type="http://schemas.openxmlformats.org/officeDocument/2006/relationships/image" Target="media/image54.wmf"/><Relationship Id="rId88" Type="http://schemas.openxmlformats.org/officeDocument/2006/relationships/oleObject" Target="embeddings/oleObject22.bin"/><Relationship Id="rId111" Type="http://schemas.openxmlformats.org/officeDocument/2006/relationships/image" Target="media/image72.emf"/><Relationship Id="rId132" Type="http://schemas.openxmlformats.org/officeDocument/2006/relationships/image" Target="media/image93.png"/><Relationship Id="rId153" Type="http://schemas.openxmlformats.org/officeDocument/2006/relationships/image" Target="media/image114.emf"/><Relationship Id="rId174" Type="http://schemas.openxmlformats.org/officeDocument/2006/relationships/image" Target="media/image135.emf"/><Relationship Id="rId179" Type="http://schemas.openxmlformats.org/officeDocument/2006/relationships/image" Target="media/image140.emf"/><Relationship Id="rId195" Type="http://schemas.openxmlformats.org/officeDocument/2006/relationships/image" Target="media/image156.emf"/><Relationship Id="rId209" Type="http://schemas.openxmlformats.org/officeDocument/2006/relationships/image" Target="media/image170.emf"/><Relationship Id="rId190" Type="http://schemas.openxmlformats.org/officeDocument/2006/relationships/image" Target="media/image151.emf"/><Relationship Id="rId204" Type="http://schemas.openxmlformats.org/officeDocument/2006/relationships/image" Target="media/image165.emf"/><Relationship Id="rId220" Type="http://schemas.openxmlformats.org/officeDocument/2006/relationships/image" Target="media/image181.emf"/><Relationship Id="rId225" Type="http://schemas.openxmlformats.org/officeDocument/2006/relationships/image" Target="media/image186.emf"/><Relationship Id="rId241" Type="http://schemas.openxmlformats.org/officeDocument/2006/relationships/image" Target="media/image202.png"/><Relationship Id="rId246" Type="http://schemas.openxmlformats.org/officeDocument/2006/relationships/image" Target="media/image207.png"/><Relationship Id="rId267" Type="http://schemas.openxmlformats.org/officeDocument/2006/relationships/image" Target="media/image228.emf"/><Relationship Id="rId288" Type="http://schemas.openxmlformats.org/officeDocument/2006/relationships/image" Target="media/image249.emf"/><Relationship Id="rId15" Type="http://schemas.openxmlformats.org/officeDocument/2006/relationships/image" Target="media/image5.tiff"/><Relationship Id="rId36" Type="http://schemas.openxmlformats.org/officeDocument/2006/relationships/oleObject" Target="embeddings/oleObject8.bin"/><Relationship Id="rId57" Type="http://schemas.openxmlformats.org/officeDocument/2006/relationships/image" Target="media/image31.wmf"/><Relationship Id="rId106" Type="http://schemas.openxmlformats.org/officeDocument/2006/relationships/image" Target="media/image67.emf"/><Relationship Id="rId127" Type="http://schemas.openxmlformats.org/officeDocument/2006/relationships/image" Target="media/image88.emf"/><Relationship Id="rId262" Type="http://schemas.openxmlformats.org/officeDocument/2006/relationships/image" Target="media/image223.png"/><Relationship Id="rId283" Type="http://schemas.openxmlformats.org/officeDocument/2006/relationships/image" Target="media/image244.emf"/><Relationship Id="rId10" Type="http://schemas.openxmlformats.org/officeDocument/2006/relationships/footer" Target="footer1.xml"/><Relationship Id="rId31" Type="http://schemas.openxmlformats.org/officeDocument/2006/relationships/image" Target="media/image16.wmf"/><Relationship Id="rId52" Type="http://schemas.openxmlformats.org/officeDocument/2006/relationships/oleObject" Target="embeddings/oleObject14.bin"/><Relationship Id="rId73" Type="http://schemas.openxmlformats.org/officeDocument/2006/relationships/image" Target="media/image45.wmf"/><Relationship Id="rId78" Type="http://schemas.openxmlformats.org/officeDocument/2006/relationships/image" Target="media/image49.emf"/><Relationship Id="rId94" Type="http://schemas.openxmlformats.org/officeDocument/2006/relationships/oleObject" Target="embeddings/oleObject25.bin"/><Relationship Id="rId99" Type="http://schemas.openxmlformats.org/officeDocument/2006/relationships/image" Target="media/image62.png"/><Relationship Id="rId101" Type="http://schemas.openxmlformats.org/officeDocument/2006/relationships/oleObject" Target="embeddings/oleObject28.bin"/><Relationship Id="rId122" Type="http://schemas.openxmlformats.org/officeDocument/2006/relationships/image" Target="media/image83.png"/><Relationship Id="rId143" Type="http://schemas.openxmlformats.org/officeDocument/2006/relationships/image" Target="media/image104.png"/><Relationship Id="rId148" Type="http://schemas.openxmlformats.org/officeDocument/2006/relationships/image" Target="media/image109.png"/><Relationship Id="rId164" Type="http://schemas.openxmlformats.org/officeDocument/2006/relationships/image" Target="media/image125.emf"/><Relationship Id="rId169" Type="http://schemas.openxmlformats.org/officeDocument/2006/relationships/image" Target="media/image130.emf"/><Relationship Id="rId185" Type="http://schemas.openxmlformats.org/officeDocument/2006/relationships/image" Target="media/image146.emf"/><Relationship Id="rId4" Type="http://schemas.openxmlformats.org/officeDocument/2006/relationships/settings" Target="settings.xml"/><Relationship Id="rId9" Type="http://schemas.microsoft.com/office/2007/relationships/hdphoto" Target="media/hdphoto1.wdp"/><Relationship Id="rId180" Type="http://schemas.openxmlformats.org/officeDocument/2006/relationships/image" Target="media/image141.emf"/><Relationship Id="rId210" Type="http://schemas.openxmlformats.org/officeDocument/2006/relationships/image" Target="media/image171.emf"/><Relationship Id="rId215" Type="http://schemas.openxmlformats.org/officeDocument/2006/relationships/image" Target="media/image176.emf"/><Relationship Id="rId236" Type="http://schemas.openxmlformats.org/officeDocument/2006/relationships/image" Target="media/image197.emf"/><Relationship Id="rId257" Type="http://schemas.openxmlformats.org/officeDocument/2006/relationships/image" Target="media/image218.png"/><Relationship Id="rId278" Type="http://schemas.openxmlformats.org/officeDocument/2006/relationships/image" Target="media/image239.emf"/><Relationship Id="rId26" Type="http://schemas.openxmlformats.org/officeDocument/2006/relationships/oleObject" Target="embeddings/oleObject3.bin"/><Relationship Id="rId231" Type="http://schemas.openxmlformats.org/officeDocument/2006/relationships/image" Target="media/image192.emf"/><Relationship Id="rId252" Type="http://schemas.openxmlformats.org/officeDocument/2006/relationships/image" Target="media/image213.png"/><Relationship Id="rId273" Type="http://schemas.openxmlformats.org/officeDocument/2006/relationships/image" Target="media/image234.emf"/><Relationship Id="rId294" Type="http://schemas.openxmlformats.org/officeDocument/2006/relationships/image" Target="media/image255.emf"/><Relationship Id="rId47" Type="http://schemas.openxmlformats.org/officeDocument/2006/relationships/image" Target="media/image26.wmf"/><Relationship Id="rId68" Type="http://schemas.openxmlformats.org/officeDocument/2006/relationships/image" Target="media/image41.jpeg"/><Relationship Id="rId89" Type="http://schemas.openxmlformats.org/officeDocument/2006/relationships/image" Target="media/image57.wmf"/><Relationship Id="rId112" Type="http://schemas.openxmlformats.org/officeDocument/2006/relationships/image" Target="media/image73.emf"/><Relationship Id="rId133" Type="http://schemas.openxmlformats.org/officeDocument/2006/relationships/image" Target="media/image94.png"/><Relationship Id="rId154" Type="http://schemas.openxmlformats.org/officeDocument/2006/relationships/image" Target="media/image115.emf"/><Relationship Id="rId175" Type="http://schemas.openxmlformats.org/officeDocument/2006/relationships/image" Target="media/image136.emf"/><Relationship Id="rId196" Type="http://schemas.openxmlformats.org/officeDocument/2006/relationships/image" Target="media/image157.emf"/><Relationship Id="rId200" Type="http://schemas.openxmlformats.org/officeDocument/2006/relationships/image" Target="media/image161.emf"/><Relationship Id="rId16" Type="http://schemas.openxmlformats.org/officeDocument/2006/relationships/image" Target="media/image6.tiff"/><Relationship Id="rId221" Type="http://schemas.openxmlformats.org/officeDocument/2006/relationships/image" Target="media/image182.emf"/><Relationship Id="rId242" Type="http://schemas.openxmlformats.org/officeDocument/2006/relationships/image" Target="media/image203.png"/><Relationship Id="rId263" Type="http://schemas.openxmlformats.org/officeDocument/2006/relationships/image" Target="media/image224.png"/><Relationship Id="rId284" Type="http://schemas.openxmlformats.org/officeDocument/2006/relationships/image" Target="media/image245.emf"/><Relationship Id="rId37" Type="http://schemas.openxmlformats.org/officeDocument/2006/relationships/image" Target="media/image19.wmf"/><Relationship Id="rId58" Type="http://schemas.openxmlformats.org/officeDocument/2006/relationships/oleObject" Target="embeddings/oleObject17.bin"/><Relationship Id="rId79" Type="http://schemas.openxmlformats.org/officeDocument/2006/relationships/image" Target="media/image50.png"/><Relationship Id="rId102" Type="http://schemas.openxmlformats.org/officeDocument/2006/relationships/image" Target="media/image64.wmf"/><Relationship Id="rId123" Type="http://schemas.openxmlformats.org/officeDocument/2006/relationships/image" Target="media/image84.png"/><Relationship Id="rId144" Type="http://schemas.openxmlformats.org/officeDocument/2006/relationships/image" Target="media/image105.png"/><Relationship Id="rId90" Type="http://schemas.openxmlformats.org/officeDocument/2006/relationships/oleObject" Target="embeddings/oleObject23.bin"/><Relationship Id="rId165" Type="http://schemas.openxmlformats.org/officeDocument/2006/relationships/image" Target="media/image126.emf"/><Relationship Id="rId186" Type="http://schemas.openxmlformats.org/officeDocument/2006/relationships/image" Target="media/image147.emf"/><Relationship Id="rId211" Type="http://schemas.openxmlformats.org/officeDocument/2006/relationships/image" Target="media/image172.emf"/><Relationship Id="rId232" Type="http://schemas.openxmlformats.org/officeDocument/2006/relationships/image" Target="media/image193.emf"/><Relationship Id="rId253" Type="http://schemas.openxmlformats.org/officeDocument/2006/relationships/image" Target="media/image214.png"/><Relationship Id="rId274" Type="http://schemas.openxmlformats.org/officeDocument/2006/relationships/image" Target="media/image235.emf"/><Relationship Id="rId295" Type="http://schemas.openxmlformats.org/officeDocument/2006/relationships/image" Target="media/image256.emf"/><Relationship Id="rId27" Type="http://schemas.openxmlformats.org/officeDocument/2006/relationships/image" Target="media/image14.wmf"/><Relationship Id="rId48" Type="http://schemas.openxmlformats.org/officeDocument/2006/relationships/oleObject" Target="embeddings/oleObject12.bin"/><Relationship Id="rId69" Type="http://schemas.openxmlformats.org/officeDocument/2006/relationships/image" Target="media/image42.jpeg"/><Relationship Id="rId113" Type="http://schemas.openxmlformats.org/officeDocument/2006/relationships/image" Target="media/image74.emf"/><Relationship Id="rId134" Type="http://schemas.openxmlformats.org/officeDocument/2006/relationships/image" Target="media/image95.png"/><Relationship Id="rId80" Type="http://schemas.openxmlformats.org/officeDocument/2006/relationships/image" Target="media/image51.png"/><Relationship Id="rId155" Type="http://schemas.openxmlformats.org/officeDocument/2006/relationships/image" Target="media/image116.emf"/><Relationship Id="rId176" Type="http://schemas.openxmlformats.org/officeDocument/2006/relationships/image" Target="media/image137.emf"/><Relationship Id="rId197" Type="http://schemas.openxmlformats.org/officeDocument/2006/relationships/image" Target="media/image158.emf"/><Relationship Id="rId201" Type="http://schemas.openxmlformats.org/officeDocument/2006/relationships/image" Target="media/image162.emf"/><Relationship Id="rId222" Type="http://schemas.openxmlformats.org/officeDocument/2006/relationships/image" Target="media/image183.emf"/><Relationship Id="rId243" Type="http://schemas.openxmlformats.org/officeDocument/2006/relationships/image" Target="media/image204.png"/><Relationship Id="rId264" Type="http://schemas.openxmlformats.org/officeDocument/2006/relationships/image" Target="media/image225.png"/><Relationship Id="rId285" Type="http://schemas.openxmlformats.org/officeDocument/2006/relationships/image" Target="media/image246.emf"/><Relationship Id="rId17" Type="http://schemas.openxmlformats.org/officeDocument/2006/relationships/image" Target="media/image7.tiff"/><Relationship Id="rId38" Type="http://schemas.openxmlformats.org/officeDocument/2006/relationships/oleObject" Target="embeddings/oleObject9.bin"/><Relationship Id="rId59" Type="http://schemas.openxmlformats.org/officeDocument/2006/relationships/image" Target="media/image32.emf"/><Relationship Id="rId103" Type="http://schemas.openxmlformats.org/officeDocument/2006/relationships/oleObject" Target="embeddings/oleObject29.bin"/><Relationship Id="rId124" Type="http://schemas.openxmlformats.org/officeDocument/2006/relationships/image" Target="media/image85.png"/><Relationship Id="rId70" Type="http://schemas.openxmlformats.org/officeDocument/2006/relationships/image" Target="media/image43.png"/><Relationship Id="rId91" Type="http://schemas.openxmlformats.org/officeDocument/2006/relationships/image" Target="media/image58.wmf"/><Relationship Id="rId145" Type="http://schemas.openxmlformats.org/officeDocument/2006/relationships/image" Target="media/image106.jpeg"/><Relationship Id="rId166" Type="http://schemas.openxmlformats.org/officeDocument/2006/relationships/image" Target="media/image127.emf"/><Relationship Id="rId187" Type="http://schemas.openxmlformats.org/officeDocument/2006/relationships/image" Target="media/image148.emf"/><Relationship Id="rId1" Type="http://schemas.openxmlformats.org/officeDocument/2006/relationships/customXml" Target="../customXml/item1.xml"/><Relationship Id="rId212" Type="http://schemas.openxmlformats.org/officeDocument/2006/relationships/image" Target="media/image173.emf"/><Relationship Id="rId233" Type="http://schemas.openxmlformats.org/officeDocument/2006/relationships/image" Target="media/image194.emf"/><Relationship Id="rId254" Type="http://schemas.openxmlformats.org/officeDocument/2006/relationships/image" Target="media/image215.png"/><Relationship Id="rId28" Type="http://schemas.openxmlformats.org/officeDocument/2006/relationships/oleObject" Target="embeddings/oleObject4.bin"/><Relationship Id="rId49" Type="http://schemas.openxmlformats.org/officeDocument/2006/relationships/image" Target="media/image27.wmf"/><Relationship Id="rId114" Type="http://schemas.openxmlformats.org/officeDocument/2006/relationships/image" Target="media/image75.emf"/><Relationship Id="rId275" Type="http://schemas.openxmlformats.org/officeDocument/2006/relationships/image" Target="media/image236.emf"/><Relationship Id="rId296" Type="http://schemas.openxmlformats.org/officeDocument/2006/relationships/image" Target="media/image257.emf"/><Relationship Id="rId300" Type="http://schemas.openxmlformats.org/officeDocument/2006/relationships/image" Target="media/image261.emf"/><Relationship Id="rId60" Type="http://schemas.openxmlformats.org/officeDocument/2006/relationships/image" Target="media/image33.emf"/><Relationship Id="rId81" Type="http://schemas.openxmlformats.org/officeDocument/2006/relationships/image" Target="media/image52.png"/><Relationship Id="rId135" Type="http://schemas.openxmlformats.org/officeDocument/2006/relationships/image" Target="media/image96.png"/><Relationship Id="rId156" Type="http://schemas.openxmlformats.org/officeDocument/2006/relationships/image" Target="media/image117.emf"/><Relationship Id="rId177" Type="http://schemas.openxmlformats.org/officeDocument/2006/relationships/image" Target="media/image138.emf"/><Relationship Id="rId198" Type="http://schemas.openxmlformats.org/officeDocument/2006/relationships/image" Target="media/image159.emf"/><Relationship Id="rId202" Type="http://schemas.openxmlformats.org/officeDocument/2006/relationships/image" Target="media/image163.emf"/><Relationship Id="rId223" Type="http://schemas.openxmlformats.org/officeDocument/2006/relationships/image" Target="media/image184.emf"/><Relationship Id="rId244" Type="http://schemas.openxmlformats.org/officeDocument/2006/relationships/image" Target="media/image205.png"/><Relationship Id="rId18" Type="http://schemas.openxmlformats.org/officeDocument/2006/relationships/image" Target="media/image8.jpeg"/><Relationship Id="rId39" Type="http://schemas.openxmlformats.org/officeDocument/2006/relationships/image" Target="media/image20.wmf"/><Relationship Id="rId265" Type="http://schemas.openxmlformats.org/officeDocument/2006/relationships/image" Target="media/image226.png"/><Relationship Id="rId286" Type="http://schemas.openxmlformats.org/officeDocument/2006/relationships/image" Target="media/image247.emf"/><Relationship Id="rId50" Type="http://schemas.openxmlformats.org/officeDocument/2006/relationships/oleObject" Target="embeddings/oleObject13.bin"/><Relationship Id="rId104" Type="http://schemas.openxmlformats.org/officeDocument/2006/relationships/image" Target="media/image65.emf"/><Relationship Id="rId125" Type="http://schemas.openxmlformats.org/officeDocument/2006/relationships/image" Target="media/image86.png"/><Relationship Id="rId146" Type="http://schemas.openxmlformats.org/officeDocument/2006/relationships/image" Target="media/image107.png"/><Relationship Id="rId167" Type="http://schemas.openxmlformats.org/officeDocument/2006/relationships/image" Target="media/image128.emf"/><Relationship Id="rId188" Type="http://schemas.openxmlformats.org/officeDocument/2006/relationships/image" Target="media/image149.emf"/><Relationship Id="rId71" Type="http://schemas.openxmlformats.org/officeDocument/2006/relationships/image" Target="media/image44.wmf"/><Relationship Id="rId92" Type="http://schemas.openxmlformats.org/officeDocument/2006/relationships/oleObject" Target="embeddings/oleObject24.bin"/><Relationship Id="rId213" Type="http://schemas.openxmlformats.org/officeDocument/2006/relationships/image" Target="media/image174.emf"/><Relationship Id="rId234" Type="http://schemas.openxmlformats.org/officeDocument/2006/relationships/image" Target="media/image19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6D5FAF-D7FB-46BA-8A1B-90ED3AB953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190</Pages>
  <Words>123169</Words>
  <Characters>702069</Characters>
  <Application>Microsoft Office Word</Application>
  <DocSecurity>0</DocSecurity>
  <Lines>5850</Lines>
  <Paragraphs>1647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823591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 A450L</dc:creator>
  <cp:keywords/>
  <dc:description/>
  <cp:lastModifiedBy>NORHUDA HIDAYAH BINTI NORDIN</cp:lastModifiedBy>
  <cp:revision>9</cp:revision>
  <cp:lastPrinted>2019-07-30T15:54:00Z</cp:lastPrinted>
  <dcterms:created xsi:type="dcterms:W3CDTF">2019-07-30T15:46:00Z</dcterms:created>
  <dcterms:modified xsi:type="dcterms:W3CDTF">2019-08-01T11:26:00Z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852065fe-54cd-391e-9b17-ec09f982196d</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